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微软雅黑" w:hAnsi="微软雅黑" w:cs="微软雅黑"/>
          <w:sz w:val="52"/>
          <w:szCs w:val="52"/>
        </w:rPr>
      </w:pPr>
      <w:r>
        <w:rPr>
          <w:rFonts w:hint="eastAsia" w:ascii="微软雅黑" w:hAnsi="微软雅黑" w:cs="微软雅黑"/>
          <w:sz w:val="52"/>
          <w:szCs w:val="52"/>
        </w:rPr>
      </w:r>
      <w:r/>
    </w:p>
    <w:p>
      <w:pPr>
        <w:rPr>
          <w:rFonts w:hint="eastAsia" w:ascii="微软雅黑" w:hAnsi="微软雅黑" w:cs="微软雅黑"/>
          <w:sz w:val="52"/>
          <w:szCs w:val="52"/>
        </w:rPr>
      </w:pPr>
      <w:r>
        <w:rPr>
          <w:rFonts w:hint="eastAsia" w:ascii="微软雅黑" w:hAnsi="微软雅黑" w:cs="微软雅黑"/>
          <w:sz w:val="52"/>
          <w:szCs w:val="52"/>
        </w:rPr>
      </w:r>
      <w:r/>
    </w:p>
    <w:p>
      <w:pPr>
        <w:jc w:val="center"/>
        <w:rPr>
          <w:rFonts w:hint="eastAsia" w:ascii="微软雅黑" w:hAnsi="微软雅黑" w:cs="微软雅黑"/>
          <w:b/>
          <w:bCs/>
          <w:sz w:val="84"/>
          <w:szCs w:val="84"/>
        </w:rPr>
      </w:pPr>
      <w:r/>
      <w:bookmarkStart w:id="0" w:name="_Toc19040"/>
      <w:r/>
      <w:bookmarkStart w:id="1" w:name="__第一章_公开招标公告"/>
      <w:r/>
      <w:bookmarkStart w:id="2" w:name="_Toc452384169"/>
      <w:r>
        <w:rPr>
          <w:rFonts w:hint="eastAsia" w:ascii="微软雅黑" w:hAnsi="微软雅黑" w:cs="微软雅黑"/>
          <w:sz w:val="84"/>
          <w:szCs w:val="84"/>
        </w:rPr>
        <w:t xml:space="preserve">采购文件</w:t>
      </w:r>
      <w:r/>
    </w:p>
    <w:p>
      <w:pPr>
        <w:jc w:val="center"/>
        <w:rPr>
          <w:rFonts w:hint="eastAsia" w:ascii="微软雅黑" w:hAnsi="微软雅黑" w:cs="微软雅黑"/>
          <w:sz w:val="52"/>
          <w:szCs w:val="52"/>
        </w:rPr>
      </w:pPr>
      <w:r>
        <w:rPr>
          <w:rFonts w:hint="eastAsia" w:ascii="微软雅黑" w:hAnsi="微软雅黑" w:cs="微软雅黑"/>
          <w:sz w:val="52"/>
          <w:szCs w:val="52"/>
        </w:rPr>
        <w:t xml:space="preserve">（公开招标）</w:t>
      </w:r>
      <w:r/>
    </w:p>
    <w:p>
      <w:pPr>
        <w:rPr>
          <w:rStyle w:val="1422"/>
          <w:rFonts w:hint="eastAsia" w:ascii="微软雅黑" w:hAnsi="微软雅黑" w:cs="微软雅黑"/>
          <w:color w:val="auto"/>
        </w:rPr>
      </w:pPr>
      <w:r>
        <w:rPr>
          <w:rFonts w:hint="eastAsia" w:ascii="微软雅黑" w:hAnsi="微软雅黑" w:cs="微软雅黑"/>
          <w:color w:val="auto"/>
        </w:rPr>
      </w:r>
      <w:r/>
    </w:p>
    <w:p>
      <w:pPr>
        <w:jc w:val="left"/>
        <w:rPr>
          <w:rFonts w:hint="eastAsia" w:ascii="微软雅黑" w:hAnsi="微软雅黑" w:cs="微软雅黑"/>
          <w:sz w:val="36"/>
        </w:rPr>
      </w:pPr>
      <w:r>
        <w:rPr>
          <w:rFonts w:hint="eastAsia" w:ascii="微软雅黑" w:hAnsi="微软雅黑" w:cs="微软雅黑"/>
          <w:sz w:val="36"/>
        </w:rPr>
      </w:r>
      <w:r/>
    </w:p>
    <w:p>
      <w:pPr>
        <w:pStyle w:val="1370"/>
        <w:ind w:left="0"/>
      </w:pPr>
      <w:r/>
      <w:r/>
    </w:p>
    <w:p>
      <w:r/>
      <w:r/>
    </w:p>
    <w:p>
      <w:pPr>
        <w:jc w:val="left"/>
        <w:rPr>
          <w:rFonts w:hint="eastAsia" w:ascii="微软雅黑" w:hAnsi="微软雅黑" w:cs="微软雅黑"/>
          <w:sz w:val="36"/>
        </w:rPr>
      </w:pPr>
      <w:r>
        <w:rPr>
          <w:rFonts w:hint="eastAsia" w:ascii="微软雅黑" w:hAnsi="微软雅黑" w:cs="微软雅黑"/>
          <w:sz w:val="36"/>
        </w:rPr>
      </w:r>
      <w:r/>
    </w:p>
    <w:p>
      <w:pPr>
        <w:ind w:left="2340" w:hanging="1500"/>
        <w:jc w:val="left"/>
        <w:spacing w:before="120"/>
        <w:rPr>
          <w:rFonts w:hint="eastAsia" w:ascii="微软雅黑" w:hAnsi="微软雅黑" w:eastAsia="微软雅黑" w:cs="微软雅黑"/>
          <w:sz w:val="30"/>
          <w:szCs w:val="30"/>
          <w:highlight w:val="none"/>
          <w:lang w:eastAsia="zh-CN"/>
        </w:rPr>
      </w:pPr>
      <w:r>
        <w:rPr>
          <w:rFonts w:hint="eastAsia" w:ascii="微软雅黑" w:hAnsi="微软雅黑" w:cs="微软雅黑"/>
          <w:sz w:val="30"/>
          <w:szCs w:val="30"/>
          <w:highlight w:val="none"/>
        </w:rPr>
        <w:t xml:space="preserve">项目编号：</w:t>
      </w:r>
      <w:r>
        <w:rPr>
          <w:rFonts w:hint="eastAsia" w:ascii="微软雅黑" w:hAnsi="微软雅黑" w:cs="微软雅黑"/>
          <w:sz w:val="30"/>
          <w:szCs w:val="30"/>
          <w:highlight w:val="none"/>
          <w:lang w:eastAsia="zh-CN"/>
        </w:rPr>
        <w:t xml:space="preserve">JSZC-320000-JSHC-G2026-0031</w:t>
      </w:r>
      <w:r/>
    </w:p>
    <w:p>
      <w:pPr>
        <w:ind w:left="2340" w:hanging="1500"/>
        <w:jc w:val="left"/>
        <w:spacing w:before="120"/>
        <w:rPr>
          <w:rFonts w:hint="eastAsia" w:ascii="微软雅黑" w:hAnsi="微软雅黑" w:cs="微软雅黑"/>
          <w:sz w:val="30"/>
          <w:szCs w:val="30"/>
        </w:rPr>
      </w:pPr>
      <w:r>
        <w:rPr>
          <w:rFonts w:hint="eastAsia" w:ascii="微软雅黑" w:hAnsi="微软雅黑" w:cs="微软雅黑"/>
          <w:sz w:val="30"/>
          <w:szCs w:val="30"/>
        </w:rPr>
        <w:t xml:space="preserve">代理机构内部编号：JSHC-2026080674B1</w:t>
      </w:r>
      <w:r/>
    </w:p>
    <w:p>
      <w:pPr>
        <w:ind w:left="2340" w:hanging="1500"/>
        <w:jc w:val="left"/>
        <w:spacing w:before="120"/>
        <w:rPr>
          <w:rFonts w:hint="eastAsia" w:ascii="微软雅黑" w:hAnsi="微软雅黑" w:cs="微软雅黑"/>
          <w:sz w:val="30"/>
          <w:szCs w:val="30"/>
        </w:rPr>
      </w:pPr>
      <w:r>
        <w:rPr>
          <w:rFonts w:hint="eastAsia" w:ascii="微软雅黑" w:hAnsi="微软雅黑" w:cs="微软雅黑"/>
          <w:sz w:val="30"/>
          <w:szCs w:val="30"/>
        </w:rPr>
        <w:t xml:space="preserve">项目名称：南京医科大学生物医药分中心激光共聚焦显微镜采购项目</w:t>
      </w:r>
      <w:r/>
    </w:p>
    <w:p>
      <w:pPr>
        <w:ind w:left="2340" w:hanging="1500"/>
        <w:jc w:val="left"/>
        <w:spacing w:before="120"/>
        <w:rPr>
          <w:rFonts w:hint="eastAsia" w:ascii="微软雅黑" w:hAnsi="微软雅黑" w:cs="微软雅黑"/>
          <w:sz w:val="30"/>
          <w:szCs w:val="30"/>
        </w:rPr>
      </w:pPr>
      <w:r>
        <w:rPr>
          <w:rFonts w:hint="eastAsia" w:ascii="微软雅黑" w:hAnsi="微软雅黑" w:cs="微软雅黑"/>
          <w:sz w:val="30"/>
          <w:szCs w:val="30"/>
        </w:rPr>
        <w:t xml:space="preserve">采 购 人：南京医科大学</w:t>
      </w:r>
      <w:r/>
    </w:p>
    <w:p>
      <w:pPr>
        <w:ind w:left="2340" w:hanging="1500"/>
        <w:jc w:val="left"/>
        <w:spacing w:before="120"/>
        <w:rPr>
          <w:rFonts w:hint="eastAsia" w:ascii="微软雅黑" w:hAnsi="微软雅黑" w:cs="微软雅黑"/>
          <w:sz w:val="30"/>
          <w:szCs w:val="30"/>
        </w:rPr>
      </w:pPr>
      <w:r>
        <w:rPr>
          <w:rFonts w:hint="eastAsia" w:ascii="微软雅黑" w:hAnsi="微软雅黑" w:cs="微软雅黑"/>
          <w:sz w:val="30"/>
          <w:szCs w:val="30"/>
        </w:rPr>
        <w:t xml:space="preserve">代理机构：江苏省华采招标有限公司</w:t>
      </w:r>
      <w:r/>
    </w:p>
    <w:p>
      <w:pPr>
        <w:ind w:left="2580" w:hanging="2580"/>
        <w:jc w:val="center"/>
        <w:rPr>
          <w:rFonts w:hint="eastAsia" w:ascii="微软雅黑" w:hAnsi="微软雅黑" w:cs="微软雅黑"/>
          <w:sz w:val="30"/>
          <w:szCs w:val="30"/>
        </w:rPr>
      </w:pPr>
      <w:r>
        <w:rPr>
          <w:rFonts w:hint="eastAsia" w:ascii="微软雅黑" w:hAnsi="微软雅黑" w:cs="微软雅黑"/>
          <w:sz w:val="30"/>
          <w:szCs w:val="30"/>
        </w:rPr>
      </w:r>
      <w:r/>
    </w:p>
    <w:p>
      <w:pPr>
        <w:pStyle w:val="1370"/>
        <w:ind w:left="1260"/>
      </w:pPr>
      <w:r/>
      <w:r/>
    </w:p>
    <w:p>
      <w:r/>
      <w:r/>
    </w:p>
    <w:p>
      <w:r/>
      <w:r/>
    </w:p>
    <w:p>
      <w:r/>
      <w:r/>
    </w:p>
    <w:p>
      <w:r/>
      <w:r/>
    </w:p>
    <w:p>
      <w:r/>
      <w:r/>
    </w:p>
    <w:p>
      <w:r/>
      <w:r/>
    </w:p>
    <w:p>
      <w:r/>
      <w:r/>
    </w:p>
    <w:p>
      <w:pPr>
        <w:pStyle w:val="1370"/>
        <w:ind w:left="1260"/>
      </w:pPr>
      <w:r/>
      <w:r/>
    </w:p>
    <w:p>
      <w:pPr>
        <w:pStyle w:val="1370"/>
        <w:ind w:left="0"/>
      </w:pPr>
      <w:r/>
      <w:r/>
    </w:p>
    <w:p>
      <w:pPr>
        <w:jc w:val="center"/>
        <w:rPr>
          <w:rFonts w:hint="eastAsia" w:ascii="微软雅黑" w:hAnsi="微软雅黑" w:cs="微软雅黑"/>
          <w:sz w:val="30"/>
          <w:szCs w:val="30"/>
        </w:rPr>
        <w:sectPr>
          <w:headerReference w:type="default" r:id="rId9"/>
          <w:headerReference w:type="first" r:id="rId10"/>
          <w:footerReference w:type="default" r:id="rId15"/>
          <w:footerReference w:type="first" r:id="rId16"/>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pacing w:val="30"/>
          <w:sz w:val="32"/>
          <w:szCs w:val="32"/>
        </w:rPr>
        <w:t xml:space="preserve">2026年0</w:t>
      </w:r>
      <w:r>
        <w:rPr>
          <w:rFonts w:hint="eastAsia" w:ascii="微软雅黑" w:hAnsi="微软雅黑" w:cs="微软雅黑"/>
          <w:spacing w:val="30"/>
          <w:sz w:val="32"/>
          <w:szCs w:val="32"/>
          <w:lang w:val="en-US" w:eastAsia="zh-CN"/>
        </w:rPr>
        <w:t xml:space="preserve">9</w:t>
      </w:r>
      <w:r>
        <w:rPr>
          <w:rFonts w:hint="eastAsia" w:ascii="微软雅黑" w:hAnsi="微软雅黑" w:cs="微软雅黑"/>
          <w:spacing w:val="30"/>
          <w:sz w:val="32"/>
          <w:szCs w:val="32"/>
        </w:rPr>
        <w:t xml:space="preserve">月</w:t>
      </w:r>
      <w:r/>
    </w:p>
    <w:p>
      <w:pPr>
        <w:jc w:val="center"/>
        <w:spacing w:line="400" w:lineRule="exact"/>
        <w:rPr>
          <w:rFonts w:hint="eastAsia" w:ascii="微软雅黑" w:hAnsi="微软雅黑" w:cs="微软雅黑"/>
          <w:b/>
          <w:bCs/>
          <w:sz w:val="30"/>
          <w:szCs w:val="30"/>
        </w:rPr>
      </w:pPr>
      <w:r>
        <w:rPr>
          <w:rFonts w:hint="eastAsia" w:ascii="微软雅黑" w:hAnsi="微软雅黑" w:cs="微软雅黑"/>
          <w:b/>
          <w:bCs/>
          <w:sz w:val="30"/>
          <w:szCs w:val="30"/>
        </w:rPr>
        <w:t xml:space="preserve">目录</w:t>
      </w:r>
      <w:r/>
    </w:p>
    <w:p>
      <w:pPr>
        <w:pStyle w:val="1162"/>
        <w:tabs>
          <w:tab w:val="right" w:pos="8300" w:leader="dot"/>
        </w:tabs>
        <w:rPr>
          <w:rFonts w:hint="eastAsia"/>
        </w:rPr>
      </w:pPr>
      <w:r>
        <w:rPr>
          <w:rFonts w:hint="eastAsia"/>
        </w:rPr>
        <w:fldChar w:fldCharType="begin"/>
      </w:r>
      <w:r>
        <w:rPr>
          <w:rFonts w:hint="eastAsia"/>
        </w:rPr>
        <w:instrText xml:space="preserve">TOC \o "1-3" \h \u </w:instrText>
      </w:r>
      <w:r>
        <w:rPr>
          <w:rFonts w:hint="eastAsia"/>
        </w:rPr>
        <w:fldChar w:fldCharType="separate"/>
      </w:r>
      <w:r>
        <w:fldChar w:fldCharType="begin"/>
      </w:r>
      <w:r>
        <w:instrText xml:space="preserve"> HYPERLINK \l "_Toc23488" </w:instrText>
      </w:r>
      <w:r>
        <w:fldChar w:fldCharType="separate"/>
      </w:r>
      <w:r>
        <w:rPr>
          <w:rFonts w:hint="eastAsia"/>
          <w:szCs w:val="32"/>
        </w:rPr>
        <w:t xml:space="preserve">第一章 投标邀请（采购公告）</w:t>
      </w:r>
      <w:r>
        <w:tab/>
      </w:r>
      <w:r>
        <w:fldChar w:fldCharType="begin"/>
      </w:r>
      <w:r>
        <w:instrText xml:space="preserve"> PAGEREF _Toc23488 \h </w:instrText>
      </w:r>
      <w:r>
        <w:fldChar w:fldCharType="separate"/>
      </w:r>
      <w:r>
        <w:t xml:space="preserve">4</w:t>
      </w:r>
      <w:r>
        <w:fldChar w:fldCharType="end"/>
      </w:r>
      <w:r>
        <w:fldChar w:fldCharType="end"/>
      </w:r>
      <w:r/>
    </w:p>
    <w:p>
      <w:pPr>
        <w:pStyle w:val="1162"/>
        <w:tabs>
          <w:tab w:val="right" w:pos="8300" w:leader="dot"/>
        </w:tabs>
        <w:rPr>
          <w:rFonts w:hint="eastAsia"/>
        </w:rPr>
      </w:pPr>
      <w:r>
        <w:fldChar w:fldCharType="begin"/>
      </w:r>
      <w:r>
        <w:instrText xml:space="preserve"> HYPERLINK \l "_Toc13835" </w:instrText>
      </w:r>
      <w:r>
        <w:fldChar w:fldCharType="separate"/>
      </w:r>
      <w:r>
        <w:rPr>
          <w:rFonts w:hint="eastAsia"/>
          <w:szCs w:val="32"/>
        </w:rPr>
        <w:t xml:space="preserve">第二章 </w:t>
      </w:r>
      <w:r>
        <w:rPr>
          <w:rFonts w:hint="eastAsia"/>
        </w:rPr>
        <w:t xml:space="preserve">供应商须知</w:t>
      </w:r>
      <w:r>
        <w:tab/>
      </w:r>
      <w:r>
        <w:fldChar w:fldCharType="begin"/>
      </w:r>
      <w:r>
        <w:instrText xml:space="preserve"> PAGEREF _Toc13835 \h </w:instrText>
      </w:r>
      <w:r>
        <w:fldChar w:fldCharType="separate"/>
      </w:r>
      <w:r>
        <w:t xml:space="preserve">7</w:t>
      </w:r>
      <w:r>
        <w:fldChar w:fldCharType="end"/>
      </w:r>
      <w:r>
        <w:fldChar w:fldCharType="end"/>
      </w:r>
      <w:r/>
    </w:p>
    <w:p>
      <w:pPr>
        <w:pStyle w:val="1168"/>
        <w:tabs>
          <w:tab w:val="right" w:pos="8300" w:leader="dot"/>
        </w:tabs>
        <w:rPr>
          <w:rFonts w:hint="eastAsia"/>
        </w:rPr>
      </w:pPr>
      <w:r>
        <w:fldChar w:fldCharType="begin"/>
      </w:r>
      <w:r>
        <w:instrText xml:space="preserve"> HYPERLINK \l "_Toc25303" </w:instrText>
      </w:r>
      <w:r>
        <w:fldChar w:fldCharType="separate"/>
      </w:r>
      <w:r>
        <w:rPr>
          <w:rFonts w:hint="eastAsia"/>
        </w:rPr>
        <w:t xml:space="preserve">一、总则</w:t>
      </w:r>
      <w:r>
        <w:tab/>
      </w:r>
      <w:r>
        <w:fldChar w:fldCharType="begin"/>
      </w:r>
      <w:r>
        <w:instrText xml:space="preserve"> PAGEREF _Toc25303 \h </w:instrText>
      </w:r>
      <w:r>
        <w:fldChar w:fldCharType="separate"/>
      </w:r>
      <w:r>
        <w:t xml:space="preserve">9</w:t>
      </w:r>
      <w:r>
        <w:fldChar w:fldCharType="end"/>
      </w:r>
      <w:r>
        <w:fldChar w:fldCharType="end"/>
      </w:r>
      <w:r/>
    </w:p>
    <w:p>
      <w:pPr>
        <w:pStyle w:val="1156"/>
        <w:tabs>
          <w:tab w:val="right" w:pos="8300" w:leader="dot"/>
        </w:tabs>
        <w:rPr>
          <w:rFonts w:hint="eastAsia"/>
        </w:rPr>
      </w:pPr>
      <w:r>
        <w:fldChar w:fldCharType="begin"/>
      </w:r>
      <w:r>
        <w:instrText xml:space="preserve"> HYPERLINK \l "_Toc19551" </w:instrText>
      </w:r>
      <w:r>
        <w:fldChar w:fldCharType="separate"/>
      </w:r>
      <w:r>
        <w:rPr>
          <w:rFonts w:hint="eastAsia"/>
          <w:szCs w:val="24"/>
        </w:rPr>
        <w:t xml:space="preserve">1.1适用范围</w:t>
      </w:r>
      <w:r>
        <w:tab/>
      </w:r>
      <w:r>
        <w:fldChar w:fldCharType="begin"/>
      </w:r>
      <w:r>
        <w:instrText xml:space="preserve"> PAGEREF _Toc19551 \h </w:instrText>
      </w:r>
      <w:r>
        <w:fldChar w:fldCharType="separate"/>
      </w:r>
      <w:r>
        <w:t xml:space="preserve">9</w:t>
      </w:r>
      <w:r>
        <w:fldChar w:fldCharType="end"/>
      </w:r>
      <w:r>
        <w:fldChar w:fldCharType="end"/>
      </w:r>
      <w:r/>
    </w:p>
    <w:p>
      <w:pPr>
        <w:pStyle w:val="1156"/>
        <w:tabs>
          <w:tab w:val="right" w:pos="8300" w:leader="dot"/>
        </w:tabs>
        <w:rPr>
          <w:rFonts w:hint="eastAsia"/>
        </w:rPr>
      </w:pPr>
      <w:r>
        <w:fldChar w:fldCharType="begin"/>
      </w:r>
      <w:r>
        <w:instrText xml:space="preserve"> HYPERLINK \l "_Toc5939" </w:instrText>
      </w:r>
      <w:r>
        <w:fldChar w:fldCharType="separate"/>
      </w:r>
      <w:r>
        <w:rPr>
          <w:rFonts w:hint="eastAsia"/>
          <w:szCs w:val="24"/>
        </w:rPr>
        <w:t xml:space="preserve">1.2合格的供应商</w:t>
      </w:r>
      <w:r>
        <w:tab/>
      </w:r>
      <w:r>
        <w:fldChar w:fldCharType="begin"/>
      </w:r>
      <w:r>
        <w:instrText xml:space="preserve"> PAGEREF _Toc5939 \h </w:instrText>
      </w:r>
      <w:r>
        <w:fldChar w:fldCharType="separate"/>
      </w:r>
      <w:r>
        <w:t xml:space="preserve">9</w:t>
      </w:r>
      <w:r>
        <w:fldChar w:fldCharType="end"/>
      </w:r>
      <w:r>
        <w:fldChar w:fldCharType="end"/>
      </w:r>
      <w:r/>
    </w:p>
    <w:p>
      <w:pPr>
        <w:pStyle w:val="1156"/>
        <w:tabs>
          <w:tab w:val="right" w:pos="8300" w:leader="dot"/>
        </w:tabs>
        <w:rPr>
          <w:rFonts w:hint="eastAsia"/>
        </w:rPr>
      </w:pPr>
      <w:r>
        <w:fldChar w:fldCharType="begin"/>
      </w:r>
      <w:r>
        <w:instrText xml:space="preserve"> HYPERLINK \l "_Toc23266" </w:instrText>
      </w:r>
      <w:r>
        <w:fldChar w:fldCharType="separate"/>
      </w:r>
      <w:r>
        <w:rPr>
          <w:rFonts w:hint="eastAsia"/>
          <w:szCs w:val="24"/>
        </w:rPr>
        <w:t xml:space="preserve">1.3参加采购活动费用</w:t>
      </w:r>
      <w:r>
        <w:tab/>
      </w:r>
      <w:r>
        <w:fldChar w:fldCharType="begin"/>
      </w:r>
      <w:r>
        <w:instrText xml:space="preserve"> PAGEREF _Toc23266 \h </w:instrText>
      </w:r>
      <w:r>
        <w:fldChar w:fldCharType="separate"/>
      </w:r>
      <w:r>
        <w:t xml:space="preserve">9</w:t>
      </w:r>
      <w:r>
        <w:fldChar w:fldCharType="end"/>
      </w:r>
      <w:r>
        <w:fldChar w:fldCharType="end"/>
      </w:r>
      <w:r/>
    </w:p>
    <w:p>
      <w:pPr>
        <w:pStyle w:val="1156"/>
        <w:tabs>
          <w:tab w:val="right" w:pos="8300" w:leader="dot"/>
        </w:tabs>
        <w:rPr>
          <w:rFonts w:hint="eastAsia"/>
        </w:rPr>
      </w:pPr>
      <w:r>
        <w:fldChar w:fldCharType="begin"/>
      </w:r>
      <w:r>
        <w:instrText xml:space="preserve"> HYPERLINK \l "_Toc13311" </w:instrText>
      </w:r>
      <w:r>
        <w:fldChar w:fldCharType="separate"/>
      </w:r>
      <w:r>
        <w:rPr>
          <w:rFonts w:hint="eastAsia"/>
          <w:szCs w:val="24"/>
        </w:rPr>
        <w:t xml:space="preserve">1.4法律适用</w:t>
      </w:r>
      <w:r>
        <w:tab/>
      </w:r>
      <w:r>
        <w:fldChar w:fldCharType="begin"/>
      </w:r>
      <w:r>
        <w:instrText xml:space="preserve"> PAGEREF _Toc13311 \h </w:instrText>
      </w:r>
      <w:r>
        <w:fldChar w:fldCharType="separate"/>
      </w:r>
      <w:r>
        <w:t xml:space="preserve">9</w:t>
      </w:r>
      <w:r>
        <w:fldChar w:fldCharType="end"/>
      </w:r>
      <w:r>
        <w:fldChar w:fldCharType="end"/>
      </w:r>
      <w:r/>
    </w:p>
    <w:p>
      <w:pPr>
        <w:pStyle w:val="1156"/>
        <w:tabs>
          <w:tab w:val="right" w:pos="8300" w:leader="dot"/>
        </w:tabs>
        <w:rPr>
          <w:rFonts w:hint="eastAsia"/>
        </w:rPr>
      </w:pPr>
      <w:r>
        <w:fldChar w:fldCharType="begin"/>
      </w:r>
      <w:r>
        <w:instrText xml:space="preserve"> HYPERLINK \l "_Toc18968" </w:instrText>
      </w:r>
      <w:r>
        <w:fldChar w:fldCharType="separate"/>
      </w:r>
      <w:r>
        <w:rPr>
          <w:rFonts w:hint="eastAsia"/>
          <w:szCs w:val="24"/>
        </w:rPr>
        <w:t xml:space="preserve">1.5采购文件的约束力</w:t>
      </w:r>
      <w:r>
        <w:tab/>
      </w:r>
      <w:r>
        <w:fldChar w:fldCharType="begin"/>
      </w:r>
      <w:r>
        <w:instrText xml:space="preserve"> PAGEREF _Toc18968 \h </w:instrText>
      </w:r>
      <w:r>
        <w:fldChar w:fldCharType="separate"/>
      </w:r>
      <w:r>
        <w:t xml:space="preserve">9</w:t>
      </w:r>
      <w:r>
        <w:fldChar w:fldCharType="end"/>
      </w:r>
      <w:r>
        <w:fldChar w:fldCharType="end"/>
      </w:r>
      <w:r/>
    </w:p>
    <w:p>
      <w:pPr>
        <w:pStyle w:val="1168"/>
        <w:tabs>
          <w:tab w:val="right" w:pos="8300" w:leader="dot"/>
        </w:tabs>
        <w:rPr>
          <w:rFonts w:hint="eastAsia"/>
        </w:rPr>
      </w:pPr>
      <w:r>
        <w:fldChar w:fldCharType="begin"/>
      </w:r>
      <w:r>
        <w:instrText xml:space="preserve"> HYPERLINK \l "_Toc14767" </w:instrText>
      </w:r>
      <w:r>
        <w:fldChar w:fldCharType="separate"/>
      </w:r>
      <w:r>
        <w:rPr>
          <w:rFonts w:hint="eastAsia"/>
        </w:rPr>
        <w:t xml:space="preserve">二、采购文件</w:t>
      </w:r>
      <w:r>
        <w:tab/>
      </w:r>
      <w:r>
        <w:fldChar w:fldCharType="begin"/>
      </w:r>
      <w:r>
        <w:instrText xml:space="preserve"> PAGEREF _Toc14767 \h </w:instrText>
      </w:r>
      <w:r>
        <w:fldChar w:fldCharType="separate"/>
      </w:r>
      <w:r>
        <w:t xml:space="preserve">10</w:t>
      </w:r>
      <w:r>
        <w:fldChar w:fldCharType="end"/>
      </w:r>
      <w:r>
        <w:fldChar w:fldCharType="end"/>
      </w:r>
      <w:r/>
    </w:p>
    <w:p>
      <w:pPr>
        <w:pStyle w:val="1156"/>
        <w:tabs>
          <w:tab w:val="right" w:pos="8300" w:leader="dot"/>
        </w:tabs>
        <w:rPr>
          <w:rFonts w:hint="eastAsia"/>
        </w:rPr>
      </w:pPr>
      <w:r>
        <w:fldChar w:fldCharType="begin"/>
      </w:r>
      <w:r>
        <w:instrText xml:space="preserve"> HYPERLINK \l "_Toc21175" </w:instrText>
      </w:r>
      <w:r>
        <w:fldChar w:fldCharType="separate"/>
      </w:r>
      <w:r>
        <w:rPr>
          <w:rFonts w:hint="eastAsia"/>
          <w:szCs w:val="24"/>
        </w:rPr>
        <w:t xml:space="preserve">2.1采购文件的组成</w:t>
      </w:r>
      <w:r>
        <w:tab/>
      </w:r>
      <w:r>
        <w:fldChar w:fldCharType="begin"/>
      </w:r>
      <w:r>
        <w:instrText xml:space="preserve"> PAGEREF _Toc21175 \h </w:instrText>
      </w:r>
      <w:r>
        <w:fldChar w:fldCharType="separate"/>
      </w:r>
      <w:r>
        <w:t xml:space="preserve">10</w:t>
      </w:r>
      <w:r>
        <w:fldChar w:fldCharType="end"/>
      </w:r>
      <w:r>
        <w:fldChar w:fldCharType="end"/>
      </w:r>
      <w:r/>
    </w:p>
    <w:p>
      <w:pPr>
        <w:pStyle w:val="1156"/>
        <w:tabs>
          <w:tab w:val="right" w:pos="8300" w:leader="dot"/>
        </w:tabs>
        <w:rPr>
          <w:rFonts w:hint="eastAsia"/>
        </w:rPr>
      </w:pPr>
      <w:r>
        <w:fldChar w:fldCharType="begin"/>
      </w:r>
      <w:r>
        <w:instrText xml:space="preserve"> HYPERLINK \l "_Toc6117" </w:instrText>
      </w:r>
      <w:r>
        <w:fldChar w:fldCharType="separate"/>
      </w:r>
      <w:r>
        <w:rPr>
          <w:rFonts w:hint="eastAsia"/>
          <w:szCs w:val="24"/>
        </w:rPr>
        <w:t xml:space="preserve">2.2采购文件的更正或补充</w:t>
      </w:r>
      <w:r>
        <w:tab/>
      </w:r>
      <w:r>
        <w:fldChar w:fldCharType="begin"/>
      </w:r>
      <w:r>
        <w:instrText xml:space="preserve"> PAGEREF _Toc6117 \h </w:instrText>
      </w:r>
      <w:r>
        <w:fldChar w:fldCharType="separate"/>
      </w:r>
      <w:r>
        <w:t xml:space="preserve">10</w:t>
      </w:r>
      <w:r>
        <w:fldChar w:fldCharType="end"/>
      </w:r>
      <w:r>
        <w:fldChar w:fldCharType="end"/>
      </w:r>
      <w:r/>
    </w:p>
    <w:p>
      <w:pPr>
        <w:pStyle w:val="1168"/>
        <w:tabs>
          <w:tab w:val="right" w:pos="8300" w:leader="dot"/>
        </w:tabs>
        <w:rPr>
          <w:rFonts w:hint="eastAsia"/>
        </w:rPr>
      </w:pPr>
      <w:r>
        <w:fldChar w:fldCharType="begin"/>
      </w:r>
      <w:r>
        <w:instrText xml:space="preserve"> HYPERLINK \l "_Toc124" </w:instrText>
      </w:r>
      <w:r>
        <w:fldChar w:fldCharType="separate"/>
      </w:r>
      <w:r>
        <w:rPr>
          <w:rFonts w:hint="eastAsia"/>
        </w:rPr>
        <w:t xml:space="preserve">三、投标文件</w:t>
      </w:r>
      <w:r>
        <w:tab/>
      </w:r>
      <w:r>
        <w:fldChar w:fldCharType="begin"/>
      </w:r>
      <w:r>
        <w:instrText xml:space="preserve"> PAGEREF _Toc124 \h </w:instrText>
      </w:r>
      <w:r>
        <w:fldChar w:fldCharType="separate"/>
      </w:r>
      <w:r>
        <w:t xml:space="preserve">10</w:t>
      </w:r>
      <w:r>
        <w:fldChar w:fldCharType="end"/>
      </w:r>
      <w:r>
        <w:fldChar w:fldCharType="end"/>
      </w:r>
      <w:r/>
    </w:p>
    <w:p>
      <w:pPr>
        <w:pStyle w:val="1156"/>
        <w:tabs>
          <w:tab w:val="right" w:pos="8300" w:leader="dot"/>
        </w:tabs>
        <w:rPr>
          <w:rFonts w:hint="eastAsia"/>
        </w:rPr>
      </w:pPr>
      <w:r>
        <w:fldChar w:fldCharType="begin"/>
      </w:r>
      <w:r>
        <w:instrText xml:space="preserve"> HYPERLINK \l "_Toc9096" </w:instrText>
      </w:r>
      <w:r>
        <w:fldChar w:fldCharType="separate"/>
      </w:r>
      <w:r>
        <w:rPr>
          <w:rFonts w:hint="eastAsia"/>
          <w:szCs w:val="24"/>
        </w:rPr>
        <w:t xml:space="preserve">3.1投标文件的语言及度量衡</w:t>
      </w:r>
      <w:r>
        <w:tab/>
      </w:r>
      <w:r>
        <w:fldChar w:fldCharType="begin"/>
      </w:r>
      <w:r>
        <w:instrText xml:space="preserve"> PAGEREF _Toc9096 \h </w:instrText>
      </w:r>
      <w:r>
        <w:fldChar w:fldCharType="separate"/>
      </w:r>
      <w:r>
        <w:t xml:space="preserve">10</w:t>
      </w:r>
      <w:r>
        <w:fldChar w:fldCharType="end"/>
      </w:r>
      <w:r>
        <w:fldChar w:fldCharType="end"/>
      </w:r>
      <w:r/>
    </w:p>
    <w:p>
      <w:pPr>
        <w:pStyle w:val="1156"/>
        <w:tabs>
          <w:tab w:val="right" w:pos="8300" w:leader="dot"/>
        </w:tabs>
        <w:rPr>
          <w:rFonts w:hint="eastAsia"/>
        </w:rPr>
      </w:pPr>
      <w:r>
        <w:fldChar w:fldCharType="begin"/>
      </w:r>
      <w:r>
        <w:instrText xml:space="preserve"> HYPERLINK \l "_Toc21598" </w:instrText>
      </w:r>
      <w:r>
        <w:fldChar w:fldCharType="separate"/>
      </w:r>
      <w:r>
        <w:rPr>
          <w:rFonts w:hint="eastAsia"/>
          <w:szCs w:val="24"/>
        </w:rPr>
        <w:t xml:space="preserve">3.2投标文件的组成</w:t>
      </w:r>
      <w:r>
        <w:tab/>
      </w:r>
      <w:r>
        <w:fldChar w:fldCharType="begin"/>
      </w:r>
      <w:r>
        <w:instrText xml:space="preserve"> PAGEREF _Toc21598 \h </w:instrText>
      </w:r>
      <w:r>
        <w:fldChar w:fldCharType="separate"/>
      </w:r>
      <w:r>
        <w:t xml:space="preserve">11</w:t>
      </w:r>
      <w:r>
        <w:fldChar w:fldCharType="end"/>
      </w:r>
      <w:r>
        <w:fldChar w:fldCharType="end"/>
      </w:r>
      <w:r/>
    </w:p>
    <w:p>
      <w:pPr>
        <w:pStyle w:val="1156"/>
        <w:tabs>
          <w:tab w:val="right" w:pos="8300" w:leader="dot"/>
        </w:tabs>
        <w:rPr>
          <w:rFonts w:hint="eastAsia"/>
        </w:rPr>
      </w:pPr>
      <w:r>
        <w:fldChar w:fldCharType="begin"/>
      </w:r>
      <w:r>
        <w:instrText xml:space="preserve"> HYPERLINK \l "_Toc8856" </w:instrText>
      </w:r>
      <w:r>
        <w:fldChar w:fldCharType="separate"/>
      </w:r>
      <w:r>
        <w:rPr>
          <w:rFonts w:hint="eastAsia"/>
          <w:szCs w:val="24"/>
        </w:rPr>
        <w:t xml:space="preserve">3.3投标报价</w:t>
      </w:r>
      <w:r>
        <w:tab/>
      </w:r>
      <w:r>
        <w:fldChar w:fldCharType="begin"/>
      </w:r>
      <w:r>
        <w:instrText xml:space="preserve"> PAGEREF _Toc8856 \h </w:instrText>
      </w:r>
      <w:r>
        <w:fldChar w:fldCharType="separate"/>
      </w:r>
      <w:r>
        <w:t xml:space="preserve">11</w:t>
      </w:r>
      <w:r>
        <w:fldChar w:fldCharType="end"/>
      </w:r>
      <w:r>
        <w:fldChar w:fldCharType="end"/>
      </w:r>
      <w:r/>
    </w:p>
    <w:p>
      <w:pPr>
        <w:pStyle w:val="1156"/>
        <w:tabs>
          <w:tab w:val="right" w:pos="8300" w:leader="dot"/>
        </w:tabs>
        <w:rPr>
          <w:rFonts w:hint="eastAsia"/>
        </w:rPr>
      </w:pPr>
      <w:r>
        <w:fldChar w:fldCharType="begin"/>
      </w:r>
      <w:r>
        <w:instrText xml:space="preserve"> HYPERLINK \l "_Toc18854" </w:instrText>
      </w:r>
      <w:r>
        <w:fldChar w:fldCharType="separate"/>
      </w:r>
      <w:r>
        <w:rPr>
          <w:rFonts w:hint="eastAsia"/>
          <w:szCs w:val="24"/>
        </w:rPr>
        <w:t xml:space="preserve">3.4投标报价中的货币</w:t>
      </w:r>
      <w:r>
        <w:tab/>
      </w:r>
      <w:r>
        <w:fldChar w:fldCharType="begin"/>
      </w:r>
      <w:r>
        <w:instrText xml:space="preserve"> PAGEREF _Toc18854 \h </w:instrText>
      </w:r>
      <w:r>
        <w:fldChar w:fldCharType="separate"/>
      </w:r>
      <w:r>
        <w:t xml:space="preserve">11</w:t>
      </w:r>
      <w:r>
        <w:fldChar w:fldCharType="end"/>
      </w:r>
      <w:r>
        <w:fldChar w:fldCharType="end"/>
      </w:r>
      <w:r/>
    </w:p>
    <w:p>
      <w:pPr>
        <w:pStyle w:val="1156"/>
        <w:tabs>
          <w:tab w:val="right" w:pos="8300" w:leader="dot"/>
        </w:tabs>
        <w:rPr>
          <w:rFonts w:hint="eastAsia"/>
        </w:rPr>
      </w:pPr>
      <w:r>
        <w:fldChar w:fldCharType="begin"/>
      </w:r>
      <w:r>
        <w:instrText xml:space="preserve"> HYPERLINK \l "_Toc17274" </w:instrText>
      </w:r>
      <w:r>
        <w:fldChar w:fldCharType="separate"/>
      </w:r>
      <w:r>
        <w:rPr>
          <w:rFonts w:hint="eastAsia"/>
          <w:szCs w:val="24"/>
        </w:rPr>
        <w:t xml:space="preserve">3.5投标保证金：无</w:t>
      </w:r>
      <w:r>
        <w:tab/>
      </w:r>
      <w:r>
        <w:fldChar w:fldCharType="begin"/>
      </w:r>
      <w:r>
        <w:instrText xml:space="preserve"> PAGEREF _Toc17274 \h </w:instrText>
      </w:r>
      <w:r>
        <w:fldChar w:fldCharType="separate"/>
      </w:r>
      <w:r>
        <w:t xml:space="preserve">11</w:t>
      </w:r>
      <w:r>
        <w:fldChar w:fldCharType="end"/>
      </w:r>
      <w:r>
        <w:fldChar w:fldCharType="end"/>
      </w:r>
      <w:r/>
    </w:p>
    <w:p>
      <w:pPr>
        <w:pStyle w:val="1156"/>
        <w:tabs>
          <w:tab w:val="right" w:pos="8300" w:leader="dot"/>
        </w:tabs>
        <w:rPr>
          <w:rFonts w:hint="eastAsia"/>
        </w:rPr>
      </w:pPr>
      <w:r>
        <w:fldChar w:fldCharType="begin"/>
      </w:r>
      <w:r>
        <w:instrText xml:space="preserve"> HYPERLINK \l "_Toc23668" </w:instrText>
      </w:r>
      <w:r>
        <w:fldChar w:fldCharType="separate"/>
      </w:r>
      <w:r>
        <w:rPr>
          <w:rFonts w:hint="eastAsia"/>
          <w:szCs w:val="24"/>
        </w:rPr>
        <w:t xml:space="preserve">3.6投标有效期</w:t>
      </w:r>
      <w:r>
        <w:tab/>
      </w:r>
      <w:r>
        <w:fldChar w:fldCharType="begin"/>
      </w:r>
      <w:r>
        <w:instrText xml:space="preserve"> PAGEREF _Toc23668 \h </w:instrText>
      </w:r>
      <w:r>
        <w:fldChar w:fldCharType="separate"/>
      </w:r>
      <w:r>
        <w:t xml:space="preserve">11</w:t>
      </w:r>
      <w:r>
        <w:fldChar w:fldCharType="end"/>
      </w:r>
      <w:r>
        <w:fldChar w:fldCharType="end"/>
      </w:r>
      <w:r/>
    </w:p>
    <w:p>
      <w:pPr>
        <w:pStyle w:val="1156"/>
        <w:tabs>
          <w:tab w:val="right" w:pos="8300" w:leader="dot"/>
        </w:tabs>
        <w:rPr>
          <w:rFonts w:hint="eastAsia"/>
        </w:rPr>
      </w:pPr>
      <w:r>
        <w:fldChar w:fldCharType="begin"/>
      </w:r>
      <w:r>
        <w:instrText xml:space="preserve"> HYPERLINK \l "_Toc17365" </w:instrText>
      </w:r>
      <w:r>
        <w:fldChar w:fldCharType="separate"/>
      </w:r>
      <w:r>
        <w:rPr>
          <w:rFonts w:hint="eastAsia"/>
          <w:szCs w:val="24"/>
        </w:rPr>
        <w:t xml:space="preserve">3.7投标文件的签署、形式及装订</w:t>
      </w:r>
      <w:r>
        <w:tab/>
      </w:r>
      <w:r>
        <w:fldChar w:fldCharType="begin"/>
      </w:r>
      <w:r>
        <w:instrText xml:space="preserve"> PAGEREF _Toc17365 \h </w:instrText>
      </w:r>
      <w:r>
        <w:fldChar w:fldCharType="separate"/>
      </w:r>
      <w:r>
        <w:t xml:space="preserve">11</w:t>
      </w:r>
      <w:r>
        <w:fldChar w:fldCharType="end"/>
      </w:r>
      <w:r>
        <w:fldChar w:fldCharType="end"/>
      </w:r>
      <w:r/>
    </w:p>
    <w:p>
      <w:pPr>
        <w:pStyle w:val="1168"/>
        <w:tabs>
          <w:tab w:val="right" w:pos="8300" w:leader="dot"/>
        </w:tabs>
        <w:rPr>
          <w:rFonts w:hint="eastAsia"/>
        </w:rPr>
      </w:pPr>
      <w:r>
        <w:fldChar w:fldCharType="begin"/>
      </w:r>
      <w:r>
        <w:instrText xml:space="preserve"> HYPERLINK \l "_Toc26037" </w:instrText>
      </w:r>
      <w:r>
        <w:fldChar w:fldCharType="separate"/>
      </w:r>
      <w:r>
        <w:rPr>
          <w:rFonts w:hint="eastAsia"/>
        </w:rPr>
        <w:t xml:space="preserve">四、投标文件的递交</w:t>
      </w:r>
      <w:r>
        <w:tab/>
      </w:r>
      <w:r>
        <w:fldChar w:fldCharType="begin"/>
      </w:r>
      <w:r>
        <w:instrText xml:space="preserve"> PAGEREF _Toc26037 \h </w:instrText>
      </w:r>
      <w:r>
        <w:fldChar w:fldCharType="separate"/>
      </w:r>
      <w:r>
        <w:t xml:space="preserve">12</w:t>
      </w:r>
      <w:r>
        <w:fldChar w:fldCharType="end"/>
      </w:r>
      <w:r>
        <w:fldChar w:fldCharType="end"/>
      </w:r>
      <w:r/>
    </w:p>
    <w:p>
      <w:pPr>
        <w:pStyle w:val="1156"/>
        <w:tabs>
          <w:tab w:val="right" w:pos="8300" w:leader="dot"/>
        </w:tabs>
        <w:rPr>
          <w:rFonts w:hint="eastAsia"/>
        </w:rPr>
      </w:pPr>
      <w:r>
        <w:fldChar w:fldCharType="begin"/>
      </w:r>
      <w:r>
        <w:instrText xml:space="preserve"> HYPERLINK \l "_Toc27453" </w:instrText>
      </w:r>
      <w:r>
        <w:fldChar w:fldCharType="separate"/>
      </w:r>
      <w:r>
        <w:rPr>
          <w:rFonts w:hint="eastAsia"/>
          <w:szCs w:val="21"/>
        </w:rPr>
        <w:t xml:space="preserve">4.2有下列情形的投标文件将被拒收</w:t>
      </w:r>
      <w:r>
        <w:tab/>
      </w:r>
      <w:r>
        <w:fldChar w:fldCharType="begin"/>
      </w:r>
      <w:r>
        <w:instrText xml:space="preserve"> PAGEREF _Toc27453 \h </w:instrText>
      </w:r>
      <w:r>
        <w:fldChar w:fldCharType="separate"/>
      </w:r>
      <w:r>
        <w:t xml:space="preserve">12</w:t>
      </w:r>
      <w:r>
        <w:fldChar w:fldCharType="end"/>
      </w:r>
      <w:r>
        <w:fldChar w:fldCharType="end"/>
      </w:r>
      <w:r/>
    </w:p>
    <w:p>
      <w:pPr>
        <w:pStyle w:val="1156"/>
        <w:tabs>
          <w:tab w:val="right" w:pos="8300" w:leader="dot"/>
        </w:tabs>
        <w:rPr>
          <w:rFonts w:hint="eastAsia"/>
        </w:rPr>
      </w:pPr>
      <w:r>
        <w:fldChar w:fldCharType="begin"/>
      </w:r>
      <w:r>
        <w:instrText xml:space="preserve"> HYPERLINK \l "_Toc32671" </w:instrText>
      </w:r>
      <w:r>
        <w:fldChar w:fldCharType="separate"/>
      </w:r>
      <w:r>
        <w:rPr>
          <w:rFonts w:hint="eastAsia"/>
          <w:szCs w:val="21"/>
        </w:rPr>
        <w:t xml:space="preserve">4.2.1投标人未按照《操作手册》规定，在“苏采云”系统规定的时间内对投标文件进行解密的。</w:t>
      </w:r>
      <w:r>
        <w:tab/>
      </w:r>
      <w:r>
        <w:fldChar w:fldCharType="begin"/>
      </w:r>
      <w:r>
        <w:instrText xml:space="preserve"> PAGEREF _Toc32671 \h </w:instrText>
      </w:r>
      <w:r>
        <w:fldChar w:fldCharType="separate"/>
      </w:r>
      <w:r>
        <w:t xml:space="preserve">12</w:t>
      </w:r>
      <w:r>
        <w:fldChar w:fldCharType="end"/>
      </w:r>
      <w:r>
        <w:fldChar w:fldCharType="end"/>
      </w:r>
      <w:r/>
    </w:p>
    <w:p>
      <w:pPr>
        <w:pStyle w:val="1156"/>
        <w:tabs>
          <w:tab w:val="right" w:pos="8300" w:leader="dot"/>
        </w:tabs>
        <w:rPr>
          <w:rFonts w:hint="eastAsia"/>
        </w:rPr>
      </w:pPr>
      <w:r>
        <w:fldChar w:fldCharType="begin"/>
      </w:r>
      <w:r>
        <w:instrText xml:space="preserve"> HYPERLINK \l "_Toc24630" </w:instrText>
      </w:r>
      <w:r>
        <w:fldChar w:fldCharType="separate"/>
      </w:r>
      <w:r>
        <w:rPr>
          <w:rFonts w:hint="eastAsia"/>
          <w:szCs w:val="21"/>
        </w:rPr>
        <w:t xml:space="preserve">4.2.2投标人应充分考虑网络环境、网络带宽等因素可能对投标产生的影响，如因投标人自身原因造成的电子投标文件解密不成功的，做无效投标处理,</w:t>
      </w:r>
      <w:r>
        <w:rPr>
          <w:szCs w:val="21"/>
          <w:shd w:val="clear" w:color="auto" w:fill="ffffff"/>
        </w:rPr>
        <w:t xml:space="preserve">但因系统故障导致投标人无法在</w:t>
      </w:r>
      <w:r>
        <w:rPr>
          <w:rFonts w:hint="eastAsia"/>
          <w:bCs/>
          <w:szCs w:val="21"/>
        </w:rPr>
        <w:t xml:space="preserve">“苏采云”系统规定的时间</w:t>
      </w:r>
      <w:r>
        <w:rPr>
          <w:szCs w:val="21"/>
          <w:shd w:val="clear" w:color="auto" w:fill="ffffff"/>
        </w:rPr>
        <w:t xml:space="preserve">内完成签到或解密的情况除外。</w:t>
      </w:r>
      <w:r>
        <w:tab/>
      </w:r>
      <w:r>
        <w:fldChar w:fldCharType="begin"/>
      </w:r>
      <w:r>
        <w:instrText xml:space="preserve"> PAGEREF _Toc24630 \h </w:instrText>
      </w:r>
      <w:r>
        <w:fldChar w:fldCharType="separate"/>
      </w:r>
      <w:r>
        <w:t xml:space="preserve">12</w:t>
      </w:r>
      <w:r>
        <w:fldChar w:fldCharType="end"/>
      </w:r>
      <w:r>
        <w:fldChar w:fldCharType="end"/>
      </w:r>
      <w:r/>
    </w:p>
    <w:p>
      <w:pPr>
        <w:pStyle w:val="1156"/>
        <w:tabs>
          <w:tab w:val="right" w:pos="8300" w:leader="dot"/>
        </w:tabs>
        <w:rPr>
          <w:rFonts w:hint="eastAsia"/>
        </w:rPr>
      </w:pPr>
      <w:r>
        <w:fldChar w:fldCharType="begin"/>
      </w:r>
      <w:r>
        <w:instrText xml:space="preserve"> HYPERLINK \l "_Toc32554" </w:instrText>
      </w:r>
      <w:r>
        <w:fldChar w:fldCharType="separate"/>
      </w:r>
      <w:r>
        <w:rPr>
          <w:rFonts w:hint="eastAsia"/>
          <w:szCs w:val="21"/>
        </w:rPr>
        <w:t xml:space="preserve">4.3 投标截止时间</w:t>
      </w:r>
      <w:r>
        <w:tab/>
      </w:r>
      <w:r>
        <w:fldChar w:fldCharType="begin"/>
      </w:r>
      <w:r>
        <w:instrText xml:space="preserve"> PAGEREF _Toc32554 \h </w:instrText>
      </w:r>
      <w:r>
        <w:fldChar w:fldCharType="separate"/>
      </w:r>
      <w:r>
        <w:t xml:space="preserve">12</w:t>
      </w:r>
      <w:r>
        <w:fldChar w:fldCharType="end"/>
      </w:r>
      <w:r>
        <w:fldChar w:fldCharType="end"/>
      </w:r>
      <w:r/>
    </w:p>
    <w:p>
      <w:pPr>
        <w:pStyle w:val="1156"/>
        <w:tabs>
          <w:tab w:val="right" w:pos="8300" w:leader="dot"/>
        </w:tabs>
        <w:rPr>
          <w:rFonts w:hint="eastAsia"/>
        </w:rPr>
      </w:pPr>
      <w:r>
        <w:fldChar w:fldCharType="begin"/>
      </w:r>
      <w:r>
        <w:instrText xml:space="preserve"> HYPERLINK \l "_Toc21081" </w:instrText>
      </w:r>
      <w:r>
        <w:fldChar w:fldCharType="separate"/>
      </w:r>
      <w:r>
        <w:rPr>
          <w:rFonts w:hint="eastAsia"/>
          <w:szCs w:val="21"/>
        </w:rPr>
        <w:t xml:space="preserve">4.4 投标文件的修改和撤回</w:t>
      </w:r>
      <w:r>
        <w:tab/>
      </w:r>
      <w:r>
        <w:fldChar w:fldCharType="begin"/>
      </w:r>
      <w:r>
        <w:instrText xml:space="preserve"> PAGEREF _Toc21081 \h </w:instrText>
      </w:r>
      <w:r>
        <w:fldChar w:fldCharType="separate"/>
      </w:r>
      <w:r>
        <w:t xml:space="preserve">12</w:t>
      </w:r>
      <w:r>
        <w:fldChar w:fldCharType="end"/>
      </w:r>
      <w:r>
        <w:fldChar w:fldCharType="end"/>
      </w:r>
      <w:r/>
    </w:p>
    <w:p>
      <w:pPr>
        <w:pStyle w:val="1168"/>
        <w:tabs>
          <w:tab w:val="right" w:pos="8300" w:leader="dot"/>
        </w:tabs>
        <w:rPr>
          <w:rFonts w:hint="eastAsia"/>
        </w:rPr>
      </w:pPr>
      <w:r>
        <w:fldChar w:fldCharType="begin"/>
      </w:r>
      <w:r>
        <w:instrText xml:space="preserve"> HYPERLINK \l "_Toc12823" </w:instrText>
      </w:r>
      <w:r>
        <w:fldChar w:fldCharType="separate"/>
      </w:r>
      <w:r>
        <w:rPr>
          <w:rFonts w:hint="eastAsia"/>
          <w:bCs/>
          <w:szCs w:val="32"/>
        </w:rPr>
        <w:t xml:space="preserve">五、开标与评标</w:t>
      </w:r>
      <w:r>
        <w:tab/>
      </w:r>
      <w:r>
        <w:fldChar w:fldCharType="begin"/>
      </w:r>
      <w:r>
        <w:instrText xml:space="preserve"> PAGEREF _Toc12823 \h </w:instrText>
      </w:r>
      <w:r>
        <w:fldChar w:fldCharType="separate"/>
      </w:r>
      <w:r>
        <w:t xml:space="preserve">13</w:t>
      </w:r>
      <w:r>
        <w:fldChar w:fldCharType="end"/>
      </w:r>
      <w:r>
        <w:fldChar w:fldCharType="end"/>
      </w:r>
      <w:r/>
    </w:p>
    <w:p>
      <w:pPr>
        <w:pStyle w:val="1156"/>
        <w:tabs>
          <w:tab w:val="right" w:pos="8300" w:leader="dot"/>
        </w:tabs>
        <w:rPr>
          <w:rFonts w:hint="eastAsia"/>
        </w:rPr>
      </w:pPr>
      <w:r>
        <w:fldChar w:fldCharType="begin"/>
      </w:r>
      <w:r>
        <w:instrText xml:space="preserve"> HYPERLINK \l "_Toc2726" </w:instrText>
      </w:r>
      <w:r>
        <w:fldChar w:fldCharType="separate"/>
      </w:r>
      <w:r>
        <w:rPr>
          <w:rFonts w:hint="eastAsia"/>
          <w:szCs w:val="21"/>
        </w:rPr>
        <w:t xml:space="preserve">5.1 投标文件启封</w:t>
      </w:r>
      <w:r>
        <w:tab/>
      </w:r>
      <w:r>
        <w:fldChar w:fldCharType="begin"/>
      </w:r>
      <w:r>
        <w:instrText xml:space="preserve"> PAGEREF _Toc2726 \h </w:instrText>
      </w:r>
      <w:r>
        <w:fldChar w:fldCharType="separate"/>
      </w:r>
      <w:r>
        <w:t xml:space="preserve">13</w:t>
      </w:r>
      <w:r>
        <w:fldChar w:fldCharType="end"/>
      </w:r>
      <w:r>
        <w:fldChar w:fldCharType="end"/>
      </w:r>
      <w:r/>
    </w:p>
    <w:p>
      <w:pPr>
        <w:pStyle w:val="1156"/>
        <w:tabs>
          <w:tab w:val="right" w:pos="8300" w:leader="dot"/>
        </w:tabs>
        <w:rPr>
          <w:rFonts w:hint="eastAsia"/>
        </w:rPr>
      </w:pPr>
      <w:r>
        <w:fldChar w:fldCharType="begin"/>
      </w:r>
      <w:r>
        <w:instrText xml:space="preserve"> HYPERLINK \l "_Toc20113" </w:instrText>
      </w:r>
      <w:r>
        <w:fldChar w:fldCharType="separate"/>
      </w:r>
      <w:r>
        <w:rPr>
          <w:rFonts w:hint="eastAsia"/>
          <w:szCs w:val="21"/>
        </w:rPr>
        <w:t xml:space="preserve">5.2 评标委员会</w:t>
      </w:r>
      <w:r>
        <w:tab/>
      </w:r>
      <w:r>
        <w:fldChar w:fldCharType="begin"/>
      </w:r>
      <w:r>
        <w:instrText xml:space="preserve"> PAGEREF _Toc20113 \h </w:instrText>
      </w:r>
      <w:r>
        <w:fldChar w:fldCharType="separate"/>
      </w:r>
      <w:r>
        <w:t xml:space="preserve">13</w:t>
      </w:r>
      <w:r>
        <w:fldChar w:fldCharType="end"/>
      </w:r>
      <w:r>
        <w:fldChar w:fldCharType="end"/>
      </w:r>
      <w:r/>
    </w:p>
    <w:p>
      <w:pPr>
        <w:pStyle w:val="1156"/>
        <w:tabs>
          <w:tab w:val="right" w:pos="8300" w:leader="dot"/>
        </w:tabs>
        <w:rPr>
          <w:rFonts w:hint="eastAsia"/>
        </w:rPr>
      </w:pPr>
      <w:r>
        <w:fldChar w:fldCharType="begin"/>
      </w:r>
      <w:r>
        <w:instrText xml:space="preserve"> HYPERLINK \l "_Toc15164" </w:instrText>
      </w:r>
      <w:r>
        <w:fldChar w:fldCharType="separate"/>
      </w:r>
      <w:r>
        <w:rPr>
          <w:rFonts w:hint="eastAsia"/>
          <w:szCs w:val="21"/>
        </w:rPr>
        <w:t xml:space="preserve">5.3 对投标文件的资格性审查和符合性审查</w:t>
      </w:r>
      <w:r>
        <w:tab/>
      </w:r>
      <w:r>
        <w:fldChar w:fldCharType="begin"/>
      </w:r>
      <w:r>
        <w:instrText xml:space="preserve"> PAGEREF _Toc15164 \h </w:instrText>
      </w:r>
      <w:r>
        <w:fldChar w:fldCharType="separate"/>
      </w:r>
      <w:r>
        <w:t xml:space="preserve">13</w:t>
      </w:r>
      <w:r>
        <w:fldChar w:fldCharType="end"/>
      </w:r>
      <w:r>
        <w:fldChar w:fldCharType="end"/>
      </w:r>
      <w:r/>
    </w:p>
    <w:p>
      <w:pPr>
        <w:pStyle w:val="1156"/>
        <w:tabs>
          <w:tab w:val="right" w:pos="8300" w:leader="dot"/>
        </w:tabs>
        <w:rPr>
          <w:rFonts w:hint="eastAsia"/>
        </w:rPr>
      </w:pPr>
      <w:r>
        <w:fldChar w:fldCharType="begin"/>
      </w:r>
      <w:r>
        <w:instrText xml:space="preserve"> HYPERLINK \l "_Toc10342" </w:instrText>
      </w:r>
      <w:r>
        <w:fldChar w:fldCharType="separate"/>
      </w:r>
      <w:r>
        <w:rPr>
          <w:rFonts w:hint="eastAsia"/>
          <w:szCs w:val="24"/>
        </w:rPr>
        <w:t xml:space="preserve">5.4投标文件的澄清</w:t>
      </w:r>
      <w:r>
        <w:tab/>
      </w:r>
      <w:r>
        <w:fldChar w:fldCharType="begin"/>
      </w:r>
      <w:r>
        <w:instrText xml:space="preserve"> PAGEREF _Toc10342 \h </w:instrText>
      </w:r>
      <w:r>
        <w:fldChar w:fldCharType="separate"/>
      </w:r>
      <w:r>
        <w:t xml:space="preserve">14</w:t>
      </w:r>
      <w:r>
        <w:fldChar w:fldCharType="end"/>
      </w:r>
      <w:r>
        <w:fldChar w:fldCharType="end"/>
      </w:r>
      <w:r/>
    </w:p>
    <w:p>
      <w:pPr>
        <w:pStyle w:val="1156"/>
        <w:tabs>
          <w:tab w:val="right" w:pos="8300" w:leader="dot"/>
        </w:tabs>
        <w:rPr>
          <w:rFonts w:hint="eastAsia"/>
        </w:rPr>
      </w:pPr>
      <w:r>
        <w:fldChar w:fldCharType="begin"/>
      </w:r>
      <w:r>
        <w:instrText xml:space="preserve"> HYPERLINK \l "_Toc29208" </w:instrText>
      </w:r>
      <w:r>
        <w:fldChar w:fldCharType="separate"/>
      </w:r>
      <w:r>
        <w:rPr>
          <w:rFonts w:hint="eastAsia"/>
          <w:szCs w:val="24"/>
        </w:rPr>
        <w:t xml:space="preserve">5.5评标及中标</w:t>
      </w:r>
      <w:r>
        <w:tab/>
      </w:r>
      <w:r>
        <w:fldChar w:fldCharType="begin"/>
      </w:r>
      <w:r>
        <w:instrText xml:space="preserve"> PAGEREF _Toc29208 \h </w:instrText>
      </w:r>
      <w:r>
        <w:fldChar w:fldCharType="separate"/>
      </w:r>
      <w:r>
        <w:t xml:space="preserve">14</w:t>
      </w:r>
      <w:r>
        <w:fldChar w:fldCharType="end"/>
      </w:r>
      <w:r>
        <w:fldChar w:fldCharType="end"/>
      </w:r>
      <w:r/>
    </w:p>
    <w:p>
      <w:pPr>
        <w:pStyle w:val="1156"/>
        <w:tabs>
          <w:tab w:val="right" w:pos="8300" w:leader="dot"/>
        </w:tabs>
        <w:rPr>
          <w:rFonts w:hint="eastAsia"/>
        </w:rPr>
      </w:pPr>
      <w:r>
        <w:fldChar w:fldCharType="begin"/>
      </w:r>
      <w:r>
        <w:instrText xml:space="preserve"> HYPERLINK \l "_Toc8548" </w:instrText>
      </w:r>
      <w:r>
        <w:fldChar w:fldCharType="separate"/>
      </w:r>
      <w:r>
        <w:rPr>
          <w:rFonts w:hint="eastAsia"/>
          <w:szCs w:val="24"/>
        </w:rPr>
        <w:t xml:space="preserve">5.6评标过程保密</w:t>
      </w:r>
      <w:r>
        <w:tab/>
      </w:r>
      <w:r>
        <w:fldChar w:fldCharType="begin"/>
      </w:r>
      <w:r>
        <w:instrText xml:space="preserve"> PAGEREF _Toc8548 \h </w:instrText>
      </w:r>
      <w:r>
        <w:fldChar w:fldCharType="separate"/>
      </w:r>
      <w:r>
        <w:t xml:space="preserve">14</w:t>
      </w:r>
      <w:r>
        <w:fldChar w:fldCharType="end"/>
      </w:r>
      <w:r>
        <w:fldChar w:fldCharType="end"/>
      </w:r>
      <w:r/>
    </w:p>
    <w:p>
      <w:pPr>
        <w:pStyle w:val="1156"/>
        <w:tabs>
          <w:tab w:val="right" w:pos="8300" w:leader="dot"/>
        </w:tabs>
        <w:rPr>
          <w:rFonts w:hint="eastAsia"/>
        </w:rPr>
      </w:pPr>
      <w:r>
        <w:fldChar w:fldCharType="begin"/>
      </w:r>
      <w:r>
        <w:instrText xml:space="preserve"> HYPERLINK \l "_Toc28298" </w:instrText>
      </w:r>
      <w:r>
        <w:fldChar w:fldCharType="separate"/>
      </w:r>
      <w:r>
        <w:rPr>
          <w:rFonts w:hint="eastAsia"/>
          <w:szCs w:val="24"/>
        </w:rPr>
        <w:t xml:space="preserve">5.7投标截止时间结束后参加供应商不足三家情况的处理</w:t>
      </w:r>
      <w:r>
        <w:tab/>
      </w:r>
      <w:r>
        <w:fldChar w:fldCharType="begin"/>
      </w:r>
      <w:r>
        <w:instrText xml:space="preserve"> PAGEREF _Toc28298 \h </w:instrText>
      </w:r>
      <w:r>
        <w:fldChar w:fldCharType="separate"/>
      </w:r>
      <w:r>
        <w:t xml:space="preserve">14</w:t>
      </w:r>
      <w:r>
        <w:fldChar w:fldCharType="end"/>
      </w:r>
      <w:r>
        <w:fldChar w:fldCharType="end"/>
      </w:r>
      <w:r/>
    </w:p>
    <w:p>
      <w:pPr>
        <w:pStyle w:val="1156"/>
        <w:tabs>
          <w:tab w:val="right" w:pos="8300" w:leader="dot"/>
        </w:tabs>
        <w:rPr>
          <w:rFonts w:hint="eastAsia"/>
        </w:rPr>
      </w:pPr>
      <w:r>
        <w:fldChar w:fldCharType="begin"/>
      </w:r>
      <w:r>
        <w:instrText xml:space="preserve"> HYPERLINK \l "_Toc13676" </w:instrText>
      </w:r>
      <w:r>
        <w:fldChar w:fldCharType="separate"/>
      </w:r>
      <w:r>
        <w:rPr>
          <w:rFonts w:hint="eastAsia"/>
          <w:szCs w:val="24"/>
        </w:rPr>
        <w:t xml:space="preserve">5.8废标（终止采购活动）</w:t>
      </w:r>
      <w:r>
        <w:tab/>
      </w:r>
      <w:r>
        <w:fldChar w:fldCharType="begin"/>
      </w:r>
      <w:r>
        <w:instrText xml:space="preserve"> PAGEREF _Toc13676 \h </w:instrText>
      </w:r>
      <w:r>
        <w:fldChar w:fldCharType="separate"/>
      </w:r>
      <w:r>
        <w:t xml:space="preserve">15</w:t>
      </w:r>
      <w:r>
        <w:fldChar w:fldCharType="end"/>
      </w:r>
      <w:r>
        <w:fldChar w:fldCharType="end"/>
      </w:r>
      <w:r/>
    </w:p>
    <w:p>
      <w:pPr>
        <w:pStyle w:val="1156"/>
        <w:tabs>
          <w:tab w:val="right" w:pos="8300" w:leader="dot"/>
        </w:tabs>
        <w:rPr>
          <w:rFonts w:hint="eastAsia"/>
        </w:rPr>
      </w:pPr>
      <w:r>
        <w:fldChar w:fldCharType="begin"/>
      </w:r>
      <w:r>
        <w:instrText xml:space="preserve"> HYPERLINK \l "_Toc22393" </w:instrText>
      </w:r>
      <w:r>
        <w:fldChar w:fldCharType="separate"/>
      </w:r>
      <w:r>
        <w:rPr>
          <w:rFonts w:hint="eastAsia"/>
          <w:szCs w:val="24"/>
        </w:rPr>
        <w:t xml:space="preserve">5.9有下列情形之一的，视为投标供应商串通投标，其投标无效：</w:t>
      </w:r>
      <w:r>
        <w:tab/>
      </w:r>
      <w:r>
        <w:fldChar w:fldCharType="begin"/>
      </w:r>
      <w:r>
        <w:instrText xml:space="preserve"> PAGEREF _Toc22393 \h </w:instrText>
      </w:r>
      <w:r>
        <w:fldChar w:fldCharType="separate"/>
      </w:r>
      <w:r>
        <w:t xml:space="preserve">15</w:t>
      </w:r>
      <w:r>
        <w:fldChar w:fldCharType="end"/>
      </w:r>
      <w:r>
        <w:fldChar w:fldCharType="end"/>
      </w:r>
      <w:r/>
    </w:p>
    <w:p>
      <w:pPr>
        <w:pStyle w:val="1168"/>
        <w:tabs>
          <w:tab w:val="right" w:pos="8300" w:leader="dot"/>
        </w:tabs>
        <w:rPr>
          <w:rFonts w:hint="eastAsia"/>
        </w:rPr>
      </w:pPr>
      <w:r>
        <w:fldChar w:fldCharType="begin"/>
      </w:r>
      <w:r>
        <w:instrText xml:space="preserve"> HYPERLINK \l "_Toc18476" </w:instrText>
      </w:r>
      <w:r>
        <w:fldChar w:fldCharType="separate"/>
      </w:r>
      <w:r>
        <w:rPr>
          <w:rFonts w:hint="eastAsia"/>
        </w:rPr>
        <w:t xml:space="preserve">六、合同授予及签订</w:t>
      </w:r>
      <w:r>
        <w:tab/>
      </w:r>
      <w:r>
        <w:fldChar w:fldCharType="begin"/>
      </w:r>
      <w:r>
        <w:instrText xml:space="preserve"> PAGEREF _Toc18476 \h </w:instrText>
      </w:r>
      <w:r>
        <w:fldChar w:fldCharType="separate"/>
      </w:r>
      <w:r>
        <w:t xml:space="preserve">15</w:t>
      </w:r>
      <w:r>
        <w:fldChar w:fldCharType="end"/>
      </w:r>
      <w:r>
        <w:fldChar w:fldCharType="end"/>
      </w:r>
      <w:r/>
    </w:p>
    <w:p>
      <w:pPr>
        <w:pStyle w:val="1156"/>
        <w:tabs>
          <w:tab w:val="right" w:pos="8300" w:leader="dot"/>
        </w:tabs>
        <w:rPr>
          <w:rFonts w:hint="eastAsia"/>
        </w:rPr>
      </w:pPr>
      <w:r>
        <w:fldChar w:fldCharType="begin"/>
      </w:r>
      <w:r>
        <w:instrText xml:space="preserve"> HYPERLINK \l "_Toc180" </w:instrText>
      </w:r>
      <w:r>
        <w:fldChar w:fldCharType="separate"/>
      </w:r>
      <w:r>
        <w:rPr>
          <w:rFonts w:hint="eastAsia"/>
          <w:szCs w:val="24"/>
        </w:rPr>
        <w:t xml:space="preserve">6.1确定中标、成交供应商</w:t>
      </w:r>
      <w:r>
        <w:tab/>
      </w:r>
      <w:r>
        <w:fldChar w:fldCharType="begin"/>
      </w:r>
      <w:r>
        <w:instrText xml:space="preserve"> PAGEREF _Toc180 \h </w:instrText>
      </w:r>
      <w:r>
        <w:fldChar w:fldCharType="separate"/>
      </w:r>
      <w:r>
        <w:t xml:space="preserve">15</w:t>
      </w:r>
      <w:r>
        <w:fldChar w:fldCharType="end"/>
      </w:r>
      <w:r>
        <w:fldChar w:fldCharType="end"/>
      </w:r>
      <w:r/>
    </w:p>
    <w:p>
      <w:pPr>
        <w:pStyle w:val="1156"/>
        <w:tabs>
          <w:tab w:val="right" w:pos="8300" w:leader="dot"/>
        </w:tabs>
        <w:rPr>
          <w:rFonts w:hint="eastAsia"/>
        </w:rPr>
      </w:pPr>
      <w:r>
        <w:fldChar w:fldCharType="begin"/>
      </w:r>
      <w:r>
        <w:instrText xml:space="preserve"> HYPERLINK \l "_Toc18853" </w:instrText>
      </w:r>
      <w:r>
        <w:fldChar w:fldCharType="separate"/>
      </w:r>
      <w:r>
        <w:rPr>
          <w:rFonts w:hint="eastAsia"/>
          <w:szCs w:val="24"/>
        </w:rPr>
        <w:t xml:space="preserve">6.2质疑处理</w:t>
      </w:r>
      <w:r>
        <w:tab/>
      </w:r>
      <w:r>
        <w:fldChar w:fldCharType="begin"/>
      </w:r>
      <w:r>
        <w:instrText xml:space="preserve"> PAGEREF _Toc18853 \h </w:instrText>
      </w:r>
      <w:r>
        <w:fldChar w:fldCharType="separate"/>
      </w:r>
      <w:r>
        <w:t xml:space="preserve">16</w:t>
      </w:r>
      <w:r>
        <w:fldChar w:fldCharType="end"/>
      </w:r>
      <w:r>
        <w:fldChar w:fldCharType="end"/>
      </w:r>
      <w:r/>
    </w:p>
    <w:p>
      <w:pPr>
        <w:pStyle w:val="1156"/>
        <w:tabs>
          <w:tab w:val="right" w:pos="8300" w:leader="dot"/>
        </w:tabs>
        <w:rPr>
          <w:rFonts w:hint="eastAsia"/>
        </w:rPr>
      </w:pPr>
      <w:r>
        <w:fldChar w:fldCharType="begin"/>
      </w:r>
      <w:r>
        <w:instrText xml:space="preserve"> HYPERLINK \l "_Toc8162" </w:instrText>
      </w:r>
      <w:r>
        <w:fldChar w:fldCharType="separate"/>
      </w:r>
      <w:r>
        <w:rPr>
          <w:rFonts w:hint="eastAsia"/>
          <w:szCs w:val="24"/>
        </w:rPr>
        <w:t xml:space="preserve">6.3中标通知书</w:t>
      </w:r>
      <w:r>
        <w:tab/>
      </w:r>
      <w:r>
        <w:fldChar w:fldCharType="begin"/>
      </w:r>
      <w:r>
        <w:instrText xml:space="preserve"> PAGEREF _Toc8162 \h </w:instrText>
      </w:r>
      <w:r>
        <w:fldChar w:fldCharType="separate"/>
      </w:r>
      <w:r>
        <w:t xml:space="preserve">16</w:t>
      </w:r>
      <w:r>
        <w:fldChar w:fldCharType="end"/>
      </w:r>
      <w:r>
        <w:fldChar w:fldCharType="end"/>
      </w:r>
      <w:r/>
    </w:p>
    <w:p>
      <w:pPr>
        <w:pStyle w:val="1156"/>
        <w:tabs>
          <w:tab w:val="right" w:pos="8300" w:leader="dot"/>
        </w:tabs>
        <w:rPr>
          <w:rFonts w:hint="eastAsia"/>
        </w:rPr>
      </w:pPr>
      <w:r>
        <w:fldChar w:fldCharType="begin"/>
      </w:r>
      <w:r>
        <w:instrText xml:space="preserve"> HYPERLINK \l "_Toc12265" </w:instrText>
      </w:r>
      <w:r>
        <w:fldChar w:fldCharType="separate"/>
      </w:r>
      <w:r>
        <w:rPr>
          <w:rFonts w:hint="eastAsia"/>
          <w:szCs w:val="24"/>
        </w:rPr>
        <w:t xml:space="preserve">6.4签订合同</w:t>
      </w:r>
      <w:r>
        <w:tab/>
      </w:r>
      <w:r>
        <w:fldChar w:fldCharType="begin"/>
      </w:r>
      <w:r>
        <w:instrText xml:space="preserve"> PAGEREF _Toc12265 \h </w:instrText>
      </w:r>
      <w:r>
        <w:fldChar w:fldCharType="separate"/>
      </w:r>
      <w:r>
        <w:t xml:space="preserve">16</w:t>
      </w:r>
      <w:r>
        <w:fldChar w:fldCharType="end"/>
      </w:r>
      <w:r>
        <w:fldChar w:fldCharType="end"/>
      </w:r>
      <w:r/>
    </w:p>
    <w:p>
      <w:pPr>
        <w:pStyle w:val="1162"/>
        <w:tabs>
          <w:tab w:val="right" w:pos="8300" w:leader="dot"/>
        </w:tabs>
        <w:rPr>
          <w:rFonts w:hint="eastAsia"/>
        </w:rPr>
      </w:pPr>
      <w:r>
        <w:fldChar w:fldCharType="begin"/>
      </w:r>
      <w:r>
        <w:instrText xml:space="preserve"> HYPERLINK \l "_Toc5580" </w:instrText>
      </w:r>
      <w:r>
        <w:fldChar w:fldCharType="separate"/>
      </w:r>
      <w:r>
        <w:rPr>
          <w:rFonts w:hint="eastAsia"/>
          <w:szCs w:val="32"/>
        </w:rPr>
        <w:t xml:space="preserve">第三章 评标办法和定标原则</w:t>
      </w:r>
      <w:r>
        <w:tab/>
      </w:r>
      <w:r>
        <w:fldChar w:fldCharType="begin"/>
      </w:r>
      <w:r>
        <w:instrText xml:space="preserve"> PAGEREF _Toc5580 \h </w:instrText>
      </w:r>
      <w:r>
        <w:fldChar w:fldCharType="separate"/>
      </w:r>
      <w:r>
        <w:t xml:space="preserve">18</w:t>
      </w:r>
      <w:r>
        <w:fldChar w:fldCharType="end"/>
      </w:r>
      <w:r>
        <w:fldChar w:fldCharType="end"/>
      </w:r>
      <w:r/>
    </w:p>
    <w:p>
      <w:pPr>
        <w:pStyle w:val="1162"/>
        <w:tabs>
          <w:tab w:val="right" w:pos="8300" w:leader="dot"/>
        </w:tabs>
        <w:rPr>
          <w:rFonts w:hint="eastAsia"/>
        </w:rPr>
      </w:pPr>
      <w:r>
        <w:fldChar w:fldCharType="begin"/>
      </w:r>
      <w:r>
        <w:instrText xml:space="preserve"> HYPERLINK \l "_Toc30639" </w:instrText>
      </w:r>
      <w:r>
        <w:fldChar w:fldCharType="separate"/>
      </w:r>
      <w:r>
        <w:rPr>
          <w:rFonts w:hint="eastAsia"/>
          <w:szCs w:val="32"/>
        </w:rPr>
        <w:t xml:space="preserve">第四章 项目采购需求</w:t>
      </w:r>
      <w:r>
        <w:tab/>
      </w:r>
      <w:r>
        <w:fldChar w:fldCharType="begin"/>
      </w:r>
      <w:r>
        <w:instrText xml:space="preserve"> PAGEREF _Toc30639 \h </w:instrText>
      </w:r>
      <w:r>
        <w:fldChar w:fldCharType="separate"/>
      </w:r>
      <w:r>
        <w:t xml:space="preserve">23</w:t>
      </w:r>
      <w:r>
        <w:fldChar w:fldCharType="end"/>
      </w:r>
      <w:r>
        <w:fldChar w:fldCharType="end"/>
      </w:r>
      <w:r/>
    </w:p>
    <w:p>
      <w:pPr>
        <w:pStyle w:val="1162"/>
        <w:tabs>
          <w:tab w:val="right" w:pos="8300" w:leader="dot"/>
        </w:tabs>
        <w:rPr>
          <w:rFonts w:hint="eastAsia"/>
        </w:rPr>
      </w:pPr>
      <w:r>
        <w:fldChar w:fldCharType="begin"/>
      </w:r>
      <w:r>
        <w:instrText xml:space="preserve"> HYPERLINK \l "_Toc22291" </w:instrText>
      </w:r>
      <w:r>
        <w:fldChar w:fldCharType="separate"/>
      </w:r>
      <w:r>
        <w:rPr>
          <w:rFonts w:hint="eastAsia"/>
          <w:szCs w:val="32"/>
        </w:rPr>
        <w:t xml:space="preserve">第五章 采购合同</w:t>
      </w:r>
      <w:r>
        <w:tab/>
      </w:r>
      <w:r>
        <w:fldChar w:fldCharType="begin"/>
      </w:r>
      <w:r>
        <w:instrText xml:space="preserve"> PAGEREF _Toc22291 \h </w:instrText>
      </w:r>
      <w:r>
        <w:fldChar w:fldCharType="separate"/>
      </w:r>
      <w:r>
        <w:t xml:space="preserve">28</w:t>
      </w:r>
      <w:r>
        <w:fldChar w:fldCharType="end"/>
      </w:r>
      <w:r>
        <w:fldChar w:fldCharType="end"/>
      </w:r>
      <w:r/>
    </w:p>
    <w:p>
      <w:pPr>
        <w:pStyle w:val="1162"/>
        <w:tabs>
          <w:tab w:val="right" w:pos="8300" w:leader="dot"/>
        </w:tabs>
        <w:rPr>
          <w:rFonts w:hint="eastAsia"/>
        </w:rPr>
      </w:pPr>
      <w:r>
        <w:fldChar w:fldCharType="begin"/>
      </w:r>
      <w:r>
        <w:instrText xml:space="preserve"> HYPERLINK \l "_Toc10932" </w:instrText>
      </w:r>
      <w:r>
        <w:fldChar w:fldCharType="separate"/>
      </w:r>
      <w:r>
        <w:rPr>
          <w:rFonts w:hint="eastAsia"/>
        </w:rPr>
        <w:t xml:space="preserve">第六章 投标文件格式及附件</w:t>
      </w:r>
      <w:r>
        <w:tab/>
      </w:r>
      <w:r>
        <w:fldChar w:fldCharType="begin"/>
      </w:r>
      <w:r>
        <w:instrText xml:space="preserve"> PAGEREF _Toc10932 \h </w:instrText>
      </w:r>
      <w:r>
        <w:fldChar w:fldCharType="separate"/>
      </w:r>
      <w:r>
        <w:t xml:space="preserve">36</w:t>
      </w:r>
      <w:r>
        <w:fldChar w:fldCharType="end"/>
      </w:r>
      <w:r>
        <w:fldChar w:fldCharType="end"/>
      </w:r>
      <w:r/>
    </w:p>
    <w:p>
      <w:pPr>
        <w:pStyle w:val="1168"/>
        <w:tabs>
          <w:tab w:val="right" w:pos="8300" w:leader="dot"/>
        </w:tabs>
        <w:rPr>
          <w:rFonts w:hint="eastAsia"/>
        </w:rPr>
      </w:pPr>
      <w:r>
        <w:fldChar w:fldCharType="begin"/>
      </w:r>
      <w:r>
        <w:instrText xml:space="preserve"> HYPERLINK \l "_Toc6040" </w:instrText>
      </w:r>
      <w:r>
        <w:fldChar w:fldCharType="separate"/>
      </w:r>
      <w:r>
        <w:rPr>
          <w:rFonts w:hint="eastAsia"/>
          <w:bCs/>
          <w:szCs w:val="32"/>
        </w:rPr>
        <w:t xml:space="preserve">一、投标函、投标报价及项目相关文件</w:t>
      </w:r>
      <w:r>
        <w:tab/>
      </w:r>
      <w:r>
        <w:fldChar w:fldCharType="begin"/>
      </w:r>
      <w:r>
        <w:instrText xml:space="preserve"> PAGEREF _Toc6040 \h </w:instrText>
      </w:r>
      <w:r>
        <w:fldChar w:fldCharType="separate"/>
      </w:r>
      <w:r>
        <w:t xml:space="preserve">41</w:t>
      </w:r>
      <w:r>
        <w:fldChar w:fldCharType="end"/>
      </w:r>
      <w:r>
        <w:fldChar w:fldCharType="end"/>
      </w:r>
      <w:r/>
    </w:p>
    <w:p>
      <w:pPr>
        <w:pStyle w:val="1156"/>
        <w:tabs>
          <w:tab w:val="right" w:pos="8300" w:leader="dot"/>
        </w:tabs>
        <w:rPr>
          <w:rFonts w:hint="eastAsia"/>
        </w:rPr>
      </w:pPr>
      <w:r>
        <w:fldChar w:fldCharType="begin"/>
      </w:r>
      <w:r>
        <w:instrText xml:space="preserve"> HYPERLINK \l "_Toc8710" </w:instrText>
      </w:r>
      <w:r>
        <w:fldChar w:fldCharType="separate"/>
      </w:r>
      <w:r>
        <w:rPr>
          <w:rFonts w:hint="eastAsia"/>
          <w:szCs w:val="24"/>
        </w:rPr>
        <w:t xml:space="preserve">1.投标函</w:t>
      </w:r>
      <w:r>
        <w:tab/>
      </w:r>
      <w:r>
        <w:fldChar w:fldCharType="begin"/>
      </w:r>
      <w:r>
        <w:instrText xml:space="preserve"> PAGEREF _Toc8710 \h </w:instrText>
      </w:r>
      <w:r>
        <w:fldChar w:fldCharType="separate"/>
      </w:r>
      <w:r>
        <w:t xml:space="preserve">41</w:t>
      </w:r>
      <w:r>
        <w:fldChar w:fldCharType="end"/>
      </w:r>
      <w:r>
        <w:fldChar w:fldCharType="end"/>
      </w:r>
      <w:r/>
    </w:p>
    <w:p>
      <w:pPr>
        <w:pStyle w:val="1156"/>
        <w:tabs>
          <w:tab w:val="right" w:pos="8300" w:leader="dot"/>
        </w:tabs>
        <w:rPr>
          <w:rFonts w:hint="eastAsia"/>
        </w:rPr>
      </w:pPr>
      <w:r>
        <w:fldChar w:fldCharType="begin"/>
      </w:r>
      <w:r>
        <w:instrText xml:space="preserve"> HYPERLINK \l "_Toc13853" </w:instrText>
      </w:r>
      <w:r>
        <w:fldChar w:fldCharType="separate"/>
      </w:r>
      <w:r>
        <w:rPr>
          <w:rFonts w:hint="eastAsia"/>
          <w:szCs w:val="24"/>
        </w:rPr>
        <w:t xml:space="preserve">2.开标一览表</w:t>
      </w:r>
      <w:r>
        <w:tab/>
      </w:r>
      <w:r>
        <w:fldChar w:fldCharType="begin"/>
      </w:r>
      <w:r>
        <w:instrText xml:space="preserve"> PAGEREF _Toc13853 \h </w:instrText>
      </w:r>
      <w:r>
        <w:fldChar w:fldCharType="separate"/>
      </w:r>
      <w:r>
        <w:t xml:space="preserve">42</w:t>
      </w:r>
      <w:r>
        <w:fldChar w:fldCharType="end"/>
      </w:r>
      <w:r>
        <w:fldChar w:fldCharType="end"/>
      </w:r>
      <w:r/>
    </w:p>
    <w:p>
      <w:pPr>
        <w:pStyle w:val="1156"/>
        <w:tabs>
          <w:tab w:val="right" w:pos="8300" w:leader="dot"/>
        </w:tabs>
        <w:rPr>
          <w:rFonts w:hint="eastAsia"/>
        </w:rPr>
      </w:pPr>
      <w:r>
        <w:fldChar w:fldCharType="begin"/>
      </w:r>
      <w:r>
        <w:instrText xml:space="preserve"> HYPERLINK \l "_Toc11171" </w:instrText>
      </w:r>
      <w:r>
        <w:fldChar w:fldCharType="separate"/>
      </w:r>
      <w:r>
        <w:rPr>
          <w:rFonts w:hint="eastAsia"/>
          <w:szCs w:val="24"/>
        </w:rPr>
        <w:t xml:space="preserve">3.</w:t>
      </w:r>
      <w:r>
        <w:rPr>
          <w:rFonts w:hint="eastAsia"/>
          <w:szCs w:val="28"/>
        </w:rPr>
        <w:t xml:space="preserve">投标报价明细表</w:t>
      </w:r>
      <w:r>
        <w:tab/>
      </w:r>
      <w:r>
        <w:fldChar w:fldCharType="begin"/>
      </w:r>
      <w:r>
        <w:instrText xml:space="preserve"> PAGEREF _Toc11171 \h </w:instrText>
      </w:r>
      <w:r>
        <w:fldChar w:fldCharType="separate"/>
      </w:r>
      <w:r>
        <w:t xml:space="preserve">43</w:t>
      </w:r>
      <w:r>
        <w:fldChar w:fldCharType="end"/>
      </w:r>
      <w:r>
        <w:fldChar w:fldCharType="end"/>
      </w:r>
      <w:r/>
    </w:p>
    <w:p>
      <w:pPr>
        <w:pStyle w:val="1156"/>
        <w:tabs>
          <w:tab w:val="right" w:pos="8300" w:leader="dot"/>
        </w:tabs>
        <w:rPr>
          <w:rFonts w:hint="eastAsia"/>
        </w:rPr>
      </w:pPr>
      <w:r>
        <w:fldChar w:fldCharType="begin"/>
      </w:r>
      <w:r>
        <w:instrText xml:space="preserve"> HYPERLINK \l "_Toc4581" </w:instrText>
      </w:r>
      <w:r>
        <w:fldChar w:fldCharType="separate"/>
      </w:r>
      <w:r>
        <w:rPr>
          <w:rFonts w:hint="eastAsia"/>
          <w:bCs/>
          <w:szCs w:val="24"/>
        </w:rPr>
        <w:t xml:space="preserve">4.技术要求响应表</w:t>
      </w:r>
      <w:r>
        <w:tab/>
      </w:r>
      <w:r>
        <w:fldChar w:fldCharType="begin"/>
      </w:r>
      <w:r>
        <w:instrText xml:space="preserve"> PAGEREF _Toc4581 \h </w:instrText>
      </w:r>
      <w:r>
        <w:fldChar w:fldCharType="separate"/>
      </w:r>
      <w:r>
        <w:t xml:space="preserve">44</w:t>
      </w:r>
      <w:r>
        <w:fldChar w:fldCharType="end"/>
      </w:r>
      <w:r>
        <w:fldChar w:fldCharType="end"/>
      </w:r>
      <w:r/>
    </w:p>
    <w:p>
      <w:pPr>
        <w:pStyle w:val="1156"/>
        <w:tabs>
          <w:tab w:val="right" w:pos="8300" w:leader="dot"/>
        </w:tabs>
        <w:rPr>
          <w:rFonts w:hint="eastAsia"/>
        </w:rPr>
      </w:pPr>
      <w:r>
        <w:fldChar w:fldCharType="begin"/>
      </w:r>
      <w:r>
        <w:instrText xml:space="preserve"> HYPERLINK \l "_Toc13843" </w:instrText>
      </w:r>
      <w:r>
        <w:fldChar w:fldCharType="separate"/>
      </w:r>
      <w:r>
        <w:rPr>
          <w:rFonts w:hint="eastAsia"/>
          <w:szCs w:val="24"/>
        </w:rPr>
        <w:t xml:space="preserve">5.商务要求响应表</w:t>
      </w:r>
      <w:r>
        <w:tab/>
      </w:r>
      <w:r>
        <w:fldChar w:fldCharType="begin"/>
      </w:r>
      <w:r>
        <w:instrText xml:space="preserve"> PAGEREF _Toc13843 \h </w:instrText>
      </w:r>
      <w:r>
        <w:fldChar w:fldCharType="separate"/>
      </w:r>
      <w:r>
        <w:t xml:space="preserve">45</w:t>
      </w:r>
      <w:r>
        <w:fldChar w:fldCharType="end"/>
      </w:r>
      <w:r>
        <w:fldChar w:fldCharType="end"/>
      </w:r>
      <w:r/>
    </w:p>
    <w:p>
      <w:pPr>
        <w:pStyle w:val="1156"/>
        <w:tabs>
          <w:tab w:val="right" w:pos="8300" w:leader="dot"/>
        </w:tabs>
        <w:rPr>
          <w:rFonts w:hint="eastAsia"/>
        </w:rPr>
      </w:pPr>
      <w:r>
        <w:fldChar w:fldCharType="begin"/>
      </w:r>
      <w:r>
        <w:instrText xml:space="preserve"> HYPERLINK \l "_Toc606" </w:instrText>
      </w:r>
      <w:r>
        <w:fldChar w:fldCharType="separate"/>
      </w:r>
      <w:r>
        <w:rPr>
          <w:rFonts w:hint="eastAsia"/>
          <w:szCs w:val="24"/>
        </w:rPr>
        <w:t xml:space="preserve">6.项目实施方案</w:t>
      </w:r>
      <w:r>
        <w:tab/>
      </w:r>
      <w:r>
        <w:fldChar w:fldCharType="begin"/>
      </w:r>
      <w:r>
        <w:instrText xml:space="preserve"> PAGEREF _Toc606 \h </w:instrText>
      </w:r>
      <w:r>
        <w:fldChar w:fldCharType="separate"/>
      </w:r>
      <w:r>
        <w:t xml:space="preserve">46</w:t>
      </w:r>
      <w:r>
        <w:fldChar w:fldCharType="end"/>
      </w:r>
      <w:r>
        <w:fldChar w:fldCharType="end"/>
      </w:r>
      <w:r/>
    </w:p>
    <w:p>
      <w:pPr>
        <w:pStyle w:val="1156"/>
        <w:tabs>
          <w:tab w:val="right" w:pos="8300" w:leader="dot"/>
        </w:tabs>
        <w:rPr>
          <w:rFonts w:hint="eastAsia"/>
        </w:rPr>
      </w:pPr>
      <w:r>
        <w:fldChar w:fldCharType="begin"/>
      </w:r>
      <w:r>
        <w:instrText xml:space="preserve"> HYPERLINK \l "_Toc31213" </w:instrText>
      </w:r>
      <w:r>
        <w:fldChar w:fldCharType="separate"/>
      </w:r>
      <w:r>
        <w:rPr>
          <w:rFonts w:hint="eastAsia"/>
          <w:szCs w:val="24"/>
        </w:rPr>
        <w:t xml:space="preserve">7.售后服务方案</w:t>
      </w:r>
      <w:r>
        <w:tab/>
      </w:r>
      <w:r>
        <w:fldChar w:fldCharType="begin"/>
      </w:r>
      <w:r>
        <w:instrText xml:space="preserve"> PAGEREF _Toc31213 \h </w:instrText>
      </w:r>
      <w:r>
        <w:fldChar w:fldCharType="separate"/>
      </w:r>
      <w:r>
        <w:t xml:space="preserve">46</w:t>
      </w:r>
      <w:r>
        <w:fldChar w:fldCharType="end"/>
      </w:r>
      <w:r>
        <w:fldChar w:fldCharType="end"/>
      </w:r>
      <w:r/>
    </w:p>
    <w:p>
      <w:pPr>
        <w:pStyle w:val="1156"/>
        <w:tabs>
          <w:tab w:val="right" w:pos="8300" w:leader="dot"/>
        </w:tabs>
        <w:rPr>
          <w:rFonts w:hint="eastAsia"/>
        </w:rPr>
      </w:pPr>
      <w:r>
        <w:fldChar w:fldCharType="begin"/>
      </w:r>
      <w:r>
        <w:instrText xml:space="preserve"> HYPERLINK \l "_Toc10525" </w:instrText>
      </w:r>
      <w:r>
        <w:fldChar w:fldCharType="separate"/>
      </w:r>
      <w:r>
        <w:rPr>
          <w:rFonts w:hint="eastAsia"/>
          <w:szCs w:val="24"/>
        </w:rPr>
        <w:t xml:space="preserve">8.经营业绩（提供合同复印件）</w:t>
      </w:r>
      <w:r>
        <w:tab/>
      </w:r>
      <w:r>
        <w:fldChar w:fldCharType="begin"/>
      </w:r>
      <w:r>
        <w:instrText xml:space="preserve"> PAGEREF _Toc10525 \h </w:instrText>
      </w:r>
      <w:r>
        <w:fldChar w:fldCharType="separate"/>
      </w:r>
      <w:r>
        <w:t xml:space="preserve">47</w:t>
      </w:r>
      <w:r>
        <w:fldChar w:fldCharType="end"/>
      </w:r>
      <w:r>
        <w:fldChar w:fldCharType="end"/>
      </w:r>
      <w:r/>
    </w:p>
    <w:p>
      <w:pPr>
        <w:pStyle w:val="1168"/>
        <w:tabs>
          <w:tab w:val="right" w:pos="8300" w:leader="dot"/>
        </w:tabs>
        <w:rPr>
          <w:rFonts w:hint="eastAsia"/>
        </w:rPr>
      </w:pPr>
      <w:r>
        <w:fldChar w:fldCharType="begin"/>
      </w:r>
      <w:r>
        <w:instrText xml:space="preserve"> HYPERLINK \l "_Toc6245" </w:instrText>
      </w:r>
      <w:r>
        <w:fldChar w:fldCharType="separate"/>
      </w:r>
      <w:r>
        <w:rPr>
          <w:rFonts w:hint="eastAsia"/>
          <w:bCs/>
          <w:szCs w:val="32"/>
        </w:rPr>
        <w:t xml:space="preserve">二、 资格证明文件格式</w:t>
      </w:r>
      <w:r>
        <w:tab/>
      </w:r>
      <w:r>
        <w:fldChar w:fldCharType="begin"/>
      </w:r>
      <w:r>
        <w:instrText xml:space="preserve"> PAGEREF _Toc6245 \h </w:instrText>
      </w:r>
      <w:r>
        <w:fldChar w:fldCharType="separate"/>
      </w:r>
      <w:r>
        <w:t xml:space="preserve">48</w:t>
      </w:r>
      <w:r>
        <w:fldChar w:fldCharType="end"/>
      </w:r>
      <w:r>
        <w:fldChar w:fldCharType="end"/>
      </w:r>
      <w:r/>
    </w:p>
    <w:p>
      <w:pPr>
        <w:pStyle w:val="1156"/>
        <w:tabs>
          <w:tab w:val="right" w:pos="8300" w:leader="dot"/>
        </w:tabs>
        <w:rPr>
          <w:rFonts w:hint="eastAsia"/>
        </w:rPr>
      </w:pPr>
      <w:r>
        <w:fldChar w:fldCharType="begin"/>
      </w:r>
      <w:r>
        <w:instrText xml:space="preserve"> HYPERLINK \l "_Toc22706" </w:instrText>
      </w:r>
      <w:r>
        <w:fldChar w:fldCharType="separate"/>
      </w:r>
      <w:r>
        <w:rPr>
          <w:rFonts w:hint="eastAsia"/>
          <w:bCs/>
          <w:szCs w:val="28"/>
        </w:rPr>
        <w:t xml:space="preserve">法人授权委托书</w:t>
      </w:r>
      <w:r>
        <w:tab/>
      </w:r>
      <w:r>
        <w:fldChar w:fldCharType="begin"/>
      </w:r>
      <w:r>
        <w:instrText xml:space="preserve"> PAGEREF _Toc22706 \h </w:instrText>
      </w:r>
      <w:r>
        <w:fldChar w:fldCharType="separate"/>
      </w:r>
      <w:r>
        <w:t xml:space="preserve">53</w:t>
      </w:r>
      <w:r>
        <w:fldChar w:fldCharType="end"/>
      </w:r>
      <w:r>
        <w:fldChar w:fldCharType="end"/>
      </w:r>
      <w:r/>
    </w:p>
    <w:p>
      <w:pPr>
        <w:pStyle w:val="1168"/>
        <w:tabs>
          <w:tab w:val="right" w:pos="8300" w:leader="dot"/>
        </w:tabs>
        <w:rPr>
          <w:rFonts w:hint="eastAsia"/>
        </w:rPr>
      </w:pPr>
      <w:r>
        <w:fldChar w:fldCharType="begin"/>
      </w:r>
      <w:r>
        <w:instrText xml:space="preserve"> HYPERLINK \l "_Toc8014" </w:instrText>
      </w:r>
      <w:r>
        <w:fldChar w:fldCharType="separate"/>
      </w:r>
      <w:r>
        <w:rPr>
          <w:rFonts w:hint="eastAsia"/>
          <w:bCs/>
        </w:rPr>
        <w:t xml:space="preserve">三、其他相关附表格式</w:t>
      </w:r>
      <w:r>
        <w:tab/>
      </w:r>
      <w:r>
        <w:fldChar w:fldCharType="begin"/>
      </w:r>
      <w:r>
        <w:instrText xml:space="preserve"> PAGEREF _Toc8014 \h </w:instrText>
      </w:r>
      <w:r>
        <w:fldChar w:fldCharType="separate"/>
      </w:r>
      <w:r>
        <w:t xml:space="preserve">55</w:t>
      </w:r>
      <w:r>
        <w:fldChar w:fldCharType="end"/>
      </w:r>
      <w:r>
        <w:fldChar w:fldCharType="end"/>
      </w:r>
      <w:r/>
    </w:p>
    <w:p>
      <w:pPr>
        <w:pStyle w:val="1156"/>
        <w:tabs>
          <w:tab w:val="right" w:pos="8300" w:leader="dot"/>
        </w:tabs>
        <w:rPr>
          <w:rFonts w:hint="eastAsia"/>
        </w:rPr>
      </w:pPr>
      <w:r>
        <w:fldChar w:fldCharType="begin"/>
      </w:r>
      <w:r>
        <w:instrText xml:space="preserve"> HYPERLINK \l "_Toc24348" </w:instrText>
      </w:r>
      <w:r>
        <w:fldChar w:fldCharType="separate"/>
      </w:r>
      <w:r>
        <w:rPr>
          <w:rFonts w:hint="eastAsia"/>
          <w:bCs/>
          <w:szCs w:val="24"/>
        </w:rPr>
        <w:t xml:space="preserve">附件1.中小企业声明函</w:t>
      </w:r>
      <w:r>
        <w:tab/>
      </w:r>
      <w:r>
        <w:fldChar w:fldCharType="begin"/>
      </w:r>
      <w:r>
        <w:instrText xml:space="preserve"> PAGEREF _Toc24348 \h </w:instrText>
      </w:r>
      <w:r>
        <w:fldChar w:fldCharType="separate"/>
      </w:r>
      <w:r>
        <w:t xml:space="preserve">56</w:t>
      </w:r>
      <w:r>
        <w:fldChar w:fldCharType="end"/>
      </w:r>
      <w:r>
        <w:fldChar w:fldCharType="end"/>
      </w:r>
      <w:r/>
    </w:p>
    <w:p>
      <w:pPr>
        <w:pStyle w:val="1156"/>
        <w:tabs>
          <w:tab w:val="right" w:pos="8300" w:leader="dot"/>
        </w:tabs>
        <w:rPr>
          <w:rFonts w:hint="eastAsia"/>
        </w:rPr>
      </w:pPr>
      <w:r>
        <w:fldChar w:fldCharType="begin"/>
      </w:r>
      <w:r>
        <w:instrText xml:space="preserve"> HYPERLINK \l "_Toc9790" </w:instrText>
      </w:r>
      <w:r>
        <w:fldChar w:fldCharType="separate"/>
      </w:r>
      <w:r>
        <w:rPr>
          <w:rFonts w:hint="eastAsia"/>
          <w:bCs/>
          <w:szCs w:val="24"/>
        </w:rPr>
        <w:t xml:space="preserve">附件2.残疾人福利性单位声明函</w:t>
      </w:r>
      <w:r>
        <w:tab/>
      </w:r>
      <w:r>
        <w:fldChar w:fldCharType="begin"/>
      </w:r>
      <w:r>
        <w:instrText xml:space="preserve"> PAGEREF _Toc9790 \h </w:instrText>
      </w:r>
      <w:r>
        <w:fldChar w:fldCharType="separate"/>
      </w:r>
      <w:r>
        <w:t xml:space="preserve">58</w:t>
      </w:r>
      <w:r>
        <w:fldChar w:fldCharType="end"/>
      </w:r>
      <w:r>
        <w:fldChar w:fldCharType="end"/>
      </w:r>
      <w:r/>
    </w:p>
    <w:p>
      <w:pPr>
        <w:pStyle w:val="1156"/>
        <w:tabs>
          <w:tab w:val="right" w:pos="8300" w:leader="dot"/>
        </w:tabs>
        <w:rPr>
          <w:rFonts w:hint="eastAsia"/>
        </w:rPr>
      </w:pPr>
      <w:r>
        <w:fldChar w:fldCharType="begin"/>
      </w:r>
      <w:r>
        <w:instrText xml:space="preserve"> HYPERLINK \l "_Toc14568" </w:instrText>
      </w:r>
      <w:r>
        <w:fldChar w:fldCharType="separate"/>
      </w:r>
      <w:r>
        <w:rPr>
          <w:rFonts w:hint="eastAsia"/>
          <w:szCs w:val="24"/>
        </w:rPr>
        <w:t xml:space="preserve">附件3.关于符合本国产品标准的声明函</w:t>
      </w:r>
      <w:r>
        <w:tab/>
      </w:r>
      <w:r>
        <w:fldChar w:fldCharType="begin"/>
      </w:r>
      <w:r>
        <w:instrText xml:space="preserve"> PAGEREF _Toc14568 \h </w:instrText>
      </w:r>
      <w:r>
        <w:fldChar w:fldCharType="separate"/>
      </w:r>
      <w:r>
        <w:t xml:space="preserve">59</w:t>
      </w:r>
      <w:r>
        <w:fldChar w:fldCharType="end"/>
      </w:r>
      <w:r>
        <w:fldChar w:fldCharType="end"/>
      </w:r>
      <w:r/>
    </w:p>
    <w:p>
      <w:pPr>
        <w:rPr>
          <w:rFonts w:hint="eastAsia" w:ascii="微软雅黑" w:hAnsi="微软雅黑" w:cs="微软雅黑"/>
        </w:rPr>
      </w:pPr>
      <w:r>
        <w:rPr>
          <w:rFonts w:hint="eastAsia" w:ascii="微软雅黑" w:hAnsi="微软雅黑" w:cs="微软雅黑"/>
        </w:rPr>
        <w:fldChar w:fldCharType="end"/>
      </w:r>
      <w:r/>
    </w:p>
    <w:p>
      <w:r/>
      <w:r/>
    </w:p>
    <w:p>
      <w:r/>
      <w:r/>
    </w:p>
    <w:p>
      <w:pPr>
        <w:pStyle w:val="1147"/>
        <w:spacing w:line="360" w:lineRule="exact"/>
        <w:sectPr>
          <w:headerReference w:type="default" r:id="rId11"/>
          <w:footerReference w:type="default" r:id="rId17"/>
          <w:footnotePr/>
          <w:endnotePr/>
          <w:type w:val="nextPage"/>
          <w:pgSz w:w="11906" w:h="16838" w:orient="portrait"/>
          <w:pgMar w:top="1440" w:right="1803" w:bottom="1440" w:left="1803" w:header="851" w:footer="992" w:gutter="0"/>
          <w:cols w:num="1" w:sep="0" w:space="0" w:equalWidth="1"/>
          <w:docGrid w:linePitch="360"/>
        </w:sectPr>
      </w:pPr>
      <w:r/>
      <w:r/>
    </w:p>
    <w:p>
      <w:pPr>
        <w:pStyle w:val="1352"/>
        <w:keepNext w:val="0"/>
        <w:spacing w:line="360" w:lineRule="exact"/>
        <w:rPr>
          <w:rStyle w:val="1402"/>
          <w:rFonts w:hint="eastAsia" w:ascii="微软雅黑" w:hAnsi="微软雅黑" w:cs="微软雅黑"/>
          <w:sz w:val="32"/>
          <w:szCs w:val="32"/>
        </w:rPr>
      </w:pPr>
      <w:r/>
      <w:bookmarkStart w:id="3" w:name="_Toc23488"/>
      <w:r/>
      <w:bookmarkStart w:id="4" w:name="_Toc68"/>
      <w:r>
        <w:rPr>
          <w:rFonts w:hint="eastAsia" w:ascii="微软雅黑" w:hAnsi="微软雅黑" w:cs="微软雅黑"/>
          <w:bCs w:val="0"/>
          <w:szCs w:val="32"/>
        </w:rPr>
        <w:t xml:space="preserve">第一章 投标邀请（采购公告</w:t>
      </w:r>
      <w:bookmarkEnd w:id="0"/>
      <w:r>
        <w:rPr>
          <w:rFonts w:hint="eastAsia" w:ascii="微软雅黑" w:hAnsi="微软雅黑" w:cs="微软雅黑"/>
          <w:bCs w:val="0"/>
          <w:szCs w:val="32"/>
        </w:rPr>
        <w:t xml:space="preserve">）</w:t>
      </w:r>
      <w:bookmarkEnd w:id="1"/>
      <w:r/>
      <w:bookmarkEnd w:id="3"/>
      <w:r/>
      <w:bookmarkEnd w:id="4"/>
      <w:r/>
      <w:r/>
    </w:p>
    <w:p>
      <w:pPr>
        <w:ind w:firstLine="420"/>
        <w:spacing w:line="420" w:lineRule="exact"/>
        <w:rPr>
          <w:rFonts w:hint="eastAsia"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项目概况</w:t>
      </w:r>
      <w:r/>
    </w:p>
    <w:p>
      <w:pPr>
        <w:ind w:firstLine="420"/>
        <w:spacing w:line="420" w:lineRule="exact"/>
        <w:rPr>
          <w:rFonts w:hint="eastAsia" w:ascii="微软雅黑" w:hAnsi="微软雅黑" w:cs="微软雅黑"/>
          <w:szCs w:val="21"/>
          <w:highlight w:val="none"/>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w:t>
      </w:r>
      <w:r>
        <w:rPr>
          <w:rFonts w:hint="eastAsia" w:ascii="微软雅黑" w:hAnsi="微软雅黑" w:cs="微软雅黑"/>
          <w:szCs w:val="21"/>
          <w:u w:val="single"/>
        </w:rPr>
        <w:t xml:space="preserve">南京医科大学生物医药分中心激光共聚焦显微镜</w:t>
      </w:r>
      <w:r>
        <w:rPr>
          <w:rFonts w:hint="eastAsia" w:ascii="微软雅黑" w:hAnsi="微软雅黑" w:cs="微软雅黑"/>
          <w:szCs w:val="21"/>
        </w:rPr>
        <w:t xml:space="preserve">）采购项目的潜在投标供应商应在</w:t>
      </w:r>
      <w:r>
        <w:rPr>
          <w:rFonts w:hint="eastAsia" w:ascii="微软雅黑" w:hAnsi="微软雅黑" w:cs="微软雅黑"/>
          <w:szCs w:val="21"/>
          <w:highlight w:val="none"/>
          <w:lang w:bidi="ar"/>
        </w:rPr>
        <w:t xml:space="preserve">（</w:t>
      </w:r>
      <w:r>
        <w:rPr>
          <w:rFonts w:hint="eastAsia" w:ascii="微软雅黑" w:hAnsi="微软雅黑" w:cs="微软雅黑"/>
          <w:szCs w:val="21"/>
          <w:highlight w:val="none"/>
          <w:u w:val="single"/>
          <w:lang w:bidi="ar"/>
        </w:rPr>
        <w:t xml:space="preserve">江苏省政府采购管理交易系统（苏采云）</w:t>
      </w:r>
      <w:r>
        <w:rPr>
          <w:rFonts w:hint="eastAsia" w:ascii="微软雅黑" w:hAnsi="微软雅黑" w:cs="微软雅黑"/>
          <w:szCs w:val="21"/>
          <w:highlight w:val="none"/>
          <w:lang w:bidi="ar"/>
        </w:rPr>
        <w:t xml:space="preserve">）</w:t>
      </w:r>
      <w:r>
        <w:rPr>
          <w:rFonts w:hint="eastAsia" w:ascii="微软雅黑" w:hAnsi="微软雅黑" w:cs="微软雅黑"/>
          <w:szCs w:val="21"/>
          <w:highlight w:val="none"/>
        </w:rPr>
        <w:t xml:space="preserve">获取采购文件，并于2026年</w:t>
      </w:r>
      <w:r>
        <w:rPr>
          <w:rFonts w:hint="eastAsia" w:ascii="微软雅黑" w:hAnsi="微软雅黑" w:cs="微软雅黑"/>
          <w:szCs w:val="21"/>
          <w:highlight w:val="none"/>
          <w:lang w:val="en-US" w:eastAsia="zh-CN"/>
        </w:rPr>
        <w:t xml:space="preserve">10</w:t>
      </w:r>
      <w:r>
        <w:rPr>
          <w:rFonts w:hint="eastAsia" w:ascii="微软雅黑" w:hAnsi="微软雅黑" w:cs="微软雅黑"/>
          <w:szCs w:val="21"/>
          <w:highlight w:val="none"/>
        </w:rPr>
        <w:t xml:space="preserve">月</w:t>
      </w:r>
      <w:r>
        <w:rPr>
          <w:rFonts w:hint="eastAsia" w:ascii="微软雅黑" w:hAnsi="微软雅黑" w:cs="微软雅黑"/>
          <w:szCs w:val="21"/>
          <w:highlight w:val="none"/>
          <w:lang w:val="en-US" w:eastAsia="zh-CN"/>
        </w:rPr>
        <w:t xml:space="preserve">13</w:t>
      </w:r>
      <w:r>
        <w:rPr>
          <w:rFonts w:hint="eastAsia" w:ascii="微软雅黑" w:hAnsi="微软雅黑" w:cs="微软雅黑"/>
          <w:szCs w:val="21"/>
          <w:highlight w:val="none"/>
        </w:rPr>
        <w:t xml:space="preserve">日09</w:t>
      </w:r>
      <w:r>
        <w:rPr>
          <w:rFonts w:hint="eastAsia" w:ascii="微软雅黑" w:hAnsi="微软雅黑" w:cs="微软雅黑"/>
          <w:bCs/>
          <w:szCs w:val="21"/>
          <w:highlight w:val="none"/>
        </w:rPr>
        <w:t xml:space="preserve">点30分00秒（北京时间）前递交投标文件</w:t>
      </w:r>
      <w:r>
        <w:rPr>
          <w:rFonts w:hint="eastAsia" w:ascii="微软雅黑" w:hAnsi="微软雅黑" w:cs="微软雅黑"/>
          <w:szCs w:val="21"/>
          <w:highlight w:val="none"/>
        </w:rPr>
        <w:t xml:space="preserve">。</w:t>
      </w:r>
      <w:r/>
    </w:p>
    <w:p>
      <w:pPr>
        <w:spacing w:line="420" w:lineRule="exact"/>
        <w:rPr>
          <w:rFonts w:hint="eastAsia" w:ascii="微软雅黑" w:hAnsi="微软雅黑" w:cs="微软雅黑"/>
          <w:szCs w:val="21"/>
        </w:rPr>
      </w:pPr>
      <w:r/>
      <w:bookmarkStart w:id="5" w:name="_Toc28359002"/>
      <w:r/>
      <w:bookmarkStart w:id="6" w:name="_Toc28359079"/>
      <w:r/>
      <w:bookmarkStart w:id="7" w:name="_Toc5452"/>
      <w:r/>
      <w:bookmarkStart w:id="8" w:name="_Toc35393621"/>
      <w:r/>
      <w:bookmarkStart w:id="9" w:name="_Toc35393790"/>
      <w:r/>
      <w:bookmarkStart w:id="10" w:name="_Hlk24379207"/>
      <w:r>
        <w:rPr>
          <w:rFonts w:hint="eastAsia" w:ascii="微软雅黑" w:hAnsi="微软雅黑" w:cs="微软雅黑"/>
          <w:b/>
          <w:bCs/>
        </w:rPr>
        <w:t xml:space="preserve">一、项目基本情况</w:t>
      </w:r>
      <w:bookmarkEnd w:id="5"/>
      <w:r/>
      <w:bookmarkEnd w:id="6"/>
      <w:r/>
      <w:bookmarkEnd w:id="7"/>
      <w:r/>
      <w:bookmarkEnd w:id="8"/>
      <w:r/>
      <w:bookmarkEnd w:id="9"/>
      <w:r/>
      <w:r/>
    </w:p>
    <w:p>
      <w:pPr>
        <w:ind w:right="105" w:firstLine="420"/>
        <w:spacing w:line="420" w:lineRule="exact"/>
        <w:rPr>
          <w:rFonts w:hint="eastAsia" w:ascii="微软雅黑" w:hAnsi="微软雅黑" w:cs="微软雅黑"/>
          <w:szCs w:val="21"/>
        </w:rPr>
      </w:pPr>
      <w:r>
        <w:rPr>
          <w:rFonts w:hint="eastAsia" w:ascii="微软雅黑" w:hAnsi="微软雅黑" w:cs="微软雅黑"/>
          <w:szCs w:val="21"/>
          <w:highlight w:val="none"/>
        </w:rPr>
        <w:t xml:space="preserve">项目编号：</w:t>
      </w:r>
      <w:r>
        <w:rPr>
          <w:rFonts w:hint="eastAsia" w:ascii="微软雅黑" w:hAnsi="微软雅黑" w:cs="微软雅黑"/>
          <w:szCs w:val="21"/>
          <w:highlight w:val="none"/>
          <w:lang w:eastAsia="zh-CN"/>
        </w:rPr>
        <w:t xml:space="preserve">JSZC-320000-JSHC-G2026-0031</w:t>
      </w:r>
      <w:r>
        <w:rPr>
          <w:rFonts w:hint="eastAsia" w:ascii="微软雅黑" w:hAnsi="微软雅黑" w:cs="微软雅黑"/>
          <w:szCs w:val="21"/>
          <w:highlight w:val="none"/>
        </w:rPr>
        <w:t xml:space="preserve">（代理机构内部编号：JSHC-</w:t>
      </w:r>
      <w:r>
        <w:rPr>
          <w:rFonts w:hint="eastAsia" w:ascii="微软雅黑" w:hAnsi="微软雅黑" w:cs="微软雅黑"/>
          <w:szCs w:val="21"/>
        </w:rPr>
        <w:t xml:space="preserve">2026080674B1）</w:t>
      </w:r>
      <w:r/>
    </w:p>
    <w:p>
      <w:pPr>
        <w:ind w:right="105" w:firstLine="420"/>
        <w:spacing w:line="420" w:lineRule="exact"/>
        <w:rPr>
          <w:rFonts w:hint="eastAsia" w:ascii="微软雅黑" w:hAnsi="微软雅黑" w:cs="微软雅黑"/>
          <w:szCs w:val="21"/>
        </w:rPr>
      </w:pPr>
      <w:r>
        <w:rPr>
          <w:rFonts w:hint="eastAsia" w:ascii="微软雅黑" w:hAnsi="微软雅黑" w:cs="微软雅黑"/>
          <w:szCs w:val="21"/>
        </w:rPr>
        <w:t xml:space="preserve">项目名称</w:t>
      </w:r>
      <w:bookmarkEnd w:id="10"/>
      <w:r>
        <w:rPr>
          <w:rFonts w:hint="eastAsia" w:ascii="微软雅黑" w:hAnsi="微软雅黑" w:cs="微软雅黑"/>
          <w:szCs w:val="21"/>
        </w:rPr>
        <w:t xml:space="preserve">：南京医科大学生物医药分中心激光共聚焦显微镜采购项目</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预算金额：人民币贰佰陆拾捌万元整（人民币268万元）</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最高限价：人民币贰佰陆拾捌万元整（人民币268万元）</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资金来源：财政性资金 </w:t>
      </w:r>
      <w:r/>
    </w:p>
    <w:p>
      <w:pPr>
        <w:ind w:firstLine="420"/>
        <w:spacing w:line="420" w:lineRule="exact"/>
        <w:rPr>
          <w:rFonts w:hint="eastAsia" w:ascii="宋体" w:hAnsi="宋体" w:cs="宋体"/>
          <w:szCs w:val="21"/>
        </w:rPr>
      </w:pPr>
      <w:r>
        <w:rPr>
          <w:rFonts w:hint="eastAsia" w:ascii="微软雅黑" w:hAnsi="微软雅黑" w:cs="微软雅黑"/>
          <w:szCs w:val="21"/>
        </w:rPr>
        <w:t xml:space="preserve">采购需求：南京医科大学为满足实验室的课题研究和教学开展，需采购一套激光共聚焦显微镜。</w:t>
      </w:r>
      <w:r/>
    </w:p>
    <w:p>
      <w:pPr>
        <w:ind w:firstLine="420"/>
        <w:jc w:val="left"/>
        <w:spacing w:line="420" w:lineRule="exact"/>
        <w:rPr>
          <w:rFonts w:hint="eastAsia" w:ascii="微软雅黑" w:hAnsi="微软雅黑" w:cs="微软雅黑"/>
          <w:szCs w:val="21"/>
        </w:rPr>
      </w:pPr>
      <w:r>
        <w:rPr>
          <w:rFonts w:hint="eastAsia" w:ascii="微软雅黑" w:hAnsi="微软雅黑" w:cs="微软雅黑"/>
          <w:szCs w:val="21"/>
        </w:rPr>
        <w:t xml:space="preserve">合同履行期限：合同签订生效后，两个月内全部设备、材料运抵现场，并安装、调试结束，验收合格，交付采购人使用。</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本项目（</w:t>
      </w:r>
      <w:r>
        <w:rPr>
          <w:rFonts w:hint="eastAsia" w:ascii="微软雅黑" w:hAnsi="微软雅黑" w:cs="微软雅黑"/>
          <w:i/>
          <w:szCs w:val="21"/>
        </w:rPr>
        <w:t xml:space="preserve">是/否</w:t>
      </w:r>
      <w:r>
        <w:rPr>
          <w:rFonts w:hint="eastAsia" w:ascii="微软雅黑" w:hAnsi="微软雅黑" w:cs="微软雅黑"/>
          <w:szCs w:val="21"/>
        </w:rPr>
        <w:t xml:space="preserve">）接受联合体：</w:t>
      </w:r>
      <w:r>
        <w:rPr>
          <w:rFonts w:hint="eastAsia" w:ascii="微软雅黑" w:hAnsi="微软雅黑" w:cs="微软雅黑"/>
          <w:b/>
          <w:bCs/>
          <w:szCs w:val="21"/>
        </w:rPr>
        <w:t xml:space="preserve">否</w:t>
      </w:r>
      <w:r/>
    </w:p>
    <w:p>
      <w:pPr>
        <w:spacing w:line="420" w:lineRule="exact"/>
        <w:rPr>
          <w:rFonts w:hint="eastAsia" w:ascii="微软雅黑" w:hAnsi="微软雅黑" w:cs="微软雅黑"/>
          <w:b/>
          <w:bCs/>
        </w:rPr>
      </w:pPr>
      <w:r/>
      <w:bookmarkStart w:id="11" w:name="_Toc28359080"/>
      <w:r/>
      <w:bookmarkStart w:id="12" w:name="_Toc18689"/>
      <w:r/>
      <w:bookmarkStart w:id="13" w:name="_Toc35393622"/>
      <w:r/>
      <w:bookmarkStart w:id="14" w:name="_Toc35393791"/>
      <w:r/>
      <w:bookmarkStart w:id="15" w:name="_Toc28359003"/>
      <w:r>
        <w:rPr>
          <w:rFonts w:hint="eastAsia" w:ascii="微软雅黑" w:hAnsi="微软雅黑" w:cs="微软雅黑"/>
          <w:b/>
          <w:bCs/>
        </w:rPr>
        <w:t xml:space="preserve">二、申请人的资格要求：</w:t>
      </w:r>
      <w:bookmarkEnd w:id="11"/>
      <w:r/>
      <w:bookmarkEnd w:id="12"/>
      <w:r/>
      <w:bookmarkEnd w:id="13"/>
      <w:r/>
      <w:bookmarkEnd w:id="14"/>
      <w:r/>
      <w:bookmarkEnd w:id="15"/>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1.满足《中华人民共和国政府采购法》第二十二条规定：</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1.2具有良好的商业信誉和健全的财务会计制度（提供</w:t>
      </w:r>
      <w:r>
        <w:rPr>
          <w:rFonts w:hint="eastAsia" w:ascii="微软雅黑" w:hAnsi="微软雅黑" w:cs="微软雅黑"/>
          <w:szCs w:val="21"/>
          <w:lang w:eastAsia="zh-CN"/>
        </w:rPr>
        <w:t xml:space="preserve">2026年3月</w:t>
      </w:r>
      <w:r>
        <w:rPr>
          <w:rFonts w:hint="eastAsia" w:ascii="微软雅黑" w:hAnsi="微软雅黑" w:cs="微软雅黑"/>
          <w:szCs w:val="21"/>
        </w:rPr>
        <w:t xml:space="preserve">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2025年度审计报告</w:t>
      </w:r>
      <w:r>
        <w:rPr>
          <w:rFonts w:hint="eastAsia" w:ascii="微软雅黑" w:hAnsi="微软雅黑" w:cs="微软雅黑"/>
          <w:b/>
          <w:bCs/>
          <w:szCs w:val="21"/>
        </w:rPr>
        <w:t xml:space="preserve">（包括报告及报告中所附的完整内容，并由注册会计师签名、盖章以及会计师事务所盖章）</w:t>
      </w:r>
      <w:r>
        <w:rPr>
          <w:rFonts w:hint="eastAsia" w:ascii="微软雅黑" w:hAnsi="微软雅黑" w:cs="微软雅黑"/>
          <w:szCs w:val="21"/>
        </w:rPr>
        <w:t xml:space="preserve">，</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（法人或者其他组织成立未满一年的可以不提供）</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1.4有依法缴纳税收</w:t>
      </w:r>
      <w:r>
        <w:rPr>
          <w:rFonts w:hint="eastAsia" w:ascii="微软雅黑" w:hAnsi="微软雅黑" w:cs="微软雅黑"/>
          <w:b/>
          <w:bCs/>
          <w:szCs w:val="21"/>
        </w:rPr>
        <w:t xml:space="preserve">和</w:t>
      </w:r>
      <w:r>
        <w:rPr>
          <w:rFonts w:hint="eastAsia" w:ascii="微软雅黑" w:hAnsi="微软雅黑" w:cs="微软雅黑"/>
          <w:szCs w:val="21"/>
        </w:rPr>
        <w:t xml:space="preserve">社会保障资金的良好记录（提供</w:t>
      </w:r>
      <w:r>
        <w:rPr>
          <w:rFonts w:hint="eastAsia" w:ascii="微软雅黑" w:hAnsi="微软雅黑" w:cs="微软雅黑"/>
          <w:szCs w:val="21"/>
          <w:lang w:eastAsia="zh-CN"/>
        </w:rPr>
        <w:t xml:space="preserve">2026年3月</w:t>
      </w:r>
      <w:r>
        <w:rPr>
          <w:rFonts w:hint="eastAsia" w:ascii="微软雅黑" w:hAnsi="微软雅黑" w:cs="微软雅黑"/>
          <w:szCs w:val="21"/>
        </w:rPr>
        <w:t xml:space="preserve">至投标截止时间前任一月份依法缴纳税收的凭据</w:t>
      </w:r>
      <w:r>
        <w:rPr>
          <w:rFonts w:hint="eastAsia" w:ascii="微软雅黑" w:hAnsi="微软雅黑" w:cs="微软雅黑"/>
          <w:b/>
          <w:bCs/>
          <w:szCs w:val="21"/>
        </w:rPr>
        <w:t xml:space="preserve">（企业代缴的个人所得税除外）</w:t>
      </w:r>
      <w:r>
        <w:rPr>
          <w:rFonts w:hint="eastAsia" w:ascii="微软雅黑" w:hAnsi="微软雅黑" w:cs="微软雅黑"/>
          <w:szCs w:val="21"/>
        </w:rPr>
        <w:t xml:space="preserve">，以及缴纳社会保险的凭据（专用收据或社会保险的凭据）。依法免税或不需要缴纳社会保障资金的投标供应商，应提供相应文件证明）；</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p>
    <w:p>
      <w:pPr>
        <w:ind w:firstLine="420"/>
        <w:spacing w:line="420" w:lineRule="exact"/>
        <w:rPr>
          <w:rFonts w:hint="eastAsia" w:ascii="微软雅黑" w:hAnsi="微软雅黑" w:cs="微软雅黑"/>
        </w:rPr>
      </w:pPr>
      <w:r/>
      <w:bookmarkStart w:id="16" w:name="_Toc28359004"/>
      <w:r/>
      <w:bookmarkStart w:id="17" w:name="_Toc28359081"/>
      <w:r>
        <w:rPr>
          <w:rFonts w:hint="eastAsia" w:ascii="微软雅黑" w:hAnsi="微软雅黑" w:cs="微软雅黑"/>
        </w:rPr>
        <w:t xml:space="preserve">2.是否专门面向中小企业：否</w:t>
      </w:r>
      <w:r/>
    </w:p>
    <w:p>
      <w:pPr>
        <w:ind w:firstLine="420"/>
        <w:spacing w:line="420" w:lineRule="exact"/>
      </w:pPr>
      <w:r>
        <w:rPr>
          <w:rFonts w:hint="eastAsia" w:ascii="微软雅黑" w:hAnsi="微软雅黑" w:cs="微软雅黑"/>
          <w:szCs w:val="21"/>
        </w:rPr>
        <w:t xml:space="preserve">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4.本项目的特定资格要求：无。</w:t>
      </w:r>
      <w:r/>
    </w:p>
    <w:p>
      <w:pPr>
        <w:ind w:firstLine="420"/>
        <w:spacing w:line="420" w:lineRule="exact"/>
        <w:rPr>
          <w:rFonts w:hint="eastAsia" w:ascii="微软雅黑" w:hAnsi="微软雅黑" w:cs="微软雅黑"/>
        </w:rPr>
      </w:pPr>
      <w:r>
        <w:rPr>
          <w:rFonts w:hint="eastAsia" w:ascii="微软雅黑" w:hAnsi="微软雅黑" w:cs="微软雅黑"/>
          <w:szCs w:val="21"/>
        </w:rPr>
        <w:t xml:space="preserve">5.本项目不接受联合体投标</w:t>
      </w:r>
      <w:r>
        <w:rPr>
          <w:rFonts w:hint="eastAsia" w:ascii="微软雅黑" w:hAnsi="微软雅黑" w:cs="微软雅黑"/>
          <w:szCs w:val="21"/>
          <w:lang w:val="zh-CN"/>
        </w:rPr>
        <w:t xml:space="preserve">。</w:t>
      </w:r>
      <w:r/>
    </w:p>
    <w:p>
      <w:pPr>
        <w:ind w:firstLine="420"/>
        <w:spacing w:line="420" w:lineRule="exact"/>
        <w:rPr>
          <w:rFonts w:hint="eastAsia" w:ascii="微软雅黑" w:hAnsi="微软雅黑" w:cs="微软雅黑"/>
          <w:b/>
          <w:bCs/>
          <w:szCs w:val="21"/>
        </w:rPr>
      </w:pPr>
      <w:r>
        <w:rPr>
          <w:rFonts w:hint="eastAsia" w:ascii="微软雅黑" w:hAnsi="微软雅黑" w:cs="微软雅黑"/>
          <w:b/>
          <w:bCs/>
          <w:szCs w:val="21"/>
        </w:rPr>
        <w:t xml:space="preserve">6.本项目接受进口产品投标，若投标人是进口设备代理商的，必须提供下列授权文件之一（原件或扫描/复印件）：①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7.拒绝下述供应商参加本次采购活动：</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7.1为采购项目提供整体设计、规范编制或者项目管理、监理、检测等服务的；</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7.2供应商单位负责人为同一人或者存在直接控股、管理关系的不同供应商，不得参加同一合同项下的采购活动；</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7.3.被“信用中国”网站(www.creditchina.gov.cn)或中国政府采购网(www.ccgp.gov.cn)列入失信被执行人、重大税收违法失信主体、政府采购严重违法失信行为记录名单的。</w:t>
      </w:r>
      <w:r/>
    </w:p>
    <w:p>
      <w:pPr>
        <w:spacing w:line="420" w:lineRule="exact"/>
        <w:rPr>
          <w:rFonts w:hint="eastAsia" w:ascii="微软雅黑" w:hAnsi="微软雅黑" w:cs="微软雅黑"/>
          <w:b/>
          <w:bCs/>
        </w:rPr>
      </w:pPr>
      <w:r/>
      <w:bookmarkStart w:id="18" w:name="_Toc35393623"/>
      <w:r/>
      <w:bookmarkStart w:id="19" w:name="_Toc15914"/>
      <w:r/>
      <w:bookmarkStart w:id="20" w:name="_Toc35393792"/>
      <w:r>
        <w:rPr>
          <w:rFonts w:hint="eastAsia" w:ascii="微软雅黑" w:hAnsi="微软雅黑" w:cs="微软雅黑"/>
          <w:b/>
          <w:bCs/>
        </w:rPr>
        <w:t xml:space="preserve">三、获取采购文件</w:t>
      </w:r>
      <w:bookmarkEnd w:id="16"/>
      <w:r/>
      <w:bookmarkEnd w:id="17"/>
      <w:r/>
      <w:bookmarkEnd w:id="18"/>
      <w:r/>
      <w:bookmarkEnd w:id="19"/>
      <w:r/>
      <w:bookmarkEnd w:id="20"/>
      <w:r/>
      <w:r/>
    </w:p>
    <w:p>
      <w:pPr>
        <w:ind w:firstLine="420"/>
        <w:spacing w:line="420" w:lineRule="exact"/>
        <w:rPr>
          <w:rFonts w:hint="eastAsia" w:ascii="微软雅黑" w:hAnsi="微软雅黑" w:cs="微软雅黑"/>
          <w:szCs w:val="21"/>
        </w:rPr>
      </w:pPr>
      <w:r/>
      <w:bookmarkStart w:id="21" w:name="_Toc35393625"/>
      <w:r/>
      <w:bookmarkStart w:id="22" w:name="_Toc28359007"/>
      <w:r/>
      <w:bookmarkStart w:id="23" w:name="_Toc28359084"/>
      <w:r/>
      <w:bookmarkStart w:id="24" w:name="_Toc35393794"/>
      <w:r/>
      <w:bookmarkStart w:id="25" w:name="_Toc31210"/>
      <w:r>
        <w:rPr>
          <w:rFonts w:hint="eastAsia" w:ascii="微软雅黑" w:hAnsi="微软雅黑" w:cs="微软雅黑"/>
          <w:szCs w:val="21"/>
        </w:rPr>
        <w:t xml:space="preserve">时间：自公告发布之日起5个工作日 </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地点：江苏省政府采购管理交易系统（苏采云）</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方式：自行下载。</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售价：0.00元</w:t>
      </w:r>
      <w:r/>
    </w:p>
    <w:p>
      <w:pPr>
        <w:spacing w:line="420" w:lineRule="exact"/>
        <w:rPr>
          <w:rFonts w:hint="eastAsia" w:ascii="微软雅黑" w:hAnsi="微软雅黑" w:cs="微软雅黑"/>
          <w:b/>
          <w:szCs w:val="21"/>
        </w:rPr>
      </w:pPr>
      <w:r>
        <w:rPr>
          <w:rFonts w:hint="eastAsia" w:ascii="微软雅黑" w:hAnsi="微软雅黑" w:cs="微软雅黑"/>
          <w:b/>
          <w:szCs w:val="21"/>
        </w:rPr>
        <w:t xml:space="preserve">四、提交投标文件截止时间、开标时间和地点</w:t>
      </w:r>
      <w:r/>
    </w:p>
    <w:p>
      <w:pPr>
        <w:ind w:firstLine="420"/>
        <w:spacing w:line="42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时间：</w:t>
      </w:r>
      <w:r>
        <w:rPr>
          <w:rFonts w:hint="eastAsia" w:ascii="微软雅黑" w:hAnsi="微软雅黑" w:cs="微软雅黑"/>
          <w:szCs w:val="21"/>
          <w:highlight w:val="none"/>
        </w:rPr>
        <w:t xml:space="preserve">2026年</w:t>
      </w:r>
      <w:r>
        <w:rPr>
          <w:rFonts w:hint="eastAsia" w:ascii="微软雅黑" w:hAnsi="微软雅黑" w:cs="微软雅黑"/>
          <w:szCs w:val="21"/>
          <w:highlight w:val="none"/>
          <w:lang w:val="en-US" w:eastAsia="zh-CN"/>
        </w:rPr>
        <w:t xml:space="preserve">10</w:t>
      </w:r>
      <w:r>
        <w:rPr>
          <w:rFonts w:hint="eastAsia" w:ascii="微软雅黑" w:hAnsi="微软雅黑" w:cs="微软雅黑"/>
          <w:szCs w:val="21"/>
          <w:highlight w:val="none"/>
        </w:rPr>
        <w:t xml:space="preserve">月</w:t>
      </w:r>
      <w:r>
        <w:rPr>
          <w:rFonts w:hint="eastAsia" w:ascii="微软雅黑" w:hAnsi="微软雅黑" w:cs="微软雅黑"/>
          <w:szCs w:val="21"/>
          <w:highlight w:val="none"/>
          <w:lang w:val="en-US" w:eastAsia="zh-CN"/>
        </w:rPr>
        <w:t xml:space="preserve">13</w:t>
      </w:r>
      <w:r>
        <w:rPr>
          <w:rFonts w:hint="eastAsia" w:ascii="微软雅黑" w:hAnsi="微软雅黑" w:cs="微软雅黑"/>
          <w:szCs w:val="21"/>
          <w:highlight w:val="none"/>
        </w:rPr>
        <w:t xml:space="preserve">日9:30:00</w:t>
      </w:r>
      <w:r>
        <w:rPr>
          <w:rFonts w:hint="eastAsia" w:ascii="微软雅黑" w:hAnsi="微软雅黑" w:cs="微软雅黑"/>
          <w:bCs/>
          <w:szCs w:val="21"/>
          <w:highlight w:val="none"/>
        </w:rPr>
        <w:t xml:space="preserve">（北京时间）</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地点：“苏采云”政府采购交易系统网上开标大厅</w:t>
      </w:r>
      <w:r/>
    </w:p>
    <w:p>
      <w:pPr>
        <w:spacing w:line="420" w:lineRule="exact"/>
        <w:rPr>
          <w:rFonts w:hint="eastAsia" w:ascii="微软雅黑" w:hAnsi="微软雅黑" w:cs="微软雅黑"/>
          <w:b/>
          <w:bCs/>
        </w:rPr>
      </w:pPr>
      <w:r>
        <w:rPr>
          <w:rFonts w:hint="eastAsia" w:ascii="微软雅黑" w:hAnsi="微软雅黑" w:cs="微软雅黑"/>
          <w:b/>
          <w:bCs/>
        </w:rPr>
        <w:t xml:space="preserve">五、公告期限</w:t>
      </w:r>
      <w:bookmarkEnd w:id="21"/>
      <w:r/>
      <w:bookmarkEnd w:id="22"/>
      <w:r/>
      <w:bookmarkEnd w:id="23"/>
      <w:r/>
      <w:bookmarkEnd w:id="24"/>
      <w:r/>
      <w:bookmarkEnd w:id="25"/>
      <w:r/>
      <w:r/>
    </w:p>
    <w:p>
      <w:pPr>
        <w:ind w:firstLine="420"/>
        <w:spacing w:line="420" w:lineRule="exact"/>
        <w:rPr>
          <w:rFonts w:hint="eastAsia" w:ascii="微软雅黑" w:hAnsi="微软雅黑" w:cs="微软雅黑"/>
        </w:rPr>
      </w:pPr>
      <w:r>
        <w:rPr>
          <w:rFonts w:hint="eastAsia" w:ascii="微软雅黑" w:hAnsi="微软雅黑" w:cs="微软雅黑"/>
        </w:rPr>
        <w:t xml:space="preserve">自本公告发布之日起5个工作日。</w:t>
      </w:r>
      <w:r/>
    </w:p>
    <w:p>
      <w:pPr>
        <w:numPr>
          <w:ilvl w:val="0"/>
          <w:numId w:val="7"/>
        </w:numPr>
        <w:spacing w:line="420" w:lineRule="exact"/>
        <w:rPr>
          <w:rFonts w:hint="eastAsia" w:ascii="微软雅黑" w:hAnsi="微软雅黑" w:cs="微软雅黑"/>
          <w:b/>
          <w:bCs/>
          <w:szCs w:val="21"/>
        </w:rPr>
      </w:pPr>
      <w:r>
        <w:rPr>
          <w:rFonts w:hint="eastAsia" w:ascii="微软雅黑" w:hAnsi="微软雅黑" w:cs="微软雅黑"/>
          <w:b/>
          <w:bCs/>
        </w:rPr>
        <w:t xml:space="preserve">其他补充事宜</w:t>
      </w:r>
      <w:r/>
    </w:p>
    <w:p>
      <w:pPr>
        <w:ind w:firstLine="420"/>
        <w:jc w:val="left"/>
        <w:spacing w:line="420" w:lineRule="exact"/>
        <w:rPr>
          <w:rFonts w:hint="eastAsia" w:ascii="微软雅黑" w:hAnsi="微软雅黑" w:cs="微软雅黑"/>
          <w:szCs w:val="21"/>
        </w:rPr>
      </w:pPr>
      <w:r>
        <w:rPr>
          <w:rFonts w:hint="eastAsia" w:ascii="微软雅黑" w:hAnsi="微软雅黑" w:cs="微软雅黑"/>
          <w:szCs w:val="21"/>
        </w:rPr>
        <w:t xml:space="preserve">1.评标方法和标准：采用综合评分法。</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2.此采购公告在江苏政府采购网（www.ccgp-jiangsu.gov.cn）发布。</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3. 苏采云CA办理及登录：</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26" w:name="OLE_LINK2"/>
      <w:r>
        <w:rPr>
          <w:rFonts w:hint="eastAsia" w:ascii="微软雅黑" w:hAnsi="微软雅黑" w:cs="微软雅黑"/>
          <w:szCs w:val="21"/>
        </w:rPr>
        <w:t xml:space="preserve">http://www.ccgp-jiangsu.gov.cn/jiangsu/zlxz/ee/ee3a4bc5a3454aa2b0d9312230633ce9.html</w:t>
      </w:r>
      <w:bookmarkEnd w:id="26"/>
      <w:r>
        <w:rPr>
          <w:rFonts w:hint="eastAsia" w:ascii="微软雅黑" w:hAnsi="微软雅黑" w:cs="微软雅黑"/>
          <w:szCs w:val="21"/>
        </w:rPr>
        <w:t xml:space="preserve">）。</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4.采购文件下载及投标文件制作：</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5. 不见面远程开标：</w:t>
      </w:r>
      <w:r/>
    </w:p>
    <w:p>
      <w:pPr>
        <w:ind w:firstLine="420"/>
        <w:spacing w:line="420" w:lineRule="exact"/>
      </w:pPr>
      <w:r>
        <w:rPr>
          <w:rFonts w:hint="eastAsia" w:ascii="微软雅黑" w:hAnsi="微软雅黑" w:cs="微软雅黑"/>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spacing w:line="420" w:lineRule="exact"/>
        <w:rPr>
          <w:rFonts w:hint="eastAsia" w:ascii="微软雅黑" w:hAnsi="微软雅黑" w:cs="微软雅黑"/>
          <w:b/>
          <w:bCs/>
        </w:rPr>
      </w:pPr>
      <w:r/>
      <w:bookmarkStart w:id="27" w:name="_Toc26547"/>
      <w:r>
        <w:rPr>
          <w:rFonts w:hint="eastAsia" w:ascii="微软雅黑" w:hAnsi="微软雅黑" w:cs="微软雅黑"/>
          <w:b/>
          <w:bCs/>
        </w:rPr>
        <w:t xml:space="preserve">七、对本次招标提出询问，请按以下方式联系。</w:t>
      </w:r>
      <w:r/>
    </w:p>
    <w:p>
      <w:pPr>
        <w:pStyle w:val="1392"/>
        <w:ind w:firstLine="420"/>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1.采购人信息</w:t>
      </w:r>
      <w:r/>
    </w:p>
    <w:p>
      <w:pPr>
        <w:pStyle w:val="1392"/>
        <w:ind w:firstLine="688"/>
        <w:spacing w:before="0" w:beforeAutospacing="0" w:after="0" w:afterAutospacing="0" w:line="420" w:lineRule="exact"/>
        <w:rPr>
          <w:rFonts w:hint="eastAsia" w:ascii="微软雅黑" w:hAnsi="微软雅黑" w:eastAsia="微软雅黑" w:cs="微软雅黑"/>
          <w:sz w:val="21"/>
          <w:szCs w:val="21"/>
        </w:rPr>
      </w:pPr>
      <w:r/>
      <w:bookmarkStart w:id="28" w:name="_Toc28359009"/>
      <w:r/>
      <w:bookmarkStart w:id="29" w:name="_Toc28359086"/>
      <w:r>
        <w:rPr>
          <w:rFonts w:hint="eastAsia" w:ascii="微软雅黑" w:hAnsi="微软雅黑" w:eastAsia="微软雅黑" w:cs="微软雅黑"/>
          <w:sz w:val="21"/>
          <w:szCs w:val="21"/>
        </w:rPr>
        <w:t xml:space="preserve">名称：南京医科大学</w:t>
      </w:r>
      <w:r/>
    </w:p>
    <w:p>
      <w:pPr>
        <w:pStyle w:val="1392"/>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地址：南京市江宁区龙眠大道101号</w:t>
      </w:r>
      <w:r/>
    </w:p>
    <w:p>
      <w:pPr>
        <w:pStyle w:val="1392"/>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联系方式：马老师025-86868572</w:t>
      </w:r>
      <w:r/>
    </w:p>
    <w:p>
      <w:pPr>
        <w:pStyle w:val="1392"/>
        <w:ind w:firstLine="420"/>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2.采购代理机构信息</w:t>
      </w:r>
      <w:bookmarkEnd w:id="28"/>
      <w:r/>
      <w:bookmarkEnd w:id="29"/>
      <w:r/>
      <w:r/>
    </w:p>
    <w:p>
      <w:pPr>
        <w:pStyle w:val="1392"/>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名称：江苏省华采招标有限公司</w:t>
      </w:r>
      <w:r/>
    </w:p>
    <w:p>
      <w:pPr>
        <w:pStyle w:val="1392"/>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地址：</w:t>
      </w:r>
      <w:r>
        <w:rPr>
          <w:rFonts w:hint="eastAsia" w:ascii="微软雅黑" w:hAnsi="微软雅黑" w:eastAsia="微软雅黑" w:cs="微软雅黑"/>
          <w:sz w:val="21"/>
          <w:szCs w:val="21"/>
          <w:lang w:bidi="ar"/>
        </w:rPr>
        <w:t xml:space="preserve">南京市建邺区嘉陵江东街8号综合体B3栋一单元16层</w:t>
      </w:r>
      <w:r/>
    </w:p>
    <w:p>
      <w:pPr>
        <w:pStyle w:val="1392"/>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联系方式：</w:t>
      </w:r>
      <w:bookmarkStart w:id="30" w:name="_Toc28359010"/>
      <w:r/>
      <w:bookmarkStart w:id="31" w:name="_Toc28359087"/>
      <w:r>
        <w:rPr>
          <w:rFonts w:hint="eastAsia" w:ascii="微软雅黑" w:hAnsi="微软雅黑" w:eastAsia="微软雅黑" w:cs="微软雅黑"/>
          <w:sz w:val="21"/>
          <w:szCs w:val="21"/>
        </w:rPr>
        <w:t xml:space="preserve">025-83609953</w:t>
      </w:r>
      <w:r/>
    </w:p>
    <w:p>
      <w:pPr>
        <w:pStyle w:val="1392"/>
        <w:ind w:firstLine="420"/>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3.项目联系方式</w:t>
      </w:r>
      <w:bookmarkEnd w:id="30"/>
      <w:r/>
      <w:bookmarkEnd w:id="31"/>
      <w:r/>
      <w:r/>
    </w:p>
    <w:p>
      <w:pPr>
        <w:pStyle w:val="1392"/>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项目联系人：刘洁/徐雪</w:t>
      </w:r>
      <w:r/>
    </w:p>
    <w:p>
      <w:pPr>
        <w:pStyle w:val="1392"/>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电话：025-83603368</w:t>
      </w:r>
      <w:r/>
    </w:p>
    <w:p>
      <w:pPr>
        <w:pStyle w:val="1392"/>
        <w:ind w:firstLine="688"/>
        <w:spacing w:before="0" w:beforeAutospacing="0" w:after="0" w:afterAutospacing="0" w:line="420" w:lineRule="exact"/>
        <w:rPr>
          <w:rFonts w:hint="eastAsia" w:ascii="微软雅黑" w:hAnsi="微软雅黑" w:eastAsia="微软雅黑" w:cs="微软雅黑"/>
          <w:sz w:val="21"/>
          <w:szCs w:val="21"/>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eastAsia="微软雅黑" w:cs="微软雅黑"/>
          <w:sz w:val="21"/>
          <w:szCs w:val="21"/>
        </w:rPr>
      </w:r>
      <w:r/>
    </w:p>
    <w:p>
      <w:pPr>
        <w:pStyle w:val="1352"/>
        <w:spacing w:line="360" w:lineRule="exact"/>
        <w:rPr>
          <w:rFonts w:hint="eastAsia" w:ascii="微软雅黑" w:hAnsi="微软雅黑" w:cs="微软雅黑"/>
        </w:rPr>
      </w:pPr>
      <w:r/>
      <w:bookmarkStart w:id="32" w:name="_Toc13835"/>
      <w:r/>
      <w:bookmarkStart w:id="33" w:name="_Toc16342"/>
      <w:r>
        <w:rPr>
          <w:rFonts w:hint="eastAsia" w:ascii="微软雅黑" w:hAnsi="微软雅黑" w:cs="微软雅黑"/>
          <w:szCs w:val="32"/>
        </w:rPr>
        <w:t xml:space="preserve">第二章 </w:t>
      </w:r>
      <w:r>
        <w:rPr>
          <w:rFonts w:hint="eastAsia" w:ascii="微软雅黑" w:hAnsi="微软雅黑" w:cs="微软雅黑"/>
        </w:rPr>
        <w:t xml:space="preserve">供应商须知</w:t>
      </w:r>
      <w:bookmarkEnd w:id="2"/>
      <w:r/>
      <w:bookmarkEnd w:id="27"/>
      <w:r/>
      <w:bookmarkEnd w:id="32"/>
      <w:r/>
      <w:bookmarkEnd w:id="33"/>
      <w:r/>
      <w:r/>
    </w:p>
    <w:p>
      <w:pPr>
        <w:jc w:val="left"/>
        <w:widowControl/>
        <w:rPr>
          <w:rFonts w:hint="eastAsia" w:ascii="微软雅黑" w:hAnsi="微软雅黑" w:cs="微软雅黑"/>
          <w:b/>
          <w:bCs/>
          <w:sz w:val="24"/>
          <w:szCs w:val="24"/>
          <w:lang w:bidi="ar"/>
        </w:rPr>
      </w:pPr>
      <w:r>
        <w:rPr>
          <w:rFonts w:hint="eastAsia" w:ascii="微软雅黑" w:hAnsi="微软雅黑" w:cs="微软雅黑"/>
          <w:b/>
          <w:bCs/>
          <w:sz w:val="24"/>
          <w:szCs w:val="24"/>
        </w:rPr>
        <w:t xml:space="preserve">供应商须知前附表</w:t>
      </w:r>
      <w:r>
        <w:rPr>
          <w:rFonts w:hint="eastAsia" w:ascii="微软雅黑" w:hAnsi="微软雅黑" w:cs="微软雅黑"/>
          <w:b/>
          <w:bCs/>
          <w:sz w:val="24"/>
          <w:szCs w:val="24"/>
          <w:lang w:bidi="ar"/>
        </w:rPr>
        <w:t xml:space="preserve">（采购文件中与此表内容表述不一致部分，以此表内容为准）</w:t>
      </w:r>
      <w:r/>
    </w:p>
    <w:tbl>
      <w:tblPr>
        <w:tblStyle w:val="1146"/>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734"/>
        </w:trPr>
        <w:tc>
          <w:tcPr>
            <w:tcW w:w="650" w:type="dxa"/>
            <w:vAlign w:val="center"/>
            <w:textDirection w:val="lrTb"/>
            <w:noWrap w:val="false"/>
          </w:tcPr>
          <w:p>
            <w:pPr>
              <w:jc w:val="center"/>
              <w:spacing w:line="440" w:lineRule="exact"/>
              <w:rPr>
                <w:rFonts w:hint="eastAsia" w:ascii="微软雅黑" w:hAnsi="微软雅黑" w:cs="微软雅黑"/>
                <w:b/>
                <w:bCs/>
                <w:szCs w:val="21"/>
              </w:rPr>
            </w:pPr>
            <w:r/>
            <w:bookmarkStart w:id="34" w:name="_Toc4078"/>
            <w:r/>
            <w:bookmarkStart w:id="35" w:name="_Toc452384170"/>
            <w:r>
              <w:rPr>
                <w:rFonts w:hint="eastAsia" w:ascii="微软雅黑" w:hAnsi="微软雅黑" w:cs="微软雅黑"/>
                <w:b/>
                <w:bCs/>
                <w:szCs w:val="21"/>
              </w:rPr>
              <w:t xml:space="preserve">序号</w:t>
            </w:r>
            <w:r/>
          </w:p>
        </w:tc>
        <w:tc>
          <w:tcPr>
            <w:tcW w:w="1755" w:type="dxa"/>
            <w:vAlign w:val="center"/>
            <w:textDirection w:val="lrTb"/>
            <w:noWrap w:val="false"/>
          </w:tcPr>
          <w:p>
            <w:pPr>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项目</w:t>
            </w:r>
            <w:r/>
          </w:p>
        </w:tc>
        <w:tc>
          <w:tcPr>
            <w:tcW w:w="6117" w:type="dxa"/>
            <w:vAlign w:val="center"/>
            <w:textDirection w:val="lrTb"/>
            <w:noWrap w:val="false"/>
          </w:tcPr>
          <w:p>
            <w:pPr>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具体内容</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项目名称</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南京医科大学生物医药分中心激光共聚焦显微镜采购项目</w:t>
            </w:r>
            <w:r/>
          </w:p>
        </w:tc>
      </w:tr>
      <w:tr>
        <w:trPr>
          <w:jc w:val="center"/>
          <w:trHeight w:val="928" w:hRule="exact"/>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项目编号</w:t>
            </w:r>
            <w:r/>
          </w:p>
        </w:tc>
        <w:tc>
          <w:tcPr>
            <w:tcW w:w="6117" w:type="dxa"/>
            <w:vAlign w:val="center"/>
            <w:textDirection w:val="lrTb"/>
            <w:noWrap w:val="false"/>
          </w:tcPr>
          <w:p>
            <w:pPr>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eastAsia="zh-CN"/>
              </w:rPr>
              <w:t xml:space="preserve">JSZC-320000-JSHC-G2026-0031</w:t>
            </w:r>
            <w:r/>
          </w:p>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（代理机构内部编号：JSHC-2026080674B1）</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采购方式</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公开招标</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4</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资金来源</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财政性资金</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预算金额</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人民币贰佰陆拾捌万元整（人民币268万元）</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6</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最高限价</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人民币贰佰陆拾捌万元整（人民币268万元）</w:t>
            </w:r>
            <w:r/>
          </w:p>
        </w:tc>
      </w:tr>
      <w:tr>
        <w:trPr>
          <w:jc w:val="center"/>
          <w:trHeight w:val="533"/>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7</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分包</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无</w:t>
            </w:r>
            <w:r/>
          </w:p>
        </w:tc>
      </w:tr>
      <w:tr>
        <w:trPr>
          <w:jc w:val="center"/>
          <w:trHeight w:val="1269"/>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8</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采购人</w:t>
            </w:r>
            <w:r/>
          </w:p>
        </w:tc>
        <w:tc>
          <w:tcPr>
            <w:tcW w:w="6117" w:type="dxa"/>
            <w:vAlign w:val="center"/>
            <w:textDirection w:val="lrTb"/>
            <w:noWrap w:val="false"/>
          </w:tcPr>
          <w:p>
            <w:pPr>
              <w:spacing w:line="400" w:lineRule="exact"/>
              <w:rPr>
                <w:rFonts w:hint="eastAsia" w:ascii="微软雅黑" w:hAnsi="微软雅黑" w:cs="微软雅黑"/>
                <w:szCs w:val="21"/>
              </w:rPr>
            </w:pPr>
            <w:r>
              <w:rPr>
                <w:rFonts w:hint="eastAsia" w:ascii="微软雅黑" w:hAnsi="微软雅黑" w:cs="微软雅黑"/>
                <w:szCs w:val="21"/>
              </w:rPr>
              <w:t xml:space="preserve">单位名称：南京医科大学</w:t>
            </w:r>
            <w:r/>
          </w:p>
          <w:p>
            <w:pPr>
              <w:spacing w:line="400" w:lineRule="exact"/>
              <w:rPr>
                <w:rFonts w:hint="eastAsia" w:ascii="微软雅黑" w:hAnsi="微软雅黑" w:cs="微软雅黑"/>
                <w:szCs w:val="21"/>
              </w:rPr>
            </w:pPr>
            <w:r>
              <w:rPr>
                <w:rFonts w:hint="eastAsia" w:ascii="微软雅黑" w:hAnsi="微软雅黑" w:cs="微软雅黑"/>
                <w:szCs w:val="21"/>
              </w:rPr>
              <w:t xml:space="preserve">联系人：马老师</w:t>
            </w:r>
            <w:r/>
          </w:p>
          <w:p>
            <w:pPr>
              <w:spacing w:line="400" w:lineRule="exact"/>
              <w:rPr>
                <w:rFonts w:hint="eastAsia" w:ascii="微软雅黑" w:hAnsi="微软雅黑" w:cs="微软雅黑"/>
                <w:szCs w:val="21"/>
              </w:rPr>
            </w:pPr>
            <w:r>
              <w:rPr>
                <w:rFonts w:hint="eastAsia" w:ascii="微软雅黑" w:hAnsi="微软雅黑" w:cs="微软雅黑"/>
                <w:szCs w:val="21"/>
              </w:rPr>
              <w:t xml:space="preserve">联系电话：025-86868572</w:t>
            </w:r>
            <w:r/>
          </w:p>
        </w:tc>
      </w:tr>
      <w:tr>
        <w:trPr>
          <w:jc w:val="center"/>
          <w:trHeight w:val="1303"/>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9</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采购代理机构</w:t>
            </w:r>
            <w:r/>
          </w:p>
        </w:tc>
        <w:tc>
          <w:tcPr>
            <w:tcW w:w="6117" w:type="dxa"/>
            <w:vAlign w:val="center"/>
            <w:textDirection w:val="lrTb"/>
            <w:noWrap w:val="false"/>
          </w:tcPr>
          <w:p>
            <w:pPr>
              <w:spacing w:line="400" w:lineRule="exact"/>
              <w:rPr>
                <w:rFonts w:hint="eastAsia" w:ascii="微软雅黑" w:hAnsi="微软雅黑" w:cs="微软雅黑"/>
                <w:szCs w:val="21"/>
              </w:rPr>
            </w:pPr>
            <w:r>
              <w:rPr>
                <w:rFonts w:hint="eastAsia" w:ascii="微软雅黑" w:hAnsi="微软雅黑" w:cs="微软雅黑"/>
                <w:szCs w:val="21"/>
              </w:rPr>
              <w:t xml:space="preserve">江苏省华采招标有限公司</w:t>
            </w:r>
            <w:r/>
          </w:p>
          <w:p>
            <w:pPr>
              <w:spacing w:line="400" w:lineRule="exact"/>
              <w:rPr>
                <w:rFonts w:hint="eastAsia" w:ascii="微软雅黑" w:hAnsi="微软雅黑" w:cs="微软雅黑"/>
                <w:szCs w:val="21"/>
              </w:rPr>
            </w:pPr>
            <w:r>
              <w:rPr>
                <w:rFonts w:hint="eastAsia" w:ascii="微软雅黑" w:hAnsi="微软雅黑" w:cs="微软雅黑"/>
                <w:szCs w:val="21"/>
              </w:rPr>
              <w:t xml:space="preserve">项目负责人：刘洁/徐雪</w:t>
            </w:r>
            <w:r/>
          </w:p>
          <w:p>
            <w:pPr>
              <w:spacing w:line="400" w:lineRule="exact"/>
              <w:rPr>
                <w:rFonts w:hint="eastAsia" w:ascii="微软雅黑" w:hAnsi="微软雅黑" w:cs="微软雅黑"/>
                <w:szCs w:val="21"/>
              </w:rPr>
            </w:pPr>
            <w:r>
              <w:rPr>
                <w:rFonts w:hint="eastAsia" w:ascii="微软雅黑" w:hAnsi="微软雅黑" w:cs="微软雅黑"/>
                <w:szCs w:val="21"/>
              </w:rPr>
              <w:t xml:space="preserve">联系电话：025-83603368</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10</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投标保证金</w:t>
            </w:r>
            <w:r/>
          </w:p>
        </w:tc>
        <w:tc>
          <w:tcPr>
            <w:tcW w:w="6117" w:type="dxa"/>
            <w:vAlign w:val="center"/>
            <w:textDirection w:val="lrTb"/>
            <w:noWrap w:val="false"/>
          </w:tcPr>
          <w:p>
            <w:pPr>
              <w:spacing w:line="400" w:lineRule="exact"/>
              <w:rPr>
                <w:rFonts w:hint="eastAsia" w:ascii="微软雅黑" w:hAnsi="微软雅黑" w:cs="微软雅黑"/>
                <w:szCs w:val="21"/>
              </w:rPr>
            </w:pPr>
            <w:r>
              <w:rPr>
                <w:rFonts w:hint="eastAsia" w:ascii="微软雅黑" w:hAnsi="微软雅黑" w:cs="微软雅黑"/>
                <w:szCs w:val="21"/>
              </w:rPr>
              <w:t xml:space="preserve">无</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11</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现场勘查/答疑</w:t>
            </w:r>
            <w:r/>
          </w:p>
        </w:tc>
        <w:tc>
          <w:tcPr>
            <w:tcW w:w="6117" w:type="dxa"/>
            <w:vAlign w:val="center"/>
            <w:textDirection w:val="lrTb"/>
            <w:noWrap w:val="false"/>
          </w:tcPr>
          <w:p>
            <w:pPr>
              <w:spacing w:line="400" w:lineRule="exact"/>
              <w:rPr>
                <w:rFonts w:hint="eastAsia" w:ascii="微软雅黑" w:hAnsi="微软雅黑" w:cs="微软雅黑"/>
                <w:szCs w:val="21"/>
              </w:rPr>
            </w:pPr>
            <w:r>
              <w:rPr>
                <w:rFonts w:hint="eastAsia" w:ascii="微软雅黑" w:hAnsi="微软雅黑" w:cs="微软雅黑"/>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12</w:t>
            </w:r>
            <w:r/>
          </w:p>
        </w:tc>
        <w:tc>
          <w:tcPr>
            <w:tcW w:w="1755" w:type="dxa"/>
            <w:vAlign w:val="center"/>
            <w:textDirection w:val="lrTb"/>
            <w:noWrap w:val="false"/>
          </w:tcPr>
          <w:p>
            <w:pPr>
              <w:jc w:val="center"/>
              <w:spacing w:line="400" w:lineRule="exact"/>
              <w:rPr>
                <w:rFonts w:hint="eastAsia" w:ascii="微软雅黑" w:hAnsi="微软雅黑" w:cs="微软雅黑"/>
                <w:szCs w:val="21"/>
              </w:rPr>
            </w:pPr>
            <w:r>
              <w:rPr>
                <w:rFonts w:hint="eastAsia" w:ascii="微软雅黑" w:hAnsi="微软雅黑" w:cs="微软雅黑"/>
                <w:szCs w:val="21"/>
              </w:rPr>
              <w:t xml:space="preserve">投标文件递交开始时间、截止时间及地点</w:t>
            </w:r>
            <w:r/>
          </w:p>
        </w:tc>
        <w:tc>
          <w:tcPr>
            <w:tcW w:w="6117" w:type="dxa"/>
            <w:vAlign w:val="center"/>
            <w:textDirection w:val="lrTb"/>
            <w:noWrap w:val="false"/>
          </w:tcPr>
          <w:p>
            <w:pPr>
              <w:rPr>
                <w:rFonts w:hint="eastAsia" w:ascii="微软雅黑" w:hAnsi="微软雅黑" w:cs="微软雅黑"/>
              </w:rPr>
            </w:pPr>
            <w:r>
              <w:rPr>
                <w:rFonts w:hint="eastAsia" w:ascii="微软雅黑" w:hAnsi="微软雅黑" w:cs="微软雅黑"/>
              </w:rPr>
              <w:t xml:space="preserve">详见第一章投标邀请（采购公告）</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13</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投标文件数量</w:t>
            </w:r>
            <w:r/>
          </w:p>
        </w:tc>
        <w:tc>
          <w:tcPr>
            <w:tcW w:w="6117" w:type="dxa"/>
            <w:vAlign w:val="center"/>
            <w:textDirection w:val="lrTb"/>
            <w:noWrap w:val="false"/>
          </w:tcPr>
          <w:p>
            <w:pPr>
              <w:spacing w:line="400" w:lineRule="exact"/>
              <w:rPr>
                <w:rFonts w:hint="eastAsia" w:ascii="微软雅黑" w:hAnsi="微软雅黑" w:cs="微软雅黑"/>
                <w:sz w:val="22"/>
              </w:rPr>
            </w:pPr>
            <w:r>
              <w:rPr>
                <w:rFonts w:hint="eastAsia" w:ascii="微软雅黑" w:hAnsi="微软雅黑" w:cs="微软雅黑"/>
                <w:szCs w:val="21"/>
              </w:rPr>
              <w:t xml:space="preserve">电子投标文件上传“苏采云”政府采购交易系统。</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14</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开标注意事项</w:t>
            </w:r>
            <w:r/>
          </w:p>
        </w:tc>
        <w:tc>
          <w:tcPr>
            <w:tcW w:w="6117" w:type="dxa"/>
            <w:vAlign w:val="center"/>
            <w:textDirection w:val="lrTb"/>
            <w:noWrap w:val="false"/>
          </w:tcPr>
          <w:p>
            <w:pPr>
              <w:spacing w:line="400" w:lineRule="exact"/>
              <w:rPr>
                <w:rFonts w:hint="eastAsia" w:ascii="微软雅黑" w:hAnsi="微软雅黑" w:cs="微软雅黑"/>
                <w:szCs w:val="21"/>
              </w:rPr>
            </w:pPr>
            <w:r>
              <w:rPr>
                <w:rFonts w:hint="eastAsia" w:ascii="微软雅黑" w:hAnsi="微软雅黑" w:cs="微软雅黑"/>
                <w:szCs w:val="21"/>
              </w:rPr>
              <w:t xml:space="preserve">供应商在投标文件递交截止时间前</w:t>
            </w:r>
            <w:r>
              <w:rPr>
                <w:rFonts w:hint="eastAsia"/>
              </w:rPr>
              <w:t xml:space="preserve">将</w:t>
            </w:r>
            <w:r>
              <w:rPr>
                <w:rFonts w:hint="eastAsia" w:ascii="微软雅黑" w:hAnsi="微软雅黑" w:cs="微软雅黑"/>
                <w:szCs w:val="21"/>
              </w:rPr>
              <w:t xml:space="preserve">电子投标文件上传“苏采云”政府采购交易系统，并准时参加线上开标会。</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15</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样品</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16</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现场演示</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17</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投标文件有效期</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投标截止时间后九十天</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18</w:t>
            </w:r>
            <w:r/>
          </w:p>
        </w:tc>
        <w:tc>
          <w:tcPr>
            <w:tcW w:w="1755" w:type="dxa"/>
            <w:vAlign w:val="center"/>
            <w:textDirection w:val="lrTb"/>
            <w:noWrap w:val="false"/>
          </w:tcPr>
          <w:p>
            <w:pPr>
              <w:jc w:val="center"/>
              <w:spacing w:line="400" w:lineRule="exact"/>
              <w:rPr>
                <w:rFonts w:hint="eastAsia" w:ascii="微软雅黑" w:hAnsi="微软雅黑" w:cs="微软雅黑"/>
                <w:szCs w:val="21"/>
              </w:rPr>
            </w:pPr>
            <w:r>
              <w:rPr>
                <w:rFonts w:hint="eastAsia" w:ascii="微软雅黑" w:hAnsi="微软雅黑" w:cs="微软雅黑"/>
                <w:szCs w:val="21"/>
              </w:rPr>
              <w:t xml:space="preserve">采购标的对应的 中小企业划分标准所属行业</w:t>
            </w:r>
            <w:r/>
          </w:p>
        </w:tc>
        <w:tc>
          <w:tcPr>
            <w:tcW w:w="6117" w:type="dxa"/>
            <w:vAlign w:val="center"/>
            <w:textDirection w:val="lrTb"/>
            <w:noWrap w:val="false"/>
          </w:tcPr>
          <w:p>
            <w:pPr>
              <w:jc w:val="left"/>
              <w:spacing w:line="440" w:lineRule="exact"/>
              <w:rPr>
                <w:rFonts w:hint="eastAsia" w:ascii="微软雅黑" w:hAnsi="微软雅黑" w:cs="微软雅黑"/>
                <w:szCs w:val="21"/>
              </w:rPr>
            </w:pPr>
            <w:r>
              <w:rPr>
                <w:rFonts w:hint="eastAsia" w:ascii="微软雅黑" w:hAnsi="微软雅黑" w:cs="微软雅黑"/>
                <w:szCs w:val="21"/>
              </w:rPr>
              <w:t xml:space="preserve">工业</w:t>
            </w:r>
            <w:r/>
          </w:p>
        </w:tc>
      </w:tr>
      <w:tr>
        <w:trPr>
          <w:jc w:val="center"/>
          <w:trHeight w:val="1299"/>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19</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投标报价</w:t>
            </w:r>
            <w:r/>
          </w:p>
        </w:tc>
        <w:tc>
          <w:tcPr>
            <w:tcW w:w="6117" w:type="dxa"/>
            <w:vAlign w:val="center"/>
            <w:textDirection w:val="lrTb"/>
            <w:noWrap w:val="false"/>
          </w:tcPr>
          <w:p>
            <w:pPr>
              <w:spacing w:line="400" w:lineRule="exact"/>
              <w:rPr>
                <w:rFonts w:hint="eastAsia" w:ascii="微软雅黑" w:hAnsi="微软雅黑" w:cs="微软雅黑"/>
                <w:szCs w:val="21"/>
              </w:rPr>
            </w:pPr>
            <w:r>
              <w:rPr>
                <w:rFonts w:hint="eastAsia" w:ascii="微软雅黑" w:hAnsi="微软雅黑" w:cs="微软雅黑"/>
                <w:szCs w:val="21"/>
              </w:rPr>
              <w:t xml:space="preserve">投标报价包括采购文件所规定的采购范围的全部内容。包括但不仅限于全部货物的价格及相关税费、运输到指定地点的装运费用、安装调试、培训、售后服务</w:t>
            </w:r>
            <w:r>
              <w:rPr>
                <w:rFonts w:hint="eastAsia" w:ascii="微软雅黑" w:hAnsi="微软雅黑" w:cs="微软雅黑"/>
                <w:szCs w:val="21"/>
                <w:lang w:eastAsia="zh-CN"/>
              </w:rPr>
              <w:t xml:space="preserve">、</w:t>
            </w:r>
            <w:r>
              <w:rPr>
                <w:rFonts w:hint="eastAsia" w:ascii="微软雅黑" w:hAnsi="微软雅黑" w:cs="微软雅黑"/>
                <w:szCs w:val="21"/>
                <w:lang w:val="en-US" w:eastAsia="zh-CN"/>
              </w:rPr>
              <w:t xml:space="preserve">代理服务费</w:t>
            </w:r>
            <w:r>
              <w:rPr>
                <w:rFonts w:hint="eastAsia" w:ascii="微软雅黑" w:hAnsi="微软雅黑" w:cs="微软雅黑"/>
                <w:szCs w:val="21"/>
              </w:rPr>
              <w:t xml:space="preserve">等其他有关的所有费用。</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20</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关于联合体投标</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本项目不接受联合体投标</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21</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投标文件有效性</w:t>
            </w:r>
            <w:r/>
          </w:p>
        </w:tc>
        <w:tc>
          <w:tcPr>
            <w:tcW w:w="6117" w:type="dxa"/>
            <w:vAlign w:val="center"/>
            <w:textDirection w:val="lrTb"/>
            <w:noWrap w:val="false"/>
          </w:tcPr>
          <w:p>
            <w:pPr>
              <w:spacing w:line="400" w:lineRule="exact"/>
              <w:rPr>
                <w:rFonts w:hint="eastAsia"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22</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代理费用</w:t>
            </w:r>
            <w:r/>
          </w:p>
        </w:tc>
        <w:tc>
          <w:tcPr>
            <w:tcW w:w="6117" w:type="dxa"/>
            <w:vAlign w:val="center"/>
            <w:textDirection w:val="lrTb"/>
            <w:noWrap w:val="false"/>
          </w:tcPr>
          <w:p>
            <w:pPr>
              <w:numPr>
                <w:ilvl w:val="0"/>
                <w:numId w:val="8"/>
              </w:numPr>
              <w:spacing w:line="400" w:lineRule="exact"/>
              <w:rPr>
                <w:rFonts w:hint="eastAsia" w:ascii="微软雅黑" w:hAnsi="微软雅黑" w:cs="微软雅黑"/>
              </w:rPr>
            </w:pPr>
            <w:r>
              <w:rPr>
                <w:rFonts w:hint="eastAsia" w:ascii="微软雅黑" w:hAnsi="微软雅黑" w:cs="微软雅黑"/>
              </w:rPr>
              <w:t xml:space="preserve">本次采购活动招标代理服务费采用差额定率累进计费方式。参照苏财规[2026]1号规定，本项目采购人不支付代理服务费，代理服务费由中标供应商支付，供应商报价应包含代理服务费。中标供应商按《招标代理服务收费管理暂行办法》（国家发展计划委员会计价格[2002]1980号），招标收费基准费率40%计算，超过人民币壹万伍仟元的按固定金额人民币壹万伍仟元计算；单个项目计算结果不足15000元的，按实际计算金额收取。</w:t>
            </w:r>
            <w:bookmarkStart w:id="327" w:name="_GoBack"/>
            <w:r/>
            <w:bookmarkEnd w:id="327"/>
            <w:r/>
            <w:r/>
          </w:p>
          <w:p>
            <w:pPr>
              <w:numPr>
                <w:ilvl w:val="0"/>
                <w:numId w:val="8"/>
              </w:numPr>
              <w:spacing w:line="400" w:lineRule="exact"/>
              <w:rPr>
                <w:rFonts w:hint="eastAsia" w:ascii="微软雅黑" w:hAnsi="微软雅黑" w:cs="微软雅黑"/>
              </w:rPr>
            </w:pPr>
            <w:r>
              <w:rPr>
                <w:rFonts w:hint="eastAsia" w:ascii="微软雅黑" w:hAnsi="微软雅黑" w:cs="微软雅黑"/>
              </w:rPr>
              <w:t xml:space="preserve">本次采购活动招标代理服务费由中标供应商支付，中标供应商领取《中标通知书》前一次性向采购代理机构缴纳。</w:t>
            </w:r>
            <w:r/>
          </w:p>
          <w:p>
            <w:pPr>
              <w:numPr>
                <w:ilvl w:val="0"/>
                <w:numId w:val="8"/>
              </w:numPr>
              <w:spacing w:line="400" w:lineRule="exact"/>
              <w:rPr>
                <w:rFonts w:hint="eastAsia" w:ascii="微软雅黑" w:hAnsi="微软雅黑" w:cs="微软雅黑"/>
              </w:rPr>
            </w:pPr>
            <w:r>
              <w:rPr>
                <w:rFonts w:hint="eastAsia" w:ascii="微软雅黑" w:hAnsi="微软雅黑" w:cs="微软雅黑"/>
              </w:rPr>
              <w:t xml:space="preserve">本次招标代理服务费不包括有可能产生的专家复议费及由于摆放样品额外租赁场地产生的场地使用费等，如有产生此项费用由中标供应商额外按实支付。</w:t>
            </w:r>
            <w:r/>
          </w:p>
          <w:p>
            <w:pPr>
              <w:pStyle w:val="1154"/>
              <w:numPr>
                <w:ilvl w:val="0"/>
                <w:numId w:val="8"/>
              </w:numPr>
              <w:spacing w:line="400" w:lineRule="exact"/>
              <w:rPr>
                <w:rFonts w:hint="eastAsia" w:ascii="微软雅黑" w:hAnsi="微软雅黑" w:cs="微软雅黑"/>
              </w:rPr>
            </w:pPr>
            <w:r>
              <w:rPr>
                <w:rFonts w:hint="eastAsia" w:ascii="微软雅黑" w:hAnsi="微软雅黑" w:cs="微软雅黑"/>
              </w:rPr>
              <w:t xml:space="preserve">收款信息：</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户名：江苏省华采招标有限公司</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开户行：招商银行南京奥体支行</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账号：1259 0737 5810 501</w:t>
            </w:r>
            <w:r/>
          </w:p>
          <w:p>
            <w:pPr>
              <w:pStyle w:val="1154"/>
              <w:ind w:left="0" w:firstLine="420"/>
              <w:spacing w:line="400" w:lineRule="exact"/>
              <w:rPr>
                <w:rFonts w:hint="eastAsia" w:ascii="微软雅黑" w:hAnsi="微软雅黑" w:cs="微软雅黑"/>
                <w:szCs w:val="21"/>
              </w:rPr>
            </w:pPr>
            <w:r>
              <w:rPr>
                <w:rFonts w:hint="eastAsia" w:ascii="微软雅黑" w:hAnsi="微软雅黑" w:cs="微软雅黑"/>
                <w:szCs w:val="21"/>
              </w:rPr>
              <w:t xml:space="preserve">开户行行号：3083 0100 6254</w:t>
            </w:r>
            <w:r/>
          </w:p>
          <w:p>
            <w:r>
              <w:rPr>
                <w:rFonts w:hint="eastAsia" w:ascii="微软雅黑" w:hAnsi="微软雅黑" w:cs="微软雅黑"/>
                <w:szCs w:val="21"/>
              </w:rPr>
              <w:t xml:space="preserve">备注674B1代理服务费</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23</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其他相关说明</w:t>
            </w:r>
            <w:r/>
          </w:p>
        </w:tc>
        <w:tc>
          <w:tcPr>
            <w:tcW w:w="6117" w:type="dxa"/>
            <w:vAlign w:val="center"/>
            <w:textDirection w:val="lrTb"/>
            <w:noWrap w:val="false"/>
          </w:tcPr>
          <w:p>
            <w:pPr>
              <w:numPr>
                <w:ilvl w:val="0"/>
                <w:numId w:val="9"/>
              </w:numPr>
              <w:spacing w:line="400" w:lineRule="exact"/>
              <w:rPr>
                <w:rFonts w:hint="eastAsia" w:ascii="微软雅黑" w:hAnsi="微软雅黑" w:cs="微软雅黑"/>
              </w:rPr>
            </w:pPr>
            <w:r>
              <w:rPr>
                <w:rFonts w:hint="eastAsia" w:ascii="微软雅黑" w:hAnsi="微软雅黑" w:cs="微软雅黑"/>
              </w:rPr>
              <w:t xml:space="preserve">有关本项目的相关公告敬请关注江苏政府采购网（www.ccgp-jiangsu.gov.cn），也可以与我公司项目部联系，联系人及电话：刘工025-83603368。</w:t>
            </w:r>
            <w:r/>
          </w:p>
          <w:p>
            <w:pPr>
              <w:pStyle w:val="1370"/>
              <w:numPr>
                <w:ilvl w:val="0"/>
                <w:numId w:val="9"/>
              </w:numPr>
              <w:spacing w:line="400" w:lineRule="exact"/>
              <w:rPr>
                <w:rFonts w:hint="eastAsia" w:ascii="微软雅黑" w:hAnsi="微软雅黑" w:cs="微软雅黑"/>
              </w:rPr>
            </w:pPr>
            <w:r>
              <w:rPr>
                <w:rFonts w:hint="eastAsia" w:ascii="微软雅黑" w:hAnsi="微软雅黑" w:cs="微软雅黑"/>
                <w:szCs w:val="21"/>
              </w:rPr>
              <w:t xml:space="preserve">有关发票开具事项：请将开票信息</w:t>
            </w:r>
            <w:r>
              <w:rPr>
                <w:rFonts w:hint="eastAsia" w:ascii="微软雅黑" w:hAnsi="微软雅黑" w:cs="微软雅黑"/>
              </w:rPr>
              <w:t xml:space="preserve">发至财务邮箱：</w:t>
            </w:r>
            <w:r>
              <w:rPr>
                <w:rFonts w:ascii="微软雅黑" w:hAnsi="微软雅黑" w:cs="微软雅黑"/>
              </w:rPr>
              <w:t xml:space="preserve">jshc888888@163.com</w:t>
            </w:r>
            <w:r>
              <w:rPr>
                <w:rFonts w:hint="eastAsia" w:ascii="微软雅黑" w:hAnsi="微软雅黑" w:cs="微软雅黑"/>
              </w:rPr>
              <w:t xml:space="preserve">（开票信息包括</w:t>
            </w:r>
            <w:r>
              <w:rPr>
                <w:rFonts w:hint="eastAsia"/>
              </w:rPr>
              <w:t xml:space="preserve">公司名</w:t>
            </w:r>
            <w:r>
              <w:rPr>
                <w:rFonts w:hint="eastAsia" w:ascii="微软雅黑" w:hAnsi="微软雅黑" w:cs="微软雅黑"/>
              </w:rPr>
              <w:t xml:space="preserve">称、统一社会信用代码、公司地址、联系电话、开户银行及账号、财务联系人等）。</w:t>
            </w:r>
            <w:r>
              <w:rPr>
                <w:rFonts w:hint="eastAsia"/>
              </w:rPr>
              <w:t xml:space="preserve">领取发票：电子发票。</w:t>
            </w:r>
            <w:r/>
          </w:p>
        </w:tc>
      </w:tr>
    </w:tbl>
    <w:p>
      <w:pPr>
        <w:pStyle w:val="1353"/>
        <w:spacing w:after="100"/>
        <w:rPr>
          <w:rFonts w:hint="eastAsia" w:ascii="微软雅黑" w:hAnsi="微软雅黑" w:cs="微软雅黑"/>
        </w:rPr>
      </w:pPr>
      <w:r>
        <w:rPr>
          <w:rFonts w:hint="eastAsia" w:ascii="微软雅黑" w:hAnsi="微软雅黑" w:cs="微软雅黑"/>
        </w:rPr>
        <w:br w:type="page" w:clear="all"/>
      </w:r>
      <w:bookmarkStart w:id="36" w:name="_Toc25303"/>
      <w:r/>
      <w:bookmarkStart w:id="37" w:name="_Toc25611"/>
      <w:r>
        <w:rPr>
          <w:rFonts w:hint="eastAsia" w:ascii="微软雅黑" w:hAnsi="微软雅黑" w:cs="微软雅黑"/>
        </w:rPr>
        <w:t xml:space="preserve">一、总则</w:t>
      </w:r>
      <w:bookmarkEnd w:id="34"/>
      <w:r/>
      <w:bookmarkEnd w:id="35"/>
      <w:r/>
      <w:bookmarkEnd w:id="36"/>
      <w:r/>
      <w:bookmarkEnd w:id="37"/>
      <w:r/>
      <w:r/>
    </w:p>
    <w:p>
      <w:pPr>
        <w:pStyle w:val="1216"/>
        <w:spacing w:line="420" w:lineRule="exact"/>
        <w:rPr>
          <w:rFonts w:hint="eastAsia" w:ascii="微软雅黑" w:hAnsi="微软雅黑" w:cs="微软雅黑"/>
          <w:bCs w:val="0"/>
          <w:sz w:val="24"/>
          <w:szCs w:val="24"/>
        </w:rPr>
      </w:pPr>
      <w:r/>
      <w:bookmarkStart w:id="38" w:name="_Toc19551"/>
      <w:r/>
      <w:bookmarkStart w:id="39" w:name="_Toc30960"/>
      <w:r/>
      <w:bookmarkStart w:id="40" w:name="_Toc452384171"/>
      <w:r/>
      <w:bookmarkStart w:id="41" w:name="_Toc24353"/>
      <w:r/>
      <w:bookmarkStart w:id="42" w:name="_Toc12748"/>
      <w:r>
        <w:rPr>
          <w:rFonts w:hint="eastAsia" w:ascii="微软雅黑" w:hAnsi="微软雅黑" w:cs="微软雅黑"/>
          <w:bCs w:val="0"/>
          <w:sz w:val="24"/>
          <w:szCs w:val="24"/>
        </w:rPr>
        <w:t xml:space="preserve">1.1适用范围</w:t>
      </w:r>
      <w:bookmarkEnd w:id="38"/>
      <w:r/>
      <w:bookmarkEnd w:id="39"/>
      <w:r/>
      <w:bookmarkEnd w:id="40"/>
      <w:r/>
      <w:bookmarkEnd w:id="41"/>
      <w:r/>
      <w:r/>
    </w:p>
    <w:p>
      <w:pPr>
        <w:spacing w:line="420" w:lineRule="exact"/>
        <w:rPr>
          <w:rFonts w:hint="eastAsia" w:ascii="微软雅黑" w:hAnsi="微软雅黑" w:cs="微软雅黑"/>
        </w:rPr>
      </w:pPr>
      <w:r>
        <w:rPr>
          <w:rFonts w:hint="eastAsia" w:ascii="微软雅黑" w:hAnsi="微软雅黑" w:cs="微软雅黑"/>
        </w:rPr>
        <w:t xml:space="preserve">1.1.1本采购文件仅适用于江苏省华采招标有限公司（以下简称采购代理机构）组织的采购活动。</w:t>
      </w:r>
      <w:r/>
    </w:p>
    <w:p>
      <w:pPr>
        <w:spacing w:line="420" w:lineRule="exact"/>
        <w:rPr>
          <w:rFonts w:hint="eastAsia" w:ascii="微软雅黑" w:hAnsi="微软雅黑" w:cs="微软雅黑"/>
        </w:rPr>
      </w:pPr>
      <w:r>
        <w:rPr>
          <w:rFonts w:hint="eastAsia" w:ascii="微软雅黑" w:hAnsi="微软雅黑" w:cs="微软雅黑"/>
        </w:rPr>
        <w:t xml:space="preserve">1.1.2采购人指</w:t>
      </w:r>
      <w:r>
        <w:rPr>
          <w:rFonts w:hint="eastAsia" w:ascii="微软雅黑" w:hAnsi="微软雅黑" w:cs="微软雅黑"/>
          <w:b/>
          <w:bCs/>
        </w:rPr>
        <w:t xml:space="preserve">南京医科大学</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p>
    <w:p>
      <w:pPr>
        <w:pStyle w:val="1216"/>
        <w:spacing w:line="420" w:lineRule="exact"/>
        <w:rPr>
          <w:rFonts w:hint="eastAsia" w:ascii="微软雅黑" w:hAnsi="微软雅黑" w:cs="微软雅黑"/>
          <w:bCs w:val="0"/>
          <w:sz w:val="24"/>
          <w:szCs w:val="24"/>
        </w:rPr>
      </w:pPr>
      <w:r/>
      <w:bookmarkStart w:id="43" w:name="_Toc452384172"/>
      <w:r/>
      <w:bookmarkStart w:id="44" w:name="_Toc5939"/>
      <w:r/>
      <w:bookmarkStart w:id="45" w:name="_Toc26931"/>
      <w:r/>
      <w:bookmarkStart w:id="46" w:name="_Toc17779"/>
      <w:r>
        <w:rPr>
          <w:rFonts w:hint="eastAsia" w:ascii="微软雅黑" w:hAnsi="微软雅黑" w:cs="微软雅黑"/>
          <w:bCs w:val="0"/>
          <w:sz w:val="24"/>
          <w:szCs w:val="24"/>
        </w:rPr>
        <w:t xml:space="preserve">1.2合格的</w:t>
      </w:r>
      <w:bookmarkEnd w:id="43"/>
      <w:r>
        <w:rPr>
          <w:rFonts w:hint="eastAsia" w:ascii="微软雅黑" w:hAnsi="微软雅黑" w:cs="微软雅黑"/>
          <w:bCs w:val="0"/>
          <w:sz w:val="24"/>
          <w:szCs w:val="24"/>
        </w:rPr>
        <w:t xml:space="preserve">供应商</w:t>
      </w:r>
      <w:bookmarkEnd w:id="44"/>
      <w:r/>
      <w:bookmarkEnd w:id="45"/>
      <w:r/>
      <w:bookmarkEnd w:id="46"/>
      <w:r/>
      <w:r/>
    </w:p>
    <w:p>
      <w:pPr>
        <w:spacing w:line="420" w:lineRule="exact"/>
        <w:rPr>
          <w:rFonts w:hint="eastAsia" w:ascii="微软雅黑" w:hAnsi="微软雅黑" w:cs="微软雅黑"/>
        </w:rPr>
      </w:pPr>
      <w:r>
        <w:rPr>
          <w:rFonts w:hint="eastAsia" w:ascii="微软雅黑" w:hAnsi="微软雅黑" w:cs="微软雅黑"/>
        </w:rPr>
        <w:t xml:space="preserve">1.2.1凡有能力按照本采购文件规定的要求提供货物、服务，并符合采购文件第一章“申请人的资格要求”的投标单位均可成为合格的供应商。</w:t>
      </w:r>
      <w:r/>
    </w:p>
    <w:p>
      <w:pPr>
        <w:spacing w:line="420" w:lineRule="exact"/>
        <w:rPr>
          <w:rFonts w:hint="eastAsia" w:ascii="微软雅黑" w:hAnsi="微软雅黑" w:cs="微软雅黑"/>
        </w:rPr>
      </w:pPr>
      <w:r>
        <w:rPr>
          <w:rFonts w:hint="eastAsia" w:ascii="微软雅黑" w:hAnsi="微软雅黑" w:cs="微软雅黑"/>
        </w:rPr>
        <w:t xml:space="preserve">1.2.2供应商参加本次采购活动应当符合本采购文件的规定。</w:t>
      </w:r>
      <w:r/>
    </w:p>
    <w:p>
      <w:pPr>
        <w:spacing w:line="420" w:lineRule="exact"/>
        <w:rPr>
          <w:rFonts w:hint="eastAsia" w:ascii="微软雅黑" w:hAnsi="微软雅黑" w:cs="微软雅黑"/>
        </w:rPr>
      </w:pPr>
      <w:r>
        <w:rPr>
          <w:rFonts w:hint="eastAsia" w:ascii="微软雅黑" w:hAnsi="微软雅黑" w:cs="微软雅黑"/>
        </w:rPr>
        <w:t xml:space="preserve">1.2.3供应商应遵守《中华人民共和国政府采购法》、《中华人民共和国政府采购法实施条例》、《中华人民共和国民法典》和《反不正当竞争法》等有关法律、法规，如有违反将视为不合格供应商，其投标文件无效。</w:t>
      </w:r>
      <w:r/>
    </w:p>
    <w:p>
      <w:pPr>
        <w:spacing w:line="420" w:lineRule="exact"/>
        <w:rPr>
          <w:rFonts w:hint="eastAsia" w:ascii="微软雅黑" w:hAnsi="微软雅黑" w:cs="微软雅黑"/>
        </w:rPr>
      </w:pPr>
      <w:r>
        <w:rPr>
          <w:rFonts w:hint="eastAsia" w:ascii="微软雅黑" w:hAnsi="微软雅黑" w:cs="微软雅黑"/>
        </w:rPr>
        <w:t xml:space="preserve">1.2.4联合体投标</w:t>
      </w:r>
      <w:r/>
    </w:p>
    <w:p>
      <w:pPr>
        <w:ind w:firstLine="420"/>
        <w:spacing w:line="420" w:lineRule="exact"/>
        <w:rPr>
          <w:rFonts w:hint="eastAsia" w:ascii="微软雅黑" w:hAnsi="微软雅黑" w:cs="微软雅黑"/>
        </w:rPr>
      </w:pPr>
      <w:r>
        <w:rPr>
          <w:rFonts w:hint="eastAsia" w:ascii="微软雅黑" w:hAnsi="微软雅黑" w:cs="微软雅黑"/>
        </w:rPr>
        <w:t xml:space="preserve">本采购文件如特别说明接受两个以上自然人、法人或者其他组织组成联合体参加本次采购活动的，联合体各方均应遵守本采购文件中的规定。</w:t>
      </w:r>
      <w:r/>
    </w:p>
    <w:p>
      <w:pPr>
        <w:ind w:firstLine="420"/>
        <w:spacing w:line="420" w:lineRule="exact"/>
        <w:rPr>
          <w:rFonts w:hint="eastAsia" w:ascii="微软雅黑" w:hAnsi="微软雅黑" w:cs="微软雅黑"/>
        </w:rPr>
      </w:pPr>
      <w:r>
        <w:rPr>
          <w:rFonts w:hint="eastAsia" w:ascii="微软雅黑" w:hAnsi="微软雅黑" w:cs="微软雅黑"/>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p>
    <w:p>
      <w:pPr>
        <w:spacing w:line="420" w:lineRule="exact"/>
        <w:rPr>
          <w:rFonts w:hint="eastAsia" w:ascii="微软雅黑" w:hAnsi="微软雅黑" w:cs="微软雅黑"/>
          <w:b/>
          <w:i/>
          <w:u w:val="single"/>
        </w:rPr>
      </w:pPr>
      <w:r>
        <w:rPr>
          <w:rFonts w:hint="eastAsia" w:ascii="微软雅黑" w:hAnsi="微软雅黑" w:cs="微软雅黑"/>
        </w:rPr>
        <w:t xml:space="preserve">1.2.5无论采购文件是否提及，投标供应商所递交的投标文件中所有内容均应是真实有效的；</w:t>
      </w:r>
      <w:r>
        <w:rPr>
          <w:rFonts w:hint="eastAsia" w:ascii="微软雅黑" w:hAnsi="微软雅黑" w:cs="微软雅黑"/>
          <w:b/>
          <w:i/>
          <w:szCs w:val="21"/>
          <w:u w:val="single"/>
        </w:rPr>
        <w:t xml:space="preserve">供应商所提供的产品或者服务，必须满足国家相关强制性规定要求，由于供应商违反国家相关强制性规定给采购人造成损失，一切责任和后果均由供应商承担。</w:t>
      </w:r>
      <w:r/>
    </w:p>
    <w:p>
      <w:pPr>
        <w:pStyle w:val="1216"/>
        <w:spacing w:line="420" w:lineRule="exact"/>
        <w:rPr>
          <w:rFonts w:hint="eastAsia" w:ascii="微软雅黑" w:hAnsi="微软雅黑" w:cs="微软雅黑"/>
          <w:bCs w:val="0"/>
          <w:sz w:val="24"/>
          <w:szCs w:val="24"/>
        </w:rPr>
      </w:pPr>
      <w:r/>
      <w:bookmarkStart w:id="47" w:name="_Toc403671109"/>
      <w:r/>
      <w:bookmarkStart w:id="48" w:name="_Toc15036"/>
      <w:r/>
      <w:bookmarkStart w:id="49" w:name="_Toc452384173"/>
      <w:r/>
      <w:bookmarkStart w:id="50" w:name="_Toc8112"/>
      <w:r/>
      <w:bookmarkStart w:id="51" w:name="_Toc23266"/>
      <w:r>
        <w:rPr>
          <w:rFonts w:hint="eastAsia" w:ascii="微软雅黑" w:hAnsi="微软雅黑" w:cs="微软雅黑"/>
          <w:bCs w:val="0"/>
          <w:sz w:val="24"/>
          <w:szCs w:val="24"/>
        </w:rPr>
        <w:t xml:space="preserve">1.3</w:t>
      </w:r>
      <w:bookmarkEnd w:id="47"/>
      <w:r>
        <w:rPr>
          <w:rFonts w:hint="eastAsia" w:ascii="微软雅黑" w:hAnsi="微软雅黑" w:cs="微软雅黑"/>
          <w:bCs w:val="0"/>
          <w:sz w:val="24"/>
          <w:szCs w:val="24"/>
        </w:rPr>
        <w:t xml:space="preserve">参加采购活动费用</w:t>
      </w:r>
      <w:bookmarkEnd w:id="48"/>
      <w:r/>
      <w:bookmarkEnd w:id="49"/>
      <w:r/>
      <w:bookmarkEnd w:id="50"/>
      <w:r/>
      <w:bookmarkEnd w:id="51"/>
      <w:r/>
      <w:r/>
    </w:p>
    <w:p>
      <w:pPr>
        <w:spacing w:line="420" w:lineRule="exact"/>
        <w:rPr>
          <w:rFonts w:hint="eastAsia" w:ascii="微软雅黑" w:hAnsi="微软雅黑" w:cs="微软雅黑"/>
        </w:rPr>
      </w:pPr>
      <w:r>
        <w:rPr>
          <w:rFonts w:hint="eastAsia" w:ascii="微软雅黑" w:hAnsi="微软雅黑" w:cs="微软雅黑"/>
        </w:rPr>
        <w:t xml:space="preserve">1.3.1无论采购活动过程中的做法和结果如何，供应商自行承担与参加采购活动有关的全部费用。</w:t>
      </w:r>
      <w:r/>
    </w:p>
    <w:p>
      <w:pPr>
        <w:spacing w:line="420" w:lineRule="exact"/>
        <w:rPr>
          <w:rFonts w:hint="eastAsia" w:ascii="微软雅黑" w:hAnsi="微软雅黑" w:cs="微软雅黑"/>
        </w:rPr>
      </w:pPr>
      <w:r>
        <w:rPr>
          <w:rFonts w:hint="eastAsia" w:ascii="微软雅黑" w:hAnsi="微软雅黑" w:cs="微软雅黑"/>
        </w:rPr>
        <w:t xml:space="preserve">1.3.2有关费用的收取标准，详见供应商须知前附表。</w:t>
      </w:r>
      <w:r/>
    </w:p>
    <w:p>
      <w:pPr>
        <w:pStyle w:val="1216"/>
        <w:spacing w:line="420" w:lineRule="exact"/>
        <w:rPr>
          <w:rFonts w:hint="eastAsia" w:ascii="微软雅黑" w:hAnsi="微软雅黑" w:cs="微软雅黑"/>
          <w:bCs w:val="0"/>
          <w:sz w:val="24"/>
          <w:szCs w:val="24"/>
        </w:rPr>
      </w:pPr>
      <w:r/>
      <w:bookmarkStart w:id="52" w:name="_Toc15385"/>
      <w:r/>
      <w:bookmarkStart w:id="53" w:name="_Toc13311"/>
      <w:r/>
      <w:bookmarkStart w:id="54" w:name="_Toc452384174"/>
      <w:r/>
      <w:bookmarkStart w:id="55" w:name="_Toc28048"/>
      <w:r>
        <w:rPr>
          <w:rFonts w:hint="eastAsia" w:ascii="微软雅黑" w:hAnsi="微软雅黑" w:cs="微软雅黑"/>
          <w:bCs w:val="0"/>
          <w:sz w:val="24"/>
          <w:szCs w:val="24"/>
        </w:rPr>
        <w:t xml:space="preserve">1.4法律适用</w:t>
      </w:r>
      <w:bookmarkEnd w:id="52"/>
      <w:r/>
      <w:bookmarkEnd w:id="53"/>
      <w:r/>
      <w:bookmarkEnd w:id="54"/>
      <w:r/>
      <w:bookmarkEnd w:id="55"/>
      <w:r/>
      <w:r/>
    </w:p>
    <w:p>
      <w:pPr>
        <w:spacing w:line="420" w:lineRule="exact"/>
        <w:rPr>
          <w:rFonts w:hint="eastAsia" w:ascii="微软雅黑" w:hAnsi="微软雅黑" w:cs="微软雅黑"/>
        </w:rPr>
      </w:pPr>
      <w:r>
        <w:rPr>
          <w:rFonts w:hint="eastAsia" w:ascii="微软雅黑" w:hAnsi="微软雅黑" w:cs="微软雅黑"/>
        </w:rPr>
        <w:t xml:space="preserve">本次采购活动及其产生的合同适用中华人民共和国法律。</w:t>
      </w:r>
      <w:r/>
    </w:p>
    <w:p>
      <w:pPr>
        <w:pStyle w:val="1216"/>
        <w:spacing w:line="420" w:lineRule="exact"/>
        <w:rPr>
          <w:rFonts w:hint="eastAsia" w:ascii="微软雅黑" w:hAnsi="微软雅黑" w:cs="微软雅黑"/>
          <w:bCs w:val="0"/>
          <w:sz w:val="24"/>
          <w:szCs w:val="24"/>
        </w:rPr>
      </w:pPr>
      <w:r/>
      <w:bookmarkStart w:id="56" w:name="_Toc32584"/>
      <w:r/>
      <w:bookmarkStart w:id="57" w:name="_Toc8605"/>
      <w:r/>
      <w:bookmarkStart w:id="58" w:name="_Toc452384175"/>
      <w:r/>
      <w:bookmarkStart w:id="59" w:name="_Toc18968"/>
      <w:r>
        <w:rPr>
          <w:rFonts w:hint="eastAsia" w:ascii="微软雅黑" w:hAnsi="微软雅黑" w:cs="微软雅黑"/>
          <w:bCs w:val="0"/>
          <w:sz w:val="24"/>
          <w:szCs w:val="24"/>
        </w:rPr>
        <w:t xml:space="preserve">1.5采购文件的约束力</w:t>
      </w:r>
      <w:bookmarkEnd w:id="56"/>
      <w:r/>
      <w:bookmarkEnd w:id="57"/>
      <w:r/>
      <w:bookmarkEnd w:id="58"/>
      <w:r/>
      <w:bookmarkEnd w:id="59"/>
      <w:r/>
      <w:r/>
    </w:p>
    <w:p>
      <w:pPr>
        <w:spacing w:line="420" w:lineRule="exact"/>
        <w:rPr>
          <w:rFonts w:hint="eastAsia" w:ascii="微软雅黑" w:hAnsi="微软雅黑" w:cs="微软雅黑"/>
        </w:rPr>
      </w:pPr>
      <w:r>
        <w:rPr>
          <w:rFonts w:hint="eastAsia" w:ascii="微软雅黑" w:hAnsi="微软雅黑" w:cs="微软雅黑"/>
        </w:rPr>
        <w:t xml:space="preserve">1.5.1供应商一旦参加本次采购活动，即被认为接受了本采购文件中的所有条款和规定。</w:t>
      </w:r>
      <w:r/>
    </w:p>
    <w:p>
      <w:pPr>
        <w:spacing w:line="420" w:lineRule="exact"/>
        <w:rPr>
          <w:rFonts w:hint="eastAsia" w:ascii="微软雅黑" w:hAnsi="微软雅黑" w:cs="微软雅黑"/>
        </w:rPr>
      </w:pPr>
      <w:r>
        <w:rPr>
          <w:rFonts w:hint="eastAsia" w:ascii="微软雅黑" w:hAnsi="微软雅黑" w:cs="微软雅黑"/>
        </w:rPr>
        <w:t xml:space="preserve">1.5.2本采购文件由采购代理机构负责解释。</w:t>
      </w:r>
      <w:r/>
    </w:p>
    <w:p>
      <w:pPr>
        <w:pStyle w:val="1353"/>
        <w:spacing w:line="420" w:lineRule="exact"/>
        <w:rPr>
          <w:rFonts w:hint="eastAsia" w:ascii="微软雅黑" w:hAnsi="微软雅黑" w:cs="微软雅黑"/>
        </w:rPr>
      </w:pPr>
      <w:r/>
      <w:bookmarkStart w:id="60" w:name="_Toc21022"/>
      <w:r/>
      <w:bookmarkStart w:id="61" w:name="_Toc14767"/>
      <w:r/>
      <w:bookmarkStart w:id="62" w:name="_Toc9303"/>
      <w:r/>
      <w:bookmarkStart w:id="63" w:name="_Toc452384176"/>
      <w:r>
        <w:rPr>
          <w:rFonts w:hint="eastAsia" w:ascii="微软雅黑" w:hAnsi="微软雅黑" w:cs="微软雅黑"/>
        </w:rPr>
        <w:t xml:space="preserve">二、采购文件</w:t>
      </w:r>
      <w:bookmarkEnd w:id="60"/>
      <w:r/>
      <w:bookmarkEnd w:id="61"/>
      <w:r/>
      <w:bookmarkEnd w:id="62"/>
      <w:r/>
      <w:bookmarkEnd w:id="63"/>
      <w:r/>
      <w:r/>
    </w:p>
    <w:p>
      <w:pPr>
        <w:pStyle w:val="1216"/>
        <w:spacing w:line="420" w:lineRule="exact"/>
        <w:rPr>
          <w:rFonts w:hint="eastAsia" w:ascii="微软雅黑" w:hAnsi="微软雅黑" w:cs="微软雅黑"/>
          <w:bCs w:val="0"/>
          <w:sz w:val="24"/>
          <w:szCs w:val="24"/>
        </w:rPr>
      </w:pPr>
      <w:r/>
      <w:bookmarkStart w:id="64" w:name="_Toc452384177"/>
      <w:r/>
      <w:bookmarkStart w:id="65" w:name="_Toc21175"/>
      <w:r/>
      <w:bookmarkStart w:id="66" w:name="_Toc10645"/>
      <w:r/>
      <w:bookmarkStart w:id="67" w:name="_Toc23555"/>
      <w:r>
        <w:rPr>
          <w:rFonts w:hint="eastAsia" w:ascii="微软雅黑" w:hAnsi="微软雅黑" w:cs="微软雅黑"/>
          <w:bCs w:val="0"/>
          <w:sz w:val="24"/>
          <w:szCs w:val="24"/>
        </w:rPr>
        <w:t xml:space="preserve">2.1采购文件的组成</w:t>
      </w:r>
      <w:bookmarkEnd w:id="64"/>
      <w:r/>
      <w:bookmarkEnd w:id="65"/>
      <w:r/>
      <w:bookmarkEnd w:id="66"/>
      <w:r/>
      <w:bookmarkEnd w:id="67"/>
      <w:r/>
      <w:r/>
    </w:p>
    <w:p>
      <w:pPr>
        <w:spacing w:line="420" w:lineRule="exact"/>
        <w:rPr>
          <w:rFonts w:hint="eastAsia" w:ascii="微软雅黑" w:hAnsi="微软雅黑" w:cs="微软雅黑"/>
        </w:rPr>
      </w:pPr>
      <w:r>
        <w:rPr>
          <w:rFonts w:hint="eastAsia" w:ascii="微软雅黑" w:hAnsi="微软雅黑" w:cs="微软雅黑"/>
        </w:rPr>
        <w:t xml:space="preserve">2.1.1采购文件由以下部分组成：</w:t>
      </w:r>
      <w:r/>
    </w:p>
    <w:p>
      <w:pPr>
        <w:ind w:firstLine="420"/>
        <w:spacing w:line="420" w:lineRule="exact"/>
        <w:rPr>
          <w:rFonts w:hint="eastAsia" w:ascii="微软雅黑" w:hAnsi="微软雅黑" w:cs="微软雅黑"/>
        </w:rPr>
      </w:pPr>
      <w:r>
        <w:rPr>
          <w:rFonts w:hint="eastAsia" w:ascii="微软雅黑" w:hAnsi="微软雅黑" w:cs="微软雅黑"/>
        </w:rPr>
        <w:t xml:space="preserve">第一章 投标邀请（采购公告）</w:t>
      </w:r>
      <w:r/>
    </w:p>
    <w:p>
      <w:pPr>
        <w:ind w:firstLine="420"/>
        <w:spacing w:line="420" w:lineRule="exact"/>
        <w:rPr>
          <w:rFonts w:hint="eastAsia" w:ascii="微软雅黑" w:hAnsi="微软雅黑" w:cs="微软雅黑"/>
        </w:rPr>
      </w:pPr>
      <w:r>
        <w:rPr>
          <w:rFonts w:hint="eastAsia" w:ascii="微软雅黑" w:hAnsi="微软雅黑" w:cs="微软雅黑"/>
        </w:rPr>
        <w:t xml:space="preserve">第二章 供应商须知</w:t>
      </w:r>
      <w:r/>
    </w:p>
    <w:p>
      <w:pPr>
        <w:ind w:firstLine="420"/>
        <w:spacing w:line="420" w:lineRule="exact"/>
        <w:rPr>
          <w:rFonts w:hint="eastAsia" w:ascii="微软雅黑" w:hAnsi="微软雅黑" w:cs="微软雅黑"/>
        </w:rPr>
      </w:pPr>
      <w:r>
        <w:rPr>
          <w:rFonts w:hint="eastAsia" w:ascii="微软雅黑" w:hAnsi="微软雅黑" w:cs="微软雅黑"/>
        </w:rPr>
        <w:t xml:space="preserve">第三章 评标办法和定标原则</w:t>
      </w:r>
      <w:r/>
    </w:p>
    <w:p>
      <w:pPr>
        <w:ind w:firstLine="420"/>
        <w:spacing w:line="420" w:lineRule="exact"/>
        <w:rPr>
          <w:rFonts w:hint="eastAsia" w:ascii="微软雅黑" w:hAnsi="微软雅黑" w:cs="微软雅黑"/>
        </w:rPr>
      </w:pPr>
      <w:r>
        <w:rPr>
          <w:rFonts w:hint="eastAsia" w:ascii="微软雅黑" w:hAnsi="微软雅黑" w:cs="微软雅黑"/>
        </w:rPr>
        <w:t xml:space="preserve">第四章 项目采购需求</w:t>
      </w:r>
      <w:r/>
    </w:p>
    <w:p>
      <w:pPr>
        <w:ind w:firstLine="420"/>
        <w:spacing w:line="420" w:lineRule="exact"/>
        <w:rPr>
          <w:rFonts w:hint="eastAsia" w:ascii="微软雅黑" w:hAnsi="微软雅黑" w:cs="微软雅黑"/>
        </w:rPr>
      </w:pPr>
      <w:r>
        <w:rPr>
          <w:rFonts w:hint="eastAsia" w:ascii="微软雅黑" w:hAnsi="微软雅黑" w:cs="微软雅黑"/>
        </w:rPr>
        <w:t xml:space="preserve">第五章 采购合同</w:t>
      </w:r>
      <w:r/>
    </w:p>
    <w:p>
      <w:pPr>
        <w:ind w:firstLine="420"/>
        <w:spacing w:line="420" w:lineRule="exact"/>
        <w:rPr>
          <w:rFonts w:hint="eastAsia" w:ascii="微软雅黑" w:hAnsi="微软雅黑" w:cs="微软雅黑"/>
        </w:rPr>
      </w:pPr>
      <w:r>
        <w:rPr>
          <w:rFonts w:hint="eastAsia" w:ascii="微软雅黑" w:hAnsi="微软雅黑" w:cs="微软雅黑"/>
        </w:rPr>
        <w:t xml:space="preserve">第六章 投标文件格式及附件</w:t>
      </w:r>
      <w:r/>
    </w:p>
    <w:p>
      <w:pPr>
        <w:ind w:firstLine="420"/>
        <w:spacing w:line="420" w:lineRule="exact"/>
        <w:rPr>
          <w:rFonts w:hint="eastAsia" w:ascii="微软雅黑" w:hAnsi="微软雅黑" w:cs="微软雅黑"/>
        </w:rPr>
      </w:pPr>
      <w:r>
        <w:rPr>
          <w:rFonts w:hint="eastAsia" w:ascii="微软雅黑" w:hAnsi="微软雅黑" w:cs="微软雅黑"/>
        </w:rPr>
        <w:t xml:space="preserve">请仔细检查采购文件是否齐全，如有缺漏，请立即与采购代理机构联系解决。</w:t>
      </w:r>
      <w:r/>
    </w:p>
    <w:p>
      <w:pPr>
        <w:spacing w:line="420" w:lineRule="exact"/>
        <w:rPr>
          <w:rFonts w:hint="eastAsia" w:ascii="微软雅黑" w:hAnsi="微软雅黑" w:cs="微软雅黑"/>
        </w:rPr>
      </w:pPr>
      <w:r>
        <w:rPr>
          <w:rFonts w:hint="eastAsia" w:ascii="微软雅黑" w:hAnsi="微软雅黑" w:cs="微软雅黑"/>
        </w:rPr>
        <w:t xml:space="preserve">2.1.2供应商被视为充分熟悉本采购项目所在地的与履行合同有关的各种情况，包括自然环境、气候条件、劳动力及公用设施等，本采购文件不再对上述情况进行描述。</w:t>
      </w:r>
      <w:r/>
    </w:p>
    <w:p>
      <w:pPr>
        <w:spacing w:line="420" w:lineRule="exact"/>
        <w:rPr>
          <w:rFonts w:hint="eastAsia" w:ascii="微软雅黑" w:hAnsi="微软雅黑" w:cs="微软雅黑"/>
        </w:rPr>
      </w:pPr>
      <w:r>
        <w:rPr>
          <w:rFonts w:hint="eastAsia" w:ascii="微软雅黑" w:hAnsi="微软雅黑" w:cs="微软雅黑"/>
        </w:rPr>
        <w:t xml:space="preserve">2.1.3供应商必须详阅采购文件的所有条款、文件及表格格式等。供应商若未按采购文件的要求和规范编制、提交投标文件，将有可能导致投标文件被拒绝接受或被视为无效。</w:t>
      </w:r>
      <w:r/>
    </w:p>
    <w:p>
      <w:pPr>
        <w:pStyle w:val="1216"/>
        <w:spacing w:line="420" w:lineRule="exact"/>
        <w:rPr>
          <w:rFonts w:hint="eastAsia" w:ascii="微软雅黑" w:hAnsi="微软雅黑" w:cs="微软雅黑"/>
          <w:bCs w:val="0"/>
          <w:sz w:val="24"/>
          <w:szCs w:val="24"/>
        </w:rPr>
      </w:pPr>
      <w:r/>
      <w:bookmarkStart w:id="68" w:name="_Toc6117"/>
      <w:r/>
      <w:bookmarkStart w:id="69" w:name="_Toc15213"/>
      <w:r/>
      <w:bookmarkStart w:id="70" w:name="_Toc452384179"/>
      <w:r/>
      <w:bookmarkStart w:id="71" w:name="_Toc10339"/>
      <w:r>
        <w:rPr>
          <w:rFonts w:hint="eastAsia" w:ascii="微软雅黑" w:hAnsi="微软雅黑" w:cs="微软雅黑"/>
          <w:bCs w:val="0"/>
          <w:sz w:val="24"/>
          <w:szCs w:val="24"/>
        </w:rPr>
        <w:t xml:space="preserve">2.2采购文件的更正或补充</w:t>
      </w:r>
      <w:bookmarkEnd w:id="68"/>
      <w:r/>
      <w:bookmarkEnd w:id="69"/>
      <w:r/>
      <w:bookmarkEnd w:id="70"/>
      <w:r/>
      <w:bookmarkEnd w:id="71"/>
      <w:r/>
      <w:r/>
    </w:p>
    <w:p>
      <w:pPr>
        <w:spacing w:line="420" w:lineRule="exact"/>
        <w:rPr>
          <w:rFonts w:hint="eastAsia" w:ascii="微软雅黑" w:hAnsi="微软雅黑" w:cs="微软雅黑"/>
        </w:rPr>
      </w:pPr>
      <w:r>
        <w:rPr>
          <w:rFonts w:hint="eastAsia" w:ascii="微软雅黑" w:hAnsi="微软雅黑" w:cs="微软雅黑"/>
        </w:rPr>
        <w:t xml:space="preserve">2.2.1在投标截止时间前，采购代理机构可根据有关规定对采购文件用更正公告的方式进行修正。</w:t>
      </w:r>
      <w:r/>
    </w:p>
    <w:p>
      <w:pPr>
        <w:spacing w:line="420" w:lineRule="exact"/>
        <w:rPr>
          <w:rFonts w:hint="eastAsia" w:ascii="微软雅黑" w:hAnsi="微软雅黑" w:cs="微软雅黑"/>
        </w:rPr>
      </w:pPr>
      <w:r>
        <w:rPr>
          <w:rFonts w:hint="eastAsia" w:ascii="微软雅黑" w:hAnsi="微软雅黑" w:cs="微软雅黑"/>
        </w:rPr>
        <w:t xml:space="preserve">2.2.2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p>
    <w:p>
      <w:pPr>
        <w:spacing w:line="420" w:lineRule="exact"/>
        <w:rPr>
          <w:rFonts w:hint="eastAsia" w:ascii="微软雅黑" w:hAnsi="微软雅黑" w:cs="微软雅黑"/>
        </w:rPr>
      </w:pPr>
      <w:r>
        <w:rPr>
          <w:rFonts w:hint="eastAsia" w:ascii="微软雅黑" w:hAnsi="微软雅黑" w:cs="微软雅黑"/>
        </w:rPr>
        <w:t xml:space="preserve">2.2.3当采购文件与更正公告的内容不一致时，以采购代理机构最后发出的更正公告为准。</w:t>
      </w:r>
      <w:r/>
    </w:p>
    <w:p>
      <w:pPr>
        <w:spacing w:line="420" w:lineRule="exact"/>
        <w:rPr>
          <w:rFonts w:hint="eastAsia" w:ascii="微软雅黑" w:hAnsi="微软雅黑" w:cs="微软雅黑"/>
        </w:rPr>
      </w:pPr>
      <w:r>
        <w:rPr>
          <w:rFonts w:hint="eastAsia" w:ascii="微软雅黑" w:hAnsi="微软雅黑" w:cs="微软雅黑"/>
        </w:rPr>
        <w:t xml:space="preserve">2.2.4为使供应商有足够的时间按采购文件的更正要求修正投标文件，采购代理机构有权决定推迟投标截止时间，并按2.2.2条规定的方式将具体变更情况通知供应商。</w:t>
      </w:r>
      <w:r/>
    </w:p>
    <w:p>
      <w:pPr>
        <w:ind w:firstLine="420"/>
        <w:jc w:val="left"/>
        <w:spacing w:line="440" w:lineRule="exact"/>
        <w:rPr>
          <w:rFonts w:hint="eastAsia" w:ascii="微软雅黑" w:hAnsi="微软雅黑" w:cs="微软雅黑"/>
          <w:b/>
          <w:bCs/>
          <w:i/>
          <w:iCs/>
          <w:szCs w:val="21"/>
          <w:u w:val="single"/>
        </w:rPr>
      </w:pPr>
      <w:r>
        <w:rPr>
          <w:rFonts w:hint="eastAsia" w:ascii="微软雅黑" w:hAnsi="微软雅黑" w:cs="微软雅黑"/>
          <w:b/>
          <w:bCs/>
          <w:i/>
          <w:iCs/>
          <w:szCs w:val="21"/>
          <w:u w:val="single"/>
        </w:rPr>
        <w:t xml:space="preserve">如标书制作工具中格式和内容与“江苏政府采购网”发布的招标文件不一致，以“江苏政府采购网”发布的招标文件为准。</w:t>
      </w:r>
      <w:r/>
    </w:p>
    <w:p>
      <w:pPr>
        <w:pStyle w:val="1353"/>
        <w:spacing w:line="420" w:lineRule="exact"/>
        <w:rPr>
          <w:rFonts w:hint="eastAsia" w:ascii="微软雅黑" w:hAnsi="微软雅黑" w:cs="微软雅黑"/>
        </w:rPr>
      </w:pPr>
      <w:r/>
      <w:bookmarkStart w:id="72" w:name="_Toc28998"/>
      <w:r/>
      <w:bookmarkStart w:id="73" w:name="_Toc923"/>
      <w:r/>
      <w:bookmarkStart w:id="74" w:name="_Toc452384180"/>
      <w:r/>
      <w:bookmarkStart w:id="75" w:name="_Toc124"/>
      <w:r>
        <w:rPr>
          <w:rFonts w:hint="eastAsia" w:ascii="微软雅黑" w:hAnsi="微软雅黑" w:cs="微软雅黑"/>
        </w:rPr>
        <w:t xml:space="preserve">三、投标文件</w:t>
      </w:r>
      <w:bookmarkEnd w:id="72"/>
      <w:r/>
      <w:bookmarkEnd w:id="73"/>
      <w:r/>
      <w:bookmarkEnd w:id="74"/>
      <w:r/>
      <w:bookmarkEnd w:id="75"/>
      <w:r/>
      <w:r/>
    </w:p>
    <w:p>
      <w:pPr>
        <w:pStyle w:val="1216"/>
        <w:spacing w:line="420" w:lineRule="exact"/>
        <w:rPr>
          <w:rFonts w:hint="eastAsia" w:ascii="微软雅黑" w:hAnsi="微软雅黑" w:cs="微软雅黑"/>
          <w:bCs w:val="0"/>
          <w:sz w:val="24"/>
          <w:szCs w:val="24"/>
        </w:rPr>
      </w:pPr>
      <w:r/>
      <w:bookmarkStart w:id="76" w:name="_Toc452384181"/>
      <w:r/>
      <w:bookmarkStart w:id="77" w:name="_Toc13316"/>
      <w:r/>
      <w:bookmarkStart w:id="78" w:name="_Toc7846"/>
      <w:r/>
      <w:bookmarkStart w:id="79" w:name="_Toc9096"/>
      <w:r>
        <w:rPr>
          <w:rFonts w:hint="eastAsia" w:ascii="微软雅黑" w:hAnsi="微软雅黑" w:cs="微软雅黑"/>
          <w:bCs w:val="0"/>
          <w:sz w:val="24"/>
          <w:szCs w:val="24"/>
        </w:rPr>
        <w:t xml:space="preserve">3.1投标文件的语言及度量衡</w:t>
      </w:r>
      <w:bookmarkEnd w:id="76"/>
      <w:r/>
      <w:bookmarkEnd w:id="77"/>
      <w:r/>
      <w:bookmarkEnd w:id="78"/>
      <w:r/>
      <w:bookmarkEnd w:id="79"/>
      <w:r/>
      <w:r/>
    </w:p>
    <w:p>
      <w:pPr>
        <w:spacing w:line="420" w:lineRule="exact"/>
        <w:rPr>
          <w:rFonts w:hint="eastAsia" w:ascii="微软雅黑" w:hAnsi="微软雅黑" w:cs="微软雅黑"/>
        </w:rPr>
      </w:pPr>
      <w:r>
        <w:rPr>
          <w:rFonts w:hint="eastAsia" w:ascii="微软雅黑" w:hAnsi="微软雅黑" w:cs="微软雅黑"/>
        </w:rPr>
        <w:t xml:space="preserve">3.1.1投标文件以及供应商与采购代理机构之间的所有书面往来都应用简体中文书写。</w:t>
      </w:r>
      <w:r/>
    </w:p>
    <w:p>
      <w:pPr>
        <w:spacing w:line="420" w:lineRule="exact"/>
        <w:rPr>
          <w:rFonts w:hint="eastAsia" w:ascii="微软雅黑" w:hAnsi="微软雅黑" w:cs="微软雅黑"/>
        </w:rPr>
      </w:pPr>
      <w:r>
        <w:rPr>
          <w:rFonts w:hint="eastAsia" w:ascii="微软雅黑" w:hAnsi="微软雅黑" w:cs="微软雅黑"/>
        </w:rPr>
        <w:t xml:space="preserve">3.1.2供应商已印刷好的资料如产品样本、说明书等可以用其他语言，但其中要点应附有中文译文。在解释投标文件时，以译文为准。如译文有误，有关风险与责任由供应商承担。</w:t>
      </w:r>
      <w:r/>
    </w:p>
    <w:p>
      <w:pPr>
        <w:spacing w:line="420" w:lineRule="exact"/>
        <w:rPr>
          <w:rFonts w:hint="eastAsia" w:ascii="微软雅黑" w:hAnsi="微软雅黑" w:cs="微软雅黑"/>
        </w:rPr>
      </w:pPr>
      <w:r>
        <w:rPr>
          <w:rFonts w:hint="eastAsia" w:ascii="微软雅黑" w:hAnsi="微软雅黑" w:cs="微软雅黑"/>
        </w:rPr>
        <w:t xml:space="preserve">3.1.3除在采购文件第六章中另有规定外，度量衡单位应使用国际单位制。</w:t>
      </w:r>
      <w:r/>
    </w:p>
    <w:p>
      <w:pPr>
        <w:spacing w:line="420" w:lineRule="exact"/>
        <w:rPr>
          <w:rFonts w:hint="eastAsia" w:ascii="微软雅黑" w:hAnsi="微软雅黑" w:cs="微软雅黑"/>
        </w:rPr>
      </w:pPr>
      <w:r>
        <w:rPr>
          <w:rFonts w:hint="eastAsia" w:ascii="微软雅黑" w:hAnsi="微软雅黑" w:cs="微软雅黑"/>
        </w:rPr>
        <w:t xml:space="preserve">3.1.4本采购文件所表述的时间均为北京时间。</w:t>
      </w:r>
      <w:r/>
    </w:p>
    <w:p>
      <w:pPr>
        <w:pStyle w:val="1216"/>
        <w:spacing w:line="420" w:lineRule="exact"/>
        <w:rPr>
          <w:rFonts w:hint="eastAsia" w:ascii="微软雅黑" w:hAnsi="微软雅黑" w:cs="微软雅黑"/>
          <w:bCs w:val="0"/>
          <w:sz w:val="24"/>
          <w:szCs w:val="24"/>
        </w:rPr>
      </w:pPr>
      <w:r/>
      <w:bookmarkStart w:id="80" w:name="_Toc452384182"/>
      <w:r/>
      <w:bookmarkStart w:id="81" w:name="_Toc23879"/>
      <w:r/>
      <w:bookmarkStart w:id="82" w:name="_Toc27826"/>
      <w:r/>
      <w:bookmarkStart w:id="83" w:name="_Toc21598"/>
      <w:r>
        <w:rPr>
          <w:rFonts w:hint="eastAsia" w:ascii="微软雅黑" w:hAnsi="微软雅黑" w:cs="微软雅黑"/>
          <w:bCs w:val="0"/>
          <w:sz w:val="24"/>
          <w:szCs w:val="24"/>
        </w:rPr>
        <w:t xml:space="preserve">3.2投标文件的组成</w:t>
      </w:r>
      <w:bookmarkEnd w:id="80"/>
      <w:r/>
      <w:bookmarkEnd w:id="81"/>
      <w:r/>
      <w:bookmarkEnd w:id="82"/>
      <w:r/>
      <w:bookmarkEnd w:id="83"/>
      <w:r/>
      <w:r/>
    </w:p>
    <w:p>
      <w:pPr>
        <w:spacing w:line="420" w:lineRule="exact"/>
        <w:rPr>
          <w:rFonts w:hint="eastAsia" w:ascii="微软雅黑" w:hAnsi="微软雅黑" w:cs="微软雅黑"/>
        </w:rPr>
      </w:pPr>
      <w:r>
        <w:rPr>
          <w:rFonts w:hint="eastAsia" w:ascii="微软雅黑" w:hAnsi="微软雅黑" w:cs="微软雅黑"/>
        </w:rPr>
        <w:t xml:space="preserve">3.2.1投标文件应包括下列部分（目录及有关格式按采购文件第六章“投标文件格式”要求）：</w:t>
      </w:r>
      <w:r/>
    </w:p>
    <w:p>
      <w:pPr>
        <w:ind w:firstLine="420"/>
        <w:spacing w:line="420" w:lineRule="exact"/>
        <w:rPr>
          <w:rFonts w:hint="eastAsia" w:ascii="微软雅黑" w:hAnsi="微软雅黑" w:cs="微软雅黑"/>
        </w:rPr>
      </w:pPr>
      <w:r>
        <w:rPr>
          <w:rFonts w:hint="eastAsia" w:ascii="微软雅黑" w:hAnsi="微软雅黑" w:cs="微软雅黑"/>
        </w:rPr>
        <w:t xml:space="preserve">（1）投标函和投标报价及相关证明文件。</w:t>
      </w:r>
      <w:r/>
    </w:p>
    <w:p>
      <w:pPr>
        <w:ind w:firstLine="420"/>
        <w:spacing w:line="420" w:lineRule="exact"/>
        <w:rPr>
          <w:rFonts w:hint="eastAsia" w:ascii="微软雅黑" w:hAnsi="微软雅黑" w:cs="微软雅黑"/>
        </w:rPr>
      </w:pPr>
      <w:r>
        <w:rPr>
          <w:rFonts w:hint="eastAsia" w:ascii="微软雅黑" w:hAnsi="微软雅黑" w:cs="微软雅黑"/>
        </w:rPr>
        <w:t xml:space="preserve">（2）供应商资格证明文件。</w:t>
      </w:r>
      <w:r/>
    </w:p>
    <w:p>
      <w:pPr>
        <w:ind w:firstLine="420"/>
        <w:spacing w:line="420" w:lineRule="exact"/>
        <w:rPr>
          <w:rFonts w:hint="eastAsia" w:ascii="微软雅黑" w:hAnsi="微软雅黑" w:cs="微软雅黑"/>
        </w:rPr>
      </w:pPr>
      <w:r>
        <w:rPr>
          <w:rFonts w:hint="eastAsia" w:ascii="微软雅黑" w:hAnsi="微软雅黑" w:cs="微软雅黑"/>
        </w:rPr>
        <w:t xml:space="preserve">（3）投标供应商有能力履行合同的证明文件，除必须具有的履行合同所需的提供货物的能力外，还必须具备相应的财务、专业技术方面的能力；</w:t>
      </w:r>
      <w:r/>
    </w:p>
    <w:p>
      <w:pPr>
        <w:ind w:firstLine="420"/>
        <w:spacing w:line="420" w:lineRule="exact"/>
        <w:rPr>
          <w:rFonts w:hint="eastAsia" w:ascii="微软雅黑" w:hAnsi="微软雅黑" w:cs="微软雅黑"/>
        </w:rPr>
      </w:pPr>
      <w:r>
        <w:rPr>
          <w:rFonts w:hint="eastAsia" w:ascii="微软雅黑" w:hAnsi="微软雅黑" w:cs="微软雅黑"/>
        </w:rPr>
        <w:t xml:space="preserve">（4）其他根据合同要求证明其产品质量合格以及符合采购文件规定的证明文件。</w:t>
      </w:r>
      <w:r/>
    </w:p>
    <w:p>
      <w:pPr>
        <w:spacing w:line="420" w:lineRule="exact"/>
        <w:rPr>
          <w:rFonts w:hint="eastAsia" w:ascii="微软雅黑" w:hAnsi="微软雅黑" w:cs="微软雅黑"/>
        </w:rPr>
      </w:pPr>
      <w:r>
        <w:rPr>
          <w:rFonts w:hint="eastAsia" w:ascii="微软雅黑" w:hAnsi="微软雅黑" w:cs="微软雅黑"/>
        </w:rPr>
        <w:t xml:space="preserve">3.2.2采购文件第四章中指出的工艺、材料和设备的标准，以及商标、牌号或其目录编号，仅起说明作用并非进行限制。</w:t>
      </w:r>
      <w:r/>
    </w:p>
    <w:p>
      <w:pPr>
        <w:spacing w:line="420" w:lineRule="exact"/>
        <w:rPr>
          <w:rFonts w:hint="eastAsia" w:ascii="微软雅黑" w:hAnsi="微软雅黑" w:cs="微软雅黑"/>
          <w:b/>
          <w:i/>
          <w:u w:val="single"/>
        </w:rPr>
      </w:pPr>
      <w:r>
        <w:rPr>
          <w:rFonts w:hint="eastAsia" w:ascii="微软雅黑" w:hAnsi="微软雅黑" w:cs="微软雅黑"/>
        </w:rPr>
        <w:t xml:space="preserve">3.2.3</w:t>
      </w:r>
      <w:r>
        <w:rPr>
          <w:rFonts w:hint="eastAsia" w:ascii="微软雅黑" w:hAnsi="微软雅黑" w:cs="微软雅黑"/>
          <w:b/>
          <w:i/>
          <w:u w:val="single"/>
        </w:rPr>
        <w:t xml:space="preserve">若供应商未按采购文件的要求提供资料，或未对采购文件做出实质性响应，将导致投标文件被视为无效。</w:t>
      </w:r>
      <w:r/>
    </w:p>
    <w:p>
      <w:pPr>
        <w:pStyle w:val="1216"/>
        <w:spacing w:line="420" w:lineRule="exact"/>
        <w:rPr>
          <w:rFonts w:hint="eastAsia" w:ascii="微软雅黑" w:hAnsi="微软雅黑" w:cs="微软雅黑"/>
          <w:bCs w:val="0"/>
          <w:sz w:val="24"/>
          <w:szCs w:val="24"/>
        </w:rPr>
      </w:pPr>
      <w:r/>
      <w:bookmarkStart w:id="84" w:name="_Toc28667"/>
      <w:r/>
      <w:bookmarkStart w:id="85" w:name="_Toc452384183"/>
      <w:r/>
      <w:bookmarkStart w:id="86" w:name="_Toc8856"/>
      <w:r/>
      <w:bookmarkStart w:id="87" w:name="_Toc30513"/>
      <w:r>
        <w:rPr>
          <w:rFonts w:hint="eastAsia" w:ascii="微软雅黑" w:hAnsi="微软雅黑" w:cs="微软雅黑"/>
          <w:bCs w:val="0"/>
          <w:sz w:val="24"/>
          <w:szCs w:val="24"/>
        </w:rPr>
        <w:t xml:space="preserve">3.3投标报价</w:t>
      </w:r>
      <w:bookmarkEnd w:id="84"/>
      <w:r/>
      <w:bookmarkEnd w:id="85"/>
      <w:r/>
      <w:bookmarkEnd w:id="86"/>
      <w:r/>
      <w:bookmarkEnd w:id="87"/>
      <w:r/>
      <w:r/>
    </w:p>
    <w:p>
      <w:pPr>
        <w:spacing w:line="420" w:lineRule="exact"/>
        <w:rPr>
          <w:rFonts w:hint="eastAsia" w:ascii="微软雅黑" w:hAnsi="微软雅黑" w:cs="微软雅黑"/>
        </w:rPr>
      </w:pPr>
      <w:r>
        <w:rPr>
          <w:rFonts w:hint="eastAsia" w:ascii="微软雅黑" w:hAnsi="微软雅黑" w:cs="微软雅黑"/>
        </w:rPr>
        <w:t xml:space="preserve">3.3.1如采购文件无其他特殊说明，本次采购采用总承包方式，因此供应商的报价应包括全部货物的价格及相关税费、运输到指定地点的装运费用、安装调试、培训、售后服务等其他有关的所有费用。</w:t>
      </w:r>
      <w:r/>
    </w:p>
    <w:p>
      <w:pPr>
        <w:spacing w:line="420" w:lineRule="exact"/>
        <w:rPr>
          <w:rFonts w:hint="eastAsia" w:ascii="微软雅黑" w:hAnsi="微软雅黑" w:cs="微软雅黑"/>
        </w:rPr>
      </w:pPr>
      <w:r>
        <w:rPr>
          <w:rFonts w:hint="eastAsia" w:ascii="微软雅黑" w:hAnsi="微软雅黑" w:cs="微软雅黑"/>
        </w:rPr>
        <w:t xml:space="preserve">3.3.2除非采购文件有特别说明，采购代理机构不接受备选的投标方案或有选择的报价。</w:t>
      </w:r>
      <w:r/>
    </w:p>
    <w:p>
      <w:pPr>
        <w:spacing w:line="420" w:lineRule="exact"/>
        <w:rPr>
          <w:rFonts w:hint="eastAsia" w:ascii="微软雅黑" w:hAnsi="微软雅黑" w:cs="微软雅黑"/>
          <w:b/>
          <w:i/>
          <w:u w:val="single"/>
        </w:rPr>
      </w:pPr>
      <w:r>
        <w:rPr>
          <w:rFonts w:hint="eastAsia" w:ascii="微软雅黑" w:hAnsi="微软雅黑" w:cs="微软雅黑"/>
          <w:b/>
          <w:i/>
          <w:u w:val="single"/>
        </w:rPr>
        <w:t xml:space="preserve">3.3.3投标报价不得超过采购预算或最高限价，否则投标文件被视为无效。</w:t>
      </w:r>
      <w:r/>
    </w:p>
    <w:p>
      <w:pPr>
        <w:pStyle w:val="1216"/>
        <w:spacing w:line="420" w:lineRule="exact"/>
        <w:rPr>
          <w:rFonts w:hint="eastAsia" w:ascii="微软雅黑" w:hAnsi="微软雅黑" w:cs="微软雅黑"/>
          <w:bCs w:val="0"/>
          <w:sz w:val="24"/>
          <w:szCs w:val="24"/>
        </w:rPr>
      </w:pPr>
      <w:r/>
      <w:bookmarkStart w:id="88" w:name="_Toc18854"/>
      <w:r/>
      <w:bookmarkStart w:id="89" w:name="_Toc452384184"/>
      <w:r/>
      <w:bookmarkStart w:id="90" w:name="_Toc9113"/>
      <w:r/>
      <w:bookmarkStart w:id="91" w:name="_Toc17210"/>
      <w:r>
        <w:rPr>
          <w:rFonts w:hint="eastAsia" w:ascii="微软雅黑" w:hAnsi="微软雅黑" w:cs="微软雅黑"/>
          <w:bCs w:val="0"/>
          <w:sz w:val="24"/>
          <w:szCs w:val="24"/>
        </w:rPr>
        <w:t xml:space="preserve">3.4投标报价中的货币</w:t>
      </w:r>
      <w:bookmarkEnd w:id="88"/>
      <w:r/>
      <w:bookmarkEnd w:id="89"/>
      <w:r/>
      <w:bookmarkEnd w:id="90"/>
      <w:r/>
      <w:bookmarkEnd w:id="91"/>
      <w:r/>
      <w:r/>
    </w:p>
    <w:p>
      <w:pPr>
        <w:ind w:firstLine="420"/>
        <w:spacing w:line="420" w:lineRule="exact"/>
        <w:rPr>
          <w:rFonts w:hint="eastAsia" w:ascii="微软雅黑" w:hAnsi="微软雅黑" w:cs="微软雅黑"/>
        </w:rPr>
      </w:pPr>
      <w:r>
        <w:rPr>
          <w:rFonts w:hint="eastAsia" w:ascii="微软雅黑" w:hAnsi="微软雅黑" w:cs="微软雅黑"/>
        </w:rPr>
        <w:t xml:space="preserve">投标报价均须以人民币为计算单位，采购文件另有规定的，从其规定。</w:t>
      </w:r>
      <w:r/>
    </w:p>
    <w:p>
      <w:pPr>
        <w:pStyle w:val="1216"/>
        <w:spacing w:line="420" w:lineRule="exact"/>
        <w:rPr>
          <w:rFonts w:hint="eastAsia" w:ascii="微软雅黑" w:hAnsi="微软雅黑" w:cs="微软雅黑"/>
          <w:bCs w:val="0"/>
          <w:sz w:val="24"/>
          <w:szCs w:val="24"/>
        </w:rPr>
      </w:pPr>
      <w:r/>
      <w:bookmarkStart w:id="92" w:name="_Toc452384185"/>
      <w:r/>
      <w:bookmarkStart w:id="93" w:name="_Toc16380"/>
      <w:r/>
      <w:bookmarkStart w:id="94" w:name="_Toc65"/>
      <w:r/>
      <w:bookmarkStart w:id="95" w:name="_Toc17274"/>
      <w:r>
        <w:rPr>
          <w:rFonts w:hint="eastAsia" w:ascii="微软雅黑" w:hAnsi="微软雅黑" w:cs="微软雅黑"/>
          <w:bCs w:val="0"/>
          <w:sz w:val="24"/>
          <w:szCs w:val="24"/>
        </w:rPr>
        <w:t xml:space="preserve">3.5投标保证金</w:t>
      </w:r>
      <w:bookmarkEnd w:id="92"/>
      <w:r/>
      <w:bookmarkEnd w:id="93"/>
      <w:r>
        <w:rPr>
          <w:rFonts w:hint="eastAsia" w:ascii="微软雅黑" w:hAnsi="微软雅黑" w:cs="微软雅黑"/>
          <w:bCs w:val="0"/>
          <w:sz w:val="24"/>
          <w:szCs w:val="24"/>
        </w:rPr>
        <w:t xml:space="preserve">：无</w:t>
      </w:r>
      <w:bookmarkEnd w:id="94"/>
      <w:r/>
      <w:bookmarkEnd w:id="95"/>
      <w:r/>
      <w:r/>
    </w:p>
    <w:p>
      <w:pPr>
        <w:pStyle w:val="1216"/>
        <w:spacing w:line="420" w:lineRule="exact"/>
        <w:rPr>
          <w:rFonts w:hint="eastAsia" w:ascii="微软雅黑" w:hAnsi="微软雅黑" w:cs="微软雅黑"/>
          <w:bCs w:val="0"/>
          <w:sz w:val="24"/>
          <w:szCs w:val="24"/>
        </w:rPr>
      </w:pPr>
      <w:r/>
      <w:bookmarkStart w:id="96" w:name="_Toc452384186"/>
      <w:r/>
      <w:bookmarkStart w:id="97" w:name="_Toc31418"/>
      <w:r/>
      <w:bookmarkStart w:id="98" w:name="_Toc5583"/>
      <w:r/>
      <w:bookmarkStart w:id="99" w:name="_Toc23668"/>
      <w:r>
        <w:rPr>
          <w:rFonts w:hint="eastAsia" w:ascii="微软雅黑" w:hAnsi="微软雅黑" w:cs="微软雅黑"/>
          <w:bCs w:val="0"/>
          <w:sz w:val="24"/>
          <w:szCs w:val="24"/>
        </w:rPr>
        <w:t xml:space="preserve">3.6投标有效期</w:t>
      </w:r>
      <w:bookmarkEnd w:id="96"/>
      <w:r/>
      <w:bookmarkEnd w:id="97"/>
      <w:r/>
      <w:bookmarkEnd w:id="98"/>
      <w:r/>
      <w:bookmarkEnd w:id="99"/>
      <w:r/>
      <w:r/>
    </w:p>
    <w:p>
      <w:pPr>
        <w:spacing w:line="420" w:lineRule="exact"/>
        <w:rPr>
          <w:rFonts w:hint="eastAsia" w:ascii="微软雅黑" w:hAnsi="微软雅黑" w:cs="微软雅黑"/>
        </w:rPr>
      </w:pPr>
      <w:r>
        <w:rPr>
          <w:rFonts w:hint="eastAsia" w:ascii="微软雅黑" w:hAnsi="微软雅黑" w:cs="微软雅黑"/>
        </w:rPr>
        <w:t xml:space="preserve">3.6.1投标有效期为从投标截止之日起计算的九十天，有效期短于此规定的投标文件将被视为无效。</w:t>
      </w:r>
      <w:r/>
    </w:p>
    <w:p>
      <w:pPr>
        <w:spacing w:line="420" w:lineRule="exact"/>
        <w:rPr>
          <w:rFonts w:hint="eastAsia" w:ascii="微软雅黑" w:hAnsi="微软雅黑" w:cs="微软雅黑"/>
        </w:rPr>
      </w:pPr>
      <w:r>
        <w:rPr>
          <w:rFonts w:hint="eastAsia" w:ascii="微软雅黑" w:hAnsi="微软雅黑" w:cs="微软雅黑"/>
        </w:rPr>
        <w:t xml:space="preserve">3.6.2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p>
    <w:p>
      <w:pPr>
        <w:pStyle w:val="1216"/>
        <w:spacing w:line="420" w:lineRule="exact"/>
        <w:rPr>
          <w:rFonts w:hint="eastAsia" w:ascii="微软雅黑" w:hAnsi="微软雅黑" w:cs="微软雅黑"/>
          <w:bCs w:val="0"/>
          <w:sz w:val="24"/>
          <w:szCs w:val="24"/>
        </w:rPr>
      </w:pPr>
      <w:r/>
      <w:bookmarkStart w:id="100" w:name="_Toc24918"/>
      <w:r/>
      <w:bookmarkStart w:id="101" w:name="_Toc452384187"/>
      <w:r/>
      <w:bookmarkStart w:id="102" w:name="_Toc17365"/>
      <w:r/>
      <w:bookmarkStart w:id="103" w:name="_Toc30675"/>
      <w:r>
        <w:rPr>
          <w:rFonts w:hint="eastAsia" w:ascii="微软雅黑" w:hAnsi="微软雅黑" w:cs="微软雅黑"/>
          <w:bCs w:val="0"/>
          <w:sz w:val="24"/>
          <w:szCs w:val="24"/>
        </w:rPr>
        <w:t xml:space="preserve">3.7投标文件的签署、形式及装订</w:t>
      </w:r>
      <w:bookmarkEnd w:id="100"/>
      <w:r/>
      <w:bookmarkEnd w:id="101"/>
      <w:r/>
      <w:bookmarkEnd w:id="102"/>
      <w:r/>
      <w:bookmarkEnd w:id="103"/>
      <w:r/>
      <w:r/>
    </w:p>
    <w:p>
      <w:pPr>
        <w:spacing w:line="420" w:lineRule="exact"/>
        <w:rPr>
          <w:rFonts w:hint="eastAsia" w:ascii="微软雅黑" w:hAnsi="微软雅黑" w:cs="微软雅黑"/>
        </w:rPr>
      </w:pPr>
      <w:r>
        <w:rPr>
          <w:rFonts w:hint="eastAsia" w:ascii="微软雅黑" w:hAnsi="微软雅黑" w:cs="微软雅黑"/>
        </w:rPr>
        <w:t xml:space="preserve">3.7.1</w:t>
      </w:r>
      <w:r>
        <w:rPr>
          <w:rFonts w:hint="eastAsia" w:ascii="微软雅黑" w:hAnsi="微软雅黑" w:cs="微软雅黑"/>
          <w:bCs/>
        </w:rPr>
        <w:t xml:space="preserve">投标文件按采购文件第二章要求执行，每份投标文件均须在封面上清楚标明“正本”、“副本”“电子投标文件”（如有）字样，“正本”、“副本”“电子投标文件”（如有）之间如有差异，以“正本”为准。</w:t>
      </w:r>
      <w:r/>
    </w:p>
    <w:p>
      <w:pPr>
        <w:spacing w:line="420" w:lineRule="exact"/>
        <w:rPr>
          <w:rFonts w:hint="eastAsia" w:ascii="微软雅黑" w:hAnsi="微软雅黑" w:cs="微软雅黑"/>
        </w:rPr>
      </w:pPr>
      <w:r>
        <w:rPr>
          <w:rFonts w:hint="eastAsia" w:ascii="微软雅黑" w:hAnsi="微软雅黑" w:cs="微软雅黑"/>
        </w:rPr>
        <w:t xml:space="preserve">3.7.2投标文件正本中，除采购文件第六章规定的可提交复印件外，其他文件均须提交原件，文字材料需打印或用不褪色墨水书写。投标文件的正本须经法定代表人（授权代表）签字/盖章，并且须加盖供应商公章。</w:t>
      </w:r>
      <w:r/>
    </w:p>
    <w:p>
      <w:pPr>
        <w:spacing w:line="420" w:lineRule="exact"/>
        <w:rPr>
          <w:rFonts w:hint="eastAsia" w:ascii="微软雅黑" w:hAnsi="微软雅黑" w:cs="微软雅黑"/>
        </w:rPr>
      </w:pPr>
      <w:r>
        <w:rPr>
          <w:rFonts w:hint="eastAsia" w:ascii="微软雅黑" w:hAnsi="微软雅黑" w:cs="微软雅黑"/>
        </w:rPr>
        <w:t xml:space="preserve">本采购文件所表述（指定）的公章是指刻有供应商法定名称的印章，不包括投标、合同、财务、税务、发票等形式的业务专用章。</w:t>
      </w:r>
      <w:r/>
    </w:p>
    <w:p>
      <w:pPr>
        <w:spacing w:line="420" w:lineRule="exact"/>
        <w:rPr>
          <w:rFonts w:hint="eastAsia" w:ascii="微软雅黑" w:hAnsi="微软雅黑" w:cs="微软雅黑"/>
        </w:rPr>
      </w:pPr>
      <w:r>
        <w:rPr>
          <w:rFonts w:hint="eastAsia" w:ascii="微软雅黑" w:hAnsi="微软雅黑" w:cs="微软雅黑"/>
        </w:rPr>
        <w:t xml:space="preserve">3.7.3投标文件如有错误必须修改时，修改处须由法定代表人（授权代表）签字或加盖公章。</w:t>
      </w:r>
      <w:r/>
    </w:p>
    <w:p>
      <w:pPr>
        <w:spacing w:line="420" w:lineRule="exact"/>
        <w:rPr>
          <w:rFonts w:hint="eastAsia" w:ascii="微软雅黑" w:hAnsi="微软雅黑" w:cs="微软雅黑"/>
        </w:rPr>
      </w:pPr>
      <w:r>
        <w:rPr>
          <w:rFonts w:hint="eastAsia" w:ascii="微软雅黑" w:hAnsi="微软雅黑" w:cs="微软雅黑"/>
        </w:rPr>
        <w:t xml:space="preserve">3.7.4投标文件需包含评分索引表、目录及页码。投标文件需固定胶装成册。</w:t>
      </w:r>
      <w:r/>
    </w:p>
    <w:p>
      <w:pPr>
        <w:pStyle w:val="1353"/>
        <w:spacing w:line="420" w:lineRule="exact"/>
        <w:rPr>
          <w:rFonts w:hint="eastAsia" w:ascii="微软雅黑" w:hAnsi="微软雅黑" w:cs="微软雅黑"/>
        </w:rPr>
      </w:pPr>
      <w:r/>
      <w:bookmarkStart w:id="104" w:name="_Toc452384188"/>
      <w:r/>
      <w:bookmarkStart w:id="105" w:name="_Toc26037"/>
      <w:r/>
      <w:bookmarkStart w:id="106" w:name="_Toc28144"/>
      <w:r/>
      <w:bookmarkStart w:id="107" w:name="_Toc30572"/>
      <w:r>
        <w:rPr>
          <w:rFonts w:hint="eastAsia" w:ascii="微软雅黑" w:hAnsi="微软雅黑" w:cs="微软雅黑"/>
        </w:rPr>
        <w:t xml:space="preserve">四、投标文件的递交</w:t>
      </w:r>
      <w:bookmarkEnd w:id="104"/>
      <w:r/>
      <w:bookmarkEnd w:id="105"/>
      <w:r/>
      <w:bookmarkEnd w:id="106"/>
      <w:r/>
      <w:bookmarkEnd w:id="107"/>
      <w:r/>
      <w:r/>
    </w:p>
    <w:p>
      <w:pPr>
        <w:jc w:val="left"/>
        <w:spacing w:line="420" w:lineRule="exact"/>
        <w:rPr>
          <w:rFonts w:hint="eastAsia" w:ascii="微软雅黑" w:hAnsi="微软雅黑" w:cs="微软雅黑"/>
          <w:szCs w:val="21"/>
        </w:rPr>
      </w:pPr>
      <w:r>
        <w:rPr>
          <w:rFonts w:hint="eastAsia" w:ascii="微软雅黑" w:hAnsi="微软雅黑" w:cs="微软雅黑"/>
          <w:szCs w:val="21"/>
        </w:rPr>
        <w:t xml:space="preserve">4.1投标人应当按照《操作手册》规定，在采购公告规定的投标截止时间前制作并上传电子投标文件。</w:t>
      </w:r>
      <w:r/>
    </w:p>
    <w:p>
      <w:pPr>
        <w:pStyle w:val="1138"/>
        <w:jc w:val="left"/>
        <w:spacing w:before="0" w:after="0" w:line="420" w:lineRule="exact"/>
        <w:rPr>
          <w:rFonts w:hint="eastAsia" w:ascii="微软雅黑" w:hAnsi="微软雅黑" w:eastAsia="微软雅黑" w:cs="微软雅黑"/>
          <w:b/>
          <w:sz w:val="21"/>
          <w:szCs w:val="21"/>
        </w:rPr>
      </w:pPr>
      <w:r/>
      <w:bookmarkStart w:id="108" w:name="_Toc2168"/>
      <w:r/>
      <w:bookmarkStart w:id="109" w:name="_Toc11977"/>
      <w:r/>
      <w:bookmarkStart w:id="110" w:name="_Toc27453"/>
      <w:r/>
      <w:bookmarkStart w:id="111" w:name="_Toc452384192"/>
      <w:r/>
      <w:bookmarkStart w:id="112" w:name="_Toc11818"/>
      <w:r>
        <w:rPr>
          <w:rFonts w:hint="eastAsia" w:ascii="微软雅黑" w:hAnsi="微软雅黑" w:eastAsia="微软雅黑" w:cs="微软雅黑"/>
          <w:b/>
          <w:sz w:val="21"/>
          <w:szCs w:val="21"/>
        </w:rPr>
        <w:t xml:space="preserve">4.2有下列情形的投标文件将被拒收</w:t>
      </w:r>
      <w:bookmarkEnd w:id="108"/>
      <w:r/>
      <w:bookmarkEnd w:id="109"/>
      <w:r/>
      <w:bookmarkEnd w:id="110"/>
      <w:r/>
      <w:r/>
    </w:p>
    <w:p>
      <w:pPr>
        <w:pStyle w:val="1138"/>
        <w:jc w:val="left"/>
        <w:spacing w:before="0" w:after="0" w:line="420" w:lineRule="exact"/>
        <w:rPr>
          <w:rFonts w:hint="eastAsia" w:ascii="微软雅黑" w:hAnsi="微软雅黑" w:eastAsia="微软雅黑" w:cs="微软雅黑"/>
          <w:b/>
          <w:sz w:val="21"/>
          <w:szCs w:val="21"/>
        </w:rPr>
      </w:pPr>
      <w:r/>
      <w:bookmarkStart w:id="113" w:name="_Toc7486"/>
      <w:r/>
      <w:bookmarkStart w:id="114" w:name="_Toc13038"/>
      <w:r/>
      <w:bookmarkStart w:id="115" w:name="_Toc32671"/>
      <w:r>
        <w:rPr>
          <w:rFonts w:hint="eastAsia" w:ascii="微软雅黑" w:hAnsi="微软雅黑" w:eastAsia="微软雅黑" w:cs="微软雅黑"/>
          <w:b/>
          <w:sz w:val="21"/>
          <w:szCs w:val="21"/>
        </w:rPr>
        <w:t xml:space="preserve">4.2.1投标人未按照《操作手册》规定，在“苏采云”系统规定的时间内对投标文件进行解密的。</w:t>
      </w:r>
      <w:bookmarkEnd w:id="113"/>
      <w:r/>
      <w:bookmarkEnd w:id="114"/>
      <w:r/>
      <w:bookmarkEnd w:id="115"/>
      <w:r/>
      <w:r/>
    </w:p>
    <w:p>
      <w:pPr>
        <w:pStyle w:val="1138"/>
        <w:jc w:val="left"/>
        <w:spacing w:before="0" w:after="0" w:line="420" w:lineRule="exact"/>
        <w:rPr>
          <w:rFonts w:hint="eastAsia" w:ascii="微软雅黑" w:hAnsi="微软雅黑" w:eastAsia="微软雅黑" w:cs="微软雅黑"/>
          <w:b/>
          <w:sz w:val="21"/>
          <w:szCs w:val="21"/>
        </w:rPr>
      </w:pPr>
      <w:r/>
      <w:bookmarkStart w:id="116" w:name="_Toc27804"/>
      <w:r/>
      <w:bookmarkStart w:id="117" w:name="_Toc1919"/>
      <w:r/>
      <w:bookmarkStart w:id="118" w:name="_Toc24630"/>
      <w:r>
        <w:rPr>
          <w:rFonts w:hint="eastAsia" w:ascii="微软雅黑" w:hAnsi="微软雅黑" w:eastAsia="微软雅黑" w:cs="微软雅黑"/>
          <w:b/>
          <w:sz w:val="21"/>
          <w:szCs w:val="21"/>
        </w:rPr>
        <w:t xml:space="preserve">4.2.2投标人应充分考虑网络环境、网络带宽等因素可能对投标产生的影响，如因投标人自身原因造成的电子投标文件解密不成功的，做无效投标处理</w:t>
      </w:r>
      <w:bookmarkEnd w:id="116"/>
      <w:r/>
      <w:bookmarkEnd w:id="117"/>
      <w:r>
        <w:rPr>
          <w:rFonts w:hint="eastAsia" w:ascii="微软雅黑" w:hAnsi="微软雅黑" w:eastAsia="微软雅黑" w:cs="微软雅黑"/>
          <w:b/>
          <w:sz w:val="21"/>
          <w:szCs w:val="21"/>
        </w:rPr>
        <w:t xml:space="preserve">,</w:t>
      </w:r>
      <w:r>
        <w:rPr>
          <w:rFonts w:ascii="微软雅黑" w:hAnsi="微软雅黑" w:eastAsia="微软雅黑" w:cs="微软雅黑"/>
          <w:sz w:val="21"/>
          <w:szCs w:val="21"/>
          <w:shd w:val="clear" w:color="auto" w:fill="ffffff"/>
        </w:rPr>
        <w:t xml:space="preserve">但因系统故障导致投标人无法在</w:t>
      </w:r>
      <w:r>
        <w:rPr>
          <w:rFonts w:hint="eastAsia" w:ascii="微软雅黑" w:hAnsi="微软雅黑" w:eastAsia="微软雅黑" w:cs="微软雅黑"/>
          <w:bCs/>
          <w:sz w:val="21"/>
          <w:szCs w:val="21"/>
        </w:rPr>
        <w:t xml:space="preserve">“苏采云”系统规定的时间</w:t>
      </w:r>
      <w:r>
        <w:rPr>
          <w:rFonts w:ascii="微软雅黑" w:hAnsi="微软雅黑" w:eastAsia="微软雅黑" w:cs="微软雅黑"/>
          <w:sz w:val="21"/>
          <w:szCs w:val="21"/>
          <w:shd w:val="clear" w:color="auto" w:fill="ffffff"/>
        </w:rPr>
        <w:t xml:space="preserve">内完成签到或解密的情况除外。</w:t>
      </w:r>
      <w:bookmarkEnd w:id="118"/>
      <w:r/>
      <w:r/>
    </w:p>
    <w:p>
      <w:pPr>
        <w:pStyle w:val="1147"/>
        <w:spacing w:line="420" w:lineRule="exact"/>
        <w:rPr>
          <w:rFonts w:hint="eastAsia" w:ascii="微软雅黑" w:hAnsi="微软雅黑" w:cs="微软雅黑"/>
        </w:rPr>
      </w:pPr>
      <w:r>
        <w:rPr>
          <w:rFonts w:hint="eastAsia" w:ascii="微软雅黑" w:hAnsi="微软雅黑" w:cs="微软雅黑"/>
        </w:rPr>
      </w:r>
      <w:r/>
    </w:p>
    <w:p>
      <w:pPr>
        <w:pStyle w:val="1138"/>
        <w:jc w:val="left"/>
        <w:spacing w:before="0" w:after="0" w:line="420" w:lineRule="exact"/>
        <w:rPr>
          <w:rFonts w:hint="eastAsia" w:ascii="微软雅黑" w:hAnsi="微软雅黑" w:eastAsia="微软雅黑" w:cs="微软雅黑"/>
          <w:b/>
          <w:sz w:val="21"/>
          <w:szCs w:val="21"/>
        </w:rPr>
      </w:pPr>
      <w:r/>
      <w:bookmarkStart w:id="119" w:name="_Toc21630"/>
      <w:r/>
      <w:bookmarkStart w:id="120" w:name="_Toc6818"/>
      <w:r/>
      <w:bookmarkStart w:id="121" w:name="_Toc452384190"/>
      <w:r/>
      <w:bookmarkStart w:id="122" w:name="_Toc32554"/>
      <w:r/>
      <w:bookmarkStart w:id="123" w:name="_Toc1859"/>
      <w:r>
        <w:rPr>
          <w:rFonts w:hint="eastAsia" w:ascii="微软雅黑" w:hAnsi="微软雅黑" w:eastAsia="微软雅黑" w:cs="微软雅黑"/>
          <w:b/>
          <w:sz w:val="21"/>
          <w:szCs w:val="21"/>
        </w:rPr>
        <w:t xml:space="preserve">4.3 投标截止时间</w:t>
      </w:r>
      <w:bookmarkEnd w:id="119"/>
      <w:r/>
      <w:bookmarkEnd w:id="120"/>
      <w:r/>
      <w:bookmarkEnd w:id="121"/>
      <w:r/>
      <w:bookmarkEnd w:id="122"/>
      <w:r/>
      <w:bookmarkEnd w:id="123"/>
      <w:r/>
      <w:r/>
    </w:p>
    <w:p>
      <w:pPr>
        <w:jc w:val="left"/>
        <w:spacing w:line="420" w:lineRule="exact"/>
        <w:rPr>
          <w:rFonts w:hint="eastAsia" w:ascii="微软雅黑" w:hAnsi="微软雅黑" w:cs="微软雅黑"/>
          <w:szCs w:val="21"/>
        </w:rPr>
      </w:pPr>
      <w:r>
        <w:rPr>
          <w:rFonts w:hint="eastAsia" w:ascii="微软雅黑" w:hAnsi="微软雅黑" w:cs="微软雅黑"/>
          <w:szCs w:val="21"/>
        </w:rPr>
        <w:t xml:space="preserve">4.3.1 供应商须在采购文件第一章“投标邀请”规定的投标截止时间前上传电子投标文件。</w:t>
      </w:r>
      <w:r/>
    </w:p>
    <w:p>
      <w:pPr>
        <w:jc w:val="left"/>
        <w:spacing w:line="420" w:lineRule="exact"/>
        <w:rPr>
          <w:rFonts w:hint="eastAsia" w:ascii="微软雅黑" w:hAnsi="微软雅黑" w:cs="微软雅黑"/>
          <w:szCs w:val="21"/>
        </w:rPr>
      </w:pPr>
      <w:r>
        <w:rPr>
          <w:rFonts w:hint="eastAsia" w:ascii="微软雅黑" w:hAnsi="微软雅黑" w:cs="微软雅黑"/>
          <w:szCs w:val="21"/>
        </w:rPr>
        <w:t xml:space="preserve">4.3.2 若采购代理机构按3.6.2条规定推迟了投标截止时间，采购代理机构和供应商受投标截止时间制约的所有权利和义务均应以新的截止时间为准。</w:t>
      </w:r>
      <w:r/>
    </w:p>
    <w:p>
      <w:pPr>
        <w:pStyle w:val="1138"/>
        <w:jc w:val="left"/>
        <w:spacing w:before="0" w:after="0" w:line="420" w:lineRule="exact"/>
        <w:rPr>
          <w:rFonts w:hint="eastAsia" w:ascii="微软雅黑" w:hAnsi="微软雅黑" w:eastAsia="微软雅黑" w:cs="微软雅黑"/>
          <w:b/>
          <w:sz w:val="21"/>
          <w:szCs w:val="21"/>
        </w:rPr>
      </w:pPr>
      <w:r/>
      <w:bookmarkStart w:id="124" w:name="_Toc2903"/>
      <w:r/>
      <w:bookmarkStart w:id="125" w:name="_Toc4410"/>
      <w:r/>
      <w:bookmarkStart w:id="126" w:name="_Toc21081"/>
      <w:r>
        <w:rPr>
          <w:rFonts w:hint="eastAsia" w:ascii="微软雅黑" w:hAnsi="微软雅黑" w:eastAsia="微软雅黑" w:cs="微软雅黑"/>
          <w:b/>
          <w:sz w:val="21"/>
          <w:szCs w:val="21"/>
        </w:rPr>
        <w:t xml:space="preserve">4.4 投标文件的修改和撤回</w:t>
      </w:r>
      <w:bookmarkEnd w:id="111"/>
      <w:r/>
      <w:bookmarkEnd w:id="112"/>
      <w:r/>
      <w:bookmarkEnd w:id="124"/>
      <w:r/>
      <w:bookmarkEnd w:id="125"/>
      <w:r/>
      <w:bookmarkEnd w:id="126"/>
      <w:r/>
      <w:r/>
    </w:p>
    <w:p>
      <w:pPr>
        <w:jc w:val="left"/>
        <w:spacing w:line="420" w:lineRule="exact"/>
        <w:rPr>
          <w:rFonts w:hint="eastAsia" w:ascii="微软雅黑" w:hAnsi="微软雅黑" w:cs="微软雅黑"/>
          <w:szCs w:val="21"/>
        </w:rPr>
      </w:pPr>
      <w:r>
        <w:rPr>
          <w:rFonts w:hint="eastAsia" w:ascii="微软雅黑" w:hAnsi="微软雅黑" w:cs="微软雅黑"/>
          <w:szCs w:val="21"/>
        </w:rPr>
        <w:t xml:space="preserve">4.4.1 投标文件的撤回</w:t>
      </w:r>
      <w:r/>
    </w:p>
    <w:p>
      <w:pPr>
        <w:ind w:firstLine="420"/>
        <w:jc w:val="left"/>
        <w:spacing w:line="420" w:lineRule="exact"/>
        <w:rPr>
          <w:rFonts w:hint="eastAsia" w:ascii="微软雅黑" w:hAnsi="微软雅黑" w:cs="微软雅黑"/>
          <w:szCs w:val="21"/>
        </w:rPr>
      </w:pPr>
      <w:r>
        <w:rPr>
          <w:rFonts w:hint="eastAsia" w:ascii="微软雅黑" w:hAnsi="微软雅黑" w:cs="微软雅黑"/>
          <w:szCs w:val="21"/>
        </w:rPr>
        <w:t xml:space="preserve">（1）投标人可在投标截止时间前撤回其电子投标文件，具体操作方法见《操作手册》。</w:t>
      </w:r>
      <w:r/>
    </w:p>
    <w:p>
      <w:pPr>
        <w:ind w:firstLine="420"/>
        <w:jc w:val="left"/>
        <w:spacing w:line="420" w:lineRule="exact"/>
        <w:rPr>
          <w:rFonts w:hint="eastAsia" w:ascii="微软雅黑" w:hAnsi="微软雅黑" w:cs="微软雅黑"/>
          <w:szCs w:val="21"/>
        </w:rPr>
      </w:pPr>
      <w:r>
        <w:rPr>
          <w:rFonts w:hint="eastAsia" w:ascii="微软雅黑" w:hAnsi="微软雅黑" w:cs="微软雅黑"/>
          <w:szCs w:val="21"/>
        </w:rPr>
        <w:t xml:space="preserve">（2）投标人撤回电子投标文件，则认为其不再参与本项目投标活动。</w:t>
      </w:r>
      <w:r/>
    </w:p>
    <w:p>
      <w:pPr>
        <w:jc w:val="left"/>
        <w:spacing w:line="420" w:lineRule="exact"/>
        <w:rPr>
          <w:rFonts w:hint="eastAsia" w:ascii="微软雅黑" w:hAnsi="微软雅黑" w:cs="微软雅黑"/>
          <w:szCs w:val="21"/>
        </w:rPr>
      </w:pPr>
      <w:r>
        <w:rPr>
          <w:rFonts w:hint="eastAsia" w:ascii="微软雅黑" w:hAnsi="微软雅黑" w:cs="微软雅黑"/>
          <w:szCs w:val="21"/>
        </w:rPr>
        <w:t xml:space="preserve">4.4.2 投标文件的修改</w:t>
      </w:r>
      <w:r/>
    </w:p>
    <w:p>
      <w:pPr>
        <w:ind w:firstLine="420"/>
        <w:jc w:val="left"/>
        <w:spacing w:line="420" w:lineRule="exact"/>
        <w:rPr>
          <w:rFonts w:hint="eastAsia" w:ascii="微软雅黑" w:hAnsi="微软雅黑" w:cs="微软雅黑"/>
          <w:szCs w:val="21"/>
        </w:rPr>
      </w:pPr>
      <w:r>
        <w:rPr>
          <w:rFonts w:hint="eastAsia" w:ascii="微软雅黑" w:hAnsi="微软雅黑" w:cs="微软雅黑"/>
          <w:szCs w:val="21"/>
        </w:rPr>
        <w:t xml:space="preserve">（1）投标人可在投标截止时间前对其电子投标文件进行修改，具体操作方法见《操作手册》。</w:t>
      </w:r>
      <w:r/>
    </w:p>
    <w:p>
      <w:pPr>
        <w:ind w:firstLine="420"/>
        <w:jc w:val="left"/>
        <w:spacing w:line="420" w:lineRule="exact"/>
        <w:rPr>
          <w:rFonts w:hint="eastAsia" w:ascii="微软雅黑" w:hAnsi="微软雅黑" w:cs="微软雅黑"/>
          <w:szCs w:val="21"/>
        </w:rPr>
      </w:pPr>
      <w:r>
        <w:rPr>
          <w:rFonts w:hint="eastAsia" w:ascii="微软雅黑" w:hAnsi="微软雅黑" w:cs="微软雅黑"/>
          <w:szCs w:val="21"/>
        </w:rPr>
        <w:t xml:space="preserve">（2）投标截止时间之后，投标人不得对其电子投标文件作任何修改。</w:t>
      </w:r>
      <w:r/>
    </w:p>
    <w:p>
      <w:pPr>
        <w:ind w:firstLine="420"/>
        <w:jc w:val="left"/>
        <w:spacing w:line="420" w:lineRule="exact"/>
        <w:rPr>
          <w:rFonts w:hint="eastAsia" w:ascii="微软雅黑" w:hAnsi="微软雅黑" w:cs="微软雅黑"/>
          <w:szCs w:val="21"/>
        </w:rPr>
      </w:pPr>
      <w:r>
        <w:rPr>
          <w:rFonts w:hint="eastAsia" w:ascii="微软雅黑" w:hAnsi="微软雅黑" w:cs="微软雅黑"/>
          <w:szCs w:val="21"/>
        </w:rPr>
        <w:t xml:space="preserve">（3）在投标截止时间至采购文件中规定的投标有效期满之间的这段时间内，投标人不得撤回其投标。</w:t>
      </w:r>
      <w:r/>
    </w:p>
    <w:p>
      <w:pPr>
        <w:pStyle w:val="1137"/>
        <w:jc w:val="center"/>
        <w:spacing w:before="0" w:after="0"/>
        <w:rPr>
          <w:rFonts w:hint="eastAsia" w:ascii="微软雅黑" w:hAnsi="微软雅黑" w:eastAsia="微软雅黑" w:cs="微软雅黑"/>
          <w:b/>
          <w:bCs/>
          <w:sz w:val="28"/>
          <w:szCs w:val="32"/>
        </w:rPr>
      </w:pPr>
      <w:r/>
      <w:bookmarkStart w:id="127" w:name="_Toc12823"/>
      <w:r/>
      <w:bookmarkStart w:id="128" w:name="_Toc24848"/>
      <w:r/>
      <w:bookmarkStart w:id="129" w:name="_Toc1965"/>
      <w:r>
        <w:rPr>
          <w:rFonts w:hint="eastAsia" w:ascii="微软雅黑" w:hAnsi="微软雅黑" w:eastAsia="微软雅黑" w:cs="微软雅黑"/>
          <w:b/>
          <w:bCs/>
          <w:sz w:val="28"/>
          <w:szCs w:val="32"/>
        </w:rPr>
        <w:t xml:space="preserve">五、开标与评标</w:t>
      </w:r>
      <w:bookmarkEnd w:id="127"/>
      <w:r/>
      <w:bookmarkEnd w:id="128"/>
      <w:r/>
      <w:bookmarkEnd w:id="129"/>
      <w:r/>
      <w:r/>
    </w:p>
    <w:p>
      <w:pPr>
        <w:pStyle w:val="1138"/>
        <w:jc w:val="left"/>
        <w:spacing w:before="0" w:after="0" w:line="440" w:lineRule="exact"/>
        <w:rPr>
          <w:rFonts w:hint="eastAsia" w:ascii="微软雅黑" w:hAnsi="微软雅黑" w:eastAsia="微软雅黑" w:cs="微软雅黑"/>
          <w:b/>
          <w:sz w:val="21"/>
          <w:szCs w:val="21"/>
        </w:rPr>
      </w:pPr>
      <w:r/>
      <w:bookmarkStart w:id="130" w:name="_Toc452384194"/>
      <w:r/>
      <w:bookmarkStart w:id="131" w:name="_Toc2726"/>
      <w:r/>
      <w:bookmarkStart w:id="132" w:name="_Toc4421"/>
      <w:r/>
      <w:bookmarkStart w:id="133" w:name="_Toc7072"/>
      <w:r/>
      <w:bookmarkStart w:id="134" w:name="_Toc21670"/>
      <w:r>
        <w:rPr>
          <w:rFonts w:hint="eastAsia" w:ascii="微软雅黑" w:hAnsi="微软雅黑" w:eastAsia="微软雅黑" w:cs="微软雅黑"/>
          <w:b/>
          <w:sz w:val="21"/>
          <w:szCs w:val="21"/>
        </w:rPr>
        <w:t xml:space="preserve">5.1 投标文件启封</w:t>
      </w:r>
      <w:bookmarkEnd w:id="130"/>
      <w:r/>
      <w:bookmarkEnd w:id="131"/>
      <w:r/>
      <w:bookmarkEnd w:id="132"/>
      <w:r/>
      <w:bookmarkEnd w:id="133"/>
      <w:r/>
      <w:bookmarkEnd w:id="134"/>
      <w:r/>
      <w:r/>
    </w:p>
    <w:p>
      <w:pPr>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5.1.1 </w:t>
      </w:r>
      <w:r>
        <w:rPr>
          <w:rFonts w:hint="eastAsia" w:ascii="微软雅黑" w:hAnsi="微软雅黑" w:cs="微软雅黑"/>
          <w:szCs w:val="21"/>
        </w:rPr>
        <w:t xml:space="preserve">采购人、采购代理机构</w:t>
      </w:r>
      <w:r>
        <w:rPr>
          <w:rFonts w:hint="eastAsia" w:ascii="微软雅黑" w:hAnsi="微软雅黑" w:cs="微软雅黑"/>
          <w:bCs/>
          <w:szCs w:val="21"/>
        </w:rPr>
        <w:t xml:space="preserve">在采购公告中规定的时间和地点组织公开开标。投标人按照《操作手册》规定参加开标活动，并在</w:t>
      </w:r>
      <w:bookmarkStart w:id="135" w:name="OLE_LINK3"/>
      <w:r>
        <w:rPr>
          <w:rFonts w:hint="eastAsia" w:ascii="微软雅黑" w:hAnsi="微软雅黑" w:cs="微软雅黑"/>
          <w:bCs/>
          <w:szCs w:val="21"/>
        </w:rPr>
        <w:t xml:space="preserve">“苏采云”系统规定的时间内</w:t>
      </w:r>
      <w:bookmarkEnd w:id="135"/>
      <w:r>
        <w:rPr>
          <w:rFonts w:hint="eastAsia" w:ascii="微软雅黑" w:hAnsi="微软雅黑" w:cs="微软雅黑"/>
          <w:bCs/>
          <w:szCs w:val="21"/>
        </w:rPr>
        <w:t xml:space="preserve">对投标文件进行解密。“苏采云”系统公布各投标人名称和投标价格。</w:t>
      </w:r>
      <w:r/>
    </w:p>
    <w:p>
      <w:pPr>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5.1.2 投标人在开标过程中涉及到的投标文件解密、开标结果确认等工作，应按照《操作手册》规定执行。</w:t>
      </w:r>
      <w:r/>
    </w:p>
    <w:p>
      <w:pPr>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5.1.3 投标人不足3家的，不得开标。</w:t>
      </w:r>
      <w:r/>
    </w:p>
    <w:p>
      <w:pPr>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5.1.4 投标人如果对开标过程和开标结果有疑义，应当根据《操作手册》规定提出，“苏采云”系统中《开标记录表》公布后5分钟内未提出的，视同认可开标结果。</w:t>
      </w:r>
      <w:r/>
    </w:p>
    <w:p>
      <w:pPr>
        <w:pStyle w:val="1138"/>
        <w:jc w:val="left"/>
        <w:spacing w:before="0" w:after="0" w:line="440" w:lineRule="exact"/>
        <w:rPr>
          <w:rFonts w:hint="eastAsia" w:ascii="微软雅黑" w:hAnsi="微软雅黑" w:eastAsia="微软雅黑" w:cs="微软雅黑"/>
          <w:b/>
          <w:sz w:val="21"/>
          <w:szCs w:val="21"/>
        </w:rPr>
      </w:pPr>
      <w:r/>
      <w:bookmarkStart w:id="136" w:name="_Toc20113"/>
      <w:r/>
      <w:bookmarkStart w:id="137" w:name="_Toc3406"/>
      <w:r/>
      <w:bookmarkStart w:id="138" w:name="_Toc452384195"/>
      <w:r/>
      <w:bookmarkStart w:id="139" w:name="_Toc32095"/>
      <w:r/>
      <w:bookmarkStart w:id="140" w:name="_Toc15763"/>
      <w:r>
        <w:rPr>
          <w:rFonts w:hint="eastAsia" w:ascii="微软雅黑" w:hAnsi="微软雅黑" w:eastAsia="微软雅黑" w:cs="微软雅黑"/>
          <w:b/>
          <w:sz w:val="21"/>
          <w:szCs w:val="21"/>
        </w:rPr>
        <w:t xml:space="preserve">5.2 评标委员会</w:t>
      </w:r>
      <w:bookmarkEnd w:id="136"/>
      <w:r/>
      <w:bookmarkEnd w:id="137"/>
      <w:r/>
      <w:bookmarkEnd w:id="138"/>
      <w:r/>
      <w:bookmarkEnd w:id="139"/>
      <w:r/>
      <w:bookmarkEnd w:id="140"/>
      <w:r/>
      <w:r/>
    </w:p>
    <w:p>
      <w:pPr>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评标委员会按照法律法规及相关文件的规定由采购人代表和有关技术、经济等方面的专家组成，评标委员会独立工作，负责评审所有投标文件并推荐确定中标供应商候选人。</w:t>
      </w:r>
      <w:r/>
    </w:p>
    <w:p>
      <w:pPr>
        <w:pStyle w:val="1138"/>
        <w:jc w:val="left"/>
        <w:spacing w:before="0" w:after="0" w:line="440" w:lineRule="exact"/>
        <w:rPr>
          <w:rFonts w:hint="eastAsia" w:ascii="微软雅黑" w:hAnsi="微软雅黑" w:eastAsia="微软雅黑" w:cs="微软雅黑"/>
          <w:b/>
          <w:sz w:val="21"/>
          <w:szCs w:val="21"/>
        </w:rPr>
      </w:pPr>
      <w:r/>
      <w:bookmarkStart w:id="141" w:name="_Toc452384196"/>
      <w:r/>
      <w:bookmarkStart w:id="142" w:name="_Toc15164"/>
      <w:r/>
      <w:bookmarkStart w:id="143" w:name="_Toc31905"/>
      <w:r/>
      <w:bookmarkStart w:id="144" w:name="_Toc4587"/>
      <w:r/>
      <w:bookmarkStart w:id="145" w:name="_Toc13666"/>
      <w:r>
        <w:rPr>
          <w:rFonts w:hint="eastAsia" w:ascii="微软雅黑" w:hAnsi="微软雅黑" w:eastAsia="微软雅黑" w:cs="微软雅黑"/>
          <w:b/>
          <w:sz w:val="21"/>
          <w:szCs w:val="21"/>
        </w:rPr>
        <w:t xml:space="preserve">5.3 对投标文件的资格性审查和符合性审查</w:t>
      </w:r>
      <w:bookmarkEnd w:id="141"/>
      <w:r/>
      <w:bookmarkEnd w:id="142"/>
      <w:r/>
      <w:bookmarkEnd w:id="143"/>
      <w:r/>
      <w:bookmarkEnd w:id="144"/>
      <w:r/>
      <w:bookmarkEnd w:id="145"/>
      <w:r/>
      <w:r/>
    </w:p>
    <w:p>
      <w:pPr>
        <w:jc w:val="left"/>
        <w:spacing w:line="440" w:lineRule="exact"/>
        <w:rPr>
          <w:rFonts w:hint="eastAsia" w:ascii="微软雅黑" w:hAnsi="微软雅黑" w:cs="微软雅黑"/>
          <w:szCs w:val="21"/>
        </w:rPr>
      </w:pPr>
      <w:r>
        <w:rPr>
          <w:rFonts w:hint="eastAsia" w:ascii="微软雅黑" w:hAnsi="微软雅黑" w:cs="微软雅黑"/>
          <w:szCs w:val="21"/>
        </w:rPr>
        <w:t xml:space="preserve">5.3.1 资格性审查的内容包括：</w:t>
      </w:r>
      <w:r/>
    </w:p>
    <w:p>
      <w:pPr>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（1）供应商资质（采购文件第一章要求）；</w:t>
      </w:r>
      <w:r/>
    </w:p>
    <w:p>
      <w:pPr>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（2）投标保证金交纳情况（采购文件第二章供应商须知前附表要求）；</w:t>
      </w:r>
      <w:r/>
    </w:p>
    <w:p>
      <w:pPr>
        <w:jc w:val="left"/>
        <w:spacing w:line="440" w:lineRule="exact"/>
        <w:rPr>
          <w:rFonts w:hint="eastAsia" w:ascii="微软雅黑" w:hAnsi="微软雅黑" w:cs="微软雅黑"/>
          <w:szCs w:val="21"/>
        </w:rPr>
      </w:pPr>
      <w:r>
        <w:rPr>
          <w:rFonts w:hint="eastAsia" w:ascii="微软雅黑" w:hAnsi="微软雅黑" w:cs="微软雅黑"/>
          <w:szCs w:val="21"/>
        </w:rPr>
        <w:t xml:space="preserve">5.3.2 符合性审查的内容包括：</w:t>
      </w:r>
      <w:r/>
    </w:p>
    <w:p>
      <w:pPr>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（1）投标文件的有效性(签署、盖章情况等)；</w:t>
      </w:r>
      <w:r/>
    </w:p>
    <w:p>
      <w:pPr>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（2）投标报价是否超过采购预算或最高限价；</w:t>
      </w:r>
      <w:r/>
    </w:p>
    <w:p>
      <w:pPr>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（3）对采购文件的响应程度（是否存在重大负偏离等）。</w:t>
      </w:r>
      <w:r/>
    </w:p>
    <w:p>
      <w:pPr>
        <w:ind w:firstLine="420"/>
        <w:spacing w:line="420" w:lineRule="exact"/>
        <w:rPr>
          <w:rFonts w:hint="eastAsia" w:ascii="微软雅黑" w:hAnsi="微软雅黑" w:cs="微软雅黑"/>
          <w:b/>
          <w:i/>
          <w:u w:val="single"/>
        </w:rPr>
      </w:pPr>
      <w:r>
        <w:rPr>
          <w:rFonts w:hint="eastAsia" w:ascii="微软雅黑" w:hAnsi="微软雅黑" w:cs="微软雅黑"/>
          <w:b/>
          <w:i/>
          <w:u w:val="single"/>
        </w:rPr>
        <w:t xml:space="preserve">采购人或者采购代理机构依法对投标供应商的资质进行审查，以上资格性审查的内容只要有一条不满足，则投标文件无效。</w:t>
      </w:r>
      <w:r/>
    </w:p>
    <w:p>
      <w:pPr>
        <w:ind w:firstLine="420"/>
        <w:spacing w:line="420" w:lineRule="exact"/>
        <w:rPr>
          <w:rFonts w:hint="eastAsia" w:ascii="微软雅黑" w:hAnsi="微软雅黑" w:cs="微软雅黑"/>
          <w:b/>
          <w:i/>
          <w:u w:val="single"/>
        </w:rPr>
      </w:pPr>
      <w:r>
        <w:rPr>
          <w:rFonts w:hint="eastAsia" w:ascii="微软雅黑" w:hAnsi="微软雅黑" w:cs="微软雅黑"/>
          <w:b/>
          <w:i/>
          <w:u w:val="single"/>
        </w:rPr>
        <w:t xml:space="preserve">评标委员会依法对投标供应商的符合性进行审查，以上符合性审查的内容只要有一条不满足，则投标文件无效。</w:t>
      </w:r>
      <w:r/>
    </w:p>
    <w:p>
      <w:pPr>
        <w:spacing w:line="420" w:lineRule="exact"/>
        <w:rPr>
          <w:rFonts w:hint="eastAsia" w:ascii="微软雅黑" w:hAnsi="微软雅黑" w:cs="微软雅黑"/>
        </w:rPr>
      </w:pPr>
      <w:r>
        <w:rPr>
          <w:rFonts w:hint="eastAsia" w:ascii="微软雅黑" w:hAnsi="微软雅黑" w:cs="微软雅黑"/>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p>
    <w:p>
      <w:pPr>
        <w:spacing w:line="420" w:lineRule="exact"/>
        <w:rPr>
          <w:rFonts w:hint="eastAsia" w:ascii="微软雅黑" w:hAnsi="微软雅黑" w:cs="微软雅黑"/>
          <w:b/>
          <w:i/>
          <w:u w:val="single"/>
        </w:rPr>
      </w:pPr>
      <w:r>
        <w:rPr>
          <w:rFonts w:hint="eastAsia" w:ascii="微软雅黑" w:hAnsi="微软雅黑" w:cs="微软雅黑"/>
          <w:b/>
          <w:i/>
          <w:u w:val="single"/>
        </w:rPr>
        <w:t xml:space="preserve">判断投标文件的响应与否只根据投标文件本身，而不寻求外部证据。</w:t>
      </w:r>
      <w:r/>
    </w:p>
    <w:p>
      <w:pPr>
        <w:spacing w:line="420" w:lineRule="exact"/>
        <w:rPr>
          <w:rFonts w:hint="eastAsia" w:ascii="微软雅黑" w:hAnsi="微软雅黑" w:cs="微软雅黑"/>
        </w:rPr>
      </w:pPr>
      <w:r>
        <w:rPr>
          <w:rFonts w:hint="eastAsia" w:ascii="微软雅黑" w:hAnsi="微软雅黑" w:cs="微软雅黑"/>
        </w:rPr>
        <w:t xml:space="preserve">5.3.4评标委员会在初审中，对算术错误的修正原则如下:</w:t>
      </w:r>
      <w:r/>
    </w:p>
    <w:p>
      <w:pPr>
        <w:ind w:firstLine="420"/>
        <w:spacing w:line="420" w:lineRule="exact"/>
        <w:rPr>
          <w:rFonts w:hint="eastAsia" w:ascii="微软雅黑" w:hAnsi="微软雅黑" w:cs="微软雅黑"/>
        </w:rPr>
      </w:pPr>
      <w:r>
        <w:rPr>
          <w:rFonts w:hint="eastAsia" w:ascii="微软雅黑" w:hAnsi="微软雅黑" w:cs="微软雅黑"/>
        </w:rPr>
        <w:t xml:space="preserve">（1）开标一览表内容与投标文件中明细表内容不一致的，以开标一览表为准；</w:t>
      </w:r>
      <w:r/>
    </w:p>
    <w:p>
      <w:pPr>
        <w:ind w:firstLine="420"/>
        <w:spacing w:line="420" w:lineRule="exact"/>
        <w:rPr>
          <w:rFonts w:hint="eastAsia" w:ascii="微软雅黑" w:hAnsi="微软雅黑" w:cs="微软雅黑"/>
        </w:rPr>
      </w:pPr>
      <w:r>
        <w:rPr>
          <w:rFonts w:hint="eastAsia" w:ascii="微软雅黑" w:hAnsi="微软雅黑" w:cs="微软雅黑"/>
        </w:rPr>
        <w:t xml:space="preserve">（2）投标文件的大写金额和小写金额不一致的，以大写金额为准；</w:t>
      </w:r>
      <w:r/>
    </w:p>
    <w:p>
      <w:pPr>
        <w:ind w:firstLine="420"/>
        <w:spacing w:line="420" w:lineRule="exact"/>
        <w:rPr>
          <w:rFonts w:hint="eastAsia" w:ascii="微软雅黑" w:hAnsi="微软雅黑" w:cs="微软雅黑"/>
        </w:rPr>
      </w:pPr>
      <w:r>
        <w:rPr>
          <w:rFonts w:hint="eastAsia" w:ascii="微软雅黑" w:hAnsi="微软雅黑" w:cs="微软雅黑"/>
        </w:rPr>
        <w:t xml:space="preserve">（3）总价金额与按单价汇总金额不一致的，以单价金额计算结果为准；</w:t>
      </w:r>
      <w:r/>
    </w:p>
    <w:p>
      <w:pPr>
        <w:ind w:firstLine="420"/>
        <w:spacing w:line="420" w:lineRule="exact"/>
        <w:rPr>
          <w:rFonts w:hint="eastAsia" w:ascii="微软雅黑" w:hAnsi="微软雅黑" w:cs="微软雅黑"/>
        </w:rPr>
      </w:pPr>
      <w:r>
        <w:rPr>
          <w:rFonts w:hint="eastAsia" w:ascii="微软雅黑" w:hAnsi="微软雅黑" w:cs="微软雅黑"/>
        </w:rPr>
        <w:t xml:space="preserve">（4）单价金额小数点有明显错位的，以总价为准并修改单价；</w:t>
      </w:r>
      <w:r/>
    </w:p>
    <w:p>
      <w:pPr>
        <w:ind w:firstLine="420"/>
        <w:spacing w:line="420" w:lineRule="exact"/>
        <w:rPr>
          <w:rFonts w:hint="eastAsia" w:ascii="微软雅黑" w:hAnsi="微软雅黑" w:cs="微软雅黑"/>
        </w:rPr>
      </w:pPr>
      <w:r>
        <w:rPr>
          <w:rFonts w:hint="eastAsia" w:ascii="微软雅黑" w:hAnsi="微软雅黑" w:cs="微软雅黑"/>
        </w:rPr>
        <w:t xml:space="preserve">（5）若供应商不同意以上修正，该投标文件将视为无效。</w:t>
      </w:r>
      <w:r/>
    </w:p>
    <w:p>
      <w:pPr>
        <w:pStyle w:val="1216"/>
        <w:spacing w:line="420" w:lineRule="exact"/>
        <w:rPr>
          <w:rFonts w:hint="eastAsia" w:ascii="微软雅黑" w:hAnsi="微软雅黑" w:cs="微软雅黑"/>
          <w:bCs w:val="0"/>
          <w:sz w:val="24"/>
          <w:szCs w:val="24"/>
        </w:rPr>
      </w:pPr>
      <w:r/>
      <w:bookmarkStart w:id="146" w:name="_Toc5896"/>
      <w:r/>
      <w:bookmarkStart w:id="147" w:name="_Toc23900"/>
      <w:r/>
      <w:bookmarkStart w:id="148" w:name="_Toc452384197"/>
      <w:r/>
      <w:bookmarkStart w:id="149" w:name="_Toc10342"/>
      <w:r>
        <w:rPr>
          <w:rFonts w:hint="eastAsia" w:ascii="微软雅黑" w:hAnsi="微软雅黑" w:cs="微软雅黑"/>
          <w:bCs w:val="0"/>
          <w:sz w:val="24"/>
          <w:szCs w:val="24"/>
        </w:rPr>
        <w:t xml:space="preserve">5.4投标文件的澄清</w:t>
      </w:r>
      <w:bookmarkEnd w:id="146"/>
      <w:r/>
      <w:bookmarkEnd w:id="147"/>
      <w:r/>
      <w:bookmarkEnd w:id="148"/>
      <w:r/>
      <w:bookmarkEnd w:id="149"/>
      <w:r/>
      <w:r/>
    </w:p>
    <w:p>
      <w:pPr>
        <w:spacing w:line="420" w:lineRule="exact"/>
        <w:rPr>
          <w:rFonts w:hint="eastAsia" w:ascii="微软雅黑" w:hAnsi="微软雅黑" w:cs="微软雅黑"/>
        </w:rPr>
      </w:pPr>
      <w:r>
        <w:rPr>
          <w:rFonts w:hint="eastAsia" w:ascii="微软雅黑" w:hAnsi="微软雅黑" w:cs="微软雅黑"/>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p>
    <w:p>
      <w:pPr>
        <w:spacing w:line="420" w:lineRule="exact"/>
        <w:rPr>
          <w:rFonts w:hint="eastAsia" w:ascii="微软雅黑" w:hAnsi="微软雅黑" w:cs="微软雅黑"/>
        </w:rPr>
      </w:pPr>
      <w:r>
        <w:rPr>
          <w:rFonts w:hint="eastAsia" w:ascii="微软雅黑" w:hAnsi="微软雅黑" w:cs="微软雅黑"/>
        </w:rPr>
        <w:t xml:space="preserve">5.4.2评标委员会认为有必要，可以要求供应商对某些问题作出必要的澄清、说明和补正。供应商的澄清、说明或者补正应当采用书面形式，并由法定代表人或其授权代表签字，且</w:t>
      </w:r>
      <w:r>
        <w:rPr>
          <w:rFonts w:hint="eastAsia" w:ascii="微软雅黑" w:hAnsi="微软雅黑" w:cs="微软雅黑"/>
          <w:highlight w:val="none"/>
        </w:rPr>
        <w:t xml:space="preserve">不得超出投标文件的范围或者改变投标文件的实质性内容</w:t>
      </w:r>
      <w:r>
        <w:rPr>
          <w:rFonts w:ascii="微软雅黑" w:hAnsi="微软雅黑" w:cs="微软雅黑"/>
          <w:highlight w:val="none"/>
        </w:rPr>
        <w:t xml:space="preserve">（范围</w:t>
      </w:r>
      <w:r>
        <w:rPr>
          <w:rFonts w:hint="eastAsia" w:ascii="微软雅黑" w:hAnsi="微软雅黑" w:cs="微软雅黑"/>
          <w:highlight w:val="none"/>
        </w:rPr>
        <w:t xml:space="preserve">仅限采购需求中的技术、</w:t>
      </w:r>
      <w:r>
        <w:rPr>
          <w:rFonts w:hint="eastAsia" w:ascii="微软雅黑" w:hAnsi="微软雅黑" w:cs="微软雅黑"/>
        </w:rPr>
        <w:t xml:space="preserve">服务要求以及合同草案条款）。供应商的书面澄清材料作为投标文件的补充。</w:t>
      </w:r>
      <w:r/>
    </w:p>
    <w:p>
      <w:pPr>
        <w:spacing w:line="420" w:lineRule="exact"/>
        <w:rPr>
          <w:rFonts w:hint="eastAsia" w:ascii="微软雅黑" w:hAnsi="微软雅黑" w:cs="微软雅黑"/>
        </w:rPr>
      </w:pPr>
      <w:r>
        <w:rPr>
          <w:rFonts w:hint="eastAsia" w:ascii="微软雅黑" w:hAnsi="微软雅黑" w:cs="微软雅黑"/>
        </w:rPr>
        <w:t xml:space="preserve">5.4.3供应商不按评标委员会规定的时间和地点作书面澄清，将视为放弃该权利。</w:t>
      </w:r>
      <w:r/>
    </w:p>
    <w:p>
      <w:pPr>
        <w:spacing w:line="420" w:lineRule="exact"/>
        <w:rPr>
          <w:rFonts w:hint="eastAsia" w:ascii="微软雅黑" w:hAnsi="微软雅黑" w:cs="微软雅黑"/>
        </w:rPr>
      </w:pPr>
      <w:r>
        <w:rPr>
          <w:rFonts w:hint="eastAsia" w:ascii="微软雅黑" w:hAnsi="微软雅黑" w:cs="微软雅黑"/>
        </w:rPr>
        <w:t xml:space="preserve">5.4.4并非每个供应商都将被要求澄清。</w:t>
      </w:r>
      <w:r/>
    </w:p>
    <w:p>
      <w:pPr>
        <w:pStyle w:val="1216"/>
        <w:spacing w:line="420" w:lineRule="exact"/>
        <w:rPr>
          <w:rFonts w:hint="eastAsia" w:ascii="微软雅黑" w:hAnsi="微软雅黑" w:cs="微软雅黑"/>
          <w:bCs w:val="0"/>
          <w:sz w:val="24"/>
          <w:szCs w:val="24"/>
        </w:rPr>
      </w:pPr>
      <w:r/>
      <w:bookmarkStart w:id="150" w:name="_Toc27862"/>
      <w:r/>
      <w:bookmarkStart w:id="151" w:name="_Toc29208"/>
      <w:r/>
      <w:bookmarkStart w:id="152" w:name="_Toc452384198"/>
      <w:r/>
      <w:bookmarkStart w:id="153" w:name="_Toc2242"/>
      <w:r>
        <w:rPr>
          <w:rFonts w:hint="eastAsia" w:ascii="微软雅黑" w:hAnsi="微软雅黑" w:cs="微软雅黑"/>
          <w:bCs w:val="0"/>
          <w:sz w:val="24"/>
          <w:szCs w:val="24"/>
        </w:rPr>
        <w:t xml:space="preserve">5.5评标及中标</w:t>
      </w:r>
      <w:bookmarkEnd w:id="150"/>
      <w:r/>
      <w:bookmarkEnd w:id="151"/>
      <w:r/>
      <w:bookmarkEnd w:id="152"/>
      <w:r/>
      <w:bookmarkEnd w:id="153"/>
      <w:r/>
      <w:r/>
    </w:p>
    <w:p>
      <w:pPr>
        <w:spacing w:line="420" w:lineRule="exact"/>
        <w:rPr>
          <w:rFonts w:hint="eastAsia" w:ascii="微软雅黑" w:hAnsi="微软雅黑" w:cs="微软雅黑"/>
        </w:rPr>
      </w:pPr>
      <w:r>
        <w:rPr>
          <w:rFonts w:hint="eastAsia" w:ascii="微软雅黑" w:hAnsi="微软雅黑" w:cs="微软雅黑"/>
        </w:rPr>
        <w:t xml:space="preserve">5.5.1评标委员会将对通过资格性审查和符合性审查的投标文件进行评价和比较。</w:t>
      </w:r>
      <w:r/>
    </w:p>
    <w:p>
      <w:pPr>
        <w:spacing w:line="420" w:lineRule="exact"/>
        <w:rPr>
          <w:rFonts w:hint="eastAsia" w:ascii="微软雅黑" w:hAnsi="微软雅黑" w:cs="微软雅黑"/>
        </w:rPr>
      </w:pPr>
      <w:r>
        <w:rPr>
          <w:rFonts w:hint="eastAsia" w:ascii="微软雅黑" w:hAnsi="微软雅黑" w:cs="微软雅黑"/>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u w:val="single"/>
        </w:rPr>
        <w:t xml:space="preserve">任何单项因素的最优不能作为中标的保证</w:t>
      </w:r>
      <w:r>
        <w:rPr>
          <w:rFonts w:hint="eastAsia" w:ascii="微软雅黑" w:hAnsi="微软雅黑" w:cs="微软雅黑"/>
        </w:rPr>
        <w:t xml:space="preserve">。</w:t>
      </w:r>
      <w:r/>
    </w:p>
    <w:p>
      <w:pPr>
        <w:spacing w:line="420" w:lineRule="exact"/>
        <w:rPr>
          <w:rFonts w:hint="eastAsia" w:ascii="微软雅黑" w:hAnsi="微软雅黑" w:cs="微软雅黑"/>
        </w:rPr>
      </w:pPr>
      <w:r>
        <w:rPr>
          <w:rFonts w:hint="eastAsia" w:ascii="微软雅黑" w:hAnsi="微软雅黑" w:cs="微软雅黑"/>
        </w:rPr>
        <w:t xml:space="preserve">5.5.3评标委员会发现采购文件存在歧义、重大缺陷导致评审工作无法进行，或者采购文件内容存在违反国家有关规定的，评标工作停止，采购代理机构修改采购文件后重新组织采购活动。</w:t>
      </w:r>
      <w:r/>
    </w:p>
    <w:p>
      <w:pPr>
        <w:pStyle w:val="1216"/>
        <w:spacing w:line="420" w:lineRule="exact"/>
        <w:rPr>
          <w:rFonts w:hint="eastAsia" w:ascii="微软雅黑" w:hAnsi="微软雅黑" w:cs="微软雅黑"/>
          <w:bCs w:val="0"/>
          <w:sz w:val="24"/>
          <w:szCs w:val="24"/>
        </w:rPr>
      </w:pPr>
      <w:r/>
      <w:bookmarkStart w:id="154" w:name="_Toc452384199"/>
      <w:r/>
      <w:bookmarkStart w:id="155" w:name="_Toc26358"/>
      <w:r/>
      <w:bookmarkStart w:id="156" w:name="_Toc11345"/>
      <w:r/>
      <w:bookmarkStart w:id="157" w:name="_Toc8548"/>
      <w:r>
        <w:rPr>
          <w:rFonts w:hint="eastAsia" w:ascii="微软雅黑" w:hAnsi="微软雅黑" w:cs="微软雅黑"/>
          <w:bCs w:val="0"/>
          <w:sz w:val="24"/>
          <w:szCs w:val="24"/>
        </w:rPr>
        <w:t xml:space="preserve">5.6评标过程保密</w:t>
      </w:r>
      <w:bookmarkEnd w:id="154"/>
      <w:r/>
      <w:bookmarkEnd w:id="155"/>
      <w:r/>
      <w:bookmarkEnd w:id="156"/>
      <w:r/>
      <w:bookmarkEnd w:id="157"/>
      <w:r/>
      <w:r/>
    </w:p>
    <w:p>
      <w:pPr>
        <w:spacing w:line="420" w:lineRule="exact"/>
        <w:rPr>
          <w:rFonts w:hint="eastAsia" w:ascii="微软雅黑" w:hAnsi="微软雅黑" w:cs="微软雅黑"/>
        </w:rPr>
      </w:pPr>
      <w:r>
        <w:rPr>
          <w:rFonts w:hint="eastAsia" w:ascii="微软雅黑" w:hAnsi="微软雅黑" w:cs="微软雅黑"/>
        </w:rPr>
        <w:t xml:space="preserve">5.6.1在宣布中标结果之前，凡属于审查、澄清、评价、比较投标文件和中标意向等有关信息，相关当事人均不得泄露给任何供应商或与评标工作无关的人员。</w:t>
      </w:r>
      <w:r/>
    </w:p>
    <w:p>
      <w:pPr>
        <w:spacing w:line="420" w:lineRule="exact"/>
        <w:rPr>
          <w:rFonts w:hint="eastAsia" w:ascii="微软雅黑" w:hAnsi="微软雅黑" w:cs="微软雅黑"/>
        </w:rPr>
      </w:pPr>
      <w:r>
        <w:rPr>
          <w:rFonts w:hint="eastAsia" w:ascii="微软雅黑" w:hAnsi="微软雅黑" w:cs="微软雅黑"/>
        </w:rPr>
        <w:t xml:space="preserve">5.6.2供应商不得探听上述信息，不得以任何行为影响评标过程，否则其投标文件将被作无效处理。</w:t>
      </w:r>
      <w:r/>
    </w:p>
    <w:p>
      <w:pPr>
        <w:spacing w:line="420" w:lineRule="exact"/>
        <w:rPr>
          <w:rFonts w:hint="eastAsia" w:ascii="微软雅黑" w:hAnsi="微软雅黑" w:cs="微软雅黑"/>
        </w:rPr>
      </w:pPr>
      <w:r>
        <w:rPr>
          <w:rFonts w:hint="eastAsia" w:ascii="微软雅黑" w:hAnsi="微软雅黑" w:cs="微软雅黑"/>
        </w:rPr>
        <w:t xml:space="preserve">5.6.3在评标期间，采购代理机构将有专门人员与供应商进行联络。</w:t>
      </w:r>
      <w:r/>
    </w:p>
    <w:p>
      <w:pPr>
        <w:pStyle w:val="1216"/>
        <w:spacing w:line="420" w:lineRule="exact"/>
        <w:rPr>
          <w:rFonts w:hint="eastAsia" w:ascii="微软雅黑" w:hAnsi="微软雅黑" w:cs="微软雅黑"/>
          <w:bCs w:val="0"/>
          <w:sz w:val="24"/>
          <w:szCs w:val="24"/>
        </w:rPr>
      </w:pPr>
      <w:r/>
      <w:bookmarkStart w:id="158" w:name="_Toc452384200"/>
      <w:r/>
      <w:bookmarkStart w:id="159" w:name="_Toc11696"/>
      <w:r/>
      <w:bookmarkStart w:id="160" w:name="_Toc13403"/>
      <w:r/>
      <w:bookmarkStart w:id="161" w:name="_Toc28298"/>
      <w:r>
        <w:rPr>
          <w:rFonts w:hint="eastAsia" w:ascii="微软雅黑" w:hAnsi="微软雅黑" w:cs="微软雅黑"/>
          <w:bCs w:val="0"/>
          <w:sz w:val="24"/>
          <w:szCs w:val="24"/>
        </w:rPr>
        <w:t xml:space="preserve">5.7投标截止时间结束后参加供应商不足三家情况的处理</w:t>
      </w:r>
      <w:bookmarkEnd w:id="158"/>
      <w:r/>
      <w:bookmarkEnd w:id="159"/>
      <w:r/>
      <w:bookmarkEnd w:id="160"/>
      <w:r/>
      <w:bookmarkEnd w:id="161"/>
      <w:r/>
      <w:r/>
    </w:p>
    <w:p>
      <w:pPr>
        <w:ind w:firstLine="420"/>
        <w:spacing w:line="420" w:lineRule="exact"/>
        <w:rPr>
          <w:rFonts w:hint="eastAsia" w:ascii="微软雅黑" w:hAnsi="微软雅黑" w:cs="微软雅黑"/>
        </w:rPr>
      </w:pPr>
      <w:r>
        <w:rPr>
          <w:rFonts w:hint="eastAsia" w:ascii="微软雅黑" w:hAnsi="微软雅黑" w:cs="微软雅黑"/>
        </w:rPr>
        <w:t xml:space="preserve">投标截止后投标供应商不足3家或者通过资格审查或符合性审查的投标供应商不足3家的，除采购任务取消情形外，按照以下方式处理：</w:t>
      </w:r>
      <w:r/>
    </w:p>
    <w:p>
      <w:pPr>
        <w:ind w:firstLine="420"/>
        <w:spacing w:line="420" w:lineRule="exact"/>
        <w:rPr>
          <w:rFonts w:hint="eastAsia" w:ascii="微软雅黑" w:hAnsi="微软雅黑" w:cs="微软雅黑"/>
        </w:rPr>
      </w:pPr>
      <w:r>
        <w:rPr>
          <w:rFonts w:hint="eastAsia" w:ascii="微软雅黑" w:hAnsi="微软雅黑" w:cs="微软雅黑"/>
        </w:rPr>
        <w:t xml:space="preserve">（一）采购文件存在不合理条款或者招标程序不符合规定的，采购人、采购代理机构改正后依法重新招标；</w:t>
      </w:r>
      <w:r/>
    </w:p>
    <w:p>
      <w:pPr>
        <w:ind w:firstLine="420"/>
        <w:spacing w:line="420" w:lineRule="exact"/>
        <w:rPr>
          <w:rFonts w:hint="eastAsia" w:ascii="微软雅黑" w:hAnsi="微软雅黑" w:cs="微软雅黑"/>
        </w:rPr>
      </w:pPr>
      <w:r>
        <w:rPr>
          <w:rFonts w:hint="eastAsia" w:ascii="微软雅黑" w:hAnsi="微软雅黑" w:cs="微软雅黑"/>
        </w:rPr>
        <w:t xml:space="preserve">（二）采购文件没有不合理条款、招标程序符合规定，需要采用其他采购方式采购的，采购人应当依法报财政部门批准（不需要审批的除外）。</w:t>
      </w:r>
      <w:r/>
    </w:p>
    <w:p>
      <w:pPr>
        <w:ind w:firstLine="420"/>
        <w:spacing w:line="420" w:lineRule="exact"/>
        <w:rPr>
          <w:rFonts w:hint="eastAsia" w:ascii="微软雅黑" w:hAnsi="微软雅黑" w:cs="微软雅黑"/>
        </w:rPr>
      </w:pPr>
      <w:r>
        <w:rPr>
          <w:rFonts w:hint="eastAsia" w:ascii="微软雅黑" w:hAnsi="微软雅黑" w:cs="微软雅黑"/>
        </w:rPr>
        <w:t xml:space="preserve">（三）评标委员会如建议对采购方式进行改变，供应商应在规定时间内以书面方式表达自己的意见（是否同意参加竞争性谈判、单一来源采购等），规定时间内不表达意见的，视同不参加。</w:t>
      </w:r>
      <w:r/>
    </w:p>
    <w:p>
      <w:pPr>
        <w:pStyle w:val="1216"/>
        <w:spacing w:line="420" w:lineRule="exact"/>
        <w:rPr>
          <w:rFonts w:hint="eastAsia" w:ascii="微软雅黑" w:hAnsi="微软雅黑" w:cs="微软雅黑"/>
          <w:bCs w:val="0"/>
          <w:sz w:val="24"/>
          <w:szCs w:val="24"/>
        </w:rPr>
      </w:pPr>
      <w:r/>
      <w:bookmarkStart w:id="162" w:name="_Toc452384201"/>
      <w:r/>
      <w:bookmarkStart w:id="163" w:name="_Toc14481"/>
      <w:r/>
      <w:bookmarkStart w:id="164" w:name="_Toc12833"/>
      <w:r/>
      <w:bookmarkStart w:id="165" w:name="_Toc13676"/>
      <w:r>
        <w:rPr>
          <w:rFonts w:hint="eastAsia" w:ascii="微软雅黑" w:hAnsi="微软雅黑" w:cs="微软雅黑"/>
          <w:bCs w:val="0"/>
          <w:sz w:val="24"/>
          <w:szCs w:val="24"/>
        </w:rPr>
        <w:t xml:space="preserve">5.8废标（终止采购活动）</w:t>
      </w:r>
      <w:bookmarkEnd w:id="162"/>
      <w:r/>
      <w:bookmarkEnd w:id="163"/>
      <w:r/>
      <w:bookmarkEnd w:id="164"/>
      <w:r/>
      <w:bookmarkEnd w:id="165"/>
      <w:r/>
      <w:r/>
    </w:p>
    <w:p>
      <w:pPr>
        <w:spacing w:line="420" w:lineRule="exact"/>
        <w:rPr>
          <w:rFonts w:hint="eastAsia" w:ascii="微软雅黑" w:hAnsi="微软雅黑" w:cs="微软雅黑"/>
        </w:rPr>
      </w:pPr>
      <w:r>
        <w:rPr>
          <w:rFonts w:hint="eastAsia" w:ascii="微软雅黑" w:hAnsi="微软雅黑" w:cs="微软雅黑"/>
        </w:rPr>
        <w:t xml:space="preserve">出现下列情形之一的，将予废标（终止采购活动）：</w:t>
      </w:r>
      <w:r/>
    </w:p>
    <w:p>
      <w:pPr>
        <w:spacing w:line="420" w:lineRule="exact"/>
        <w:rPr>
          <w:rFonts w:hint="eastAsia" w:ascii="微软雅黑" w:hAnsi="微软雅黑" w:cs="微软雅黑"/>
        </w:rPr>
      </w:pPr>
      <w:r>
        <w:rPr>
          <w:rFonts w:hint="eastAsia" w:ascii="微软雅黑" w:hAnsi="微软雅黑" w:cs="微软雅黑"/>
        </w:rPr>
        <w:t xml:space="preserve">5.8.1需要审批的项目符合专业条件的供应商或者对采购文件作实质响应的供应商不足三家的；</w:t>
      </w:r>
      <w:r/>
    </w:p>
    <w:p>
      <w:pPr>
        <w:spacing w:line="420" w:lineRule="exact"/>
        <w:rPr>
          <w:rFonts w:hint="eastAsia" w:ascii="微软雅黑" w:hAnsi="微软雅黑" w:cs="微软雅黑"/>
        </w:rPr>
      </w:pPr>
      <w:r>
        <w:rPr>
          <w:rFonts w:hint="eastAsia" w:ascii="微软雅黑" w:hAnsi="微软雅黑" w:cs="微软雅黑"/>
        </w:rPr>
        <w:t xml:space="preserve">5.8.2出现影响采购公正的违法、违规行为的；</w:t>
      </w:r>
      <w:r/>
    </w:p>
    <w:p>
      <w:pPr>
        <w:spacing w:line="420" w:lineRule="exact"/>
        <w:rPr>
          <w:rFonts w:hint="eastAsia" w:ascii="微软雅黑" w:hAnsi="微软雅黑" w:cs="微软雅黑"/>
        </w:rPr>
      </w:pPr>
      <w:r>
        <w:rPr>
          <w:rFonts w:hint="eastAsia" w:ascii="微软雅黑" w:hAnsi="微软雅黑" w:cs="微软雅黑"/>
        </w:rPr>
        <w:t xml:space="preserve">5.8.3供应商的报价均超过了采购预算，采购人不能支付的；</w:t>
      </w:r>
      <w:r/>
    </w:p>
    <w:p>
      <w:pPr>
        <w:spacing w:line="420" w:lineRule="exact"/>
        <w:rPr>
          <w:rFonts w:hint="eastAsia" w:ascii="微软雅黑" w:hAnsi="微软雅黑" w:cs="微软雅黑"/>
        </w:rPr>
      </w:pPr>
      <w:r>
        <w:rPr>
          <w:rFonts w:hint="eastAsia" w:ascii="微软雅黑" w:hAnsi="微软雅黑" w:cs="微软雅黑"/>
        </w:rPr>
        <w:t xml:space="preserve">5.8.4因重大变故，采购任务取消的。</w:t>
      </w:r>
      <w:r/>
    </w:p>
    <w:p>
      <w:pPr>
        <w:pStyle w:val="1216"/>
        <w:spacing w:line="420" w:lineRule="exact"/>
        <w:rPr>
          <w:rFonts w:hint="eastAsia" w:ascii="微软雅黑" w:hAnsi="微软雅黑" w:cs="微软雅黑"/>
          <w:bCs w:val="0"/>
          <w:sz w:val="24"/>
          <w:szCs w:val="24"/>
        </w:rPr>
      </w:pPr>
      <w:r/>
      <w:bookmarkStart w:id="166" w:name="_Toc22393"/>
      <w:r/>
      <w:bookmarkStart w:id="167" w:name="_Toc18356"/>
      <w:r/>
      <w:bookmarkStart w:id="168" w:name="_Toc25877"/>
      <w:r>
        <w:rPr>
          <w:rFonts w:hint="eastAsia" w:ascii="微软雅黑" w:hAnsi="微软雅黑" w:cs="微软雅黑"/>
          <w:bCs w:val="0"/>
          <w:sz w:val="24"/>
          <w:szCs w:val="24"/>
        </w:rPr>
        <w:t xml:space="preserve">5.9有下列情形之一的，视为投标供应商串通投标，其投标无效：</w:t>
      </w:r>
      <w:bookmarkEnd w:id="166"/>
      <w:r/>
      <w:bookmarkEnd w:id="167"/>
      <w:r/>
      <w:bookmarkEnd w:id="168"/>
      <w:r/>
      <w:r/>
    </w:p>
    <w:p>
      <w:pPr>
        <w:spacing w:line="420" w:lineRule="exact"/>
        <w:rPr>
          <w:rFonts w:hint="eastAsia" w:ascii="微软雅黑" w:hAnsi="微软雅黑" w:cs="微软雅黑"/>
        </w:rPr>
      </w:pPr>
      <w:r>
        <w:rPr>
          <w:rFonts w:hint="eastAsia" w:ascii="微软雅黑" w:hAnsi="微软雅黑" w:cs="微软雅黑"/>
        </w:rPr>
        <w:t xml:space="preserve">5.9.1不同投标供应商的投标文件由同一单位或者个人编制；</w:t>
      </w:r>
      <w:r/>
    </w:p>
    <w:p>
      <w:pPr>
        <w:spacing w:line="420" w:lineRule="exact"/>
        <w:rPr>
          <w:rFonts w:hint="eastAsia" w:ascii="微软雅黑" w:hAnsi="微软雅黑" w:cs="微软雅黑"/>
        </w:rPr>
      </w:pPr>
      <w:r>
        <w:rPr>
          <w:rFonts w:hint="eastAsia" w:ascii="微软雅黑" w:hAnsi="微软雅黑" w:cs="微软雅黑"/>
        </w:rPr>
        <w:t xml:space="preserve">5.9.2不同投标供应商委托同一单位或者个人办理投标事宜；</w:t>
      </w:r>
      <w:r/>
    </w:p>
    <w:p>
      <w:pPr>
        <w:spacing w:line="420" w:lineRule="exact"/>
        <w:rPr>
          <w:rFonts w:hint="eastAsia" w:ascii="微软雅黑" w:hAnsi="微软雅黑" w:cs="微软雅黑"/>
        </w:rPr>
      </w:pPr>
      <w:r>
        <w:rPr>
          <w:rFonts w:hint="eastAsia" w:ascii="微软雅黑" w:hAnsi="微软雅黑" w:cs="微软雅黑"/>
        </w:rPr>
        <w:t xml:space="preserve">5.9.3不同投标供应商的投标文件载明的项目管理成员或者联系人员为同一人；</w:t>
      </w:r>
      <w:r/>
    </w:p>
    <w:p>
      <w:pPr>
        <w:spacing w:line="420" w:lineRule="exact"/>
        <w:rPr>
          <w:rFonts w:hint="eastAsia" w:ascii="微软雅黑" w:hAnsi="微软雅黑" w:cs="微软雅黑"/>
        </w:rPr>
      </w:pPr>
      <w:r>
        <w:rPr>
          <w:rFonts w:hint="eastAsia" w:ascii="微软雅黑" w:hAnsi="微软雅黑" w:cs="微软雅黑"/>
        </w:rPr>
        <w:t xml:space="preserve">5.9.4不同投标供应商的投标文件异常一致或者投标报价呈规律性差异；</w:t>
      </w:r>
      <w:r/>
    </w:p>
    <w:p>
      <w:pPr>
        <w:spacing w:line="420" w:lineRule="exact"/>
        <w:rPr>
          <w:rFonts w:hint="eastAsia" w:ascii="微软雅黑" w:hAnsi="微软雅黑" w:cs="微软雅黑"/>
          <w:highlight w:val="none"/>
        </w:rPr>
      </w:pPr>
      <w:r>
        <w:rPr>
          <w:rFonts w:hint="eastAsia" w:ascii="微软雅黑" w:hAnsi="微软雅黑" w:cs="微软雅黑"/>
          <w:highlight w:val="none"/>
        </w:rPr>
        <w:t xml:space="preserve">5.9.5不同投标供应商的投标文件相互混装</w:t>
      </w:r>
      <w:r>
        <w:rPr>
          <w:rFonts w:ascii="微软雅黑" w:hAnsi="微软雅黑" w:cs="微软雅黑"/>
          <w:highlight w:val="none"/>
        </w:rPr>
        <w:t xml:space="preserve">；</w:t>
      </w:r>
      <w:r/>
    </w:p>
    <w:p>
      <w:pPr>
        <w:spacing w:line="420" w:lineRule="exact"/>
        <w:rPr>
          <w:rFonts w:hint="eastAsia" w:ascii="微软雅黑" w:hAnsi="微软雅黑" w:cs="微软雅黑"/>
        </w:rPr>
      </w:pPr>
      <w:r>
        <w:rPr>
          <w:rFonts w:hint="eastAsia" w:ascii="微软雅黑" w:hAnsi="微软雅黑" w:cs="微软雅黑"/>
        </w:rPr>
        <w:t xml:space="preserve">5.9.6不同投标供应商的投标保证金从同一单位或者个人的账户转出。</w:t>
      </w:r>
      <w:r/>
    </w:p>
    <w:p>
      <w:pPr>
        <w:pStyle w:val="1353"/>
        <w:spacing w:line="420" w:lineRule="exact"/>
        <w:rPr>
          <w:rFonts w:hint="eastAsia" w:ascii="微软雅黑" w:hAnsi="微软雅黑" w:cs="微软雅黑"/>
        </w:rPr>
      </w:pPr>
      <w:r/>
      <w:bookmarkStart w:id="169" w:name="_Toc25642"/>
      <w:r/>
      <w:bookmarkStart w:id="170" w:name="_Toc15764"/>
      <w:r/>
      <w:bookmarkStart w:id="171" w:name="_Toc452384202"/>
      <w:r/>
      <w:bookmarkStart w:id="172" w:name="_Toc18476"/>
      <w:r>
        <w:rPr>
          <w:rFonts w:hint="eastAsia" w:ascii="微软雅黑" w:hAnsi="微软雅黑" w:cs="微软雅黑"/>
        </w:rPr>
        <w:t xml:space="preserve">六、合同授予及签订</w:t>
      </w:r>
      <w:bookmarkEnd w:id="169"/>
      <w:r/>
      <w:bookmarkEnd w:id="170"/>
      <w:r/>
      <w:bookmarkEnd w:id="171"/>
      <w:r/>
      <w:bookmarkEnd w:id="172"/>
      <w:r/>
      <w:r/>
    </w:p>
    <w:p>
      <w:pPr>
        <w:pStyle w:val="1216"/>
        <w:spacing w:line="420" w:lineRule="exact"/>
        <w:rPr>
          <w:rFonts w:hint="eastAsia" w:ascii="微软雅黑" w:hAnsi="微软雅黑" w:cs="微软雅黑"/>
          <w:bCs w:val="0"/>
          <w:sz w:val="24"/>
          <w:szCs w:val="24"/>
        </w:rPr>
      </w:pPr>
      <w:r/>
      <w:bookmarkStart w:id="173" w:name="_Toc452384203"/>
      <w:r/>
      <w:bookmarkStart w:id="174" w:name="_Toc2419"/>
      <w:r/>
      <w:bookmarkStart w:id="175" w:name="_Toc180"/>
      <w:r/>
      <w:bookmarkStart w:id="176" w:name="_Toc6552"/>
      <w:r>
        <w:rPr>
          <w:rFonts w:hint="eastAsia" w:ascii="微软雅黑" w:hAnsi="微软雅黑" w:cs="微软雅黑"/>
          <w:bCs w:val="0"/>
          <w:sz w:val="24"/>
          <w:szCs w:val="24"/>
        </w:rPr>
        <w:t xml:space="preserve">6.1确定中标、成交供应商</w:t>
      </w:r>
      <w:bookmarkEnd w:id="173"/>
      <w:r/>
      <w:bookmarkEnd w:id="174"/>
      <w:r/>
      <w:bookmarkEnd w:id="175"/>
      <w:r/>
      <w:bookmarkEnd w:id="176"/>
      <w:r/>
      <w:r/>
    </w:p>
    <w:p>
      <w:pPr>
        <w:spacing w:line="420" w:lineRule="exact"/>
        <w:rPr>
          <w:rFonts w:hint="eastAsia" w:ascii="微软雅黑" w:hAnsi="微软雅黑" w:cs="微软雅黑"/>
        </w:rPr>
      </w:pPr>
      <w:r>
        <w:rPr>
          <w:rFonts w:hint="eastAsia" w:ascii="微软雅黑" w:hAnsi="微软雅黑" w:cs="微软雅黑"/>
        </w:rPr>
        <w:t xml:space="preserve">6.1.1采购人严格按照本采购文件的约定和有关规定确定中标供应商。中标供应商将在原公告媒体上公示。</w:t>
      </w:r>
      <w:r/>
    </w:p>
    <w:p>
      <w:pPr>
        <w:spacing w:line="420" w:lineRule="exact"/>
        <w:rPr>
          <w:rFonts w:hint="eastAsia" w:ascii="微软雅黑" w:hAnsi="微软雅黑" w:cs="微软雅黑"/>
        </w:rPr>
      </w:pPr>
      <w:r>
        <w:rPr>
          <w:rFonts w:hint="eastAsia" w:ascii="微软雅黑" w:hAnsi="微软雅黑" w:cs="微软雅黑"/>
        </w:rPr>
        <w:t xml:space="preserve">6.1.2评标结束后，如有必要采购人可以对评标委员会确定的中标候选供应商进行考察。</w:t>
      </w:r>
      <w:r/>
    </w:p>
    <w:p>
      <w:pPr>
        <w:spacing w:line="420" w:lineRule="exact"/>
        <w:rPr>
          <w:rFonts w:hint="eastAsia" w:ascii="微软雅黑" w:hAnsi="微软雅黑" w:cs="微软雅黑"/>
        </w:rPr>
      </w:pPr>
      <w:r>
        <w:rPr>
          <w:rFonts w:hint="eastAsia" w:ascii="微软雅黑" w:hAnsi="微软雅黑" w:cs="微软雅黑"/>
        </w:rPr>
        <w:t xml:space="preserve">6.1.3供应商出现下列情况之一的，将被取消中标供应商资格，没收投标保证金：</w:t>
      </w:r>
      <w:r/>
    </w:p>
    <w:p>
      <w:pPr>
        <w:ind w:firstLine="420"/>
        <w:spacing w:line="420" w:lineRule="exact"/>
        <w:rPr>
          <w:rFonts w:hint="eastAsia" w:ascii="微软雅黑" w:hAnsi="微软雅黑" w:cs="微软雅黑"/>
        </w:rPr>
      </w:pPr>
      <w:r>
        <w:rPr>
          <w:rFonts w:hint="eastAsia" w:ascii="微软雅黑" w:hAnsi="微软雅黑" w:cs="微软雅黑"/>
        </w:rPr>
        <w:t xml:space="preserve">（1）提供虚假材料谋取中标、成交的；</w:t>
      </w:r>
      <w:r/>
    </w:p>
    <w:p>
      <w:pPr>
        <w:ind w:firstLine="420"/>
        <w:spacing w:line="420" w:lineRule="exact"/>
        <w:rPr>
          <w:rFonts w:hint="eastAsia" w:ascii="微软雅黑" w:hAnsi="微软雅黑" w:cs="微软雅黑"/>
        </w:rPr>
      </w:pPr>
      <w:r>
        <w:rPr>
          <w:rFonts w:hint="eastAsia" w:ascii="微软雅黑" w:hAnsi="微软雅黑" w:cs="微软雅黑"/>
        </w:rPr>
        <w:t xml:space="preserve">（2）采取不正当手段诋毁、排挤其他供应商的；</w:t>
      </w:r>
      <w:r/>
    </w:p>
    <w:p>
      <w:pPr>
        <w:ind w:firstLine="420"/>
        <w:spacing w:line="420" w:lineRule="exact"/>
        <w:rPr>
          <w:rFonts w:hint="eastAsia" w:ascii="微软雅黑" w:hAnsi="微软雅黑" w:cs="微软雅黑"/>
        </w:rPr>
      </w:pPr>
      <w:r>
        <w:rPr>
          <w:rFonts w:hint="eastAsia" w:ascii="微软雅黑" w:hAnsi="微软雅黑" w:cs="微软雅黑"/>
        </w:rPr>
        <w:t xml:space="preserve">（3）与采购人、采购代理机构或者其他供应商恶意串通的；</w:t>
      </w:r>
      <w:r/>
    </w:p>
    <w:p>
      <w:pPr>
        <w:ind w:firstLine="420"/>
        <w:spacing w:line="420" w:lineRule="exact"/>
        <w:rPr>
          <w:rFonts w:hint="eastAsia" w:ascii="微软雅黑" w:hAnsi="微软雅黑" w:cs="微软雅黑"/>
        </w:rPr>
      </w:pPr>
      <w:r>
        <w:rPr>
          <w:rFonts w:hint="eastAsia" w:ascii="微软雅黑" w:hAnsi="微软雅黑" w:cs="微软雅黑"/>
        </w:rPr>
        <w:t xml:space="preserve">（4）向采购人、采购代理机构行贿或者提供其他不正当利益的；</w:t>
      </w:r>
      <w:r/>
    </w:p>
    <w:p>
      <w:pPr>
        <w:ind w:firstLine="420"/>
        <w:spacing w:line="420" w:lineRule="exact"/>
        <w:rPr>
          <w:rFonts w:hint="eastAsia" w:ascii="微软雅黑" w:hAnsi="微软雅黑" w:cs="微软雅黑"/>
        </w:rPr>
      </w:pPr>
      <w:r>
        <w:rPr>
          <w:rFonts w:hint="eastAsia" w:ascii="微软雅黑" w:hAnsi="微软雅黑" w:cs="微软雅黑"/>
        </w:rPr>
        <w:t xml:space="preserve">（5）恶意竞争，投标总报价明显低于其自身合理成本且又无法提供证明的；</w:t>
      </w:r>
      <w:r/>
    </w:p>
    <w:p>
      <w:pPr>
        <w:ind w:firstLine="420"/>
        <w:spacing w:line="420" w:lineRule="exact"/>
        <w:rPr>
          <w:rFonts w:hint="eastAsia" w:ascii="微软雅黑" w:hAnsi="微软雅黑" w:cs="微软雅黑"/>
        </w:rPr>
      </w:pPr>
      <w:r>
        <w:rPr>
          <w:rFonts w:hint="eastAsia" w:ascii="微软雅黑" w:hAnsi="微软雅黑" w:cs="微软雅黑"/>
        </w:rPr>
        <w:t xml:space="preserve">（6）不符合法律、法规的规定。</w:t>
      </w:r>
      <w:r/>
    </w:p>
    <w:p>
      <w:pPr>
        <w:pStyle w:val="1216"/>
        <w:spacing w:line="420" w:lineRule="exact"/>
        <w:rPr>
          <w:rFonts w:hint="eastAsia" w:ascii="微软雅黑" w:hAnsi="微软雅黑" w:cs="微软雅黑"/>
          <w:bCs w:val="0"/>
          <w:sz w:val="24"/>
          <w:szCs w:val="24"/>
        </w:rPr>
      </w:pPr>
      <w:r/>
      <w:bookmarkStart w:id="177" w:name="_Toc26991"/>
      <w:r/>
      <w:bookmarkStart w:id="178" w:name="_Toc24458"/>
      <w:r/>
      <w:bookmarkStart w:id="179" w:name="_Toc452384204"/>
      <w:r/>
      <w:bookmarkStart w:id="180" w:name="_Toc18853"/>
      <w:r>
        <w:rPr>
          <w:rFonts w:hint="eastAsia" w:ascii="微软雅黑" w:hAnsi="微软雅黑" w:cs="微软雅黑"/>
          <w:bCs w:val="0"/>
          <w:sz w:val="24"/>
          <w:szCs w:val="24"/>
        </w:rPr>
        <w:t xml:space="preserve">6.2质疑处理</w:t>
      </w:r>
      <w:bookmarkEnd w:id="177"/>
      <w:r/>
      <w:bookmarkEnd w:id="178"/>
      <w:r/>
      <w:bookmarkEnd w:id="179"/>
      <w:r/>
      <w:bookmarkEnd w:id="180"/>
      <w:r/>
      <w:r/>
    </w:p>
    <w:p>
      <w:pPr>
        <w:spacing w:line="420" w:lineRule="exact"/>
        <w:rPr>
          <w:rFonts w:hint="eastAsia" w:ascii="微软雅黑" w:hAnsi="微软雅黑" w:cs="微软雅黑"/>
        </w:rPr>
      </w:pPr>
      <w:r>
        <w:rPr>
          <w:rFonts w:hint="eastAsia" w:ascii="微软雅黑" w:hAnsi="微软雅黑" w:cs="微软雅黑"/>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p>
    <w:p>
      <w:pPr>
        <w:spacing w:line="420" w:lineRule="exact"/>
        <w:rPr>
          <w:rFonts w:hint="eastAsia" w:ascii="微软雅黑" w:hAnsi="微软雅黑" w:cs="微软雅黑"/>
        </w:rPr>
      </w:pPr>
      <w:r>
        <w:rPr>
          <w:rFonts w:hint="eastAsia" w:ascii="微软雅黑" w:hAnsi="微软雅黑" w:cs="微软雅黑"/>
        </w:rPr>
        <w:t xml:space="preserve">6.2.2提出质疑的供应商应当是参与所质疑项目采购活动的供应商。并在法定质疑期内一次性提出针对同一采购程序环节的质疑。</w:t>
      </w:r>
      <w:r/>
    </w:p>
    <w:p>
      <w:pPr>
        <w:spacing w:line="420" w:lineRule="exact"/>
        <w:rPr>
          <w:rFonts w:hint="eastAsia" w:ascii="微软雅黑" w:hAnsi="微软雅黑" w:cs="微软雅黑"/>
        </w:rPr>
      </w:pPr>
      <w:r>
        <w:rPr>
          <w:rFonts w:hint="eastAsia" w:ascii="微软雅黑" w:hAnsi="微软雅黑" w:cs="微软雅黑"/>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p>
    <w:p>
      <w:pPr>
        <w:spacing w:line="420" w:lineRule="exact"/>
        <w:rPr>
          <w:rFonts w:hint="eastAsia" w:ascii="微软雅黑" w:hAnsi="微软雅黑" w:cs="微软雅黑"/>
        </w:rPr>
      </w:pPr>
      <w:r>
        <w:rPr>
          <w:rFonts w:hint="eastAsia" w:ascii="微软雅黑" w:hAnsi="微软雅黑" w:cs="微软雅黑"/>
        </w:rPr>
        <w:t xml:space="preserve">6.2.4质疑函应当包括下列内容：</w:t>
      </w:r>
      <w:r/>
    </w:p>
    <w:p>
      <w:pPr>
        <w:ind w:firstLine="420"/>
        <w:spacing w:line="420" w:lineRule="exact"/>
        <w:rPr>
          <w:rFonts w:hint="eastAsia" w:ascii="微软雅黑" w:hAnsi="微软雅黑" w:cs="微软雅黑"/>
        </w:rPr>
      </w:pPr>
      <w:r>
        <w:rPr>
          <w:rFonts w:hint="eastAsia" w:ascii="微软雅黑" w:hAnsi="微软雅黑" w:cs="微软雅黑"/>
        </w:rPr>
        <w:t xml:space="preserve">（1）供应商的姓名或者名称、地址、邮编、联系人及联系电话；</w:t>
      </w:r>
      <w:r/>
    </w:p>
    <w:p>
      <w:pPr>
        <w:ind w:firstLine="420"/>
        <w:spacing w:line="420" w:lineRule="exact"/>
        <w:rPr>
          <w:rFonts w:hint="eastAsia" w:ascii="微软雅黑" w:hAnsi="微软雅黑" w:cs="微软雅黑"/>
        </w:rPr>
      </w:pPr>
      <w:r>
        <w:rPr>
          <w:rFonts w:hint="eastAsia" w:ascii="微软雅黑" w:hAnsi="微软雅黑" w:cs="微软雅黑"/>
        </w:rPr>
        <w:t xml:space="preserve">（2）质疑项目的名称、编号；</w:t>
      </w:r>
      <w:r/>
    </w:p>
    <w:p>
      <w:pPr>
        <w:ind w:firstLine="420"/>
        <w:spacing w:line="420" w:lineRule="exact"/>
        <w:rPr>
          <w:rFonts w:hint="eastAsia" w:ascii="微软雅黑" w:hAnsi="微软雅黑" w:cs="微软雅黑"/>
        </w:rPr>
      </w:pPr>
      <w:r>
        <w:rPr>
          <w:rFonts w:hint="eastAsia" w:ascii="微软雅黑" w:hAnsi="微软雅黑" w:cs="微软雅黑"/>
        </w:rPr>
        <w:t xml:space="preserve">（3）具体、明确的质疑事项和与质疑事项相关的请求；</w:t>
      </w:r>
      <w:r/>
    </w:p>
    <w:p>
      <w:pPr>
        <w:ind w:firstLine="420"/>
        <w:spacing w:line="420" w:lineRule="exact"/>
        <w:rPr>
          <w:rFonts w:hint="eastAsia" w:ascii="微软雅黑" w:hAnsi="微软雅黑" w:cs="微软雅黑"/>
        </w:rPr>
      </w:pPr>
      <w:r>
        <w:rPr>
          <w:rFonts w:hint="eastAsia" w:ascii="微软雅黑" w:hAnsi="微软雅黑" w:cs="微软雅黑"/>
        </w:rPr>
        <w:t xml:space="preserve">（4）事实依据；</w:t>
      </w:r>
      <w:r/>
    </w:p>
    <w:p>
      <w:pPr>
        <w:ind w:firstLine="420"/>
        <w:spacing w:line="420" w:lineRule="exact"/>
        <w:rPr>
          <w:rFonts w:hint="eastAsia" w:ascii="微软雅黑" w:hAnsi="微软雅黑" w:cs="微软雅黑"/>
        </w:rPr>
      </w:pPr>
      <w:r>
        <w:rPr>
          <w:rFonts w:hint="eastAsia" w:ascii="微软雅黑" w:hAnsi="微软雅黑" w:cs="微软雅黑"/>
        </w:rPr>
        <w:t xml:space="preserve">（5）必要的法律依据；</w:t>
      </w:r>
      <w:r/>
    </w:p>
    <w:p>
      <w:pPr>
        <w:ind w:firstLine="420"/>
        <w:spacing w:line="420" w:lineRule="exact"/>
        <w:rPr>
          <w:rFonts w:hint="eastAsia" w:ascii="微软雅黑" w:hAnsi="微软雅黑" w:cs="微软雅黑"/>
        </w:rPr>
      </w:pPr>
      <w:r>
        <w:rPr>
          <w:rFonts w:hint="eastAsia" w:ascii="微软雅黑" w:hAnsi="微软雅黑" w:cs="微软雅黑"/>
        </w:rPr>
        <w:t xml:space="preserve">（6）提出质疑的日期。</w:t>
      </w:r>
      <w:r/>
    </w:p>
    <w:p>
      <w:pPr>
        <w:ind w:firstLine="420"/>
        <w:spacing w:line="420" w:lineRule="exact"/>
        <w:rPr>
          <w:rFonts w:hint="eastAsia"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p>
    <w:p>
      <w:pPr>
        <w:spacing w:line="420" w:lineRule="exact"/>
        <w:rPr>
          <w:rFonts w:hint="eastAsia"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420" w:lineRule="exact"/>
        <w:rPr>
          <w:rFonts w:hint="eastAsia" w:ascii="微软雅黑" w:hAnsi="微软雅黑" w:cs="微软雅黑"/>
        </w:rPr>
      </w:pPr>
      <w:r>
        <w:rPr>
          <w:rFonts w:hint="eastAsia" w:ascii="微软雅黑" w:hAnsi="微软雅黑" w:cs="微软雅黑"/>
        </w:rPr>
        <w:t xml:space="preserve">6.2.5采购代理机构收到质疑函后，将对质疑的形式和内容进行审查，如质疑函内容、格式不符合规定，采购代理机构将告知质疑人进行补正。</w:t>
      </w:r>
      <w:r/>
    </w:p>
    <w:p>
      <w:pPr>
        <w:ind w:firstLine="420"/>
        <w:spacing w:line="420" w:lineRule="exact"/>
        <w:rPr>
          <w:rFonts w:hint="eastAsia"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p>
    <w:p>
      <w:pPr>
        <w:spacing w:line="420" w:lineRule="exact"/>
        <w:rPr>
          <w:rFonts w:hint="eastAsia"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p>
    <w:p>
      <w:pPr>
        <w:pStyle w:val="1216"/>
        <w:spacing w:line="420" w:lineRule="exact"/>
        <w:rPr>
          <w:rFonts w:hint="eastAsia" w:ascii="微软雅黑" w:hAnsi="微软雅黑" w:cs="微软雅黑"/>
          <w:bCs w:val="0"/>
          <w:sz w:val="24"/>
          <w:szCs w:val="24"/>
        </w:rPr>
      </w:pPr>
      <w:r/>
      <w:bookmarkStart w:id="181" w:name="_Toc452384205"/>
      <w:r/>
      <w:bookmarkStart w:id="182" w:name="_Toc8162"/>
      <w:r/>
      <w:bookmarkStart w:id="183" w:name="_Toc1781"/>
      <w:r/>
      <w:bookmarkStart w:id="184" w:name="_Toc29601"/>
      <w:r>
        <w:rPr>
          <w:rFonts w:hint="eastAsia" w:ascii="微软雅黑" w:hAnsi="微软雅黑" w:cs="微软雅黑"/>
          <w:bCs w:val="0"/>
          <w:sz w:val="24"/>
          <w:szCs w:val="24"/>
        </w:rPr>
        <w:t xml:space="preserve">6.3中标通知书</w:t>
      </w:r>
      <w:bookmarkEnd w:id="181"/>
      <w:r/>
      <w:bookmarkEnd w:id="182"/>
      <w:r/>
      <w:bookmarkEnd w:id="183"/>
      <w:r/>
      <w:bookmarkEnd w:id="184"/>
      <w:r/>
      <w:r/>
    </w:p>
    <w:p>
      <w:pPr>
        <w:spacing w:line="420" w:lineRule="exact"/>
        <w:rPr>
          <w:rFonts w:hint="eastAsia" w:ascii="微软雅黑" w:hAnsi="微软雅黑" w:cs="微软雅黑"/>
          <w:highlight w:val="none"/>
        </w:rPr>
      </w:pPr>
      <w:r>
        <w:rPr>
          <w:rFonts w:hint="eastAsia" w:ascii="微软雅黑" w:hAnsi="微软雅黑" w:cs="微软雅黑"/>
          <w:highlight w:val="none"/>
        </w:rPr>
        <w:t xml:space="preserve">6.3.1确定中标供应商后</w:t>
      </w:r>
      <w:r>
        <w:rPr>
          <w:rFonts w:ascii="微软雅黑" w:hAnsi="微软雅黑" w:cs="微软雅黑"/>
          <w:highlight w:val="none"/>
        </w:rPr>
        <w:t xml:space="preserve">，</w:t>
      </w:r>
      <w:r>
        <w:rPr>
          <w:rFonts w:hint="eastAsia" w:ascii="微软雅黑" w:hAnsi="微软雅黑" w:cs="微软雅黑"/>
          <w:highlight w:val="none"/>
        </w:rPr>
        <w:t xml:space="preserve">向中标供应商发出中标通知书。</w:t>
      </w:r>
      <w:r/>
    </w:p>
    <w:p>
      <w:pPr>
        <w:spacing w:line="420" w:lineRule="exact"/>
        <w:rPr>
          <w:rFonts w:hint="eastAsia" w:ascii="微软雅黑" w:hAnsi="微软雅黑" w:cs="微软雅黑"/>
        </w:rPr>
      </w:pPr>
      <w:r>
        <w:rPr>
          <w:rFonts w:hint="eastAsia" w:ascii="微软雅黑" w:hAnsi="微软雅黑" w:cs="微软雅黑"/>
        </w:rPr>
        <w:t xml:space="preserve">6.3.2中标通知书是合同的组成部分。</w:t>
      </w:r>
      <w:r/>
    </w:p>
    <w:p>
      <w:pPr>
        <w:pStyle w:val="1216"/>
        <w:spacing w:line="420" w:lineRule="exact"/>
        <w:rPr>
          <w:rFonts w:hint="eastAsia" w:ascii="微软雅黑" w:hAnsi="微软雅黑" w:cs="微软雅黑"/>
          <w:bCs w:val="0"/>
          <w:sz w:val="24"/>
          <w:szCs w:val="24"/>
        </w:rPr>
      </w:pPr>
      <w:r/>
      <w:bookmarkStart w:id="185" w:name="_Toc452384206"/>
      <w:r/>
      <w:bookmarkStart w:id="186" w:name="_Toc24863"/>
      <w:r/>
      <w:bookmarkStart w:id="187" w:name="_Toc14281"/>
      <w:r/>
      <w:bookmarkStart w:id="188" w:name="_Toc12265"/>
      <w:r>
        <w:rPr>
          <w:rFonts w:hint="eastAsia" w:ascii="微软雅黑" w:hAnsi="微软雅黑" w:cs="微软雅黑"/>
          <w:bCs w:val="0"/>
          <w:sz w:val="24"/>
          <w:szCs w:val="24"/>
        </w:rPr>
        <w:t xml:space="preserve">6.4签订合同</w:t>
      </w:r>
      <w:bookmarkEnd w:id="185"/>
      <w:r/>
      <w:bookmarkEnd w:id="186"/>
      <w:r/>
      <w:bookmarkEnd w:id="187"/>
      <w:r/>
      <w:bookmarkEnd w:id="188"/>
      <w:r/>
      <w:r/>
    </w:p>
    <w:p>
      <w:pPr>
        <w:spacing w:line="420" w:lineRule="exact"/>
        <w:rPr>
          <w:rFonts w:hint="eastAsia" w:ascii="微软雅黑" w:hAnsi="微软雅黑" w:cs="微软雅黑"/>
        </w:rPr>
      </w:pPr>
      <w:r>
        <w:rPr>
          <w:rFonts w:hint="eastAsia" w:ascii="微软雅黑" w:hAnsi="微软雅黑" w:cs="微软雅黑"/>
        </w:rPr>
        <w:t xml:space="preserve">6.4.1中标、成交供应商应当在中标通知书发出之日起三十日内，按照采购文件确定的事项</w:t>
      </w:r>
      <w:r>
        <w:rPr>
          <w:rFonts w:hint="eastAsia" w:ascii="微软雅黑" w:hAnsi="微软雅黑" w:cs="微软雅黑"/>
          <w:highlight w:val="none"/>
        </w:rPr>
        <w:t xml:space="preserve">与采购人签订采购合同</w:t>
      </w:r>
      <w:r>
        <w:rPr>
          <w:rFonts w:ascii="微软雅黑" w:hAnsi="微软雅黑" w:cs="微软雅黑"/>
          <w:highlight w:val="none"/>
        </w:rPr>
        <w:t xml:space="preserve">，</w:t>
      </w:r>
      <w:r>
        <w:rPr>
          <w:rFonts w:hint="eastAsia" w:ascii="微软雅黑" w:hAnsi="微软雅黑" w:cs="微软雅黑"/>
          <w:highlight w:val="none"/>
        </w:rPr>
        <w:t xml:space="preserve">如中标人未按要求签订合同并给采购人和采购代理机构造成损失</w:t>
      </w:r>
      <w:r>
        <w:rPr>
          <w:rFonts w:hint="eastAsia" w:ascii="微软雅黑" w:hAnsi="微软雅黑" w:cs="微软雅黑"/>
        </w:rPr>
        <w:t xml:space="preserve">的，中标、成交供应商还应承担赔偿责任。</w:t>
      </w:r>
      <w:r/>
    </w:p>
    <w:p>
      <w:pPr>
        <w:spacing w:line="420" w:lineRule="exact"/>
        <w:rPr>
          <w:rFonts w:hint="eastAsia" w:ascii="微软雅黑" w:hAnsi="微软雅黑" w:cs="微软雅黑"/>
        </w:rPr>
      </w:pPr>
      <w:r>
        <w:rPr>
          <w:rFonts w:hint="eastAsia" w:ascii="微软雅黑" w:hAnsi="微软雅黑" w:cs="微软雅黑"/>
        </w:rPr>
        <w:t xml:space="preserve">6.4.2中标供应商拒绝与采购人签订合同的，采购人可以按照评审报告推荐的中标候选人名单排序，确定下一候选人为中标供应商，也可以重新开展政府采购活动。</w:t>
      </w:r>
      <w:r/>
    </w:p>
    <w:p>
      <w:pPr>
        <w:spacing w:line="420" w:lineRule="exact"/>
        <w:rPr>
          <w:rFonts w:hint="eastAsia" w:ascii="微软雅黑" w:hAnsi="微软雅黑" w:cs="微软雅黑"/>
        </w:rPr>
      </w:pPr>
      <w:r>
        <w:rPr>
          <w:rFonts w:hint="eastAsia" w:ascii="微软雅黑" w:hAnsi="微软雅黑" w:cs="微软雅黑"/>
        </w:rPr>
        <w:t xml:space="preserve">6.4.3采购文件、中标供应商的投标文件及评标过程中有关澄清文件均应作为合同附件。</w:t>
      </w:r>
      <w:r/>
    </w:p>
    <w:p>
      <w:pPr>
        <w:spacing w:line="420" w:lineRule="exact"/>
        <w:rPr>
          <w:rFonts w:hint="eastAsia" w:ascii="微软雅黑" w:hAnsi="微软雅黑" w:cs="微软雅黑"/>
        </w:rPr>
      </w:pPr>
      <w:r>
        <w:rPr>
          <w:rFonts w:hint="eastAsia" w:ascii="微软雅黑" w:hAnsi="微软雅黑" w:cs="微软雅黑"/>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pStyle w:val="1147"/>
        <w:rPr>
          <w:rFonts w:hint="eastAsia" w:ascii="微软雅黑" w:hAnsi="微软雅黑" w:cs="微软雅黑"/>
        </w:rPr>
      </w:pPr>
      <w:r>
        <w:rPr>
          <w:rFonts w:hint="eastAsia" w:ascii="微软雅黑" w:hAnsi="微软雅黑" w:cs="微软雅黑"/>
        </w:rPr>
      </w:r>
      <w:r/>
    </w:p>
    <w:p>
      <w:pPr>
        <w:pStyle w:val="1147"/>
        <w:rPr>
          <w:rFonts w:hint="eastAsia" w:ascii="微软雅黑" w:hAnsi="微软雅黑" w:cs="微软雅黑"/>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rPr>
      </w:r>
      <w:r/>
    </w:p>
    <w:p>
      <w:pPr>
        <w:pStyle w:val="1352"/>
        <w:spacing w:line="360" w:lineRule="exact"/>
        <w:rPr>
          <w:rFonts w:hint="eastAsia" w:ascii="微软雅黑" w:hAnsi="微软雅黑" w:cs="微软雅黑"/>
          <w:szCs w:val="32"/>
        </w:rPr>
      </w:pPr>
      <w:r/>
      <w:bookmarkStart w:id="189" w:name="_Toc5580"/>
      <w:r/>
      <w:bookmarkStart w:id="190" w:name="_Toc27854"/>
      <w:r>
        <w:rPr>
          <w:rFonts w:hint="eastAsia" w:ascii="微软雅黑" w:hAnsi="微软雅黑" w:cs="微软雅黑"/>
          <w:szCs w:val="32"/>
        </w:rPr>
        <w:t xml:space="preserve">第三章</w:t>
      </w:r>
      <w:bookmarkEnd w:id="42"/>
      <w:r>
        <w:rPr>
          <w:rFonts w:hint="eastAsia" w:ascii="微软雅黑" w:hAnsi="微软雅黑" w:cs="微软雅黑"/>
          <w:szCs w:val="32"/>
        </w:rPr>
        <w:t xml:space="preserve"> 评标办法和定标原则</w:t>
      </w:r>
      <w:bookmarkEnd w:id="189"/>
      <w:r/>
      <w:bookmarkEnd w:id="190"/>
      <w:r/>
      <w:r/>
    </w:p>
    <w:p>
      <w:pPr>
        <w:ind w:firstLine="420"/>
        <w:spacing w:line="420" w:lineRule="exact"/>
        <w:rPr>
          <w:rFonts w:hint="eastAsia" w:ascii="微软雅黑" w:hAnsi="微软雅黑" w:cs="微软雅黑"/>
        </w:rPr>
      </w:pPr>
      <w:r>
        <w:rPr>
          <w:rFonts w:hint="eastAsia" w:ascii="微软雅黑" w:hAnsi="微软雅黑" w:cs="微软雅黑"/>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p>
    <w:p>
      <w:pPr>
        <w:ind w:firstLine="420"/>
        <w:spacing w:line="440" w:lineRule="exact"/>
        <w:rPr>
          <w:rFonts w:hint="eastAsia" w:ascii="微软雅黑" w:hAnsi="微软雅黑" w:cs="微软雅黑"/>
        </w:rPr>
      </w:pPr>
      <w:r>
        <w:rPr>
          <w:rFonts w:hint="eastAsia" w:ascii="微软雅黑" w:hAnsi="微软雅黑" w:cs="微软雅黑"/>
        </w:rPr>
        <w:t xml:space="preserve">（一）政府采购评审中出现下列情形之一的，评审委员会应当启动异常低价投标（响应）审查程序：</w:t>
      </w:r>
      <w:r/>
    </w:p>
    <w:p>
      <w:pPr>
        <w:ind w:firstLine="420"/>
        <w:spacing w:line="440" w:lineRule="exact"/>
        <w:rPr>
          <w:rFonts w:hint="eastAsia" w:ascii="微软雅黑" w:hAnsi="微软雅黑" w:cs="微软雅黑"/>
        </w:rPr>
      </w:pPr>
      <w:r>
        <w:rPr>
          <w:rFonts w:hint="eastAsia" w:ascii="微软雅黑" w:hAnsi="微软雅黑" w:cs="微软雅黑"/>
        </w:rPr>
        <w:t xml:space="preserve">1.投标（响应）报价低于全部通过符合性审查供应商投标（响应）报价平均值50%的，即投标（响应）报价&lt;全部通过符合性审查供应商投标（响应）报价平均值×50%；</w:t>
      </w:r>
      <w:r/>
    </w:p>
    <w:p>
      <w:pPr>
        <w:ind w:firstLine="420"/>
        <w:spacing w:line="440" w:lineRule="exact"/>
        <w:rPr>
          <w:rFonts w:hint="eastAsia" w:ascii="微软雅黑" w:hAnsi="微软雅黑" w:cs="微软雅黑"/>
        </w:rPr>
      </w:pPr>
      <w:r>
        <w:rPr>
          <w:rFonts w:hint="eastAsia" w:ascii="微软雅黑" w:hAnsi="微软雅黑" w:cs="微软雅黑"/>
        </w:rPr>
        <w:t xml:space="preserve">2.投标（响应）报价低于通过符合性审查的次低报价供应商投标（响应）报价50%的，即投标（响应）报价&lt;通过符合性审查的次低报价供应商投标（响应）报价×50%；</w:t>
      </w:r>
      <w:r/>
    </w:p>
    <w:p>
      <w:pPr>
        <w:ind w:firstLine="420"/>
        <w:spacing w:line="440" w:lineRule="exact"/>
        <w:rPr>
          <w:rFonts w:hint="eastAsia" w:ascii="微软雅黑" w:hAnsi="微软雅黑" w:cs="微软雅黑"/>
        </w:rPr>
      </w:pPr>
      <w:r>
        <w:rPr>
          <w:rFonts w:hint="eastAsia" w:ascii="微软雅黑" w:hAnsi="微软雅黑" w:cs="微软雅黑"/>
        </w:rPr>
        <w:t xml:space="preserve">3.投标（响应）报价低于采购项目最高限价45%的，即投标（响应）报价&lt;采购项目最高限价×45%；</w:t>
      </w:r>
      <w:r/>
    </w:p>
    <w:p>
      <w:pPr>
        <w:ind w:firstLine="420"/>
        <w:spacing w:line="440" w:lineRule="exact"/>
        <w:rPr>
          <w:rFonts w:hint="eastAsia" w:ascii="微软雅黑" w:hAnsi="微软雅黑" w:cs="微软雅黑"/>
        </w:rPr>
      </w:pPr>
      <w:r>
        <w:rPr>
          <w:rFonts w:hint="eastAsia" w:ascii="微软雅黑" w:hAnsi="微软雅黑" w:cs="微软雅黑"/>
        </w:rPr>
        <w:t xml:space="preserve">4.评审委员会基于专业判断，认为供应商报价过低，有可能影响产品质量或者不能诚信履约的其他情形。</w:t>
      </w:r>
      <w:r/>
    </w:p>
    <w:p>
      <w:pPr>
        <w:ind w:firstLine="420"/>
        <w:spacing w:line="440" w:lineRule="exact"/>
        <w:rPr>
          <w:rFonts w:hint="eastAsia" w:ascii="微软雅黑" w:hAnsi="微软雅黑" w:cs="微软雅黑"/>
        </w:rPr>
      </w:pPr>
      <w:r>
        <w:rPr>
          <w:rFonts w:hint="eastAsia" w:ascii="微软雅黑" w:hAnsi="微软雅黑" w:cs="微软雅黑"/>
        </w:rPr>
        <w:t xml:space="preserve">采购人可以结合具体项目实际情况，提高上述第1项至第3项中启动异常低价投标（响应）审查的数值标准，但是最高不得超过65%。相关法律法规对供应商报价有规定的，从其规定。</w:t>
      </w:r>
      <w:r/>
    </w:p>
    <w:p>
      <w:pPr>
        <w:ind w:firstLine="420"/>
        <w:spacing w:line="440" w:lineRule="exact"/>
        <w:rPr>
          <w:rFonts w:hint="eastAsia" w:ascii="微软雅黑" w:hAnsi="微软雅黑" w:cs="微软雅黑"/>
        </w:rPr>
      </w:pPr>
      <w:r>
        <w:rPr>
          <w:rFonts w:hint="eastAsia" w:ascii="微软雅黑" w:hAnsi="微软雅黑" w:cs="微软雅黑"/>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微软雅黑" w:hAnsi="微软雅黑" w:cs="微软雅黑"/>
        </w:rPr>
      </w:pPr>
      <w:r>
        <w:rPr>
          <w:rFonts w:hint="eastAsia" w:ascii="微软雅黑" w:hAnsi="微软雅黑" w:cs="微软雅黑"/>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eastAsia" w:ascii="微软雅黑" w:hAnsi="微软雅黑" w:cs="微软雅黑"/>
        </w:rPr>
      </w:pPr>
      <w:r>
        <w:rPr>
          <w:rFonts w:hint="eastAsia" w:ascii="微软雅黑" w:hAnsi="微软雅黑" w:cs="微软雅黑"/>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40" w:lineRule="exact"/>
        <w:rPr>
          <w:rFonts w:hint="eastAsia" w:ascii="微软雅黑" w:hAnsi="微软雅黑" w:cs="微软雅黑"/>
        </w:rPr>
      </w:pPr>
      <w:r>
        <w:rPr>
          <w:rFonts w:hint="eastAsia" w:ascii="微软雅黑" w:hAnsi="微软雅黑" w:cs="微软雅黑"/>
        </w:rPr>
        <w:t xml:space="preserve">异常低价投标（响应）审查的启动原因、审查意见和审查结果应当在评审报告中记录，并随供应商提供的相关书面说明及证明材料，以及评审委员会有关互联网浏览、查询历史一并归档。</w:t>
      </w:r>
      <w:r/>
    </w:p>
    <w:p>
      <w:pPr>
        <w:jc w:val="center"/>
        <w:rPr>
          <w:rFonts w:hint="eastAsia" w:ascii="微软雅黑" w:hAnsi="微软雅黑" w:cs="微软雅黑"/>
          <w:sz w:val="24"/>
          <w:szCs w:val="24"/>
        </w:rPr>
      </w:pPr>
      <w:r>
        <w:rPr>
          <w:rFonts w:hint="eastAsia" w:ascii="微软雅黑" w:hAnsi="微软雅黑" w:cs="微软雅黑"/>
          <w:b/>
          <w:bCs/>
          <w:sz w:val="28"/>
          <w:szCs w:val="28"/>
          <w:lang w:val="zh-CN"/>
        </w:rPr>
        <w:t xml:space="preserve">评标细则</w:t>
      </w:r>
      <w:r/>
    </w:p>
    <w:p>
      <w:pPr>
        <w:spacing w:line="440" w:lineRule="exact"/>
        <w:rPr>
          <w:rFonts w:hint="eastAsia"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1146"/>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vAlign w:val="center"/>
            <w:textDirection w:val="lrTb"/>
            <w:noWrap w:val="false"/>
          </w:tcPr>
          <w:p>
            <w:pPr>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t xml:space="preserve">资格证明文件</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vAlign w:val="center"/>
            <w:textDirection w:val="lrTb"/>
            <w:noWrap w:val="false"/>
          </w:tcPr>
          <w:p>
            <w:pPr>
              <w:jc w:val="center"/>
              <w:spacing w:line="440" w:lineRule="exact"/>
              <w:rPr>
                <w:rFonts w:hint="eastAsia" w:ascii="微软雅黑" w:hAnsi="微软雅黑" w:cs="微软雅黑"/>
                <w:lang w:val="zh-CN"/>
              </w:rPr>
            </w:pPr>
            <w:r>
              <w:rPr>
                <w:rFonts w:hint="eastAsia" w:ascii="微软雅黑" w:hAnsi="微软雅黑" w:cs="微软雅黑"/>
              </w:rPr>
              <w:t xml:space="preserve">2</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t xml:space="preserve">法定代表人授权书盖章原件（法定代表人直接参与投标的可不提供授权书）</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r>
    </w:tbl>
    <w:p>
      <w:pPr>
        <w:spacing w:line="440" w:lineRule="exact"/>
        <w:rPr>
          <w:rFonts w:hint="eastAsia"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1146"/>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821"/>
        <w:gridCol w:w="107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1312" w:type="dxa"/>
            <w:vAlign w:val="center"/>
            <w:textDirection w:val="lrTb"/>
            <w:noWrap w:val="false"/>
          </w:tcPr>
          <w:p>
            <w:pPr>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rPr>
            </w:pPr>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vAlign w:val="center"/>
            <w:textDirection w:val="lrTb"/>
            <w:noWrap w:val="false"/>
          </w:tcPr>
          <w:p>
            <w:pPr>
              <w:jc w:val="center"/>
              <w:spacing w:line="440" w:lineRule="exact"/>
              <w:rPr>
                <w:rFonts w:hint="eastAsia" w:ascii="微软雅黑" w:hAnsi="微软雅黑" w:cs="微软雅黑"/>
              </w:rPr>
            </w:pPr>
            <w:r>
              <w:rPr>
                <w:rFonts w:hint="eastAsia" w:ascii="微软雅黑" w:hAnsi="微软雅黑" w:cs="微软雅黑"/>
              </w:rPr>
              <w:t xml:space="preserve">2</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vAlign w:val="center"/>
            <w:textDirection w:val="lrTb"/>
            <w:noWrap w:val="false"/>
          </w:tcPr>
          <w:p>
            <w:pPr>
              <w:jc w:val="center"/>
              <w:spacing w:line="440" w:lineRule="exact"/>
              <w:rPr>
                <w:rFonts w:hint="eastAsia" w:ascii="微软雅黑" w:hAnsi="微软雅黑" w:cs="微软雅黑"/>
                <w:lang w:val="zh-CN"/>
              </w:rPr>
            </w:pPr>
            <w:r>
              <w:rPr>
                <w:rFonts w:hint="eastAsia" w:ascii="微软雅黑" w:hAnsi="微软雅黑" w:cs="微软雅黑"/>
              </w:rPr>
              <w:t xml:space="preserve">3</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t xml:space="preserve">不存在重大负偏离</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r>
      <w:tr>
        <w:trPr>
          <w:jc w:val="center"/>
          <w:trHeight w:val="495"/>
        </w:trPr>
        <w:tc>
          <w:tcPr>
            <w:tcBorders>
              <w:top w:val="single" w:color="000000" w:sz="2" w:space="0"/>
              <w:left w:val="single" w:color="000000" w:sz="2" w:space="0"/>
              <w:bottom w:val="single" w:color="000000" w:sz="2" w:space="0"/>
              <w:right w:val="single" w:color="000000" w:sz="2" w:space="0"/>
            </w:tcBorders>
            <w:tcW w:w="1312" w:type="dxa"/>
            <w:vAlign w:val="center"/>
            <w:textDirection w:val="lrTb"/>
            <w:noWrap w:val="false"/>
          </w:tcPr>
          <w:p>
            <w:pPr>
              <w:jc w:val="center"/>
              <w:spacing w:line="440" w:lineRule="exact"/>
              <w:rPr>
                <w:rFonts w:hint="eastAsia" w:ascii="微软雅黑" w:hAnsi="微软雅黑" w:eastAsia="微软雅黑" w:cs="微软雅黑"/>
                <w:lang w:eastAsia="zh-CN"/>
              </w:rPr>
            </w:pPr>
            <w:r/>
            <w:bookmarkStart w:id="191" w:name="_Hlk72848049"/>
            <w:r>
              <w:rPr>
                <w:rFonts w:hint="eastAsia" w:ascii="微软雅黑" w:hAnsi="微软雅黑" w:cs="微软雅黑"/>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W w:w="4821" w:type="dxa"/>
            <w:vAlign w:val="top"/>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t xml:space="preserve">投标报价是否超过预算或</w:t>
            </w:r>
            <w:r>
              <w:rPr>
                <w:rFonts w:hint="eastAsia" w:ascii="微软雅黑" w:hAnsi="微软雅黑" w:cs="微软雅黑"/>
                <w:szCs w:val="21"/>
              </w:rPr>
              <w:t xml:space="preserve">最高限价</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r>
    </w:tbl>
    <w:p>
      <w:pPr>
        <w:numPr>
          <w:ilvl w:val="0"/>
          <w:numId w:val="10"/>
        </w:numPr>
        <w:spacing w:line="420" w:lineRule="exact"/>
        <w:rPr>
          <w:rFonts w:hint="eastAsia" w:ascii="微软雅黑" w:hAnsi="微软雅黑" w:cs="微软雅黑"/>
          <w:szCs w:val="21"/>
        </w:rPr>
      </w:pPr>
      <w:r>
        <w:rPr>
          <w:rFonts w:hint="eastAsia" w:ascii="微软雅黑" w:hAnsi="微软雅黑" w:cs="微软雅黑"/>
          <w:b/>
          <w:bCs/>
        </w:rPr>
        <w:t xml:space="preserve">评分因</w:t>
      </w:r>
      <w:r>
        <w:rPr>
          <w:rFonts w:hint="eastAsia" w:ascii="微软雅黑" w:hAnsi="微软雅黑" w:cs="微软雅黑"/>
          <w:b/>
          <w:bCs/>
          <w:szCs w:val="21"/>
        </w:rPr>
        <w:t xml:space="preserve">素及分值</w:t>
      </w:r>
      <w:r/>
    </w:p>
    <w:tbl>
      <w:tblPr>
        <w:tblStyle w:val="1146"/>
        <w:tblW w:w="54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342"/>
        <w:gridCol w:w="6199"/>
        <w:gridCol w:w="775"/>
      </w:tblGrid>
      <w:tr>
        <w:trPr>
          <w:jc w:val="center"/>
          <w:trHeight w:val="20"/>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szCs w:val="21"/>
              </w:rPr>
              <w:br w:type="page" w:clear="all"/>
            </w:r>
            <w:r>
              <w:rPr>
                <w:rFonts w:hint="eastAsia" w:ascii="微软雅黑" w:hAnsi="微软雅黑" w:cs="微软雅黑"/>
                <w:szCs w:val="21"/>
              </w:rPr>
              <w:br w:type="page" w:clear="all"/>
            </w:r>
            <w:r>
              <w:rPr>
                <w:rFonts w:hint="eastAsia" w:ascii="微软雅黑" w:hAnsi="微软雅黑" w:cs="微软雅黑"/>
                <w:b/>
                <w:szCs w:val="21"/>
              </w:rPr>
              <w:t xml:space="preserve">序号</w:t>
            </w:r>
            <w:r/>
          </w:p>
        </w:tc>
        <w:tc>
          <w:tcPr>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评分项目</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1</w:t>
            </w:r>
            <w:r/>
          </w:p>
        </w:tc>
        <w:tc>
          <w:tcPr>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价格分</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价格分采用低价优先法计算，即满足采购文件要求且报价最低的投标人的最终报价为评审基准价，其价格分为满分30分，其它投标人的价格分统一按照以下公式计算：</w:t>
            </w:r>
            <w:r/>
          </w:p>
          <w:p>
            <w:pPr>
              <w:spacing w:line="420" w:lineRule="exact"/>
              <w:rPr>
                <w:rFonts w:hint="eastAsia" w:ascii="微软雅黑" w:hAnsi="微软雅黑" w:cs="微软雅黑"/>
                <w:szCs w:val="21"/>
              </w:rPr>
            </w:pPr>
            <w:r>
              <w:rPr>
                <w:rFonts w:hint="eastAsia" w:ascii="微软雅黑" w:hAnsi="微软雅黑" w:cs="微软雅黑"/>
                <w:szCs w:val="21"/>
              </w:rPr>
              <w:t xml:space="preserve">报价得分=(评审基准价/该投标人的最终报价)× 30分。</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30</w:t>
            </w:r>
            <w:r/>
          </w:p>
        </w:tc>
      </w:tr>
      <w:tr>
        <w:trPr>
          <w:jc w:val="center"/>
          <w:trHeight w:val="494"/>
        </w:trPr>
        <w:tc>
          <w:tcPr>
            <w:tcBorders>
              <w:left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w:t>
            </w:r>
            <w:r/>
          </w:p>
        </w:tc>
        <w:tc>
          <w:tcPr>
            <w:tcBorders>
              <w:left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技术指标</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人对招标文件具体项目需求的响应程度：全部响应即满足招标文件的技术指标、参数及服务要求的得40分，招标文件中标注“★”的内容为实质性需求参数，有一项不符合的，作无效投标处理。带“▲”条款为重要技术参数指标，如带“▲”条款存在负偏离的，负偏离1项扣5分，其他技术参数，负偏离1项扣1.5分，扣完为止。</w:t>
            </w:r>
            <w:r>
              <w:rPr>
                <w:rFonts w:hint="eastAsia" w:ascii="微软雅黑" w:hAnsi="微软雅黑" w:cs="微软雅黑"/>
                <w:b/>
                <w:bCs/>
                <w:szCs w:val="21"/>
                <w:highlight w:val="none"/>
              </w:rPr>
              <w:t xml:space="preserve">（标“★”和“▲”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如文件中要求提供证明材料，建议采用箭头、标红或下划线等进行明显标注，并在偏离表中标明页码，方便评委查看。）</w:t>
            </w:r>
            <w:r>
              <w:rPr>
                <w:rFonts w:hint="eastAsia" w:ascii="微软雅黑" w:hAnsi="微软雅黑" w:cs="微软雅黑"/>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40</w:t>
            </w:r>
            <w:r/>
          </w:p>
        </w:tc>
      </w:tr>
      <w:tr>
        <w:trPr>
          <w:jc w:val="center"/>
          <w:trHeight w:val="1602"/>
        </w:trPr>
        <w:tc>
          <w:tcPr>
            <w:tcBorders>
              <w:left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3</w:t>
            </w:r>
            <w:r/>
          </w:p>
        </w:tc>
        <w:tc>
          <w:tcPr>
            <w:tcBorders>
              <w:left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业绩</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投标人提供自2023年1月1日至今（时间以合同签订时间为准）承揽过类似项目业绩的，每提供一个得2分，最高得8分。</w:t>
            </w:r>
            <w:r>
              <w:rPr>
                <w:rFonts w:hint="eastAsia" w:ascii="微软雅黑" w:hAnsi="微软雅黑" w:cs="微软雅黑"/>
                <w:b/>
                <w:bCs/>
                <w:szCs w:val="21"/>
              </w:rPr>
              <w:t xml:space="preserve">（提供业绩合同复印件加盖公章，合同需体现相关内容，未体现不得分，合同原件备查）</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8</w:t>
            </w:r>
            <w:r/>
          </w:p>
        </w:tc>
      </w:tr>
      <w:tr>
        <w:trPr>
          <w:jc w:val="center"/>
          <w:trHeight w:val="1058"/>
        </w:trPr>
        <w:tc>
          <w:tcPr>
            <w:tcBorders>
              <w:left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4</w:t>
            </w:r>
            <w:r/>
          </w:p>
        </w:tc>
        <w:tc>
          <w:tcPr>
            <w:tcBorders>
              <w:left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免费质保期</w:t>
            </w:r>
            <w:r/>
          </w:p>
        </w:tc>
        <w:tc>
          <w:tcPr>
            <w:tcBorders>
              <w:top w:val="single" w:color="auto" w:sz="4" w:space="0"/>
              <w:left w:val="single" w:color="auto" w:sz="4" w:space="0"/>
              <w:right w:val="single" w:color="auto" w:sz="4" w:space="0"/>
            </w:tcBorders>
            <w:tcW w:w="3420" w:type="pct"/>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满足招标文件免费质保期要求（3年）的基础上，免费质保每增加1年加1分，本项最高得2分。（</w:t>
            </w:r>
            <w:r>
              <w:rPr>
                <w:rFonts w:hint="eastAsia" w:ascii="微软雅黑" w:hAnsi="微软雅黑" w:cs="微软雅黑"/>
                <w:b/>
                <w:bCs/>
                <w:szCs w:val="21"/>
              </w:rPr>
              <w:t xml:space="preserve">提供质保期承诺书原件并加盖公章。若投标文件中出现前后不一致的情况，以最低免费质保期作为评分依据）</w:t>
            </w:r>
            <w:r/>
          </w:p>
        </w:tc>
        <w:tc>
          <w:tcPr>
            <w:tcBorders>
              <w:top w:val="single" w:color="auto" w:sz="4" w:space="0"/>
              <w:left w:val="single" w:color="auto" w:sz="4" w:space="0"/>
              <w:right w:val="single" w:color="auto" w:sz="4" w:space="0"/>
            </w:tcBorders>
            <w:tcW w:w="428" w:type="pct"/>
            <w:vAlign w:val="center"/>
            <w:textDirection w:val="lrTb"/>
            <w:noWrap w:val="false"/>
          </w:tcPr>
          <w:p>
            <w:pPr>
              <w:jc w:val="center"/>
              <w:spacing w:line="420" w:lineRule="exact"/>
              <w:tabs>
                <w:tab w:val="center" w:pos="251" w:leader="none"/>
                <w:tab w:val="left" w:pos="365" w:leader="none"/>
              </w:tabs>
              <w:rPr>
                <w:rFonts w:hint="eastAsia" w:ascii="微软雅黑" w:hAnsi="微软雅黑" w:cs="微软雅黑"/>
                <w:szCs w:val="21"/>
              </w:rPr>
            </w:pPr>
            <w:r>
              <w:rPr>
                <w:rFonts w:hint="eastAsia" w:ascii="微软雅黑" w:hAnsi="微软雅黑" w:cs="微软雅黑"/>
                <w:szCs w:val="21"/>
              </w:rPr>
              <w:t xml:space="preserve">2</w:t>
            </w:r>
            <w:r/>
          </w:p>
        </w:tc>
      </w:tr>
      <w:tr>
        <w:trPr>
          <w:jc w:val="center"/>
          <w:trHeight w:val="1088"/>
        </w:trPr>
        <w:tc>
          <w:tcPr>
            <w:tcBorders>
              <w:left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5</w:t>
            </w:r>
            <w:r/>
          </w:p>
        </w:tc>
        <w:tc>
          <w:tcPr>
            <w:tcBorders>
              <w:left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实施方案</w:t>
            </w:r>
            <w:r/>
          </w:p>
        </w:tc>
        <w:tc>
          <w:tcPr>
            <w:tcBorders>
              <w:left w:val="single" w:color="auto" w:sz="4" w:space="0"/>
              <w:right w:val="single" w:color="auto" w:sz="4" w:space="0"/>
            </w:tcBorders>
            <w:tcW w:w="3420" w:type="pct"/>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提供完善的项目实施计划和实施方案（包含安装、调试、验收等），根据投标单位项目组织实施管理方案的合理性、人员安排、现场应急处理方案等方面进行打分。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1、实施方案全面、可行，实施计划可操作性强的得7分；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2、实施方案较全面、较可行，实施计划可操作性较强的得4分；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3、实施方案不全面、不具备可行性，实施计划不具备可操作性得1分；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4、其他或未提供不得分。</w:t>
            </w:r>
            <w:r/>
          </w:p>
        </w:tc>
        <w:tc>
          <w:tcPr>
            <w:tcBorders>
              <w:left w:val="single" w:color="auto" w:sz="4" w:space="0"/>
              <w:right w:val="single" w:color="auto" w:sz="4" w:space="0"/>
            </w:tcBorders>
            <w:tcW w:w="428"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7</w:t>
            </w:r>
            <w:r/>
          </w:p>
        </w:tc>
      </w:tr>
      <w:tr>
        <w:trPr>
          <w:jc w:val="center"/>
          <w:trHeight w:val="1088"/>
        </w:trPr>
        <w:tc>
          <w:tcPr>
            <w:tcBorders>
              <w:left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6</w:t>
            </w:r>
            <w:r/>
          </w:p>
        </w:tc>
        <w:tc>
          <w:tcPr>
            <w:tcBorders>
              <w:left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供货计划及方案</w:t>
            </w:r>
            <w:r/>
          </w:p>
        </w:tc>
        <w:tc>
          <w:tcPr>
            <w:tcBorders>
              <w:left w:val="single" w:color="auto" w:sz="4" w:space="0"/>
              <w:right w:val="single" w:color="auto" w:sz="4" w:space="0"/>
            </w:tcBorders>
            <w:tcW w:w="3420" w:type="pct"/>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提供完善的项目供货计划和供货方案，根据投标单位项目组织实施管理方案的合理性、人员安排、供货期等方面进行打分。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1、供货计划及供货方案全面、可行，操作性强的得7分；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2、供货计划及供货方案较全面、较可行，操作性较强的得4分；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3、供货计划及供货方案不全面、不可行，操作性不强的得1分；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4、其他或未提供不得分。</w:t>
            </w:r>
            <w:r/>
          </w:p>
        </w:tc>
        <w:tc>
          <w:tcPr>
            <w:tcBorders>
              <w:left w:val="single" w:color="auto" w:sz="4" w:space="0"/>
              <w:right w:val="single" w:color="auto" w:sz="4" w:space="0"/>
            </w:tcBorders>
            <w:tcW w:w="428"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7</w:t>
            </w:r>
            <w:r/>
          </w:p>
        </w:tc>
      </w:tr>
      <w:tr>
        <w:trPr>
          <w:jc w:val="center"/>
          <w:trHeight w:val="1088"/>
        </w:trPr>
        <w:tc>
          <w:tcPr>
            <w:tcBorders>
              <w:left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7</w:t>
            </w:r>
            <w:r/>
          </w:p>
        </w:tc>
        <w:tc>
          <w:tcPr>
            <w:tcBorders>
              <w:left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售后服务方案</w:t>
            </w:r>
            <w:r/>
          </w:p>
        </w:tc>
        <w:tc>
          <w:tcPr>
            <w:tcBorders>
              <w:left w:val="single" w:color="auto" w:sz="4" w:space="0"/>
              <w:right w:val="single" w:color="auto" w:sz="4" w:space="0"/>
            </w:tcBorders>
            <w:tcW w:w="3420" w:type="pct"/>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根据投标人针对本项目提供的售后服务方案（包括但不限于售后服务人员的配备、服务响应时间、质保期后服务等技术指导及该仪器的备品、配件、耗材、维修的明细、价格或折扣的承诺）进行综合评审。</w:t>
            </w:r>
            <w:r/>
          </w:p>
          <w:p>
            <w:pPr>
              <w:spacing w:line="420" w:lineRule="exact"/>
              <w:rPr>
                <w:rFonts w:hint="eastAsia" w:ascii="微软雅黑" w:hAnsi="微软雅黑" w:cs="微软雅黑"/>
                <w:szCs w:val="21"/>
              </w:rPr>
            </w:pPr>
            <w:r>
              <w:rPr>
                <w:rFonts w:hint="eastAsia" w:ascii="微软雅黑" w:hAnsi="微软雅黑" w:cs="微软雅黑"/>
                <w:szCs w:val="21"/>
              </w:rPr>
              <w:t xml:space="preserve">1、服务方案全面，细致，有针对性，且售后服务、质保期后服务等技术指导方案周全，备品、配件、耗材、维修的明细、价格或折扣合理得6分；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2、服务方案较全面，针对性较强，且售后服务、质保期后服务等技术指导方案内容较周全，备品、配件、耗材、维修的明细、价格或折扣较为合理的得4分；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3、服务方案不够全面，无针对性，且售后服务、质保期后服务等技术指导方案内容不够周全，备品、配件、耗材、维修的明细、价格或折扣不合理的，得2分；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4、其他或未提供不得分。</w:t>
            </w:r>
            <w:r/>
          </w:p>
        </w:tc>
        <w:tc>
          <w:tcPr>
            <w:tcBorders>
              <w:left w:val="single" w:color="auto" w:sz="4" w:space="0"/>
              <w:right w:val="single" w:color="auto" w:sz="4" w:space="0"/>
            </w:tcBorders>
            <w:tcW w:w="428"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6</w:t>
            </w:r>
            <w:r/>
          </w:p>
        </w:tc>
      </w:tr>
      <w:tr>
        <w:trPr>
          <w:jc w:val="center"/>
          <w:trHeight w:val="1088"/>
        </w:trPr>
        <w:tc>
          <w:tcPr>
            <w:tcBorders>
              <w:left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8</w:t>
            </w:r>
            <w:r/>
          </w:p>
        </w:tc>
        <w:tc>
          <w:tcPr>
            <w:tcBorders>
              <w:left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合计</w:t>
            </w:r>
            <w:r/>
          </w:p>
        </w:tc>
        <w:tc>
          <w:tcPr>
            <w:tcBorders>
              <w:left w:val="single" w:color="auto" w:sz="4" w:space="0"/>
              <w:right w:val="single" w:color="auto" w:sz="4" w:space="0"/>
            </w:tcBorders>
            <w:tcW w:w="342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left w:val="single" w:color="auto" w:sz="4" w:space="0"/>
              <w:right w:val="single" w:color="auto" w:sz="4" w:space="0"/>
            </w:tcBorders>
            <w:tcW w:w="428"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100</w:t>
            </w:r>
            <w:r/>
          </w:p>
        </w:tc>
      </w:tr>
    </w:tbl>
    <w:p>
      <w:pPr>
        <w:spacing w:line="440" w:lineRule="exact"/>
        <w:rPr>
          <w:rFonts w:hint="eastAsia" w:ascii="微软雅黑" w:hAnsi="微软雅黑" w:cs="微软雅黑"/>
          <w:b/>
          <w:sz w:val="24"/>
          <w:szCs w:val="24"/>
        </w:rPr>
      </w:pPr>
      <w:r>
        <w:rPr>
          <w:rFonts w:hint="eastAsia" w:ascii="微软雅黑" w:hAnsi="微软雅黑" w:cs="微软雅黑"/>
          <w:b/>
          <w:sz w:val="24"/>
          <w:szCs w:val="24"/>
        </w:rPr>
        <w:t xml:space="preserve">备注：</w:t>
      </w:r>
      <w:r/>
    </w:p>
    <w:p>
      <w:pPr>
        <w:numPr>
          <w:ilvl w:val="0"/>
          <w:numId w:val="11"/>
        </w:numPr>
        <w:spacing w:line="400" w:lineRule="exact"/>
        <w:rPr>
          <w:rFonts w:hint="eastAsia" w:ascii="微软雅黑" w:hAnsi="微软雅黑" w:cs="微软雅黑"/>
          <w:b/>
          <w:bCs/>
          <w:szCs w:val="21"/>
        </w:rPr>
      </w:pPr>
      <w:r>
        <w:rPr>
          <w:rFonts w:hint="eastAsia" w:ascii="微软雅黑" w:hAnsi="微软雅黑" w:cs="微软雅黑"/>
          <w:b/>
          <w:bCs/>
          <w:szCs w:val="21"/>
        </w:rPr>
        <w:t xml:space="preserve">政府采购政策功能落实</w:t>
      </w:r>
      <w:r/>
    </w:p>
    <w:p>
      <w:pPr>
        <w:spacing w:line="400" w:lineRule="exact"/>
        <w:rPr>
          <w:rFonts w:hint="eastAsia" w:ascii="微软雅黑" w:hAnsi="微软雅黑" w:cs="微软雅黑"/>
          <w:b/>
          <w:bCs/>
          <w:szCs w:val="21"/>
        </w:rPr>
      </w:pPr>
      <w:r>
        <w:rPr>
          <w:rFonts w:hint="eastAsia" w:ascii="微软雅黑" w:hAnsi="微软雅黑" w:cs="微软雅黑"/>
          <w:u w:val="single"/>
        </w:rPr>
        <w:t xml:space="preserve">本次招标执行政府强制或优先采购节能和环境标志产品、促进中小微型企业、促进残疾人就业、支持监狱和戒毒企业、扶持不发达地区和少数民族地区、实施本国产品标准、支持科学进步以及限制采购进口产品等相关政策。</w:t>
      </w:r>
      <w:r/>
    </w:p>
    <w:p>
      <w:pPr>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1.小微型企业价格扣除</w:t>
      </w:r>
      <w:r/>
    </w:p>
    <w:p>
      <w:pPr>
        <w:numPr>
          <w:ilvl w:val="0"/>
          <w:numId w:val="12"/>
        </w:numPr>
        <w:spacing w:line="400" w:lineRule="exact"/>
        <w:rPr>
          <w:rFonts w:hint="eastAsia" w:ascii="微软雅黑" w:hAnsi="微软雅黑" w:cs="微软雅黑"/>
          <w:szCs w:val="21"/>
        </w:rPr>
      </w:pPr>
      <w:r>
        <w:rPr>
          <w:rFonts w:hint="eastAsia" w:ascii="微软雅黑" w:hAnsi="微软雅黑" w:cs="微软雅黑"/>
          <w:szCs w:val="21"/>
        </w:rPr>
        <w:t xml:space="preserve">本项目对小型和微型企业产品、服务给予10%的扣除价格，用扣除后的价格参与评审。</w:t>
      </w:r>
      <w:r/>
    </w:p>
    <w:p>
      <w:pPr>
        <w:numPr>
          <w:ilvl w:val="0"/>
          <w:numId w:val="12"/>
        </w:numPr>
        <w:spacing w:line="400" w:lineRule="exact"/>
        <w:rPr>
          <w:rFonts w:hint="eastAsia" w:ascii="微软雅黑" w:hAnsi="微软雅黑" w:cs="微软雅黑"/>
          <w:szCs w:val="21"/>
        </w:rPr>
      </w:pPr>
      <w:r>
        <w:rPr>
          <w:rFonts w:hint="eastAsia" w:ascii="微软雅黑" w:hAnsi="微软雅黑" w:cs="微软雅黑"/>
          <w:szCs w:val="21"/>
        </w:rPr>
        <w:t xml:space="preserve">供应商需按照采购文件的要求提供相应的《企业声明函》。</w:t>
      </w:r>
      <w:r/>
    </w:p>
    <w:p>
      <w:pPr>
        <w:numPr>
          <w:ilvl w:val="0"/>
          <w:numId w:val="12"/>
        </w:numPr>
        <w:spacing w:line="400" w:lineRule="exact"/>
        <w:rPr>
          <w:rFonts w:hint="eastAsia"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p>
    <w:p>
      <w:pPr>
        <w:ind w:firstLine="420"/>
        <w:spacing w:line="400" w:lineRule="exact"/>
        <w:rPr>
          <w:rFonts w:hint="eastAsia" w:ascii="微软雅黑" w:hAnsi="微软雅黑" w:cs="微软雅黑"/>
          <w:szCs w:val="21"/>
        </w:rPr>
      </w:pPr>
      <w:r>
        <w:rPr>
          <w:rFonts w:hint="eastAsia" w:ascii="微软雅黑" w:hAnsi="微软雅黑" w:cs="微软雅黑"/>
          <w:b/>
          <w:bCs/>
          <w:szCs w:val="21"/>
        </w:rPr>
        <w:t xml:space="preserve">2.残疾人福利单位价格扣除</w:t>
      </w:r>
      <w:r/>
    </w:p>
    <w:p>
      <w:pPr>
        <w:numPr>
          <w:ilvl w:val="0"/>
          <w:numId w:val="13"/>
        </w:numPr>
        <w:spacing w:line="400" w:lineRule="exact"/>
        <w:rPr>
          <w:rFonts w:hint="eastAsia" w:ascii="微软雅黑" w:hAnsi="微软雅黑" w:cs="微软雅黑"/>
          <w:szCs w:val="21"/>
        </w:rPr>
      </w:pPr>
      <w:r>
        <w:rPr>
          <w:rFonts w:hint="eastAsia" w:ascii="微软雅黑" w:hAnsi="微软雅黑" w:cs="微软雅黑"/>
          <w:szCs w:val="21"/>
        </w:rPr>
        <w:t xml:space="preserve">本项目对残疾人福利性单位给予10%的价格扣除，用扣除后的价格参与评审。</w:t>
      </w:r>
      <w:r/>
    </w:p>
    <w:p>
      <w:pPr>
        <w:numPr>
          <w:ilvl w:val="0"/>
          <w:numId w:val="13"/>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p>
    <w:p>
      <w:pPr>
        <w:numPr>
          <w:ilvl w:val="0"/>
          <w:numId w:val="13"/>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p>
    <w:p>
      <w:pPr>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3.监狱和戒毒企业价格扣除</w:t>
      </w:r>
      <w:r/>
    </w:p>
    <w:p>
      <w:pPr>
        <w:numPr>
          <w:ilvl w:val="0"/>
          <w:numId w:val="14"/>
        </w:numPr>
        <w:spacing w:line="400" w:lineRule="exact"/>
        <w:rPr>
          <w:rFonts w:hint="eastAsia" w:ascii="微软雅黑" w:hAnsi="微软雅黑" w:cs="微软雅黑"/>
          <w:szCs w:val="21"/>
        </w:rPr>
      </w:pPr>
      <w:r>
        <w:rPr>
          <w:rFonts w:hint="eastAsia" w:ascii="微软雅黑" w:hAnsi="微软雅黑" w:cs="微软雅黑"/>
          <w:szCs w:val="21"/>
        </w:rPr>
        <w:t xml:space="preserve">本项目对监狱和戒毒企业（简称监狱企业）给予10%的价格扣除，用扣除后的价格参与评审。</w:t>
      </w:r>
      <w:r/>
    </w:p>
    <w:p>
      <w:pPr>
        <w:numPr>
          <w:ilvl w:val="0"/>
          <w:numId w:val="14"/>
        </w:numPr>
        <w:spacing w:line="400" w:lineRule="exact"/>
        <w:rPr>
          <w:rFonts w:hint="eastAsia"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14"/>
        </w:numPr>
        <w:spacing w:line="400" w:lineRule="exact"/>
        <w:rPr>
          <w:rFonts w:hint="eastAsia"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4.残疾人福利单位、监狱企业属于小型、微型企业的，不重复享受政策。</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5.本国产品的价格扣除</w:t>
      </w:r>
      <w:r/>
    </w:p>
    <w:p>
      <w:pPr>
        <w:pStyle w:val="1147"/>
        <w:spacing w:line="400" w:lineRule="exact"/>
        <w:rPr>
          <w:rFonts w:hint="eastAsia" w:ascii="微软雅黑" w:hAnsi="微软雅黑" w:cs="微软雅黑"/>
        </w:rPr>
      </w:pPr>
      <w:r>
        <w:rPr>
          <w:rFonts w:hint="eastAsia" w:ascii="微软雅黑" w:hAnsi="微软雅黑" w:cs="微软雅黑"/>
        </w:rPr>
        <w:t xml:space="preserve">5.1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47"/>
        <w:spacing w:line="400" w:lineRule="exact"/>
        <w:rPr>
          <w:rFonts w:hint="eastAsia" w:ascii="微软雅黑" w:hAnsi="微软雅黑" w:cs="微软雅黑"/>
        </w:rPr>
      </w:pPr>
      <w:r>
        <w:rPr>
          <w:rFonts w:hint="eastAsia" w:ascii="微软雅黑" w:hAnsi="微软雅黑" w:cs="微软雅黑"/>
        </w:rPr>
        <w:t xml:space="preserve">5.2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5.3 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5.4 当采购项目或者采购包中含有多种产品，供应商为该采购项目或者采购包提供的符合本国产品标准的产品成本之和占该供应商提供的全部产品成本之和的比例达到80%以上时（供应商需在“第六章 投标文件格式”的“3.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5.5 供应商需按照招标文件的要求提供《关于符合本国产品标准的声明函》（以下简称《声明函》），如不提供将不享受本国产品价格评审优惠。</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5.6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5.7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微软雅黑" w:hAnsi="微软雅黑" w:cs="微软雅黑"/>
          <w:b/>
          <w:bCs/>
          <w:szCs w:val="21"/>
        </w:rPr>
      </w:pPr>
      <w:r>
        <w:rPr>
          <w:rFonts w:hint="eastAsia" w:ascii="微软雅黑" w:hAnsi="微软雅黑" w:cs="微软雅黑"/>
          <w:b/>
          <w:bCs/>
          <w:szCs w:val="21"/>
        </w:rPr>
        <w:t xml:space="preserve">二、同品牌投标人的认定</w:t>
      </w:r>
      <w:r/>
    </w:p>
    <w:p>
      <w:pPr>
        <w:ind w:firstLine="420"/>
        <w:spacing w:line="420" w:lineRule="exact"/>
        <w:rPr>
          <w:rFonts w:hint="eastAsia" w:ascii="微软雅黑" w:hAnsi="微软雅黑" w:cs="微软雅黑"/>
          <w:lang w:val="zh-CN"/>
        </w:rPr>
      </w:pPr>
      <w:r>
        <w:rPr>
          <w:rFonts w:hint="eastAsia" w:ascii="微软雅黑" w:hAnsi="微软雅黑" w:cs="微软雅黑"/>
          <w:lang w:val="zh-CN"/>
        </w:rPr>
        <w:t xml:space="preserve">提供核心产品品牌相同且通过资格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r/>
    </w:p>
    <w:p>
      <w:pPr>
        <w:ind w:firstLine="420"/>
        <w:spacing w:line="420" w:lineRule="exact"/>
        <w:rPr>
          <w:rFonts w:hint="eastAsia" w:ascii="微软雅黑" w:hAnsi="微软雅黑" w:cs="微软雅黑"/>
          <w:u w:val="single"/>
        </w:rPr>
      </w:pPr>
      <w:r>
        <w:rPr>
          <w:rFonts w:hint="eastAsia" w:ascii="微软雅黑" w:hAnsi="微软雅黑" w:cs="微软雅黑"/>
        </w:rPr>
        <w:t xml:space="preserve">本项目核心产品：</w:t>
      </w:r>
      <w:r>
        <w:rPr>
          <w:rFonts w:hint="eastAsia" w:ascii="微软雅黑" w:hAnsi="微软雅黑" w:cs="微软雅黑"/>
          <w:u w:val="single"/>
        </w:rPr>
        <w:t xml:space="preserve">  本项目为单一产品，故不设置核心产品。 </w:t>
      </w:r>
      <w:bookmarkEnd w:id="191"/>
      <w:r/>
      <w:r/>
    </w:p>
    <w:p>
      <w:pPr>
        <w:pStyle w:val="1147"/>
        <w:rPr>
          <w:rFonts w:hint="eastAsia" w:ascii="微软雅黑" w:hAnsi="微软雅黑" w:cs="微软雅黑"/>
          <w:u w:val="singl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u w:val="single"/>
        </w:rPr>
      </w:r>
      <w:r/>
    </w:p>
    <w:p>
      <w:pPr>
        <w:pStyle w:val="1352"/>
        <w:numPr>
          <w:ilvl w:val="255"/>
          <w:numId w:val="0"/>
        </w:numPr>
        <w:spacing w:line="360" w:lineRule="exact"/>
        <w:rPr>
          <w:rFonts w:hint="eastAsia" w:ascii="微软雅黑" w:hAnsi="微软雅黑" w:cs="微软雅黑"/>
          <w:szCs w:val="32"/>
        </w:rPr>
      </w:pPr>
      <w:r/>
      <w:bookmarkStart w:id="192" w:name="_Toc6381"/>
      <w:r/>
      <w:bookmarkStart w:id="193" w:name="_Toc30639"/>
      <w:r/>
      <w:bookmarkStart w:id="194" w:name="_Toc21811"/>
      <w:r>
        <w:rPr>
          <w:rFonts w:hint="eastAsia" w:ascii="微软雅黑" w:hAnsi="微软雅黑" w:cs="微软雅黑"/>
          <w:szCs w:val="32"/>
        </w:rPr>
        <w:t xml:space="preserve">第四章 项目采购需求</w:t>
      </w:r>
      <w:bookmarkEnd w:id="192"/>
      <w:r/>
      <w:bookmarkEnd w:id="193"/>
      <w:r/>
      <w:r/>
    </w:p>
    <w:p>
      <w:pPr>
        <w:spacing w:line="420" w:lineRule="exact"/>
        <w:rPr>
          <w:rFonts w:hint="eastAsia" w:ascii="微软雅黑" w:hAnsi="微软雅黑" w:cs="微软雅黑"/>
          <w:b/>
          <w:bCs/>
          <w:szCs w:val="21"/>
        </w:rPr>
      </w:pPr>
      <w:r/>
      <w:bookmarkStart w:id="195" w:name="_Toc22174"/>
      <w:r>
        <w:rPr>
          <w:rFonts w:hint="eastAsia" w:ascii="微软雅黑" w:hAnsi="微软雅黑" w:cs="微软雅黑"/>
          <w:b/>
          <w:bCs/>
          <w:szCs w:val="21"/>
        </w:rPr>
        <w:t xml:space="preserve">采购文件中标注“★”的内容为实质性要求，有一项不符合的，作无效投标处理。</w:t>
      </w:r>
      <w:r/>
    </w:p>
    <w:p>
      <w:pPr>
        <w:pStyle w:val="1475"/>
        <w:ind w:firstLine="482"/>
        <w:spacing w:line="420" w:lineRule="exact"/>
        <w:rPr>
          <w:rFonts w:hint="eastAsia" w:ascii="微软雅黑" w:hAnsi="微软雅黑" w:cs="微软雅黑"/>
          <w:b/>
          <w:bCs/>
          <w:szCs w:val="21"/>
        </w:rPr>
      </w:pPr>
      <w:r>
        <w:rPr>
          <w:rFonts w:hint="eastAsia" w:ascii="微软雅黑" w:hAnsi="微软雅黑" w:cs="微软雅黑"/>
          <w:b/>
          <w:bCs/>
          <w:szCs w:val="21"/>
        </w:rPr>
        <w:t xml:space="preserve">一、项目基本情况及采购项目清单</w:t>
      </w:r>
      <w:r/>
    </w:p>
    <w:tbl>
      <w:tblPr>
        <w:tblStyle w:val="11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2180"/>
        <w:gridCol w:w="1657"/>
        <w:gridCol w:w="1657"/>
        <w:gridCol w:w="1664"/>
      </w:tblGrid>
      <w:tr>
        <w:trPr>
          <w:jc w:val="center"/>
          <w:trHeight w:val="686"/>
        </w:trPr>
        <w:tc>
          <w:tcPr>
            <w:tcW w:w="1159" w:type="dxa"/>
            <w:vAlign w:val="center"/>
            <w:textDirection w:val="lrTb"/>
            <w:noWrap w:val="false"/>
          </w:tcPr>
          <w:p>
            <w:pPr>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序号</w:t>
            </w:r>
            <w:r/>
          </w:p>
        </w:tc>
        <w:tc>
          <w:tcPr>
            <w:tcW w:w="2246" w:type="dxa"/>
            <w:vAlign w:val="center"/>
            <w:textDirection w:val="lrTb"/>
            <w:noWrap w:val="false"/>
          </w:tcPr>
          <w:p>
            <w:pPr>
              <w:pStyle w:val="1475"/>
              <w:ind w:firstLine="0"/>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产品名称</w:t>
            </w:r>
            <w:r/>
          </w:p>
        </w:tc>
        <w:tc>
          <w:tcPr>
            <w:tcW w:w="1703" w:type="dxa"/>
            <w:vAlign w:val="center"/>
            <w:textDirection w:val="lrTb"/>
            <w:noWrap w:val="false"/>
          </w:tcPr>
          <w:p>
            <w:pPr>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数量</w:t>
            </w:r>
            <w:r/>
          </w:p>
        </w:tc>
        <w:tc>
          <w:tcPr>
            <w:tcW w:w="1704" w:type="dxa"/>
            <w:vAlign w:val="center"/>
            <w:textDirection w:val="lrTb"/>
            <w:noWrap w:val="false"/>
          </w:tcPr>
          <w:p>
            <w:pPr>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单位</w:t>
            </w:r>
            <w:r/>
          </w:p>
        </w:tc>
        <w:tc>
          <w:tcPr>
            <w:tcW w:w="1704" w:type="dxa"/>
            <w:vAlign w:val="center"/>
            <w:textDirection w:val="lrTb"/>
            <w:noWrap w:val="false"/>
          </w:tcPr>
          <w:p>
            <w:pPr>
              <w:pStyle w:val="1475"/>
              <w:ind w:firstLine="0"/>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最高限价</w:t>
            </w:r>
            <w:r/>
          </w:p>
        </w:tc>
      </w:tr>
      <w:tr>
        <w:trPr>
          <w:jc w:val="center"/>
        </w:trPr>
        <w:tc>
          <w:tcPr>
            <w:tcW w:w="1159" w:type="dxa"/>
            <w:vAlign w:val="center"/>
            <w:textDirection w:val="lrTb"/>
            <w:noWrap w:val="false"/>
          </w:tcPr>
          <w:p>
            <w:pPr>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1</w:t>
            </w:r>
            <w:r/>
          </w:p>
        </w:tc>
        <w:tc>
          <w:tcPr>
            <w:tcW w:w="2246" w:type="dxa"/>
            <w:vAlign w:val="center"/>
            <w:textDirection w:val="lrTb"/>
            <w:noWrap w:val="false"/>
          </w:tcPr>
          <w:p>
            <w:pPr>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激光共聚焦显微镜</w:t>
            </w:r>
            <w:r/>
          </w:p>
        </w:tc>
        <w:tc>
          <w:tcPr>
            <w:tcW w:w="1703" w:type="dxa"/>
            <w:vAlign w:val="center"/>
            <w:textDirection w:val="lrTb"/>
            <w:noWrap w:val="false"/>
          </w:tcPr>
          <w:p>
            <w:pPr>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1</w:t>
            </w:r>
            <w:r/>
          </w:p>
        </w:tc>
        <w:tc>
          <w:tcPr>
            <w:tcW w:w="1704" w:type="dxa"/>
            <w:vAlign w:val="center"/>
            <w:textDirection w:val="lrTb"/>
            <w:noWrap w:val="false"/>
          </w:tcPr>
          <w:p>
            <w:pPr>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套</w:t>
            </w:r>
            <w:r/>
          </w:p>
        </w:tc>
        <w:tc>
          <w:tcPr>
            <w:tcW w:w="1704" w:type="dxa"/>
            <w:vAlign w:val="center"/>
            <w:textDirection w:val="lrTb"/>
            <w:noWrap w:val="false"/>
          </w:tcPr>
          <w:p>
            <w:pPr>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268万元</w:t>
            </w:r>
            <w:r/>
          </w:p>
        </w:tc>
      </w:tr>
    </w:tbl>
    <w:p>
      <w:pPr>
        <w:pStyle w:val="1475"/>
        <w:numPr>
          <w:ilvl w:val="0"/>
          <w:numId w:val="15"/>
        </w:numPr>
        <w:ind w:firstLine="482"/>
        <w:spacing w:line="420" w:lineRule="exact"/>
        <w:rPr>
          <w:rFonts w:hint="eastAsia" w:ascii="微软雅黑" w:hAnsi="微软雅黑" w:cs="微软雅黑"/>
          <w:b/>
          <w:bCs/>
          <w:szCs w:val="21"/>
        </w:rPr>
      </w:pPr>
      <w:r>
        <w:rPr>
          <w:rFonts w:hint="eastAsia" w:ascii="微软雅黑" w:hAnsi="微软雅黑" w:cs="微软雅黑"/>
          <w:b/>
          <w:bCs/>
          <w:szCs w:val="21"/>
        </w:rPr>
        <w:t xml:space="preserve">技术要求（标“★”和“▲”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如文件中要求提供证明材料，建议采用箭头、标红或下划线等进行明显标注，并在偏离表中标明页码，方便评委查看。）</w:t>
      </w:r>
      <w:r/>
    </w:p>
    <w:p>
      <w:pPr>
        <w:spacing w:line="420" w:lineRule="exact"/>
        <w:rPr>
          <w:rFonts w:hint="eastAsia" w:ascii="微软雅黑" w:hAnsi="微软雅黑" w:cs="微软雅黑"/>
          <w:szCs w:val="21"/>
        </w:rPr>
      </w:pPr>
      <w:r>
        <w:rPr>
          <w:rFonts w:hint="eastAsia" w:ascii="微软雅黑" w:hAnsi="微软雅黑" w:cs="微软雅黑"/>
          <w:szCs w:val="21"/>
        </w:rPr>
        <w:t xml:space="preserve">1. 光源系统</w:t>
      </w:r>
      <w:r/>
    </w:p>
    <w:p>
      <w:pPr>
        <w:spacing w:line="420" w:lineRule="exact"/>
        <w:rPr>
          <w:rFonts w:hint="eastAsia" w:ascii="微软雅黑" w:hAnsi="微软雅黑" w:cs="微软雅黑"/>
          <w:szCs w:val="21"/>
        </w:rPr>
      </w:pPr>
      <w:r>
        <w:rPr>
          <w:rFonts w:hint="eastAsia" w:ascii="微软雅黑" w:hAnsi="微软雅黑" w:cs="微软雅黑"/>
          <w:szCs w:val="21"/>
        </w:rPr>
        <w:t xml:space="preserve">1.1 全固体激光谱线：包含405 nm≥500 mW，470 nm≥800 mW，555 nm≥800 mW，640 nm≥800 mW；</w:t>
      </w:r>
      <w:r/>
    </w:p>
    <w:p>
      <w:pPr>
        <w:spacing w:line="420" w:lineRule="exact"/>
        <w:rPr>
          <w:rFonts w:hint="eastAsia" w:ascii="微软雅黑" w:hAnsi="微软雅黑" w:cs="微软雅黑"/>
          <w:szCs w:val="21"/>
        </w:rPr>
      </w:pPr>
      <w:r>
        <w:rPr>
          <w:rFonts w:hint="eastAsia" w:ascii="微软雅黑" w:hAnsi="微软雅黑" w:cs="微软雅黑"/>
          <w:szCs w:val="21"/>
        </w:rPr>
        <w:t xml:space="preserve">1.2 激光控制装置：所有激光器均由数字信号控制，调制时间≤20微秒；</w:t>
      </w:r>
      <w:r/>
    </w:p>
    <w:p>
      <w:pPr>
        <w:spacing w:line="420" w:lineRule="exact"/>
        <w:rPr>
          <w:rFonts w:hint="eastAsia" w:ascii="微软雅黑" w:hAnsi="微软雅黑" w:cs="微软雅黑"/>
          <w:szCs w:val="21"/>
        </w:rPr>
      </w:pPr>
      <w:r>
        <w:rPr>
          <w:rFonts w:hint="eastAsia" w:ascii="微软雅黑" w:hAnsi="微软雅黑" w:cs="微软雅黑"/>
          <w:szCs w:val="21"/>
        </w:rPr>
        <w:t xml:space="preserve">1.3 四激光经过多模光纤耦合输出，光纤芯径≤400 μm，NA≥0.39；</w:t>
      </w:r>
      <w:r/>
    </w:p>
    <w:p>
      <w:pPr>
        <w:spacing w:line="420" w:lineRule="exact"/>
        <w:rPr>
          <w:rFonts w:hint="eastAsia" w:ascii="微软雅黑" w:hAnsi="微软雅黑" w:cs="微软雅黑"/>
          <w:szCs w:val="21"/>
        </w:rPr>
      </w:pPr>
      <w:r>
        <w:rPr>
          <w:rFonts w:hint="eastAsia" w:ascii="微软雅黑" w:hAnsi="微软雅黑" w:cs="微软雅黑"/>
          <w:szCs w:val="21"/>
        </w:rPr>
        <w:t xml:space="preserve">1.4 激光电源控制：四线激光可以单独控制激光开关；</w:t>
      </w:r>
      <w:r/>
    </w:p>
    <w:p>
      <w:pPr>
        <w:spacing w:line="420" w:lineRule="exact"/>
        <w:rPr>
          <w:rFonts w:hint="eastAsia" w:ascii="微软雅黑" w:hAnsi="微软雅黑" w:cs="微软雅黑"/>
          <w:szCs w:val="21"/>
        </w:rPr>
      </w:pPr>
      <w:r>
        <w:rPr>
          <w:rFonts w:hint="eastAsia" w:ascii="微软雅黑" w:hAnsi="微软雅黑" w:cs="微软雅黑"/>
          <w:szCs w:val="21"/>
        </w:rPr>
        <w:t xml:space="preserve">1.5 与显微镜同品牌的实时同步控制模块：</w:t>
      </w:r>
      <w:r/>
    </w:p>
    <w:p>
      <w:pPr>
        <w:spacing w:line="420" w:lineRule="exact"/>
        <w:rPr>
          <w:rFonts w:hint="eastAsia" w:ascii="微软雅黑" w:hAnsi="微软雅黑" w:cs="微软雅黑"/>
          <w:szCs w:val="21"/>
        </w:rPr>
      </w:pPr>
      <w:r>
        <w:rPr>
          <w:rFonts w:hint="eastAsia" w:ascii="微软雅黑" w:hAnsi="微软雅黑" w:cs="微软雅黑"/>
          <w:szCs w:val="21"/>
        </w:rPr>
        <w:t xml:space="preserve">1.5.1 具有独立于电脑的中央控制器，可以并行控制部件，操纵各硬件同步协调工作，时间精度≤1微秒；</w:t>
      </w:r>
      <w:r/>
    </w:p>
    <w:p>
      <w:pPr>
        <w:spacing w:line="420" w:lineRule="exact"/>
        <w:rPr>
          <w:rFonts w:hint="eastAsia" w:ascii="微软雅黑" w:hAnsi="微软雅黑" w:cs="微软雅黑"/>
          <w:szCs w:val="21"/>
        </w:rPr>
      </w:pPr>
      <w:r>
        <w:rPr>
          <w:rFonts w:hint="eastAsia" w:ascii="微软雅黑" w:hAnsi="微软雅黑" w:cs="微软雅黑"/>
          <w:szCs w:val="21"/>
        </w:rPr>
        <w:t xml:space="preserve">1.5.2 相机和激光高速Streaming同步成像，避免荧光淬灭；</w:t>
      </w:r>
      <w:r/>
    </w:p>
    <w:p>
      <w:pPr>
        <w:spacing w:line="420" w:lineRule="exact"/>
        <w:rPr>
          <w:rFonts w:hint="eastAsia" w:ascii="微软雅黑" w:hAnsi="微软雅黑" w:cs="微软雅黑"/>
          <w:szCs w:val="21"/>
        </w:rPr>
      </w:pPr>
      <w:r>
        <w:rPr>
          <w:rFonts w:hint="eastAsia" w:ascii="微软雅黑" w:hAnsi="微软雅黑" w:cs="微软雅黑"/>
          <w:szCs w:val="21"/>
        </w:rPr>
        <w:t xml:space="preserve">1.5.3 可连接 ≥20 个数字输出端口，用于同步触发光源、快门、相机和外部设备。</w:t>
      </w:r>
      <w:r/>
    </w:p>
    <w:p>
      <w:pPr>
        <w:spacing w:line="420" w:lineRule="exact"/>
        <w:rPr>
          <w:rFonts w:hint="eastAsia" w:ascii="微软雅黑" w:hAnsi="微软雅黑" w:cs="微软雅黑"/>
          <w:szCs w:val="21"/>
        </w:rPr>
      </w:pPr>
      <w:r>
        <w:rPr>
          <w:rFonts w:hint="eastAsia" w:ascii="微软雅黑" w:hAnsi="微软雅黑" w:cs="微软雅黑"/>
          <w:szCs w:val="21"/>
        </w:rPr>
        <w:t xml:space="preserve">2. 成像系统</w:t>
      </w:r>
      <w:r/>
    </w:p>
    <w:p>
      <w:pPr>
        <w:spacing w:line="420" w:lineRule="exact"/>
        <w:rPr>
          <w:rFonts w:hint="eastAsia" w:ascii="微软雅黑" w:hAnsi="微软雅黑" w:cs="微软雅黑"/>
          <w:szCs w:val="21"/>
        </w:rPr>
      </w:pPr>
      <w:r>
        <w:rPr>
          <w:rFonts w:hint="eastAsia" w:ascii="微软雅黑" w:hAnsi="微软雅黑" w:cs="微软雅黑"/>
          <w:b/>
          <w:bCs/>
          <w:szCs w:val="21"/>
        </w:rPr>
        <w:t xml:space="preserve">★</w:t>
      </w:r>
      <w:r>
        <w:rPr>
          <w:rFonts w:hint="eastAsia" w:ascii="微软雅黑" w:hAnsi="微软雅黑" w:cs="微软雅黑"/>
          <w:szCs w:val="21"/>
        </w:rPr>
        <w:t xml:space="preserve">2.1 扫描转盘要求圆形针孔盘针孔尺寸≤60 μm，针孔间距≥400 μm，可获取深层活体组织高分辨率、高信噪比荧光图像，针孔间信号无“串孔”干扰；</w:t>
      </w:r>
      <w:r>
        <w:rPr>
          <w:rFonts w:hint="eastAsia" w:ascii="微软雅黑" w:hAnsi="微软雅黑" w:cs="微软雅黑"/>
          <w:b/>
          <w:bCs/>
          <w:szCs w:val="21"/>
        </w:rPr>
        <w:t xml:space="preserve">（提供相关证明材料并加盖投标单位公章包括但不限于明确说明该技术内容的公开发行的产品彩页或产品说明书或第三方检测机构的检测报告等，自拟无效。）</w:t>
      </w:r>
      <w:r/>
    </w:p>
    <w:p>
      <w:pPr>
        <w:spacing w:line="420" w:lineRule="exact"/>
        <w:rPr>
          <w:rFonts w:hint="eastAsia" w:ascii="微软雅黑" w:hAnsi="微软雅黑" w:cs="微软雅黑"/>
          <w:szCs w:val="21"/>
        </w:rPr>
      </w:pPr>
      <w:r>
        <w:rPr>
          <w:rFonts w:hint="eastAsia" w:ascii="微软雅黑" w:hAnsi="微软雅黑" w:cs="微软雅黑"/>
          <w:szCs w:val="21"/>
        </w:rPr>
        <w:t xml:space="preserve">2.2 共聚焦扫描视场：对角线≥26 mm, 转盘转速≥15000 rpm, 全分辨率下扫描速度≥378 fps；</w:t>
      </w:r>
      <w:r/>
    </w:p>
    <w:p>
      <w:pPr>
        <w:spacing w:line="420" w:lineRule="exact"/>
        <w:rPr>
          <w:rFonts w:hint="eastAsia" w:ascii="微软雅黑" w:hAnsi="微软雅黑" w:cs="微软雅黑"/>
          <w:szCs w:val="21"/>
        </w:rPr>
      </w:pPr>
      <w:r>
        <w:rPr>
          <w:rFonts w:hint="eastAsia" w:ascii="微软雅黑" w:hAnsi="微软雅黑" w:cs="微软雅黑"/>
          <w:szCs w:val="21"/>
        </w:rPr>
        <w:t xml:space="preserve">2.3 二向色镜组，配有405/470/555/640 nm等激光专用二向色镜，镀膜平整性≥UF1；</w:t>
      </w:r>
      <w:r/>
    </w:p>
    <w:p>
      <w:pPr>
        <w:spacing w:line="420" w:lineRule="exact"/>
        <w:rPr>
          <w:rFonts w:hint="eastAsia" w:ascii="微软雅黑" w:hAnsi="微软雅黑" w:cs="微软雅黑"/>
          <w:szCs w:val="21"/>
        </w:rPr>
      </w:pPr>
      <w:r>
        <w:rPr>
          <w:rFonts w:hint="eastAsia" w:ascii="微软雅黑" w:hAnsi="微软雅黑" w:cs="微软雅黑"/>
          <w:szCs w:val="21"/>
        </w:rPr>
        <w:t xml:space="preserve">2.4配置电动5孔位发射滤色片转轮、带通发射滤光片DAPI ET440/40m、GFP ET510/50m、mCherry ET600/50m、CY5 ET700/75。全部发射滤光片镀膜截止率≥OD8，保证高速成像且避免荧光串色。</w:t>
      </w:r>
      <w:r/>
    </w:p>
    <w:p>
      <w:pPr>
        <w:spacing w:line="420" w:lineRule="exact"/>
        <w:rPr>
          <w:rFonts w:hint="eastAsia" w:ascii="微软雅黑" w:hAnsi="微软雅黑" w:cs="微软雅黑"/>
          <w:szCs w:val="21"/>
        </w:rPr>
      </w:pPr>
      <w:r>
        <w:rPr>
          <w:rFonts w:hint="eastAsia" w:ascii="微软雅黑" w:hAnsi="微软雅黑" w:cs="微软雅黑"/>
          <w:szCs w:val="21"/>
        </w:rPr>
        <w:t xml:space="preserve">2.5相机：</w:t>
      </w:r>
      <w:r>
        <w:rPr>
          <w:rFonts w:ascii="微软雅黑" w:hAnsi="微软雅黑" w:cs="微软雅黑"/>
          <w:szCs w:val="21"/>
        </w:rPr>
        <w:t xml:space="preserve">高灵敏度大靶面sCMOS</w:t>
      </w:r>
      <w:r>
        <w:rPr>
          <w:rFonts w:hint="eastAsia" w:ascii="微软雅黑" w:hAnsi="微软雅黑" w:cs="微软雅黑"/>
          <w:szCs w:val="21"/>
        </w:rPr>
        <w:t xml:space="preserve">，最高量子效率≥95%，视场数≥29 mm。</w:t>
      </w:r>
      <w:r/>
    </w:p>
    <w:p>
      <w:pPr>
        <w:spacing w:line="420" w:lineRule="exact"/>
        <w:rPr>
          <w:rFonts w:hint="eastAsia" w:ascii="微软雅黑" w:hAnsi="微软雅黑" w:cs="微软雅黑"/>
          <w:szCs w:val="21"/>
        </w:rPr>
      </w:pPr>
      <w:r>
        <w:rPr>
          <w:rFonts w:hint="eastAsia" w:ascii="微软雅黑" w:hAnsi="微软雅黑" w:cs="微软雅黑"/>
          <w:szCs w:val="21"/>
        </w:rPr>
        <w:t xml:space="preserve">3. 研究级电动倒置荧光显微镜</w:t>
      </w:r>
      <w:r/>
    </w:p>
    <w:p>
      <w:pPr>
        <w:spacing w:line="420" w:lineRule="exact"/>
        <w:rPr>
          <w:rFonts w:hint="eastAsia" w:ascii="微软雅黑" w:hAnsi="微软雅黑" w:cs="微软雅黑"/>
          <w:szCs w:val="21"/>
        </w:rPr>
      </w:pPr>
      <w:r>
        <w:rPr>
          <w:rFonts w:hint="eastAsia" w:ascii="微软雅黑" w:hAnsi="微软雅黑" w:cs="微软雅黑"/>
          <w:b/>
          <w:bCs/>
          <w:szCs w:val="21"/>
        </w:rPr>
        <w:t xml:space="preserve">★</w:t>
      </w:r>
      <w:r>
        <w:rPr>
          <w:rFonts w:hint="eastAsia" w:ascii="微软雅黑" w:hAnsi="微软雅黑" w:cs="微软雅黑"/>
          <w:szCs w:val="21"/>
        </w:rPr>
        <w:t xml:space="preserve">3.1 光学系统：齐焦距离≤50 mm，无限远校正光学系统；</w:t>
      </w:r>
      <w:r>
        <w:rPr>
          <w:rFonts w:hint="eastAsia" w:ascii="微软雅黑" w:hAnsi="微软雅黑" w:cs="微软雅黑"/>
          <w:b/>
          <w:bCs/>
          <w:szCs w:val="21"/>
        </w:rPr>
        <w:t xml:space="preserve">（提供相关证明材料并加盖投标单位公章包括但不限于明确说明该技术内容的公开发行的产品彩页或产品说明书或第三方检测机构的检测报告等，自拟无效。）</w:t>
      </w:r>
      <w:r/>
    </w:p>
    <w:p>
      <w:pPr>
        <w:spacing w:line="420" w:lineRule="exact"/>
        <w:rPr>
          <w:rFonts w:hint="eastAsia" w:ascii="微软雅黑" w:hAnsi="微软雅黑" w:cs="微软雅黑"/>
          <w:szCs w:val="21"/>
          <w:highlight w:val="none"/>
        </w:rPr>
      </w:pPr>
      <w:r>
        <w:rPr>
          <w:rFonts w:hint="eastAsia" w:ascii="微软雅黑" w:hAnsi="微软雅黑" w:cs="微软雅黑"/>
          <w:b/>
          <w:bCs/>
          <w:szCs w:val="21"/>
        </w:rPr>
        <w:t xml:space="preserve">▲</w:t>
      </w:r>
      <w:r>
        <w:rPr>
          <w:rFonts w:hint="eastAsia" w:ascii="微软雅黑" w:hAnsi="微软雅黑" w:cs="微软雅黑"/>
          <w:szCs w:val="21"/>
        </w:rPr>
        <w:t xml:space="preserve">3.2 荧光系统：电动荧光激发块转盘≥7孔，可在同一激发转盘内一次装入实验所需带通</w:t>
      </w:r>
      <w:r>
        <w:rPr>
          <w:rFonts w:hint="eastAsia" w:ascii="微软雅黑" w:hAnsi="微软雅黑" w:cs="微软雅黑"/>
          <w:szCs w:val="21"/>
          <w:highlight w:val="none"/>
        </w:rPr>
        <w:t xml:space="preserve">滤色镜</w:t>
      </w:r>
      <w:r>
        <w:rPr>
          <w:rFonts w:ascii="微软雅黑" w:hAnsi="微软雅黑" w:cs="微软雅黑"/>
          <w:szCs w:val="21"/>
          <w:highlight w:val="none"/>
        </w:rPr>
        <w:t xml:space="preserve">，</w:t>
      </w:r>
      <w:r>
        <w:rPr>
          <w:rFonts w:hint="eastAsia" w:ascii="微软雅黑" w:hAnsi="微软雅黑" w:cs="微软雅黑"/>
          <w:szCs w:val="21"/>
          <w:highlight w:val="none"/>
        </w:rPr>
        <w:t xml:space="preserve">可观察DAPI、FITC、CY3和CY5等4种荧光信号；</w:t>
      </w:r>
      <w:r/>
    </w:p>
    <w:p>
      <w:pPr>
        <w:spacing w:line="420" w:lineRule="exact"/>
        <w:rPr>
          <w:rFonts w:hint="eastAsia" w:ascii="微软雅黑" w:hAnsi="微软雅黑" w:cs="微软雅黑"/>
          <w:szCs w:val="21"/>
        </w:rPr>
      </w:pPr>
      <w:r>
        <w:rPr>
          <w:rFonts w:hint="eastAsia" w:ascii="微软雅黑" w:hAnsi="微软雅黑" w:cs="微软雅黑"/>
          <w:b/>
          <w:bCs/>
          <w:szCs w:val="21"/>
        </w:rPr>
        <w:t xml:space="preserve">▲</w:t>
      </w:r>
      <w:r>
        <w:rPr>
          <w:rFonts w:hint="eastAsia" w:ascii="微软雅黑" w:hAnsi="微软雅黑" w:cs="微软雅黑"/>
          <w:szCs w:val="21"/>
        </w:rPr>
        <w:t xml:space="preserve">3.3 复消色差物镜：</w:t>
      </w:r>
      <w:r/>
    </w:p>
    <w:p>
      <w:pPr>
        <w:spacing w:line="420" w:lineRule="exact"/>
        <w:rPr>
          <w:rFonts w:hint="eastAsia" w:ascii="微软雅黑" w:hAnsi="微软雅黑" w:cs="微软雅黑"/>
          <w:szCs w:val="21"/>
        </w:rPr>
      </w:pPr>
      <w:r>
        <w:rPr>
          <w:rFonts w:hint="eastAsia" w:ascii="微软雅黑" w:hAnsi="微软雅黑" w:cs="微软雅黑"/>
          <w:szCs w:val="21"/>
        </w:rPr>
        <w:t xml:space="preserve">10X NA≥0.4，WD≥3.1 mm；</w:t>
      </w:r>
      <w:r/>
    </w:p>
    <w:p>
      <w:pPr>
        <w:spacing w:line="420" w:lineRule="exact"/>
        <w:rPr>
          <w:rFonts w:hint="eastAsia" w:ascii="微软雅黑" w:hAnsi="微软雅黑" w:cs="微软雅黑"/>
          <w:szCs w:val="21"/>
        </w:rPr>
      </w:pPr>
      <w:r>
        <w:rPr>
          <w:rFonts w:hint="eastAsia" w:ascii="微软雅黑" w:hAnsi="微软雅黑" w:cs="微软雅黑"/>
          <w:szCs w:val="21"/>
        </w:rPr>
        <w:t xml:space="preserve">20X NA≥0.8，WD≥0.6 mm；</w:t>
      </w:r>
      <w:r/>
    </w:p>
    <w:p>
      <w:pPr>
        <w:spacing w:line="420" w:lineRule="exact"/>
        <w:rPr>
          <w:rFonts w:hint="eastAsia" w:ascii="微软雅黑" w:hAnsi="微软雅黑" w:cs="微软雅黑"/>
          <w:szCs w:val="21"/>
        </w:rPr>
      </w:pPr>
      <w:r>
        <w:rPr>
          <w:rFonts w:hint="eastAsia" w:ascii="微软雅黑" w:hAnsi="微软雅黑" w:cs="微软雅黑"/>
          <w:szCs w:val="21"/>
        </w:rPr>
        <w:t xml:space="preserve">40X NA≥0.95，WD≥0.18 mm；</w:t>
      </w:r>
      <w:r/>
    </w:p>
    <w:p>
      <w:pPr>
        <w:spacing w:line="420" w:lineRule="exact"/>
        <w:rPr>
          <w:rFonts w:hint="eastAsia" w:ascii="微软雅黑" w:hAnsi="微软雅黑" w:cs="微软雅黑"/>
          <w:szCs w:val="21"/>
        </w:rPr>
      </w:pPr>
      <w:r>
        <w:rPr>
          <w:rFonts w:hint="eastAsia" w:ascii="微软雅黑" w:hAnsi="微软雅黑" w:cs="微软雅黑"/>
          <w:szCs w:val="21"/>
        </w:rPr>
        <w:t xml:space="preserve">60X NA≥1.42，WD≥0.15 mm；</w:t>
      </w:r>
      <w:r/>
    </w:p>
    <w:p>
      <w:pPr>
        <w:spacing w:line="420" w:lineRule="exact"/>
        <w:rPr>
          <w:rFonts w:hint="eastAsia" w:ascii="微软雅黑" w:hAnsi="微软雅黑" w:cs="微软雅黑"/>
          <w:szCs w:val="21"/>
        </w:rPr>
      </w:pPr>
      <w:r>
        <w:rPr>
          <w:rFonts w:hint="eastAsia" w:ascii="微软雅黑" w:hAnsi="微软雅黑" w:cs="微软雅黑"/>
          <w:szCs w:val="21"/>
        </w:rPr>
        <w:t xml:space="preserve">3.4长工作距离万能聚光镜：5孔位, NA≥0.55；</w:t>
      </w:r>
      <w:r/>
    </w:p>
    <w:p>
      <w:pPr>
        <w:spacing w:line="420" w:lineRule="exact"/>
        <w:rPr>
          <w:rFonts w:hint="eastAsia" w:ascii="微软雅黑" w:hAnsi="微软雅黑" w:cs="微软雅黑"/>
          <w:szCs w:val="21"/>
        </w:rPr>
      </w:pPr>
      <w:r>
        <w:rPr>
          <w:rFonts w:hint="eastAsia" w:ascii="微软雅黑" w:hAnsi="微软雅黑" w:cs="微软雅黑"/>
          <w:b/>
          <w:bCs/>
          <w:szCs w:val="21"/>
          <w:highlight w:val="none"/>
        </w:rPr>
        <w:t xml:space="preserve">★</w:t>
      </w:r>
      <w:r>
        <w:rPr>
          <w:rFonts w:hint="eastAsia" w:ascii="微软雅黑" w:hAnsi="微软雅黑" w:cs="微软雅黑"/>
          <w:szCs w:val="21"/>
          <w:highlight w:val="none"/>
        </w:rPr>
        <w:t xml:space="preserve">3.5 机身成像光口视野：FN≥26 </w:t>
      </w:r>
      <w:r>
        <w:rPr>
          <w:rFonts w:ascii="微软雅黑" w:hAnsi="微软雅黑" w:cs="微软雅黑"/>
          <w:szCs w:val="21"/>
          <w:highlight w:val="none"/>
        </w:rPr>
        <w:t xml:space="preserve">mm</w:t>
      </w:r>
      <w:r>
        <w:rPr>
          <w:rFonts w:hint="eastAsia" w:ascii="微软雅黑" w:hAnsi="微软雅黑" w:cs="微软雅黑"/>
          <w:szCs w:val="21"/>
          <w:highlight w:val="none"/>
        </w:rPr>
        <w:t xml:space="preserve">；</w:t>
      </w:r>
      <w:r>
        <w:rPr>
          <w:rFonts w:hint="eastAsia" w:ascii="微软雅黑" w:hAnsi="微软雅黑" w:cs="微软雅黑"/>
          <w:b/>
          <w:bCs/>
          <w:szCs w:val="21"/>
          <w:highlight w:val="none"/>
        </w:rPr>
        <w:t xml:space="preserve">（提供相关证明材料并加盖投标单位公章包括但</w:t>
      </w:r>
      <w:r>
        <w:rPr>
          <w:rFonts w:hint="eastAsia" w:ascii="微软雅黑" w:hAnsi="微软雅黑" w:cs="微软雅黑"/>
          <w:b/>
          <w:bCs/>
          <w:szCs w:val="21"/>
        </w:rPr>
        <w:t xml:space="preserve">不限于明确说明该技术内容的公开发行的产品彩页或产品说明书或第三方检测机构的检测报告等，自拟无效。）</w:t>
      </w:r>
      <w:r/>
    </w:p>
    <w:p>
      <w:pPr>
        <w:spacing w:line="420" w:lineRule="exact"/>
        <w:rPr>
          <w:rFonts w:hint="eastAsia" w:ascii="微软雅黑" w:hAnsi="微软雅黑" w:cs="微软雅黑"/>
          <w:szCs w:val="21"/>
        </w:rPr>
      </w:pPr>
      <w:r>
        <w:rPr>
          <w:rFonts w:hint="eastAsia" w:ascii="微软雅黑" w:hAnsi="微软雅黑" w:cs="微软雅黑"/>
          <w:szCs w:val="21"/>
        </w:rPr>
        <w:t xml:space="preserve">3.6 电动载物台和电动平台：最大行程≥114×75 mm行程；最大速度≥15 mm/s；</w:t>
      </w:r>
      <w:r/>
    </w:p>
    <w:p>
      <w:pPr>
        <w:spacing w:line="420" w:lineRule="exact"/>
        <w:rPr>
          <w:rFonts w:hint="eastAsia" w:ascii="微软雅黑" w:hAnsi="微软雅黑" w:cs="微软雅黑"/>
          <w:szCs w:val="21"/>
        </w:rPr>
      </w:pPr>
      <w:r>
        <w:rPr>
          <w:rFonts w:hint="eastAsia" w:ascii="微软雅黑" w:hAnsi="微软雅黑" w:cs="微软雅黑"/>
          <w:szCs w:val="21"/>
        </w:rPr>
        <w:t xml:space="preserve">3.7 荧光光源：长寿命宽光谱LED荧光光源，</w:t>
      </w:r>
      <w:r>
        <w:rPr>
          <w:rFonts w:ascii="微软雅黑" w:hAnsi="微软雅黑" w:cs="微软雅黑"/>
          <w:szCs w:val="21"/>
        </w:rPr>
        <w:t xml:space="preserve">寿命≥25,000小时，即开即用</w:t>
      </w:r>
      <w:r>
        <w:rPr>
          <w:rFonts w:hint="eastAsia" w:ascii="微软雅黑" w:hAnsi="微软雅黑" w:cs="微软雅黑"/>
          <w:szCs w:val="21"/>
        </w:rPr>
        <w:t xml:space="preserve">，无需预热；</w:t>
      </w:r>
      <w:r/>
    </w:p>
    <w:p>
      <w:pPr>
        <w:spacing w:line="420" w:lineRule="exact"/>
        <w:rPr>
          <w:rFonts w:hint="eastAsia" w:ascii="微软雅黑" w:hAnsi="微软雅黑" w:cs="微软雅黑"/>
          <w:szCs w:val="21"/>
        </w:rPr>
      </w:pPr>
      <w:r>
        <w:rPr>
          <w:rFonts w:hint="eastAsia" w:ascii="微软雅黑" w:hAnsi="微软雅黑" w:cs="微软雅黑"/>
          <w:szCs w:val="21"/>
        </w:rPr>
        <w:t xml:space="preserve">3.8 电脑：至少配置 CPU i7；内存32GB；SSD 512GB；HDD 2TB；显存 12GB。</w:t>
      </w:r>
      <w:r/>
    </w:p>
    <w:p>
      <w:pPr>
        <w:spacing w:line="420" w:lineRule="exact"/>
        <w:rPr>
          <w:rFonts w:hint="eastAsia" w:ascii="微软雅黑" w:hAnsi="微软雅黑" w:cs="微软雅黑"/>
          <w:szCs w:val="21"/>
        </w:rPr>
      </w:pPr>
      <w:r>
        <w:rPr>
          <w:rFonts w:hint="eastAsia" w:ascii="微软雅黑" w:hAnsi="微软雅黑" w:cs="微软雅黑"/>
          <w:szCs w:val="21"/>
        </w:rPr>
        <w:t xml:space="preserve">4. 数据分析和处理软件</w:t>
      </w:r>
      <w:r/>
    </w:p>
    <w:p>
      <w:pPr>
        <w:spacing w:line="420" w:lineRule="exact"/>
        <w:rPr>
          <w:rFonts w:hint="eastAsia" w:ascii="微软雅黑" w:hAnsi="微软雅黑" w:cs="微软雅黑"/>
          <w:szCs w:val="21"/>
        </w:rPr>
      </w:pPr>
      <w:r>
        <w:rPr>
          <w:rFonts w:hint="eastAsia" w:ascii="微软雅黑" w:hAnsi="微软雅黑" w:cs="微软雅黑"/>
          <w:szCs w:val="21"/>
        </w:rPr>
        <w:t xml:space="preserve">4.1 图像采集和系统自动控制，光路全电动控制切换，多维显微成像控制，可实现多时间、多通道荧光自动采集和处理；可控制和触发其他外部设备同步工作；</w:t>
      </w:r>
      <w:r/>
    </w:p>
    <w:p>
      <w:pPr>
        <w:spacing w:line="420" w:lineRule="exact"/>
        <w:rPr>
          <w:rFonts w:hint="eastAsia" w:ascii="微软雅黑" w:hAnsi="微软雅黑" w:cs="微软雅黑"/>
          <w:szCs w:val="21"/>
          <w:highlight w:val="none"/>
        </w:rPr>
      </w:pPr>
      <w:r>
        <w:rPr>
          <w:rFonts w:hint="eastAsia" w:ascii="微软雅黑" w:hAnsi="微软雅黑" w:cs="微软雅黑"/>
          <w:szCs w:val="21"/>
        </w:rPr>
        <w:t xml:space="preserve">4.2 具备实验功能，支持设计复杂流程实验，例如包括但不限于</w:t>
      </w:r>
      <w:r>
        <w:rPr>
          <w:rFonts w:ascii="微软雅黑" w:hAnsi="微软雅黑" w:cs="微软雅黑"/>
          <w:szCs w:val="21"/>
        </w:rPr>
        <w:t xml:space="preserve">在一次成像任务中，每个位点采用不同通道、不同物镜、不同曝光时间的采集，拍摄条件、参数和流程均可保存，</w:t>
      </w:r>
      <w:r>
        <w:rPr>
          <w:rFonts w:ascii="微软雅黑" w:hAnsi="微软雅黑" w:cs="微软雅黑"/>
          <w:szCs w:val="21"/>
          <w:highlight w:val="none"/>
        </w:rPr>
        <w:t xml:space="preserve">并随时调用查看</w:t>
      </w:r>
      <w:r>
        <w:rPr>
          <w:rFonts w:hint="eastAsia" w:ascii="微软雅黑" w:hAnsi="微软雅黑" w:cs="微软雅黑"/>
          <w:szCs w:val="21"/>
          <w:highlight w:val="none"/>
        </w:rPr>
        <w:t xml:space="preserve">；</w:t>
      </w:r>
      <w:r/>
    </w:p>
    <w:p>
      <w:pPr>
        <w:spacing w:line="420" w:lineRule="exact"/>
        <w:rPr>
          <w:rFonts w:hint="eastAsia" w:ascii="微软雅黑" w:hAnsi="微软雅黑" w:cs="微软雅黑"/>
          <w:szCs w:val="21"/>
        </w:rPr>
      </w:pPr>
      <w:r>
        <w:rPr>
          <w:rFonts w:hint="eastAsia" w:ascii="微软雅黑" w:hAnsi="微软雅黑" w:cs="微软雅黑"/>
          <w:szCs w:val="21"/>
        </w:rPr>
        <w:t xml:space="preserve">4.3 可对单荧光通道图片和透射明场通道做色彩合成，具有自动匹配标尺功能。可以测量直线长度、面积等多个参数；所有测量结果均能导出到Excel文件。具备宏程序功能，可利用宏程序进行批处理文件；</w:t>
      </w:r>
      <w:r/>
    </w:p>
    <w:p>
      <w:pPr>
        <w:spacing w:line="420" w:lineRule="exact"/>
        <w:rPr>
          <w:rFonts w:hint="eastAsia" w:ascii="微软雅黑" w:hAnsi="微软雅黑" w:cs="微软雅黑"/>
          <w:szCs w:val="21"/>
        </w:rPr>
      </w:pPr>
      <w:r>
        <w:rPr>
          <w:rFonts w:hint="eastAsia" w:ascii="微软雅黑" w:hAnsi="微软雅黑" w:cs="微软雅黑"/>
          <w:szCs w:val="21"/>
        </w:rPr>
        <w:t xml:space="preserve">4.4 具备处理和测量功能，支持处理单一或复杂的多维图像数据，图像序列的分析和存档。分析值可报告到一个文本文件或直接导出，通过统计处理、线扫描图、强度随时间变化图和直方图等显示；</w:t>
      </w:r>
      <w:r/>
    </w:p>
    <w:p>
      <w:pPr>
        <w:pStyle w:val="1475"/>
        <w:ind w:firstLine="0"/>
        <w:spacing w:line="420" w:lineRule="exact"/>
        <w:rPr>
          <w:rFonts w:hint="eastAsia" w:ascii="微软雅黑" w:hAnsi="微软雅黑" w:cs="微软雅黑"/>
          <w:b/>
          <w:bCs/>
          <w:szCs w:val="21"/>
        </w:rPr>
      </w:pPr>
      <w:r>
        <w:rPr>
          <w:rFonts w:hint="eastAsia" w:ascii="微软雅黑" w:hAnsi="微软雅黑" w:cs="微软雅黑"/>
          <w:szCs w:val="21"/>
        </w:rPr>
        <w:t xml:space="preserve">4.5 具备三维数字迭代逆卷积图像处理功能。</w:t>
      </w:r>
      <w:r/>
    </w:p>
    <w:p>
      <w:pPr>
        <w:ind w:firstLine="420"/>
        <w:spacing w:line="420" w:lineRule="exact"/>
        <w:rPr>
          <w:rFonts w:hint="eastAsia" w:ascii="微软雅黑" w:hAnsi="微软雅黑" w:cs="微软雅黑"/>
          <w:b/>
          <w:bCs/>
          <w:szCs w:val="21"/>
          <w:lang w:val="zh-CN"/>
        </w:rPr>
      </w:pPr>
      <w:r>
        <w:rPr>
          <w:rFonts w:hint="eastAsia" w:ascii="微软雅黑" w:hAnsi="微软雅黑" w:cs="微软雅黑"/>
          <w:b/>
          <w:bCs/>
          <w:szCs w:val="21"/>
          <w:lang w:val="zh-CN"/>
        </w:rPr>
        <w:t xml:space="preserve">三、服务要求</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（1）技术培训：为采购方进行人员培训，提供不少于3年且每年不少于</w:t>
      </w:r>
      <w:r>
        <w:rPr>
          <w:rFonts w:hint="eastAsia" w:ascii="微软雅黑" w:hAnsi="微软雅黑" w:cs="微软雅黑"/>
          <w:szCs w:val="21"/>
        </w:rPr>
        <w:t xml:space="preserve">1</w:t>
      </w:r>
      <w:r>
        <w:rPr>
          <w:rFonts w:hint="eastAsia" w:ascii="微软雅黑" w:hAnsi="微软雅黑" w:cs="微软雅黑"/>
          <w:szCs w:val="21"/>
          <w:lang w:val="zh-CN"/>
        </w:rPr>
        <w:t xml:space="preserve">次的设备操作培训，培训人员</w:t>
      </w:r>
      <w:r>
        <w:rPr>
          <w:rFonts w:hint="eastAsia" w:ascii="微软雅黑" w:hAnsi="微软雅黑" w:cs="微软雅黑"/>
          <w:szCs w:val="21"/>
        </w:rPr>
        <w:t xml:space="preserve">数量</w:t>
      </w:r>
      <w:r>
        <w:rPr>
          <w:rFonts w:hint="eastAsia" w:ascii="微软雅黑" w:hAnsi="微软雅黑" w:cs="微软雅黑"/>
          <w:szCs w:val="21"/>
          <w:lang w:val="zh-CN"/>
        </w:rPr>
        <w:t xml:space="preserve">不低于</w:t>
      </w:r>
      <w:r>
        <w:rPr>
          <w:rFonts w:hint="eastAsia" w:ascii="微软雅黑" w:hAnsi="微软雅黑" w:cs="微软雅黑"/>
          <w:szCs w:val="21"/>
        </w:rPr>
        <w:t xml:space="preserve">2</w:t>
      </w:r>
      <w:r>
        <w:rPr>
          <w:rFonts w:hint="eastAsia" w:ascii="微软雅黑" w:hAnsi="微软雅黑" w:cs="微软雅黑"/>
          <w:szCs w:val="21"/>
          <w:lang w:val="zh-CN"/>
        </w:rPr>
        <w:t xml:space="preserve">人。</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（2）</w:t>
      </w:r>
      <w:r>
        <w:rPr>
          <w:rFonts w:hint="eastAsia" w:ascii="微软雅黑" w:hAnsi="微软雅黑" w:cs="微软雅黑"/>
          <w:szCs w:val="21"/>
        </w:rPr>
        <w:t xml:space="preserve">免费质保</w:t>
      </w:r>
      <w:r>
        <w:rPr>
          <w:rFonts w:hint="eastAsia" w:ascii="微软雅黑" w:hAnsi="微软雅黑" w:cs="微软雅黑"/>
          <w:szCs w:val="21"/>
          <w:lang w:val="zh-CN"/>
        </w:rPr>
        <w:t xml:space="preserve">期：</w:t>
      </w:r>
      <w:r>
        <w:rPr>
          <w:rFonts w:hint="eastAsia" w:ascii="微软雅黑" w:hAnsi="微软雅黑" w:cs="微软雅黑"/>
          <w:szCs w:val="21"/>
        </w:rPr>
        <w:t xml:space="preserve">质保期不低于3年，</w:t>
      </w:r>
      <w:r>
        <w:rPr>
          <w:rFonts w:hint="eastAsia" w:ascii="微软雅黑" w:hAnsi="微软雅黑" w:cs="微软雅黑"/>
          <w:szCs w:val="21"/>
          <w:lang w:val="zh-CN"/>
        </w:rPr>
        <w:t xml:space="preserve">自验收合格</w:t>
      </w:r>
      <w:r>
        <w:rPr>
          <w:rFonts w:hint="eastAsia" w:ascii="微软雅黑" w:hAnsi="微软雅黑" w:cs="微软雅黑"/>
          <w:szCs w:val="21"/>
        </w:rPr>
        <w:t xml:space="preserve">次日</w:t>
      </w:r>
      <w:r>
        <w:rPr>
          <w:rFonts w:hint="eastAsia" w:ascii="微软雅黑" w:hAnsi="微软雅黑" w:cs="微软雅黑"/>
          <w:szCs w:val="21"/>
          <w:lang w:val="zh-CN"/>
        </w:rPr>
        <w:t xml:space="preserve">起</w:t>
      </w:r>
      <w:r>
        <w:rPr>
          <w:rFonts w:hint="eastAsia" w:ascii="微软雅黑" w:hAnsi="微软雅黑" w:cs="微软雅黑"/>
          <w:szCs w:val="21"/>
        </w:rPr>
        <w:t xml:space="preserve">算</w:t>
      </w:r>
      <w:r>
        <w:rPr>
          <w:rFonts w:hint="eastAsia" w:ascii="微软雅黑" w:hAnsi="微软雅黑" w:cs="微软雅黑"/>
          <w:szCs w:val="21"/>
          <w:lang w:val="zh-CN"/>
        </w:rPr>
        <w:t xml:space="preserve">。</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（3）售后技术服务要求：接到故障通知后</w:t>
      </w:r>
      <w:r>
        <w:rPr>
          <w:rFonts w:hint="eastAsia" w:ascii="微软雅黑" w:hAnsi="微软雅黑" w:cs="微软雅黑"/>
          <w:szCs w:val="21"/>
        </w:rPr>
        <w:t xml:space="preserve">2</w:t>
      </w:r>
      <w:r>
        <w:rPr>
          <w:rFonts w:hint="eastAsia" w:ascii="微软雅黑" w:hAnsi="微软雅黑" w:cs="微软雅黑"/>
          <w:szCs w:val="21"/>
          <w:lang w:val="zh-CN"/>
        </w:rPr>
        <w:t xml:space="preserve">小时内作出答复，一般问题</w:t>
      </w:r>
      <w:r>
        <w:rPr>
          <w:rFonts w:hint="eastAsia" w:ascii="微软雅黑" w:hAnsi="微软雅黑" w:cs="微软雅黑"/>
          <w:szCs w:val="21"/>
        </w:rPr>
        <w:t xml:space="preserve">24 </w:t>
      </w:r>
      <w:r>
        <w:rPr>
          <w:rFonts w:hint="eastAsia" w:ascii="微软雅黑" w:hAnsi="微软雅黑" w:cs="微软雅黑"/>
          <w:szCs w:val="21"/>
          <w:lang w:val="zh-CN"/>
        </w:rPr>
        <w:t xml:space="preserve">小时之内解决；若采购方有需求，</w:t>
      </w:r>
      <w:r>
        <w:rPr>
          <w:rFonts w:hint="eastAsia" w:ascii="微软雅黑" w:hAnsi="微软雅黑" w:cs="微软雅黑"/>
          <w:szCs w:val="21"/>
        </w:rPr>
        <w:t xml:space="preserve">48</w:t>
      </w:r>
      <w:r>
        <w:rPr>
          <w:rFonts w:hint="eastAsia" w:ascii="微软雅黑" w:hAnsi="微软雅黑" w:cs="微软雅黑"/>
          <w:szCs w:val="21"/>
          <w:lang w:val="zh-CN"/>
        </w:rPr>
        <w:t xml:space="preserve">小时内到达现场解决；若遇重大问题在</w:t>
      </w:r>
      <w:r>
        <w:rPr>
          <w:rFonts w:hint="eastAsia" w:ascii="微软雅黑" w:hAnsi="微软雅黑" w:cs="微软雅黑"/>
          <w:szCs w:val="21"/>
        </w:rPr>
        <w:t xml:space="preserve">15天内</w:t>
      </w:r>
      <w:r>
        <w:rPr>
          <w:rFonts w:hint="eastAsia" w:ascii="微软雅黑" w:hAnsi="微软雅黑" w:cs="微软雅黑"/>
          <w:szCs w:val="21"/>
          <w:lang w:val="zh-CN"/>
        </w:rPr>
        <w:t xml:space="preserve">解决。</w:t>
      </w:r>
      <w:r/>
    </w:p>
    <w:p>
      <w:pPr>
        <w:ind w:firstLine="420"/>
        <w:spacing w:line="420" w:lineRule="exact"/>
        <w:rPr>
          <w:rFonts w:hint="eastAsia" w:ascii="微软雅黑" w:hAnsi="微软雅黑" w:cs="微软雅黑"/>
          <w:szCs w:val="21"/>
          <w:lang w:val="zh-CN"/>
        </w:rPr>
      </w:pPr>
      <w:r>
        <w:rPr>
          <w:rFonts w:hint="eastAsia" w:ascii="微软雅黑" w:hAnsi="微软雅黑" w:cs="微软雅黑"/>
          <w:b/>
          <w:bCs/>
          <w:szCs w:val="21"/>
          <w:lang w:val="zh-CN"/>
        </w:rPr>
        <w:t xml:space="preserve">四、安装要求</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按照国家现行行业规范标准进行安装，符合国家或行业质量检验评定标准，没有行业标准的产品，投标人应提供相关制造商标准。</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设备安装调试：设备到货后，卖方在接到通知的7个工作日内派人前往负责该设备的安装、调试和操作培训，直至达到各项验收指标合格。</w:t>
      </w:r>
      <w:r/>
    </w:p>
    <w:p>
      <w:pPr>
        <w:ind w:firstLine="420"/>
        <w:spacing w:line="420" w:lineRule="exact"/>
        <w:rPr>
          <w:rFonts w:hint="eastAsia" w:ascii="微软雅黑" w:hAnsi="微软雅黑" w:cs="微软雅黑"/>
          <w:szCs w:val="21"/>
          <w:lang w:val="zh-CN"/>
        </w:rPr>
      </w:pPr>
      <w:r>
        <w:rPr>
          <w:rFonts w:hint="eastAsia" w:ascii="微软雅黑" w:hAnsi="微软雅黑" w:cs="微软雅黑"/>
          <w:b/>
          <w:bCs/>
          <w:szCs w:val="21"/>
          <w:lang w:val="zh-CN"/>
        </w:rPr>
        <w:t xml:space="preserve">五、交货期、交货方式及交货地点</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 交货期：合同签订生效后，两个月内全部设备、材料运抵现场，并安装、调试结束，验收合格，交付买方使用。</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2. 交货方式：中标人在买方指定地点交货，并完成安装、调试。</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3. 交货地点：南京医科大学</w:t>
      </w:r>
      <w:r>
        <w:rPr>
          <w:rFonts w:hint="eastAsia" w:ascii="微软雅黑" w:hAnsi="微软雅黑" w:cs="微软雅黑"/>
          <w:szCs w:val="21"/>
        </w:rPr>
        <w:t xml:space="preserve">指定地点</w:t>
      </w:r>
      <w:r>
        <w:rPr>
          <w:rFonts w:hint="eastAsia" w:ascii="微软雅黑" w:hAnsi="微软雅黑" w:cs="微软雅黑"/>
          <w:szCs w:val="21"/>
          <w:lang w:val="zh-CN"/>
        </w:rPr>
        <w:t xml:space="preserve">。</w:t>
      </w:r>
      <w:r/>
    </w:p>
    <w:p>
      <w:pPr>
        <w:ind w:firstLine="420"/>
        <w:spacing w:line="420" w:lineRule="exact"/>
        <w:rPr>
          <w:rFonts w:hint="eastAsia" w:ascii="微软雅黑" w:hAnsi="微软雅黑" w:cs="微软雅黑"/>
          <w:b/>
          <w:bCs/>
          <w:szCs w:val="21"/>
          <w:lang w:val="zh-CN"/>
        </w:rPr>
      </w:pPr>
      <w:r>
        <w:rPr>
          <w:rFonts w:hint="eastAsia" w:ascii="微软雅黑" w:hAnsi="微软雅黑" w:cs="微软雅黑"/>
          <w:b/>
          <w:bCs/>
          <w:szCs w:val="21"/>
          <w:lang w:val="zh-CN"/>
        </w:rPr>
        <w:t xml:space="preserve">六、其他技术服务需求</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1、投标人须保证本次投标产品系优质材料和先进工艺制成新出厂的产品，且完全与投标文件所述相符。</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420" w:lineRule="exact"/>
        <w:rPr>
          <w:rFonts w:hint="eastAsia" w:ascii="微软雅黑" w:hAnsi="微软雅黑" w:cs="微软雅黑"/>
          <w:b/>
          <w:bCs/>
          <w:color w:val="ff0000"/>
          <w:szCs w:val="21"/>
          <w:lang w:val="zh-CN"/>
        </w:rPr>
      </w:pPr>
      <w:r>
        <w:rPr>
          <w:rFonts w:hint="eastAsia" w:ascii="微软雅黑" w:hAnsi="微软雅黑" w:cs="微软雅黑"/>
          <w:b/>
          <w:bCs/>
          <w:szCs w:val="21"/>
          <w:lang w:val="zh-CN"/>
        </w:rPr>
        <w:t xml:space="preserve">七、货款支付</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1、国产设备：货物交付、安装、调试且通过验收后一周内（遇寒暑假和法定节假日顺延），学校支付合同总金额的100%，付款之前需收到中标供应商开具的合法有效的相应全额发票。</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2、进口设备：</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（1）合同签订后，外贸代理公司提供受益人为南京医科大学的100%合同金额的预付款银行保函，保函有效期为     天（供货期＋2个月），银行保函服务费由中标单位承担。</w:t>
      </w:r>
      <w:r/>
    </w:p>
    <w:p>
      <w:pPr>
        <w:ind w:firstLine="420"/>
        <w:spacing w:line="420" w:lineRule="exact"/>
        <w:rPr>
          <w:rFonts w:hint="eastAsia" w:ascii="微软雅黑" w:hAnsi="微软雅黑" w:cs="微软雅黑"/>
          <w:b/>
          <w:bCs/>
          <w:szCs w:val="21"/>
          <w:lang w:val="zh-CN"/>
        </w:rPr>
      </w:pPr>
      <w:r>
        <w:rPr>
          <w:rFonts w:hint="eastAsia" w:ascii="微软雅黑" w:hAnsi="微软雅黑" w:cs="微软雅黑"/>
          <w:szCs w:val="21"/>
          <w:lang w:val="zh-CN"/>
        </w:rPr>
        <w:t xml:space="preserve">（2）外贸代理公司收到100%货款后按照合同办理相关进口手续，货到验收合格后由学校通知外贸代理公司一周内开具合法有效的全额发票，并支付100%货款至境外厂家。</w:t>
      </w:r>
      <w:r>
        <w:rPr>
          <w:rFonts w:hint="eastAsia" w:ascii="微软雅黑" w:hAnsi="微软雅黑" w:cs="微软雅黑"/>
          <w:b/>
          <w:bCs/>
          <w:szCs w:val="21"/>
          <w:lang w:val="zh-CN"/>
        </w:rPr>
        <w:t xml:space="preserve">八、缴纳履约保证金</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南京医科大学指定账户信息具体如下：</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单位名称：南京医科大学</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开 户 行：南京市工行汉中门支行                          </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账    号：4301010109001038622</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注：请在转账时备注“项目名称+履约保证金”字样。</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3、合同履行过程中，若经学校核实存在货物质量问题或中标供应商违约情形，学校有权在通知中标供应商后，从履约保证金中抵扣相应的补偿或赔偿款项。</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4、履约保证金退还流程</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（1）自货物验收合格之日起12个月后，中标供应商可向学校出具货物最终验收单，并同步提交填写完整的《履约保证金退还申请单》。</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（2）经最终用户签字确认，核实无质量问题且供应商无违约情形后，学校于确认完成后一个月内，将履约保证金一次性无息退还中标供应商。</w:t>
      </w:r>
      <w:r/>
    </w:p>
    <w:p>
      <w:pPr>
        <w:ind w:firstLine="420"/>
        <w:spacing w:line="420" w:lineRule="exact"/>
        <w:rPr>
          <w:rFonts w:hint="eastAsia" w:ascii="微软雅黑" w:hAnsi="微软雅黑" w:cs="微软雅黑"/>
          <w:b/>
          <w:bCs/>
          <w:szCs w:val="21"/>
        </w:rPr>
      </w:pPr>
      <w:r/>
      <w:bookmarkStart w:id="196" w:name="_Toc6924"/>
      <w:r>
        <w:rPr>
          <w:rFonts w:hint="eastAsia" w:ascii="微软雅黑" w:hAnsi="微软雅黑" w:cs="微软雅黑"/>
          <w:b/>
          <w:bCs/>
          <w:szCs w:val="21"/>
        </w:rPr>
        <w:t xml:space="preserve">九、投标报价要求</w:t>
      </w:r>
      <w:r/>
    </w:p>
    <w:p>
      <w:pPr>
        <w:spacing w:line="420" w:lineRule="exact"/>
        <w:rPr>
          <w:rFonts w:hint="eastAsia" w:ascii="微软雅黑" w:hAnsi="微软雅黑" w:cs="微软雅黑"/>
          <w:szCs w:val="21"/>
        </w:rPr>
      </w:pPr>
      <w:r>
        <w:rPr>
          <w:rFonts w:hint="eastAsia" w:ascii="微软雅黑" w:hAnsi="微软雅黑" w:cs="微软雅黑"/>
          <w:szCs w:val="21"/>
        </w:rPr>
        <w:t xml:space="preserve">1、所有投标响应均以人民币报价。供应商的投标响应报价应遵守</w:t>
      </w:r>
      <w:r>
        <w:rPr>
          <w:rFonts w:ascii="微软雅黑" w:hAnsi="微软雅黑" w:cs="微软雅黑"/>
          <w:szCs w:val="21"/>
        </w:rPr>
        <w:t xml:space="preserve">“中华</w:t>
      </w:r>
      <w:r>
        <w:rPr>
          <w:rFonts w:hint="eastAsia" w:ascii="微软雅黑" w:hAnsi="微软雅黑" w:cs="微软雅黑"/>
          <w:szCs w:val="21"/>
        </w:rPr>
        <w:t xml:space="preserve">人民共和国价格法</w:t>
      </w:r>
      <w:r>
        <w:rPr>
          <w:rFonts w:ascii="微软雅黑" w:hAnsi="微软雅黑" w:cs="微软雅黑"/>
          <w:szCs w:val="21"/>
        </w:rPr>
        <w:t xml:space="preserve">”。</w:t>
      </w:r>
      <w:r>
        <w:rPr>
          <w:rFonts w:hint="eastAsia" w:ascii="微软雅黑" w:hAnsi="微软雅黑" w:cs="微软雅黑"/>
          <w:szCs w:val="21"/>
        </w:rPr>
        <w:t xml:space="preserve">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p>
    <w:p>
      <w:pPr>
        <w:spacing w:line="420" w:lineRule="exact"/>
        <w:rPr>
          <w:rFonts w:hint="eastAsia" w:ascii="微软雅黑" w:hAnsi="微软雅黑" w:cs="微软雅黑"/>
          <w:szCs w:val="21"/>
        </w:rPr>
      </w:pPr>
      <w:r>
        <w:rPr>
          <w:rFonts w:hint="eastAsia" w:ascii="微软雅黑" w:hAnsi="微软雅黑" w:cs="微软雅黑"/>
          <w:szCs w:val="21"/>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spacing w:line="420" w:lineRule="exact"/>
        <w:rPr>
          <w:rFonts w:hint="eastAsia" w:ascii="微软雅黑" w:hAnsi="微软雅黑" w:cs="微软雅黑"/>
          <w:szCs w:val="21"/>
        </w:rPr>
      </w:pPr>
      <w:r>
        <w:rPr>
          <w:rFonts w:hint="eastAsia" w:ascii="微软雅黑" w:hAnsi="微软雅黑" w:cs="微软雅黑"/>
          <w:szCs w:val="21"/>
        </w:rPr>
        <w:t xml:space="preserve">2、报价时应充分考虑所有可能影响到报价的因素，一旦评审结束最终成交，如发生漏、缺、少项都将被认为是成交供应商的报价让利行为，损失自负。</w:t>
      </w:r>
      <w:r/>
    </w:p>
    <w:p>
      <w:pPr>
        <w:spacing w:line="420" w:lineRule="exact"/>
        <w:rPr>
          <w:rFonts w:hint="eastAsia" w:ascii="微软雅黑" w:hAnsi="微软雅黑" w:cs="微软雅黑"/>
          <w:szCs w:val="21"/>
        </w:rPr>
      </w:pPr>
      <w:r>
        <w:rPr>
          <w:rFonts w:hint="eastAsia" w:ascii="微软雅黑" w:hAnsi="微软雅黑" w:cs="微软雅黑"/>
          <w:szCs w:val="21"/>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bookmarkEnd w:id="196"/>
      <w:r/>
      <w:r/>
    </w:p>
    <w:p>
      <w:pPr>
        <w:spacing w:line="420" w:lineRule="exact"/>
        <w:rPr>
          <w:rFonts w:hint="eastAsia" w:ascii="微软雅黑" w:hAnsi="微软雅黑" w:cs="微软雅黑"/>
          <w:b/>
          <w:bCs/>
          <w:szCs w:val="21"/>
        </w:rPr>
      </w:pPr>
      <w:r>
        <w:rPr>
          <w:rFonts w:hint="eastAsia" w:ascii="微软雅黑" w:hAnsi="微软雅黑" w:cs="微软雅黑"/>
          <w:b/>
          <w:bCs/>
          <w:szCs w:val="21"/>
        </w:rPr>
        <w:t xml:space="preserve">各档代理费率为:</w:t>
      </w:r>
      <w:r/>
    </w:p>
    <w:tbl>
      <w:tblPr>
        <w:tblStyle w:val="11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档列</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合同价（单位：美元）</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1</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合同价＜10000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2</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10，000≤合同价＜30，000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0.11</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3</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30，000≤合同价＜50，000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0.07</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4</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50，000≤合同价＜100，000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5</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100，000≤合同价＜200，000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7660"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合同价为20万美元及以上的，代理费率不高于上述代理费中最低一档。</w:t>
            </w:r>
            <w:r/>
          </w:p>
        </w:tc>
      </w:tr>
    </w:tbl>
    <w:p>
      <w:pPr>
        <w:ind w:firstLine="630"/>
        <w:jc w:val="left"/>
        <w:spacing w:line="360" w:lineRule="auto"/>
        <w:rPr>
          <w:rFonts w:hint="eastAsia" w:ascii="宋体" w:hAnsi="宋体" w:cs="宋体"/>
          <w:szCs w:val="21"/>
        </w:rPr>
      </w:pPr>
      <w:r>
        <w:rPr>
          <w:rFonts w:hint="eastAsia" w:ascii="宋体" w:hAnsi="宋体" w:cs="宋体"/>
          <w:szCs w:val="21"/>
        </w:rPr>
        <w:t xml:space="preserve">如潜在供应商所投产品为进口产品，请自行综合考虑外贸代理费等报价事宜。</w:t>
      </w:r>
      <w:bookmarkEnd w:id="194"/>
      <w:r/>
      <w:bookmarkEnd w:id="195"/>
      <w:r/>
      <w:r/>
    </w:p>
    <w:p>
      <w:pPr>
        <w:pStyle w:val="1147"/>
        <w:sectPr>
          <w:footnotePr/>
          <w:endnotePr/>
          <w:type w:val="nextPage"/>
          <w:pgSz w:w="11906" w:h="16838" w:orient="portrait"/>
          <w:pgMar w:top="1440" w:right="1803" w:bottom="1440" w:left="1803" w:header="851" w:footer="992" w:gutter="0"/>
          <w:cols w:num="1" w:sep="0" w:space="0" w:equalWidth="1"/>
          <w:docGrid w:linePitch="360"/>
        </w:sectPr>
      </w:pPr>
      <w:r/>
      <w:r/>
    </w:p>
    <w:p>
      <w:pPr>
        <w:pStyle w:val="1352"/>
        <w:spacing w:line="360" w:lineRule="exact"/>
        <w:widowControl/>
        <w:rPr>
          <w:rFonts w:hint="eastAsia" w:ascii="微软雅黑" w:hAnsi="微软雅黑" w:cs="微软雅黑"/>
          <w:szCs w:val="32"/>
        </w:rPr>
      </w:pPr>
      <w:r/>
      <w:bookmarkStart w:id="197" w:name="_Toc22291"/>
      <w:r/>
      <w:bookmarkStart w:id="198" w:name="_Toc3579"/>
      <w:r/>
      <w:bookmarkStart w:id="199" w:name="_Toc22289"/>
      <w:r>
        <w:rPr>
          <w:rFonts w:hint="eastAsia" w:ascii="微软雅黑" w:hAnsi="微软雅黑" w:cs="微软雅黑"/>
          <w:szCs w:val="32"/>
        </w:rPr>
        <w:t xml:space="preserve">第五章 采购合同</w:t>
      </w:r>
      <w:bookmarkEnd w:id="197"/>
      <w:r/>
      <w:bookmarkEnd w:id="198"/>
      <w:r/>
      <w:bookmarkEnd w:id="199"/>
      <w:r/>
      <w:bookmarkStart w:id="200" w:name="suppliers_name"/>
      <w:r/>
      <w:bookmarkEnd w:id="200"/>
      <w:r/>
      <w:bookmarkStart w:id="201" w:name="purchase_one_start"/>
      <w:r/>
      <w:bookmarkEnd w:id="201"/>
      <w:r/>
      <w:bookmarkStart w:id="202" w:name="purchase_relation_name"/>
      <w:r/>
      <w:bookmarkEnd w:id="202"/>
      <w:r/>
      <w:bookmarkStart w:id="203" w:name="suppliers_name_one"/>
      <w:r/>
      <w:bookmarkEnd w:id="203"/>
      <w:r/>
      <w:bookmarkStart w:id="204" w:name="purchase_name_one"/>
      <w:r/>
      <w:bookmarkEnd w:id="204"/>
      <w:r/>
      <w:bookmarkStart w:id="205" w:name="supplier_relation_tel"/>
      <w:r/>
      <w:bookmarkEnd w:id="205"/>
      <w:r/>
      <w:bookmarkStart w:id="206" w:name="supplier_relation_name"/>
      <w:r/>
      <w:bookmarkEnd w:id="206"/>
      <w:r/>
      <w:bookmarkStart w:id="207" w:name="purchase_relation_tel"/>
      <w:r/>
      <w:bookmarkEnd w:id="207"/>
      <w:r/>
      <w:r/>
    </w:p>
    <w:p>
      <w:pPr>
        <w:pStyle w:val="1157"/>
        <w:ind w:firstLine="482"/>
        <w:jc w:val="center"/>
        <w:spacing w:before="120" w:after="120" w:line="420" w:lineRule="exact"/>
        <w:rPr>
          <w:rFonts w:hint="eastAsia" w:ascii="微软雅黑" w:hAnsi="微软雅黑" w:cs="微软雅黑"/>
          <w:b/>
          <w:bCs/>
          <w:u w:val="single"/>
        </w:rPr>
      </w:pPr>
      <w:r>
        <w:rPr>
          <w:rFonts w:hint="eastAsia" w:hAnsi="宋体" w:eastAsia="宋体" w:cs="宋体"/>
          <w:b/>
          <w:bCs/>
          <w:sz w:val="24"/>
          <w:szCs w:val="28"/>
        </w:rPr>
        <w:t xml:space="preserve"> </w:t>
      </w:r>
      <w:r>
        <w:rPr>
          <w:rFonts w:hint="eastAsia" w:ascii="微软雅黑" w:hAnsi="微软雅黑" w:cs="微软雅黑"/>
          <w:b/>
          <w:bCs/>
        </w:rPr>
        <w:t xml:space="preserve"> </w:t>
      </w:r>
      <w:r>
        <w:rPr>
          <w:rFonts w:hint="eastAsia" w:ascii="微软雅黑" w:hAnsi="微软雅黑" w:cs="微软雅黑"/>
          <w:b/>
          <w:bCs/>
          <w:u w:val="single"/>
        </w:rPr>
        <w:t xml:space="preserve">南京医科大学生物医药分中心激光共聚焦显微镜采购项目合同</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甲方：（买方）_________         乙方：（卖方）_________ </w:t>
      </w:r>
      <w:r/>
    </w:p>
    <w:p>
      <w:pPr>
        <w:pStyle w:val="1157"/>
        <w:ind w:firstLine="420"/>
        <w:spacing w:before="120" w:after="120" w:line="420" w:lineRule="exact"/>
        <w:rPr>
          <w:rFonts w:hint="eastAsia" w:ascii="微软雅黑" w:hAnsi="微软雅黑" w:cs="微软雅黑"/>
          <w:u w:val="single"/>
        </w:rPr>
      </w:pPr>
      <w:r>
        <w:rPr>
          <w:rFonts w:hint="eastAsia" w:ascii="微软雅黑" w:hAnsi="微软雅黑" w:cs="微软雅黑"/>
        </w:rPr>
        <w:t xml:space="preserve">法定代表人：</w:t>
      </w:r>
      <w:r>
        <w:rPr>
          <w:rFonts w:hint="eastAsia" w:ascii="微软雅黑" w:hAnsi="微软雅黑" w:cs="微软雅黑"/>
          <w:u w:val="single"/>
        </w:rPr>
        <w:t xml:space="preserve">          </w:t>
      </w:r>
      <w:r>
        <w:rPr>
          <w:rFonts w:hint="eastAsia" w:ascii="微软雅黑" w:hAnsi="微软雅黑" w:cs="微软雅黑"/>
        </w:rPr>
        <w:t xml:space="preserve">         法定代表人：</w:t>
      </w:r>
      <w:r>
        <w:rPr>
          <w:rFonts w:hint="eastAsia" w:ascii="微软雅黑" w:hAnsi="微软雅黑" w:cs="微软雅黑"/>
          <w:u w:val="single"/>
        </w:rPr>
        <w:t xml:space="preserve">           </w:t>
      </w:r>
      <w:r/>
    </w:p>
    <w:p>
      <w:pPr>
        <w:pStyle w:val="1157"/>
        <w:ind w:firstLine="420"/>
        <w:spacing w:before="120" w:after="120" w:line="420" w:lineRule="exact"/>
        <w:rPr>
          <w:rFonts w:hint="eastAsia" w:ascii="微软雅黑" w:hAnsi="微软雅黑" w:cs="微软雅黑"/>
          <w:u w:val="single"/>
        </w:rPr>
      </w:pPr>
      <w:r>
        <w:rPr>
          <w:rFonts w:hint="eastAsia" w:ascii="微软雅黑" w:hAnsi="微软雅黑" w:cs="微软雅黑"/>
        </w:rPr>
        <w:t xml:space="preserve">地址：</w:t>
      </w:r>
      <w:r>
        <w:rPr>
          <w:rFonts w:hint="eastAsia" w:ascii="微软雅黑" w:hAnsi="微软雅黑" w:cs="微软雅黑"/>
          <w:u w:val="single"/>
        </w:rPr>
        <w:t xml:space="preserve">                </w:t>
      </w:r>
      <w:r>
        <w:rPr>
          <w:rFonts w:hint="eastAsia" w:ascii="微软雅黑" w:hAnsi="微软雅黑" w:cs="微软雅黑"/>
        </w:rPr>
        <w:t xml:space="preserve">         地址：</w:t>
      </w:r>
      <w:r>
        <w:rPr>
          <w:rFonts w:hint="eastAsia" w:ascii="微软雅黑" w:hAnsi="微软雅黑" w:cs="微软雅黑"/>
          <w:u w:val="single"/>
        </w:rPr>
        <w:t xml:space="preserve">                 </w:t>
      </w:r>
      <w:r/>
    </w:p>
    <w:p>
      <w:pPr>
        <w:pStyle w:val="1157"/>
        <w:ind w:firstLine="420"/>
        <w:spacing w:before="120" w:after="120" w:line="420" w:lineRule="exact"/>
        <w:rPr>
          <w:rFonts w:hint="eastAsia" w:ascii="微软雅黑" w:hAnsi="微软雅黑" w:cs="微软雅黑"/>
          <w:u w:val="single"/>
        </w:rPr>
      </w:pPr>
      <w:r>
        <w:rPr>
          <w:rFonts w:hint="eastAsia" w:ascii="微软雅黑" w:hAnsi="微软雅黑" w:cs="微软雅黑"/>
        </w:rPr>
        <w:t xml:space="preserve">联系人：</w:t>
      </w:r>
      <w:r>
        <w:rPr>
          <w:rFonts w:hint="eastAsia" w:ascii="微软雅黑" w:hAnsi="微软雅黑" w:cs="微软雅黑"/>
          <w:u w:val="single"/>
        </w:rPr>
        <w:t xml:space="preserve">              </w:t>
      </w:r>
      <w:r>
        <w:rPr>
          <w:rFonts w:hint="eastAsia" w:ascii="微软雅黑" w:hAnsi="微软雅黑" w:cs="微软雅黑"/>
        </w:rPr>
        <w:t xml:space="preserve">         联系人：</w:t>
      </w:r>
      <w:r>
        <w:rPr>
          <w:rFonts w:hint="eastAsia" w:ascii="微软雅黑" w:hAnsi="微软雅黑" w:cs="微软雅黑"/>
          <w:u w:val="single"/>
        </w:rPr>
        <w:t xml:space="preserve">                </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联系方式：</w:t>
      </w:r>
      <w:r>
        <w:rPr>
          <w:rFonts w:hint="eastAsia" w:ascii="微软雅黑" w:hAnsi="微软雅黑" w:cs="微软雅黑"/>
          <w:u w:val="single"/>
        </w:rPr>
        <w:t xml:space="preserve">            </w:t>
      </w:r>
      <w:r>
        <w:rPr>
          <w:rFonts w:hint="eastAsia" w:ascii="微软雅黑" w:hAnsi="微软雅黑" w:cs="微软雅黑"/>
        </w:rPr>
        <w:t xml:space="preserve">         联系方式：</w:t>
      </w:r>
      <w:r>
        <w:rPr>
          <w:rFonts w:hint="eastAsia" w:ascii="微软雅黑" w:hAnsi="微软雅黑" w:cs="微软雅黑"/>
          <w:u w:val="single"/>
        </w:rPr>
        <w:t xml:space="preserve">             </w:t>
      </w:r>
      <w:r>
        <w:rPr>
          <w:rFonts w:hint="eastAsia" w:ascii="微软雅黑" w:hAnsi="微软雅黑" w:cs="微软雅黑"/>
        </w:rPr>
        <w:t xml:space="preserve">  </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甲、乙双方根据南京医科大学生物医药分中心激光共聚焦显微镜采购项目公开招标的结果，本着自愿及平等互利的原则，就甲方向乙方购买本合同约定的货物事宜，签署本合同。</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一、货物内容、数量及金额</w:t>
      </w:r>
      <w:r/>
    </w:p>
    <w:tbl>
      <w:tblPr>
        <w:tblStyle w:val="1146"/>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220"/>
        <w:gridCol w:w="864"/>
        <w:gridCol w:w="864"/>
        <w:gridCol w:w="864"/>
        <w:gridCol w:w="870"/>
        <w:gridCol w:w="1356"/>
        <w:gridCol w:w="1361"/>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spacing w:line="420" w:lineRule="exact"/>
              <w:rPr>
                <w:rFonts w:hint="eastAsia" w:ascii="微软雅黑" w:hAnsi="微软雅黑" w:cs="微软雅黑"/>
                <w:b/>
                <w:szCs w:val="21"/>
              </w:rPr>
            </w:pPr>
            <w:r>
              <w:rPr>
                <w:rFonts w:hint="eastAsia" w:ascii="微软雅黑" w:hAnsi="微软雅黑" w:cs="微软雅黑"/>
                <w:b/>
                <w:szCs w:val="21"/>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b/>
                <w:szCs w:val="21"/>
              </w:rPr>
              <w:t xml:space="preserve">总价（人民币大写）：                         </w:t>
            </w:r>
            <w:r>
              <w:rPr>
                <w:rFonts w:hint="eastAsia" w:ascii="微软雅黑" w:hAnsi="微软雅黑" w:cs="微软雅黑"/>
                <w:szCs w:val="21"/>
              </w:rPr>
              <w:t xml:space="preserve">合计（小写）：</w:t>
            </w:r>
            <w:r/>
          </w:p>
          <w:p>
            <w:pPr>
              <w:jc w:val="center"/>
              <w:spacing w:line="420" w:lineRule="exact"/>
              <w:rPr>
                <w:rFonts w:hint="eastAsia" w:ascii="微软雅黑" w:hAnsi="微软雅黑" w:cs="微软雅黑"/>
                <w:szCs w:val="21"/>
              </w:rPr>
            </w:pPr>
            <w:r>
              <w:rPr>
                <w:rFonts w:hint="eastAsia" w:ascii="微软雅黑" w:hAnsi="微软雅黑" w:cs="微软雅黑"/>
                <w:szCs w:val="21"/>
              </w:rPr>
            </w:r>
            <w:r/>
          </w:p>
          <w:p>
            <w:pPr>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说明：</w:t>
            </w:r>
            <w:r/>
          </w:p>
          <w:p>
            <w:pPr>
              <w:spacing w:line="300" w:lineRule="exact"/>
              <w:rPr>
                <w:rFonts w:hint="eastAsia" w:ascii="宋体" w:hAnsi="宋体" w:cs="宋体"/>
                <w:szCs w:val="21"/>
              </w:rPr>
            </w:pPr>
            <w:r>
              <w:rPr>
                <w:rFonts w:hint="eastAsia" w:ascii="宋体" w:hAnsi="宋体" w:cs="宋体"/>
                <w:szCs w:val="21"/>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w:t>
            </w:r>
            <w:r>
              <w:rPr>
                <w:rFonts w:ascii="宋体" w:hAnsi="宋体" w:cs="宋体"/>
                <w:szCs w:val="21"/>
              </w:rPr>
              <w:t xml:space="preserve">。</w:t>
            </w:r>
            <w:r/>
          </w:p>
          <w:p>
            <w:pPr>
              <w:spacing w:line="300" w:lineRule="exact"/>
              <w:rPr>
                <w:rFonts w:hint="eastAsia" w:ascii="宋体" w:hAnsi="宋体" w:cs="宋体"/>
                <w:szCs w:val="21"/>
              </w:rPr>
            </w:pPr>
            <w:r>
              <w:rPr>
                <w:rFonts w:hint="eastAsia" w:ascii="宋体" w:hAnsi="宋体" w:cs="宋体"/>
                <w:szCs w:val="21"/>
              </w:rPr>
              <w:t xml:space="preserve">此外，</w:t>
            </w:r>
            <w:r/>
          </w:p>
          <w:p>
            <w:pPr>
              <w:spacing w:line="300" w:lineRule="exact"/>
              <w:rPr>
                <w:rFonts w:hint="eastAsia" w:ascii="宋体" w:hAnsi="宋体" w:cs="宋体"/>
                <w:szCs w:val="21"/>
              </w:rPr>
            </w:pPr>
            <w:r>
              <w:rPr>
                <w:rFonts w:hint="eastAsia" w:ascii="宋体" w:hAnsi="宋体" w:cs="宋体"/>
                <w:szCs w:val="21"/>
              </w:rPr>
              <w:t xml:space="preserve">（1）若合同在履行过程中因国家政策调整，不在进口货物免税清单内，加征的关税亦包含在本合同总价款中。</w:t>
            </w:r>
            <w:r/>
          </w:p>
          <w:p>
            <w:pPr>
              <w:spacing w:line="300" w:lineRule="exact"/>
              <w:rPr>
                <w:rFonts w:hint="eastAsia" w:ascii="宋体" w:hAnsi="宋体" w:cs="宋体"/>
                <w:szCs w:val="21"/>
              </w:rPr>
            </w:pPr>
            <w:r>
              <w:rPr>
                <w:rFonts w:hint="eastAsia" w:ascii="宋体" w:hAnsi="宋体" w:cs="宋体"/>
                <w:szCs w:val="21"/>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00" w:lineRule="exact"/>
              <w:rPr>
                <w:rFonts w:hint="eastAsia" w:ascii="宋体" w:hAnsi="宋体" w:cs="宋体"/>
                <w:szCs w:val="21"/>
              </w:rPr>
            </w:pPr>
            <w:r>
              <w:rPr>
                <w:rFonts w:hint="eastAsia" w:ascii="宋体" w:hAnsi="宋体" w:cs="宋体"/>
                <w:szCs w:val="21"/>
              </w:rPr>
              <w:t xml:space="preserve">以上两种情况，甲方按照采购合同约定的付款方式支付给委托的外贸公司后，甲方即完成向乙方付款义务，乙方不得再向甲方追索本项目款项。</w:t>
            </w:r>
            <w:r/>
          </w:p>
          <w:p>
            <w:pPr>
              <w:spacing w:line="300" w:lineRule="exact"/>
              <w:rPr>
                <w:rFonts w:hint="eastAsia" w:ascii="宋体" w:hAnsi="宋体" w:cs="宋体"/>
                <w:szCs w:val="21"/>
              </w:rPr>
            </w:pPr>
            <w:r>
              <w:rPr>
                <w:rFonts w:hint="eastAsia" w:ascii="宋体" w:hAnsi="宋体" w:cs="宋体"/>
                <w:szCs w:val="21"/>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420" w:lineRule="exact"/>
              <w:rPr>
                <w:rFonts w:hint="eastAsia" w:ascii="微软雅黑" w:hAnsi="微软雅黑" w:cs="微软雅黑"/>
                <w:szCs w:val="21"/>
              </w:rPr>
            </w:pPr>
            <w:r>
              <w:rPr>
                <w:rFonts w:hint="eastAsia" w:ascii="宋体" w:hAnsi="宋体" w:cs="宋体"/>
                <w:szCs w:val="21"/>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二、结算方式</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2.1结算方式：</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A（国产设备）：货物交付、安装、调试且通过验收后一周内（遇寒暑假和法定节假日顺延），学校支付合同总金额的100%，付款之前需收到中标供应商开具的合法有效的相应全额发票。</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B（</w:t>
      </w:r>
      <w:r>
        <w:rPr>
          <w:rFonts w:hint="eastAsia" w:ascii="微软雅黑" w:hAnsi="微软雅黑" w:cs="微软雅黑"/>
          <w:spacing w:val="8"/>
        </w:rPr>
        <w:t xml:space="preserve">进口设备）</w:t>
      </w:r>
      <w:r>
        <w:rPr>
          <w:rFonts w:hint="eastAsia" w:ascii="微软雅黑" w:hAnsi="微软雅黑" w:cs="微软雅黑"/>
        </w:rPr>
        <w:t xml:space="preserve">：</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（1）合同签订后，外贸代理公司提供受益人为南京医科大学的100%合同金额的预付款银行保函，保函有效期为     天（供货期＋2个月），银行保函服务费由中标单位承担。</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lang w:val="zh-CN"/>
        </w:rPr>
        <w:t xml:space="preserve">（2）外贸代理公司收到100%货款后按照合同办理相关进口手续，货到验收合格后由学校通知外贸代理公司一周内开具合法有效的全额发票，并支付100%货款至境外厂家。</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2.2履约保证金（根据招标文件要求选用）</w:t>
      </w:r>
      <w:r/>
    </w:p>
    <w:p>
      <w:pPr>
        <w:pStyle w:val="1157"/>
        <w:ind w:firstLine="420"/>
        <w:spacing w:line="420" w:lineRule="exact"/>
        <w:rPr>
          <w:rFonts w:hint="eastAsia" w:ascii="微软雅黑" w:hAnsi="微软雅黑" w:cs="微软雅黑"/>
        </w:rPr>
      </w:pPr>
      <w:r>
        <w:rPr>
          <w:rFonts w:ascii="Wingdings 2" w:hAnsi="Wingdings 2" w:eastAsia="Wingdings 2" w:cs="Wingdings 2"/>
        </w:rPr>
        <w:t xml:space="preserve">£</w:t>
      </w:r>
      <w:r>
        <w:rPr>
          <w:rFonts w:hint="eastAsia" w:ascii="微软雅黑" w:hAnsi="微软雅黑" w:cs="微软雅黑"/>
        </w:rPr>
        <w:t xml:space="preserve">本项目不需要缴纳履约保证金。</w:t>
      </w:r>
      <w:r/>
    </w:p>
    <w:p>
      <w:pPr>
        <w:pStyle w:val="1157"/>
        <w:ind w:firstLine="420"/>
        <w:spacing w:line="420" w:lineRule="exact"/>
        <w:rPr>
          <w:rFonts w:hint="eastAsia" w:ascii="微软雅黑" w:hAnsi="微软雅黑" w:cs="微软雅黑"/>
        </w:rPr>
      </w:pPr>
      <w:r>
        <w:rPr>
          <w:rFonts w:ascii="Wingdings 2" w:hAnsi="Wingdings 2" w:eastAsia="Wingdings 2" w:cs="Wingdings 2"/>
        </w:rPr>
        <w:t xml:space="preserve">£</w:t>
      </w:r>
      <w:r>
        <w:rPr>
          <w:rFonts w:hint="eastAsia" w:ascii="微软雅黑" w:hAnsi="微软雅黑" w:cs="微软雅黑"/>
        </w:rPr>
        <w:t xml:space="preserve">本项目需要缴纳履约保证金，具体要求如下：</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南京医科大学指定账户信息具体如下：</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单位名称：南京医科大学</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开 户 行：南京市工行汉中门支行                          </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账    号：4301010109001038622</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注：请在转账时备注“项目名称+履约保证保金”字样。</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（2）合同履行过程中，若经甲方核实存在货物质量问题或乙方违约情形，甲方有权在通知乙方后，从履约保证金中抵扣相应的补偿或赔偿款项。</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2.3当采购数量与实际使用数量不一致时，乙方应根据实际使用量供货，合同的最终结算金额按实际使用量乘以本合同约定的成交单价进行计算。</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2.4乙方指定账户信息：</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开户行：</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户名：</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账号：</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上述账户信息，如有变更，乙方应在变更前3日内书面通知甲方。否则，由此产生的后果由乙方承担。</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三、交付方式、时间及地点</w:t>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w:t>
      </w:r>
      <w:r>
        <w:rPr>
          <w:rFonts w:hint="eastAsia" w:ascii="微软雅黑" w:hAnsi="微软雅黑" w:cs="微软雅黑"/>
          <w:szCs w:val="21"/>
          <w:highlight w:val="none"/>
        </w:rPr>
        <w:t xml:space="preserve">1</w:t>
      </w:r>
      <w:r>
        <w:rPr>
          <w:rFonts w:hint="eastAsia" w:ascii="微软雅黑" w:hAnsi="微软雅黑" w:cs="微软雅黑"/>
          <w:szCs w:val="21"/>
          <w:highlight w:val="none"/>
          <w:lang w:val="zh-CN"/>
        </w:rPr>
        <w:t xml:space="preserve">）交货期：合同签订生效后，设备两个月内全部设备、材料运抵现场，并安装、调试结束，验收合格，交付采购方使用。</w:t>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w:t>
      </w:r>
      <w:r>
        <w:rPr>
          <w:rFonts w:hint="eastAsia" w:ascii="微软雅黑" w:hAnsi="微软雅黑" w:cs="微软雅黑"/>
          <w:szCs w:val="21"/>
          <w:highlight w:val="none"/>
        </w:rPr>
        <w:t xml:space="preserve">2</w:t>
      </w:r>
      <w:r>
        <w:rPr>
          <w:rFonts w:hint="eastAsia" w:ascii="微软雅黑" w:hAnsi="微软雅黑" w:cs="微软雅黑"/>
          <w:szCs w:val="21"/>
          <w:highlight w:val="none"/>
          <w:lang w:val="zh-CN"/>
        </w:rPr>
        <w:t xml:space="preserve">）交货方式：中标人在采购方指定地点交货，并完成安装、调试。</w:t>
      </w:r>
      <w:r/>
    </w:p>
    <w:p>
      <w:pPr>
        <w:pStyle w:val="1157"/>
        <w:ind w:firstLine="420"/>
        <w:spacing w:before="120" w:after="120" w:line="420" w:lineRule="exact"/>
        <w:rPr>
          <w:rFonts w:hint="eastAsia" w:ascii="微软雅黑" w:hAnsi="微软雅黑" w:cs="微软雅黑"/>
          <w:b/>
          <w:bCs/>
          <w:highlight w:val="none"/>
          <w:lang w:val="zh-CN"/>
        </w:rPr>
      </w:pPr>
      <w:r>
        <w:rPr>
          <w:rFonts w:hint="eastAsia" w:ascii="微软雅黑" w:hAnsi="微软雅黑" w:cs="微软雅黑"/>
          <w:highlight w:val="none"/>
          <w:lang w:val="zh-CN"/>
        </w:rPr>
        <w:t xml:space="preserve">（</w:t>
      </w:r>
      <w:r>
        <w:rPr>
          <w:rFonts w:hint="eastAsia" w:ascii="微软雅黑" w:hAnsi="微软雅黑" w:cs="微软雅黑"/>
          <w:highlight w:val="none"/>
        </w:rPr>
        <w:t xml:space="preserve">3</w:t>
      </w:r>
      <w:r>
        <w:rPr>
          <w:rFonts w:hint="eastAsia" w:ascii="微软雅黑" w:hAnsi="微软雅黑" w:cs="微软雅黑"/>
          <w:highlight w:val="none"/>
          <w:lang w:val="zh-CN"/>
        </w:rPr>
        <w:t xml:space="preserve">）交货地点：南京医科大学指定地点。</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四、货物包装、发运及运输</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4.1 乙方应在货物发运前根据运输距离、防潮、防震、防锈和防破损装卸等要求进行相应的包装，以保证货物安全运达甲方指定地点。</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4.2 使用说明书、质量检验证明书、随配附件和工具以及清单一并附于货物内。</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4.3 乙方在货物发运手续办理完毕后24小时内或货到甲方48小时前通知甲方，以准备接货。</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4.4 货物在交付甲方前发生的风险均由乙方负责。</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b/>
        </w:rPr>
        <w:t xml:space="preserve">五、质量保证及售后服务</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5.3上述货物的质保期</w:t>
      </w:r>
      <w:r>
        <w:rPr>
          <w:rFonts w:hint="eastAsia" w:ascii="微软雅黑" w:hAnsi="微软雅黑" w:cs="微软雅黑"/>
          <w:u w:val="single"/>
        </w:rPr>
        <w:t xml:space="preserve">     </w:t>
      </w:r>
      <w:r>
        <w:rPr>
          <w:rFonts w:hint="eastAsia" w:ascii="微软雅黑" w:hAnsi="微软雅黑" w:cs="微软雅黑"/>
        </w:rPr>
        <w:t xml:space="preserve">年。（自交货验收合格次日起计算），因人为因素出现的故障不在免费保修范围内。</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5.4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5.5 在质保期内，乙方应对货物出现的质量及安全问题负责处理解决并承担一切费用。</w:t>
      </w:r>
      <w:r/>
    </w:p>
    <w:p>
      <w:pPr>
        <w:pStyle w:val="1157"/>
        <w:ind w:firstLine="315"/>
        <w:spacing w:before="120" w:after="120" w:line="420" w:lineRule="exact"/>
        <w:rPr>
          <w:rFonts w:hint="eastAsia" w:ascii="微软雅黑" w:hAnsi="微软雅黑" w:cs="微软雅黑"/>
        </w:rPr>
      </w:pPr>
      <w:r>
        <w:rPr>
          <w:rFonts w:hint="eastAsia" w:ascii="微软雅黑" w:hAnsi="微软雅黑" w:cs="微软雅黑"/>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六、调试和验收</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6.1 乙方交货前应对货物全面检查并对验收文件进行整理，列出清单提交甲方，检验的结果亦应随货物交甲方。</w:t>
      </w:r>
      <w:r/>
    </w:p>
    <w:p>
      <w:pPr>
        <w:pStyle w:val="1157"/>
        <w:ind w:firstLine="420"/>
        <w:spacing w:before="120" w:after="120" w:line="420" w:lineRule="exact"/>
        <w:rPr>
          <w:rFonts w:hint="eastAsia" w:ascii="微软雅黑" w:hAnsi="微软雅黑" w:cs="微软雅黑"/>
          <w:u w:val="single"/>
        </w:rPr>
      </w:pPr>
      <w:r>
        <w:rPr>
          <w:rFonts w:hint="eastAsia" w:ascii="微软雅黑" w:hAnsi="微软雅黑" w:cs="微软雅黑"/>
        </w:rPr>
        <w:t xml:space="preserve">6.2 甲方对乙方提供的货物在使用前进行调试时，乙方需负责安装并培训甲方的使用操作人员，并协助甲方一起调试，直到符合技术要求。</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6.3 在安装、调试和验收过程中，如发现有漏件、缺件，乙方应无条件、无偿补齐，所发生的一切费用，视为已包含在投标时的投标报价中，且并不因此而影响交付甲方使用的时间。</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6.5 设备、材料安装、调试结束，甲、乙双方派员共同验收，达到验收标准则验收合格。验收完毕后出具验收结果报告并经双方签字确认；验收相关费用由乙方承担。</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七、技术资料</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rPr>
        <w:t xml:space="preserve">7.1乙方应按招标文件规定的时间向甲方提供使用货物的有关技术资料。</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八、知识产权</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九、违约责任</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9.2 乙方履约的前提下，甲方无故迟延支付货款的,甲方应按逾期付款总额每日万分之五向乙方支付违约金。</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9.8 乙方履行义务不符合合同约定时，甲方有权扣减总货款的10%作为违约金。</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十、不可抗力事件处理</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10.1 在合同有效期内，任何一方因不可抗力事件导致不能履行合同，则合同履行期可延长，其延长期与不可抗力影响期相同。</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10.2 不可抗力事件发生后，应立即通知对方，并寄送有关权威机构出具的证明。</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10.3 不可抗力事件延续30天以上，双方应通过友好协商，确定是否继续履行合同。</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十一、诉讼</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十二、合同生效及其它</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12.1招投标文件、中标通知书作为合同的附件，与本合同具有同等法律效力。合同经双方法定代表人或授权委托代表人签字、盖章后生效。</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12.2本合同未尽事宜，遵照《中华人民共和国民法典》有关条文执行。</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12.3 本合同正本一式</w:t>
      </w:r>
      <w:r>
        <w:rPr>
          <w:rFonts w:hint="eastAsia" w:ascii="微软雅黑" w:hAnsi="微软雅黑" w:cs="微软雅黑"/>
          <w:u w:val="single"/>
        </w:rPr>
        <w:t xml:space="preserve">     </w:t>
      </w:r>
      <w:r>
        <w:rPr>
          <w:rFonts w:hint="eastAsia" w:ascii="微软雅黑" w:hAnsi="微软雅黑" w:cs="微软雅黑"/>
        </w:rPr>
        <w:t xml:space="preserve">份，甲方</w:t>
      </w:r>
      <w:r>
        <w:rPr>
          <w:rFonts w:hint="eastAsia" w:ascii="微软雅黑" w:hAnsi="微软雅黑" w:cs="微软雅黑"/>
          <w:u w:val="single"/>
        </w:rPr>
        <w:t xml:space="preserve">     </w:t>
      </w:r>
      <w:r>
        <w:rPr>
          <w:rFonts w:hint="eastAsia" w:ascii="微软雅黑" w:hAnsi="微软雅黑" w:cs="微软雅黑"/>
        </w:rPr>
        <w:t xml:space="preserve">份，乙方</w:t>
      </w:r>
      <w:r>
        <w:rPr>
          <w:rFonts w:hint="eastAsia" w:ascii="微软雅黑" w:hAnsi="微软雅黑" w:cs="微软雅黑"/>
          <w:u w:val="single"/>
        </w:rPr>
        <w:t xml:space="preserve">    </w:t>
      </w:r>
      <w:r>
        <w:rPr>
          <w:rFonts w:hint="eastAsia" w:ascii="微软雅黑" w:hAnsi="微软雅黑" w:cs="微软雅黑"/>
        </w:rPr>
        <w:t xml:space="preserve">份，具有同等法律效力。</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12.4 其他：</w:t>
      </w:r>
      <w:r>
        <w:rPr>
          <w:rFonts w:hint="eastAsia" w:ascii="微软雅黑" w:hAnsi="微软雅黑" w:cs="微软雅黑"/>
          <w:u w:val="single"/>
        </w:rPr>
        <w:t xml:space="preserve">                                              </w:t>
      </w:r>
      <w:r>
        <w:rPr>
          <w:rFonts w:hint="eastAsia" w:ascii="微软雅黑" w:hAnsi="微软雅黑" w:cs="微软雅黑"/>
        </w:rPr>
        <w:t xml:space="preserve">。 </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（以下无正文，为签字盖章处）</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   </w:t>
      </w:r>
      <w:r/>
    </w:p>
    <w:p>
      <w:pPr>
        <w:pStyle w:val="1157"/>
        <w:spacing w:before="120" w:after="120" w:line="420" w:lineRule="exact"/>
        <w:rPr>
          <w:rFonts w:hint="eastAsia" w:ascii="微软雅黑" w:hAnsi="微软雅黑" w:cs="微软雅黑"/>
        </w:rPr>
      </w:pPr>
      <w:r>
        <w:rPr>
          <w:rFonts w:hint="eastAsia" w:ascii="微软雅黑" w:hAnsi="微软雅黑" w:cs="微软雅黑"/>
        </w:rPr>
      </w:r>
      <w:r/>
    </w:p>
    <w:p>
      <w:pPr>
        <w:pStyle w:val="1157"/>
        <w:spacing w:before="120" w:after="120" w:line="420" w:lineRule="exact"/>
        <w:rPr>
          <w:rFonts w:hint="eastAsia" w:ascii="微软雅黑" w:hAnsi="微软雅黑" w:cs="微软雅黑"/>
        </w:rPr>
      </w:pPr>
      <w:r>
        <w:rPr>
          <w:rFonts w:hint="eastAsia" w:ascii="微软雅黑" w:hAnsi="微软雅黑" w:cs="微软雅黑"/>
        </w:rPr>
        <w:t xml:space="preserve">甲方： 南京医科大学（盖章）                 乙方： （盖章）</w:t>
      </w:r>
      <w:r/>
    </w:p>
    <w:p>
      <w:pPr>
        <w:pStyle w:val="1157"/>
        <w:spacing w:before="120" w:after="120" w:line="420" w:lineRule="exact"/>
        <w:rPr>
          <w:rFonts w:hint="eastAsia" w:ascii="微软雅黑" w:hAnsi="微软雅黑" w:cs="微软雅黑"/>
        </w:rPr>
      </w:pPr>
      <w:r>
        <w:rPr>
          <w:rFonts w:hint="eastAsia" w:ascii="微软雅黑" w:hAnsi="微软雅黑" w:cs="微软雅黑"/>
        </w:rPr>
        <w:t xml:space="preserve">地址：南京市江宁区龙眠大道101号            地址： </w:t>
      </w:r>
      <w:r/>
    </w:p>
    <w:p>
      <w:pPr>
        <w:pStyle w:val="1157"/>
        <w:spacing w:before="120" w:after="120" w:line="420" w:lineRule="exact"/>
        <w:rPr>
          <w:rFonts w:hint="eastAsia" w:ascii="微软雅黑" w:hAnsi="微软雅黑" w:cs="微软雅黑"/>
        </w:rPr>
      </w:pPr>
      <w:r>
        <w:rPr>
          <w:rFonts w:hint="eastAsia" w:ascii="微软雅黑" w:hAnsi="微软雅黑" w:cs="微软雅黑"/>
        </w:rPr>
        <w:t xml:space="preserve">法定代表人/授权代表：（签字）               法定代表人/授权代表：（签字）</w:t>
      </w:r>
      <w:r/>
    </w:p>
    <w:p>
      <w:pPr>
        <w:pStyle w:val="1157"/>
        <w:spacing w:before="120" w:after="120" w:line="420" w:lineRule="exact"/>
        <w:rPr>
          <w:rFonts w:hint="eastAsia" w:ascii="微软雅黑" w:hAnsi="微软雅黑" w:cs="微软雅黑"/>
        </w:rPr>
      </w:pPr>
      <w:r>
        <w:rPr>
          <w:rFonts w:hint="eastAsia" w:ascii="微软雅黑" w:hAnsi="微软雅黑" w:cs="微软雅黑"/>
        </w:rPr>
        <w:t xml:space="preserve">签订日期：   年    月    日                 签订日期：   年    月    日</w:t>
      </w:r>
      <w:r/>
    </w:p>
    <w:p>
      <w:pPr>
        <w:jc w:val="left"/>
        <w:spacing w:line="420" w:lineRule="exact"/>
        <w:rPr>
          <w:rFonts w:hint="eastAsia" w:ascii="微软雅黑" w:hAnsi="微软雅黑" w:cs="微软雅黑"/>
          <w:szCs w:val="21"/>
          <w:lang w:val="zh-CN"/>
        </w:rPr>
      </w:pPr>
      <w:r>
        <w:rPr>
          <w:rFonts w:hint="eastAsia" w:ascii="微软雅黑" w:hAnsi="微软雅黑" w:cs="微软雅黑"/>
          <w:szCs w:val="21"/>
        </w:rPr>
        <w:t xml:space="preserve">附件1：分项报价表</w:t>
      </w:r>
      <w:r/>
    </w:p>
    <w:tbl>
      <w:tblPr>
        <w:tblStyle w:val="11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标的名称</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单位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品牌</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规格型号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单价</w:t>
            </w:r>
            <w:r/>
          </w:p>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（万元）</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总价</w:t>
            </w:r>
            <w:r/>
          </w:p>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（万元）</w:t>
            </w:r>
            <w:r/>
          </w:p>
        </w:tc>
      </w:tr>
      <w:tr>
        <w:trPr>
          <w:trHeight w:val="54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trHeight w:val="547"/>
        </w:trPr>
        <w:tc>
          <w:tcPr>
            <w:gridSpan w:val="4"/>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合计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r>
    </w:tbl>
    <w:p>
      <w:pPr>
        <w:spacing w:line="420" w:lineRule="exact"/>
        <w:rPr>
          <w:rFonts w:hint="eastAsia" w:ascii="微软雅黑" w:hAnsi="微软雅黑" w:cs="微软雅黑"/>
          <w:szCs w:val="21"/>
        </w:rPr>
      </w:pPr>
      <w:r>
        <w:rPr>
          <w:rFonts w:hint="eastAsia" w:ascii="微软雅黑" w:hAnsi="微软雅黑" w:cs="微软雅黑"/>
          <w:szCs w:val="21"/>
        </w:rPr>
      </w:r>
      <w:r/>
    </w:p>
    <w:p>
      <w:pPr>
        <w:jc w:val="left"/>
        <w:spacing w:line="420" w:lineRule="exact"/>
        <w:rPr>
          <w:rFonts w:hint="eastAsia" w:ascii="微软雅黑" w:hAnsi="微软雅黑" w:cs="微软雅黑"/>
          <w:szCs w:val="21"/>
        </w:rPr>
      </w:pPr>
      <w:r>
        <w:rPr>
          <w:rFonts w:hint="eastAsia" w:ascii="微软雅黑" w:hAnsi="微软雅黑" w:cs="微软雅黑"/>
          <w:szCs w:val="21"/>
        </w:rPr>
        <w:t xml:space="preserve">附件2：货物配置清单</w:t>
      </w:r>
      <w:r/>
    </w:p>
    <w:p>
      <w:pPr>
        <w:pStyle w:val="1154"/>
        <w:ind w:left="0"/>
        <w:spacing w:line="420" w:lineRule="exact"/>
        <w:rPr>
          <w:rFonts w:hint="eastAsia" w:ascii="微软雅黑" w:hAnsi="微软雅黑" w:cs="微软雅黑"/>
          <w:szCs w:val="21"/>
        </w:rPr>
      </w:pPr>
      <w:r>
        <w:rPr>
          <w:rFonts w:hint="eastAsia" w:ascii="微软雅黑" w:hAnsi="微软雅黑" w:cs="微软雅黑"/>
          <w:szCs w:val="21"/>
        </w:rPr>
        <w:t xml:space="preserve">附件3：履约保证金退还申请单</w:t>
      </w:r>
      <w:r/>
    </w:p>
    <w:p>
      <w:pPr>
        <w:spacing w:line="420" w:lineRule="exact"/>
        <w:rPr>
          <w:rFonts w:hint="eastAsia" w:ascii="微软雅黑" w:hAnsi="微软雅黑" w:cs="微软雅黑"/>
          <w:szCs w:val="21"/>
        </w:rPr>
      </w:pPr>
      <w:r>
        <w:rPr>
          <w:rFonts w:hint="eastAsia" w:ascii="微软雅黑" w:hAnsi="微软雅黑" w:cs="微软雅黑"/>
          <w:szCs w:val="21"/>
        </w:rPr>
        <w:t xml:space="preserve">制表单位：                                               </w:t>
      </w:r>
      <w:r/>
    </w:p>
    <w:tbl>
      <w:tblPr>
        <w:tblStyle w:val="1146"/>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账  号：</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自验收合格之日起，已正常使用满一年且无违约情况发生。</w:t>
            </w:r>
            <w:r/>
          </w:p>
          <w:p>
            <w:pPr>
              <w:spacing w:line="420" w:lineRule="exact"/>
              <w:rPr>
                <w:rFonts w:hint="eastAsia" w:ascii="微软雅黑" w:hAnsi="微软雅黑" w:cs="微软雅黑"/>
                <w:szCs w:val="21"/>
              </w:rPr>
            </w:pPr>
            <w:r>
              <w:rPr>
                <w:rFonts w:hint="eastAsia" w:ascii="微软雅黑" w:hAnsi="微软雅黑" w:cs="微软雅黑"/>
                <w:szCs w:val="21"/>
              </w:rPr>
            </w:r>
            <w:r/>
          </w:p>
          <w:p>
            <w:pPr>
              <w:ind w:right="960" w:firstLine="315"/>
              <w:jc w:val="center"/>
              <w:spacing w:line="420" w:lineRule="exact"/>
              <w:rPr>
                <w:rFonts w:hint="eastAsia" w:ascii="微软雅黑" w:hAnsi="微软雅黑" w:cs="微软雅黑"/>
                <w:szCs w:val="21"/>
              </w:rPr>
            </w:pPr>
            <w:r>
              <w:rPr>
                <w:rFonts w:hint="eastAsia" w:ascii="微软雅黑" w:hAnsi="微软雅黑" w:cs="微软雅黑"/>
                <w:szCs w:val="21"/>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p>
            <w:pPr>
              <w:spacing w:line="420" w:lineRule="exact"/>
              <w:rPr>
                <w:rFonts w:hint="eastAsia" w:ascii="微软雅黑" w:hAnsi="微软雅黑" w:cs="微软雅黑"/>
                <w:szCs w:val="21"/>
              </w:rPr>
            </w:pPr>
            <w:r>
              <w:rPr>
                <w:rFonts w:hint="eastAsia" w:ascii="微软雅黑" w:hAnsi="微软雅黑" w:cs="微软雅黑"/>
                <w:szCs w:val="21"/>
              </w:rPr>
            </w:r>
            <w:r/>
          </w:p>
          <w:p>
            <w:pPr>
              <w:ind w:firstLine="3960"/>
              <w:spacing w:line="420" w:lineRule="exact"/>
              <w:rPr>
                <w:rFonts w:hint="eastAsia" w:ascii="微软雅黑" w:hAnsi="微软雅黑" w:cs="微软雅黑"/>
                <w:szCs w:val="21"/>
              </w:rPr>
            </w:pPr>
            <w:r>
              <w:rPr>
                <w:rFonts w:hint="eastAsia" w:ascii="微软雅黑" w:hAnsi="微软雅黑" w:cs="微软雅黑"/>
                <w:szCs w:val="21"/>
              </w:rPr>
            </w:r>
            <w:r/>
          </w:p>
        </w:tc>
      </w:tr>
    </w:tbl>
    <w:p>
      <w:pPr>
        <w:spacing w:line="440" w:lineRule="exact"/>
        <w:rPr>
          <w:rFonts w:hint="eastAsia" w:ascii="微软雅黑" w:hAnsi="微软雅黑" w:cs="微软雅黑"/>
        </w:rPr>
      </w:pPr>
      <w:r>
        <w:rPr>
          <w:rFonts w:hint="eastAsia" w:ascii="微软雅黑" w:hAnsi="微软雅黑" w:cs="微软雅黑"/>
        </w:rPr>
      </w:r>
      <w:r/>
    </w:p>
    <w:p>
      <w:pPr>
        <w:ind w:left="489" w:hanging="420"/>
        <w:spacing w:line="360" w:lineRule="auto"/>
        <w:rPr>
          <w:rFonts w:hint="eastAsia" w:ascii="微软雅黑" w:hAnsi="微软雅黑" w:cs="微软雅黑"/>
          <w:bCs/>
          <w:szCs w:val="21"/>
        </w:rPr>
      </w:pPr>
      <w:r>
        <w:rPr>
          <w:rFonts w:hint="eastAsia" w:ascii="微软雅黑" w:hAnsi="微软雅黑" w:cs="微软雅黑"/>
          <w:bCs/>
          <w:szCs w:val="21"/>
        </w:rPr>
      </w:r>
      <w:r/>
    </w:p>
    <w:p>
      <w:pPr>
        <w:spacing w:line="360" w:lineRule="auto"/>
        <w:rPr>
          <w:rFonts w:hint="eastAsia" w:ascii="微软雅黑" w:hAnsi="微软雅黑" w:cs="微软雅黑"/>
          <w:bCs/>
          <w:szCs w:val="21"/>
        </w:rPr>
      </w:pPr>
      <w:r>
        <w:rPr>
          <w:rFonts w:hint="eastAsia" w:ascii="微软雅黑" w:hAnsi="微软雅黑" w:cs="微软雅黑"/>
          <w:bCs/>
          <w:szCs w:val="21"/>
        </w:rPr>
      </w:r>
      <w:r/>
    </w:p>
    <w:p>
      <w:pPr>
        <w:jc w:val="left"/>
        <w:widowControl/>
        <w:rPr>
          <w:rStyle w:val="1546"/>
          <w:rFonts w:hint="eastAsia" w:ascii="微软雅黑" w:hAnsi="微软雅黑" w:cs="微软雅黑"/>
          <w:bCs/>
          <w:szCs w:val="21"/>
        </w:rPr>
        <w:sectPr>
          <w:headerReference w:type="default" r:id="rId12"/>
          <w:footerReference w:type="default" r:id="rId18"/>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bCs/>
          <w:szCs w:val="21"/>
        </w:rPr>
      </w:r>
      <w:r/>
    </w:p>
    <w:p>
      <w:pPr>
        <w:pStyle w:val="1352"/>
        <w:rPr>
          <w:rFonts w:hint="eastAsia" w:ascii="微软雅黑" w:hAnsi="微软雅黑" w:cs="微软雅黑"/>
          <w:szCs w:val="32"/>
        </w:rPr>
      </w:pPr>
      <w:r/>
      <w:bookmarkStart w:id="208" w:name="_Toc13204"/>
      <w:r/>
      <w:bookmarkStart w:id="209" w:name="_Toc10932"/>
      <w:r/>
      <w:bookmarkStart w:id="210" w:name="_Toc19909"/>
      <w:r>
        <w:rPr>
          <w:rFonts w:hint="eastAsia" w:ascii="微软雅黑" w:hAnsi="微软雅黑" w:cs="微软雅黑"/>
        </w:rPr>
        <w:t xml:space="preserve">第六章 投标文件格式</w:t>
      </w:r>
      <w:bookmarkEnd w:id="208"/>
      <w:r>
        <w:rPr>
          <w:rFonts w:hint="eastAsia" w:ascii="微软雅黑" w:hAnsi="微软雅黑" w:cs="微软雅黑"/>
        </w:rPr>
        <w:t xml:space="preserve">及附件</w:t>
      </w:r>
      <w:bookmarkEnd w:id="209"/>
      <w:r/>
      <w:bookmarkEnd w:id="210"/>
      <w:r/>
      <w:r/>
    </w:p>
    <w:p>
      <w:pPr>
        <w:jc w:val="left"/>
        <w:spacing w:line="420" w:lineRule="exact"/>
        <w:widowControl/>
        <w:rPr>
          <w:rFonts w:hint="eastAsia"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p>
    <w:p>
      <w:pPr>
        <w:numPr>
          <w:ilvl w:val="0"/>
          <w:numId w:val="16"/>
        </w:numPr>
        <w:ind w:hanging="205"/>
        <w:jc w:val="left"/>
        <w:spacing w:line="400" w:lineRule="exact"/>
        <w:widowControl/>
        <w:rPr>
          <w:szCs w:val="21"/>
        </w:rPr>
      </w:pPr>
      <w:r>
        <w:rPr>
          <w:rFonts w:hint="eastAsia" w:ascii="微软雅黑" w:hAnsi="微软雅黑" w:cs="微软雅黑"/>
          <w:szCs w:val="21"/>
        </w:rPr>
        <w:t xml:space="preserve">本部分内容仅供格式参考。</w:t>
      </w:r>
      <w:r/>
    </w:p>
    <w:p>
      <w:pPr>
        <w:pStyle w:val="1370"/>
        <w:numPr>
          <w:ilvl w:val="0"/>
          <w:numId w:val="16"/>
        </w:numPr>
        <w:ind w:hanging="205"/>
        <w:spacing w:line="400" w:lineRule="exact"/>
        <w:rPr>
          <w:rFonts w:hint="eastAsia" w:ascii="微软雅黑" w:hAnsi="微软雅黑" w:cs="微软雅黑"/>
          <w:szCs w:val="21"/>
        </w:rPr>
      </w:pPr>
      <w:r>
        <w:rPr>
          <w:rFonts w:hint="eastAsia" w:ascii="微软雅黑" w:hAnsi="微软雅黑" w:cs="微软雅黑"/>
          <w:szCs w:val="21"/>
        </w:rPr>
        <w:t xml:space="preserve">请投标供应商按照以下文件的要求格式、内容，顺序制作投标文件，并请编制目录及页码，否则可能将影响对投标文件的评价。</w:t>
      </w:r>
      <w:r/>
    </w:p>
    <w:p>
      <w:pPr>
        <w:numPr>
          <w:ilvl w:val="0"/>
          <w:numId w:val="16"/>
        </w:numPr>
        <w:ind w:hanging="205"/>
        <w:spacing w:line="400" w:lineRule="exact"/>
        <w:rPr>
          <w:szCs w:val="21"/>
        </w:rPr>
      </w:pPr>
      <w:r>
        <w:rPr>
          <w:rFonts w:hint="eastAsia"/>
          <w:szCs w:val="21"/>
        </w:rPr>
        <w:t xml:space="preserve">供应商提交的材料不予退还。</w:t>
      </w:r>
      <w:r/>
    </w:p>
    <w:p>
      <w:pPr>
        <w:pStyle w:val="1370"/>
        <w:ind w:left="1260"/>
      </w:pPr>
      <w:r/>
      <w:r/>
    </w:p>
    <w:p>
      <w:pPr>
        <w:jc w:val="center"/>
        <w:spacing w:line="420" w:lineRule="exact"/>
        <w:rPr>
          <w:rFonts w:hint="eastAsia" w:ascii="微软雅黑" w:hAnsi="微软雅黑" w:cs="微软雅黑"/>
        </w:rPr>
      </w:pPr>
      <w:r>
        <w:rPr>
          <w:rFonts w:hint="eastAsia" w:ascii="微软雅黑" w:hAnsi="微软雅黑" w:cs="微软雅黑"/>
        </w:rPr>
        <w:br w:type="page" w:clear="all"/>
      </w:r>
      <w:r/>
    </w:p>
    <w:p>
      <w:pPr>
        <w:jc w:val="center"/>
        <w:spacing w:line="360" w:lineRule="auto"/>
        <w:rPr>
          <w:rFonts w:hint="eastAsia" w:ascii="微软雅黑" w:hAnsi="微软雅黑" w:cs="微软雅黑"/>
        </w:rPr>
      </w:pPr>
      <w:r>
        <w:rPr>
          <w:rFonts w:hint="eastAsia" w:ascii="微软雅黑" w:hAnsi="微软雅黑" w:cs="微软雅黑"/>
        </w:rPr>
      </w:r>
      <w:r/>
    </w:p>
    <w:p>
      <w:pPr>
        <w:jc w:val="center"/>
        <w:spacing w:line="360" w:lineRule="auto"/>
        <w:rPr>
          <w:rFonts w:hint="eastAsia" w:ascii="微软雅黑" w:hAnsi="微软雅黑" w:cs="微软雅黑"/>
          <w:sz w:val="56"/>
          <w:szCs w:val="56"/>
        </w:rPr>
      </w:pPr>
      <w:r>
        <w:rPr>
          <w:rFonts w:hint="eastAsia" w:ascii="微软雅黑" w:hAnsi="微软雅黑" w:cs="微软雅黑"/>
          <w:sz w:val="56"/>
          <w:szCs w:val="56"/>
        </w:rPr>
        <w:t xml:space="preserve">投标文件</w:t>
      </w:r>
      <w:r/>
    </w:p>
    <w:p>
      <w:pPr>
        <w:jc w:val="center"/>
        <w:spacing w:line="420" w:lineRule="exact"/>
        <w:rPr>
          <w:rFonts w:hint="eastAsia" w:ascii="微软雅黑" w:hAnsi="微软雅黑" w:cs="微软雅黑"/>
          <w:sz w:val="48"/>
          <w:szCs w:val="48"/>
        </w:rPr>
      </w:pPr>
      <w:r>
        <w:rPr>
          <w:rFonts w:hint="eastAsia" w:ascii="微软雅黑" w:hAnsi="微软雅黑" w:cs="微软雅黑"/>
          <w:sz w:val="48"/>
          <w:szCs w:val="48"/>
        </w:rPr>
      </w:r>
      <w:r/>
    </w:p>
    <w:p>
      <w:pPr>
        <w:jc w:val="center"/>
        <w:spacing w:line="420" w:lineRule="exact"/>
        <w:rPr>
          <w:rFonts w:hint="eastAsia" w:ascii="微软雅黑" w:hAnsi="微软雅黑" w:cs="微软雅黑"/>
          <w:sz w:val="40"/>
          <w:szCs w:val="40"/>
        </w:rPr>
      </w:pPr>
      <w:r>
        <w:rPr>
          <w:rFonts w:hint="eastAsia" w:ascii="微软雅黑" w:hAnsi="微软雅黑" w:cs="微软雅黑"/>
          <w:sz w:val="40"/>
          <w:szCs w:val="40"/>
        </w:rPr>
        <w:t xml:space="preserve">【正/副本】</w:t>
      </w:r>
      <w:r/>
    </w:p>
    <w:p>
      <w:pPr>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项目编号：</w:t>
      </w:r>
      <w:r/>
    </w:p>
    <w:p>
      <w:pPr>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项目名称：</w:t>
      </w:r>
      <w:r/>
    </w:p>
    <w:p>
      <w:pPr>
        <w:spacing w:line="360" w:lineRule="auto"/>
        <w:rPr>
          <w:rFonts w:hint="eastAsia" w:ascii="微软雅黑" w:hAnsi="微软雅黑" w:cs="微软雅黑"/>
          <w:sz w:val="32"/>
          <w:szCs w:val="32"/>
        </w:rPr>
      </w:pPr>
      <w:r>
        <w:rPr>
          <w:rFonts w:hint="eastAsia" w:ascii="微软雅黑" w:hAnsi="微软雅黑" w:cs="微软雅黑"/>
          <w:sz w:val="32"/>
          <w:szCs w:val="32"/>
        </w:rPr>
      </w:r>
      <w:r/>
    </w:p>
    <w:p>
      <w:pPr>
        <w:spacing w:line="360" w:lineRule="auto"/>
        <w:rPr>
          <w:rFonts w:hint="eastAsia" w:ascii="微软雅黑" w:hAnsi="微软雅黑" w:cs="微软雅黑"/>
          <w:sz w:val="32"/>
          <w:szCs w:val="32"/>
        </w:rPr>
      </w:pPr>
      <w:r>
        <w:rPr>
          <w:rFonts w:hint="eastAsia" w:ascii="微软雅黑" w:hAnsi="微软雅黑" w:cs="微软雅黑"/>
          <w:sz w:val="32"/>
          <w:szCs w:val="32"/>
        </w:rPr>
      </w:r>
      <w:r/>
    </w:p>
    <w:p>
      <w:pPr>
        <w:spacing w:line="360" w:lineRule="auto"/>
        <w:rPr>
          <w:rFonts w:hint="eastAsia" w:ascii="微软雅黑" w:hAnsi="微软雅黑" w:cs="微软雅黑"/>
          <w:sz w:val="32"/>
          <w:szCs w:val="32"/>
        </w:rPr>
      </w:pPr>
      <w:r>
        <w:rPr>
          <w:rFonts w:hint="eastAsia" w:ascii="微软雅黑" w:hAnsi="微软雅黑" w:cs="微软雅黑"/>
          <w:sz w:val="32"/>
          <w:szCs w:val="32"/>
        </w:rPr>
      </w:r>
      <w:r/>
    </w:p>
    <w:p>
      <w:pPr>
        <w:spacing w:line="360" w:lineRule="auto"/>
        <w:rPr>
          <w:rFonts w:hint="eastAsia" w:ascii="微软雅黑" w:hAnsi="微软雅黑" w:cs="微软雅黑"/>
          <w:sz w:val="32"/>
          <w:szCs w:val="32"/>
        </w:rPr>
      </w:pPr>
      <w:r>
        <w:rPr>
          <w:rFonts w:hint="eastAsia" w:ascii="微软雅黑" w:hAnsi="微软雅黑" w:cs="微软雅黑"/>
          <w:sz w:val="32"/>
          <w:szCs w:val="32"/>
        </w:rPr>
      </w:r>
      <w:r/>
    </w:p>
    <w:p>
      <w:pPr>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投标单位（全称）：</w:t>
      </w:r>
      <w:r/>
    </w:p>
    <w:p>
      <w:pPr>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授权代表：</w:t>
      </w:r>
      <w:r/>
    </w:p>
    <w:p>
      <w:pPr>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联系电话：</w:t>
      </w:r>
      <w:r/>
    </w:p>
    <w:p>
      <w:pPr>
        <w:ind w:firstLine="1600"/>
        <w:spacing w:line="360" w:lineRule="auto"/>
        <w:rPr>
          <w:rFonts w:hint="eastAsia" w:ascii="微软雅黑" w:hAnsi="微软雅黑" w:cs="微软雅黑"/>
          <w:sz w:val="36"/>
          <w:szCs w:val="36"/>
        </w:rPr>
      </w:pPr>
      <w:r>
        <w:rPr>
          <w:rFonts w:hint="eastAsia" w:ascii="微软雅黑" w:hAnsi="微软雅黑" w:cs="微软雅黑"/>
          <w:sz w:val="32"/>
          <w:szCs w:val="32"/>
        </w:rPr>
        <w:t xml:space="preserve">日期：</w:t>
      </w:r>
      <w:r/>
    </w:p>
    <w:p>
      <w:pPr>
        <w:spacing w:line="420" w:lineRule="exact"/>
        <w:widowControl/>
        <w:rPr>
          <w:rFonts w:hint="eastAsia" w:ascii="微软雅黑" w:hAnsi="微软雅黑" w:cs="微软雅黑"/>
        </w:rPr>
      </w:pPr>
      <w:r>
        <w:rPr>
          <w:rFonts w:hint="eastAsia" w:ascii="微软雅黑" w:hAnsi="微软雅黑" w:cs="微软雅黑"/>
        </w:rPr>
        <w:br w:type="page" w:clear="all"/>
      </w:r>
      <w:r/>
    </w:p>
    <w:p>
      <w:pPr>
        <w:jc w:val="center"/>
        <w:spacing w:line="420" w:lineRule="exact"/>
        <w:rPr>
          <w:rFonts w:hint="eastAsia" w:ascii="微软雅黑" w:hAnsi="微软雅黑" w:cs="微软雅黑"/>
          <w:b/>
          <w:bCs/>
          <w:sz w:val="36"/>
          <w:szCs w:val="36"/>
        </w:rPr>
      </w:pPr>
      <w:r>
        <w:rPr>
          <w:rFonts w:hint="eastAsia" w:ascii="微软雅黑" w:hAnsi="微软雅黑" w:cs="微软雅黑"/>
          <w:b/>
          <w:bCs/>
          <w:sz w:val="36"/>
          <w:szCs w:val="36"/>
        </w:rPr>
        <w:t xml:space="preserve">目录</w:t>
      </w:r>
      <w:r/>
    </w:p>
    <w:p>
      <w:pPr>
        <w:ind w:firstLine="120"/>
        <w:spacing w:line="420" w:lineRule="exact"/>
        <w:rPr>
          <w:rFonts w:hint="eastAsia" w:ascii="微软雅黑" w:hAnsi="微软雅黑" w:cs="微软雅黑"/>
          <w:b/>
          <w:bCs/>
          <w:sz w:val="24"/>
          <w:szCs w:val="21"/>
        </w:rPr>
      </w:pPr>
      <w:r>
        <w:rPr>
          <w:rFonts w:hint="eastAsia" w:ascii="微软雅黑" w:hAnsi="微软雅黑" w:cs="微软雅黑"/>
          <w:b/>
          <w:bCs/>
          <w:sz w:val="24"/>
          <w:szCs w:val="21"/>
        </w:rPr>
      </w:r>
      <w:r/>
    </w:p>
    <w:p>
      <w:pPr>
        <w:ind w:firstLine="120"/>
        <w:jc w:val="center"/>
        <w:spacing w:line="420" w:lineRule="exact"/>
        <w:rPr>
          <w:rFonts w:hint="eastAsia"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b/>
          <w:bCs/>
          <w:sz w:val="28"/>
          <w:szCs w:val="28"/>
        </w:rPr>
      </w:pPr>
      <w:r>
        <w:rPr>
          <w:rFonts w:hint="eastAsia" w:ascii="微软雅黑" w:hAnsi="微软雅黑" w:cs="微软雅黑"/>
          <w:b/>
          <w:bCs/>
          <w:sz w:val="28"/>
          <w:szCs w:val="28"/>
        </w:rPr>
        <w:br w:type="page" w:clear="all"/>
      </w:r>
      <w:r/>
    </w:p>
    <w:p>
      <w:pPr>
        <w:pStyle w:val="1154"/>
        <w:ind w:left="0"/>
        <w:jc w:val="center"/>
        <w:rPr>
          <w:rFonts w:hint="eastAsia" w:ascii="微软雅黑" w:hAnsi="微软雅黑" w:cs="微软雅黑"/>
          <w:b/>
          <w:bCs/>
          <w:sz w:val="28"/>
          <w:szCs w:val="28"/>
        </w:rPr>
      </w:pPr>
      <w:r>
        <w:rPr>
          <w:rFonts w:hint="eastAsia" w:ascii="微软雅黑" w:hAnsi="微软雅黑" w:cs="微软雅黑"/>
          <w:b/>
          <w:bCs/>
          <w:sz w:val="28"/>
          <w:szCs w:val="28"/>
        </w:rPr>
        <w:t xml:space="preserve">资格审查索引表</w:t>
      </w:r>
      <w:r/>
    </w:p>
    <w:p>
      <w:pPr>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（具体详见第一章投标邀请申请人的资格要求）</w:t>
      </w:r>
      <w:r/>
    </w:p>
    <w:tbl>
      <w:tblPr>
        <w:tblStyle w:val="1146"/>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资格要求</w:t>
            </w:r>
            <w:r/>
          </w:p>
        </w:tc>
        <w:tc>
          <w:tcPr>
            <w:tcW w:w="1238" w:type="dxa"/>
            <w:vAlign w:val="center"/>
            <w:textDirection w:val="lrTb"/>
            <w:noWrap w:val="false"/>
          </w:tcPr>
          <w:p>
            <w:pPr>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bl>
    <w:p>
      <w:pPr>
        <w:spacing w:line="420" w:lineRule="exact"/>
        <w:rPr>
          <w:rFonts w:hint="eastAsia" w:ascii="微软雅黑" w:hAnsi="微软雅黑" w:cs="微软雅黑"/>
        </w:rPr>
      </w:pPr>
      <w:r>
        <w:rPr>
          <w:rFonts w:hint="eastAsia" w:ascii="微软雅黑" w:hAnsi="微软雅黑" w:cs="微软雅黑"/>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154"/>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jc w:val="center"/>
        <w:spacing w:line="420" w:lineRule="exact"/>
        <w:widowControl/>
        <w:rPr>
          <w:rFonts w:hint="eastAsia" w:ascii="微软雅黑" w:hAnsi="微软雅黑" w:cs="微软雅黑"/>
          <w:b/>
          <w:bCs/>
          <w:sz w:val="28"/>
          <w:szCs w:val="28"/>
        </w:rPr>
      </w:pPr>
      <w:r>
        <w:rPr>
          <w:rFonts w:hint="eastAsia" w:ascii="微软雅黑" w:hAnsi="微软雅黑" w:cs="微软雅黑"/>
        </w:rPr>
        <w:br w:type="page" w:clear="all"/>
      </w:r>
      <w:r>
        <w:rPr>
          <w:rFonts w:hint="eastAsia" w:ascii="微软雅黑" w:hAnsi="微软雅黑" w:cs="微软雅黑"/>
          <w:b/>
          <w:bCs/>
          <w:sz w:val="28"/>
          <w:szCs w:val="28"/>
        </w:rPr>
        <w:t xml:space="preserve">评分索引表</w:t>
      </w:r>
      <w:r/>
    </w:p>
    <w:p>
      <w:pPr>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（具体详见第三章评标办法和定标原则）</w:t>
      </w:r>
      <w:r/>
    </w:p>
    <w:tbl>
      <w:tblPr>
        <w:tblStyle w:val="1146"/>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评分标准</w:t>
            </w:r>
            <w:r/>
          </w:p>
        </w:tc>
        <w:tc>
          <w:tcPr>
            <w:tcW w:w="1238" w:type="dxa"/>
            <w:vAlign w:val="center"/>
            <w:textDirection w:val="lrTb"/>
            <w:noWrap w:val="false"/>
          </w:tcPr>
          <w:p>
            <w:pPr>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bl>
    <w:p>
      <w:pPr>
        <w:spacing w:line="420" w:lineRule="exact"/>
        <w:rPr>
          <w:rFonts w:hint="eastAsia" w:ascii="微软雅黑" w:hAnsi="微软雅黑" w:cs="微软雅黑"/>
        </w:rPr>
      </w:pPr>
      <w:r>
        <w:rPr>
          <w:rFonts w:hint="eastAsia" w:ascii="微软雅黑" w:hAnsi="微软雅黑" w:cs="微软雅黑"/>
        </w:rPr>
      </w:r>
      <w:r/>
    </w:p>
    <w:p>
      <w:pPr>
        <w:spacing w:line="420" w:lineRule="exact"/>
        <w:rPr>
          <w:rFonts w:hint="eastAsia" w:ascii="微软雅黑" w:hAnsi="微软雅黑" w:cs="微软雅黑"/>
        </w:rPr>
      </w:pPr>
      <w:r>
        <w:rPr>
          <w:rFonts w:hint="eastAsia" w:ascii="微软雅黑" w:hAnsi="微软雅黑" w:cs="微软雅黑"/>
        </w:rPr>
      </w:r>
      <w:r/>
    </w:p>
    <w:p>
      <w:pPr>
        <w:pStyle w:val="1137"/>
        <w:jc w:val="center"/>
        <w:rPr>
          <w:rFonts w:hint="eastAsia" w:ascii="微软雅黑" w:hAnsi="微软雅黑" w:eastAsia="微软雅黑" w:cs="微软雅黑"/>
          <w:b/>
          <w:bCs/>
          <w:sz w:val="28"/>
          <w:szCs w:val="32"/>
        </w:rPr>
      </w:pPr>
      <w:r>
        <w:rPr>
          <w:rFonts w:hint="eastAsia" w:ascii="微软雅黑" w:hAnsi="微软雅黑" w:cs="微软雅黑"/>
        </w:rPr>
        <w:br w:type="page" w:clear="all"/>
      </w:r>
      <w:bookmarkStart w:id="211" w:name="_Toc6833"/>
      <w:r/>
      <w:bookmarkStart w:id="212" w:name="_Toc24615"/>
      <w:r/>
      <w:bookmarkStart w:id="213" w:name="_Toc17106"/>
      <w:r/>
      <w:bookmarkStart w:id="214" w:name="_Toc20471"/>
      <w:r/>
      <w:bookmarkStart w:id="215" w:name="_Toc6040"/>
      <w:r/>
      <w:bookmarkStart w:id="216" w:name="_Toc7915"/>
      <w:r>
        <w:rPr>
          <w:rFonts w:hint="eastAsia" w:ascii="微软雅黑" w:hAnsi="微软雅黑" w:eastAsia="微软雅黑" w:cs="微软雅黑"/>
          <w:b/>
          <w:bCs/>
          <w:sz w:val="28"/>
          <w:szCs w:val="32"/>
        </w:rPr>
        <w:t xml:space="preserve">一、投标函、投标报价及项目相关文件</w:t>
      </w:r>
      <w:bookmarkEnd w:id="211"/>
      <w:r/>
      <w:bookmarkEnd w:id="212"/>
      <w:r/>
      <w:bookmarkEnd w:id="213"/>
      <w:r/>
      <w:bookmarkEnd w:id="214"/>
      <w:r/>
      <w:bookmarkEnd w:id="215"/>
      <w:r/>
      <w:bookmarkEnd w:id="216"/>
      <w:r/>
      <w:r/>
    </w:p>
    <w:p>
      <w:pPr>
        <w:pStyle w:val="1138"/>
        <w:jc w:val="center"/>
        <w:rPr>
          <w:rFonts w:hint="eastAsia" w:ascii="微软雅黑" w:hAnsi="微软雅黑" w:eastAsia="微软雅黑" w:cs="微软雅黑"/>
          <w:b/>
          <w:sz w:val="24"/>
          <w:szCs w:val="24"/>
        </w:rPr>
      </w:pPr>
      <w:r/>
      <w:bookmarkStart w:id="217" w:name="_Toc11047"/>
      <w:r/>
      <w:bookmarkStart w:id="218" w:name="_Toc13722"/>
      <w:r/>
      <w:bookmarkStart w:id="219" w:name="_Toc26973"/>
      <w:r/>
      <w:bookmarkStart w:id="220" w:name="_Toc4374"/>
      <w:r/>
      <w:bookmarkStart w:id="221" w:name="_Toc8176"/>
      <w:r/>
      <w:bookmarkStart w:id="222" w:name="_Toc8710"/>
      <w:r>
        <w:rPr>
          <w:rFonts w:hint="eastAsia" w:ascii="微软雅黑" w:hAnsi="微软雅黑" w:eastAsia="微软雅黑" w:cs="微软雅黑"/>
          <w:b/>
          <w:sz w:val="24"/>
          <w:szCs w:val="24"/>
        </w:rPr>
        <w:t xml:space="preserve">1.投标函</w:t>
      </w:r>
      <w:bookmarkEnd w:id="217"/>
      <w:r/>
      <w:bookmarkEnd w:id="218"/>
      <w:r/>
      <w:bookmarkEnd w:id="219"/>
      <w:r/>
      <w:bookmarkEnd w:id="220"/>
      <w:r/>
      <w:bookmarkEnd w:id="221"/>
      <w:r/>
      <w:bookmarkEnd w:id="222"/>
      <w:r/>
      <w:r/>
    </w:p>
    <w:p>
      <w:pPr>
        <w:spacing w:line="440" w:lineRule="exact"/>
        <w:rPr>
          <w:rFonts w:hint="eastAsia" w:ascii="微软雅黑" w:hAnsi="微软雅黑" w:cs="微软雅黑"/>
        </w:rPr>
      </w:pPr>
      <w:r>
        <w:rPr>
          <w:rFonts w:hint="eastAsia" w:ascii="微软雅黑" w:hAnsi="微软雅黑" w:cs="微软雅黑"/>
        </w:rPr>
        <w:t xml:space="preserve">江苏省华采招标有限公司：</w:t>
      </w:r>
      <w:r/>
    </w:p>
    <w:p>
      <w:pPr>
        <w:ind w:firstLine="420"/>
        <w:spacing w:line="440" w:lineRule="exact"/>
        <w:rPr>
          <w:rFonts w:hint="eastAsia" w:ascii="微软雅黑" w:hAnsi="微软雅黑" w:cs="微软雅黑"/>
        </w:rPr>
      </w:pPr>
      <w:r>
        <w:rPr>
          <w:rFonts w:hint="eastAsia" w:ascii="微软雅黑" w:hAnsi="微软雅黑" w:cs="微软雅黑"/>
        </w:rPr>
        <w:t xml:space="preserve">你们项目名称：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）招标文件（包括更正公告，如果有的话）收悉，我们经详细审阅和研究，现决定参加投标。</w:t>
      </w:r>
      <w:r/>
    </w:p>
    <w:p>
      <w:pPr>
        <w:ind w:firstLine="420"/>
        <w:spacing w:line="440" w:lineRule="exact"/>
        <w:rPr>
          <w:rFonts w:hint="eastAsia"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1、我们郑重承诺：我们是符合采购文件中规定的供应商，并严格遵守采购文件中的规定，本投标文件中提供的所有材料均是真实有效的。</w:t>
      </w:r>
      <w:r/>
    </w:p>
    <w:p>
      <w:pPr>
        <w:ind w:firstLine="420"/>
        <w:spacing w:line="440" w:lineRule="exact"/>
        <w:rPr>
          <w:rFonts w:hint="eastAsia"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 </w:t>
      </w:r>
      <w:r/>
    </w:p>
    <w:p>
      <w:pPr>
        <w:ind w:firstLine="420"/>
        <w:spacing w:line="440" w:lineRule="exact"/>
        <w:rPr>
          <w:rFonts w:hint="eastAsia" w:ascii="微软雅黑" w:hAnsi="微软雅黑" w:cs="微软雅黑"/>
        </w:rPr>
      </w:pPr>
      <w:r>
        <w:rPr>
          <w:rFonts w:hint="eastAsia" w:ascii="微软雅黑" w:hAnsi="微软雅黑" w:cs="微软雅黑"/>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hint="eastAsia" w:ascii="微软雅黑" w:hAnsi="微软雅黑" w:cs="微软雅黑"/>
        </w:rPr>
      </w:pPr>
      <w:r>
        <w:rPr>
          <w:rFonts w:hint="eastAsia" w:ascii="微软雅黑" w:hAnsi="微软雅黑" w:cs="微软雅黑"/>
        </w:rPr>
        <w:t xml:space="preserve">4、我们同意提供采购代理机构要求的有关本次采购的所有资料。</w:t>
      </w:r>
      <w:r/>
    </w:p>
    <w:p>
      <w:pPr>
        <w:ind w:firstLine="420"/>
        <w:spacing w:line="440" w:lineRule="exact"/>
        <w:rPr>
          <w:rFonts w:hint="eastAsia" w:ascii="微软雅黑" w:hAnsi="微软雅黑" w:cs="微软雅黑"/>
        </w:rPr>
      </w:pPr>
      <w:r>
        <w:rPr>
          <w:rFonts w:hint="eastAsia" w:ascii="微软雅黑" w:hAnsi="微软雅黑" w:cs="微软雅黑"/>
        </w:rPr>
        <w:t xml:space="preserve">5、我们理解，你们无义务必须接受投标报价最低的投标，并有权拒绝所有的投标。同时也理解你们不承担我们本次投标的费用。</w:t>
      </w:r>
      <w:r/>
    </w:p>
    <w:p>
      <w:pPr>
        <w:ind w:firstLine="420"/>
        <w:spacing w:line="440" w:lineRule="exact"/>
        <w:rPr>
          <w:rFonts w:hint="eastAsia" w:ascii="微软雅黑" w:hAnsi="微软雅黑" w:cs="微软雅黑"/>
        </w:rPr>
      </w:pPr>
      <w:r>
        <w:rPr>
          <w:rFonts w:hint="eastAsia" w:ascii="微软雅黑" w:hAnsi="微软雅黑" w:cs="微软雅黑"/>
        </w:rPr>
        <w:t xml:space="preserve">6、如果我们中标，为执行合同，我们将按供应商须知有关要求提供必要的履约保证。</w:t>
      </w:r>
      <w:r/>
    </w:p>
    <w:p>
      <w:pPr>
        <w:spacing w:line="440" w:lineRule="exact"/>
        <w:rPr>
          <w:rFonts w:hint="eastAsia" w:ascii="微软雅黑" w:hAnsi="微软雅黑" w:cs="微软雅黑"/>
        </w:rPr>
      </w:pPr>
      <w:r>
        <w:rPr>
          <w:rFonts w:hint="eastAsia" w:ascii="微软雅黑" w:hAnsi="微软雅黑" w:cs="微软雅黑"/>
        </w:rPr>
      </w:r>
      <w:r/>
    </w:p>
    <w:p>
      <w:pPr>
        <w:ind w:firstLine="2520"/>
        <w:spacing w:line="440" w:lineRule="exact"/>
        <w:rPr>
          <w:rFonts w:hint="eastAsia" w:ascii="微软雅黑" w:hAnsi="微软雅黑" w:cs="微软雅黑"/>
        </w:rPr>
      </w:pPr>
      <w:r>
        <w:rPr>
          <w:rFonts w:hint="eastAsia" w:ascii="微软雅黑" w:hAnsi="微软雅黑" w:cs="微软雅黑"/>
        </w:rPr>
        <w:t xml:space="preserve">供应商全称（公章）：                </w:t>
      </w:r>
      <w:r/>
    </w:p>
    <w:p>
      <w:pPr>
        <w:spacing w:line="440" w:lineRule="exact"/>
        <w:rPr>
          <w:rFonts w:hint="eastAsia" w:ascii="微软雅黑" w:hAnsi="微软雅黑" w:cs="微软雅黑"/>
        </w:rPr>
      </w:pPr>
      <w:r>
        <w:rPr>
          <w:rFonts w:hint="eastAsia" w:ascii="微软雅黑" w:hAnsi="微软雅黑" w:cs="微软雅黑"/>
        </w:rPr>
        <w:t xml:space="preserve">                        地址：                 </w:t>
      </w:r>
      <w:r/>
    </w:p>
    <w:p>
      <w:pPr>
        <w:spacing w:line="440" w:lineRule="exact"/>
        <w:rPr>
          <w:rFonts w:hint="eastAsia" w:ascii="微软雅黑" w:hAnsi="微软雅黑" w:cs="微软雅黑"/>
        </w:rPr>
      </w:pPr>
      <w:r>
        <w:rPr>
          <w:rFonts w:hint="eastAsia" w:ascii="微软雅黑" w:hAnsi="微软雅黑" w:cs="微软雅黑"/>
        </w:rPr>
        <w:t xml:space="preserve">                        电话：              </w:t>
      </w:r>
      <w:r/>
    </w:p>
    <w:p>
      <w:pPr>
        <w:spacing w:line="440" w:lineRule="exact"/>
        <w:rPr>
          <w:rFonts w:hint="eastAsia" w:ascii="微软雅黑" w:hAnsi="微软雅黑" w:cs="微软雅黑"/>
        </w:rPr>
      </w:pPr>
      <w:r>
        <w:rPr>
          <w:rFonts w:hint="eastAsia" w:ascii="微软雅黑" w:hAnsi="微软雅黑" w:cs="微软雅黑"/>
        </w:rPr>
        <w:t xml:space="preserve">                        法定代表人（授权代表）（签字/盖章）：                   </w:t>
      </w:r>
      <w:r/>
    </w:p>
    <w:p>
      <w:pPr>
        <w:spacing w:line="440" w:lineRule="exact"/>
        <w:rPr>
          <w:rFonts w:hint="eastAsia" w:ascii="微软雅黑" w:hAnsi="微软雅黑" w:cs="微软雅黑"/>
        </w:rPr>
      </w:pPr>
      <w:r>
        <w:rPr>
          <w:rFonts w:hint="eastAsia" w:ascii="微软雅黑" w:hAnsi="微软雅黑" w:cs="微软雅黑"/>
        </w:rPr>
        <w:t xml:space="preserve">                        职务：                  </w:t>
      </w:r>
      <w:r/>
    </w:p>
    <w:p>
      <w:pPr>
        <w:spacing w:line="440" w:lineRule="exact"/>
        <w:rPr>
          <w:rFonts w:hint="eastAsia" w:ascii="微软雅黑" w:hAnsi="微软雅黑" w:cs="微软雅黑"/>
        </w:rPr>
      </w:pPr>
      <w:r>
        <w:rPr>
          <w:rFonts w:hint="eastAsia" w:ascii="微软雅黑" w:hAnsi="微软雅黑" w:cs="微软雅黑"/>
        </w:rPr>
        <w:t xml:space="preserve">                        日期：       </w:t>
      </w:r>
      <w:r/>
    </w:p>
    <w:p>
      <w:pPr>
        <w:rPr>
          <w:rFonts w:hint="eastAsia" w:ascii="微软雅黑" w:hAnsi="微软雅黑" w:cs="微软雅黑"/>
        </w:rPr>
      </w:pPr>
      <w:r>
        <w:rPr>
          <w:rFonts w:hint="eastAsia" w:ascii="微软雅黑" w:hAnsi="微软雅黑" w:cs="微软雅黑"/>
        </w:rPr>
      </w:r>
      <w:r/>
    </w:p>
    <w:p>
      <w:pPr>
        <w:rPr>
          <w:rFonts w:hint="eastAsia" w:ascii="微软雅黑" w:hAnsi="微软雅黑" w:cs="微软雅黑"/>
        </w:rPr>
      </w:pPr>
      <w:r>
        <w:rPr>
          <w:rFonts w:hint="eastAsia" w:ascii="微软雅黑" w:hAnsi="微软雅黑" w:cs="微软雅黑"/>
        </w:rPr>
      </w:r>
      <w:r/>
    </w:p>
    <w:p>
      <w:pPr>
        <w:pStyle w:val="1138"/>
        <w:jc w:val="center"/>
        <w:rPr>
          <w:rFonts w:hint="eastAsia" w:ascii="微软雅黑" w:hAnsi="微软雅黑" w:eastAsia="微软雅黑" w:cs="微软雅黑"/>
          <w:b/>
          <w:sz w:val="24"/>
          <w:szCs w:val="24"/>
        </w:rPr>
      </w:pPr>
      <w:r/>
      <w:bookmarkStart w:id="223" w:name="_Toc15166"/>
      <w:r/>
      <w:bookmarkStart w:id="224" w:name="_Toc11596"/>
      <w:r/>
      <w:bookmarkStart w:id="225" w:name="_Toc27460"/>
      <w:r/>
      <w:bookmarkStart w:id="226" w:name="_Toc28250"/>
      <w:r/>
      <w:bookmarkStart w:id="227" w:name="_Toc13853"/>
      <w:r/>
      <w:bookmarkStart w:id="228" w:name="_Toc20264"/>
      <w:r>
        <w:rPr>
          <w:rFonts w:hint="eastAsia" w:ascii="微软雅黑" w:hAnsi="微软雅黑" w:eastAsia="微软雅黑" w:cs="微软雅黑"/>
          <w:b/>
          <w:sz w:val="24"/>
          <w:szCs w:val="24"/>
        </w:rPr>
        <w:t xml:space="preserve">2.开标一览表</w:t>
      </w:r>
      <w:bookmarkEnd w:id="223"/>
      <w:r/>
      <w:bookmarkEnd w:id="224"/>
      <w:r/>
      <w:bookmarkEnd w:id="225"/>
      <w:r/>
      <w:bookmarkEnd w:id="226"/>
      <w:r/>
      <w:bookmarkEnd w:id="227"/>
      <w:r/>
      <w:bookmarkEnd w:id="228"/>
      <w:r/>
      <w:r/>
    </w:p>
    <w:tbl>
      <w:tblPr>
        <w:tblStyle w:val="11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1</w:t>
            </w:r>
            <w:r/>
          </w:p>
        </w:tc>
        <w:tc>
          <w:tcPr>
            <w:tcW w:w="195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项目名称</w:t>
            </w:r>
            <w:r/>
          </w:p>
        </w:tc>
        <w:tc>
          <w:tcPr>
            <w:tcW w:w="5898"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r>
        <w:trPr>
          <w:cantSplit/>
          <w:trHeight w:val="891"/>
        </w:trPr>
        <w:tc>
          <w:tcPr>
            <w:tcW w:w="66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2</w:t>
            </w:r>
            <w:r/>
          </w:p>
        </w:tc>
        <w:tc>
          <w:tcPr>
            <w:tcW w:w="195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项目编号</w:t>
            </w:r>
            <w:r/>
          </w:p>
        </w:tc>
        <w:tc>
          <w:tcPr>
            <w:tcW w:w="5898"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r>
        <w:trPr>
          <w:cantSplit/>
          <w:trHeight w:val="1087"/>
        </w:trPr>
        <w:tc>
          <w:tcPr>
            <w:tcW w:w="66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3</w:t>
            </w:r>
            <w:r/>
          </w:p>
        </w:tc>
        <w:tc>
          <w:tcPr>
            <w:tcW w:w="195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投标报价总计</w:t>
            </w:r>
            <w:r/>
          </w:p>
        </w:tc>
        <w:tc>
          <w:tcPr>
            <w:tcW w:w="5898" w:type="dxa"/>
            <w:vAlign w:val="center"/>
            <w:textDirection w:val="lrTb"/>
            <w:noWrap w:val="false"/>
          </w:tcPr>
          <w:p>
            <w:pPr>
              <w:rPr>
                <w:rFonts w:hint="eastAsia" w:ascii="微软雅黑" w:hAnsi="微软雅黑" w:cs="微软雅黑"/>
              </w:rPr>
            </w:pPr>
            <w:r>
              <w:rPr>
                <w:rFonts w:hint="eastAsia" w:ascii="微软雅黑" w:hAnsi="微软雅黑" w:cs="微软雅黑"/>
              </w:rPr>
              <w:t xml:space="preserve">（大写）人民币</w:t>
            </w:r>
            <w:r>
              <w:rPr>
                <w:rFonts w:hint="eastAsia" w:ascii="微软雅黑" w:hAnsi="微软雅黑" w:cs="微软雅黑"/>
                <w:u w:val="single"/>
              </w:rPr>
              <w:t xml:space="preserve">              </w:t>
            </w:r>
            <w:r>
              <w:rPr>
                <w:rFonts w:hint="eastAsia" w:ascii="微软雅黑" w:hAnsi="微软雅黑" w:cs="微软雅黑"/>
              </w:rPr>
              <w:t xml:space="preserve">元整</w:t>
            </w:r>
            <w:r/>
          </w:p>
          <w:p>
            <w:pPr>
              <w:pStyle w:val="1154"/>
              <w:ind w:left="0"/>
              <w:rPr>
                <w:rFonts w:hint="eastAsia" w:ascii="微软雅黑" w:hAnsi="微软雅黑" w:cs="微软雅黑"/>
              </w:rPr>
            </w:pPr>
            <w:r>
              <w:rPr>
                <w:rFonts w:hint="eastAsia" w:ascii="微软雅黑" w:hAnsi="微软雅黑" w:cs="微软雅黑"/>
              </w:rPr>
              <w:t xml:space="preserve">（小写）￥</w:t>
            </w:r>
            <w:r>
              <w:rPr>
                <w:rFonts w:hint="eastAsia" w:ascii="微软雅黑" w:hAnsi="微软雅黑" w:cs="微软雅黑"/>
                <w:u w:val="single"/>
              </w:rPr>
              <w:t xml:space="preserve">             </w:t>
            </w:r>
            <w:r/>
          </w:p>
        </w:tc>
      </w:tr>
    </w:tbl>
    <w:p>
      <w:pPr>
        <w:spacing w:before="4" w:line="420" w:lineRule="exact"/>
        <w:widowControl/>
        <w:rPr>
          <w:rFonts w:hint="eastAsia" w:ascii="微软雅黑" w:hAnsi="微软雅黑" w:cs="微软雅黑"/>
          <w:sz w:val="24"/>
          <w:szCs w:val="24"/>
        </w:rPr>
      </w:pPr>
      <w:r>
        <w:rPr>
          <w:rFonts w:hint="eastAsia" w:ascii="微软雅黑" w:hAnsi="微软雅黑" w:cs="微软雅黑"/>
          <w:sz w:val="24"/>
          <w:szCs w:val="24"/>
        </w:rPr>
      </w:r>
      <w:r/>
    </w:p>
    <w:p>
      <w:pPr>
        <w:rPr>
          <w:rFonts w:hint="eastAsia" w:ascii="微软雅黑" w:hAnsi="微软雅黑" w:cs="微软雅黑"/>
        </w:rPr>
      </w:pPr>
      <w:r>
        <w:rPr>
          <w:rFonts w:hint="eastAsia" w:ascii="微软雅黑" w:hAnsi="微软雅黑" w:cs="微软雅黑"/>
        </w:rPr>
        <w:t xml:space="preserve">供应商全称（公章）：        </w:t>
      </w:r>
      <w:r/>
    </w:p>
    <w:p>
      <w:pPr>
        <w:rPr>
          <w:rFonts w:hint="eastAsia" w:ascii="微软雅黑" w:hAnsi="微软雅黑" w:cs="微软雅黑"/>
        </w:rPr>
      </w:pPr>
      <w:r>
        <w:rPr>
          <w:rFonts w:hint="eastAsia" w:ascii="微软雅黑" w:hAnsi="微软雅黑" w:cs="微软雅黑"/>
        </w:rPr>
        <w:t xml:space="preserve">法定代表人（授权代表）（签字/盖章）：    </w:t>
      </w:r>
      <w:r/>
    </w:p>
    <w:p>
      <w:pPr>
        <w:pStyle w:val="1154"/>
        <w:ind w:left="0"/>
        <w:rPr>
          <w:rFonts w:hint="eastAsia" w:ascii="微软雅黑" w:hAnsi="微软雅黑" w:cs="微软雅黑"/>
        </w:rPr>
      </w:pPr>
      <w:r>
        <w:rPr>
          <w:rFonts w:hint="eastAsia" w:ascii="微软雅黑" w:hAnsi="微软雅黑" w:cs="微软雅黑"/>
        </w:rPr>
        <w:t xml:space="preserve">日期：</w:t>
      </w:r>
      <w:r/>
    </w:p>
    <w:p>
      <w:pPr>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注意:</w:t>
      </w:r>
      <w:r/>
    </w:p>
    <w:p>
      <w:pPr>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（1）投标报价应包括采购文件所规定的招标范围的全部内容</w:t>
      </w:r>
      <w:r>
        <w:rPr>
          <w:rFonts w:hint="eastAsia" w:ascii="微软雅黑" w:hAnsi="微软雅黑" w:cs="微软雅黑"/>
          <w:b/>
          <w:bCs/>
          <w:sz w:val="18"/>
          <w:szCs w:val="18"/>
        </w:rPr>
        <w:t xml:space="preserve">。</w:t>
      </w:r>
      <w:r/>
    </w:p>
    <w:p>
      <w:pPr>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（2）供应商不得实质性改动开标一览表格式及内容。</w:t>
      </w:r>
      <w:r/>
    </w:p>
    <w:p>
      <w:pPr>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154"/>
        <w:ind w:left="1260"/>
        <w:rPr>
          <w:rFonts w:hint="eastAsia" w:ascii="微软雅黑" w:hAnsi="微软雅黑" w:cs="微软雅黑"/>
          <w:sz w:val="18"/>
          <w:szCs w:val="18"/>
        </w:rPr>
      </w:pPr>
      <w:r>
        <w:rPr>
          <w:rFonts w:hint="eastAsia" w:ascii="微软雅黑" w:hAnsi="微软雅黑" w:cs="微软雅黑"/>
          <w:sz w:val="18"/>
          <w:szCs w:val="18"/>
        </w:rPr>
      </w:r>
      <w:r/>
    </w:p>
    <w:p>
      <w:pPr>
        <w:rPr>
          <w:rFonts w:hint="eastAsia" w:ascii="微软雅黑" w:hAnsi="微软雅黑" w:cs="微软雅黑"/>
          <w:sz w:val="18"/>
          <w:szCs w:val="18"/>
        </w:rPr>
      </w:pPr>
      <w:r>
        <w:rPr>
          <w:rFonts w:hint="eastAsia" w:ascii="微软雅黑" w:hAnsi="微软雅黑" w:cs="微软雅黑"/>
          <w:sz w:val="18"/>
          <w:szCs w:val="18"/>
        </w:rPr>
      </w:r>
      <w:r/>
    </w:p>
    <w:p>
      <w:pPr>
        <w:pStyle w:val="1154"/>
        <w:ind w:left="1260"/>
        <w:rPr>
          <w:rFonts w:hint="eastAsia" w:ascii="微软雅黑" w:hAnsi="微软雅黑" w:cs="微软雅黑"/>
          <w:sz w:val="18"/>
          <w:szCs w:val="18"/>
        </w:rPr>
      </w:pPr>
      <w:r>
        <w:rPr>
          <w:rFonts w:hint="eastAsia" w:ascii="微软雅黑" w:hAnsi="微软雅黑" w:cs="微软雅黑"/>
          <w:sz w:val="18"/>
          <w:szCs w:val="18"/>
        </w:rPr>
      </w:r>
      <w:r/>
    </w:p>
    <w:p>
      <w:pPr>
        <w:rPr>
          <w:rFonts w:hint="eastAsia" w:ascii="微软雅黑" w:hAnsi="微软雅黑" w:cs="微软雅黑"/>
        </w:rPr>
      </w:pPr>
      <w:r>
        <w:rPr>
          <w:rFonts w:hint="eastAsia" w:ascii="微软雅黑" w:hAnsi="微软雅黑" w:cs="微软雅黑"/>
        </w:rPr>
      </w:r>
      <w:r/>
    </w:p>
    <w:p>
      <w:pPr>
        <w:rPr>
          <w:rFonts w:hint="eastAsia" w:ascii="微软雅黑" w:hAnsi="微软雅黑" w:cs="微软雅黑"/>
          <w:sz w:val="18"/>
          <w:szCs w:val="18"/>
        </w:rPr>
      </w:pPr>
      <w:r>
        <w:rPr>
          <w:rFonts w:hint="eastAsia" w:ascii="微软雅黑" w:hAnsi="微软雅黑" w:cs="微软雅黑"/>
          <w:sz w:val="18"/>
          <w:szCs w:val="18"/>
        </w:rPr>
      </w:r>
      <w:r/>
    </w:p>
    <w:p>
      <w:pPr>
        <w:pStyle w:val="1154"/>
        <w:ind w:left="1260"/>
        <w:rPr>
          <w:rFonts w:hint="eastAsia" w:ascii="微软雅黑" w:hAnsi="微软雅黑" w:cs="微软雅黑"/>
        </w:rPr>
      </w:pPr>
      <w:r>
        <w:rPr>
          <w:rFonts w:hint="eastAsia" w:ascii="微软雅黑" w:hAnsi="微软雅黑" w:cs="微软雅黑"/>
        </w:rPr>
      </w:r>
      <w:r/>
    </w:p>
    <w:p>
      <w:pPr>
        <w:pStyle w:val="1154"/>
        <w:ind w:left="1260"/>
        <w:rPr>
          <w:rFonts w:hint="eastAsia" w:ascii="微软雅黑" w:hAnsi="微软雅黑" w:cs="微软雅黑"/>
          <w:sz w:val="18"/>
          <w:szCs w:val="18"/>
        </w:rPr>
      </w:pPr>
      <w:r>
        <w:rPr>
          <w:rFonts w:hint="eastAsia" w:ascii="微软雅黑" w:hAnsi="微软雅黑" w:cs="微软雅黑"/>
          <w:sz w:val="18"/>
          <w:szCs w:val="18"/>
        </w:rPr>
      </w:r>
      <w:r/>
    </w:p>
    <w:p>
      <w:pPr>
        <w:rPr>
          <w:rFonts w:hint="eastAsia" w:ascii="微软雅黑" w:hAnsi="微软雅黑" w:cs="微软雅黑"/>
        </w:rPr>
      </w:pPr>
      <w:r>
        <w:rPr>
          <w:rFonts w:hint="eastAsia" w:ascii="微软雅黑" w:hAnsi="微软雅黑" w:cs="微软雅黑"/>
        </w:rPr>
      </w:r>
      <w:r/>
    </w:p>
    <w:p>
      <w:pPr>
        <w:pStyle w:val="1138"/>
        <w:jc w:val="center"/>
        <w:tabs>
          <w:tab w:val="left" w:pos="0" w:leader="none"/>
        </w:tabs>
        <w:rPr>
          <w:rFonts w:hint="eastAsia" w:ascii="微软雅黑" w:hAnsi="微软雅黑" w:eastAsia="微软雅黑" w:cs="微软雅黑"/>
          <w:b/>
          <w:szCs w:val="28"/>
        </w:rPr>
      </w:pPr>
      <w:r/>
      <w:bookmarkStart w:id="229" w:name="_Toc403725575"/>
      <w:r/>
      <w:bookmarkStart w:id="230" w:name="_Toc17085"/>
      <w:r>
        <w:rPr>
          <w:rFonts w:hint="eastAsia" w:ascii="微软雅黑" w:hAnsi="微软雅黑" w:eastAsia="微软雅黑" w:cs="微软雅黑"/>
          <w:b/>
          <w:sz w:val="24"/>
          <w:szCs w:val="24"/>
        </w:rPr>
        <w:br w:type="page" w:clear="all"/>
      </w:r>
      <w:bookmarkStart w:id="231" w:name="_Toc23896"/>
      <w:r/>
      <w:bookmarkStart w:id="232" w:name="_Toc25833"/>
      <w:r/>
      <w:bookmarkStart w:id="233" w:name="_Toc11171"/>
      <w:r/>
      <w:bookmarkStart w:id="234" w:name="_Toc4608"/>
      <w:r/>
      <w:bookmarkStart w:id="235" w:name="_Toc26889"/>
      <w:r>
        <w:rPr>
          <w:rFonts w:hint="eastAsia" w:ascii="微软雅黑" w:hAnsi="微软雅黑" w:eastAsia="微软雅黑" w:cs="微软雅黑"/>
          <w:b/>
          <w:sz w:val="24"/>
          <w:szCs w:val="24"/>
        </w:rPr>
        <w:t xml:space="preserve">3.</w:t>
      </w:r>
      <w:bookmarkEnd w:id="229"/>
      <w:r/>
      <w:bookmarkEnd w:id="230"/>
      <w:r/>
      <w:bookmarkEnd w:id="231"/>
      <w:r/>
      <w:bookmarkEnd w:id="232"/>
      <w:r/>
      <w:bookmarkStart w:id="236" w:name="_Toc15869"/>
      <w:r>
        <w:rPr>
          <w:rFonts w:hint="eastAsia" w:ascii="微软雅黑" w:hAnsi="微软雅黑" w:eastAsia="微软雅黑" w:cs="微软雅黑"/>
          <w:b/>
          <w:szCs w:val="28"/>
        </w:rPr>
        <w:t xml:space="preserve">投标报价明细表</w:t>
      </w:r>
      <w:bookmarkEnd w:id="233"/>
      <w:r/>
      <w:bookmarkEnd w:id="234"/>
      <w:r/>
      <w:bookmarkEnd w:id="235"/>
      <w:r/>
      <w:bookmarkEnd w:id="236"/>
      <w:r/>
      <w:r/>
    </w:p>
    <w:tbl>
      <w:tblPr>
        <w:tblStyle w:val="1146"/>
        <w:tblW w:w="10254" w:type="dxa"/>
        <w:tblInd w:w="-5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2"/>
        <w:gridCol w:w="2232"/>
        <w:gridCol w:w="600"/>
        <w:gridCol w:w="870"/>
        <w:gridCol w:w="769"/>
        <w:gridCol w:w="669"/>
        <w:gridCol w:w="703"/>
        <w:gridCol w:w="668"/>
        <w:gridCol w:w="703"/>
        <w:gridCol w:w="685"/>
        <w:gridCol w:w="399"/>
        <w:gridCol w:w="506"/>
        <w:gridCol w:w="648"/>
      </w:tblGrid>
      <w:tr>
        <w:trPr>
          <w:cantSplit/>
          <w:trHeight w:val="1344"/>
          <w:tblHeader/>
        </w:trPr>
        <w:tc>
          <w:tcPr>
            <w:tcBorders>
              <w:top w:val="single" w:color="auto" w:sz="6" w:space="0"/>
              <w:left w:val="single" w:color="auto" w:sz="6" w:space="0"/>
              <w:bottom w:val="single" w:color="auto" w:sz="6"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序号</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物品名称</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600"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详细部件名称</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规格</w:t>
            </w:r>
            <w:r/>
          </w:p>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型号</w:t>
            </w:r>
            <w:r/>
          </w:p>
        </w:tc>
        <w:tc>
          <w:tcPr>
            <w:tcBorders>
              <w:top w:val="single" w:color="auto" w:sz="6" w:space="0"/>
              <w:left w:val="single" w:color="auto" w:sz="6" w:space="0"/>
              <w:bottom w:val="single" w:color="auto" w:sz="4" w:space="0"/>
              <w:right w:val="single" w:color="auto" w:sz="4" w:space="0"/>
            </w:tcBorders>
            <w:tcMar>
              <w:left w:w="15" w:type="dxa"/>
              <w:top w:w="15" w:type="dxa"/>
              <w:right w:w="15" w:type="dxa"/>
              <w:bottom w:w="0" w:type="dxa"/>
            </w:tcMar>
            <w:tcW w:w="769"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数量</w:t>
            </w:r>
            <w:r/>
          </w:p>
        </w:tc>
        <w:tc>
          <w:tcPr>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669"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单位</w:t>
            </w:r>
            <w:r/>
          </w:p>
        </w:tc>
        <w:tc>
          <w:tcPr>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703"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品牌</w:t>
            </w:r>
            <w:r/>
          </w:p>
        </w:tc>
        <w:tc>
          <w:tcPr>
            <w:tcBorders>
              <w:top w:val="single" w:color="auto" w:sz="6" w:space="0"/>
              <w:left w:val="single" w:color="auto" w:sz="4" w:space="0"/>
              <w:bottom w:val="single" w:color="auto" w:sz="4" w:space="0"/>
              <w:right w:val="single" w:color="auto" w:sz="6" w:space="0"/>
            </w:tcBorders>
            <w:tcMar>
              <w:left w:w="15" w:type="dxa"/>
              <w:top w:w="15" w:type="dxa"/>
              <w:right w:w="15" w:type="dxa"/>
              <w:bottom w:w="0" w:type="dxa"/>
            </w:tcMar>
            <w:tcW w:w="668"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单价（元）</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703"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总价（元）</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85"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生产厂商</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399"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产地</w:t>
            </w:r>
            <w:r/>
          </w:p>
        </w:tc>
        <w:tc>
          <w:tcPr>
            <w:tcBorders>
              <w:top w:val="single" w:color="auto" w:sz="6" w:space="0"/>
              <w:left w:val="single" w:color="auto" w:sz="4" w:space="0"/>
              <w:bottom w:val="single" w:color="auto" w:sz="6" w:space="0"/>
              <w:right w:val="single" w:color="auto" w:sz="4" w:space="0"/>
            </w:tcBorders>
            <w:tcW w:w="506"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质保期</w:t>
            </w:r>
            <w:r/>
          </w:p>
        </w:tc>
        <w:tc>
          <w:tcPr>
            <w:tcBorders>
              <w:top w:val="single" w:color="auto" w:sz="6" w:space="0"/>
              <w:left w:val="single" w:color="auto" w:sz="4" w:space="0"/>
              <w:bottom w:val="single" w:color="auto" w:sz="6" w:space="0"/>
              <w:right w:val="single" w:color="auto" w:sz="6" w:space="0"/>
            </w:tcBorders>
            <w:tcMar>
              <w:left w:w="15" w:type="dxa"/>
              <w:top w:w="15" w:type="dxa"/>
              <w:right w:w="15" w:type="dxa"/>
              <w:bottom w:w="0" w:type="dxa"/>
            </w:tcMar>
            <w:tcW w:w="648"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bCs/>
                <w:szCs w:val="21"/>
              </w:rPr>
              <w:t xml:space="preserve">备注</w:t>
            </w:r>
            <w:r/>
          </w:p>
        </w:tc>
      </w:tr>
      <w:tr>
        <w:trPr>
          <w:cantSplit/>
          <w:trHeight w:val="596"/>
        </w:trPr>
        <w:tc>
          <w:tcPr>
            <w:tcBorders>
              <w:top w:val="single" w:color="auto" w:sz="6"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1</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232"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2</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769"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669"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703"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6" w:space="0"/>
            </w:tcBorders>
            <w:tcW w:w="668"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W w:w="703"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W w:w="685"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399"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6" w:space="0"/>
            </w:tcBorders>
            <w:tcW w:w="648"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3</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cantSplit/>
          <w:trHeight w:val="609"/>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4</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5</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cantSplit/>
          <w:trHeight w:val="922"/>
        </w:trPr>
        <w:tc>
          <w:tcPr>
            <w:gridSpan w:val="3"/>
            <w:tcBorders>
              <w:top w:val="single" w:color="auto" w:sz="4" w:space="0"/>
              <w:left w:val="single" w:color="auto" w:sz="6" w:space="0"/>
              <w:bottom w:val="single" w:color="auto" w:sz="4" w:space="0"/>
              <w:right w:val="single" w:color="auto" w:sz="6" w:space="0"/>
            </w:tcBorders>
            <w:tcW w:w="3634"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投标报价总计</w:t>
            </w:r>
            <w:r/>
          </w:p>
        </w:tc>
        <w:tc>
          <w:tcPr>
            <w:gridSpan w:val="1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620" w:type="dxa"/>
            <w:textDirection w:val="lrTb"/>
            <w:noWrap w:val="false"/>
          </w:tcPr>
          <w:p>
            <w:pPr>
              <w:jc w:val="left"/>
              <w:rPr>
                <w:rFonts w:hint="eastAsia" w:ascii="微软雅黑" w:hAnsi="微软雅黑" w:cs="微软雅黑"/>
                <w:szCs w:val="21"/>
              </w:rPr>
            </w:pPr>
            <w:r>
              <w:rPr>
                <w:rFonts w:hint="eastAsia" w:ascii="微软雅黑" w:hAnsi="微软雅黑" w:cs="微软雅黑"/>
                <w:szCs w:val="21"/>
              </w:rPr>
              <w:t xml:space="preserve">大写：</w:t>
            </w:r>
            <w:r>
              <w:rPr>
                <w:rFonts w:hint="eastAsia" w:ascii="微软雅黑" w:hAnsi="微软雅黑" w:cs="微软雅黑"/>
                <w:szCs w:val="21"/>
                <w:u w:val="single"/>
              </w:rPr>
              <w:t xml:space="preserve">人民币      元整；  </w:t>
            </w:r>
            <w:r>
              <w:rPr>
                <w:rFonts w:hint="eastAsia" w:ascii="微软雅黑" w:hAnsi="微软雅黑" w:cs="微软雅黑"/>
                <w:szCs w:val="21"/>
              </w:rPr>
              <w:t xml:space="preserve">  </w:t>
            </w:r>
            <w:r/>
          </w:p>
          <w:p>
            <w:pPr>
              <w:jc w:val="left"/>
              <w:spacing w:line="420" w:lineRule="exact"/>
              <w:rPr>
                <w:rFonts w:hint="eastAsia" w:ascii="微软雅黑" w:hAnsi="微软雅黑" w:cs="微软雅黑"/>
                <w:szCs w:val="21"/>
              </w:rPr>
            </w:pPr>
            <w:r>
              <w:rPr>
                <w:rFonts w:hint="eastAsia" w:ascii="微软雅黑" w:hAnsi="微软雅黑" w:cs="微软雅黑"/>
                <w:szCs w:val="21"/>
              </w:rPr>
              <w:t xml:space="preserve">小写：</w:t>
            </w:r>
            <w:r>
              <w:rPr>
                <w:rFonts w:hint="eastAsia" w:ascii="微软雅黑" w:hAnsi="微软雅黑" w:cs="微软雅黑"/>
                <w:szCs w:val="21"/>
                <w:u w:val="single"/>
              </w:rPr>
              <w:t xml:space="preserve">￥              </w:t>
            </w:r>
            <w:r/>
          </w:p>
        </w:tc>
      </w:tr>
      <w:tr>
        <w:trPr>
          <w:cantSplit/>
          <w:trHeight w:val="1146"/>
        </w:trPr>
        <w:tc>
          <w:tcPr>
            <w:gridSpan w:val="13"/>
            <w:tcBorders>
              <w:top w:val="single" w:color="auto" w:sz="4" w:space="0"/>
              <w:left w:val="single" w:color="auto" w:sz="6" w:space="0"/>
              <w:bottom w:val="single" w:color="auto" w:sz="4" w:space="0"/>
              <w:right w:val="single" w:color="auto" w:sz="6" w:space="0"/>
            </w:tcBorders>
            <w:tcW w:w="10254" w:type="dxa"/>
            <w:vAlign w:val="center"/>
            <w:textDirection w:val="lrTb"/>
            <w:noWrap w:val="false"/>
          </w:tcPr>
          <w:p>
            <w:pPr>
              <w:jc w:val="left"/>
              <w:spacing w:line="420" w:lineRule="exact"/>
              <w:rPr>
                <w:rFonts w:hint="eastAsia" w:ascii="微软雅黑" w:hAnsi="微软雅黑" w:cs="微软雅黑"/>
                <w:szCs w:val="21"/>
              </w:rPr>
            </w:pPr>
            <w:r>
              <w:rPr>
                <w:rFonts w:hint="eastAsia" w:ascii="微软雅黑" w:hAnsi="微软雅黑" w:cs="微软雅黑"/>
                <w:sz w:val="28"/>
                <w:szCs w:val="28"/>
              </w:rPr>
              <w:t xml:space="preserve">本采购包中提供的符合本国产品标准的产品成本之和占该采购包提供的全部产品成本之和的比例为</w:t>
            </w:r>
            <w:r>
              <w:rPr>
                <w:rFonts w:hint="eastAsia" w:ascii="微软雅黑" w:hAnsi="微软雅黑" w:cs="微软雅黑"/>
                <w:sz w:val="28"/>
                <w:szCs w:val="28"/>
                <w:u w:val="single"/>
              </w:rPr>
              <w:t xml:space="preserve">        </w:t>
            </w:r>
            <w:r>
              <w:rPr>
                <w:rFonts w:hint="eastAsia" w:ascii="微软雅黑" w:hAnsi="微软雅黑" w:cs="微软雅黑"/>
                <w:sz w:val="28"/>
                <w:szCs w:val="28"/>
              </w:rPr>
              <w:t xml:space="preserve">%。</w:t>
            </w:r>
            <w:r/>
          </w:p>
        </w:tc>
      </w:tr>
    </w:tbl>
    <w:p>
      <w:pPr>
        <w:rPr>
          <w:rFonts w:hint="eastAsia" w:ascii="微软雅黑" w:hAnsi="微软雅黑" w:cs="微软雅黑"/>
        </w:rPr>
      </w:pPr>
      <w:r>
        <w:rPr>
          <w:rFonts w:hint="eastAsia" w:ascii="微软雅黑" w:hAnsi="微软雅黑" w:cs="微软雅黑"/>
        </w:rPr>
        <w:t xml:space="preserve">供应商全称（公章）：        </w:t>
      </w:r>
      <w:r/>
    </w:p>
    <w:p>
      <w:pPr>
        <w:rPr>
          <w:rFonts w:hint="eastAsia" w:ascii="微软雅黑" w:hAnsi="微软雅黑" w:cs="微软雅黑"/>
        </w:rPr>
      </w:pPr>
      <w:r>
        <w:rPr>
          <w:rFonts w:hint="eastAsia" w:ascii="微软雅黑" w:hAnsi="微软雅黑" w:cs="微软雅黑"/>
        </w:rPr>
        <w:t xml:space="preserve">法定代表人（授权代表）（签字/盖章）：   </w:t>
      </w:r>
      <w:r/>
    </w:p>
    <w:p>
      <w:pPr>
        <w:rPr>
          <w:rFonts w:hint="eastAsia" w:ascii="微软雅黑" w:hAnsi="微软雅黑" w:cs="微软雅黑"/>
        </w:rPr>
      </w:pPr>
      <w:r>
        <w:rPr>
          <w:rFonts w:hint="eastAsia" w:ascii="微软雅黑" w:hAnsi="微软雅黑" w:cs="微软雅黑"/>
        </w:rPr>
        <w:t xml:space="preserve">日期：          </w:t>
      </w:r>
      <w:r/>
    </w:p>
    <w:p>
      <w:pPr>
        <w:jc w:val="left"/>
        <w:spacing w:line="28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r>
      <w:r/>
    </w:p>
    <w:p>
      <w:pPr>
        <w:jc w:val="left"/>
        <w:spacing w:line="28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注：</w:t>
      </w:r>
      <w:r/>
    </w:p>
    <w:p>
      <w:pPr>
        <w:numPr>
          <w:ilvl w:val="0"/>
          <w:numId w:val="17"/>
        </w:numPr>
        <w:ind w:left="0" w:firstLine="0"/>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p>
    <w:p>
      <w:pPr>
        <w:numPr>
          <w:ilvl w:val="0"/>
          <w:numId w:val="17"/>
        </w:numPr>
        <w:ind w:left="0" w:firstLine="0"/>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总价=单价*数量，数量由供应商自行计算并填列。</w:t>
      </w:r>
      <w:r/>
    </w:p>
    <w:p>
      <w:pPr>
        <w:numPr>
          <w:ilvl w:val="0"/>
          <w:numId w:val="17"/>
        </w:numPr>
        <w:ind w:left="0" w:firstLine="0"/>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上表中的“投标报价总计”应当等于“开标一览表”中“投标报价总计”数。</w:t>
      </w:r>
      <w:r/>
    </w:p>
    <w:p>
      <w:pPr>
        <w:numPr>
          <w:ilvl w:val="0"/>
          <w:numId w:val="17"/>
        </w:numPr>
        <w:ind w:left="0" w:firstLine="0"/>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报价应包括但不限于完成该项目所有的费用，每一单项均应计算并填写单价和总价，并由法定代表人或授权委托代理人签署。投标供应商未填单价或总价的项目，在实施后，采购单位将不予支付，并视为该项费用已包括在其它有价款的单价或总价内。</w:t>
      </w:r>
      <w:r/>
    </w:p>
    <w:p>
      <w:pPr>
        <w:numPr>
          <w:ilvl w:val="0"/>
          <w:numId w:val="17"/>
        </w:numPr>
        <w:ind w:left="0" w:firstLine="0"/>
        <w:jc w:val="left"/>
        <w:spacing w:line="360" w:lineRule="exact"/>
        <w:tabs>
          <w:tab w:val="left" w:pos="220" w:leader="none"/>
        </w:tabs>
        <w:rPr>
          <w:rFonts w:hint="eastAsia" w:ascii="微软雅黑" w:hAnsi="微软雅黑" w:cs="微软雅黑"/>
          <w:b/>
          <w:bCs/>
          <w:sz w:val="18"/>
          <w:szCs w:val="18"/>
        </w:rPr>
      </w:pPr>
      <w:r>
        <w:rPr>
          <w:rFonts w:hint="eastAsia" w:ascii="微软雅黑" w:hAnsi="微软雅黑" w:cs="微软雅黑"/>
          <w:b/>
          <w:bCs/>
          <w:sz w:val="18"/>
          <w:szCs w:val="18"/>
        </w:rPr>
        <w:t xml:space="preserve">报价明细表中不得有零元报价或免费赠送产品。</w:t>
      </w:r>
      <w:r/>
    </w:p>
    <w:p>
      <w:pPr>
        <w:numPr>
          <w:ilvl w:val="0"/>
          <w:numId w:val="17"/>
        </w:numPr>
        <w:ind w:left="0" w:firstLine="0"/>
        <w:jc w:val="left"/>
        <w:spacing w:line="360" w:lineRule="exact"/>
        <w:tabs>
          <w:tab w:val="left" w:pos="220" w:leader="none"/>
        </w:tabs>
        <w:rPr>
          <w:rFonts w:hint="eastAsia" w:ascii="微软雅黑" w:hAnsi="微软雅黑" w:cs="微软雅黑"/>
          <w:b/>
          <w:bCs/>
          <w:sz w:val="18"/>
          <w:szCs w:val="18"/>
        </w:rPr>
      </w:pPr>
      <w:r>
        <w:rPr>
          <w:rFonts w:hint="eastAsia" w:ascii="微软雅黑" w:hAnsi="微软雅黑" w:cs="微软雅黑"/>
          <w:b/>
          <w:bCs/>
          <w:sz w:val="18"/>
          <w:szCs w:val="1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138"/>
        <w:jc w:val="center"/>
        <w:spacing w:before="260" w:after="260" w:line="416" w:lineRule="auto"/>
        <w:rPr>
          <w:rFonts w:hint="eastAsia" w:ascii="微软雅黑" w:hAnsi="微软雅黑" w:eastAsia="微软雅黑" w:cs="微软雅黑"/>
          <w:b/>
          <w:bCs/>
          <w:sz w:val="24"/>
          <w:szCs w:val="24"/>
        </w:rPr>
      </w:pPr>
      <w:r/>
      <w:bookmarkStart w:id="237" w:name="_Toc4581"/>
      <w:r/>
      <w:bookmarkStart w:id="238" w:name="_Toc365968480"/>
      <w:r/>
      <w:bookmarkStart w:id="239" w:name="_Toc30873"/>
      <w:r/>
      <w:bookmarkStart w:id="240" w:name="_Toc3643"/>
      <w:r/>
      <w:bookmarkStart w:id="241" w:name="_Toc3044"/>
      <w:r/>
      <w:bookmarkStart w:id="242" w:name="_Toc31996"/>
      <w:r/>
      <w:bookmarkStart w:id="243" w:name="_Toc15771"/>
      <w:r>
        <w:rPr>
          <w:rFonts w:hint="eastAsia" w:ascii="微软雅黑" w:hAnsi="微软雅黑" w:eastAsia="微软雅黑" w:cs="微软雅黑"/>
          <w:b/>
          <w:bCs/>
          <w:sz w:val="24"/>
          <w:szCs w:val="24"/>
        </w:rPr>
        <w:t xml:space="preserve">4.技术要求响应表</w:t>
      </w:r>
      <w:bookmarkEnd w:id="237"/>
      <w:r/>
      <w:bookmarkEnd w:id="238"/>
      <w:r/>
      <w:bookmarkEnd w:id="239"/>
      <w:r/>
      <w:bookmarkEnd w:id="240"/>
      <w:r/>
      <w:bookmarkEnd w:id="241"/>
      <w:r/>
      <w:bookmarkEnd w:id="242"/>
      <w:r/>
      <w:bookmarkEnd w:id="243"/>
      <w:r/>
      <w:r/>
    </w:p>
    <w:tbl>
      <w:tblPr>
        <w:tblStyle w:val="1146"/>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2172"/>
        <w:gridCol w:w="2170"/>
        <w:gridCol w:w="1851"/>
        <w:gridCol w:w="1851"/>
      </w:tblGrid>
      <w:tr>
        <w:trPr>
          <w:trHeight w:val="1193"/>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rPr>
            </w:pPr>
            <w:r>
              <w:rPr>
                <w:rFonts w:hint="eastAsia" w:ascii="微软雅黑" w:hAnsi="微软雅黑" w:cs="微软雅黑"/>
              </w:rPr>
              <w:t xml:space="preserve">序号</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rPr>
            </w:pPr>
            <w:r>
              <w:rPr>
                <w:rFonts w:hint="eastAsia" w:ascii="微软雅黑" w:hAnsi="微软雅黑" w:cs="微软雅黑"/>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rPr>
            </w:pPr>
            <w:r>
              <w:rPr>
                <w:rFonts w:hint="eastAsia" w:ascii="微软雅黑" w:hAnsi="微软雅黑" w:cs="微软雅黑"/>
              </w:rPr>
              <w:t xml:space="preserve">投标供应商技术规范描述</w:t>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rPr>
            </w:pPr>
            <w:r>
              <w:rPr>
                <w:rFonts w:hint="eastAsia" w:ascii="微软雅黑" w:hAnsi="微软雅黑" w:cs="微软雅黑"/>
              </w:rPr>
              <w:t xml:space="preserve">偏离情况（+/-/=）</w:t>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rPr>
            </w:pPr>
            <w:r>
              <w:rPr>
                <w:rFonts w:hint="eastAsia" w:ascii="微软雅黑" w:hAnsi="微软雅黑" w:cs="微软雅黑"/>
              </w:rPr>
              <w:t xml:space="preserve">证明材料所在页</w:t>
            </w:r>
            <w:r/>
          </w:p>
        </w:tc>
      </w:tr>
      <w:tr>
        <w:trPr>
          <w:trHeight w:val="767"/>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rPr>
            </w:pPr>
            <w:r>
              <w:rPr>
                <w:rFonts w:hint="eastAsia" w:ascii="微软雅黑" w:hAnsi="微软雅黑" w:cs="微软雅黑"/>
              </w:rPr>
              <w:t xml:space="preserve">1</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rPr>
            </w:pPr>
            <w:r>
              <w:rPr>
                <w:rFonts w:hint="eastAsia" w:ascii="微软雅黑" w:hAnsi="微软雅黑" w:cs="微软雅黑"/>
              </w:rPr>
            </w:r>
            <w:r/>
          </w:p>
        </w:tc>
      </w:tr>
      <w:tr>
        <w:trPr>
          <w:trHeight w:val="612"/>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rPr>
            </w:pPr>
            <w:r>
              <w:rPr>
                <w:rFonts w:hint="eastAsia" w:ascii="微软雅黑" w:hAnsi="微软雅黑" w:cs="微软雅黑"/>
              </w:rPr>
              <w:t xml:space="preserve">2</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rPr>
            </w:pPr>
            <w:r>
              <w:rPr>
                <w:rFonts w:hint="eastAsia" w:ascii="微软雅黑" w:hAnsi="微软雅黑" w:cs="微软雅黑"/>
              </w:rPr>
            </w:r>
            <w:r/>
          </w:p>
        </w:tc>
      </w:tr>
      <w:tr>
        <w:trPr>
          <w:trHeight w:val="645"/>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rPr>
            </w:pPr>
            <w:r>
              <w:rPr>
                <w:rFonts w:hint="eastAsia" w:ascii="微软雅黑" w:hAnsi="微软雅黑" w:cs="微软雅黑"/>
              </w:rPr>
              <w:t xml:space="preserve">3</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rPr>
            </w:pPr>
            <w:r>
              <w:rPr>
                <w:rFonts w:hint="eastAsia" w:ascii="微软雅黑" w:hAnsi="微软雅黑" w:cs="微软雅黑"/>
              </w:rPr>
            </w:r>
            <w:r/>
          </w:p>
        </w:tc>
      </w:tr>
    </w:tbl>
    <w:p>
      <w:pPr>
        <w:spacing w:line="420" w:lineRule="exact"/>
        <w:rPr>
          <w:rFonts w:hint="eastAsia" w:ascii="微软雅黑" w:hAnsi="微软雅黑" w:cs="微软雅黑"/>
          <w:sz w:val="28"/>
        </w:rPr>
      </w:pPr>
      <w:r>
        <w:rPr>
          <w:rFonts w:hint="eastAsia" w:ascii="微软雅黑" w:hAnsi="微软雅黑" w:cs="微软雅黑"/>
          <w:sz w:val="28"/>
        </w:rPr>
      </w:r>
      <w:r/>
    </w:p>
    <w:p>
      <w:pPr>
        <w:rPr>
          <w:rFonts w:hint="eastAsia" w:ascii="微软雅黑" w:hAnsi="微软雅黑" w:cs="微软雅黑"/>
        </w:rPr>
      </w:pPr>
      <w:r>
        <w:rPr>
          <w:rFonts w:hint="eastAsia" w:ascii="微软雅黑" w:hAnsi="微软雅黑" w:cs="微软雅黑"/>
        </w:rPr>
        <w:t xml:space="preserve">供应商全称（公章）：        </w:t>
      </w:r>
      <w:r/>
    </w:p>
    <w:p>
      <w:pPr>
        <w:rPr>
          <w:rFonts w:hint="eastAsia" w:ascii="微软雅黑" w:hAnsi="微软雅黑" w:cs="微软雅黑"/>
        </w:rPr>
      </w:pPr>
      <w:r>
        <w:rPr>
          <w:rFonts w:hint="eastAsia" w:ascii="微软雅黑" w:hAnsi="微软雅黑" w:cs="微软雅黑"/>
        </w:rPr>
        <w:t xml:space="preserve">法定代表人（授权代表）（签字/盖章）：   </w:t>
      </w:r>
      <w:r/>
    </w:p>
    <w:p>
      <w:pPr>
        <w:pStyle w:val="1154"/>
        <w:ind w:left="0"/>
        <w:rPr>
          <w:rFonts w:hint="eastAsia" w:ascii="微软雅黑" w:hAnsi="微软雅黑" w:cs="微软雅黑"/>
        </w:rPr>
      </w:pPr>
      <w:r>
        <w:rPr>
          <w:rFonts w:hint="eastAsia" w:ascii="微软雅黑" w:hAnsi="微软雅黑" w:cs="微软雅黑"/>
        </w:rPr>
        <w:t xml:space="preserve">日期：</w:t>
      </w:r>
      <w:r/>
    </w:p>
    <w:p>
      <w:pPr>
        <w:ind w:firstLine="140"/>
        <w:spacing w:line="420" w:lineRule="exact"/>
        <w:rPr>
          <w:rFonts w:hint="eastAsia" w:ascii="微软雅黑" w:hAnsi="微软雅黑" w:cs="微软雅黑"/>
          <w:sz w:val="28"/>
        </w:rPr>
      </w:pPr>
      <w:r>
        <w:rPr>
          <w:rFonts w:hint="eastAsia" w:ascii="微软雅黑" w:hAnsi="微软雅黑" w:cs="微软雅黑"/>
          <w:sz w:val="28"/>
        </w:rPr>
      </w:r>
      <w:r/>
    </w:p>
    <w:p>
      <w:pPr>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w:t>
      </w:r>
      <w:r/>
    </w:p>
    <w:p>
      <w:pPr>
        <w:numPr>
          <w:ilvl w:val="3"/>
          <w:numId w:val="18"/>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p>
    <w:p>
      <w:pPr>
        <w:numPr>
          <w:ilvl w:val="3"/>
          <w:numId w:val="18"/>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投标供应商根据项目方案添加的设备、材料等也请列出。</w:t>
      </w:r>
      <w:r/>
    </w:p>
    <w:p>
      <w:pPr>
        <w:numPr>
          <w:ilvl w:val="3"/>
          <w:numId w:val="18"/>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是否偏离用符号“+、=、-”分别表示正偏离、完全响应、负偏离。</w:t>
      </w:r>
      <w:r/>
    </w:p>
    <w:p>
      <w:pPr>
        <w:numPr>
          <w:ilvl w:val="3"/>
          <w:numId w:val="18"/>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投标供应商必须仔细阅读本采购文件“第四章”中所有技术规范条款和相关功能要求，并对技术参数和功能偏离情况逐条列入上表，</w:t>
      </w:r>
      <w:r>
        <w:rPr>
          <w:rFonts w:hint="eastAsia" w:ascii="微软雅黑" w:hAnsi="微软雅黑" w:cs="微软雅黑"/>
          <w:b/>
          <w:sz w:val="18"/>
          <w:szCs w:val="18"/>
        </w:rPr>
        <w:t xml:space="preserve">未列入上表的视为不响应采购文件要求。</w:t>
      </w:r>
      <w:r>
        <w:rPr>
          <w:rFonts w:hint="eastAsia" w:ascii="微软雅黑" w:hAnsi="微软雅黑" w:cs="微软雅黑"/>
          <w:sz w:val="18"/>
          <w:szCs w:val="18"/>
        </w:rPr>
        <w:t xml:space="preserve">投标供应商必须根据所投货物、工程或服务的实际情况如实填写，评委会如发现有虚假描述的，该投标文件视为无效。</w:t>
      </w:r>
      <w:r/>
    </w:p>
    <w:p>
      <w:pPr>
        <w:numPr>
          <w:ilvl w:val="3"/>
          <w:numId w:val="18"/>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若投标文件中出现技术参数和功能与此表表述不一致的，以此表为准。</w:t>
      </w:r>
      <w:r/>
    </w:p>
    <w:p>
      <w:pPr>
        <w:pStyle w:val="1154"/>
        <w:ind w:left="1260"/>
        <w:rPr>
          <w:rFonts w:hint="eastAsia" w:ascii="微软雅黑" w:hAnsi="微软雅黑" w:cs="微软雅黑"/>
          <w:szCs w:val="21"/>
        </w:rPr>
      </w:pPr>
      <w:r>
        <w:rPr>
          <w:rFonts w:hint="eastAsia" w:ascii="微软雅黑" w:hAnsi="微软雅黑" w:cs="微软雅黑"/>
          <w:szCs w:val="21"/>
        </w:rPr>
      </w:r>
      <w:r/>
    </w:p>
    <w:p>
      <w:pPr>
        <w:rPr>
          <w:rFonts w:hint="eastAsia" w:ascii="微软雅黑" w:hAnsi="微软雅黑" w:cs="微软雅黑"/>
          <w:szCs w:val="21"/>
        </w:rPr>
      </w:pPr>
      <w:r>
        <w:rPr>
          <w:rFonts w:hint="eastAsia" w:ascii="微软雅黑" w:hAnsi="微软雅黑" w:cs="微软雅黑"/>
          <w:szCs w:val="21"/>
        </w:rPr>
      </w:r>
      <w:r/>
    </w:p>
    <w:p>
      <w:pPr>
        <w:pStyle w:val="1154"/>
        <w:ind w:left="0"/>
        <w:rPr>
          <w:rFonts w:hint="eastAsia" w:ascii="微软雅黑" w:hAnsi="微软雅黑" w:cs="微软雅黑"/>
        </w:rPr>
      </w:pPr>
      <w:r>
        <w:rPr>
          <w:rFonts w:hint="eastAsia" w:ascii="微软雅黑" w:hAnsi="微软雅黑" w:cs="微软雅黑"/>
        </w:rPr>
      </w:r>
      <w:r/>
    </w:p>
    <w:p>
      <w:pPr>
        <w:pStyle w:val="1138"/>
        <w:rPr>
          <w:rFonts w:hint="eastAsia" w:ascii="微软雅黑" w:hAnsi="微软雅黑" w:eastAsia="微软雅黑" w:cs="微软雅黑"/>
        </w:rPr>
        <w:sectPr>
          <w:headerReference w:type="default" r:id="rId13"/>
          <w:footnotePr/>
          <w:endnotePr/>
          <w:type w:val="nextPage"/>
          <w:pgSz w:w="11906" w:h="16838" w:orient="portrait"/>
          <w:pgMar w:top="1440" w:right="1797" w:bottom="1440" w:left="1797" w:header="851" w:footer="992" w:gutter="0"/>
          <w:cols w:num="1" w:sep="0" w:space="720" w:equalWidth="1"/>
          <w:docGrid w:linePitch="360"/>
        </w:sectPr>
      </w:pPr>
      <w:r/>
      <w:bookmarkStart w:id="244" w:name="_Toc493455961"/>
      <w:r/>
      <w:bookmarkStart w:id="245" w:name="_Toc365968482"/>
      <w:r/>
      <w:r/>
    </w:p>
    <w:p>
      <w:pPr>
        <w:pStyle w:val="1138"/>
        <w:jc w:val="center"/>
        <w:spacing w:before="260" w:after="260" w:line="416" w:lineRule="auto"/>
        <w:rPr>
          <w:rFonts w:hint="eastAsia" w:ascii="微软雅黑" w:hAnsi="微软雅黑" w:eastAsia="微软雅黑" w:cs="微软雅黑"/>
          <w:b/>
          <w:sz w:val="24"/>
          <w:szCs w:val="24"/>
        </w:rPr>
      </w:pPr>
      <w:r/>
      <w:bookmarkStart w:id="246" w:name="_Toc9969"/>
      <w:r/>
      <w:bookmarkStart w:id="247" w:name="_Toc6066"/>
      <w:r/>
      <w:bookmarkStart w:id="248" w:name="_Toc3562"/>
      <w:r/>
      <w:bookmarkStart w:id="249" w:name="_Toc12809"/>
      <w:r/>
      <w:bookmarkStart w:id="250" w:name="_Toc13843"/>
      <w:r/>
      <w:bookmarkStart w:id="251" w:name="_Toc32589"/>
      <w:r>
        <w:rPr>
          <w:rFonts w:hint="eastAsia" w:ascii="微软雅黑" w:hAnsi="微软雅黑" w:eastAsia="微软雅黑" w:cs="微软雅黑"/>
          <w:b/>
          <w:sz w:val="24"/>
          <w:szCs w:val="24"/>
        </w:rPr>
        <w:t xml:space="preserve">5.商务要求响应表</w:t>
      </w:r>
      <w:bookmarkEnd w:id="244"/>
      <w:r/>
      <w:bookmarkEnd w:id="245"/>
      <w:r/>
      <w:bookmarkEnd w:id="246"/>
      <w:r/>
      <w:bookmarkEnd w:id="247"/>
      <w:r/>
      <w:bookmarkEnd w:id="248"/>
      <w:r/>
      <w:bookmarkEnd w:id="249"/>
      <w:r/>
      <w:bookmarkEnd w:id="250"/>
      <w:r/>
      <w:bookmarkEnd w:id="251"/>
      <w:r/>
      <w:r/>
    </w:p>
    <w:tbl>
      <w:tblPr>
        <w:tblStyle w:val="1146"/>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1134"/>
      </w:tblGrid>
      <w:tr>
        <w:trPr>
          <w:trHeight w:val="64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b/>
                <w:bCs/>
              </w:rPr>
            </w:pPr>
            <w:r>
              <w:rPr>
                <w:rFonts w:hint="eastAsia" w:ascii="微软雅黑" w:hAnsi="微软雅黑" w:cs="微软雅黑"/>
                <w:b/>
                <w:bCs/>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b/>
                <w:bCs/>
              </w:rPr>
            </w:pPr>
            <w:r>
              <w:rPr>
                <w:rFonts w:hint="eastAsia" w:ascii="微软雅黑" w:hAnsi="微软雅黑" w:cs="微软雅黑"/>
                <w:b/>
                <w:bCs/>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微软雅黑" w:hAnsi="微软雅黑" w:cs="微软雅黑"/>
                <w:b/>
                <w:bCs/>
              </w:rPr>
            </w:pPr>
            <w:r>
              <w:rPr>
                <w:rFonts w:hint="eastAsia" w:ascii="微软雅黑" w:hAnsi="微软雅黑" w:cs="微软雅黑"/>
                <w:b/>
                <w:bCs/>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ascii="微软雅黑" w:hAnsi="微软雅黑" w:cs="微软雅黑"/>
                <w:b/>
                <w:bCs/>
              </w:rPr>
            </w:pPr>
            <w:r>
              <w:rPr>
                <w:rFonts w:hint="eastAsia" w:ascii="微软雅黑" w:hAnsi="微软雅黑" w:cs="微软雅黑"/>
                <w:b/>
                <w:bCs/>
              </w:rPr>
              <w:t xml:space="preserve">投标供应商的承诺或说明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微软雅黑" w:hAnsi="微软雅黑" w:cs="微软雅黑"/>
                <w:b/>
                <w:bCs/>
              </w:rPr>
            </w:pPr>
            <w:r>
              <w:rPr>
                <w:rFonts w:hint="eastAsia" w:ascii="微软雅黑" w:hAnsi="微软雅黑" w:cs="微软雅黑"/>
                <w:b/>
                <w:bCs/>
              </w:rPr>
              <w:t xml:space="preserve">偏离</w:t>
            </w:r>
            <w:r/>
          </w:p>
          <w:p>
            <w:pPr>
              <w:jc w:val="center"/>
              <w:rPr>
                <w:rFonts w:hint="eastAsia" w:ascii="微软雅黑" w:hAnsi="微软雅黑" w:cs="微软雅黑"/>
                <w:b/>
                <w:bCs/>
              </w:rPr>
            </w:pPr>
            <w:r>
              <w:rPr>
                <w:rFonts w:hint="eastAsia" w:ascii="微软雅黑" w:hAnsi="微软雅黑" w:cs="微软雅黑"/>
                <w:b/>
                <w:bCs/>
              </w:rPr>
              <w:t xml:space="preserve">情况</w:t>
            </w:r>
            <w:r/>
          </w:p>
        </w:tc>
      </w:tr>
      <w:tr>
        <w:trPr>
          <w:trHeight w:val="447"/>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r>
        <w:trPr>
          <w:trHeight w:val="512"/>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r>
        <w:trPr>
          <w:trHeight w:val="5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r>
        <w:trPr>
          <w:trHeight w:val="4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r>
        <w:trPr>
          <w:trHeight w:val="57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r>
        <w:trPr>
          <w:trHeight w:val="40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7</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bl>
    <w:p>
      <w:pPr>
        <w:rPr>
          <w:rFonts w:hint="eastAsia" w:ascii="微软雅黑" w:hAnsi="微软雅黑" w:cs="微软雅黑"/>
        </w:rPr>
      </w:pPr>
      <w:r>
        <w:rPr>
          <w:rFonts w:hint="eastAsia" w:ascii="微软雅黑" w:hAnsi="微软雅黑" w:cs="微软雅黑"/>
        </w:rPr>
        <w:t xml:space="preserve">供应商全称（公章）：        </w:t>
      </w:r>
      <w:r/>
    </w:p>
    <w:p>
      <w:pPr>
        <w:rPr>
          <w:rFonts w:hint="eastAsia" w:ascii="微软雅黑" w:hAnsi="微软雅黑" w:cs="微软雅黑"/>
        </w:rPr>
      </w:pPr>
      <w:r>
        <w:rPr>
          <w:rFonts w:hint="eastAsia" w:ascii="微软雅黑" w:hAnsi="微软雅黑" w:cs="微软雅黑"/>
        </w:rPr>
        <w:t xml:space="preserve">法定代表人（授权代表）（签字/盖章）：   </w:t>
      </w:r>
      <w:r/>
    </w:p>
    <w:p>
      <w:pPr>
        <w:pStyle w:val="1154"/>
        <w:ind w:left="0"/>
        <w:rPr>
          <w:rFonts w:hint="eastAsia" w:ascii="微软雅黑" w:hAnsi="微软雅黑" w:cs="微软雅黑"/>
          <w:sz w:val="28"/>
          <w:szCs w:val="28"/>
        </w:rPr>
      </w:pPr>
      <w:r>
        <w:rPr>
          <w:rFonts w:hint="eastAsia" w:ascii="微软雅黑" w:hAnsi="微软雅黑" w:cs="微软雅黑"/>
        </w:rPr>
        <w:t xml:space="preserve">日期：</w:t>
      </w:r>
      <w:r/>
    </w:p>
    <w:p>
      <w:pPr>
        <w:rPr>
          <w:rFonts w:hint="eastAsia" w:ascii="微软雅黑" w:hAnsi="微软雅黑" w:cs="微软雅黑"/>
          <w:sz w:val="18"/>
          <w:szCs w:val="18"/>
        </w:rPr>
      </w:pPr>
      <w:r/>
      <w:bookmarkStart w:id="252" w:name="_Toc365968484"/>
      <w:r/>
      <w:bookmarkStart w:id="253" w:name="_Toc351733249"/>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此表为表样，行数可自行添加，但表式不变。</w:t>
      </w:r>
      <w:r/>
    </w:p>
    <w:p>
      <w:pPr>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投标供应商根据项目添加的服务承诺、培训等也请列出。</w:t>
      </w:r>
      <w:r/>
    </w:p>
    <w:p>
      <w:pPr>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3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③</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是否偏离用符号“+、=、-”分别表示正偏离、完全响应、负偏离。</w:t>
      </w:r>
      <w:r/>
    </w:p>
    <w:p>
      <w:pPr>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4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④</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投标供应商必须仔细阅读本采购文件“第四章”中所有商务条款和相关服务要求，并对所有商务条款和服务要求偏离的条目列入上表，</w:t>
      </w:r>
      <w:r>
        <w:rPr>
          <w:rFonts w:hint="eastAsia" w:ascii="微软雅黑" w:hAnsi="微软雅黑" w:cs="微软雅黑"/>
          <w:b/>
          <w:sz w:val="18"/>
          <w:szCs w:val="18"/>
        </w:rPr>
        <w:t xml:space="preserve">未列入上表的视为不响应采购文件要求。</w:t>
      </w:r>
      <w:r>
        <w:rPr>
          <w:rFonts w:hint="eastAsia" w:ascii="微软雅黑" w:hAnsi="微软雅黑" w:cs="微软雅黑"/>
          <w:sz w:val="18"/>
          <w:szCs w:val="18"/>
        </w:rPr>
        <w:t xml:space="preserve">投标供应商必须根据所将提供服务的实际情况如实填写，评委会如发现有虚假描述的，该投标文件视为无效。</w:t>
      </w:r>
      <w:r/>
    </w:p>
    <w:p>
      <w:pPr>
        <w:pStyle w:val="1154"/>
        <w:ind w:left="1260"/>
        <w:rPr>
          <w:rFonts w:hint="eastAsia" w:ascii="微软雅黑" w:hAnsi="微软雅黑" w:cs="微软雅黑"/>
          <w:sz w:val="18"/>
          <w:szCs w:val="18"/>
        </w:rPr>
      </w:pPr>
      <w:r>
        <w:rPr>
          <w:rFonts w:hint="eastAsia" w:ascii="微软雅黑" w:hAnsi="微软雅黑" w:cs="微软雅黑"/>
          <w:sz w:val="18"/>
          <w:szCs w:val="18"/>
        </w:rPr>
      </w:r>
      <w:r/>
    </w:p>
    <w:p>
      <w:pPr>
        <w:rPr>
          <w:rFonts w:hint="eastAsia" w:ascii="微软雅黑" w:hAnsi="微软雅黑" w:cs="微软雅黑"/>
          <w:sz w:val="18"/>
          <w:szCs w:val="18"/>
        </w:rPr>
      </w:pPr>
      <w:r>
        <w:rPr>
          <w:rFonts w:hint="eastAsia" w:ascii="微软雅黑" w:hAnsi="微软雅黑" w:cs="微软雅黑"/>
          <w:sz w:val="18"/>
          <w:szCs w:val="18"/>
        </w:rPr>
      </w:r>
      <w:r/>
    </w:p>
    <w:p>
      <w:pPr>
        <w:pStyle w:val="1154"/>
        <w:ind w:left="1260"/>
        <w:rPr>
          <w:rFonts w:hint="eastAsia" w:ascii="微软雅黑" w:hAnsi="微软雅黑" w:cs="微软雅黑"/>
        </w:rPr>
      </w:pPr>
      <w:r>
        <w:rPr>
          <w:rFonts w:hint="eastAsia" w:ascii="微软雅黑" w:hAnsi="微软雅黑" w:cs="微软雅黑"/>
        </w:rPr>
      </w:r>
      <w:r/>
    </w:p>
    <w:p>
      <w:pPr>
        <w:rPr>
          <w:rFonts w:hint="eastAsia" w:ascii="微软雅黑" w:hAnsi="微软雅黑" w:cs="微软雅黑"/>
        </w:rPr>
      </w:pPr>
      <w:r>
        <w:rPr>
          <w:rFonts w:hint="eastAsia" w:ascii="微软雅黑" w:hAnsi="微软雅黑" w:cs="微软雅黑"/>
        </w:rPr>
      </w:r>
      <w:r/>
    </w:p>
    <w:p>
      <w:pPr>
        <w:rPr>
          <w:rFonts w:hint="eastAsia" w:ascii="微软雅黑" w:hAnsi="微软雅黑" w:cs="微软雅黑"/>
          <w:b/>
          <w:sz w:val="24"/>
          <w:szCs w:val="24"/>
        </w:rPr>
      </w:pPr>
      <w:r/>
      <w:bookmarkStart w:id="254" w:name="_Toc32186"/>
      <w:r/>
      <w:bookmarkStart w:id="255" w:name="_Toc21386"/>
      <w:r/>
      <w:bookmarkStart w:id="256" w:name="_Toc7701"/>
      <w:r/>
      <w:bookmarkStart w:id="257" w:name="_Toc6511"/>
      <w:r>
        <w:rPr>
          <w:rFonts w:hint="eastAsia" w:ascii="微软雅黑" w:hAnsi="微软雅黑" w:cs="微软雅黑"/>
          <w:b/>
          <w:sz w:val="24"/>
          <w:szCs w:val="24"/>
        </w:rPr>
        <w:br w:type="page" w:clear="all"/>
      </w:r>
      <w:r/>
    </w:p>
    <w:p>
      <w:pPr>
        <w:pStyle w:val="1138"/>
        <w:jc w:val="center"/>
        <w:rPr>
          <w:rFonts w:hint="eastAsia" w:ascii="微软雅黑" w:hAnsi="微软雅黑" w:eastAsia="微软雅黑" w:cs="微软雅黑"/>
          <w:b/>
          <w:sz w:val="24"/>
          <w:szCs w:val="24"/>
        </w:rPr>
      </w:pPr>
      <w:r/>
      <w:bookmarkStart w:id="258" w:name="_Toc24972"/>
      <w:r/>
      <w:bookmarkStart w:id="259" w:name="_Toc606"/>
      <w:r>
        <w:rPr>
          <w:rFonts w:hint="eastAsia" w:ascii="微软雅黑" w:hAnsi="微软雅黑" w:eastAsia="微软雅黑" w:cs="微软雅黑"/>
          <w:b/>
          <w:sz w:val="24"/>
          <w:szCs w:val="24"/>
        </w:rPr>
        <w:t xml:space="preserve">6.项目实施方案</w:t>
      </w:r>
      <w:bookmarkEnd w:id="252"/>
      <w:r/>
      <w:bookmarkEnd w:id="253"/>
      <w:r/>
      <w:bookmarkEnd w:id="254"/>
      <w:r/>
      <w:bookmarkEnd w:id="255"/>
      <w:r/>
      <w:bookmarkEnd w:id="256"/>
      <w:r/>
      <w:bookmarkEnd w:id="257"/>
      <w:r/>
      <w:bookmarkEnd w:id="258"/>
      <w:r/>
      <w:bookmarkEnd w:id="259"/>
      <w:r/>
      <w:r/>
    </w:p>
    <w:p>
      <w:pPr>
        <w:jc w:val="center"/>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jc w:val="center"/>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jc w:val="center"/>
        <w:spacing w:line="420" w:lineRule="exact"/>
        <w:rPr>
          <w:rFonts w:hint="eastAsia" w:ascii="微软雅黑" w:hAnsi="微软雅黑" w:cs="微软雅黑"/>
          <w:b/>
          <w:bCs/>
          <w:sz w:val="24"/>
          <w:szCs w:val="24"/>
        </w:rPr>
      </w:pPr>
      <w:r>
        <w:rPr>
          <w:rFonts w:hint="eastAsia" w:ascii="微软雅黑" w:hAnsi="微软雅黑" w:cs="微软雅黑"/>
          <w:b/>
          <w:bCs/>
          <w:sz w:val="24"/>
          <w:szCs w:val="24"/>
        </w:rPr>
      </w:r>
      <w:r/>
    </w:p>
    <w:p>
      <w:pPr>
        <w:jc w:val="center"/>
        <w:spacing w:line="420" w:lineRule="exact"/>
        <w:rPr>
          <w:rFonts w:hint="eastAsia" w:ascii="微软雅黑" w:hAnsi="微软雅黑" w:cs="微软雅黑"/>
          <w:b/>
          <w:bCs/>
          <w:sz w:val="28"/>
          <w:szCs w:val="28"/>
        </w:rPr>
      </w:pPr>
      <w:r>
        <w:rPr>
          <w:rFonts w:hint="eastAsia" w:ascii="微软雅黑" w:hAnsi="微软雅黑" w:cs="微软雅黑"/>
          <w:b/>
          <w:bCs/>
          <w:sz w:val="28"/>
          <w:szCs w:val="28"/>
        </w:rPr>
      </w:r>
      <w:r/>
    </w:p>
    <w:p>
      <w:pPr>
        <w:jc w:val="center"/>
        <w:spacing w:before="4" w:line="420" w:lineRule="exact"/>
        <w:widowControl/>
        <w:rPr>
          <w:rFonts w:hint="eastAsia" w:ascii="微软雅黑" w:hAnsi="微软雅黑" w:cs="微软雅黑"/>
          <w:szCs w:val="21"/>
        </w:rPr>
      </w:pPr>
      <w:r>
        <w:rPr>
          <w:rFonts w:hint="eastAsia" w:ascii="微软雅黑" w:hAnsi="微软雅黑" w:cs="微软雅黑"/>
          <w:szCs w:val="21"/>
        </w:rPr>
      </w:r>
      <w:r/>
    </w:p>
    <w:p>
      <w:pPr>
        <w:pStyle w:val="1138"/>
        <w:jc w:val="center"/>
        <w:rPr>
          <w:rFonts w:hint="eastAsia" w:ascii="微软雅黑" w:hAnsi="微软雅黑" w:eastAsia="微软雅黑" w:cs="微软雅黑"/>
          <w:b/>
          <w:sz w:val="24"/>
          <w:szCs w:val="24"/>
        </w:rPr>
      </w:pPr>
      <w:r/>
      <w:bookmarkStart w:id="260" w:name="_Toc31213"/>
      <w:r/>
      <w:bookmarkStart w:id="261" w:name="_Toc23735"/>
      <w:r/>
      <w:bookmarkStart w:id="262" w:name="_Toc30534"/>
      <w:r/>
      <w:bookmarkStart w:id="263" w:name="_Toc15270"/>
      <w:r/>
      <w:bookmarkStart w:id="264" w:name="_Toc9652"/>
      <w:r/>
      <w:bookmarkStart w:id="265" w:name="_Toc24270"/>
      <w:r/>
      <w:bookmarkStart w:id="266" w:name="_Toc449976348"/>
      <w:r/>
      <w:bookmarkStart w:id="267" w:name="_Toc457827980"/>
      <w:r/>
      <w:bookmarkStart w:id="268" w:name="_Toc397526836"/>
      <w:r>
        <w:rPr>
          <w:rFonts w:hint="eastAsia" w:ascii="微软雅黑" w:hAnsi="微软雅黑" w:eastAsia="微软雅黑" w:cs="微软雅黑"/>
          <w:b/>
          <w:sz w:val="24"/>
          <w:szCs w:val="24"/>
        </w:rPr>
        <w:t xml:space="preserve">7.售后服务方案</w:t>
      </w:r>
      <w:bookmarkEnd w:id="260"/>
      <w:r/>
      <w:bookmarkEnd w:id="261"/>
      <w:r/>
      <w:bookmarkEnd w:id="262"/>
      <w:r/>
      <w:bookmarkEnd w:id="263"/>
      <w:r/>
      <w:bookmarkEnd w:id="264"/>
      <w:r/>
      <w:bookmarkEnd w:id="265"/>
      <w:r/>
      <w:r/>
    </w:p>
    <w:p>
      <w:pPr>
        <w:rPr>
          <w:rFonts w:hint="eastAsia" w:ascii="微软雅黑" w:hAnsi="微软雅黑" w:cs="微软雅黑"/>
        </w:rPr>
      </w:pPr>
      <w:r/>
      <w:bookmarkStart w:id="269" w:name="_Toc493246896"/>
      <w:r/>
      <w:bookmarkStart w:id="270" w:name="_Toc481681071"/>
      <w:r/>
      <w:bookmarkStart w:id="271" w:name="_Toc475540203"/>
      <w:r/>
      <w:bookmarkStart w:id="272" w:name="_Toc459327385"/>
      <w:r/>
      <w:r/>
    </w:p>
    <w:p>
      <w:pPr>
        <w:rPr>
          <w:rFonts w:hint="eastAsia" w:ascii="微软雅黑" w:hAnsi="微软雅黑" w:cs="微软雅黑"/>
        </w:rPr>
      </w:pPr>
      <w:r>
        <w:rPr>
          <w:rFonts w:hint="eastAsia" w:ascii="微软雅黑" w:hAnsi="微软雅黑" w:cs="微软雅黑"/>
        </w:rPr>
      </w:r>
      <w:bookmarkEnd w:id="266"/>
      <w:r/>
      <w:bookmarkEnd w:id="267"/>
      <w:r/>
      <w:bookmarkEnd w:id="268"/>
      <w:r/>
      <w:bookmarkEnd w:id="269"/>
      <w:r/>
      <w:bookmarkEnd w:id="270"/>
      <w:r/>
      <w:bookmarkEnd w:id="271"/>
      <w:r/>
      <w:bookmarkEnd w:id="272"/>
      <w:r/>
      <w:r/>
    </w:p>
    <w:p>
      <w:pPr>
        <w:rPr>
          <w:rFonts w:hint="eastAsia" w:ascii="微软雅黑" w:hAnsi="微软雅黑" w:cs="微软雅黑"/>
        </w:rPr>
      </w:pPr>
      <w:r>
        <w:rPr>
          <w:rFonts w:hint="eastAsia" w:ascii="微软雅黑" w:hAnsi="微软雅黑" w:cs="微软雅黑"/>
        </w:rPr>
      </w:r>
      <w:r/>
    </w:p>
    <w:p>
      <w:pPr>
        <w:pStyle w:val="1138"/>
        <w:jc w:val="center"/>
        <w:rPr>
          <w:rFonts w:hint="eastAsia" w:ascii="微软雅黑" w:hAnsi="微软雅黑" w:eastAsia="微软雅黑" w:cs="微软雅黑"/>
          <w:b/>
          <w:sz w:val="24"/>
          <w:szCs w:val="24"/>
        </w:rPr>
      </w:pPr>
      <w:r>
        <w:rPr>
          <w:rFonts w:hint="eastAsia" w:ascii="微软雅黑" w:hAnsi="微软雅黑" w:eastAsia="微软雅黑" w:cs="微软雅黑"/>
        </w:rPr>
        <w:br w:type="page" w:clear="all"/>
      </w:r>
      <w:bookmarkStart w:id="273" w:name="_Toc24136"/>
      <w:r/>
      <w:bookmarkStart w:id="274" w:name="_Toc2821"/>
      <w:r/>
      <w:bookmarkStart w:id="275" w:name="_Toc27939"/>
      <w:r/>
      <w:bookmarkStart w:id="276" w:name="_Toc10525"/>
      <w:r/>
      <w:bookmarkStart w:id="277" w:name="_Toc30482"/>
      <w:r/>
      <w:bookmarkStart w:id="278" w:name="_Toc32438"/>
      <w:r>
        <w:rPr>
          <w:rFonts w:hint="eastAsia" w:ascii="微软雅黑" w:hAnsi="微软雅黑" w:eastAsia="微软雅黑" w:cs="微软雅黑"/>
          <w:b/>
          <w:sz w:val="24"/>
          <w:szCs w:val="24"/>
        </w:rPr>
        <w:t xml:space="preserve">8.经营业绩（提供合同复印件）</w:t>
      </w:r>
      <w:bookmarkEnd w:id="273"/>
      <w:r/>
      <w:bookmarkEnd w:id="274"/>
      <w:r/>
      <w:bookmarkEnd w:id="275"/>
      <w:r/>
      <w:bookmarkEnd w:id="276"/>
      <w:r/>
      <w:bookmarkEnd w:id="277"/>
      <w:r/>
      <w:bookmarkEnd w:id="278"/>
      <w:r/>
      <w:r/>
    </w:p>
    <w:tbl>
      <w:tblPr>
        <w:tblStyle w:val="11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6"/>
        <w:gridCol w:w="2011"/>
        <w:gridCol w:w="1752"/>
        <w:gridCol w:w="1116"/>
        <w:gridCol w:w="1132"/>
        <w:gridCol w:w="1682"/>
      </w:tblGrid>
      <w:tr>
        <w:trPr>
          <w:trHeight w:val="421"/>
        </w:trPr>
        <w:tc>
          <w:tcPr>
            <w:tcW w:w="365" w:type="pct"/>
            <w:vAlign w:val="center"/>
            <w:textDirection w:val="lrTb"/>
            <w:noWrap w:val="false"/>
          </w:tcPr>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序号</w:t>
            </w:r>
            <w:r/>
          </w:p>
        </w:tc>
        <w:tc>
          <w:tcPr>
            <w:tcW w:w="1211" w:type="pct"/>
            <w:vAlign w:val="center"/>
            <w:textDirection w:val="lrTb"/>
            <w:noWrap w:val="false"/>
          </w:tcPr>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业绩名称</w:t>
            </w:r>
            <w:r/>
          </w:p>
        </w:tc>
        <w:tc>
          <w:tcPr>
            <w:tcW w:w="1055" w:type="pct"/>
            <w:vAlign w:val="center"/>
            <w:textDirection w:val="lrTb"/>
            <w:noWrap w:val="false"/>
          </w:tcPr>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p>
        </w:tc>
        <w:tc>
          <w:tcPr>
            <w:tcW w:w="672" w:type="pct"/>
            <w:textDirection w:val="lrTb"/>
            <w:noWrap w:val="false"/>
          </w:tcPr>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签订</w:t>
            </w:r>
            <w:r/>
          </w:p>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时间</w:t>
            </w:r>
            <w:r/>
          </w:p>
        </w:tc>
        <w:tc>
          <w:tcPr>
            <w:tcW w:w="682" w:type="pct"/>
            <w:vAlign w:val="center"/>
            <w:textDirection w:val="lrTb"/>
            <w:noWrap w:val="false"/>
          </w:tcPr>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合同金额</w:t>
            </w:r>
            <w:r/>
          </w:p>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（万元）</w:t>
            </w:r>
            <w:r/>
          </w:p>
        </w:tc>
        <w:tc>
          <w:tcPr>
            <w:tcW w:w="1013" w:type="pct"/>
            <w:vAlign w:val="center"/>
            <w:textDirection w:val="lrTb"/>
            <w:noWrap w:val="false"/>
          </w:tcPr>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证明材料</w:t>
            </w:r>
            <w:r/>
          </w:p>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（第几页—第几页）</w:t>
            </w:r>
            <w:r/>
          </w:p>
        </w:tc>
      </w:tr>
      <w:tr>
        <w:trPr>
          <w:trHeight w:val="437"/>
        </w:trPr>
        <w:tc>
          <w:tcPr>
            <w:tcW w:w="36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211"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5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72" w:type="pct"/>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82"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13"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r>
      <w:tr>
        <w:trPr>
          <w:trHeight w:val="437"/>
        </w:trPr>
        <w:tc>
          <w:tcPr>
            <w:tcW w:w="36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211"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5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72" w:type="pct"/>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82"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13"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r>
      <w:tr>
        <w:trPr>
          <w:trHeight w:val="437"/>
        </w:trPr>
        <w:tc>
          <w:tcPr>
            <w:tcW w:w="36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211"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5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72" w:type="pct"/>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82"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13"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r>
      <w:tr>
        <w:trPr>
          <w:trHeight w:val="437"/>
        </w:trPr>
        <w:tc>
          <w:tcPr>
            <w:tcW w:w="36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211"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5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72" w:type="pct"/>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82"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13"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r>
      <w:tr>
        <w:trPr>
          <w:trHeight w:val="437"/>
        </w:trPr>
        <w:tc>
          <w:tcPr>
            <w:tcW w:w="36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211"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5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72" w:type="pct"/>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82"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13"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r>
    </w:tbl>
    <w:p>
      <w:pPr>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rPr>
          <w:rFonts w:hint="eastAsia" w:ascii="微软雅黑" w:hAnsi="微软雅黑" w:cs="微软雅黑"/>
        </w:rPr>
      </w:pPr>
      <w:r>
        <w:rPr>
          <w:rFonts w:hint="eastAsia" w:ascii="微软雅黑" w:hAnsi="微软雅黑" w:cs="微软雅黑"/>
        </w:rPr>
        <w:t xml:space="preserve">供应商全称（公章）：        </w:t>
      </w:r>
      <w:r/>
    </w:p>
    <w:p>
      <w:pPr>
        <w:pStyle w:val="1154"/>
        <w:ind w:left="0"/>
        <w:rPr>
          <w:rFonts w:hint="eastAsia" w:ascii="微软雅黑" w:hAnsi="微软雅黑" w:cs="微软雅黑"/>
          <w:sz w:val="28"/>
          <w:szCs w:val="28"/>
        </w:rPr>
      </w:pPr>
      <w:r>
        <w:rPr>
          <w:rFonts w:hint="eastAsia" w:ascii="微软雅黑" w:hAnsi="微软雅黑" w:cs="微软雅黑"/>
        </w:rPr>
        <w:t xml:space="preserve">日期：</w:t>
      </w:r>
      <w:r/>
    </w:p>
    <w:p>
      <w:pPr>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w:t>
      </w:r>
      <w:r/>
    </w:p>
    <w:p>
      <w:pPr>
        <w:ind w:firstLine="360"/>
        <w:spacing w:line="42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投标单位所提供的经营业绩列入上表中。评委将依据每个经营业绩所附证明材料的有效性判断该业绩有效性。</w:t>
      </w:r>
      <w:r/>
    </w:p>
    <w:p>
      <w:pPr>
        <w:ind w:firstLine="360"/>
        <w:spacing w:before="19" w:line="420" w:lineRule="exact"/>
        <w:widowControl/>
        <w:rPr>
          <w:rFonts w:hint="eastAsia" w:ascii="微软雅黑" w:hAnsi="微软雅黑" w:cs="微软雅黑"/>
          <w:sz w:val="18"/>
          <w:szCs w:val="18"/>
        </w:rPr>
      </w:pPr>
      <w:r>
        <w:rPr>
          <w:rFonts w:hint="eastAsia" w:ascii="微软雅黑" w:hAnsi="微软雅黑" w:cs="微软雅黑"/>
          <w:sz w:val="18"/>
          <w:szCs w:val="18"/>
        </w:rPr>
      </w:r>
      <w:r/>
    </w:p>
    <w:p>
      <w:pPr>
        <w:ind w:firstLine="360"/>
        <w:spacing w:before="19" w:line="420" w:lineRule="exact"/>
        <w:widowControl/>
        <w:rPr>
          <w:rFonts w:hint="eastAsia" w:ascii="微软雅黑" w:hAnsi="微软雅黑" w:cs="微软雅黑"/>
          <w:sz w:val="18"/>
          <w:szCs w:val="18"/>
        </w:rPr>
      </w:pPr>
      <w:r>
        <w:rPr>
          <w:rFonts w:hint="eastAsia" w:ascii="微软雅黑" w:hAnsi="微软雅黑" w:cs="微软雅黑"/>
          <w:sz w:val="18"/>
          <w:szCs w:val="18"/>
        </w:rPr>
      </w:r>
      <w:r/>
    </w:p>
    <w:p>
      <w:pPr>
        <w:ind w:firstLine="360"/>
        <w:spacing w:before="19" w:line="420" w:lineRule="exact"/>
        <w:widowControl/>
        <w:rPr>
          <w:rFonts w:hint="eastAsia" w:ascii="微软雅黑" w:hAnsi="微软雅黑" w:cs="微软雅黑"/>
          <w:b/>
          <w:szCs w:val="21"/>
        </w:rPr>
      </w:pPr>
      <w:r>
        <w:rPr>
          <w:rFonts w:hint="eastAsia" w:ascii="微软雅黑" w:hAnsi="微软雅黑" w:cs="微软雅黑"/>
          <w:sz w:val="18"/>
          <w:szCs w:val="18"/>
        </w:rPr>
        <w:t xml:space="preserve"> </w:t>
      </w:r>
      <w:r>
        <w:rPr>
          <w:rFonts w:hint="eastAsia" w:ascii="微软雅黑" w:hAnsi="微软雅黑" w:cs="微软雅黑"/>
          <w:b/>
          <w:i/>
          <w:iCs/>
          <w:sz w:val="24"/>
          <w:szCs w:val="24"/>
          <w:u w:val="single"/>
        </w:rPr>
        <w:t xml:space="preserve">注： 1－5项为必须提供的内容，未提供或未按要求提供将不能通过符合性审查。</w:t>
      </w:r>
      <w:r/>
    </w:p>
    <w:p>
      <w:pPr>
        <w:pStyle w:val="1137"/>
        <w:numPr>
          <w:ilvl w:val="0"/>
          <w:numId w:val="19"/>
        </w:numPr>
        <w:jc w:val="center"/>
        <w:rPr>
          <w:rFonts w:hint="eastAsia" w:ascii="微软雅黑" w:hAnsi="微软雅黑" w:eastAsia="微软雅黑" w:cs="微软雅黑"/>
          <w:b/>
          <w:bCs/>
          <w:sz w:val="28"/>
          <w:szCs w:val="32"/>
        </w:rPr>
      </w:pPr>
      <w:r/>
      <w:bookmarkStart w:id="279" w:name="__x000F_二、资格证明文件"/>
      <w:r>
        <w:rPr>
          <w:rFonts w:hint="eastAsia" w:ascii="微软雅黑" w:hAnsi="微软雅黑" w:eastAsia="微软雅黑" w:cs="微软雅黑"/>
        </w:rPr>
        <w:br w:type="page" w:clear="all"/>
      </w:r>
      <w:bookmarkEnd w:id="279"/>
      <w:r/>
      <w:bookmarkStart w:id="280" w:name="_Toc1146"/>
      <w:r/>
      <w:bookmarkStart w:id="281" w:name="_Toc19940"/>
      <w:r/>
      <w:bookmarkStart w:id="282" w:name="_Toc7939"/>
      <w:r/>
      <w:bookmarkStart w:id="283" w:name="_Toc24805"/>
      <w:r/>
      <w:bookmarkStart w:id="284" w:name="_Toc6245"/>
      <w:r/>
      <w:bookmarkStart w:id="285" w:name="_Toc13809"/>
      <w:r>
        <w:rPr>
          <w:rFonts w:hint="eastAsia" w:ascii="微软雅黑" w:hAnsi="微软雅黑" w:eastAsia="微软雅黑" w:cs="微软雅黑"/>
          <w:b/>
          <w:bCs/>
          <w:sz w:val="28"/>
          <w:szCs w:val="32"/>
        </w:rPr>
        <w:t xml:space="preserve">资格证明文件格式</w:t>
      </w:r>
      <w:bookmarkEnd w:id="280"/>
      <w:r/>
      <w:bookmarkEnd w:id="281"/>
      <w:r/>
      <w:bookmarkEnd w:id="282"/>
      <w:r/>
      <w:bookmarkEnd w:id="283"/>
      <w:r/>
      <w:bookmarkEnd w:id="284"/>
      <w:r/>
      <w:bookmarkEnd w:id="285"/>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1.2具有良好的商业信誉和健全的财务会计制度（提供</w:t>
      </w:r>
      <w:r>
        <w:rPr>
          <w:rFonts w:hint="eastAsia" w:ascii="微软雅黑" w:hAnsi="微软雅黑" w:cs="微软雅黑"/>
          <w:szCs w:val="21"/>
          <w:lang w:eastAsia="zh-CN"/>
        </w:rPr>
        <w:t xml:space="preserve">2026年3月</w:t>
      </w:r>
      <w:r>
        <w:rPr>
          <w:rFonts w:hint="eastAsia" w:ascii="微软雅黑" w:hAnsi="微软雅黑" w:cs="微软雅黑"/>
          <w:szCs w:val="21"/>
        </w:rPr>
        <w:t xml:space="preserve">至投标截止时间前任一月份的资产负债表和利润表，或2025年度审计报告（包括报告及报告中所附的完整内容，并由注册会计师签名、盖章以及会计师事务所盖章），或银行出具的资信证明，或财政部门认可的专业担保机构出具的投标担保函）；</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（法人或者其他组织成立未满一年的可以不提供）</w:t>
      </w:r>
      <w:r/>
    </w:p>
    <w:p>
      <w:pPr>
        <w:ind w:firstLine="420"/>
        <w:spacing w:line="42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p>
    <w:p>
      <w:pPr>
        <w:ind w:firstLine="420"/>
        <w:spacing w:line="42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1.4.1有依法缴纳税收和社会保障资金的良好记录（提供</w:t>
      </w:r>
      <w:r>
        <w:rPr>
          <w:rFonts w:hint="eastAsia" w:ascii="微软雅黑" w:hAnsi="微软雅黑" w:cs="微软雅黑"/>
          <w:szCs w:val="21"/>
          <w:lang w:eastAsia="zh-CN"/>
        </w:rPr>
        <w:t xml:space="preserve">2026年3月</w:t>
      </w:r>
      <w:r>
        <w:rPr>
          <w:rFonts w:hint="eastAsia" w:ascii="微软雅黑" w:hAnsi="微软雅黑" w:cs="微软雅黑"/>
          <w:szCs w:val="21"/>
        </w:rPr>
        <w:t xml:space="preserve">至投标截止时间前任一月份依法缴纳税收的凭据（企业代缴的个人所得税除外）。依法免税的投标供应商，应提供相应文件证明）；</w:t>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1.4.2有依法缴纳社会保障资金的良好记录（提供</w:t>
      </w:r>
      <w:r>
        <w:rPr>
          <w:rFonts w:hint="eastAsia" w:ascii="微软雅黑" w:hAnsi="微软雅黑" w:cs="微软雅黑"/>
          <w:szCs w:val="21"/>
          <w:lang w:eastAsia="zh-CN"/>
        </w:rPr>
        <w:t xml:space="preserve">2026年3月</w:t>
      </w:r>
      <w:r>
        <w:rPr>
          <w:rFonts w:hint="eastAsia" w:ascii="微软雅黑" w:hAnsi="微软雅黑" w:cs="微软雅黑"/>
          <w:szCs w:val="21"/>
        </w:rPr>
        <w:t xml:space="preserve">至投标截止时间前任一月份依法缴纳社会保险的凭据（专用收据或社会保险的凭据）。依法不需要缴纳社会保障资金的投标供应商，应提供相应文件证明）；</w:t>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p>
    <w:p>
      <w:pPr>
        <w:jc w:val="center"/>
        <w:spacing w:before="156"/>
        <w:rPr>
          <w:rFonts w:hint="eastAsia" w:ascii="微软雅黑" w:hAnsi="微软雅黑" w:cs="微软雅黑"/>
          <w:b/>
          <w:bCs/>
          <w:sz w:val="24"/>
          <w:szCs w:val="24"/>
        </w:rPr>
      </w:pPr>
      <w:r>
        <w:rPr>
          <w:rFonts w:hint="eastAsia" w:ascii="微软雅黑" w:hAnsi="微软雅黑" w:cs="微软雅黑"/>
          <w:b/>
          <w:bCs/>
          <w:sz w:val="24"/>
          <w:szCs w:val="24"/>
        </w:rPr>
        <w:t xml:space="preserve">声  明</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p>
    <w:p>
      <w:pPr>
        <w:ind w:firstLine="480"/>
        <w:spacing w:line="360" w:lineRule="auto"/>
        <w:rPr>
          <w:rFonts w:hint="eastAsia" w:ascii="微软雅黑" w:hAnsi="微软雅黑" w:cs="微软雅黑"/>
          <w:sz w:val="24"/>
          <w:szCs w:val="24"/>
        </w:rPr>
      </w:pPr>
      <w:r>
        <w:rPr>
          <w:rFonts w:hint="eastAsia" w:ascii="微软雅黑" w:hAnsi="微软雅黑" w:cs="微软雅黑"/>
          <w:sz w:val="24"/>
          <w:szCs w:val="24"/>
        </w:rPr>
      </w:r>
      <w:r/>
    </w:p>
    <w:p>
      <w:pPr>
        <w:spacing w:line="360" w:lineRule="auto"/>
        <w:rPr>
          <w:rFonts w:hint="eastAsia" w:ascii="微软雅黑" w:hAnsi="微软雅黑" w:cs="微软雅黑"/>
          <w:sz w:val="24"/>
          <w:szCs w:val="24"/>
        </w:rPr>
      </w:pPr>
      <w:r>
        <w:rPr>
          <w:rFonts w:hint="eastAsia" w:ascii="微软雅黑" w:hAnsi="微软雅黑" w:cs="微软雅黑"/>
          <w:sz w:val="24"/>
          <w:szCs w:val="24"/>
        </w:rPr>
      </w:r>
      <w:r/>
    </w:p>
    <w:p>
      <w:pPr>
        <w:spacing w:line="360" w:lineRule="auto"/>
        <w:rPr>
          <w:rFonts w:hint="eastAsia" w:ascii="微软雅黑" w:hAnsi="微软雅黑" w:cs="微软雅黑"/>
          <w:szCs w:val="21"/>
        </w:rPr>
      </w:pPr>
      <w:r>
        <w:rPr>
          <w:rFonts w:hint="eastAsia" w:ascii="微软雅黑" w:hAnsi="微软雅黑" w:cs="微软雅黑"/>
          <w:sz w:val="24"/>
          <w:szCs w:val="24"/>
        </w:rPr>
        <w:t xml:space="preserve">                   </w:t>
      </w:r>
      <w:r>
        <w:rPr>
          <w:rFonts w:hint="eastAsia" w:ascii="微软雅黑" w:hAnsi="微软雅黑" w:cs="微软雅黑"/>
          <w:szCs w:val="21"/>
        </w:rPr>
        <w:t xml:space="preserve">供应商全称（公章）：</w:t>
      </w:r>
      <w:r/>
    </w:p>
    <w:p>
      <w:pPr>
        <w:spacing w:line="360" w:lineRule="auto"/>
        <w:rPr>
          <w:rFonts w:hint="eastAsia" w:ascii="微软雅黑" w:hAnsi="微软雅黑" w:cs="微软雅黑"/>
          <w:szCs w:val="21"/>
        </w:rPr>
      </w:pPr>
      <w:r>
        <w:rPr>
          <w:rFonts w:hint="eastAsia" w:ascii="微软雅黑" w:hAnsi="微软雅黑" w:cs="微软雅黑"/>
          <w:szCs w:val="21"/>
        </w:rPr>
        <w:t xml:space="preserve">                      法定代表人（或授权代表）签章/签字：</w:t>
      </w:r>
      <w:r/>
    </w:p>
    <w:p>
      <w:pPr>
        <w:spacing w:line="360" w:lineRule="auto"/>
        <w:rPr>
          <w:rFonts w:hint="eastAsia" w:ascii="微软雅黑" w:hAnsi="微软雅黑" w:cs="微软雅黑"/>
          <w:szCs w:val="21"/>
        </w:rPr>
      </w:pPr>
      <w:r>
        <w:rPr>
          <w:rFonts w:hint="eastAsia" w:ascii="微软雅黑" w:hAnsi="微软雅黑" w:cs="微软雅黑"/>
          <w:szCs w:val="21"/>
        </w:rPr>
        <w:t xml:space="preserve">                      日期：</w:t>
      </w:r>
      <w:r/>
    </w:p>
    <w:p>
      <w:pPr>
        <w:pStyle w:val="1154"/>
        <w:ind w:left="0"/>
        <w:rPr>
          <w:rFonts w:hint="eastAsia" w:ascii="微软雅黑" w:hAnsi="微软雅黑" w:cs="微软雅黑"/>
          <w:szCs w:val="21"/>
        </w:rPr>
      </w:pPr>
      <w:r>
        <w:rPr>
          <w:rFonts w:hint="eastAsia" w:ascii="微软雅黑" w:hAnsi="微软雅黑" w:cs="微软雅黑"/>
          <w:szCs w:val="21"/>
        </w:rPr>
      </w:r>
      <w:r/>
    </w:p>
    <w:p>
      <w:pPr>
        <w:pStyle w:val="1154"/>
        <w:ind w:left="0"/>
        <w:spacing w:line="400" w:lineRule="exact"/>
        <w:rPr>
          <w:rFonts w:hint="eastAsia" w:ascii="微软雅黑" w:hAnsi="微软雅黑" w:cs="微软雅黑"/>
          <w:b/>
          <w:bCs/>
          <w:szCs w:val="21"/>
        </w:rPr>
      </w:pPr>
      <w:r>
        <w:rPr>
          <w:rFonts w:hint="eastAsia" w:ascii="微软雅黑" w:hAnsi="微软雅黑" w:cs="微软雅黑"/>
          <w:b/>
          <w:bCs/>
          <w:szCs w:val="21"/>
        </w:rPr>
        <w:t xml:space="preserve">注：</w:t>
      </w:r>
      <w:r/>
    </w:p>
    <w:p>
      <w:pPr>
        <w:pStyle w:val="1154"/>
        <w:numPr>
          <w:ilvl w:val="0"/>
          <w:numId w:val="20"/>
        </w:numPr>
        <w:spacing w:line="400" w:lineRule="exact"/>
        <w:rPr>
          <w:rFonts w:hint="eastAsia" w:ascii="微软雅黑" w:hAnsi="微软雅黑" w:cs="微软雅黑"/>
          <w:b/>
          <w:bCs/>
          <w:spacing w:val="-5"/>
        </w:rPr>
      </w:pPr>
      <w:r>
        <w:rPr>
          <w:rFonts w:hint="eastAsia" w:ascii="微软雅黑" w:hAnsi="微软雅黑" w:cs="微软雅黑"/>
          <w:b/>
          <w:bCs/>
          <w:szCs w:val="21"/>
        </w:rPr>
        <w:t xml:space="preserve">重大违法记录</w:t>
      </w:r>
      <w:r>
        <w:rPr>
          <w:rFonts w:hint="eastAsia" w:ascii="微软雅黑" w:hAnsi="微软雅黑" w:cs="微软雅黑"/>
          <w:b/>
          <w:bCs/>
          <w:spacing w:val="-5"/>
        </w:rPr>
        <w:t xml:space="preserve">是指供应商因违法经营受到刑事处罚或者责令停产停业、吊销许可证或者执   照、较大数额罚款等行政处罚。</w:t>
      </w:r>
      <w:r/>
    </w:p>
    <w:p>
      <w:pPr>
        <w:pStyle w:val="1154"/>
        <w:ind w:left="0"/>
        <w:spacing w:line="400" w:lineRule="exact"/>
        <w:rPr>
          <w:rFonts w:hint="eastAsia" w:ascii="微软雅黑" w:hAnsi="微软雅黑" w:cs="微软雅黑"/>
          <w:b/>
          <w:bCs/>
          <w:spacing w:val="-5"/>
        </w:rPr>
      </w:pPr>
      <w:r>
        <w:rPr>
          <w:rFonts w:hint="eastAsia" w:ascii="微软雅黑" w:hAnsi="微软雅黑" w:cs="微软雅黑"/>
          <w:b/>
          <w:bCs/>
          <w:szCs w:val="21"/>
        </w:rPr>
        <w:t xml:space="preserve">2. 较大数额罚款标准参照财库[2022]3号文规定执行，指的是200万元以上数额。</w:t>
      </w:r>
      <w:r/>
    </w:p>
    <w:p>
      <w:pPr>
        <w:ind w:firstLine="420"/>
        <w:spacing w:line="42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p>
    <w:p>
      <w:pPr>
        <w:rPr>
          <w:rFonts w:hint="eastAsia" w:ascii="微软雅黑" w:hAnsi="微软雅黑" w:cs="微软雅黑"/>
        </w:rPr>
      </w:pPr>
      <w:r>
        <w:rPr>
          <w:rFonts w:hint="eastAsia" w:ascii="微软雅黑" w:hAnsi="微软雅黑" w:cs="微软雅黑"/>
        </w:rPr>
      </w:r>
      <w:r/>
    </w:p>
    <w:p>
      <w:pPr>
        <w:pStyle w:val="1138"/>
        <w:jc w:val="center"/>
        <w:rPr>
          <w:rFonts w:hint="eastAsia" w:ascii="微软雅黑" w:hAnsi="微软雅黑" w:eastAsia="微软雅黑" w:cs="微软雅黑"/>
          <w:b/>
          <w:bCs/>
          <w:szCs w:val="28"/>
        </w:rPr>
      </w:pPr>
      <w:r/>
      <w:bookmarkStart w:id="286" w:name="_Toc15819"/>
      <w:r/>
      <w:bookmarkStart w:id="287" w:name="_Toc8288"/>
      <w:r/>
      <w:bookmarkStart w:id="288" w:name="_Toc6592"/>
      <w:r/>
      <w:bookmarkStart w:id="289" w:name="_Toc16145"/>
      <w:r/>
      <w:bookmarkStart w:id="290" w:name="_Toc3266"/>
      <w:r/>
      <w:bookmarkStart w:id="291" w:name="_Toc23461"/>
      <w:r/>
      <w:bookmarkStart w:id="292" w:name="_Toc22706"/>
      <w:r/>
      <w:bookmarkStart w:id="293" w:name="_Toc20940"/>
      <w:r>
        <w:rPr>
          <w:rFonts w:hint="eastAsia" w:ascii="微软雅黑" w:hAnsi="微软雅黑" w:eastAsia="微软雅黑" w:cs="微软雅黑"/>
          <w:b/>
          <w:bCs/>
          <w:szCs w:val="28"/>
        </w:rPr>
        <w:t xml:space="preserve">法人授权委托书</w:t>
      </w:r>
      <w:bookmarkEnd w:id="286"/>
      <w:r/>
      <w:bookmarkEnd w:id="287"/>
      <w:r/>
      <w:bookmarkEnd w:id="288"/>
      <w:r/>
      <w:bookmarkEnd w:id="289"/>
      <w:r/>
      <w:bookmarkEnd w:id="290"/>
      <w:r/>
      <w:bookmarkEnd w:id="291"/>
      <w:r/>
      <w:bookmarkEnd w:id="292"/>
      <w:r/>
      <w:bookmarkEnd w:id="293"/>
      <w:r/>
      <w:r/>
    </w:p>
    <w:p>
      <w:pPr>
        <w:spacing w:line="440" w:lineRule="exact"/>
        <w:rPr>
          <w:rFonts w:hint="eastAsia" w:ascii="微软雅黑" w:hAnsi="微软雅黑" w:cs="微软雅黑"/>
        </w:rPr>
      </w:pPr>
      <w:r>
        <w:rPr>
          <w:rFonts w:hint="eastAsia" w:ascii="微软雅黑" w:hAnsi="微软雅黑" w:cs="微软雅黑"/>
        </w:rPr>
        <w:t xml:space="preserve">江苏省华采招标有限公司：</w:t>
      </w:r>
      <w:r/>
    </w:p>
    <w:p>
      <w:pPr>
        <w:spacing w:line="440" w:lineRule="exact"/>
        <w:rPr>
          <w:rFonts w:hint="eastAsia" w:ascii="微软雅黑" w:hAnsi="微软雅黑" w:cs="微软雅黑"/>
        </w:rPr>
      </w:pPr>
      <w:r>
        <w:rPr>
          <w:rFonts w:hint="eastAsia" w:ascii="微软雅黑" w:hAnsi="微软雅黑" w:cs="微软雅黑"/>
        </w:rPr>
        <w:t xml:space="preserve">    本授权书宣告：</w:t>
      </w:r>
      <w:r/>
    </w:p>
    <w:p>
      <w:pPr>
        <w:ind w:firstLine="420"/>
        <w:spacing w:line="440" w:lineRule="exact"/>
        <w:rPr>
          <w:rFonts w:hint="eastAsia" w:ascii="微软雅黑" w:hAnsi="微软雅黑" w:cs="微软雅黑"/>
        </w:rPr>
      </w:pPr>
      <w:r>
        <w:rPr>
          <w:rFonts w:hint="eastAsia" w:ascii="微软雅黑" w:hAnsi="微软雅黑" w:cs="微软雅黑"/>
        </w:rPr>
        <w:t xml:space="preserve">委托单位：</w:t>
      </w:r>
      <w:r>
        <w:rPr>
          <w:rFonts w:hint="eastAsia" w:ascii="微软雅黑" w:hAnsi="微软雅黑" w:cs="微软雅黑"/>
          <w:u w:val="single"/>
        </w:rPr>
        <w:t xml:space="preserve">                         </w:t>
      </w:r>
      <w:r>
        <w:rPr>
          <w:rFonts w:hint="eastAsia" w:ascii="微软雅黑" w:hAnsi="微软雅黑" w:cs="微软雅黑"/>
        </w:rPr>
        <w:t xml:space="preserve">                                               </w:t>
      </w:r>
      <w:r/>
    </w:p>
    <w:p>
      <w:pPr>
        <w:ind w:firstLine="420"/>
        <w:spacing w:line="440" w:lineRule="exact"/>
        <w:rPr>
          <w:rFonts w:hint="eastAsia" w:ascii="微软雅黑" w:hAnsi="微软雅黑" w:cs="微软雅黑"/>
        </w:rPr>
      </w:pPr>
      <w:r>
        <w:rPr>
          <w:rFonts w:hint="eastAsia" w:ascii="微软雅黑" w:hAnsi="微软雅黑" w:cs="微软雅黑"/>
        </w:rPr>
        <w:t xml:space="preserve">地    址：</w:t>
      </w:r>
      <w:r>
        <w:rPr>
          <w:rFonts w:hint="eastAsia" w:ascii="微软雅黑" w:hAnsi="微软雅黑" w:cs="微软雅黑"/>
          <w:u w:val="single"/>
        </w:rPr>
        <w:t xml:space="preserve">                         </w:t>
      </w:r>
      <w:r>
        <w:rPr>
          <w:rFonts w:hint="eastAsia" w:ascii="微软雅黑" w:hAnsi="微软雅黑" w:cs="微软雅黑"/>
        </w:rPr>
        <w:t xml:space="preserve">      法定代表人： </w:t>
      </w:r>
      <w:r>
        <w:rPr>
          <w:rFonts w:hint="eastAsia" w:ascii="微软雅黑" w:hAnsi="微软雅黑" w:cs="微软雅黑"/>
          <w:u w:val="single"/>
        </w:rPr>
        <w:t xml:space="preserve">             </w:t>
      </w:r>
      <w:r>
        <w:rPr>
          <w:rFonts w:hint="eastAsia" w:ascii="微软雅黑" w:hAnsi="微软雅黑" w:cs="微软雅黑"/>
        </w:rPr>
        <w:t xml:space="preserve">    </w:t>
      </w:r>
      <w:r/>
    </w:p>
    <w:p>
      <w:pPr>
        <w:ind w:firstLine="420"/>
        <w:spacing w:line="440" w:lineRule="exact"/>
        <w:rPr>
          <w:rFonts w:hint="eastAsia" w:ascii="微软雅黑" w:hAnsi="微软雅黑" w:cs="微软雅黑"/>
          <w:u w:val="single"/>
        </w:rPr>
      </w:pPr>
      <w:r>
        <w:rPr>
          <w:rFonts w:hint="eastAsia" w:ascii="微软雅黑" w:hAnsi="微软雅黑" w:cs="微软雅黑"/>
        </w:rPr>
        <w:t xml:space="preserve">受托人：姓名</w:t>
      </w:r>
      <w:r>
        <w:rPr>
          <w:rFonts w:hint="eastAsia" w:ascii="微软雅黑" w:hAnsi="微软雅黑" w:cs="微软雅黑"/>
          <w:u w:val="single"/>
        </w:rPr>
        <w:t xml:space="preserve">       </w:t>
      </w:r>
      <w:r>
        <w:rPr>
          <w:rFonts w:hint="eastAsia" w:ascii="微软雅黑" w:hAnsi="微软雅黑" w:cs="微软雅黑"/>
        </w:rPr>
        <w:t xml:space="preserve">性别：</w:t>
      </w:r>
      <w:r>
        <w:rPr>
          <w:rFonts w:hint="eastAsia" w:ascii="微软雅黑" w:hAnsi="微软雅黑" w:cs="微软雅黑"/>
          <w:u w:val="single"/>
        </w:rPr>
        <w:t xml:space="preserve">       </w:t>
      </w:r>
      <w:r>
        <w:rPr>
          <w:rFonts w:hint="eastAsia" w:ascii="微软雅黑" w:hAnsi="微软雅黑" w:cs="微软雅黑"/>
        </w:rPr>
        <w:t xml:space="preserve">出生日期：</w:t>
      </w:r>
      <w:r>
        <w:rPr>
          <w:rFonts w:hint="eastAsia" w:ascii="微软雅黑" w:hAnsi="微软雅黑" w:cs="微软雅黑"/>
          <w:u w:val="single"/>
        </w:rPr>
        <w:t xml:space="preserve">    年    月   日</w:t>
      </w:r>
      <w:r/>
    </w:p>
    <w:p>
      <w:pPr>
        <w:ind w:firstLine="420"/>
        <w:spacing w:line="440" w:lineRule="exact"/>
        <w:rPr>
          <w:rFonts w:hint="eastAsia" w:ascii="微软雅黑" w:hAnsi="微软雅黑" w:cs="微软雅黑"/>
          <w:u w:val="single"/>
        </w:rPr>
      </w:pPr>
      <w:r>
        <w:rPr>
          <w:rFonts w:hint="eastAsia" w:ascii="微软雅黑" w:hAnsi="微软雅黑" w:cs="微软雅黑"/>
        </w:rPr>
        <w:t xml:space="preserve">所在单位：</w:t>
      </w:r>
      <w:r>
        <w:rPr>
          <w:rFonts w:hint="eastAsia" w:ascii="微软雅黑" w:hAnsi="微软雅黑" w:cs="微软雅黑"/>
          <w:u w:val="single"/>
        </w:rPr>
        <w:t xml:space="preserve">                           </w:t>
      </w:r>
      <w:r>
        <w:rPr>
          <w:rFonts w:hint="eastAsia" w:ascii="微软雅黑" w:hAnsi="微软雅黑" w:cs="微软雅黑"/>
        </w:rPr>
        <w:t xml:space="preserve"> 职务：</w:t>
      </w:r>
      <w:r>
        <w:rPr>
          <w:rFonts w:hint="eastAsia" w:ascii="微软雅黑" w:hAnsi="微软雅黑" w:cs="微软雅黑"/>
          <w:u w:val="single"/>
        </w:rPr>
        <w:t xml:space="preserve">           </w:t>
      </w:r>
      <w:r/>
    </w:p>
    <w:p>
      <w:pPr>
        <w:ind w:firstLine="420"/>
        <w:spacing w:line="440" w:lineRule="exact"/>
        <w:rPr>
          <w:rFonts w:hint="eastAsia" w:ascii="微软雅黑" w:hAnsi="微软雅黑" w:cs="微软雅黑"/>
          <w:u w:val="single"/>
        </w:rPr>
      </w:pPr>
      <w:r>
        <w:rPr>
          <w:rFonts w:hint="eastAsia" w:ascii="微软雅黑" w:hAnsi="微软雅黑" w:cs="微软雅黑"/>
        </w:rPr>
        <w:t xml:space="preserve">身 份 证：</w:t>
      </w:r>
      <w:r>
        <w:rPr>
          <w:rFonts w:hint="eastAsia" w:ascii="微软雅黑" w:hAnsi="微软雅黑" w:cs="微软雅黑"/>
          <w:u w:val="single"/>
        </w:rPr>
        <w:t xml:space="preserve">                           </w:t>
      </w:r>
      <w:r>
        <w:rPr>
          <w:rFonts w:hint="eastAsia" w:ascii="微软雅黑" w:hAnsi="微软雅黑" w:cs="微软雅黑"/>
        </w:rPr>
        <w:t xml:space="preserve"> 联系方式： </w:t>
      </w:r>
      <w:r>
        <w:rPr>
          <w:rFonts w:hint="eastAsia" w:ascii="微软雅黑" w:hAnsi="微软雅黑" w:cs="微软雅黑"/>
          <w:u w:val="single"/>
        </w:rPr>
        <w:t xml:space="preserve">     </w:t>
      </w:r>
      <w:r/>
    </w:p>
    <w:p>
      <w:pPr>
        <w:ind w:firstLine="420"/>
        <w:spacing w:line="440" w:lineRule="exact"/>
        <w:rPr>
          <w:rFonts w:hint="eastAsia" w:ascii="微软雅黑" w:hAnsi="微软雅黑" w:cs="微软雅黑"/>
        </w:rPr>
      </w:pPr>
      <w:r>
        <w:rPr>
          <w:rFonts w:hint="eastAsia" w:ascii="微软雅黑" w:hAnsi="微软雅黑" w:cs="微软雅黑"/>
        </w:rPr>
        <w:t xml:space="preserve">兹委托受托人</w:t>
      </w:r>
      <w:r>
        <w:rPr>
          <w:rFonts w:hint="eastAsia" w:ascii="微软雅黑" w:hAnsi="微软雅黑" w:cs="微软雅黑"/>
          <w:u w:val="single"/>
        </w:rPr>
        <w:t xml:space="preserve">              </w:t>
      </w:r>
      <w:r>
        <w:rPr>
          <w:rFonts w:hint="eastAsia" w:ascii="微软雅黑" w:hAnsi="微软雅黑" w:cs="微软雅黑"/>
        </w:rPr>
        <w:t xml:space="preserve"> 合法地代表我单位参加江苏省华采招标有限公司组织的项目名称：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）的采购活动，受托人有权在该投标活动中，以我单位的名义签署投标书和投标文件，与招标代理机构协商、澄清、解释并执行一切与此有关的事项。</w:t>
      </w:r>
      <w:r/>
    </w:p>
    <w:p>
      <w:pPr>
        <w:ind w:firstLine="420"/>
        <w:spacing w:line="440" w:lineRule="exact"/>
        <w:rPr>
          <w:rFonts w:hint="eastAsia"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p>
    <w:p>
      <w:pPr>
        <w:ind w:firstLine="420"/>
        <w:spacing w:line="440" w:lineRule="exact"/>
        <w:rPr>
          <w:rFonts w:hint="eastAsia" w:ascii="微软雅黑" w:hAnsi="微软雅黑" w:cs="微软雅黑"/>
        </w:rPr>
      </w:pPr>
      <w:r>
        <w:rPr>
          <w:rFonts w:hint="eastAsia" w:ascii="微软雅黑" w:hAnsi="微软雅黑" w:cs="微软雅黑"/>
        </w:rPr>
        <w:t xml:space="preserve">委托期限：至上述事宜处理完毕止。</w:t>
      </w:r>
      <w:r/>
    </w:p>
    <w:p>
      <w:pPr>
        <w:spacing w:line="440" w:lineRule="exact"/>
        <w:rPr>
          <w:rFonts w:hint="eastAsia"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2317115</wp:posOffset>
                </wp:positionH>
                <wp:positionV relativeFrom="paragraph">
                  <wp:posOffset>213360</wp:posOffset>
                </wp:positionV>
                <wp:extent cx="1818640" cy="681355"/>
                <wp:effectExtent l="4445" t="4445" r="5715" b="19050"/>
                <wp:wrapNone/>
                <wp:docPr id="13" name="文本框 4"/>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wps:txbx>
                      <wps:bodyPr upright="1"/>
                    </wps:wsp>
                  </a:graphicData>
                </a:graphic>
              </wp:anchor>
            </w:drawing>
          </mc:Choice>
          <mc:Fallback>
            <w:pict>
              <v:shape id="shape 12" o:spid="_x0000_s12" o:spt="202" type="#_x0000_t202" style="position:absolute;z-index:251667456;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284480</wp:posOffset>
                </wp:positionH>
                <wp:positionV relativeFrom="paragraph">
                  <wp:posOffset>221615</wp:posOffset>
                </wp:positionV>
                <wp:extent cx="1818640" cy="681355"/>
                <wp:effectExtent l="4445" t="4445" r="5715" b="19050"/>
                <wp:wrapNone/>
                <wp:docPr id="14" name="文本框 3"/>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法定代表人身份证复印件（正反面）</w:t>
                            </w:r>
                            <w:r/>
                          </w:p>
                          <w:p>
                            <w:r/>
                            <w:r/>
                          </w:p>
                        </w:txbxContent>
                      </wps:txbx>
                      <wps:bodyPr upright="1"/>
                    </wps:wsp>
                  </a:graphicData>
                </a:graphic>
              </wp:anchor>
            </w:drawing>
          </mc:Choice>
          <mc:Fallback>
            <w:pict>
              <v:shape id="shape 13" o:spid="_x0000_s13" o:spt="202" type="#_x0000_t202" style="position:absolute;z-index:251666432;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法定代表人身份证复印件（正反面）</w:t>
                      </w:r>
                      <w:r/>
                    </w:p>
                    <w:p>
                      <w:r/>
                      <w:r/>
                    </w:p>
                  </w:txbxContent>
                </v:textbox>
              </v:shape>
            </w:pict>
          </mc:Fallback>
        </mc:AlternateContent>
      </w:r>
      <w:r>
        <w:rPr>
          <w:rFonts w:hint="eastAsia" w:ascii="微软雅黑" w:hAnsi="微软雅黑" w:cs="微软雅黑"/>
        </w:rPr>
        <w:t xml:space="preserve">附：</w:t>
      </w:r>
      <w:r/>
    </w:p>
    <w:p>
      <w:pPr>
        <w:spacing w:line="440" w:lineRule="exact"/>
        <w:rPr>
          <w:rFonts w:hint="eastAsia" w:ascii="微软雅黑" w:hAnsi="微软雅黑" w:cs="微软雅黑"/>
        </w:rPr>
      </w:pPr>
      <w:r>
        <w:rPr>
          <w:rFonts w:hint="eastAsia" w:ascii="微软雅黑" w:hAnsi="微软雅黑" w:cs="微软雅黑"/>
        </w:rPr>
      </w:r>
      <w:r/>
    </w:p>
    <w:p>
      <w:pPr>
        <w:spacing w:line="440" w:lineRule="exact"/>
        <w:rPr>
          <w:rFonts w:hint="eastAsia" w:ascii="微软雅黑" w:hAnsi="微软雅黑" w:cs="微软雅黑"/>
        </w:rPr>
      </w:pPr>
      <w:r>
        <w:rPr>
          <w:rFonts w:hint="eastAsia" w:ascii="微软雅黑" w:hAnsi="微软雅黑" w:cs="微软雅黑"/>
        </w:rPr>
      </w:r>
      <w:r/>
    </w:p>
    <w:p>
      <w:pPr>
        <w:spacing w:line="440" w:lineRule="exact"/>
        <w:rPr>
          <w:rFonts w:hint="eastAsia" w:ascii="微软雅黑" w:hAnsi="微软雅黑" w:cs="微软雅黑"/>
        </w:rPr>
      </w:pPr>
      <w:r>
        <w:rPr>
          <w:rFonts w:hint="eastAsia" w:ascii="微软雅黑" w:hAnsi="微软雅黑" w:cs="微软雅黑"/>
        </w:rPr>
      </w:r>
      <w:r/>
    </w:p>
    <w:p>
      <w:pPr>
        <w:jc w:val="right"/>
        <w:spacing w:line="440" w:lineRule="exact"/>
        <w:rPr>
          <w:rFonts w:hint="eastAsia" w:ascii="微软雅黑" w:hAnsi="微软雅黑" w:cs="微软雅黑"/>
        </w:rPr>
      </w:pPr>
      <w:r>
        <w:rPr>
          <w:rFonts w:hint="eastAsia" w:ascii="微软雅黑" w:hAnsi="微软雅黑" w:cs="微软雅黑"/>
        </w:rPr>
        <w:t xml:space="preserve">              委托单位：    （公章）                     </w:t>
      </w:r>
      <w:r/>
    </w:p>
    <w:p>
      <w:pPr>
        <w:jc w:val="right"/>
        <w:spacing w:line="440" w:lineRule="exact"/>
        <w:rPr>
          <w:rFonts w:hint="eastAsia" w:ascii="微软雅黑" w:hAnsi="微软雅黑" w:cs="微软雅黑"/>
        </w:rPr>
      </w:pPr>
      <w:r>
        <w:rPr>
          <w:rFonts w:hint="eastAsia" w:ascii="微软雅黑" w:hAnsi="微软雅黑" w:cs="微软雅黑"/>
        </w:rPr>
        <w:t xml:space="preserve">                               法定代表人：  （签字/盖章）</w:t>
      </w:r>
      <w:r/>
    </w:p>
    <w:p>
      <w:pPr>
        <w:jc w:val="right"/>
        <w:spacing w:line="440" w:lineRule="exact"/>
        <w:rPr>
          <w:rFonts w:hint="eastAsia" w:ascii="微软雅黑" w:hAnsi="微软雅黑" w:cs="微软雅黑"/>
        </w:rPr>
      </w:pPr>
      <w:r>
        <w:rPr>
          <w:rFonts w:hint="eastAsia" w:ascii="微软雅黑" w:hAnsi="微软雅黑" w:cs="微软雅黑"/>
        </w:rPr>
        <w:t xml:space="preserve">授权代表：  （签字/盖章）   </w:t>
      </w:r>
      <w:r/>
    </w:p>
    <w:p>
      <w:pPr>
        <w:jc w:val="right"/>
        <w:spacing w:line="440" w:lineRule="exact"/>
        <w:rPr>
          <w:rFonts w:hint="eastAsia" w:ascii="微软雅黑" w:hAnsi="微软雅黑" w:cs="微软雅黑"/>
        </w:rPr>
      </w:pPr>
      <w:r>
        <w:rPr>
          <w:rFonts w:hint="eastAsia" w:ascii="微软雅黑" w:hAnsi="微软雅黑" w:cs="微软雅黑"/>
        </w:rPr>
        <w:t xml:space="preserve">年     月     日</w:t>
      </w:r>
      <w:r/>
    </w:p>
    <w:p>
      <w:pPr>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spacing w:line="420" w:lineRule="exact"/>
        <w:rPr>
          <w:rFonts w:hint="eastAsia" w:ascii="微软雅黑" w:hAnsi="微软雅黑" w:cs="微软雅黑"/>
          <w:sz w:val="18"/>
          <w:szCs w:val="18"/>
        </w:rPr>
      </w:pPr>
      <w:r>
        <w:rPr>
          <w:rFonts w:hint="eastAsia" w:ascii="微软雅黑" w:hAnsi="微软雅黑" w:cs="微软雅黑"/>
        </w:rPr>
        <w:t xml:space="preserve">注：</w:t>
      </w:r>
      <w:r>
        <w:rPr>
          <w:rFonts w:hint="eastAsia" w:ascii="微软雅黑" w:hAnsi="微软雅黑" w:cs="微软雅黑"/>
          <w:sz w:val="18"/>
          <w:szCs w:val="18"/>
        </w:rPr>
        <w:t xml:space="preserve">供应商提供的所有证件必须真实有效，务必保证证件在有效期内。</w:t>
      </w:r>
      <w:r/>
    </w:p>
    <w:p>
      <w:pPr>
        <w:spacing w:line="360" w:lineRule="auto"/>
        <w:rPr>
          <w:rFonts w:hint="eastAsia" w:ascii="微软雅黑" w:hAnsi="微软雅黑" w:cs="微软雅黑"/>
          <w:sz w:val="24"/>
          <w:szCs w:val="24"/>
        </w:rPr>
      </w:pPr>
      <w:r>
        <w:rPr>
          <w:rFonts w:hint="eastAsia" w:ascii="微软雅黑" w:hAnsi="微软雅黑" w:cs="微软雅黑"/>
          <w:sz w:val="24"/>
          <w:szCs w:val="24"/>
        </w:rPr>
      </w:r>
      <w:r/>
    </w:p>
    <w:p>
      <w:pPr>
        <w:spacing w:line="360" w:lineRule="auto"/>
        <w:rPr>
          <w:rFonts w:hint="eastAsia" w:ascii="微软雅黑" w:hAnsi="微软雅黑" w:cs="微软雅黑"/>
          <w:sz w:val="24"/>
          <w:szCs w:val="24"/>
        </w:rPr>
      </w:pPr>
      <w:r>
        <w:rPr>
          <w:rFonts w:hint="eastAsia" w:ascii="微软雅黑" w:hAnsi="微软雅黑" w:cs="微软雅黑"/>
          <w:sz w:val="24"/>
          <w:szCs w:val="24"/>
        </w:rPr>
      </w:r>
      <w:r/>
    </w:p>
    <w:p>
      <w:pPr>
        <w:ind w:firstLine="420"/>
        <w:spacing w:line="420" w:lineRule="exact"/>
        <w:rPr>
          <w:rFonts w:hint="eastAsia" w:ascii="微软雅黑" w:hAnsi="微软雅黑" w:cs="微软雅黑"/>
          <w:sz w:val="24"/>
          <w:szCs w:val="24"/>
        </w:rPr>
      </w:pPr>
      <w:r>
        <w:rPr>
          <w:rFonts w:hint="eastAsia" w:ascii="微软雅黑" w:hAnsi="微软雅黑" w:cs="微软雅黑"/>
          <w:szCs w:val="21"/>
        </w:rPr>
        <w:t xml:space="preserve">2.本项目接受进口产品投标，若投标人是进口设备代理商的，必须提供下列授权文件之一（原件或扫描/复印件）：①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p>
    <w:p>
      <w:pPr>
        <w:pStyle w:val="1137"/>
        <w:jc w:val="center"/>
        <w:rPr>
          <w:rFonts w:hint="eastAsia" w:ascii="微软雅黑" w:hAnsi="微软雅黑" w:eastAsia="微软雅黑" w:cs="微软雅黑"/>
          <w:b/>
          <w:bCs/>
        </w:rPr>
      </w:pPr>
      <w:r/>
      <w:bookmarkStart w:id="294" w:name="_Toc15656"/>
      <w:r>
        <w:rPr>
          <w:rFonts w:hint="eastAsia" w:ascii="微软雅黑" w:hAnsi="微软雅黑" w:eastAsia="微软雅黑" w:cs="微软雅黑"/>
        </w:rPr>
        <w:br w:type="page" w:clear="all"/>
      </w:r>
      <w:bookmarkStart w:id="295" w:name="_Toc26920"/>
      <w:r/>
      <w:bookmarkStart w:id="296" w:name="_Toc8014"/>
      <w:r/>
      <w:bookmarkStart w:id="297" w:name="_Toc22911"/>
      <w:r>
        <w:rPr>
          <w:rFonts w:hint="eastAsia" w:ascii="微软雅黑" w:hAnsi="微软雅黑" w:eastAsia="微软雅黑" w:cs="微软雅黑"/>
          <w:b/>
          <w:bCs/>
        </w:rPr>
        <w:t xml:space="preserve">三、其他相关附表格式</w:t>
      </w:r>
      <w:bookmarkEnd w:id="294"/>
      <w:r/>
      <w:bookmarkEnd w:id="295"/>
      <w:r/>
      <w:bookmarkEnd w:id="296"/>
      <w:r/>
      <w:bookmarkEnd w:id="297"/>
      <w:r/>
      <w:bookmarkStart w:id="298" w:name="_Toc11531"/>
      <w:r/>
      <w:bookmarkEnd w:id="298"/>
      <w:r/>
      <w:r/>
    </w:p>
    <w:p>
      <w:pPr>
        <w:jc w:val="center"/>
        <w:rPr>
          <w:rFonts w:hint="eastAsia" w:ascii="微软雅黑" w:hAnsi="微软雅黑" w:cs="微软雅黑"/>
          <w:b/>
          <w:bCs/>
          <w:sz w:val="24"/>
          <w:szCs w:val="24"/>
        </w:rPr>
      </w:pPr>
      <w:r>
        <w:rPr>
          <w:rFonts w:hint="eastAsia" w:ascii="微软雅黑" w:hAnsi="微软雅黑" w:cs="微软雅黑"/>
          <w:b/>
          <w:bCs/>
          <w:sz w:val="24"/>
          <w:szCs w:val="24"/>
        </w:rPr>
        <w:t xml:space="preserve">承  诺</w:t>
      </w:r>
      <w:r/>
    </w:p>
    <w:p>
      <w:pPr>
        <w:spacing w:line="440" w:lineRule="exact"/>
        <w:rPr>
          <w:rFonts w:hint="eastAsia" w:ascii="微软雅黑" w:hAnsi="微软雅黑" w:cs="微软雅黑"/>
          <w:szCs w:val="21"/>
        </w:rPr>
      </w:pPr>
      <w:r>
        <w:rPr>
          <w:rFonts w:hint="eastAsia" w:ascii="微软雅黑" w:hAnsi="微软雅黑" w:cs="微软雅黑"/>
          <w:szCs w:val="21"/>
        </w:rPr>
        <w:t xml:space="preserve">我公司承诺：</w:t>
      </w:r>
      <w:r/>
    </w:p>
    <w:p>
      <w:pPr>
        <w:numPr>
          <w:ilvl w:val="0"/>
          <w:numId w:val="21"/>
        </w:numPr>
        <w:spacing w:line="440" w:lineRule="exact"/>
        <w:rPr>
          <w:rFonts w:hint="eastAsia" w:ascii="微软雅黑" w:hAnsi="微软雅黑" w:cs="微软雅黑"/>
          <w:szCs w:val="21"/>
        </w:rPr>
      </w:pPr>
      <w:r>
        <w:rPr>
          <w:rFonts w:hint="eastAsia" w:ascii="微软雅黑" w:hAnsi="微软雅黑" w:cs="微软雅黑"/>
          <w:szCs w:val="21"/>
        </w:rPr>
        <w:t xml:space="preserve">我单位未组成联合体投标，中标后不进行分包、转包。</w:t>
      </w:r>
      <w:r/>
    </w:p>
    <w:p>
      <w:pPr>
        <w:numPr>
          <w:ilvl w:val="0"/>
          <w:numId w:val="21"/>
        </w:numPr>
        <w:spacing w:line="440" w:lineRule="exact"/>
        <w:rPr>
          <w:rFonts w:hint="eastAsia" w:ascii="微软雅黑" w:hAnsi="微软雅黑" w:cs="微软雅黑"/>
          <w:szCs w:val="21"/>
        </w:rPr>
      </w:pPr>
      <w:r>
        <w:rPr>
          <w:rFonts w:hint="eastAsia" w:ascii="微软雅黑" w:hAnsi="微软雅黑" w:cs="微软雅黑"/>
          <w:szCs w:val="21"/>
        </w:rPr>
        <w:t xml:space="preserve">我单位负责人</w:t>
      </w:r>
      <w:r>
        <w:rPr>
          <w:rFonts w:hint="eastAsia" w:ascii="微软雅黑" w:hAnsi="微软雅黑" w:cs="微软雅黑"/>
          <w:szCs w:val="21"/>
          <w:u w:val="single"/>
        </w:rPr>
        <w:t xml:space="preserve">          </w:t>
      </w:r>
      <w:r>
        <w:rPr>
          <w:rFonts w:hint="eastAsia" w:ascii="微软雅黑" w:hAnsi="微软雅黑" w:cs="微软雅黑"/>
          <w:szCs w:val="21"/>
        </w:rPr>
        <w:t xml:space="preserve">（负责人姓名、身份证号），与我单位存在直接控股、管理关系的单位为</w:t>
      </w:r>
      <w:r>
        <w:rPr>
          <w:rFonts w:hint="eastAsia" w:ascii="微软雅黑" w:hAnsi="微软雅黑" w:cs="微软雅黑"/>
          <w:szCs w:val="21"/>
          <w:u w:val="single"/>
        </w:rPr>
        <w:t xml:space="preserve">          </w:t>
      </w:r>
      <w:r>
        <w:rPr>
          <w:rFonts w:hint="eastAsia" w:ascii="微软雅黑" w:hAnsi="微软雅黑" w:cs="微软雅黑"/>
          <w:szCs w:val="21"/>
        </w:rPr>
        <w:t xml:space="preserve">（单位名称），不存在与我单位负责人为同一人或者存在直接控股、管理关系的不同供应商同时参加本项目同一包投标的情形。</w:t>
      </w:r>
      <w:r/>
    </w:p>
    <w:p>
      <w:pPr>
        <w:numPr>
          <w:ilvl w:val="0"/>
          <w:numId w:val="21"/>
        </w:numPr>
        <w:spacing w:line="440" w:lineRule="exact"/>
        <w:rPr>
          <w:rFonts w:hint="eastAsia"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我单位不属于为采购项目提供整体设计、规范编制或者项目管理、监理、检测等服务的情形。我单位未被列入失信被执行人、重大税收违法失信主体、政府采购严重违法失信行为记录名单。</w:t>
      </w:r>
      <w:r/>
    </w:p>
    <w:p>
      <w:pPr>
        <w:spacing w:line="440" w:lineRule="exact"/>
        <w:rPr>
          <w:rFonts w:hint="eastAsia" w:ascii="微软雅黑" w:hAnsi="微软雅黑" w:cs="微软雅黑"/>
          <w:szCs w:val="21"/>
        </w:rPr>
      </w:pPr>
      <w:r>
        <w:rPr>
          <w:rFonts w:hint="eastAsia" w:ascii="微软雅黑" w:hAnsi="微软雅黑" w:cs="微软雅黑"/>
          <w:szCs w:val="21"/>
        </w:rPr>
        <w:t xml:space="preserve">特此承诺。</w:t>
      </w:r>
      <w:r/>
    </w:p>
    <w:p>
      <w:pPr>
        <w:rPr>
          <w:rFonts w:hint="eastAsia" w:ascii="微软雅黑" w:hAnsi="微软雅黑" w:cs="微软雅黑"/>
          <w:bCs/>
          <w:szCs w:val="21"/>
        </w:rPr>
      </w:pPr>
      <w:r>
        <w:rPr>
          <w:rFonts w:hint="eastAsia" w:ascii="微软雅黑" w:hAnsi="微软雅黑" w:cs="微软雅黑"/>
          <w:bCs/>
          <w:szCs w:val="21"/>
        </w:rPr>
      </w:r>
      <w:r/>
    </w:p>
    <w:p>
      <w:pPr>
        <w:pStyle w:val="1151"/>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1151"/>
        <w:ind w:firstLine="3990"/>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p>
    <w:p>
      <w:pPr>
        <w:pStyle w:val="1151"/>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法定代表人（或授权代表）签章/签字：</w:t>
      </w:r>
      <w:r/>
    </w:p>
    <w:p>
      <w:pPr>
        <w:pStyle w:val="1151"/>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p>
    <w:p>
      <w:pPr>
        <w:pStyle w:val="1138"/>
        <w:spacing w:before="0" w:after="0"/>
        <w:rPr>
          <w:rFonts w:hint="eastAsia" w:ascii="微软雅黑" w:hAnsi="微软雅黑" w:eastAsia="微软雅黑" w:cs="微软雅黑"/>
          <w:b/>
          <w:bCs/>
          <w:sz w:val="24"/>
          <w:szCs w:val="24"/>
        </w:rPr>
      </w:pPr>
      <w:r/>
      <w:bookmarkStart w:id="299" w:name="_Toc487098617"/>
      <w:r/>
      <w:bookmarkStart w:id="300" w:name="_Toc1448"/>
      <w:r/>
      <w:bookmarkStart w:id="301" w:name="_Toc403725583"/>
      <w:r/>
      <w:bookmarkStart w:id="302" w:name="_Toc20254"/>
      <w:r>
        <w:rPr>
          <w:rFonts w:hint="eastAsia" w:ascii="微软雅黑" w:hAnsi="微软雅黑" w:eastAsia="微软雅黑" w:cs="微软雅黑"/>
          <w:sz w:val="24"/>
          <w:szCs w:val="24"/>
        </w:rPr>
        <w:br w:type="page" w:clear="all"/>
      </w:r>
      <w:bookmarkStart w:id="303" w:name="_Toc851"/>
      <w:r/>
      <w:bookmarkStart w:id="304" w:name="_Toc14311"/>
      <w:r/>
      <w:bookmarkStart w:id="305" w:name="_Toc24637"/>
      <w:r/>
      <w:bookmarkStart w:id="306" w:name="_Toc24348"/>
      <w:r/>
      <w:bookmarkStart w:id="307" w:name="_Toc1147"/>
      <w:r>
        <w:rPr>
          <w:rFonts w:hint="eastAsia" w:ascii="微软雅黑" w:hAnsi="微软雅黑" w:eastAsia="微软雅黑" w:cs="微软雅黑"/>
          <w:b/>
          <w:bCs/>
          <w:sz w:val="24"/>
          <w:szCs w:val="24"/>
        </w:rPr>
        <w:t xml:space="preserve">附件1.中小企业声明函</w:t>
      </w:r>
      <w:bookmarkEnd w:id="299"/>
      <w:r/>
      <w:bookmarkEnd w:id="300"/>
      <w:r/>
      <w:bookmarkEnd w:id="301"/>
      <w:r/>
      <w:bookmarkEnd w:id="302"/>
      <w:r/>
      <w:bookmarkEnd w:id="303"/>
      <w:r/>
      <w:bookmarkEnd w:id="304"/>
      <w:r/>
      <w:bookmarkEnd w:id="305"/>
      <w:r/>
      <w:bookmarkEnd w:id="306"/>
      <w:r/>
      <w:bookmarkEnd w:id="307"/>
      <w:r/>
      <w:r/>
    </w:p>
    <w:p>
      <w:pPr>
        <w:rPr>
          <w:rFonts w:hint="eastAsia" w:ascii="微软雅黑" w:hAnsi="微软雅黑" w:cs="微软雅黑"/>
          <w:b/>
          <w:bCs/>
          <w:sz w:val="24"/>
          <w:szCs w:val="24"/>
        </w:rPr>
      </w:pPr>
      <w:r>
        <w:rPr>
          <w:rFonts w:hint="eastAsia" w:ascii="微软雅黑" w:hAnsi="微软雅黑" w:cs="微软雅黑"/>
          <w:b/>
          <w:bCs/>
          <w:sz w:val="24"/>
          <w:szCs w:val="24"/>
        </w:rPr>
        <w:t xml:space="preserve">（如不属于中小企业，则无需提供此声明函）</w:t>
      </w:r>
      <w:r/>
    </w:p>
    <w:p>
      <w:pPr>
        <w:jc w:val="center"/>
        <w:spacing w:line="420" w:lineRule="exact"/>
        <w:rPr>
          <w:rFonts w:hint="eastAsia" w:ascii="微软雅黑" w:hAnsi="微软雅黑" w:cs="微软雅黑"/>
          <w:b/>
          <w:bCs/>
        </w:rPr>
      </w:pPr>
      <w:r/>
      <w:bookmarkStart w:id="308" w:name="_Toc10812"/>
      <w:r/>
      <w:bookmarkEnd w:id="308"/>
      <w:r/>
      <w:r/>
    </w:p>
    <w:p>
      <w:pPr>
        <w:jc w:val="center"/>
        <w:spacing w:line="420" w:lineRule="exact"/>
        <w:rPr>
          <w:rFonts w:hint="eastAsia" w:ascii="微软雅黑" w:hAnsi="微软雅黑" w:cs="微软雅黑"/>
          <w:b/>
          <w:bCs/>
        </w:rPr>
      </w:pPr>
      <w:r>
        <w:rPr>
          <w:rFonts w:hint="eastAsia" w:ascii="微软雅黑" w:hAnsi="微软雅黑" w:cs="微软雅黑"/>
          <w:b/>
          <w:bCs/>
        </w:rPr>
        <w:t xml:space="preserve">中小企业声明函（货物）</w:t>
      </w:r>
      <w:r/>
    </w:p>
    <w:p>
      <w:pPr>
        <w:ind w:firstLine="420"/>
        <w:jc w:val="left"/>
        <w:keepLines/>
        <w:keepNext/>
        <w:spacing w:line="400" w:lineRule="exact"/>
        <w:rPr>
          <w:rFonts w:hint="eastAsia" w:ascii="微软雅黑" w:hAnsi="微软雅黑" w:cs="微软雅黑"/>
        </w:rPr>
      </w:pPr>
      <w:r/>
      <w:bookmarkStart w:id="309" w:name="_Toc3254"/>
      <w:r>
        <w:rPr>
          <w:rFonts w:hint="eastAsia" w:ascii="微软雅黑" w:hAnsi="微软雅黑" w:cs="微软雅黑"/>
        </w:rPr>
        <w:t xml:space="preserve">本公司（联合体）郑重声明，根据《政府采购促进中小企业发展管理办法》（财库[2020]46 号）的规定，本公司（联合体）参加</w:t>
      </w:r>
      <w:r>
        <w:rPr>
          <w:rFonts w:hint="eastAsia" w:ascii="微软雅黑" w:hAnsi="微软雅黑" w:cs="微软雅黑"/>
          <w:u w:val="single"/>
        </w:rPr>
        <w:t xml:space="preserve">        （单位名称）</w:t>
      </w:r>
      <w:r>
        <w:rPr>
          <w:rFonts w:hint="eastAsia" w:ascii="微软雅黑" w:hAnsi="微软雅黑" w:cs="微软雅黑"/>
        </w:rPr>
        <w:t xml:space="preserve">的</w:t>
      </w:r>
      <w:r>
        <w:rPr>
          <w:rFonts w:hint="eastAsia" w:ascii="微软雅黑" w:hAnsi="微软雅黑" w:cs="微软雅黑"/>
          <w:u w:val="single"/>
        </w:rPr>
        <w:t xml:space="preserve">        （项目名称）</w:t>
      </w:r>
      <w:r>
        <w:rPr>
          <w:rFonts w:hint="eastAsia" w:ascii="微软雅黑" w:hAnsi="微软雅黑" w:cs="微软雅黑"/>
        </w:rPr>
        <w:t xml:space="preserve">采购活动，提 供的货物全部由符合政策要求的中小企业制造。相关企业 （含联合体中的中小企业、签订分包意向协议的中小企业）的具体情况如下：</w:t>
      </w:r>
      <w:bookmarkEnd w:id="309"/>
      <w:r>
        <w:rPr>
          <w:rFonts w:hint="eastAsia" w:ascii="微软雅黑" w:hAnsi="微软雅黑" w:cs="微软雅黑"/>
        </w:rPr>
        <w:t xml:space="preserve"> </w:t>
      </w:r>
      <w:r/>
    </w:p>
    <w:p>
      <w:pPr>
        <w:ind w:firstLine="420"/>
        <w:jc w:val="left"/>
        <w:keepLines/>
        <w:keepNext/>
        <w:spacing w:line="400" w:lineRule="exact"/>
        <w:rPr>
          <w:rFonts w:hint="eastAsia" w:ascii="微软雅黑" w:hAnsi="微软雅黑" w:cs="微软雅黑"/>
        </w:rPr>
      </w:pPr>
      <w:r/>
      <w:bookmarkStart w:id="310" w:name="_Toc26323"/>
      <w:r>
        <w:rPr>
          <w:rFonts w:hint="eastAsia" w:ascii="微软雅黑" w:hAnsi="微软雅黑" w:cs="微软雅黑"/>
        </w:rPr>
        <w:t xml:space="preserve">1、</w:t>
      </w:r>
      <w:r>
        <w:rPr>
          <w:rFonts w:hint="eastAsia" w:ascii="微软雅黑" w:hAnsi="微软雅黑" w:cs="微软雅黑"/>
          <w:u w:val="single"/>
        </w:rPr>
        <w:t xml:space="preserve">                    （标的名称）</w:t>
      </w:r>
      <w:r>
        <w:rPr>
          <w:rFonts w:hint="eastAsia" w:ascii="微软雅黑" w:hAnsi="微软雅黑" w:cs="微软雅黑"/>
        </w:rPr>
        <w:t xml:space="preserve">，属于</w:t>
      </w:r>
      <w:r>
        <w:rPr>
          <w:rFonts w:hint="eastAsia" w:ascii="微软雅黑" w:hAnsi="微软雅黑" w:cs="微软雅黑"/>
          <w:u w:val="single"/>
        </w:rPr>
        <w:t xml:space="preserve">（采购文件中明确的所属行业） </w:t>
      </w:r>
      <w:r>
        <w:rPr>
          <w:rFonts w:hint="eastAsia" w:ascii="微软雅黑" w:hAnsi="微软雅黑" w:cs="微软雅黑"/>
        </w:rPr>
        <w:t xml:space="preserve">行业；制造商为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w:t>
      </w:r>
      <w:r>
        <w:rPr>
          <w:rFonts w:hint="eastAsia" w:ascii="微软雅黑" w:hAnsi="微软雅黑" w:cs="微软雅黑"/>
        </w:rPr>
        <w:t xml:space="preserve">人，营业收入为</w:t>
      </w:r>
      <w:r>
        <w:rPr>
          <w:rFonts w:hint="eastAsia" w:ascii="微软雅黑" w:hAnsi="微软雅黑" w:cs="微软雅黑"/>
          <w:u w:val="single"/>
        </w:rPr>
        <w:t xml:space="preserve">     </w:t>
      </w:r>
      <w:r>
        <w:rPr>
          <w:rFonts w:hint="eastAsia" w:ascii="微软雅黑" w:hAnsi="微软雅黑" w:cs="微软雅黑"/>
        </w:rPr>
        <w:t xml:space="preserve">万元，资产总额为</w:t>
      </w:r>
      <w:r>
        <w:rPr>
          <w:rFonts w:hint="eastAsia" w:ascii="微软雅黑" w:hAnsi="微软雅黑" w:cs="微软雅黑"/>
          <w:u w:val="single"/>
        </w:rPr>
        <w:t xml:space="preserve">   </w:t>
      </w:r>
      <w:r>
        <w:rPr>
          <w:rFonts w:hint="eastAsia" w:ascii="微软雅黑" w:hAnsi="微软雅黑" w:cs="微软雅黑"/>
        </w:rPr>
        <w:t xml:space="preserve">万元 ，属于</w:t>
      </w:r>
      <w:r>
        <w:rPr>
          <w:rFonts w:hint="eastAsia" w:ascii="微软雅黑" w:hAnsi="微软雅黑" w:cs="微软雅黑"/>
          <w:u w:val="single"/>
        </w:rPr>
        <w:t xml:space="preserve">         （中型企业、小 型企业、微型企业）</w:t>
      </w:r>
      <w:r>
        <w:rPr>
          <w:rFonts w:hint="eastAsia" w:ascii="微软雅黑" w:hAnsi="微软雅黑" w:cs="微软雅黑"/>
        </w:rPr>
        <w:t xml:space="preserve">；</w:t>
      </w:r>
      <w:bookmarkEnd w:id="310"/>
      <w:r>
        <w:rPr>
          <w:rFonts w:hint="eastAsia" w:ascii="微软雅黑" w:hAnsi="微软雅黑" w:cs="微软雅黑"/>
        </w:rPr>
        <w:t xml:space="preserve"> </w:t>
      </w:r>
      <w:r/>
    </w:p>
    <w:p>
      <w:pPr>
        <w:ind w:firstLine="420"/>
        <w:jc w:val="left"/>
        <w:keepLines/>
        <w:keepNext/>
        <w:spacing w:line="400" w:lineRule="exact"/>
        <w:rPr>
          <w:rFonts w:hint="eastAsia" w:ascii="微软雅黑" w:hAnsi="微软雅黑" w:cs="微软雅黑"/>
        </w:rPr>
      </w:pPr>
      <w:r/>
      <w:bookmarkStart w:id="311" w:name="_Toc3885"/>
      <w:r>
        <w:rPr>
          <w:rFonts w:hint="eastAsia" w:ascii="微软雅黑" w:hAnsi="微软雅黑" w:cs="微软雅黑"/>
        </w:rPr>
        <w:t xml:space="preserve">……</w:t>
      </w:r>
      <w:bookmarkEnd w:id="311"/>
      <w:r>
        <w:rPr>
          <w:rFonts w:hint="eastAsia" w:ascii="微软雅黑" w:hAnsi="微软雅黑" w:cs="微软雅黑"/>
        </w:rPr>
        <w:t xml:space="preserve"> </w:t>
      </w:r>
      <w:r/>
    </w:p>
    <w:p>
      <w:pPr>
        <w:ind w:firstLine="420"/>
        <w:jc w:val="left"/>
        <w:keepLines/>
        <w:keepNext/>
        <w:spacing w:line="400" w:lineRule="exact"/>
        <w:rPr>
          <w:rFonts w:hint="eastAsia" w:ascii="微软雅黑" w:hAnsi="微软雅黑" w:cs="微软雅黑"/>
        </w:rPr>
      </w:pPr>
      <w:r/>
      <w:bookmarkStart w:id="312" w:name="_Toc20124"/>
      <w:r>
        <w:rPr>
          <w:rFonts w:hint="eastAsia" w:ascii="微软雅黑" w:hAnsi="微软雅黑" w:cs="微软雅黑"/>
        </w:rPr>
        <w:t xml:space="preserve">以上企业，不属于大企业的分支机构，不存在控股股东 为大企业的情形，也不存在与大企业的负责人为同一人的情形。</w:t>
      </w:r>
      <w:bookmarkEnd w:id="312"/>
      <w:r>
        <w:rPr>
          <w:rFonts w:hint="eastAsia" w:ascii="微软雅黑" w:hAnsi="微软雅黑" w:cs="微软雅黑"/>
        </w:rPr>
        <w:t xml:space="preserve"> </w:t>
      </w:r>
      <w:r/>
    </w:p>
    <w:p>
      <w:pPr>
        <w:ind w:firstLine="420"/>
        <w:jc w:val="left"/>
        <w:keepLines/>
        <w:keepNext/>
        <w:spacing w:line="400" w:lineRule="exact"/>
        <w:rPr>
          <w:rFonts w:hint="eastAsia" w:ascii="微软雅黑" w:hAnsi="微软雅黑" w:cs="微软雅黑"/>
        </w:rPr>
      </w:pPr>
      <w:r/>
      <w:bookmarkStart w:id="313" w:name="_Toc4666"/>
      <w:r>
        <w:rPr>
          <w:rFonts w:hint="eastAsia" w:ascii="微软雅黑" w:hAnsi="微软雅黑" w:cs="微软雅黑"/>
        </w:rPr>
        <w:t xml:space="preserve">本企业对上述声明内容的真实性负责。如有虚假，将依法承担相应责任。</w:t>
      </w:r>
      <w:bookmarkEnd w:id="313"/>
      <w:r>
        <w:rPr>
          <w:rFonts w:hint="eastAsia" w:ascii="微软雅黑" w:hAnsi="微软雅黑" w:cs="微软雅黑"/>
        </w:rPr>
        <w:t xml:space="preserve"> </w:t>
      </w:r>
      <w:r/>
    </w:p>
    <w:p>
      <w:pPr>
        <w:ind w:firstLine="420"/>
        <w:spacing w:line="420" w:lineRule="exact"/>
        <w:rPr>
          <w:rFonts w:hint="eastAsia" w:ascii="微软雅黑" w:hAnsi="微软雅黑" w:cs="微软雅黑"/>
        </w:rPr>
      </w:pPr>
      <w:r>
        <w:rPr>
          <w:rFonts w:hint="eastAsia" w:ascii="微软雅黑" w:hAnsi="微软雅黑" w:cs="微软雅黑"/>
        </w:rPr>
      </w:r>
      <w:r/>
    </w:p>
    <w:p>
      <w:pPr>
        <w:ind w:firstLine="420"/>
        <w:jc w:val="right"/>
        <w:spacing w:line="420" w:lineRule="exact"/>
        <w:rPr>
          <w:rFonts w:hint="eastAsia" w:ascii="微软雅黑" w:hAnsi="微软雅黑" w:cs="微软雅黑"/>
        </w:rPr>
      </w:pPr>
      <w:r/>
      <w:bookmarkStart w:id="314" w:name="_Toc7691"/>
      <w:r>
        <w:rPr>
          <w:rFonts w:hint="eastAsia" w:ascii="微软雅黑" w:hAnsi="微软雅黑" w:cs="微软雅黑"/>
        </w:rPr>
        <w:t xml:space="preserve">企业名称（盖章）：</w:t>
      </w:r>
      <w:bookmarkEnd w:id="314"/>
      <w:r>
        <w:rPr>
          <w:rFonts w:hint="eastAsia" w:ascii="微软雅黑" w:hAnsi="微软雅黑" w:cs="微软雅黑"/>
        </w:rPr>
        <w:t xml:space="preserve"> </w:t>
      </w:r>
      <w:r/>
    </w:p>
    <w:p>
      <w:pPr>
        <w:ind w:firstLine="420"/>
        <w:jc w:val="right"/>
        <w:spacing w:line="420" w:lineRule="exact"/>
        <w:rPr>
          <w:rFonts w:hint="eastAsia" w:ascii="微软雅黑" w:hAnsi="微软雅黑" w:cs="微软雅黑"/>
        </w:rPr>
      </w:pPr>
      <w:r/>
      <w:bookmarkStart w:id="315" w:name="_Toc8519"/>
      <w:r>
        <w:rPr>
          <w:rFonts w:hint="eastAsia" w:ascii="微软雅黑" w:hAnsi="微软雅黑" w:cs="微软雅黑"/>
        </w:rPr>
        <w:t xml:space="preserve">日 期：</w:t>
      </w:r>
      <w:bookmarkEnd w:id="315"/>
      <w:r/>
      <w:r/>
    </w:p>
    <w:p>
      <w:pPr>
        <w:ind w:firstLine="420"/>
        <w:spacing w:line="420" w:lineRule="exact"/>
        <w:rPr>
          <w:rFonts w:hint="eastAsia" w:ascii="微软雅黑" w:hAnsi="微软雅黑" w:cs="微软雅黑"/>
        </w:rPr>
      </w:pPr>
      <w:r>
        <w:rPr>
          <w:rFonts w:hint="eastAsia" w:ascii="微软雅黑" w:hAnsi="微软雅黑" w:cs="微软雅黑"/>
        </w:rPr>
      </w:r>
      <w:r/>
    </w:p>
    <w:p>
      <w:pPr>
        <w:ind w:firstLine="420"/>
        <w:spacing w:line="420" w:lineRule="exact"/>
        <w:rPr>
          <w:rFonts w:hint="eastAsia" w:ascii="微软雅黑" w:hAnsi="微软雅黑" w:cs="微软雅黑"/>
          <w:szCs w:val="21"/>
        </w:rPr>
      </w:pPr>
      <w:r>
        <w:rPr>
          <w:rFonts w:hint="eastAsia" w:ascii="微软雅黑" w:hAnsi="微软雅黑" w:cs="微软雅黑"/>
        </w:rPr>
        <w:t xml:space="preserve">注：从业人员、营业收入、资产总额填报上一年度数据，无上一年度数据的新成立企业可不填报。</w:t>
      </w:r>
      <w:r/>
    </w:p>
    <w:p>
      <w:pPr>
        <w:spacing w:line="420" w:lineRule="exact"/>
        <w:rPr>
          <w:rFonts w:hint="eastAsia" w:ascii="微软雅黑" w:hAnsi="微软雅黑" w:cs="微软雅黑"/>
          <w:b/>
          <w:bCs/>
          <w:sz w:val="28"/>
          <w:szCs w:val="28"/>
        </w:rPr>
      </w:pPr>
      <w:r>
        <w:rPr>
          <w:rFonts w:hint="eastAsia" w:ascii="微软雅黑" w:hAnsi="微软雅黑" w:cs="微软雅黑"/>
          <w:b/>
          <w:bCs/>
          <w:sz w:val="28"/>
          <w:szCs w:val="28"/>
        </w:rPr>
      </w:r>
      <w:r/>
    </w:p>
    <w:p>
      <w:pPr>
        <w:spacing w:line="420" w:lineRule="exact"/>
        <w:rPr>
          <w:rFonts w:hint="eastAsia" w:ascii="微软雅黑" w:hAnsi="微软雅黑" w:cs="微软雅黑"/>
          <w:sz w:val="28"/>
          <w:szCs w:val="28"/>
        </w:rPr>
      </w:pPr>
      <w:r>
        <w:rPr>
          <w:rFonts w:hint="eastAsia" w:ascii="微软雅黑" w:hAnsi="微软雅黑" w:cs="微软雅黑"/>
          <w:sz w:val="28"/>
          <w:szCs w:val="28"/>
        </w:rPr>
      </w:r>
      <w:r/>
    </w:p>
    <w:p>
      <w:pPr>
        <w:rPr>
          <w:rFonts w:hint="eastAsia" w:ascii="微软雅黑" w:hAnsi="微软雅黑" w:cs="微软雅黑"/>
        </w:rPr>
      </w:pPr>
      <w:r>
        <w:rPr>
          <w:rFonts w:hint="eastAsia" w:ascii="微软雅黑" w:hAnsi="微软雅黑" w:cs="微软雅黑"/>
        </w:rPr>
      </w:r>
      <w:r/>
    </w:p>
    <w:p>
      <w:pPr>
        <w:spacing w:line="300" w:lineRule="exact"/>
        <w:rPr>
          <w:rFonts w:hint="eastAsia" w:ascii="微软雅黑" w:hAnsi="微软雅黑" w:cs="微软雅黑"/>
          <w:b/>
          <w:bCs/>
          <w:szCs w:val="21"/>
        </w:rPr>
      </w:pPr>
      <w:r/>
      <w:bookmarkStart w:id="316" w:name="_Toc17448"/>
      <w:r/>
      <w:bookmarkStart w:id="317" w:name="_Toc25461"/>
      <w:r>
        <w:rPr>
          <w:rFonts w:hint="eastAsia" w:ascii="微软雅黑" w:hAnsi="微软雅黑" w:cs="微软雅黑"/>
          <w:b/>
          <w:bCs/>
          <w:szCs w:val="21"/>
          <w:lang w:val="zh-CN"/>
        </w:rPr>
        <w:br w:type="page" w:clear="all"/>
      </w:r>
      <w:r>
        <w:rPr>
          <w:rFonts w:hint="eastAsia" w:ascii="微软雅黑" w:hAnsi="微软雅黑" w:cs="微软雅黑"/>
          <w:b/>
          <w:bCs/>
          <w:szCs w:val="21"/>
          <w:lang w:val="zh-CN"/>
        </w:rPr>
        <w:t xml:space="preserve">供应商情况告知表</w:t>
      </w:r>
      <w:r>
        <w:rPr>
          <w:rFonts w:hint="eastAsia" w:ascii="微软雅黑" w:hAnsi="微软雅黑" w:cs="微软雅黑"/>
          <w:b/>
          <w:bCs/>
          <w:szCs w:val="21"/>
        </w:rPr>
        <w:t xml:space="preserve">—附表</w:t>
      </w:r>
      <w:bookmarkEnd w:id="316"/>
      <w:r/>
      <w:r/>
    </w:p>
    <w:p>
      <w:pPr>
        <w:pStyle w:val="1151"/>
        <w:spacing w:line="3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p>
    <w:tbl>
      <w:tblPr>
        <w:tblStyle w:val="1146"/>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行业名称</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指标名称</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spacing w:line="360" w:lineRule="exact"/>
              <w:rPr>
                <w:rFonts w:hint="eastAsia" w:ascii="微软雅黑" w:hAnsi="微软雅黑" w:cs="微软雅黑"/>
                <w:b/>
                <w:bCs/>
                <w:szCs w:val="21"/>
              </w:rPr>
            </w:pPr>
            <w:r>
              <w:rPr>
                <w:rFonts w:hint="eastAsia" w:ascii="微软雅黑" w:hAnsi="微软雅黑" w:cs="微软雅黑"/>
                <w:b/>
                <w:bCs/>
                <w:szCs w:val="21"/>
              </w:rPr>
              <w:t xml:space="preserve">计量单位</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中型</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小型</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微型</w:t>
            </w:r>
            <w:r/>
          </w:p>
        </w:tc>
      </w:tr>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农、林、牧、渔</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jc w:val="left"/>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w:t>
            </w:r>
            <w:r/>
          </w:p>
        </w:tc>
      </w:tr>
      <w:tr>
        <w:trPr>
          <w:trHeight w:val="147"/>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工业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Y＜300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建筑业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6000≤Y＜80000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300≤Y＜6000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5000≤Z＜80000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300≤Z＜5000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Z＜300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批发业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5≤X＜20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X＜5</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零售业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10≤X＜50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交通运输业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200≤Y＜3000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Y＜200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仓储业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邮政业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non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non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non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2000≤Y＜30000</w:t>
            </w:r>
            <w:r/>
          </w:p>
        </w:tc>
        <w:tc>
          <w:tcPr>
            <w:tcBorders>
              <w:top w:val="non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Borders>
              <w:top w:val="non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住宿业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餐饮业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信息传输业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100≤X＜2000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1000≤Y＜100000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1000≤Y＜200000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5000≤Z＜10000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Y＜2000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物业管理</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1000≤Y＜5000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8000≤Z＜120000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100≤Z＜8000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bl>
    <w:p>
      <w:pPr>
        <w:pStyle w:val="1147"/>
        <w:ind w:firstLine="376"/>
        <w:spacing w:line="300" w:lineRule="exact"/>
        <w:rPr>
          <w:rFonts w:hint="eastAsia" w:ascii="微软雅黑" w:hAnsi="微软雅黑" w:cs="微软雅黑"/>
          <w:spacing w:val="-3"/>
        </w:rPr>
      </w:pPr>
      <w:r>
        <w:rPr>
          <w:rFonts w:hint="eastAsia" w:ascii="微软雅黑" w:hAnsi="微软雅黑" w:cs="微软雅黑"/>
          <w:spacing w:val="-11"/>
        </w:rPr>
        <w:t xml:space="preserve">说明：上述标准参照《关于印发中小企业划型标准规定的通知</w:t>
      </w:r>
      <w:r>
        <w:rPr>
          <w:rFonts w:hint="eastAsia" w:ascii="微软雅黑" w:hAnsi="微软雅黑" w:cs="微软雅黑"/>
          <w:spacing w:val="-157"/>
        </w:rPr>
        <w:t xml:space="preserve">》</w:t>
      </w:r>
      <w:r>
        <w:rPr>
          <w:rFonts w:hint="eastAsia" w:ascii="微软雅黑" w:hAnsi="微软雅黑" w:cs="微软雅黑"/>
          <w:spacing w:val="-3"/>
        </w:rPr>
        <w:t xml:space="preserve">》（</w:t>
      </w:r>
      <w:r>
        <w:rPr>
          <w:rFonts w:hint="eastAsia" w:ascii="微软雅黑" w:hAnsi="微软雅黑" w:cs="微软雅黑"/>
          <w:spacing w:val="-11"/>
        </w:rPr>
        <w:t xml:space="preserve">工信部联企业〔</w:t>
      </w:r>
      <w:r>
        <w:rPr>
          <w:rFonts w:hint="eastAsia" w:ascii="微软雅黑" w:hAnsi="微软雅黑" w:cs="微软雅黑"/>
        </w:rPr>
        <w:t xml:space="preserve">2011〕300号</w:t>
      </w:r>
      <w:r>
        <w:rPr>
          <w:rFonts w:hint="eastAsia" w:ascii="微软雅黑" w:hAnsi="微软雅黑" w:cs="微软雅黑"/>
          <w:spacing w:val="-108"/>
        </w:rPr>
        <w:t xml:space="preserve">）</w:t>
      </w:r>
      <w:r>
        <w:rPr>
          <w:rFonts w:hint="eastAsia" w:ascii="微软雅黑" w:hAnsi="微软雅黑" w:cs="微软雅黑"/>
          <w:spacing w:val="-3"/>
        </w:rPr>
        <w:t xml:space="preserve">），大型、中型和小型企业须同时满足所列指标的下限，否则下划一档；微型企业只须满足所列指标中的一项即可。</w:t>
      </w:r>
      <w:r/>
    </w:p>
    <w:p>
      <w:pPr>
        <w:pStyle w:val="1138"/>
        <w:spacing w:line="300" w:lineRule="exact"/>
        <w:rPr>
          <w:rFonts w:hint="eastAsia" w:ascii="微软雅黑" w:hAnsi="微软雅黑" w:eastAsia="微软雅黑" w:cs="微软雅黑"/>
          <w:szCs w:val="24"/>
        </w:rPr>
        <w:sectPr>
          <w:footerReference w:type="default" r:id="rId19"/>
          <w:footnotePr/>
          <w:endnotePr/>
          <w:type w:val="nextPage"/>
          <w:pgSz w:w="11906" w:h="16838" w:orient="portrait"/>
          <w:pgMar w:top="1440" w:right="1797" w:bottom="1440" w:left="1797" w:header="851" w:footer="992" w:gutter="0"/>
          <w:cols w:num="1" w:sep="0" w:space="720" w:equalWidth="1"/>
          <w:docGrid w:linePitch="360"/>
        </w:sectPr>
      </w:pPr>
      <w:r>
        <w:rPr>
          <w:rFonts w:hint="eastAsia" w:ascii="微软雅黑" w:hAnsi="微软雅黑" w:eastAsia="微软雅黑" w:cs="微软雅黑"/>
          <w:szCs w:val="24"/>
        </w:rPr>
      </w:r>
      <w:r/>
    </w:p>
    <w:p>
      <w:pPr>
        <w:pStyle w:val="1138"/>
        <w:spacing w:line="420" w:lineRule="exact"/>
        <w:rPr>
          <w:rFonts w:hint="eastAsia" w:ascii="微软雅黑" w:hAnsi="微软雅黑" w:eastAsia="微软雅黑" w:cs="微软雅黑"/>
          <w:b/>
          <w:bCs/>
          <w:sz w:val="24"/>
          <w:szCs w:val="24"/>
        </w:rPr>
      </w:pPr>
      <w:r/>
      <w:bookmarkStart w:id="318" w:name="_Toc10360"/>
      <w:r/>
      <w:bookmarkStart w:id="319" w:name="_Toc481"/>
      <w:r/>
      <w:bookmarkStart w:id="320" w:name="_Toc27170"/>
      <w:r/>
      <w:bookmarkStart w:id="321" w:name="_Toc28560"/>
      <w:r/>
      <w:bookmarkStart w:id="322" w:name="_Toc9790"/>
      <w:r/>
      <w:bookmarkStart w:id="323" w:name="_Toc26178"/>
      <w:r>
        <w:rPr>
          <w:rFonts w:hint="eastAsia" w:ascii="微软雅黑" w:hAnsi="微软雅黑" w:eastAsia="微软雅黑" w:cs="微软雅黑"/>
          <w:b/>
          <w:bCs/>
          <w:sz w:val="24"/>
          <w:szCs w:val="24"/>
        </w:rPr>
        <w:t xml:space="preserve">附件2.残疾人福利性单位声明函</w:t>
      </w:r>
      <w:bookmarkEnd w:id="317"/>
      <w:r/>
      <w:bookmarkEnd w:id="318"/>
      <w:r/>
      <w:bookmarkEnd w:id="319"/>
      <w:r/>
      <w:bookmarkEnd w:id="320"/>
      <w:r/>
      <w:bookmarkEnd w:id="321"/>
      <w:r/>
      <w:bookmarkEnd w:id="322"/>
      <w:r/>
      <w:bookmarkEnd w:id="323"/>
      <w:r/>
      <w:r/>
    </w:p>
    <w:p>
      <w:pPr>
        <w:rPr>
          <w:rFonts w:hint="eastAsia" w:ascii="微软雅黑" w:hAnsi="微软雅黑" w:cs="微软雅黑"/>
          <w:b/>
          <w:bCs/>
          <w:sz w:val="24"/>
          <w:szCs w:val="24"/>
        </w:rPr>
      </w:pPr>
      <w:r>
        <w:rPr>
          <w:rFonts w:hint="eastAsia" w:ascii="微软雅黑" w:hAnsi="微软雅黑" w:cs="微软雅黑"/>
          <w:b/>
          <w:bCs/>
          <w:sz w:val="24"/>
          <w:szCs w:val="24"/>
        </w:rPr>
        <w:t xml:space="preserve">（如不属于残疾人福利性单位，则无需提供此声明函）</w:t>
      </w:r>
      <w:r/>
    </w:p>
    <w:p>
      <w:pPr>
        <w:rPr>
          <w:rFonts w:hint="eastAsia" w:ascii="微软雅黑" w:hAnsi="微软雅黑" w:cs="微软雅黑"/>
        </w:rPr>
      </w:pPr>
      <w:r>
        <w:rPr>
          <w:rFonts w:hint="eastAsia" w:ascii="微软雅黑" w:hAnsi="微软雅黑" w:cs="微软雅黑"/>
        </w:rPr>
      </w:r>
      <w:r/>
    </w:p>
    <w:p>
      <w:pPr>
        <w:pStyle w:val="1170"/>
        <w:ind w:firstLine="420"/>
        <w:jc w:val="center"/>
        <w:spacing w:before="106" w:beforeAutospacing="0" w:after="106" w:afterAutospacing="0" w:line="30" w:lineRule="atLeast"/>
        <w:rPr>
          <w:rFonts w:hint="eastAsia"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p>
    <w:p>
      <w:pPr>
        <w:pStyle w:val="1170"/>
        <w:ind w:firstLine="420"/>
        <w:jc w:val="both"/>
        <w:spacing w:before="106" w:beforeAutospacing="0" w:after="106" w:afterAutospacing="0"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单位的</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70"/>
        <w:ind w:firstLine="420"/>
        <w:jc w:val="both"/>
        <w:spacing w:before="106" w:beforeAutospacing="0" w:after="106" w:afterAutospacing="0"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p>
    <w:p>
      <w:pPr>
        <w:pStyle w:val="1170"/>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1170"/>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p>
    <w:p>
      <w:pPr>
        <w:pStyle w:val="1170"/>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p>
    <w:p>
      <w:pPr>
        <w:pStyle w:val="1138"/>
        <w:spacing w:line="420" w:lineRule="exact"/>
        <w:rPr>
          <w:rFonts w:hint="eastAsia" w:ascii="微软雅黑" w:hAnsi="微软雅黑" w:eastAsia="微软雅黑" w:cs="微软雅黑"/>
          <w:b/>
          <w:szCs w:val="22"/>
        </w:rPr>
      </w:pPr>
      <w:r>
        <w:rPr>
          <w:rFonts w:hint="eastAsia" w:ascii="微软雅黑" w:hAnsi="微软雅黑" w:eastAsia="微软雅黑" w:cs="微软雅黑"/>
          <w:b/>
          <w:bCs/>
        </w:rPr>
        <w:br w:type="page" w:clear="all"/>
      </w:r>
      <w:bookmarkStart w:id="324" w:name="_Toc30762"/>
      <w:r/>
      <w:bookmarkStart w:id="325" w:name="_Toc14568"/>
      <w:r/>
      <w:bookmarkStart w:id="326" w:name="_Toc10769"/>
      <w:r>
        <w:rPr>
          <w:rFonts w:hint="eastAsia" w:ascii="微软雅黑" w:hAnsi="微软雅黑" w:eastAsia="微软雅黑" w:cs="微软雅黑"/>
          <w:b/>
          <w:sz w:val="24"/>
          <w:szCs w:val="24"/>
        </w:rPr>
        <w:t xml:space="preserve">附件3.关于符合本国产品标准的声明函</w:t>
      </w:r>
      <w:bookmarkEnd w:id="324"/>
      <w:r/>
      <w:bookmarkEnd w:id="325"/>
      <w:r/>
      <w:bookmarkEnd w:id="326"/>
      <w:r/>
      <w:r/>
    </w:p>
    <w:p>
      <w:pPr>
        <w:jc w:val="center"/>
        <w:spacing w:line="420" w:lineRule="exact"/>
        <w:rPr>
          <w:rFonts w:hint="eastAsia" w:ascii="微软雅黑" w:hAnsi="微软雅黑" w:cs="微软雅黑"/>
          <w:b/>
          <w:bCs/>
          <w:sz w:val="22"/>
        </w:rPr>
      </w:pPr>
      <w:r>
        <w:rPr>
          <w:rFonts w:hint="eastAsia" w:ascii="微软雅黑" w:hAnsi="微软雅黑" w:cs="微软雅黑"/>
          <w:b/>
          <w:bCs/>
          <w:sz w:val="22"/>
        </w:rPr>
        <w:t xml:space="preserve">关于符合本国产品标准的声明函</w:t>
      </w:r>
      <w:r/>
    </w:p>
    <w:p>
      <w:pPr>
        <w:pStyle w:val="1170"/>
        <w:ind w:firstLine="420"/>
        <w:spacing w:before="0" w:beforeAutospacing="0" w:after="0" w:afterAutospacing="0" w:line="0" w:lineRule="atLeast"/>
        <w:rPr>
          <w:rFonts w:hint="eastAsia" w:ascii="微软雅黑" w:hAnsi="微软雅黑" w:eastAsia="微软雅黑" w:cs="微软雅黑"/>
        </w:rPr>
      </w:pPr>
      <w:r>
        <w:rPr>
          <w:rFonts w:hint="eastAsia" w:ascii="微软雅黑" w:hAnsi="微软雅黑" w:eastAsia="微软雅黑" w:cs="微软雅黑"/>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70"/>
        <w:ind w:firstLine="420"/>
        <w:spacing w:before="30" w:beforeAutospacing="0" w:after="30" w:afterAutospacing="0" w:line="0" w:lineRule="atLeast"/>
        <w:rPr>
          <w:rFonts w:hint="eastAsia" w:ascii="微软雅黑" w:hAnsi="微软雅黑" w:eastAsia="微软雅黑" w:cs="微软雅黑"/>
        </w:rPr>
      </w:pP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3438525</wp:posOffset>
                </wp:positionH>
                <wp:positionV relativeFrom="paragraph">
                  <wp:posOffset>615315</wp:posOffset>
                </wp:positionV>
                <wp:extent cx="816610" cy="147320"/>
                <wp:effectExtent l="635" t="4445" r="1905" b="19685"/>
                <wp:wrapNone/>
                <wp:docPr id="15" name="自选图形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270.8pt;mso-position-horizontal:absolute;mso-position-vertical-relative:text;margin-top:4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2299970</wp:posOffset>
                </wp:positionH>
                <wp:positionV relativeFrom="paragraph">
                  <wp:posOffset>625475</wp:posOffset>
                </wp:positionV>
                <wp:extent cx="876300" cy="120015"/>
                <wp:effectExtent l="635" t="4445" r="18415" b="8890"/>
                <wp:wrapNone/>
                <wp:docPr id="16" name="自选图形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181.1pt;mso-position-horizontal:absolute;mso-position-vertical-relative:text;margin-top:49.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181610</wp:posOffset>
                </wp:positionH>
                <wp:positionV relativeFrom="paragraph">
                  <wp:posOffset>606425</wp:posOffset>
                </wp:positionV>
                <wp:extent cx="565785" cy="130810"/>
                <wp:effectExtent l="1270" t="4445" r="4445" b="17145"/>
                <wp:wrapNone/>
                <wp:docPr id="17" name="自选图形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4624;o:allowoverlap:true;o:allowincell:true;mso-position-horizontal-relative:text;margin-left:14.3pt;mso-position-horizontal:absolute;mso-position-vertical-relative:text;margin-top:4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4119245</wp:posOffset>
                </wp:positionH>
                <wp:positionV relativeFrom="paragraph">
                  <wp:posOffset>365125</wp:posOffset>
                </wp:positionV>
                <wp:extent cx="816610" cy="103505"/>
                <wp:effectExtent l="635" t="4445" r="1905" b="6350"/>
                <wp:wrapNone/>
                <wp:docPr id="18" name="自选图形 1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9504;o:allowoverlap:true;o:allowincell:true;mso-position-horizontal-relative:text;margin-left:324.3pt;mso-position-horizontal:absolute;mso-position-vertical-relative:text;margin-top:28.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2955290</wp:posOffset>
                </wp:positionH>
                <wp:positionV relativeFrom="paragraph">
                  <wp:posOffset>395605</wp:posOffset>
                </wp:positionV>
                <wp:extent cx="816610" cy="76200"/>
                <wp:effectExtent l="635" t="4445" r="1905" b="14604"/>
                <wp:wrapNone/>
                <wp:docPr id="19" name="自选图形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232.7pt;mso-position-horizontal:absolute;mso-position-vertical-relative:text;margin-top:31.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29210</wp:posOffset>
                </wp:positionH>
                <wp:positionV relativeFrom="paragraph">
                  <wp:posOffset>384175</wp:posOffset>
                </wp:positionV>
                <wp:extent cx="364490" cy="97790"/>
                <wp:effectExtent l="1270" t="4445" r="15240" b="12065"/>
                <wp:wrapNone/>
                <wp:docPr id="20" name="自选图形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2576;o:allowoverlap:true;o:allowincell:true;mso-position-horizontal-relative:text;margin-left:2.3pt;mso-position-horizontal:absolute;mso-position-vertical-relative:text;margin-top:30.2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4595495</wp:posOffset>
                </wp:positionH>
                <wp:positionV relativeFrom="paragraph">
                  <wp:posOffset>120015</wp:posOffset>
                </wp:positionV>
                <wp:extent cx="577215" cy="92075"/>
                <wp:effectExtent l="635" t="4445" r="12700" b="17780"/>
                <wp:wrapNone/>
                <wp:docPr id="21" name="自选图形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1552;o:allowoverlap:true;o:allowincell:true;mso-position-horizontal-relative:text;margin-left:361.8pt;mso-position-horizontal:absolute;mso-position-vertical-relative:text;margin-top:9.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shd w:val="clear" w:color="auto" w:fill="ffffff"/>
        </w:rPr>
        <w:t xml:space="preserve">1.</w:t>
      </w:r>
      <w:r>
        <w:rPr>
          <w:rStyle w:val="1175"/>
          <w:rFonts w:hint="eastAsia" w:ascii="微软雅黑" w:hAnsi="微软雅黑" w:eastAsia="微软雅黑" w:cs="微软雅黑"/>
          <w:i w:val="0"/>
          <w:u w:val="single"/>
          <w:shd w:val="clear" w:color="auto" w:fill="ffffff"/>
        </w:rPr>
        <w:t xml:space="preserve">（产品名称1）</w:t>
      </w:r>
      <w:r>
        <w:rPr>
          <w:rStyle w:val="1175"/>
          <w:rFonts w:hint="eastAsia" w:ascii="微软雅黑" w:hAnsi="微软雅黑" w:eastAsia="微软雅黑" w:cs="微软雅黑"/>
          <w:i w:val="0"/>
          <w:shd w:val="clear" w:color="auto" w:fill="ffffff"/>
          <w:vertAlign w:val="superscript"/>
        </w:rPr>
        <w:t xml:space="preserve">1</w:t>
      </w:r>
      <w:r>
        <w:rPr>
          <w:rFonts w:hint="eastAsia" w:ascii="微软雅黑" w:hAnsi="微软雅黑" w:eastAsia="微软雅黑" w:cs="微软雅黑"/>
          <w:shd w:val="clear" w:color="auto" w:fill="ffffff"/>
        </w:rPr>
        <w:t xml:space="preserve">，生产厂为</w:t>
      </w:r>
      <w:r>
        <w:rPr>
          <w:rStyle w:val="1175"/>
          <w:rFonts w:hint="eastAsia" w:ascii="微软雅黑" w:hAnsi="微软雅黑" w:eastAsia="微软雅黑" w:cs="微软雅黑"/>
          <w:i w:val="0"/>
          <w:u w:val="single"/>
          <w:shd w:val="clear" w:color="auto" w:fill="ffffff"/>
        </w:rPr>
        <w:t xml:space="preserve">（厂名）</w:t>
      </w:r>
      <w:r>
        <w:rPr>
          <w:rStyle w:val="1175"/>
          <w:rFonts w:hint="eastAsia" w:ascii="微软雅黑" w:hAnsi="微软雅黑" w:eastAsia="微软雅黑" w:cs="微软雅黑"/>
          <w:i w:val="0"/>
          <w:shd w:val="clear" w:color="auto" w:fill="ffffff"/>
          <w:vertAlign w:val="superscript"/>
        </w:rPr>
        <w:t xml:space="preserve">2</w:t>
      </w:r>
      <w:r>
        <w:rPr>
          <w:rFonts w:hint="eastAsia" w:ascii="微软雅黑" w:hAnsi="微软雅黑" w:eastAsia="微软雅黑" w:cs="微软雅黑"/>
          <w:shd w:val="clear" w:color="auto" w:fill="ffffff"/>
        </w:rPr>
        <w:t xml:space="preserve">，厂址为</w:t>
      </w:r>
      <w:r>
        <w:rPr>
          <w:rStyle w:val="1175"/>
          <w:rFonts w:hint="eastAsia" w:ascii="微软雅黑" w:hAnsi="微软雅黑" w:eastAsia="微软雅黑" w:cs="微软雅黑"/>
          <w:i w:val="0"/>
          <w:u w:val="single"/>
          <w:shd w:val="clear" w:color="auto" w:fill="ffffff"/>
        </w:rPr>
        <w:t xml:space="preserve">（生产厂址）</w:t>
      </w:r>
      <w:r>
        <w:rPr>
          <w:rFonts w:hint="eastAsia" w:ascii="微软雅黑" w:hAnsi="微软雅黑" w:eastAsia="微软雅黑" w:cs="微软雅黑"/>
          <w:shd w:val="clear" w:color="auto" w:fill="ffffff"/>
        </w:rPr>
        <w:t xml:space="preserve">。</w:t>
      </w:r>
      <w:r>
        <w:rPr>
          <w:rFonts w:hint="eastAsia" w:ascii="微软雅黑" w:hAnsi="微软雅黑" w:eastAsia="微软雅黑" w:cs="微软雅黑"/>
          <w:u w:val="single"/>
          <w:shd w:val="clear" w:color="auto" w:fill="ffffff"/>
        </w:rPr>
        <w:t xml:space="preserve"> </w:t>
      </w:r>
      <w:r>
        <w:rPr>
          <w:rStyle w:val="1175"/>
          <w:rFonts w:hint="eastAsia" w:ascii="微软雅黑" w:hAnsi="微软雅黑" w:eastAsia="微软雅黑" w:cs="微软雅黑"/>
          <w:i w:val="0"/>
          <w:u w:val="single"/>
          <w:shd w:val="clear" w:color="auto" w:fill="ffffff"/>
        </w:rPr>
        <w:t xml:space="preserve">（产品名称1） </w:t>
      </w:r>
      <w:r>
        <w:rPr>
          <w:rFonts w:hint="eastAsia" w:ascii="微软雅黑" w:hAnsi="微软雅黑" w:eastAsia="微软雅黑" w:cs="微软雅黑"/>
          <w:shd w:val="clear" w:color="auto" w:fill="ffffff"/>
        </w:rPr>
        <w:t xml:space="preserve">的中国境内生产的组件成本占比≥</w:t>
      </w:r>
      <w:r>
        <w:rPr>
          <w:rStyle w:val="1175"/>
          <w:rFonts w:hint="eastAsia" w:ascii="微软雅黑" w:hAnsi="微软雅黑" w:eastAsia="微软雅黑" w:cs="微软雅黑"/>
          <w:i w:val="0"/>
          <w:u w:val="single"/>
          <w:shd w:val="clear" w:color="auto" w:fill="ffffff"/>
        </w:rPr>
        <w:t xml:space="preserve">（规定比例）</w:t>
      </w:r>
      <w:r>
        <w:rPr>
          <w:rStyle w:val="1175"/>
          <w:rFonts w:hint="eastAsia" w:ascii="微软雅黑" w:hAnsi="微软雅黑" w:eastAsia="微软雅黑" w:cs="微软雅黑"/>
          <w:i w:val="0"/>
          <w:shd w:val="clear" w:color="auto" w:fill="ffffff"/>
          <w:vertAlign w:val="superscript"/>
        </w:rPr>
        <w:t xml:space="preserve">3</w:t>
      </w:r>
      <w:r>
        <w:rPr>
          <w:rFonts w:hint="eastAsia" w:ascii="微软雅黑" w:hAnsi="微软雅黑" w:eastAsia="微软雅黑" w:cs="微软雅黑"/>
          <w:shd w:val="clear" w:color="auto" w:fill="ffffff"/>
        </w:rPr>
        <w:t xml:space="preserve">。</w:t>
      </w:r>
      <w:r>
        <w:rPr>
          <w:rStyle w:val="1175"/>
          <w:rFonts w:hint="eastAsia" w:ascii="微软雅黑" w:hAnsi="微软雅黑" w:eastAsia="微软雅黑" w:cs="微软雅黑"/>
          <w:i w:val="0"/>
          <w:u w:val="single"/>
          <w:shd w:val="clear" w:color="auto" w:fill="ffffff"/>
        </w:rPr>
        <w:t xml:space="preserve">（产品名称1）</w:t>
      </w:r>
      <w:r>
        <w:rPr>
          <w:rFonts w:hint="eastAsia" w:ascii="微软雅黑" w:hAnsi="微软雅黑" w:eastAsia="微软雅黑" w:cs="微软雅黑"/>
          <w:shd w:val="clear" w:color="auto" w:fill="ffffff"/>
        </w:rPr>
        <w:t xml:space="preserve">的</w:t>
      </w:r>
      <w:r>
        <w:rPr>
          <w:rStyle w:val="1175"/>
          <w:rFonts w:hint="eastAsia" w:ascii="微软雅黑" w:hAnsi="微软雅黑" w:eastAsia="微软雅黑" w:cs="微软雅黑"/>
          <w:i w:val="0"/>
          <w:u w:val="single"/>
          <w:shd w:val="clear" w:color="auto" w:fill="ffffff"/>
        </w:rPr>
        <w:t xml:space="preserve">（关键组件）</w:t>
      </w:r>
      <w:r>
        <w:rPr>
          <w:rStyle w:val="1175"/>
          <w:rFonts w:hint="eastAsia" w:ascii="微软雅黑" w:hAnsi="微软雅黑" w:eastAsia="微软雅黑" w:cs="微软雅黑"/>
          <w:i w:val="0"/>
          <w:shd w:val="clear" w:color="auto" w:fill="ffffff"/>
          <w:vertAlign w:val="superscript"/>
        </w:rPr>
        <w:t xml:space="preserve">4</w:t>
      </w:r>
      <w:r>
        <w:rPr>
          <w:rFonts w:hint="eastAsia" w:ascii="微软雅黑" w:hAnsi="微软雅黑" w:eastAsia="微软雅黑" w:cs="微软雅黑"/>
          <w:shd w:val="clear" w:color="auto" w:fill="ffffff"/>
        </w:rPr>
        <w:t xml:space="preserve">在中国境内生产。</w:t>
      </w:r>
      <w:r>
        <w:rPr>
          <w:rStyle w:val="1175"/>
          <w:rFonts w:hint="eastAsia" w:ascii="微软雅黑" w:hAnsi="微软雅黑" w:eastAsia="微软雅黑" w:cs="微软雅黑"/>
          <w:i w:val="0"/>
          <w:u w:val="single"/>
          <w:shd w:val="clear" w:color="auto" w:fill="ffffff"/>
        </w:rPr>
        <w:t xml:space="preserve">（产品名称1）</w:t>
      </w:r>
      <w:r>
        <w:rPr>
          <w:rFonts w:hint="eastAsia" w:ascii="微软雅黑" w:hAnsi="微软雅黑" w:eastAsia="微软雅黑" w:cs="微软雅黑"/>
          <w:shd w:val="clear" w:color="auto" w:fill="ffffff"/>
        </w:rPr>
        <w:t xml:space="preserve">的</w:t>
      </w:r>
      <w:r>
        <w:rPr>
          <w:rStyle w:val="1175"/>
          <w:rFonts w:hint="eastAsia" w:ascii="微软雅黑" w:hAnsi="微软雅黑" w:eastAsia="微软雅黑" w:cs="微软雅黑"/>
          <w:i w:val="0"/>
          <w:u w:val="single"/>
          <w:shd w:val="clear" w:color="auto" w:fill="ffffff"/>
        </w:rPr>
        <w:t xml:space="preserve">（关键工序）</w:t>
      </w:r>
      <w:r>
        <w:rPr>
          <w:rStyle w:val="1175"/>
          <w:rFonts w:hint="eastAsia" w:ascii="微软雅黑" w:hAnsi="微软雅黑" w:eastAsia="微软雅黑" w:cs="微软雅黑"/>
          <w:i w:val="0"/>
          <w:shd w:val="clear" w:color="auto" w:fill="ffffff"/>
          <w:vertAlign w:val="superscript"/>
        </w:rPr>
        <w:t xml:space="preserve">5</w:t>
      </w:r>
      <w:r>
        <w:rPr>
          <w:rFonts w:hint="eastAsia" w:ascii="微软雅黑" w:hAnsi="微软雅黑" w:eastAsia="微软雅黑" w:cs="微软雅黑"/>
          <w:shd w:val="clear" w:color="auto" w:fill="ffffff"/>
        </w:rPr>
        <w:t xml:space="preserve">在中国境内完成。</w:t>
      </w:r>
      <w:r/>
    </w:p>
    <w:p>
      <w:pPr>
        <w:pStyle w:val="1170"/>
        <w:ind w:firstLine="420"/>
        <w:spacing w:before="30" w:beforeAutospacing="0" w:after="30" w:afterAutospacing="0" w:line="0" w:lineRule="atLeast"/>
        <w:rPr>
          <w:rFonts w:hint="eastAsia" w:ascii="微软雅黑" w:hAnsi="微软雅黑" w:eastAsia="微软雅黑" w:cs="微软雅黑"/>
        </w:rPr>
      </w:pPr>
      <w:r>
        <w:rPr>
          <w:rFonts w:hint="eastAsia" w:ascii="微软雅黑" w:hAnsi="微软雅黑" w:eastAsia="微软雅黑" w:cs="微软雅黑"/>
          <w:shd w:val="clear" w:color="auto" w:fill="ffffff"/>
        </w:rPr>
        <w:t xml:space="preserve">……</w:t>
      </w:r>
      <w:r/>
    </w:p>
    <w:p>
      <w:pPr>
        <w:pStyle w:val="1170"/>
        <w:ind w:firstLine="420"/>
        <w:spacing w:before="30" w:beforeAutospacing="0" w:after="30" w:afterAutospacing="0" w:line="0" w:lineRule="atLeast"/>
        <w:rPr>
          <w:rFonts w:hint="eastAsia" w:ascii="微软雅黑" w:hAnsi="微软雅黑" w:eastAsia="微软雅黑" w:cs="微软雅黑"/>
        </w:rPr>
      </w:pPr>
      <w:r>
        <w:rPr>
          <w:rFonts w:hint="eastAsia" w:ascii="微软雅黑" w:hAnsi="微软雅黑" w:eastAsia="微软雅黑" w:cs="微软雅黑"/>
          <w:shd w:val="clear" w:color="auto" w:fill="ffffff"/>
        </w:rPr>
        <w:t xml:space="preserve">本公司（单位）对上述声明内容的真实性负责。如有虚假，愿承担相应法律责任。</w:t>
      </w:r>
      <w:r/>
    </w:p>
    <w:p>
      <w:pPr>
        <w:pStyle w:val="1170"/>
        <w:spacing w:before="30" w:beforeAutospacing="0" w:after="30" w:afterAutospacing="0" w:line="0" w:lineRule="atLeast"/>
        <w:rPr>
          <w:rFonts w:hint="eastAsia" w:ascii="微软雅黑" w:hAnsi="微软雅黑" w:eastAsia="微软雅黑" w:cs="微软雅黑"/>
        </w:rPr>
      </w:pPr>
      <w:r>
        <w:rPr>
          <w:rFonts w:hint="eastAsia" w:ascii="微软雅黑" w:hAnsi="微软雅黑" w:eastAsia="微软雅黑" w:cs="微软雅黑"/>
        </w:rPr>
      </w:r>
      <w:r/>
    </w:p>
    <w:p>
      <w:pPr>
        <w:pStyle w:val="1170"/>
        <w:ind w:right="480" w:firstLine="3720"/>
        <w:spacing w:before="30" w:beforeAutospacing="0" w:after="30" w:afterAutospacing="0" w:line="0" w:lineRule="atLeast"/>
        <w:rPr>
          <w:rFonts w:hint="eastAsia" w:ascii="微软雅黑" w:hAnsi="微软雅黑" w:eastAsia="微软雅黑" w:cs="微软雅黑"/>
        </w:rPr>
      </w:pPr>
      <w:r>
        <w:rPr>
          <w:rFonts w:hint="eastAsia" w:ascii="微软雅黑" w:hAnsi="微软雅黑" w:eastAsia="微软雅黑" w:cs="微软雅黑"/>
          <w:shd w:val="clear" w:color="auto" w:fill="ffffff"/>
        </w:rPr>
        <w:t xml:space="preserve">公司（单位）名称（盖章）：　        </w:t>
      </w:r>
      <w:r/>
    </w:p>
    <w:p>
      <w:pPr>
        <w:pStyle w:val="1170"/>
        <w:jc w:val="center"/>
        <w:spacing w:before="30" w:beforeAutospacing="0" w:after="30" w:afterAutospacing="0" w:line="0" w:lineRule="atLeast"/>
        <w:rPr>
          <w:rFonts w:hint="eastAsia" w:ascii="微软雅黑" w:hAnsi="微软雅黑" w:eastAsia="微软雅黑" w:cs="微软雅黑"/>
        </w:rPr>
      </w:pPr>
      <w:r>
        <w:rPr>
          <w:rFonts w:hint="eastAsia" w:ascii="微软雅黑" w:hAnsi="微软雅黑" w:eastAsia="微软雅黑" w:cs="微软雅黑"/>
          <w:shd w:val="clear" w:color="auto" w:fill="ffffff"/>
        </w:rPr>
        <w:t xml:space="preserve">                                日期：　   年　  月　  日         </w:t>
      </w:r>
      <w:r/>
    </w:p>
    <w:p>
      <w:pPr>
        <w:pStyle w:val="1170"/>
        <w:spacing w:before="30" w:beforeAutospacing="0" w:after="30" w:afterAutospacing="0" w:line="0" w:lineRule="atLeast"/>
        <w:rPr>
          <w:rFonts w:hint="eastAsia" w:ascii="微软雅黑" w:hAnsi="微软雅黑" w:eastAsia="微软雅黑" w:cs="微软雅黑"/>
        </w:rPr>
      </w:pPr>
      <w:r>
        <w:rPr>
          <w:rFonts w:hint="eastAsia" w:ascii="微软雅黑" w:hAnsi="微软雅黑" w:eastAsia="微软雅黑" w:cs="微软雅黑"/>
          <w:shd w:val="clear" w:color="auto" w:fill="ffffff"/>
        </w:rPr>
        <w:t xml:space="preserve">__________________</w:t>
      </w:r>
      <w:r/>
    </w:p>
    <w:p>
      <w:pPr>
        <w:pStyle w:val="1170"/>
        <w:spacing w:before="30" w:beforeAutospacing="0" w:after="30" w:afterAutospacing="0" w:line="0" w:lineRule="atLeast"/>
        <w:rPr>
          <w:rFonts w:hint="eastAsia" w:ascii="微软雅黑" w:hAnsi="微软雅黑" w:eastAsia="微软雅黑" w:cs="微软雅黑"/>
          <w:sz w:val="22"/>
        </w:rPr>
      </w:pPr>
      <w:r>
        <w:rPr>
          <w:rFonts w:hint="eastAsia" w:ascii="微软雅黑" w:hAnsi="微软雅黑" w:eastAsia="微软雅黑" w:cs="微软雅黑"/>
          <w:sz w:val="22"/>
          <w:shd w:val="clear" w:color="auto" w:fill="ffffff"/>
        </w:rPr>
        <w:t xml:space="preserve">1.产品如有型号，请在“产品名称”栏一并填写。</w:t>
      </w:r>
      <w:r/>
    </w:p>
    <w:p>
      <w:pPr>
        <w:pStyle w:val="1170"/>
        <w:spacing w:before="30" w:beforeAutospacing="0" w:after="30" w:afterAutospacing="0" w:line="0" w:lineRule="atLeast"/>
        <w:rPr>
          <w:rFonts w:hint="eastAsia" w:ascii="微软雅黑" w:hAnsi="微软雅黑" w:eastAsia="微软雅黑" w:cs="微软雅黑"/>
          <w:sz w:val="22"/>
        </w:rPr>
      </w:pPr>
      <w:r>
        <w:rPr>
          <w:rFonts w:hint="eastAsia" w:ascii="微软雅黑" w:hAnsi="微软雅黑" w:eastAsia="微软雅黑" w:cs="微软雅黑"/>
          <w:sz w:val="22"/>
          <w:shd w:val="clear" w:color="auto" w:fill="ffffff"/>
        </w:rPr>
        <w:t xml:space="preserve">2.生产厂名与厂址应与生产厂营业执照载明的相关信息保持一致。</w:t>
      </w:r>
      <w:r/>
    </w:p>
    <w:p>
      <w:pPr>
        <w:pStyle w:val="1170"/>
        <w:spacing w:before="30" w:beforeAutospacing="0" w:after="30" w:afterAutospacing="0" w:line="0" w:lineRule="atLeast"/>
        <w:rPr>
          <w:rFonts w:hint="eastAsia" w:ascii="微软雅黑" w:hAnsi="微软雅黑" w:eastAsia="微软雅黑" w:cs="微软雅黑"/>
          <w:sz w:val="22"/>
        </w:rPr>
      </w:pPr>
      <w:r>
        <w:rPr>
          <w:rFonts w:hint="eastAsia" w:ascii="微软雅黑" w:hAnsi="微软雅黑" w:eastAsia="微软雅黑" w:cs="微软雅黑"/>
          <w:sz w:val="22"/>
          <w:shd w:val="clear" w:color="auto" w:fill="ffffff"/>
        </w:rPr>
        <w:t xml:space="preserve">3.该产品的中国境内生产的组件成本占比相关要求实施前，“规定比例”栏可不填，下同。</w:t>
      </w:r>
      <w:r/>
    </w:p>
    <w:p>
      <w:pPr>
        <w:pStyle w:val="1170"/>
        <w:spacing w:before="30" w:beforeAutospacing="0" w:after="30" w:afterAutospacing="0" w:line="0" w:lineRule="atLeast"/>
        <w:rPr>
          <w:rFonts w:hint="eastAsia" w:ascii="微软雅黑" w:hAnsi="微软雅黑" w:eastAsia="微软雅黑" w:cs="微软雅黑"/>
          <w:sz w:val="22"/>
        </w:rPr>
      </w:pPr>
      <w:r>
        <w:rPr>
          <w:rFonts w:hint="eastAsia" w:ascii="微软雅黑" w:hAnsi="微软雅黑" w:eastAsia="微软雅黑" w:cs="微软雅黑"/>
          <w:sz w:val="22"/>
          <w:shd w:val="clear" w:color="auto" w:fill="ffffff"/>
        </w:rPr>
        <w:t xml:space="preserve">4.该产品的关键组件要求实施前，“关键组件”栏可不填，下同。</w:t>
      </w:r>
      <w:r/>
    </w:p>
    <w:p>
      <w:pPr>
        <w:pStyle w:val="1170"/>
        <w:spacing w:before="30" w:beforeAutospacing="0" w:after="30" w:afterAutospacing="0" w:line="0" w:lineRule="atLeast"/>
        <w:rPr>
          <w:rFonts w:hint="eastAsia" w:ascii="微软雅黑" w:hAnsi="微软雅黑" w:eastAsia="微软雅黑" w:cs="微软雅黑"/>
          <w:sz w:val="22"/>
          <w:shd w:val="clear" w:color="auto" w:fill="ffffff"/>
        </w:rPr>
      </w:pPr>
      <w:r>
        <w:rPr>
          <w:rFonts w:hint="eastAsia" w:ascii="微软雅黑" w:hAnsi="微软雅黑" w:eastAsia="微软雅黑" w:cs="微软雅黑"/>
          <w:sz w:val="22"/>
          <w:shd w:val="clear" w:color="auto" w:fill="ffffff"/>
        </w:rPr>
        <w:t xml:space="preserve">5.该产品的关键工序要求实施前，“关键工序”栏可不填，下同。</w:t>
      </w:r>
      <w:r/>
    </w:p>
    <w:p>
      <w:pPr>
        <w:pStyle w:val="1170"/>
        <w:spacing w:before="30" w:beforeAutospacing="0" w:after="30" w:afterAutospacing="0" w:line="0" w:lineRule="atLeast"/>
        <w:rPr>
          <w:rFonts w:hint="eastAsia" w:ascii="微软雅黑" w:hAnsi="微软雅黑" w:eastAsia="微软雅黑" w:cs="微软雅黑"/>
          <w:sz w:val="22"/>
          <w:shd w:val="clear" w:color="auto" w:fill="ffffff"/>
        </w:rPr>
      </w:pPr>
      <w:r>
        <w:rPr>
          <w:rFonts w:hint="eastAsia" w:ascii="微软雅黑" w:hAnsi="微软雅黑" w:eastAsia="微软雅黑" w:cs="微软雅黑"/>
          <w:sz w:val="22"/>
          <w:shd w:val="clear" w:color="auto" w:fill="ffffff"/>
        </w:rPr>
        <w:t xml:space="preserve">6.用斜线划除的地方无需填写。</w:t>
      </w:r>
      <w:r/>
    </w:p>
    <w:p>
      <w:pPr>
        <w:pStyle w:val="1170"/>
        <w:ind w:firstLine="420"/>
        <w:jc w:val="both"/>
        <w:spacing w:before="106" w:beforeAutospacing="0" w:after="106"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rPr>
          <w:rFonts w:hint="eastAsia" w:ascii="微软雅黑" w:hAnsi="微软雅黑" w:cs="微软雅黑"/>
        </w:rPr>
      </w:pPr>
      <w:r>
        <w:rPr>
          <w:rFonts w:hint="eastAsia" w:ascii="微软雅黑" w:hAnsi="微软雅黑" w:cs="微软雅黑"/>
        </w:rPr>
      </w:r>
      <w:r/>
    </w:p>
    <w:sectPr>
      <w:headerReference w:type="default" r:id="rId14"/>
      <w:footerReference w:type="default" r:id="rId20"/>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楷体_GB2312">
    <w:panose1 w:val="02010609060101010101"/>
  </w:font>
  <w:font w:name="Courier New">
    <w:panose1 w:val="02070309020205020404"/>
  </w:font>
  <w:font w:name="黑体">
    <w:panose1 w:val="02010609060101010101"/>
  </w:font>
  <w:font w:name="宋体_GB2312">
    <w:panose1 w:val="0201060003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2138045</wp:posOffset>
              </wp:positionH>
              <wp:positionV relativeFrom="paragraph">
                <wp:posOffset>635</wp:posOffset>
              </wp:positionV>
              <wp:extent cx="978535" cy="1828800"/>
              <wp:effectExtent l="0" t="0" r="12065" b="3175"/>
              <wp:wrapNone/>
              <wp:docPr id="9" name="文本框 5"/>
              <wp:cNvGraphicFramePr/>
              <a:graphic xmlns:a="http://schemas.openxmlformats.org/drawingml/2006/main">
                <a:graphicData uri="http://schemas.microsoft.com/office/word/2010/wordprocessingShape">
                  <wps:wsp>
                    <wps:cNvPr id="0" name=""/>
                    <wps:cNvSpPr txBox="1"/>
                    <wps:spPr bwMode="auto">
                      <a:xfrm>
                        <a:off x="0" y="0"/>
                        <a:ext cx="978535" cy="1828800"/>
                      </a:xfrm>
                      <a:prstGeom prst="rect">
                        <a:avLst/>
                      </a:prstGeom>
                      <a:noFill/>
                      <a:ln>
                        <a:noFill/>
                      </a:ln>
                    </wps:spPr>
                    <wps:txbx>
                      <w:txbxContent>
                        <w:p>
                          <w:pPr>
                            <w:pStyle w:val="1382"/>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squar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argin-left:168.3pt;mso-position-horizontal:absolute;mso-position-vertical-relative:text;margin-top:0.0pt;mso-position-vertical:absolute;width:77.0pt;height:144.0pt;mso-wrap-distance-left:9.0pt;mso-wrap-distance-top:0.0pt;mso-wrap-distance-right:9.0pt;mso-wrap-distance-bottom:0.0pt;visibility:visible;" filled="f" stroked="f">
              <v:textbox inset="0,0,0,0">
                <w:txbxContent>
                  <w:p>
                    <w:pPr>
                      <w:pStyle w:val="1382"/>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8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2"/>
                            <w:ind w:firstLine="36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2"/>
                      <w:ind w:firstLine="36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82"/>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vert="horz" wrap="none" lIns="0" tIns="0" rIns="0" bIns="0" anchor="t" anchorCtr="0">
                      <a:sp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6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857885" cy="147955"/>
              <wp:effectExtent l="0" t="0" r="0" b="0"/>
              <wp:wrapNone/>
              <wp:docPr id="12" name="文本框 7"/>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ln>
                    </wps:spPr>
                    <wps:txbx>
                      <w:txbxContent>
                        <w:p>
                          <w:pPr>
                            <w:pStyle w:val="1382"/>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1382"/>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-37465</wp:posOffset>
              </wp:positionH>
              <wp:positionV relativeFrom="paragraph">
                <wp:posOffset>66675</wp:posOffset>
              </wp:positionV>
              <wp:extent cx="815340" cy="22733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2.9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hint="eastAsia" w:ascii="微软雅黑" w:hAnsi="微软雅黑" w:cs="微软雅黑"/>
        <w:u w:val="single"/>
      </w:rPr>
      <w:t xml:space="preserve">苏采云编号待定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0</wp:posOffset>
              </wp:positionV>
              <wp:extent cx="1379220" cy="38481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7456;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JSHC-2026080674B1</w:t>
    </w:r>
    <w:r/>
  </w:p>
  <w:p>
    <w:pPr>
      <w:pStyle w:val="1384"/>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9504;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JSHC-2026080674B1</w:t>
    </w:r>
    <w:r/>
  </w:p>
  <w:p>
    <w:pPr>
      <w:pStyle w:val="1384"/>
      <w:jc w:val="both"/>
      <w:rPr>
        <w:rFonts w:hint="eastAsia" w:ascii="仿宋" w:hAnsi="仿宋" w:eastAsia="仿宋" w:cs="仿宋"/>
      </w:rPr>
      <w:pBdr>
        <w:bottom w:val="none" w:color="auto" w:sz="0" w:space="1"/>
      </w:pBdr>
    </w:pPr>
    <w:r>
      <w:rPr>
        <w:rFonts w:hint="eastAsia" w:ascii="仿宋" w:hAnsi="仿宋" w:eastAsia="仿宋" w:cs="仿宋"/>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-55245</wp:posOffset>
              </wp:positionH>
              <wp:positionV relativeFrom="paragraph">
                <wp:posOffset>79375</wp:posOffset>
              </wp:positionV>
              <wp:extent cx="815340" cy="227330"/>
              <wp:effectExtent l="0" t="0" r="3810" b="1270"/>
              <wp:wrapNone/>
              <wp:docPr id="5" name="图片 3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0"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JSHC-2026080674B1</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6"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052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JSHC-2026080674B1</w:t>
    </w:r>
    <w:r/>
  </w:p>
  <w:p>
    <w:pPr>
      <w:pStyle w:val="138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1534"/>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3">
    <w:multiLevelType w:val="hybridMultilevel"/>
    <w:lvl w:ilvl="0">
      <w:start w:val="1"/>
      <w:numFmt w:val="decimal"/>
      <w:pStyle w:val="1501"/>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88"/>
      <w:isLgl w:val="false"/>
      <w:suff w:val="tab"/>
      <w:lvlText w:val="%1."/>
      <w:lvlJc w:val="left"/>
      <w:pPr>
        <w:tabs>
          <w:tab w:val="left" w:pos="360" w:leader="none"/>
        </w:tabs>
      </w:pPr>
      <w:rPr>
        <w:rFonts w:hint="eastAsia"/>
      </w:rPr>
    </w:lvl>
    <w:lvl w:ilvl="1">
      <w:start w:val="1"/>
      <w:numFmt w:val="decimal"/>
      <w:pStyle w:val="1493"/>
      <w:isLgl w:val="false"/>
      <w:suff w:val="tab"/>
      <w:lvlText w:val="%1.%2"/>
      <w:lvlJc w:val="left"/>
      <w:pPr>
        <w:tabs>
          <w:tab w:val="left" w:pos="720" w:leader="none"/>
        </w:tabs>
      </w:pPr>
      <w:rPr>
        <w:rFonts w:hint="eastAsia"/>
        <w:b w:val="0"/>
        <w:bCs w:val="0"/>
        <w:i w:val="0"/>
        <w:iCs w:val="0"/>
      </w:rPr>
    </w:lvl>
    <w:lvl w:ilvl="2">
      <w:start w:val="1"/>
      <w:numFmt w:val="decimal"/>
      <w:pStyle w:val="1500"/>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pStyle w:val="1360"/>
      <w:isLgl w:val="false"/>
      <w:suff w:val="tab"/>
      <w:lvlText w:val="%1)"/>
      <w:lvlJc w:val="left"/>
      <w:pPr>
        <w:ind w:left="990" w:hanging="360"/>
        <w:tabs>
          <w:tab w:val="left" w:pos="990" w:leader="none"/>
        </w:tabs>
      </w:pPr>
      <w:rPr>
        <w:rFonts w:hint="eastAsia"/>
      </w:rPr>
    </w:lvl>
    <w:lvl w:ilvl="1">
      <w:start w:val="1"/>
      <w:numFmt w:val="lowerLetter"/>
      <w:pStyle w:val="1486"/>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japaneseCounting"/>
      <w:pStyle w:val="1539"/>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149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pPr>
      <w:rPr>
        <w:rFonts w:ascii="Courier New" w:hAnsi="Courier New" w:cs="Courier New"/>
      </w:rPr>
    </w:lvl>
    <w:lvl w:ilvl="2">
      <w:start w:val="1"/>
      <w:numFmt w:val="bullet"/>
      <w:isLgl w:val="false"/>
      <w:suff w:val="tab"/>
      <w:lvlText w:val=""/>
      <w:lvlJc w:val="left"/>
      <w:pPr>
        <w:ind w:left="1800" w:hanging="360"/>
      </w:pPr>
      <w:rPr>
        <w:rFonts w:ascii="Wingdings" w:hAnsi="Wingdings"/>
      </w:rPr>
    </w:lvl>
    <w:lvl w:ilvl="3">
      <w:start w:val="1"/>
      <w:numFmt w:val="bullet"/>
      <w:isLgl w:val="false"/>
      <w:suff w:val="tab"/>
      <w:lvlText w:val=""/>
      <w:lvlJc w:val="left"/>
      <w:pPr>
        <w:ind w:left="2520" w:hanging="360"/>
      </w:pPr>
      <w:rPr>
        <w:rFonts w:ascii="Symbol" w:hAnsi="Symbol"/>
      </w:rPr>
    </w:lvl>
    <w:lvl w:ilvl="4">
      <w:start w:val="1"/>
      <w:numFmt w:val="bullet"/>
      <w:isLgl w:val="false"/>
      <w:suff w:val="tab"/>
      <w:lvlText w:val="o"/>
      <w:lvlJc w:val="left"/>
      <w:pPr>
        <w:ind w:left="3240" w:hanging="360"/>
      </w:pPr>
      <w:rPr>
        <w:rFonts w:ascii="Courier New" w:hAnsi="Courier New" w:cs="Courier New"/>
      </w:rPr>
    </w:lvl>
    <w:lvl w:ilvl="5">
      <w:start w:val="1"/>
      <w:numFmt w:val="bullet"/>
      <w:isLgl w:val="false"/>
      <w:suff w:val="tab"/>
      <w:lvlText w:val=""/>
      <w:lvlJc w:val="left"/>
      <w:pPr>
        <w:ind w:left="3960" w:hanging="360"/>
      </w:pPr>
      <w:rPr>
        <w:rFonts w:ascii="Wingdings" w:hAnsi="Wingdings"/>
      </w:rPr>
    </w:lvl>
    <w:lvl w:ilvl="6">
      <w:start w:val="1"/>
      <w:numFmt w:val="bullet"/>
      <w:isLgl w:val="false"/>
      <w:suff w:val="tab"/>
      <w:lvlText w:val=""/>
      <w:lvlJc w:val="left"/>
      <w:pPr>
        <w:ind w:left="4680" w:hanging="360"/>
      </w:pPr>
      <w:rPr>
        <w:rFonts w:ascii="Symbol" w:hAnsi="Symbol"/>
      </w:rPr>
    </w:lvl>
    <w:lvl w:ilvl="7">
      <w:start w:val="1"/>
      <w:numFmt w:val="bullet"/>
      <w:isLgl w:val="false"/>
      <w:suff w:val="tab"/>
      <w:lvlText w:val="o"/>
      <w:lvlJc w:val="left"/>
      <w:pPr>
        <w:ind w:left="5400" w:hanging="360"/>
      </w:pPr>
      <w:rPr>
        <w:rFonts w:ascii="Courier New" w:hAnsi="Courier New" w:cs="Courier New"/>
      </w:rPr>
    </w:lvl>
    <w:lvl w:ilvl="8">
      <w:start w:val="1"/>
      <w:numFmt w:val="bullet"/>
      <w:isLgl w:val="false"/>
      <w:suff w:val="tab"/>
      <w:lvlText w:val=""/>
      <w:lvlJc w:val="left"/>
      <w:pPr>
        <w:ind w:left="6120" w:hanging="360"/>
      </w:pPr>
      <w:rPr>
        <w:rFonts w:ascii="Wingdings" w:hAnsi="Wingdings"/>
      </w:rPr>
    </w:lvl>
  </w:abstractNum>
  <w:abstractNum w:abstractNumId="1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7"/>
  </w:num>
  <w:num w:numId="4">
    <w:abstractNumId w:val="3"/>
  </w:num>
  <w:num w:numId="5">
    <w:abstractNumId w:val="2"/>
  </w:num>
  <w:num w:numId="6">
    <w:abstractNumId w:val="11"/>
  </w:num>
  <w:num w:numId="7">
    <w:abstractNumId w:val="13"/>
  </w:num>
  <w:num w:numId="8">
    <w:abstractNumId w:val="20"/>
  </w:num>
  <w:num w:numId="9">
    <w:abstractNumId w:val="10"/>
  </w:num>
  <w:num w:numId="10">
    <w:abstractNumId w:val="0"/>
  </w:num>
  <w:num w:numId="11">
    <w:abstractNumId w:val="14"/>
  </w:num>
  <w:num w:numId="12">
    <w:abstractNumId w:val="18"/>
  </w:num>
  <w:num w:numId="13">
    <w:abstractNumId w:val="4"/>
  </w:num>
  <w:num w:numId="14">
    <w:abstractNumId w:val="16"/>
  </w:num>
  <w:num w:numId="15">
    <w:abstractNumId w:val="8"/>
  </w:num>
  <w:num w:numId="16">
    <w:abstractNumId w:val="7"/>
  </w:num>
  <w:num w:numId="17">
    <w:abstractNumId w:val="6"/>
  </w:num>
  <w:num w:numId="18">
    <w:abstractNumId w:val="1"/>
  </w:num>
  <w:num w:numId="19">
    <w:abstractNumId w:val="15"/>
  </w:num>
  <w:num w:numId="20">
    <w:abstractNumId w:val="19"/>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15">
    <w:name w:val="Plain Table 1"/>
    <w:basedOn w:val="11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6">
    <w:name w:val="Plain Table 2"/>
    <w:basedOn w:val="11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7">
    <w:name w:val="Plain Table 3"/>
    <w:basedOn w:val="11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8">
    <w:name w:val="Plain Table 4"/>
    <w:basedOn w:val="11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9">
    <w:name w:val="Plain Table 5"/>
    <w:basedOn w:val="11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20">
    <w:name w:val="Grid Table 1 Light"/>
    <w:basedOn w:val="11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21">
    <w:name w:val="Grid Table 2"/>
    <w:basedOn w:val="11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22">
    <w:name w:val="Grid Table 3"/>
    <w:basedOn w:val="11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3">
    <w:name w:val="Grid Table 4"/>
    <w:basedOn w:val="11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4">
    <w:name w:val="Grid Table 5 Dark"/>
    <w:basedOn w:val="11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25">
    <w:name w:val="Grid Table 6 Colorful"/>
    <w:basedOn w:val="11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26">
    <w:name w:val="Grid Table 7 Colorful"/>
    <w:basedOn w:val="11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27">
    <w:name w:val="List Table 1 Light"/>
    <w:basedOn w:val="11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8">
    <w:name w:val="List Table 2"/>
    <w:basedOn w:val="11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9">
    <w:name w:val="List Table 3"/>
    <w:basedOn w:val="11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0">
    <w:name w:val="List Table 4"/>
    <w:basedOn w:val="11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1">
    <w:name w:val="List Table 5 Dark"/>
    <w:basedOn w:val="11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2">
    <w:name w:val="List Table 6 Colorful"/>
    <w:basedOn w:val="11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3">
    <w:name w:val="List Table 7 Colorful"/>
    <w:basedOn w:val="11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134">
    <w:name w:val="TOC Heading"/>
    <w:uiPriority w:val="39"/>
    <w:unhideWhenUsed/>
  </w:style>
  <w:style w:type="paragraph" w:styleId="1135" w:default="1">
    <w:name w:val="Normal"/>
    <w:uiPriority w:val="0"/>
    <w:qFormat/>
    <w:pPr>
      <w:jc w:val="both"/>
      <w:widowControl w:val="off"/>
    </w:pPr>
    <w:rPr>
      <w:rFonts w:ascii="Times New Roman" w:hAnsi="Times New Roman" w:eastAsia="微软雅黑" w:cs="Times New Roman"/>
      <w:sz w:val="21"/>
      <w:szCs w:val="22"/>
      <w:lang w:val="en-US" w:eastAsia="zh-CN" w:bidi="ar-SA"/>
    </w:rPr>
  </w:style>
  <w:style w:type="paragraph" w:styleId="1136">
    <w:name w:val="Heading 1"/>
    <w:basedOn w:val="1135"/>
    <w:next w:val="1135"/>
    <w:link w:val="1225"/>
    <w:uiPriority w:val="9"/>
    <w:qFormat/>
    <w:pPr>
      <w:keepLines/>
      <w:keepNext/>
      <w:spacing w:before="480" w:after="200"/>
      <w:outlineLvl w:val="0"/>
    </w:pPr>
    <w:rPr>
      <w:rFonts w:ascii="Arial" w:hAnsi="Arial" w:eastAsia="Arial" w:cs="Arial"/>
      <w:sz w:val="40"/>
      <w:szCs w:val="40"/>
    </w:rPr>
  </w:style>
  <w:style w:type="paragraph" w:styleId="1137">
    <w:name w:val="Heading 2"/>
    <w:basedOn w:val="1136"/>
    <w:next w:val="1147"/>
    <w:link w:val="1226"/>
    <w:uiPriority w:val="9"/>
    <w:unhideWhenUsed/>
    <w:qFormat/>
    <w:pPr>
      <w:spacing w:before="360"/>
      <w:outlineLvl w:val="1"/>
    </w:pPr>
    <w:rPr>
      <w:sz w:val="34"/>
    </w:rPr>
  </w:style>
  <w:style w:type="paragraph" w:styleId="1138">
    <w:name w:val="Heading 3"/>
    <w:basedOn w:val="1135"/>
    <w:next w:val="1135"/>
    <w:link w:val="1227"/>
    <w:uiPriority w:val="9"/>
    <w:unhideWhenUsed/>
    <w:qFormat/>
    <w:pPr>
      <w:keepLines/>
      <w:keepNext/>
      <w:spacing w:before="320" w:after="200"/>
      <w:outlineLvl w:val="2"/>
    </w:pPr>
    <w:rPr>
      <w:rFonts w:ascii="Arial" w:hAnsi="Arial" w:eastAsia="Arial" w:cs="Arial"/>
      <w:sz w:val="30"/>
      <w:szCs w:val="30"/>
    </w:rPr>
  </w:style>
  <w:style w:type="paragraph" w:styleId="1139">
    <w:name w:val="Heading 4"/>
    <w:basedOn w:val="1135"/>
    <w:next w:val="1135"/>
    <w:link w:val="1228"/>
    <w:uiPriority w:val="9"/>
    <w:unhideWhenUsed/>
    <w:qFormat/>
    <w:pPr>
      <w:keepLines/>
      <w:keepNext/>
      <w:spacing w:before="320" w:after="200"/>
      <w:outlineLvl w:val="3"/>
    </w:pPr>
    <w:rPr>
      <w:rFonts w:ascii="Arial" w:hAnsi="Arial" w:eastAsia="Arial" w:cs="Arial"/>
      <w:b/>
      <w:bCs/>
      <w:sz w:val="26"/>
      <w:szCs w:val="26"/>
    </w:rPr>
  </w:style>
  <w:style w:type="paragraph" w:styleId="1140">
    <w:name w:val="Heading 5"/>
    <w:basedOn w:val="1135"/>
    <w:next w:val="1135"/>
    <w:link w:val="1229"/>
    <w:uiPriority w:val="9"/>
    <w:unhideWhenUsed/>
    <w:qFormat/>
    <w:pPr>
      <w:keepLines/>
      <w:keepNext/>
      <w:spacing w:before="320" w:after="200"/>
      <w:outlineLvl w:val="4"/>
    </w:pPr>
    <w:rPr>
      <w:rFonts w:ascii="Arial" w:hAnsi="Arial" w:eastAsia="Arial" w:cs="Arial"/>
      <w:b/>
      <w:bCs/>
      <w:sz w:val="24"/>
      <w:szCs w:val="24"/>
    </w:rPr>
  </w:style>
  <w:style w:type="paragraph" w:styleId="1141">
    <w:name w:val="Heading 6"/>
    <w:basedOn w:val="1135"/>
    <w:next w:val="1135"/>
    <w:link w:val="1230"/>
    <w:uiPriority w:val="9"/>
    <w:unhideWhenUsed/>
    <w:qFormat/>
    <w:pPr>
      <w:keepLines/>
      <w:keepNext/>
      <w:spacing w:before="320" w:after="200"/>
      <w:outlineLvl w:val="5"/>
    </w:pPr>
    <w:rPr>
      <w:rFonts w:ascii="Arial" w:hAnsi="Arial" w:eastAsia="Arial" w:cs="Arial"/>
      <w:b/>
      <w:bCs/>
      <w:sz w:val="22"/>
    </w:rPr>
  </w:style>
  <w:style w:type="paragraph" w:styleId="1142">
    <w:name w:val="Heading 7"/>
    <w:basedOn w:val="1135"/>
    <w:next w:val="1135"/>
    <w:link w:val="1231"/>
    <w:uiPriority w:val="9"/>
    <w:unhideWhenUsed/>
    <w:qFormat/>
    <w:pPr>
      <w:keepLines/>
      <w:keepNext/>
      <w:spacing w:before="320" w:after="200"/>
      <w:outlineLvl w:val="6"/>
    </w:pPr>
    <w:rPr>
      <w:rFonts w:ascii="Arial" w:hAnsi="Arial" w:eastAsia="Arial" w:cs="Arial"/>
      <w:b/>
      <w:bCs/>
      <w:i/>
      <w:iCs/>
      <w:sz w:val="22"/>
    </w:rPr>
  </w:style>
  <w:style w:type="paragraph" w:styleId="1143">
    <w:name w:val="Heading 8"/>
    <w:basedOn w:val="1135"/>
    <w:next w:val="1135"/>
    <w:link w:val="1232"/>
    <w:uiPriority w:val="9"/>
    <w:unhideWhenUsed/>
    <w:qFormat/>
    <w:pPr>
      <w:keepLines/>
      <w:keepNext/>
      <w:spacing w:before="320" w:after="200"/>
      <w:outlineLvl w:val="7"/>
    </w:pPr>
    <w:rPr>
      <w:rFonts w:ascii="Arial" w:hAnsi="Arial" w:eastAsia="Arial" w:cs="Arial"/>
      <w:i/>
      <w:iCs/>
      <w:sz w:val="22"/>
    </w:rPr>
  </w:style>
  <w:style w:type="paragraph" w:styleId="1144">
    <w:name w:val="Heading 9"/>
    <w:basedOn w:val="1135"/>
    <w:next w:val="1135"/>
    <w:link w:val="1233"/>
    <w:uiPriority w:val="9"/>
    <w:unhideWhenUsed/>
    <w:qFormat/>
    <w:pPr>
      <w:keepLines/>
      <w:keepNext/>
      <w:spacing w:before="320" w:after="200"/>
      <w:outlineLvl w:val="8"/>
    </w:pPr>
    <w:rPr>
      <w:rFonts w:ascii="Arial" w:hAnsi="Arial" w:eastAsia="Arial" w:cs="Arial"/>
      <w:i/>
      <w:iCs/>
      <w:szCs w:val="21"/>
    </w:rPr>
  </w:style>
  <w:style w:type="character" w:styleId="1145" w:default="1">
    <w:name w:val="Default Paragraph Font"/>
    <w:uiPriority w:val="1"/>
    <w:semiHidden/>
    <w:unhideWhenUsed/>
    <w:qFormat/>
  </w:style>
  <w:style w:type="table" w:styleId="1146" w:default="1">
    <w:name w:val="Normal Table"/>
    <w:uiPriority w:val="99"/>
    <w:semiHidden/>
    <w:unhideWhenUsed/>
    <w:qFormat/>
    <w:tblPr>
      <w:tblCellMar>
        <w:left w:w="108" w:type="dxa"/>
        <w:top w:w="0" w:type="dxa"/>
        <w:right w:w="108" w:type="dxa"/>
        <w:bottom w:w="0" w:type="dxa"/>
      </w:tblCellMar>
    </w:tblPr>
  </w:style>
  <w:style w:type="paragraph" w:styleId="1147">
    <w:name w:val="Normal Indent"/>
    <w:basedOn w:val="1135"/>
    <w:next w:val="1135"/>
    <w:uiPriority w:val="0"/>
    <w:qFormat/>
    <w:pPr>
      <w:ind w:firstLine="420"/>
    </w:pPr>
    <w:rPr>
      <w:rFonts w:asciiTheme="minorHAnsi" w:hAnsiTheme="minorHAnsi"/>
      <w:szCs w:val="21"/>
    </w:rPr>
  </w:style>
  <w:style w:type="paragraph" w:styleId="1148">
    <w:name w:val="toc 7"/>
    <w:basedOn w:val="1135"/>
    <w:next w:val="1135"/>
    <w:uiPriority w:val="39"/>
    <w:unhideWhenUsed/>
    <w:qFormat/>
    <w:pPr>
      <w:ind w:left="1701"/>
      <w:spacing w:after="57"/>
    </w:pPr>
  </w:style>
  <w:style w:type="paragraph" w:styleId="1149">
    <w:name w:val="Caption"/>
    <w:basedOn w:val="1135"/>
    <w:next w:val="11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50">
    <w:name w:val="annotation text"/>
    <w:basedOn w:val="1135"/>
    <w:link w:val="1547"/>
    <w:uiPriority w:val="99"/>
    <w:unhideWhenUsed/>
    <w:qFormat/>
    <w:pPr>
      <w:jc w:val="left"/>
    </w:pPr>
  </w:style>
  <w:style w:type="paragraph" w:styleId="1151">
    <w:name w:val="Body Text"/>
    <w:basedOn w:val="1135"/>
    <w:next w:val="1152"/>
    <w:uiPriority w:val="0"/>
    <w:qFormat/>
    <w:rPr>
      <w:rFonts w:ascii="仿宋_GB2312" w:hAnsi="宋体" w:eastAsia="仿宋_GB2312"/>
      <w:sz w:val="24"/>
      <w:szCs w:val="24"/>
    </w:rPr>
  </w:style>
  <w:style w:type="paragraph" w:styleId="1152" w:customStyle="1">
    <w:name w:val="Default"/>
    <w:next w:val="1153"/>
    <w:uiPriority w:val="0"/>
    <w:qFormat/>
    <w:pPr>
      <w:widowControl w:val="off"/>
    </w:pPr>
    <w:rPr>
      <w:rFonts w:ascii="宋体" w:hAnsi="Times New Roman" w:eastAsia="宋体" w:cs="宋体"/>
      <w:color w:val="000000"/>
      <w:sz w:val="24"/>
      <w:szCs w:val="24"/>
      <w:lang w:val="en-US" w:eastAsia="zh-CN" w:bidi="ar-SA"/>
    </w:rPr>
  </w:style>
  <w:style w:type="paragraph" w:styleId="1153">
    <w:name w:val="Intense Quote"/>
    <w:basedOn w:val="1135"/>
    <w:next w:val="1135"/>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154">
    <w:name w:val="index 4"/>
    <w:basedOn w:val="1135"/>
    <w:next w:val="1135"/>
    <w:uiPriority w:val="99"/>
    <w:unhideWhenUsed/>
    <w:qFormat/>
    <w:pPr>
      <w:ind w:left="600"/>
    </w:pPr>
    <w:rPr>
      <w:rFonts w:ascii="Verdana" w:hAnsi="Verdana"/>
      <w:szCs w:val="20"/>
    </w:rPr>
  </w:style>
  <w:style w:type="paragraph" w:styleId="1155">
    <w:name w:val="toc 5"/>
    <w:basedOn w:val="1135"/>
    <w:next w:val="1135"/>
    <w:uiPriority w:val="39"/>
    <w:unhideWhenUsed/>
    <w:qFormat/>
    <w:pPr>
      <w:ind w:left="1134"/>
      <w:spacing w:after="57"/>
    </w:pPr>
  </w:style>
  <w:style w:type="paragraph" w:styleId="1156">
    <w:name w:val="toc 3"/>
    <w:basedOn w:val="1135"/>
    <w:next w:val="1135"/>
    <w:uiPriority w:val="39"/>
    <w:unhideWhenUsed/>
    <w:qFormat/>
    <w:pPr>
      <w:ind w:left="567"/>
    </w:pPr>
    <w:rPr>
      <w:rFonts w:ascii="微软雅黑" w:hAnsi="微软雅黑" w:cs="微软雅黑"/>
    </w:rPr>
  </w:style>
  <w:style w:type="paragraph" w:styleId="1157">
    <w:name w:val="Plain Text"/>
    <w:basedOn w:val="1135"/>
    <w:uiPriority w:val="0"/>
    <w:qFormat/>
    <w:rPr>
      <w:rFonts w:ascii="宋体" w:hAnsi="Courier New" w:cs="Courier New"/>
      <w:szCs w:val="21"/>
    </w:rPr>
  </w:style>
  <w:style w:type="paragraph" w:styleId="1158">
    <w:name w:val="toc 8"/>
    <w:basedOn w:val="1135"/>
    <w:next w:val="1135"/>
    <w:uiPriority w:val="39"/>
    <w:unhideWhenUsed/>
    <w:qFormat/>
    <w:pPr>
      <w:ind w:left="1984"/>
      <w:spacing w:after="57"/>
    </w:pPr>
  </w:style>
  <w:style w:type="paragraph" w:styleId="1159">
    <w:name w:val="endnote text"/>
    <w:basedOn w:val="1135"/>
    <w:link w:val="1350"/>
    <w:uiPriority w:val="99"/>
    <w:semiHidden/>
    <w:unhideWhenUsed/>
    <w:qFormat/>
    <w:rPr>
      <w:sz w:val="20"/>
    </w:rPr>
  </w:style>
  <w:style w:type="paragraph" w:styleId="1160">
    <w:name w:val="Footer"/>
    <w:basedOn w:val="1135"/>
    <w:link w:val="1242"/>
    <w:uiPriority w:val="99"/>
    <w:unhideWhenUsed/>
    <w:qFormat/>
    <w:pPr>
      <w:tabs>
        <w:tab w:val="center" w:pos="7143" w:leader="none"/>
        <w:tab w:val="right" w:pos="14287" w:leader="none"/>
      </w:tabs>
    </w:pPr>
  </w:style>
  <w:style w:type="paragraph" w:styleId="1161">
    <w:name w:val="Header"/>
    <w:basedOn w:val="1135"/>
    <w:link w:val="1240"/>
    <w:uiPriority w:val="99"/>
    <w:unhideWhenUsed/>
    <w:qFormat/>
    <w:pPr>
      <w:tabs>
        <w:tab w:val="center" w:pos="7143" w:leader="none"/>
        <w:tab w:val="right" w:pos="14287" w:leader="none"/>
      </w:tabs>
    </w:pPr>
  </w:style>
  <w:style w:type="paragraph" w:styleId="1162">
    <w:name w:val="toc 1"/>
    <w:basedOn w:val="1135"/>
    <w:next w:val="1135"/>
    <w:uiPriority w:val="39"/>
    <w:unhideWhenUsed/>
    <w:qFormat/>
    <w:rPr>
      <w:rFonts w:ascii="微软雅黑" w:hAnsi="微软雅黑" w:cs="微软雅黑"/>
      <w:b/>
    </w:rPr>
  </w:style>
  <w:style w:type="paragraph" w:styleId="1163">
    <w:name w:val="toc 4"/>
    <w:basedOn w:val="1135"/>
    <w:next w:val="1135"/>
    <w:uiPriority w:val="39"/>
    <w:unhideWhenUsed/>
    <w:qFormat/>
    <w:pPr>
      <w:ind w:left="850"/>
      <w:spacing w:after="57"/>
    </w:pPr>
  </w:style>
  <w:style w:type="paragraph" w:styleId="1164">
    <w:name w:val="Subtitle"/>
    <w:basedOn w:val="1135"/>
    <w:next w:val="1135"/>
    <w:link w:val="1236"/>
    <w:uiPriority w:val="11"/>
    <w:qFormat/>
    <w:pPr>
      <w:spacing w:before="200" w:after="200"/>
    </w:pPr>
    <w:rPr>
      <w:sz w:val="24"/>
      <w:szCs w:val="24"/>
    </w:rPr>
  </w:style>
  <w:style w:type="paragraph" w:styleId="1165">
    <w:name w:val="footnote text"/>
    <w:basedOn w:val="1135"/>
    <w:link w:val="1349"/>
    <w:uiPriority w:val="99"/>
    <w:semiHidden/>
    <w:unhideWhenUsed/>
    <w:qFormat/>
    <w:pPr>
      <w:spacing w:after="40"/>
    </w:pPr>
    <w:rPr>
      <w:sz w:val="18"/>
    </w:rPr>
  </w:style>
  <w:style w:type="paragraph" w:styleId="1166">
    <w:name w:val="toc 6"/>
    <w:basedOn w:val="1135"/>
    <w:next w:val="1135"/>
    <w:uiPriority w:val="39"/>
    <w:unhideWhenUsed/>
    <w:qFormat/>
    <w:pPr>
      <w:ind w:left="1417"/>
      <w:spacing w:after="57"/>
    </w:pPr>
  </w:style>
  <w:style w:type="paragraph" w:styleId="1167">
    <w:name w:val="table of figures"/>
    <w:basedOn w:val="1135"/>
    <w:next w:val="1135"/>
    <w:uiPriority w:val="99"/>
    <w:unhideWhenUsed/>
    <w:qFormat/>
  </w:style>
  <w:style w:type="paragraph" w:styleId="1168">
    <w:name w:val="toc 2"/>
    <w:basedOn w:val="1135"/>
    <w:next w:val="1135"/>
    <w:uiPriority w:val="39"/>
    <w:unhideWhenUsed/>
    <w:qFormat/>
    <w:pPr>
      <w:ind w:left="283"/>
    </w:pPr>
    <w:rPr>
      <w:rFonts w:ascii="微软雅黑" w:hAnsi="微软雅黑" w:cs="微软雅黑"/>
    </w:rPr>
  </w:style>
  <w:style w:type="paragraph" w:styleId="1169">
    <w:name w:val="toc 9"/>
    <w:basedOn w:val="1135"/>
    <w:next w:val="1135"/>
    <w:uiPriority w:val="39"/>
    <w:unhideWhenUsed/>
    <w:qFormat/>
    <w:pPr>
      <w:ind w:left="2268"/>
      <w:spacing w:after="57"/>
    </w:pPr>
  </w:style>
  <w:style w:type="paragraph" w:styleId="1170">
    <w:name w:val="Normal (Web)"/>
    <w:basedOn w:val="1135"/>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171">
    <w:name w:val="Title"/>
    <w:basedOn w:val="1135"/>
    <w:next w:val="1135"/>
    <w:link w:val="1235"/>
    <w:uiPriority w:val="10"/>
    <w:qFormat/>
    <w:pPr>
      <w:contextualSpacing/>
      <w:spacing w:before="300" w:after="200"/>
    </w:pPr>
    <w:rPr>
      <w:sz w:val="48"/>
      <w:szCs w:val="48"/>
    </w:rPr>
  </w:style>
  <w:style w:type="paragraph" w:styleId="1172">
    <w:name w:val="annotation subject"/>
    <w:basedOn w:val="1150"/>
    <w:next w:val="1150"/>
    <w:link w:val="1548"/>
    <w:uiPriority w:val="99"/>
    <w:semiHidden/>
    <w:unhideWhenUsed/>
    <w:qFormat/>
    <w:rPr>
      <w:b/>
      <w:bCs/>
    </w:rPr>
  </w:style>
  <w:style w:type="table" w:styleId="11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74">
    <w:name w:val="endnote reference"/>
    <w:uiPriority w:val="99"/>
    <w:semiHidden/>
    <w:unhideWhenUsed/>
    <w:qFormat/>
    <w:rPr>
      <w:vertAlign w:val="superscript"/>
    </w:rPr>
  </w:style>
  <w:style w:type="character" w:styleId="1175">
    <w:name w:val="Emphasis"/>
    <w:basedOn w:val="1145"/>
    <w:uiPriority w:val="20"/>
    <w:qFormat/>
    <w:rPr>
      <w:i/>
    </w:rPr>
  </w:style>
  <w:style w:type="character" w:styleId="1176">
    <w:name w:val="Hyperlink"/>
    <w:uiPriority w:val="99"/>
    <w:unhideWhenUsed/>
    <w:qFormat/>
    <w:rPr>
      <w:color w:val="0000ff" w:themeColor="hyperlink"/>
      <w:u w:val="single"/>
      <w14:textFill>
        <w14:solidFill>
          <w14:schemeClr w14:val="hlink"/>
        </w14:solidFill>
      </w14:textFill>
    </w:rPr>
  </w:style>
  <w:style w:type="character" w:styleId="1177">
    <w:name w:val="annotation reference"/>
    <w:basedOn w:val="1145"/>
    <w:uiPriority w:val="99"/>
    <w:semiHidden/>
    <w:unhideWhenUsed/>
    <w:qFormat/>
    <w:rPr>
      <w:sz w:val="21"/>
      <w:szCs w:val="21"/>
    </w:rPr>
  </w:style>
  <w:style w:type="character" w:styleId="1178">
    <w:name w:val="footnote reference"/>
    <w:uiPriority w:val="99"/>
    <w:unhideWhenUsed/>
    <w:qFormat/>
    <w:rPr>
      <w:vertAlign w:val="superscript"/>
    </w:rPr>
  </w:style>
  <w:style w:type="character" w:styleId="1179" w:customStyle="1">
    <w:name w:val="Heading 1 Char"/>
    <w:basedOn w:val="1145"/>
    <w:uiPriority w:val="9"/>
    <w:qFormat/>
    <w:rPr>
      <w:rFonts w:ascii="Arial" w:hAnsi="Arial" w:eastAsia="Arial" w:cs="Arial"/>
      <w:sz w:val="40"/>
      <w:szCs w:val="40"/>
    </w:rPr>
  </w:style>
  <w:style w:type="character" w:styleId="1180" w:customStyle="1">
    <w:name w:val="Heading 2 Char"/>
    <w:basedOn w:val="1145"/>
    <w:uiPriority w:val="9"/>
    <w:qFormat/>
    <w:rPr>
      <w:rFonts w:ascii="Arial" w:hAnsi="Arial" w:eastAsia="Arial" w:cs="Arial"/>
      <w:sz w:val="34"/>
    </w:rPr>
  </w:style>
  <w:style w:type="character" w:styleId="1181" w:customStyle="1">
    <w:name w:val="Heading 3 Char"/>
    <w:basedOn w:val="1145"/>
    <w:uiPriority w:val="9"/>
    <w:qFormat/>
    <w:rPr>
      <w:rFonts w:ascii="Arial" w:hAnsi="Arial" w:eastAsia="Arial" w:cs="Arial"/>
      <w:sz w:val="30"/>
      <w:szCs w:val="30"/>
    </w:rPr>
  </w:style>
  <w:style w:type="character" w:styleId="1182" w:customStyle="1">
    <w:name w:val="Heading 4 Char"/>
    <w:basedOn w:val="1145"/>
    <w:uiPriority w:val="9"/>
    <w:qFormat/>
    <w:rPr>
      <w:rFonts w:ascii="Arial" w:hAnsi="Arial" w:eastAsia="Arial" w:cs="Arial"/>
      <w:b/>
      <w:bCs/>
      <w:sz w:val="26"/>
      <w:szCs w:val="26"/>
    </w:rPr>
  </w:style>
  <w:style w:type="character" w:styleId="1183" w:customStyle="1">
    <w:name w:val="Heading 5 Char"/>
    <w:basedOn w:val="1145"/>
    <w:uiPriority w:val="9"/>
    <w:qFormat/>
    <w:rPr>
      <w:rFonts w:ascii="Arial" w:hAnsi="Arial" w:eastAsia="Arial" w:cs="Arial"/>
      <w:b/>
      <w:bCs/>
      <w:sz w:val="24"/>
      <w:szCs w:val="24"/>
    </w:rPr>
  </w:style>
  <w:style w:type="character" w:styleId="1184" w:customStyle="1">
    <w:name w:val="Heading 6 Char"/>
    <w:basedOn w:val="1145"/>
    <w:uiPriority w:val="9"/>
    <w:qFormat/>
    <w:rPr>
      <w:rFonts w:ascii="Arial" w:hAnsi="Arial" w:eastAsia="Arial" w:cs="Arial"/>
      <w:b/>
      <w:bCs/>
      <w:sz w:val="22"/>
      <w:szCs w:val="22"/>
    </w:rPr>
  </w:style>
  <w:style w:type="character" w:styleId="1185" w:customStyle="1">
    <w:name w:val="Heading 7 Char"/>
    <w:basedOn w:val="1145"/>
    <w:uiPriority w:val="9"/>
    <w:qFormat/>
    <w:rPr>
      <w:rFonts w:ascii="Arial" w:hAnsi="Arial" w:eastAsia="Arial" w:cs="Arial"/>
      <w:b/>
      <w:bCs/>
      <w:i/>
      <w:iCs/>
      <w:sz w:val="22"/>
      <w:szCs w:val="22"/>
    </w:rPr>
  </w:style>
  <w:style w:type="character" w:styleId="1186" w:customStyle="1">
    <w:name w:val="Heading 8 Char"/>
    <w:basedOn w:val="1145"/>
    <w:uiPriority w:val="9"/>
    <w:qFormat/>
    <w:rPr>
      <w:rFonts w:ascii="Arial" w:hAnsi="Arial" w:eastAsia="Arial" w:cs="Arial"/>
      <w:i/>
      <w:iCs/>
      <w:sz w:val="22"/>
      <w:szCs w:val="22"/>
    </w:rPr>
  </w:style>
  <w:style w:type="character" w:styleId="1187" w:customStyle="1">
    <w:name w:val="Heading 9 Char"/>
    <w:basedOn w:val="1145"/>
    <w:uiPriority w:val="9"/>
    <w:qFormat/>
    <w:rPr>
      <w:rFonts w:ascii="Arial" w:hAnsi="Arial" w:eastAsia="Arial" w:cs="Arial"/>
      <w:i/>
      <w:iCs/>
      <w:sz w:val="21"/>
      <w:szCs w:val="21"/>
    </w:rPr>
  </w:style>
  <w:style w:type="character" w:styleId="1188" w:customStyle="1">
    <w:name w:val="Title Char"/>
    <w:basedOn w:val="1145"/>
    <w:uiPriority w:val="10"/>
    <w:qFormat/>
    <w:rPr>
      <w:sz w:val="48"/>
      <w:szCs w:val="48"/>
    </w:rPr>
  </w:style>
  <w:style w:type="character" w:styleId="1189" w:customStyle="1">
    <w:name w:val="Subtitle Char"/>
    <w:basedOn w:val="1145"/>
    <w:uiPriority w:val="11"/>
    <w:qFormat/>
    <w:rPr>
      <w:sz w:val="24"/>
      <w:szCs w:val="24"/>
    </w:rPr>
  </w:style>
  <w:style w:type="character" w:styleId="1190" w:customStyle="1">
    <w:name w:val="Quote Char"/>
    <w:uiPriority w:val="29"/>
    <w:qFormat/>
    <w:rPr>
      <w:i/>
    </w:rPr>
  </w:style>
  <w:style w:type="character" w:styleId="1191" w:customStyle="1">
    <w:name w:val="Header Char"/>
    <w:basedOn w:val="1145"/>
    <w:uiPriority w:val="99"/>
    <w:qFormat/>
  </w:style>
  <w:style w:type="character" w:styleId="1192" w:customStyle="1">
    <w:name w:val="Caption Char"/>
    <w:uiPriority w:val="99"/>
    <w:qFormat/>
  </w:style>
  <w:style w:type="table" w:styleId="1193" w:customStyle="1">
    <w:name w:val="无格式表格 11"/>
    <w:basedOn w:val="11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4" w:customStyle="1">
    <w:name w:val="无格式表格 21"/>
    <w:basedOn w:val="11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5" w:customStyle="1">
    <w:name w:val="无格式表格 31"/>
    <w:basedOn w:val="11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6" w:customStyle="1">
    <w:name w:val="无格式表格 41"/>
    <w:basedOn w:val="11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7" w:customStyle="1">
    <w:name w:val="无格式表格 51"/>
    <w:basedOn w:val="11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98" w:customStyle="1">
    <w:name w:val="网格表 1 浅色1"/>
    <w:basedOn w:val="11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99" w:customStyle="1">
    <w:name w:val="网格表 21"/>
    <w:basedOn w:val="11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00" w:customStyle="1">
    <w:name w:val="网格表 31"/>
    <w:basedOn w:val="11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1" w:customStyle="1">
    <w:name w:val="网格表 41"/>
    <w:basedOn w:val="11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2" w:customStyle="1">
    <w:name w:val="网格表 5 深色1"/>
    <w:basedOn w:val="11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03" w:customStyle="1">
    <w:name w:val="网格表 6 彩色1"/>
    <w:basedOn w:val="11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04" w:customStyle="1">
    <w:name w:val="网格表 7 彩色1"/>
    <w:basedOn w:val="11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5" w:customStyle="1">
    <w:name w:val="清单表 1 浅色1"/>
    <w:basedOn w:val="114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6" w:customStyle="1">
    <w:name w:val="清单表 21"/>
    <w:basedOn w:val="11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7" w:customStyle="1">
    <w:name w:val="清单表 31"/>
    <w:basedOn w:val="11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8" w:customStyle="1">
    <w:name w:val="清单表 41"/>
    <w:basedOn w:val="11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9" w:customStyle="1">
    <w:name w:val="清单表 5 深色1"/>
    <w:basedOn w:val="11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0" w:customStyle="1">
    <w:name w:val="清单表 6 彩色1"/>
    <w:basedOn w:val="114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11" w:customStyle="1">
    <w:name w:val="清单表 7 彩色1"/>
    <w:basedOn w:val="114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212" w:customStyle="1">
    <w:name w:val="Footnote Text Char"/>
    <w:uiPriority w:val="99"/>
    <w:qFormat/>
    <w:rPr>
      <w:sz w:val="18"/>
    </w:rPr>
  </w:style>
  <w:style w:type="character" w:styleId="1213" w:customStyle="1">
    <w:name w:val="Endnote Text Char"/>
    <w:uiPriority w:val="99"/>
    <w:qFormat/>
    <w:rPr>
      <w:sz w:val="20"/>
    </w:rPr>
  </w:style>
  <w:style w:type="paragraph" w:styleId="1214" w:customStyle="1">
    <w:name w:val="TOC 标题1"/>
    <w:uiPriority w:val="39"/>
    <w:unhideWhenUsed/>
    <w:qFormat/>
    <w:rPr>
      <w:rFonts w:ascii="Times New Roman" w:hAnsi="Times New Roman" w:eastAsia="宋体" w:cs="Times New Roman"/>
      <w:lang w:val="en-US" w:eastAsia="zh-CN" w:bidi="ar-SA"/>
    </w:rPr>
  </w:style>
  <w:style w:type="character" w:styleId="1215" w:customStyle="1">
    <w:name w:val="标题 3 字符"/>
    <w:link w:val="1216"/>
    <w:uiPriority w:val="0"/>
    <w:qFormat/>
    <w:rPr>
      <w:rFonts w:ascii="Times New Roman" w:hAnsi="Times New Roman" w:eastAsia="微软雅黑" w:cs="Times New Roman"/>
      <w:b/>
      <w:bCs/>
      <w:sz w:val="21"/>
      <w:szCs w:val="32"/>
    </w:rPr>
  </w:style>
  <w:style w:type="paragraph" w:styleId="1216" w:customStyle="1">
    <w:name w:val="标题 31"/>
    <w:basedOn w:val="1135"/>
    <w:next w:val="1217"/>
    <w:link w:val="1215"/>
    <w:uiPriority w:val="0"/>
    <w:qFormat/>
    <w:pPr>
      <w:jc w:val="left"/>
      <w:keepLines/>
      <w:keepNext/>
      <w:spacing w:line="440" w:lineRule="exact"/>
      <w:outlineLvl w:val="2"/>
    </w:pPr>
    <w:rPr>
      <w:b/>
      <w:bCs/>
      <w:szCs w:val="32"/>
    </w:rPr>
  </w:style>
  <w:style w:type="paragraph" w:styleId="1217" w:customStyle="1">
    <w:name w:val="正文缩进1"/>
    <w:basedOn w:val="1135"/>
    <w:uiPriority w:val="0"/>
    <w:qFormat/>
    <w:pPr>
      <w:ind w:firstLine="420"/>
      <w:jc w:val="left"/>
      <w:spacing w:line="360" w:lineRule="atLeast"/>
    </w:pPr>
    <w:rPr>
      <w:rFonts w:eastAsia="宋体"/>
      <w:szCs w:val="21"/>
    </w:rPr>
  </w:style>
  <w:style w:type="character" w:styleId="1218" w:customStyle="1">
    <w:name w:val="标题 4 字符"/>
    <w:link w:val="1219"/>
    <w:uiPriority w:val="0"/>
    <w:qFormat/>
    <w:rPr>
      <w:rFonts w:ascii="Arial" w:hAnsi="Arial"/>
      <w:b/>
      <w:bCs/>
      <w:sz w:val="24"/>
      <w:szCs w:val="28"/>
    </w:rPr>
  </w:style>
  <w:style w:type="paragraph" w:styleId="1219" w:customStyle="1">
    <w:name w:val="标题 41"/>
    <w:basedOn w:val="1135"/>
    <w:next w:val="1135"/>
    <w:link w:val="1218"/>
    <w:uiPriority w:val="0"/>
    <w:qFormat/>
    <w:pPr>
      <w:keepLines/>
      <w:keepNext/>
      <w:spacing w:line="360" w:lineRule="auto"/>
      <w:outlineLvl w:val="3"/>
    </w:pPr>
    <w:rPr>
      <w:rFonts w:ascii="Arial" w:hAnsi="Arial" w:eastAsia="宋体"/>
      <w:b/>
      <w:bCs/>
      <w:sz w:val="24"/>
      <w:szCs w:val="28"/>
    </w:rPr>
  </w:style>
  <w:style w:type="character" w:styleId="1220" w:customStyle="1">
    <w:name w:val="标题 5 字符"/>
    <w:link w:val="1221"/>
    <w:uiPriority w:val="0"/>
    <w:qFormat/>
    <w:rPr>
      <w:rFonts w:ascii="Calibri" w:hAnsi="Calibri"/>
      <w:b/>
      <w:bCs/>
      <w:sz w:val="28"/>
      <w:szCs w:val="28"/>
    </w:rPr>
  </w:style>
  <w:style w:type="paragraph" w:styleId="1221" w:customStyle="1">
    <w:name w:val="标题 51"/>
    <w:basedOn w:val="1135"/>
    <w:next w:val="1135"/>
    <w:link w:val="1220"/>
    <w:uiPriority w:val="0"/>
    <w:qFormat/>
    <w:pPr>
      <w:keepLines/>
      <w:keepNext/>
      <w:spacing w:before="280" w:after="290" w:line="376" w:lineRule="auto"/>
      <w:outlineLvl w:val="4"/>
    </w:pPr>
    <w:rPr>
      <w:rFonts w:ascii="Calibri" w:hAnsi="Calibri" w:eastAsia="宋体"/>
      <w:b/>
      <w:bCs/>
      <w:sz w:val="28"/>
      <w:szCs w:val="28"/>
    </w:rPr>
  </w:style>
  <w:style w:type="paragraph" w:styleId="1222" w:customStyle="1">
    <w:name w:val="正文首行缩进 21"/>
    <w:basedOn w:val="1223"/>
    <w:next w:val="1135"/>
    <w:uiPriority w:val="99"/>
    <w:qFormat/>
    <w:pPr>
      <w:ind w:firstLine="420"/>
      <w:spacing w:after="200" w:line="440" w:lineRule="exact"/>
    </w:pPr>
    <w:rPr>
      <w:rFonts w:ascii="Calibri" w:hAnsi="Calibri" w:eastAsia="宋体" w:cs="Calibri"/>
      <w:sz w:val="21"/>
      <w:szCs w:val="21"/>
    </w:rPr>
  </w:style>
  <w:style w:type="paragraph" w:styleId="1223" w:customStyle="1">
    <w:name w:val="正文文本缩进11"/>
    <w:basedOn w:val="1135"/>
    <w:next w:val="1224"/>
    <w:uiPriority w:val="0"/>
    <w:qFormat/>
    <w:pPr>
      <w:ind w:firstLine="645"/>
    </w:pPr>
    <w:rPr>
      <w:rFonts w:ascii="楷体_GB2312" w:eastAsia="楷体_GB2312"/>
      <w:sz w:val="32"/>
      <w:szCs w:val="32"/>
    </w:rPr>
  </w:style>
  <w:style w:type="paragraph" w:styleId="1224" w:customStyle="1">
    <w:name w:val="寄信人地址1"/>
    <w:basedOn w:val="1135"/>
    <w:uiPriority w:val="0"/>
    <w:qFormat/>
    <w:rPr>
      <w:rFonts w:ascii="Arial" w:hAnsi="Arial" w:eastAsia="宋体"/>
    </w:rPr>
  </w:style>
  <w:style w:type="character" w:styleId="1225" w:customStyle="1">
    <w:name w:val="标题 1 字符1"/>
    <w:link w:val="1136"/>
    <w:uiPriority w:val="9"/>
    <w:qFormat/>
    <w:rPr>
      <w:rFonts w:ascii="Arial" w:hAnsi="Arial" w:eastAsia="Arial" w:cs="Arial"/>
      <w:sz w:val="40"/>
      <w:szCs w:val="40"/>
    </w:rPr>
  </w:style>
  <w:style w:type="character" w:styleId="1226" w:customStyle="1">
    <w:name w:val="标题 2 字符1"/>
    <w:link w:val="1137"/>
    <w:uiPriority w:val="9"/>
    <w:qFormat/>
    <w:rPr>
      <w:rFonts w:ascii="Arial" w:hAnsi="Arial" w:eastAsia="Arial" w:cs="Arial"/>
      <w:sz w:val="34"/>
    </w:rPr>
  </w:style>
  <w:style w:type="character" w:styleId="1227" w:customStyle="1">
    <w:name w:val="标题 3 字符1"/>
    <w:link w:val="1138"/>
    <w:uiPriority w:val="9"/>
    <w:qFormat/>
    <w:rPr>
      <w:rFonts w:ascii="Arial" w:hAnsi="Arial" w:eastAsia="Arial" w:cs="Arial"/>
      <w:sz w:val="30"/>
      <w:szCs w:val="30"/>
    </w:rPr>
  </w:style>
  <w:style w:type="character" w:styleId="1228" w:customStyle="1">
    <w:name w:val="标题 4 字符1"/>
    <w:link w:val="1139"/>
    <w:uiPriority w:val="9"/>
    <w:qFormat/>
    <w:rPr>
      <w:rFonts w:ascii="Arial" w:hAnsi="Arial" w:eastAsia="Arial" w:cs="Arial"/>
      <w:b/>
      <w:bCs/>
      <w:sz w:val="26"/>
      <w:szCs w:val="26"/>
    </w:rPr>
  </w:style>
  <w:style w:type="character" w:styleId="1229" w:customStyle="1">
    <w:name w:val="标题 5 字符1"/>
    <w:link w:val="1140"/>
    <w:uiPriority w:val="9"/>
    <w:qFormat/>
    <w:rPr>
      <w:rFonts w:ascii="Arial" w:hAnsi="Arial" w:eastAsia="Arial" w:cs="Arial"/>
      <w:b/>
      <w:bCs/>
      <w:sz w:val="24"/>
      <w:szCs w:val="24"/>
    </w:rPr>
  </w:style>
  <w:style w:type="character" w:styleId="1230" w:customStyle="1">
    <w:name w:val="标题 6 字符"/>
    <w:link w:val="1141"/>
    <w:uiPriority w:val="9"/>
    <w:qFormat/>
    <w:rPr>
      <w:rFonts w:ascii="Arial" w:hAnsi="Arial" w:eastAsia="Arial" w:cs="Arial"/>
      <w:b/>
      <w:bCs/>
      <w:sz w:val="22"/>
      <w:szCs w:val="22"/>
    </w:rPr>
  </w:style>
  <w:style w:type="character" w:styleId="1231" w:customStyle="1">
    <w:name w:val="标题 7 字符"/>
    <w:link w:val="1142"/>
    <w:uiPriority w:val="9"/>
    <w:qFormat/>
    <w:rPr>
      <w:rFonts w:ascii="Arial" w:hAnsi="Arial" w:eastAsia="Arial" w:cs="Arial"/>
      <w:b/>
      <w:bCs/>
      <w:i/>
      <w:iCs/>
      <w:sz w:val="22"/>
      <w:szCs w:val="22"/>
    </w:rPr>
  </w:style>
  <w:style w:type="character" w:styleId="1232" w:customStyle="1">
    <w:name w:val="标题 8 字符"/>
    <w:link w:val="1143"/>
    <w:uiPriority w:val="9"/>
    <w:qFormat/>
    <w:rPr>
      <w:rFonts w:ascii="Arial" w:hAnsi="Arial" w:eastAsia="Arial" w:cs="Arial"/>
      <w:i/>
      <w:iCs/>
      <w:sz w:val="22"/>
      <w:szCs w:val="22"/>
    </w:rPr>
  </w:style>
  <w:style w:type="character" w:styleId="1233" w:customStyle="1">
    <w:name w:val="标题 9 字符"/>
    <w:link w:val="1144"/>
    <w:uiPriority w:val="9"/>
    <w:qFormat/>
    <w:rPr>
      <w:rFonts w:ascii="Arial" w:hAnsi="Arial" w:eastAsia="Arial" w:cs="Arial"/>
      <w:i/>
      <w:iCs/>
      <w:sz w:val="21"/>
      <w:szCs w:val="21"/>
    </w:rPr>
  </w:style>
  <w:style w:type="paragraph" w:styleId="1234">
    <w:name w:val="No Spacing"/>
    <w:uiPriority w:val="1"/>
    <w:qFormat/>
    <w:rPr>
      <w:rFonts w:ascii="Times New Roman" w:hAnsi="Times New Roman" w:eastAsia="宋体" w:cs="Times New Roman"/>
      <w:lang w:val="en-US" w:eastAsia="zh-CN" w:bidi="ar-SA"/>
    </w:rPr>
  </w:style>
  <w:style w:type="character" w:styleId="1235" w:customStyle="1">
    <w:name w:val="标题 字符"/>
    <w:link w:val="1171"/>
    <w:uiPriority w:val="10"/>
    <w:qFormat/>
    <w:rPr>
      <w:sz w:val="48"/>
      <w:szCs w:val="48"/>
    </w:rPr>
  </w:style>
  <w:style w:type="character" w:styleId="1236" w:customStyle="1">
    <w:name w:val="副标题 字符"/>
    <w:link w:val="1164"/>
    <w:uiPriority w:val="11"/>
    <w:qFormat/>
    <w:rPr>
      <w:sz w:val="24"/>
      <w:szCs w:val="24"/>
    </w:rPr>
  </w:style>
  <w:style w:type="paragraph" w:styleId="1237">
    <w:name w:val="Quote"/>
    <w:basedOn w:val="1135"/>
    <w:next w:val="1135"/>
    <w:link w:val="1238"/>
    <w:uiPriority w:val="29"/>
    <w:qFormat/>
    <w:pPr>
      <w:ind w:left="720" w:right="720"/>
    </w:pPr>
    <w:rPr>
      <w:i/>
    </w:rPr>
  </w:style>
  <w:style w:type="character" w:styleId="1238" w:customStyle="1">
    <w:name w:val="引用 字符"/>
    <w:link w:val="1237"/>
    <w:uiPriority w:val="29"/>
    <w:qFormat/>
    <w:rPr>
      <w:i/>
    </w:rPr>
  </w:style>
  <w:style w:type="character" w:styleId="1239" w:customStyle="1">
    <w:name w:val="Intense Quote Char"/>
    <w:uiPriority w:val="30"/>
    <w:qFormat/>
    <w:rPr>
      <w:i/>
    </w:rPr>
  </w:style>
  <w:style w:type="character" w:styleId="1240" w:customStyle="1">
    <w:name w:val="页眉 字符1"/>
    <w:link w:val="1161"/>
    <w:uiPriority w:val="99"/>
    <w:qFormat/>
  </w:style>
  <w:style w:type="character" w:styleId="1241" w:customStyle="1">
    <w:name w:val="Footer Char"/>
    <w:uiPriority w:val="99"/>
    <w:qFormat/>
  </w:style>
  <w:style w:type="character" w:styleId="1242" w:customStyle="1">
    <w:name w:val="页脚 字符1"/>
    <w:link w:val="1160"/>
    <w:uiPriority w:val="99"/>
    <w:qFormat/>
  </w:style>
  <w:style w:type="table" w:styleId="124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5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6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6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6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7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7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7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7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8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8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8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8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8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8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9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9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9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9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9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9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9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9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0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0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0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0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0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0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0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0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0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1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1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1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2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2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49" w:customStyle="1">
    <w:name w:val="脚注文本 字符"/>
    <w:link w:val="1165"/>
    <w:uiPriority w:val="99"/>
    <w:qFormat/>
    <w:rPr>
      <w:sz w:val="18"/>
    </w:rPr>
  </w:style>
  <w:style w:type="character" w:styleId="1350" w:customStyle="1">
    <w:name w:val="尾注文本 字符"/>
    <w:link w:val="1159"/>
    <w:uiPriority w:val="99"/>
    <w:qFormat/>
    <w:rPr>
      <w:sz w:val="20"/>
    </w:rPr>
  </w:style>
  <w:style w:type="paragraph" w:styleId="1351" w:customStyle="1">
    <w:name w:val="TOC 标题11"/>
    <w:uiPriority w:val="39"/>
    <w:unhideWhenUsed/>
    <w:qFormat/>
    <w:rPr>
      <w:rFonts w:ascii="Times New Roman" w:hAnsi="Times New Roman" w:eastAsia="宋体" w:cs="Times New Roman"/>
      <w:lang w:val="en-US" w:eastAsia="zh-CN" w:bidi="ar-SA"/>
    </w:rPr>
  </w:style>
  <w:style w:type="paragraph" w:styleId="1352" w:customStyle="1">
    <w:name w:val="标题 11"/>
    <w:basedOn w:val="1135"/>
    <w:next w:val="1135"/>
    <w:link w:val="1356"/>
    <w:uiPriority w:val="0"/>
    <w:qFormat/>
    <w:pPr>
      <w:jc w:val="center"/>
      <w:keepLines/>
      <w:keepNext/>
      <w:spacing w:before="340" w:after="330"/>
      <w:outlineLvl w:val="0"/>
    </w:pPr>
    <w:rPr>
      <w:rFonts w:ascii="Calibri" w:hAnsi="Calibri"/>
      <w:b/>
      <w:bCs/>
      <w:sz w:val="32"/>
      <w:szCs w:val="44"/>
    </w:rPr>
  </w:style>
  <w:style w:type="paragraph" w:styleId="1353" w:customStyle="1">
    <w:name w:val="标题 21"/>
    <w:basedOn w:val="1135"/>
    <w:next w:val="1135"/>
    <w:link w:val="1357"/>
    <w:uiPriority w:val="0"/>
    <w:qFormat/>
    <w:pPr>
      <w:jc w:val="center"/>
      <w:keepLines/>
      <w:keepNext/>
      <w:spacing w:before="260" w:after="260"/>
      <w:outlineLvl w:val="1"/>
    </w:pPr>
    <w:rPr>
      <w:rFonts w:ascii="Cambria" w:hAnsi="Cambria"/>
      <w:b/>
      <w:bCs/>
      <w:sz w:val="28"/>
      <w:szCs w:val="32"/>
    </w:rPr>
  </w:style>
  <w:style w:type="character" w:styleId="1354" w:customStyle="1">
    <w:name w:val="默认段落字体1"/>
    <w:uiPriority w:val="1"/>
    <w:unhideWhenUsed/>
    <w:qFormat/>
  </w:style>
  <w:style w:type="table" w:styleId="1355" w:customStyle="1">
    <w:name w:val="普通表格1"/>
    <w:uiPriority w:val="99"/>
    <w:unhideWhenUsed/>
    <w:qFormat/>
    <w:tblPr>
      <w:tblCellMar>
        <w:left w:w="0" w:type="dxa"/>
        <w:top w:w="0" w:type="dxa"/>
        <w:right w:w="0" w:type="dxa"/>
        <w:bottom w:w="0" w:type="dxa"/>
      </w:tblCellMar>
    </w:tblPr>
  </w:style>
  <w:style w:type="character" w:styleId="1356" w:customStyle="1">
    <w:name w:val="标题 1 字符"/>
    <w:link w:val="1352"/>
    <w:uiPriority w:val="0"/>
    <w:qFormat/>
    <w:rPr>
      <w:rFonts w:ascii="Calibri" w:hAnsi="Calibri" w:eastAsia="微软雅黑"/>
      <w:b/>
      <w:bCs/>
      <w:sz w:val="32"/>
      <w:szCs w:val="44"/>
    </w:rPr>
  </w:style>
  <w:style w:type="character" w:styleId="1357" w:customStyle="1">
    <w:name w:val="标题 2 字符"/>
    <w:link w:val="1353"/>
    <w:uiPriority w:val="0"/>
    <w:qFormat/>
    <w:rPr>
      <w:rFonts w:ascii="Cambria" w:hAnsi="Cambria" w:eastAsia="微软雅黑" w:cs="Times New Roman"/>
      <w:b/>
      <w:bCs/>
      <w:sz w:val="28"/>
      <w:szCs w:val="32"/>
    </w:rPr>
  </w:style>
  <w:style w:type="paragraph" w:styleId="1358" w:customStyle="1">
    <w:name w:val="目录 71"/>
    <w:basedOn w:val="1135"/>
    <w:next w:val="1135"/>
    <w:uiPriority w:val="39"/>
    <w:qFormat/>
    <w:pPr>
      <w:ind w:left="2520"/>
    </w:pPr>
    <w:rPr>
      <w:szCs w:val="24"/>
    </w:rPr>
  </w:style>
  <w:style w:type="paragraph" w:styleId="1359" w:customStyle="1">
    <w:name w:val="题注1"/>
    <w:basedOn w:val="1135"/>
    <w:next w:val="1135"/>
    <w:uiPriority w:val="35"/>
    <w:qFormat/>
    <w:rPr>
      <w:rFonts w:ascii="Cambria" w:hAnsi="Cambria" w:eastAsia="黑体"/>
      <w:sz w:val="20"/>
      <w:szCs w:val="20"/>
    </w:rPr>
  </w:style>
  <w:style w:type="paragraph" w:styleId="1360" w:customStyle="1">
    <w:name w:val="列表项目符号1"/>
    <w:basedOn w:val="1135"/>
    <w:uiPriority w:val="0"/>
    <w:qFormat/>
    <w:pPr>
      <w:numPr>
        <w:ilvl w:val="0"/>
        <w:numId w:val="1"/>
      </w:numPr>
      <w:spacing w:line="360" w:lineRule="atLeast"/>
      <w:tabs>
        <w:tab w:val="left" w:pos="360" w:leader="none"/>
      </w:tabs>
    </w:pPr>
    <w:rPr>
      <w:rFonts w:ascii="Arial" w:hAnsi="Arial"/>
      <w:szCs w:val="21"/>
    </w:rPr>
  </w:style>
  <w:style w:type="paragraph" w:styleId="1361" w:customStyle="1">
    <w:name w:val="文档结构图1"/>
    <w:basedOn w:val="1135"/>
    <w:link w:val="1362"/>
    <w:uiPriority w:val="0"/>
    <w:qFormat/>
    <w:rPr>
      <w:rFonts w:ascii="宋体" w:eastAsia="宋体"/>
      <w:sz w:val="18"/>
      <w:szCs w:val="18"/>
    </w:rPr>
  </w:style>
  <w:style w:type="character" w:styleId="1362" w:customStyle="1">
    <w:name w:val="文档结构图 字符"/>
    <w:link w:val="1361"/>
    <w:uiPriority w:val="0"/>
    <w:qFormat/>
    <w:rPr>
      <w:rFonts w:ascii="宋体"/>
      <w:sz w:val="18"/>
      <w:szCs w:val="18"/>
    </w:rPr>
  </w:style>
  <w:style w:type="paragraph" w:styleId="1363" w:customStyle="1">
    <w:name w:val="批注文字1"/>
    <w:basedOn w:val="1135"/>
    <w:link w:val="1364"/>
    <w:uiPriority w:val="0"/>
    <w:semiHidden/>
    <w:qFormat/>
    <w:pPr>
      <w:jc w:val="left"/>
    </w:pPr>
    <w:rPr>
      <w:rFonts w:eastAsia="宋体"/>
      <w:sz w:val="20"/>
      <w:szCs w:val="21"/>
    </w:rPr>
  </w:style>
  <w:style w:type="character" w:styleId="1364" w:customStyle="1">
    <w:name w:val="批注文字 字符"/>
    <w:link w:val="1363"/>
    <w:uiPriority w:val="0"/>
    <w:semiHidden/>
    <w:qFormat/>
    <w:rPr>
      <w:rFonts w:ascii="Times New Roman" w:hAnsi="Times New Roman" w:eastAsia="宋体" w:cs="Times New Roman"/>
      <w:szCs w:val="21"/>
    </w:rPr>
  </w:style>
  <w:style w:type="paragraph" w:styleId="1365" w:customStyle="1">
    <w:name w:val="正文文本1"/>
    <w:basedOn w:val="1135"/>
    <w:next w:val="1135"/>
    <w:link w:val="1366"/>
    <w:uiPriority w:val="0"/>
    <w:qFormat/>
    <w:rPr>
      <w:rFonts w:ascii="仿宋_GB2312" w:hAnsi="宋体" w:eastAsia="仿宋_GB2312"/>
      <w:sz w:val="24"/>
      <w:szCs w:val="24"/>
    </w:rPr>
  </w:style>
  <w:style w:type="character" w:styleId="1366" w:customStyle="1">
    <w:name w:val="正文文本 字符"/>
    <w:link w:val="1365"/>
    <w:uiPriority w:val="0"/>
    <w:qFormat/>
    <w:rPr>
      <w:rFonts w:ascii="仿宋_GB2312" w:hAnsi="宋体" w:eastAsia="仿宋_GB2312" w:cs="仿宋_GB2312"/>
      <w:sz w:val="24"/>
      <w:szCs w:val="24"/>
    </w:rPr>
  </w:style>
  <w:style w:type="paragraph" w:styleId="1367" w:customStyle="1">
    <w:name w:val="正文文本缩进1"/>
    <w:basedOn w:val="1135"/>
    <w:link w:val="1368"/>
    <w:uiPriority w:val="0"/>
    <w:qFormat/>
    <w:pPr>
      <w:ind w:firstLine="403"/>
      <w:spacing w:line="440" w:lineRule="exact"/>
    </w:pPr>
    <w:rPr>
      <w:rFonts w:ascii="宋体" w:hAnsi="宋体" w:eastAsia="宋体"/>
      <w:sz w:val="20"/>
      <w:szCs w:val="21"/>
    </w:rPr>
  </w:style>
  <w:style w:type="character" w:styleId="1368" w:customStyle="1">
    <w:name w:val="正文文本缩进 字符"/>
    <w:link w:val="1367"/>
    <w:uiPriority w:val="0"/>
    <w:qFormat/>
    <w:rPr>
      <w:rFonts w:ascii="宋体" w:hAnsi="宋体" w:eastAsia="宋体" w:cs="宋体"/>
      <w:szCs w:val="21"/>
    </w:rPr>
  </w:style>
  <w:style w:type="paragraph" w:styleId="1369" w:customStyle="1">
    <w:name w:val="文本块1"/>
    <w:basedOn w:val="1135"/>
    <w:next w:val="1135"/>
    <w:uiPriority w:val="99"/>
    <w:unhideWhenUsed/>
    <w:qFormat/>
    <w:pPr>
      <w:ind w:left="1440" w:right="1440"/>
      <w:spacing w:after="120"/>
    </w:pPr>
  </w:style>
  <w:style w:type="paragraph" w:styleId="1370" w:customStyle="1">
    <w:name w:val="索引 411"/>
    <w:basedOn w:val="1135"/>
    <w:next w:val="1135"/>
    <w:uiPriority w:val="99"/>
    <w:unhideWhenUsed/>
    <w:qFormat/>
    <w:pPr>
      <w:ind w:left="600"/>
    </w:pPr>
    <w:rPr>
      <w:rFonts w:ascii="Verdana" w:hAnsi="Verdana"/>
      <w:szCs w:val="20"/>
    </w:rPr>
  </w:style>
  <w:style w:type="paragraph" w:styleId="1371" w:customStyle="1">
    <w:name w:val="目录 51"/>
    <w:basedOn w:val="1135"/>
    <w:next w:val="1135"/>
    <w:uiPriority w:val="39"/>
    <w:qFormat/>
    <w:pPr>
      <w:ind w:left="1680"/>
    </w:pPr>
    <w:rPr>
      <w:szCs w:val="24"/>
    </w:rPr>
  </w:style>
  <w:style w:type="paragraph" w:styleId="1372" w:customStyle="1">
    <w:name w:val="目录 31"/>
    <w:basedOn w:val="1135"/>
    <w:next w:val="1135"/>
    <w:uiPriority w:val="39"/>
    <w:unhideWhenUsed/>
    <w:qFormat/>
    <w:pPr>
      <w:ind w:left="840"/>
      <w:spacing w:line="340" w:lineRule="exact"/>
    </w:pPr>
    <w:rPr>
      <w:rFonts w:ascii="Calibri" w:hAnsi="Calibri"/>
    </w:rPr>
  </w:style>
  <w:style w:type="paragraph" w:styleId="1373" w:customStyle="1">
    <w:name w:val="纯文本1"/>
    <w:basedOn w:val="1135"/>
    <w:link w:val="1374"/>
    <w:uiPriority w:val="0"/>
    <w:qFormat/>
    <w:rPr>
      <w:rFonts w:ascii="宋体" w:hAnsi="Courier New" w:eastAsia="宋体"/>
      <w:sz w:val="28"/>
      <w:szCs w:val="28"/>
    </w:rPr>
  </w:style>
  <w:style w:type="character" w:styleId="1374" w:customStyle="1">
    <w:name w:val="纯文本 字符"/>
    <w:link w:val="1373"/>
    <w:uiPriority w:val="0"/>
    <w:qFormat/>
    <w:rPr>
      <w:rFonts w:ascii="宋体" w:hAnsi="Courier New" w:eastAsia="宋体" w:cs="宋体"/>
      <w:sz w:val="28"/>
      <w:szCs w:val="28"/>
    </w:rPr>
  </w:style>
  <w:style w:type="paragraph" w:styleId="1375" w:customStyle="1">
    <w:name w:val="目录 81"/>
    <w:basedOn w:val="1135"/>
    <w:next w:val="1135"/>
    <w:uiPriority w:val="39"/>
    <w:qFormat/>
    <w:pPr>
      <w:ind w:left="2940"/>
    </w:pPr>
    <w:rPr>
      <w:szCs w:val="24"/>
    </w:rPr>
  </w:style>
  <w:style w:type="paragraph" w:styleId="1376" w:customStyle="1">
    <w:name w:val="日期1"/>
    <w:basedOn w:val="1135"/>
    <w:next w:val="1135"/>
    <w:link w:val="1377"/>
    <w:uiPriority w:val="0"/>
    <w:qFormat/>
    <w:pPr>
      <w:ind w:left="100"/>
    </w:pPr>
    <w:rPr>
      <w:rFonts w:eastAsia="宋体"/>
      <w:sz w:val="20"/>
      <w:szCs w:val="21"/>
    </w:rPr>
  </w:style>
  <w:style w:type="character" w:styleId="1377" w:customStyle="1">
    <w:name w:val="日期 字符"/>
    <w:link w:val="1376"/>
    <w:uiPriority w:val="0"/>
    <w:qFormat/>
    <w:rPr>
      <w:rFonts w:ascii="Times New Roman" w:hAnsi="Times New Roman" w:eastAsia="宋体" w:cs="Times New Roman"/>
      <w:szCs w:val="21"/>
    </w:rPr>
  </w:style>
  <w:style w:type="paragraph" w:styleId="1378" w:customStyle="1">
    <w:name w:val="正文文本缩进 21"/>
    <w:basedOn w:val="1135"/>
    <w:link w:val="1379"/>
    <w:uiPriority w:val="0"/>
    <w:qFormat/>
    <w:pPr>
      <w:ind w:firstLine="420"/>
      <w:spacing w:line="440" w:lineRule="exact"/>
    </w:pPr>
    <w:rPr>
      <w:rFonts w:ascii="宋体" w:hAnsi="宋体" w:eastAsia="宋体"/>
      <w:sz w:val="20"/>
      <w:szCs w:val="21"/>
    </w:rPr>
  </w:style>
  <w:style w:type="character" w:styleId="1379" w:customStyle="1">
    <w:name w:val="正文文本缩进 2 字符"/>
    <w:link w:val="1378"/>
    <w:uiPriority w:val="0"/>
    <w:qFormat/>
    <w:rPr>
      <w:rFonts w:ascii="宋体" w:hAnsi="宋体" w:eastAsia="宋体" w:cs="宋体"/>
      <w:szCs w:val="21"/>
    </w:rPr>
  </w:style>
  <w:style w:type="paragraph" w:styleId="1380" w:customStyle="1">
    <w:name w:val="批注框文本1"/>
    <w:basedOn w:val="1135"/>
    <w:link w:val="1381"/>
    <w:uiPriority w:val="0"/>
    <w:semiHidden/>
    <w:qFormat/>
    <w:rPr>
      <w:rFonts w:eastAsia="宋体"/>
      <w:sz w:val="18"/>
      <w:szCs w:val="18"/>
    </w:rPr>
  </w:style>
  <w:style w:type="character" w:styleId="1381" w:customStyle="1">
    <w:name w:val="批注框文本 字符"/>
    <w:link w:val="1380"/>
    <w:uiPriority w:val="0"/>
    <w:semiHidden/>
    <w:qFormat/>
    <w:rPr>
      <w:rFonts w:ascii="Times New Roman" w:hAnsi="Times New Roman" w:eastAsia="宋体" w:cs="Times New Roman"/>
      <w:sz w:val="18"/>
      <w:szCs w:val="18"/>
    </w:rPr>
  </w:style>
  <w:style w:type="paragraph" w:styleId="1382" w:customStyle="1">
    <w:name w:val="页脚1"/>
    <w:basedOn w:val="1135"/>
    <w:link w:val="1383"/>
    <w:uiPriority w:val="0"/>
    <w:unhideWhenUsed/>
    <w:qFormat/>
    <w:pPr>
      <w:jc w:val="left"/>
      <w:tabs>
        <w:tab w:val="center" w:pos="4153" w:leader="none"/>
        <w:tab w:val="right" w:pos="8306" w:leader="none"/>
      </w:tabs>
    </w:pPr>
    <w:rPr>
      <w:rFonts w:ascii="宋体" w:eastAsia="宋体"/>
      <w:sz w:val="18"/>
      <w:szCs w:val="18"/>
    </w:rPr>
  </w:style>
  <w:style w:type="character" w:styleId="1383" w:customStyle="1">
    <w:name w:val="页脚 字符"/>
    <w:link w:val="1382"/>
    <w:uiPriority w:val="0"/>
    <w:qFormat/>
    <w:rPr>
      <w:rFonts w:ascii="宋体" w:hAnsi="Times New Roman" w:eastAsia="宋体" w:cs="Times New Roman"/>
      <w:sz w:val="18"/>
      <w:szCs w:val="18"/>
    </w:rPr>
  </w:style>
  <w:style w:type="paragraph" w:styleId="1384" w:customStyle="1">
    <w:name w:val="页眉1"/>
    <w:basedOn w:val="1135"/>
    <w:link w:val="1385"/>
    <w:uiPriority w:val="0"/>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385" w:customStyle="1">
    <w:name w:val="页眉 字符"/>
    <w:link w:val="1384"/>
    <w:uiPriority w:val="0"/>
    <w:qFormat/>
    <w:rPr>
      <w:rFonts w:ascii="宋体" w:hAnsi="Times New Roman" w:eastAsia="宋体" w:cs="Times New Roman"/>
      <w:sz w:val="18"/>
      <w:szCs w:val="18"/>
    </w:rPr>
  </w:style>
  <w:style w:type="paragraph" w:styleId="1386" w:customStyle="1">
    <w:name w:val="目录 11"/>
    <w:basedOn w:val="1135"/>
    <w:next w:val="1135"/>
    <w:uiPriority w:val="39"/>
    <w:unhideWhenUsed/>
    <w:qFormat/>
    <w:pPr>
      <w:spacing w:line="400" w:lineRule="exact"/>
    </w:pPr>
    <w:rPr>
      <w:rFonts w:ascii="Calibri" w:hAnsi="Calibri"/>
      <w:b/>
    </w:rPr>
  </w:style>
  <w:style w:type="paragraph" w:styleId="1387" w:customStyle="1">
    <w:name w:val="目录 41"/>
    <w:basedOn w:val="1135"/>
    <w:next w:val="1135"/>
    <w:uiPriority w:val="39"/>
    <w:qFormat/>
    <w:pPr>
      <w:ind w:left="1260"/>
    </w:pPr>
    <w:rPr>
      <w:szCs w:val="24"/>
    </w:rPr>
  </w:style>
  <w:style w:type="paragraph" w:styleId="1388" w:customStyle="1">
    <w:name w:val="目录 61"/>
    <w:basedOn w:val="1135"/>
    <w:next w:val="1135"/>
    <w:uiPriority w:val="39"/>
    <w:qFormat/>
    <w:pPr>
      <w:ind w:left="2100"/>
    </w:pPr>
    <w:rPr>
      <w:szCs w:val="24"/>
    </w:rPr>
  </w:style>
  <w:style w:type="paragraph" w:styleId="1389" w:customStyle="1">
    <w:name w:val="目录 21"/>
    <w:basedOn w:val="1135"/>
    <w:next w:val="1135"/>
    <w:uiPriority w:val="39"/>
    <w:unhideWhenUsed/>
    <w:qFormat/>
    <w:pPr>
      <w:ind w:left="420"/>
      <w:spacing w:line="360" w:lineRule="exact"/>
    </w:pPr>
    <w:rPr>
      <w:rFonts w:ascii="Calibri" w:hAnsi="Calibri"/>
    </w:rPr>
  </w:style>
  <w:style w:type="paragraph" w:styleId="1390" w:customStyle="1">
    <w:name w:val="目录 91"/>
    <w:basedOn w:val="1135"/>
    <w:next w:val="1135"/>
    <w:uiPriority w:val="39"/>
    <w:qFormat/>
    <w:pPr>
      <w:ind w:left="3360"/>
    </w:pPr>
    <w:rPr>
      <w:szCs w:val="24"/>
    </w:rPr>
  </w:style>
  <w:style w:type="paragraph" w:styleId="1391" w:customStyle="1">
    <w:name w:val="正文文本 21"/>
    <w:basedOn w:val="1135"/>
    <w:uiPriority w:val="0"/>
    <w:qFormat/>
    <w:rPr>
      <w:rFonts w:ascii="华文细黑" w:hAnsi="华文细黑" w:eastAsia="华文细黑"/>
      <w:b/>
      <w:bCs/>
      <w:sz w:val="24"/>
      <w:szCs w:val="20"/>
    </w:rPr>
  </w:style>
  <w:style w:type="paragraph" w:styleId="1392" w:customStyle="1">
    <w:name w:val="普通(网站)1"/>
    <w:basedOn w:val="1135"/>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393" w:customStyle="1">
    <w:name w:val="批注主题1"/>
    <w:basedOn w:val="1363"/>
    <w:next w:val="1363"/>
    <w:link w:val="1394"/>
    <w:uiPriority w:val="99"/>
    <w:unhideWhenUsed/>
    <w:qFormat/>
    <w:rPr>
      <w:b/>
      <w:bCs/>
      <w:sz w:val="21"/>
      <w:szCs w:val="22"/>
    </w:rPr>
  </w:style>
  <w:style w:type="character" w:styleId="1394" w:customStyle="1">
    <w:name w:val="批注主题 字符"/>
    <w:link w:val="1393"/>
    <w:uiPriority w:val="99"/>
    <w:semiHidden/>
    <w:qFormat/>
    <w:rPr>
      <w:rFonts w:ascii="Times New Roman" w:hAnsi="Times New Roman" w:eastAsia="宋体" w:cs="Times New Roman"/>
      <w:b/>
      <w:bCs/>
      <w:sz w:val="21"/>
      <w:szCs w:val="22"/>
    </w:rPr>
  </w:style>
  <w:style w:type="paragraph" w:styleId="1395" w:customStyle="1">
    <w:name w:val="正文首行缩进1"/>
    <w:basedOn w:val="1365"/>
    <w:uiPriority w:val="0"/>
    <w:qFormat/>
    <w:pPr>
      <w:ind w:firstLine="420"/>
    </w:pPr>
  </w:style>
  <w:style w:type="table" w:styleId="1396" w:customStyle="1">
    <w:name w:val="网格型1"/>
    <w:basedOn w:val="1355"/>
    <w:uiPriority w:val="0"/>
    <w:qFormat/>
    <w:tblPr/>
  </w:style>
  <w:style w:type="character" w:styleId="1397" w:customStyle="1">
    <w:name w:val="要点1"/>
    <w:basedOn w:val="1354"/>
    <w:uiPriority w:val="0"/>
    <w:qFormat/>
    <w:rPr>
      <w:b/>
      <w:bCs/>
    </w:rPr>
  </w:style>
  <w:style w:type="character" w:styleId="1398" w:customStyle="1">
    <w:name w:val="页码1"/>
    <w:uiPriority w:val="0"/>
    <w:qFormat/>
  </w:style>
  <w:style w:type="character" w:styleId="1399" w:customStyle="1">
    <w:name w:val="已访问的超链接1"/>
    <w:uiPriority w:val="99"/>
    <w:qFormat/>
    <w:rPr>
      <w:color w:val="000000"/>
      <w:sz w:val="18"/>
      <w:szCs w:val="18"/>
      <w:u w:val="none"/>
    </w:rPr>
  </w:style>
  <w:style w:type="character" w:styleId="1400" w:customStyle="1">
    <w:name w:val="强调1"/>
    <w:uiPriority w:val="20"/>
    <w:qFormat/>
    <w:rPr>
      <w:i/>
      <w:iCs/>
    </w:rPr>
  </w:style>
  <w:style w:type="character" w:styleId="1401" w:customStyle="1">
    <w:name w:val="超链接1"/>
    <w:uiPriority w:val="99"/>
    <w:qFormat/>
    <w:rPr>
      <w:color w:val="000000"/>
      <w:sz w:val="18"/>
      <w:szCs w:val="18"/>
      <w:u w:val="none"/>
    </w:rPr>
  </w:style>
  <w:style w:type="character" w:styleId="1402" w:customStyle="1">
    <w:name w:val="批注引用1"/>
    <w:uiPriority w:val="0"/>
    <w:semiHidden/>
    <w:qFormat/>
    <w:rPr>
      <w:sz w:val="21"/>
      <w:szCs w:val="21"/>
    </w:rPr>
  </w:style>
  <w:style w:type="paragraph" w:styleId="1403" w:customStyle="1">
    <w:name w:val="无间隔1"/>
    <w:uiPriority w:val="1"/>
    <w:qFormat/>
    <w:rPr>
      <w:rFonts w:ascii="Tahoma" w:hAnsi="Tahoma" w:eastAsia="微软雅黑" w:cs="Times New Roman"/>
      <w:sz w:val="22"/>
      <w:szCs w:val="22"/>
      <w:lang w:val="en-US" w:eastAsia="zh-CN" w:bidi="ar-SA"/>
    </w:rPr>
  </w:style>
  <w:style w:type="paragraph" w:styleId="1404" w:customStyle="1">
    <w:name w:val="首行缩进"/>
    <w:basedOn w:val="1135"/>
    <w:uiPriority w:val="0"/>
    <w:qFormat/>
    <w:pPr>
      <w:ind w:firstLine="420"/>
      <w:spacing w:line="360" w:lineRule="auto"/>
    </w:pPr>
  </w:style>
  <w:style w:type="character" w:styleId="1405" w:customStyle="1">
    <w:name w:val="displayarti"/>
    <w:uiPriority w:val="0"/>
    <w:qFormat/>
    <w:rPr>
      <w:color w:val="ffffff"/>
      <w:shd w:val="clear" w:color="auto" w:fill="a00000"/>
    </w:rPr>
  </w:style>
  <w:style w:type="character" w:styleId="1406" w:customStyle="1">
    <w:name w:val="layui-laypage-curr"/>
    <w:uiPriority w:val="0"/>
    <w:qFormat/>
  </w:style>
  <w:style w:type="character" w:styleId="1407" w:customStyle="1">
    <w:name w:val="gpa"/>
    <w:uiPriority w:val="0"/>
    <w:qFormat/>
    <w:rPr>
      <w:rFonts w:ascii="Arial" w:hAnsi="Arial" w:cs="Arial"/>
      <w:sz w:val="15"/>
      <w:szCs w:val="15"/>
    </w:rPr>
  </w:style>
  <w:style w:type="character" w:styleId="1408" w:customStyle="1">
    <w:name w:val="font71"/>
    <w:uiPriority w:val="0"/>
    <w:qFormat/>
    <w:rPr>
      <w:rFonts w:hint="eastAsia" w:ascii="宋体" w:hAnsi="宋体" w:eastAsia="宋体" w:cs="宋体"/>
      <w:color w:val="ff0000"/>
      <w:sz w:val="24"/>
      <w:szCs w:val="24"/>
      <w:u w:val="none"/>
    </w:rPr>
  </w:style>
  <w:style w:type="character" w:styleId="1409" w:customStyle="1">
    <w:name w:val="1page sec3 Char"/>
    <w:uiPriority w:val="0"/>
    <w:qFormat/>
    <w:rPr>
      <w:rFonts w:eastAsia="宋体"/>
      <w:sz w:val="18"/>
      <w:szCs w:val="18"/>
      <w:lang w:val="en-US" w:eastAsia="zh-CN" w:bidi="ar-SA"/>
    </w:rPr>
  </w:style>
  <w:style w:type="character" w:styleId="1410" w:customStyle="1">
    <w:name w:val="z-窗体顶端 字符"/>
    <w:link w:val="1411"/>
    <w:uiPriority w:val="99"/>
    <w:semiHidden/>
    <w:qFormat/>
    <w:rPr>
      <w:rFonts w:ascii="Arial" w:hAnsi="Arial" w:eastAsia="宋体" w:cs="Arial"/>
      <w:vanish/>
      <w:sz w:val="16"/>
      <w:szCs w:val="16"/>
    </w:rPr>
  </w:style>
  <w:style w:type="paragraph" w:styleId="1411" w:customStyle="1">
    <w:name w:val="z-窗体顶端1"/>
    <w:basedOn w:val="1135"/>
    <w:next w:val="1135"/>
    <w:link w:val="1410"/>
    <w:uiPriority w:val="99"/>
    <w:unhideWhenUsed/>
    <w:qFormat/>
    <w:pPr>
      <w:jc w:val="center"/>
      <w:widowControl/>
      <w:pBdr>
        <w:bottom w:val="single" w:color="000000" w:sz="6" w:space="1"/>
      </w:pBdr>
    </w:pPr>
    <w:rPr>
      <w:rFonts w:ascii="Arial" w:hAnsi="Arial" w:eastAsia="宋体"/>
      <w:vanish/>
      <w:sz w:val="16"/>
      <w:szCs w:val="16"/>
    </w:rPr>
  </w:style>
  <w:style w:type="character" w:styleId="1412" w:customStyle="1">
    <w:name w:val="z-窗体底端 字符"/>
    <w:link w:val="1413"/>
    <w:uiPriority w:val="99"/>
    <w:semiHidden/>
    <w:qFormat/>
    <w:rPr>
      <w:rFonts w:ascii="Arial" w:hAnsi="Arial" w:eastAsia="宋体" w:cs="Arial"/>
      <w:vanish/>
      <w:sz w:val="16"/>
      <w:szCs w:val="16"/>
    </w:rPr>
  </w:style>
  <w:style w:type="paragraph" w:styleId="1413" w:customStyle="1">
    <w:name w:val="z-窗体底端1"/>
    <w:basedOn w:val="1135"/>
    <w:next w:val="1135"/>
    <w:link w:val="1412"/>
    <w:uiPriority w:val="99"/>
    <w:unhideWhenUsed/>
    <w:qFormat/>
    <w:pPr>
      <w:jc w:val="center"/>
      <w:widowControl/>
      <w:pBdr>
        <w:top w:val="single" w:color="000000" w:sz="6" w:space="1"/>
      </w:pBdr>
    </w:pPr>
    <w:rPr>
      <w:rFonts w:ascii="Arial" w:hAnsi="Arial" w:eastAsia="宋体"/>
      <w:vanish/>
      <w:sz w:val="16"/>
      <w:szCs w:val="16"/>
    </w:rPr>
  </w:style>
  <w:style w:type="character" w:styleId="1414" w:customStyle="1">
    <w:name w:val="正文文字 Char Char"/>
    <w:uiPriority w:val="0"/>
    <w:qFormat/>
    <w:rPr>
      <w:rFonts w:ascii="仿宋_GB2312" w:hAnsi="宋体" w:eastAsia="仿宋_GB2312" w:cs="仿宋_GB2312"/>
      <w:sz w:val="24"/>
      <w:szCs w:val="24"/>
    </w:rPr>
  </w:style>
  <w:style w:type="character" w:styleId="1415" w:customStyle="1">
    <w:name w:val="apple-style-span"/>
    <w:uiPriority w:val="0"/>
    <w:qFormat/>
  </w:style>
  <w:style w:type="character" w:styleId="1416" w:customStyle="1">
    <w:name w:val="label"/>
    <w:uiPriority w:val="0"/>
    <w:qFormat/>
    <w:rPr>
      <w:color w:val="999999"/>
    </w:rPr>
  </w:style>
  <w:style w:type="character" w:styleId="1417" w:customStyle="1">
    <w:name w:val="Char Char13"/>
    <w:uiPriority w:val="0"/>
    <w:qFormat/>
    <w:rPr>
      <w:b/>
      <w:bCs/>
      <w:sz w:val="44"/>
      <w:szCs w:val="44"/>
    </w:rPr>
  </w:style>
  <w:style w:type="character" w:styleId="1418" w:customStyle="1">
    <w:name w:val="font91"/>
    <w:uiPriority w:val="0"/>
    <w:qFormat/>
    <w:rPr>
      <w:rFonts w:hint="eastAsia" w:ascii="宋体" w:hAnsi="宋体" w:eastAsia="宋体" w:cs="宋体"/>
      <w:b/>
      <w:color w:val="000000"/>
      <w:sz w:val="20"/>
      <w:szCs w:val="20"/>
      <w:u w:val="none"/>
    </w:rPr>
  </w:style>
  <w:style w:type="character" w:styleId="1419" w:customStyle="1">
    <w:name w:val="font51"/>
    <w:uiPriority w:val="0"/>
    <w:qFormat/>
    <w:rPr>
      <w:rFonts w:hint="eastAsia" w:ascii="宋体" w:hAnsi="宋体" w:eastAsia="宋体" w:cs="宋体"/>
      <w:color w:val="000000"/>
      <w:sz w:val="21"/>
      <w:szCs w:val="21"/>
      <w:u w:val="none"/>
    </w:rPr>
  </w:style>
  <w:style w:type="character" w:styleId="1420" w:customStyle="1">
    <w:name w:val="不明显强调1"/>
    <w:uiPriority w:val="19"/>
    <w:qFormat/>
    <w:rPr>
      <w:i/>
      <w:iCs/>
      <w:color w:val="808080"/>
    </w:rPr>
  </w:style>
  <w:style w:type="character" w:styleId="1421" w:customStyle="1">
    <w:name w:val="hover12"/>
    <w:uiPriority w:val="0"/>
    <w:qFormat/>
  </w:style>
  <w:style w:type="character" w:styleId="1422" w:customStyle="1">
    <w:name w:val="_Style 6"/>
    <w:uiPriority w:val="19"/>
    <w:qFormat/>
    <w:rPr>
      <w:i/>
      <w:iCs/>
      <w:color w:val="808080"/>
    </w:rPr>
  </w:style>
  <w:style w:type="character" w:styleId="1423" w:customStyle="1">
    <w:name w:val="font31"/>
    <w:uiPriority w:val="0"/>
    <w:qFormat/>
    <w:rPr>
      <w:rFonts w:hint="eastAsia" w:ascii="宋体" w:hAnsi="宋体" w:eastAsia="宋体" w:cs="宋体"/>
      <w:b/>
      <w:color w:val="000000"/>
      <w:sz w:val="24"/>
      <w:szCs w:val="24"/>
      <w:u w:val="none"/>
    </w:rPr>
  </w:style>
  <w:style w:type="character" w:styleId="1424" w:customStyle="1">
    <w:name w:val="纯文本 Char2"/>
    <w:uiPriority w:val="0"/>
    <w:qFormat/>
    <w:rPr>
      <w:rFonts w:ascii="宋体" w:hAnsi="Courier New" w:eastAsia="宋体"/>
      <w:sz w:val="24"/>
      <w:lang w:val="en-US" w:eastAsia="zh-CN" w:bidi="ar-SA"/>
    </w:rPr>
  </w:style>
  <w:style w:type="character" w:styleId="1425" w:customStyle="1">
    <w:name w:val="selected"/>
    <w:uiPriority w:val="0"/>
    <w:qFormat/>
    <w:rPr>
      <w:shd w:val="clear" w:color="auto" w:fill="b00006"/>
    </w:rPr>
  </w:style>
  <w:style w:type="character" w:styleId="1426" w:customStyle="1">
    <w:name w:val="文档结构图 Char1"/>
    <w:uiPriority w:val="99"/>
    <w:semiHidden/>
    <w:qFormat/>
    <w:rPr>
      <w:rFonts w:ascii="宋体"/>
      <w:sz w:val="18"/>
      <w:szCs w:val="18"/>
    </w:rPr>
  </w:style>
  <w:style w:type="character" w:styleId="1427" w:customStyle="1">
    <w:name w:val="Char Char5"/>
    <w:uiPriority w:val="0"/>
    <w:qFormat/>
    <w:rPr>
      <w:rFonts w:ascii="宋体" w:hAnsi="Courier New" w:eastAsia="宋体" w:cs="宋体"/>
      <w:sz w:val="28"/>
      <w:szCs w:val="28"/>
      <w:lang w:val="en-US" w:eastAsia="zh-CN"/>
    </w:rPr>
  </w:style>
  <w:style w:type="character" w:styleId="1428" w:customStyle="1">
    <w:name w:val="font101"/>
    <w:uiPriority w:val="0"/>
    <w:qFormat/>
    <w:rPr>
      <w:rFonts w:hint="eastAsia" w:ascii="宋体" w:hAnsi="宋体" w:eastAsia="宋体" w:cs="宋体"/>
      <w:color w:val="000000"/>
      <w:sz w:val="24"/>
      <w:szCs w:val="24"/>
      <w:u w:val="none"/>
    </w:rPr>
  </w:style>
  <w:style w:type="character" w:styleId="1429" w:customStyle="1">
    <w:name w:val="font01"/>
    <w:uiPriority w:val="0"/>
    <w:qFormat/>
    <w:rPr>
      <w:rFonts w:ascii="Calibri" w:hAnsi="Calibri" w:cs="Calibri"/>
      <w:color w:val="000000"/>
      <w:sz w:val="21"/>
      <w:szCs w:val="21"/>
      <w:u w:val="none"/>
    </w:rPr>
  </w:style>
  <w:style w:type="character" w:styleId="1430" w:customStyle="1">
    <w:name w:val="font41"/>
    <w:uiPriority w:val="0"/>
    <w:qFormat/>
    <w:rPr>
      <w:rFonts w:hint="eastAsia" w:ascii="宋体" w:hAnsi="宋体" w:eastAsia="宋体" w:cs="宋体"/>
      <w:color w:val="000000"/>
      <w:sz w:val="24"/>
      <w:szCs w:val="24"/>
      <w:u w:val="none"/>
    </w:rPr>
  </w:style>
  <w:style w:type="character" w:styleId="1431" w:customStyle="1">
    <w:name w:val="font112"/>
    <w:uiPriority w:val="0"/>
    <w:qFormat/>
    <w:rPr>
      <w:rFonts w:hint="eastAsia" w:ascii="宋体" w:hAnsi="宋体" w:eastAsia="宋体" w:cs="宋体"/>
      <w:color w:val="000000"/>
      <w:sz w:val="20"/>
      <w:szCs w:val="20"/>
      <w:u w:val="none"/>
    </w:rPr>
  </w:style>
  <w:style w:type="paragraph" w:styleId="1432" w:customStyle="1">
    <w:name w:val="xl74"/>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33" w:customStyle="1">
    <w:name w:val="四级条标题"/>
    <w:basedOn w:val="1434"/>
    <w:next w:val="1135"/>
    <w:uiPriority w:val="0"/>
    <w:qFormat/>
    <w:pPr>
      <w:outlineLvl w:val="5"/>
    </w:pPr>
  </w:style>
  <w:style w:type="paragraph" w:styleId="1434" w:customStyle="1">
    <w:name w:val="三级条标题"/>
    <w:basedOn w:val="1435"/>
    <w:next w:val="1135"/>
    <w:uiPriority w:val="0"/>
    <w:qFormat/>
    <w:pPr>
      <w:outlineLvl w:val="4"/>
    </w:pPr>
  </w:style>
  <w:style w:type="paragraph" w:styleId="1435" w:customStyle="1">
    <w:name w:val="二级条标题"/>
    <w:basedOn w:val="1436"/>
    <w:next w:val="1135"/>
    <w:uiPriority w:val="0"/>
    <w:qFormat/>
    <w:pPr>
      <w:outlineLvl w:val="3"/>
    </w:pPr>
  </w:style>
  <w:style w:type="paragraph" w:styleId="1436" w:customStyle="1">
    <w:name w:val="一级条标题"/>
    <w:next w:val="1135"/>
    <w:uiPriority w:val="0"/>
    <w:qFormat/>
    <w:pPr>
      <w:outlineLvl w:val="2"/>
    </w:pPr>
    <w:rPr>
      <w:rFonts w:ascii="Times New Roman" w:hAnsi="Times New Roman" w:eastAsia="黑体" w:cs="Times New Roman"/>
      <w:sz w:val="21"/>
      <w:szCs w:val="21"/>
      <w:lang w:val="en-US" w:eastAsia="zh-CN" w:bidi="ar-SA"/>
    </w:rPr>
  </w:style>
  <w:style w:type="paragraph" w:styleId="1437" w:customStyle="1">
    <w:name w:val="标准称谓"/>
    <w:next w:val="1135"/>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1438" w:customStyle="1">
    <w:name w:val="xl67"/>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39" w:customStyle="1">
    <w:name w:val="xl98"/>
    <w:basedOn w:val="113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440" w:customStyle="1">
    <w:name w:val="彩色列表1"/>
    <w:basedOn w:val="1135"/>
    <w:uiPriority w:val="0"/>
    <w:qFormat/>
    <w:pPr>
      <w:ind w:firstLine="420"/>
    </w:pPr>
    <w:rPr>
      <w:szCs w:val="24"/>
    </w:rPr>
  </w:style>
  <w:style w:type="paragraph" w:styleId="1441" w:customStyle="1">
    <w:name w:val="xl76"/>
    <w:basedOn w:val="11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42" w:customStyle="1">
    <w:name w:val="EnvelopeReturn1"/>
    <w:basedOn w:val="1135"/>
    <w:uiPriority w:val="0"/>
    <w:qFormat/>
    <w:rPr>
      <w:rFonts w:ascii="Arial" w:hAnsi="Arial"/>
    </w:rPr>
  </w:style>
  <w:style w:type="paragraph" w:styleId="1443" w:customStyle="1">
    <w:name w:val="列出段落"/>
    <w:basedOn w:val="1135"/>
    <w:uiPriority w:val="0"/>
    <w:qFormat/>
    <w:pPr>
      <w:ind w:firstLine="420"/>
    </w:pPr>
    <w:rPr>
      <w:szCs w:val="24"/>
    </w:rPr>
  </w:style>
  <w:style w:type="paragraph" w:styleId="1444" w:customStyle="1">
    <w:name w:val="tc"/>
    <w:basedOn w:val="1135"/>
    <w:uiPriority w:val="0"/>
    <w:qFormat/>
    <w:pPr>
      <w:jc w:val="center"/>
    </w:pPr>
    <w:rPr>
      <w:szCs w:val="24"/>
    </w:rPr>
  </w:style>
  <w:style w:type="paragraph" w:styleId="1445" w:customStyle="1">
    <w:name w:val="正文宋体4"/>
    <w:basedOn w:val="1135"/>
    <w:uiPriority w:val="0"/>
    <w:qFormat/>
    <w:pPr>
      <w:ind w:firstLine="359"/>
      <w:tabs>
        <w:tab w:val="left" w:pos="0" w:leader="none"/>
      </w:tabs>
    </w:pPr>
    <w:rPr>
      <w:rFonts w:ascii="仿宋_GB2312" w:eastAsia="仿宋_GB2312"/>
      <w:b/>
      <w:color w:val="000000"/>
      <w:sz w:val="24"/>
      <w:szCs w:val="24"/>
    </w:rPr>
  </w:style>
  <w:style w:type="paragraph" w:styleId="1446" w:customStyle="1">
    <w:name w:val="Char Char"/>
    <w:basedOn w:val="1135"/>
    <w:uiPriority w:val="0"/>
    <w:qFormat/>
    <w:pPr>
      <w:tabs>
        <w:tab w:val="left" w:pos="360" w:leader="none"/>
      </w:tabs>
    </w:pPr>
    <w:rPr>
      <w:sz w:val="24"/>
      <w:szCs w:val="24"/>
    </w:rPr>
  </w:style>
  <w:style w:type="paragraph" w:styleId="1447" w:customStyle="1">
    <w:name w:val="xl70"/>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48" w:customStyle="1">
    <w:name w:val="BodyTextIndent1"/>
    <w:basedOn w:val="1135"/>
    <w:next w:val="1442"/>
    <w:uiPriority w:val="0"/>
    <w:qFormat/>
    <w:pPr>
      <w:ind w:firstLine="403"/>
      <w:spacing w:line="440" w:lineRule="exact"/>
    </w:pPr>
    <w:rPr>
      <w:rFonts w:ascii="宋体" w:hAnsi="宋体" w:eastAsia="宋体"/>
      <w:szCs w:val="21"/>
    </w:rPr>
  </w:style>
  <w:style w:type="paragraph" w:styleId="1449" w:customStyle="1">
    <w:name w:val="！正文"/>
    <w:basedOn w:val="1135"/>
    <w:uiPriority w:val="0"/>
    <w:qFormat/>
    <w:pPr>
      <w:ind w:firstLine="200"/>
      <w:spacing w:line="480" w:lineRule="exact"/>
    </w:pPr>
    <w:rPr>
      <w:rFonts w:ascii="宋体" w:hAnsi="宋体"/>
      <w:lang w:val="zh-CN"/>
    </w:rPr>
  </w:style>
  <w:style w:type="paragraph" w:styleId="1450" w:customStyle="1">
    <w:name w:val="_Style 2"/>
    <w:basedOn w:val="1135"/>
    <w:uiPriority w:val="0"/>
    <w:qFormat/>
    <w:pPr>
      <w:ind w:firstLine="420"/>
    </w:pPr>
    <w:rPr>
      <w:rFonts w:ascii="Calibri" w:hAnsi="Calibri"/>
    </w:rPr>
  </w:style>
  <w:style w:type="paragraph" w:styleId="1451" w:customStyle="1">
    <w:name w:val="xl111"/>
    <w:basedOn w:val="1135"/>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452" w:customStyle="1">
    <w:name w:val="xl92"/>
    <w:basedOn w:val="113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453" w:customStyle="1">
    <w:name w:val="font5"/>
    <w:basedOn w:val="1135"/>
    <w:uiPriority w:val="0"/>
    <w:qFormat/>
    <w:pPr>
      <w:jc w:val="left"/>
      <w:spacing w:before="100" w:beforeAutospacing="1" w:after="100" w:afterAutospacing="1"/>
      <w:widowControl/>
    </w:pPr>
    <w:rPr>
      <w:color w:val="000000"/>
      <w:sz w:val="20"/>
      <w:szCs w:val="20"/>
    </w:rPr>
  </w:style>
  <w:style w:type="paragraph" w:styleId="1454" w:customStyle="1">
    <w:name w:val="font6"/>
    <w:basedOn w:val="1135"/>
    <w:uiPriority w:val="0"/>
    <w:qFormat/>
    <w:pPr>
      <w:jc w:val="left"/>
      <w:spacing w:before="100" w:beforeAutospacing="1" w:after="100" w:afterAutospacing="1"/>
      <w:widowControl/>
    </w:pPr>
    <w:rPr>
      <w:color w:val="000000"/>
      <w:szCs w:val="21"/>
    </w:rPr>
  </w:style>
  <w:style w:type="paragraph" w:styleId="1455" w:customStyle="1">
    <w:name w:val="xl78"/>
    <w:basedOn w:val="11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56" w:customStyle="1">
    <w:name w:val="xl112"/>
    <w:basedOn w:val="1135"/>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457" w:customStyle="1">
    <w:name w:val="正文1"/>
    <w:basedOn w:val="1135"/>
    <w:uiPriority w:val="0"/>
    <w:qFormat/>
    <w:pPr>
      <w:ind w:firstLine="490"/>
      <w:spacing w:line="360" w:lineRule="auto"/>
    </w:pPr>
    <w:rPr>
      <w:rFonts w:ascii="宋体" w:hAnsi="宋体" w:eastAsia="宋体"/>
      <w:sz w:val="24"/>
      <w:szCs w:val="28"/>
    </w:rPr>
  </w:style>
  <w:style w:type="paragraph" w:styleId="1458" w:customStyle="1">
    <w:name w:val="xl86"/>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59" w:customStyle="1">
    <w:name w:val="xl108"/>
    <w:basedOn w:val="113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0" w:customStyle="1">
    <w:name w:val="font14"/>
    <w:basedOn w:val="1135"/>
    <w:uiPriority w:val="0"/>
    <w:qFormat/>
    <w:pPr>
      <w:jc w:val="left"/>
      <w:spacing w:before="100" w:beforeAutospacing="1" w:after="100" w:afterAutospacing="1"/>
      <w:widowControl/>
    </w:pPr>
    <w:rPr>
      <w:rFonts w:ascii="宋体" w:hAnsi="宋体" w:cs="宋体"/>
      <w:color w:val="000000"/>
      <w:szCs w:val="21"/>
    </w:rPr>
  </w:style>
  <w:style w:type="paragraph" w:styleId="1461" w:customStyle="1">
    <w:name w:val="font9"/>
    <w:basedOn w:val="1135"/>
    <w:uiPriority w:val="0"/>
    <w:qFormat/>
    <w:pPr>
      <w:jc w:val="left"/>
      <w:spacing w:before="100" w:beforeAutospacing="1" w:after="100" w:afterAutospacing="1"/>
      <w:widowControl/>
    </w:pPr>
    <w:rPr>
      <w:rFonts w:ascii="宋体" w:hAnsi="宋体" w:cs="宋体"/>
      <w:color w:val="000000"/>
      <w:szCs w:val="21"/>
    </w:rPr>
  </w:style>
  <w:style w:type="paragraph" w:styleId="1462" w:customStyle="1">
    <w:name w:val="xl99"/>
    <w:basedOn w:val="113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63" w:customStyle="1">
    <w:name w:val="xl105"/>
    <w:basedOn w:val="1135"/>
    <w:uiPriority w:val="0"/>
    <w:qFormat/>
    <w:pPr>
      <w:jc w:val="left"/>
      <w:spacing w:before="100" w:beforeAutospacing="1" w:after="100" w:afterAutospacing="1"/>
      <w:widowControl/>
    </w:pPr>
    <w:rPr>
      <w:rFonts w:ascii="宋体" w:hAnsi="宋体" w:cs="宋体"/>
      <w:sz w:val="20"/>
      <w:szCs w:val="20"/>
    </w:rPr>
  </w:style>
  <w:style w:type="paragraph" w:styleId="1464" w:customStyle="1">
    <w:name w:val="xl79"/>
    <w:basedOn w:val="113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65" w:customStyle="1">
    <w:name w:val="xl80"/>
    <w:basedOn w:val="113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466" w:customStyle="1">
    <w:name w:val="Char1"/>
    <w:basedOn w:val="1135"/>
    <w:uiPriority w:val="0"/>
    <w:qFormat/>
    <w:pPr>
      <w:jc w:val="left"/>
      <w:spacing w:after="160" w:line="240" w:lineRule="exact"/>
      <w:widowControl/>
    </w:pPr>
    <w:rPr>
      <w:rFonts w:ascii="Verdana" w:hAnsi="Verdana" w:eastAsia="宋体" w:cs="Verdana"/>
      <w:sz w:val="18"/>
      <w:szCs w:val="18"/>
      <w:lang w:eastAsia="en-US"/>
    </w:rPr>
  </w:style>
  <w:style w:type="paragraph" w:styleId="1467" w:customStyle="1">
    <w:name w:val="xl87"/>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468" w:customStyle="1">
    <w:name w:val="xl94"/>
    <w:basedOn w:val="1135"/>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469" w:customStyle="1">
    <w:name w:val="xl97"/>
    <w:basedOn w:val="1135"/>
    <w:uiPriority w:val="0"/>
    <w:qFormat/>
    <w:pPr>
      <w:jc w:val="left"/>
      <w:spacing w:before="100" w:beforeAutospacing="1" w:after="100" w:afterAutospacing="1"/>
      <w:widowControl/>
    </w:pPr>
    <w:rPr>
      <w:rFonts w:ascii="宋体" w:hAnsi="宋体" w:cs="宋体"/>
      <w:szCs w:val="21"/>
    </w:rPr>
  </w:style>
  <w:style w:type="paragraph" w:styleId="1470" w:customStyle="1">
    <w:name w:val="TOC 标题2"/>
    <w:basedOn w:val="1352"/>
    <w:next w:val="1135"/>
    <w:uiPriority w:val="39"/>
    <w:qFormat/>
    <w:pPr>
      <w:jc w:val="left"/>
      <w:spacing w:before="480" w:after="0" w:line="276" w:lineRule="auto"/>
      <w:widowControl/>
      <w:outlineLvl w:val="9"/>
    </w:pPr>
    <w:rPr>
      <w:rFonts w:ascii="Cambria" w:hAnsi="Cambria"/>
      <w:color w:val="365f91"/>
      <w:sz w:val="28"/>
      <w:szCs w:val="28"/>
    </w:rPr>
  </w:style>
  <w:style w:type="paragraph" w:styleId="1471" w:customStyle="1">
    <w:name w:val="font7"/>
    <w:basedOn w:val="1135"/>
    <w:uiPriority w:val="0"/>
    <w:qFormat/>
    <w:pPr>
      <w:jc w:val="left"/>
      <w:spacing w:before="100" w:beforeAutospacing="1" w:after="100" w:afterAutospacing="1"/>
      <w:widowControl/>
    </w:pPr>
    <w:rPr>
      <w:b/>
      <w:bCs/>
      <w:color w:val="000000"/>
      <w:szCs w:val="21"/>
    </w:rPr>
  </w:style>
  <w:style w:type="paragraph" w:styleId="1472" w:customStyle="1">
    <w:name w:val="xl66"/>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73" w:customStyle="1">
    <w:name w:val="xl100"/>
    <w:basedOn w:val="11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74" w:customStyle="1">
    <w:name w:val="xl106"/>
    <w:basedOn w:val="1135"/>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75">
    <w:name w:val="List Paragraph"/>
    <w:basedOn w:val="1135"/>
    <w:uiPriority w:val="34"/>
    <w:qFormat/>
    <w:pPr>
      <w:ind w:firstLine="420"/>
    </w:pPr>
    <w:rPr>
      <w:rFonts w:ascii="Calibri" w:hAnsi="Calibri"/>
    </w:rPr>
  </w:style>
  <w:style w:type="paragraph" w:styleId="1476" w:customStyle="1">
    <w:name w:val="段"/>
    <w:uiPriority w:val="0"/>
    <w:qFormat/>
    <w:pPr>
      <w:ind w:firstLine="200"/>
      <w:jc w:val="both"/>
    </w:pPr>
    <w:rPr>
      <w:rFonts w:ascii="宋体" w:hAnsi="Times New Roman" w:eastAsia="宋体" w:cs="宋体"/>
      <w:sz w:val="21"/>
      <w:szCs w:val="21"/>
      <w:lang w:val="en-US" w:eastAsia="zh-CN" w:bidi="ar-SA"/>
    </w:rPr>
  </w:style>
  <w:style w:type="paragraph" w:styleId="1477" w:customStyle="1">
    <w:name w:val="font11"/>
    <w:basedOn w:val="1135"/>
    <w:uiPriority w:val="0"/>
    <w:qFormat/>
    <w:pPr>
      <w:jc w:val="left"/>
      <w:spacing w:before="100" w:beforeAutospacing="1" w:after="100" w:afterAutospacing="1"/>
      <w:widowControl/>
    </w:pPr>
    <w:rPr>
      <w:rFonts w:ascii="宋体" w:hAnsi="宋体" w:cs="宋体"/>
      <w:color w:val="000000"/>
      <w:sz w:val="18"/>
      <w:szCs w:val="18"/>
    </w:rPr>
  </w:style>
  <w:style w:type="paragraph" w:styleId="1478" w:customStyle="1">
    <w:name w:val="xl75"/>
    <w:basedOn w:val="11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79" w:customStyle="1">
    <w:name w:val="xl77"/>
    <w:basedOn w:val="11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0" w:customStyle="1">
    <w:name w:val="列出段落3"/>
    <w:basedOn w:val="1135"/>
    <w:uiPriority w:val="34"/>
    <w:qFormat/>
    <w:pPr>
      <w:ind w:firstLine="200"/>
      <w:spacing w:line="360" w:lineRule="auto"/>
      <w:widowControl/>
    </w:pPr>
    <w:rPr>
      <w:rFonts w:ascii="Calibri" w:hAnsi="Calibri"/>
      <w:sz w:val="24"/>
    </w:rPr>
  </w:style>
  <w:style w:type="paragraph" w:styleId="1481" w:customStyle="1">
    <w:name w:val="前言、引言标题"/>
    <w:next w:val="1135"/>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482" w:customStyle="1">
    <w:name w:val="xl95"/>
    <w:basedOn w:val="11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83" w:customStyle="1">
    <w:name w:val="xl84"/>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84" w:customStyle="1">
    <w:name w:val="font8"/>
    <w:basedOn w:val="1135"/>
    <w:uiPriority w:val="0"/>
    <w:qFormat/>
    <w:pPr>
      <w:jc w:val="left"/>
      <w:spacing w:before="100" w:beforeAutospacing="1" w:after="100" w:afterAutospacing="1"/>
      <w:widowControl/>
    </w:pPr>
    <w:rPr>
      <w:rFonts w:ascii="宋体" w:hAnsi="宋体" w:cs="宋体"/>
      <w:b/>
      <w:bCs/>
      <w:color w:val="000000"/>
      <w:szCs w:val="21"/>
    </w:rPr>
  </w:style>
  <w:style w:type="paragraph" w:styleId="1485" w:customStyle="1">
    <w:name w:val="List Paragraph1"/>
    <w:basedOn w:val="1135"/>
    <w:uiPriority w:val="34"/>
    <w:qFormat/>
    <w:pPr>
      <w:ind w:firstLine="420"/>
    </w:pPr>
    <w:rPr>
      <w:rFonts w:ascii="Calibri" w:hAnsi="Calibri" w:eastAsia="宋体"/>
    </w:rPr>
  </w:style>
  <w:style w:type="paragraph" w:styleId="1486" w:customStyle="1">
    <w:name w:val="程序1.1"/>
    <w:uiPriority w:val="0"/>
    <w:qFormat/>
    <w:pPr>
      <w:numPr>
        <w:ilvl w:val="1"/>
        <w:numId w:val="1"/>
      </w:numPr>
      <w:tabs>
        <w:tab w:val="left" w:pos="359" w:leader="none"/>
        <w:tab w:val="left" w:pos="990" w:leader="none"/>
      </w:tabs>
    </w:pPr>
    <w:rPr>
      <w:rFonts w:ascii="Times New Roman" w:hAnsi="Times New Roman" w:eastAsia="宋体" w:cs="Times New Roman"/>
      <w:sz w:val="21"/>
      <w:szCs w:val="21"/>
      <w:lang w:val="en-US" w:eastAsia="zh-CN" w:bidi="ar-SA"/>
    </w:rPr>
  </w:style>
  <w:style w:type="paragraph" w:styleId="1487" w:customStyle="1">
    <w:name w:val="xl104"/>
    <w:basedOn w:val="113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88" w:customStyle="1">
    <w:name w:val="程序1"/>
    <w:next w:val="1135"/>
    <w:uiPriority w:val="0"/>
    <w:qFormat/>
    <w:pPr>
      <w:numPr>
        <w:ilvl w:val="0"/>
        <w:numId w:val="2"/>
      </w:numPr>
      <w:ind w:left="360" w:hanging="360"/>
    </w:pPr>
    <w:rPr>
      <w:rFonts w:ascii="Times New Roman" w:hAnsi="Times New Roman" w:eastAsia="宋体" w:cs="Times New Roman"/>
      <w:b/>
      <w:bCs/>
      <w:sz w:val="24"/>
      <w:szCs w:val="24"/>
      <w:lang w:val="en-US" w:eastAsia="zh-CN" w:bidi="ar-SA"/>
    </w:rPr>
  </w:style>
  <w:style w:type="paragraph" w:styleId="1489"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490" w:customStyle="1">
    <w:name w:val="正文 A"/>
    <w:next w:val="1491"/>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Calibri"/>
      <w:color w:val="000000"/>
      <w:sz w:val="21"/>
      <w:szCs w:val="21"/>
      <w:lang w:val="en-US" w:eastAsia="zh-CN" w:bidi="ar-SA"/>
    </w:rPr>
  </w:style>
  <w:style w:type="paragraph" w:styleId="1491" w:customStyle="1">
    <w:name w:val="索引 41"/>
    <w:next w:val="1490"/>
    <w:uiPriority w:val="0"/>
    <w:qFormat/>
    <w:pPr>
      <w:ind w:left="60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492" w:customStyle="1">
    <w:name w:val="xl68"/>
    <w:basedOn w:val="113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93" w:customStyle="1">
    <w:name w:val="程序1.1.1"/>
    <w:uiPriority w:val="0"/>
    <w:qFormat/>
    <w:pPr>
      <w:numPr>
        <w:ilvl w:val="1"/>
        <w:numId w:val="2"/>
      </w:numPr>
      <w:tabs>
        <w:tab w:val="left" w:pos="360" w:leader="none"/>
        <w:tab w:val="left" w:pos="525" w:leader="none"/>
      </w:tabs>
    </w:pPr>
    <w:rPr>
      <w:rFonts w:ascii="Times New Roman" w:hAnsi="Times New Roman" w:eastAsia="宋体" w:cs="Times New Roman"/>
      <w:sz w:val="21"/>
      <w:szCs w:val="21"/>
      <w:lang w:val="en-US" w:eastAsia="zh-CN" w:bidi="ar-SA"/>
    </w:rPr>
  </w:style>
  <w:style w:type="paragraph" w:styleId="1494" w:customStyle="1">
    <w:name w:val="xl91"/>
    <w:basedOn w:val="113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495" w:customStyle="1">
    <w:name w:val="Table Paragraph"/>
    <w:basedOn w:val="1135"/>
    <w:uiPriority w:val="1"/>
    <w:qFormat/>
    <w:rPr>
      <w:rFonts w:ascii="宋体" w:hAnsi="宋体" w:eastAsia="宋体" w:cs="宋体"/>
      <w:lang w:val="zh-CN" w:bidi="zh-CN"/>
    </w:rPr>
  </w:style>
  <w:style w:type="paragraph" w:styleId="1496" w:customStyle="1">
    <w:name w:val="xl96"/>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97" w:customStyle="1">
    <w:name w:val="xl88"/>
    <w:basedOn w:val="1135"/>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498" w:customStyle="1">
    <w:name w:val="xl85"/>
    <w:basedOn w:val="113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499" w:customStyle="1">
    <w:name w:val="Standard"/>
    <w:uiPriority w:val="0"/>
    <w:qFormat/>
    <w:pPr>
      <w:numPr>
        <w:ilvl w:val="0"/>
        <w:numId w:val="3"/>
      </w:numPr>
      <w:ind w:left="0" w:firstLine="0"/>
      <w:widowControl w:val="off"/>
      <w:tabs>
        <w:tab w:val="clear" w:pos="360" w:leader="none"/>
      </w:tabs>
    </w:pPr>
    <w:rPr>
      <w:rFonts w:ascii="Arial" w:hAnsi="Arial" w:eastAsia="Times New Roman" w:cs="Times New Roman"/>
      <w:lang w:val="de-DE" w:eastAsia="zh-CN" w:bidi="ar-SA"/>
    </w:rPr>
  </w:style>
  <w:style w:type="paragraph" w:styleId="1500" w:customStyle="1">
    <w:name w:val="字母编号"/>
    <w:uiPriority w:val="0"/>
    <w:qFormat/>
    <w:pPr>
      <w:numPr>
        <w:ilvl w:val="2"/>
        <w:numId w:val="2"/>
      </w:numPr>
      <w:tabs>
        <w:tab w:val="left" w:pos="360" w:leader="none"/>
      </w:tabs>
    </w:pPr>
    <w:rPr>
      <w:rFonts w:ascii="Times New Roman" w:hAnsi="Times New Roman" w:eastAsia="宋体" w:cs="Times New Roman"/>
      <w:sz w:val="21"/>
      <w:szCs w:val="21"/>
      <w:lang w:val="en-US" w:eastAsia="zh-CN" w:bidi="ar-SA"/>
    </w:rPr>
  </w:style>
  <w:style w:type="paragraph" w:styleId="1501" w:customStyle="1">
    <w:name w:val="注："/>
    <w:next w:val="1135"/>
    <w:uiPriority w:val="0"/>
    <w:qFormat/>
    <w:pPr>
      <w:numPr>
        <w:ilvl w:val="0"/>
        <w:numId w:val="4"/>
      </w:numPr>
      <w:jc w:val="both"/>
      <w:widowControl w:val="off"/>
    </w:pPr>
    <w:rPr>
      <w:rFonts w:ascii="宋体" w:hAnsi="Times New Roman" w:eastAsia="宋体" w:cs="宋体"/>
      <w:sz w:val="18"/>
      <w:szCs w:val="18"/>
      <w:lang w:val="en-US" w:eastAsia="zh-CN" w:bidi="ar-SA"/>
    </w:rPr>
  </w:style>
  <w:style w:type="paragraph" w:styleId="1502" w:customStyle="1">
    <w:name w:val="xl89"/>
    <w:basedOn w:val="113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503" w:customStyle="1">
    <w:name w:val="reader-word-layer"/>
    <w:basedOn w:val="1135"/>
    <w:uiPriority w:val="0"/>
    <w:qFormat/>
    <w:pPr>
      <w:jc w:val="left"/>
      <w:spacing w:before="100" w:beforeAutospacing="1" w:after="100" w:afterAutospacing="1"/>
      <w:widowControl/>
    </w:pPr>
    <w:rPr>
      <w:rFonts w:ascii="宋体" w:hAnsi="宋体" w:cs="宋体"/>
      <w:sz w:val="24"/>
      <w:szCs w:val="24"/>
    </w:rPr>
  </w:style>
  <w:style w:type="paragraph" w:styleId="1504" w:customStyle="1">
    <w:name w:val="Char11"/>
    <w:basedOn w:val="1135"/>
    <w:uiPriority w:val="0"/>
    <w:qFormat/>
    <w:rPr>
      <w:rFonts w:ascii="仿宋_GB2312" w:eastAsia="仿宋_GB2312"/>
      <w:b/>
      <w:sz w:val="32"/>
      <w:szCs w:val="32"/>
    </w:rPr>
  </w:style>
  <w:style w:type="paragraph" w:styleId="1505" w:customStyle="1">
    <w:name w:val="xl83"/>
    <w:basedOn w:val="113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506" w:customStyle="1">
    <w:name w:val="_Style 191"/>
    <w:basedOn w:val="1135"/>
    <w:next w:val="1443"/>
    <w:uiPriority w:val="34"/>
    <w:qFormat/>
    <w:pPr>
      <w:ind w:firstLine="420"/>
      <w:jc w:val="left"/>
      <w:spacing w:after="200"/>
      <w:widowControl/>
    </w:pPr>
    <w:rPr>
      <w:rFonts w:ascii="Tahoma" w:hAnsi="Tahoma"/>
      <w:sz w:val="22"/>
    </w:rPr>
  </w:style>
  <w:style w:type="paragraph" w:styleId="1507" w:customStyle="1">
    <w:name w:val="xl71"/>
    <w:basedOn w:val="11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08" w:customStyle="1">
    <w:name w:val="列出段落1"/>
    <w:basedOn w:val="1135"/>
    <w:uiPriority w:val="34"/>
    <w:qFormat/>
    <w:pPr>
      <w:ind w:firstLine="420"/>
      <w:spacing w:before="156" w:after="156" w:line="360" w:lineRule="auto"/>
    </w:pPr>
    <w:rPr>
      <w:rFonts w:ascii="Calibri" w:hAnsi="Calibri" w:cs="Calibri"/>
      <w:lang w:eastAsia="ar-SA"/>
    </w:rPr>
  </w:style>
  <w:style w:type="paragraph" w:styleId="1509" w:customStyle="1">
    <w:name w:val="章标题"/>
    <w:next w:val="1135"/>
    <w:uiPriority w:val="0"/>
    <w:qFormat/>
    <w:pPr>
      <w:jc w:val="both"/>
      <w:outlineLvl w:val="1"/>
    </w:pPr>
    <w:rPr>
      <w:rFonts w:ascii="黑体" w:hAnsi="Times New Roman" w:eastAsia="黑体" w:cs="黑体"/>
      <w:sz w:val="21"/>
      <w:szCs w:val="21"/>
      <w:lang w:val="en-US" w:eastAsia="zh-CN" w:bidi="ar-SA"/>
    </w:rPr>
  </w:style>
  <w:style w:type="paragraph" w:styleId="1510" w:customStyle="1">
    <w:name w:val="xl82"/>
    <w:basedOn w:val="113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11" w:customStyle="1">
    <w:name w:val="xl72"/>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12" w:customStyle="1">
    <w:name w:val="font12"/>
    <w:basedOn w:val="1135"/>
    <w:uiPriority w:val="0"/>
    <w:qFormat/>
    <w:pPr>
      <w:jc w:val="left"/>
      <w:spacing w:before="100" w:beforeAutospacing="1" w:after="100" w:afterAutospacing="1"/>
      <w:widowControl/>
    </w:pPr>
    <w:rPr>
      <w:rFonts w:ascii="宋体" w:hAnsi="宋体" w:cs="宋体"/>
      <w:color w:val="000000"/>
      <w:sz w:val="20"/>
      <w:szCs w:val="20"/>
    </w:rPr>
  </w:style>
  <w:style w:type="paragraph" w:styleId="1513" w:customStyle="1">
    <w:name w:val="Char"/>
    <w:basedOn w:val="1135"/>
    <w:uiPriority w:val="0"/>
    <w:qFormat/>
    <w:pPr>
      <w:jc w:val="left"/>
      <w:spacing w:after="160" w:line="240" w:lineRule="exact"/>
      <w:widowControl/>
    </w:pPr>
    <w:rPr>
      <w:rFonts w:ascii="Verdana" w:hAnsi="Verdana" w:eastAsia="宋体" w:cs="Verdana"/>
      <w:sz w:val="18"/>
      <w:szCs w:val="18"/>
      <w:lang w:eastAsia="en-US"/>
    </w:rPr>
  </w:style>
  <w:style w:type="paragraph" w:styleId="1514" w:customStyle="1">
    <w:name w:val="font10"/>
    <w:basedOn w:val="1135"/>
    <w:uiPriority w:val="0"/>
    <w:qFormat/>
    <w:pPr>
      <w:jc w:val="left"/>
      <w:spacing w:before="100" w:beforeAutospacing="1" w:after="100" w:afterAutospacing="1"/>
      <w:widowControl/>
    </w:pPr>
    <w:rPr>
      <w:rFonts w:ascii="宋体" w:hAnsi="宋体" w:cs="宋体"/>
      <w:color w:val="000000"/>
      <w:sz w:val="22"/>
    </w:rPr>
  </w:style>
  <w:style w:type="paragraph" w:styleId="1515" w:customStyle="1">
    <w:name w:val="xl109"/>
    <w:basedOn w:val="1135"/>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516" w:customStyle="1">
    <w:name w:val="xl103"/>
    <w:basedOn w:val="11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17" w:customStyle="1">
    <w:name w:val="xl102"/>
    <w:basedOn w:val="113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18" w:customStyle="1">
    <w:name w:val="xl65"/>
    <w:basedOn w:val="11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19" w:customStyle="1">
    <w:name w:val="xl93"/>
    <w:basedOn w:val="11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20" w:customStyle="1">
    <w:name w:val="BodyText1I21"/>
    <w:basedOn w:val="1448"/>
    <w:next w:val="1135"/>
    <w:uiPriority w:val="0"/>
    <w:qFormat/>
    <w:pPr>
      <w:ind w:firstLine="420"/>
    </w:pPr>
    <w:rPr>
      <w:rFonts w:ascii="Calibri" w:hAnsi="Calibri"/>
    </w:rPr>
  </w:style>
  <w:style w:type="paragraph" w:styleId="1521" w:customStyle="1">
    <w:name w:val="修订1"/>
    <w:uiPriority w:val="99"/>
    <w:unhideWhenUsed/>
    <w:qFormat/>
    <w:rPr>
      <w:rFonts w:ascii="Times New Roman" w:hAnsi="Times New Roman" w:eastAsia="微软雅黑" w:cs="Times New Roman"/>
      <w:sz w:val="21"/>
      <w:szCs w:val="22"/>
      <w:lang w:val="en-US" w:eastAsia="zh-CN" w:bidi="ar-SA"/>
    </w:rPr>
  </w:style>
  <w:style w:type="paragraph" w:styleId="1522" w:customStyle="1">
    <w:name w:val="xl107"/>
    <w:basedOn w:val="1135"/>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23" w:customStyle="1">
    <w:name w:val="xl73"/>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24" w:customStyle="1">
    <w:name w:val="无间隔2"/>
    <w:uiPriority w:val="1"/>
    <w:qFormat/>
    <w:pPr>
      <w:jc w:val="both"/>
      <w:widowControl w:val="off"/>
    </w:pPr>
    <w:rPr>
      <w:rFonts w:ascii="Calibri" w:hAnsi="Calibri" w:eastAsia="宋体" w:cs="Times New Roman"/>
      <w:sz w:val="21"/>
      <w:szCs w:val="22"/>
      <w:lang w:val="en-US" w:eastAsia="zh-CN" w:bidi="ar-SA"/>
    </w:rPr>
  </w:style>
  <w:style w:type="paragraph" w:styleId="1525" w:customStyle="1">
    <w:name w:val="xl90"/>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526" w:customStyle="1">
    <w:name w:val="font13"/>
    <w:basedOn w:val="1135"/>
    <w:uiPriority w:val="0"/>
    <w:qFormat/>
    <w:pPr>
      <w:jc w:val="left"/>
      <w:spacing w:before="100" w:beforeAutospacing="1" w:after="100" w:afterAutospacing="1"/>
      <w:widowControl/>
    </w:pPr>
    <w:rPr>
      <w:rFonts w:ascii="宋体" w:hAnsi="宋体" w:cs="宋体"/>
      <w:sz w:val="18"/>
      <w:szCs w:val="18"/>
    </w:rPr>
  </w:style>
  <w:style w:type="paragraph" w:styleId="1527" w:customStyle="1">
    <w:name w:val="xl81"/>
    <w:basedOn w:val="1135"/>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528" w:customStyle="1">
    <w:name w:val="xl69"/>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9" w:customStyle="1">
    <w:name w:val="五级条标题"/>
    <w:basedOn w:val="1433"/>
    <w:next w:val="1135"/>
    <w:uiPriority w:val="0"/>
    <w:qFormat/>
    <w:pPr>
      <w:outlineLvl w:val="6"/>
    </w:pPr>
  </w:style>
  <w:style w:type="paragraph" w:styleId="1530" w:customStyle="1">
    <w:name w:val="xl110"/>
    <w:basedOn w:val="113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531" w:customStyle="1">
    <w:name w:val="xl101"/>
    <w:basedOn w:val="11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table" w:styleId="1532" w:customStyle="1">
    <w:name w:val="Table Normal"/>
    <w:uiPriority w:val="0"/>
    <w:unhideWhenUsed/>
    <w:qFormat/>
    <w:rPr>
      <w:rFonts w:ascii="Arial" w:hAnsi="Arial" w:cs="Arial"/>
    </w:rPr>
    <w:tblPr>
      <w:tblCellMar>
        <w:left w:w="0" w:type="dxa"/>
        <w:top w:w="0" w:type="dxa"/>
        <w:right w:w="0" w:type="dxa"/>
        <w:bottom w:w="0" w:type="dxa"/>
      </w:tblCellMar>
    </w:tblPr>
  </w:style>
  <w:style w:type="character" w:styleId="1533" w:customStyle="1">
    <w:name w:val="未处理的提及1"/>
    <w:uiPriority w:val="99"/>
    <w:unhideWhenUsed/>
    <w:qFormat/>
    <w:rPr>
      <w:color w:val="605e5c"/>
      <w:shd w:val="clear" w:color="auto" w:fill="e1dfdd"/>
    </w:rPr>
  </w:style>
  <w:style w:type="paragraph" w:styleId="1534" w:customStyle="1">
    <w:name w:val="样式5"/>
    <w:basedOn w:val="1365"/>
    <w:uiPriority w:val="1"/>
    <w:qFormat/>
    <w:pPr>
      <w:numPr>
        <w:ilvl w:val="0"/>
        <w:numId w:val="5"/>
      </w:numPr>
      <w:ind w:firstLine="0"/>
      <w:jc w:val="left"/>
      <w:spacing w:line="360" w:lineRule="auto"/>
    </w:pPr>
    <w:rPr>
      <w:rFonts w:ascii="Arial" w:hAnsi="Arial" w:eastAsia="宋体"/>
      <w:szCs w:val="22"/>
    </w:rPr>
  </w:style>
  <w:style w:type="paragraph" w:styleId="1535" w:customStyle="1">
    <w:name w:val="样式2"/>
    <w:basedOn w:val="1135"/>
    <w:uiPriority w:val="0"/>
    <w:qFormat/>
    <w:pPr>
      <w:spacing w:line="410" w:lineRule="atLeast"/>
    </w:pPr>
    <w:rPr>
      <w:szCs w:val="20"/>
    </w:rPr>
  </w:style>
  <w:style w:type="paragraph" w:styleId="1536" w:customStyle="1">
    <w:name w:val="样式3"/>
    <w:basedOn w:val="1373"/>
    <w:uiPriority w:val="0"/>
    <w:qFormat/>
    <w:rPr>
      <w:rFonts w:hAnsi="宋体" w:cs="宋体"/>
      <w:szCs w:val="21"/>
    </w:rPr>
  </w:style>
  <w:style w:type="paragraph" w:styleId="1537" w:customStyle="1">
    <w:name w:val="样式6"/>
    <w:basedOn w:val="1365"/>
    <w:uiPriority w:val="1"/>
    <w:qFormat/>
    <w:pPr>
      <w:ind w:left="500" w:right="100"/>
      <w:jc w:val="left"/>
      <w:spacing w:line="360" w:lineRule="auto"/>
    </w:pPr>
    <w:rPr>
      <w:rFonts w:ascii="Arial" w:hAnsi="Arial" w:eastAsia="宋体"/>
      <w:szCs w:val="22"/>
    </w:rPr>
  </w:style>
  <w:style w:type="character" w:styleId="1538" w:customStyle="1">
    <w:name w:val="样式1 Char"/>
    <w:link w:val="1539"/>
    <w:uiPriority w:val="0"/>
    <w:qFormat/>
    <w:rPr>
      <w:rFonts w:ascii="宋体" w:hAnsi="宋体"/>
      <w:szCs w:val="21"/>
    </w:rPr>
  </w:style>
  <w:style w:type="paragraph" w:styleId="1539" w:customStyle="1">
    <w:name w:val="样式1"/>
    <w:basedOn w:val="1135"/>
    <w:link w:val="1538"/>
    <w:uiPriority w:val="0"/>
    <w:qFormat/>
    <w:pPr>
      <w:numPr>
        <w:ilvl w:val="0"/>
        <w:numId w:val="6"/>
      </w:numPr>
    </w:pPr>
    <w:rPr>
      <w:rFonts w:ascii="宋体" w:hAnsi="宋体"/>
      <w:szCs w:val="21"/>
    </w:rPr>
  </w:style>
  <w:style w:type="paragraph" w:styleId="1540" w:customStyle="1">
    <w:name w:val="List Paragraph2"/>
    <w:basedOn w:val="1135"/>
    <w:uiPriority w:val="0"/>
    <w:qFormat/>
    <w:pPr>
      <w:ind w:firstLine="420"/>
    </w:pPr>
    <w:rPr>
      <w:szCs w:val="20"/>
    </w:rPr>
  </w:style>
  <w:style w:type="paragraph" w:styleId="1541" w:customStyle="1">
    <w:name w:val="一级目录"/>
    <w:next w:val="1135"/>
    <w:uiPriority w:val="99"/>
    <w:qFormat/>
    <w:pPr>
      <w:jc w:val="center"/>
      <w:outlineLvl w:val="0"/>
    </w:pPr>
    <w:rPr>
      <w:rFonts w:ascii="黑体" w:hAnsi="Times New Roman" w:eastAsia="黑体" w:cs="Times New Roman"/>
      <w:b/>
      <w:sz w:val="44"/>
      <w:szCs w:val="22"/>
      <w:lang w:val="en-US" w:eastAsia="zh-CN" w:bidi="ar-SA"/>
    </w:rPr>
  </w:style>
  <w:style w:type="paragraph" w:styleId="1542" w:customStyle="1">
    <w:name w:val="标准文本"/>
    <w:basedOn w:val="1135"/>
    <w:uiPriority w:val="0"/>
    <w:qFormat/>
    <w:pPr>
      <w:ind w:firstLine="480"/>
      <w:spacing w:line="360" w:lineRule="auto"/>
    </w:pPr>
    <w:rPr>
      <w:rFonts w:eastAsia="Calibri" w:cs="宋体"/>
      <w:sz w:val="24"/>
      <w:lang w:val="zh-CN"/>
    </w:rPr>
  </w:style>
  <w:style w:type="paragraph" w:styleId="1543" w:customStyle="1">
    <w:name w:val="msolistparagraph"/>
    <w:basedOn w:val="1135"/>
    <w:uiPriority w:val="0"/>
    <w:qFormat/>
    <w:pPr>
      <w:ind w:firstLine="420"/>
    </w:pPr>
  </w:style>
  <w:style w:type="paragraph" w:styleId="1544" w:customStyle="1">
    <w:name w:val="样式 样式 首行缩进:  2 字符 + 行距: 1.5 倍行距"/>
    <w:basedOn w:val="1135"/>
    <w:uiPriority w:val="0"/>
    <w:qFormat/>
    <w:pPr>
      <w:ind w:firstLine="470"/>
      <w:spacing w:line="360" w:lineRule="auto"/>
    </w:pPr>
    <w:rPr>
      <w:rFonts w:eastAsia="Calibri" w:cs="宋体"/>
      <w:sz w:val="24"/>
      <w:szCs w:val="20"/>
      <w:lang w:val="zh-CN"/>
    </w:rPr>
  </w:style>
  <w:style w:type="paragraph" w:styleId="1545" w:customStyle="1">
    <w:name w:val="招标"/>
    <w:basedOn w:val="1135"/>
    <w:uiPriority w:val="0"/>
    <w:qFormat/>
    <w:pPr>
      <w:ind w:firstLine="420"/>
      <w:jc w:val="left"/>
      <w:spacing w:line="400" w:lineRule="exact"/>
    </w:pPr>
    <w:rPr>
      <w:rFonts w:ascii="宋体" w:hAnsi="宋体"/>
    </w:rPr>
  </w:style>
  <w:style w:type="character" w:styleId="1546" w:customStyle="1">
    <w:name w:val="16"/>
    <w:uiPriority w:val="0"/>
    <w:qFormat/>
    <w:rPr>
      <w:rFonts w:ascii="Calibri" w:hAnsi="Calibri" w:cs="Calibri"/>
    </w:rPr>
  </w:style>
  <w:style w:type="character" w:styleId="1547" w:customStyle="1">
    <w:name w:val="批注文字 字符1"/>
    <w:basedOn w:val="1145"/>
    <w:link w:val="1150"/>
    <w:uiPriority w:val="99"/>
    <w:qFormat/>
    <w:rPr>
      <w:rFonts w:eastAsia="微软雅黑"/>
      <w:sz w:val="21"/>
      <w:szCs w:val="22"/>
    </w:rPr>
  </w:style>
  <w:style w:type="character" w:styleId="1548" w:customStyle="1">
    <w:name w:val="批注主题 字符1"/>
    <w:basedOn w:val="1547"/>
    <w:link w:val="1172"/>
    <w:uiPriority w:val="99"/>
    <w:semiHidden/>
    <w:qFormat/>
    <w:rPr>
      <w:rFonts w:eastAsia="微软雅黑"/>
      <w:b/>
      <w:bCs/>
      <w:sz w:val="21"/>
      <w:szCs w:val="22"/>
    </w:rPr>
  </w:style>
  <w:style w:type="paragraph" w:styleId="1549" w:customStyle="1">
    <w:name w:val="修订2"/>
    <w:hidden/>
    <w:uiPriority w:val="99"/>
    <w:unhideWhenUsed/>
    <w:qFormat/>
    <w:rPr>
      <w:rFonts w:ascii="Times New Roman" w:hAnsi="Times New Roman" w:eastAsia="微软雅黑" w:cs="Times New Roman"/>
      <w:sz w:val="21"/>
      <w:szCs w:val="22"/>
      <w:lang w:val="en-US" w:eastAsia="zh-CN" w:bidi="ar-SA"/>
    </w:rPr>
  </w:style>
  <w:style w:type="paragraph" w:styleId="1550" w:customStyle="1">
    <w:name w:val="修订3"/>
    <w:hidden/>
    <w:uiPriority w:val="99"/>
    <w:unhideWhenUsed/>
    <w:qFormat/>
    <w:rPr>
      <w:rFonts w:ascii="Times New Roman" w:hAnsi="Times New Roman" w:eastAsia="微软雅黑" w:cs="Times New Roman"/>
      <w:sz w:val="21"/>
      <w:szCs w:val="22"/>
      <w:lang w:val="en-US" w:eastAsia="zh-CN" w:bidi="ar-SA"/>
    </w:rPr>
  </w:style>
  <w:style w:type="paragraph" w:styleId="1551" w:customStyle="1">
    <w:name w:val="修订4"/>
    <w:hidden/>
    <w:uiPriority w:val="99"/>
    <w:unhideWhenUsed/>
    <w:qFormat/>
    <w:rPr>
      <w:rFonts w:ascii="Times New Roman" w:hAnsi="Times New Roman" w:eastAsia="微软雅黑" w:cs="Times New Roman"/>
      <w:sz w:val="21"/>
      <w:szCs w:val="22"/>
      <w:lang w:val="en-US" w:eastAsia="zh-CN" w:bidi="ar-SA"/>
    </w:rPr>
  </w:style>
  <w:style w:type="paragraph" w:styleId="1552" w:customStyle="1">
    <w:name w:val="修订5"/>
    <w:hidden/>
    <w:uiPriority w:val="99"/>
    <w:unhideWhenUsed/>
    <w:qFormat/>
    <w:rPr>
      <w:rFonts w:ascii="Times New Roman" w:hAnsi="Times New Roman" w:eastAsia="微软雅黑" w:cs="Times New Roman"/>
      <w:sz w:val="21"/>
      <w:szCs w:val="22"/>
      <w:lang w:val="en-US" w:eastAsia="zh-CN" w:bidi="ar-SA"/>
    </w:rPr>
  </w:style>
  <w:style w:type="numbering" w:styleId="15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Carl Zeiss AG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江苏省华采招</dc:creator>
  <cp:lastModifiedBy>刘洁</cp:lastModifiedBy>
  <cp:revision>29</cp:revision>
  <dcterms:created xsi:type="dcterms:W3CDTF">2026-04-23T09:00:00Z</dcterms:created>
  <dcterms:modified xsi:type="dcterms:W3CDTF">2026-09-22T08:47:36Z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50C5F8F5BDCA4FE08295818258D0A118_13</vt:lpwstr>
  </property>
  <property fmtid="{D5CDD505-2E9C-101B-9397-08002B2CF9AE}" pid="4" name="KSOTemplateDocerSaveRecord">
    <vt:lpwstr>eyJoZGlkIjoiODg3OGFhMDU1ZmI1OWU0YWEwNDY0YWZlNDM4YzIwY2YiLCJ1c2VySWQiOiI0NTI1MjQ5MTEifQ==</vt:lpwstr>
  </property>
</Properties>
</file>