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cs="宋体"/>
          <w:bCs/>
          <w:color w:val="auto"/>
          <w:sz w:val="30"/>
          <w:highlight w:val="none"/>
        </w:rPr>
      </w:pPr>
      <w:r>
        <w:rPr>
          <w:rFonts w:ascii="宋体" w:hAnsi="宋体" w:cs="宋体"/>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3"/>
        <w:rPr>
          <w:rFonts w:ascii="黑体" w:hAnsi="华文中宋" w:eastAsia="黑体"/>
          <w:color w:val="auto"/>
          <w:sz w:val="30"/>
          <w:szCs w:val="30"/>
          <w:highlight w:val="none"/>
        </w:rPr>
      </w:pPr>
      <w:r>
        <w:rPr>
          <w:rFonts w:ascii="黑体" w:hAnsi="华文中宋" w:eastAsia="黑体"/>
          <w:color w:val="auto"/>
          <w:sz w:val="30"/>
          <w:szCs w:val="30"/>
          <w:highlight w:val="none"/>
        </w:rPr>
      </w:r>
      <w:r/>
    </w:p>
    <w:p>
      <w:pPr>
        <w:pStyle w:val="763"/>
        <w:rPr>
          <w:rFonts w:ascii="黑体" w:hAnsi="华文中宋" w:eastAsia="黑体"/>
          <w:color w:val="auto"/>
          <w:sz w:val="30"/>
          <w:szCs w:val="30"/>
          <w:highlight w:val="none"/>
        </w:rPr>
      </w:pPr>
      <w:r>
        <w:rPr>
          <w:rFonts w:ascii="黑体" w:hAnsi="华文中宋" w:eastAsia="黑体"/>
          <w:color w:val="auto"/>
          <w:sz w:val="30"/>
          <w:szCs w:val="30"/>
          <w:highlight w:val="none"/>
        </w:rPr>
      </w:r>
      <w:r/>
    </w:p>
    <w:p>
      <w:pPr>
        <w:pStyle w:val="763"/>
        <w:rPr>
          <w:rFonts w:ascii="黑体" w:hAnsi="华文中宋" w:eastAsia="黑体"/>
          <w:color w:val="auto"/>
          <w:sz w:val="30"/>
          <w:szCs w:val="30"/>
          <w:highlight w:val="none"/>
        </w:rPr>
      </w:pPr>
      <w:r>
        <w:rPr>
          <w:rFonts w:ascii="黑体" w:hAnsi="华文中宋" w:eastAsia="黑体"/>
          <w:color w:val="auto"/>
          <w:sz w:val="30"/>
          <w:szCs w:val="30"/>
          <w:highlight w:val="none"/>
        </w:rPr>
      </w:r>
      <w:r/>
    </w:p>
    <w:p>
      <w:pPr>
        <w:pStyle w:val="763"/>
        <w:rPr>
          <w:rFonts w:ascii="黑体" w:hAnsi="华文中宋" w:eastAsia="黑体"/>
          <w:color w:val="auto"/>
          <w:sz w:val="30"/>
          <w:szCs w:val="30"/>
          <w:highlight w:val="none"/>
        </w:rPr>
      </w:pPr>
      <w:r>
        <w:rPr>
          <w:rFonts w:ascii="黑体" w:hAnsi="华文中宋" w:eastAsia="黑体"/>
          <w:color w:val="auto"/>
          <w:sz w:val="30"/>
          <w:szCs w:val="30"/>
          <w:highlight w:val="none"/>
        </w:rPr>
      </w:r>
      <w:r/>
    </w:p>
    <w:p>
      <w:pPr>
        <w:pStyle w:val="734"/>
        <w:rPr>
          <w:rFonts w:ascii="黑体" w:hAnsi="华文中宋" w:eastAsia="黑体"/>
          <w:color w:val="auto"/>
          <w:sz w:val="30"/>
          <w:szCs w:val="30"/>
          <w:highlight w:val="none"/>
        </w:rPr>
      </w:pPr>
      <w:r>
        <w:rPr>
          <w:rFonts w:ascii="黑体" w:hAnsi="华文中宋" w:eastAsia="黑体"/>
          <w:color w:val="auto"/>
          <w:sz w:val="30"/>
          <w:szCs w:val="30"/>
          <w:highlight w:val="none"/>
        </w:rPr>
      </w:r>
      <w:r/>
    </w:p>
    <w:p>
      <w:pPr>
        <w:ind w:firstLine="6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6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JSZC-320200-JSZH-G2026-0072</w:t>
      </w:r>
      <w:r/>
    </w:p>
    <w:p>
      <w:pPr>
        <w:ind w:firstLine="6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6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太湖水生态无人机巢智能巡查项目</w:t>
      </w:r>
      <w:r/>
    </w:p>
    <w:p>
      <w:pPr>
        <w:ind w:firstLine="6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600"/>
        <w:jc w:val="left"/>
        <w:rPr>
          <w:rFonts w:ascii="华文中宋" w:hAnsi="华文中宋" w:eastAsia="华文中宋"/>
          <w:bCs/>
          <w:color w:val="auto"/>
          <w:sz w:val="32"/>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w:t>
      </w:r>
      <w:r>
        <w:rPr>
          <w:rFonts w:hint="eastAsia" w:ascii="黑体" w:hAnsi="华文中宋" w:eastAsia="黑体"/>
          <w:bCs/>
          <w:color w:val="auto"/>
          <w:sz w:val="30"/>
          <w:szCs w:val="30"/>
          <w:highlight w:val="none"/>
          <w:lang w:val="en-US" w:eastAsia="zh-CN"/>
        </w:rPr>
        <w:t xml:space="preserve">九</w:t>
      </w:r>
      <w:r>
        <w:rPr>
          <w:rFonts w:hint="eastAsia" w:ascii="黑体" w:hAnsi="华文中宋" w:eastAsia="黑体"/>
          <w:bCs/>
          <w:color w:val="auto"/>
          <w:sz w:val="30"/>
          <w:szCs w:val="30"/>
          <w:highlight w:val="none"/>
        </w:rPr>
        <w:t xml:space="preserve">月</w:t>
      </w:r>
      <w:r/>
    </w:p>
    <w:p>
      <w:pPr>
        <w:jc w:val="center"/>
        <w:rPr>
          <w:rStyle w:val="768"/>
          <w:rFonts w:eastAsia="黑体"/>
          <w:bCs/>
          <w:color w:val="auto"/>
          <w:sz w:val="48"/>
          <w:highlight w:val="none"/>
        </w:rPr>
      </w:pPr>
      <w:r>
        <w:rPr>
          <w:rStyle w:val="768"/>
          <w:rFonts w:eastAsia="黑体"/>
          <w:bCs/>
          <w:color w:val="auto"/>
          <w:sz w:val="48"/>
          <w:highlight w:val="none"/>
        </w:rPr>
        <w:br w:type="page" w:clear="all"/>
      </w:r>
      <w:r>
        <w:rPr>
          <w:rStyle w:val="768"/>
          <w:rFonts w:hint="eastAsia" w:eastAsia="黑体"/>
          <w:bCs/>
          <w:color w:val="auto"/>
          <w:sz w:val="48"/>
          <w:highlight w:val="none"/>
        </w:rPr>
        <w:t xml:space="preserve">目录</w:t>
      </w:r>
      <w:r/>
    </w:p>
    <w:p>
      <w:pPr>
        <w:jc w:val="center"/>
        <w:rPr>
          <w:rFonts w:ascii="宋体" w:hAnsi="宋体" w:cs="宋体"/>
          <w:bCs/>
          <w:color w:val="auto"/>
          <w:sz w:val="30"/>
          <w:highlight w:val="none"/>
        </w:rPr>
      </w:pPr>
      <w:r>
        <w:rPr>
          <w:rFonts w:ascii="宋体" w:hAnsi="宋体" w:cs="宋体"/>
          <w:bCs/>
          <w:color w:val="auto"/>
          <w:sz w:val="30"/>
          <w:highlight w:val="none"/>
        </w:rPr>
      </w:r>
      <w:r/>
    </w:p>
    <w:p>
      <w:pPr>
        <w:pStyle w:val="748"/>
        <w:spacing w:line="360" w:lineRule="auto"/>
        <w:tabs>
          <w:tab w:val="right" w:pos="9746" w:leader="dot"/>
        </w:tabs>
        <w:rPr>
          <w:rFonts w:hint="eastAsia" w:asciiTheme="minorEastAsia" w:hAnsiTheme="minorEastAsia" w:eastAsiaTheme="minorEastAsia" w:cstheme="minorEastAsia"/>
          <w:b/>
          <w:bCs w:val="0"/>
          <w:sz w:val="32"/>
          <w:szCs w:val="32"/>
        </w:rPr>
      </w:pPr>
      <w:r>
        <w:rPr>
          <w:rFonts w:hint="eastAsia" w:asciiTheme="minorEastAsia" w:hAnsiTheme="minorEastAsia" w:eastAsiaTheme="minorEastAsia" w:cstheme="minorEastAsia"/>
          <w:b/>
          <w:bCs w:val="0"/>
          <w:color w:val="auto"/>
          <w:sz w:val="32"/>
          <w:szCs w:val="32"/>
          <w:highlight w:val="none"/>
        </w:rPr>
        <w:fldChar w:fldCharType="begin"/>
      </w:r>
      <w:r>
        <w:rPr>
          <w:rFonts w:hint="eastAsia" w:asciiTheme="minorEastAsia" w:hAnsiTheme="minorEastAsia" w:eastAsiaTheme="minorEastAsia" w:cstheme="minorEastAsia"/>
          <w:b/>
          <w:bCs w:val="0"/>
          <w:color w:val="auto"/>
          <w:sz w:val="32"/>
          <w:szCs w:val="32"/>
          <w:highlight w:val="none"/>
        </w:rPr>
        <w:instrText xml:space="preserve">TOC \o "1-1" \h \u </w:instrText>
      </w:r>
      <w:r>
        <w:rPr>
          <w:rFonts w:hint="eastAsia" w:asciiTheme="minorEastAsia" w:hAnsiTheme="minorEastAsia" w:eastAsiaTheme="minorEastAsia" w:cstheme="minorEastAsia"/>
          <w:b/>
          <w:bCs w:val="0"/>
          <w:color w:val="auto"/>
          <w:sz w:val="32"/>
          <w:szCs w:val="32"/>
          <w:highlight w:val="none"/>
        </w:rPr>
        <w:fldChar w:fldCharType="separate"/>
      </w:r>
      <w:r>
        <w:rPr>
          <w:rFonts w:hint="eastAsia" w:asciiTheme="minorEastAsia" w:hAnsiTheme="minorEastAsia" w:eastAsiaTheme="minorEastAsia" w:cstheme="minorEastAsia"/>
          <w:b/>
          <w:bCs w:val="0"/>
          <w:color w:val="auto"/>
          <w:sz w:val="32"/>
          <w:szCs w:val="32"/>
          <w:highlight w:val="none"/>
        </w:rPr>
        <w:fldChar w:fldCharType="begin"/>
      </w:r>
      <w:r>
        <w:rPr>
          <w:rFonts w:hint="eastAsia" w:asciiTheme="minorEastAsia" w:hAnsiTheme="minorEastAsia" w:eastAsiaTheme="minorEastAsia" w:cstheme="minorEastAsia"/>
          <w:b/>
          <w:bCs w:val="0"/>
          <w:sz w:val="32"/>
          <w:szCs w:val="32"/>
          <w:highlight w:val="none"/>
        </w:rPr>
        <w:instrText xml:space="preserve"> HYPERLINK \l _Toc24111 </w:instrText>
      </w:r>
      <w:r>
        <w:rPr>
          <w:rFonts w:hint="eastAsia" w:asciiTheme="minorEastAsia" w:hAnsiTheme="minorEastAsia" w:eastAsiaTheme="minorEastAsia" w:cstheme="minorEastAsia"/>
          <w:b/>
          <w:bCs w:val="0"/>
          <w:sz w:val="32"/>
          <w:szCs w:val="32"/>
          <w:highlight w:val="none"/>
        </w:rPr>
        <w:fldChar w:fldCharType="separate"/>
      </w:r>
      <w:r>
        <w:rPr>
          <w:rFonts w:hint="eastAsia" w:asciiTheme="minorEastAsia" w:hAnsiTheme="minorEastAsia" w:eastAsiaTheme="minorEastAsia" w:cstheme="minorEastAsia"/>
          <w:b/>
          <w:bCs w:val="0"/>
          <w:sz w:val="32"/>
          <w:szCs w:val="32"/>
          <w:highlight w:val="none"/>
        </w:rPr>
        <w:t xml:space="preserve">一、投标邀请函</w:t>
      </w:r>
      <w:r>
        <w:rPr>
          <w:rFonts w:hint="eastAsia" w:asciiTheme="minorEastAsia" w:hAnsiTheme="minorEastAsia" w:eastAsiaTheme="minorEastAsia" w:cstheme="minorEastAsia"/>
          <w:b/>
          <w:bCs w:val="0"/>
          <w:sz w:val="32"/>
          <w:szCs w:val="32"/>
        </w:rPr>
        <w:tab/>
      </w:r>
      <w:r>
        <w:rPr>
          <w:rFonts w:hint="eastAsia" w:asciiTheme="minorEastAsia" w:hAnsiTheme="minorEastAsia" w:eastAsiaTheme="minorEastAsia" w:cstheme="minorEastAsia"/>
          <w:b/>
          <w:bCs w:val="0"/>
          <w:sz w:val="32"/>
          <w:szCs w:val="32"/>
        </w:rPr>
        <w:fldChar w:fldCharType="begin"/>
      </w:r>
      <w:r>
        <w:rPr>
          <w:rFonts w:hint="eastAsia" w:asciiTheme="minorEastAsia" w:hAnsiTheme="minorEastAsia" w:eastAsiaTheme="minorEastAsia" w:cstheme="minorEastAsia"/>
          <w:b/>
          <w:bCs w:val="0"/>
          <w:sz w:val="32"/>
          <w:szCs w:val="32"/>
        </w:rPr>
        <w:instrText xml:space="preserve"> PAGEREF _Toc24111 \h </w:instrText>
      </w:r>
      <w:r>
        <w:rPr>
          <w:rFonts w:hint="eastAsia" w:asciiTheme="minorEastAsia" w:hAnsiTheme="minorEastAsia" w:eastAsiaTheme="minorEastAsia" w:cstheme="minorEastAsia"/>
          <w:b/>
          <w:bCs w:val="0"/>
          <w:sz w:val="32"/>
          <w:szCs w:val="32"/>
        </w:rPr>
        <w:fldChar w:fldCharType="separate"/>
      </w:r>
      <w:r>
        <w:rPr>
          <w:rFonts w:hint="eastAsia" w:asciiTheme="minorEastAsia" w:hAnsiTheme="minorEastAsia" w:eastAsiaTheme="minorEastAsia" w:cstheme="minorEastAsia"/>
          <w:b/>
          <w:bCs w:val="0"/>
          <w:sz w:val="32"/>
          <w:szCs w:val="32"/>
        </w:rPr>
        <w:t xml:space="preserve">3</w:t>
      </w:r>
      <w:r>
        <w:rPr>
          <w:rFonts w:hint="eastAsia" w:asciiTheme="minorEastAsia" w:hAnsiTheme="minorEastAsia" w:eastAsiaTheme="minorEastAsia" w:cstheme="minorEastAsia"/>
          <w:b/>
          <w:bCs w:val="0"/>
          <w:sz w:val="32"/>
          <w:szCs w:val="32"/>
        </w:rPr>
        <w:fldChar w:fldCharType="end"/>
      </w:r>
      <w:r>
        <w:rPr>
          <w:rFonts w:hint="eastAsia" w:asciiTheme="minorEastAsia" w:hAnsiTheme="minorEastAsia" w:eastAsiaTheme="minorEastAsia" w:cstheme="minorEastAsia"/>
          <w:b/>
          <w:bCs w:val="0"/>
          <w:color w:val="auto"/>
          <w:sz w:val="32"/>
          <w:szCs w:val="32"/>
          <w:highlight w:val="none"/>
        </w:rPr>
        <w:fldChar w:fldCharType="end"/>
      </w:r>
      <w:r/>
    </w:p>
    <w:p>
      <w:pPr>
        <w:pStyle w:val="748"/>
        <w:spacing w:line="360" w:lineRule="auto"/>
        <w:tabs>
          <w:tab w:val="right" w:pos="9746" w:leader="dot"/>
        </w:tabs>
        <w:rPr>
          <w:rFonts w:hint="eastAsia" w:asciiTheme="minorEastAsia" w:hAnsiTheme="minorEastAsia" w:eastAsiaTheme="minorEastAsia" w:cstheme="minorEastAsia"/>
          <w:b/>
          <w:bCs w:val="0"/>
          <w:sz w:val="32"/>
          <w:szCs w:val="32"/>
        </w:rPr>
      </w:pPr>
      <w:r>
        <w:rPr>
          <w:rFonts w:hint="eastAsia" w:asciiTheme="minorEastAsia" w:hAnsiTheme="minorEastAsia" w:eastAsiaTheme="minorEastAsia" w:cstheme="minorEastAsia"/>
          <w:b/>
          <w:bCs w:val="0"/>
          <w:color w:val="auto"/>
          <w:sz w:val="32"/>
          <w:szCs w:val="32"/>
          <w:highlight w:val="none"/>
        </w:rPr>
        <w:fldChar w:fldCharType="begin"/>
      </w:r>
      <w:r>
        <w:rPr>
          <w:rFonts w:hint="eastAsia" w:asciiTheme="minorEastAsia" w:hAnsiTheme="minorEastAsia" w:eastAsiaTheme="minorEastAsia" w:cstheme="minorEastAsia"/>
          <w:b/>
          <w:bCs w:val="0"/>
          <w:sz w:val="32"/>
          <w:szCs w:val="32"/>
          <w:highlight w:val="none"/>
        </w:rPr>
        <w:instrText xml:space="preserve"> HYPERLINK \l _Toc8042 </w:instrText>
      </w:r>
      <w:r>
        <w:rPr>
          <w:rFonts w:hint="eastAsia" w:asciiTheme="minorEastAsia" w:hAnsiTheme="minorEastAsia" w:eastAsiaTheme="minorEastAsia" w:cstheme="minorEastAsia"/>
          <w:b/>
          <w:bCs w:val="0"/>
          <w:sz w:val="32"/>
          <w:szCs w:val="32"/>
          <w:highlight w:val="none"/>
        </w:rPr>
        <w:fldChar w:fldCharType="separate"/>
      </w:r>
      <w:r>
        <w:rPr>
          <w:rFonts w:hint="eastAsia" w:asciiTheme="minorEastAsia" w:hAnsiTheme="minorEastAsia" w:eastAsiaTheme="minorEastAsia" w:cstheme="minorEastAsia"/>
          <w:b/>
          <w:bCs w:val="0"/>
          <w:sz w:val="32"/>
          <w:szCs w:val="32"/>
          <w:highlight w:val="none"/>
        </w:rPr>
        <w:t xml:space="preserve">二、投标人须知</w:t>
      </w:r>
      <w:r>
        <w:rPr>
          <w:rFonts w:hint="eastAsia" w:asciiTheme="minorEastAsia" w:hAnsiTheme="minorEastAsia" w:eastAsiaTheme="minorEastAsia" w:cstheme="minorEastAsia"/>
          <w:b/>
          <w:bCs w:val="0"/>
          <w:sz w:val="32"/>
          <w:szCs w:val="32"/>
        </w:rPr>
        <w:tab/>
      </w:r>
      <w:r>
        <w:rPr>
          <w:rFonts w:hint="eastAsia" w:asciiTheme="minorEastAsia" w:hAnsiTheme="minorEastAsia" w:eastAsiaTheme="minorEastAsia" w:cstheme="minorEastAsia"/>
          <w:b/>
          <w:bCs w:val="0"/>
          <w:sz w:val="32"/>
          <w:szCs w:val="32"/>
        </w:rPr>
        <w:fldChar w:fldCharType="begin"/>
      </w:r>
      <w:r>
        <w:rPr>
          <w:rFonts w:hint="eastAsia" w:asciiTheme="minorEastAsia" w:hAnsiTheme="minorEastAsia" w:eastAsiaTheme="minorEastAsia" w:cstheme="minorEastAsia"/>
          <w:b/>
          <w:bCs w:val="0"/>
          <w:sz w:val="32"/>
          <w:szCs w:val="32"/>
        </w:rPr>
        <w:instrText xml:space="preserve"> PAGEREF _Toc8042 \h </w:instrText>
      </w:r>
      <w:r>
        <w:rPr>
          <w:rFonts w:hint="eastAsia" w:asciiTheme="minorEastAsia" w:hAnsiTheme="minorEastAsia" w:eastAsiaTheme="minorEastAsia" w:cstheme="minorEastAsia"/>
          <w:b/>
          <w:bCs w:val="0"/>
          <w:sz w:val="32"/>
          <w:szCs w:val="32"/>
        </w:rPr>
        <w:fldChar w:fldCharType="separate"/>
      </w:r>
      <w:r>
        <w:rPr>
          <w:rFonts w:hint="eastAsia" w:asciiTheme="minorEastAsia" w:hAnsiTheme="minorEastAsia" w:eastAsiaTheme="minorEastAsia" w:cstheme="minorEastAsia"/>
          <w:b/>
          <w:bCs w:val="0"/>
          <w:sz w:val="32"/>
          <w:szCs w:val="32"/>
        </w:rPr>
        <w:t xml:space="preserve">7</w:t>
      </w:r>
      <w:r>
        <w:rPr>
          <w:rFonts w:hint="eastAsia" w:asciiTheme="minorEastAsia" w:hAnsiTheme="minorEastAsia" w:eastAsiaTheme="minorEastAsia" w:cstheme="minorEastAsia"/>
          <w:b/>
          <w:bCs w:val="0"/>
          <w:sz w:val="32"/>
          <w:szCs w:val="32"/>
        </w:rPr>
        <w:fldChar w:fldCharType="end"/>
      </w:r>
      <w:r>
        <w:rPr>
          <w:rFonts w:hint="eastAsia" w:asciiTheme="minorEastAsia" w:hAnsiTheme="minorEastAsia" w:eastAsiaTheme="minorEastAsia" w:cstheme="minorEastAsia"/>
          <w:b/>
          <w:bCs w:val="0"/>
          <w:color w:val="auto"/>
          <w:sz w:val="32"/>
          <w:szCs w:val="32"/>
          <w:highlight w:val="none"/>
        </w:rPr>
        <w:fldChar w:fldCharType="end"/>
      </w:r>
      <w:r/>
    </w:p>
    <w:p>
      <w:pPr>
        <w:pStyle w:val="748"/>
        <w:spacing w:line="360" w:lineRule="auto"/>
        <w:tabs>
          <w:tab w:val="right" w:pos="9746" w:leader="dot"/>
        </w:tabs>
        <w:rPr>
          <w:rFonts w:hint="eastAsia" w:asciiTheme="minorEastAsia" w:hAnsiTheme="minorEastAsia" w:eastAsiaTheme="minorEastAsia" w:cstheme="minorEastAsia"/>
          <w:b/>
          <w:bCs w:val="0"/>
          <w:sz w:val="32"/>
          <w:szCs w:val="32"/>
        </w:rPr>
      </w:pPr>
      <w:r>
        <w:rPr>
          <w:rFonts w:hint="eastAsia" w:asciiTheme="minorEastAsia" w:hAnsiTheme="minorEastAsia" w:eastAsiaTheme="minorEastAsia" w:cstheme="minorEastAsia"/>
          <w:b/>
          <w:bCs w:val="0"/>
          <w:color w:val="auto"/>
          <w:sz w:val="32"/>
          <w:szCs w:val="32"/>
          <w:highlight w:val="none"/>
        </w:rPr>
        <w:fldChar w:fldCharType="begin"/>
      </w:r>
      <w:r>
        <w:rPr>
          <w:rFonts w:hint="eastAsia" w:asciiTheme="minorEastAsia" w:hAnsiTheme="minorEastAsia" w:eastAsiaTheme="minorEastAsia" w:cstheme="minorEastAsia"/>
          <w:b/>
          <w:bCs w:val="0"/>
          <w:sz w:val="32"/>
          <w:szCs w:val="32"/>
          <w:highlight w:val="none"/>
        </w:rPr>
        <w:instrText xml:space="preserve"> HYPERLINK \l _Toc19911 </w:instrText>
      </w:r>
      <w:r>
        <w:rPr>
          <w:rFonts w:hint="eastAsia" w:asciiTheme="minorEastAsia" w:hAnsiTheme="minorEastAsia" w:eastAsiaTheme="minorEastAsia" w:cstheme="minorEastAsia"/>
          <w:b/>
          <w:bCs w:val="0"/>
          <w:sz w:val="32"/>
          <w:szCs w:val="32"/>
          <w:highlight w:val="none"/>
        </w:rPr>
        <w:fldChar w:fldCharType="separate"/>
      </w:r>
      <w:r>
        <w:rPr>
          <w:rFonts w:hint="eastAsia" w:asciiTheme="minorEastAsia" w:hAnsiTheme="minorEastAsia" w:eastAsiaTheme="minorEastAsia" w:cstheme="minorEastAsia"/>
          <w:b/>
          <w:bCs w:val="0"/>
          <w:sz w:val="32"/>
          <w:szCs w:val="32"/>
          <w:highlight w:val="none"/>
        </w:rPr>
        <w:t xml:space="preserve">三、项目技术要求和有关说明</w:t>
      </w:r>
      <w:r>
        <w:rPr>
          <w:rFonts w:hint="eastAsia" w:asciiTheme="minorEastAsia" w:hAnsiTheme="minorEastAsia" w:eastAsiaTheme="minorEastAsia" w:cstheme="minorEastAsia"/>
          <w:b/>
          <w:bCs w:val="0"/>
          <w:sz w:val="32"/>
          <w:szCs w:val="32"/>
        </w:rPr>
        <w:tab/>
      </w:r>
      <w:r>
        <w:rPr>
          <w:rFonts w:hint="eastAsia" w:asciiTheme="minorEastAsia" w:hAnsiTheme="minorEastAsia" w:eastAsiaTheme="minorEastAsia" w:cstheme="minorEastAsia"/>
          <w:b/>
          <w:bCs w:val="0"/>
          <w:sz w:val="32"/>
          <w:szCs w:val="32"/>
        </w:rPr>
        <w:fldChar w:fldCharType="begin"/>
      </w:r>
      <w:r>
        <w:rPr>
          <w:rFonts w:hint="eastAsia" w:asciiTheme="minorEastAsia" w:hAnsiTheme="minorEastAsia" w:eastAsiaTheme="minorEastAsia" w:cstheme="minorEastAsia"/>
          <w:b/>
          <w:bCs w:val="0"/>
          <w:sz w:val="32"/>
          <w:szCs w:val="32"/>
        </w:rPr>
        <w:instrText xml:space="preserve"> PAGEREF _Toc19911 \h </w:instrText>
      </w:r>
      <w:r>
        <w:rPr>
          <w:rFonts w:hint="eastAsia" w:asciiTheme="minorEastAsia" w:hAnsiTheme="minorEastAsia" w:eastAsiaTheme="minorEastAsia" w:cstheme="minorEastAsia"/>
          <w:b/>
          <w:bCs w:val="0"/>
          <w:sz w:val="32"/>
          <w:szCs w:val="32"/>
        </w:rPr>
        <w:fldChar w:fldCharType="separate"/>
      </w:r>
      <w:r>
        <w:rPr>
          <w:rFonts w:hint="eastAsia" w:asciiTheme="minorEastAsia" w:hAnsiTheme="minorEastAsia" w:eastAsiaTheme="minorEastAsia" w:cstheme="minorEastAsia"/>
          <w:b/>
          <w:bCs w:val="0"/>
          <w:sz w:val="32"/>
          <w:szCs w:val="32"/>
        </w:rPr>
        <w:t xml:space="preserve">18</w:t>
      </w:r>
      <w:r>
        <w:rPr>
          <w:rFonts w:hint="eastAsia" w:asciiTheme="minorEastAsia" w:hAnsiTheme="minorEastAsia" w:eastAsiaTheme="minorEastAsia" w:cstheme="minorEastAsia"/>
          <w:b/>
          <w:bCs w:val="0"/>
          <w:sz w:val="32"/>
          <w:szCs w:val="32"/>
        </w:rPr>
        <w:fldChar w:fldCharType="end"/>
      </w:r>
      <w:r>
        <w:rPr>
          <w:rFonts w:hint="eastAsia" w:asciiTheme="minorEastAsia" w:hAnsiTheme="minorEastAsia" w:eastAsiaTheme="minorEastAsia" w:cstheme="minorEastAsia"/>
          <w:b/>
          <w:bCs w:val="0"/>
          <w:color w:val="auto"/>
          <w:sz w:val="32"/>
          <w:szCs w:val="32"/>
          <w:highlight w:val="none"/>
        </w:rPr>
        <w:fldChar w:fldCharType="end"/>
      </w:r>
      <w:r/>
    </w:p>
    <w:p>
      <w:pPr>
        <w:pStyle w:val="748"/>
        <w:spacing w:line="360" w:lineRule="auto"/>
        <w:tabs>
          <w:tab w:val="right" w:pos="9746" w:leader="dot"/>
        </w:tabs>
        <w:rPr>
          <w:rFonts w:hint="eastAsia" w:asciiTheme="minorEastAsia" w:hAnsiTheme="minorEastAsia" w:eastAsiaTheme="minorEastAsia" w:cstheme="minorEastAsia"/>
          <w:b/>
          <w:bCs w:val="0"/>
          <w:sz w:val="32"/>
          <w:szCs w:val="32"/>
        </w:rPr>
      </w:pPr>
      <w:r>
        <w:rPr>
          <w:rFonts w:hint="eastAsia" w:asciiTheme="minorEastAsia" w:hAnsiTheme="minorEastAsia" w:eastAsiaTheme="minorEastAsia" w:cstheme="minorEastAsia"/>
          <w:b/>
          <w:bCs w:val="0"/>
          <w:color w:val="auto"/>
          <w:sz w:val="32"/>
          <w:szCs w:val="32"/>
          <w:highlight w:val="none"/>
        </w:rPr>
        <w:fldChar w:fldCharType="begin"/>
      </w:r>
      <w:r>
        <w:rPr>
          <w:rFonts w:hint="eastAsia" w:asciiTheme="minorEastAsia" w:hAnsiTheme="minorEastAsia" w:eastAsiaTheme="minorEastAsia" w:cstheme="minorEastAsia"/>
          <w:b/>
          <w:bCs w:val="0"/>
          <w:sz w:val="32"/>
          <w:szCs w:val="32"/>
          <w:highlight w:val="none"/>
        </w:rPr>
        <w:instrText xml:space="preserve"> HYPERLINK \l _Toc27440 </w:instrText>
      </w:r>
      <w:r>
        <w:rPr>
          <w:rFonts w:hint="eastAsia" w:asciiTheme="minorEastAsia" w:hAnsiTheme="minorEastAsia" w:eastAsiaTheme="minorEastAsia" w:cstheme="minorEastAsia"/>
          <w:b/>
          <w:bCs w:val="0"/>
          <w:sz w:val="32"/>
          <w:szCs w:val="32"/>
          <w:highlight w:val="none"/>
        </w:rPr>
        <w:fldChar w:fldCharType="separate"/>
      </w:r>
      <w:r>
        <w:rPr>
          <w:rFonts w:hint="eastAsia" w:asciiTheme="minorEastAsia" w:hAnsiTheme="minorEastAsia" w:eastAsiaTheme="minorEastAsia" w:cstheme="minorEastAsia"/>
          <w:b/>
          <w:bCs w:val="0"/>
          <w:sz w:val="32"/>
          <w:szCs w:val="32"/>
          <w:highlight w:val="none"/>
        </w:rPr>
        <w:t xml:space="preserve">四、合同书（格式）</w:t>
      </w:r>
      <w:r>
        <w:rPr>
          <w:rFonts w:hint="eastAsia" w:asciiTheme="minorEastAsia" w:hAnsiTheme="minorEastAsia" w:eastAsiaTheme="minorEastAsia" w:cstheme="minorEastAsia"/>
          <w:b/>
          <w:bCs w:val="0"/>
          <w:sz w:val="32"/>
          <w:szCs w:val="32"/>
        </w:rPr>
        <w:tab/>
      </w:r>
      <w:r>
        <w:rPr>
          <w:rFonts w:hint="eastAsia" w:asciiTheme="minorEastAsia" w:hAnsiTheme="minorEastAsia" w:eastAsiaTheme="minorEastAsia" w:cstheme="minorEastAsia"/>
          <w:b/>
          <w:bCs w:val="0"/>
          <w:sz w:val="32"/>
          <w:szCs w:val="32"/>
        </w:rPr>
        <w:fldChar w:fldCharType="begin"/>
      </w:r>
      <w:r>
        <w:rPr>
          <w:rFonts w:hint="eastAsia" w:asciiTheme="minorEastAsia" w:hAnsiTheme="minorEastAsia" w:eastAsiaTheme="minorEastAsia" w:cstheme="minorEastAsia"/>
          <w:b/>
          <w:bCs w:val="0"/>
          <w:sz w:val="32"/>
          <w:szCs w:val="32"/>
        </w:rPr>
        <w:instrText xml:space="preserve"> PAGEREF _Toc27440 \h </w:instrText>
      </w:r>
      <w:r>
        <w:rPr>
          <w:rFonts w:hint="eastAsia" w:asciiTheme="minorEastAsia" w:hAnsiTheme="minorEastAsia" w:eastAsiaTheme="minorEastAsia" w:cstheme="minorEastAsia"/>
          <w:b/>
          <w:bCs w:val="0"/>
          <w:sz w:val="32"/>
          <w:szCs w:val="32"/>
        </w:rPr>
        <w:fldChar w:fldCharType="separate"/>
      </w:r>
      <w:r>
        <w:rPr>
          <w:rFonts w:hint="eastAsia" w:asciiTheme="minorEastAsia" w:hAnsiTheme="minorEastAsia" w:eastAsiaTheme="minorEastAsia" w:cstheme="minorEastAsia"/>
          <w:b/>
          <w:bCs w:val="0"/>
          <w:sz w:val="32"/>
          <w:szCs w:val="32"/>
        </w:rPr>
        <w:t xml:space="preserve">31</w:t>
      </w:r>
      <w:r>
        <w:rPr>
          <w:rFonts w:hint="eastAsia" w:asciiTheme="minorEastAsia" w:hAnsiTheme="minorEastAsia" w:eastAsiaTheme="minorEastAsia" w:cstheme="minorEastAsia"/>
          <w:b/>
          <w:bCs w:val="0"/>
          <w:sz w:val="32"/>
          <w:szCs w:val="32"/>
        </w:rPr>
        <w:fldChar w:fldCharType="end"/>
      </w:r>
      <w:r>
        <w:rPr>
          <w:rFonts w:hint="eastAsia" w:asciiTheme="minorEastAsia" w:hAnsiTheme="minorEastAsia" w:eastAsiaTheme="minorEastAsia" w:cstheme="minorEastAsia"/>
          <w:b/>
          <w:bCs w:val="0"/>
          <w:color w:val="auto"/>
          <w:sz w:val="32"/>
          <w:szCs w:val="32"/>
          <w:highlight w:val="none"/>
        </w:rPr>
        <w:fldChar w:fldCharType="end"/>
      </w:r>
      <w:r/>
    </w:p>
    <w:p>
      <w:pPr>
        <w:pStyle w:val="748"/>
        <w:spacing w:line="360" w:lineRule="auto"/>
        <w:tabs>
          <w:tab w:val="right" w:pos="9746" w:leader="dot"/>
        </w:tabs>
        <w:rPr>
          <w:rFonts w:hint="eastAsia" w:asciiTheme="minorEastAsia" w:hAnsiTheme="minorEastAsia" w:eastAsiaTheme="minorEastAsia" w:cstheme="minorEastAsia"/>
          <w:b/>
          <w:bCs w:val="0"/>
          <w:sz w:val="32"/>
          <w:szCs w:val="32"/>
        </w:rPr>
      </w:pPr>
      <w:r>
        <w:rPr>
          <w:rFonts w:hint="eastAsia" w:asciiTheme="minorEastAsia" w:hAnsiTheme="minorEastAsia" w:eastAsiaTheme="minorEastAsia" w:cstheme="minorEastAsia"/>
          <w:b/>
          <w:bCs w:val="0"/>
          <w:color w:val="auto"/>
          <w:sz w:val="32"/>
          <w:szCs w:val="32"/>
          <w:highlight w:val="none"/>
        </w:rPr>
        <w:fldChar w:fldCharType="begin"/>
      </w:r>
      <w:r>
        <w:rPr>
          <w:rFonts w:hint="eastAsia" w:asciiTheme="minorEastAsia" w:hAnsiTheme="minorEastAsia" w:eastAsiaTheme="minorEastAsia" w:cstheme="minorEastAsia"/>
          <w:b/>
          <w:bCs w:val="0"/>
          <w:sz w:val="32"/>
          <w:szCs w:val="32"/>
          <w:highlight w:val="none"/>
        </w:rPr>
        <w:instrText xml:space="preserve"> HYPERLINK \l _Toc23910 </w:instrText>
      </w:r>
      <w:r>
        <w:rPr>
          <w:rFonts w:hint="eastAsia" w:asciiTheme="minorEastAsia" w:hAnsiTheme="minorEastAsia" w:eastAsiaTheme="minorEastAsia" w:cstheme="minorEastAsia"/>
          <w:b/>
          <w:bCs w:val="0"/>
          <w:sz w:val="32"/>
          <w:szCs w:val="32"/>
          <w:highlight w:val="none"/>
        </w:rPr>
        <w:fldChar w:fldCharType="separate"/>
      </w:r>
      <w:r>
        <w:rPr>
          <w:rFonts w:hint="eastAsia" w:asciiTheme="minorEastAsia" w:hAnsiTheme="minorEastAsia" w:eastAsiaTheme="minorEastAsia" w:cstheme="minorEastAsia"/>
          <w:b/>
          <w:bCs w:val="0"/>
          <w:sz w:val="32"/>
          <w:szCs w:val="32"/>
          <w:highlight w:val="none"/>
        </w:rPr>
        <w:t xml:space="preserve">五、附件</w:t>
      </w:r>
      <w:r>
        <w:rPr>
          <w:rFonts w:hint="eastAsia" w:asciiTheme="minorEastAsia" w:hAnsiTheme="minorEastAsia" w:eastAsiaTheme="minorEastAsia" w:cstheme="minorEastAsia"/>
          <w:b/>
          <w:bCs w:val="0"/>
          <w:sz w:val="32"/>
          <w:szCs w:val="32"/>
        </w:rPr>
        <w:tab/>
      </w:r>
      <w:r>
        <w:rPr>
          <w:rFonts w:hint="eastAsia" w:asciiTheme="minorEastAsia" w:hAnsiTheme="minorEastAsia" w:eastAsiaTheme="minorEastAsia" w:cstheme="minorEastAsia"/>
          <w:b/>
          <w:bCs w:val="0"/>
          <w:sz w:val="32"/>
          <w:szCs w:val="32"/>
        </w:rPr>
        <w:fldChar w:fldCharType="begin"/>
      </w:r>
      <w:r>
        <w:rPr>
          <w:rFonts w:hint="eastAsia" w:asciiTheme="minorEastAsia" w:hAnsiTheme="minorEastAsia" w:eastAsiaTheme="minorEastAsia" w:cstheme="minorEastAsia"/>
          <w:b/>
          <w:bCs w:val="0"/>
          <w:sz w:val="32"/>
          <w:szCs w:val="32"/>
        </w:rPr>
        <w:instrText xml:space="preserve"> PAGEREF _Toc23910 \h </w:instrText>
      </w:r>
      <w:r>
        <w:rPr>
          <w:rFonts w:hint="eastAsia" w:asciiTheme="minorEastAsia" w:hAnsiTheme="minorEastAsia" w:eastAsiaTheme="minorEastAsia" w:cstheme="minorEastAsia"/>
          <w:b/>
          <w:bCs w:val="0"/>
          <w:sz w:val="32"/>
          <w:szCs w:val="32"/>
        </w:rPr>
        <w:fldChar w:fldCharType="separate"/>
      </w:r>
      <w:r>
        <w:rPr>
          <w:rFonts w:hint="eastAsia" w:asciiTheme="minorEastAsia" w:hAnsiTheme="minorEastAsia" w:eastAsiaTheme="minorEastAsia" w:cstheme="minorEastAsia"/>
          <w:b/>
          <w:bCs w:val="0"/>
          <w:sz w:val="32"/>
          <w:szCs w:val="32"/>
        </w:rPr>
        <w:t xml:space="preserve">46</w:t>
      </w:r>
      <w:r>
        <w:rPr>
          <w:rFonts w:hint="eastAsia" w:asciiTheme="minorEastAsia" w:hAnsiTheme="minorEastAsia" w:eastAsiaTheme="minorEastAsia" w:cstheme="minorEastAsia"/>
          <w:b/>
          <w:bCs w:val="0"/>
          <w:sz w:val="32"/>
          <w:szCs w:val="32"/>
        </w:rPr>
        <w:fldChar w:fldCharType="end"/>
      </w:r>
      <w:r>
        <w:rPr>
          <w:rFonts w:hint="eastAsia" w:asciiTheme="minorEastAsia" w:hAnsiTheme="minorEastAsia" w:eastAsiaTheme="minorEastAsia" w:cstheme="minorEastAsia"/>
          <w:b/>
          <w:bCs w:val="0"/>
          <w:color w:val="auto"/>
          <w:sz w:val="32"/>
          <w:szCs w:val="32"/>
          <w:highlight w:val="none"/>
        </w:rPr>
        <w:fldChar w:fldCharType="end"/>
      </w:r>
      <w:r/>
    </w:p>
    <w:p>
      <w:pPr>
        <w:spacing w:line="360" w:lineRule="auto"/>
        <w:rPr>
          <w:rFonts w:ascii="宋体"/>
          <w:bCs/>
          <w:color w:val="auto"/>
          <w:sz w:val="32"/>
          <w:highlight w:val="none"/>
        </w:rPr>
      </w:pPr>
      <w:r>
        <w:rPr>
          <w:rFonts w:hint="eastAsia" w:asciiTheme="minorEastAsia" w:hAnsiTheme="minorEastAsia" w:eastAsiaTheme="minorEastAsia" w:cstheme="minorEastAsia"/>
          <w:b/>
          <w:bCs w:val="0"/>
          <w:color w:val="auto"/>
          <w:sz w:val="32"/>
          <w:szCs w:val="32"/>
          <w:highlight w:val="none"/>
        </w:rPr>
        <w:fldChar w:fldCharType="end"/>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bookmarkStart w:id="1" w:name="_Toc24111"/>
      <w:r>
        <w:rPr>
          <w:rFonts w:hint="eastAsia" w:ascii="黑体" w:eastAsia="黑体"/>
          <w:bCs/>
          <w:color w:val="auto"/>
          <w:sz w:val="28"/>
          <w:szCs w:val="28"/>
          <w:highlight w:val="none"/>
        </w:rPr>
        <w:t xml:space="preserve">一、投标邀请函</w:t>
      </w:r>
      <w:bookmarkEnd w:id="1"/>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江苏智汇锡建工程项目管理有限公司受太湖流域水文水资源监测中心（太湖流域水环境监测中心）委托，对</w:t>
      </w:r>
      <w:r>
        <w:rPr>
          <w:rFonts w:hint="eastAsia" w:ascii="宋体" w:hAnsi="宋体"/>
          <w:bCs/>
          <w:color w:val="auto"/>
          <w:sz w:val="24"/>
          <w:szCs w:val="24"/>
          <w:highlight w:val="none"/>
          <w:lang w:eastAsia="zh-CN"/>
        </w:rPr>
        <w:t xml:space="preserve">太湖水生态无人机巢智能巡查项目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太湖水生态无人机巢智能巡查项目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JSZC-320200-JSZH-G2026-0072</w:t>
      </w:r>
      <w:r/>
    </w:p>
    <w:p>
      <w:pPr>
        <w:ind w:firstLine="480"/>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3.合同履行期限：</w:t>
      </w:r>
      <w:r>
        <w:rPr>
          <w:rFonts w:hint="eastAsia" w:ascii="宋体" w:hAnsi="宋体" w:cs="宋体"/>
          <w:color w:val="auto"/>
          <w:sz w:val="24"/>
          <w:szCs w:val="24"/>
          <w:highlight w:val="none"/>
          <w:lang w:val="en-US" w:eastAsia="zh-CN"/>
        </w:rPr>
        <w:t xml:space="preserve">90日历天</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4.项目基本情况</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太湖水生态无人机巢智能巡查项目</w:t>
      </w:r>
      <w:r>
        <w:rPr>
          <w:rFonts w:hint="eastAsia" w:ascii="宋体" w:hAnsi="宋体" w:cs="宋体"/>
          <w:color w:val="auto"/>
          <w:sz w:val="24"/>
          <w:szCs w:val="24"/>
          <w:highlight w:val="none"/>
        </w:rPr>
        <w:t xml:space="preserve">，本项目共设1个标段。具体如下：</w:t>
      </w:r>
      <w:r/>
    </w:p>
    <w:p>
      <w:pPr>
        <w:ind w:firstLine="480"/>
        <w:spacing w:line="360" w:lineRule="auto"/>
        <w:rPr>
          <w:rFonts w:hint="default" w:ascii="Times New Roman" w:hAnsi="Times New Roman" w:eastAsia="宋体" w:cs="Times New Roman"/>
          <w:b w:val="0"/>
          <w:bCs w:val="0"/>
          <w:color w:val="auto"/>
          <w:sz w:val="24"/>
          <w:szCs w:val="22"/>
          <w:highlight w:val="none"/>
          <w:lang w:val="en-US" w:eastAsia="zh-CN" w:bidi="ar-SA"/>
        </w:rPr>
      </w:pPr>
      <w:r>
        <w:rPr>
          <w:rFonts w:hint="default" w:ascii="Times New Roman" w:hAnsi="Times New Roman" w:eastAsia="宋体" w:cs="Times New Roman"/>
          <w:b w:val="0"/>
          <w:bCs w:val="0"/>
          <w:color w:val="auto"/>
          <w:sz w:val="24"/>
          <w:szCs w:val="22"/>
          <w:highlight w:val="none"/>
          <w:lang w:val="en-US" w:eastAsia="zh-CN" w:bidi="ar-SA"/>
        </w:rPr>
        <w:t xml:space="preserve">建设规模：建设7处无人机水生态监测设施，完善飞控平台功能，搭建水草智能识别技术体系。</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b w:val="0"/>
          <w:bCs w:val="0"/>
          <w:color w:val="auto"/>
          <w:sz w:val="24"/>
          <w:szCs w:val="22"/>
          <w:highlight w:val="none"/>
          <w:lang w:val="en-US" w:eastAsia="zh-CN" w:bidi="ar-SA"/>
        </w:rPr>
        <w:t xml:space="preserve">建设内容：本项</w:t>
      </w:r>
      <w:r>
        <w:rPr>
          <w:rFonts w:hint="default" w:ascii="Times New Roman" w:hAnsi="Times New Roman" w:eastAsia="宋体" w:cs="Times New Roman"/>
          <w:color w:val="auto"/>
          <w:sz w:val="24"/>
          <w:szCs w:val="22"/>
          <w:highlight w:val="none"/>
          <w:lang w:val="en-US" w:eastAsia="zh-CN" w:bidi="ar-SA"/>
        </w:rPr>
        <w:t xml:space="preserve">目拟在环太湖重要湖湾及沿岸带补空白新建7处无人机水生态监测设施，构建蓝藻、水草等水生态要素图像智能检测系统，实现多场景高频动态感知；在平台已实现无人机自动起飞、预设航线巡检、自动返航、数据自动回传等功能基础上，新增蛙跳与指点飞行功能，提升监测覆盖与作业灵活性，从而织密天空地协同感知网，强化蓝藻水华预测预报能力，支撑太湖水生植物群落结构性演替下的生态管控。</w:t>
      </w:r>
      <w:r/>
    </w:p>
    <w:p>
      <w:pPr>
        <w:ind w:firstLine="480"/>
        <w:jc w:val="left"/>
        <w:spacing w:line="360" w:lineRule="auto"/>
        <w:widowControl/>
        <w:rPr>
          <w:rFonts w:hint="default" w:ascii="宋体" w:hAnsi="宋体" w:cs="宋体"/>
          <w:strike w:val="0"/>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5.</w:t>
      </w:r>
      <w:r>
        <w:rPr>
          <w:rFonts w:hint="eastAsia" w:ascii="宋体" w:hAnsi="宋体" w:cs="宋体"/>
          <w:strike w:val="0"/>
          <w:color w:val="auto"/>
          <w:sz w:val="24"/>
          <w:szCs w:val="24"/>
          <w:highlight w:val="none"/>
        </w:rPr>
        <w:t xml:space="preserve">项</w:t>
      </w:r>
      <w:r>
        <w:rPr>
          <w:rFonts w:hint="eastAsia" w:ascii="宋体" w:hAnsi="宋体" w:cs="宋体"/>
          <w:strike w:val="0"/>
          <w:color w:val="auto"/>
          <w:sz w:val="24"/>
          <w:szCs w:val="24"/>
          <w:highlight w:val="none"/>
          <w:lang w:val="en-US" w:eastAsia="zh-CN"/>
        </w:rPr>
        <w:t xml:space="preserve">目预算：180.00万元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6.最高限价：</w:t>
      </w:r>
      <w:r>
        <w:rPr>
          <w:rFonts w:hint="eastAsia" w:ascii="宋体" w:hAnsi="宋体" w:cs="宋体"/>
          <w:color w:val="auto"/>
          <w:sz w:val="24"/>
          <w:szCs w:val="24"/>
          <w:highlight w:val="none"/>
          <w:lang w:val="en-US" w:eastAsia="zh-CN"/>
        </w:rPr>
        <w:t xml:space="preserve">166.30万元</w:t>
      </w:r>
      <w:r>
        <w:rPr>
          <w:rFonts w:hint="eastAsia" w:ascii="宋体" w:hAnsi="宋体" w:cs="宋体"/>
          <w:color w:val="auto"/>
          <w:sz w:val="24"/>
          <w:szCs w:val="24"/>
          <w:highlight w:val="none"/>
        </w:rPr>
        <w:t xml:space="preserve">，投标报价高于最高限价的作为无效投标处理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7.采购方式：公开招标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8.采购人：太湖流域水文水资源监测中心（太湖流域水环境监测中心）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9.本项目标的所属行业：工业；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10.本项目是否专门面向中小企业：否；</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2.落实政府采购政策需满足的资格要求：无；</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2）未被“信用中国”（www.creditchina.gov.cn）、中国政府采购网（www.ccgp.gov.cn）列入失信被执行人、重大税收违法案件当事人名单、政府采购严重违法失信行为记录名单；（3）授权委托人应为投标供应商企业在职员工；（4）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1.潜在投标供应商可在项目招标公告附件中查看公开招标文件，如确定投标，必须在苏采云平台（http://jszfcg.jsczt.cn/j</w:t>
      </w:r>
      <w:r>
        <w:rPr>
          <w:rFonts w:hint="eastAsia" w:ascii="宋体" w:hAnsi="宋体"/>
          <w:bCs/>
          <w:color w:val="auto"/>
          <w:sz w:val="24"/>
          <w:szCs w:val="24"/>
          <w:highlight w:val="none"/>
        </w:rPr>
        <w:t xml:space="preserve">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将以线上不见面、电话咨询、发邮件等方式开展线上答疑服务。截止至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日17:00前，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JSZC-320200-JSZH-G2026-0072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发邮件给项目联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“苏采云”系统（网址：http://jszfcg.jsczt.cn/）</w:t>
      </w:r>
      <w:bookmarkEnd w:id="2"/>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江苏智汇锡建工程项目管理有限公司（无锡市新吴区和风路19号启迪协信中心6号楼9楼）会议室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75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75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采购人：太湖流域水文水资源监测中心（太湖流域水环境监测中心）</w:t>
      </w:r>
      <w:r/>
    </w:p>
    <w:p>
      <w:pPr>
        <w:pStyle w:val="75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采购人地址：江苏省无锡市金城路835号</w:t>
      </w:r>
      <w:r/>
    </w:p>
    <w:p>
      <w:pPr>
        <w:pStyle w:val="759"/>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武女士</w:t>
      </w:r>
      <w:r/>
    </w:p>
    <w:p>
      <w:pPr>
        <w:pStyle w:val="759"/>
        <w:ind w:firstLine="480"/>
        <w:spacing w:before="0" w:beforeAutospacing="0" w:after="0" w:afterAutospacing="0" w:line="460" w:lineRule="exact"/>
        <w:tabs>
          <w:tab w:val="left" w:pos="0" w:leader="none"/>
        </w:tabs>
        <w:rPr>
          <w:rFonts w:hint="default" w:cs="宋体"/>
          <w:color w:val="auto"/>
          <w:highlight w:val="none"/>
          <w:lang w:val="en-US" w:eastAsia="zh-CN"/>
        </w:rPr>
      </w:pPr>
      <w:r>
        <w:rPr>
          <w:rFonts w:hint="eastAsia" w:cs="宋体"/>
          <w:color w:val="auto"/>
          <w:highlight w:val="none"/>
          <w:lang w:val="zh-CN"/>
        </w:rPr>
        <w:t xml:space="preserve">联系电话：</w:t>
      </w:r>
      <w:r>
        <w:rPr>
          <w:rFonts w:hint="eastAsia" w:cs="宋体"/>
          <w:color w:val="auto"/>
          <w:highlight w:val="none"/>
          <w:lang w:val="en-US" w:eastAsia="zh-CN"/>
        </w:rPr>
        <w:t xml:space="preserve">0510-85442974</w:t>
      </w:r>
      <w:r/>
    </w:p>
    <w:p>
      <w:pPr>
        <w:pStyle w:val="759"/>
        <w:ind w:firstLine="480"/>
        <w:spacing w:before="0" w:beforeAutospacing="0" w:after="0" w:afterAutospacing="0" w:line="460" w:lineRule="exact"/>
        <w:tabs>
          <w:tab w:val="left" w:pos="0" w:leader="none"/>
        </w:tabs>
        <w:rPr>
          <w:rFonts w:cs="宋体"/>
          <w:color w:val="auto"/>
          <w:highlight w:val="none"/>
          <w:lang w:val="zh-CN"/>
        </w:rPr>
      </w:pPr>
      <w:r>
        <w:rPr>
          <w:rFonts w:cs="宋体"/>
          <w:color w:val="auto"/>
          <w:highlight w:val="none"/>
          <w:lang w:val="zh-CN"/>
        </w:rPr>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采购代理机构：江苏智汇锡建工程项目管理有限公司</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联系地址：无锡市新吴区和风路19号启迪协信中心6号楼9楼</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联系电话：0510-82796055</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联系人：徐丽平、吴雨洁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邮箱：jszh009@163.com</w:t>
      </w:r>
      <w:r/>
    </w:p>
    <w:p>
      <w:pPr>
        <w:pStyle w:val="759"/>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rPr>
          <w:rFonts w:hint="eastAsia" w:ascii="宋体" w:hAnsi="宋体" w:cs="宋体"/>
          <w:color w:val="auto"/>
          <w:sz w:val="24"/>
          <w:szCs w:val="24"/>
          <w:highlight w:val="none"/>
          <w:lang w:val="zh-CN"/>
        </w:rPr>
        <w:br w:type="page" w:clear="all"/>
      </w:r>
      <w:r/>
    </w:p>
    <w:p>
      <w:pPr>
        <w:jc w:val="center"/>
        <w:spacing w:line="360" w:lineRule="auto"/>
        <w:rPr>
          <w:rFonts w:ascii="黑体" w:eastAsia="黑体"/>
          <w:bCs/>
          <w:color w:val="auto"/>
          <w:sz w:val="28"/>
          <w:szCs w:val="28"/>
          <w:highlight w:val="none"/>
        </w:rPr>
        <w:outlineLvl w:val="0"/>
      </w:pPr>
      <w:r/>
      <w:bookmarkStart w:id="3" w:name="_Toc8042"/>
      <w:r>
        <w:rPr>
          <w:rFonts w:hint="eastAsia" w:ascii="黑体" w:eastAsia="黑体"/>
          <w:bCs/>
          <w:color w:val="auto"/>
          <w:sz w:val="28"/>
          <w:szCs w:val="28"/>
          <w:highlight w:val="none"/>
        </w:rPr>
        <w:t xml:space="preserve">二、投标人须知</w:t>
      </w:r>
      <w:bookmarkEnd w:id="3"/>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投标供应商应在苏采云平台（http://jszfcg.jsczt.cn/jszc/login）下载招标文件及有关资料，按要求制作、上传投标文件，对招标文件各项内容做出实质性响应，否则投标无效。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招标文件仅作为本次采购使用。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\o "http://download.ccgp.gov.cn/2018/zhiyihanfanben.zip"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地址：江苏智汇锡建工程项目管理有限公司（无锡市新吴区和风路19号启迪协信中心6号楼9楼）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jc w:val="left"/>
        <w:spacing w:line="360" w:lineRule="auto"/>
        <w:shd w:val="clear" w:color="auto" w:fill="ffffff"/>
        <w:widowControl/>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cs="宋体"/>
          <w:color w:val="auto"/>
          <w:sz w:val="24"/>
          <w:szCs w:val="24"/>
          <w:highlight w:val="none"/>
        </w:rPr>
        <w:t xml:space="preserve">徐丽平、吴雨洁</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cs="宋体"/>
          <w:color w:val="auto"/>
          <w:sz w:val="24"/>
          <w:szCs w:val="24"/>
          <w:highlight w:val="none"/>
        </w:rPr>
        <w:t xml:space="preserve">0510-82796055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投标人近一年中任意一个月份（不含投标当月）的财务状况报告（资产负债表和利润表）或由会计师事务所出具的近两年中（2024年或2025年）任意一个年度的审计报告和所附已审财务报告；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注：按照《政府采购法实施条例释义》，法人的分支机构由于其不能独立承担民事责任，</w:t>
      </w:r>
      <w:r>
        <w:rPr>
          <w:rFonts w:hint="eastAsia" w:ascii="宋体" w:hAnsi="宋体" w:cs="宋体"/>
          <w:color w:val="auto"/>
          <w:sz w:val="24"/>
          <w:szCs w:val="24"/>
          <w:highlight w:val="none"/>
        </w:rPr>
        <w:t xml:space="preserve">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276" w:leader="none"/>
        </w:tabs>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6、售后服务承诺</w:t>
      </w:r>
      <w:r>
        <w:rPr>
          <w:rFonts w:hint="eastAsia" w:ascii="宋体" w:hAnsi="宋体"/>
          <w:b/>
          <w:bCs w:val="0"/>
          <w:color w:val="auto"/>
          <w:sz w:val="24"/>
          <w:szCs w:val="24"/>
          <w:highlight w:val="none"/>
        </w:rPr>
        <w:t xml:space="preserve">（格式见附件）</w:t>
      </w:r>
      <w:r/>
    </w:p>
    <w:p>
      <w:pPr>
        <w:ind w:firstLine="480"/>
        <w:spacing w:line="360" w:lineRule="auto"/>
        <w:tabs>
          <w:tab w:val="left" w:pos="945" w:leader="none"/>
          <w:tab w:val="left" w:pos="1276" w:leader="none"/>
        </w:tabs>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7、投标人基本情况声明</w:t>
      </w:r>
      <w:r>
        <w:rPr>
          <w:rFonts w:hint="eastAsia" w:ascii="宋体" w:hAnsi="宋体"/>
          <w:b/>
          <w:bCs w:val="0"/>
          <w:color w:val="auto"/>
          <w:sz w:val="24"/>
          <w:szCs w:val="24"/>
          <w:highlight w:val="none"/>
        </w:rPr>
        <w:t xml:space="preserve">（格式见附件）</w:t>
      </w:r>
      <w:r/>
    </w:p>
    <w:p>
      <w:pPr>
        <w:ind w:firstLine="480"/>
        <w:spacing w:line="360" w:lineRule="auto"/>
        <w:tabs>
          <w:tab w:val="left" w:pos="945" w:leader="none"/>
          <w:tab w:val="left" w:pos="1276" w:leader="none"/>
        </w:tabs>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8、项目人员配置清单</w:t>
      </w:r>
      <w:r>
        <w:rPr>
          <w:rFonts w:hint="eastAsia" w:ascii="宋体" w:hAnsi="宋体"/>
          <w:b/>
          <w:bCs w:val="0"/>
          <w:color w:val="auto"/>
          <w:sz w:val="24"/>
          <w:szCs w:val="24"/>
          <w:highlight w:val="none"/>
        </w:rPr>
        <w:t xml:space="preserve">（格式见附件）</w:t>
      </w:r>
      <w:r/>
    </w:p>
    <w:p>
      <w:pPr>
        <w:ind w:firstLine="480"/>
        <w:spacing w:line="360" w:lineRule="auto"/>
        <w:tabs>
          <w:tab w:val="left" w:pos="945" w:leader="none"/>
          <w:tab w:val="left" w:pos="1276" w:leader="none"/>
        </w:tabs>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9、关于符合本国产品标准的声明函</w:t>
      </w:r>
      <w:r>
        <w:rPr>
          <w:rFonts w:hint="eastAsia" w:ascii="宋体" w:hAnsi="宋体"/>
          <w:b/>
          <w:bCs w:val="0"/>
          <w:color w:val="auto"/>
          <w:sz w:val="24"/>
          <w:szCs w:val="24"/>
          <w:highlight w:val="none"/>
        </w:rPr>
        <w:t xml:space="preserve">（格式见附件）</w:t>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10、技术文件</w:t>
      </w:r>
      <w:r>
        <w:rPr>
          <w:rFonts w:hint="eastAsia" w:ascii="宋体" w:hAnsi="宋体"/>
          <w:b/>
          <w:color w:val="auto"/>
          <w:sz w:val="24"/>
          <w:szCs w:val="24"/>
          <w:highlight w:val="none"/>
        </w:rPr>
        <w:t xml:space="preserve">（内容参照评标办法，格式自拟）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11、评分标准中对应的其他所需证明材料（如有自行添加）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w:t>
      </w: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14、其他（报价人认为有必要提供的声明和文件，如有自拟并自行添加）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-10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响应及投标费用自理。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7"/>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电子投标文件中技术文件部分未按要求编制，编制粗糙、缺漏项、格式混乱、条理不清的；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（1）评审过程中出现下列情形之一的，评标委员会应当启动异常低价投标（响应）审查程序：</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①投标（响应）报价低于采购项目预算50%的，即投标（响应）报价＜采购项目预算×50%；</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②投标（响应）报价低于采购项目最高限价45%的，即投标（响应）报价＜采购项目最高限价×45%；</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③评标委员会认定的供应商报价过低、有可能影响产品质量或者不能诚信履约的其他情形。</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8"/>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\o "http://download.ccgp.gov.cn/2018/zhiyihanfanben.zip"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事宜的，将记入投标供应商在江苏省和无锡市的政府采购“供应商诚信记录”，并按相关规定处理。</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中标或者成交后无正当理由拒不与采购人签订政府采购合同，或者未按照采购文件确定的事项签订政府采购合同的；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招标代理单位</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rPr>
        <w:t xml:space="preserve">做</w:t>
      </w:r>
      <w:r>
        <w:rPr>
          <w:rFonts w:ascii="宋体" w:hAnsi="宋体"/>
          <w:bCs/>
          <w:color w:val="auto"/>
          <w:sz w:val="24"/>
          <w:szCs w:val="24"/>
          <w:highlight w:val="none"/>
        </w:rPr>
        <w:t xml:space="preserve">任何修改。</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525" w:leader="none"/>
          <w:tab w:val="left" w:pos="945" w:leader="none"/>
          <w:tab w:val="left" w:pos="105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1.本项目代理服务费由</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支付，</w:t>
      </w:r>
      <w:r>
        <w:rPr>
          <w:rFonts w:hint="eastAsia" w:ascii="宋体" w:hAnsi="宋体"/>
          <w:bCs/>
          <w:color w:val="auto"/>
          <w:sz w:val="24"/>
          <w:szCs w:val="24"/>
          <w:highlight w:val="none"/>
          <w:lang w:val="en-US" w:eastAsia="zh-CN"/>
        </w:rPr>
        <w:t xml:space="preserve">代理服务费以中标交金额为计费基础，按差额定率累进法计算：100万以下费率为1.5%，100万-500万费率为1.1%，500万-1000万费率为0.8%。</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numPr>
          <w:ilvl w:val="1"/>
          <w:numId w:val="14"/>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中标、中标供应商可采用合同融资形式，中标人可凭政府采购合同办理融资贷款，详见无锡市政府采购网“政采贷”专栏。</w:t>
      </w:r>
      <w:r/>
    </w:p>
    <w:p>
      <w:pPr>
        <w:numPr>
          <w:ilvl w:val="1"/>
          <w:numId w:val="14"/>
        </w:numPr>
        <w:ind w:left="0" w:firstLine="525"/>
        <w:jc w:val="left"/>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担保，是指由专业担保机构为中标、中标供应商支付履约保证金的义务向采购人提供的保函担保。专业担保机构根据中标、中标供应商的中标（成交）通知书为凭据，进行资信审查后出具保函，中标、中标供应商以保函形式缴纳履约保证金；供应商未按政府采购合同履行约定义务而应实际支付保证金的，由专业担保机构按照担保函约定履行担保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中标、中标供应商可以采用电子履约保函形式，具体操作可登录江苏政府采购网的保险保函模块进行办理，也可通过无锡市政府采购网、“苏采云”系统链接访问（首次使用需注册）。</w:t>
      </w:r>
      <w:r/>
    </w:p>
    <w:p>
      <w:pPr>
        <w:ind w:firstLine="480"/>
        <w:jc w:val="center"/>
        <w:spacing w:line="360" w:lineRule="auto"/>
        <w:rPr>
          <w:rFonts w:ascii="黑体" w:eastAsia="黑体"/>
          <w:bCs/>
          <w:color w:val="auto"/>
          <w:sz w:val="30"/>
          <w:szCs w:val="30"/>
          <w:highlight w:val="none"/>
        </w:rPr>
        <w:outlineLvl w:val="0"/>
      </w:pPr>
      <w:r>
        <w:rPr>
          <w:rFonts w:hint="eastAsia" w:ascii="宋体" w:hAnsi="宋体"/>
          <w:bCs/>
          <w:color w:val="auto"/>
          <w:sz w:val="24"/>
          <w:szCs w:val="24"/>
          <w:highlight w:val="none"/>
        </w:rPr>
        <w:br w:type="page" w:clear="all"/>
      </w:r>
      <w:bookmarkStart w:id="4" w:name="_Toc19911"/>
      <w:r>
        <w:rPr>
          <w:rFonts w:hint="eastAsia" w:ascii="黑体" w:hAnsi="Cambria" w:eastAsia="黑体"/>
          <w:b/>
          <w:bCs/>
          <w:color w:val="auto"/>
          <w:sz w:val="36"/>
          <w:szCs w:val="36"/>
          <w:highlight w:val="none"/>
        </w:rPr>
        <w:t xml:space="preserve">三、项目技术要求和有关说明</w:t>
      </w:r>
      <w:bookmarkEnd w:id="4"/>
      <w:r/>
      <w:r/>
    </w:p>
    <w:p>
      <w:pPr>
        <w:ind w:firstLine="480"/>
        <w:jc w:val="left"/>
        <w:spacing w:line="360" w:lineRule="auto"/>
        <w:widowControl/>
        <w:rPr>
          <w:rFonts w:hint="eastAsia" w:ascii="宋体" w:hAnsi="宋体" w:cs="宋体"/>
          <w:b/>
          <w:bCs/>
          <w:color w:val="auto"/>
          <w:sz w:val="24"/>
          <w:szCs w:val="24"/>
          <w:highlight w:val="none"/>
        </w:rPr>
      </w:pPr>
      <w:r/>
      <w:bookmarkStart w:id="5" w:name="_Toc18982"/>
      <w:r>
        <w:rPr>
          <w:rFonts w:hint="eastAsia" w:ascii="宋体" w:hAnsi="宋体" w:cs="宋体"/>
          <w:b/>
          <w:bCs/>
          <w:color w:val="auto"/>
          <w:sz w:val="24"/>
          <w:szCs w:val="24"/>
          <w:highlight w:val="none"/>
        </w:rPr>
        <w:t xml:space="preserve">本项目中的</w:t>
      </w:r>
      <w:r>
        <w:rPr>
          <w:rFonts w:hint="default" w:ascii="宋体" w:hAnsi="宋体" w:cs="宋体"/>
          <w:b/>
          <w:bCs/>
          <w:color w:val="auto"/>
          <w:sz w:val="24"/>
          <w:szCs w:val="24"/>
          <w:highlight w:val="none"/>
          <w:lang w:val="en-US" w:eastAsia="zh-CN"/>
        </w:rPr>
        <w:t xml:space="preserve">无人机巢设施设备</w:t>
      </w:r>
      <w:r>
        <w:rPr>
          <w:rFonts w:hint="eastAsia" w:ascii="宋体" w:hAnsi="宋体" w:cs="宋体"/>
          <w:b/>
          <w:bCs/>
          <w:color w:val="auto"/>
          <w:sz w:val="24"/>
          <w:szCs w:val="24"/>
          <w:highlight w:val="none"/>
        </w:rPr>
        <w:t xml:space="preserve">为核心产品。</w:t>
      </w:r>
      <w:r/>
    </w:p>
    <w:p>
      <w:pPr>
        <w:jc w:val="left"/>
        <w:spacing w:line="360" w:lineRule="auto"/>
        <w:rPr>
          <w:rFonts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lang w:bidi="ar"/>
        </w:rPr>
        <w:t xml:space="preserve">一、项目名称</w:t>
      </w:r>
      <w:r/>
    </w:p>
    <w:p>
      <w:pPr>
        <w:ind w:firstLine="480"/>
        <w:jc w:val="left"/>
        <w:spacing w:line="360" w:lineRule="auto"/>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eastAsia="zh-CN" w:bidi="ar"/>
        </w:rPr>
        <w:t xml:space="preserve">太湖水生态无人机巢智能巡查项目</w:t>
      </w:r>
      <w:r/>
    </w:p>
    <w:p>
      <w:pPr>
        <w:jc w:val="left"/>
        <w:spacing w:line="360" w:lineRule="auto"/>
        <w:rPr>
          <w:rFonts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lang w:bidi="ar"/>
        </w:rPr>
        <w:t xml:space="preserve">二、采购需求</w:t>
      </w:r>
      <w:r/>
    </w:p>
    <w:p>
      <w:pPr>
        <w:ind w:firstLine="482"/>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建设规模：</w:t>
      </w:r>
      <w:r>
        <w:rPr>
          <w:rFonts w:hint="default" w:ascii="Times New Roman" w:hAnsi="Times New Roman" w:eastAsia="宋体" w:cs="Times New Roman"/>
          <w:color w:val="auto"/>
          <w:sz w:val="24"/>
          <w:szCs w:val="22"/>
          <w:highlight w:val="none"/>
          <w:lang w:val="en-US" w:eastAsia="zh-CN" w:bidi="ar-SA"/>
        </w:rPr>
        <w:t xml:space="preserve">建设7处无人机水生态监测设施，完善飞控平台功能，搭建水草智能识别技术体系。</w:t>
      </w:r>
      <w:r/>
    </w:p>
    <w:p>
      <w:pPr>
        <w:pStyle w:val="759"/>
        <w:ind w:firstLine="480"/>
        <w:spacing w:before="0" w:beforeAutospacing="0" w:after="0" w:afterAutospacing="0" w:line="360" w:lineRule="auto"/>
        <w:rPr>
          <w:rFonts w:asciiTheme="minorEastAsia" w:hAnsiTheme="minorEastAsia" w:eastAsiaTheme="minorEastAsia" w:cstheme="minorEastAsia"/>
          <w:color w:val="auto"/>
          <w:highlight w:val="none"/>
        </w:rPr>
      </w:pPr>
      <w:r>
        <w:rPr>
          <w:rFonts w:hint="default" w:ascii="Times New Roman" w:hAnsi="Times New Roman" w:eastAsia="宋体" w:cs="Times New Roman"/>
          <w:b/>
          <w:bCs/>
          <w:color w:val="auto"/>
          <w:sz w:val="24"/>
          <w:szCs w:val="22"/>
          <w:highlight w:val="none"/>
          <w:lang w:val="en-US" w:eastAsia="zh-CN" w:bidi="ar-SA"/>
        </w:rPr>
        <w:t xml:space="preserve">建设内容：</w:t>
      </w:r>
      <w:r>
        <w:rPr>
          <w:rFonts w:hint="default" w:ascii="Times New Roman" w:hAnsi="Times New Roman" w:eastAsia="宋体" w:cs="Times New Roman"/>
          <w:color w:val="auto"/>
          <w:sz w:val="24"/>
          <w:szCs w:val="22"/>
          <w:highlight w:val="none"/>
          <w:lang w:val="en-US" w:eastAsia="zh-CN" w:bidi="ar-SA"/>
        </w:rPr>
        <w:t xml:space="preserve">本项目拟在环太湖重要湖湾及沿岸带补空白新建7处无人机水生态监测设施，构建蓝藻、水草等水生态要素图像智能检测系统，实现多场景高频动态感知；在平台已实现无人机自动起飞、预设航线巡检、自动返航、数据自动回传等功能基础上，新增蛙跳</w:t>
      </w:r>
      <w:r>
        <w:rPr>
          <w:rFonts w:hint="eastAsia" w:ascii="Times New Roman" w:hAnsi="Times New Roman"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指点飞行功能</w:t>
      </w:r>
      <w:r>
        <w:rPr>
          <w:rFonts w:hint="eastAsia" w:ascii="Times New Roman" w:hAnsi="Times New Roman" w:cs="Times New Roman"/>
          <w:color w:val="auto"/>
          <w:sz w:val="24"/>
          <w:szCs w:val="22"/>
          <w:highlight w:val="none"/>
          <w:lang w:val="en-US" w:eastAsia="zh-CN" w:bidi="ar-SA"/>
        </w:rPr>
        <w:t xml:space="preserve">以及扩展管控平台功能</w:t>
      </w:r>
      <w:r>
        <w:rPr>
          <w:rFonts w:hint="default" w:ascii="Times New Roman" w:hAnsi="Times New Roman" w:eastAsia="宋体" w:cs="Times New Roman"/>
          <w:color w:val="auto"/>
          <w:sz w:val="24"/>
          <w:szCs w:val="22"/>
          <w:highlight w:val="none"/>
          <w:lang w:val="en-US" w:eastAsia="zh-CN" w:bidi="ar-SA"/>
        </w:rPr>
        <w:t xml:space="preserve">，提升监测覆盖与作业灵活性，从而织密天空地协同感知网，强化蓝藻水华预测预报能力，支撑太湖水生植物群落结构性演替下的生态管控。</w:t>
      </w:r>
      <w:r/>
    </w:p>
    <w:p>
      <w:pPr>
        <w:jc w:val="left"/>
        <w:spacing w:line="360" w:lineRule="auto"/>
        <w:rPr>
          <w:rFonts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lang w:bidi="ar"/>
        </w:rPr>
        <w:t xml:space="preserve">三、技术要求</w:t>
      </w:r>
      <w:r/>
    </w:p>
    <w:p>
      <w:pPr>
        <w:numPr>
          <w:ilvl w:val="1"/>
          <w:numId w:val="15"/>
        </w:numPr>
        <w:ind w:left="567" w:hanging="567"/>
        <w:jc w:val="both"/>
        <w:keepLines/>
        <w:keepNext/>
        <w:spacing w:line="360" w:lineRule="auto"/>
        <w:widowControl w:val="off"/>
        <w:rPr>
          <w:rFonts w:hint="default" w:ascii="Times New Roman" w:hAnsi="Times New Roman" w:eastAsia="宋体" w:cs="Times New Roman"/>
          <w:b/>
          <w:bCs/>
          <w:color w:val="auto"/>
          <w:sz w:val="28"/>
          <w:szCs w:val="32"/>
          <w:highlight w:val="none"/>
          <w:lang w:val="en-US" w:eastAsia="zh-CN" w:bidi="ar-SA"/>
        </w:rPr>
        <w:outlineLvl w:val="1"/>
      </w:pPr>
      <w:r/>
      <w:bookmarkStart w:id="6" w:name="_Toc18796"/>
      <w:r/>
      <w:bookmarkEnd w:id="6"/>
      <w:r/>
      <w:bookmarkStart w:id="7" w:name="_Toc23160"/>
      <w:r/>
      <w:bookmarkEnd w:id="7"/>
      <w:r/>
      <w:bookmarkStart w:id="8" w:name="_Toc4221"/>
      <w:r/>
      <w:bookmarkEnd w:id="8"/>
      <w:r/>
      <w:bookmarkStart w:id="9" w:name="_Toc23683"/>
      <w:r/>
      <w:bookmarkEnd w:id="9"/>
      <w:r/>
      <w:bookmarkStart w:id="10" w:name="_Toc19972"/>
      <w:r/>
      <w:bookmarkEnd w:id="10"/>
      <w:r/>
      <w:bookmarkStart w:id="11" w:name="_Toc17659"/>
      <w:r/>
      <w:bookmarkEnd w:id="11"/>
      <w:r/>
      <w:bookmarkStart w:id="12" w:name="_Toc23359"/>
      <w:r/>
      <w:bookmarkEnd w:id="12"/>
      <w:r/>
      <w:bookmarkStart w:id="13" w:name="_Toc31046"/>
      <w:r/>
      <w:bookmarkEnd w:id="13"/>
      <w:r/>
      <w:bookmarkStart w:id="14" w:name="_Toc16484"/>
      <w:r/>
      <w:bookmarkEnd w:id="14"/>
      <w:r/>
      <w:bookmarkStart w:id="15" w:name="_Hlk149159273"/>
      <w:r/>
      <w:bookmarkEnd w:id="15"/>
      <w:r/>
      <w:bookmarkStart w:id="16" w:name="_Toc18254"/>
      <w:r/>
      <w:bookmarkEnd w:id="16"/>
      <w:r/>
      <w:bookmarkStart w:id="17" w:name="_Toc21499"/>
      <w:r/>
      <w:bookmarkEnd w:id="17"/>
      <w:r/>
      <w:bookmarkStart w:id="18" w:name="_Toc8282"/>
      <w:r/>
      <w:bookmarkEnd w:id="18"/>
      <w:r/>
      <w:bookmarkStart w:id="19" w:name="_Toc18632"/>
      <w:r/>
      <w:bookmarkEnd w:id="19"/>
      <w:r/>
      <w:bookmarkStart w:id="20" w:name="_Toc30253"/>
      <w:r/>
      <w:bookmarkEnd w:id="20"/>
      <w:r/>
      <w:bookmarkStart w:id="21" w:name="_Toc18104"/>
      <w:r/>
      <w:bookmarkEnd w:id="21"/>
      <w:r/>
      <w:bookmarkStart w:id="22" w:name="_Toc19855"/>
      <w:r/>
      <w:bookmarkEnd w:id="22"/>
      <w:r/>
      <w:bookmarkStart w:id="23" w:name="_Toc24302"/>
      <w:r/>
      <w:bookmarkEnd w:id="23"/>
      <w:r/>
      <w:bookmarkStart w:id="24" w:name="_Toc5667"/>
      <w:r/>
      <w:bookmarkStart w:id="25" w:name="_Toc29386"/>
      <w:r/>
      <w:bookmarkStart w:id="26" w:name="_Toc3188"/>
      <w:r/>
      <w:bookmarkStart w:id="27" w:name="_Toc414"/>
      <w:r/>
      <w:bookmarkStart w:id="28" w:name="_Toc6453"/>
      <w:r/>
      <w:bookmarkStart w:id="29" w:name="_Toc126"/>
      <w:r/>
      <w:bookmarkStart w:id="30" w:name="_Toc21686"/>
      <w:r/>
      <w:bookmarkStart w:id="31" w:name="_Toc24686"/>
      <w:r/>
      <w:bookmarkStart w:id="32" w:name="_Toc15078"/>
      <w:r/>
      <w:bookmarkStart w:id="33" w:name="_Toc23796"/>
      <w:r>
        <w:rPr>
          <w:rFonts w:hint="default" w:ascii="Times New Roman" w:hAnsi="Times New Roman" w:eastAsia="宋体" w:cs="Times New Roman"/>
          <w:b/>
          <w:bCs/>
          <w:color w:val="auto"/>
          <w:sz w:val="28"/>
          <w:szCs w:val="32"/>
          <w:highlight w:val="none"/>
          <w:lang w:val="en-US" w:eastAsia="zh-CN" w:bidi="ar-SA"/>
        </w:rPr>
        <w:t xml:space="preserve">无人机巢设施设备</w:t>
      </w:r>
      <w:bookmarkEnd w:id="24"/>
      <w:r/>
      <w:bookmarkEnd w:id="25"/>
      <w:r/>
      <w:bookmarkEnd w:id="26"/>
      <w:r/>
      <w:bookmarkEnd w:id="27"/>
      <w:r/>
      <w:bookmarkEnd w:id="28"/>
      <w:r/>
      <w:bookmarkEnd w:id="29"/>
      <w:r/>
      <w:bookmarkEnd w:id="30"/>
      <w:r/>
      <w:bookmarkEnd w:id="31"/>
      <w:r/>
      <w:bookmarkEnd w:id="32"/>
      <w:r/>
      <w:bookmarkEnd w:id="33"/>
      <w:r/>
      <w:r/>
    </w:p>
    <w:p>
      <w:pPr>
        <w:numPr>
          <w:ilvl w:val="2"/>
          <w:numId w:val="15"/>
        </w:numPr>
        <w:ind w:left="0" w:firstLine="0"/>
        <w:jc w:val="both"/>
        <w:keepLines/>
        <w:keepNext/>
        <w:pageBreakBefore w:val="0"/>
        <w:spacing w:line="360" w:lineRule="auto"/>
        <w:widowControl w:val="off"/>
        <w:tabs>
          <w:tab w:val="clear" w:pos="0" w:leader="none"/>
        </w:tabs>
        <w:rPr>
          <w:rFonts w:hint="default" w:ascii="Times New Roman" w:hAnsi="Times New Roman" w:eastAsia="宋体" w:cs="Times New Roman"/>
          <w:b/>
          <w:bCs/>
          <w:color w:val="auto"/>
          <w:sz w:val="24"/>
          <w:szCs w:val="32"/>
          <w:highlight w:val="none"/>
          <w:lang w:val="en-US" w:eastAsia="zh-CN" w:bidi="ar-SA"/>
        </w:rPr>
        <w:outlineLvl w:val="2"/>
      </w:pPr>
      <w:r>
        <w:rPr>
          <w:rFonts w:hint="eastAsia" w:cs="Times New Roman"/>
          <w:b/>
          <w:bCs/>
          <w:color w:val="auto"/>
          <w:sz w:val="24"/>
          <w:szCs w:val="32"/>
          <w:highlight w:val="none"/>
          <w:lang w:val="en-US" w:eastAsia="zh-CN" w:bidi="ar-SA"/>
        </w:rPr>
        <w:t xml:space="preserve">点位清单</w:t>
      </w:r>
      <w:r/>
    </w:p>
    <w:p>
      <w:pPr>
        <w:ind w:firstLine="480"/>
        <w:jc w:val="left"/>
        <w:spacing w:before="0" w:after="0" w:line="360" w:lineRule="auto"/>
        <w:widowControl/>
        <w:rPr>
          <w:rFonts w:ascii="Times New Roman" w:hAnsi="Times New Roman" w:eastAsia="宋体" w:cs="Times New Roman"/>
          <w:b w:val="0"/>
          <w:color w:val="auto"/>
          <w:sz w:val="24"/>
          <w:szCs w:val="22"/>
          <w:highlight w:val="none"/>
          <w:lang w:val="en-US" w:eastAsia="zh-CN" w:bidi="ar-SA"/>
        </w:rPr>
      </w:pPr>
      <w:r>
        <w:rPr>
          <w:rFonts w:hint="default"/>
          <w:color w:val="auto"/>
          <w:sz w:val="24"/>
          <w:szCs w:val="22"/>
          <w:highlight w:val="none"/>
          <w:lang w:val="en-US" w:eastAsia="zh-CN" w:bidi="ar-SA"/>
        </w:rPr>
        <w:t xml:space="preserve">7处无人机水生态监测设施</w:t>
      </w:r>
      <w:r>
        <w:rPr>
          <w:rFonts w:hint="eastAsia"/>
          <w:color w:val="auto"/>
          <w:sz w:val="24"/>
          <w:szCs w:val="22"/>
          <w:highlight w:val="none"/>
          <w:lang w:val="en-US" w:eastAsia="zh-CN" w:bidi="ar-SA"/>
        </w:rPr>
        <w:t xml:space="preserve">具体点位如下：</w:t>
      </w:r>
      <w:r/>
    </w:p>
    <w:p>
      <w:pPr>
        <w:ind w:firstLine="0"/>
        <w:jc w:val="center"/>
        <w:spacing w:before="0" w:after="0" w:line="360" w:lineRule="auto"/>
        <w:widowControl w:val="off"/>
        <w:rPr>
          <w:rFonts w:ascii="Times New Roman" w:hAnsi="Times New Roman" w:eastAsia="宋体" w:cs="Times New Roman"/>
          <w:b/>
          <w:color w:val="auto"/>
          <w:sz w:val="21"/>
          <w:szCs w:val="22"/>
          <w:highlight w:val="none"/>
          <w:lang w:val="en-US" w:eastAsia="zh-CN" w:bidi="ar-SA"/>
        </w:rPr>
      </w:pPr>
      <w:r>
        <w:rPr>
          <w:rFonts w:ascii="Times New Roman" w:hAnsi="Times New Roman" w:eastAsia="宋体" w:cs="Times New Roman"/>
          <w:b/>
          <w:color w:val="auto"/>
          <w:sz w:val="21"/>
          <w:szCs w:val="22"/>
          <w:highlight w:val="none"/>
          <w:lang w:val="en-US" w:eastAsia="zh-CN" w:bidi="ar-SA"/>
        </w:rPr>
        <w:t xml:space="preserve">表 </w:t>
      </w:r>
      <w:r>
        <w:rPr>
          <w:rFonts w:ascii="Times New Roman" w:hAnsi="Times New Roman" w:eastAsia="宋体" w:cs="Times New Roman"/>
          <w:b/>
          <w:color w:val="auto"/>
          <w:sz w:val="21"/>
          <w:szCs w:val="22"/>
          <w:highlight w:val="none"/>
          <w:lang w:val="en-US" w:eastAsia="zh-CN" w:bidi="ar-SA"/>
        </w:rPr>
        <w:fldChar w:fldCharType="begin"/>
      </w:r>
      <w:r>
        <w:rPr>
          <w:rFonts w:ascii="Times New Roman" w:hAnsi="Times New Roman" w:eastAsia="宋体" w:cs="Times New Roman"/>
          <w:b/>
          <w:color w:val="auto"/>
          <w:sz w:val="21"/>
          <w:szCs w:val="22"/>
          <w:highlight w:val="none"/>
          <w:lang w:val="en-US" w:eastAsia="zh-CN" w:bidi="ar-SA"/>
        </w:rPr>
        <w:instrText xml:space="preserve"> STYLEREF 1 \s </w:instrText>
      </w:r>
      <w:r>
        <w:rPr>
          <w:rFonts w:ascii="Times New Roman" w:hAnsi="Times New Roman" w:eastAsia="宋体" w:cs="Times New Roman"/>
          <w:b/>
          <w:color w:val="auto"/>
          <w:sz w:val="21"/>
          <w:szCs w:val="22"/>
          <w:highlight w:val="none"/>
          <w:lang w:val="en-US" w:eastAsia="zh-CN" w:bidi="ar-SA"/>
        </w:rPr>
        <w:fldChar w:fldCharType="separate"/>
      </w:r>
      <w:r>
        <w:rPr>
          <w:rFonts w:ascii="Times New Roman" w:hAnsi="Times New Roman" w:eastAsia="宋体" w:cs="Times New Roman"/>
          <w:b/>
          <w:color w:val="auto"/>
          <w:sz w:val="21"/>
          <w:szCs w:val="22"/>
          <w:highlight w:val="none"/>
          <w:lang w:val="en-US" w:eastAsia="zh-CN" w:bidi="ar-SA"/>
        </w:rPr>
        <w:t xml:space="preserve">6</w:t>
      </w:r>
      <w:r>
        <w:rPr>
          <w:rFonts w:ascii="Times New Roman" w:hAnsi="Times New Roman" w:eastAsia="宋体" w:cs="Times New Roman"/>
          <w:b/>
          <w:color w:val="auto"/>
          <w:sz w:val="21"/>
          <w:szCs w:val="22"/>
          <w:highlight w:val="none"/>
          <w:lang w:val="en-US" w:eastAsia="zh-CN" w:bidi="ar-SA"/>
        </w:rPr>
        <w:fldChar w:fldCharType="end"/>
      </w:r>
      <w:r>
        <w:rPr>
          <w:rFonts w:hint="default" w:ascii="Times New Roman" w:hAnsi="Times New Roman" w:eastAsia="宋体" w:cs="Times New Roman"/>
          <w:b/>
          <w:color w:val="auto"/>
          <w:sz w:val="21"/>
          <w:szCs w:val="22"/>
          <w:highlight w:val="none"/>
          <w:lang w:val="en-US" w:eastAsia="zh-CN" w:bidi="ar-SA"/>
        </w:rPr>
        <w:t xml:space="preserve">-</w:t>
      </w:r>
      <w:r>
        <w:rPr>
          <w:rFonts w:ascii="Times New Roman" w:hAnsi="Times New Roman" w:eastAsia="宋体" w:cs="Times New Roman"/>
          <w:b/>
          <w:color w:val="auto"/>
          <w:sz w:val="21"/>
          <w:szCs w:val="22"/>
          <w:highlight w:val="none"/>
          <w:lang w:val="en-US" w:eastAsia="zh-CN" w:bidi="ar-SA"/>
        </w:rPr>
        <w:fldChar w:fldCharType="begin"/>
      </w:r>
      <w:r>
        <w:rPr>
          <w:rFonts w:ascii="Times New Roman" w:hAnsi="Times New Roman" w:eastAsia="宋体" w:cs="Times New Roman"/>
          <w:b/>
          <w:color w:val="auto"/>
          <w:sz w:val="21"/>
          <w:szCs w:val="22"/>
          <w:highlight w:val="none"/>
          <w:lang w:val="en-US" w:eastAsia="zh-CN" w:bidi="ar-SA"/>
        </w:rPr>
        <w:instrText xml:space="preserve"> SEQ 表 \* ARABIC \s 1 </w:instrText>
      </w:r>
      <w:r>
        <w:rPr>
          <w:rFonts w:ascii="Times New Roman" w:hAnsi="Times New Roman" w:eastAsia="宋体" w:cs="Times New Roman"/>
          <w:b/>
          <w:color w:val="auto"/>
          <w:sz w:val="21"/>
          <w:szCs w:val="22"/>
          <w:highlight w:val="none"/>
          <w:lang w:val="en-US" w:eastAsia="zh-CN" w:bidi="ar-SA"/>
        </w:rPr>
        <w:fldChar w:fldCharType="separate"/>
      </w:r>
      <w:r>
        <w:rPr>
          <w:rFonts w:ascii="Times New Roman" w:hAnsi="Times New Roman" w:eastAsia="宋体" w:cs="Times New Roman"/>
          <w:b/>
          <w:color w:val="auto"/>
          <w:sz w:val="21"/>
          <w:szCs w:val="22"/>
          <w:highlight w:val="none"/>
          <w:lang w:val="en-US" w:eastAsia="zh-CN" w:bidi="ar-SA"/>
        </w:rPr>
        <w:t xml:space="preserve">1</w:t>
      </w:r>
      <w:r>
        <w:rPr>
          <w:rFonts w:ascii="Times New Roman" w:hAnsi="Times New Roman" w:eastAsia="宋体" w:cs="Times New Roman"/>
          <w:b/>
          <w:color w:val="auto"/>
          <w:sz w:val="21"/>
          <w:szCs w:val="22"/>
          <w:highlight w:val="none"/>
          <w:lang w:val="en-US" w:eastAsia="zh-CN" w:bidi="ar-SA"/>
        </w:rPr>
        <w:fldChar w:fldCharType="end"/>
      </w:r>
      <w:r>
        <w:rPr>
          <w:rFonts w:hint="default" w:ascii="Times New Roman" w:hAnsi="Times New Roman" w:eastAsia="宋体" w:cs="Times New Roman"/>
          <w:b/>
          <w:color w:val="auto"/>
          <w:sz w:val="21"/>
          <w:szCs w:val="22"/>
          <w:highlight w:val="none"/>
          <w:lang w:val="en-US" w:eastAsia="zh-CN" w:bidi="ar-SA"/>
        </w:rPr>
        <w:t xml:space="preserve">无人机机巢点位一览表</w:t>
      </w:r>
      <w:r/>
    </w:p>
    <w:tbl>
      <w:tblPr>
        <w:tblStyle w:val="726"/>
        <w:tblW w:w="99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006"/>
        <w:gridCol w:w="3884"/>
        <w:gridCol w:w="4068"/>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006" w:type="dxa"/>
            <w:vAlign w:val="center"/>
            <w:textDirection w:val="lrTb"/>
            <w:noWrap/>
          </w:tcPr>
          <w:p>
            <w:pPr>
              <w:ind w:firstLine="0"/>
              <w:jc w:val="center"/>
              <w:spacing w:line="240" w:lineRule="auto"/>
              <w:widowControl/>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tcPr>
          <w:p>
            <w:pPr>
              <w:ind w:firstLine="0"/>
              <w:jc w:val="center"/>
              <w:spacing w:line="240" w:lineRule="auto"/>
              <w:widowControl/>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tcPr>
          <w:p>
            <w:pPr>
              <w:ind w:firstLine="0"/>
              <w:jc w:val="center"/>
              <w:spacing w:line="240" w:lineRule="auto"/>
              <w:widowControl/>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监测河道/水域</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006"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梅梁湖东</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太湖（梅梁湖）</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006"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夹浦</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太湖（南部沿岸区）</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006"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小梅口</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太湖（南部沿岸区）</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006"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汤娄</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太湖（南部沿岸区）</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006"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西山</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太湖（胥湖）</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006"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箭湖</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太湖（胥湖）</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006"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渔洋山</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tcPr>
          <w:p>
            <w:pPr>
              <w:ind w:firstLine="0"/>
              <w:jc w:val="center"/>
              <w:spacing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太湖（胥湖）</w:t>
            </w:r>
            <w:r/>
          </w:p>
        </w:tc>
      </w:tr>
    </w:tbl>
    <w:p>
      <w:pPr>
        <w:numPr>
          <w:ilvl w:val="2"/>
          <w:numId w:val="15"/>
        </w:numPr>
        <w:ind w:left="0" w:firstLine="0"/>
        <w:jc w:val="both"/>
        <w:keepLines/>
        <w:keepNext/>
        <w:pageBreakBefore w:val="0"/>
        <w:spacing w:line="360" w:lineRule="auto"/>
        <w:widowControl w:val="off"/>
        <w:tabs>
          <w:tab w:val="clear" w:pos="0" w:leader="none"/>
        </w:tabs>
        <w:rPr>
          <w:rFonts w:hint="default" w:ascii="Times New Roman" w:hAnsi="Times New Roman" w:eastAsia="宋体" w:cs="Times New Roman"/>
          <w:b/>
          <w:bCs/>
          <w:color w:val="auto"/>
          <w:sz w:val="24"/>
          <w:szCs w:val="32"/>
          <w:highlight w:val="none"/>
          <w:lang w:val="en-US" w:eastAsia="zh-CN" w:bidi="ar-SA"/>
        </w:rPr>
        <w:outlineLvl w:val="2"/>
      </w:pPr>
      <w:r/>
      <w:bookmarkStart w:id="34" w:name="_Toc10781"/>
      <w:r/>
      <w:bookmarkStart w:id="35" w:name="_Toc4958"/>
      <w:r/>
      <w:bookmarkStart w:id="36" w:name="_Toc15374"/>
      <w:r/>
      <w:bookmarkStart w:id="37" w:name="_Toc8573"/>
      <w:r/>
      <w:bookmarkStart w:id="38" w:name="_Toc21563"/>
      <w:r/>
      <w:bookmarkStart w:id="39" w:name="_Toc21262"/>
      <w:r/>
      <w:bookmarkStart w:id="40" w:name="_Toc11229"/>
      <w:r/>
      <w:bookmarkStart w:id="41" w:name="_Toc6084"/>
      <w:r/>
      <w:bookmarkStart w:id="42" w:name="_Toc22715"/>
      <w:r/>
      <w:bookmarkStart w:id="43" w:name="_Toc3601"/>
      <w:r>
        <w:rPr>
          <w:rFonts w:hint="default" w:ascii="Times New Roman" w:hAnsi="Times New Roman" w:eastAsia="宋体" w:cs="Times New Roman"/>
          <w:b/>
          <w:bCs/>
          <w:color w:val="auto"/>
          <w:sz w:val="24"/>
          <w:szCs w:val="32"/>
          <w:highlight w:val="none"/>
          <w:lang w:val="en-US" w:eastAsia="zh-CN" w:bidi="ar-SA"/>
        </w:rPr>
        <w:t xml:space="preserve">无人机巢设施</w:t>
      </w:r>
      <w:bookmarkEnd w:id="34"/>
      <w:r/>
      <w:bookmarkEnd w:id="35"/>
      <w:r/>
      <w:bookmarkEnd w:id="36"/>
      <w:r/>
      <w:bookmarkEnd w:id="37"/>
      <w:r/>
      <w:bookmarkEnd w:id="38"/>
      <w:r/>
      <w:bookmarkEnd w:id="39"/>
      <w:r/>
      <w:bookmarkEnd w:id="40"/>
      <w:r/>
      <w:bookmarkEnd w:id="41"/>
      <w:r/>
      <w:bookmarkEnd w:id="42"/>
      <w:r/>
      <w:bookmarkEnd w:id="43"/>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无人机巢共建设7处，基础设施主要有基础底座、防护栏杆、标牌标识、供电、通信及防雷接地等配套设施。基础机构采用钢结构，长×宽为4.6m×4.6m，占地面积约21m</w:t>
      </w:r>
      <w:r>
        <w:rPr>
          <w:rFonts w:hint="default" w:ascii="Times New Roman" w:hAnsi="Times New Roman" w:eastAsia="宋体" w:cs="Times New Roman"/>
          <w:color w:val="auto"/>
          <w:sz w:val="24"/>
          <w:szCs w:val="22"/>
          <w:highlight w:val="none"/>
          <w:vertAlign w:val="superscript"/>
          <w:lang w:val="en-US" w:eastAsia="zh-CN" w:bidi="ar-SA"/>
        </w:rPr>
        <w:t xml:space="preserve">2</w:t>
      </w:r>
      <w:r>
        <w:rPr>
          <w:rFonts w:hint="default" w:ascii="Times New Roman" w:hAnsi="Times New Roman" w:eastAsia="宋体" w:cs="Times New Roman"/>
          <w:color w:val="auto"/>
          <w:sz w:val="24"/>
          <w:szCs w:val="22"/>
          <w:highlight w:val="none"/>
          <w:lang w:val="en-US" w:eastAsia="zh-CN" w:bidi="ar-SA"/>
        </w:rPr>
        <w:t xml:space="preserve">（此规模只做参考，可根据现场条件适当调整尺寸与布局），抗风荷载满足湖区长期运行要求；底座上部安装无人机巢，表面喷涂机巢标识，四周安装防护栏杆，并设置1道活动门用于进出。</w:t>
      </w:r>
      <w:r/>
    </w:p>
    <w:p>
      <w:pPr>
        <w:numPr>
          <w:ilvl w:val="0"/>
          <w:numId w:val="16"/>
        </w:num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桩基选型与防汛标准</w:t>
      </w:r>
      <w:r/>
    </w:p>
    <w:p>
      <w:pPr>
        <w:numPr>
          <w:ilvl w:val="0"/>
          <w:numId w:val="0"/>
        </w:num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 主材：φ152×8mm无缝钢管桩基，单根桩基入土深度≥1.8m，群桩排布适配八角底座荷载；</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 防汛标高：桩基顶部底座底面高于历史最高水位500mm，桩身水位区间段增加环氧煤沥青重防腐涂层，杜绝汛期长期浸泡锈蚀；</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 施工工艺：静压打桩施工，打桩完成后桩顶焊接预埋钢板，用于和上部H型钢底座螺栓连接，实现装配式拆分。</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2. 八角型钢承重底座</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 主材：150×150×10×7H型钢整体焊接八角框架，框架内部增设150×150×10×7H加强次梁；</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 铺面：40×4热镀锌格栅板，卡扣式固定，镂空结构快速排走雨水、湖水，减少积水荷载；</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 防腐处理：全部H型钢、格栅热镀锌加工，焊接打磨处补喷富锌防腐底漆+户外中间漆。</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3.</w:t>
      </w:r>
      <w:r>
        <w:rPr>
          <w:rFonts w:hint="default" w:ascii="Times New Roman" w:hAnsi="Times New Roman" w:eastAsia="宋体" w:cs="Times New Roman"/>
          <w:color w:val="auto"/>
          <w:sz w:val="24"/>
          <w:szCs w:val="22"/>
          <w:highlight w:val="none"/>
          <w:lang w:val="en-US" w:eastAsia="zh-CN" w:bidi="ar-SA"/>
        </w:rPr>
        <w:t xml:space="preserve">304圆形</w:t>
      </w:r>
      <w:r>
        <w:rPr>
          <w:rFonts w:hint="eastAsia" w:cs="Times New Roman"/>
          <w:color w:val="auto"/>
          <w:sz w:val="24"/>
          <w:szCs w:val="22"/>
          <w:highlight w:val="none"/>
          <w:lang w:val="en-US" w:eastAsia="zh-CN" w:bidi="ar-SA"/>
        </w:rPr>
        <w:t xml:space="preserve">停机坪</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w:t>
      </w:r>
      <w:r>
        <w:rPr>
          <w:rFonts w:hint="default" w:ascii="Times New Roman" w:hAnsi="Times New Roman" w:eastAsia="宋体" w:cs="Times New Roman"/>
          <w:color w:val="auto"/>
          <w:sz w:val="24"/>
          <w:szCs w:val="22"/>
          <w:highlight w:val="none"/>
          <w:lang w:val="en-US" w:eastAsia="zh-CN" w:bidi="ar-SA"/>
        </w:rPr>
        <w:t xml:space="preserve">尺寸参数</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不锈钢圆形底座直径1500mm，平台主体高度300mm，上层基座连接高度700mm，整体模块化分3段预制。</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4.防护</w:t>
      </w:r>
      <w:r>
        <w:rPr>
          <w:rFonts w:hint="default" w:ascii="Times New Roman" w:hAnsi="Times New Roman" w:eastAsia="宋体" w:cs="Times New Roman"/>
          <w:color w:val="auto"/>
          <w:sz w:val="24"/>
          <w:szCs w:val="22"/>
          <w:highlight w:val="none"/>
          <w:lang w:val="en-US" w:eastAsia="zh-CN" w:bidi="ar-SA"/>
        </w:rPr>
        <w:t xml:space="preserve">围挡</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w:t>
      </w:r>
      <w:r>
        <w:rPr>
          <w:rFonts w:hint="eastAsia"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框架分层管材配置</w:t>
      </w:r>
      <w:r/>
    </w:p>
    <w:p>
      <w:pPr>
        <w:ind w:firstLine="72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w:t>
      </w:r>
      <w:r>
        <w:rPr>
          <w:rFonts w:hint="default" w:ascii="Times New Roman" w:hAnsi="Times New Roman" w:eastAsia="宋体" w:cs="Times New Roman"/>
          <w:color w:val="auto"/>
          <w:sz w:val="24"/>
          <w:szCs w:val="22"/>
          <w:highlight w:val="none"/>
          <w:lang w:val="en-US" w:eastAsia="zh-CN" w:bidi="ar-SA"/>
        </w:rPr>
        <w:t xml:space="preserve">底部承重主框：100×100×2mm热镀锌方管，与八角底座预埋钢板螺栓固定；</w:t>
      </w:r>
      <w:r/>
    </w:p>
    <w:p>
      <w:pPr>
        <w:ind w:firstLine="72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w:t>
      </w:r>
      <w:r>
        <w:rPr>
          <w:rFonts w:hint="default" w:ascii="Times New Roman" w:hAnsi="Times New Roman" w:eastAsia="宋体" w:cs="Times New Roman"/>
          <w:color w:val="auto"/>
          <w:sz w:val="24"/>
          <w:szCs w:val="22"/>
          <w:highlight w:val="none"/>
          <w:lang w:val="en-US" w:eastAsia="zh-CN" w:bidi="ar-SA"/>
        </w:rPr>
        <w:t xml:space="preserve">中间分格龙骨：40×40×2mm镀锌方管，竖向间距1800mm；</w:t>
      </w:r>
      <w:r/>
    </w:p>
    <w:p>
      <w:pPr>
        <w:ind w:firstLine="72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3）</w:t>
      </w:r>
      <w:r>
        <w:rPr>
          <w:rFonts w:hint="default" w:ascii="Times New Roman" w:hAnsi="Times New Roman" w:eastAsia="宋体" w:cs="Times New Roman"/>
          <w:color w:val="auto"/>
          <w:sz w:val="24"/>
          <w:szCs w:val="22"/>
          <w:highlight w:val="none"/>
          <w:lang w:val="en-US" w:eastAsia="zh-CN" w:bidi="ar-SA"/>
        </w:rPr>
        <w:t xml:space="preserve">钢化玻璃竖向支撑档：20×20×1.5mm镀锌薄壁钢管，玻璃两侧对称设置；</w:t>
      </w:r>
      <w:r/>
    </w:p>
    <w:p>
      <w:pPr>
        <w:ind w:firstLine="72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4）铝合金孔冲板：2mm厚6061铝合金，底部200mm高四边折边冲孔，使用玻璃胶固定，上面使用600高度八边做四边折边冲孔</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机巢通过接入市电作为主供电系统，配置过载、短路、漏电及浪涌保护；通信采用有线专网与无线通信结合方式，确保无人机巡检数据、视频、状态稳定回传。设施整体满足全天候、全自动、无人值守运行条件，可实现无人机自动巡航、自动换电、任务调度及数据回传一体化作业。典型设计示意图见下图。</w:t>
      </w:r>
      <w:r/>
    </w:p>
    <w:p>
      <w:pPr>
        <w:pStyle w:val="718"/>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对于在屋顶等不适用外围防护围栏的建设地点，可仅简易建设304不锈钢圆形停机坪及配套设施。具体可根据现场情况调整。</w:t>
      </w:r>
      <w:r/>
    </w:p>
    <w:p>
      <w:pPr>
        <w:ind w:firstLine="0"/>
        <w:jc w:val="center"/>
        <w:spacing w:before="0" w:after="0" w:line="360" w:lineRule="auto"/>
        <w:widowControl w:val="off"/>
        <w:rPr>
          <w:rFonts w:hint="default" w:ascii="Times New Roman" w:hAnsi="Times New Roman" w:eastAsia="宋体" w:cs="Times New Roman"/>
          <w:b/>
          <w:color w:val="auto"/>
          <w:sz w:val="21"/>
          <w:szCs w:val="22"/>
          <w:highlight w:val="none"/>
          <w:lang w:val="en-US" w:eastAsia="zh-CN" w:bidi="ar-SA"/>
        </w:rPr>
      </w:pPr>
      <w:r>
        <w:rPr>
          <w:rFonts w:hint="default" w:ascii="Times New Roman" w:hAnsi="Times New Roman" w:eastAsia="宋体" w:cs="Times New Roman"/>
          <w:b/>
          <w:color w:val="auto"/>
          <w:sz w:val="21"/>
          <w:szCs w:val="22"/>
          <w:highlight w:val="none"/>
          <w:lang w:val="en-US" w:eastAsia="zh-CN" w:bidi="ar-SA"/>
        </w:rPr>
        <mc:AlternateContent>
          <mc:Choice Requires="wpg">
            <w:drawing>
              <wp:inline xmlns:wp="http://schemas.openxmlformats.org/drawingml/2006/wordprocessingDrawing" distT="0" distB="0" distL="0" distR="0">
                <wp:extent cx="4491355" cy="3144520"/>
                <wp:effectExtent l="0" t="0" r="4445" b="17780"/>
                <wp:docPr id="2" name="图片 21" descr="0a46600f2ab49fdf65235e4ed480f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a46600f2ab49fdf65235e4ed480f614"/>
                        <pic:cNvPicPr>
                          <a:picLocks noChangeAspect="1"/>
                        </pic:cNvPicPr>
                        <pic:nvPr/>
                      </pic:nvPicPr>
                      <pic:blipFill>
                        <a:blip r:embed="rId14"/>
                        <a:stretch/>
                      </pic:blipFill>
                      <pic:spPr bwMode="auto">
                        <a:xfrm>
                          <a:off x="0" y="0"/>
                          <a:ext cx="4491355" cy="3144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3.6pt;height:247.6pt;mso-wrap-distance-left:0.0pt;mso-wrap-distance-top:0.0pt;mso-wrap-distance-right:0.0pt;mso-wrap-distance-bottom:0.0pt;" stroked="false">
                <v:path textboxrect="0,0,0,0"/>
                <v:imagedata r:id="rId14" o:title=""/>
              </v:shape>
            </w:pict>
          </mc:Fallback>
        </mc:AlternateContent>
      </w:r>
      <w:r/>
    </w:p>
    <w:p>
      <w:pPr>
        <w:ind w:firstLine="0"/>
        <w:jc w:val="center"/>
        <w:spacing w:before="0" w:after="0" w:line="360" w:lineRule="auto"/>
        <w:widowControl w:val="off"/>
        <w:rPr>
          <w:rFonts w:hint="default" w:ascii="Times New Roman" w:hAnsi="Times New Roman" w:eastAsia="宋体" w:cs="Times New Roman"/>
          <w:b/>
          <w:color w:val="auto"/>
          <w:sz w:val="21"/>
          <w:szCs w:val="22"/>
          <w:highlight w:val="none"/>
          <w:lang w:val="en-US" w:eastAsia="zh-CN" w:bidi="ar-SA"/>
        </w:rPr>
      </w:pPr>
      <w:r>
        <w:rPr>
          <w:rFonts w:ascii="Times New Roman" w:hAnsi="Times New Roman" w:eastAsia="宋体" w:cs="Times New Roman"/>
          <w:b/>
          <w:color w:val="auto"/>
          <w:sz w:val="21"/>
          <w:szCs w:val="22"/>
          <w:highlight w:val="none"/>
          <w:lang w:val="en-US" w:eastAsia="zh-CN" w:bidi="ar-SA"/>
        </w:rPr>
        <w:t xml:space="preserve">图 </w:t>
      </w:r>
      <w:r>
        <w:rPr>
          <w:rFonts w:hint="eastAsia" w:ascii="Times New Roman" w:hAnsi="Times New Roman" w:eastAsia="宋体" w:cs="Times New Roman"/>
          <w:b/>
          <w:color w:val="auto"/>
          <w:sz w:val="21"/>
          <w:szCs w:val="22"/>
          <w:highlight w:val="none"/>
          <w:lang w:val="en-US" w:eastAsia="zh-CN" w:bidi="ar-SA"/>
        </w:rPr>
        <w:t xml:space="preserve">1</w:t>
      </w:r>
      <w:r>
        <w:rPr>
          <w:rFonts w:hint="default" w:ascii="Times New Roman" w:hAnsi="Times New Roman" w:eastAsia="宋体" w:cs="Times New Roman"/>
          <w:b/>
          <w:color w:val="auto"/>
          <w:sz w:val="21"/>
          <w:szCs w:val="22"/>
          <w:highlight w:val="none"/>
          <w:lang w:val="en-US" w:eastAsia="zh-CN" w:bidi="ar-SA"/>
        </w:rPr>
        <w:t xml:space="preserve">-</w:t>
      </w:r>
      <w:r>
        <w:rPr>
          <w:rFonts w:ascii="Times New Roman" w:hAnsi="Times New Roman" w:eastAsia="宋体" w:cs="Times New Roman"/>
          <w:b/>
          <w:color w:val="auto"/>
          <w:sz w:val="21"/>
          <w:szCs w:val="22"/>
          <w:highlight w:val="none"/>
          <w:lang w:val="en-US" w:eastAsia="zh-CN" w:bidi="ar-SA"/>
        </w:rPr>
        <w:fldChar w:fldCharType="begin"/>
      </w:r>
      <w:r>
        <w:rPr>
          <w:rFonts w:ascii="Times New Roman" w:hAnsi="Times New Roman" w:eastAsia="宋体" w:cs="Times New Roman"/>
          <w:b/>
          <w:color w:val="auto"/>
          <w:sz w:val="21"/>
          <w:szCs w:val="22"/>
          <w:highlight w:val="none"/>
          <w:lang w:val="en-US" w:eastAsia="zh-CN" w:bidi="ar-SA"/>
        </w:rPr>
        <w:instrText xml:space="preserve"> SEQ 图 \* ARABIC \s 1 </w:instrText>
      </w:r>
      <w:r>
        <w:rPr>
          <w:rFonts w:ascii="Times New Roman" w:hAnsi="Times New Roman" w:eastAsia="宋体" w:cs="Times New Roman"/>
          <w:b/>
          <w:color w:val="auto"/>
          <w:sz w:val="21"/>
          <w:szCs w:val="22"/>
          <w:highlight w:val="none"/>
          <w:lang w:val="en-US" w:eastAsia="zh-CN" w:bidi="ar-SA"/>
        </w:rPr>
        <w:fldChar w:fldCharType="separate"/>
      </w:r>
      <w:r>
        <w:rPr>
          <w:rFonts w:ascii="Times New Roman" w:hAnsi="Times New Roman" w:eastAsia="宋体" w:cs="Times New Roman"/>
          <w:b/>
          <w:color w:val="auto"/>
          <w:sz w:val="21"/>
          <w:szCs w:val="22"/>
          <w:highlight w:val="none"/>
          <w:lang w:val="en-US" w:eastAsia="zh-CN" w:bidi="ar-SA"/>
        </w:rPr>
        <w:t xml:space="preserve">1</w:t>
      </w:r>
      <w:r>
        <w:rPr>
          <w:rFonts w:ascii="Times New Roman" w:hAnsi="Times New Roman" w:eastAsia="宋体" w:cs="Times New Roman"/>
          <w:b/>
          <w:color w:val="auto"/>
          <w:sz w:val="21"/>
          <w:szCs w:val="22"/>
          <w:highlight w:val="none"/>
          <w:lang w:val="en-US" w:eastAsia="zh-CN" w:bidi="ar-SA"/>
        </w:rPr>
        <w:fldChar w:fldCharType="end"/>
      </w:r>
      <w:r>
        <w:rPr>
          <w:rFonts w:hint="default" w:ascii="Times New Roman" w:hAnsi="Times New Roman" w:eastAsia="宋体" w:cs="Times New Roman"/>
          <w:b/>
          <w:color w:val="auto"/>
          <w:sz w:val="21"/>
          <w:szCs w:val="22"/>
          <w:highlight w:val="none"/>
          <w:lang w:val="en-US" w:eastAsia="zh-CN" w:bidi="ar-SA"/>
        </w:rPr>
        <w:t xml:space="preserve"> </w:t>
      </w:r>
      <w:r>
        <w:rPr>
          <w:rFonts w:hint="eastAsia" w:ascii="Times New Roman" w:hAnsi="Times New Roman" w:eastAsia="宋体" w:cs="Times New Roman"/>
          <w:b/>
          <w:color w:val="auto"/>
          <w:sz w:val="21"/>
          <w:szCs w:val="22"/>
          <w:highlight w:val="none"/>
          <w:lang w:val="en-US" w:eastAsia="zh-CN" w:bidi="ar-SA"/>
        </w:rPr>
        <w:t xml:space="preserve"> </w:t>
      </w:r>
      <w:r>
        <w:rPr>
          <w:rFonts w:hint="default" w:ascii="Times New Roman" w:hAnsi="Times New Roman" w:eastAsia="宋体" w:cs="Times New Roman"/>
          <w:b/>
          <w:color w:val="auto"/>
          <w:sz w:val="21"/>
          <w:szCs w:val="22"/>
          <w:highlight w:val="none"/>
          <w:lang w:val="en-US" w:eastAsia="zh-CN" w:bidi="ar-SA"/>
        </w:rPr>
        <w:t xml:space="preserve">无人机巢设施示意图</w:t>
      </w:r>
      <w:r/>
    </w:p>
    <w:p>
      <w:pPr>
        <w:numPr>
          <w:ilvl w:val="2"/>
          <w:numId w:val="15"/>
        </w:numPr>
        <w:ind w:left="0" w:firstLine="0"/>
        <w:jc w:val="both"/>
        <w:keepLines/>
        <w:keepNext/>
        <w:pageBreakBefore w:val="0"/>
        <w:spacing w:line="360" w:lineRule="auto"/>
        <w:widowControl w:val="off"/>
        <w:tabs>
          <w:tab w:val="clear" w:pos="0" w:leader="none"/>
        </w:tabs>
        <w:rPr>
          <w:rFonts w:hint="default" w:ascii="Times New Roman" w:hAnsi="Times New Roman" w:eastAsia="宋体" w:cs="Times New Roman"/>
          <w:b/>
          <w:bCs/>
          <w:color w:val="auto"/>
          <w:sz w:val="24"/>
          <w:szCs w:val="32"/>
          <w:highlight w:val="none"/>
          <w:lang w:val="en-US" w:eastAsia="zh-CN" w:bidi="ar-SA"/>
        </w:rPr>
        <w:outlineLvl w:val="2"/>
      </w:pPr>
      <w:r/>
      <w:bookmarkStart w:id="44" w:name="_Toc1316"/>
      <w:r/>
      <w:bookmarkStart w:id="45" w:name="_Toc16140"/>
      <w:r/>
      <w:bookmarkStart w:id="46" w:name="_Toc4180"/>
      <w:r/>
      <w:bookmarkStart w:id="47" w:name="_Toc28979"/>
      <w:r/>
      <w:bookmarkStart w:id="48" w:name="_Toc16994"/>
      <w:r/>
      <w:bookmarkStart w:id="49" w:name="_Toc3066"/>
      <w:r/>
      <w:bookmarkStart w:id="50" w:name="_Toc21071"/>
      <w:r/>
      <w:bookmarkStart w:id="51" w:name="_Toc29064"/>
      <w:r/>
      <w:bookmarkStart w:id="52" w:name="_Toc19373"/>
      <w:r/>
      <w:bookmarkStart w:id="53" w:name="_Toc20136"/>
      <w:r>
        <w:rPr>
          <w:rFonts w:hint="default" w:ascii="Times New Roman" w:hAnsi="Times New Roman" w:eastAsia="宋体" w:cs="Times New Roman"/>
          <w:b/>
          <w:bCs/>
          <w:color w:val="auto"/>
          <w:sz w:val="24"/>
          <w:szCs w:val="32"/>
          <w:highlight w:val="none"/>
          <w:lang w:val="en-US" w:eastAsia="zh-CN" w:bidi="ar-SA"/>
        </w:rPr>
        <w:t xml:space="preserve">无人机巢设备</w:t>
      </w:r>
      <w:bookmarkEnd w:id="44"/>
      <w:r/>
      <w:bookmarkEnd w:id="45"/>
      <w:r/>
      <w:bookmarkEnd w:id="46"/>
      <w:r/>
      <w:bookmarkEnd w:id="47"/>
      <w:r/>
      <w:bookmarkEnd w:id="48"/>
      <w:r/>
      <w:bookmarkEnd w:id="49"/>
      <w:r/>
      <w:bookmarkEnd w:id="50"/>
      <w:r/>
      <w:bookmarkEnd w:id="51"/>
      <w:r/>
      <w:bookmarkEnd w:id="52"/>
      <w:r/>
      <w:bookmarkEnd w:id="53"/>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无人机巢设备能够实现无人机存储以及放飞回收、充能功能。不工作时，无人机待机在自动机巢内；工作时，机巢舱门打开，升降平台上升至顶部，无人机自动飞出进行作业。机巢具备内部温湿度调节能力，保障无人机电池正常充放电；无人值守状态下，自动机巢需观测外部实时气象信息，如风速风向、温度湿度等气象数据，并自动判断起飞环境，确保无人机飞行安全。</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无人机巢设备由</w:t>
      </w:r>
      <w:r>
        <w:rPr>
          <w:rFonts w:hint="eastAsia" w:ascii="Times New Roman" w:hAnsi="Times New Roman" w:eastAsia="宋体" w:cs="Times New Roman"/>
          <w:color w:val="auto"/>
          <w:sz w:val="24"/>
          <w:szCs w:val="22"/>
          <w:highlight w:val="none"/>
          <w:lang w:val="en-US" w:eastAsia="zh-CN" w:bidi="ar-SA"/>
        </w:rPr>
        <w:t xml:space="preserve">1</w:t>
      </w:r>
      <w:r>
        <w:rPr>
          <w:rFonts w:hint="default" w:ascii="Times New Roman" w:hAnsi="Times New Roman" w:eastAsia="宋体" w:cs="Times New Roman"/>
          <w:color w:val="auto"/>
          <w:sz w:val="24"/>
          <w:szCs w:val="22"/>
          <w:highlight w:val="none"/>
          <w:lang w:val="en-US" w:eastAsia="zh-CN" w:bidi="ar-SA"/>
        </w:rPr>
        <w:t xml:space="preserve">型和</w:t>
      </w:r>
      <w:r>
        <w:rPr>
          <w:rFonts w:hint="eastAsia" w:ascii="Times New Roman" w:hAnsi="Times New Roman" w:eastAsia="宋体" w:cs="Times New Roman"/>
          <w:color w:val="auto"/>
          <w:sz w:val="24"/>
          <w:szCs w:val="22"/>
          <w:highlight w:val="none"/>
          <w:lang w:val="en-US" w:eastAsia="zh-CN" w:bidi="ar-SA"/>
        </w:rPr>
        <w:t xml:space="preserve">2</w:t>
      </w:r>
      <w:r>
        <w:rPr>
          <w:rFonts w:hint="default" w:ascii="Times New Roman" w:hAnsi="Times New Roman" w:eastAsia="宋体" w:cs="Times New Roman"/>
          <w:color w:val="auto"/>
          <w:sz w:val="24"/>
          <w:szCs w:val="22"/>
          <w:highlight w:val="none"/>
          <w:lang w:val="en-US" w:eastAsia="zh-CN" w:bidi="ar-SA"/>
        </w:rPr>
        <w:t xml:space="preserve">型组成，其中</w:t>
      </w:r>
      <w:r>
        <w:rPr>
          <w:rFonts w:hint="eastAsia" w:ascii="Times New Roman" w:hAnsi="Times New Roman" w:eastAsia="宋体" w:cs="Times New Roman"/>
          <w:color w:val="auto"/>
          <w:sz w:val="24"/>
          <w:szCs w:val="22"/>
          <w:highlight w:val="none"/>
          <w:lang w:val="en-US" w:eastAsia="zh-CN" w:bidi="ar-SA"/>
        </w:rPr>
        <w:t xml:space="preserve">1</w:t>
      </w:r>
      <w:r>
        <w:rPr>
          <w:rFonts w:hint="default" w:ascii="Times New Roman" w:hAnsi="Times New Roman" w:eastAsia="宋体" w:cs="Times New Roman"/>
          <w:color w:val="auto"/>
          <w:sz w:val="24"/>
          <w:szCs w:val="22"/>
          <w:highlight w:val="none"/>
          <w:lang w:val="en-US" w:eastAsia="zh-CN" w:bidi="ar-SA"/>
        </w:rPr>
        <w:t xml:space="preserve">型</w:t>
      </w:r>
      <w:r>
        <w:rPr>
          <w:rFonts w:hint="eastAsia" w:ascii="Times New Roman" w:hAnsi="Times New Roman" w:eastAsia="宋体" w:cs="Times New Roman"/>
          <w:color w:val="auto"/>
          <w:sz w:val="24"/>
          <w:szCs w:val="22"/>
          <w:highlight w:val="none"/>
          <w:lang w:val="en-US" w:eastAsia="zh-CN" w:bidi="ar-SA"/>
        </w:rPr>
        <w:t xml:space="preserve">2</w:t>
      </w:r>
      <w:r>
        <w:rPr>
          <w:rFonts w:hint="default" w:ascii="Times New Roman" w:hAnsi="Times New Roman" w:eastAsia="宋体" w:cs="Times New Roman"/>
          <w:color w:val="auto"/>
          <w:sz w:val="24"/>
          <w:szCs w:val="22"/>
          <w:highlight w:val="none"/>
          <w:lang w:val="en-US" w:eastAsia="zh-CN" w:bidi="ar-SA"/>
        </w:rPr>
        <w:t xml:space="preserve">套，</w:t>
      </w:r>
      <w:r>
        <w:rPr>
          <w:rFonts w:hint="eastAsia" w:ascii="Times New Roman" w:hAnsi="Times New Roman" w:eastAsia="宋体" w:cs="Times New Roman"/>
          <w:color w:val="auto"/>
          <w:sz w:val="24"/>
          <w:szCs w:val="22"/>
          <w:highlight w:val="none"/>
          <w:lang w:val="en-US" w:eastAsia="zh-CN" w:bidi="ar-SA"/>
        </w:rPr>
        <w:t xml:space="preserve">2</w:t>
      </w:r>
      <w:r>
        <w:rPr>
          <w:rFonts w:hint="default" w:ascii="Times New Roman" w:hAnsi="Times New Roman" w:eastAsia="宋体" w:cs="Times New Roman"/>
          <w:color w:val="auto"/>
          <w:sz w:val="24"/>
          <w:szCs w:val="22"/>
          <w:highlight w:val="none"/>
          <w:lang w:val="en-US" w:eastAsia="zh-CN" w:bidi="ar-SA"/>
        </w:rPr>
        <w:t xml:space="preserve">型</w:t>
      </w:r>
      <w:r>
        <w:rPr>
          <w:rFonts w:hint="eastAsia" w:ascii="Times New Roman" w:hAnsi="Times New Roman" w:eastAsia="宋体" w:cs="Times New Roman"/>
          <w:color w:val="auto"/>
          <w:sz w:val="24"/>
          <w:szCs w:val="22"/>
          <w:highlight w:val="none"/>
          <w:lang w:val="en-US" w:eastAsia="zh-CN" w:bidi="ar-SA"/>
        </w:rPr>
        <w:t xml:space="preserve">5</w:t>
      </w:r>
      <w:r>
        <w:rPr>
          <w:rFonts w:hint="default" w:ascii="Times New Roman" w:hAnsi="Times New Roman" w:eastAsia="宋体" w:cs="Times New Roman"/>
          <w:color w:val="auto"/>
          <w:sz w:val="24"/>
          <w:szCs w:val="22"/>
          <w:highlight w:val="none"/>
          <w:lang w:val="en-US" w:eastAsia="zh-CN" w:bidi="ar-SA"/>
        </w:rPr>
        <w:t xml:space="preserve">套。</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无人机巢设备配置3.84TB容量SSD硬盘 1块。</w:t>
      </w:r>
      <w:r/>
    </w:p>
    <w:p>
      <w:pPr>
        <w:ind w:firstLine="482"/>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无人机巢设备</w:t>
      </w:r>
      <w:r>
        <w:rPr>
          <w:rFonts w:hint="eastAsia" w:ascii="Times New Roman" w:hAnsi="Times New Roman" w:eastAsia="宋体" w:cs="Times New Roman"/>
          <w:b/>
          <w:bCs/>
          <w:color w:val="auto"/>
          <w:sz w:val="24"/>
          <w:szCs w:val="22"/>
          <w:highlight w:val="none"/>
          <w:lang w:val="en-US" w:eastAsia="zh-CN" w:bidi="ar-SA"/>
        </w:rPr>
        <w:t xml:space="preserve">1型</w:t>
      </w:r>
      <w:r>
        <w:rPr>
          <w:rFonts w:hint="default" w:ascii="Times New Roman" w:hAnsi="Times New Roman" w:eastAsia="宋体" w:cs="Times New Roman"/>
          <w:b/>
          <w:bCs/>
          <w:color w:val="auto"/>
          <w:sz w:val="24"/>
          <w:szCs w:val="22"/>
          <w:highlight w:val="none"/>
          <w:lang w:val="en-US" w:eastAsia="zh-CN" w:bidi="ar-SA"/>
        </w:rPr>
        <w:t xml:space="preserve">主要技术参数如下：</w:t>
      </w:r>
      <w:r/>
    </w:p>
    <w:p>
      <w:pPr>
        <w:ind w:firstLine="482"/>
        <w:spacing w:line="360" w:lineRule="auto"/>
        <w:rPr>
          <w:rFonts w:hint="default" w:ascii="Times New Roman" w:hAnsi="Times New Roman" w:eastAsia="宋体" w:cs="Times New Roman"/>
          <w:b/>
          <w:bCs/>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1.</w:t>
      </w:r>
      <w:r>
        <w:rPr>
          <w:rFonts w:hint="default" w:ascii="Times New Roman" w:hAnsi="Times New Roman" w:eastAsia="宋体" w:cs="Times New Roman"/>
          <w:b/>
          <w:bCs/>
          <w:color w:val="auto"/>
          <w:sz w:val="24"/>
          <w:szCs w:val="22"/>
          <w:highlight w:val="none"/>
          <w:lang w:val="en-US" w:eastAsia="zh-CN" w:bidi="ar-SA"/>
        </w:rPr>
        <w:t xml:space="preserve">机巢</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整机重量：≤35kg</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外形尺寸：≤长600毫米，宽600毫米，高500毫米</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防护等级：≥IP55</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最大允许降落风速：≥5级</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最大运行</w:t>
      </w:r>
      <w:r>
        <w:rPr>
          <w:rFonts w:hint="eastAsia" w:cs="Times New Roman"/>
          <w:color w:val="auto"/>
          <w:sz w:val="24"/>
          <w:szCs w:val="22"/>
          <w:highlight w:val="none"/>
          <w:lang w:val="en-US" w:eastAsia="zh-CN" w:bidi="ar-SA"/>
        </w:rPr>
        <w:t xml:space="preserve">海拔</w:t>
      </w:r>
      <w:r>
        <w:rPr>
          <w:rFonts w:hint="default" w:ascii="Times New Roman" w:hAnsi="Times New Roman" w:eastAsia="宋体" w:cs="Times New Roman"/>
          <w:color w:val="auto"/>
          <w:sz w:val="24"/>
          <w:szCs w:val="22"/>
          <w:highlight w:val="none"/>
          <w:lang w:val="en-US" w:eastAsia="zh-CN" w:bidi="ar-SA"/>
        </w:rPr>
        <w:t xml:space="preserve">：≥4000米</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RTK基站卫星接收频率：设备所含RTK基站可同时接收GPS、GLONASS、BEIDOU、GALILEO四种卫星信号。</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RTK 基站定位精准度：设备所含RTK基站定位精度：</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水平精度≤1 cm+1 ppm（RMS）</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垂直精度≤2 cm+1 ppm（RMS）</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充电时间：从20% 充至 90%小于35分钟</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空调类型：需要内置TEC空调</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续航时间：备用电池续航不少于5小时</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支持车载部署：支持车载部署，无人机及机巢在长时间车载移动过程中不会损坏</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机巢标识灯：机巢集成标识灯，可以用于夜间返航</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4G接入：设备可使用蜂窝模块和SIM卡通过4G实现网络接入整机</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质保期：一年</w:t>
      </w:r>
      <w:r/>
    </w:p>
    <w:p>
      <w:pPr>
        <w:numPr>
          <w:ilvl w:val="0"/>
          <w:numId w:val="17"/>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技术跟踪保障：一年</w:t>
      </w:r>
      <w:r/>
    </w:p>
    <w:p>
      <w:pPr>
        <w:ind w:firstLine="482"/>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2、无人机</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起飞重量（含电池、普通桨叶和microSD卡、无配件）：≤1450 g</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最大起飞重量：≥ 1600 g</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折叠后尺寸（长×宽×高）：≤340×400×160mm</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对角线轴距：≤470 mm</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最大信号有效距离（无干扰、无遮挡）：≥15km</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最长飞行时间：≥50分钟</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最大可抗风速：≥8m/s</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感知系统类型：机身六向避障</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相机：搭载广角、长焦、红外相机</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防护等级：不低于IP54</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GNSS定位悬停精度：垂直≤0.5 m，水平≤0.5 m</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RTK定位悬停精度：垂直≤0.1 m，水平≤0.1 m</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支持培训</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质保期：一年</w:t>
      </w:r>
      <w:r/>
    </w:p>
    <w:p>
      <w:pPr>
        <w:numPr>
          <w:ilvl w:val="0"/>
          <w:numId w:val="18"/>
        </w:numPr>
        <w:ind w:left="425" w:hanging="425"/>
        <w:spacing w:line="360" w:lineRule="auto"/>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技术跟踪保障：一年</w:t>
      </w:r>
      <w:r/>
    </w:p>
    <w:p>
      <w:pPr>
        <w:ind w:firstLine="482"/>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无人机巢设备</w:t>
      </w:r>
      <w:r>
        <w:rPr>
          <w:rFonts w:hint="eastAsia" w:ascii="Times New Roman" w:hAnsi="Times New Roman" w:eastAsia="宋体" w:cs="Times New Roman"/>
          <w:b/>
          <w:bCs/>
          <w:color w:val="auto"/>
          <w:sz w:val="24"/>
          <w:szCs w:val="22"/>
          <w:highlight w:val="none"/>
          <w:lang w:val="en-US" w:eastAsia="zh-CN" w:bidi="ar-SA"/>
        </w:rPr>
        <w:t xml:space="preserve">2型</w:t>
      </w:r>
      <w:r>
        <w:rPr>
          <w:rFonts w:hint="default" w:ascii="Times New Roman" w:hAnsi="Times New Roman" w:eastAsia="宋体" w:cs="Times New Roman"/>
          <w:b/>
          <w:bCs/>
          <w:color w:val="auto"/>
          <w:sz w:val="24"/>
          <w:szCs w:val="22"/>
          <w:highlight w:val="none"/>
          <w:lang w:val="en-US" w:eastAsia="zh-CN" w:bidi="ar-SA"/>
        </w:rPr>
        <w:t xml:space="preserve">主要技术参数如下：</w:t>
      </w:r>
      <w:r/>
    </w:p>
    <w:p>
      <w:pPr>
        <w:ind w:firstLine="482"/>
        <w:spacing w:line="360" w:lineRule="auto"/>
        <w:rPr>
          <w:rFonts w:hint="default" w:ascii="Times New Roman" w:hAnsi="Times New Roman" w:eastAsia="宋体" w:cs="Times New Roman"/>
          <w:b/>
          <w:bCs/>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1.</w:t>
      </w:r>
      <w:r>
        <w:rPr>
          <w:rFonts w:hint="default" w:ascii="Times New Roman" w:hAnsi="Times New Roman" w:eastAsia="宋体" w:cs="Times New Roman"/>
          <w:b/>
          <w:bCs/>
          <w:color w:val="auto"/>
          <w:sz w:val="24"/>
          <w:szCs w:val="22"/>
          <w:highlight w:val="none"/>
          <w:lang w:val="en-US" w:eastAsia="zh-CN" w:bidi="ar-SA"/>
        </w:rPr>
        <w:t xml:space="preserve">机巢</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整机重量：≤55kg</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外形尺寸：≤长650毫米，宽750毫米，高800毫米</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防护等级：≥IP56</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最大允许降落风速：≥6级</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最大运行</w:t>
      </w:r>
      <w:r>
        <w:rPr>
          <w:rFonts w:hint="eastAsia" w:cs="Times New Roman"/>
          <w:color w:val="auto"/>
          <w:sz w:val="24"/>
          <w:szCs w:val="22"/>
          <w:highlight w:val="none"/>
          <w:lang w:val="en-US" w:eastAsia="zh-CN" w:bidi="ar-SA"/>
        </w:rPr>
        <w:t xml:space="preserve">海拔</w:t>
      </w:r>
      <w:r>
        <w:rPr>
          <w:rFonts w:hint="default" w:ascii="Times New Roman" w:hAnsi="Times New Roman" w:eastAsia="宋体" w:cs="Times New Roman"/>
          <w:color w:val="auto"/>
          <w:sz w:val="24"/>
          <w:szCs w:val="22"/>
          <w:highlight w:val="none"/>
          <w:lang w:val="en-US" w:eastAsia="zh-CN" w:bidi="ar-SA"/>
        </w:rPr>
        <w:t xml:space="preserve">：≥4500米</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RTK基站卫星接收频率：设备所含RTK基站可同时接收GPS、GLONASS、BEIDOU、GALILEO四种卫星信号。</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RTK 基站定位精准度：设备所含RTK基站定位精度：</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水平精度≤1 cm+1 ppm（RMS）</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垂直精度≤2 cm+1 ppm（RMS）</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充电时间：从15% 充至 95%小于30分钟</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空调类型：需要内置压缩机空调</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续航时间：备用电池续航不少于4小时</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支持车载部署：支持车载部署，无人机及机巢在长时间车载移动过程中不会损坏</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机巢标识灯：机巢集成标识灯，可以用于夜间返航</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4G接入：设备可使用蜂窝模块和SIM卡通过4G实现网络接入整机</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质保期：</w:t>
      </w:r>
      <w:r>
        <w:rPr>
          <w:rFonts w:hint="eastAsia" w:cs="Times New Roman"/>
          <w:color w:val="auto"/>
          <w:sz w:val="24"/>
          <w:szCs w:val="22"/>
          <w:highlight w:val="none"/>
          <w:lang w:val="en-US" w:eastAsia="zh-CN" w:bidi="ar-SA"/>
        </w:rPr>
        <w:t xml:space="preserve">一</w:t>
      </w:r>
      <w:r>
        <w:rPr>
          <w:rFonts w:hint="eastAsia" w:ascii="Times New Roman" w:hAnsi="Times New Roman" w:eastAsia="宋体" w:cs="Times New Roman"/>
          <w:color w:val="auto"/>
          <w:sz w:val="24"/>
          <w:szCs w:val="22"/>
          <w:highlight w:val="none"/>
          <w:lang w:val="en-US" w:eastAsia="zh-CN" w:bidi="ar-SA"/>
        </w:rPr>
        <w:t xml:space="preserve">年</w:t>
      </w:r>
      <w:r/>
    </w:p>
    <w:p>
      <w:pPr>
        <w:numPr>
          <w:ilvl w:val="0"/>
          <w:numId w:val="19"/>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技术跟踪保障：一年</w:t>
      </w:r>
      <w:r/>
    </w:p>
    <w:p>
      <w:pPr>
        <w:ind w:firstLine="482"/>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2、无人机</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起飞重量（含电池、普通桨叶和microSD卡、无配件）：≤1850 g</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最大起飞重量：≥ 2000 g</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折叠后尺寸（长×宽×高）：≤380×420×220mm</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对角线轴距：≤500 mm</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最大信号有效距离（无干扰、无遮挡）：≥25km</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最长飞行时间：≥54分钟</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最大可抗风速：≥12m/s</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全向感知系统：支持全向双目视觉避障系统，下方具备三维红外传感器，能够在探测到障碍物时在App上进行提醒，并自动减速刹车或绕行</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搭载广角、长焦、红外相机和红外补光灯，能够呈现可见光和热成像画面</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防护等级：不低于IP55</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GNSS定位悬停精度：垂直≤0.5 m，水平≤0.5 m</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RTK定位悬停精度：垂直≤0.1 m，水平≤0.1 m</w:t>
      </w:r>
      <w:r/>
    </w:p>
    <w:p>
      <w:pPr>
        <w:numPr>
          <w:ilvl w:val="0"/>
          <w:numId w:val="20"/>
        </w:num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支持培训</w:t>
      </w:r>
      <w:r/>
    </w:p>
    <w:p>
      <w:pPr>
        <w:numPr>
          <w:ilvl w:val="2"/>
          <w:numId w:val="15"/>
        </w:numPr>
        <w:ind w:left="0" w:firstLine="0"/>
        <w:jc w:val="both"/>
        <w:keepLines/>
        <w:keepNext/>
        <w:spacing w:line="360" w:lineRule="auto"/>
        <w:widowControl w:val="off"/>
        <w:tabs>
          <w:tab w:val="clear" w:pos="0" w:leader="none"/>
        </w:tabs>
        <w:rPr>
          <w:rFonts w:hint="default" w:ascii="Times New Roman" w:hAnsi="Times New Roman" w:eastAsia="宋体" w:cs="Times New Roman"/>
          <w:b/>
          <w:bCs/>
          <w:color w:val="auto"/>
          <w:sz w:val="24"/>
          <w:szCs w:val="32"/>
          <w:highlight w:val="none"/>
          <w:lang w:val="en-US" w:eastAsia="zh-CN" w:bidi="ar-SA"/>
        </w:rPr>
        <w:outlineLvl w:val="2"/>
      </w:pPr>
      <w:r/>
      <w:bookmarkStart w:id="54" w:name="_Toc26262"/>
      <w:r/>
      <w:bookmarkStart w:id="55" w:name="_Toc15959"/>
      <w:r/>
      <w:bookmarkStart w:id="56" w:name="_Toc1868"/>
      <w:r/>
      <w:bookmarkStart w:id="57" w:name="_Toc22562"/>
      <w:r/>
      <w:bookmarkStart w:id="58" w:name="_Toc13154"/>
      <w:r/>
      <w:bookmarkStart w:id="59" w:name="_Toc32725"/>
      <w:r/>
      <w:bookmarkStart w:id="60" w:name="_Toc32065"/>
      <w:r/>
      <w:bookmarkStart w:id="61" w:name="_Toc27542"/>
      <w:r/>
      <w:bookmarkStart w:id="62" w:name="_Toc26374"/>
      <w:r/>
      <w:bookmarkStart w:id="63" w:name="_Toc5771"/>
      <w:r>
        <w:rPr>
          <w:rFonts w:hint="default" w:ascii="Times New Roman" w:hAnsi="Times New Roman" w:eastAsia="宋体" w:cs="Times New Roman"/>
          <w:b/>
          <w:bCs/>
          <w:color w:val="auto"/>
          <w:sz w:val="24"/>
          <w:szCs w:val="32"/>
          <w:highlight w:val="none"/>
          <w:lang w:val="en-US" w:eastAsia="zh-CN" w:bidi="ar-SA"/>
        </w:rPr>
        <w:t xml:space="preserve">供电保障及数据传输</w:t>
      </w:r>
      <w:bookmarkEnd w:id="54"/>
      <w:r/>
      <w:bookmarkEnd w:id="55"/>
      <w:r/>
      <w:bookmarkEnd w:id="56"/>
      <w:r/>
      <w:bookmarkEnd w:id="57"/>
      <w:r/>
      <w:bookmarkEnd w:id="58"/>
      <w:r/>
      <w:bookmarkEnd w:id="59"/>
      <w:r/>
      <w:bookmarkEnd w:id="60"/>
      <w:r/>
      <w:bookmarkEnd w:id="61"/>
      <w:r/>
      <w:bookmarkEnd w:id="62"/>
      <w:r/>
      <w:bookmarkEnd w:id="63"/>
      <w:r/>
      <w:r/>
    </w:p>
    <w:p>
      <w:pPr>
        <w:ind w:firstLine="482"/>
        <w:spacing w:line="360" w:lineRule="auto"/>
        <w:rPr>
          <w:rFonts w:hint="default" w:ascii="Times New Roman" w:hAnsi="Times New Roman" w:eastAsia="宋体" w:cs="Times New Roman"/>
          <w:b/>
          <w:bCs/>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1.</w:t>
      </w:r>
      <w:r>
        <w:rPr>
          <w:rFonts w:hint="default" w:ascii="Times New Roman" w:hAnsi="Times New Roman" w:eastAsia="宋体" w:cs="Times New Roman"/>
          <w:b/>
          <w:bCs/>
          <w:color w:val="auto"/>
          <w:sz w:val="24"/>
          <w:szCs w:val="22"/>
          <w:highlight w:val="none"/>
          <w:lang w:val="en-US" w:eastAsia="zh-CN" w:bidi="ar-SA"/>
        </w:rPr>
        <w:t xml:space="preserve">供电设计</w:t>
      </w:r>
      <w:r/>
    </w:p>
    <w:p>
      <w:pPr>
        <w:ind w:firstLine="480"/>
        <w:spacing w:line="360" w:lineRule="auto"/>
        <w:rPr>
          <w:rFonts w:hint="default" w:ascii="Times New Roman" w:hAnsi="Times New Roman" w:eastAsia="宋体" w:cs="Times New Roman"/>
          <w:b w:val="0"/>
          <w:bCs w:val="0"/>
          <w:color w:val="auto"/>
          <w:sz w:val="24"/>
          <w:szCs w:val="22"/>
          <w:highlight w:val="none"/>
          <w:lang w:val="en-US" w:eastAsia="zh-CN" w:bidi="ar-SA"/>
        </w:rPr>
      </w:pPr>
      <w:r>
        <w:rPr>
          <w:rFonts w:hint="default" w:ascii="Times New Roman" w:hAnsi="Times New Roman" w:eastAsia="宋体" w:cs="Times New Roman"/>
          <w:b w:val="0"/>
          <w:bCs w:val="0"/>
          <w:color w:val="auto"/>
          <w:sz w:val="24"/>
          <w:szCs w:val="22"/>
          <w:highlight w:val="none"/>
          <w:lang w:val="en-US" w:eastAsia="zh-CN" w:bidi="ar-SA"/>
        </w:rPr>
        <w:t xml:space="preserve">本系统所有设备均基于现场具备稳定市电的条件进行设计。</w:t>
      </w:r>
      <w:r/>
    </w:p>
    <w:p>
      <w:pPr>
        <w:ind w:firstLine="480"/>
        <w:spacing w:line="360" w:lineRule="auto"/>
        <w:rPr>
          <w:rFonts w:hint="default" w:ascii="Times New Roman" w:hAnsi="Times New Roman" w:eastAsia="宋体" w:cs="Times New Roman"/>
          <w:b w:val="0"/>
          <w:bCs w:val="0"/>
          <w:color w:val="auto"/>
          <w:sz w:val="24"/>
          <w:szCs w:val="22"/>
          <w:highlight w:val="none"/>
          <w:lang w:val="en-US" w:eastAsia="zh-CN" w:bidi="ar-SA"/>
        </w:rPr>
      </w:pPr>
      <w:r>
        <w:rPr>
          <w:rFonts w:hint="default" w:ascii="Times New Roman" w:hAnsi="Times New Roman" w:eastAsia="宋体" w:cs="Times New Roman"/>
          <w:b w:val="0"/>
          <w:bCs w:val="0"/>
          <w:color w:val="auto"/>
          <w:sz w:val="24"/>
          <w:szCs w:val="22"/>
          <w:highlight w:val="none"/>
          <w:lang w:val="en-US" w:eastAsia="zh-CN" w:bidi="ar-SA"/>
        </w:rPr>
        <w:t xml:space="preserve">供电方式：无人机巢点位均采用220V稳定市电直接接入。</w:t>
      </w:r>
      <w:r/>
    </w:p>
    <w:p>
      <w:pPr>
        <w:ind w:firstLine="480"/>
        <w:spacing w:line="360" w:lineRule="auto"/>
        <w:rPr>
          <w:rFonts w:hint="default" w:ascii="Times New Roman" w:hAnsi="Times New Roman" w:eastAsia="宋体" w:cs="Times New Roman"/>
          <w:b w:val="0"/>
          <w:bCs w:val="0"/>
          <w:color w:val="auto"/>
          <w:sz w:val="24"/>
          <w:szCs w:val="22"/>
          <w:highlight w:val="none"/>
          <w:lang w:val="en-US" w:eastAsia="zh-CN" w:bidi="ar-SA"/>
        </w:rPr>
      </w:pPr>
      <w:r>
        <w:rPr>
          <w:rFonts w:hint="default" w:ascii="Times New Roman" w:hAnsi="Times New Roman" w:eastAsia="宋体" w:cs="Times New Roman"/>
          <w:b w:val="0"/>
          <w:bCs w:val="0"/>
          <w:color w:val="auto"/>
          <w:sz w:val="24"/>
          <w:szCs w:val="22"/>
          <w:highlight w:val="none"/>
          <w:lang w:val="en-US" w:eastAsia="zh-CN" w:bidi="ar-SA"/>
        </w:rPr>
        <w:t xml:space="preserve">安全防护：所有户外供电线路及设备接线端均配备完备的防雷与接地保护装置，严格遵循电气安全规范，以保障设备与运行环境的安全。</w:t>
      </w:r>
      <w:r/>
    </w:p>
    <w:p>
      <w:pPr>
        <w:ind w:firstLine="482"/>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2、网络通信设计</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为满足飞行控制的高实时性与影像数据回传的高带宽要求，机巢采用“有线专网为主、4G无线为辅”的双重通信架构。</w:t>
      </w:r>
      <w:r/>
    </w:p>
    <w:p>
      <w:pPr>
        <w:numPr>
          <w:ilvl w:val="1"/>
          <w:numId w:val="15"/>
        </w:numPr>
        <w:ind w:left="567" w:hanging="567"/>
        <w:jc w:val="both"/>
        <w:keepLines/>
        <w:keepNext/>
        <w:spacing w:line="360" w:lineRule="auto"/>
        <w:widowControl w:val="off"/>
        <w:rPr>
          <w:rFonts w:hint="default" w:ascii="Times New Roman" w:hAnsi="Times New Roman" w:eastAsia="宋体" w:cs="Times New Roman"/>
          <w:b/>
          <w:bCs/>
          <w:color w:val="auto"/>
          <w:sz w:val="28"/>
          <w:szCs w:val="32"/>
          <w:highlight w:val="none"/>
          <w:lang w:val="en-US" w:eastAsia="zh-CN" w:bidi="ar-SA"/>
        </w:rPr>
        <w:outlineLvl w:val="1"/>
      </w:pPr>
      <w:r>
        <w:rPr>
          <w:rFonts w:hint="default" w:ascii="Times New Roman" w:hAnsi="Times New Roman" w:eastAsia="宋体" w:cs="Times New Roman"/>
          <w:b/>
          <w:bCs/>
          <w:color w:val="auto"/>
          <w:sz w:val="28"/>
          <w:szCs w:val="32"/>
          <w:highlight w:val="none"/>
          <w:lang w:val="en-US" w:eastAsia="zh-CN" w:bidi="ar-SA"/>
        </w:rPr>
        <w:t xml:space="preserve">飞控平台功能完善</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太湖流域水文水资源监测中心目前已完成无人机巢（场）管理平台基础建设，实现了无人机自动起飞、预设航线巡视、自动返航、数据自动回传等功能，为环太湖水域巡检、水资源监测、生态环境管控提供了可视化实时管理支撑。</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本次飞控平台功能完善将新增无人机巢蛙跳功能</w:t>
      </w:r>
      <w:r>
        <w:rPr>
          <w:rFonts w:hint="eastAsia"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无人机指点飞行功能以及扩展管控平台功能，提升监测覆盖与作业灵活性。</w:t>
      </w:r>
      <w:r/>
    </w:p>
    <w:p>
      <w:pPr>
        <w:numPr>
          <w:ilvl w:val="2"/>
          <w:numId w:val="15"/>
        </w:numPr>
        <w:ind w:left="0" w:firstLine="0"/>
        <w:jc w:val="both"/>
        <w:keepLines/>
        <w:keepNext/>
        <w:spacing w:line="360" w:lineRule="auto"/>
        <w:widowControl w:val="off"/>
        <w:tabs>
          <w:tab w:val="clear" w:pos="0" w:leader="none"/>
        </w:tabs>
        <w:rPr>
          <w:rFonts w:hint="default" w:ascii="Times New Roman" w:hAnsi="Times New Roman" w:eastAsia="宋体" w:cs="Times New Roman"/>
          <w:b/>
          <w:bCs/>
          <w:color w:val="auto"/>
          <w:sz w:val="24"/>
          <w:szCs w:val="32"/>
          <w:highlight w:val="none"/>
          <w:lang w:val="en-US" w:eastAsia="zh-CN" w:bidi="ar"/>
        </w:rPr>
        <w:outlineLvl w:val="2"/>
      </w:pPr>
      <w:r/>
      <w:bookmarkStart w:id="64" w:name="_Toc2103"/>
      <w:r/>
      <w:bookmarkStart w:id="65" w:name="_Toc23041"/>
      <w:r/>
      <w:bookmarkStart w:id="66" w:name="_Toc27470"/>
      <w:r/>
      <w:bookmarkStart w:id="67" w:name="_Toc32206"/>
      <w:r>
        <w:rPr>
          <w:rFonts w:hint="default" w:cs="Times New Roman"/>
          <w:b/>
          <w:bCs/>
          <w:color w:val="auto"/>
          <w:sz w:val="24"/>
          <w:szCs w:val="32"/>
          <w:highlight w:val="none"/>
          <w:lang w:val="en-US" w:eastAsia="zh-CN" w:bidi="ar-SA"/>
        </w:rPr>
        <w:t xml:space="preserve">蛙跳</w:t>
      </w:r>
      <w:r>
        <w:rPr>
          <w:rFonts w:hint="eastAsia" w:cs="Times New Roman"/>
          <w:b/>
          <w:bCs/>
          <w:color w:val="auto"/>
          <w:sz w:val="24"/>
          <w:szCs w:val="32"/>
          <w:highlight w:val="none"/>
          <w:lang w:val="en-US" w:eastAsia="zh-CN" w:bidi="ar-SA"/>
        </w:rPr>
        <w:t xml:space="preserve">功能</w:t>
      </w:r>
      <w:bookmarkEnd w:id="64"/>
      <w:r/>
      <w:bookmarkEnd w:id="65"/>
      <w:r/>
      <w:bookmarkEnd w:id="66"/>
      <w:r/>
      <w:bookmarkEnd w:id="67"/>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蛙跳</w:t>
      </w:r>
      <w:r>
        <w:rPr>
          <w:rFonts w:hint="default" w:ascii="Times New Roman" w:hAnsi="Times New Roman" w:eastAsia="宋体" w:cs="Times New Roman"/>
          <w:color w:val="auto"/>
          <w:sz w:val="24"/>
          <w:szCs w:val="22"/>
          <w:highlight w:val="none"/>
          <w:lang w:val="en-US" w:eastAsia="zh-CN" w:bidi="ar-SA"/>
        </w:rPr>
        <w:t xml:space="preserve">主要功能如下：</w:t>
      </w:r>
      <w:r/>
    </w:p>
    <w:p>
      <w:pPr>
        <w:numPr>
          <w:ilvl w:val="0"/>
          <w:numId w:val="21"/>
        </w:numPr>
        <w:ind w:firstLine="482"/>
        <w:jc w:val="left"/>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机场状态管理</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能够在GIS地图上展示所有值守机场的实时状态（含设备型号、机库占用情况、电量、可用性等），并筛选出满足起飞条件的机场A和满足降落条件的机场B。</w:t>
      </w:r>
      <w:r/>
    </w:p>
    <w:p>
      <w:pPr>
        <w:numPr>
          <w:ilvl w:val="0"/>
          <w:numId w:val="21"/>
        </w:numPr>
        <w:ind w:firstLine="482"/>
        <w:jc w:val="left"/>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任务规划与参数封装</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支持在任务规划界面绘制巡检航线（如环太湖水域），指定起飞机场A与降落机场B，并将航线参数、机场信息封装为大疆标准任务格式。</w:t>
      </w:r>
      <w:r/>
    </w:p>
    <w:p>
      <w:pPr>
        <w:numPr>
          <w:ilvl w:val="0"/>
          <w:numId w:val="21"/>
        </w:numPr>
        <w:ind w:firstLine="482"/>
        <w:jc w:val="left"/>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跨机场任务执行</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支持跨机场任务控制能力。无人机从机场A起飞执行巡检任务，任务完成后自动向机场B下发降落指令，无需返回原机场。</w:t>
      </w:r>
      <w:r/>
    </w:p>
    <w:p>
      <w:pPr>
        <w:numPr>
          <w:ilvl w:val="0"/>
          <w:numId w:val="21"/>
        </w:numPr>
        <w:ind w:firstLine="482"/>
        <w:jc w:val="left"/>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数据同步与状态更新</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机场B降落成功后，系统自动更新设备归属信息、任务状态、巡检数据，并完成数据入库。</w:t>
      </w:r>
      <w:r/>
    </w:p>
    <w:p>
      <w:pPr>
        <w:numPr>
          <w:ilvl w:val="0"/>
          <w:numId w:val="21"/>
        </w:numPr>
        <w:ind w:firstLine="482"/>
        <w:jc w:val="left"/>
        <w:spacing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执飞前研判</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系统在执飞前校验机场A与机场B是否满足蛙跳条件（如机场B空闲、电量充足、网络在线等），不满足时应给出明确提示并阻止任务下发。</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支持机场离线、中途电量不足、降落失败等异常场景的回退与告警机制，并优化数据回传逻辑。</w:t>
      </w:r>
      <w:r/>
    </w:p>
    <w:p>
      <w:pPr>
        <w:numPr>
          <w:ilvl w:val="2"/>
          <w:numId w:val="15"/>
        </w:numPr>
        <w:ind w:left="0" w:firstLine="0"/>
        <w:jc w:val="both"/>
        <w:keepLines/>
        <w:keepNext/>
        <w:pageBreakBefore w:val="0"/>
        <w:spacing w:line="360" w:lineRule="auto"/>
        <w:widowControl w:val="off"/>
        <w:tabs>
          <w:tab w:val="clear" w:pos="0" w:leader="none"/>
        </w:tabs>
        <w:rPr>
          <w:rFonts w:hint="default" w:ascii="Times New Roman" w:hAnsi="Times New Roman" w:eastAsia="宋体" w:cs="Times New Roman"/>
          <w:b/>
          <w:bCs/>
          <w:color w:val="auto"/>
          <w:sz w:val="24"/>
          <w:szCs w:val="32"/>
          <w:highlight w:val="none"/>
          <w:lang w:val="en-US" w:eastAsia="zh-CN" w:bidi="ar-SA"/>
        </w:rPr>
        <w:outlineLvl w:val="2"/>
      </w:pPr>
      <w:r/>
      <w:bookmarkStart w:id="68" w:name="_Toc16412"/>
      <w:r/>
      <w:bookmarkStart w:id="69" w:name="heading_11"/>
      <w:r/>
      <w:bookmarkStart w:id="70" w:name="_Toc27364"/>
      <w:r/>
      <w:bookmarkStart w:id="71" w:name="_Toc24162"/>
      <w:r/>
      <w:bookmarkStart w:id="72" w:name="_Toc433"/>
      <w:r/>
      <w:bookmarkStart w:id="73" w:name="_Toc16950"/>
      <w:r/>
      <w:bookmarkStart w:id="74" w:name="_Toc5594"/>
      <w:r/>
      <w:bookmarkStart w:id="75" w:name="_Toc9946"/>
      <w:r/>
      <w:bookmarkStart w:id="76" w:name="_Toc23992"/>
      <w:r/>
      <w:bookmarkStart w:id="77" w:name="_Toc12380"/>
      <w:r/>
      <w:bookmarkStart w:id="78" w:name="_Toc32488"/>
      <w:r>
        <w:rPr>
          <w:rFonts w:hint="default" w:ascii="Times New Roman" w:hAnsi="Times New Roman" w:eastAsia="宋体" w:cs="Times New Roman"/>
          <w:b/>
          <w:bCs/>
          <w:color w:val="auto"/>
          <w:sz w:val="24"/>
          <w:szCs w:val="32"/>
          <w:highlight w:val="none"/>
          <w:lang w:val="en-US" w:eastAsia="zh-CN" w:bidi="ar-SA"/>
        </w:rPr>
        <w:t xml:space="preserve">无人机指点飞行</w:t>
      </w:r>
      <w:bookmarkEnd w:id="68"/>
      <w:r/>
      <w:bookmarkEnd w:id="69"/>
      <w:r/>
      <w:bookmarkEnd w:id="70"/>
      <w:r/>
      <w:bookmarkEnd w:id="71"/>
      <w:r/>
      <w:bookmarkEnd w:id="72"/>
      <w:r/>
      <w:bookmarkEnd w:id="73"/>
      <w:r/>
      <w:bookmarkEnd w:id="74"/>
      <w:r/>
      <w:bookmarkEnd w:id="75"/>
      <w:r/>
      <w:bookmarkEnd w:id="76"/>
      <w:r/>
      <w:bookmarkEnd w:id="77"/>
      <w:r/>
      <w:bookmarkEnd w:id="78"/>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指点飞行主要功能如下：</w:t>
      </w:r>
      <w:r/>
    </w:p>
    <w:p>
      <w:pPr>
        <w:numPr>
          <w:ilvl w:val="0"/>
          <w:numId w:val="22"/>
        </w:numPr>
        <w:ind w:firstLine="482"/>
        <w:jc w:val="left"/>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飞行控制界面</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系统飞行监控页面应提供以下控制按钮：暂停航线、指点飞行、拍照、录像、返航恢复。</w:t>
      </w:r>
      <w:r/>
    </w:p>
    <w:p>
      <w:pPr>
        <w:numPr>
          <w:ilvl w:val="0"/>
          <w:numId w:val="22"/>
        </w:numPr>
        <w:ind w:firstLine="482"/>
        <w:jc w:val="left"/>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目标点选取与确认</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支持在GIS地图上点击选取目标点位，自动获取经纬度坐标，进行航线安全评估，给出当前电量、风速等理论测算后信息提示；经二次确认后方可下达飞行指令。</w:t>
      </w:r>
      <w:r/>
    </w:p>
    <w:p>
      <w:pPr>
        <w:numPr>
          <w:ilvl w:val="0"/>
          <w:numId w:val="22"/>
        </w:numPr>
        <w:ind w:firstLine="482"/>
        <w:jc w:val="left"/>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暂停状态记录</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支持在暂停航线时持久化保存当前任务进度及暂停点坐标（含经纬度、高度、航向等）。</w:t>
      </w:r>
      <w:r/>
    </w:p>
    <w:p>
      <w:pPr>
        <w:numPr>
          <w:ilvl w:val="0"/>
          <w:numId w:val="22"/>
        </w:numPr>
        <w:ind w:firstLine="482"/>
        <w:jc w:val="left"/>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指点飞行执行</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在接收目标点位并下发飞行指令至无人机，实时监控无人机位置，直至抵达目标点。</w:t>
      </w:r>
      <w:r/>
    </w:p>
    <w:p>
      <w:pPr>
        <w:numPr>
          <w:ilvl w:val="0"/>
          <w:numId w:val="22"/>
        </w:numPr>
        <w:ind w:firstLine="482"/>
        <w:jc w:val="left"/>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媒体采集与回传</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系统应封装拍照、录像接口，支持手动触发采集，采集后的媒体数据应自动回传至平台并与当前任务关联</w:t>
      </w:r>
      <w:r/>
    </w:p>
    <w:p>
      <w:pPr>
        <w:numPr>
          <w:ilvl w:val="0"/>
          <w:numId w:val="22"/>
        </w:numPr>
        <w:ind w:firstLine="482"/>
        <w:jc w:val="left"/>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返航恢复</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人工操作完成后，系统应能控制无人机自主返航至原航线暂停点，并自动恢复执行原巡检任务，确保整体作业流程不中断。</w:t>
      </w:r>
      <w:r/>
    </w:p>
    <w:p>
      <w:pPr>
        <w:numPr>
          <w:ilvl w:val="0"/>
          <w:numId w:val="22"/>
        </w:numPr>
        <w:ind w:firstLine="482"/>
        <w:jc w:val="left"/>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执飞前研判</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系统在执飞前，根据以下异常场景下给出明确提示或自动保护：禁飞区选点、遥控信号中断、无人机电量不足、网络中断等。</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若指点飞行过程中出现严重异常（如低电量返航），系统应优先保证无人机安全，并在恢复条件具备后提示人工处理任务恢复。</w:t>
      </w:r>
      <w:r/>
    </w:p>
    <w:p>
      <w:pPr>
        <w:numPr>
          <w:ilvl w:val="2"/>
          <w:numId w:val="15"/>
        </w:numPr>
        <w:ind w:left="0" w:firstLine="0"/>
        <w:jc w:val="both"/>
        <w:keepLines/>
        <w:keepNext/>
        <w:pageBreakBefore w:val="0"/>
        <w:spacing w:line="360" w:lineRule="auto"/>
        <w:widowControl w:val="off"/>
        <w:tabs>
          <w:tab w:val="clear" w:pos="0" w:leader="none"/>
        </w:tabs>
        <w:rPr>
          <w:rFonts w:hint="default" w:ascii="Times New Roman" w:hAnsi="Times New Roman" w:eastAsia="宋体" w:cs="Times New Roman"/>
          <w:b/>
          <w:bCs/>
          <w:color w:val="auto"/>
          <w:sz w:val="24"/>
          <w:szCs w:val="32"/>
          <w:highlight w:val="none"/>
          <w:lang w:val="en-US" w:eastAsia="zh-CN" w:bidi="ar-SA"/>
        </w:rPr>
        <w:outlineLvl w:val="2"/>
      </w:pPr>
      <w:r>
        <w:rPr>
          <w:rFonts w:hint="default"/>
          <w:b/>
          <w:bCs/>
          <w:color w:val="auto"/>
          <w:sz w:val="24"/>
          <w:szCs w:val="32"/>
          <w:highlight w:val="none"/>
          <w:lang w:val="en-US" w:eastAsia="zh-CN" w:bidi="ar-SA"/>
        </w:rPr>
        <w:t xml:space="preserve">扩展管控平台功能</w:t>
      </w:r>
      <w:r/>
    </w:p>
    <w:p>
      <w:pPr>
        <w:ind w:firstLine="482"/>
        <w:jc w:val="both"/>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（1）可控安全消息机制</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建立基于MQTT订阅的异步消息安全通道，实现飞行计划与作业任务的全周期状态、媒体文件传输进度等关键信息的实时、可靠推送。该通道支持多客户端安全接入，具备断线重连与消息去重机制，确保消息传递高效且可控。同时，对外提供可控的接口开放能力，支持其他系统按授权策略订阅指定主题的消息流，有效降低对接门槛，便于快速集成。</w:t>
      </w:r>
      <w:r/>
    </w:p>
    <w:p>
      <w:pPr>
        <w:ind w:firstLine="482"/>
        <w:jc w:val="both"/>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（2）飞行计划多作业归属管理</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支持将单次飞行计划拆解为多次连续作业执行，适配因电量限制等客观因素导致的返航续飞场景，实现断点自动接续与任务无缝衔接。系统将多次离散作业统一归集至同一飞行计划下进行全生命周期管理，确保计划状态流转、成果数据的完整性与一致性。</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提供更灵活的自定义周期性执行策略及批量任务高效编排能力，支持配置重复次数、定时下发、有效日期范围等参数。优化批量任务下发流程，改进时间选择与复制机制，使任务制定更加高效便捷，提升复杂飞行计划的制定与管理效率。</w:t>
      </w:r>
      <w:r/>
    </w:p>
    <w:p>
      <w:pPr>
        <w:ind w:firstLine="482"/>
        <w:jc w:val="both"/>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（3）航拍媒体文件批量下载</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提供基于对象存储的文件批量获取能力，支持按计划或任务检索，通过接口一次性拉取某飞行计划、作业任务内产生的航拍图片、视频等媒体文件。支持通过计划标识获取该计划下的全部成果文件，亦可依据文件路径命名规则，按文件标识前缀匹配并批量下载对应的对象存储文件。</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提供基于对象存储的航拍媒体文件批量获取能力。支持按飞行计划或作业任务进行检索，通过接口一次性拉取指定计划或任务内产生的航拍图片、视频等媒体文件。可通过计划标识获取该计划下的全部成果文件，也可依据文件路径命名规则，按文件标识前缀匹配并批量下载对应的对象存储文件。底层采用分布式对象存储架构，支持多节点集群部署与数据分片存储，具备桶级权限隔离及分片上传特性，保障海量航拍数据的高并发读写与持久化可靠性。</w:t>
      </w:r>
      <w:r/>
    </w:p>
    <w:p>
      <w:pPr>
        <w:ind w:firstLine="482"/>
        <w:jc w:val="both"/>
        <w:spacing w:after="0" w:line="360" w:lineRule="auto"/>
        <w:rPr>
          <w:rFonts w:hint="default" w:ascii="Times New Roman" w:hAnsi="Times New Roman" w:eastAsia="宋体" w:cs="Times New Roman"/>
          <w:b/>
          <w:bCs/>
          <w:color w:val="auto"/>
          <w:sz w:val="24"/>
          <w:szCs w:val="22"/>
          <w:highlight w:val="none"/>
          <w:lang w:val="en-US" w:eastAsia="zh-CN" w:bidi="ar-SA"/>
        </w:rPr>
      </w:pPr>
      <w:r>
        <w:rPr>
          <w:rFonts w:hint="default" w:ascii="Times New Roman" w:hAnsi="Times New Roman" w:eastAsia="宋体" w:cs="Times New Roman"/>
          <w:b/>
          <w:bCs/>
          <w:color w:val="auto"/>
          <w:sz w:val="24"/>
          <w:szCs w:val="22"/>
          <w:highlight w:val="none"/>
          <w:lang w:val="en-US" w:eastAsia="zh-CN" w:bidi="ar-SA"/>
        </w:rPr>
        <w:t xml:space="preserve">（4）资源级权限隔离与账号管理</w:t>
      </w:r>
      <w:r/>
    </w:p>
    <w:p>
      <w:pPr>
        <w:ind w:firstLine="480"/>
        <w:jc w:val="both"/>
        <w:spacing w:after="0"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实现细粒度的资源级权限隔离，不同角色（如管理员、项目负责人、操作员等）仅能访问其授权范围内的机场、设备、任务及数据。增设“运维账号”角色，专用于各项目下所辖机场群的日常运维，可查看机场运行日志、接收并查看实时及历史告警通知、监测数据异常（信号丢失、电池异常、传感器故障等）。运维账号严格禁止修改核心配置、删除任务记录等影响管控平台运行安全的操作，确保系统安全性与合规性。</w:t>
      </w:r>
      <w:r/>
    </w:p>
    <w:p>
      <w:pPr>
        <w:numPr>
          <w:ilvl w:val="1"/>
          <w:numId w:val="15"/>
        </w:numPr>
        <w:ind w:left="567" w:hanging="567"/>
        <w:jc w:val="both"/>
        <w:keepLines/>
        <w:keepNext/>
        <w:spacing w:line="360" w:lineRule="auto"/>
        <w:widowControl w:val="off"/>
        <w:rPr>
          <w:rFonts w:hint="default" w:ascii="Times New Roman" w:hAnsi="Times New Roman" w:eastAsia="宋体" w:cs="Times New Roman"/>
          <w:b/>
          <w:bCs/>
          <w:color w:val="auto"/>
          <w:sz w:val="28"/>
          <w:szCs w:val="32"/>
          <w:highlight w:val="none"/>
          <w:lang w:val="en-US" w:eastAsia="zh-CN" w:bidi="ar-SA"/>
        </w:rPr>
        <w:outlineLvl w:val="1"/>
      </w:pPr>
      <w:r/>
      <w:bookmarkStart w:id="79" w:name="_Toc11705"/>
      <w:r/>
      <w:bookmarkStart w:id="80" w:name="_Toc14448"/>
      <w:r/>
      <w:bookmarkStart w:id="81" w:name="_Toc13674"/>
      <w:r/>
      <w:bookmarkStart w:id="82" w:name="_Toc4675"/>
      <w:r/>
      <w:bookmarkStart w:id="83" w:name="_Toc23085"/>
      <w:r/>
      <w:bookmarkStart w:id="84" w:name="_Toc2152"/>
      <w:r/>
      <w:bookmarkStart w:id="85" w:name="_Toc28110"/>
      <w:r/>
      <w:bookmarkStart w:id="86" w:name="_Toc2302"/>
      <w:r/>
      <w:bookmarkStart w:id="87" w:name="_Toc26477"/>
      <w:r/>
      <w:bookmarkStart w:id="88" w:name="_Toc2086"/>
      <w:r>
        <w:rPr>
          <w:rFonts w:hint="default" w:ascii="Times New Roman" w:hAnsi="Times New Roman" w:eastAsia="宋体" w:cs="Times New Roman"/>
          <w:b/>
          <w:bCs/>
          <w:color w:val="auto"/>
          <w:sz w:val="28"/>
          <w:szCs w:val="32"/>
          <w:highlight w:val="none"/>
          <w:lang w:val="en-US" w:eastAsia="zh-CN" w:bidi="ar-SA"/>
        </w:rPr>
        <w:t xml:space="preserve">水草智能识别技术</w:t>
      </w:r>
      <w:bookmarkEnd w:id="79"/>
      <w:r/>
      <w:bookmarkEnd w:id="80"/>
      <w:r/>
      <w:bookmarkEnd w:id="81"/>
      <w:r/>
      <w:bookmarkEnd w:id="82"/>
      <w:r/>
      <w:bookmarkEnd w:id="83"/>
      <w:r/>
      <w:bookmarkEnd w:id="84"/>
      <w:r/>
      <w:bookmarkEnd w:id="85"/>
      <w:r/>
      <w:bookmarkEnd w:id="86"/>
      <w:r/>
      <w:bookmarkEnd w:id="87"/>
      <w:r/>
      <w:bookmarkEnd w:id="88"/>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面向</w:t>
      </w:r>
      <w:r>
        <w:rPr>
          <w:rFonts w:hint="eastAsia" w:cs="Times New Roman"/>
          <w:color w:val="auto"/>
          <w:sz w:val="24"/>
          <w:szCs w:val="22"/>
          <w:highlight w:val="none"/>
          <w:lang w:val="en-US" w:eastAsia="zh-CN" w:bidi="ar-SA"/>
        </w:rPr>
        <w:t xml:space="preserve">胥湖</w:t>
      </w:r>
      <w:r>
        <w:rPr>
          <w:rFonts w:hint="default" w:ascii="Times New Roman" w:hAnsi="Times New Roman" w:eastAsia="宋体" w:cs="Times New Roman"/>
          <w:color w:val="auto"/>
          <w:sz w:val="24"/>
          <w:szCs w:val="22"/>
          <w:highlight w:val="none"/>
          <w:lang w:val="en-US" w:eastAsia="zh-CN" w:bidi="ar-SA"/>
        </w:rPr>
        <w:t xml:space="preserve">水草巡查、分类识别和面积统计业务，以无人机影像为主要数据来源，建设水草分类模型、语义分割模型和面积计算能力。总体路线从数据采集进入，经数据治理、模型识别、空间尺度校准、成果输出与人工复核，形成可持续迭代的技术闭环。</w:t>
      </w:r>
      <w:r/>
    </w:p>
    <w:p>
      <w:pPr>
        <w:ind w:firstLine="480"/>
        <w:spacing w:line="360" w:lineRule="auto"/>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运用图像分类、语义分割等识别算法，构建</w:t>
      </w:r>
      <w:r>
        <w:rPr>
          <w:rFonts w:hint="eastAsia" w:cs="Times New Roman"/>
          <w:color w:val="auto"/>
          <w:sz w:val="24"/>
          <w:szCs w:val="22"/>
          <w:highlight w:val="none"/>
          <w:lang w:val="en-US" w:eastAsia="zh-CN" w:bidi="ar-SA"/>
        </w:rPr>
        <w:t xml:space="preserve">胥湖</w:t>
      </w:r>
      <w:r>
        <w:rPr>
          <w:rFonts w:hint="default" w:ascii="Times New Roman" w:hAnsi="Times New Roman" w:eastAsia="宋体" w:cs="Times New Roman"/>
          <w:color w:val="auto"/>
          <w:sz w:val="24"/>
          <w:szCs w:val="22"/>
          <w:highlight w:val="none"/>
          <w:lang w:val="en-US" w:eastAsia="zh-CN" w:bidi="ar-SA"/>
        </w:rPr>
        <w:t xml:space="preserve">水草图像识别模型，包括水草分类模型和语义分割模型：</w:t>
      </w:r>
      <w:r/>
    </w:p>
    <w:p>
      <w:pPr>
        <w:pStyle w:val="717"/>
        <w:ind w:firstLine="482"/>
        <w:jc w:val="left"/>
        <w:spacing w:line="360" w:lineRule="auto"/>
        <w:tabs>
          <w:tab w:val="left" w:pos="567" w:leader="none"/>
        </w:tabs>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四、安装技术要求</w:t>
      </w:r>
      <w:r/>
    </w:p>
    <w:p>
      <w:pPr>
        <w:ind w:firstLine="482"/>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（1）所有基础设施建设及设备安装要求和执行标准，以设计交底要求为准；</w:t>
      </w:r>
      <w:r>
        <w:rPr>
          <w:rFonts w:hint="eastAsia" w:asciiTheme="minorEastAsia" w:hAnsiTheme="minorEastAsia" w:eastAsiaTheme="minorEastAsia" w:cstheme="minorEastAsia"/>
          <w:color w:val="auto"/>
          <w:sz w:val="24"/>
          <w:szCs w:val="24"/>
          <w:highlight w:val="none"/>
        </w:rPr>
        <w:t xml:space="preserve">当建设系统所需的设备已经配齐，则应进行安装调试。</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（2）安装调试开始前，应按下列要求进行检查：</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1）各种设备出厂前的测试记录及检测合格证明；</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2）电源系统、防雷接地系统的配置和检测合格证明或记录；</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3）各项功能检测记录。</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（3）安装工作应满足以下基本要求：</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1）已向采购人提供上述所列文件，并得到采购人的认可；</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2）按照使用手册和相关的国家或行业标准以及合同规定进行安装；</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3）对安装各种设备的主要技术指标和功能进行检查测试。</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（4）安装调试的内容</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1）中标供应商负责系统的安装，并有义务指导采购人指派的人员进行安装；</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2）中标供应商负责进行系统的整体运行，并详细记录系统运行情况。</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（5）安装调试应做好安装记录和调试的过程记录，提供安装调试工作总结。</w:t>
      </w:r>
      <w:r/>
    </w:p>
    <w:p>
      <w:pPr>
        <w:pStyle w:val="717"/>
        <w:ind w:firstLine="482"/>
        <w:jc w:val="left"/>
        <w:spacing w:line="360" w:lineRule="auto"/>
        <w:tabs>
          <w:tab w:val="left" w:pos="567"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五、检验与验收</w:t>
      </w:r>
      <w:r/>
    </w:p>
    <w:p>
      <w:pPr>
        <w:pStyle w:val="718"/>
        <w:ind w:firstLine="480"/>
        <w:jc w:val="left"/>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检验与验收依据</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（1）设备安装、调试和系统联调按本技术条款进行。</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（2）提供的各种设备、备品备件和专用工具按签订合同后的设备清单验收。</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（3）验收中有特殊要求的均在本技术规范有关章节提出。</w:t>
      </w:r>
      <w:r/>
    </w:p>
    <w:p>
      <w:pPr>
        <w:pStyle w:val="718"/>
        <w:ind w:firstLine="480"/>
        <w:jc w:val="left"/>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2、现场开箱检验</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（1）设备到达存放地点后，由中标供应商组织人员进行检验，检验日期应在7天前通知采购人。</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（2）现场检验应按照合同清单详细检查设备的品牌、型号和数量等，并详细记录每件设备的开箱检验情况，报送采购人备案。</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（3）在检验中发现短缺或损坏，中标供应商应迅速采取措施补救，损坏设备必须更换后重新检验。</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（4）开箱检验合格后，中标供应商必须将设备供货商提供的设备相关文档全部移交给采购人。</w:t>
      </w:r>
      <w:r/>
    </w:p>
    <w:p>
      <w:pPr>
        <w:pStyle w:val="718"/>
        <w:ind w:firstLine="480"/>
        <w:jc w:val="left"/>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3、安装调试检验</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（1）中标供应商负责配合甲方完成安装检验，除证明已满足本招标文件技术规范要求外，还要提供相应的文件和资料。</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（2）安装检验时发生问题，中标供应商应及时处理，处理后应补充检验，安装检验合格后才能进行下一步检验。</w:t>
      </w:r>
      <w:r/>
    </w:p>
    <w:p>
      <w:pPr>
        <w:pStyle w:val="718"/>
        <w:ind w:firstLine="480"/>
        <w:jc w:val="left"/>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、试运行检验</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完成合同所规定的全部建设内容</w:t>
      </w:r>
      <w:r>
        <w:rPr>
          <w:rFonts w:hint="eastAsia" w:asciiTheme="minorEastAsia" w:hAnsiTheme="minorEastAsia" w:eastAsiaTheme="minorEastAsia" w:cstheme="minorEastAsia"/>
          <w:color w:val="auto"/>
          <w:sz w:val="24"/>
          <w:szCs w:val="24"/>
          <w:highlight w:val="none"/>
          <w:lang w:val="en-US" w:eastAsia="zh-CN"/>
        </w:rPr>
        <w:t xml:space="preserve">后</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需开展</w:t>
      </w:r>
      <w:r>
        <w:rPr>
          <w:rFonts w:hint="eastAsia" w:asciiTheme="minorEastAsia" w:hAnsiTheme="minorEastAsia" w:eastAsiaTheme="minorEastAsia" w:cstheme="minorEastAsia"/>
          <w:color w:val="auto"/>
          <w:sz w:val="24"/>
          <w:szCs w:val="24"/>
          <w:highlight w:val="none"/>
        </w:rPr>
        <w:t xml:space="preserve">3个月的试运行期，试运行检验由乙方负责，采购人监督并协助，最终提交</w:t>
      </w:r>
      <w:bookmarkStart w:id="89" w:name="OLE_LINK1"/>
      <w:r>
        <w:rPr>
          <w:rFonts w:hint="eastAsia" w:asciiTheme="minorEastAsia" w:hAnsiTheme="minorEastAsia" w:eastAsiaTheme="minorEastAsia" w:cstheme="minorEastAsia"/>
          <w:color w:val="auto"/>
          <w:sz w:val="24"/>
          <w:szCs w:val="24"/>
          <w:highlight w:val="none"/>
        </w:rPr>
        <w:t xml:space="preserve">试运行报告</w:t>
      </w:r>
      <w:bookmarkEnd w:id="89"/>
      <w:r>
        <w:rPr>
          <w:rFonts w:hint="eastAsia" w:asciiTheme="minorEastAsia" w:hAnsiTheme="minorEastAsia" w:eastAsiaTheme="minorEastAsia" w:cstheme="minorEastAsia"/>
          <w:color w:val="auto"/>
          <w:sz w:val="24"/>
          <w:szCs w:val="24"/>
          <w:highlight w:val="none"/>
        </w:rPr>
        <w:t xml:space="preserve">。</w:t>
      </w:r>
      <w:r/>
    </w:p>
    <w:p>
      <w:pPr>
        <w:pStyle w:val="718"/>
        <w:ind w:firstLine="480"/>
        <w:jc w:val="left"/>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、合同验收</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（1）中标供应商完成合同所规定的全部建设内容，</w:t>
      </w:r>
      <w:r>
        <w:rPr>
          <w:rFonts w:hint="eastAsia" w:asciiTheme="minorEastAsia" w:hAnsiTheme="minorEastAsia" w:eastAsiaTheme="minorEastAsia" w:cstheme="minorEastAsia"/>
          <w:color w:val="auto"/>
          <w:sz w:val="24"/>
          <w:szCs w:val="24"/>
          <w:highlight w:val="none"/>
          <w:lang w:val="en-US" w:eastAsia="zh-CN"/>
        </w:rPr>
        <w:t xml:space="preserve">且完成试运行检验，</w:t>
      </w:r>
      <w:r>
        <w:rPr>
          <w:rFonts w:hint="eastAsia" w:asciiTheme="minorEastAsia" w:hAnsiTheme="minorEastAsia" w:eastAsiaTheme="minorEastAsia" w:cstheme="minorEastAsia"/>
          <w:color w:val="auto"/>
          <w:sz w:val="24"/>
          <w:szCs w:val="24"/>
          <w:highlight w:val="none"/>
        </w:rPr>
        <w:t xml:space="preserve">质量符合要求，中标供应商向采购人提出验收申请，采购人同意后，申请合同验收。</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合同</w:t>
      </w:r>
      <w:r>
        <w:rPr>
          <w:rFonts w:hint="eastAsia" w:asciiTheme="minorEastAsia" w:hAnsiTheme="minorEastAsia" w:eastAsiaTheme="minorEastAsia" w:cstheme="minorEastAsia"/>
          <w:color w:val="auto"/>
          <w:sz w:val="24"/>
          <w:szCs w:val="24"/>
          <w:highlight w:val="none"/>
        </w:rPr>
        <w:t xml:space="preserve">验收由采购人组织</w:t>
      </w:r>
      <w:r>
        <w:rPr>
          <w:rFonts w:hint="eastAsia" w:asciiTheme="minorEastAsia" w:hAnsiTheme="minorEastAsia" w:eastAsiaTheme="minorEastAsia" w:cstheme="minorEastAsia"/>
          <w:color w:val="auto"/>
          <w:sz w:val="24"/>
          <w:szCs w:val="24"/>
          <w:highlight w:val="none"/>
          <w:lang w:val="en-US" w:eastAsia="zh-CN"/>
        </w:rPr>
        <w:t xml:space="preserve">相关人员</w:t>
      </w:r>
      <w:r>
        <w:rPr>
          <w:rFonts w:hint="eastAsia" w:asciiTheme="minorEastAsia" w:hAnsiTheme="minorEastAsia" w:eastAsiaTheme="minorEastAsia" w:cstheme="minorEastAsia"/>
          <w:color w:val="auto"/>
          <w:sz w:val="24"/>
          <w:szCs w:val="24"/>
          <w:highlight w:val="none"/>
        </w:rPr>
        <w:t xml:space="preserve">组成验收</w:t>
      </w:r>
      <w:r>
        <w:rPr>
          <w:rFonts w:hint="eastAsia" w:asciiTheme="minorEastAsia" w:hAnsiTheme="minorEastAsia" w:eastAsiaTheme="minorEastAsia" w:cstheme="minorEastAsia"/>
          <w:color w:val="auto"/>
          <w:sz w:val="24"/>
          <w:szCs w:val="24"/>
          <w:highlight w:val="none"/>
          <w:lang w:val="en-US" w:eastAsia="zh-CN"/>
        </w:rPr>
        <w:t xml:space="preserve">组</w:t>
      </w:r>
      <w:r>
        <w:rPr>
          <w:rFonts w:hint="eastAsia" w:asciiTheme="minorEastAsia" w:hAnsiTheme="minorEastAsia" w:eastAsiaTheme="minorEastAsia" w:cstheme="minorEastAsia"/>
          <w:color w:val="auto"/>
          <w:sz w:val="24"/>
          <w:szCs w:val="24"/>
          <w:highlight w:val="none"/>
        </w:rPr>
        <w:t xml:space="preserve">进行验收，中标供应商协助配合有关工作。</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（3）中标供应商应在验收前7天将施工管理工作报告、系统测试报告、安装调试报告</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试运行报告等资料报采购人审核。</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（4）验收内容包括：对本工程进行全面检验，评定工程质量；提交合同验收报告，签发合同完工鉴定书；进行工程设备、备品备件、仪器仪表、工具、文件资料等交接工作。</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（5）完工验收时如发现问题，由采购人按实际情况分清责任，如需中标供应商处理解决的，应暂停验收，待中标供应商完成整改后，再进行验收。</w:t>
      </w:r>
      <w:r/>
    </w:p>
    <w:p>
      <w:pPr>
        <w:ind w:firstLine="480"/>
        <w:jc w:val="left"/>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六、质保期与售后服务</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（1）质量保证期从试运行完成且试运行</w:t>
      </w:r>
      <w:r>
        <w:rPr>
          <w:rFonts w:hint="eastAsia" w:asciiTheme="minorEastAsia" w:hAnsiTheme="minorEastAsia" w:eastAsiaTheme="minorEastAsia" w:cstheme="minorEastAsia"/>
          <w:color w:val="auto"/>
          <w:sz w:val="24"/>
          <w:szCs w:val="24"/>
          <w:highlight w:val="none"/>
          <w:lang w:eastAsia="zh-CN"/>
        </w:rPr>
        <w:t xml:space="preserve">期内出现的质量问题</w:t>
      </w:r>
      <w:r>
        <w:rPr>
          <w:rFonts w:hint="eastAsia" w:asciiTheme="minorEastAsia" w:hAnsiTheme="minorEastAsia" w:eastAsiaTheme="minorEastAsia" w:cstheme="minorEastAsia"/>
          <w:color w:val="auto"/>
          <w:sz w:val="24"/>
          <w:szCs w:val="24"/>
          <w:highlight w:val="none"/>
        </w:rPr>
        <w:t xml:space="preserve">处置完成（以采购人确认为准）之日起，期限为12个月。</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（2）保证期内，中标供应商负责整个系统设备的故障维修工作。系统发生非人为因素的故障，应由中标供应商负责免费维修。</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（3）如果一个月内系统严重故障时间超过48小时或月累计一般故障时间超过一周，则保证期相应延长一个月。</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（4）保证期内投标供应商因系统设备维修所发生的一切费用，包括工时费、交通费、住宿费、通讯费均由中标供应商承担。</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（5）在保证期后，投标供应商有义务在系统的使用维护、应用开发、备件供应等方面以优惠的价格继续向采购人提供技术支持。</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（6）中标供应商有义务向用户说明提供系统软件最新版本的方法及优惠条件。</w:t>
      </w:r>
      <w:r/>
    </w:p>
    <w:p>
      <w:pPr>
        <w:pStyle w:val="717"/>
        <w:ind w:firstLine="482"/>
        <w:jc w:val="left"/>
        <w:spacing w:line="360" w:lineRule="auto"/>
        <w:tabs>
          <w:tab w:val="left" w:pos="567"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七、产权与保密</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中标供应商为采购人提供的并且已被支付的全部产品（包括设备、软件和文档）的所有权均属采购人所有。</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中标供应商应严守采购人的商业秘密，对采购人提供的所有资料和实施</w:t>
      </w:r>
      <w:r>
        <w:rPr>
          <w:rFonts w:hint="eastAsia" w:asciiTheme="minorEastAsia" w:hAnsiTheme="minorEastAsia" w:eastAsiaTheme="minorEastAsia" w:cstheme="minorEastAsia"/>
          <w:color w:val="auto"/>
          <w:sz w:val="24"/>
          <w:szCs w:val="24"/>
          <w:highlight w:val="none"/>
          <w:lang w:eastAsia="zh-CN"/>
        </w:rPr>
        <w:t xml:space="preserve">各项</w:t>
      </w:r>
      <w:r>
        <w:rPr>
          <w:rFonts w:hint="eastAsia" w:asciiTheme="minorEastAsia" w:hAnsiTheme="minorEastAsia" w:eastAsiaTheme="minorEastAsia" w:cstheme="minorEastAsia"/>
          <w:color w:val="auto"/>
          <w:sz w:val="24"/>
          <w:szCs w:val="24"/>
          <w:highlight w:val="none"/>
        </w:rPr>
        <w:t xml:space="preserve">任务过程中接触的资料均予以保密，并承诺为采购人完成开发任务时不抄袭任何他人产品或侵犯他方的知识产权。</w:t>
      </w:r>
      <w:r/>
    </w:p>
    <w:p>
      <w:pPr>
        <w:pStyle w:val="717"/>
        <w:ind w:firstLine="482"/>
        <w:jc w:val="left"/>
        <w:spacing w:line="360" w:lineRule="auto"/>
        <w:tabs>
          <w:tab w:val="left" w:pos="567"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八、培训</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中标供应商需为用户免费培训使用设备的工作人员，培训内容包括设备的基本原理、安装、调试、操作使用和日常保养维修等。</w:t>
      </w:r>
      <w:r/>
    </w:p>
    <w:p>
      <w:pPr>
        <w:ind w:firstLine="482"/>
        <w:jc w:val="left"/>
        <w:spacing w:line="360" w:lineRule="auto"/>
        <w:rPr>
          <w:rFonts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rPr>
        <w:t xml:space="preserve">九、其他有关说明</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项目工期：</w:t>
      </w:r>
      <w:r>
        <w:rPr>
          <w:rFonts w:hint="eastAsia" w:asciiTheme="minorEastAsia" w:hAnsiTheme="minorEastAsia" w:eastAsiaTheme="minorEastAsia" w:cstheme="minorEastAsia"/>
          <w:color w:val="auto"/>
          <w:sz w:val="24"/>
          <w:szCs w:val="24"/>
          <w:highlight w:val="none"/>
          <w:lang w:val="en-US" w:eastAsia="zh-CN"/>
        </w:rPr>
        <w:t xml:space="preserve">90</w:t>
      </w:r>
      <w:r>
        <w:rPr>
          <w:rFonts w:hint="eastAsia" w:asciiTheme="minorEastAsia" w:hAnsiTheme="minorEastAsia" w:eastAsiaTheme="minorEastAsia" w:cstheme="minorEastAsia"/>
          <w:color w:val="auto"/>
          <w:sz w:val="24"/>
          <w:szCs w:val="24"/>
          <w:highlight w:val="none"/>
        </w:rPr>
        <w:t xml:space="preserve">日历天。</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2、质保及售后要求：保证产品为全新原厂设备，质保期内中标供应商须提供免费上门维修、更换非人为损坏零部件及技术咨询服务。</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服务响应：厂家提供快捷、周到、规范的技术服务，系统出现故障时，供货或服务商维修人员在接到通知后，2小时内作出应答，24小时内到达现场排除故障。终身提供免费的应用咨询以及技术帮助。</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3、服务地点：太湖流域水文水资源监测中心（太湖流域水环境监测中心）指定地点。</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4、付款方式：</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（1）预付款：中标供应商与采购人合同签订后，</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个工作日内采购人向中标供应商支付合同总金额的30%作为预付款。</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（2）工程进度款：设备到货，完成开箱验收后，甲方向乙方支付合同总金额的</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完成所有基础设施建设以及设备安装调试合格，甲方支付进度款</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eastAsiaTheme="minorEastAsia" w:cstheme="minorEastAsia"/>
          <w:color w:val="auto"/>
          <w:sz w:val="24"/>
          <w:szCs w:val="24"/>
          <w:highlight w:val="none"/>
          <w:lang w:val="en-US" w:eastAsia="zh-CN"/>
        </w:rPr>
        <w:t xml:space="preserve">合同</w:t>
      </w:r>
      <w:r>
        <w:rPr>
          <w:rFonts w:hint="eastAsia" w:asciiTheme="minorEastAsia" w:hAnsiTheme="minorEastAsia" w:eastAsiaTheme="minorEastAsia" w:cstheme="minorEastAsia"/>
          <w:color w:val="auto"/>
          <w:sz w:val="24"/>
          <w:szCs w:val="24"/>
          <w:highlight w:val="none"/>
        </w:rPr>
        <w:t xml:space="preserve">验收后，甲方向乙方支付至</w:t>
      </w:r>
      <w:r>
        <w:rPr>
          <w:rFonts w:hint="eastAsia" w:asciiTheme="minorEastAsia" w:hAnsiTheme="minorEastAsia" w:eastAsiaTheme="minorEastAsia" w:cstheme="minorEastAsia"/>
          <w:color w:val="auto"/>
          <w:sz w:val="24"/>
          <w:szCs w:val="24"/>
          <w:highlight w:val="none"/>
          <w:lang w:val="en-US" w:eastAsia="zh-CN"/>
        </w:rPr>
        <w:t xml:space="preserve">审价结算</w:t>
      </w:r>
      <w:r>
        <w:rPr>
          <w:rFonts w:hint="eastAsia" w:asciiTheme="minorEastAsia" w:hAnsiTheme="minorEastAsia" w:eastAsiaTheme="minorEastAsia" w:cstheme="minorEastAsia"/>
          <w:color w:val="auto"/>
          <w:sz w:val="24"/>
          <w:szCs w:val="24"/>
          <w:highlight w:val="none"/>
        </w:rPr>
        <w:t xml:space="preserve">金额的100%。</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工程款支付货币为人民币，所有工程款支付均需中标供应商出具发票。</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本项目资金来源为中央预算内投资，中标供应商充分理解并承诺若中央预算内投资不能及时到位或到位资金无法满足当前实际需求时，自身的资金能力可以保证该项目的进度和质量，并不能因此影响工期。如本项目涉及农民工工资，中标供应商不得拖欠相应农民工工资结算和支付，对由此产生的一切后果，采购人不承担相关任何责任。</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5、报价要求</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（1）本项目最高限价为</w:t>
      </w:r>
      <w:r>
        <w:rPr>
          <w:rFonts w:hint="eastAsia" w:asciiTheme="minorEastAsia" w:hAnsiTheme="minorEastAsia" w:eastAsiaTheme="minorEastAsia" w:cstheme="minorEastAsia"/>
          <w:color w:val="auto"/>
          <w:sz w:val="24"/>
          <w:szCs w:val="24"/>
          <w:highlight w:val="none"/>
          <w:lang w:val="en-US" w:eastAsia="zh-CN"/>
        </w:rPr>
        <w:t xml:space="preserve">166.3</w:t>
      </w:r>
      <w:r>
        <w:rPr>
          <w:rFonts w:hint="eastAsia" w:asciiTheme="minorEastAsia" w:hAnsiTheme="minorEastAsia" w:eastAsiaTheme="minorEastAsia" w:cstheme="minorEastAsia"/>
          <w:color w:val="auto"/>
          <w:sz w:val="24"/>
          <w:szCs w:val="24"/>
          <w:highlight w:val="none"/>
        </w:rPr>
        <w:t xml:space="preserve">万元，投标报价超出最高限价按无效标书处理。</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报价应包括本次招标范围内全部设备、材料、随设备提供的备品配件及专用工具的价格、全部税、包装费、运杂费（运抵采购人指定地点）、装卸费、保险费、安装费、集成调试费、3个月试运行期巡检维护费（含耗材等费用）、采购人操作维护人员培训费、招标代理服务费等为完成该项目所需的全部费用，投标费用自理。</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在项目完成过程中，凡属中标供应商的所有缺陷（包括但不限于制造、安装、调试、验收等环节），中标供应商应无条件整改直至采购人满意为止，所发生的一切费用，视为已包含在中标供应商投标时的投标报价之中，且并不因此而影响合同履行期限。</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（4）在本招标文件第五章 附件“（三）投标报价明细表（格式）”中未列出而投标供应商认为要单独列出的报价项目，投标供应商可增加列出，并计入“价格合计”中。</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（5）投标供应商的报价应为完成该项目建设安装等全部费用。</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（6）投标报价，以人民币万元或元为单位报价。</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经评标委员会认定投标供应商的投标报价明显低于其他通过符合性审查投标供应商的报价，有可能影响产品质量或者不能诚信履约的，投标供应商必须在一小时内提供书面说明或相关证明材料以证明其报价合理性。投标供应商不能证明其报价合理性的，评标委员会应当将其作为无效投标处理。</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7、投标供应商必须在满足招标文件要求的基础上进行报价，如有技术偏离请于技术偏离表中说明。</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r/>
    </w:p>
    <w:p>
      <w:pPr>
        <w:ind w:firstLine="480"/>
        <w:jc w:val="left"/>
        <w:spacing w:line="36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szCs w:val="24"/>
          <w:highlight w:val="none"/>
        </w:rPr>
        <w:t xml:space="preserve">9、涉及招标文件补充说明或修正，均以采购代理机构邮件或书面依据为准。</w:t>
      </w:r>
      <w:r/>
    </w:p>
    <w:p>
      <w:pPr>
        <w:rPr>
          <w:color w:val="auto"/>
          <w:highlight w:val="none"/>
        </w:rPr>
      </w:pPr>
      <w:r>
        <w:rPr>
          <w:color w:val="auto"/>
          <w:highlight w:val="none"/>
        </w:rPr>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r/>
    </w:p>
    <w:p>
      <w:pPr>
        <w:pStyle w:val="763"/>
        <w:ind w:left="0" w:firstLine="0"/>
        <w:jc w:val="center"/>
        <w:rPr>
          <w:rFonts w:ascii="黑体" w:eastAsia="黑体"/>
          <w:bCs/>
          <w:color w:val="auto"/>
          <w:sz w:val="36"/>
          <w:szCs w:val="36"/>
          <w:highlight w:val="none"/>
        </w:rPr>
      </w:pPr>
      <w:r>
        <w:rPr>
          <w:rFonts w:ascii="黑体" w:eastAsia="黑体"/>
          <w:bCs/>
          <w:color w:val="auto"/>
          <w:sz w:val="36"/>
          <w:szCs w:val="36"/>
          <w:highlight w:val="none"/>
        </w:rPr>
      </w:r>
      <w:r/>
    </w:p>
    <w:p>
      <w:pPr>
        <w:pStyle w:val="763"/>
        <w:ind w:left="0" w:firstLine="0"/>
        <w:jc w:val="center"/>
        <w:rPr>
          <w:rFonts w:ascii="宋体" w:hAnsi="宋体"/>
          <w:color w:val="auto"/>
          <w:sz w:val="28"/>
          <w:highlight w:val="none"/>
        </w:rPr>
        <w:outlineLvl w:val="0"/>
      </w:pPr>
      <w:r/>
      <w:bookmarkStart w:id="90" w:name="_Toc27440"/>
      <w:r>
        <w:rPr>
          <w:rFonts w:hint="eastAsia" w:ascii="黑体" w:eastAsia="黑体"/>
          <w:bCs/>
          <w:color w:val="auto"/>
          <w:sz w:val="36"/>
          <w:szCs w:val="36"/>
          <w:highlight w:val="none"/>
        </w:rPr>
        <w:t xml:space="preserve">四、合同书（格式）</w:t>
      </w:r>
      <w:bookmarkEnd w:id="5"/>
      <w:r/>
      <w:bookmarkEnd w:id="90"/>
      <w:r/>
      <w:r/>
    </w:p>
    <w:p>
      <w:pPr>
        <w:jc w:val="center"/>
        <w:spacing w:line="360" w:lineRule="auto"/>
        <w:rPr>
          <w:rFonts w:ascii="宋体" w:hAnsi="宋体" w:cs="宋体"/>
          <w:b/>
          <w:color w:val="auto"/>
          <w:sz w:val="52"/>
          <w:szCs w:val="52"/>
          <w:highlight w:val="none"/>
        </w:rPr>
      </w:pPr>
      <w:r>
        <w:rPr>
          <w:rFonts w:ascii="宋体" w:hAnsi="宋体" w:cs="宋体"/>
          <w:b/>
          <w:color w:val="auto"/>
          <w:sz w:val="52"/>
          <w:szCs w:val="52"/>
          <w:highlight w:val="none"/>
        </w:rPr>
      </w:r>
      <w:r/>
    </w:p>
    <w:p>
      <w:pPr>
        <w:spacing w:before="156" w:line="312" w:lineRule="auto"/>
        <w:rPr>
          <w:rFonts w:ascii="黑体" w:eastAsia="黑体"/>
          <w:color w:val="auto"/>
          <w:highlight w:val="none"/>
        </w:rPr>
      </w:pPr>
      <w:r>
        <w:rPr>
          <w:rFonts w:ascii="黑体" w:eastAsia="黑体"/>
          <w:color w:val="auto"/>
          <w:highlight w:val="none"/>
        </w:rPr>
      </w:r>
      <w:r/>
    </w:p>
    <w:p>
      <w:pPr>
        <w:pStyle w:val="733"/>
        <w:rPr>
          <w:rFonts w:ascii="宋体" w:hAnsi="宋体"/>
          <w:bCs w:val="0"/>
          <w:color w:val="auto"/>
          <w:sz w:val="44"/>
          <w:szCs w:val="44"/>
          <w:highlight w:val="none"/>
        </w:rPr>
      </w:pPr>
      <w:r>
        <w:rPr>
          <w:rFonts w:hint="eastAsia" w:ascii="仿宋_GB2312" w:hAnsi="宋体" w:eastAsia="仿宋_GB2312"/>
          <w:b w:val="0"/>
          <w:color w:val="auto"/>
          <w:sz w:val="44"/>
          <w:szCs w:val="44"/>
          <w:highlight w:val="none"/>
          <w:u w:val="single"/>
        </w:rPr>
        <w:t xml:space="preserve"> </w:t>
      </w:r>
      <w:r>
        <w:rPr>
          <w:rFonts w:ascii="仿宋_GB2312" w:hAnsi="宋体" w:eastAsia="仿宋_GB2312"/>
          <w:b w:val="0"/>
          <w:color w:val="auto"/>
          <w:sz w:val="44"/>
          <w:szCs w:val="44"/>
          <w:highlight w:val="none"/>
          <w:u w:val="single"/>
        </w:rPr>
        <w:t xml:space="preserve">                          </w:t>
      </w:r>
      <w:r>
        <w:rPr>
          <w:rFonts w:hint="eastAsia" w:ascii="仿宋_GB2312" w:hAnsi="宋体" w:eastAsia="仿宋_GB2312"/>
          <w:b w:val="0"/>
          <w:color w:val="auto"/>
          <w:sz w:val="44"/>
          <w:szCs w:val="44"/>
          <w:highlight w:val="none"/>
        </w:rPr>
        <w:t xml:space="preserve">项目</w:t>
      </w:r>
      <w:r/>
    </w:p>
    <w:p>
      <w:pPr>
        <w:pStyle w:val="733"/>
        <w:ind w:left="2940" w:firstLine="880"/>
        <w:rPr>
          <w:rFonts w:ascii="宋体" w:hAnsi="宋体"/>
          <w:bCs w:val="0"/>
          <w:color w:val="auto"/>
          <w:sz w:val="44"/>
          <w:szCs w:val="44"/>
          <w:highlight w:val="none"/>
        </w:rPr>
      </w:pPr>
      <w:r>
        <w:rPr>
          <w:rFonts w:ascii="宋体" w:hAnsi="宋体"/>
          <w:bCs w:val="0"/>
          <w:color w:val="auto"/>
          <w:sz w:val="44"/>
          <w:szCs w:val="44"/>
          <w:highlight w:val="none"/>
        </w:rPr>
      </w:r>
      <w:r/>
    </w:p>
    <w:p>
      <w:pPr>
        <w:pStyle w:val="733"/>
        <w:ind w:left="2940" w:firstLine="880"/>
        <w:rPr>
          <w:rFonts w:ascii="宋体" w:hAnsi="宋体"/>
          <w:bCs w:val="0"/>
          <w:color w:val="auto"/>
          <w:sz w:val="44"/>
          <w:szCs w:val="44"/>
          <w:highlight w:val="none"/>
        </w:rPr>
      </w:pPr>
      <w:r>
        <w:rPr>
          <w:rFonts w:ascii="宋体" w:hAnsi="宋体"/>
          <w:bCs w:val="0"/>
          <w:color w:val="auto"/>
          <w:sz w:val="44"/>
          <w:szCs w:val="44"/>
          <w:highlight w:val="none"/>
        </w:rPr>
      </w:r>
      <w:r/>
    </w:p>
    <w:p>
      <w:pPr>
        <w:pStyle w:val="758"/>
        <w:ind w:right="-11" w:firstLine="182"/>
        <w:jc w:val="center"/>
        <w:spacing w:before="156"/>
        <w:rPr>
          <w:rFonts w:ascii="宋体" w:hAnsi="宋体"/>
          <w:b/>
          <w:color w:val="auto"/>
          <w:spacing w:val="12"/>
          <w:sz w:val="52"/>
          <w:highlight w:val="none"/>
        </w:rPr>
      </w:pPr>
      <w:r>
        <w:rPr>
          <w:rFonts w:hint="eastAsia" w:ascii="黑体" w:hAnsi="宋体"/>
          <w:bCs/>
          <w:color w:val="auto"/>
          <w:sz w:val="52"/>
          <w:szCs w:val="52"/>
          <w:highlight w:val="none"/>
        </w:rPr>
        <w:t xml:space="preserve">项 目 合 同</w:t>
      </w:r>
      <w:r/>
    </w:p>
    <w:p>
      <w:pPr>
        <w:ind w:firstLine="360"/>
        <w:rPr>
          <w:rFonts w:ascii="宋体"/>
          <w:color w:val="auto"/>
          <w:sz w:val="18"/>
          <w:highlight w:val="none"/>
        </w:rPr>
      </w:pPr>
      <w:r>
        <w:rPr>
          <w:rFonts w:ascii="宋体"/>
          <w:color w:val="auto"/>
          <w:sz w:val="18"/>
          <w:highlight w:val="none"/>
        </w:rPr>
      </w:r>
      <w:r/>
    </w:p>
    <w:p>
      <w:pPr>
        <w:ind w:firstLine="360"/>
        <w:rPr>
          <w:rFonts w:ascii="宋体"/>
          <w:color w:val="auto"/>
          <w:sz w:val="18"/>
          <w:highlight w:val="none"/>
        </w:rPr>
      </w:pPr>
      <w:r>
        <w:rPr>
          <w:rFonts w:ascii="宋体"/>
          <w:color w:val="auto"/>
          <w:sz w:val="18"/>
          <w:highlight w:val="none"/>
        </w:rPr>
      </w:r>
      <w:r/>
    </w:p>
    <w:p>
      <w:pPr>
        <w:ind w:firstLine="480"/>
        <w:spacing w:before="156" w:line="312" w:lineRule="auto"/>
        <w:rPr>
          <w:rFonts w:ascii="宋体"/>
          <w:color w:val="auto"/>
          <w:highlight w:val="none"/>
        </w:rPr>
      </w:pPr>
      <w:r>
        <w:rPr>
          <w:rFonts w:ascii="宋体"/>
          <w:color w:val="auto"/>
          <w:highlight w:val="none"/>
        </w:rPr>
      </w:r>
      <w:r/>
    </w:p>
    <w:p>
      <w:pPr>
        <w:ind w:left="945" w:firstLine="643"/>
        <w:rPr>
          <w:rFonts w:ascii="宋体" w:hAnsi="宋体"/>
          <w:b/>
          <w:color w:val="auto"/>
          <w:sz w:val="32"/>
          <w:highlight w:val="none"/>
          <w:u w:val="single"/>
        </w:rPr>
      </w:pPr>
      <w:r>
        <w:rPr>
          <w:rFonts w:hint="eastAsia" w:ascii="宋体"/>
          <w:b/>
          <w:color w:val="auto"/>
          <w:sz w:val="32"/>
          <w:highlight w:val="none"/>
        </w:rPr>
        <w:t xml:space="preserve">委托方： </w:t>
      </w:r>
      <w:r>
        <w:rPr>
          <w:rFonts w:ascii="宋体" w:hAnsi="宋体"/>
          <w:b/>
          <w:color w:val="auto"/>
          <w:sz w:val="32"/>
          <w:highlight w:val="none"/>
          <w:u w:val="single"/>
        </w:rPr>
        <w:t xml:space="preserve">太湖流域水文水资源监测中心</w:t>
      </w:r>
      <w:r/>
    </w:p>
    <w:p>
      <w:pPr>
        <w:ind w:left="945" w:firstLine="1928"/>
        <w:rPr>
          <w:rFonts w:ascii="宋体"/>
          <w:b/>
          <w:color w:val="auto"/>
          <w:sz w:val="32"/>
          <w:highlight w:val="none"/>
        </w:rPr>
      </w:pPr>
      <w:r>
        <w:rPr>
          <w:rFonts w:ascii="宋体" w:hAnsi="宋体"/>
          <w:b/>
          <w:color w:val="auto"/>
          <w:sz w:val="32"/>
          <w:highlight w:val="none"/>
          <w:u w:val="single"/>
        </w:rPr>
        <w:t xml:space="preserve">（太湖流域水环境监测中心）</w:t>
      </w:r>
      <w:r/>
    </w:p>
    <w:p>
      <w:pPr>
        <w:ind w:left="945" w:firstLine="643"/>
        <w:spacing w:line="360" w:lineRule="exact"/>
        <w:rPr>
          <w:rFonts w:ascii="宋体"/>
          <w:b/>
          <w:color w:val="auto"/>
          <w:sz w:val="32"/>
          <w:highlight w:val="none"/>
        </w:rPr>
      </w:pPr>
      <w:r>
        <w:rPr>
          <w:rFonts w:hint="eastAsia" w:ascii="宋体"/>
          <w:b/>
          <w:color w:val="auto"/>
          <w:sz w:val="32"/>
          <w:highlight w:val="none"/>
        </w:rPr>
        <w:t xml:space="preserve">（甲方）</w:t>
      </w:r>
      <w:r/>
    </w:p>
    <w:p>
      <w:pPr>
        <w:ind w:left="945" w:firstLine="643"/>
        <w:spacing w:before="312"/>
        <w:rPr>
          <w:rFonts w:ascii="宋体"/>
          <w:bCs/>
          <w:color w:val="auto"/>
          <w:sz w:val="32"/>
          <w:highlight w:val="none"/>
          <w:u w:val="single"/>
        </w:rPr>
      </w:pPr>
      <w:r>
        <w:rPr>
          <w:rFonts w:hint="eastAsia" w:ascii="宋体"/>
          <w:b/>
          <w:color w:val="auto"/>
          <w:sz w:val="32"/>
          <w:highlight w:val="none"/>
        </w:rPr>
        <w:t xml:space="preserve">承包方：</w:t>
      </w:r>
      <w:r>
        <w:rPr>
          <w:rFonts w:hint="eastAsia" w:ascii="宋体"/>
          <w:b/>
          <w:color w:val="auto"/>
          <w:sz w:val="32"/>
          <w:highlight w:val="none"/>
          <w:u w:val="single"/>
        </w:rPr>
        <w:t xml:space="preserve">   </w:t>
      </w:r>
      <w:r>
        <w:rPr>
          <w:rFonts w:ascii="宋体"/>
          <w:b/>
          <w:color w:val="auto"/>
          <w:sz w:val="32"/>
          <w:highlight w:val="none"/>
          <w:u w:val="single"/>
        </w:rPr>
        <w:t xml:space="preserve">                  </w:t>
      </w:r>
      <w:r>
        <w:rPr>
          <w:rFonts w:hint="eastAsia" w:ascii="宋体"/>
          <w:b/>
          <w:bCs/>
          <w:color w:val="auto"/>
          <w:sz w:val="32"/>
          <w:highlight w:val="none"/>
          <w:u w:val="single"/>
        </w:rPr>
        <w:t xml:space="preserve">          </w:t>
      </w:r>
      <w:r>
        <w:rPr>
          <w:rFonts w:hint="eastAsia" w:ascii="宋体"/>
          <w:bCs/>
          <w:color w:val="auto"/>
          <w:sz w:val="32"/>
          <w:highlight w:val="none"/>
          <w:u w:val="single"/>
        </w:rPr>
        <w:t xml:space="preserve"> </w:t>
      </w:r>
      <w:r/>
    </w:p>
    <w:p>
      <w:pPr>
        <w:ind w:left="945" w:firstLine="643"/>
        <w:spacing w:line="360" w:lineRule="exact"/>
        <w:rPr>
          <w:rFonts w:ascii="宋体"/>
          <w:b/>
          <w:color w:val="auto"/>
          <w:sz w:val="32"/>
          <w:highlight w:val="none"/>
        </w:rPr>
      </w:pPr>
      <w:r>
        <w:rPr>
          <w:rFonts w:hint="eastAsia" w:ascii="宋体"/>
          <w:b/>
          <w:color w:val="auto"/>
          <w:sz w:val="32"/>
          <w:highlight w:val="none"/>
        </w:rPr>
        <w:t xml:space="preserve">（乙方）</w:t>
      </w:r>
      <w:r/>
    </w:p>
    <w:p>
      <w:pPr>
        <w:ind w:firstLine="904"/>
        <w:spacing w:line="700" w:lineRule="exact"/>
        <w:rPr>
          <w:b/>
          <w:bCs/>
          <w:color w:val="auto"/>
          <w:sz w:val="30"/>
          <w:highlight w:val="none"/>
        </w:rPr>
      </w:pPr>
      <w:r>
        <w:rPr>
          <w:b/>
          <w:bCs/>
          <w:color w:val="auto"/>
          <w:sz w:val="30"/>
          <w:highlight w:val="none"/>
        </w:rPr>
      </w:r>
      <w:r/>
    </w:p>
    <w:p>
      <w:pPr>
        <w:ind w:firstLine="360"/>
        <w:jc w:val="center"/>
        <w:rPr>
          <w:rFonts w:ascii="宋体"/>
          <w:color w:val="auto"/>
          <w:sz w:val="18"/>
          <w:highlight w:val="none"/>
        </w:rPr>
      </w:pPr>
      <w:r>
        <w:rPr>
          <w:rFonts w:ascii="宋体"/>
          <w:color w:val="auto"/>
          <w:sz w:val="18"/>
          <w:highlight w:val="none"/>
        </w:rPr>
      </w:r>
      <w:r/>
    </w:p>
    <w:p>
      <w:pPr>
        <w:ind w:firstLine="1506"/>
        <w:spacing w:line="700" w:lineRule="exact"/>
        <w:rPr>
          <w:rFonts w:eastAsia="楷体_GB2312"/>
          <w:color w:val="auto"/>
          <w:sz w:val="30"/>
          <w:highlight w:val="none"/>
        </w:rPr>
      </w:pPr>
      <w:r>
        <w:rPr>
          <w:rFonts w:hint="eastAsia"/>
          <w:b/>
          <w:bCs/>
          <w:color w:val="auto"/>
          <w:sz w:val="30"/>
          <w:highlight w:val="none"/>
        </w:rPr>
        <w:t xml:space="preserve">签订地点</w:t>
      </w:r>
      <w:r>
        <w:rPr>
          <w:rFonts w:hint="eastAsia" w:eastAsia="黑体"/>
          <w:color w:val="auto"/>
          <w:sz w:val="30"/>
          <w:highlight w:val="none"/>
        </w:rPr>
        <w:t xml:space="preserve">：</w:t>
      </w:r>
      <w:r>
        <w:rPr>
          <w:rFonts w:hint="eastAsia"/>
          <w:color w:val="auto"/>
          <w:sz w:val="30"/>
          <w:highlight w:val="none"/>
          <w:u w:val="single"/>
        </w:rPr>
        <w:t xml:space="preserve">          </w:t>
      </w:r>
      <w:r>
        <w:rPr>
          <w:rFonts w:hint="eastAsia"/>
          <w:color w:val="auto"/>
          <w:sz w:val="30"/>
          <w:highlight w:val="none"/>
        </w:rPr>
        <w:t xml:space="preserve"> 省 </w:t>
      </w:r>
      <w:r>
        <w:rPr>
          <w:rFonts w:hint="eastAsia"/>
          <w:color w:val="auto"/>
          <w:sz w:val="30"/>
          <w:highlight w:val="none"/>
          <w:u w:val="single"/>
        </w:rPr>
        <w:t xml:space="preserve">   </w:t>
      </w:r>
      <w:r>
        <w:rPr>
          <w:color w:val="auto"/>
          <w:sz w:val="30"/>
          <w:highlight w:val="none"/>
          <w:u w:val="single"/>
        </w:rPr>
        <w:t xml:space="preserve">  </w:t>
      </w:r>
      <w:r>
        <w:rPr>
          <w:rFonts w:hint="eastAsia"/>
          <w:color w:val="auto"/>
          <w:sz w:val="30"/>
          <w:highlight w:val="none"/>
          <w:u w:val="single"/>
        </w:rPr>
        <w:t xml:space="preserve">   </w:t>
      </w:r>
      <w:r>
        <w:rPr>
          <w:rFonts w:hint="eastAsia"/>
          <w:color w:val="auto"/>
          <w:sz w:val="30"/>
          <w:highlight w:val="none"/>
        </w:rPr>
        <w:t xml:space="preserve">市（县）</w:t>
      </w:r>
      <w:r/>
    </w:p>
    <w:p>
      <w:pPr>
        <w:ind w:firstLine="1506"/>
        <w:rPr>
          <w:rFonts w:ascii="宋体" w:hAnsi="宋体"/>
          <w:color w:val="auto"/>
          <w:sz w:val="30"/>
          <w:highlight w:val="none"/>
        </w:rPr>
      </w:pPr>
      <w:r>
        <w:rPr>
          <w:rFonts w:hint="eastAsia"/>
          <w:b/>
          <w:bCs/>
          <w:color w:val="auto"/>
          <w:sz w:val="30"/>
          <w:highlight w:val="none"/>
        </w:rPr>
        <w:t xml:space="preserve">签订日期：</w:t>
      </w:r>
      <w:r>
        <w:rPr>
          <w:rFonts w:hint="eastAsia" w:ascii="宋体" w:hAnsi="宋体"/>
          <w:color w:val="auto"/>
          <w:sz w:val="30"/>
          <w:highlight w:val="none"/>
          <w:u w:val="single"/>
        </w:rPr>
        <w:t xml:space="preserve">  </w:t>
      </w:r>
      <w:r>
        <w:rPr>
          <w:rFonts w:ascii="宋体" w:hAnsi="宋体"/>
          <w:color w:val="auto"/>
          <w:sz w:val="30"/>
          <w:highlight w:val="none"/>
          <w:u w:val="single"/>
        </w:rPr>
        <w:t xml:space="preserve">    </w:t>
      </w:r>
      <w:r>
        <w:rPr>
          <w:rFonts w:hint="eastAsia" w:ascii="宋体" w:hAnsi="宋体"/>
          <w:color w:val="auto"/>
          <w:sz w:val="30"/>
          <w:highlight w:val="none"/>
          <w:u w:val="single"/>
        </w:rPr>
        <w:t xml:space="preserve"> </w:t>
      </w:r>
      <w:r>
        <w:rPr>
          <w:rFonts w:hint="eastAsia" w:ascii="宋体" w:hAnsi="宋体"/>
          <w:color w:val="auto"/>
          <w:sz w:val="30"/>
          <w:highlight w:val="none"/>
        </w:rPr>
        <w:t xml:space="preserve"> 年 </w:t>
      </w:r>
      <w:r>
        <w:rPr>
          <w:rFonts w:hint="eastAsia" w:ascii="宋体" w:hAnsi="宋体"/>
          <w:color w:val="auto"/>
          <w:sz w:val="30"/>
          <w:highlight w:val="none"/>
          <w:u w:val="single"/>
        </w:rPr>
        <w:t xml:space="preserve">  </w:t>
      </w:r>
      <w:r>
        <w:rPr>
          <w:rFonts w:ascii="宋体" w:hAnsi="宋体"/>
          <w:color w:val="auto"/>
          <w:sz w:val="30"/>
          <w:highlight w:val="none"/>
          <w:u w:val="single"/>
        </w:rPr>
        <w:t xml:space="preserve">    </w:t>
      </w:r>
      <w:r>
        <w:rPr>
          <w:rFonts w:hint="eastAsia" w:ascii="宋体" w:hAnsi="宋体"/>
          <w:color w:val="auto"/>
          <w:sz w:val="30"/>
          <w:highlight w:val="none"/>
          <w:u w:val="single"/>
        </w:rPr>
        <w:t xml:space="preserve">  </w:t>
      </w:r>
      <w:r>
        <w:rPr>
          <w:rFonts w:hint="eastAsia" w:ascii="宋体" w:hAnsi="宋体"/>
          <w:color w:val="auto"/>
          <w:sz w:val="30"/>
          <w:highlight w:val="none"/>
        </w:rPr>
        <w:t xml:space="preserve">月</w:t>
      </w:r>
      <w:r>
        <w:rPr>
          <w:rFonts w:hint="eastAsia" w:ascii="宋体" w:hAnsi="宋体"/>
          <w:color w:val="auto"/>
          <w:sz w:val="30"/>
          <w:highlight w:val="none"/>
          <w:u w:val="single"/>
        </w:rPr>
        <w:t xml:space="preserve"> </w:t>
      </w:r>
      <w:r>
        <w:rPr>
          <w:rFonts w:ascii="宋体" w:hAnsi="宋体"/>
          <w:color w:val="auto"/>
          <w:sz w:val="30"/>
          <w:highlight w:val="none"/>
          <w:u w:val="single"/>
        </w:rPr>
        <w:t xml:space="preserve">  </w:t>
      </w:r>
      <w:r>
        <w:rPr>
          <w:rFonts w:hint="eastAsia" w:ascii="宋体" w:hAnsi="宋体"/>
          <w:color w:val="auto"/>
          <w:sz w:val="30"/>
          <w:highlight w:val="none"/>
          <w:u w:val="single"/>
        </w:rPr>
        <w:t xml:space="preserve"> </w:t>
      </w:r>
      <w:r>
        <w:rPr>
          <w:rFonts w:hint="eastAsia" w:ascii="宋体" w:hAnsi="宋体"/>
          <w:color w:val="auto"/>
          <w:sz w:val="30"/>
          <w:highlight w:val="none"/>
        </w:rPr>
        <w:t xml:space="preserve">日</w:t>
      </w:r>
      <w:r/>
    </w:p>
    <w:p>
      <w:pPr>
        <w:jc w:val="center"/>
        <w:rPr>
          <w:rFonts w:ascii="黑体" w:hAnsi="黑体" w:eastAsia="黑体"/>
          <w:b/>
          <w:color w:val="auto"/>
          <w:sz w:val="36"/>
          <w:szCs w:val="36"/>
          <w:highlight w:val="none"/>
        </w:rPr>
      </w:pPr>
      <w:r>
        <w:rPr>
          <w:rFonts w:ascii="黑体" w:hAnsi="黑体" w:eastAsia="黑体"/>
          <w:b/>
          <w:color w:val="auto"/>
          <w:sz w:val="36"/>
          <w:szCs w:val="36"/>
          <w:highlight w:val="none"/>
        </w:rPr>
      </w:r>
      <w:r/>
    </w:p>
    <w:p>
      <w:pPr>
        <w:jc w:val="center"/>
        <w:rPr>
          <w:rFonts w:ascii="黑体" w:hAnsi="黑体" w:eastAsia="黑体"/>
          <w:b/>
          <w:color w:val="auto"/>
          <w:sz w:val="36"/>
          <w:szCs w:val="36"/>
          <w:highlight w:val="none"/>
        </w:rPr>
      </w:pPr>
      <w:r>
        <w:rPr>
          <w:rFonts w:ascii="黑体" w:hAnsi="黑体" w:eastAsia="黑体"/>
          <w:b/>
          <w:color w:val="auto"/>
          <w:sz w:val="36"/>
          <w:szCs w:val="36"/>
          <w:highlight w:val="none"/>
        </w:rPr>
      </w:r>
      <w:r/>
    </w:p>
    <w:p>
      <w:pPr>
        <w:jc w:val="center"/>
        <w:rPr>
          <w:rFonts w:ascii="黑体" w:hAnsi="黑体" w:eastAsia="黑体"/>
          <w:b/>
          <w:color w:val="auto"/>
          <w:sz w:val="36"/>
          <w:szCs w:val="36"/>
          <w:highlight w:val="none"/>
        </w:rPr>
      </w:pPr>
      <w:r>
        <w:rPr>
          <w:rFonts w:ascii="黑体" w:hAnsi="黑体" w:eastAsia="黑体"/>
          <w:b/>
          <w:color w:val="auto"/>
          <w:sz w:val="36"/>
          <w:szCs w:val="36"/>
          <w:highlight w:val="none"/>
        </w:rPr>
      </w:r>
      <w:r/>
    </w:p>
    <w:p>
      <w:pPr>
        <w:rPr>
          <w:rFonts w:ascii="黑体" w:hAnsi="黑体" w:eastAsia="黑体"/>
          <w:b/>
          <w:color w:val="auto"/>
          <w:sz w:val="36"/>
          <w:szCs w:val="36"/>
          <w:highlight w:val="none"/>
        </w:rPr>
      </w:pPr>
      <w:r>
        <w:rPr>
          <w:rFonts w:hint="eastAsia" w:ascii="黑体" w:hAnsi="黑体" w:eastAsia="黑体"/>
          <w:b/>
          <w:color w:val="auto"/>
          <w:sz w:val="36"/>
          <w:szCs w:val="36"/>
          <w:highlight w:val="none"/>
        </w:rPr>
        <w:br w:type="page" w:clear="all"/>
      </w:r>
      <w:r/>
    </w:p>
    <w:p>
      <w:pPr>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合 同 条 款</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委托方：</w:t>
      </w:r>
      <w:r>
        <w:rPr>
          <w:color w:val="auto"/>
          <w:sz w:val="24"/>
          <w:highlight w:val="none"/>
          <w:u w:val="single"/>
        </w:rPr>
        <w:t xml:space="preserve">太湖流域水文水资源监测中心（太湖流域水环境监测中心）</w:t>
      </w:r>
      <w:r>
        <w:rPr>
          <w:color w:val="auto"/>
          <w:sz w:val="24"/>
          <w:highlight w:val="none"/>
        </w:rPr>
        <w:t xml:space="preserve">（以下简称“甲方”）</w:t>
      </w:r>
      <w:r/>
    </w:p>
    <w:p>
      <w:pPr>
        <w:spacing w:line="360" w:lineRule="auto"/>
        <w:rPr>
          <w:color w:val="auto"/>
          <w:sz w:val="24"/>
          <w:highlight w:val="none"/>
        </w:rPr>
      </w:pPr>
      <w:r>
        <w:rPr>
          <w:color w:val="auto"/>
          <w:sz w:val="24"/>
          <w:highlight w:val="none"/>
        </w:rPr>
        <w:t xml:space="preserve">承包方：</w:t>
      </w:r>
      <w:r>
        <w:rPr>
          <w:rFonts w:hint="eastAsia"/>
          <w:color w:val="auto"/>
          <w:sz w:val="24"/>
          <w:highlight w:val="none"/>
          <w:u w:val="single"/>
        </w:rPr>
        <w:t xml:space="preserve"> </w:t>
      </w:r>
      <w:r>
        <w:rPr>
          <w:color w:val="auto"/>
          <w:sz w:val="24"/>
          <w:highlight w:val="none"/>
          <w:u w:val="single"/>
        </w:rPr>
        <w:t xml:space="preserve">                                </w:t>
      </w:r>
      <w:r>
        <w:rPr>
          <w:color w:val="auto"/>
          <w:sz w:val="24"/>
          <w:highlight w:val="none"/>
        </w:rPr>
        <w:t xml:space="preserve">（以下简称“乙方”）</w:t>
      </w:r>
      <w:r/>
    </w:p>
    <w:p>
      <w:pPr>
        <w:ind w:firstLine="480"/>
        <w:spacing w:line="360" w:lineRule="auto"/>
        <w:rPr>
          <w:color w:val="auto"/>
          <w:sz w:val="24"/>
          <w:highlight w:val="none"/>
        </w:rPr>
      </w:pPr>
      <w:r>
        <w:rPr>
          <w:color w:val="auto"/>
          <w:sz w:val="24"/>
          <w:highlight w:val="none"/>
        </w:rPr>
        <w:t xml:space="preserve">为了明确甲乙双方的权利义务关系，根据《中华人民共和国</w:t>
      </w:r>
      <w:r>
        <w:rPr>
          <w:rFonts w:hint="eastAsia"/>
          <w:color w:val="auto"/>
          <w:sz w:val="24"/>
          <w:highlight w:val="none"/>
        </w:rPr>
        <w:t xml:space="preserve">民法典</w:t>
      </w:r>
      <w:r>
        <w:rPr>
          <w:color w:val="auto"/>
          <w:sz w:val="24"/>
          <w:highlight w:val="none"/>
        </w:rPr>
        <w:t xml:space="preserve">》，结合本项目的实际情况，经双方友好协商，就</w:t>
      </w:r>
      <w:r>
        <w:rPr>
          <w:rFonts w:hint="eastAsia"/>
          <w:color w:val="auto"/>
          <w:sz w:val="24"/>
          <w:highlight w:val="none"/>
          <w:u w:val="single"/>
        </w:rPr>
        <w:t xml:space="preserve">                 </w:t>
      </w:r>
      <w:r>
        <w:rPr>
          <w:color w:val="auto"/>
          <w:sz w:val="24"/>
          <w:highlight w:val="none"/>
        </w:rPr>
        <w:t xml:space="preserve">达成如下合同条款，并共同遵照执行。</w:t>
      </w:r>
      <w:r/>
    </w:p>
    <w:p>
      <w:pPr>
        <w:pStyle w:val="750"/>
        <w:ind w:firstLine="482"/>
        <w:spacing w:before="0" w:after="0" w:line="360" w:lineRule="auto"/>
        <w:rPr>
          <w:color w:val="auto"/>
          <w:highlight w:val="none"/>
        </w:rPr>
      </w:pPr>
      <w:r>
        <w:rPr>
          <w:color w:val="auto"/>
          <w:highlight w:val="none"/>
        </w:rPr>
        <w:t xml:space="preserve">一、共同适用的语言、法律标准</w:t>
      </w:r>
      <w:r/>
    </w:p>
    <w:p>
      <w:pPr>
        <w:ind w:firstLine="480"/>
        <w:spacing w:line="360" w:lineRule="auto"/>
        <w:rPr>
          <w:color w:val="auto"/>
          <w:sz w:val="24"/>
          <w:highlight w:val="none"/>
        </w:rPr>
      </w:pPr>
      <w:r>
        <w:rPr>
          <w:color w:val="auto"/>
          <w:sz w:val="24"/>
          <w:highlight w:val="none"/>
        </w:rPr>
        <w:t xml:space="preserve">（一）共同语言：汉语。</w:t>
      </w:r>
      <w:r/>
    </w:p>
    <w:p>
      <w:pPr>
        <w:ind w:firstLine="480"/>
        <w:spacing w:line="360" w:lineRule="auto"/>
        <w:rPr>
          <w:color w:val="auto"/>
          <w:sz w:val="24"/>
          <w:highlight w:val="none"/>
        </w:rPr>
      </w:pPr>
      <w:r>
        <w:rPr>
          <w:color w:val="auto"/>
          <w:sz w:val="24"/>
          <w:highlight w:val="none"/>
        </w:rPr>
        <w:t xml:space="preserve">（二）适用法律法规：国家、地方政府有关部门颁发的现行法律法规。</w:t>
      </w:r>
      <w:r/>
    </w:p>
    <w:p>
      <w:pPr>
        <w:ind w:firstLine="480"/>
        <w:spacing w:line="360" w:lineRule="auto"/>
        <w:rPr>
          <w:color w:val="auto"/>
          <w:sz w:val="24"/>
          <w:highlight w:val="none"/>
        </w:rPr>
      </w:pPr>
      <w:r>
        <w:rPr>
          <w:color w:val="auto"/>
          <w:sz w:val="24"/>
          <w:highlight w:val="none"/>
        </w:rPr>
        <w:t xml:space="preserve">（三）适用的技术标准规范：设计标准、现行国家、行业、地方标准、规范、规程。</w:t>
      </w:r>
      <w:r/>
    </w:p>
    <w:p>
      <w:pPr>
        <w:ind w:firstLine="480"/>
        <w:spacing w:line="360" w:lineRule="auto"/>
        <w:rPr>
          <w:color w:val="auto"/>
          <w:sz w:val="24"/>
          <w:highlight w:val="none"/>
        </w:rPr>
      </w:pPr>
      <w:r>
        <w:rPr>
          <w:color w:val="auto"/>
          <w:sz w:val="24"/>
          <w:highlight w:val="none"/>
        </w:rPr>
        <w:t xml:space="preserve">（四）其他技术要求：甲方根据实际需要提出的技术要求。</w:t>
      </w:r>
      <w:r/>
    </w:p>
    <w:p>
      <w:pPr>
        <w:pStyle w:val="750"/>
        <w:ind w:firstLine="482"/>
        <w:spacing w:before="0" w:after="0" w:line="360" w:lineRule="auto"/>
        <w:rPr>
          <w:rFonts w:ascii="宋体" w:hAnsi="宋体" w:cs="宋体"/>
          <w:color w:val="auto"/>
          <w:highlight w:val="none"/>
        </w:rPr>
      </w:pPr>
      <w:r>
        <w:rPr>
          <w:rFonts w:hint="eastAsia" w:ascii="宋体" w:hAnsi="宋体" w:cs="宋体"/>
          <w:color w:val="auto"/>
          <w:highlight w:val="none"/>
        </w:rPr>
        <w:t xml:space="preserve">二、项目概况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（一）项目名称：（以下简称“本项目”）。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（二）项目现场：</w:t>
      </w:r>
      <w:r>
        <w:rPr>
          <w:rFonts w:hint="eastAsia"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（三）建设内容： </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w:t>
      </w:r>
      <w:r/>
    </w:p>
    <w:p>
      <w:pPr>
        <w:pStyle w:val="795"/>
        <w:ind w:firstLine="480"/>
        <w:rPr>
          <w:rFonts w:hAnsi="宋体" w:cs="宋体"/>
          <w:color w:val="auto"/>
          <w:sz w:val="24"/>
          <w:szCs w:val="24"/>
          <w:highlight w:val="none"/>
          <w:u w:val="single"/>
        </w:rPr>
      </w:pPr>
      <w:r>
        <w:rPr>
          <w:rFonts w:hint="eastAsia" w:hAnsi="宋体" w:cs="宋体"/>
          <w:color w:val="auto"/>
          <w:sz w:val="24"/>
          <w:szCs w:val="24"/>
          <w:highlight w:val="none"/>
        </w:rPr>
        <w:t xml:space="preserve">  </w:t>
      </w:r>
      <w:r>
        <w:rPr>
          <w:rFonts w:hint="eastAsia" w:hAnsi="宋体" w:cs="宋体"/>
          <w:color w:val="auto"/>
          <w:sz w:val="24"/>
          <w:szCs w:val="24"/>
          <w:highlight w:val="none"/>
          <w:u w:val="single"/>
        </w:rPr>
        <w:t xml:space="preserve">                                                                             </w:t>
      </w:r>
      <w:r/>
    </w:p>
    <w:p>
      <w:pPr>
        <w:rPr>
          <w:rFonts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p>
    <w:p>
      <w:pPr>
        <w:pStyle w:val="795"/>
        <w:ind w:firstLine="480"/>
        <w:rPr>
          <w:rFonts w:hAnsi="宋体" w:cs="宋体"/>
          <w:color w:val="auto"/>
          <w:sz w:val="24"/>
          <w:szCs w:val="24"/>
          <w:highlight w:val="none"/>
        </w:rPr>
      </w:pPr>
      <w:r>
        <w:rPr>
          <w:rFonts w:hint="eastAsia" w:hAnsi="宋体" w:cs="宋体"/>
          <w:color w:val="auto"/>
          <w:sz w:val="24"/>
          <w:szCs w:val="24"/>
          <w:highlight w:val="none"/>
        </w:rPr>
        <w:t xml:space="preserve"> （四）建设单位：</w:t>
      </w:r>
      <w:r>
        <w:rPr>
          <w:rFonts w:hint="eastAsia" w:hAnsi="宋体" w:cs="宋体"/>
          <w:color w:val="auto"/>
          <w:sz w:val="24"/>
          <w:szCs w:val="24"/>
          <w:highlight w:val="none"/>
          <w:u w:val="single"/>
        </w:rPr>
        <w:t xml:space="preserve">太湖流域水文水资源监测中心（太湖流域水环境监测中心）</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（五）承包方式：</w:t>
      </w:r>
      <w:r>
        <w:rPr>
          <w:rFonts w:hint="eastAsia" w:ascii="宋体" w:hAnsi="宋体" w:cs="宋体"/>
          <w:color w:val="auto"/>
          <w:sz w:val="24"/>
          <w:highlight w:val="none"/>
          <w:u w:val="single"/>
          <w:lang w:val="en-US" w:eastAsia="zh-CN"/>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（六）合同工期：</w:t>
      </w:r>
      <w:r>
        <w:rPr>
          <w:rFonts w:hint="eastAsia" w:ascii="宋体" w:hAnsi="宋体" w:cs="宋体"/>
          <w:color w:val="auto"/>
          <w:sz w:val="24"/>
          <w:highlight w:val="none"/>
          <w:u w:val="single"/>
          <w:lang w:val="en-US" w:eastAsia="zh-CN"/>
        </w:rPr>
        <w:t xml:space="preserve">90</w:t>
      </w:r>
      <w:r>
        <w:rPr>
          <w:rFonts w:hint="eastAsia" w:ascii="宋体" w:hAnsi="宋体" w:cs="宋体"/>
          <w:color w:val="auto"/>
          <w:sz w:val="24"/>
          <w:highlight w:val="none"/>
          <w:u w:val="single"/>
        </w:rPr>
        <w:t xml:space="preserve">个日历天</w:t>
      </w:r>
      <w:r/>
    </w:p>
    <w:p>
      <w:pPr>
        <w:pStyle w:val="750"/>
        <w:ind w:firstLine="482"/>
        <w:spacing w:before="0" w:after="0" w:line="360" w:lineRule="auto"/>
        <w:rPr>
          <w:rFonts w:ascii="宋体" w:hAnsi="宋体" w:cs="宋体"/>
          <w:color w:val="auto"/>
          <w:highlight w:val="none"/>
        </w:rPr>
      </w:pPr>
      <w:r>
        <w:rPr>
          <w:rFonts w:hint="eastAsia" w:ascii="宋体" w:hAnsi="宋体" w:cs="宋体"/>
          <w:color w:val="auto"/>
          <w:highlight w:val="none"/>
        </w:rPr>
        <w:t xml:space="preserve">三、承包范围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完成本项目包含的基础设施建设和仪器设备购置、</w:t>
      </w:r>
      <w:r>
        <w:rPr>
          <w:rFonts w:hint="eastAsia" w:ascii="宋体" w:hAnsi="宋体" w:cs="宋体"/>
          <w:color w:val="auto"/>
          <w:sz w:val="24"/>
          <w:highlight w:val="none"/>
        </w:rPr>
        <w:t xml:space="preserve">安装集成等</w:t>
      </w:r>
      <w:r>
        <w:rPr>
          <w:rFonts w:hint="eastAsia" w:ascii="宋体" w:hAnsi="宋体" w:cs="宋体"/>
          <w:color w:val="auto"/>
          <w:sz w:val="24"/>
          <w:highlight w:val="none"/>
          <w:lang w:val="zh-CN"/>
        </w:rPr>
        <w:t xml:space="preserve">相关工作；</w:t>
      </w:r>
      <w:r>
        <w:rPr>
          <w:rFonts w:hint="eastAsia" w:ascii="宋体" w:hAnsi="宋体" w:cs="宋体"/>
          <w:color w:val="auto"/>
          <w:sz w:val="24"/>
          <w:highlight w:val="none"/>
        </w:rPr>
        <w:t xml:space="preserve">提供12个月的质保期故障维修服务。</w:t>
      </w:r>
      <w:r/>
    </w:p>
    <w:p>
      <w:pPr>
        <w:pStyle w:val="750"/>
        <w:ind w:firstLine="482"/>
        <w:spacing w:before="0" w:after="0" w:line="360" w:lineRule="auto"/>
        <w:rPr>
          <w:rFonts w:ascii="宋体" w:hAnsi="宋体" w:cs="宋体"/>
          <w:color w:val="auto"/>
          <w:highlight w:val="none"/>
        </w:rPr>
      </w:pPr>
      <w:r>
        <w:rPr>
          <w:rFonts w:hint="eastAsia" w:ascii="宋体" w:hAnsi="宋体" w:cs="宋体"/>
          <w:color w:val="auto"/>
          <w:highlight w:val="none"/>
        </w:rPr>
        <w:t xml:space="preserve">四、合同工期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（一）工期要求：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个日历天；质量保证期为自试运行完成且试运行期出现的质量问题处置完成（以采购人确认为准）之日起12个月，即试运行期结束后12个月内系统发生非人为因素的故障，皆应由乙方负责免费维修，以保证项目正常运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（二）对以下造成终验日期推迟的延误，经甲方代表确认，工期相应顺延。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重大工程量变化和设计变更。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3、合同中约定或甲方同意给予顺延的其他情况。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乙方在以上情况发生后3天内，就延误的内容向甲方提出报告，甲方代表在收到报告后7天内予以确认、答复，逾期不予答复，乙方即可视为延期要求已被确认。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因乙方的原因造成工期延误的，每延误5天的赔偿费按合同总价的百分之零点五（0.5%）计收，但违约金的总数不超过合同总价的10%。如延期时间超过100天，甲方有权终止合同，除前款所约定的违约金外，乙方还需支付合同总价的10%。</w:t>
      </w:r>
      <w:r/>
    </w:p>
    <w:p>
      <w:pPr>
        <w:pStyle w:val="750"/>
        <w:ind w:firstLine="482"/>
        <w:spacing w:before="0" w:after="0" w:line="360" w:lineRule="auto"/>
        <w:rPr>
          <w:rFonts w:ascii="宋体" w:hAnsi="宋体" w:cs="宋体"/>
          <w:color w:val="auto"/>
          <w:highlight w:val="none"/>
        </w:rPr>
      </w:pPr>
      <w:r>
        <w:rPr>
          <w:rFonts w:hint="eastAsia" w:ascii="宋体" w:hAnsi="宋体" w:cs="宋体"/>
          <w:color w:val="auto"/>
          <w:highlight w:val="none"/>
        </w:rPr>
        <w:t xml:space="preserve">五、合同价款及调整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（一）合同价款组成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本合同形式为固定总价合同。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合同价款中已包含建筑工程费用、设备费用、软件费用及以下附加费用：安装调试、培训、系统集成、保修期内的保修服务及售后服务及工程一切险等费用；价款组成详见附件《工程明细表》。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（二）合同价款调整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在项目开工之前，甲方有权对项目进行调整，包括更改品牌、型号以及数量等，甲乙双方根据实际调整情况签订补充协议或以工作联系单的方式作为调整依据。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乙方须保证所投设备各项指标的真实性，甲方在设备到货后对设备的关键技术指标进行核验，一经发现技术指标存在负偏离，乙方须无条件按照甲方要求更换为满足技术指标要求的设备，合同价款不作调增。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在项目开工之后，除下列情况外甲乙方不得擅自改变合同价款。发生下列情况之一的可做调整：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甲方确认的工程量增减。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2、甲方确认的设计变更。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在上述情况发生后14天内，将调整的原因、金额以书面形式通知甲方，经甲方14天内批准后通知乙方，逾期未作答复，视为同意。如因甲方的原因调整范围涉及乙方已经施工或订货的部分，确实给乙方带来损失，经友好协商甲方应酌情支付乙方损失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（三）下列情况，甲方不计量（计价），不支付乙方工程款：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与招标文件、合同、设备清单不一致的设备（品牌、型号、性能等）；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2、未经开箱验收，或无法证明是保修齐全的正版、正品行货（含商用软件）的仪器设备；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3、经测试性能低于招标要求或不符合标准（含企业承诺标准）要求的设备；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4、未经验收的隐蔽工程；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5、规范列明的其他不合格工程量。</w:t>
      </w:r>
      <w:r/>
    </w:p>
    <w:p>
      <w:pPr>
        <w:pStyle w:val="750"/>
        <w:ind w:firstLine="482"/>
        <w:spacing w:before="0" w:after="0" w:line="360" w:lineRule="auto"/>
        <w:rPr>
          <w:rFonts w:ascii="宋体" w:hAnsi="宋体" w:cs="宋体"/>
          <w:color w:val="auto"/>
          <w:highlight w:val="none"/>
        </w:rPr>
      </w:pPr>
      <w:r>
        <w:rPr>
          <w:rFonts w:hint="eastAsia" w:ascii="宋体" w:hAnsi="宋体" w:cs="宋体"/>
          <w:color w:val="auto"/>
          <w:highlight w:val="none"/>
        </w:rPr>
        <w:t xml:space="preserve">六、合同文件的组成及解释顺序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合同文件应能互相解释，互为说明。除合同另有约定外，其组成和解释顺序如下：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（一）本合同条款；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（二）补充协议；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（四）投标文件；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（五）标准、规范及有关技术文件；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（六）施工图纸；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（七）有关项目的洽商、变更等书面协议或文件视为本合同的组成部分。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当合同文件出现含糊不清或不相一致时，在不影响项目进度的情况下，由双方协商解决。当上述文件出现前后不一致时，按文件签发的时间顺序，以最晚发生的文件为准。</w:t>
      </w:r>
      <w:r/>
    </w:p>
    <w:p>
      <w:pPr>
        <w:pStyle w:val="750"/>
        <w:ind w:firstLine="482"/>
        <w:spacing w:before="0" w:after="0" w:line="360" w:lineRule="auto"/>
        <w:rPr>
          <w:rFonts w:ascii="宋体" w:hAnsi="宋体" w:cs="宋体"/>
          <w:color w:val="auto"/>
          <w:highlight w:val="none"/>
        </w:rPr>
      </w:pPr>
      <w:r>
        <w:rPr>
          <w:rFonts w:hint="eastAsia" w:ascii="宋体" w:hAnsi="宋体" w:cs="宋体"/>
          <w:color w:val="auto"/>
          <w:highlight w:val="none"/>
        </w:rPr>
        <w:t xml:space="preserve">七、甲方责任与义务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督促乙方全面履行本合同，指导、监督、检查乙方项目质量、工期、安全、文明施工等方面工作，乙方应给予积极配合和支持。对达不到规定要求的，甲方提出限期整改，并督促完善为止。若乙方整改措施不力，甲方将依据整改情况予以处罚。</w:t>
      </w:r>
      <w:r/>
    </w:p>
    <w:p>
      <w:pPr>
        <w:ind w:firstLine="480"/>
        <w:spacing w:line="360" w:lineRule="auto"/>
        <w:rPr>
          <w:color w:val="auto"/>
          <w:sz w:val="24"/>
          <w:highlight w:val="none"/>
        </w:rPr>
      </w:pPr>
      <w:r>
        <w:rPr>
          <w:color w:val="auto"/>
          <w:sz w:val="24"/>
          <w:highlight w:val="none"/>
        </w:rPr>
        <w:t xml:space="preserve">（二）根据乙方制定的设计要求和施工计划，甲方负责落实各项管理协调工作。</w:t>
      </w:r>
      <w:r/>
    </w:p>
    <w:p>
      <w:pPr>
        <w:ind w:firstLine="480"/>
        <w:spacing w:line="360" w:lineRule="auto"/>
        <w:rPr>
          <w:color w:val="auto"/>
          <w:sz w:val="24"/>
          <w:highlight w:val="none"/>
        </w:rPr>
      </w:pPr>
      <w:r>
        <w:rPr>
          <w:color w:val="auto"/>
          <w:sz w:val="24"/>
          <w:highlight w:val="none"/>
        </w:rPr>
        <w:t xml:space="preserve">（三）甲方负责联系乙方安装工程可能需要的临时工作间，以便存放必要的设备材料和仪器工具，费用由乙方自理。</w:t>
      </w:r>
      <w:r/>
    </w:p>
    <w:p>
      <w:pPr>
        <w:ind w:firstLine="480"/>
        <w:spacing w:line="360" w:lineRule="auto"/>
        <w:rPr>
          <w:color w:val="auto"/>
          <w:sz w:val="24"/>
          <w:highlight w:val="none"/>
        </w:rPr>
      </w:pPr>
      <w:r>
        <w:rPr>
          <w:color w:val="auto"/>
          <w:sz w:val="24"/>
          <w:highlight w:val="none"/>
        </w:rPr>
        <w:t xml:space="preserve">（四）甲方应按合同规定支付工程款。</w:t>
      </w:r>
      <w:r/>
    </w:p>
    <w:p>
      <w:pPr>
        <w:ind w:firstLine="480"/>
        <w:spacing w:line="360" w:lineRule="auto"/>
        <w:rPr>
          <w:color w:val="auto"/>
          <w:sz w:val="24"/>
          <w:highlight w:val="none"/>
        </w:rPr>
      </w:pPr>
      <w:r>
        <w:rPr>
          <w:color w:val="auto"/>
          <w:sz w:val="24"/>
          <w:highlight w:val="none"/>
        </w:rPr>
        <w:t xml:space="preserve">（五）甲方负责联系乙方安装工程所需要的水电供应，费用由乙方承担。</w:t>
      </w:r>
      <w:r/>
    </w:p>
    <w:p>
      <w:pPr>
        <w:ind w:firstLine="480"/>
        <w:spacing w:line="360" w:lineRule="auto"/>
        <w:rPr>
          <w:color w:val="auto"/>
          <w:sz w:val="24"/>
          <w:highlight w:val="none"/>
        </w:rPr>
      </w:pPr>
      <w:r>
        <w:rPr>
          <w:color w:val="auto"/>
          <w:sz w:val="24"/>
          <w:highlight w:val="none"/>
        </w:rPr>
        <w:t xml:space="preserve">（六）本项目安装过程中产生的其他费用由乙方自己承担。</w:t>
      </w:r>
      <w:r/>
    </w:p>
    <w:p>
      <w:pPr>
        <w:pStyle w:val="750"/>
        <w:ind w:firstLine="482"/>
        <w:spacing w:before="0" w:after="0" w:line="360" w:lineRule="auto"/>
        <w:rPr>
          <w:color w:val="auto"/>
          <w:highlight w:val="none"/>
        </w:rPr>
      </w:pPr>
      <w:r>
        <w:rPr>
          <w:color w:val="auto"/>
          <w:highlight w:val="none"/>
        </w:rPr>
        <w:t xml:space="preserve">八、甲方代表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甲方任命</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为驻施工现场代表，按照以下要求，行使合同约定的权利，履行合同约定的职责：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（一）甲方的指令、通知经甲方代表签字确认后，以书面形式交给乙方代表，乙方在回执上签署姓名和收到时间后生效。确有必要时，甲方代表可发出口头指令，并在四十八（48）小时</w:t>
      </w:r>
      <w:r>
        <w:rPr>
          <w:rFonts w:hint="eastAsia" w:ascii="宋体" w:hAnsi="宋体" w:cs="宋体"/>
          <w:color w:val="auto"/>
          <w:sz w:val="24"/>
          <w:highlight w:val="none"/>
        </w:rPr>
        <w:t xml:space="preserve">内给予书面确认，乙方对甲方代表发出口头指令后七（7）日内提出书面确认要求，甲方在乙方提出确认要求后四十八（48）小时内不予答复，应视为乙方要求已被确认。乙方认为甲方代表指令不合理，应在收到指令后二十四（24）小时内提出书面报告，甲方在收到乙方报告后二十四（24）小时内做出修改指令或继续执行原指令的决定，经确认后，以书面形式通知乙方。紧急情况下，甲方代表要求乙方立即执行的指令或乙方虽有异议，但甲方决定仍继续执行的指令，乙方应予执行。因指令错误发生的追加合同价款和给乙方造成的损失由甲方承担，延误的工期相应顺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甲方应按合同约定及时向乙方提供所需指令、批准及图纸等资料，并履行其他约定的义务，否则，乙方在事件发生后二十四（24）小时内将具体要求、需要的理由和迟误的后果通知甲方代表，甲方收到通知后四十八（48）小时内不予答复，顺延因此延误的工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（三）甲方代表人应提前七（7）日通知乙方，后任继续承担前任应负的责任（合同文件约定的义务和其职权内的承诺）。</w:t>
      </w:r>
      <w:r/>
    </w:p>
    <w:p>
      <w:pPr>
        <w:pStyle w:val="750"/>
        <w:ind w:firstLine="482"/>
        <w:spacing w:before="0" w:after="0" w:line="360" w:lineRule="auto"/>
        <w:rPr>
          <w:rFonts w:ascii="宋体" w:hAnsi="宋体" w:cs="宋体"/>
          <w:color w:val="auto"/>
          <w:highlight w:val="none"/>
        </w:rPr>
      </w:pPr>
      <w:r>
        <w:rPr>
          <w:rFonts w:hint="eastAsia" w:ascii="宋体" w:hAnsi="宋体" w:cs="宋体"/>
          <w:color w:val="auto"/>
          <w:highlight w:val="none"/>
        </w:rPr>
        <w:t xml:space="preserve">九、乙方责任与义务</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（一）乙方负责完成</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项目的总体方案设计、施工组织设计、土建及附属设施建设、监测站相关监测设备购置、软件开发、安装调试、集成、检验验收、售后服务及为甲方提供相应的技术培训等。</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（二）与本项目相关的一切手续由乙方负责办理。乙方需协助开展本项目所在地政府等相关部门的协调及相关施工申请申报手续的办理。</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（三）乙方如确实要将部分工程分包给其他单位的，必须遵循国家有关规定并事先征得甲方的同意，且由乙方承担总包责任，及时协调、密切配合，直至全部工程竣工。</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（四）乙方应在投标踏勘的基础上，再次组织进行现场踏勘，对存在的问题、风险以列表的形式载入施工组织设计。施工组织设计视为乙方已经充分踏勘的前提下编制。</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（五）乙方必须服从就爱费单位依据相关法规对项目实施的管理，按规定向甲方工程师以书面形式提交施工月报、进度报告、支付申请等。</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（六）乙方负责按三方核准确认的进度计划精心组织施工，接受甲方对进度和质量等的监督、检查，确保项目按期保质保量完工和交付。</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（七）乙方必须及时按照甲方的要求与其他有关单位进行配合，提供与其他系统之间的通讯接口，且上述费用已含在合同总价之中。</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（八）乙方应承担本合同内非甲方提供、为完成承包范围内项目所需的一切费用。 </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（九）没有甲方书面同意，乙方不得将甲方或代表甲方提供的有关合同或文件、图纸等资料提供给乙方雇用于履行本合同以外的任何其他人。乙方应在完成本合同后将上述资料（全部拷贝）还给甲方。 </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（十）乙方应保证，甲方在中华人民共和国境内使用乙方提供的设备或设备的任何一部分时，免受第三方提出的侵犯其版权、专利权、商标权或工业设计权的起诉。</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rPr>
        <w:t xml:space="preserve">（十一）乙方负责所有材料和设备的包装、装运、检验、保管和场内搬运。由此发生的一切费用应已包含在合同总价中。</w:t>
      </w:r>
      <w:r/>
    </w:p>
    <w:p>
      <w:pPr>
        <w:pStyle w:val="797"/>
        <w:ind w:firstLine="480"/>
        <w:spacing w:line="360" w:lineRule="auto"/>
        <w:rPr>
          <w:rFonts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包装应采取防潮、防晒、防锈、防腐蚀、防震及防止其他损坏的必要保护措施，乙方应承担由于其包装或防护措施不当而引起设备锈蚀、损坏和丢失的任何损失的责任或费用。</w:t>
      </w:r>
      <w:r/>
    </w:p>
    <w:p>
      <w:pPr>
        <w:pStyle w:val="797"/>
        <w:ind w:firstLine="480"/>
        <w:spacing w:line="360" w:lineRule="auto"/>
        <w:rPr>
          <w:color w:val="auto"/>
          <w:highlight w:val="none"/>
        </w:rPr>
      </w:pPr>
      <w:r>
        <w:rPr>
          <w:color w:val="auto"/>
          <w:highlight w:val="none"/>
        </w:rPr>
        <w:t xml:space="preserve">2、乙方应将本合同下的全部设备运至现场，负责办理设备运至现场，包括合同规定的保险储存在内的一些事项，有关费用应包括在合同总价中。</w:t>
      </w:r>
      <w:r/>
    </w:p>
    <w:p>
      <w:pPr>
        <w:pStyle w:val="797"/>
        <w:ind w:firstLine="480"/>
        <w:spacing w:line="360" w:lineRule="auto"/>
        <w:rPr>
          <w:color w:val="auto"/>
          <w:highlight w:val="none"/>
        </w:rPr>
      </w:pPr>
      <w:r>
        <w:rPr>
          <w:color w:val="auto"/>
          <w:highlight w:val="none"/>
        </w:rPr>
        <w:t xml:space="preserve">3、乙方应在设备到项目现场一周前通知甲方。乙方将现场设备运离工地，必须得到</w:t>
      </w:r>
      <w:r>
        <w:rPr>
          <w:rFonts w:hint="eastAsia"/>
          <w:color w:val="auto"/>
          <w:highlight w:val="none"/>
        </w:rPr>
        <w:t xml:space="preserve">甲方</w:t>
      </w:r>
      <w:r>
        <w:rPr>
          <w:color w:val="auto"/>
          <w:highlight w:val="none"/>
        </w:rPr>
        <w:t xml:space="preserve">工程师的批准。</w:t>
      </w:r>
      <w:r/>
    </w:p>
    <w:p>
      <w:pPr>
        <w:pStyle w:val="797"/>
        <w:ind w:firstLine="480"/>
        <w:spacing w:line="360" w:lineRule="auto"/>
        <w:rPr>
          <w:color w:val="auto"/>
          <w:highlight w:val="none"/>
        </w:rPr>
      </w:pPr>
      <w:r>
        <w:rPr>
          <w:color w:val="auto"/>
          <w:highlight w:val="none"/>
        </w:rPr>
        <w:t xml:space="preserve">（</w:t>
      </w:r>
      <w:r>
        <w:rPr>
          <w:rFonts w:hint="eastAsia"/>
          <w:color w:val="auto"/>
          <w:highlight w:val="none"/>
        </w:rPr>
        <w:t xml:space="preserve">十二</w:t>
      </w:r>
      <w:r>
        <w:rPr>
          <w:color w:val="auto"/>
          <w:highlight w:val="none"/>
        </w:rPr>
        <w:t xml:space="preserve">）乙方应做好项目的施工日志等。 </w:t>
      </w:r>
      <w:r/>
    </w:p>
    <w:p>
      <w:pPr>
        <w:pStyle w:val="797"/>
        <w:ind w:firstLine="480"/>
        <w:spacing w:line="360" w:lineRule="auto"/>
        <w:rPr>
          <w:color w:val="auto"/>
          <w:highlight w:val="none"/>
        </w:rPr>
      </w:pPr>
      <w:r>
        <w:rPr>
          <w:color w:val="auto"/>
          <w:highlight w:val="none"/>
        </w:rPr>
        <w:t xml:space="preserve">（十</w:t>
      </w:r>
      <w:r>
        <w:rPr>
          <w:rFonts w:hint="eastAsia"/>
          <w:color w:val="auto"/>
          <w:highlight w:val="none"/>
        </w:rPr>
        <w:t xml:space="preserve">三</w:t>
      </w:r>
      <w:r>
        <w:rPr>
          <w:color w:val="auto"/>
          <w:highlight w:val="none"/>
        </w:rPr>
        <w:t xml:space="preserve">）乙方</w:t>
      </w:r>
      <w:r>
        <w:rPr>
          <w:rFonts w:hint="eastAsia"/>
          <w:color w:val="auto"/>
          <w:highlight w:val="none"/>
        </w:rPr>
        <w:t xml:space="preserve">签订</w:t>
      </w:r>
      <w:r>
        <w:rPr>
          <w:color w:val="auto"/>
          <w:highlight w:val="none"/>
        </w:rPr>
        <w:t xml:space="preserve">施工承包合同后，应根据项目进度和质量需要，人员必须有选择的配套进场，在进场前必须向甲方申报，经批准后方可进场，同时交人员花名册（分管理人员和实施人员，并按姓名、性别、年龄、工种、技术等级、身份证号码等填写）三份以及有关证件的复印件。</w:t>
      </w:r>
      <w:r/>
    </w:p>
    <w:p>
      <w:pPr>
        <w:pStyle w:val="797"/>
        <w:ind w:firstLine="480"/>
        <w:spacing w:line="360" w:lineRule="auto"/>
        <w:rPr>
          <w:color w:val="auto"/>
          <w:highlight w:val="none"/>
        </w:rPr>
      </w:pPr>
      <w:r>
        <w:rPr>
          <w:color w:val="auto"/>
          <w:highlight w:val="none"/>
        </w:rPr>
        <w:t xml:space="preserve">（十</w:t>
      </w:r>
      <w:r>
        <w:rPr>
          <w:rFonts w:hint="eastAsia"/>
          <w:color w:val="auto"/>
          <w:highlight w:val="none"/>
        </w:rPr>
        <w:t xml:space="preserve">四</w:t>
      </w:r>
      <w:r>
        <w:rPr>
          <w:color w:val="auto"/>
          <w:highlight w:val="none"/>
        </w:rPr>
        <w:t xml:space="preserve">）从乙方进入施工现场之日起，乙方即承担起生产、生活临建、临时设施的维护责任，因乙方原因导致的房屋、道路、油漆完成面、临水管道、临电设施等临建损坏都视为乙方管理责任，由乙方无条件修复，由此导致的工期及费用发生，由甲方向乙方提出索赔。乙方负责安全防护，生产、生活区域的保洁、维护以及完工后在甲方规定时间内的拆除清理，并运至甲方指定的地点。</w:t>
      </w:r>
      <w:r>
        <w:rPr>
          <w:rFonts w:hint="eastAsia"/>
          <w:color w:val="auto"/>
          <w:highlight w:val="none"/>
        </w:rPr>
        <w:t xml:space="preserve">乙方应妥善保管因施工需要拆除的原有设施设备，并按甲方要求运至指定地点，由此产生的相关费用包含在合同总价中。</w:t>
      </w:r>
      <w:r/>
    </w:p>
    <w:p>
      <w:pPr>
        <w:pStyle w:val="797"/>
        <w:ind w:firstLine="480"/>
        <w:spacing w:line="360" w:lineRule="auto"/>
        <w:rPr>
          <w:color w:val="auto"/>
          <w:highlight w:val="none"/>
        </w:rPr>
      </w:pPr>
      <w:r>
        <w:rPr>
          <w:color w:val="auto"/>
          <w:highlight w:val="none"/>
        </w:rPr>
        <w:t xml:space="preserve">（十</w:t>
      </w:r>
      <w:r>
        <w:rPr>
          <w:rFonts w:hint="eastAsia"/>
          <w:color w:val="auto"/>
          <w:highlight w:val="none"/>
        </w:rPr>
        <w:t xml:space="preserve">五</w:t>
      </w:r>
      <w:r>
        <w:rPr>
          <w:color w:val="auto"/>
          <w:highlight w:val="none"/>
        </w:rPr>
        <w:t xml:space="preserve">）乙方应认真遵守各种规章制度，做到遵纪守法、安全生产、文明施工、工完场清。按文明施工、安全施工及治安、环保等有关规定</w:t>
      </w:r>
      <w:r>
        <w:rPr>
          <w:rFonts w:hint="eastAsia"/>
          <w:color w:val="auto"/>
          <w:highlight w:val="none"/>
        </w:rPr>
        <w:t xml:space="preserve">做好</w:t>
      </w:r>
      <w:r>
        <w:rPr>
          <w:color w:val="auto"/>
          <w:highlight w:val="none"/>
        </w:rPr>
        <w:t xml:space="preserve">各项工作。若因乙方失责，</w:t>
      </w:r>
      <w:r>
        <w:rPr>
          <w:rFonts w:hint="eastAsia"/>
          <w:color w:val="auto"/>
          <w:highlight w:val="none"/>
        </w:rPr>
        <w:t xml:space="preserve">引致</w:t>
      </w:r>
      <w:r>
        <w:rPr>
          <w:color w:val="auto"/>
          <w:highlight w:val="none"/>
        </w:rPr>
        <w:t xml:space="preserve">有关管理部门处罚，乙方应负全部责任。如乙方人员在工地出现死亡事故，乙方应承担全部责任，甲方不承担任何相关责任。</w:t>
      </w:r>
      <w:r/>
    </w:p>
    <w:p>
      <w:pPr>
        <w:pStyle w:val="797"/>
        <w:ind w:firstLine="480"/>
        <w:spacing w:line="360" w:lineRule="auto"/>
        <w:rPr>
          <w:color w:val="auto"/>
          <w:highlight w:val="none"/>
        </w:rPr>
      </w:pPr>
      <w:r>
        <w:rPr>
          <w:color w:val="auto"/>
          <w:highlight w:val="none"/>
        </w:rPr>
        <w:t xml:space="preserve">（十</w:t>
      </w:r>
      <w:r>
        <w:rPr>
          <w:rFonts w:hint="eastAsia"/>
          <w:color w:val="auto"/>
          <w:highlight w:val="none"/>
        </w:rPr>
        <w:t xml:space="preserve">六</w:t>
      </w:r>
      <w:r>
        <w:rPr>
          <w:color w:val="auto"/>
          <w:highlight w:val="none"/>
        </w:rPr>
        <w:t xml:space="preserve">）乙方负责场内属乙方操作的机械、用具的调试、保养、维修及妥善保管等。</w:t>
      </w:r>
      <w:r/>
    </w:p>
    <w:p>
      <w:pPr>
        <w:pStyle w:val="797"/>
        <w:ind w:firstLine="480"/>
        <w:spacing w:line="360" w:lineRule="auto"/>
        <w:rPr>
          <w:color w:val="auto"/>
          <w:highlight w:val="none"/>
        </w:rPr>
      </w:pPr>
      <w:r>
        <w:rPr>
          <w:color w:val="auto"/>
          <w:highlight w:val="none"/>
        </w:rPr>
        <w:t xml:space="preserve">上述是乙方为完成合同内</w:t>
      </w:r>
      <w:r>
        <w:rPr>
          <w:rFonts w:hint="eastAsia"/>
          <w:color w:val="auto"/>
          <w:highlight w:val="none"/>
        </w:rPr>
        <w:t xml:space="preserve">工作所必须</w:t>
      </w:r>
      <w:r>
        <w:rPr>
          <w:color w:val="auto"/>
          <w:highlight w:val="none"/>
        </w:rPr>
        <w:t xml:space="preserve">履行的义务和责任。乙方不履行上述各项义务造成工期延误和项目损失的，应对甲方的损失给予赔偿。</w:t>
      </w:r>
      <w:r/>
    </w:p>
    <w:p>
      <w:pPr>
        <w:pStyle w:val="750"/>
        <w:ind w:firstLine="482"/>
        <w:spacing w:before="0" w:after="0" w:line="360" w:lineRule="auto"/>
        <w:rPr>
          <w:color w:val="auto"/>
          <w:highlight w:val="none"/>
        </w:rPr>
      </w:pPr>
      <w:r>
        <w:rPr>
          <w:color w:val="auto"/>
          <w:highlight w:val="none"/>
        </w:rPr>
        <w:t xml:space="preserve">十、乙方代表</w:t>
      </w:r>
      <w:r/>
    </w:p>
    <w:p>
      <w:pPr>
        <w:pStyle w:val="797"/>
        <w:ind w:firstLine="480"/>
        <w:spacing w:line="360" w:lineRule="auto"/>
        <w:rPr>
          <w:color w:val="auto"/>
          <w:highlight w:val="none"/>
        </w:rPr>
      </w:pPr>
      <w:r>
        <w:rPr>
          <w:color w:val="auto"/>
          <w:highlight w:val="none"/>
        </w:rPr>
        <w:t xml:space="preserve">乙方任命</w:t>
      </w:r>
      <w:r>
        <w:rPr>
          <w:rFonts w:hint="eastAsia"/>
          <w:color w:val="auto"/>
          <w:highlight w:val="none"/>
          <w:u w:val="single"/>
        </w:rPr>
        <w:t xml:space="preserve"> </w:t>
      </w:r>
      <w:r>
        <w:rPr>
          <w:color w:val="auto"/>
          <w:highlight w:val="none"/>
          <w:u w:val="single"/>
        </w:rPr>
        <w:t xml:space="preserve">    </w:t>
      </w:r>
      <w:r>
        <w:rPr>
          <w:color w:val="auto"/>
          <w:highlight w:val="none"/>
        </w:rPr>
        <w:t xml:space="preserve">为驻施工现场负责人，按以下要求行使合同约定的权利，履行合同约定的职责：</w:t>
      </w:r>
      <w:r/>
    </w:p>
    <w:p>
      <w:pPr>
        <w:pStyle w:val="797"/>
        <w:ind w:firstLine="480"/>
        <w:spacing w:line="360" w:lineRule="auto"/>
        <w:rPr>
          <w:color w:val="auto"/>
          <w:highlight w:val="none"/>
        </w:rPr>
      </w:pPr>
      <w:r>
        <w:rPr>
          <w:color w:val="auto"/>
          <w:highlight w:val="none"/>
        </w:rPr>
        <w:t xml:space="preserve">（一）乙方的要求、请求和通知，以书面形式由乙方代表签字后送交甲方，甲方在回执上签署姓名和收到时间后生效。</w:t>
      </w:r>
      <w:r/>
    </w:p>
    <w:p>
      <w:pPr>
        <w:pStyle w:val="797"/>
        <w:ind w:firstLine="480"/>
        <w:spacing w:line="360" w:lineRule="auto"/>
        <w:rPr>
          <w:color w:val="auto"/>
          <w:highlight w:val="none"/>
        </w:rPr>
      </w:pPr>
      <w:r>
        <w:rPr>
          <w:color w:val="auto"/>
          <w:highlight w:val="none"/>
        </w:rPr>
        <w:t xml:space="preserve">（二）乙方代表按甲方批准的施工组织设计（或施工方案）和依据合同发出的指令、要求组织施工。在情况紧急且无法与甲方联系的情况下，可采取保证系统和人员生命、财产安全的紧急措施，并在采取措施后24小时内向甲方</w:t>
      </w:r>
      <w:r>
        <w:rPr>
          <w:rFonts w:hint="eastAsia"/>
          <w:color w:val="auto"/>
          <w:highlight w:val="none"/>
        </w:rPr>
        <w:t xml:space="preserve">报</w:t>
      </w:r>
      <w:r>
        <w:rPr>
          <w:color w:val="auto"/>
          <w:highlight w:val="none"/>
        </w:rPr>
        <w:t xml:space="preserve">告。</w:t>
      </w:r>
      <w:r/>
    </w:p>
    <w:p>
      <w:pPr>
        <w:pStyle w:val="797"/>
        <w:ind w:firstLine="480"/>
        <w:spacing w:line="360" w:lineRule="auto"/>
        <w:rPr>
          <w:color w:val="auto"/>
          <w:highlight w:val="none"/>
        </w:rPr>
      </w:pPr>
      <w:r>
        <w:rPr>
          <w:color w:val="auto"/>
          <w:highlight w:val="none"/>
        </w:rPr>
        <w:t xml:space="preserve">（三）乙方</w:t>
      </w:r>
      <w:r>
        <w:rPr>
          <w:rFonts w:hint="eastAsia"/>
          <w:color w:val="auto"/>
          <w:highlight w:val="none"/>
        </w:rPr>
        <w:t xml:space="preserve">代表</w:t>
      </w:r>
      <w:r>
        <w:rPr>
          <w:color w:val="auto"/>
          <w:highlight w:val="none"/>
        </w:rPr>
        <w:t xml:space="preserve">人应提前7天通知甲方，并经甲方同意后，后任继续承担前任应负的责任（合同文件约定的义务和其职权内的承诺）。</w:t>
      </w:r>
      <w:r/>
    </w:p>
    <w:p>
      <w:pPr>
        <w:pStyle w:val="750"/>
        <w:ind w:firstLine="482"/>
        <w:spacing w:before="0" w:after="0" w:line="360" w:lineRule="auto"/>
        <w:rPr>
          <w:color w:val="auto"/>
          <w:highlight w:val="none"/>
        </w:rPr>
      </w:pPr>
      <w:r/>
      <w:bookmarkStart w:id="91" w:name="_Toc61236978"/>
      <w:r/>
      <w:bookmarkStart w:id="92" w:name="_Toc60437502"/>
      <w:r/>
      <w:bookmarkStart w:id="93" w:name="_Toc60518197"/>
      <w:r/>
      <w:bookmarkStart w:id="94" w:name="_Toc60407589"/>
      <w:r/>
      <w:bookmarkStart w:id="95" w:name="_Toc60437610"/>
      <w:r>
        <w:rPr>
          <w:color w:val="auto"/>
          <w:highlight w:val="none"/>
        </w:rPr>
        <w:t xml:space="preserve">十一、履约保证金</w:t>
      </w:r>
      <w:bookmarkEnd w:id="91"/>
      <w:r/>
      <w:bookmarkEnd w:id="92"/>
      <w:r/>
      <w:bookmarkEnd w:id="93"/>
      <w:r/>
      <w:bookmarkEnd w:id="94"/>
      <w:r/>
      <w:bookmarkEnd w:id="95"/>
      <w:r/>
      <w:r/>
    </w:p>
    <w:p>
      <w:pPr>
        <w:ind w:firstLine="480"/>
        <w:spacing w:line="360" w:lineRule="auto"/>
        <w:rPr>
          <w:color w:val="auto"/>
          <w:sz w:val="24"/>
          <w:highlight w:val="none"/>
        </w:rPr>
      </w:pPr>
      <w:r>
        <w:rPr>
          <w:color w:val="auto"/>
          <w:sz w:val="24"/>
          <w:highlight w:val="none"/>
        </w:rPr>
        <w:t xml:space="preserve">（一）乙方应在与甲方签订合同后15</w:t>
      </w:r>
      <w:r>
        <w:rPr>
          <w:rFonts w:hint="eastAsia"/>
          <w:color w:val="auto"/>
          <w:sz w:val="24"/>
          <w:highlight w:val="none"/>
        </w:rPr>
        <w:t xml:space="preserve">个工作日</w:t>
      </w:r>
      <w:r>
        <w:rPr>
          <w:color w:val="auto"/>
          <w:sz w:val="24"/>
          <w:highlight w:val="none"/>
        </w:rPr>
        <w:t xml:space="preserve">内，以银行保函方式向甲方提交履约保证金，履约保证金的金额</w:t>
      </w:r>
      <w:r>
        <w:rPr>
          <w:rFonts w:hint="eastAsia"/>
          <w:color w:val="auto"/>
          <w:sz w:val="24"/>
          <w:highlight w:val="none"/>
        </w:rPr>
        <w:t xml:space="preserve">为</w:t>
      </w:r>
      <w:r>
        <w:rPr>
          <w:color w:val="auto"/>
          <w:sz w:val="24"/>
          <w:highlight w:val="none"/>
        </w:rPr>
        <w:t xml:space="preserve">合同总价的10％。</w:t>
      </w:r>
      <w:r/>
    </w:p>
    <w:p>
      <w:pPr>
        <w:ind w:firstLine="480"/>
        <w:spacing w:line="360" w:lineRule="auto"/>
        <w:rPr>
          <w:color w:val="auto"/>
          <w:sz w:val="24"/>
          <w:highlight w:val="none"/>
        </w:rPr>
      </w:pPr>
      <w:r>
        <w:rPr>
          <w:color w:val="auto"/>
          <w:sz w:val="24"/>
          <w:highlight w:val="none"/>
        </w:rPr>
        <w:t xml:space="preserve">（二）履约保证金用于补偿甲方因乙方不能完成其合同义务而蒙受的损失。</w:t>
      </w:r>
      <w:r/>
    </w:p>
    <w:p>
      <w:pPr>
        <w:ind w:firstLine="480"/>
        <w:spacing w:line="360" w:lineRule="auto"/>
        <w:rPr>
          <w:color w:val="auto"/>
          <w:sz w:val="24"/>
          <w:highlight w:val="none"/>
        </w:rPr>
      </w:pPr>
      <w:r>
        <w:rPr>
          <w:color w:val="auto"/>
          <w:sz w:val="24"/>
          <w:highlight w:val="none"/>
        </w:rPr>
        <w:t xml:space="preserve">（三）</w:t>
      </w:r>
      <w:r>
        <w:rPr>
          <w:rFonts w:hint="eastAsia"/>
          <w:color w:val="auto"/>
          <w:sz w:val="24"/>
          <w:highlight w:val="none"/>
        </w:rPr>
        <w:t xml:space="preserve">项目经甲方组织的合同工程完工验收合格后，退还乙方履约保函。</w:t>
      </w:r>
      <w:r/>
    </w:p>
    <w:p>
      <w:pPr>
        <w:ind w:firstLine="480"/>
        <w:spacing w:line="360" w:lineRule="auto"/>
        <w:rPr>
          <w:color w:val="auto"/>
          <w:sz w:val="24"/>
          <w:highlight w:val="none"/>
        </w:rPr>
      </w:pPr>
      <w:r>
        <w:rPr>
          <w:color w:val="auto"/>
          <w:sz w:val="24"/>
          <w:highlight w:val="none"/>
        </w:rPr>
        <w:t xml:space="preserve">（四）履约保证金货币：人民币。</w:t>
      </w:r>
      <w:r/>
    </w:p>
    <w:p>
      <w:pPr>
        <w:pStyle w:val="750"/>
        <w:ind w:firstLine="482"/>
        <w:spacing w:before="0" w:after="0" w:line="360" w:lineRule="auto"/>
        <w:rPr>
          <w:color w:val="auto"/>
          <w:highlight w:val="none"/>
        </w:rPr>
      </w:pPr>
      <w:r>
        <w:rPr>
          <w:color w:val="auto"/>
          <w:highlight w:val="none"/>
        </w:rPr>
        <w:t xml:space="preserve">十二、工程款支付及结算方式</w:t>
      </w:r>
      <w:r/>
    </w:p>
    <w:p>
      <w:pPr>
        <w:ind w:firstLine="480"/>
        <w:spacing w:line="360" w:lineRule="auto"/>
        <w:rPr>
          <w:color w:val="auto"/>
          <w:sz w:val="24"/>
          <w:highlight w:val="none"/>
        </w:rPr>
      </w:pPr>
      <w:r>
        <w:rPr>
          <w:color w:val="auto"/>
          <w:sz w:val="24"/>
          <w:highlight w:val="none"/>
        </w:rPr>
        <w:t xml:space="preserve">（一）工程款支付</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（1）预付款：中标供应商与采购人合同签订后，</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个工作日内采购人向中标供应商支付合同总金额的30%作为预付款。</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（2）工程进度款：设备到货，完成开箱验收后，甲方向乙方支付合同总金额的</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完成所有基础设施建设以及设备安装调试合格，甲方支付进度款</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eastAsiaTheme="minorEastAsia" w:cstheme="minorEastAsia"/>
          <w:color w:val="auto"/>
          <w:sz w:val="24"/>
          <w:szCs w:val="24"/>
          <w:highlight w:val="none"/>
          <w:lang w:val="en-US" w:eastAsia="zh-CN"/>
        </w:rPr>
        <w:t xml:space="preserve">合同</w:t>
      </w:r>
      <w:r>
        <w:rPr>
          <w:rFonts w:hint="eastAsia" w:asciiTheme="minorEastAsia" w:hAnsiTheme="minorEastAsia" w:eastAsiaTheme="minorEastAsia" w:cstheme="minorEastAsia"/>
          <w:color w:val="auto"/>
          <w:sz w:val="24"/>
          <w:szCs w:val="24"/>
          <w:highlight w:val="none"/>
        </w:rPr>
        <w:t xml:space="preserve">验收后，甲方向乙方支付至</w:t>
      </w:r>
      <w:r>
        <w:rPr>
          <w:rFonts w:hint="eastAsia" w:asciiTheme="minorEastAsia" w:hAnsiTheme="minorEastAsia" w:eastAsiaTheme="minorEastAsia" w:cstheme="minorEastAsia"/>
          <w:color w:val="auto"/>
          <w:sz w:val="24"/>
          <w:szCs w:val="24"/>
          <w:highlight w:val="none"/>
          <w:lang w:val="en-US" w:eastAsia="zh-CN"/>
        </w:rPr>
        <w:t xml:space="preserve">审价结算</w:t>
      </w:r>
      <w:r>
        <w:rPr>
          <w:rFonts w:hint="eastAsia" w:asciiTheme="minorEastAsia" w:hAnsiTheme="minorEastAsia" w:eastAsiaTheme="minorEastAsia" w:cstheme="minorEastAsia"/>
          <w:color w:val="auto"/>
          <w:sz w:val="24"/>
          <w:szCs w:val="24"/>
          <w:highlight w:val="none"/>
        </w:rPr>
        <w:t xml:space="preserve">金额的100%。</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工程款支付货币为人民币，所有工程款支付均需中标供应商出具发票。</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本项目资金来源为中央预算内投资，中标供应商充分理解并承诺若中央预算内投资不能及时到位或到位资金无法满足当前实际需求时，自身的资金能力可以保证该项目的进度和质量，并不能因此影响工期。如本项目涉及农民工工资，中标供应商不得拖欠相应农民工工资结算和支付，对由此产生的一切后果，采购人不承担相关任何责任。</w:t>
      </w:r>
      <w:r/>
    </w:p>
    <w:p>
      <w:pPr>
        <w:ind w:firstLine="480"/>
        <w:spacing w:line="360" w:lineRule="auto"/>
        <w:rPr>
          <w:color w:val="auto"/>
          <w:sz w:val="24"/>
          <w:highlight w:val="none"/>
        </w:rPr>
      </w:pPr>
      <w:r>
        <w:rPr>
          <w:color w:val="auto"/>
          <w:sz w:val="24"/>
          <w:highlight w:val="none"/>
        </w:rPr>
        <w:t xml:space="preserve">（二）乙方不得拖欠工人或供货单位的结算和支付工作，对由此产生的一切责任和后果，甲方均不承担任何相关责任。</w:t>
      </w:r>
      <w:r/>
    </w:p>
    <w:p>
      <w:pPr>
        <w:ind w:firstLine="480"/>
        <w:spacing w:line="360" w:lineRule="auto"/>
        <w:rPr>
          <w:color w:val="auto"/>
          <w:sz w:val="24"/>
          <w:highlight w:val="none"/>
        </w:rPr>
      </w:pPr>
      <w:r>
        <w:rPr>
          <w:color w:val="auto"/>
          <w:sz w:val="24"/>
          <w:highlight w:val="none"/>
        </w:rPr>
        <w:t xml:space="preserve">（三）乙方在每次领取工程款的同时，应当按甲方财务部门要求</w:t>
      </w:r>
      <w:r>
        <w:rPr>
          <w:rFonts w:hint="eastAsia"/>
          <w:color w:val="auto"/>
          <w:sz w:val="24"/>
          <w:highlight w:val="none"/>
        </w:rPr>
        <w:t xml:space="preserve">开具正式发票，</w:t>
      </w:r>
      <w:r>
        <w:rPr>
          <w:color w:val="auto"/>
          <w:sz w:val="24"/>
          <w:highlight w:val="none"/>
        </w:rPr>
        <w:t xml:space="preserve">否则甲方有权不予支付</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w:t>
      </w:r>
      <w:r>
        <w:rPr>
          <w:rFonts w:hint="eastAsia"/>
          <w:color w:val="auto"/>
          <w:sz w:val="24"/>
          <w:highlight w:val="none"/>
        </w:rPr>
        <w:t xml:space="preserve">四</w:t>
      </w:r>
      <w:r>
        <w:rPr>
          <w:color w:val="auto"/>
          <w:sz w:val="24"/>
          <w:highlight w:val="none"/>
        </w:rPr>
        <w:t xml:space="preserve">）工程款的支付货币为人民币。</w:t>
      </w:r>
      <w:r/>
    </w:p>
    <w:p>
      <w:pPr>
        <w:pStyle w:val="750"/>
        <w:ind w:firstLine="482"/>
        <w:spacing w:before="0" w:after="0" w:line="360" w:lineRule="auto"/>
        <w:rPr>
          <w:color w:val="auto"/>
          <w:highlight w:val="none"/>
        </w:rPr>
      </w:pPr>
      <w:r>
        <w:rPr>
          <w:color w:val="auto"/>
          <w:highlight w:val="none"/>
        </w:rPr>
        <w:t xml:space="preserve">十三、施工组织设计</w:t>
      </w:r>
      <w:r/>
    </w:p>
    <w:p>
      <w:pPr>
        <w:pStyle w:val="797"/>
        <w:ind w:firstLine="480"/>
        <w:spacing w:line="360" w:lineRule="auto"/>
        <w:rPr>
          <w:color w:val="auto"/>
          <w:highlight w:val="none"/>
        </w:rPr>
      </w:pPr>
      <w:r>
        <w:rPr>
          <w:rFonts w:hint="eastAsia"/>
          <w:color w:val="auto"/>
          <w:highlight w:val="none"/>
        </w:rPr>
        <w:t xml:space="preserve">（一）乙方应在合同签订后七（</w:t>
      </w:r>
      <w:r>
        <w:rPr>
          <w:color w:val="auto"/>
          <w:highlight w:val="none"/>
        </w:rPr>
        <w:t xml:space="preserve">7</w:t>
      </w:r>
      <w:r>
        <w:rPr>
          <w:rFonts w:hint="eastAsia"/>
          <w:color w:val="auto"/>
          <w:highlight w:val="none"/>
        </w:rPr>
        <w:t xml:space="preserve">）个日历天内完成</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项目</w:t>
      </w:r>
      <w:r>
        <w:rPr>
          <w:rFonts w:hint="eastAsia"/>
          <w:color w:val="auto"/>
          <w:highlight w:val="none"/>
        </w:rPr>
        <w:t xml:space="preserve">的施工组织设计及施工方案，报甲方审批通过后正式实施。施工组织设计应按照程序由乙方单位技术负责人审核，并按甲方要求增补修改，并通过甲方组织的专家评审。如有必要，甲方将组织其他平行单位对方案进行质询。</w:t>
      </w:r>
      <w:r/>
    </w:p>
    <w:p>
      <w:pPr>
        <w:pStyle w:val="797"/>
        <w:ind w:firstLine="480"/>
        <w:spacing w:line="360" w:lineRule="auto"/>
        <w:rPr>
          <w:color w:val="auto"/>
          <w:highlight w:val="none"/>
        </w:rPr>
      </w:pPr>
      <w:r>
        <w:rPr>
          <w:rFonts w:hint="eastAsia"/>
          <w:color w:val="auto"/>
          <w:highlight w:val="none"/>
        </w:rPr>
        <w:t xml:space="preserve">（二）</w:t>
      </w:r>
      <w:r>
        <w:rPr>
          <w:color w:val="auto"/>
          <w:highlight w:val="none"/>
        </w:rPr>
        <w:t xml:space="preserve">合同签订后</w:t>
      </w:r>
      <w:r>
        <w:rPr>
          <w:rFonts w:hint="eastAsia"/>
          <w:color w:val="auto"/>
          <w:highlight w:val="none"/>
        </w:rPr>
        <w:t xml:space="preserve">60个日历天内完成</w:t>
      </w:r>
      <w:r>
        <w:rPr>
          <w:color w:val="auto"/>
          <w:highlight w:val="none"/>
        </w:rPr>
        <w:t xml:space="preserve">安装调试</w:t>
      </w:r>
      <w:r>
        <w:rPr>
          <w:rFonts w:hint="eastAsia"/>
          <w:color w:val="auto"/>
          <w:highlight w:val="none"/>
        </w:rPr>
        <w:t xml:space="preserve">及系统联调、配套建安工程</w:t>
      </w:r>
      <w:r>
        <w:rPr>
          <w:color w:val="auto"/>
          <w:highlight w:val="none"/>
        </w:rPr>
        <w:t xml:space="preserve">施工；完成合同工程完工验收。</w:t>
      </w:r>
      <w:r/>
    </w:p>
    <w:p>
      <w:pPr>
        <w:pStyle w:val="797"/>
        <w:ind w:firstLine="480"/>
        <w:spacing w:line="360" w:lineRule="auto"/>
        <w:rPr>
          <w:color w:val="auto"/>
          <w:highlight w:val="none"/>
        </w:rPr>
      </w:pPr>
      <w:r>
        <w:rPr>
          <w:color w:val="auto"/>
          <w:highlight w:val="none"/>
        </w:rPr>
        <w:t xml:space="preserve">（</w:t>
      </w:r>
      <w:r>
        <w:rPr>
          <w:rFonts w:hint="eastAsia"/>
          <w:color w:val="auto"/>
          <w:highlight w:val="none"/>
        </w:rPr>
        <w:t xml:space="preserve">三</w:t>
      </w:r>
      <w:r>
        <w:rPr>
          <w:color w:val="auto"/>
          <w:highlight w:val="none"/>
        </w:rPr>
        <w:t xml:space="preserve">）乙方必须按批准的进度计划组织施工，接受甲方对进度的检查、监督。项目实际进展与进度计划不符时，乙方应按甲方的要求提出改进措施，报甲方批准后执行。</w:t>
      </w:r>
      <w:r/>
    </w:p>
    <w:p>
      <w:pPr>
        <w:pStyle w:val="750"/>
        <w:ind w:firstLine="482"/>
        <w:spacing w:before="0" w:after="0" w:line="360" w:lineRule="auto"/>
        <w:rPr>
          <w:color w:val="auto"/>
          <w:highlight w:val="none"/>
        </w:rPr>
      </w:pPr>
      <w:r>
        <w:rPr>
          <w:color w:val="auto"/>
          <w:highlight w:val="none"/>
        </w:rPr>
        <w:t xml:space="preserve">十四、联络会</w:t>
      </w:r>
      <w:r/>
    </w:p>
    <w:p>
      <w:pPr>
        <w:ind w:firstLine="480"/>
        <w:spacing w:line="360" w:lineRule="auto"/>
        <w:rPr>
          <w:color w:val="auto"/>
          <w:sz w:val="24"/>
          <w:highlight w:val="none"/>
        </w:rPr>
      </w:pPr>
      <w:r>
        <w:rPr>
          <w:color w:val="auto"/>
          <w:sz w:val="24"/>
          <w:highlight w:val="none"/>
        </w:rPr>
        <w:t xml:space="preserve">（一）在项目建设过程中，若发生重要事情需有关方面进行研究和讨论，可召开联络会解决。</w:t>
      </w:r>
      <w:r/>
    </w:p>
    <w:p>
      <w:pPr>
        <w:ind w:firstLine="480"/>
        <w:spacing w:line="360" w:lineRule="auto"/>
        <w:rPr>
          <w:color w:val="auto"/>
          <w:sz w:val="24"/>
          <w:highlight w:val="none"/>
        </w:rPr>
      </w:pPr>
      <w:r>
        <w:rPr>
          <w:color w:val="auto"/>
          <w:sz w:val="24"/>
          <w:highlight w:val="none"/>
        </w:rPr>
        <w:t xml:space="preserve">（二）每次联络会的会议纪要由</w:t>
      </w:r>
      <w:r>
        <w:rPr>
          <w:rFonts w:hint="eastAsia"/>
          <w:color w:val="auto"/>
          <w:sz w:val="24"/>
          <w:highlight w:val="none"/>
        </w:rPr>
        <w:t xml:space="preserve">甲方</w:t>
      </w:r>
      <w:r>
        <w:rPr>
          <w:color w:val="auto"/>
          <w:sz w:val="24"/>
          <w:highlight w:val="none"/>
        </w:rPr>
        <w:t xml:space="preserve">起草，经</w:t>
      </w:r>
      <w:r>
        <w:rPr>
          <w:rFonts w:hint="eastAsia"/>
          <w:color w:val="auto"/>
          <w:sz w:val="24"/>
          <w:highlight w:val="none"/>
        </w:rPr>
        <w:t xml:space="preserve">参会各方</w:t>
      </w:r>
      <w:r>
        <w:rPr>
          <w:color w:val="auto"/>
          <w:sz w:val="24"/>
          <w:highlight w:val="none"/>
        </w:rPr>
        <w:t xml:space="preserve">签</w:t>
      </w:r>
      <w:r>
        <w:rPr>
          <w:rFonts w:hint="eastAsia"/>
          <w:color w:val="auto"/>
          <w:sz w:val="24"/>
          <w:highlight w:val="none"/>
        </w:rPr>
        <w:t xml:space="preserve">字</w:t>
      </w:r>
      <w:r>
        <w:rPr>
          <w:color w:val="auto"/>
          <w:sz w:val="24"/>
          <w:highlight w:val="none"/>
        </w:rPr>
        <w:t xml:space="preserve">后遵照执行。</w:t>
      </w:r>
      <w:r/>
    </w:p>
    <w:p>
      <w:pPr>
        <w:ind w:firstLine="480"/>
        <w:spacing w:line="360" w:lineRule="auto"/>
        <w:rPr>
          <w:color w:val="auto"/>
          <w:sz w:val="24"/>
          <w:highlight w:val="none"/>
        </w:rPr>
      </w:pPr>
      <w:r>
        <w:rPr>
          <w:color w:val="auto"/>
          <w:sz w:val="24"/>
          <w:highlight w:val="none"/>
        </w:rPr>
        <w:t xml:space="preserve">（三）联络会由</w:t>
      </w:r>
      <w:r>
        <w:rPr>
          <w:rFonts w:hint="eastAsia"/>
          <w:color w:val="auto"/>
          <w:sz w:val="24"/>
          <w:highlight w:val="none"/>
        </w:rPr>
        <w:t xml:space="preserve">甲方</w:t>
      </w:r>
      <w:r>
        <w:rPr>
          <w:color w:val="auto"/>
          <w:sz w:val="24"/>
          <w:highlight w:val="none"/>
        </w:rPr>
        <w:t xml:space="preserve">组织，乙方承办。有关联络会准备、组织、安排的所有费用由乙方支付，该费用应已包含在合同总价中。会议所需的技术文件及工作设施由乙方提供。</w:t>
      </w:r>
      <w:r/>
    </w:p>
    <w:p>
      <w:pPr>
        <w:pStyle w:val="750"/>
        <w:ind w:firstLine="482"/>
        <w:spacing w:before="0" w:after="0" w:line="360" w:lineRule="auto"/>
        <w:rPr>
          <w:color w:val="auto"/>
          <w:highlight w:val="none"/>
        </w:rPr>
      </w:pPr>
      <w:r>
        <w:rPr>
          <w:color w:val="auto"/>
          <w:highlight w:val="none"/>
        </w:rPr>
        <w:t xml:space="preserve">十五、合同执行进度</w:t>
      </w:r>
      <w:r/>
    </w:p>
    <w:p>
      <w:pPr>
        <w:ind w:firstLine="480"/>
        <w:spacing w:line="360" w:lineRule="auto"/>
        <w:rPr>
          <w:color w:val="auto"/>
          <w:sz w:val="24"/>
          <w:highlight w:val="none"/>
        </w:rPr>
      </w:pPr>
      <w:r>
        <w:rPr>
          <w:color w:val="auto"/>
          <w:sz w:val="24"/>
          <w:highlight w:val="none"/>
        </w:rPr>
        <w:t xml:space="preserve">（一）合同进度计划</w:t>
      </w:r>
      <w:r/>
    </w:p>
    <w:p>
      <w:pPr>
        <w:ind w:firstLine="559"/>
        <w:spacing w:line="360" w:lineRule="auto"/>
        <w:rPr>
          <w:color w:val="auto"/>
          <w:sz w:val="24"/>
          <w:highlight w:val="none"/>
        </w:rPr>
      </w:pPr>
      <w:r>
        <w:rPr>
          <w:color w:val="auto"/>
          <w:sz w:val="24"/>
          <w:highlight w:val="none"/>
        </w:rPr>
        <w:t xml:space="preserve">乙方应根据</w:t>
      </w:r>
      <w:r>
        <w:rPr>
          <w:rFonts w:hint="eastAsia"/>
          <w:color w:val="auto"/>
          <w:sz w:val="24"/>
          <w:highlight w:val="none"/>
        </w:rPr>
        <w:t xml:space="preserve">甲方</w:t>
      </w:r>
      <w:r>
        <w:rPr>
          <w:color w:val="auto"/>
          <w:sz w:val="24"/>
          <w:highlight w:val="none"/>
        </w:rPr>
        <w:t xml:space="preserve">的</w:t>
      </w:r>
      <w:r>
        <w:rPr>
          <w:rFonts w:hint="eastAsia"/>
          <w:color w:val="auto"/>
          <w:sz w:val="24"/>
          <w:highlight w:val="none"/>
        </w:rPr>
        <w:t xml:space="preserve">要求</w:t>
      </w:r>
      <w:r>
        <w:rPr>
          <w:color w:val="auto"/>
          <w:sz w:val="24"/>
          <w:highlight w:val="none"/>
        </w:rPr>
        <w:t xml:space="preserve">，编制施工进度计划，并报批。</w:t>
      </w:r>
      <w:r/>
    </w:p>
    <w:p>
      <w:pPr>
        <w:ind w:left="60" w:firstLine="360"/>
        <w:jc w:val="left"/>
        <w:spacing w:line="360" w:lineRule="auto"/>
        <w:rPr>
          <w:color w:val="auto"/>
          <w:sz w:val="24"/>
          <w:highlight w:val="none"/>
        </w:rPr>
      </w:pPr>
      <w:r>
        <w:rPr>
          <w:color w:val="auto"/>
          <w:sz w:val="24"/>
          <w:highlight w:val="none"/>
        </w:rPr>
        <w:t xml:space="preserve">（二）工程开工和完工</w:t>
      </w:r>
      <w:r/>
    </w:p>
    <w:p>
      <w:pPr>
        <w:ind w:firstLine="480"/>
        <w:jc w:val="left"/>
        <w:spacing w:line="360" w:lineRule="auto"/>
        <w:rPr>
          <w:color w:val="auto"/>
          <w:sz w:val="24"/>
          <w:highlight w:val="none"/>
        </w:rPr>
      </w:pPr>
      <w:r>
        <w:rPr>
          <w:color w:val="auto"/>
          <w:sz w:val="24"/>
          <w:highlight w:val="none"/>
        </w:rPr>
        <w:t xml:space="preserve">（1）开工：合同生效后乙方完成施工组织设计和施工方案，报甲方审批通过后即为开工之日。乙方开工后按工程进度计划进行工作。</w:t>
      </w:r>
      <w:r/>
    </w:p>
    <w:p>
      <w:pPr>
        <w:ind w:firstLine="480"/>
        <w:jc w:val="left"/>
        <w:spacing w:line="360" w:lineRule="auto"/>
        <w:rPr>
          <w:color w:val="auto"/>
          <w:sz w:val="24"/>
          <w:highlight w:val="none"/>
        </w:rPr>
      </w:pPr>
      <w:r>
        <w:rPr>
          <w:color w:val="auto"/>
          <w:sz w:val="24"/>
          <w:highlight w:val="none"/>
        </w:rPr>
        <w:t xml:space="preserve">（2）甲方延误开工：甲方未能按合同规定向乙方提供开工的必要条件，乙方有权提出延长工期的要求。</w:t>
      </w:r>
      <w:r>
        <w:rPr>
          <w:rFonts w:hint="eastAsia"/>
          <w:color w:val="auto"/>
          <w:sz w:val="24"/>
          <w:highlight w:val="none"/>
        </w:rPr>
        <w:t xml:space="preserve">甲方</w:t>
      </w:r>
      <w:r>
        <w:rPr>
          <w:color w:val="auto"/>
          <w:sz w:val="24"/>
          <w:highlight w:val="none"/>
        </w:rPr>
        <w:t xml:space="preserve">应在收到乙方的要求后立即与乙方</w:t>
      </w:r>
      <w:r>
        <w:rPr>
          <w:rFonts w:hint="eastAsia"/>
          <w:color w:val="auto"/>
          <w:sz w:val="24"/>
          <w:highlight w:val="none"/>
        </w:rPr>
        <w:t xml:space="preserve">协商</w:t>
      </w:r>
      <w:r>
        <w:rPr>
          <w:color w:val="auto"/>
          <w:sz w:val="24"/>
          <w:highlight w:val="none"/>
        </w:rPr>
        <w:t xml:space="preserve">补救办法，</w:t>
      </w:r>
      <w:r>
        <w:rPr>
          <w:rFonts w:hint="eastAsia"/>
          <w:color w:val="auto"/>
          <w:sz w:val="24"/>
          <w:highlight w:val="none"/>
        </w:rPr>
        <w:t xml:space="preserve">且</w:t>
      </w:r>
      <w:r>
        <w:rPr>
          <w:color w:val="auto"/>
          <w:sz w:val="24"/>
          <w:highlight w:val="none"/>
        </w:rPr>
        <w:t xml:space="preserve">不因此而增加费用。</w:t>
      </w:r>
      <w:r/>
    </w:p>
    <w:p>
      <w:pPr>
        <w:ind w:firstLine="480"/>
        <w:jc w:val="left"/>
        <w:spacing w:line="360" w:lineRule="auto"/>
        <w:rPr>
          <w:color w:val="auto"/>
          <w:sz w:val="24"/>
          <w:highlight w:val="none"/>
        </w:rPr>
      </w:pPr>
      <w:r>
        <w:rPr>
          <w:color w:val="auto"/>
          <w:sz w:val="24"/>
          <w:highlight w:val="none"/>
        </w:rPr>
        <w:t xml:space="preserve">（3）乙方延误工期：由于乙方的原因，导致工期延误，应按</w:t>
      </w:r>
      <w:r>
        <w:rPr>
          <w:rFonts w:hint="eastAsia"/>
          <w:color w:val="auto"/>
          <w:sz w:val="24"/>
          <w:highlight w:val="none"/>
        </w:rPr>
        <w:t xml:space="preserve">甲方</w:t>
      </w:r>
      <w:r>
        <w:rPr>
          <w:color w:val="auto"/>
          <w:sz w:val="24"/>
          <w:highlight w:val="none"/>
        </w:rPr>
        <w:t xml:space="preserve">的</w:t>
      </w:r>
      <w:r>
        <w:rPr>
          <w:rFonts w:hint="eastAsia"/>
          <w:color w:val="auto"/>
          <w:sz w:val="24"/>
          <w:highlight w:val="none"/>
        </w:rPr>
        <w:t xml:space="preserve">要求</w:t>
      </w:r>
      <w:r>
        <w:rPr>
          <w:color w:val="auto"/>
          <w:sz w:val="24"/>
          <w:highlight w:val="none"/>
        </w:rPr>
        <w:t xml:space="preserve">，编制详细的赶工期措施报</w:t>
      </w:r>
      <w:r>
        <w:rPr>
          <w:rFonts w:hint="eastAsia"/>
          <w:color w:val="auto"/>
          <w:sz w:val="24"/>
          <w:highlight w:val="none"/>
        </w:rPr>
        <w:t xml:space="preserve">甲方</w:t>
      </w:r>
      <w:r>
        <w:rPr>
          <w:color w:val="auto"/>
          <w:sz w:val="24"/>
          <w:highlight w:val="none"/>
        </w:rPr>
        <w:t xml:space="preserve">审批。赶工期措施报告应详细说明不能及时组织施工的原因和赶工期的办法，由此增加的费用和工期延误责任由乙方承担。</w:t>
      </w:r>
      <w:r/>
    </w:p>
    <w:p>
      <w:pPr>
        <w:ind w:firstLine="480"/>
        <w:jc w:val="left"/>
        <w:spacing w:line="360" w:lineRule="auto"/>
        <w:rPr>
          <w:color w:val="auto"/>
          <w:sz w:val="24"/>
          <w:highlight w:val="none"/>
        </w:rPr>
      </w:pPr>
      <w:r>
        <w:rPr>
          <w:color w:val="auto"/>
          <w:sz w:val="24"/>
          <w:highlight w:val="none"/>
        </w:rPr>
        <w:t xml:space="preserve">（4）暂停施工</w:t>
      </w:r>
      <w:r/>
    </w:p>
    <w:p>
      <w:pPr>
        <w:ind w:firstLine="480"/>
        <w:jc w:val="left"/>
        <w:spacing w:line="360" w:lineRule="auto"/>
        <w:rPr>
          <w:color w:val="auto"/>
          <w:sz w:val="24"/>
          <w:highlight w:val="none"/>
        </w:rPr>
      </w:pPr>
      <w:r>
        <w:rPr>
          <w:color w:val="auto"/>
          <w:sz w:val="24"/>
          <w:highlight w:val="none"/>
        </w:rPr>
        <w:t xml:space="preserve">乙方暂停施工的责任：属于下列任何一种情况引起的暂停施工，乙方不能提出增加费用和延长工期的要求：</w:t>
      </w:r>
      <w:r/>
    </w:p>
    <w:p>
      <w:pPr>
        <w:ind w:firstLine="480"/>
        <w:spacing w:line="360" w:lineRule="auto"/>
        <w:rPr>
          <w:color w:val="auto"/>
          <w:sz w:val="24"/>
          <w:highlight w:val="none"/>
        </w:rPr>
      </w:pPr>
      <w:r>
        <w:rPr>
          <w:color w:val="auto"/>
          <w:sz w:val="24"/>
          <w:highlight w:val="none"/>
        </w:rPr>
        <w:t xml:space="preserve">1）由于乙方违约引起的暂停施工。</w:t>
      </w:r>
      <w:r/>
    </w:p>
    <w:p>
      <w:pPr>
        <w:ind w:firstLine="480"/>
        <w:spacing w:line="360" w:lineRule="auto"/>
        <w:rPr>
          <w:color w:val="auto"/>
          <w:sz w:val="24"/>
          <w:highlight w:val="none"/>
        </w:rPr>
      </w:pPr>
      <w:r>
        <w:rPr>
          <w:color w:val="auto"/>
          <w:sz w:val="24"/>
          <w:highlight w:val="none"/>
        </w:rPr>
        <w:t xml:space="preserve">2）由于现场非异常恶劣气候条件引起的正常停工。</w:t>
      </w:r>
      <w:r/>
    </w:p>
    <w:p>
      <w:pPr>
        <w:ind w:firstLine="480"/>
        <w:spacing w:line="360" w:lineRule="auto"/>
        <w:rPr>
          <w:color w:val="auto"/>
          <w:sz w:val="24"/>
          <w:highlight w:val="none"/>
        </w:rPr>
      </w:pPr>
      <w:r>
        <w:rPr>
          <w:color w:val="auto"/>
          <w:sz w:val="24"/>
          <w:highlight w:val="none"/>
        </w:rPr>
        <w:t xml:space="preserve">3）为工程的合理施工和保证安全所必须的暂停施工。</w:t>
      </w:r>
      <w:r/>
    </w:p>
    <w:p>
      <w:pPr>
        <w:ind w:firstLine="480"/>
        <w:spacing w:line="360" w:lineRule="auto"/>
        <w:rPr>
          <w:color w:val="auto"/>
          <w:sz w:val="24"/>
          <w:highlight w:val="none"/>
        </w:rPr>
      </w:pPr>
      <w:r>
        <w:rPr>
          <w:color w:val="auto"/>
          <w:sz w:val="24"/>
          <w:highlight w:val="none"/>
        </w:rPr>
        <w:t xml:space="preserve">4）未得到</w:t>
      </w:r>
      <w:r>
        <w:rPr>
          <w:rFonts w:hint="eastAsia"/>
          <w:color w:val="auto"/>
          <w:sz w:val="24"/>
          <w:highlight w:val="none"/>
        </w:rPr>
        <w:t xml:space="preserve">甲方许可</w:t>
      </w:r>
      <w:r>
        <w:rPr>
          <w:color w:val="auto"/>
          <w:sz w:val="24"/>
          <w:highlight w:val="none"/>
        </w:rPr>
        <w:t xml:space="preserve">乙方擅自停工。</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其他</w:t>
      </w:r>
      <w:r>
        <w:rPr>
          <w:color w:val="auto"/>
          <w:sz w:val="24"/>
          <w:highlight w:val="none"/>
        </w:rPr>
        <w:t xml:space="preserve">由于乙方原因引起的暂停施工。</w:t>
      </w:r>
      <w:r/>
    </w:p>
    <w:p>
      <w:pPr>
        <w:ind w:firstLine="480"/>
        <w:jc w:val="left"/>
        <w:spacing w:line="360" w:lineRule="auto"/>
        <w:rPr>
          <w:color w:val="auto"/>
          <w:sz w:val="24"/>
          <w:highlight w:val="none"/>
        </w:rPr>
      </w:pPr>
      <w:r>
        <w:rPr>
          <w:color w:val="auto"/>
          <w:sz w:val="24"/>
          <w:highlight w:val="none"/>
        </w:rPr>
        <w:t xml:space="preserve">甲方暂停施工的责任：由于甲方原因引起的暂停施工，属于甲方责任，由此造成的工期延误，经双方协商后顺延。</w:t>
      </w:r>
      <w:r/>
    </w:p>
    <w:p>
      <w:pPr>
        <w:ind w:firstLine="480"/>
        <w:spacing w:line="360" w:lineRule="auto"/>
        <w:rPr>
          <w:color w:val="auto"/>
          <w:sz w:val="24"/>
          <w:highlight w:val="none"/>
        </w:rPr>
      </w:pPr>
      <w:r>
        <w:rPr>
          <w:color w:val="auto"/>
          <w:sz w:val="24"/>
          <w:highlight w:val="none"/>
        </w:rPr>
        <w:t xml:space="preserve">（5）暂停施工后的复工</w:t>
      </w:r>
      <w:r/>
    </w:p>
    <w:p>
      <w:pPr>
        <w:ind w:firstLine="480"/>
        <w:jc w:val="left"/>
        <w:spacing w:line="360" w:lineRule="auto"/>
        <w:rPr>
          <w:color w:val="auto"/>
          <w:sz w:val="24"/>
          <w:highlight w:val="none"/>
        </w:rPr>
      </w:pPr>
      <w:r>
        <w:rPr>
          <w:color w:val="auto"/>
          <w:sz w:val="24"/>
          <w:highlight w:val="none"/>
        </w:rPr>
        <w:t xml:space="preserve">工程暂停施工后，甲方和乙方协商采取有效措施积极消除停工因素的影响。当工程具备复工条件时，</w:t>
      </w:r>
      <w:r>
        <w:rPr>
          <w:rFonts w:hint="eastAsia"/>
          <w:color w:val="auto"/>
          <w:sz w:val="24"/>
          <w:highlight w:val="none"/>
        </w:rPr>
        <w:t xml:space="preserve">甲方</w:t>
      </w:r>
      <w:r>
        <w:rPr>
          <w:color w:val="auto"/>
          <w:sz w:val="24"/>
          <w:highlight w:val="none"/>
        </w:rPr>
        <w:t xml:space="preserve">应及时向乙方发出复工通知，乙方收到复工通知后，应在</w:t>
      </w:r>
      <w:r>
        <w:rPr>
          <w:rFonts w:hint="eastAsia"/>
          <w:color w:val="auto"/>
          <w:sz w:val="24"/>
          <w:highlight w:val="none"/>
        </w:rPr>
        <w:t xml:space="preserve">甲方</w:t>
      </w:r>
      <w:r>
        <w:rPr>
          <w:color w:val="auto"/>
          <w:sz w:val="24"/>
          <w:highlight w:val="none"/>
        </w:rPr>
        <w:t xml:space="preserve">指定的期限内复工。若乙方无故拖延或拒绝复工，由此增加的费用和工期延误责任由乙方承担。</w:t>
      </w:r>
      <w:r/>
    </w:p>
    <w:p>
      <w:pPr>
        <w:ind w:firstLine="480"/>
        <w:jc w:val="left"/>
        <w:spacing w:line="360" w:lineRule="auto"/>
        <w:rPr>
          <w:color w:val="auto"/>
          <w:sz w:val="24"/>
          <w:highlight w:val="none"/>
        </w:rPr>
      </w:pPr>
      <w:r>
        <w:rPr>
          <w:color w:val="auto"/>
          <w:sz w:val="24"/>
          <w:highlight w:val="none"/>
        </w:rPr>
        <w:t xml:space="preserve">（6）合同工期：合同签订</w:t>
      </w:r>
      <w:r>
        <w:rPr>
          <w:rFonts w:hint="eastAsia"/>
          <w:color w:val="auto"/>
          <w:sz w:val="24"/>
          <w:highlight w:val="none"/>
        </w:rPr>
        <w:t xml:space="preserve">后60个日历天完成</w:t>
      </w:r>
      <w:r>
        <w:rPr>
          <w:color w:val="auto"/>
          <w:sz w:val="24"/>
          <w:highlight w:val="none"/>
        </w:rPr>
        <w:t xml:space="preserve">建设任务。</w:t>
      </w:r>
      <w:r/>
    </w:p>
    <w:p>
      <w:pPr>
        <w:ind w:firstLine="480"/>
        <w:jc w:val="left"/>
        <w:spacing w:line="360" w:lineRule="auto"/>
        <w:rPr>
          <w:color w:val="auto"/>
          <w:sz w:val="24"/>
          <w:highlight w:val="none"/>
        </w:rPr>
      </w:pPr>
      <w:r>
        <w:rPr>
          <w:color w:val="auto"/>
          <w:sz w:val="24"/>
          <w:highlight w:val="none"/>
        </w:rPr>
        <w:t xml:space="preserve">（三）乙方应每月向甲方提供月报，内容包括</w:t>
      </w:r>
      <w:r>
        <w:rPr>
          <w:rFonts w:hint="eastAsia"/>
          <w:color w:val="auto"/>
          <w:sz w:val="24"/>
          <w:highlight w:val="none"/>
        </w:rPr>
        <w:t xml:space="preserve">但</w:t>
      </w:r>
      <w:r>
        <w:rPr>
          <w:color w:val="auto"/>
          <w:sz w:val="24"/>
          <w:highlight w:val="none"/>
        </w:rPr>
        <w:t xml:space="preserve">不限于：项目进度和计划执行情况，已完成的项目，有无遇到困难和障碍，本项目的预期效果，人员配置情况，有无项目变更及变更情况</w:t>
      </w:r>
      <w:r>
        <w:rPr>
          <w:rFonts w:hint="eastAsia"/>
          <w:color w:val="auto"/>
          <w:sz w:val="24"/>
          <w:highlight w:val="none"/>
        </w:rPr>
        <w:t xml:space="preserve">或其他</w:t>
      </w:r>
      <w:r>
        <w:rPr>
          <w:color w:val="auto"/>
          <w:sz w:val="24"/>
          <w:highlight w:val="none"/>
        </w:rPr>
        <w:t xml:space="preserve">与本项目有关的甲方应该知道或甲方要求知道的情况。提交甲方确认。如有重大的问题或重要的变更发生，乙方应当在变更发生之日起</w:t>
      </w:r>
      <w:r>
        <w:rPr>
          <w:rFonts w:hint="eastAsia"/>
          <w:color w:val="auto"/>
          <w:sz w:val="24"/>
          <w:highlight w:val="none"/>
        </w:rPr>
        <w:t xml:space="preserve">五</w:t>
      </w:r>
      <w:r>
        <w:rPr>
          <w:color w:val="auto"/>
          <w:sz w:val="24"/>
          <w:highlight w:val="none"/>
        </w:rPr>
        <w:t xml:space="preserve">（</w:t>
      </w:r>
      <w:r>
        <w:rPr>
          <w:rFonts w:hint="eastAsia"/>
          <w:color w:val="auto"/>
          <w:sz w:val="24"/>
          <w:highlight w:val="none"/>
        </w:rPr>
        <w:t xml:space="preserve">5</w:t>
      </w:r>
      <w:r>
        <w:rPr>
          <w:color w:val="auto"/>
          <w:sz w:val="24"/>
          <w:highlight w:val="none"/>
        </w:rPr>
        <w:t xml:space="preserve">）日</w:t>
      </w:r>
      <w:r>
        <w:rPr>
          <w:rFonts w:hint="eastAsia"/>
          <w:color w:val="auto"/>
          <w:sz w:val="24"/>
          <w:highlight w:val="none"/>
        </w:rPr>
        <w:t xml:space="preserve">内</w:t>
      </w:r>
      <w:r>
        <w:rPr>
          <w:color w:val="auto"/>
          <w:sz w:val="24"/>
          <w:highlight w:val="none"/>
        </w:rPr>
        <w:t xml:space="preserve">向</w:t>
      </w:r>
      <w:r>
        <w:rPr>
          <w:rFonts w:hint="eastAsia"/>
          <w:color w:val="auto"/>
          <w:sz w:val="24"/>
          <w:highlight w:val="none"/>
        </w:rPr>
        <w:t xml:space="preserve">甲方作出</w:t>
      </w:r>
      <w:r>
        <w:rPr>
          <w:color w:val="auto"/>
          <w:sz w:val="24"/>
          <w:highlight w:val="none"/>
        </w:rPr>
        <w:t xml:space="preserve">书面报告。乙方也应当在</w:t>
      </w:r>
      <w:r>
        <w:rPr>
          <w:rFonts w:hint="eastAsia"/>
          <w:color w:val="auto"/>
          <w:sz w:val="24"/>
          <w:highlight w:val="none"/>
        </w:rPr>
        <w:t xml:space="preserve">五</w:t>
      </w:r>
      <w:r>
        <w:rPr>
          <w:color w:val="auto"/>
          <w:sz w:val="24"/>
          <w:highlight w:val="none"/>
        </w:rPr>
        <w:t xml:space="preserve">（</w:t>
      </w:r>
      <w:r>
        <w:rPr>
          <w:rFonts w:hint="eastAsia"/>
          <w:color w:val="auto"/>
          <w:sz w:val="24"/>
          <w:highlight w:val="none"/>
        </w:rPr>
        <w:t xml:space="preserve">5</w:t>
      </w:r>
      <w:r>
        <w:rPr>
          <w:color w:val="auto"/>
          <w:sz w:val="24"/>
          <w:highlight w:val="none"/>
        </w:rPr>
        <w:t xml:space="preserve">）日内回复甲方在</w:t>
      </w:r>
      <w:r>
        <w:rPr>
          <w:rFonts w:hint="eastAsia"/>
          <w:color w:val="auto"/>
          <w:sz w:val="24"/>
          <w:highlight w:val="none"/>
        </w:rPr>
        <w:t xml:space="preserve">其他时间</w:t>
      </w:r>
      <w:r>
        <w:rPr>
          <w:color w:val="auto"/>
          <w:sz w:val="24"/>
          <w:highlight w:val="none"/>
        </w:rPr>
        <w:t xml:space="preserve">内提出的与本项目相关的询问。如乙方违反本条的规定，应该承担由此而引起的项目迟延和甲方不能及时付款或配合项目进行的后果。</w:t>
      </w:r>
      <w:r>
        <w:rPr>
          <w:rFonts w:hint="eastAsia"/>
          <w:color w:val="auto"/>
          <w:sz w:val="24"/>
          <w:highlight w:val="none"/>
        </w:rPr>
        <w:t xml:space="preserve">甲方</w:t>
      </w:r>
      <w:r>
        <w:rPr>
          <w:color w:val="auto"/>
          <w:sz w:val="24"/>
          <w:highlight w:val="none"/>
        </w:rPr>
        <w:t xml:space="preserve">在收到乙方的书面报告后，应当在</w:t>
      </w:r>
      <w:r>
        <w:rPr>
          <w:rFonts w:hint="eastAsia"/>
          <w:color w:val="auto"/>
          <w:sz w:val="24"/>
          <w:highlight w:val="none"/>
        </w:rPr>
        <w:t xml:space="preserve">五</w:t>
      </w:r>
      <w:r>
        <w:rPr>
          <w:color w:val="auto"/>
          <w:sz w:val="24"/>
          <w:highlight w:val="none"/>
        </w:rPr>
        <w:t xml:space="preserve">（</w:t>
      </w:r>
      <w:r>
        <w:rPr>
          <w:rFonts w:hint="eastAsia"/>
          <w:color w:val="auto"/>
          <w:sz w:val="24"/>
          <w:highlight w:val="none"/>
        </w:rPr>
        <w:t xml:space="preserve">5</w:t>
      </w:r>
      <w:r>
        <w:rPr>
          <w:color w:val="auto"/>
          <w:sz w:val="24"/>
          <w:highlight w:val="none"/>
        </w:rPr>
        <w:t xml:space="preserve">）日内回复乙方。</w:t>
      </w:r>
      <w:r/>
    </w:p>
    <w:p>
      <w:pPr>
        <w:pStyle w:val="750"/>
        <w:ind w:firstLine="482"/>
        <w:spacing w:before="0" w:after="0" w:line="360" w:lineRule="auto"/>
        <w:rPr>
          <w:color w:val="auto"/>
          <w:highlight w:val="none"/>
        </w:rPr>
      </w:pPr>
      <w:r>
        <w:rPr>
          <w:color w:val="auto"/>
          <w:highlight w:val="none"/>
        </w:rPr>
        <w:t xml:space="preserve">十六、项目质量与验收</w:t>
      </w:r>
      <w:r/>
    </w:p>
    <w:p>
      <w:pPr>
        <w:ind w:firstLine="480"/>
        <w:spacing w:line="360" w:lineRule="auto"/>
        <w:rPr>
          <w:color w:val="auto"/>
          <w:sz w:val="24"/>
          <w:highlight w:val="none"/>
        </w:rPr>
      </w:pPr>
      <w:r>
        <w:rPr>
          <w:color w:val="auto"/>
          <w:sz w:val="24"/>
          <w:highlight w:val="none"/>
        </w:rPr>
        <w:t xml:space="preserve">（一）本项目以国家制定的施工及验收规范为质量评定标准。</w:t>
      </w:r>
      <w:r/>
    </w:p>
    <w:p>
      <w:pPr>
        <w:ind w:firstLine="480"/>
        <w:spacing w:line="360" w:lineRule="auto"/>
        <w:rPr>
          <w:color w:val="auto"/>
          <w:sz w:val="24"/>
          <w:highlight w:val="none"/>
        </w:rPr>
      </w:pPr>
      <w:r>
        <w:rPr>
          <w:color w:val="auto"/>
          <w:sz w:val="24"/>
          <w:highlight w:val="none"/>
        </w:rPr>
        <w:t xml:space="preserve">（二）乙方须严格按照国家颁布的施工操作规范进行施工，并应接受甲方的监督，承担本项目的一切质量事故或缺陷责任。乙方完工后，</w:t>
      </w:r>
      <w:r>
        <w:rPr>
          <w:rFonts w:hint="eastAsia"/>
          <w:color w:val="auto"/>
          <w:sz w:val="24"/>
          <w:highlight w:val="none"/>
        </w:rPr>
        <w:t xml:space="preserve">履行</w:t>
      </w:r>
      <w:r>
        <w:rPr>
          <w:color w:val="auto"/>
          <w:sz w:val="24"/>
          <w:highlight w:val="none"/>
        </w:rPr>
        <w:t xml:space="preserve">乙方自验、</w:t>
      </w:r>
      <w:r>
        <w:rPr>
          <w:rFonts w:hint="eastAsia"/>
          <w:color w:val="auto"/>
          <w:sz w:val="24"/>
          <w:highlight w:val="none"/>
        </w:rPr>
        <w:t xml:space="preserve">甲方</w:t>
      </w:r>
      <w:r>
        <w:rPr>
          <w:color w:val="auto"/>
          <w:sz w:val="24"/>
          <w:highlight w:val="none"/>
        </w:rPr>
        <w:t xml:space="preserve">抽验</w:t>
      </w:r>
      <w:r>
        <w:rPr>
          <w:rFonts w:hint="eastAsia"/>
          <w:color w:val="auto"/>
          <w:sz w:val="24"/>
          <w:highlight w:val="none"/>
        </w:rPr>
        <w:t xml:space="preserve">及</w:t>
      </w:r>
      <w:r>
        <w:rPr>
          <w:color w:val="auto"/>
          <w:sz w:val="24"/>
          <w:highlight w:val="none"/>
        </w:rPr>
        <w:t xml:space="preserve">终验程序，若验收不合格，由此产生的</w:t>
      </w:r>
      <w:r>
        <w:rPr>
          <w:rFonts w:hint="eastAsia"/>
          <w:color w:val="auto"/>
          <w:sz w:val="24"/>
          <w:highlight w:val="none"/>
        </w:rPr>
        <w:t xml:space="preserve">整改</w:t>
      </w:r>
      <w:r>
        <w:rPr>
          <w:color w:val="auto"/>
          <w:sz w:val="24"/>
          <w:highlight w:val="none"/>
        </w:rPr>
        <w:t xml:space="preserve">费用由乙方负担。</w:t>
      </w:r>
      <w:r/>
    </w:p>
    <w:p>
      <w:pPr>
        <w:ind w:firstLine="480"/>
        <w:spacing w:line="360" w:lineRule="auto"/>
        <w:rPr>
          <w:color w:val="auto"/>
          <w:sz w:val="24"/>
          <w:highlight w:val="none"/>
        </w:rPr>
      </w:pPr>
      <w:r>
        <w:rPr>
          <w:color w:val="auto"/>
          <w:sz w:val="24"/>
          <w:highlight w:val="none"/>
        </w:rPr>
        <w:t xml:space="preserve">（三）乙方应认真按照国家有关的标准、施工验收规范、规程和设计</w:t>
      </w:r>
      <w:r>
        <w:rPr>
          <w:rFonts w:hint="eastAsia"/>
          <w:color w:val="auto"/>
          <w:sz w:val="24"/>
          <w:highlight w:val="none"/>
        </w:rPr>
        <w:t xml:space="preserve">方案</w:t>
      </w:r>
      <w:r>
        <w:rPr>
          <w:color w:val="auto"/>
          <w:sz w:val="24"/>
          <w:highlight w:val="none"/>
        </w:rPr>
        <w:t xml:space="preserve">的要求以及甲方依据合同发出的指令施工，随时接受甲方的检查，为检查检验提供便利条件，并按甲方要求</w:t>
      </w:r>
      <w:r>
        <w:rPr>
          <w:rFonts w:hint="eastAsia"/>
          <w:color w:val="auto"/>
          <w:sz w:val="24"/>
          <w:highlight w:val="none"/>
        </w:rPr>
        <w:t xml:space="preserve">整改</w:t>
      </w:r>
      <w:r>
        <w:rPr>
          <w:color w:val="auto"/>
          <w:sz w:val="24"/>
          <w:highlight w:val="none"/>
        </w:rPr>
        <w:t xml:space="preserve">，承担</w:t>
      </w:r>
      <w:r>
        <w:rPr>
          <w:rFonts w:hint="eastAsia"/>
          <w:color w:val="auto"/>
          <w:sz w:val="24"/>
          <w:highlight w:val="none"/>
        </w:rPr>
        <w:t xml:space="preserve">整改</w:t>
      </w:r>
      <w:r>
        <w:rPr>
          <w:color w:val="auto"/>
          <w:sz w:val="24"/>
          <w:highlight w:val="none"/>
        </w:rPr>
        <w:t xml:space="preserve">费用。</w:t>
      </w:r>
      <w:r/>
    </w:p>
    <w:p>
      <w:pPr>
        <w:ind w:firstLine="480"/>
        <w:spacing w:line="360" w:lineRule="auto"/>
        <w:rPr>
          <w:color w:val="auto"/>
          <w:sz w:val="24"/>
          <w:highlight w:val="none"/>
        </w:rPr>
      </w:pPr>
      <w:r>
        <w:rPr>
          <w:color w:val="auto"/>
          <w:sz w:val="24"/>
          <w:highlight w:val="none"/>
        </w:rPr>
        <w:t xml:space="preserve">（四）本项目的质量监督由甲方按国家和现行的有关建设项目质量监督条例和规定执行。</w:t>
      </w:r>
      <w:r/>
    </w:p>
    <w:p>
      <w:pPr>
        <w:ind w:firstLine="480"/>
        <w:spacing w:line="360" w:lineRule="auto"/>
        <w:rPr>
          <w:color w:val="auto"/>
          <w:sz w:val="24"/>
          <w:highlight w:val="none"/>
        </w:rPr>
      </w:pPr>
      <w:r>
        <w:rPr>
          <w:color w:val="auto"/>
          <w:sz w:val="24"/>
          <w:highlight w:val="none"/>
        </w:rPr>
        <w:t xml:space="preserve">（</w:t>
      </w:r>
      <w:r>
        <w:rPr>
          <w:rFonts w:hint="eastAsia"/>
          <w:color w:val="auto"/>
          <w:sz w:val="24"/>
          <w:highlight w:val="none"/>
        </w:rPr>
        <w:t xml:space="preserve">五</w:t>
      </w:r>
      <w:r>
        <w:rPr>
          <w:color w:val="auto"/>
          <w:sz w:val="24"/>
          <w:highlight w:val="none"/>
        </w:rPr>
        <w:t xml:space="preserve">）验收不合格，甲方</w:t>
      </w:r>
      <w:r>
        <w:rPr>
          <w:rFonts w:hint="eastAsia"/>
          <w:color w:val="auto"/>
          <w:sz w:val="24"/>
          <w:highlight w:val="none"/>
        </w:rPr>
        <w:t xml:space="preserve">每次处以</w:t>
      </w:r>
      <w:r>
        <w:rPr>
          <w:color w:val="auto"/>
          <w:sz w:val="24"/>
          <w:highlight w:val="none"/>
        </w:rPr>
        <w:t xml:space="preserve">乙方20000元的罚款</w:t>
      </w:r>
      <w:r>
        <w:rPr>
          <w:rFonts w:hint="eastAsia"/>
          <w:color w:val="auto"/>
          <w:sz w:val="24"/>
          <w:highlight w:val="none"/>
        </w:rPr>
        <w:t xml:space="preserve">，</w:t>
      </w:r>
      <w:r>
        <w:rPr>
          <w:color w:val="auto"/>
          <w:sz w:val="24"/>
          <w:highlight w:val="none"/>
        </w:rPr>
        <w:t xml:space="preserve">并在下次结算时扣除。</w:t>
      </w:r>
      <w:r/>
    </w:p>
    <w:p>
      <w:pPr>
        <w:ind w:firstLine="480"/>
        <w:spacing w:line="360" w:lineRule="auto"/>
        <w:rPr>
          <w:color w:val="auto"/>
          <w:sz w:val="24"/>
          <w:highlight w:val="none"/>
        </w:rPr>
      </w:pPr>
      <w:r>
        <w:rPr>
          <w:color w:val="auto"/>
          <w:sz w:val="24"/>
          <w:highlight w:val="none"/>
        </w:rPr>
        <w:t xml:space="preserve">（</w:t>
      </w:r>
      <w:r>
        <w:rPr>
          <w:rFonts w:hint="eastAsia"/>
          <w:color w:val="auto"/>
          <w:sz w:val="24"/>
          <w:highlight w:val="none"/>
        </w:rPr>
        <w:t xml:space="preserve">六</w:t>
      </w:r>
      <w:r>
        <w:rPr>
          <w:color w:val="auto"/>
          <w:sz w:val="24"/>
          <w:highlight w:val="none"/>
        </w:rPr>
        <w:t xml:space="preserve">）质量验收及最终验收应遵照国家及招标文件的规定，由甲方组织验收。</w:t>
      </w:r>
      <w:r/>
    </w:p>
    <w:p>
      <w:pPr>
        <w:pStyle w:val="750"/>
        <w:ind w:firstLine="482"/>
        <w:spacing w:before="0" w:after="0" w:line="360" w:lineRule="auto"/>
        <w:rPr>
          <w:color w:val="auto"/>
          <w:highlight w:val="none"/>
        </w:rPr>
      </w:pPr>
      <w:r>
        <w:rPr>
          <w:color w:val="auto"/>
          <w:highlight w:val="none"/>
        </w:rPr>
        <w:t xml:space="preserve">十七、设计变更</w:t>
      </w:r>
      <w:r/>
    </w:p>
    <w:p>
      <w:pPr>
        <w:ind w:firstLine="480"/>
        <w:spacing w:line="360" w:lineRule="auto"/>
        <w:rPr>
          <w:rFonts w:ascii="宋体" w:hAnsi="宋体"/>
          <w:color w:val="auto"/>
          <w:sz w:val="24"/>
          <w:highlight w:val="none"/>
        </w:rPr>
      </w:pPr>
      <w:r/>
      <w:bookmarkStart w:id="96" w:name="_Toc453148728"/>
      <w:r>
        <w:rPr>
          <w:rFonts w:ascii="宋体" w:hAnsi="宋体"/>
          <w:color w:val="auto"/>
          <w:sz w:val="24"/>
          <w:highlight w:val="none"/>
        </w:rPr>
        <w:t xml:space="preserve">（一）变更内容确定</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ascii="宋体" w:hAnsi="宋体"/>
          <w:color w:val="auto"/>
          <w:sz w:val="24"/>
          <w:highlight w:val="none"/>
        </w:rPr>
        <w:t xml:space="preserve">在施工中甲方如需对设计进行变更，应向乙方发出变更通知，乙方必须按通知进行变更。变更内容满足如下要求：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（1）增减合同中约定的项目数量；</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（2）更改有关项目的性质、质量、规格；</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（3）增加项目需要的附加工作；</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（4）改变有关项目的施工</w:t>
      </w:r>
      <w:r>
        <w:rPr>
          <w:rFonts w:hint="eastAsia" w:ascii="宋体" w:hAnsi="宋体"/>
          <w:color w:val="auto"/>
          <w:sz w:val="24"/>
          <w:highlight w:val="none"/>
        </w:rPr>
        <w:t xml:space="preserve">时间</w:t>
      </w:r>
      <w:r>
        <w:rPr>
          <w:rFonts w:ascii="宋体" w:hAnsi="宋体"/>
          <w:color w:val="auto"/>
          <w:sz w:val="24"/>
          <w:highlight w:val="none"/>
        </w:rPr>
        <w:t xml:space="preserve">顺序。</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2、施工中乙方不得对原工程设计进行变更。因乙方擅自变更设计发生的费用和由此导致甲方的直接损失，由乙方承担，工期不予顺延。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乙方在施工中提出的合理化建议</w:t>
      </w:r>
      <w:r>
        <w:rPr>
          <w:rFonts w:hint="eastAsia" w:ascii="宋体" w:hAnsi="宋体"/>
          <w:color w:val="auto"/>
          <w:sz w:val="24"/>
          <w:highlight w:val="none"/>
        </w:rPr>
        <w:t xml:space="preserve">涉及</w:t>
      </w:r>
      <w:r>
        <w:rPr>
          <w:rFonts w:ascii="宋体" w:hAnsi="宋体"/>
          <w:color w:val="auto"/>
          <w:sz w:val="24"/>
          <w:highlight w:val="none"/>
        </w:rPr>
        <w:t xml:space="preserve">对设计图纸或施工组织设计的更改及对材料、设备的换用，须经甲方同意。未经同意擅自更改或换用时，乙方承担由此发生的费用，并赔偿甲方的有关损失，工期不予顺延。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3、其他变更</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合同履行中甲方要求变更工程质量标准及发生其他实质性变更，由双方协商解决。</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（二）变更价款确定</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乙方在工程变更确定后15日内，提出变更工程价款的报告，</w:t>
      </w:r>
      <w:r>
        <w:rPr>
          <w:rFonts w:hint="eastAsia" w:ascii="宋体" w:hAnsi="宋体"/>
          <w:color w:val="auto"/>
          <w:sz w:val="24"/>
          <w:highlight w:val="none"/>
        </w:rPr>
        <w:t xml:space="preserve">经审价机构审核及</w:t>
      </w:r>
      <w:r>
        <w:rPr>
          <w:rFonts w:ascii="宋体" w:hAnsi="宋体"/>
          <w:color w:val="auto"/>
          <w:sz w:val="24"/>
          <w:highlight w:val="none"/>
        </w:rPr>
        <w:t xml:space="preserve">甲方</w:t>
      </w:r>
      <w:r>
        <w:rPr>
          <w:rFonts w:hint="eastAsia" w:ascii="宋体" w:hAnsi="宋体"/>
          <w:color w:val="auto"/>
          <w:sz w:val="24"/>
          <w:highlight w:val="none"/>
        </w:rPr>
        <w:t xml:space="preserve">、乙方</w:t>
      </w:r>
      <w:r>
        <w:rPr>
          <w:rFonts w:ascii="宋体" w:hAnsi="宋体"/>
          <w:color w:val="auto"/>
          <w:sz w:val="24"/>
          <w:highlight w:val="none"/>
        </w:rPr>
        <w:t xml:space="preserve">确认后</w:t>
      </w:r>
      <w:r>
        <w:rPr>
          <w:rFonts w:hint="eastAsia" w:ascii="宋体" w:hAnsi="宋体"/>
          <w:color w:val="auto"/>
          <w:sz w:val="24"/>
          <w:highlight w:val="none"/>
        </w:rPr>
        <w:t xml:space="preserve">相应</w:t>
      </w:r>
      <w:r>
        <w:rPr>
          <w:rFonts w:ascii="宋体" w:hAnsi="宋体"/>
          <w:color w:val="auto"/>
          <w:sz w:val="24"/>
          <w:highlight w:val="none"/>
        </w:rPr>
        <w:t xml:space="preserve">调整合同价款。变更合同价款按下列方法进行：</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ascii="宋体" w:hAnsi="宋体"/>
          <w:color w:val="auto"/>
          <w:sz w:val="24"/>
          <w:highlight w:val="none"/>
        </w:rPr>
        <w:t xml:space="preserve">合同中已有适用于变更工程的价格，按合同已有的价格变更合同价款，并按报价时的优惠幅度调整；</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2、合同中只有</w:t>
      </w:r>
      <w:r>
        <w:rPr>
          <w:rFonts w:hint="eastAsia" w:ascii="宋体" w:hAnsi="宋体"/>
          <w:color w:val="auto"/>
          <w:sz w:val="24"/>
          <w:highlight w:val="none"/>
        </w:rPr>
        <w:t xml:space="preserve">类似</w:t>
      </w:r>
      <w:r>
        <w:rPr>
          <w:rFonts w:ascii="宋体" w:hAnsi="宋体"/>
          <w:color w:val="auto"/>
          <w:sz w:val="24"/>
          <w:highlight w:val="none"/>
        </w:rPr>
        <w:t xml:space="preserve">变更工程的价格，可参照类似价格变更合同价款，并按报价时的优惠幅度调整；</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3、合同中没有适用或类似</w:t>
      </w:r>
      <w:r>
        <w:rPr>
          <w:rFonts w:hint="eastAsia" w:ascii="宋体" w:hAnsi="宋体"/>
          <w:color w:val="auto"/>
          <w:sz w:val="24"/>
          <w:highlight w:val="none"/>
        </w:rPr>
        <w:t xml:space="preserve">的</w:t>
      </w:r>
      <w:r>
        <w:rPr>
          <w:rFonts w:ascii="宋体" w:hAnsi="宋体"/>
          <w:color w:val="auto"/>
          <w:sz w:val="24"/>
          <w:highlight w:val="none"/>
        </w:rPr>
        <w:t xml:space="preserve">变更工程的价格，由乙方根据当地同期价格信息提出适当的变更价格，并按报价时的优惠幅度进行调整</w:t>
      </w:r>
      <w:r>
        <w:rPr>
          <w:rFonts w:hint="eastAsia" w:ascii="宋体" w:hAnsi="宋体"/>
          <w:color w:val="auto"/>
          <w:sz w:val="24"/>
          <w:highlight w:val="none"/>
        </w:rPr>
        <w:t xml:space="preserve">。</w:t>
      </w:r>
      <w:r/>
    </w:p>
    <w:p>
      <w:pPr>
        <w:pStyle w:val="795"/>
        <w:ind w:firstLine="480"/>
        <w:spacing w:line="360" w:lineRule="auto"/>
        <w:rPr>
          <w:rFonts w:hAnsi="宋体"/>
          <w:color w:val="auto"/>
          <w:sz w:val="24"/>
          <w:szCs w:val="24"/>
          <w:highlight w:val="none"/>
        </w:rPr>
      </w:pPr>
      <w:r>
        <w:rPr>
          <w:rFonts w:hint="eastAsia" w:hAnsi="宋体"/>
          <w:color w:val="auto"/>
          <w:sz w:val="24"/>
          <w:szCs w:val="24"/>
          <w:highlight w:val="none"/>
        </w:rPr>
        <w:t xml:space="preserve">4、招标暂估价对应建设内容根据实际建设情况以审价机构审定价予以结算。</w:t>
      </w:r>
      <w:r/>
    </w:p>
    <w:p>
      <w:pPr>
        <w:pStyle w:val="795"/>
        <w:ind w:firstLine="480"/>
        <w:spacing w:line="360" w:lineRule="auto"/>
        <w:rPr>
          <w:rFonts w:hAnsi="宋体"/>
          <w:color w:val="auto"/>
          <w:sz w:val="24"/>
          <w:szCs w:val="24"/>
          <w:highlight w:val="none"/>
        </w:rPr>
      </w:pPr>
      <w:r>
        <w:rPr>
          <w:rFonts w:hint="eastAsia" w:hAnsi="宋体"/>
          <w:color w:val="auto"/>
          <w:sz w:val="24"/>
          <w:szCs w:val="24"/>
          <w:highlight w:val="none"/>
        </w:rPr>
        <w:t xml:space="preserve">5、</w:t>
      </w:r>
      <w:r>
        <w:rPr>
          <w:rFonts w:hAnsi="宋体"/>
          <w:color w:val="auto"/>
          <w:sz w:val="24"/>
          <w:szCs w:val="24"/>
          <w:highlight w:val="none"/>
        </w:rPr>
        <w:t xml:space="preserve">变更工程量按实结算。</w:t>
      </w:r>
      <w:r/>
    </w:p>
    <w:p>
      <w:pPr>
        <w:pStyle w:val="750"/>
        <w:ind w:firstLine="482"/>
        <w:spacing w:before="0" w:after="0" w:line="360" w:lineRule="auto"/>
        <w:rPr>
          <w:color w:val="auto"/>
          <w:highlight w:val="none"/>
        </w:rPr>
      </w:pPr>
      <w:r>
        <w:rPr>
          <w:color w:val="auto"/>
          <w:highlight w:val="none"/>
        </w:rPr>
        <w:t xml:space="preserve">十八、文档资料</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（一）乙方项目部应</w:t>
      </w:r>
      <w:r>
        <w:rPr>
          <w:rFonts w:hint="eastAsia" w:ascii="宋体" w:hAnsi="宋体"/>
          <w:color w:val="auto"/>
          <w:sz w:val="24"/>
          <w:highlight w:val="none"/>
        </w:rPr>
        <w:t xml:space="preserve">配备</w:t>
      </w:r>
      <w:r>
        <w:rPr>
          <w:rFonts w:ascii="宋体" w:hAnsi="宋体"/>
          <w:color w:val="auto"/>
          <w:sz w:val="24"/>
          <w:highlight w:val="none"/>
        </w:rPr>
        <w:t xml:space="preserve">资料员。乙方的资料，应符合工程项目要求。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（二）项目完工前，乙方应向甲方提交的资料至少包括：施工组织设计、施工方案、</w:t>
      </w:r>
      <w:r>
        <w:rPr>
          <w:rFonts w:hint="eastAsia" w:ascii="宋体" w:hAnsi="宋体"/>
          <w:color w:val="auto"/>
          <w:sz w:val="24"/>
          <w:highlight w:val="none"/>
        </w:rPr>
        <w:t xml:space="preserve">软件设计报告、</w:t>
      </w:r>
      <w:r>
        <w:rPr>
          <w:rFonts w:ascii="宋体" w:hAnsi="宋体"/>
          <w:color w:val="auto"/>
          <w:sz w:val="24"/>
          <w:highlight w:val="none"/>
        </w:rPr>
        <w:t xml:space="preserve">进度计划、项目部人员报审、设备材料进场报审（含开箱）、已安装设备设施一览表、随机资料台账、设备账户密码台账、设备保修资料、各类测试报告、设备安装调试报告、</w:t>
      </w:r>
      <w:r>
        <w:rPr>
          <w:rFonts w:hint="eastAsia" w:ascii="宋体" w:hAnsi="宋体"/>
          <w:color w:val="auto"/>
          <w:sz w:val="24"/>
          <w:highlight w:val="none"/>
        </w:rPr>
        <w:t xml:space="preserve">用户手册</w:t>
      </w:r>
      <w:r>
        <w:rPr>
          <w:rFonts w:ascii="宋体" w:hAnsi="宋体"/>
          <w:color w:val="auto"/>
          <w:sz w:val="24"/>
          <w:highlight w:val="none"/>
        </w:rPr>
        <w:t xml:space="preserve">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（三）乙方应向甲方提交准确、清楚、完整的文档资料，满足系统安装、调试、运行、维护的需要，并与移交时的系统一致。</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（四）提交的文档应包括（不限于）供施工用的图纸和资料、设备资料</w:t>
      </w:r>
      <w:r>
        <w:rPr>
          <w:rFonts w:hint="eastAsia" w:ascii="宋体" w:hAnsi="宋体"/>
          <w:color w:val="auto"/>
          <w:sz w:val="24"/>
          <w:highlight w:val="none"/>
        </w:rPr>
        <w:t xml:space="preserve">以及其他</w:t>
      </w:r>
      <w:r>
        <w:rPr>
          <w:rFonts w:ascii="宋体" w:hAnsi="宋体"/>
          <w:color w:val="auto"/>
          <w:sz w:val="24"/>
          <w:highlight w:val="none"/>
        </w:rPr>
        <w:t xml:space="preserve">说明书等。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）提</w:t>
      </w:r>
      <w:r>
        <w:rPr>
          <w:rFonts w:ascii="宋体" w:hAnsi="宋体"/>
          <w:color w:val="auto"/>
          <w:sz w:val="24"/>
          <w:highlight w:val="none"/>
        </w:rPr>
        <w:t xml:space="preserve">供施工用的图纸和资料。主要包括装置外形图、接线图等。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2）设备资料。主要包括为本系统而购置的设备维护使用说明书、合格证，本系统的技术特性、维护使用说明书以及系统的内部接线图等。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其他</w:t>
      </w:r>
      <w:r>
        <w:rPr>
          <w:rFonts w:ascii="宋体" w:hAnsi="宋体"/>
          <w:color w:val="auto"/>
          <w:sz w:val="24"/>
          <w:highlight w:val="none"/>
        </w:rPr>
        <w:t xml:space="preserve">说明书。主要包括在设备到场时提供的每</w:t>
      </w:r>
      <w:r>
        <w:rPr>
          <w:rFonts w:hint="eastAsia" w:ascii="宋体" w:hAnsi="宋体"/>
          <w:color w:val="auto"/>
          <w:sz w:val="24"/>
          <w:highlight w:val="none"/>
        </w:rPr>
        <w:t xml:space="preserve">台</w:t>
      </w:r>
      <w:r>
        <w:rPr>
          <w:rFonts w:ascii="宋体" w:hAnsi="宋体"/>
          <w:color w:val="auto"/>
          <w:sz w:val="24"/>
          <w:highlight w:val="none"/>
        </w:rPr>
        <w:t xml:space="preserve">设备详细的使用、维护说明以及在现场验收之前提供的系统的使用维护说明书等。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4）提供的所有文档资料如为英文版本，需提供相应的中文翻译版本。</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5）项目完工验收前，乙方应按站点，向甲方提交站点竣工图，竣工图绘制应符合档案验收规定，并与实物一致。竣工图同时提交电子版。</w:t>
      </w:r>
      <w:r/>
    </w:p>
    <w:p>
      <w:pPr>
        <w:pStyle w:val="750"/>
        <w:ind w:firstLine="482"/>
        <w:spacing w:before="0" w:after="0" w:line="360" w:lineRule="auto"/>
        <w:rPr>
          <w:color w:val="auto"/>
          <w:highlight w:val="none"/>
        </w:rPr>
      </w:pPr>
      <w:r>
        <w:rPr>
          <w:color w:val="auto"/>
          <w:highlight w:val="none"/>
        </w:rPr>
        <w:t xml:space="preserve">十九、技术培训</w:t>
      </w:r>
      <w:r/>
    </w:p>
    <w:p>
      <w:pPr>
        <w:pStyle w:val="797"/>
        <w:ind w:firstLine="480"/>
        <w:jc w:val="both"/>
        <w:spacing w:line="360" w:lineRule="auto"/>
        <w:rPr>
          <w:color w:val="auto"/>
          <w:highlight w:val="none"/>
        </w:rPr>
      </w:pPr>
      <w:r>
        <w:rPr>
          <w:color w:val="auto"/>
          <w:highlight w:val="none"/>
        </w:rPr>
        <w:t xml:space="preserve">（一）乙方应根据甲方的要求及乙方认为应予补充的内容制订一个详细的培训计划，并于培训开始前十五（15）天交给甲方征求意见，以确保培训工作的顺利进行，达到预期的目的。</w:t>
      </w:r>
      <w:r/>
    </w:p>
    <w:p>
      <w:pPr>
        <w:ind w:firstLine="480"/>
        <w:spacing w:line="360" w:lineRule="auto"/>
        <w:rPr>
          <w:color w:val="auto"/>
          <w:sz w:val="24"/>
          <w:highlight w:val="none"/>
        </w:rPr>
      </w:pPr>
      <w:r>
        <w:rPr>
          <w:color w:val="auto"/>
          <w:sz w:val="24"/>
          <w:highlight w:val="none"/>
        </w:rPr>
        <w:t xml:space="preserve">（二）培训期间，乙方应向甲方技术人员免费提供有关的仪器仪表、技术资料、</w:t>
      </w:r>
      <w:r>
        <w:rPr>
          <w:rFonts w:hint="eastAsia"/>
          <w:color w:val="auto"/>
          <w:sz w:val="24"/>
          <w:highlight w:val="none"/>
        </w:rPr>
        <w:t xml:space="preserve">其他</w:t>
      </w:r>
      <w:r>
        <w:rPr>
          <w:color w:val="auto"/>
          <w:sz w:val="24"/>
          <w:highlight w:val="none"/>
        </w:rPr>
        <w:t xml:space="preserve">必需品以及适当的办公室。相关的培训费、资料费以及甲方人员从到达至离开培训地点期间的旅行、食宿和当地交通等费用已计入投标总价中。</w:t>
      </w:r>
      <w:r/>
    </w:p>
    <w:p>
      <w:pPr>
        <w:pStyle w:val="750"/>
        <w:ind w:firstLine="482"/>
        <w:spacing w:before="0" w:after="0" w:line="360" w:lineRule="auto"/>
        <w:rPr>
          <w:color w:val="auto"/>
          <w:highlight w:val="none"/>
        </w:rPr>
      </w:pPr>
      <w:r>
        <w:rPr>
          <w:color w:val="auto"/>
          <w:highlight w:val="none"/>
        </w:rPr>
        <w:t xml:space="preserve">二十、</w:t>
      </w:r>
      <w:bookmarkEnd w:id="96"/>
      <w:r>
        <w:rPr>
          <w:color w:val="auto"/>
          <w:highlight w:val="none"/>
        </w:rPr>
        <w:t xml:space="preserve">检验与验收</w:t>
      </w:r>
      <w:r/>
    </w:p>
    <w:p>
      <w:pPr>
        <w:pStyle w:val="797"/>
        <w:ind w:firstLine="480"/>
        <w:jc w:val="both"/>
        <w:spacing w:line="360" w:lineRule="auto"/>
        <w:rPr>
          <w:rFonts w:ascii="宋体" w:hAnsi="宋体"/>
          <w:color w:val="auto"/>
          <w:highlight w:val="none"/>
        </w:rPr>
      </w:pPr>
      <w:r/>
      <w:bookmarkStart w:id="97" w:name="_Toc453148730"/>
      <w:r>
        <w:rPr>
          <w:rFonts w:ascii="宋体" w:hAnsi="宋体"/>
          <w:color w:val="auto"/>
          <w:highlight w:val="none"/>
        </w:rPr>
        <w:t xml:space="preserve">检验与验收分为</w:t>
      </w:r>
      <w:r>
        <w:rPr>
          <w:rFonts w:hint="eastAsia" w:ascii="宋体" w:hAnsi="宋体"/>
          <w:color w:val="auto"/>
          <w:highlight w:val="none"/>
        </w:rPr>
        <w:t xml:space="preserve">采购管理</w:t>
      </w:r>
      <w:r>
        <w:rPr>
          <w:rFonts w:ascii="宋体" w:hAnsi="宋体"/>
          <w:color w:val="auto"/>
          <w:highlight w:val="none"/>
        </w:rPr>
        <w:t xml:space="preserve">、出厂检验、开箱检验、安装调试检验、合同工程完工验收。</w:t>
      </w:r>
      <w:r/>
    </w:p>
    <w:p>
      <w:pPr>
        <w:pStyle w:val="797"/>
        <w:ind w:firstLine="480"/>
        <w:spacing w:line="360" w:lineRule="auto"/>
        <w:rPr>
          <w:rFonts w:ascii="宋体" w:hAnsi="宋体"/>
          <w:color w:val="auto"/>
          <w:highlight w:val="none"/>
        </w:rPr>
      </w:pPr>
      <w:r>
        <w:rPr>
          <w:rFonts w:hint="eastAsia" w:ascii="宋体" w:hAnsi="宋体"/>
          <w:color w:val="auto"/>
          <w:highlight w:val="none"/>
        </w:rPr>
        <w:t xml:space="preserve">（一）采购管理</w:t>
      </w:r>
      <w:r/>
    </w:p>
    <w:p>
      <w:pPr>
        <w:pStyle w:val="797"/>
        <w:ind w:firstLine="480"/>
        <w:spacing w:line="360" w:lineRule="auto"/>
        <w:rPr>
          <w:rFonts w:ascii="宋体" w:hAnsi="宋体"/>
          <w:color w:val="auto"/>
          <w:highlight w:val="none"/>
        </w:rPr>
      </w:pPr>
      <w:r>
        <w:rPr>
          <w:rFonts w:hint="eastAsia" w:ascii="宋体" w:hAnsi="宋体"/>
          <w:color w:val="auto"/>
          <w:highlight w:val="none"/>
        </w:rPr>
        <w:t xml:space="preserve">设备清单已明确品牌、型号（含配置型号）的，在设备采购前将采购清单提交甲方复核。乙方不得擅自变更已经确认的设备品牌、型号、规格等。</w:t>
      </w:r>
      <w:r/>
    </w:p>
    <w:p>
      <w:pPr>
        <w:pStyle w:val="797"/>
        <w:ind w:firstLine="480"/>
        <w:jc w:val="both"/>
        <w:spacing w:line="360" w:lineRule="auto"/>
        <w:rPr>
          <w:rFonts w:ascii="宋体" w:hAnsi="宋体"/>
          <w:color w:val="auto"/>
          <w:highlight w:val="none"/>
        </w:rPr>
      </w:pPr>
      <w:r>
        <w:rPr>
          <w:rFonts w:hint="eastAsia" w:ascii="宋体" w:hAnsi="宋体"/>
          <w:color w:val="auto"/>
          <w:highlight w:val="none"/>
        </w:rPr>
        <w:t xml:space="preserve">因不可控因素导致的设备品牌、型号、规格等变更，乙方应提供至少2套替换方案，并提供生产厂家或代理经销商报价，经甲方同意后，方可采购变更。</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二</w:t>
      </w:r>
      <w:r>
        <w:rPr>
          <w:rFonts w:ascii="宋体" w:hAnsi="宋体"/>
          <w:color w:val="auto"/>
          <w:highlight w:val="none"/>
        </w:rPr>
        <w:t xml:space="preserve">）出厂检验 </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所有设备均需提供原供货厂家开具的出厂检验报告或检验合格证。 </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三</w:t>
      </w:r>
      <w:r>
        <w:rPr>
          <w:rFonts w:ascii="宋体" w:hAnsi="宋体"/>
          <w:color w:val="auto"/>
          <w:highlight w:val="none"/>
        </w:rPr>
        <w:t xml:space="preserve">）开箱检验 </w:t>
      </w:r>
      <w:r/>
    </w:p>
    <w:p>
      <w:pPr>
        <w:pStyle w:val="797"/>
        <w:ind w:firstLine="480"/>
        <w:jc w:val="both"/>
        <w:spacing w:line="360" w:lineRule="auto"/>
        <w:rPr>
          <w:rFonts w:ascii="宋体" w:hAnsi="宋体"/>
          <w:color w:val="auto"/>
          <w:highlight w:val="none"/>
        </w:rPr>
      </w:pPr>
      <w:r>
        <w:rPr>
          <w:rFonts w:hint="eastAsia" w:ascii="宋体" w:hAnsi="宋体"/>
          <w:color w:val="auto"/>
          <w:highlight w:val="none"/>
          <w:lang w:eastAsia="zh-CN"/>
        </w:rPr>
        <w:t xml:space="preserve">1.</w:t>
      </w:r>
      <w:r>
        <w:rPr>
          <w:rFonts w:ascii="宋体" w:hAnsi="宋体"/>
          <w:color w:val="auto"/>
          <w:highlight w:val="none"/>
        </w:rPr>
        <w:t xml:space="preserve">设备到货后3</w:t>
      </w:r>
      <w:r>
        <w:rPr>
          <w:rFonts w:hint="eastAsia" w:ascii="宋体" w:hAnsi="宋体"/>
          <w:color w:val="auto"/>
          <w:highlight w:val="none"/>
        </w:rPr>
        <w:t xml:space="preserve">日内</w:t>
      </w:r>
      <w:r>
        <w:rPr>
          <w:rFonts w:ascii="宋体" w:hAnsi="宋体"/>
          <w:color w:val="auto"/>
          <w:highlight w:val="none"/>
        </w:rPr>
        <w:t xml:space="preserve">，</w:t>
      </w:r>
      <w:r>
        <w:rPr>
          <w:rFonts w:hint="eastAsia" w:ascii="宋体" w:hAnsi="宋体"/>
          <w:color w:val="auto"/>
          <w:highlight w:val="none"/>
        </w:rPr>
        <w:t xml:space="preserve">乙方提出开箱检验申请，甲方组织</w:t>
      </w:r>
      <w:r>
        <w:rPr>
          <w:rFonts w:ascii="宋体" w:hAnsi="宋体"/>
          <w:color w:val="auto"/>
          <w:highlight w:val="none"/>
        </w:rPr>
        <w:t xml:space="preserve">进行开箱检验，</w:t>
      </w:r>
      <w:r>
        <w:rPr>
          <w:rFonts w:hint="eastAsia" w:ascii="宋体" w:hAnsi="宋体"/>
          <w:color w:val="auto"/>
          <w:highlight w:val="none"/>
        </w:rPr>
        <w:t xml:space="preserve">形成开箱检验记录。</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2、在检验中发现</w:t>
      </w:r>
      <w:r>
        <w:rPr>
          <w:rFonts w:hint="eastAsia" w:ascii="宋体" w:hAnsi="宋体"/>
          <w:color w:val="auto"/>
          <w:highlight w:val="none"/>
        </w:rPr>
        <w:t xml:space="preserve">不合格设备</w:t>
      </w:r>
      <w:r>
        <w:rPr>
          <w:rFonts w:ascii="宋体" w:hAnsi="宋体"/>
          <w:color w:val="auto"/>
          <w:highlight w:val="none"/>
        </w:rPr>
        <w:t xml:space="preserve">，乙方应</w:t>
      </w:r>
      <w:r>
        <w:rPr>
          <w:rFonts w:hint="eastAsia" w:ascii="宋体" w:hAnsi="宋体"/>
          <w:color w:val="auto"/>
          <w:highlight w:val="none"/>
        </w:rPr>
        <w:t xml:space="preserve">按甲方要求无偿更换，并承担相应费用</w:t>
      </w:r>
      <w:r>
        <w:rPr>
          <w:rFonts w:ascii="宋体" w:hAnsi="宋体"/>
          <w:color w:val="auto"/>
          <w:highlight w:val="none"/>
        </w:rPr>
        <w:t xml:space="preserve">。</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3、开箱检验合格的设备，由乙方、甲方</w:t>
      </w:r>
      <w:r>
        <w:rPr>
          <w:rFonts w:hint="eastAsia" w:ascii="宋体" w:hAnsi="宋体"/>
          <w:color w:val="auto"/>
          <w:highlight w:val="none"/>
        </w:rPr>
        <w:t xml:space="preserve">代表</w:t>
      </w:r>
      <w:r>
        <w:rPr>
          <w:rFonts w:ascii="宋体" w:hAnsi="宋体"/>
          <w:color w:val="auto"/>
          <w:highlight w:val="none"/>
        </w:rPr>
        <w:t xml:space="preserve">共同在设备检验合格表上签字，同时，乙方须将设备供货商提供的设备相关文档资料、</w:t>
      </w:r>
      <w:r>
        <w:rPr>
          <w:rFonts w:hint="eastAsia" w:ascii="宋体" w:hAnsi="宋体"/>
          <w:color w:val="auto"/>
          <w:highlight w:val="none"/>
        </w:rPr>
        <w:t xml:space="preserve">合格证、产品说明书、检定报告、</w:t>
      </w:r>
      <w:r>
        <w:rPr>
          <w:rFonts w:ascii="宋体" w:hAnsi="宋体"/>
          <w:color w:val="auto"/>
          <w:highlight w:val="none"/>
        </w:rPr>
        <w:t xml:space="preserve">质量保证书</w:t>
      </w:r>
      <w:r>
        <w:rPr>
          <w:rFonts w:hint="eastAsia" w:ascii="宋体" w:hAnsi="宋体"/>
          <w:color w:val="auto"/>
          <w:highlight w:val="none"/>
        </w:rPr>
        <w:t xml:space="preserve">、</w:t>
      </w:r>
      <w:r>
        <w:rPr>
          <w:rFonts w:ascii="宋体" w:hAnsi="宋体"/>
          <w:color w:val="auto"/>
          <w:highlight w:val="none"/>
        </w:rPr>
        <w:t xml:space="preserve">保修手续凭证</w:t>
      </w:r>
      <w:r>
        <w:rPr>
          <w:rFonts w:hint="eastAsia" w:ascii="宋体" w:hAnsi="宋体"/>
          <w:color w:val="auto"/>
          <w:highlight w:val="none"/>
        </w:rPr>
        <w:t xml:space="preserve">等随机资料及随机光盘、随机配件备品等</w:t>
      </w:r>
      <w:r>
        <w:rPr>
          <w:rFonts w:ascii="宋体" w:hAnsi="宋体"/>
          <w:color w:val="auto"/>
          <w:highlight w:val="none"/>
        </w:rPr>
        <w:t xml:space="preserve">全部移交给甲方。 </w:t>
      </w:r>
      <w:r/>
    </w:p>
    <w:p>
      <w:pPr>
        <w:pStyle w:val="797"/>
        <w:ind w:firstLine="480"/>
        <w:jc w:val="both"/>
        <w:spacing w:line="360" w:lineRule="auto"/>
        <w:rPr>
          <w:rFonts w:ascii="宋体" w:hAnsi="宋体"/>
          <w:color w:val="auto"/>
          <w:highlight w:val="none"/>
        </w:rPr>
      </w:pPr>
      <w:r>
        <w:rPr>
          <w:rFonts w:hint="eastAsia" w:ascii="宋体" w:hAnsi="宋体"/>
          <w:color w:val="auto"/>
          <w:highlight w:val="none"/>
        </w:rPr>
        <w:t xml:space="preserve">（四）配套建安工程阶段验收</w:t>
      </w:r>
      <w:r/>
    </w:p>
    <w:p>
      <w:pPr>
        <w:pStyle w:val="797"/>
        <w:ind w:firstLine="480"/>
        <w:jc w:val="both"/>
        <w:spacing w:line="360" w:lineRule="auto"/>
        <w:rPr>
          <w:rFonts w:ascii="宋体" w:hAnsi="宋体"/>
          <w:color w:val="auto"/>
          <w:highlight w:val="none"/>
        </w:rPr>
      </w:pPr>
      <w:r>
        <w:rPr>
          <w:rFonts w:hint="eastAsia" w:ascii="宋体" w:hAnsi="宋体"/>
          <w:color w:val="auto"/>
          <w:highlight w:val="none"/>
        </w:rPr>
        <w:t xml:space="preserve">由甲方组织对完工的配套建安工程进行阶段验收，验收合格后方可进入安装调试阶段。</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五</w:t>
      </w:r>
      <w:r>
        <w:rPr>
          <w:rFonts w:ascii="宋体" w:hAnsi="宋体"/>
          <w:color w:val="auto"/>
          <w:highlight w:val="none"/>
        </w:rPr>
        <w:t xml:space="preserve">）安装调试检验</w:t>
      </w:r>
      <w:r/>
    </w:p>
    <w:p>
      <w:pPr>
        <w:pStyle w:val="797"/>
        <w:ind w:firstLine="480"/>
        <w:jc w:val="both"/>
        <w:spacing w:line="360" w:lineRule="auto"/>
        <w:rPr>
          <w:rFonts w:ascii="宋体" w:hAnsi="宋体"/>
          <w:color w:val="auto"/>
          <w:highlight w:val="none"/>
        </w:rPr>
      </w:pPr>
      <w:r>
        <w:rPr>
          <w:rFonts w:hint="eastAsia" w:ascii="宋体" w:hAnsi="宋体"/>
          <w:color w:val="auto"/>
          <w:highlight w:val="none"/>
          <w:lang w:eastAsia="zh-CN"/>
        </w:rPr>
        <w:t xml:space="preserve">1.</w:t>
      </w:r>
      <w:r>
        <w:rPr>
          <w:rFonts w:ascii="宋体" w:hAnsi="宋体"/>
          <w:color w:val="auto"/>
          <w:highlight w:val="none"/>
        </w:rPr>
        <w:t xml:space="preserve">安装调试检验由乙方负责，除证明已满足规范和设计要求外，还要提供相应的文件和资料，甲方派人参加。</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2、网络设备的账户设置按照一定规则，同时账户和密码建立台账，及时移交甲方。</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3、乙方应对安装设备进行标识。综合布线的电、光缆线按照规范套管标识。并在机柜悬挂走线图。</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4、安装调试检验时发现问题，在征得</w:t>
      </w:r>
      <w:r>
        <w:rPr>
          <w:rFonts w:hint="eastAsia" w:ascii="宋体" w:hAnsi="宋体"/>
          <w:color w:val="auto"/>
          <w:highlight w:val="none"/>
        </w:rPr>
        <w:t xml:space="preserve">甲方</w:t>
      </w:r>
      <w:r>
        <w:rPr>
          <w:rFonts w:ascii="宋体" w:hAnsi="宋体"/>
          <w:color w:val="auto"/>
          <w:highlight w:val="none"/>
        </w:rPr>
        <w:t xml:space="preserve">同意后应及时处理，处理后应补充检验。</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5、整个系统联调完成后，应由甲方参加，并按照甲方确认的测试方案进行检验，记录检验结果。</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六</w:t>
      </w:r>
      <w:r>
        <w:rPr>
          <w:rFonts w:ascii="宋体" w:hAnsi="宋体"/>
          <w:color w:val="auto"/>
          <w:highlight w:val="none"/>
        </w:rPr>
        <w:t xml:space="preserve">）合同工程完工验收</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合同所规定的内容全部完成</w:t>
      </w:r>
      <w:r>
        <w:rPr>
          <w:rFonts w:hint="eastAsia" w:ascii="宋体" w:hAnsi="宋体"/>
          <w:color w:val="auto"/>
          <w:highlight w:val="none"/>
        </w:rPr>
        <w:t xml:space="preserve">且安装调试</w:t>
      </w:r>
      <w:r>
        <w:rPr>
          <w:rFonts w:ascii="宋体" w:hAnsi="宋体"/>
          <w:color w:val="auto"/>
          <w:highlight w:val="none"/>
        </w:rPr>
        <w:t xml:space="preserve">检验合格，质量符合要求</w:t>
      </w:r>
      <w:r>
        <w:rPr>
          <w:rFonts w:hint="eastAsia" w:ascii="宋体" w:hAnsi="宋体"/>
          <w:color w:val="auto"/>
          <w:highlight w:val="none"/>
        </w:rPr>
        <w:t xml:space="preserve">，经</w:t>
      </w:r>
      <w:r>
        <w:rPr>
          <w:rFonts w:ascii="宋体" w:hAnsi="宋体"/>
          <w:color w:val="auto"/>
          <w:highlight w:val="none"/>
        </w:rPr>
        <w:t xml:space="preserve">乙方申请，</w:t>
      </w:r>
      <w:r>
        <w:rPr>
          <w:rFonts w:hint="eastAsia" w:ascii="宋体" w:hAnsi="宋体"/>
          <w:color w:val="auto"/>
          <w:highlight w:val="none"/>
        </w:rPr>
        <w:t xml:space="preserve">甲方</w:t>
      </w:r>
      <w:r>
        <w:rPr>
          <w:rFonts w:ascii="宋体" w:hAnsi="宋体"/>
          <w:color w:val="auto"/>
          <w:highlight w:val="none"/>
        </w:rPr>
        <w:t xml:space="preserve">同意后，才能进行合同</w:t>
      </w:r>
      <w:r>
        <w:rPr>
          <w:rFonts w:hint="eastAsia" w:ascii="宋体" w:hAnsi="宋体"/>
          <w:color w:val="auto"/>
          <w:highlight w:val="none"/>
        </w:rPr>
        <w:t xml:space="preserve">工程完工</w:t>
      </w:r>
      <w:r>
        <w:rPr>
          <w:rFonts w:ascii="宋体" w:hAnsi="宋体"/>
          <w:color w:val="auto"/>
          <w:highlight w:val="none"/>
        </w:rPr>
        <w:t xml:space="preserve">验收。合同</w:t>
      </w:r>
      <w:r>
        <w:rPr>
          <w:rFonts w:hint="eastAsia" w:ascii="宋体" w:hAnsi="宋体"/>
          <w:color w:val="auto"/>
          <w:highlight w:val="none"/>
        </w:rPr>
        <w:t xml:space="preserve">工程完工</w:t>
      </w:r>
      <w:r>
        <w:rPr>
          <w:rFonts w:ascii="宋体" w:hAnsi="宋体"/>
          <w:color w:val="auto"/>
          <w:highlight w:val="none"/>
        </w:rPr>
        <w:t xml:space="preserve">验收由甲方主持，组织有关</w:t>
      </w:r>
      <w:r>
        <w:rPr>
          <w:rFonts w:hint="eastAsia" w:ascii="宋体" w:hAnsi="宋体"/>
          <w:color w:val="auto"/>
          <w:highlight w:val="none"/>
        </w:rPr>
        <w:t xml:space="preserve">参建</w:t>
      </w:r>
      <w:r>
        <w:rPr>
          <w:rFonts w:ascii="宋体" w:hAnsi="宋体"/>
          <w:color w:val="auto"/>
          <w:highlight w:val="none"/>
        </w:rPr>
        <w:t xml:space="preserve">单位人员参加</w:t>
      </w:r>
      <w:r>
        <w:rPr>
          <w:rFonts w:hint="eastAsia" w:ascii="宋体" w:hAnsi="宋体"/>
          <w:color w:val="auto"/>
          <w:highlight w:val="none"/>
        </w:rPr>
        <w:t xml:space="preserve">，</w:t>
      </w:r>
      <w:r>
        <w:rPr>
          <w:rFonts w:ascii="宋体" w:hAnsi="宋体"/>
          <w:color w:val="auto"/>
          <w:highlight w:val="none"/>
        </w:rPr>
        <w:t xml:space="preserve">进行验收。 </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合同</w:t>
      </w:r>
      <w:r>
        <w:rPr>
          <w:rFonts w:hint="eastAsia" w:ascii="宋体" w:hAnsi="宋体"/>
          <w:color w:val="auto"/>
          <w:highlight w:val="none"/>
        </w:rPr>
        <w:t xml:space="preserve">工程完工</w:t>
      </w:r>
      <w:r>
        <w:rPr>
          <w:rFonts w:ascii="宋体" w:hAnsi="宋体"/>
          <w:color w:val="auto"/>
          <w:highlight w:val="none"/>
        </w:rPr>
        <w:t xml:space="preserve">验收前，乙方应将</w:t>
      </w:r>
      <w:r>
        <w:rPr>
          <w:rFonts w:hint="eastAsia" w:ascii="宋体" w:hAnsi="宋体"/>
          <w:color w:val="auto"/>
          <w:highlight w:val="none"/>
        </w:rPr>
        <w:t xml:space="preserve">施工管理工作</w:t>
      </w:r>
      <w:r>
        <w:rPr>
          <w:rFonts w:ascii="宋体" w:hAnsi="宋体"/>
          <w:color w:val="auto"/>
          <w:highlight w:val="none"/>
        </w:rPr>
        <w:t xml:space="preserve">报告、系统测试报告、安装调试报告等有关资料报甲方。</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合同</w:t>
      </w:r>
      <w:r>
        <w:rPr>
          <w:rFonts w:hint="eastAsia" w:ascii="宋体" w:hAnsi="宋体"/>
          <w:color w:val="auto"/>
          <w:highlight w:val="none"/>
        </w:rPr>
        <w:t xml:space="preserve">工程完工</w:t>
      </w:r>
      <w:r>
        <w:rPr>
          <w:rFonts w:ascii="宋体" w:hAnsi="宋体"/>
          <w:color w:val="auto"/>
          <w:highlight w:val="none"/>
        </w:rPr>
        <w:t xml:space="preserve">验收内容包括：检查合同范围内工程项目和工作完成情况；检查已投入使用工程</w:t>
      </w:r>
      <w:r>
        <w:rPr>
          <w:rFonts w:hint="eastAsia" w:ascii="宋体" w:hAnsi="宋体"/>
          <w:color w:val="auto"/>
          <w:highlight w:val="none"/>
        </w:rPr>
        <w:t xml:space="preserve">的</w:t>
      </w:r>
      <w:r>
        <w:rPr>
          <w:rFonts w:ascii="宋体" w:hAnsi="宋体"/>
          <w:color w:val="auto"/>
          <w:highlight w:val="none"/>
        </w:rPr>
        <w:t xml:space="preserve">运行情况、施工现场清理情况、验收资料整理情况以及完工结算情况等；鉴定工程施工质量，对验收中发现的问题提出处理意见；确定合同工程完工日期；讨论并通过合同工程完工验收鉴定书，进行设备、工具、文件资料等交接工作。</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合同</w:t>
      </w:r>
      <w:r>
        <w:rPr>
          <w:rFonts w:hint="eastAsia" w:ascii="宋体" w:hAnsi="宋体"/>
          <w:color w:val="auto"/>
          <w:highlight w:val="none"/>
        </w:rPr>
        <w:t xml:space="preserve">工程完工</w:t>
      </w:r>
      <w:r>
        <w:rPr>
          <w:rFonts w:ascii="宋体" w:hAnsi="宋体"/>
          <w:color w:val="auto"/>
          <w:highlight w:val="none"/>
        </w:rPr>
        <w:t xml:space="preserve">验收如发现有影响正常运行的问题，由</w:t>
      </w:r>
      <w:r>
        <w:rPr>
          <w:rFonts w:hint="eastAsia" w:ascii="宋体" w:hAnsi="宋体"/>
          <w:color w:val="auto"/>
          <w:highlight w:val="none"/>
        </w:rPr>
        <w:t xml:space="preserve">甲方</w:t>
      </w:r>
      <w:r>
        <w:rPr>
          <w:rFonts w:ascii="宋体" w:hAnsi="宋体"/>
          <w:color w:val="auto"/>
          <w:highlight w:val="none"/>
        </w:rPr>
        <w:t xml:space="preserve">按实际情况分清责任，责成乙方解决的，暂停验收，待乙方整改后再进行全面验收。</w:t>
      </w:r>
      <w:r/>
    </w:p>
    <w:p>
      <w:pPr>
        <w:pStyle w:val="797"/>
        <w:numPr>
          <w:ilvl w:val="0"/>
          <w:numId w:val="23"/>
        </w:numPr>
        <w:ind w:firstLine="480"/>
        <w:jc w:val="both"/>
        <w:spacing w:line="360" w:lineRule="auto"/>
        <w:rPr>
          <w:rFonts w:ascii="宋体" w:hAnsi="宋体"/>
          <w:color w:val="auto"/>
          <w:highlight w:val="none"/>
        </w:rPr>
      </w:pPr>
      <w:r>
        <w:rPr>
          <w:rFonts w:hint="eastAsia" w:ascii="宋体" w:hAnsi="宋体"/>
          <w:color w:val="auto"/>
          <w:highlight w:val="none"/>
        </w:rPr>
        <w:t xml:space="preserve">试运行检验</w:t>
      </w:r>
      <w:r/>
    </w:p>
    <w:p>
      <w:pPr>
        <w:pStyle w:val="797"/>
        <w:ind w:firstLine="480"/>
        <w:jc w:val="both"/>
        <w:spacing w:line="360" w:lineRule="auto"/>
        <w:rPr>
          <w:rFonts w:ascii="宋体" w:hAnsi="宋体"/>
          <w:color w:val="auto"/>
          <w:highlight w:val="none"/>
        </w:rPr>
      </w:pPr>
      <w:r>
        <w:rPr>
          <w:rFonts w:ascii="宋体" w:hAnsi="宋体"/>
          <w:color w:val="auto"/>
          <w:highlight w:val="none"/>
        </w:rPr>
        <w:t xml:space="preserve">合同工程完工验收后，进入为期3个月的试运行期，试运行检验由乙方负责，甲方配合，最终提交试运行报告。</w:t>
      </w:r>
      <w:bookmarkEnd w:id="97"/>
      <w:r/>
      <w:r/>
    </w:p>
    <w:p>
      <w:pPr>
        <w:pStyle w:val="750"/>
        <w:ind w:firstLine="482"/>
        <w:spacing w:before="0" w:after="0" w:line="360" w:lineRule="auto"/>
        <w:rPr>
          <w:color w:val="auto"/>
          <w:highlight w:val="none"/>
        </w:rPr>
      </w:pPr>
      <w:r>
        <w:rPr>
          <w:color w:val="auto"/>
          <w:highlight w:val="none"/>
        </w:rPr>
        <w:t xml:space="preserve">二十一</w:t>
      </w:r>
      <w:r>
        <w:rPr>
          <w:rFonts w:hint="eastAsia"/>
          <w:color w:val="auto"/>
          <w:highlight w:val="none"/>
        </w:rPr>
        <w:t xml:space="preserve">、知识产权和使用</w:t>
      </w:r>
      <w:r/>
    </w:p>
    <w:p>
      <w:pPr>
        <w:ind w:firstLine="480"/>
        <w:spacing w:line="360" w:lineRule="auto"/>
        <w:rPr>
          <w:color w:val="auto"/>
          <w:sz w:val="24"/>
          <w:highlight w:val="none"/>
        </w:rPr>
      </w:pPr>
      <w:r>
        <w:rPr>
          <w:rFonts w:hint="eastAsia"/>
          <w:color w:val="auto"/>
          <w:sz w:val="24"/>
          <w:highlight w:val="none"/>
        </w:rPr>
        <w:t xml:space="preserve">甲方拥有开发软件的知识产权。乙方非经甲方同意，不得以任何方式向第三方披露、转让和许可有关的技术成果、计算机软件、技术诀窍、秘密信息、技术资料和文件。若项目知识产权用于奖项申报等用途，需经甲方同意。除本研发工作需要之外，未得到甲方的书面许可，乙方不得以任何方式商业性地利用上述资料和技术。如乙方违反本条的规定，除立即停止违约行为外，还应按本合同总价的10%支付违约金，并赔偿由此造成的甲方损失。</w:t>
      </w:r>
      <w:r/>
    </w:p>
    <w:p>
      <w:pPr>
        <w:ind w:firstLine="480"/>
        <w:spacing w:line="360" w:lineRule="auto"/>
        <w:rPr>
          <w:color w:val="auto"/>
          <w:sz w:val="24"/>
          <w:highlight w:val="none"/>
        </w:rPr>
      </w:pPr>
      <w:r>
        <w:rPr>
          <w:rFonts w:hint="eastAsia"/>
          <w:color w:val="auto"/>
          <w:sz w:val="24"/>
          <w:highlight w:val="none"/>
        </w:rPr>
        <w:t xml:space="preserve">本项目知识产权的有形形式包括但不限于：软件产品、数据标准（管理员后台必备模块）、软件技术文件等。</w:t>
      </w:r>
      <w:r/>
    </w:p>
    <w:p>
      <w:pPr>
        <w:pStyle w:val="750"/>
        <w:ind w:firstLine="482"/>
        <w:spacing w:before="0" w:after="0" w:line="360" w:lineRule="auto"/>
        <w:rPr>
          <w:color w:val="auto"/>
          <w:highlight w:val="none"/>
        </w:rPr>
      </w:pPr>
      <w:r>
        <w:rPr>
          <w:color w:val="auto"/>
          <w:highlight w:val="none"/>
        </w:rPr>
        <w:t xml:space="preserve">二十</w:t>
      </w:r>
      <w:r>
        <w:rPr>
          <w:rFonts w:hint="eastAsia"/>
          <w:color w:val="auto"/>
          <w:highlight w:val="none"/>
        </w:rPr>
        <w:t xml:space="preserve">二</w:t>
      </w:r>
      <w:r>
        <w:rPr>
          <w:color w:val="auto"/>
          <w:highlight w:val="none"/>
        </w:rPr>
        <w:t xml:space="preserve">、售后服务</w:t>
      </w:r>
      <w:r/>
    </w:p>
    <w:p>
      <w:pPr>
        <w:pStyle w:val="797"/>
        <w:ind w:firstLine="480"/>
        <w:jc w:val="both"/>
        <w:spacing w:line="360" w:lineRule="auto"/>
        <w:rPr>
          <w:color w:val="auto"/>
          <w:highlight w:val="none"/>
        </w:rPr>
      </w:pPr>
      <w:r>
        <w:rPr>
          <w:color w:val="auto"/>
          <w:highlight w:val="none"/>
        </w:rPr>
        <w:t xml:space="preserve">乙方</w:t>
      </w:r>
      <w:r>
        <w:rPr>
          <w:rFonts w:hint="eastAsia"/>
          <w:color w:val="auto"/>
          <w:highlight w:val="none"/>
        </w:rPr>
        <w:t xml:space="preserve">应充分考虑</w:t>
      </w:r>
      <w:r>
        <w:rPr>
          <w:color w:val="auto"/>
          <w:highlight w:val="none"/>
        </w:rPr>
        <w:t xml:space="preserve">站点的现场环境，禁止将设备暴露或布置在高温、高湿、雨淋、水淹位置。在项目</w:t>
      </w:r>
      <w:r>
        <w:rPr>
          <w:rFonts w:hint="eastAsia"/>
          <w:color w:val="auto"/>
          <w:highlight w:val="none"/>
        </w:rPr>
        <w:t xml:space="preserve">合同</w:t>
      </w:r>
      <w:r>
        <w:rPr>
          <w:color w:val="auto"/>
          <w:highlight w:val="none"/>
        </w:rPr>
        <w:t xml:space="preserve">完工验收合格之日起，即进入售后服务期。</w:t>
      </w:r>
      <w:r/>
    </w:p>
    <w:p>
      <w:pPr>
        <w:pStyle w:val="797"/>
        <w:ind w:firstLine="480"/>
        <w:jc w:val="both"/>
        <w:spacing w:line="360" w:lineRule="auto"/>
        <w:rPr>
          <w:color w:val="auto"/>
          <w:highlight w:val="none"/>
        </w:rPr>
      </w:pPr>
      <w:r>
        <w:rPr>
          <w:color w:val="auto"/>
          <w:highlight w:val="none"/>
        </w:rPr>
        <w:t xml:space="preserve">（一）</w:t>
      </w:r>
      <w:r>
        <w:rPr>
          <w:rFonts w:hint="eastAsia"/>
          <w:color w:val="auto"/>
          <w:highlight w:val="none"/>
        </w:rPr>
        <w:t xml:space="preserve">项目的质保期为从试运行完成且试运行期出现的质量问题处置完成（以采购人确认为准）之日起，期限为12个月。质保期内，乙方负责对系统运行中出现的故障进行处理，负责免费更换故障部件。</w:t>
      </w:r>
      <w:r/>
    </w:p>
    <w:p>
      <w:pPr>
        <w:pStyle w:val="797"/>
        <w:ind w:firstLine="480"/>
        <w:jc w:val="both"/>
        <w:spacing w:line="360" w:lineRule="auto"/>
        <w:rPr>
          <w:color w:val="auto"/>
          <w:highlight w:val="none"/>
        </w:rPr>
      </w:pPr>
      <w:r>
        <w:rPr>
          <w:color w:val="auto"/>
          <w:highlight w:val="none"/>
        </w:rPr>
        <w:t xml:space="preserve">（</w:t>
      </w:r>
      <w:r>
        <w:rPr>
          <w:rFonts w:hint="eastAsia"/>
          <w:color w:val="auto"/>
          <w:highlight w:val="none"/>
        </w:rPr>
        <w:t xml:space="preserve">二</w:t>
      </w:r>
      <w:r>
        <w:rPr>
          <w:color w:val="auto"/>
          <w:highlight w:val="none"/>
        </w:rPr>
        <w:t xml:space="preserve">）在质量保证期</w:t>
      </w:r>
      <w:r>
        <w:rPr>
          <w:rFonts w:hint="eastAsia"/>
          <w:color w:val="auto"/>
          <w:highlight w:val="none"/>
        </w:rPr>
        <w:t xml:space="preserve">满</w:t>
      </w:r>
      <w:r>
        <w:rPr>
          <w:color w:val="auto"/>
          <w:highlight w:val="none"/>
        </w:rPr>
        <w:t xml:space="preserve">后，乙方有义务在本系统的使用维护方面继续提供技术支持，提供本系统软件的升级及备品备件。 </w:t>
      </w:r>
      <w:r/>
    </w:p>
    <w:p>
      <w:pPr>
        <w:pStyle w:val="750"/>
        <w:ind w:firstLine="482"/>
        <w:spacing w:before="0" w:after="0" w:line="360" w:lineRule="auto"/>
        <w:rPr>
          <w:color w:val="auto"/>
          <w:highlight w:val="none"/>
        </w:rPr>
      </w:pPr>
      <w:r>
        <w:rPr>
          <w:color w:val="auto"/>
          <w:highlight w:val="none"/>
        </w:rPr>
        <w:t xml:space="preserve">二十</w:t>
      </w:r>
      <w:r>
        <w:rPr>
          <w:rFonts w:hint="eastAsia"/>
          <w:color w:val="auto"/>
          <w:highlight w:val="none"/>
        </w:rPr>
        <w:t xml:space="preserve">三</w:t>
      </w:r>
      <w:r>
        <w:rPr>
          <w:color w:val="auto"/>
          <w:highlight w:val="none"/>
        </w:rPr>
        <w:t xml:space="preserve">、信用</w:t>
      </w:r>
      <w:r/>
    </w:p>
    <w:p>
      <w:pPr>
        <w:ind w:firstLine="480"/>
        <w:jc w:val="left"/>
        <w:spacing w:line="360" w:lineRule="auto"/>
        <w:rPr>
          <w:color w:val="auto"/>
          <w:sz w:val="24"/>
          <w:highlight w:val="none"/>
        </w:rPr>
      </w:pPr>
      <w:r>
        <w:rPr>
          <w:color w:val="auto"/>
          <w:sz w:val="24"/>
          <w:highlight w:val="none"/>
        </w:rPr>
        <w:t xml:space="preserve">（一）本合同任何一方可以要求对方提供其信用报告。</w:t>
      </w:r>
      <w:r/>
    </w:p>
    <w:p>
      <w:pPr>
        <w:ind w:firstLine="480"/>
        <w:jc w:val="left"/>
        <w:spacing w:line="360" w:lineRule="auto"/>
        <w:rPr>
          <w:color w:val="auto"/>
          <w:sz w:val="24"/>
          <w:highlight w:val="none"/>
        </w:rPr>
      </w:pPr>
      <w:r>
        <w:rPr>
          <w:color w:val="auto"/>
          <w:sz w:val="24"/>
          <w:highlight w:val="none"/>
        </w:rPr>
        <w:t xml:space="preserve">（二）如合同双方在履行本合同过程中发生争议，并进入司法等争端解决程序，任何一方可以将生效判决提交给本市的联合征信机构。</w:t>
      </w:r>
      <w:r/>
    </w:p>
    <w:p>
      <w:pPr>
        <w:pStyle w:val="750"/>
        <w:ind w:firstLine="482"/>
        <w:spacing w:before="0" w:after="0" w:line="360" w:lineRule="auto"/>
        <w:rPr>
          <w:color w:val="auto"/>
          <w:highlight w:val="none"/>
        </w:rPr>
      </w:pPr>
      <w:r/>
      <w:bookmarkStart w:id="98" w:name="_Toc453148731"/>
      <w:r>
        <w:rPr>
          <w:color w:val="auto"/>
          <w:highlight w:val="none"/>
        </w:rPr>
        <w:t xml:space="preserve">二十</w:t>
      </w:r>
      <w:r>
        <w:rPr>
          <w:rFonts w:hint="eastAsia"/>
          <w:color w:val="auto"/>
          <w:highlight w:val="none"/>
        </w:rPr>
        <w:t xml:space="preserve">四</w:t>
      </w:r>
      <w:r>
        <w:rPr>
          <w:color w:val="auto"/>
          <w:highlight w:val="none"/>
        </w:rPr>
        <w:t xml:space="preserve">、争议</w:t>
      </w:r>
      <w:bookmarkEnd w:id="98"/>
      <w:r/>
      <w:r/>
    </w:p>
    <w:p>
      <w:pPr>
        <w:ind w:firstLine="480"/>
        <w:spacing w:line="360" w:lineRule="auto"/>
        <w:rPr>
          <w:rFonts w:ascii="宋体" w:hAnsi="宋体" w:cs="宋体"/>
          <w:color w:val="auto"/>
          <w:sz w:val="24"/>
          <w:highlight w:val="none"/>
        </w:rPr>
      </w:pPr>
      <w:r/>
      <w:bookmarkStart w:id="99" w:name="_Toc453148732"/>
      <w:r>
        <w:rPr>
          <w:color w:val="auto"/>
          <w:sz w:val="24"/>
          <w:highlight w:val="none"/>
        </w:rPr>
        <w:t xml:space="preserve">（一）因执行本合同所发生的或与本合同有关的一切争议，双方应通过友好协商解决。如果协商开</w:t>
      </w:r>
      <w:r>
        <w:rPr>
          <w:rFonts w:hint="eastAsia" w:ascii="宋体" w:hAnsi="宋体" w:cs="宋体"/>
          <w:color w:val="auto"/>
          <w:sz w:val="24"/>
          <w:highlight w:val="none"/>
        </w:rPr>
        <w:t xml:space="preserve">始后六十（60）日还不能解决，任何一方均可按中华人民共和国有关法律的规定提交仲裁。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（二）仲裁裁决应为最终裁决，对双方均具有约束力。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（三）仲裁费除仲裁机关另有裁决外均应由败诉方负担。</w:t>
      </w:r>
      <w:r/>
    </w:p>
    <w:p>
      <w:pPr>
        <w:ind w:firstLine="480"/>
        <w:spacing w:line="360" w:lineRule="auto"/>
        <w:rPr>
          <w:color w:val="auto"/>
          <w:sz w:val="24"/>
          <w:highlight w:val="none"/>
        </w:rPr>
      </w:pPr>
      <w:r>
        <w:rPr>
          <w:color w:val="auto"/>
          <w:sz w:val="24"/>
          <w:highlight w:val="none"/>
        </w:rPr>
        <w:t xml:space="preserve">（四）在仲裁期间，除正在进行仲裁的部分外，本合同</w:t>
      </w:r>
      <w:r>
        <w:rPr>
          <w:rFonts w:hint="eastAsia"/>
          <w:color w:val="auto"/>
          <w:sz w:val="24"/>
          <w:highlight w:val="none"/>
        </w:rPr>
        <w:t xml:space="preserve">其他部分</w:t>
      </w:r>
      <w:r>
        <w:rPr>
          <w:color w:val="auto"/>
          <w:sz w:val="24"/>
          <w:highlight w:val="none"/>
        </w:rPr>
        <w:t xml:space="preserve">应继续执行。</w:t>
      </w:r>
      <w:r/>
    </w:p>
    <w:p>
      <w:pPr>
        <w:pStyle w:val="750"/>
        <w:ind w:firstLine="482"/>
        <w:spacing w:before="0" w:after="0" w:line="360" w:lineRule="auto"/>
        <w:rPr>
          <w:color w:val="auto"/>
          <w:highlight w:val="none"/>
        </w:rPr>
      </w:pPr>
      <w:r>
        <w:rPr>
          <w:color w:val="auto"/>
          <w:highlight w:val="none"/>
        </w:rPr>
        <w:t xml:space="preserve">二十</w:t>
      </w:r>
      <w:r>
        <w:rPr>
          <w:rFonts w:hint="eastAsia"/>
          <w:color w:val="auto"/>
          <w:highlight w:val="none"/>
        </w:rPr>
        <w:t xml:space="preserve">五</w:t>
      </w:r>
      <w:r>
        <w:rPr>
          <w:color w:val="auto"/>
          <w:highlight w:val="none"/>
        </w:rPr>
        <w:t xml:space="preserve">、违约</w:t>
      </w:r>
      <w:bookmarkEnd w:id="99"/>
      <w:r/>
      <w:r/>
    </w:p>
    <w:p>
      <w:pPr>
        <w:ind w:firstLine="480"/>
        <w:spacing w:line="360" w:lineRule="auto"/>
        <w:rPr>
          <w:color w:val="auto"/>
          <w:sz w:val="24"/>
          <w:highlight w:val="none"/>
        </w:rPr>
      </w:pPr>
      <w:r/>
      <w:bookmarkStart w:id="100" w:name="_Toc453148736"/>
      <w:r>
        <w:rPr>
          <w:color w:val="auto"/>
          <w:sz w:val="24"/>
          <w:highlight w:val="none"/>
        </w:rPr>
        <w:t xml:space="preserve">（一）甲方不能及时给出必要指令确认和批准，不按合同约定履行自己的各项义务，支付款项及发生</w:t>
      </w:r>
      <w:r>
        <w:rPr>
          <w:rFonts w:hint="eastAsia"/>
          <w:color w:val="auto"/>
          <w:sz w:val="24"/>
          <w:highlight w:val="none"/>
        </w:rPr>
        <w:t xml:space="preserve">其他</w:t>
      </w:r>
      <w:r>
        <w:rPr>
          <w:color w:val="auto"/>
          <w:sz w:val="24"/>
          <w:highlight w:val="none"/>
        </w:rPr>
        <w:t xml:space="preserve">使合同无法履行的行为，应承担违约责任（包括支付因其违约导致乙方增加的经济支出和从应支付之日起计算应支付款项的利息等），相应顺延工期，按协议条款约定支付违约金和赔偿因其违约给乙方造成的损失。</w:t>
      </w:r>
      <w:r/>
    </w:p>
    <w:p>
      <w:pPr>
        <w:ind w:firstLine="480"/>
        <w:spacing w:line="360" w:lineRule="auto"/>
        <w:rPr>
          <w:color w:val="auto"/>
          <w:sz w:val="24"/>
          <w:highlight w:val="none"/>
        </w:rPr>
      </w:pPr>
      <w:r>
        <w:rPr>
          <w:color w:val="auto"/>
          <w:sz w:val="24"/>
          <w:highlight w:val="none"/>
        </w:rPr>
        <w:t xml:space="preserve">（二）</w:t>
      </w:r>
      <w:r>
        <w:rPr>
          <w:rFonts w:hint="eastAsia"/>
          <w:color w:val="auto"/>
          <w:sz w:val="24"/>
          <w:highlight w:val="none"/>
        </w:rPr>
        <w:t xml:space="preserve">乙方</w:t>
      </w:r>
      <w:r>
        <w:rPr>
          <w:color w:val="auto"/>
          <w:sz w:val="24"/>
          <w:highlight w:val="none"/>
        </w:rPr>
        <w:t xml:space="preserve">按合同工期完工，施工质量达不到设计、规范和本合同的要求，或发生</w:t>
      </w:r>
      <w:r>
        <w:rPr>
          <w:rFonts w:hint="eastAsia"/>
          <w:color w:val="auto"/>
          <w:sz w:val="24"/>
          <w:highlight w:val="none"/>
        </w:rPr>
        <w:t xml:space="preserve">其他</w:t>
      </w:r>
      <w:r>
        <w:rPr>
          <w:color w:val="auto"/>
          <w:sz w:val="24"/>
          <w:highlight w:val="none"/>
        </w:rPr>
        <w:t xml:space="preserve">使合同无法履行的行为，应承担违约责任，甲方可通知乙方，按协议条款约定支付违约金。</w:t>
      </w:r>
      <w:r/>
    </w:p>
    <w:p>
      <w:pPr>
        <w:ind w:firstLine="480"/>
        <w:spacing w:line="360" w:lineRule="auto"/>
        <w:rPr>
          <w:color w:val="auto"/>
          <w:sz w:val="24"/>
          <w:highlight w:val="none"/>
        </w:rPr>
      </w:pPr>
      <w:r>
        <w:rPr>
          <w:color w:val="auto"/>
          <w:sz w:val="24"/>
          <w:highlight w:val="none"/>
        </w:rPr>
        <w:t xml:space="preserve">（三）双方签字生效后，若单方毁约，使合同无法履行，则由违约方以</w:t>
      </w:r>
      <w:r>
        <w:rPr>
          <w:rFonts w:hint="eastAsia"/>
          <w:color w:val="auto"/>
          <w:sz w:val="24"/>
          <w:highlight w:val="none"/>
        </w:rPr>
        <w:t xml:space="preserve">合同总价</w:t>
      </w:r>
      <w:r>
        <w:rPr>
          <w:color w:val="auto"/>
          <w:sz w:val="24"/>
          <w:highlight w:val="none"/>
        </w:rPr>
        <w:t xml:space="preserve">的百分之三十（30%）作为违约金赔偿给对方。</w:t>
      </w:r>
      <w:r/>
    </w:p>
    <w:p>
      <w:pPr>
        <w:pStyle w:val="750"/>
        <w:ind w:firstLine="482"/>
        <w:spacing w:before="0" w:after="0" w:line="360" w:lineRule="auto"/>
        <w:rPr>
          <w:color w:val="auto"/>
          <w:highlight w:val="none"/>
        </w:rPr>
      </w:pPr>
      <w:r>
        <w:rPr>
          <w:color w:val="auto"/>
          <w:highlight w:val="none"/>
        </w:rPr>
        <w:t xml:space="preserve">二十</w:t>
      </w:r>
      <w:r>
        <w:rPr>
          <w:rFonts w:hint="eastAsia"/>
          <w:color w:val="auto"/>
          <w:highlight w:val="none"/>
        </w:rPr>
        <w:t xml:space="preserve">六</w:t>
      </w:r>
      <w:r>
        <w:rPr>
          <w:color w:val="auto"/>
          <w:highlight w:val="none"/>
        </w:rPr>
        <w:t xml:space="preserve">、不可抗力</w:t>
      </w:r>
      <w:bookmarkEnd w:id="100"/>
      <w:r/>
      <w:r/>
    </w:p>
    <w:p>
      <w:pPr>
        <w:ind w:firstLine="480"/>
        <w:spacing w:line="360" w:lineRule="auto"/>
        <w:rPr>
          <w:color w:val="auto"/>
          <w:sz w:val="24"/>
          <w:highlight w:val="none"/>
        </w:rPr>
      </w:pPr>
      <w:r>
        <w:rPr>
          <w:color w:val="auto"/>
          <w:sz w:val="24"/>
          <w:highlight w:val="none"/>
        </w:rPr>
        <w:t xml:space="preserve">（一）不可抗力以有关部门发布为准。</w:t>
      </w:r>
      <w:r/>
    </w:p>
    <w:p>
      <w:pPr>
        <w:ind w:firstLine="480"/>
        <w:spacing w:line="360" w:lineRule="auto"/>
        <w:rPr>
          <w:color w:val="auto"/>
          <w:sz w:val="24"/>
          <w:highlight w:val="none"/>
        </w:rPr>
      </w:pPr>
      <w:r>
        <w:rPr>
          <w:color w:val="auto"/>
          <w:sz w:val="24"/>
          <w:highlight w:val="none"/>
        </w:rPr>
        <w:t xml:space="preserve">（二）发生后，乙方应迅速采取措施，尽力减少损失，并及时向甲方报告。</w:t>
      </w:r>
      <w:r/>
    </w:p>
    <w:p>
      <w:pPr>
        <w:ind w:firstLine="480"/>
        <w:spacing w:line="360" w:lineRule="auto"/>
        <w:rPr>
          <w:color w:val="auto"/>
          <w:sz w:val="24"/>
          <w:highlight w:val="none"/>
        </w:rPr>
      </w:pPr>
      <w:r>
        <w:rPr>
          <w:color w:val="auto"/>
          <w:sz w:val="24"/>
          <w:highlight w:val="none"/>
        </w:rPr>
        <w:t xml:space="preserve">（三）灾害发生的费用</w:t>
      </w:r>
      <w:r>
        <w:rPr>
          <w:rFonts w:hint="eastAsia"/>
          <w:color w:val="auto"/>
          <w:sz w:val="24"/>
          <w:highlight w:val="none"/>
        </w:rPr>
        <w:t xml:space="preserve">遵照以下</w:t>
      </w:r>
      <w:r>
        <w:rPr>
          <w:color w:val="auto"/>
          <w:sz w:val="24"/>
          <w:highlight w:val="none"/>
        </w:rPr>
        <w:t xml:space="preserve">约定：</w:t>
      </w:r>
      <w:r/>
    </w:p>
    <w:p>
      <w:pPr>
        <w:ind w:firstLine="480"/>
        <w:spacing w:line="360" w:lineRule="auto"/>
        <w:rPr>
          <w:color w:val="auto"/>
          <w:sz w:val="24"/>
          <w:highlight w:val="none"/>
        </w:rPr>
      </w:pPr>
      <w:r>
        <w:rPr>
          <w:rFonts w:hint="eastAsia"/>
          <w:color w:val="auto"/>
          <w:sz w:val="24"/>
          <w:highlight w:val="none"/>
          <w:lang w:eastAsia="zh-CN"/>
        </w:rPr>
        <w:t xml:space="preserve">1.</w:t>
      </w:r>
      <w:r>
        <w:rPr>
          <w:color w:val="auto"/>
          <w:sz w:val="24"/>
          <w:highlight w:val="none"/>
        </w:rPr>
        <w:t xml:space="preserve">项目本身的损失由甲方承担；</w:t>
      </w:r>
      <w:r/>
    </w:p>
    <w:p>
      <w:pPr>
        <w:ind w:firstLine="480"/>
        <w:spacing w:line="360" w:lineRule="auto"/>
        <w:rPr>
          <w:color w:val="auto"/>
          <w:sz w:val="24"/>
          <w:highlight w:val="none"/>
        </w:rPr>
      </w:pPr>
      <w:r>
        <w:rPr>
          <w:color w:val="auto"/>
          <w:sz w:val="24"/>
          <w:highlight w:val="none"/>
        </w:rPr>
        <w:t xml:space="preserve">2、人员伤亡由其所属单位负责，并承担相应费用；</w:t>
      </w:r>
      <w:r/>
    </w:p>
    <w:p>
      <w:pPr>
        <w:ind w:firstLine="480"/>
        <w:spacing w:line="360" w:lineRule="auto"/>
        <w:rPr>
          <w:color w:val="auto"/>
          <w:sz w:val="24"/>
          <w:highlight w:val="none"/>
        </w:rPr>
      </w:pPr>
      <w:r>
        <w:rPr>
          <w:color w:val="auto"/>
          <w:sz w:val="24"/>
          <w:highlight w:val="none"/>
        </w:rPr>
        <w:t xml:space="preserve">3、造成乙方设备</w:t>
      </w:r>
      <w:r>
        <w:rPr>
          <w:rFonts w:hint="eastAsia"/>
          <w:color w:val="auto"/>
          <w:sz w:val="24"/>
          <w:highlight w:val="none"/>
        </w:rPr>
        <w:t xml:space="preserve">、</w:t>
      </w:r>
      <w:r>
        <w:rPr>
          <w:color w:val="auto"/>
          <w:sz w:val="24"/>
          <w:highlight w:val="none"/>
        </w:rPr>
        <w:t xml:space="preserve">机械的损坏及停工损失，由乙方承担。</w:t>
      </w:r>
      <w:bookmarkStart w:id="101" w:name="_Toc453148737"/>
      <w:r/>
      <w:r/>
    </w:p>
    <w:p>
      <w:pPr>
        <w:pStyle w:val="750"/>
        <w:ind w:firstLine="482"/>
        <w:spacing w:before="0" w:after="0" w:line="360" w:lineRule="auto"/>
        <w:rPr>
          <w:color w:val="auto"/>
          <w:highlight w:val="none"/>
        </w:rPr>
      </w:pPr>
      <w:r>
        <w:rPr>
          <w:color w:val="auto"/>
          <w:highlight w:val="none"/>
        </w:rPr>
        <w:t xml:space="preserve">二十</w:t>
      </w:r>
      <w:r>
        <w:rPr>
          <w:rFonts w:hint="eastAsia"/>
          <w:color w:val="auto"/>
          <w:highlight w:val="none"/>
        </w:rPr>
        <w:t xml:space="preserve">七</w:t>
      </w:r>
      <w:r>
        <w:rPr>
          <w:color w:val="auto"/>
          <w:highlight w:val="none"/>
        </w:rPr>
        <w:t xml:space="preserve">、保险</w:t>
      </w:r>
      <w:r/>
    </w:p>
    <w:p>
      <w:pPr>
        <w:pStyle w:val="797"/>
        <w:ind w:firstLine="480"/>
        <w:jc w:val="both"/>
        <w:spacing w:line="360" w:lineRule="auto"/>
        <w:rPr>
          <w:color w:val="auto"/>
          <w:highlight w:val="none"/>
        </w:rPr>
      </w:pPr>
      <w:r>
        <w:rPr>
          <w:rFonts w:hint="eastAsia"/>
          <w:color w:val="auto"/>
          <w:highlight w:val="none"/>
        </w:rPr>
        <w:t xml:space="preserve">（一）乙方</w:t>
      </w:r>
      <w:r>
        <w:rPr>
          <w:color w:val="auto"/>
          <w:highlight w:val="none"/>
        </w:rPr>
        <w:t xml:space="preserve">应为本项目</w:t>
      </w:r>
      <w:r>
        <w:rPr>
          <w:rFonts w:hint="eastAsia"/>
          <w:color w:val="auto"/>
          <w:highlight w:val="none"/>
        </w:rPr>
        <w:t xml:space="preserve">购买</w:t>
      </w:r>
      <w:r>
        <w:rPr>
          <w:color w:val="auto"/>
          <w:highlight w:val="none"/>
        </w:rPr>
        <w:t xml:space="preserve">工程一切险，相关费用包含在合同总价中。</w:t>
      </w:r>
      <w:r/>
    </w:p>
    <w:p>
      <w:pPr>
        <w:pStyle w:val="797"/>
        <w:ind w:firstLine="480"/>
        <w:jc w:val="both"/>
        <w:spacing w:line="360" w:lineRule="auto"/>
        <w:rPr>
          <w:color w:val="auto"/>
          <w:highlight w:val="none"/>
        </w:rPr>
      </w:pPr>
      <w:r>
        <w:rPr>
          <w:color w:val="auto"/>
          <w:highlight w:val="none"/>
        </w:rPr>
        <w:t xml:space="preserve">（</w:t>
      </w:r>
      <w:r>
        <w:rPr>
          <w:rFonts w:hint="eastAsia"/>
          <w:color w:val="auto"/>
          <w:highlight w:val="none"/>
        </w:rPr>
        <w:t xml:space="preserve">二</w:t>
      </w:r>
      <w:r>
        <w:rPr>
          <w:color w:val="auto"/>
          <w:highlight w:val="none"/>
        </w:rPr>
        <w:t xml:space="preserve">）乙方应对本合同下提供的设备的制造、购置、运输、存放、安装及交货过程中的丢失或损坏进行全面的保险。</w:t>
      </w:r>
      <w:r/>
    </w:p>
    <w:p>
      <w:pPr>
        <w:pStyle w:val="797"/>
        <w:ind w:firstLine="480"/>
        <w:jc w:val="both"/>
        <w:spacing w:line="360" w:lineRule="auto"/>
        <w:rPr>
          <w:color w:val="auto"/>
          <w:highlight w:val="none"/>
        </w:rPr>
      </w:pPr>
      <w:r>
        <w:rPr>
          <w:color w:val="auto"/>
          <w:highlight w:val="none"/>
        </w:rPr>
        <w:t xml:space="preserve">（</w:t>
      </w:r>
      <w:r>
        <w:rPr>
          <w:rFonts w:hint="eastAsia"/>
          <w:color w:val="auto"/>
          <w:highlight w:val="none"/>
        </w:rPr>
        <w:t xml:space="preserve">三</w:t>
      </w:r>
      <w:r>
        <w:rPr>
          <w:color w:val="auto"/>
          <w:highlight w:val="none"/>
        </w:rPr>
        <w:t xml:space="preserve">）乙方需对其雇员及其分包人的雇员的意外或伤亡负全责。甲方对任何雇员的意外或伤亡，不论该人是受雇于乙方或其分包人，不负任何法律上的赔偿责任，乙方须保障甲方免负任何有关的索赔、诉讼等责任和费用。</w:t>
      </w:r>
      <w:r/>
    </w:p>
    <w:p>
      <w:pPr>
        <w:pStyle w:val="797"/>
        <w:ind w:firstLine="480"/>
        <w:jc w:val="both"/>
        <w:spacing w:line="360" w:lineRule="auto"/>
        <w:rPr>
          <w:color w:val="auto"/>
          <w:highlight w:val="none"/>
        </w:rPr>
      </w:pPr>
      <w:r>
        <w:rPr>
          <w:color w:val="auto"/>
          <w:highlight w:val="none"/>
        </w:rPr>
        <w:t xml:space="preserve">（</w:t>
      </w:r>
      <w:r>
        <w:rPr>
          <w:rFonts w:hint="eastAsia"/>
          <w:color w:val="auto"/>
          <w:highlight w:val="none"/>
        </w:rPr>
        <w:t xml:space="preserve">四</w:t>
      </w:r>
      <w:r>
        <w:rPr>
          <w:color w:val="auto"/>
          <w:highlight w:val="none"/>
        </w:rPr>
        <w:t xml:space="preserve">）乙方</w:t>
      </w:r>
      <w:r>
        <w:rPr>
          <w:rFonts w:hint="eastAsia"/>
          <w:color w:val="auto"/>
          <w:highlight w:val="none"/>
        </w:rPr>
        <w:t xml:space="preserve">须</w:t>
      </w:r>
      <w:r>
        <w:rPr>
          <w:color w:val="auto"/>
          <w:highlight w:val="none"/>
        </w:rPr>
        <w:t xml:space="preserve">办理</w:t>
      </w:r>
      <w:r>
        <w:rPr>
          <w:rFonts w:hint="eastAsia"/>
          <w:color w:val="auto"/>
          <w:highlight w:val="none"/>
        </w:rPr>
        <w:t xml:space="preserve">涉及</w:t>
      </w:r>
      <w:r>
        <w:rPr>
          <w:color w:val="auto"/>
          <w:highlight w:val="none"/>
        </w:rPr>
        <w:t xml:space="preserve">本项目</w:t>
      </w:r>
      <w:r>
        <w:rPr>
          <w:rFonts w:hint="eastAsia"/>
          <w:color w:val="auto"/>
          <w:highlight w:val="none"/>
        </w:rPr>
        <w:t xml:space="preserve">人员</w:t>
      </w:r>
      <w:r>
        <w:rPr>
          <w:color w:val="auto"/>
          <w:highlight w:val="none"/>
        </w:rPr>
        <w:t xml:space="preserve">、财产和机械设备的保险。 </w:t>
      </w:r>
      <w:bookmarkEnd w:id="101"/>
      <w:r/>
      <w:r/>
    </w:p>
    <w:p>
      <w:pPr>
        <w:pStyle w:val="750"/>
        <w:ind w:firstLine="482"/>
        <w:spacing w:before="0" w:after="0" w:line="360" w:lineRule="auto"/>
        <w:rPr>
          <w:color w:val="auto"/>
          <w:highlight w:val="none"/>
        </w:rPr>
      </w:pPr>
      <w:r>
        <w:rPr>
          <w:color w:val="auto"/>
          <w:highlight w:val="none"/>
        </w:rPr>
        <w:t xml:space="preserve">二十</w:t>
      </w:r>
      <w:r>
        <w:rPr>
          <w:rFonts w:hint="eastAsia"/>
          <w:color w:val="auto"/>
          <w:highlight w:val="none"/>
        </w:rPr>
        <w:t xml:space="preserve">八</w:t>
      </w:r>
      <w:r>
        <w:rPr>
          <w:color w:val="auto"/>
          <w:highlight w:val="none"/>
        </w:rPr>
        <w:t xml:space="preserve">、合同的生效、终止</w:t>
      </w:r>
      <w:r>
        <w:rPr>
          <w:rFonts w:hint="eastAsia"/>
          <w:color w:val="auto"/>
          <w:highlight w:val="none"/>
        </w:rPr>
        <w:t xml:space="preserve">及其他</w:t>
      </w:r>
      <w:r/>
    </w:p>
    <w:p>
      <w:pPr>
        <w:pStyle w:val="797"/>
        <w:ind w:firstLine="480"/>
        <w:jc w:val="both"/>
        <w:spacing w:line="360" w:lineRule="auto"/>
        <w:rPr>
          <w:color w:val="auto"/>
          <w:highlight w:val="none"/>
        </w:rPr>
      </w:pPr>
      <w:r>
        <w:rPr>
          <w:color w:val="auto"/>
          <w:highlight w:val="none"/>
        </w:rPr>
        <w:t xml:space="preserve">（一）本合同在双方签字、盖章后生效。 </w:t>
      </w:r>
      <w:r/>
    </w:p>
    <w:p>
      <w:pPr>
        <w:pStyle w:val="797"/>
        <w:ind w:firstLine="480"/>
        <w:jc w:val="both"/>
        <w:spacing w:line="360" w:lineRule="auto"/>
        <w:rPr>
          <w:color w:val="auto"/>
          <w:highlight w:val="none"/>
        </w:rPr>
      </w:pPr>
      <w:r>
        <w:rPr>
          <w:color w:val="auto"/>
          <w:highlight w:val="none"/>
        </w:rPr>
        <w:t xml:space="preserve">（二）本合同未尽事宜另立补充协议，补充协议与本合同具有同等法律效力。</w:t>
      </w:r>
      <w:r/>
    </w:p>
    <w:p>
      <w:pPr>
        <w:pStyle w:val="797"/>
        <w:ind w:firstLine="480"/>
        <w:jc w:val="both"/>
        <w:spacing w:line="360" w:lineRule="auto"/>
        <w:rPr>
          <w:color w:val="auto"/>
          <w:highlight w:val="none"/>
        </w:rPr>
      </w:pPr>
      <w:r>
        <w:rPr>
          <w:color w:val="auto"/>
          <w:highlight w:val="none"/>
        </w:rPr>
        <w:t xml:space="preserve">（三）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别享有和承担相关权利和义务。</w:t>
      </w:r>
      <w:r/>
    </w:p>
    <w:p>
      <w:pPr>
        <w:pStyle w:val="797"/>
        <w:ind w:firstLine="480"/>
        <w:jc w:val="both"/>
        <w:spacing w:line="360" w:lineRule="auto"/>
        <w:rPr>
          <w:color w:val="auto"/>
          <w:highlight w:val="none"/>
        </w:rPr>
      </w:pPr>
      <w:r>
        <w:rPr>
          <w:color w:val="auto"/>
          <w:highlight w:val="none"/>
        </w:rPr>
        <w:t xml:space="preserve">（四）合同的终止 </w:t>
      </w:r>
      <w:r/>
    </w:p>
    <w:p>
      <w:pPr>
        <w:pStyle w:val="797"/>
        <w:ind w:firstLine="480"/>
        <w:jc w:val="both"/>
        <w:spacing w:line="360" w:lineRule="auto"/>
        <w:rPr>
          <w:color w:val="auto"/>
          <w:highlight w:val="none"/>
        </w:rPr>
      </w:pPr>
      <w:r>
        <w:rPr>
          <w:rFonts w:hint="eastAsia"/>
          <w:color w:val="auto"/>
          <w:highlight w:val="none"/>
          <w:lang w:eastAsia="zh-CN"/>
        </w:rPr>
        <w:t xml:space="preserve">1.</w:t>
      </w:r>
      <w:r>
        <w:rPr>
          <w:color w:val="auto"/>
          <w:highlight w:val="none"/>
        </w:rPr>
        <w:t xml:space="preserve">在项目结算，甲方付款完毕，乙方将系统交付甲方后，除有关质量保证条款仍然生效外，</w:t>
      </w:r>
      <w:r>
        <w:rPr>
          <w:rFonts w:hint="eastAsia"/>
          <w:color w:val="auto"/>
          <w:highlight w:val="none"/>
        </w:rPr>
        <w:t xml:space="preserve">其他条款</w:t>
      </w:r>
      <w:r>
        <w:rPr>
          <w:color w:val="auto"/>
          <w:highlight w:val="none"/>
        </w:rPr>
        <w:t xml:space="preserve">即告终止，质量保证期满后，有关质量保证条款终止。</w:t>
      </w:r>
      <w:r/>
    </w:p>
    <w:p>
      <w:pPr>
        <w:pStyle w:val="797"/>
        <w:ind w:firstLine="480"/>
        <w:jc w:val="both"/>
        <w:spacing w:line="360" w:lineRule="auto"/>
        <w:rPr>
          <w:color w:val="auto"/>
          <w:highlight w:val="none"/>
        </w:rPr>
      </w:pPr>
      <w:r>
        <w:rPr>
          <w:color w:val="auto"/>
          <w:highlight w:val="none"/>
        </w:rPr>
        <w:t xml:space="preserve">2、如果乙方破产或无清偿能力，甲方可在任何时候以书面形式通知乙方，提出终止合同而不给乙方补偿。该终止合同将不损害或影响甲方已经采取或将要采取的任何行动或补救措施的权力。</w:t>
      </w:r>
      <w:r/>
    </w:p>
    <w:p>
      <w:pPr>
        <w:pStyle w:val="797"/>
        <w:ind w:firstLine="480"/>
        <w:jc w:val="both"/>
        <w:spacing w:line="360" w:lineRule="auto"/>
        <w:rPr>
          <w:color w:val="auto"/>
          <w:highlight w:val="none"/>
        </w:rPr>
      </w:pPr>
      <w:r>
        <w:rPr>
          <w:color w:val="auto"/>
          <w:highlight w:val="none"/>
        </w:rPr>
        <w:t xml:space="preserve">3、甲方可在任何时候出于自身的便利向乙方发出书面通知，全部或部分终止合同，终止通知应明确该终止合同是出于甲方的便利，合同终止的程度以及终止的生效日期。</w:t>
      </w:r>
      <w:r/>
    </w:p>
    <w:p>
      <w:pPr>
        <w:ind w:firstLine="480"/>
        <w:spacing w:line="360" w:lineRule="auto"/>
        <w:rPr>
          <w:color w:val="auto"/>
          <w:sz w:val="24"/>
          <w:highlight w:val="none"/>
        </w:rPr>
      </w:pPr>
      <w:r>
        <w:rPr>
          <w:color w:val="auto"/>
          <w:sz w:val="24"/>
          <w:highlight w:val="none"/>
        </w:rPr>
        <w:t xml:space="preserve">（五）本合同一式六份</w:t>
      </w:r>
      <w:r>
        <w:rPr>
          <w:rFonts w:hint="eastAsia"/>
          <w:color w:val="auto"/>
          <w:sz w:val="24"/>
          <w:highlight w:val="none"/>
        </w:rPr>
        <w:t xml:space="preserve">，</w:t>
      </w:r>
      <w:r>
        <w:rPr>
          <w:color w:val="auto"/>
          <w:sz w:val="24"/>
          <w:highlight w:val="none"/>
        </w:rPr>
        <w:t xml:space="preserve">甲乙双方各执三份。</w:t>
      </w:r>
      <w:r/>
    </w:p>
    <w:p>
      <w:pPr>
        <w:ind w:firstLine="480"/>
        <w:spacing w:line="360" w:lineRule="auto"/>
        <w:rPr>
          <w:color w:val="auto"/>
          <w:sz w:val="24"/>
          <w:highlight w:val="none"/>
        </w:rPr>
      </w:pPr>
      <w:r>
        <w:rPr>
          <w:color w:val="auto"/>
          <w:sz w:val="24"/>
          <w:highlight w:val="none"/>
        </w:rPr>
        <w:t xml:space="preserve">甲方名称（公章）：</w:t>
      </w:r>
      <w:r>
        <w:rPr>
          <w:color w:val="auto"/>
          <w:sz w:val="24"/>
          <w:highlight w:val="none"/>
          <w:u w:val="single"/>
        </w:rPr>
        <w:t xml:space="preserve">太湖流域水文水资源监测中心（太湖流域水环境监测中心）</w:t>
      </w:r>
      <w:r/>
    </w:p>
    <w:p>
      <w:pPr>
        <w:ind w:firstLine="480"/>
        <w:spacing w:line="360" w:lineRule="auto"/>
        <w:rPr>
          <w:color w:val="auto"/>
          <w:sz w:val="24"/>
          <w:highlight w:val="none"/>
        </w:rPr>
      </w:pPr>
      <w:r>
        <w:rPr>
          <w:color w:val="auto"/>
          <w:sz w:val="24"/>
          <w:highlight w:val="none"/>
        </w:rPr>
        <w:t xml:space="preserve">法定代表人／委托代理人（签名）：</w:t>
      </w:r>
      <w:r>
        <w:rPr>
          <w:color w:val="auto"/>
          <w:sz w:val="24"/>
          <w:highlight w:val="none"/>
          <w:u w:val="single"/>
        </w:rPr>
        <w:t xml:space="preserve">                  </w:t>
      </w:r>
      <w:r/>
    </w:p>
    <w:p>
      <w:pPr>
        <w:ind w:firstLine="480"/>
        <w:spacing w:line="360" w:lineRule="auto"/>
        <w:rPr>
          <w:color w:val="auto"/>
          <w:sz w:val="24"/>
          <w:highlight w:val="none"/>
          <w:u w:val="single"/>
        </w:rPr>
      </w:pPr>
      <w:r>
        <w:rPr>
          <w:color w:val="auto"/>
          <w:sz w:val="24"/>
          <w:highlight w:val="none"/>
        </w:rPr>
        <w:t xml:space="preserve">甲方地址：</w:t>
      </w:r>
      <w:r>
        <w:rPr>
          <w:rFonts w:hint="eastAsia"/>
          <w:color w:val="auto"/>
          <w:sz w:val="24"/>
          <w:highlight w:val="none"/>
          <w:u w:val="single"/>
        </w:rPr>
        <w:t xml:space="preserve">无锡市金城路8</w:t>
      </w:r>
      <w:r>
        <w:rPr>
          <w:color w:val="auto"/>
          <w:sz w:val="24"/>
          <w:highlight w:val="none"/>
          <w:u w:val="single"/>
        </w:rPr>
        <w:t xml:space="preserve">35</w:t>
      </w:r>
      <w:r>
        <w:rPr>
          <w:rFonts w:hint="eastAsia"/>
          <w:color w:val="auto"/>
          <w:sz w:val="24"/>
          <w:highlight w:val="none"/>
          <w:u w:val="single"/>
        </w:rPr>
        <w:t xml:space="preserve">号</w:t>
      </w:r>
      <w:r/>
    </w:p>
    <w:p>
      <w:pPr>
        <w:ind w:firstLine="480"/>
        <w:spacing w:line="360" w:lineRule="auto"/>
        <w:rPr>
          <w:color w:val="auto"/>
          <w:sz w:val="24"/>
          <w:highlight w:val="none"/>
        </w:rPr>
      </w:pPr>
      <w:r>
        <w:rPr>
          <w:color w:val="auto"/>
          <w:sz w:val="24"/>
          <w:highlight w:val="none"/>
        </w:rPr>
        <w:t xml:space="preserve">开户行：</w:t>
      </w:r>
      <w:r>
        <w:rPr>
          <w:color w:val="auto"/>
          <w:sz w:val="24"/>
          <w:highlight w:val="none"/>
          <w:u w:val="single"/>
        </w:rPr>
        <w:t xml:space="preserve">                           </w:t>
      </w:r>
      <w:r>
        <w:rPr>
          <w:color w:val="auto"/>
          <w:sz w:val="24"/>
          <w:highlight w:val="none"/>
        </w:rPr>
        <w:t xml:space="preserve"> </w:t>
      </w:r>
      <w:r/>
    </w:p>
    <w:p>
      <w:pPr>
        <w:ind w:firstLine="480"/>
        <w:spacing w:line="360" w:lineRule="auto"/>
        <w:rPr>
          <w:color w:val="auto"/>
          <w:sz w:val="24"/>
          <w:highlight w:val="none"/>
        </w:rPr>
      </w:pPr>
      <w:r>
        <w:rPr>
          <w:color w:val="auto"/>
          <w:sz w:val="24"/>
          <w:highlight w:val="none"/>
        </w:rPr>
        <w:t xml:space="preserve">账号：</w:t>
      </w:r>
      <w:r>
        <w:rPr>
          <w:color w:val="auto"/>
          <w:sz w:val="24"/>
          <w:highlight w:val="none"/>
          <w:u w:val="single"/>
        </w:rPr>
        <w:t xml:space="preserve">                             </w:t>
      </w:r>
      <w:r/>
    </w:p>
    <w:p>
      <w:pPr>
        <w:ind w:firstLine="480"/>
        <w:spacing w:line="360" w:lineRule="auto"/>
        <w:rPr>
          <w:color w:val="auto"/>
          <w:sz w:val="24"/>
          <w:highlight w:val="none"/>
        </w:rPr>
      </w:pPr>
      <w:r>
        <w:rPr>
          <w:color w:val="auto"/>
          <w:sz w:val="24"/>
          <w:highlight w:val="none"/>
        </w:rPr>
        <w:t xml:space="preserve">电话：</w:t>
      </w:r>
      <w:r>
        <w:rPr>
          <w:color w:val="auto"/>
          <w:sz w:val="24"/>
          <w:highlight w:val="none"/>
          <w:u w:val="single"/>
        </w:rPr>
        <w:t xml:space="preserve">                             </w:t>
      </w:r>
      <w:r/>
    </w:p>
    <w:p>
      <w:pPr>
        <w:ind w:firstLine="480"/>
        <w:spacing w:line="360" w:lineRule="auto"/>
        <w:rPr>
          <w:color w:val="auto"/>
          <w:sz w:val="24"/>
          <w:highlight w:val="none"/>
        </w:rPr>
      </w:pPr>
      <w:r>
        <w:rPr>
          <w:color w:val="auto"/>
          <w:sz w:val="24"/>
          <w:highlight w:val="none"/>
        </w:rPr>
        <w:t xml:space="preserve">传真：</w:t>
      </w:r>
      <w:r>
        <w:rPr>
          <w:color w:val="auto"/>
          <w:sz w:val="24"/>
          <w:highlight w:val="none"/>
          <w:u w:val="single"/>
        </w:rPr>
        <w:t xml:space="preserve">                             </w:t>
      </w:r>
      <w:r/>
    </w:p>
    <w:p>
      <w:pPr>
        <w:ind w:firstLine="480"/>
        <w:spacing w:line="360" w:lineRule="auto"/>
        <w:rPr>
          <w:color w:val="auto"/>
          <w:sz w:val="24"/>
          <w:highlight w:val="none"/>
        </w:rPr>
      </w:pPr>
      <w:r>
        <w:rPr>
          <w:color w:val="auto"/>
          <w:sz w:val="24"/>
          <w:highlight w:val="none"/>
        </w:rPr>
        <w:t xml:space="preserve">乙方名称（公章）</w:t>
      </w:r>
      <w:r>
        <w:rPr>
          <w:rFonts w:hint="eastAsia"/>
          <w:color w:val="auto"/>
          <w:sz w:val="24"/>
          <w:highlight w:val="none"/>
          <w:u w:val="single"/>
        </w:rPr>
        <w:t xml:space="preserve"> </w:t>
      </w:r>
      <w:r>
        <w:rPr>
          <w:color w:val="auto"/>
          <w:sz w:val="24"/>
          <w:highlight w:val="none"/>
          <w:u w:val="single"/>
        </w:rPr>
        <w:t xml:space="preserve">                         </w:t>
      </w:r>
      <w:r>
        <w:rPr>
          <w:color w:val="auto"/>
          <w:sz w:val="24"/>
          <w:highlight w:val="none"/>
        </w:rPr>
        <w:t xml:space="preserve">  </w:t>
      </w:r>
      <w:r/>
    </w:p>
    <w:p>
      <w:pPr>
        <w:ind w:firstLine="480"/>
        <w:spacing w:line="360" w:lineRule="auto"/>
        <w:rPr>
          <w:color w:val="auto"/>
          <w:sz w:val="24"/>
          <w:highlight w:val="none"/>
        </w:rPr>
      </w:pPr>
      <w:r>
        <w:rPr>
          <w:color w:val="auto"/>
          <w:sz w:val="24"/>
          <w:highlight w:val="none"/>
        </w:rPr>
        <w:t xml:space="preserve">法定代表人／委托代理人（签名）：</w:t>
      </w:r>
      <w:r>
        <w:rPr>
          <w:color w:val="auto"/>
          <w:sz w:val="24"/>
          <w:highlight w:val="none"/>
          <w:u w:val="single"/>
        </w:rPr>
        <w:t xml:space="preserve">                          </w:t>
      </w:r>
      <w:r/>
    </w:p>
    <w:p>
      <w:pPr>
        <w:ind w:firstLine="480"/>
        <w:spacing w:line="360" w:lineRule="auto"/>
        <w:rPr>
          <w:color w:val="auto"/>
          <w:sz w:val="24"/>
          <w:highlight w:val="none"/>
        </w:rPr>
      </w:pPr>
      <w:r>
        <w:rPr>
          <w:color w:val="auto"/>
          <w:sz w:val="24"/>
          <w:highlight w:val="none"/>
        </w:rPr>
        <w:t xml:space="preserve">乙方地址：</w:t>
      </w:r>
      <w:r>
        <w:rPr>
          <w:rFonts w:hint="eastAsia"/>
          <w:color w:val="auto"/>
          <w:sz w:val="24"/>
          <w:highlight w:val="none"/>
          <w:u w:val="single"/>
        </w:rPr>
        <w:t xml:space="preserve"> </w:t>
      </w:r>
      <w:r>
        <w:rPr>
          <w:color w:val="auto"/>
          <w:sz w:val="24"/>
          <w:highlight w:val="none"/>
          <w:u w:val="single"/>
        </w:rPr>
        <w:t xml:space="preserve">                          </w:t>
      </w:r>
      <w:r>
        <w:rPr>
          <w:color w:val="auto"/>
          <w:sz w:val="24"/>
          <w:highlight w:val="none"/>
        </w:rPr>
        <w:t xml:space="preserve">                         </w:t>
      </w:r>
      <w:r/>
    </w:p>
    <w:p>
      <w:pPr>
        <w:ind w:firstLine="480"/>
        <w:spacing w:line="360" w:lineRule="auto"/>
        <w:rPr>
          <w:color w:val="auto"/>
          <w:sz w:val="24"/>
          <w:highlight w:val="none"/>
        </w:rPr>
      </w:pPr>
      <w:r>
        <w:rPr>
          <w:color w:val="auto"/>
          <w:sz w:val="24"/>
          <w:highlight w:val="none"/>
        </w:rPr>
        <w:t xml:space="preserve">开户行：</w:t>
      </w:r>
      <w:r>
        <w:rPr>
          <w:rFonts w:hint="eastAsia"/>
          <w:color w:val="auto"/>
          <w:sz w:val="24"/>
          <w:highlight w:val="none"/>
          <w:u w:val="single"/>
        </w:rPr>
        <w:t xml:space="preserve"> </w:t>
      </w:r>
      <w:r>
        <w:rPr>
          <w:color w:val="auto"/>
          <w:sz w:val="24"/>
          <w:highlight w:val="none"/>
          <w:u w:val="single"/>
        </w:rPr>
        <w:t xml:space="preserve">                            </w:t>
      </w:r>
      <w:r>
        <w:rPr>
          <w:color w:val="auto"/>
          <w:sz w:val="24"/>
          <w:highlight w:val="none"/>
        </w:rPr>
        <w:t xml:space="preserve">     </w:t>
      </w:r>
      <w:r/>
    </w:p>
    <w:p>
      <w:pPr>
        <w:ind w:firstLine="480"/>
        <w:spacing w:line="360" w:lineRule="auto"/>
        <w:rPr>
          <w:color w:val="auto"/>
          <w:sz w:val="24"/>
          <w:highlight w:val="none"/>
        </w:rPr>
      </w:pPr>
      <w:r>
        <w:rPr>
          <w:color w:val="auto"/>
          <w:sz w:val="24"/>
          <w:highlight w:val="none"/>
        </w:rPr>
        <w:t xml:space="preserve">账号：</w:t>
      </w:r>
      <w:r>
        <w:rPr>
          <w:color w:val="auto"/>
          <w:sz w:val="24"/>
          <w:highlight w:val="none"/>
          <w:u w:val="single"/>
        </w:rPr>
        <w:t xml:space="preserve">                               </w:t>
      </w:r>
      <w:r>
        <w:rPr>
          <w:color w:val="auto"/>
          <w:sz w:val="24"/>
          <w:highlight w:val="none"/>
        </w:rPr>
        <w:t xml:space="preserve">     </w:t>
      </w:r>
      <w:r/>
    </w:p>
    <w:p>
      <w:pPr>
        <w:ind w:firstLine="439"/>
        <w:spacing w:line="360" w:lineRule="auto"/>
        <w:rPr>
          <w:color w:val="auto"/>
          <w:sz w:val="24"/>
          <w:highlight w:val="none"/>
        </w:rPr>
      </w:pPr>
      <w:r>
        <w:rPr>
          <w:color w:val="auto"/>
          <w:sz w:val="24"/>
          <w:highlight w:val="none"/>
        </w:rPr>
        <w:t xml:space="preserve">电话：</w:t>
      </w:r>
      <w:r>
        <w:rPr>
          <w:color w:val="auto"/>
          <w:sz w:val="24"/>
          <w:highlight w:val="none"/>
          <w:u w:val="single"/>
        </w:rPr>
        <w:t xml:space="preserve">                               </w:t>
      </w:r>
      <w:r>
        <w:rPr>
          <w:color w:val="auto"/>
          <w:sz w:val="24"/>
          <w:highlight w:val="none"/>
        </w:rPr>
        <w:t xml:space="preserve">     </w:t>
      </w:r>
      <w:r/>
    </w:p>
    <w:p>
      <w:pPr>
        <w:ind w:firstLine="439"/>
        <w:spacing w:line="360" w:lineRule="auto"/>
        <w:rPr>
          <w:color w:val="auto"/>
          <w:highlight w:val="none"/>
        </w:rPr>
      </w:pPr>
      <w:r>
        <w:rPr>
          <w:color w:val="auto"/>
          <w:sz w:val="24"/>
          <w:highlight w:val="none"/>
        </w:rPr>
        <w:t xml:space="preserve">传真：</w:t>
      </w:r>
      <w:r>
        <w:rPr>
          <w:color w:val="auto"/>
          <w:sz w:val="24"/>
          <w:highlight w:val="none"/>
          <w:u w:val="single"/>
        </w:rPr>
        <w:t xml:space="preserve">                               </w:t>
      </w:r>
      <w:r>
        <w:rPr>
          <w:color w:val="auto"/>
          <w:sz w:val="24"/>
          <w:highlight w:val="none"/>
        </w:rPr>
        <w:t xml:space="preserve">      </w:t>
      </w:r>
      <w:r>
        <w:rPr>
          <w:rFonts w:hint="eastAsia" w:ascii="黑体" w:hAnsi="Cambria" w:eastAsia="黑体"/>
          <w:b/>
          <w:bCs/>
          <w:color w:val="auto"/>
          <w:sz w:val="36"/>
          <w:szCs w:val="36"/>
          <w:highlight w:val="none"/>
        </w:rPr>
        <w:br w:type="page" w:clear="all"/>
      </w:r>
      <w:r/>
    </w:p>
    <w:p>
      <w:pPr>
        <w:jc w:val="center"/>
        <w:rPr>
          <w:rFonts w:ascii="黑体" w:hAnsi="Cambria" w:eastAsia="黑体"/>
          <w:b/>
          <w:bCs/>
          <w:color w:val="auto"/>
          <w:sz w:val="36"/>
          <w:szCs w:val="36"/>
          <w:highlight w:val="none"/>
        </w:rPr>
        <w:outlineLvl w:val="0"/>
      </w:pPr>
      <w:r/>
      <w:bookmarkStart w:id="102" w:name="_Toc23910"/>
      <w:r>
        <w:rPr>
          <w:rFonts w:hint="eastAsia" w:ascii="黑体" w:hAnsi="Cambria" w:eastAsia="黑体"/>
          <w:b/>
          <w:bCs/>
          <w:color w:val="auto"/>
          <w:sz w:val="36"/>
          <w:szCs w:val="36"/>
          <w:highlight w:val="none"/>
        </w:rPr>
        <w:t xml:space="preserve">五、附件</w:t>
      </w:r>
      <w:bookmarkEnd w:id="102"/>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（一）评分项目及分值（总分100分）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2.投标供应商评价                               16分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3.技术指标                                     12分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4.技术文件                                     42分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（二）各项目评分标准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（1）价格扣除：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对小型和微型企业产品的报价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参加投标的中小企业，应当按照《政府采购促进中小企业发展暂行办法》（财库〔2020〕46号）的规定提供《中小企业声明函》格式见附件。（中小企业划型标准详见《关于印发中小企业划型标准规定的通知》工信部联企业〔2011〕300号）。</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注：同一投标供应商，上述三项价格扣除优惠不得重复享受。</w:t>
      </w:r>
      <w:r/>
    </w:p>
    <w:p>
      <w:pPr>
        <w:ind w:firstLine="482"/>
        <w:jc w:val="left"/>
        <w:spacing w:line="500" w:lineRule="exact"/>
        <w:rPr>
          <w:rFonts w:ascii="宋体" w:hAnsi="宋体"/>
          <w:b/>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
          <w:bCs/>
          <w:color w:val="auto"/>
          <w:sz w:val="24"/>
          <w:szCs w:val="24"/>
          <w:highlight w:val="none"/>
        </w:rPr>
        <w:t xml:space="preserve">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2）注意事项</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③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cs="宋体"/>
          <w:bCs/>
          <w:color w:val="auto"/>
          <w:sz w:val="24"/>
          <w:szCs w:val="24"/>
          <w:highlight w:val="none"/>
        </w:rPr>
      </w:pPr>
      <w:r>
        <w:rPr>
          <w:rFonts w:hint="eastAsia" w:ascii="宋体" w:hAnsi="宋体"/>
          <w:bCs/>
          <w:color w:val="auto"/>
          <w:sz w:val="24"/>
          <w:szCs w:val="24"/>
          <w:highlight w:val="none"/>
        </w:rPr>
        <w:t xml:space="preserve">1000000×[1-（10%+20%）]=700000元</w:t>
      </w:r>
      <w:r/>
    </w:p>
    <w:p>
      <w:pPr>
        <w:numPr>
          <w:ilvl w:val="0"/>
          <w:numId w:val="24"/>
        </w:numPr>
        <w:ind w:firstLine="482"/>
        <w:spacing w:line="360" w:lineRule="auto"/>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投标供应商评价（16分）</w:t>
      </w:r>
      <w:r/>
    </w:p>
    <w:tbl>
      <w:tblPr>
        <w:tblStyle w:val="726"/>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1"/>
        <w:gridCol w:w="7153"/>
        <w:gridCol w:w="1214"/>
      </w:tblGrid>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360" w:lineRule="auto"/>
              <w:rPr>
                <w:rFonts w:ascii="宋体" w:hAnsi="宋体"/>
                <w:b/>
                <w:bCs/>
                <w:color w:val="auto"/>
                <w:sz w:val="24"/>
                <w:highlight w:val="none"/>
              </w:rPr>
            </w:pPr>
            <w:r>
              <w:rPr>
                <w:rFonts w:hint="eastAsia" w:ascii="宋体" w:hAnsi="宋体" w:cs="宋体"/>
                <w:b/>
                <w:bCs/>
                <w:color w:val="auto"/>
                <w:sz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360" w:lineRule="auto"/>
              <w:rPr>
                <w:rFonts w:ascii="宋体" w:hAnsi="宋体"/>
                <w:b/>
                <w:bCs/>
                <w:color w:val="auto"/>
                <w:sz w:val="24"/>
                <w:highlight w:val="none"/>
              </w:rPr>
            </w:pPr>
            <w:r>
              <w:rPr>
                <w:rFonts w:hint="eastAsia" w:ascii="宋体" w:hAnsi="宋体" w:cs="宋体"/>
                <w:b/>
                <w:bCs/>
                <w:color w:val="auto"/>
                <w:sz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ascii="宋体" w:hAnsi="宋体"/>
                <w:b/>
                <w:bCs/>
                <w:color w:val="auto"/>
                <w:sz w:val="24"/>
                <w:highlight w:val="none"/>
              </w:rPr>
            </w:pPr>
            <w:r>
              <w:rPr>
                <w:rFonts w:hint="eastAsia" w:ascii="宋体" w:hAnsi="宋体" w:cs="宋体"/>
                <w:b/>
                <w:bCs/>
                <w:color w:val="auto"/>
                <w:sz w:val="24"/>
                <w:highlight w:val="none"/>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投标供应商管理体系认证</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spacing w:line="360" w:lineRule="auto"/>
              <w:rPr>
                <w:color w:val="auto"/>
                <w:sz w:val="24"/>
                <w:highlight w:val="none"/>
              </w:rPr>
            </w:pPr>
            <w:r>
              <w:rPr>
                <w:rFonts w:hint="eastAsia"/>
                <w:color w:val="auto"/>
                <w:sz w:val="24"/>
                <w:highlight w:val="none"/>
              </w:rPr>
              <w:t xml:space="preserve">投标供应商具有在有效期内的质量管理体系认证证书、环境管理体系认证证书、职业健康安全管理体系认证证书、信息安全管理体系认证证书，每有1个得1分，最高得4分。</w:t>
            </w:r>
            <w:r/>
          </w:p>
          <w:p>
            <w:pPr>
              <w:spacing w:line="360" w:lineRule="auto"/>
              <w:rPr>
                <w:color w:val="auto"/>
                <w:highlight w:val="none"/>
              </w:rPr>
            </w:pPr>
            <w:r>
              <w:rPr>
                <w:rFonts w:hint="eastAsia"/>
                <w:b/>
                <w:bCs/>
                <w:color w:val="auto"/>
                <w:sz w:val="24"/>
                <w:highlight w:val="none"/>
              </w:rPr>
              <w:t xml:space="preserve">注：提供证书扫描件上传至电子投标文件，未按要求提供不得分。</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firstLine="240"/>
              <w:spacing w:line="360" w:lineRule="auto"/>
              <w:rPr>
                <w:rFonts w:ascii="宋体" w:hAnsi="宋体"/>
                <w:color w:val="auto"/>
                <w:sz w:val="24"/>
                <w:highlight w:val="none"/>
              </w:rPr>
            </w:pPr>
            <w:r>
              <w:rPr>
                <w:rFonts w:hint="eastAsia" w:ascii="宋体" w:hAnsi="宋体"/>
                <w:color w:val="auto"/>
                <w:sz w:val="24"/>
                <w:highlight w:val="none"/>
              </w:rPr>
              <w:t xml:space="preserve">4分</w:t>
            </w:r>
            <w:r/>
          </w:p>
        </w:tc>
      </w:tr>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投标供应商业绩</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spacing w:line="360" w:lineRule="auto"/>
              <w:rPr>
                <w:color w:val="auto"/>
                <w:sz w:val="24"/>
                <w:highlight w:val="none"/>
              </w:rPr>
            </w:pPr>
            <w:r>
              <w:rPr>
                <w:rFonts w:hint="eastAsia"/>
                <w:color w:val="auto"/>
                <w:sz w:val="24"/>
                <w:highlight w:val="none"/>
              </w:rPr>
              <w:t xml:space="preserve">投标供应商自2022年1月1日至本项目截标时间止（日期以合同签订时间为准），完成相关</w:t>
            </w:r>
            <w:r>
              <w:rPr>
                <w:color w:val="auto"/>
                <w:sz w:val="24"/>
                <w:highlight w:val="none"/>
              </w:rPr>
              <w:t xml:space="preserve">AI视觉识别</w:t>
            </w:r>
            <w:r>
              <w:rPr>
                <w:rFonts w:hint="eastAsia"/>
                <w:color w:val="auto"/>
                <w:sz w:val="24"/>
                <w:highlight w:val="none"/>
              </w:rPr>
              <w:t xml:space="preserve">监测项目并经验收合格的同类业绩，每个得</w:t>
            </w:r>
            <w:r>
              <w:rPr>
                <w:rFonts w:hint="eastAsia"/>
                <w:color w:val="auto"/>
                <w:sz w:val="24"/>
                <w:highlight w:val="none"/>
                <w:lang w:val="en-US" w:eastAsia="zh-CN"/>
              </w:rPr>
              <w:t xml:space="preserve">2</w:t>
            </w:r>
            <w:r>
              <w:rPr>
                <w:rFonts w:hint="eastAsia"/>
                <w:color w:val="auto"/>
                <w:sz w:val="24"/>
                <w:highlight w:val="none"/>
              </w:rPr>
              <w:t xml:space="preserve">分，最高得</w:t>
            </w:r>
            <w:r>
              <w:rPr>
                <w:rFonts w:hint="eastAsia"/>
                <w:color w:val="auto"/>
                <w:sz w:val="24"/>
                <w:highlight w:val="none"/>
                <w:lang w:val="en-US" w:eastAsia="zh-CN"/>
              </w:rPr>
              <w:t xml:space="preserve">2</w:t>
            </w:r>
            <w:r>
              <w:rPr>
                <w:rFonts w:hint="eastAsia"/>
                <w:color w:val="auto"/>
                <w:sz w:val="24"/>
                <w:highlight w:val="none"/>
              </w:rPr>
              <w:t xml:space="preserve">分。</w:t>
            </w:r>
            <w:r/>
          </w:p>
          <w:p>
            <w:pPr>
              <w:spacing w:line="360" w:lineRule="auto"/>
              <w:rPr>
                <w:b/>
                <w:color w:val="auto"/>
                <w:highlight w:val="none"/>
              </w:rPr>
            </w:pPr>
            <w:r>
              <w:rPr>
                <w:rFonts w:hint="eastAsia"/>
                <w:b/>
                <w:color w:val="auto"/>
                <w:sz w:val="24"/>
                <w:highlight w:val="none"/>
              </w:rPr>
              <w:t xml:space="preserve">注：提供中标通知书、合同、验收文件</w:t>
            </w:r>
            <w:r>
              <w:rPr>
                <w:rFonts w:hint="eastAsia"/>
                <w:b/>
                <w:color w:val="auto"/>
                <w:sz w:val="24"/>
                <w:highlight w:val="none"/>
                <w:lang w:eastAsia="zh-CN"/>
              </w:rPr>
              <w:t xml:space="preserve">扫描件上传至电子投标文件</w:t>
            </w:r>
            <w:r>
              <w:rPr>
                <w:rFonts w:hint="eastAsia"/>
                <w:b/>
                <w:color w:val="auto"/>
                <w:sz w:val="24"/>
                <w:highlight w:val="none"/>
              </w:rPr>
              <w:t xml:space="preserve">，未按要求提供不得分。</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firstLine="24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spacing w:line="360" w:lineRule="auto"/>
              <w:rPr>
                <w:rFonts w:ascii="宋体" w:hAnsi="宋体"/>
                <w:color w:val="auto"/>
                <w:sz w:val="24"/>
                <w:highlight w:val="none"/>
              </w:rPr>
            </w:pPr>
            <w:r>
              <w:rPr>
                <w:rFonts w:hint="eastAsia" w:ascii="宋体" w:hAnsi="宋体" w:cs="宋体"/>
                <w:color w:val="auto"/>
                <w:sz w:val="24"/>
                <w:highlight w:val="none"/>
              </w:rPr>
              <w:t xml:space="preserve">人员配置情况</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（1）投标供应商拟派项目经理具有</w:t>
            </w:r>
            <w:r>
              <w:rPr>
                <w:rFonts w:hint="eastAsia" w:ascii="宋体" w:hAnsi="宋体"/>
                <w:color w:val="auto"/>
                <w:sz w:val="24"/>
                <w:highlight w:val="none"/>
                <w:lang w:val="en-US" w:eastAsia="zh-CN"/>
              </w:rPr>
              <w:t xml:space="preserve">系统集成项目管理工程师得0.5分，具有电子信息工程类副高级及以上证书的</w:t>
            </w:r>
            <w:r>
              <w:rPr>
                <w:rFonts w:hint="eastAsia"/>
                <w:color w:val="auto"/>
                <w:sz w:val="24"/>
                <w:highlight w:val="none"/>
              </w:rPr>
              <w:t xml:space="preserve">得</w:t>
            </w:r>
            <w:r>
              <w:rPr>
                <w:rFonts w:hint="eastAsia" w:ascii="Times New Roman" w:eastAsia="宋体"/>
                <w:color w:val="auto"/>
                <w:sz w:val="24"/>
                <w:highlight w:val="none"/>
                <w:lang w:val="en-US" w:eastAsia="zh-CN"/>
              </w:rPr>
              <w:t xml:space="preserve">0.5</w:t>
            </w:r>
            <w:r>
              <w:rPr>
                <w:rFonts w:hint="eastAsia"/>
                <w:color w:val="auto"/>
                <w:sz w:val="24"/>
                <w:highlight w:val="none"/>
              </w:rPr>
              <w:t xml:space="preserve">分</w:t>
            </w:r>
            <w:r>
              <w:rPr>
                <w:rFonts w:hint="eastAsia" w:eastAsia="宋体"/>
                <w:color w:val="auto"/>
                <w:sz w:val="24"/>
                <w:highlight w:val="none"/>
                <w:lang w:eastAsia="zh-CN"/>
              </w:rPr>
              <w:t xml:space="preserve">，</w:t>
            </w:r>
            <w:r>
              <w:rPr>
                <w:rFonts w:hint="eastAsia" w:ascii="Times New Roman" w:eastAsia="宋体"/>
                <w:color w:val="auto"/>
                <w:sz w:val="24"/>
                <w:highlight w:val="none"/>
                <w:lang w:val="en-US" w:eastAsia="zh-CN"/>
              </w:rPr>
              <w:t xml:space="preserve">本项最高得1分</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（2）投标供应商拟派技术负责人具有信息系统项目管理师</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证书</w:t>
            </w:r>
            <w:r>
              <w:rPr>
                <w:rFonts w:hint="eastAsia" w:ascii="宋体" w:hAnsi="宋体"/>
                <w:color w:val="auto"/>
                <w:sz w:val="24"/>
                <w:highlight w:val="none"/>
                <w:lang w:val="en-US" w:eastAsia="zh-CN"/>
              </w:rPr>
              <w:t xml:space="preserve">的得1分，具有研究员级高级工程师及以上证书的得1分，</w:t>
            </w:r>
            <w:r>
              <w:rPr>
                <w:rFonts w:hint="eastAsia" w:ascii="宋体" w:hAnsi="宋体"/>
                <w:color w:val="auto"/>
                <w:sz w:val="24"/>
                <w:highlight w:val="none"/>
              </w:rPr>
              <w:t xml:space="preserve">本项最高得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p>
          <w:p>
            <w:pPr>
              <w:spacing w:line="360" w:lineRule="auto"/>
              <w:rPr>
                <w:rFonts w:ascii="宋体" w:hAnsi="宋体"/>
                <w:color w:val="auto"/>
                <w:sz w:val="24"/>
                <w:highlight w:val="none"/>
              </w:rPr>
            </w:pPr>
            <w:r>
              <w:rPr>
                <w:rFonts w:hint="eastAsia" w:ascii="宋体" w:hAnsi="宋体"/>
                <w:color w:val="auto"/>
                <w:sz w:val="24"/>
                <w:highlight w:val="none"/>
              </w:rPr>
              <w:t xml:space="preserve">（3）投标供应商拟派项目组配备人员（项目负责人和技术负责人除外）中，具有一级建造师（水利水电或机电专业）证书得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分，具有软件设计师证书得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分，具有</w:t>
            </w:r>
            <w:r>
              <w:rPr>
                <w:rFonts w:hint="eastAsia" w:ascii="宋体" w:hAnsi="宋体"/>
                <w:color w:val="auto"/>
                <w:sz w:val="24"/>
                <w:highlight w:val="none"/>
                <w:lang w:val="en-US" w:eastAsia="zh-CN"/>
              </w:rPr>
              <w:t xml:space="preserve">网络工程师证书的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分，本项最高得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spacing w:line="360" w:lineRule="auto"/>
              <w:rPr>
                <w:rFonts w:ascii="宋体" w:hAnsi="宋体"/>
                <w:color w:val="auto"/>
                <w:sz w:val="24"/>
                <w:highlight w:val="none"/>
              </w:rPr>
            </w:pPr>
            <w:r>
              <w:rPr>
                <w:rFonts w:hint="eastAsia" w:ascii="宋体" w:hAnsi="宋体"/>
                <w:color w:val="auto"/>
                <w:sz w:val="24"/>
                <w:highlight w:val="none"/>
              </w:rPr>
              <w:t xml:space="preserve">（4）投标供应商拟派项目组成员（项目负责人和技术负责人除外）中具有中级</w:t>
            </w:r>
            <w:r>
              <w:rPr>
                <w:rFonts w:hint="eastAsia" w:ascii="宋体" w:hAnsi="宋体"/>
                <w:color w:val="auto"/>
                <w:sz w:val="24"/>
                <w:highlight w:val="none"/>
                <w:lang w:val="en-US" w:eastAsia="zh-CN"/>
              </w:rPr>
              <w:t xml:space="preserve">及以上</w:t>
            </w:r>
            <w:r>
              <w:rPr>
                <w:rFonts w:hint="eastAsia" w:ascii="宋体" w:hAnsi="宋体"/>
                <w:color w:val="auto"/>
                <w:sz w:val="24"/>
                <w:highlight w:val="none"/>
              </w:rPr>
              <w:t xml:space="preserve">职称证书，每有1人得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分，本项最高得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p>
          <w:p>
            <w:pPr>
              <w:rPr>
                <w:rFonts w:ascii="宋体" w:hAnsi="宋体" w:cs="宋体"/>
                <w:b/>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和（4）中的人员一人多证的，不可兼得。</w:t>
            </w:r>
            <w:r>
              <w:rPr>
                <w:rFonts w:hint="eastAsia" w:ascii="宋体" w:hAnsi="宋体" w:cs="宋体"/>
                <w:b/>
                <w:bCs/>
                <w:color w:val="auto"/>
                <w:sz w:val="24"/>
                <w:highlight w:val="none"/>
              </w:rPr>
              <w:t xml:space="preserve">提供拟派人员名单、相关证书及投标供应商为其缴纳近一年中任一个月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不含投标当月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社保缴费证明</w:t>
            </w:r>
            <w:r>
              <w:rPr>
                <w:rFonts w:hint="eastAsia"/>
                <w:b/>
                <w:bCs/>
                <w:color w:val="auto"/>
                <w:sz w:val="24"/>
                <w:highlight w:val="none"/>
              </w:rPr>
              <w:t xml:space="preserve">扫描件上传至电子投标文件</w:t>
            </w:r>
            <w:r>
              <w:rPr>
                <w:rFonts w:hint="eastAsia" w:ascii="宋体" w:hAnsi="宋体" w:cs="宋体"/>
                <w:b/>
                <w:bCs/>
                <w:color w:val="auto"/>
                <w:sz w:val="24"/>
                <w:highlight w:val="none"/>
              </w:rPr>
              <w:t xml:space="preserve">，未按要求提供不得分。</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bCs/>
                <w:color w:val="auto"/>
                <w:sz w:val="24"/>
                <w:szCs w:val="24"/>
                <w:highlight w:val="none"/>
              </w:rPr>
              <w:t xml:space="preserve">节能、环保产品</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有1项，予以加1分，最多加2分。</w:t>
            </w:r>
            <w:r/>
          </w:p>
          <w:p>
            <w:pPr>
              <w:spacing w:line="360" w:lineRule="auto"/>
              <w:rPr>
                <w:rFonts w:ascii="宋体" w:hAnsi="宋体" w:cs="宋体"/>
                <w:b/>
                <w:bCs/>
                <w:color w:val="auto"/>
                <w:sz w:val="24"/>
                <w:highlight w:val="none"/>
              </w:rPr>
            </w:pPr>
            <w:r>
              <w:rPr>
                <w:rFonts w:hint="eastAsia" w:ascii="宋体" w:hAnsi="宋体"/>
                <w:color w:val="auto"/>
                <w:sz w:val="24"/>
                <w:highlight w:val="none"/>
              </w:rPr>
              <w:t xml:space="preserve">注：节能产品、环境标志产品认证证书为同一产品的，不重复加分；投标时提供证书扫描件上传至电子投标文件，未按要求提供不得分。</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w:t>
            </w:r>
            <w:r/>
          </w:p>
        </w:tc>
      </w:tr>
    </w:tbl>
    <w:p>
      <w:pPr>
        <w:pStyle w:val="763"/>
        <w:ind w:left="0" w:firstLine="0"/>
        <w:rPr>
          <w:color w:val="auto"/>
          <w:highlight w:val="none"/>
        </w:rPr>
      </w:pPr>
      <w:r>
        <w:rPr>
          <w:color w:val="auto"/>
          <w:highlight w:val="none"/>
        </w:rPr>
      </w:r>
      <w:r/>
    </w:p>
    <w:p>
      <w:pPr>
        <w:ind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3、技术指标（12分）</w:t>
      </w:r>
      <w:r/>
    </w:p>
    <w:tbl>
      <w:tblPr>
        <w:tblStyle w:val="726"/>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6909"/>
        <w:gridCol w:w="981"/>
      </w:tblGrid>
      <w:tr>
        <w:trPr>
          <w:jc w:val="center"/>
          <w:trHeight w:val="452"/>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W w:w="690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jc w:val="center"/>
          <w:trHeight w:val="79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所投产品</w:t>
            </w:r>
            <w:r>
              <w:rPr>
                <w:rFonts w:hint="eastAsia" w:ascii="宋体" w:hAnsi="宋体" w:cs="宋体"/>
                <w:color w:val="auto"/>
                <w:sz w:val="24"/>
                <w:highlight w:val="none"/>
              </w:rPr>
              <w:t xml:space="preserve">技术参数响应情况</w:t>
            </w:r>
            <w:r/>
          </w:p>
        </w:tc>
        <w:tc>
          <w:tcPr>
            <w:tcBorders>
              <w:top w:val="single" w:color="auto" w:sz="4" w:space="0"/>
              <w:left w:val="single" w:color="auto" w:sz="4" w:space="0"/>
              <w:bottom w:val="single" w:color="auto" w:sz="4" w:space="0"/>
              <w:right w:val="single" w:color="auto" w:sz="4" w:space="0"/>
            </w:tcBorders>
            <w:tcW w:w="6909" w:type="dxa"/>
            <w:vAlign w:val="center"/>
            <w:textDirection w:val="lrTb"/>
            <w:noWrap w:val="false"/>
          </w:tcPr>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所投产品技术参数及要求</w:t>
            </w:r>
            <w:r>
              <w:rPr>
                <w:rFonts w:hint="eastAsia" w:asciiTheme="minorEastAsia" w:hAnsiTheme="minorEastAsia" w:eastAsiaTheme="minorEastAsia" w:cstheme="minorEastAsia"/>
                <w:color w:val="auto"/>
                <w:sz w:val="24"/>
                <w:szCs w:val="24"/>
                <w:highlight w:val="none"/>
                <w:lang w:val="en-US" w:eastAsia="zh-CN"/>
              </w:rPr>
              <w:t xml:space="preserve">均需</w:t>
            </w:r>
            <w:r>
              <w:rPr>
                <w:rFonts w:hint="eastAsia" w:asciiTheme="minorEastAsia" w:hAnsiTheme="minorEastAsia" w:eastAsiaTheme="minorEastAsia" w:cstheme="minorEastAsia"/>
                <w:color w:val="auto"/>
                <w:sz w:val="24"/>
                <w:szCs w:val="24"/>
                <w:highlight w:val="none"/>
              </w:rPr>
              <w:t xml:space="preserve">满足招标文件中条款要求，出现正偏离的，则加分。本</w:t>
            </w:r>
            <w:r>
              <w:rPr>
                <w:rFonts w:hint="eastAsia" w:asciiTheme="minorEastAsia" w:hAnsiTheme="minorEastAsia" w:eastAsiaTheme="minorEastAsia" w:cstheme="minorEastAsia"/>
                <w:color w:val="auto"/>
                <w:sz w:val="24"/>
                <w:szCs w:val="24"/>
                <w:highlight w:val="none"/>
                <w:lang w:val="en-US" w:eastAsia="zh-CN"/>
              </w:rPr>
              <w:t xml:space="preserve">项</w:t>
            </w:r>
            <w:r>
              <w:rPr>
                <w:rFonts w:hint="eastAsia" w:asciiTheme="minorEastAsia" w:hAnsiTheme="minorEastAsia" w:eastAsiaTheme="minorEastAsia" w:cstheme="minorEastAsia"/>
                <w:color w:val="auto"/>
                <w:sz w:val="24"/>
                <w:szCs w:val="24"/>
                <w:highlight w:val="none"/>
              </w:rPr>
              <w:t xml:space="preserve">最高得12分。</w:t>
            </w:r>
            <w:r/>
          </w:p>
          <w:p>
            <w:pPr>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w:t>
            </w:r>
            <w:r>
              <w:rPr>
                <w:rFonts w:hint="eastAsia" w:ascii="宋体" w:hAnsi="宋体"/>
                <w:b/>
                <w:bCs/>
                <w:color w:val="auto"/>
                <w:sz w:val="24"/>
                <w:szCs w:val="24"/>
                <w:highlight w:val="none"/>
              </w:rPr>
              <w:t xml:space="preserve">提供技术支持资料（如产品说明书、彩页、</w:t>
            </w:r>
            <w:r>
              <w:rPr>
                <w:rFonts w:hint="eastAsia" w:ascii="宋体" w:hAnsi="宋体"/>
                <w:b/>
                <w:bCs/>
                <w:color w:val="auto"/>
                <w:sz w:val="24"/>
                <w:szCs w:val="24"/>
                <w:highlight w:val="none"/>
                <w:lang w:val="en-US" w:eastAsia="zh-CN"/>
              </w:rPr>
              <w:t xml:space="preserve">白皮书、</w:t>
            </w:r>
            <w:r>
              <w:rPr>
                <w:rFonts w:hint="eastAsia" w:ascii="宋体" w:hAnsi="宋体"/>
                <w:b/>
                <w:bCs/>
                <w:color w:val="auto"/>
                <w:sz w:val="24"/>
                <w:szCs w:val="24"/>
                <w:highlight w:val="none"/>
              </w:rPr>
              <w:t xml:space="preserve">手册等）扫描件上传至电子投标文件，未提供技术支持资料或提供的技术支持资料不能佐证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w:t>
            </w:r>
            <w:bookmarkStart w:id="105" w:name="_GoBack"/>
            <w:r/>
            <w:bookmarkEnd w:id="105"/>
            <w:r/>
            <w:r/>
          </w:p>
          <w:tbl>
            <w:tblPr>
              <w:tblStyle w:val="764"/>
              <w:tblW w:w="66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2833"/>
              <w:gridCol w:w="2728"/>
            </w:tblGrid>
            <w:tr>
              <w:trPr/>
              <w:tc>
                <w:tcPr>
                  <w:tcW w:w="1132" w:type="dxa"/>
                  <w:textDirection w:val="lrTb"/>
                  <w:noWrap w:val="false"/>
                </w:tcPr>
                <w:p>
                  <w:pPr>
                    <w:jc w:val="center"/>
                    <w:spacing w:line="400" w:lineRule="exact"/>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序号</w:t>
                  </w:r>
                  <w:r/>
                </w:p>
              </w:tc>
              <w:tc>
                <w:tcPr>
                  <w:tcW w:w="2833" w:type="dxa"/>
                  <w:textDirection w:val="lrTb"/>
                  <w:noWrap w:val="false"/>
                </w:tcPr>
                <w:p>
                  <w:pPr>
                    <w:jc w:val="center"/>
                    <w:spacing w:line="400" w:lineRule="exact"/>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采购需求技术参数要求</w:t>
                  </w:r>
                  <w:r/>
                </w:p>
              </w:tc>
              <w:tc>
                <w:tcPr>
                  <w:tcW w:w="2728" w:type="dxa"/>
                  <w:textDirection w:val="lrTb"/>
                  <w:noWrap w:val="false"/>
                </w:tcPr>
                <w:p>
                  <w:pPr>
                    <w:jc w:val="center"/>
                    <w:spacing w:line="400" w:lineRule="exact"/>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加分技术参数要求</w:t>
                  </w:r>
                  <w:r/>
                </w:p>
              </w:tc>
            </w:tr>
            <w:tr>
              <w:trPr/>
              <w:tc>
                <w:tcPr>
                  <w:tcW w:w="1132" w:type="dxa"/>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1</w:t>
                  </w:r>
                  <w:r/>
                </w:p>
              </w:tc>
              <w:tc>
                <w:tcPr>
                  <w:tcW w:w="2833"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1型无人机巢（含无人机）技术跟踪保障</w:t>
                  </w:r>
                  <w:r/>
                </w:p>
              </w:tc>
              <w:tc>
                <w:tcPr>
                  <w:tcW w:w="2728"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多一年技术跟踪保障增加1分（最多2分）</w:t>
                  </w:r>
                  <w:r/>
                </w:p>
              </w:tc>
            </w:tr>
            <w:tr>
              <w:trPr/>
              <w:tc>
                <w:tcPr>
                  <w:tcW w:w="1132" w:type="dxa"/>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2</w:t>
                  </w:r>
                  <w:r/>
                </w:p>
              </w:tc>
              <w:tc>
                <w:tcPr>
                  <w:tcW w:w="2833"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1型无人机电池</w:t>
                  </w:r>
                  <w:r/>
                </w:p>
              </w:tc>
              <w:tc>
                <w:tcPr>
                  <w:tcW w:w="2728"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增加一块电池得1分（最多2分）</w:t>
                  </w:r>
                  <w:r/>
                </w:p>
              </w:tc>
            </w:tr>
            <w:tr>
              <w:trPr/>
              <w:tc>
                <w:tcPr>
                  <w:tcW w:w="1132" w:type="dxa"/>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3</w:t>
                  </w:r>
                  <w:r/>
                </w:p>
              </w:tc>
              <w:tc>
                <w:tcPr>
                  <w:tcW w:w="2833"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1型无人机售后培训</w:t>
                  </w:r>
                  <w:r/>
                </w:p>
              </w:tc>
              <w:tc>
                <w:tcPr>
                  <w:tcW w:w="2728"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每季度进行一次</w:t>
                  </w:r>
                  <w:r>
                    <w:rPr>
                      <w:rFonts w:hint="eastAsia" w:ascii="宋体" w:hAnsi="宋体" w:eastAsia="宋体" w:cs="宋体"/>
                      <w:color w:val="auto"/>
                      <w:sz w:val="24"/>
                      <w:szCs w:val="24"/>
                      <w:highlight w:val="none"/>
                      <w:vertAlign w:val="baseline"/>
                      <w:lang w:val="en-US" w:eastAsia="zh-CN"/>
                    </w:rPr>
                    <w:t xml:space="preserve">（1年4次）</w:t>
                  </w:r>
                  <w:r>
                    <w:rPr>
                      <w:rFonts w:hint="eastAsia" w:ascii="宋体" w:hAnsi="宋体" w:eastAsia="宋体" w:cs="宋体"/>
                      <w:color w:val="auto"/>
                      <w:sz w:val="24"/>
                      <w:szCs w:val="24"/>
                      <w:highlight w:val="none"/>
                      <w:vertAlign w:val="baseline"/>
                    </w:rPr>
                    <w:t xml:space="preserve">免费巡检</w:t>
                  </w:r>
                  <w:r>
                    <w:rPr>
                      <w:rFonts w:hint="eastAsia" w:ascii="宋体" w:hAnsi="宋体" w:eastAsia="宋体" w:cs="宋体"/>
                      <w:color w:val="auto"/>
                      <w:sz w:val="24"/>
                      <w:szCs w:val="24"/>
                      <w:highlight w:val="none"/>
                      <w:vertAlign w:val="baseline"/>
                      <w:lang w:val="en-US" w:eastAsia="zh-CN"/>
                    </w:rPr>
                    <w:t xml:space="preserve">得2分</w:t>
                  </w:r>
                  <w:r/>
                </w:p>
              </w:tc>
            </w:tr>
            <w:tr>
              <w:trPr/>
              <w:tc>
                <w:tcPr>
                  <w:tcW w:w="1132" w:type="dxa"/>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4</w:t>
                  </w:r>
                  <w:r/>
                </w:p>
              </w:tc>
              <w:tc>
                <w:tcPr>
                  <w:tcW w:w="2833"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2型无人机巢（含无人机）技术跟踪保障</w:t>
                  </w:r>
                  <w:r/>
                </w:p>
              </w:tc>
              <w:tc>
                <w:tcPr>
                  <w:tcW w:w="2728"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多一年技术跟踪保障增加1分（最多2分）</w:t>
                  </w:r>
                  <w:r/>
                </w:p>
              </w:tc>
            </w:tr>
            <w:tr>
              <w:trPr/>
              <w:tc>
                <w:tcPr>
                  <w:tcW w:w="1132" w:type="dxa"/>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5</w:t>
                  </w:r>
                  <w:r/>
                </w:p>
              </w:tc>
              <w:tc>
                <w:tcPr>
                  <w:tcW w:w="2833"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2型无人机电池</w:t>
                  </w:r>
                  <w:r/>
                </w:p>
              </w:tc>
              <w:tc>
                <w:tcPr>
                  <w:tcW w:w="2728"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增加一块电池得1分（最多2分）</w:t>
                  </w:r>
                  <w:r/>
                </w:p>
              </w:tc>
            </w:tr>
            <w:tr>
              <w:trPr/>
              <w:tc>
                <w:tcPr>
                  <w:tcW w:w="1132" w:type="dxa"/>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6</w:t>
                  </w:r>
                  <w:r/>
                </w:p>
              </w:tc>
              <w:tc>
                <w:tcPr>
                  <w:tcW w:w="2833"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2型无人机售后培训</w:t>
                  </w:r>
                  <w:r/>
                </w:p>
              </w:tc>
              <w:tc>
                <w:tcPr>
                  <w:tcW w:w="2728"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每季度进行一次</w:t>
                  </w:r>
                  <w:r>
                    <w:rPr>
                      <w:rFonts w:hint="eastAsia" w:ascii="宋体" w:hAnsi="宋体" w:eastAsia="宋体" w:cs="宋体"/>
                      <w:color w:val="auto"/>
                      <w:sz w:val="24"/>
                      <w:szCs w:val="24"/>
                      <w:highlight w:val="none"/>
                      <w:vertAlign w:val="baseline"/>
                      <w:lang w:val="en-US" w:eastAsia="zh-CN"/>
                    </w:rPr>
                    <w:t xml:space="preserve">（1年4次）</w:t>
                  </w:r>
                  <w:r>
                    <w:rPr>
                      <w:rFonts w:hint="eastAsia" w:ascii="宋体" w:hAnsi="宋体" w:eastAsia="宋体" w:cs="宋体"/>
                      <w:color w:val="auto"/>
                      <w:sz w:val="24"/>
                      <w:szCs w:val="24"/>
                      <w:highlight w:val="none"/>
                      <w:vertAlign w:val="baseline"/>
                    </w:rPr>
                    <w:t xml:space="preserve">免费巡检</w:t>
                  </w:r>
                  <w:r>
                    <w:rPr>
                      <w:rFonts w:hint="eastAsia" w:ascii="宋体" w:hAnsi="宋体" w:eastAsia="宋体" w:cs="宋体"/>
                      <w:color w:val="auto"/>
                      <w:sz w:val="24"/>
                      <w:szCs w:val="24"/>
                      <w:highlight w:val="none"/>
                      <w:vertAlign w:val="baseline"/>
                      <w:lang w:val="en-US" w:eastAsia="zh-CN"/>
                    </w:rPr>
                    <w:t xml:space="preserve">得2分</w:t>
                  </w:r>
                  <w:r/>
                </w:p>
              </w:tc>
            </w:tr>
          </w:tbl>
          <w:p>
            <w:pPr>
              <w:pStyle w:val="796"/>
              <w:ind w:firstLine="0"/>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12分</w:t>
            </w:r>
            <w:r/>
          </w:p>
        </w:tc>
      </w:tr>
    </w:tbl>
    <w:p>
      <w:pPr>
        <w:pStyle w:val="795"/>
        <w:numPr>
          <w:ilvl w:val="0"/>
          <w:numId w:val="24"/>
        </w:numPr>
        <w:ind w:firstLine="482"/>
        <w:rPr>
          <w:rFonts w:hAnsi="宋体"/>
          <w:b/>
          <w:bCs/>
          <w:color w:val="auto"/>
          <w:sz w:val="24"/>
          <w:highlight w:val="none"/>
        </w:rPr>
      </w:pPr>
      <w:r>
        <w:rPr>
          <w:rFonts w:hint="eastAsia" w:hAnsi="宋体" w:cs="宋体"/>
          <w:b/>
          <w:color w:val="auto"/>
          <w:sz w:val="24"/>
          <w:szCs w:val="24"/>
          <w:highlight w:val="none"/>
        </w:rPr>
        <w:t xml:space="preserve">技术文件 </w:t>
      </w:r>
      <w:r>
        <w:rPr>
          <w:rFonts w:hint="eastAsia" w:hAnsi="宋体"/>
          <w:b/>
          <w:bCs/>
          <w:color w:val="auto"/>
          <w:sz w:val="24"/>
          <w:highlight w:val="none"/>
        </w:rPr>
        <w:t xml:space="preserve">（42分）</w:t>
      </w:r>
      <w:r/>
    </w:p>
    <w:tbl>
      <w:tblPr>
        <w:tblStyle w:val="726"/>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8"/>
        <w:gridCol w:w="7011"/>
        <w:gridCol w:w="877"/>
      </w:tblGrid>
      <w:tr>
        <w:trPr>
          <w:jc w:val="center"/>
          <w:trHeight w:val="90"/>
        </w:trPr>
        <w:tc>
          <w:tcPr>
            <w:tcBorders>
              <w:top w:val="single" w:color="auto" w:sz="4" w:space="0"/>
              <w:left w:val="single" w:color="auto" w:sz="4" w:space="0"/>
              <w:right w:val="single" w:color="auto" w:sz="4" w:space="0"/>
            </w:tcBorders>
            <w:tcW w:w="139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方案合理性</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根据投标供应商技术方案的合理性由评标委员会进行综合评分，主要包括以下几点：</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（1）对本项目实施的重难点情况分析等进行综合性评分，要求内容详细、具体、合理，按照下列评分幅度对该项进行评分：合理、可行、具体得6分：合理、可行、较具体得3分；合理、较可行、较具体得1分</w:t>
            </w:r>
            <w:r>
              <w:rPr>
                <w:rFonts w:hint="eastAsia" w:ascii="宋体" w:hAnsi="宋体" w:cs="宋体"/>
                <w:color w:val="auto"/>
                <w:sz w:val="24"/>
                <w:szCs w:val="24"/>
                <w:highlight w:val="none"/>
              </w:rPr>
              <w:t xml:space="preserve">；较差的或未提供的本项不得分</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根据投标供应商提供的本项目系统建设的技术方案与安装调试方案的完整性、先进性、合理性，进行综合性评分，要求内容详细、具体、合理，按照下列评分幅度对该项进行评分：合理、可行、具体得6分；合理、可行、较具体得3分；合理、较可行、较具体得1分；</w:t>
            </w:r>
            <w:r>
              <w:rPr>
                <w:rFonts w:hint="eastAsia" w:ascii="宋体" w:hAnsi="宋体" w:cs="宋体"/>
                <w:color w:val="auto"/>
                <w:sz w:val="24"/>
                <w:szCs w:val="24"/>
                <w:highlight w:val="none"/>
              </w:rPr>
              <w:t xml:space="preserve">较差的或未提供的本项不得分</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）根据投标供应商提供的本项目</w:t>
            </w:r>
            <w:r>
              <w:rPr>
                <w:rFonts w:hint="eastAsia" w:ascii="宋体" w:hAnsi="宋体" w:cs="宋体"/>
                <w:color w:val="auto"/>
                <w:sz w:val="24"/>
                <w:highlight w:val="none"/>
                <w:lang w:val="en-US" w:eastAsia="zh-CN"/>
              </w:rPr>
              <w:t xml:space="preserve">飞控平台完善以及水草智能识别</w:t>
            </w:r>
            <w:r>
              <w:rPr>
                <w:rFonts w:hint="eastAsia" w:ascii="宋体" w:hAnsi="宋体" w:cs="宋体"/>
                <w:color w:val="auto"/>
                <w:sz w:val="24"/>
                <w:highlight w:val="none"/>
              </w:rPr>
              <w:t xml:space="preserve">的技术方案的完整性、先进性、合理性，进行综合性评分，要求内容详细、具体、合理，按照下列评分幅度对该项进行评分：合理、可行、具体得6分；合理、可行、较具体得3分；合理、较可行、较具体得1分；</w:t>
            </w:r>
            <w:r>
              <w:rPr>
                <w:rFonts w:hint="eastAsia" w:ascii="宋体" w:hAnsi="宋体" w:cs="宋体"/>
                <w:color w:val="auto"/>
                <w:sz w:val="24"/>
                <w:szCs w:val="24"/>
                <w:highlight w:val="none"/>
              </w:rPr>
              <w:t xml:space="preserve">较差的或未提供的本项不得分</w:t>
            </w:r>
            <w:r>
              <w:rPr>
                <w:rFonts w:hint="eastAsia" w:ascii="宋体" w:hAnsi="宋体" w:cs="宋体"/>
                <w:color w:val="auto"/>
                <w:sz w:val="24"/>
                <w:highlight w:val="none"/>
              </w:rPr>
              <w:t xml:space="preserve">。</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根据投标供应商对本项目施工组织、工期计划安排的详细程度、合理性进行综合性评分，要求内容详细、具体、合理，按照下列评分幅度对该项进行评分：合理、可行、具体得5分；合理、可行、较具体得3分；合理、较可行、较具体得1分</w:t>
            </w:r>
            <w:r>
              <w:rPr>
                <w:rFonts w:hint="eastAsia" w:ascii="宋体" w:hAnsi="宋体" w:cs="宋体"/>
                <w:color w:val="auto"/>
                <w:sz w:val="24"/>
                <w:szCs w:val="24"/>
                <w:highlight w:val="none"/>
              </w:rPr>
              <w:t xml:space="preserve">；较差的或未提供的本项不得分</w:t>
            </w:r>
            <w:r>
              <w:rPr>
                <w:rFonts w:hint="eastAsia" w:ascii="宋体" w:hAnsi="宋体" w:cs="宋体"/>
                <w:color w:val="auto"/>
                <w:sz w:val="24"/>
                <w:highlight w:val="none"/>
              </w:rPr>
              <w:t xml:space="preserve">。</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根据投标供应商对本项目质量控制措施及安全管理方案详细程度、合理性进行综合性评分，要求内容详细、具体、合理，按照下列评分幅度对该项进行评分：合理、可行、具体得5分：合理、可行、较具体得3分；合理、较可行、较具体得1分</w:t>
            </w:r>
            <w:r>
              <w:rPr>
                <w:rFonts w:hint="eastAsia" w:ascii="宋体" w:hAnsi="宋体" w:cs="宋体"/>
                <w:color w:val="auto"/>
                <w:sz w:val="24"/>
                <w:szCs w:val="24"/>
                <w:highlight w:val="none"/>
              </w:rPr>
              <w:t xml:space="preserve">；较差的或未提供的本项不得分</w:t>
            </w:r>
            <w:r>
              <w:rPr>
                <w:rFonts w:hint="eastAsia" w:ascii="宋体" w:hAnsi="宋体" w:cs="宋体"/>
                <w:color w:val="auto"/>
                <w:sz w:val="24"/>
                <w:highlight w:val="none"/>
              </w:rPr>
              <w:t xml:space="preserve">。</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）根据投标供应商对本项目试运行期运行维护技术手段、措施、方案的合理性、可行性及详细程度进行综合评分，合理、可行、具体得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分：合理、可行、较具体得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分；合理、较可行、较具体得1分</w:t>
            </w:r>
            <w:r>
              <w:rPr>
                <w:rFonts w:hint="eastAsia" w:ascii="宋体" w:hAnsi="宋体" w:cs="宋体"/>
                <w:color w:val="auto"/>
                <w:sz w:val="24"/>
                <w:szCs w:val="24"/>
                <w:highlight w:val="none"/>
              </w:rPr>
              <w:t xml:space="preserve">；较差的或未提供的本项不得分</w:t>
            </w:r>
            <w:r>
              <w:rPr>
                <w:rFonts w:hint="eastAsia" w:ascii="宋体" w:hAnsi="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分</w:t>
            </w:r>
            <w:r/>
          </w:p>
        </w:tc>
      </w:tr>
      <w:tr>
        <w:trPr>
          <w:jc w:val="center"/>
          <w:trHeight w:val="419"/>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spacing w:line="360" w:lineRule="auto"/>
              <w:rPr>
                <w:rFonts w:ascii="宋体" w:hAnsi="宋体" w:cs="宋体"/>
                <w:color w:val="auto"/>
                <w:sz w:val="24"/>
                <w:highlight w:val="none"/>
              </w:rPr>
            </w:pPr>
            <w:r>
              <w:rPr>
                <w:rFonts w:hint="eastAsia"/>
                <w:color w:val="auto"/>
                <w:sz w:val="24"/>
                <w:highlight w:val="none"/>
              </w:rPr>
              <w:t xml:space="preserve">培训情况</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投标文件中操作培训和维护培训及其他形式培训（至少包括培训内容、培训时间、培训人数、培训地点）是否完整合理，由评标委员会进行综合评分，要求内容详细、具体、合理，按照下列评分幅度对该项进行评分：合理、可行、具体得5分：合理、可行、较具体得3分；合理、较可行、较具体得1分</w:t>
            </w:r>
            <w:r>
              <w:rPr>
                <w:rFonts w:hint="eastAsia" w:ascii="宋体" w:hAnsi="宋体" w:cs="宋体"/>
                <w:color w:val="auto"/>
                <w:sz w:val="24"/>
                <w:szCs w:val="24"/>
                <w:highlight w:val="none"/>
              </w:rPr>
              <w:t xml:space="preserve">；较差的或未提供的本项不得分</w:t>
            </w:r>
            <w:r>
              <w:rPr>
                <w:rFonts w:hint="eastAsia" w:ascii="宋体" w:hAnsi="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5分</w:t>
            </w:r>
            <w:r/>
          </w:p>
        </w:tc>
      </w:tr>
      <w:tr>
        <w:trPr>
          <w:jc w:val="center"/>
          <w:trHeight w:val="419"/>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投标文件中提供的售后服务及技术支持方案是否具体、合理和可行性情况，以及故障响应及时性，故障处理能力情况，由评标委员会进行综合评分，要求内容详细、具体、合理，按照下列评分幅度对该项进行评分：合理、可行、具体得5分：合理、可行、较具体得3分；合理、较可行、较具体得1分</w:t>
            </w:r>
            <w:r>
              <w:rPr>
                <w:rFonts w:hint="eastAsia" w:ascii="宋体" w:hAnsi="宋体" w:cs="宋体"/>
                <w:color w:val="auto"/>
                <w:sz w:val="24"/>
                <w:szCs w:val="24"/>
                <w:highlight w:val="none"/>
              </w:rPr>
              <w:t xml:space="preserve">；较差的或未提供的本项不得分</w:t>
            </w:r>
            <w:r>
              <w:rPr>
                <w:rFonts w:hint="eastAsia" w:ascii="宋体" w:hAnsi="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5分</w:t>
            </w:r>
            <w:r/>
          </w:p>
        </w:tc>
      </w:tr>
    </w:tbl>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569"/>
        <w:spacing w:line="360" w:lineRule="auto"/>
        <w:rPr>
          <w:rFonts w:ascii="黑体" w:hAnsi="宋体" w:eastAsia="黑体"/>
          <w:bCs/>
          <w:color w:val="auto"/>
          <w:sz w:val="24"/>
          <w:highlight w:val="none"/>
        </w:rPr>
      </w:pPr>
      <w:r>
        <w:rPr>
          <w:rFonts w:hint="eastAsia" w:ascii="宋体" w:hAnsi="宋体"/>
          <w:b/>
          <w:bCs/>
          <w:color w:val="auto"/>
          <w:sz w:val="24"/>
          <w:highlight w:val="none"/>
        </w:rPr>
        <w:t xml:space="preserve">未列入本评分细则的其他条件不作为评分内容。</w:t>
      </w:r>
      <w:r/>
    </w:p>
    <w:p>
      <w:pPr>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ind w:firstLine="482"/>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804"/>
        <w:rPr>
          <w:rFonts w:ascii="黑体" w:eastAsia="黑体"/>
          <w:color w:val="auto"/>
          <w:sz w:val="32"/>
          <w:highlight w:val="none"/>
        </w:rPr>
      </w:pPr>
      <w:r>
        <w:rPr>
          <w:rFonts w:ascii="黑体" w:eastAsia="黑体"/>
          <w:color w:val="auto"/>
          <w:sz w:val="32"/>
          <w:highlight w:val="none"/>
        </w:rPr>
      </w:r>
      <w:r/>
    </w:p>
    <w:p>
      <w:pPr>
        <w:pStyle w:val="804"/>
        <w:rPr>
          <w:rFonts w:ascii="黑体" w:eastAsia="黑体"/>
          <w:color w:val="auto"/>
          <w:sz w:val="32"/>
          <w:highlight w:val="none"/>
        </w:rPr>
      </w:pPr>
      <w:r>
        <w:rPr>
          <w:rFonts w:ascii="黑体" w:eastAsia="黑体"/>
          <w:color w:val="auto"/>
          <w:sz w:val="32"/>
          <w:highlight w:val="none"/>
        </w:rPr>
      </w:r>
      <w:r/>
    </w:p>
    <w:p>
      <w:pPr>
        <w:pStyle w:val="804"/>
        <w:rPr>
          <w:rFonts w:ascii="黑体" w:eastAsia="黑体"/>
          <w:color w:val="auto"/>
          <w:sz w:val="32"/>
          <w:highlight w:val="none"/>
        </w:rPr>
      </w:pPr>
      <w:r>
        <w:rPr>
          <w:rFonts w:ascii="黑体" w:eastAsia="黑体"/>
          <w:color w:val="auto"/>
          <w:sz w:val="32"/>
          <w:highlight w:val="none"/>
        </w:rPr>
      </w:r>
      <w:r/>
    </w:p>
    <w:p>
      <w:pPr>
        <w:pStyle w:val="804"/>
        <w:rPr>
          <w:rFonts w:ascii="黑体" w:eastAsia="黑体"/>
          <w:color w:val="auto"/>
          <w:sz w:val="32"/>
          <w:highlight w:val="none"/>
        </w:rPr>
      </w:pPr>
      <w:r>
        <w:rPr>
          <w:rFonts w:ascii="黑体" w:eastAsia="黑体"/>
          <w:color w:val="auto"/>
          <w:sz w:val="32"/>
          <w:highlight w:val="none"/>
        </w:rPr>
      </w:r>
      <w:r/>
    </w:p>
    <w:p>
      <w:pPr>
        <w:pStyle w:val="804"/>
        <w:rPr>
          <w:rFonts w:ascii="黑体" w:eastAsia="黑体"/>
          <w:color w:val="auto"/>
          <w:sz w:val="32"/>
          <w:highlight w:val="none"/>
        </w:rPr>
      </w:pPr>
      <w:r>
        <w:rPr>
          <w:rFonts w:ascii="黑体" w:eastAsia="黑体"/>
          <w:color w:val="auto"/>
          <w:sz w:val="32"/>
          <w:highlight w:val="none"/>
        </w:rPr>
      </w:r>
      <w:r/>
    </w:p>
    <w:p>
      <w:pPr>
        <w:pStyle w:val="804"/>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JSZC-320200-JSZH-G2026-0072</w:t>
      </w:r>
      <w:r>
        <w:rPr>
          <w:rFonts w:hint="eastAsia" w:ascii="黑体" w:eastAsia="黑体"/>
          <w:bCs/>
          <w:color w:val="auto"/>
          <w:sz w:val="28"/>
          <w:szCs w:val="28"/>
          <w:highlight w:val="none"/>
          <w:lang w:val="en-US" w:eastAsia="zh-CN"/>
        </w:rPr>
        <w:t xml:space="preserve"> </w:t>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太湖水生态无人机巢智能巡查项目</w:t>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103" w:name="一．报价函（格式）"/>
      <w:r/>
      <w:bookmarkEnd w:id="103"/>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致太湖流域水文水资源监测中心（太湖流域水环境监测中心）：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JSZC-320200-JSZH-G2026-0072</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2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2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69"/>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如果我方的投标文件被接受，我方将履行招标文件中规定的每一项要求，按期、按质、按量，完成任务。</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04" w:name="报价方关于资格的声明函（格式）"/>
      <w:r/>
      <w:bookmarkEnd w:id="104"/>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太湖流域水文水资源监测中心（太湖流域水环境监测中心）：</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JSZC-320200-JSZH-G2026-0072</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JSZC-320200-JSZH-G2026-0072</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太湖流域水文水资源监测中心（太湖流域水环境监测中心）：</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JSZC-320200-JSZH-G2026-0072</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244"/>
        <w:jc w:val="center"/>
        <w:rPr>
          <w:rFonts w:ascii="宋体" w:hAnsi="宋体"/>
          <w:color w:val="auto"/>
          <w:highlight w:val="none"/>
        </w:rPr>
      </w:pPr>
      <w:r>
        <w:rPr>
          <w:rFonts w:hint="eastAsia" w:ascii="宋体" w:hAnsi="宋体"/>
          <w:b/>
          <w:color w:val="auto"/>
          <w:sz w:val="30"/>
          <w:szCs w:val="30"/>
          <w:highlight w:val="none"/>
        </w:rPr>
        <w:t xml:space="preserve">中小企业声明函（货物）</w:t>
      </w:r>
      <w:r/>
    </w:p>
    <w:p>
      <w:pPr>
        <w:ind w:firstLine="434"/>
        <w:spacing w:line="580" w:lineRule="exact"/>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本公司（联合体）郑重声明，根据《政府采购促进中小企业发展管理办法》（财库〔2020〕46号）的规定，本公司（联合体）参加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numPr>
          <w:ilvl w:val="3"/>
          <w:numId w:val="26"/>
        </w:numPr>
        <w:ind w:left="0" w:firstLine="709"/>
        <w:spacing w:line="580" w:lineRule="exact"/>
        <w:rPr>
          <w:rFonts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（招标文件中明确的所属行业）行业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numPr>
          <w:ilvl w:val="3"/>
          <w:numId w:val="26"/>
        </w:numPr>
        <w:ind w:left="0" w:firstLine="709"/>
        <w:spacing w:line="580" w:lineRule="exact"/>
        <w:rPr>
          <w:rFonts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（招标文件中明确的所属行业）行业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567"/>
        <w:spacing w:line="580" w:lineRule="exact"/>
        <w:rPr>
          <w:rFonts w:ascii="宋体" w:hAnsi="宋体"/>
          <w:bCs/>
          <w:color w:val="auto"/>
          <w:sz w:val="24"/>
          <w:highlight w:val="none"/>
        </w:rPr>
      </w:pPr>
      <w:r>
        <w:rPr>
          <w:rFonts w:hint="eastAsia" w:ascii="宋体" w:hAnsi="宋体"/>
          <w:bCs/>
          <w:color w:val="auto"/>
          <w:sz w:val="24"/>
          <w:highlight w:val="none"/>
        </w:rPr>
        <w:t xml:space="preserve">……</w:t>
      </w:r>
      <w:r/>
    </w:p>
    <w:p>
      <w:pPr>
        <w:ind w:firstLine="567"/>
        <w:spacing w:line="580" w:lineRule="exact"/>
        <w:rPr>
          <w:rFonts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right="960" w:firstLine="194"/>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ascii="宋体" w:hAnsi="宋体"/>
          <w:bCs/>
          <w:color w:val="auto"/>
          <w:sz w:val="24"/>
          <w:highlight w:val="none"/>
        </w:rPr>
      </w:pPr>
      <w:r>
        <w:rPr>
          <w:rFonts w:ascii="宋体" w:hAnsi="宋体"/>
          <w:bCs/>
          <w:color w:val="auto"/>
          <w:sz w:val="24"/>
          <w:highlight w:val="none"/>
        </w:rPr>
      </w:r>
      <w:r/>
    </w:p>
    <w:p>
      <w:pPr>
        <w:ind w:right="960" w:firstLine="5280"/>
        <w:spacing w:line="360" w:lineRule="auto"/>
        <w:rPr>
          <w:rFonts w:ascii="宋体" w:hAnsi="宋体"/>
          <w:bCs/>
          <w:color w:val="auto"/>
          <w:sz w:val="24"/>
          <w:highlight w:val="none"/>
        </w:rPr>
      </w:pPr>
      <w:r>
        <w:rPr>
          <w:rFonts w:hint="eastAsia" w:ascii="宋体" w:hAnsi="宋体"/>
          <w:bCs/>
          <w:color w:val="auto"/>
          <w:sz w:val="24"/>
          <w:highlight w:val="none"/>
        </w:rPr>
        <w:t xml:space="preserve">日期：</w:t>
      </w:r>
      <w:r/>
    </w:p>
    <w:p>
      <w:pPr>
        <w:rPr>
          <w:color w:val="auto"/>
          <w:sz w:val="24"/>
          <w:highlight w:val="none"/>
        </w:rPr>
      </w:pPr>
      <w:r>
        <w:rPr>
          <w:color w:val="auto"/>
          <w:sz w:val="24"/>
          <w:highlight w:val="none"/>
        </w:rPr>
      </w:r>
      <w:r/>
    </w:p>
    <w:p>
      <w:pPr>
        <w:pStyle w:val="993"/>
        <w:rPr>
          <w:rFonts w:ascii="宋体" w:hAnsi="宋体" w:cs="@楷体_GB2312"/>
          <w:bCs/>
          <w:color w:val="auto"/>
          <w:highlight w:val="none"/>
        </w:rPr>
      </w:pPr>
      <w:r>
        <w:rPr>
          <w:rFonts w:hint="eastAsia" w:ascii="宋体" w:hAnsi="宋体" w:cs="@楷体_GB2312"/>
          <w:bCs/>
          <w:color w:val="auto"/>
          <w:highlight w:val="none"/>
        </w:rPr>
        <w:t xml:space="preserve">1.</w:t>
      </w:r>
      <w:r>
        <w:rPr>
          <w:rFonts w:ascii="宋体" w:hAnsi="宋体" w:cs="@楷体_GB2312"/>
          <w:bCs/>
          <w:color w:val="auto"/>
          <w:highlight w:val="none"/>
        </w:rPr>
        <w:t xml:space="preserve">从业人员、营业收入、资产总额填报上一年度数据，无上一年度数据的新成立企业</w:t>
      </w:r>
      <w:r>
        <w:rPr>
          <w:rFonts w:hint="eastAsia" w:ascii="宋体" w:hAnsi="宋体" w:cs="@楷体_GB2312"/>
          <w:bCs/>
          <w:color w:val="auto"/>
          <w:highlight w:val="none"/>
        </w:rPr>
        <w:t xml:space="preserve">可不填报。</w:t>
      </w:r>
      <w:r/>
    </w:p>
    <w:p>
      <w:pPr>
        <w:pStyle w:val="993"/>
        <w:rPr>
          <w:rFonts w:ascii="宋体" w:hAnsi="宋体" w:cs="@楷体_GB2312"/>
          <w:bCs/>
          <w:color w:val="auto"/>
          <w:highlight w:val="none"/>
        </w:rPr>
      </w:pPr>
      <w:r>
        <w:rPr>
          <w:rFonts w:hint="eastAsia" w:ascii="宋体" w:hAnsi="宋体" w:cs="@楷体_GB2312"/>
          <w:bCs/>
          <w:color w:val="auto"/>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20"/>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JSZC-320200-JSZH-G2026-0072</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JSZC-320200-JSZH-G2026-0072</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770"/>
          <w:rFonts w:hint="eastAsia" w:ascii="宋体" w:hAnsi="宋体"/>
          <w:bCs/>
          <w:color w:val="auto"/>
          <w:sz w:val="24"/>
          <w:szCs w:val="24"/>
          <w:highlight w:val="none"/>
        </w:rPr>
        <w:t xml:space="preserve">www.creditchina.gov.cn</w:t>
      </w:r>
      <w:r>
        <w:rPr>
          <w:rStyle w:val="770"/>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hint="eastAsia" w:ascii="宋体" w:hAnsi="宋体" w:eastAsia="黑体" w:cs="宋体"/>
          <w:color w:val="auto"/>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JSZC-320200-JSZH-G2026-0072</w:t>
      </w:r>
      <w:r/>
    </w:p>
    <w:tbl>
      <w:tblPr>
        <w:tblStyle w:val="72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5282" w:type="dxa"/>
            <w:vAlign w:val="center"/>
            <w:textDirection w:val="lrTb"/>
            <w:noWrap/>
          </w:tcPr>
          <w:p>
            <w:pPr>
              <w:pStyle w:val="994"/>
              <w:jc w:val="center"/>
              <w:spacing w:line="400" w:lineRule="exact"/>
              <w:rPr>
                <w:rFonts w:hint="eastAsia" w:hAnsi="宋体" w:eastAsia="宋体"/>
                <w:bCs/>
                <w:color w:val="auto"/>
                <w:szCs w:val="24"/>
                <w:highlight w:val="none"/>
                <w:lang w:eastAsia="zh-CN"/>
              </w:rPr>
            </w:pPr>
            <w:r>
              <w:rPr>
                <w:rFonts w:hint="eastAsia" w:ascii="Segoe UI" w:hAnsi="Segoe UI" w:cs="Segoe UI"/>
                <w:color w:val="auto"/>
                <w:highlight w:val="none"/>
                <w:shd w:val="clear" w:color="auto" w:fill="ffffff"/>
                <w:lang w:eastAsia="zh-CN"/>
              </w:rPr>
              <w:t xml:space="preserve">太湖水生态无人机巢智能巡查项目</w:t>
            </w:r>
            <w:r/>
          </w:p>
        </w:tc>
        <w:tc>
          <w:tcPr>
            <w:tcW w:w="4798" w:type="dxa"/>
            <w:vAlign w:val="center"/>
            <w:textDirection w:val="lrTb"/>
            <w:noWrap/>
          </w:tcPr>
          <w:p>
            <w:pPr>
              <w:pStyle w:val="994"/>
              <w:spacing w:line="360" w:lineRule="auto"/>
              <w:rPr>
                <w:rFonts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u w:val="single"/>
              </w:rPr>
              <w:t xml:space="preserve">             </w:t>
            </w:r>
            <w:r>
              <w:rPr>
                <w:rFonts w:hint="eastAsia" w:hAnsi="宋体"/>
                <w:bCs/>
                <w:color w:val="auto"/>
                <w:szCs w:val="24"/>
                <w:highlight w:val="none"/>
              </w:rPr>
              <w:t xml:space="preserve">元</w:t>
            </w:r>
            <w:r/>
          </w:p>
          <w:p>
            <w:pPr>
              <w:pStyle w:val="994"/>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hAnsi="宋体"/>
                <w:bCs/>
                <w:color w:val="auto"/>
                <w:szCs w:val="24"/>
                <w:highlight w:val="none"/>
                <w:u w:val="single"/>
                <w:lang w:val="en-US" w:eastAsia="zh-CN"/>
              </w:rPr>
              <w:t xml:space="preserve">     </w:t>
            </w:r>
            <w:r>
              <w:rPr>
                <w:rFonts w:hint="eastAsia"/>
                <w:bCs/>
                <w:color w:val="auto"/>
                <w:highlight w:val="none"/>
                <w:u w:val="single"/>
              </w:rPr>
              <w:t xml:space="preserve">      </w:t>
            </w:r>
            <w:r>
              <w:rPr>
                <w:rFonts w:hint="eastAsia"/>
                <w:bCs/>
                <w:color w:val="auto"/>
                <w:highlight w:val="none"/>
              </w:rPr>
              <w:t xml:space="preserve">元</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合同履行期限</w:t>
            </w:r>
            <w:r>
              <w:rPr>
                <w:rFonts w:hint="eastAsia" w:ascii="宋体" w:hAnsi="宋体"/>
                <w:color w:val="auto"/>
                <w:sz w:val="24"/>
                <w:highlight w:val="none"/>
              </w:rPr>
              <w:t xml:space="preserve">：</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质量标准：</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质保期：</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szCs w:val="24"/>
                <w:highlight w:val="none"/>
              </w:rPr>
              <w:t xml:space="preserve">服务响应</w:t>
            </w:r>
            <w:r>
              <w:rPr>
                <w:rFonts w:hint="eastAsia" w:ascii="宋体" w:hAnsi="宋体" w:cs="宋体"/>
                <w:color w:val="auto"/>
                <w:sz w:val="24"/>
                <w:highlight w:val="none"/>
              </w:rPr>
              <w:t xml:space="preserve">：</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宋体" w:hAnsi="宋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投标供应商名称（盖章）                      采购项目编号：</w:t>
      </w:r>
      <w:r/>
    </w:p>
    <w:p>
      <w:pPr>
        <w:pStyle w:val="1021"/>
        <w:ind w:firstLine="0"/>
        <w:jc w:val="center"/>
        <w:rPr>
          <w:rFonts w:ascii="宋体" w:hAnsi="宋体"/>
          <w:b/>
          <w:color w:val="auto"/>
          <w:szCs w:val="24"/>
          <w:highlight w:val="none"/>
        </w:rPr>
      </w:pPr>
      <w:r>
        <w:rPr>
          <w:rFonts w:ascii="宋体" w:hAnsi="宋体"/>
          <w:b/>
          <w:color w:val="auto"/>
          <w:szCs w:val="24"/>
          <w:highlight w:val="none"/>
        </w:rPr>
      </w:r>
      <w:r/>
    </w:p>
    <w:tbl>
      <w:tblPr>
        <w:tblStyle w:val="726"/>
        <w:tblW w:w="9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0"/>
        <w:gridCol w:w="4577"/>
      </w:tblGrid>
      <w:tr>
        <w:trPr>
          <w:jc w:val="center"/>
          <w:trHeight w:val="1400"/>
          <w:tblHeader/>
        </w:trPr>
        <w:tc>
          <w:tcPr>
            <w:tcW w:w="4560"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建设</w:t>
            </w:r>
            <w:r>
              <w:rPr>
                <w:rFonts w:ascii="宋体" w:hAnsi="宋体"/>
                <w:b/>
                <w:bCs/>
                <w:color w:val="auto"/>
                <w:szCs w:val="21"/>
                <w:highlight w:val="none"/>
              </w:rPr>
              <w:t xml:space="preserve">内容</w:t>
            </w:r>
            <w:r/>
          </w:p>
        </w:tc>
        <w:tc>
          <w:tcPr>
            <w:tcW w:w="4577" w:type="dxa"/>
            <w:vAlign w:val="center"/>
            <w:textDirection w:val="lrTb"/>
            <w:noWrap w:val="false"/>
          </w:tcPr>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投标报价（元）</w:t>
            </w:r>
            <w:r/>
          </w:p>
        </w:tc>
      </w:tr>
      <w:tr>
        <w:trPr>
          <w:jc w:val="center"/>
          <w:trHeight w:val="1452"/>
        </w:trPr>
        <w:tc>
          <w:tcPr>
            <w:tcW w:w="4560" w:type="dxa"/>
            <w:vAlign w:val="center"/>
            <w:textDirection w:val="lrTb"/>
            <w:noWrap w:val="false"/>
          </w:tcPr>
          <w:p>
            <w:pPr>
              <w:jc w:val="center"/>
              <w:spacing w:line="360" w:lineRule="auto"/>
              <w:rPr>
                <w:rFonts w:hint="eastAsia" w:ascii="宋体" w:hAnsi="宋体" w:eastAsia="宋体"/>
                <w:b/>
                <w:color w:val="auto"/>
                <w:highlight w:val="none"/>
                <w:lang w:eastAsia="zh-CN"/>
              </w:rPr>
            </w:pPr>
            <w:r>
              <w:rPr>
                <w:rFonts w:hint="eastAsia" w:ascii="Segoe UI" w:hAnsi="Segoe UI" w:cs="Segoe UI"/>
                <w:color w:val="auto"/>
                <w:highlight w:val="none"/>
                <w:shd w:val="clear" w:color="auto" w:fill="ffffff"/>
                <w:lang w:eastAsia="zh-CN"/>
              </w:rPr>
              <w:t xml:space="preserve">太湖水生态无人机巢智能巡查项目</w:t>
            </w:r>
            <w:r/>
          </w:p>
        </w:tc>
        <w:tc>
          <w:tcPr>
            <w:tcW w:w="457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1458"/>
        </w:trPr>
        <w:tc>
          <w:tcPr>
            <w:tcW w:w="4560"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总计</w:t>
            </w:r>
            <w:r/>
          </w:p>
        </w:tc>
        <w:tc>
          <w:tcPr>
            <w:tcW w:w="457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pStyle w:val="1021"/>
        <w:ind w:firstLine="0"/>
        <w:jc w:val="center"/>
        <w:rPr>
          <w:rFonts w:ascii="宋体" w:hAnsi="宋体"/>
          <w:b/>
          <w:color w:val="auto"/>
          <w:szCs w:val="24"/>
          <w:highlight w:val="none"/>
        </w:rPr>
      </w:pPr>
      <w:r>
        <w:rPr>
          <w:rFonts w:ascii="宋体" w:hAnsi="宋体"/>
          <w:b/>
          <w:color w:val="auto"/>
          <w:szCs w:val="24"/>
          <w:highlight w:val="none"/>
        </w:rPr>
      </w:r>
      <w:r/>
    </w:p>
    <w:p>
      <w:pPr>
        <w:jc w:val="center"/>
        <w:rPr>
          <w:rFonts w:ascii="宋体" w:hAnsi="宋体" w:cs="宋体"/>
          <w:b/>
          <w:bCs/>
          <w:color w:val="auto"/>
          <w:sz w:val="24"/>
          <w:szCs w:val="22"/>
          <w:highlight w:val="none"/>
        </w:rPr>
      </w:pPr>
      <w:r>
        <w:rPr>
          <w:rFonts w:hint="eastAsia" w:ascii="宋体" w:hAnsi="宋体" w:cs="宋体"/>
          <w:b/>
          <w:bCs/>
          <w:color w:val="auto"/>
          <w:sz w:val="24"/>
          <w:szCs w:val="22"/>
          <w:highlight w:val="none"/>
          <w:lang w:eastAsia="zh-CN"/>
        </w:rPr>
        <w:t xml:space="preserve">太湖水生态无人机巢智能巡查项目</w:t>
      </w:r>
      <w:r>
        <w:rPr>
          <w:rFonts w:hint="eastAsia" w:ascii="宋体" w:hAnsi="宋体" w:cs="宋体"/>
          <w:b/>
          <w:bCs/>
          <w:color w:val="auto"/>
          <w:sz w:val="24"/>
          <w:szCs w:val="22"/>
          <w:highlight w:val="none"/>
        </w:rPr>
        <w:t xml:space="preserve">清单报价表</w:t>
      </w:r>
      <w:r/>
    </w:p>
    <w:tbl>
      <w:tblPr>
        <w:tblStyle w:val="726"/>
        <w:tblW w:w="10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94"/>
        <w:gridCol w:w="105"/>
        <w:gridCol w:w="1215"/>
        <w:gridCol w:w="1111"/>
        <w:gridCol w:w="2535"/>
        <w:gridCol w:w="599"/>
        <w:gridCol w:w="599"/>
        <w:gridCol w:w="1276"/>
        <w:gridCol w:w="992"/>
        <w:gridCol w:w="709"/>
        <w:gridCol w:w="939"/>
      </w:tblGrid>
      <w:tr>
        <w:trPr>
          <w:cantSplit/>
          <w:jc w:val="center"/>
          <w:trHeight w:val="495"/>
        </w:trPr>
        <w:tc>
          <w:tcPr>
            <w:tcMar>
              <w:left w:w="15" w:type="dxa"/>
              <w:top w:w="15" w:type="dxa"/>
              <w:right w:w="15" w:type="dxa"/>
              <w:bottom w:w="0" w:type="dxa"/>
            </w:tcMar>
            <w:tcW w:w="494"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序号</w:t>
            </w:r>
            <w:r/>
          </w:p>
        </w:tc>
        <w:tc>
          <w:tcPr>
            <w:gridSpan w:val="2"/>
            <w:tcMar>
              <w:left w:w="15" w:type="dxa"/>
              <w:top w:w="15" w:type="dxa"/>
              <w:right w:w="15" w:type="dxa"/>
              <w:bottom w:w="0" w:type="dxa"/>
            </w:tcMar>
            <w:tcW w:w="1320"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名称</w:t>
            </w:r>
            <w:r/>
          </w:p>
        </w:tc>
        <w:tc>
          <w:tcPr>
            <w:tcMar>
              <w:left w:w="15" w:type="dxa"/>
              <w:top w:w="15" w:type="dxa"/>
              <w:right w:w="15" w:type="dxa"/>
              <w:bottom w:w="0" w:type="dxa"/>
            </w:tcMar>
            <w:tcW w:w="1111"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品牌型号</w:t>
            </w:r>
            <w:r/>
          </w:p>
        </w:tc>
        <w:tc>
          <w:tcPr>
            <w:tcMar>
              <w:left w:w="15" w:type="dxa"/>
              <w:top w:w="15" w:type="dxa"/>
              <w:right w:w="15" w:type="dxa"/>
              <w:bottom w:w="0" w:type="dxa"/>
            </w:tcMar>
            <w:tcW w:w="2535"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单位</w:t>
            </w:r>
            <w:r/>
          </w:p>
        </w:tc>
        <w:tc>
          <w:tcPr>
            <w:tcMar>
              <w:left w:w="15" w:type="dxa"/>
              <w:top w:w="15" w:type="dxa"/>
              <w:right w:w="15" w:type="dxa"/>
              <w:bottom w:w="0" w:type="dxa"/>
            </w:tcMar>
            <w:tcW w:w="599"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数量</w:t>
            </w:r>
            <w:r/>
          </w:p>
        </w:tc>
        <w:tc>
          <w:tcPr>
            <w:tcW w:w="1276"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质保期</w:t>
            </w:r>
            <w:r/>
          </w:p>
        </w:tc>
        <w:tc>
          <w:tcPr>
            <w:tcW w:w="709"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单报价</w:t>
            </w:r>
            <w:r/>
          </w:p>
        </w:tc>
        <w:tc>
          <w:tcPr>
            <w:tcW w:w="939"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分项总报价</w:t>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1</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无人机巢</w:t>
            </w:r>
            <w:r>
              <w:rPr>
                <w:rFonts w:hint="eastAsia"/>
                <w:color w:val="auto"/>
                <w:szCs w:val="21"/>
                <w:highlight w:val="none"/>
                <w:lang w:eastAsia="zh-CN"/>
              </w:rPr>
              <w:t xml:space="preserve">（</w:t>
            </w:r>
            <w:r>
              <w:rPr>
                <w:rFonts w:hint="eastAsia"/>
                <w:color w:val="auto"/>
                <w:szCs w:val="21"/>
                <w:highlight w:val="none"/>
                <w:lang w:val="en-US" w:eastAsia="zh-CN"/>
              </w:rPr>
              <w:t xml:space="preserve">含设施</w:t>
            </w:r>
            <w:r>
              <w:rPr>
                <w:rFonts w:hint="eastAsia"/>
                <w:color w:val="auto"/>
                <w:szCs w:val="21"/>
                <w:highlight w:val="none"/>
                <w:lang w:eastAsia="zh-CN"/>
              </w:rPr>
              <w:t xml:space="preserve">）</w:t>
            </w:r>
            <w:r/>
          </w:p>
        </w:tc>
        <w:tc>
          <w:tcPr>
            <w:tcMar>
              <w:left w:w="15" w:type="dxa"/>
              <w:top w:w="15" w:type="dxa"/>
              <w:right w:w="15" w:type="dxa"/>
              <w:bottom w:w="0" w:type="dxa"/>
            </w:tcMar>
            <w:tcW w:w="1111" w:type="dxa"/>
            <w:vAlign w:val="center"/>
            <w:textDirection w:val="lrTb"/>
            <w:noWrap w:val="false"/>
          </w:tcPr>
          <w:p>
            <w:pPr>
              <w:pStyle w:val="830"/>
              <w:tabs>
                <w:tab w:val="clear" w:pos="7143" w:leader="none"/>
                <w:tab w:val="clear" w:pos="14287" w:leader="none"/>
              </w:tabs>
              <w:rPr>
                <w:rFonts w:ascii="宋体" w:hAnsi="宋体" w:cs="宋体"/>
                <w:bCs/>
                <w:color w:val="auto"/>
                <w:highlight w:val="none"/>
              </w:rPr>
              <w:pBdr>
                <w:bottom w:val="none" w:color="000000" w:sz="0" w:space="0"/>
              </w:pBdr>
            </w:pPr>
            <w:r>
              <w:rPr>
                <w:rFonts w:ascii="宋体" w:hAnsi="宋体" w:cs="宋体"/>
                <w:bCs/>
                <w:color w:val="auto"/>
                <w:highlight w:val="none"/>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auto"/>
                <w:sz w:val="18"/>
                <w:highlight w:val="none"/>
              </w:rPr>
            </w:pPr>
            <w:r>
              <w:rPr>
                <w:rFonts w:ascii="宋体" w:hAnsi="宋体" w:cs="宋体"/>
                <w:bCs/>
                <w:color w:val="auto"/>
                <w:sz w:val="18"/>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套</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7</w:t>
            </w:r>
            <w:r/>
          </w:p>
        </w:tc>
        <w:tc>
          <w:tcPr>
            <w:tcW w:w="1276"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W w:w="70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3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2</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飞控平台功能完善</w:t>
            </w:r>
            <w:r/>
          </w:p>
        </w:tc>
        <w:tc>
          <w:tcPr>
            <w:tcMar>
              <w:left w:w="15" w:type="dxa"/>
              <w:top w:w="15" w:type="dxa"/>
              <w:right w:w="15" w:type="dxa"/>
              <w:bottom w:w="0" w:type="dxa"/>
            </w:tcMar>
            <w:tcW w:w="1111" w:type="dxa"/>
            <w:vAlign w:val="center"/>
            <w:textDirection w:val="lrTb"/>
            <w:noWrap w:val="false"/>
          </w:tcPr>
          <w:p>
            <w:pPr>
              <w:pStyle w:val="830"/>
              <w:tabs>
                <w:tab w:val="clear" w:pos="7143" w:leader="none"/>
                <w:tab w:val="clear" w:pos="14287" w:leader="none"/>
              </w:tabs>
              <w:rPr>
                <w:rFonts w:ascii="宋体" w:hAnsi="宋体" w:cs="宋体"/>
                <w:bCs/>
                <w:color w:val="auto"/>
                <w:highlight w:val="none"/>
              </w:rPr>
              <w:pBdr>
                <w:bottom w:val="none" w:color="000000" w:sz="0" w:space="0"/>
              </w:pBdr>
            </w:pPr>
            <w:r>
              <w:rPr>
                <w:rFonts w:ascii="宋体" w:hAnsi="宋体" w:cs="宋体"/>
                <w:bCs/>
                <w:color w:val="auto"/>
                <w:highlight w:val="none"/>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auto"/>
                <w:sz w:val="18"/>
                <w:highlight w:val="none"/>
              </w:rPr>
            </w:pPr>
            <w:r>
              <w:rPr>
                <w:rFonts w:ascii="宋体" w:hAnsi="宋体" w:cs="宋体"/>
                <w:bCs/>
                <w:color w:val="auto"/>
                <w:sz w:val="18"/>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rFonts w:hint="default" w:eastAsia="宋体"/>
                <w:color w:val="auto"/>
                <w:szCs w:val="21"/>
                <w:highlight w:val="none"/>
                <w:lang w:val="en-US" w:eastAsia="zh-CN"/>
              </w:rPr>
            </w:pPr>
            <w:r>
              <w:rPr>
                <w:rFonts w:hint="eastAsia"/>
                <w:color w:val="auto"/>
                <w:szCs w:val="21"/>
                <w:highlight w:val="none"/>
                <w:lang w:val="en-US" w:eastAsia="zh-CN"/>
              </w:rPr>
              <w:t xml:space="preserve">套</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1</w:t>
            </w:r>
            <w:r/>
          </w:p>
        </w:tc>
        <w:tc>
          <w:tcPr>
            <w:tcW w:w="1276"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W w:w="70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3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3</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rPr>
              <w:t xml:space="preserve">水草智能识别</w:t>
            </w:r>
            <w:r>
              <w:rPr>
                <w:rFonts w:hint="eastAsia"/>
                <w:color w:val="auto"/>
                <w:szCs w:val="21"/>
                <w:highlight w:val="none"/>
                <w:lang w:val="en-US" w:eastAsia="zh-CN"/>
              </w:rPr>
              <w:t xml:space="preserve">技术</w:t>
            </w:r>
            <w:r/>
          </w:p>
        </w:tc>
        <w:tc>
          <w:tcPr>
            <w:tcMar>
              <w:left w:w="15" w:type="dxa"/>
              <w:top w:w="15" w:type="dxa"/>
              <w:right w:w="15" w:type="dxa"/>
              <w:bottom w:w="0" w:type="dxa"/>
            </w:tcMar>
            <w:tcW w:w="1111" w:type="dxa"/>
            <w:vAlign w:val="center"/>
            <w:textDirection w:val="lrTb"/>
            <w:noWrap w:val="false"/>
          </w:tcPr>
          <w:p>
            <w:pPr>
              <w:pStyle w:val="830"/>
              <w:tabs>
                <w:tab w:val="clear" w:pos="7143" w:leader="none"/>
                <w:tab w:val="clear" w:pos="14287" w:leader="none"/>
              </w:tabs>
              <w:rPr>
                <w:rFonts w:ascii="宋体" w:hAnsi="宋体" w:cs="宋体"/>
                <w:bCs/>
                <w:color w:val="auto"/>
                <w:highlight w:val="none"/>
              </w:rPr>
              <w:pBdr>
                <w:bottom w:val="none" w:color="000000" w:sz="0" w:space="0"/>
              </w:pBdr>
            </w:pPr>
            <w:r>
              <w:rPr>
                <w:rFonts w:ascii="宋体" w:hAnsi="宋体" w:cs="宋体"/>
                <w:bCs/>
                <w:color w:val="auto"/>
                <w:highlight w:val="none"/>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auto"/>
                <w:sz w:val="18"/>
                <w:highlight w:val="none"/>
              </w:rPr>
            </w:pPr>
            <w:r>
              <w:rPr>
                <w:rFonts w:ascii="宋体" w:hAnsi="宋体" w:cs="宋体"/>
                <w:bCs/>
                <w:color w:val="auto"/>
                <w:sz w:val="18"/>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套</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1</w:t>
            </w:r>
            <w:r/>
          </w:p>
        </w:tc>
        <w:tc>
          <w:tcPr>
            <w:tcW w:w="1276"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W w:w="70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3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jc w:val="center"/>
          <w:trHeight w:val="834"/>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auto"/>
                <w:szCs w:val="21"/>
                <w:highlight w:val="none"/>
              </w:rPr>
            </w:pPr>
            <w:r>
              <w:rPr>
                <w:color w:val="auto"/>
                <w:szCs w:val="21"/>
                <w:highlight w:val="none"/>
              </w:rPr>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auto"/>
                <w:szCs w:val="21"/>
                <w:highlight w:val="none"/>
              </w:rPr>
            </w:pPr>
            <w:r>
              <w:rPr>
                <w:color w:val="auto"/>
                <w:szCs w:val="21"/>
                <w:highlight w:val="none"/>
              </w:rPr>
            </w:r>
            <w:r/>
          </w:p>
        </w:tc>
        <w:tc>
          <w:tcPr>
            <w:tcMar>
              <w:left w:w="15" w:type="dxa"/>
              <w:top w:w="15" w:type="dxa"/>
              <w:right w:w="15" w:type="dxa"/>
              <w:bottom w:w="0" w:type="dxa"/>
            </w:tcMar>
            <w:tcW w:w="1111" w:type="dxa"/>
            <w:vAlign w:val="center"/>
            <w:textDirection w:val="lrTb"/>
            <w:noWrap w:val="false"/>
          </w:tcPr>
          <w:p>
            <w:pPr>
              <w:pStyle w:val="830"/>
              <w:tabs>
                <w:tab w:val="clear" w:pos="7143" w:leader="none"/>
                <w:tab w:val="clear" w:pos="14287" w:leader="none"/>
              </w:tabs>
              <w:rPr>
                <w:rFonts w:ascii="宋体" w:hAnsi="宋体" w:cs="宋体"/>
                <w:bCs/>
                <w:color w:val="auto"/>
                <w:highlight w:val="none"/>
              </w:rPr>
              <w:pBdr>
                <w:bottom w:val="none" w:color="000000" w:sz="0" w:space="0"/>
              </w:pBdr>
            </w:pPr>
            <w:r>
              <w:rPr>
                <w:rFonts w:ascii="宋体" w:hAnsi="宋体" w:cs="宋体"/>
                <w:bCs/>
                <w:color w:val="auto"/>
                <w:highlight w:val="none"/>
              </w:rPr>
            </w:r>
            <w:r/>
          </w:p>
        </w:tc>
        <w:tc>
          <w:tcPr>
            <w:tcMar>
              <w:left w:w="15" w:type="dxa"/>
              <w:top w:w="15" w:type="dxa"/>
              <w:right w:w="15" w:type="dxa"/>
              <w:bottom w:w="0" w:type="dxa"/>
            </w:tcMar>
            <w:tcW w:w="2535" w:type="dxa"/>
            <w:vAlign w:val="center"/>
            <w:textDirection w:val="lrTb"/>
            <w:noWrap w:val="false"/>
          </w:tcPr>
          <w:p>
            <w:pPr>
              <w:jc w:val="center"/>
              <w:rPr>
                <w:rFonts w:ascii="宋体" w:hAnsi="宋体" w:cs="宋体"/>
                <w:bCs/>
                <w:color w:val="auto"/>
                <w:sz w:val="18"/>
                <w:highlight w:val="none"/>
              </w:rPr>
            </w:pPr>
            <w:r>
              <w:rPr>
                <w:rFonts w:ascii="宋体" w:hAnsi="宋体" w:cs="宋体"/>
                <w:bCs/>
                <w:color w:val="auto"/>
                <w:sz w:val="18"/>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auto"/>
                <w:szCs w:val="21"/>
                <w:highlight w:val="none"/>
              </w:rPr>
            </w:pPr>
            <w:r>
              <w:rPr>
                <w:color w:val="auto"/>
                <w:szCs w:val="21"/>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auto"/>
                <w:szCs w:val="21"/>
                <w:highlight w:val="none"/>
              </w:rPr>
            </w:pPr>
            <w:r>
              <w:rPr>
                <w:color w:val="auto"/>
                <w:szCs w:val="21"/>
                <w:highlight w:val="none"/>
              </w:rPr>
            </w:r>
            <w:r/>
          </w:p>
        </w:tc>
        <w:tc>
          <w:tcPr>
            <w:tcW w:w="1276"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W w:w="70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3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jc w:val="center"/>
          <w:trHeight w:val="834"/>
        </w:trPr>
        <w:tc>
          <w:tcPr>
            <w:tcMar>
              <w:left w:w="15" w:type="dxa"/>
              <w:top w:w="15" w:type="dxa"/>
              <w:right w:w="15" w:type="dxa"/>
              <w:bottom w:w="0" w:type="dxa"/>
            </w:tcMar>
            <w:tcW w:w="494" w:type="dxa"/>
            <w:vAlign w:val="center"/>
            <w:textDirection w:val="lrTb"/>
            <w:noWrap w:val="false"/>
          </w:tcPr>
          <w:p>
            <w:pPr>
              <w:jc w:val="center"/>
              <w:rPr>
                <w:rFonts w:ascii="宋体" w:hAnsi="宋体" w:cs="宋体"/>
                <w:color w:val="auto"/>
                <w:sz w:val="18"/>
                <w:highlight w:val="none"/>
              </w:rPr>
            </w:pPr>
            <w:r>
              <w:rPr>
                <w:rFonts w:hint="eastAsia" w:ascii="宋体" w:hAnsi="宋体" w:cs="宋体"/>
                <w:color w:val="auto"/>
                <w:sz w:val="18"/>
                <w:highlight w:val="none"/>
              </w:rPr>
              <w:t xml:space="preserve">合计</w:t>
            </w:r>
            <w:r/>
          </w:p>
        </w:tc>
        <w:tc>
          <w:tcPr>
            <w:gridSpan w:val="2"/>
            <w:tcMar>
              <w:left w:w="15" w:type="dxa"/>
              <w:top w:w="15" w:type="dxa"/>
              <w:right w:w="15" w:type="dxa"/>
              <w:bottom w:w="0" w:type="dxa"/>
            </w:tcMar>
            <w:tcW w:w="132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Mar>
              <w:left w:w="15" w:type="dxa"/>
              <w:top w:w="15" w:type="dxa"/>
              <w:right w:w="15" w:type="dxa"/>
              <w:bottom w:w="0" w:type="dxa"/>
            </w:tcMar>
            <w:tcW w:w="1111" w:type="dxa"/>
            <w:vAlign w:val="center"/>
            <w:textDirection w:val="lrTb"/>
            <w:noWrap w:val="false"/>
          </w:tcPr>
          <w:p>
            <w:pPr>
              <w:pStyle w:val="830"/>
              <w:tabs>
                <w:tab w:val="clear" w:pos="7143" w:leader="none"/>
                <w:tab w:val="clear" w:pos="14287" w:leader="none"/>
              </w:tabs>
              <w:rPr>
                <w:rFonts w:ascii="宋体" w:hAnsi="宋体" w:cs="宋体"/>
                <w:bCs/>
                <w:color w:val="auto"/>
                <w:highlight w:val="none"/>
              </w:rPr>
              <w:pBdr>
                <w:bottom w:val="none" w:color="000000" w:sz="0" w:space="0"/>
              </w:pBdr>
            </w:pPr>
            <w:r>
              <w:rPr>
                <w:rFonts w:ascii="宋体" w:hAnsi="宋体" w:cs="宋体"/>
                <w:bCs/>
                <w:color w:val="auto"/>
                <w:highlight w:val="none"/>
              </w:rPr>
            </w:r>
            <w:r/>
          </w:p>
        </w:tc>
        <w:tc>
          <w:tcPr>
            <w:tcMar>
              <w:left w:w="15" w:type="dxa"/>
              <w:top w:w="15" w:type="dxa"/>
              <w:right w:w="15" w:type="dxa"/>
              <w:bottom w:w="0" w:type="dxa"/>
            </w:tcMar>
            <w:tcW w:w="2535" w:type="dxa"/>
            <w:vAlign w:val="center"/>
            <w:textDirection w:val="lrTb"/>
            <w:noWrap w:val="false"/>
          </w:tcPr>
          <w:p>
            <w:pPr>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Mar>
              <w:left w:w="15" w:type="dxa"/>
              <w:top w:w="15" w:type="dxa"/>
              <w:right w:w="15" w:type="dxa"/>
              <w:bottom w:w="0" w:type="dxa"/>
            </w:tcMar>
            <w:tcW w:w="599"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W w:w="1276"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W w:w="70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3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jc w:val="center"/>
          <w:trHeight w:val="834"/>
        </w:trPr>
        <w:tc>
          <w:tcPr>
            <w:gridSpan w:val="2"/>
            <w:tcMar>
              <w:left w:w="15" w:type="dxa"/>
              <w:top w:w="15" w:type="dxa"/>
              <w:right w:w="15" w:type="dxa"/>
              <w:bottom w:w="0" w:type="dxa"/>
            </w:tcMar>
            <w:tcW w:w="599" w:type="dxa"/>
            <w:vAlign w:val="center"/>
            <w:textDirection w:val="lrTb"/>
            <w:noWrap w:val="false"/>
          </w:tcPr>
          <w:p>
            <w:pPr>
              <w:jc w:val="left"/>
              <w:spacing w:before="5"/>
              <w:rPr>
                <w:rFonts w:ascii="宋体" w:hAnsi="宋体" w:cs="宋体"/>
                <w:color w:val="auto"/>
                <w:szCs w:val="24"/>
                <w:highlight w:val="none"/>
              </w:rPr>
            </w:pPr>
            <w:r>
              <w:rPr>
                <w:rFonts w:ascii="宋体" w:hAnsi="宋体" w:cs="宋体"/>
                <w:color w:val="auto"/>
                <w:szCs w:val="24"/>
                <w:highlight w:val="none"/>
              </w:rPr>
            </w:r>
            <w:r/>
          </w:p>
        </w:tc>
        <w:tc>
          <w:tcPr>
            <w:gridSpan w:val="9"/>
            <w:tcMar>
              <w:left w:w="15" w:type="dxa"/>
              <w:top w:w="15" w:type="dxa"/>
              <w:right w:w="15" w:type="dxa"/>
              <w:bottom w:w="0" w:type="dxa"/>
            </w:tcMar>
            <w:tcW w:w="9975" w:type="dxa"/>
            <w:vAlign w:val="center"/>
            <w:textDirection w:val="lrTb"/>
            <w:noWrap w:val="false"/>
          </w:tcPr>
          <w:p>
            <w:pPr>
              <w:jc w:val="left"/>
              <w:spacing w:before="5"/>
              <w:rPr>
                <w:rFonts w:ascii="宋体" w:hAnsi="宋体" w:cs="宋体"/>
                <w:color w:val="auto"/>
                <w:szCs w:val="24"/>
                <w:highlight w:val="none"/>
              </w:rPr>
            </w:pPr>
            <w:r>
              <w:rPr>
                <w:rFonts w:hint="eastAsia" w:ascii="宋体" w:hAnsi="宋体" w:cs="宋体"/>
                <w:color w:val="auto"/>
                <w:szCs w:val="24"/>
                <w:highlight w:val="none"/>
              </w:rPr>
              <w:t xml:space="preserve">投标人承诺：</w:t>
            </w:r>
            <w:r/>
          </w:p>
          <w:p>
            <w:pPr>
              <w:jc w:val="left"/>
              <w:spacing w:before="5"/>
              <w:rPr>
                <w:rFonts w:ascii="宋体" w:hAnsi="宋体" w:cs="宋体"/>
                <w:b/>
                <w:bCs/>
                <w:color w:val="auto"/>
                <w:sz w:val="24"/>
                <w:szCs w:val="24"/>
                <w:highlight w:val="none"/>
              </w:rPr>
            </w:pPr>
            <w:r>
              <w:rPr>
                <w:rFonts w:hint="eastAsia" w:ascii="宋体" w:hAnsi="宋体" w:cs="宋体"/>
                <w:color w:val="auto"/>
                <w:szCs w:val="24"/>
                <w:highlight w:val="none"/>
              </w:rPr>
              <w:t xml:space="preserve">本采购项目或采购包中提供的符合本国产品标准的产品成本之和占提供的全部产品成本之和的比例为</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p>
        </w:tc>
      </w:tr>
    </w:tbl>
    <w:p>
      <w:pPr>
        <w:pStyle w:val="795"/>
        <w:rPr>
          <w:b/>
          <w:bCs/>
          <w:color w:val="auto"/>
          <w:sz w:val="24"/>
          <w:szCs w:val="32"/>
          <w:highlight w:val="none"/>
        </w:rPr>
      </w:pPr>
      <w:r>
        <w:rPr>
          <w:b/>
          <w:bCs/>
          <w:color w:val="auto"/>
          <w:sz w:val="24"/>
          <w:szCs w:val="32"/>
          <w:highlight w:val="none"/>
        </w:rPr>
      </w:r>
      <w:r/>
    </w:p>
    <w:p>
      <w:pPr>
        <w:pStyle w:val="795"/>
        <w:rPr>
          <w:b/>
          <w:bCs/>
          <w:color w:val="auto"/>
          <w:sz w:val="24"/>
          <w:szCs w:val="32"/>
          <w:highlight w:val="none"/>
        </w:rPr>
      </w:pPr>
      <w:r>
        <w:rPr>
          <w:b/>
          <w:bCs/>
          <w:color w:val="auto"/>
          <w:sz w:val="24"/>
          <w:szCs w:val="32"/>
          <w:highlight w:val="none"/>
        </w:rPr>
      </w:r>
      <w:r/>
    </w:p>
    <w:p>
      <w:pPr>
        <w:spacing w:before="5" w:line="560" w:lineRule="atLeast"/>
        <w:rPr>
          <w:rFonts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pStyle w:val="763"/>
        <w:ind w:firstLine="448"/>
        <w:rPr>
          <w:rFonts w:ascii="宋体" w:eastAsia="宋体" w:cs="宋体"/>
          <w:color w:val="auto"/>
          <w:sz w:val="24"/>
          <w:szCs w:val="24"/>
          <w:highlight w:val="none"/>
        </w:rPr>
      </w:pPr>
      <w:r>
        <w:rPr>
          <w:rFonts w:ascii="宋体" w:eastAsia="宋体" w:cs="宋体"/>
          <w:color w:val="auto"/>
          <w:sz w:val="24"/>
          <w:szCs w:val="24"/>
          <w:highlight w:val="none"/>
        </w:rPr>
      </w:r>
      <w:r/>
    </w:p>
    <w:p>
      <w:pPr>
        <w:spacing w:line="400" w:lineRule="exact"/>
        <w:rPr>
          <w:rFonts w:ascii="宋体" w:hAnsi="宋体" w:cs="宋体"/>
          <w:bCs/>
          <w:color w:val="auto"/>
          <w:highlight w:val="none"/>
        </w:rPr>
      </w:pPr>
      <w:r>
        <w:rPr>
          <w:rFonts w:hint="eastAsia" w:ascii="宋体" w:hAnsi="宋体" w:cs="宋体"/>
          <w:color w:val="auto"/>
          <w:sz w:val="24"/>
          <w:highlight w:val="none"/>
        </w:rPr>
        <w:t xml:space="preserve">注：</w:t>
      </w:r>
      <w:r>
        <w:rPr>
          <w:rFonts w:hint="eastAsia" w:ascii="宋体" w:hAnsi="宋体" w:cs="宋体"/>
          <w:bCs/>
          <w:color w:val="auto"/>
          <w:highlight w:val="none"/>
        </w:rPr>
        <w:t xml:space="preserve">（1）投标人为本项目提供的货物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相关内容将进行公示；</w:t>
      </w:r>
      <w:r/>
    </w:p>
    <w:p>
      <w:pPr>
        <w:ind w:firstLine="315"/>
        <w:spacing w:line="400" w:lineRule="exact"/>
        <w:rPr>
          <w:rFonts w:ascii="宋体" w:hAnsi="宋体" w:cs="宋体"/>
          <w:bCs/>
          <w:color w:val="auto"/>
          <w:highlight w:val="none"/>
        </w:rPr>
      </w:pPr>
      <w:r>
        <w:rPr>
          <w:rFonts w:hint="eastAsia" w:ascii="宋体" w:hAnsi="宋体" w:cs="宋体"/>
          <w:bCs/>
          <w:color w:val="auto"/>
          <w:highlight w:val="none"/>
        </w:rPr>
        <w:t xml:space="preserve">（2）投标人应当根据“采购需求”的内容在上表中详细填写；</w:t>
      </w:r>
      <w:r/>
    </w:p>
    <w:p>
      <w:pPr>
        <w:ind w:firstLine="315"/>
        <w:spacing w:line="400" w:lineRule="exact"/>
        <w:rPr>
          <w:rFonts w:ascii="宋体" w:hAnsi="宋体" w:cs="宋体"/>
          <w:bCs/>
          <w:color w:val="auto"/>
          <w:highlight w:val="none"/>
        </w:rPr>
      </w:pPr>
      <w:r>
        <w:rPr>
          <w:rFonts w:hint="eastAsia" w:ascii="宋体" w:hAnsi="宋体" w:cs="宋体"/>
          <w:bCs/>
          <w:color w:val="auto"/>
          <w:highlight w:val="none"/>
        </w:rPr>
        <w:t xml:space="preserve">（3）表格不够可自行延长。</w:t>
      </w:r>
      <w:r/>
    </w:p>
    <w:p>
      <w:pPr>
        <w:ind w:firstLine="315"/>
        <w:spacing w:line="400" w:lineRule="exact"/>
        <w:rPr>
          <w:rFonts w:ascii="宋体" w:hAnsi="宋体" w:cs="宋体"/>
          <w:bCs/>
          <w:color w:val="auto"/>
          <w:highlight w:val="none"/>
        </w:rPr>
      </w:pPr>
      <w:r>
        <w:rPr>
          <w:rFonts w:hint="eastAsia" w:ascii="宋体" w:hAnsi="宋体" w:cs="宋体"/>
          <w:bCs/>
          <w:color w:val="auto"/>
          <w:highlight w:val="none"/>
        </w:rPr>
        <w:t xml:space="preserve">（4）</w:t>
      </w:r>
      <w:r>
        <w:rPr>
          <w:rFonts w:hint="eastAsia" w:ascii="宋体" w:hAnsi="宋体" w:cs="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r/>
    </w:p>
    <w:p>
      <w:pPr>
        <w:ind w:firstLine="315"/>
        <w:spacing w:line="400" w:lineRule="exact"/>
        <w:rPr>
          <w:rFonts w:ascii="宋体" w:hAnsi="宋体" w:cs="宋体"/>
          <w:bCs/>
          <w:color w:val="auto"/>
          <w:highlight w:val="none"/>
        </w:rPr>
      </w:pPr>
      <w:r>
        <w:rPr>
          <w:rFonts w:hint="eastAsia" w:ascii="宋体" w:hAnsi="宋体" w:cs="宋体"/>
          <w:bCs/>
          <w:color w:val="auto"/>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spacing w:line="48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（九）项目人员配置清单（格式）</w:t>
      </w:r>
      <w:r/>
    </w:p>
    <w:p>
      <w:pPr>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项目人员配置清单</w:t>
      </w:r>
      <w:r/>
    </w:p>
    <w:p>
      <w:pPr>
        <w:jc w:val="center"/>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项目编号：</w:t>
      </w:r>
      <w:r/>
    </w:p>
    <w:tbl>
      <w:tblPr>
        <w:tblStyle w:val="726"/>
        <w:tblW w:w="8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476"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姓名</w:t>
            </w:r>
            <w:r/>
          </w:p>
        </w:tc>
        <w:tc>
          <w:tcPr>
            <w:tcW w:w="720"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年龄</w:t>
            </w:r>
            <w:r/>
          </w:p>
        </w:tc>
        <w:tc>
          <w:tcPr>
            <w:tcW w:w="2520"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本项目职责</w:t>
            </w:r>
            <w:r/>
          </w:p>
        </w:tc>
        <w:tc>
          <w:tcPr>
            <w:tcW w:w="3274"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人员证书名称</w:t>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bl>
    <w:p>
      <w:pPr>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投标人名称（盖章）</w:t>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hint="eastAsia" w:ascii="宋体" w:hAnsi="宋体" w:cs="宋体"/>
          <w:bCs/>
          <w:color w:val="auto"/>
          <w:highlight w:val="none"/>
        </w:rPr>
        <w:t xml:space="preserve">注：1. 本表对应评分标准中的项目人员配置情况，表格不够可自行延长。</w:t>
      </w:r>
      <w:r/>
    </w:p>
    <w:p>
      <w:pPr>
        <w:ind w:firstLine="420"/>
        <w:rPr>
          <w:rFonts w:ascii="宋体" w:hAnsi="宋体"/>
          <w:bCs/>
          <w:color w:val="auto"/>
          <w:highlight w:val="none"/>
        </w:rPr>
      </w:pPr>
      <w:r>
        <w:rPr>
          <w:rFonts w:hint="eastAsia" w:ascii="宋体" w:hAnsi="宋体" w:cs="宋体"/>
          <w:bCs/>
          <w:color w:val="auto"/>
          <w:highlight w:val="none"/>
        </w:rPr>
        <w:t xml:space="preserve">2.</w:t>
      </w:r>
      <w:r>
        <w:rPr>
          <w:rFonts w:hint="eastAsia" w:ascii="宋体" w:hAnsi="宋体"/>
          <w:bCs/>
          <w:color w:val="auto"/>
          <w:highlight w:val="none"/>
        </w:rPr>
        <w:t xml:space="preserve">上表内容须按评分标准中的相关要求提供相应证明材料。</w:t>
      </w:r>
      <w:r/>
    </w:p>
    <w:p>
      <w:pPr>
        <w:ind w:firstLine="420"/>
        <w:rPr>
          <w:rFonts w:ascii="宋体" w:hAnsi="宋体"/>
          <w:bCs/>
          <w:color w:val="auto"/>
          <w:highlight w:val="none"/>
        </w:rPr>
      </w:pPr>
      <w:r>
        <w:rPr>
          <w:rFonts w:hint="eastAsia" w:ascii="宋体" w:hAnsi="宋体"/>
          <w:bCs/>
          <w:color w:val="auto"/>
          <w:highlight w:val="none"/>
        </w:rPr>
        <w:t xml:space="preserve">3.证明材料均请附在本表之后。</w:t>
      </w:r>
      <w:r/>
    </w:p>
    <w:p>
      <w:pPr>
        <w:spacing w:line="48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spacing w:line="480" w:lineRule="auto"/>
        <w:rPr>
          <w:rFonts w:ascii="黑体" w:eastAsia="黑体"/>
          <w:color w:val="auto"/>
          <w:sz w:val="28"/>
          <w:szCs w:val="28"/>
          <w:highlight w:val="none"/>
        </w:rPr>
      </w:pPr>
      <w:r>
        <w:rPr>
          <w:rFonts w:hint="eastAsia" w:ascii="黑体" w:hAnsi="宋体" w:eastAsia="黑体"/>
          <w:bCs/>
          <w:color w:val="auto"/>
          <w:sz w:val="24"/>
          <w:szCs w:val="24"/>
          <w:highlight w:val="none"/>
        </w:rPr>
        <w:t xml:space="preserve">（十）投标偏离表（格式）：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hint="eastAsia" w:ascii="黑体" w:eastAsia="黑体"/>
          <w:bCs/>
          <w:color w:val="auto"/>
          <w:sz w:val="28"/>
          <w:szCs w:val="28"/>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JSZC-320200-JSZH-G2026-0072</w:t>
      </w:r>
      <w:r>
        <w:rPr>
          <w:rFonts w:hint="eastAsia" w:ascii="黑体" w:eastAsia="黑体"/>
          <w:bCs/>
          <w:color w:val="auto"/>
          <w:sz w:val="24"/>
          <w:szCs w:val="24"/>
          <w:highlight w:val="none"/>
          <w:lang w:val="en-US" w:eastAsia="zh-CN"/>
        </w:rPr>
        <w:t xml:space="preserve"> </w:t>
      </w:r>
      <w:r/>
    </w:p>
    <w:tbl>
      <w:tblPr>
        <w:tblStyle w:val="726"/>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（十一）售后服务承诺（格式）</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售后服务承诺（由投标供应商根据采购文件要求自行编制）；</w:t>
      </w:r>
      <w:r/>
    </w:p>
    <w:p>
      <w:pPr>
        <w:jc w:val="center"/>
        <w:spacing w:line="400" w:lineRule="exact"/>
        <w:rPr>
          <w:color w:val="auto"/>
          <w:highlight w:val="none"/>
        </w:rPr>
      </w:pPr>
      <w:r>
        <w:rPr>
          <w:rFonts w:hint="eastAsia" w:ascii="宋体" w:hAnsi="宋体"/>
          <w:b/>
          <w:bCs/>
          <w:color w:val="auto"/>
          <w:sz w:val="30"/>
          <w:szCs w:val="30"/>
          <w:highlight w:val="none"/>
        </w:rPr>
        <w:t xml:space="preserve"> </w:t>
      </w:r>
      <w:r/>
    </w:p>
    <w:p>
      <w:pPr>
        <w:spacing w:line="320" w:lineRule="exact"/>
        <w:rPr>
          <w:color w:val="auto"/>
          <w:highlight w:val="none"/>
        </w:rPr>
      </w:pPr>
      <w:r>
        <w:rPr>
          <w:rFonts w:hint="eastAsia"/>
          <w:color w:val="auto"/>
          <w:highlight w:val="none"/>
        </w:rPr>
        <w:t xml:space="preserve">    投标供应商应提供至少以下内容：</w:t>
      </w:r>
      <w:r/>
    </w:p>
    <w:p>
      <w:pPr>
        <w:spacing w:line="320" w:lineRule="exact"/>
        <w:rPr>
          <w:color w:val="auto"/>
          <w:highlight w:val="none"/>
        </w:rPr>
      </w:pPr>
      <w:r>
        <w:rPr>
          <w:color w:val="auto"/>
          <w:highlight w:val="none"/>
        </w:rPr>
      </w:r>
      <w:r/>
    </w:p>
    <w:tbl>
      <w:tblPr>
        <w:tblStyle w:val="726"/>
        <w:tblW w:w="8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auto"/>
                <w:highlight w:val="none"/>
              </w:rPr>
            </w:pPr>
            <w:r>
              <w:rPr>
                <w:rFonts w:hint="eastAsia"/>
                <w:color w:val="auto"/>
                <w:highlight w:val="none"/>
              </w:rPr>
              <w:t xml:space="preserve">地址</w:t>
            </w:r>
            <w:r/>
          </w:p>
        </w:tc>
        <w:tc>
          <w:tcPr>
            <w:tcW w:w="2020" w:type="dxa"/>
            <w:vAlign w:val="center"/>
            <w:textDirection w:val="lrTb"/>
            <w:noWrap w:val="false"/>
          </w:tcPr>
          <w:p>
            <w:pPr>
              <w:jc w:val="center"/>
              <w:rPr>
                <w:color w:val="auto"/>
                <w:highlight w:val="none"/>
              </w:rPr>
            </w:pPr>
            <w:r>
              <w:rPr>
                <w:rFonts w:hint="eastAsia"/>
                <w:color w:val="auto"/>
                <w:highlight w:val="none"/>
              </w:rPr>
              <w:t xml:space="preserve">联系人</w:t>
            </w:r>
            <w:r/>
          </w:p>
        </w:tc>
        <w:tc>
          <w:tcPr>
            <w:tcW w:w="2020" w:type="dxa"/>
            <w:vAlign w:val="center"/>
            <w:textDirection w:val="lrTb"/>
            <w:noWrap w:val="false"/>
          </w:tcPr>
          <w:p>
            <w:pPr>
              <w:jc w:val="center"/>
              <w:rPr>
                <w:color w:val="auto"/>
                <w:highlight w:val="none"/>
              </w:rPr>
            </w:pPr>
            <w:r>
              <w:rPr>
                <w:rFonts w:hint="eastAsia"/>
                <w:color w:val="auto"/>
                <w:highlight w:val="none"/>
              </w:rPr>
              <w:t xml:space="preserve">联系电话</w:t>
            </w:r>
            <w:r/>
          </w:p>
        </w:tc>
        <w:tc>
          <w:tcPr>
            <w:tcW w:w="2020" w:type="dxa"/>
            <w:vAlign w:val="center"/>
            <w:textDirection w:val="lrTb"/>
            <w:noWrap w:val="false"/>
          </w:tcPr>
          <w:p>
            <w:pPr>
              <w:jc w:val="center"/>
              <w:rPr>
                <w:color w:val="auto"/>
                <w:highlight w:val="none"/>
              </w:rPr>
            </w:pPr>
            <w:r>
              <w:rPr>
                <w:rFonts w:hint="eastAsia"/>
                <w:color w:val="auto"/>
                <w:highlight w:val="none"/>
              </w:rPr>
              <w:t xml:space="preserve">备注</w:t>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bl>
    <w:p>
      <w:pPr>
        <w:rPr>
          <w:color w:val="auto"/>
          <w:highlight w:val="none"/>
        </w:rPr>
      </w:pPr>
      <w:r>
        <w:rPr>
          <w:rFonts w:hint="eastAsia"/>
          <w:color w:val="auto"/>
          <w:highlight w:val="none"/>
        </w:rPr>
        <w:t xml:space="preserve"> </w:t>
      </w:r>
      <w:r/>
    </w:p>
    <w:p>
      <w:pPr>
        <w:ind w:firstLine="480"/>
        <w:spacing w:line="480" w:lineRule="auto"/>
        <w:rPr>
          <w:rFonts w:ascii="宋体" w:hAnsi="宋体"/>
          <w:color w:val="auto"/>
          <w:highlight w:val="none"/>
        </w:rPr>
      </w:pPr>
      <w:r>
        <w:rPr>
          <w:rFonts w:hint="eastAsia" w:ascii="宋体" w:hAnsi="宋体"/>
          <w:color w:val="auto"/>
          <w:highlight w:val="none"/>
        </w:rPr>
        <w:t xml:space="preserve">投标供应商（公章）：</w:t>
      </w:r>
      <w:r/>
    </w:p>
    <w:p>
      <w:pPr>
        <w:ind w:firstLine="480"/>
        <w:spacing w:line="480" w:lineRule="auto"/>
        <w:rPr>
          <w:rFonts w:ascii="宋体" w:hAnsi="宋体"/>
          <w:bCs/>
          <w:color w:val="auto"/>
          <w:szCs w:val="21"/>
          <w:highlight w:val="none"/>
        </w:rPr>
      </w:pPr>
      <w:r>
        <w:rPr>
          <w:rFonts w:hint="eastAsia" w:ascii="宋体" w:hAnsi="宋体"/>
          <w:color w:val="auto"/>
          <w:highlight w:val="none"/>
        </w:rPr>
        <w:t xml:space="preserve">法定代表人或法定代表人授权代表签字或盖章：</w:t>
      </w:r>
      <w:r/>
    </w:p>
    <w:p>
      <w:pPr>
        <w:ind w:firstLine="240"/>
        <w:spacing w:line="360" w:lineRule="auto"/>
        <w:rPr>
          <w:rFonts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28"/>
        <w:ind w:firstLine="48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投标人基本情况声明</w:t>
      </w:r>
      <w:r/>
    </w:p>
    <w:p>
      <w:pPr>
        <w:pStyle w:val="728"/>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26"/>
        <w:tblW w:w="91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15"/>
        <w:gridCol w:w="1805"/>
        <w:gridCol w:w="149"/>
        <w:gridCol w:w="1757"/>
        <w:gridCol w:w="2601"/>
      </w:tblGrid>
      <w:tr>
        <w:trPr/>
        <w:tc>
          <w:tcPr>
            <w:tcW w:w="281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1954"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81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1954"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81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312"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81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1805"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728"/>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728"/>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81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2025年12月资产总额</w:t>
            </w:r>
            <w:r/>
          </w:p>
        </w:tc>
        <w:tc>
          <w:tcPr>
            <w:tcW w:w="180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81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2025年12月股东权益</w:t>
            </w:r>
            <w:r/>
          </w:p>
        </w:tc>
        <w:tc>
          <w:tcPr>
            <w:tcW w:w="180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81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2025年实现利润</w:t>
            </w:r>
            <w:r/>
          </w:p>
        </w:tc>
        <w:tc>
          <w:tcPr>
            <w:tcW w:w="180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81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c>
          <w:tcPr>
            <w:tcW w:w="1805"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595"/>
        </w:trPr>
        <w:tc>
          <w:tcPr>
            <w:gridSpan w:val="2"/>
            <w:tcW w:w="4620" w:type="dxa"/>
            <w:vAlign w:val="center"/>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28"/>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965"/>
        </w:trPr>
        <w:tc>
          <w:tcPr>
            <w:gridSpan w:val="2"/>
            <w:tcW w:w="4620" w:type="dxa"/>
            <w:vAlign w:val="center"/>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728"/>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728"/>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728"/>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ind w:firstLine="480"/>
        <w:spacing w:line="360" w:lineRule="auto"/>
        <w:rPr>
          <w:rFonts w:ascii="宋体" w:hAnsi="宋体"/>
          <w:bCs/>
          <w:color w:val="auto"/>
          <w:szCs w:val="21"/>
          <w:highlight w:val="none"/>
        </w:rPr>
      </w:pPr>
      <w:r>
        <w:rPr>
          <w:rFonts w:ascii="宋体" w:hAnsi="宋体"/>
          <w:bCs/>
          <w:color w:val="auto"/>
          <w:szCs w:val="21"/>
          <w:highlight w:val="none"/>
        </w:rPr>
        <w:br w:type="page" w:clear="all"/>
      </w:r>
      <w:r/>
    </w:p>
    <w:p>
      <w:pPr>
        <w:spacing w:line="360" w:lineRule="auto"/>
        <w:rPr>
          <w:rFonts w:ascii="宋体" w:hAnsi="宋体" w:cs="宋体"/>
          <w:b/>
          <w:color w:val="auto"/>
          <w:sz w:val="30"/>
          <w:szCs w:val="30"/>
          <w:highlight w:val="none"/>
        </w:rPr>
      </w:pPr>
      <w:r>
        <w:rPr>
          <w:rFonts w:hint="eastAsia" w:ascii="黑体" w:hAnsi="宋体" w:eastAsia="黑体"/>
          <w:bCs/>
          <w:color w:val="auto"/>
          <w:sz w:val="24"/>
          <w:szCs w:val="24"/>
          <w:highlight w:val="none"/>
        </w:rPr>
        <w:t xml:space="preserve">（十三）关于符合本国产品标准的声明函（格式）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560"/>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ascii="宋体" w:hAnsi="宋体" w:cs="宋体"/>
          <w:b/>
          <w:color w:val="auto"/>
          <w:sz w:val="18"/>
          <w:szCs w:val="18"/>
          <w:highlight w:val="none"/>
        </w:rPr>
        <w:t xml:space="preserve">注：划删除线的地方无需填写。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80"/>
        <w:spacing w:line="360" w:lineRule="auto"/>
        <w:rPr>
          <w:rFonts w:ascii="黑体" w:hAnsi="宋体" w:eastAsia="黑体"/>
          <w:color w:val="auto"/>
          <w:sz w:val="24"/>
          <w:szCs w:val="24"/>
          <w:highlight w:val="none"/>
        </w:rPr>
      </w:pPr>
      <w:r>
        <w:rPr>
          <w:rFonts w:hint="eastAsia" w:ascii="黑体" w:hAnsi="宋体" w:eastAsia="黑体"/>
          <w:bCs/>
          <w:color w:val="auto"/>
          <w:sz w:val="24"/>
          <w:szCs w:val="24"/>
          <w:highlight w:val="none"/>
        </w:rPr>
        <w:t xml:space="preserve">（十四）技术方案（格式自拟）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993"/>
        <w:ind w:firstLine="480"/>
        <w:rPr>
          <w:rFonts w:ascii="宋体" w:hAnsi="宋体"/>
          <w:bCs/>
          <w:color w:val="auto"/>
          <w:sz w:val="24"/>
          <w:szCs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sectPr>
      <w:headerReference w:type="default" r:id="rId9"/>
      <w:footerReference w:type="default" r:id="rId10"/>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Segoe UI">
    <w:panose1 w:val="020B0502040204020203"/>
  </w:font>
  <w:font w:name="华文细黑">
    <w:panose1 w:val="02010600040101010101"/>
  </w:font>
  <w:font w:name="Cambria">
    <w:panose1 w:val="02040503050406030204"/>
  </w:font>
  <w:font w:name="Courier New">
    <w:panose1 w:val="02070309020205020404"/>
  </w:font>
  <w:font w:name="华文中宋">
    <w:panose1 w:val="02010600040101010101"/>
  </w:font>
  <w:font w:name="仿宋_GB2312">
    <w:panose1 w:val="02010609060101010101"/>
  </w:font>
  <w:font w:name="黑体">
    <w:panose1 w:val="02010609060101010101"/>
  </w:font>
  <w:font w:name="Calibri">
    <w:panose1 w:val="020F0502020204030204"/>
  </w:font>
  <w:font w:name="inherit">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楷体_GB2312">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rFonts w:hint="eastAsia" w:ascii="宋体" w:hAnsi="宋体"/>
        <w:lang w:eastAsia="zh-CN"/>
      </w:rPr>
      <w:t xml:space="preserve">JSZC-320200-JSZH-G2026-0072</w:t>
    </w:r>
    <w:r>
      <w:rPr>
        <w:rFonts w:hint="eastAsia" w:ascii="宋体" w:hAnsi="宋体"/>
      </w:rPr>
      <w:t xml:space="preserve">                              </w:t>
    </w:r>
    <w:r>
      <w:rPr>
        <w:rFonts w:hint="eastAsia" w:ascii="宋体" w:hAnsi="宋体"/>
        <w:lang w:eastAsia="zh-CN"/>
      </w:rPr>
      <w:t xml:space="preserve">太湖水生态无人机巢智能巡查项目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5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nothing"/>
      <w:lvlText w:val="（%1）"/>
      <w:lvlJc w:val="left"/>
      <w:pPr>
        <w:ind w:left="0" w:firstLine="0"/>
      </w:pPr>
      <w:rPr>
        <w:rFonts w:hint="default"/>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tabs>
          <w:tab w:val="left" w:pos="420" w:leader="none"/>
        </w:tabs>
      </w:pPr>
      <w:rPr>
        <w:rFonts w:hint="default"/>
      </w:rPr>
    </w:lvl>
    <w:lvl w:ilvl="2">
      <w:start w:val="1"/>
      <w:numFmt w:val="decimal"/>
      <w:isLgl w:val="false"/>
      <w:suff w:val="space"/>
      <w:lvlText w:val="%1.%2.%3"/>
      <w:lvlJc w:val="left"/>
      <w:pPr>
        <w:ind w:left="0" w:firstLine="0"/>
        <w:tabs>
          <w:tab w:val="left" w:pos="0" w:leader="none"/>
        </w:tabs>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upperLetter"/>
      <w:pStyle w:val="72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4">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default"/>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24">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5"/>
  </w:num>
  <w:num w:numId="3">
    <w:abstractNumId w:val="22"/>
  </w:num>
  <w:num w:numId="4">
    <w:abstractNumId w:val="3"/>
  </w:num>
  <w:num w:numId="5">
    <w:abstractNumId w:val="2"/>
  </w:num>
  <w:num w:numId="6">
    <w:abstractNumId w:val="14"/>
  </w:num>
  <w:num w:numId="7">
    <w:abstractNumId w:val="19"/>
  </w:num>
  <w:num w:numId="8">
    <w:abstractNumId w:val="24"/>
  </w:num>
  <w:num w:numId="9">
    <w:abstractNumId w:val="13"/>
  </w:num>
  <w:num w:numId="10">
    <w:abstractNumId w:val="0"/>
  </w:num>
  <w:num w:numId="11">
    <w:abstractNumId w:val="20"/>
  </w:num>
  <w:num w:numId="12">
    <w:abstractNumId w:val="23"/>
  </w:num>
  <w:num w:numId="13">
    <w:abstractNumId w:val="4"/>
  </w:num>
  <w:num w:numId="14">
    <w:abstractNumId w:val="21"/>
  </w:num>
  <w:num w:numId="15">
    <w:abstractNumId w:val="11"/>
  </w:num>
  <w:num w:numId="16">
    <w:abstractNumId w:val="25"/>
  </w:num>
  <w:num w:numId="17">
    <w:abstractNumId w:val="1"/>
  </w:num>
  <w:num w:numId="18">
    <w:abstractNumId w:val="15"/>
  </w:num>
  <w:num w:numId="19">
    <w:abstractNumId w:val="9"/>
  </w:num>
  <w:num w:numId="20">
    <w:abstractNumId w:val="17"/>
  </w:num>
  <w:num w:numId="21">
    <w:abstractNumId w:val="16"/>
  </w:num>
  <w:num w:numId="22">
    <w:abstractNumId w:val="6"/>
  </w:num>
  <w:num w:numId="23">
    <w:abstractNumId w:val="10"/>
  </w:num>
  <w:num w:numId="24">
    <w:abstractNumId w:val="18"/>
  </w:num>
  <w:num w:numId="25">
    <w:abstractNumId w:val="8"/>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uiPriority w:val="0"/>
    <w:qFormat/>
    <w:pPr>
      <w:jc w:val="both"/>
      <w:widowControl w:val="off"/>
    </w:pPr>
    <w:rPr>
      <w:rFonts w:hint="default" w:ascii="Times New Roman" w:hAnsi="Times New Roman" w:eastAsia="宋体" w:cs="Times New Roman"/>
      <w:sz w:val="21"/>
    </w:rPr>
  </w:style>
  <w:style w:type="paragraph" w:styleId="716">
    <w:name w:val="Heading 1"/>
    <w:basedOn w:val="715"/>
    <w:next w:val="715"/>
    <w:link w:val="793"/>
    <w:uiPriority w:val="99"/>
    <w:qFormat/>
    <w:pPr>
      <w:jc w:val="center"/>
      <w:keepNext/>
      <w:outlineLvl w:val="0"/>
    </w:pPr>
    <w:rPr>
      <w:rFonts w:ascii="楷体_GB2312" w:eastAsia="楷体_GB2312"/>
      <w:b/>
      <w:sz w:val="28"/>
    </w:rPr>
  </w:style>
  <w:style w:type="paragraph" w:styleId="717">
    <w:name w:val="Heading 2"/>
    <w:basedOn w:val="715"/>
    <w:next w:val="715"/>
    <w:link w:val="964"/>
    <w:uiPriority w:val="99"/>
    <w:qFormat/>
    <w:pPr>
      <w:outlineLvl w:val="1"/>
    </w:pPr>
    <w:rPr>
      <w:rFonts w:ascii="楷体_GB2312"/>
      <w:sz w:val="18"/>
    </w:rPr>
  </w:style>
  <w:style w:type="paragraph" w:styleId="718">
    <w:name w:val="Heading 3"/>
    <w:basedOn w:val="715"/>
    <w:next w:val="715"/>
    <w:link w:val="965"/>
    <w:uiPriority w:val="99"/>
    <w:qFormat/>
    <w:pPr>
      <w:outlineLvl w:val="2"/>
    </w:pPr>
    <w:rPr>
      <w:sz w:val="15"/>
    </w:rPr>
  </w:style>
  <w:style w:type="paragraph" w:styleId="719">
    <w:name w:val="Heading 4"/>
    <w:basedOn w:val="715"/>
    <w:next w:val="715"/>
    <w:link w:val="966"/>
    <w:uiPriority w:val="99"/>
    <w:qFormat/>
    <w:pPr>
      <w:jc w:val="center"/>
      <w:keepNext/>
      <w:outlineLvl w:val="3"/>
    </w:pPr>
    <w:rPr>
      <w:rFonts w:eastAsia="楷体_GB2312"/>
      <w:b/>
      <w:bCs/>
      <w:sz w:val="13"/>
    </w:rPr>
  </w:style>
  <w:style w:type="paragraph" w:styleId="720">
    <w:name w:val="Heading 5"/>
    <w:basedOn w:val="715"/>
    <w:next w:val="715"/>
    <w:link w:val="967"/>
    <w:uiPriority w:val="99"/>
    <w:qFormat/>
    <w:pPr>
      <w:numPr>
        <w:ilvl w:val="0"/>
        <w:numId w:val="1"/>
      </w:numPr>
      <w:keepNext/>
      <w:outlineLvl w:val="4"/>
    </w:pPr>
    <w:rPr>
      <w:rFonts w:ascii="楷体_GB2312" w:eastAsia="楷体_GB2312"/>
      <w:bCs/>
      <w:sz w:val="28"/>
    </w:rPr>
  </w:style>
  <w:style w:type="paragraph" w:styleId="721">
    <w:name w:val="Heading 6"/>
    <w:basedOn w:val="715"/>
    <w:next w:val="715"/>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spacing w:after="57"/>
    </w:pPr>
  </w:style>
  <w:style w:type="paragraph" w:styleId="728">
    <w:name w:val="Normal Indent"/>
    <w:basedOn w:val="715"/>
    <w:link w:val="968"/>
    <w:uiPriority w:val="0"/>
    <w:unhideWhenUsed/>
    <w:qFormat/>
    <w:pPr>
      <w:ind w:firstLine="420"/>
    </w:pPr>
    <w:rPr>
      <w:szCs w:val="24"/>
    </w:rPr>
  </w:style>
  <w:style w:type="paragraph" w:styleId="729">
    <w:name w:val="Caption"/>
    <w:basedOn w:val="715"/>
    <w:next w:val="715"/>
    <w:uiPriority w:val="35"/>
    <w:qFormat/>
    <w:pPr>
      <w:jc w:val="center"/>
    </w:pPr>
    <w:rPr>
      <w:rFonts w:ascii="Calibri" w:hAnsi="Calibri" w:eastAsia="黑体"/>
      <w:b/>
      <w:szCs w:val="21"/>
    </w:rPr>
  </w:style>
  <w:style w:type="paragraph" w:styleId="730">
    <w:name w:val="index 5"/>
    <w:basedOn w:val="715"/>
    <w:next w:val="715"/>
    <w:uiPriority w:val="99"/>
    <w:unhideWhenUsed/>
    <w:qFormat/>
    <w:pPr>
      <w:ind w:left="800"/>
    </w:pPr>
  </w:style>
  <w:style w:type="paragraph" w:styleId="731">
    <w:name w:val="Document Map"/>
    <w:basedOn w:val="715"/>
    <w:next w:val="715"/>
    <w:link w:val="969"/>
    <w:uiPriority w:val="99"/>
    <w:semiHidden/>
    <w:qFormat/>
    <w:pPr>
      <w:shd w:val="clear" w:color="auto" w:fill="000080"/>
    </w:pPr>
    <w:rPr>
      <w:sz w:val="20"/>
    </w:rPr>
  </w:style>
  <w:style w:type="paragraph" w:styleId="732">
    <w:name w:val="annotation text"/>
    <w:basedOn w:val="715"/>
    <w:link w:val="970"/>
    <w:uiPriority w:val="0"/>
    <w:semiHidden/>
    <w:qFormat/>
    <w:pPr>
      <w:jc w:val="left"/>
    </w:pPr>
    <w:rPr>
      <w:sz w:val="20"/>
      <w:szCs w:val="24"/>
    </w:rPr>
  </w:style>
  <w:style w:type="paragraph" w:styleId="733">
    <w:name w:val="Body Text 3"/>
    <w:basedOn w:val="715"/>
    <w:uiPriority w:val="0"/>
    <w:qFormat/>
    <w:pPr>
      <w:jc w:val="center"/>
      <w:spacing w:after="20" w:line="288" w:lineRule="auto"/>
    </w:pPr>
    <w:rPr>
      <w:b/>
      <w:bCs/>
      <w:sz w:val="24"/>
    </w:rPr>
  </w:style>
  <w:style w:type="paragraph" w:styleId="734">
    <w:name w:val="Body Text"/>
    <w:basedOn w:val="715"/>
    <w:link w:val="971"/>
    <w:uiPriority w:val="99"/>
    <w:qFormat/>
    <w:rPr>
      <w:rFonts w:ascii="华文中宋" w:eastAsia="华文中宋"/>
      <w:bCs/>
      <w:sz w:val="28"/>
    </w:rPr>
  </w:style>
  <w:style w:type="paragraph" w:styleId="735">
    <w:name w:val="Body Text Indent"/>
    <w:basedOn w:val="715"/>
    <w:next w:val="736"/>
    <w:link w:val="972"/>
    <w:uiPriority w:val="0"/>
    <w:qFormat/>
    <w:pPr>
      <w:ind w:firstLine="576"/>
    </w:pPr>
    <w:rPr>
      <w:b/>
      <w:sz w:val="30"/>
    </w:rPr>
  </w:style>
  <w:style w:type="paragraph" w:styleId="736" w:customStyle="1">
    <w:name w:val="正文文本首行缩进 21"/>
    <w:basedOn w:val="735"/>
    <w:uiPriority w:val="99"/>
    <w:qFormat/>
    <w:pPr>
      <w:ind w:firstLine="420"/>
      <w:spacing w:line="200" w:lineRule="atLeast"/>
    </w:pPr>
    <w:rPr>
      <w:rFonts w:ascii="宋体" w:hAnsi="Courier New"/>
      <w:spacing w:val="-4"/>
      <w:sz w:val="18"/>
    </w:rPr>
  </w:style>
  <w:style w:type="paragraph" w:styleId="737">
    <w:name w:val="toc 5"/>
    <w:basedOn w:val="715"/>
    <w:next w:val="715"/>
    <w:uiPriority w:val="39"/>
    <w:unhideWhenUsed/>
    <w:qFormat/>
    <w:pPr>
      <w:ind w:left="1134"/>
      <w:spacing w:after="57"/>
    </w:pPr>
  </w:style>
  <w:style w:type="paragraph" w:styleId="738">
    <w:name w:val="toc 3"/>
    <w:basedOn w:val="715"/>
    <w:next w:val="715"/>
    <w:uiPriority w:val="39"/>
    <w:unhideWhenUsed/>
    <w:qFormat/>
    <w:pPr>
      <w:ind w:left="567"/>
      <w:spacing w:after="57"/>
    </w:pPr>
  </w:style>
  <w:style w:type="paragraph" w:styleId="739">
    <w:name w:val="Plain Text"/>
    <w:basedOn w:val="715"/>
    <w:link w:val="973"/>
    <w:uiPriority w:val="0"/>
    <w:qFormat/>
    <w:rPr>
      <w:rFonts w:ascii="宋体" w:hAnsi="Courier New"/>
      <w:szCs w:val="21"/>
    </w:rPr>
  </w:style>
  <w:style w:type="paragraph" w:styleId="740">
    <w:name w:val="toc 8"/>
    <w:basedOn w:val="715"/>
    <w:next w:val="715"/>
    <w:uiPriority w:val="39"/>
    <w:unhideWhenUsed/>
    <w:qFormat/>
    <w:pPr>
      <w:ind w:left="1984"/>
      <w:spacing w:after="57"/>
    </w:pPr>
  </w:style>
  <w:style w:type="paragraph" w:styleId="741">
    <w:name w:val="Date"/>
    <w:basedOn w:val="715"/>
    <w:next w:val="715"/>
    <w:link w:val="974"/>
    <w:uiPriority w:val="99"/>
    <w:qFormat/>
    <w:rPr>
      <w:rFonts w:eastAsia="黑体"/>
      <w:b/>
      <w:sz w:val="36"/>
    </w:rPr>
  </w:style>
  <w:style w:type="paragraph" w:styleId="742">
    <w:name w:val="Body Text Indent 2"/>
    <w:basedOn w:val="715"/>
    <w:link w:val="975"/>
    <w:uiPriority w:val="99"/>
    <w:qFormat/>
    <w:pPr>
      <w:ind w:left="900"/>
    </w:pPr>
    <w:rPr>
      <w:rFonts w:ascii="楷体_GB2312" w:eastAsia="楷体_GB2312"/>
      <w:b/>
      <w:sz w:val="28"/>
    </w:rPr>
  </w:style>
  <w:style w:type="paragraph" w:styleId="743">
    <w:name w:val="endnote text"/>
    <w:basedOn w:val="715"/>
    <w:link w:val="962"/>
    <w:uiPriority w:val="99"/>
    <w:semiHidden/>
    <w:unhideWhenUsed/>
    <w:qFormat/>
    <w:rPr>
      <w:sz w:val="20"/>
    </w:rPr>
  </w:style>
  <w:style w:type="paragraph" w:styleId="744">
    <w:name w:val="Balloon Text"/>
    <w:basedOn w:val="715"/>
    <w:link w:val="976"/>
    <w:uiPriority w:val="99"/>
    <w:unhideWhenUsed/>
    <w:qFormat/>
    <w:rPr>
      <w:sz w:val="18"/>
      <w:szCs w:val="18"/>
    </w:rPr>
  </w:style>
  <w:style w:type="paragraph" w:styleId="745">
    <w:name w:val="Footer"/>
    <w:basedOn w:val="715"/>
    <w:link w:val="977"/>
    <w:uiPriority w:val="99"/>
    <w:unhideWhenUsed/>
    <w:qFormat/>
    <w:pPr>
      <w:jc w:val="left"/>
      <w:tabs>
        <w:tab w:val="center" w:pos="4153" w:leader="none"/>
        <w:tab w:val="right" w:pos="8306" w:leader="none"/>
      </w:tabs>
    </w:pPr>
    <w:rPr>
      <w:sz w:val="18"/>
      <w:szCs w:val="18"/>
    </w:rPr>
  </w:style>
  <w:style w:type="paragraph" w:styleId="746">
    <w:name w:val="envelope return"/>
    <w:basedOn w:val="715"/>
    <w:uiPriority w:val="0"/>
    <w:qFormat/>
    <w:rPr>
      <w:rFonts w:ascii="Arial" w:hAnsi="Arial"/>
    </w:rPr>
  </w:style>
  <w:style w:type="paragraph" w:styleId="747">
    <w:name w:val="Header"/>
    <w:basedOn w:val="715"/>
    <w:link w:val="978"/>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48">
    <w:name w:val="toc 1"/>
    <w:basedOn w:val="715"/>
    <w:next w:val="715"/>
    <w:uiPriority w:val="39"/>
    <w:unhideWhenUsed/>
    <w:qFormat/>
    <w:pPr>
      <w:spacing w:after="57"/>
    </w:pPr>
  </w:style>
  <w:style w:type="paragraph" w:styleId="749">
    <w:name w:val="toc 4"/>
    <w:basedOn w:val="715"/>
    <w:next w:val="715"/>
    <w:uiPriority w:val="39"/>
    <w:unhideWhenUsed/>
    <w:qFormat/>
    <w:pPr>
      <w:ind w:left="850"/>
      <w:spacing w:after="57"/>
    </w:pPr>
  </w:style>
  <w:style w:type="paragraph" w:styleId="750">
    <w:name w:val="Subtitle"/>
    <w:basedOn w:val="715"/>
    <w:next w:val="715"/>
    <w:link w:val="825"/>
    <w:uiPriority w:val="11"/>
    <w:qFormat/>
    <w:pPr>
      <w:spacing w:before="200" w:after="200"/>
    </w:pPr>
    <w:rPr>
      <w:sz w:val="24"/>
      <w:szCs w:val="24"/>
    </w:rPr>
  </w:style>
  <w:style w:type="paragraph" w:styleId="751">
    <w:name w:val="List"/>
    <w:basedOn w:val="715"/>
    <w:uiPriority w:val="0"/>
    <w:qFormat/>
    <w:pPr>
      <w:numPr>
        <w:ilvl w:val="0"/>
        <w:numId w:val="2"/>
      </w:numPr>
      <w:spacing w:after="20" w:line="288" w:lineRule="auto"/>
    </w:pPr>
    <w:rPr>
      <w:lang w:val="en-GB"/>
    </w:rPr>
  </w:style>
  <w:style w:type="paragraph" w:styleId="752">
    <w:name w:val="footnote text"/>
    <w:basedOn w:val="715"/>
    <w:next w:val="730"/>
    <w:link w:val="979"/>
    <w:uiPriority w:val="0"/>
    <w:qFormat/>
    <w:pPr>
      <w:ind w:firstLine="425"/>
      <w:jc w:val="left"/>
      <w:spacing w:before="120" w:line="360" w:lineRule="auto"/>
    </w:pPr>
    <w:rPr>
      <w:sz w:val="18"/>
    </w:rPr>
  </w:style>
  <w:style w:type="paragraph" w:styleId="753">
    <w:name w:val="toc 6"/>
    <w:basedOn w:val="715"/>
    <w:next w:val="715"/>
    <w:uiPriority w:val="39"/>
    <w:unhideWhenUsed/>
    <w:qFormat/>
    <w:pPr>
      <w:ind w:left="1417"/>
      <w:spacing w:after="57"/>
    </w:pPr>
  </w:style>
  <w:style w:type="paragraph" w:styleId="754">
    <w:name w:val="Body Text Indent 3"/>
    <w:basedOn w:val="715"/>
    <w:link w:val="980"/>
    <w:uiPriority w:val="99"/>
    <w:qFormat/>
    <w:pPr>
      <w:ind w:left="359" w:firstLine="359"/>
    </w:pPr>
    <w:rPr>
      <w:sz w:val="20"/>
    </w:rPr>
  </w:style>
  <w:style w:type="paragraph" w:styleId="755">
    <w:name w:val="table of figures"/>
    <w:basedOn w:val="715"/>
    <w:next w:val="715"/>
    <w:uiPriority w:val="99"/>
    <w:unhideWhenUsed/>
    <w:qFormat/>
  </w:style>
  <w:style w:type="paragraph" w:styleId="756">
    <w:name w:val="toc 2"/>
    <w:basedOn w:val="715"/>
    <w:next w:val="715"/>
    <w:uiPriority w:val="39"/>
    <w:unhideWhenUsed/>
    <w:qFormat/>
    <w:pPr>
      <w:ind w:left="283"/>
      <w:spacing w:after="57"/>
    </w:pPr>
  </w:style>
  <w:style w:type="paragraph" w:styleId="757">
    <w:name w:val="toc 9"/>
    <w:basedOn w:val="715"/>
    <w:next w:val="715"/>
    <w:uiPriority w:val="39"/>
    <w:unhideWhenUsed/>
    <w:qFormat/>
    <w:pPr>
      <w:ind w:left="2268"/>
      <w:spacing w:after="57"/>
    </w:pPr>
  </w:style>
  <w:style w:type="paragraph" w:styleId="758">
    <w:name w:val="Body Text 2"/>
    <w:basedOn w:val="715"/>
    <w:link w:val="981"/>
    <w:uiPriority w:val="99"/>
    <w:qFormat/>
    <w:pPr>
      <w:spacing w:after="120" w:line="480" w:lineRule="auto"/>
    </w:pPr>
    <w:rPr>
      <w:sz w:val="20"/>
    </w:rPr>
  </w:style>
  <w:style w:type="paragraph" w:styleId="759">
    <w:name w:val="Normal (Web)"/>
    <w:basedOn w:val="715"/>
    <w:link w:val="982"/>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60">
    <w:name w:val="Title"/>
    <w:basedOn w:val="715"/>
    <w:next w:val="715"/>
    <w:link w:val="824"/>
    <w:uiPriority w:val="10"/>
    <w:qFormat/>
    <w:pPr>
      <w:contextualSpacing/>
      <w:spacing w:before="300" w:after="200"/>
    </w:pPr>
    <w:rPr>
      <w:sz w:val="48"/>
      <w:szCs w:val="48"/>
    </w:rPr>
  </w:style>
  <w:style w:type="paragraph" w:styleId="761">
    <w:name w:val="annotation subject"/>
    <w:basedOn w:val="732"/>
    <w:next w:val="732"/>
    <w:link w:val="983"/>
    <w:uiPriority w:val="0"/>
    <w:semiHidden/>
    <w:qFormat/>
    <w:rPr>
      <w:b/>
      <w:bCs/>
    </w:rPr>
  </w:style>
  <w:style w:type="paragraph" w:styleId="762">
    <w:name w:val="Body Text First Indent"/>
    <w:basedOn w:val="734"/>
    <w:link w:val="984"/>
    <w:uiPriority w:val="99"/>
    <w:unhideWhenUsed/>
    <w:qFormat/>
    <w:pPr>
      <w:ind w:firstLine="420"/>
      <w:spacing w:after="120"/>
    </w:pPr>
  </w:style>
  <w:style w:type="paragraph" w:styleId="763">
    <w:name w:val="Body Text First Indent 2"/>
    <w:basedOn w:val="735"/>
    <w:next w:val="734"/>
    <w:uiPriority w:val="0"/>
    <w:qFormat/>
    <w:pPr>
      <w:ind w:left="420" w:firstLine="420"/>
      <w:spacing w:after="120"/>
    </w:pPr>
    <w:rPr>
      <w:rFonts w:ascii="Cambria" w:hAnsi="Cambria" w:eastAsia="华文细黑"/>
      <w:sz w:val="21"/>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uiPriority w:val="99"/>
    <w:qFormat/>
    <w:rPr>
      <w:rFonts w:cs="Times New Roman"/>
      <w:b/>
      <w:bCs/>
    </w:rPr>
  </w:style>
  <w:style w:type="character" w:styleId="766">
    <w:name w:val="endnote reference"/>
    <w:uiPriority w:val="99"/>
    <w:semiHidden/>
    <w:unhideWhenUsed/>
    <w:qFormat/>
    <w:rPr>
      <w:vertAlign w:val="superscript"/>
    </w:rPr>
  </w:style>
  <w:style w:type="character" w:styleId="767">
    <w:name w:val="page number"/>
    <w:uiPriority w:val="0"/>
    <w:qFormat/>
    <w:rPr>
      <w:rFonts w:cs="Times New Roman"/>
    </w:rPr>
  </w:style>
  <w:style w:type="character" w:styleId="768">
    <w:name w:val="FollowedHyperlink"/>
    <w:uiPriority w:val="99"/>
    <w:qFormat/>
    <w:rPr>
      <w:rFonts w:cs="Times New Roman"/>
      <w:color w:val="000000"/>
      <w:u w:val="none"/>
    </w:rPr>
  </w:style>
  <w:style w:type="character" w:styleId="769">
    <w:name w:val="HTML Typewriter"/>
    <w:uiPriority w:val="99"/>
    <w:qFormat/>
    <w:rPr>
      <w:rFonts w:ascii="宋体" w:hAnsi="宋体" w:eastAsia="宋体" w:cs="宋体"/>
      <w:sz w:val="24"/>
      <w:szCs w:val="24"/>
    </w:rPr>
  </w:style>
  <w:style w:type="character" w:styleId="770">
    <w:name w:val="Hyperlink"/>
    <w:uiPriority w:val="0"/>
    <w:qFormat/>
    <w:rPr>
      <w:color w:val="000000"/>
      <w:u w:val="none"/>
    </w:rPr>
  </w:style>
  <w:style w:type="character" w:styleId="771">
    <w:name w:val="annotation reference"/>
    <w:uiPriority w:val="0"/>
    <w:unhideWhenUsed/>
    <w:qFormat/>
    <w:rPr>
      <w:sz w:val="21"/>
      <w:szCs w:val="21"/>
    </w:rPr>
  </w:style>
  <w:style w:type="character" w:styleId="772">
    <w:name w:val="footnote reference"/>
    <w:uiPriority w:val="99"/>
    <w:unhideWhenUsed/>
    <w:qFormat/>
    <w:rPr>
      <w:vertAlign w:val="superscript"/>
    </w:rPr>
  </w:style>
  <w:style w:type="table" w:styleId="773"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2" w:customStyle="1">
    <w:name w:val="TOC Heading"/>
    <w:uiPriority w:val="39"/>
    <w:unhideWhenUsed/>
    <w:qFormat/>
    <w:rPr>
      <w:rFonts w:hint="default" w:ascii="Times New Roman" w:hAnsi="Times New Roman" w:eastAsia="宋体" w:cs="Times New Roman"/>
    </w:rPr>
  </w:style>
  <w:style w:type="character" w:styleId="793" w:customStyle="1">
    <w:name w:val="标题 1 Char"/>
    <w:link w:val="716"/>
    <w:uiPriority w:val="99"/>
    <w:qFormat/>
    <w:rPr>
      <w:rFonts w:ascii="楷体_GB2312" w:hAnsi="Times New Roman" w:eastAsia="楷体_GB2312" w:cs="Times New Roman"/>
      <w:b/>
      <w:sz w:val="28"/>
      <w:szCs w:val="20"/>
    </w:rPr>
  </w:style>
  <w:style w:type="paragraph" w:styleId="794" w:customStyle="1">
    <w:name w:val="TOC 标题1"/>
    <w:uiPriority w:val="39"/>
    <w:unhideWhenUsed/>
    <w:qFormat/>
    <w:rPr>
      <w:rFonts w:hint="default" w:ascii="Times New Roman" w:hAnsi="Times New Roman" w:eastAsia="宋体" w:cs="Times New Roman"/>
    </w:rPr>
  </w:style>
  <w:style w:type="paragraph" w:styleId="795" w:customStyle="1">
    <w:name w:val="段"/>
    <w:next w:val="715"/>
    <w:uiPriority w:val="0"/>
    <w:qFormat/>
    <w:pPr>
      <w:ind w:firstLine="200"/>
      <w:jc w:val="both"/>
    </w:pPr>
    <w:rPr>
      <w:rFonts w:hint="default" w:ascii="宋体" w:hAnsi="Times New Roman" w:eastAsia="宋体" w:cs="Times New Roman"/>
      <w:sz w:val="21"/>
    </w:rPr>
  </w:style>
  <w:style w:type="paragraph" w:styleId="796" w:customStyle="1">
    <w:name w:val="列出段落1"/>
    <w:basedOn w:val="715"/>
    <w:uiPriority w:val="0"/>
    <w:qFormat/>
    <w:pPr>
      <w:ind w:firstLine="420"/>
    </w:pPr>
    <w:rPr>
      <w:szCs w:val="24"/>
    </w:rPr>
  </w:style>
  <w:style w:type="paragraph" w:styleId="797" w:customStyle="1">
    <w:name w:val="Default"/>
    <w:uiPriority w:val="0"/>
    <w:qFormat/>
    <w:pPr>
      <w:widowControl w:val="off"/>
    </w:pPr>
    <w:rPr>
      <w:rFonts w:hint="default" w:ascii="Times New Roman" w:hAnsi="Times New Roman" w:eastAsia="宋体" w:cs="Times New Roman"/>
      <w:color w:val="000000"/>
      <w:sz w:val="24"/>
      <w:szCs w:val="24"/>
    </w:rPr>
  </w:style>
  <w:style w:type="character" w:styleId="798" w:customStyle="1">
    <w:name w:val="Title Char"/>
    <w:basedOn w:val="725"/>
    <w:uiPriority w:val="10"/>
    <w:qFormat/>
    <w:rPr>
      <w:sz w:val="48"/>
      <w:szCs w:val="48"/>
    </w:rPr>
  </w:style>
  <w:style w:type="character" w:styleId="799" w:customStyle="1">
    <w:name w:val="Subtitle Char"/>
    <w:basedOn w:val="725"/>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Endnote Text Char"/>
    <w:uiPriority w:val="99"/>
    <w:qFormat/>
    <w:rPr>
      <w:sz w:val="20"/>
    </w:rPr>
  </w:style>
  <w:style w:type="paragraph" w:styleId="803" w:customStyle="1">
    <w:name w:val="TOC 标题111"/>
    <w:uiPriority w:val="39"/>
    <w:unhideWhenUsed/>
    <w:qFormat/>
    <w:rPr>
      <w:rFonts w:hint="default" w:ascii="Times New Roman" w:hAnsi="Times New Roman" w:eastAsia="宋体" w:cs="Times New Roman"/>
    </w:rPr>
  </w:style>
  <w:style w:type="paragraph" w:styleId="804" w:customStyle="1">
    <w:name w:val="正文文本1"/>
    <w:basedOn w:val="715"/>
    <w:uiPriority w:val="0"/>
    <w:qFormat/>
    <w:rPr>
      <w:rFonts w:ascii="华文中宋" w:eastAsia="华文中宋"/>
      <w:bCs/>
      <w:sz w:val="28"/>
    </w:rPr>
  </w:style>
  <w:style w:type="paragraph" w:styleId="805" w:customStyle="1">
    <w:name w:val="标题 11"/>
    <w:basedOn w:val="715"/>
    <w:next w:val="715"/>
    <w:link w:val="806"/>
    <w:uiPriority w:val="9"/>
    <w:qFormat/>
    <w:pPr>
      <w:keepLines/>
      <w:keepNext/>
      <w:spacing w:before="480" w:after="200"/>
      <w:outlineLvl w:val="0"/>
    </w:pPr>
    <w:rPr>
      <w:rFonts w:ascii="Arial" w:hAnsi="Arial" w:eastAsia="Arial" w:cs="Arial"/>
      <w:sz w:val="40"/>
      <w:szCs w:val="40"/>
    </w:rPr>
  </w:style>
  <w:style w:type="character" w:styleId="806" w:customStyle="1">
    <w:name w:val="Heading 1 Char"/>
    <w:link w:val="805"/>
    <w:uiPriority w:val="9"/>
    <w:qFormat/>
    <w:rPr>
      <w:rFonts w:ascii="Arial" w:hAnsi="Arial" w:eastAsia="Arial" w:cs="Arial"/>
      <w:sz w:val="40"/>
      <w:szCs w:val="40"/>
    </w:rPr>
  </w:style>
  <w:style w:type="paragraph" w:styleId="807" w:customStyle="1">
    <w:name w:val="标题 21"/>
    <w:basedOn w:val="715"/>
    <w:next w:val="715"/>
    <w:link w:val="808"/>
    <w:uiPriority w:val="9"/>
    <w:unhideWhenUsed/>
    <w:qFormat/>
    <w:pPr>
      <w:keepLines/>
      <w:keepNext/>
      <w:spacing w:before="360" w:after="200"/>
      <w:outlineLvl w:val="1"/>
    </w:pPr>
    <w:rPr>
      <w:rFonts w:ascii="Arial" w:hAnsi="Arial" w:eastAsia="Arial" w:cs="Arial"/>
      <w:sz w:val="34"/>
    </w:rPr>
  </w:style>
  <w:style w:type="character" w:styleId="808" w:customStyle="1">
    <w:name w:val="Heading 2 Char"/>
    <w:link w:val="807"/>
    <w:uiPriority w:val="9"/>
    <w:qFormat/>
    <w:rPr>
      <w:rFonts w:ascii="Arial" w:hAnsi="Arial" w:eastAsia="Arial" w:cs="Arial"/>
      <w:sz w:val="34"/>
    </w:rPr>
  </w:style>
  <w:style w:type="paragraph" w:styleId="809" w:customStyle="1">
    <w:name w:val="标题 31"/>
    <w:basedOn w:val="715"/>
    <w:next w:val="715"/>
    <w:link w:val="810"/>
    <w:uiPriority w:val="9"/>
    <w:unhideWhenUsed/>
    <w:qFormat/>
    <w:pPr>
      <w:keepLines/>
      <w:keepNext/>
      <w:spacing w:before="320" w:after="200"/>
      <w:outlineLvl w:val="2"/>
    </w:pPr>
    <w:rPr>
      <w:rFonts w:ascii="Arial" w:hAnsi="Arial" w:eastAsia="Arial" w:cs="Arial"/>
      <w:sz w:val="30"/>
      <w:szCs w:val="30"/>
    </w:rPr>
  </w:style>
  <w:style w:type="character" w:styleId="810" w:customStyle="1">
    <w:name w:val="Heading 3 Char"/>
    <w:link w:val="809"/>
    <w:uiPriority w:val="9"/>
    <w:qFormat/>
    <w:rPr>
      <w:rFonts w:ascii="Arial" w:hAnsi="Arial" w:eastAsia="Arial" w:cs="Arial"/>
      <w:sz w:val="30"/>
      <w:szCs w:val="30"/>
    </w:rPr>
  </w:style>
  <w:style w:type="paragraph" w:styleId="811" w:customStyle="1">
    <w:name w:val="标题 41"/>
    <w:basedOn w:val="715"/>
    <w:next w:val="715"/>
    <w:link w:val="812"/>
    <w:uiPriority w:val="9"/>
    <w:unhideWhenUsed/>
    <w:qFormat/>
    <w:pPr>
      <w:keepLines/>
      <w:keepNext/>
      <w:spacing w:before="320" w:after="200"/>
      <w:outlineLvl w:val="3"/>
    </w:pPr>
    <w:rPr>
      <w:rFonts w:ascii="Arial" w:hAnsi="Arial" w:eastAsia="Arial" w:cs="Arial"/>
      <w:b/>
      <w:bCs/>
      <w:sz w:val="26"/>
      <w:szCs w:val="26"/>
    </w:rPr>
  </w:style>
  <w:style w:type="character" w:styleId="812" w:customStyle="1">
    <w:name w:val="Heading 4 Char"/>
    <w:link w:val="811"/>
    <w:uiPriority w:val="9"/>
    <w:qFormat/>
    <w:rPr>
      <w:rFonts w:ascii="Arial" w:hAnsi="Arial" w:eastAsia="Arial" w:cs="Arial"/>
      <w:b/>
      <w:bCs/>
      <w:sz w:val="26"/>
      <w:szCs w:val="26"/>
    </w:rPr>
  </w:style>
  <w:style w:type="paragraph" w:styleId="813" w:customStyle="1">
    <w:name w:val="标题 51"/>
    <w:basedOn w:val="715"/>
    <w:next w:val="715"/>
    <w:link w:val="814"/>
    <w:uiPriority w:val="9"/>
    <w:unhideWhenUsed/>
    <w:qFormat/>
    <w:pPr>
      <w:keepLines/>
      <w:keepNext/>
      <w:spacing w:before="320" w:after="200"/>
      <w:outlineLvl w:val="4"/>
    </w:pPr>
    <w:rPr>
      <w:rFonts w:ascii="Arial" w:hAnsi="Arial" w:eastAsia="Arial" w:cs="Arial"/>
      <w:b/>
      <w:bCs/>
      <w:sz w:val="24"/>
      <w:szCs w:val="24"/>
    </w:rPr>
  </w:style>
  <w:style w:type="character" w:styleId="814" w:customStyle="1">
    <w:name w:val="Heading 5 Char"/>
    <w:link w:val="813"/>
    <w:uiPriority w:val="9"/>
    <w:qFormat/>
    <w:rPr>
      <w:rFonts w:ascii="Arial" w:hAnsi="Arial" w:eastAsia="Arial" w:cs="Arial"/>
      <w:b/>
      <w:bCs/>
      <w:sz w:val="24"/>
      <w:szCs w:val="24"/>
    </w:rPr>
  </w:style>
  <w:style w:type="paragraph" w:styleId="815" w:customStyle="1">
    <w:name w:val="标题 61"/>
    <w:basedOn w:val="715"/>
    <w:next w:val="715"/>
    <w:link w:val="816"/>
    <w:uiPriority w:val="9"/>
    <w:unhideWhenUsed/>
    <w:qFormat/>
    <w:pPr>
      <w:keepLines/>
      <w:keepNext/>
      <w:spacing w:before="320" w:after="200"/>
      <w:outlineLvl w:val="5"/>
    </w:pPr>
    <w:rPr>
      <w:rFonts w:ascii="Arial" w:hAnsi="Arial" w:eastAsia="Arial" w:cs="Arial"/>
      <w:b/>
      <w:bCs/>
      <w:sz w:val="22"/>
      <w:szCs w:val="22"/>
    </w:rPr>
  </w:style>
  <w:style w:type="character" w:styleId="816" w:customStyle="1">
    <w:name w:val="Heading 6 Char"/>
    <w:link w:val="815"/>
    <w:uiPriority w:val="9"/>
    <w:qFormat/>
    <w:rPr>
      <w:rFonts w:ascii="Arial" w:hAnsi="Arial" w:eastAsia="Arial" w:cs="Arial"/>
      <w:b/>
      <w:bCs/>
      <w:sz w:val="22"/>
      <w:szCs w:val="22"/>
    </w:rPr>
  </w:style>
  <w:style w:type="paragraph" w:styleId="817" w:customStyle="1">
    <w:name w:val="标题 71"/>
    <w:basedOn w:val="715"/>
    <w:next w:val="715"/>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customStyle="1">
    <w:name w:val="Heading 7 Char"/>
    <w:link w:val="817"/>
    <w:uiPriority w:val="9"/>
    <w:qFormat/>
    <w:rPr>
      <w:rFonts w:ascii="Arial" w:hAnsi="Arial" w:eastAsia="Arial" w:cs="Arial"/>
      <w:b/>
      <w:bCs/>
      <w:i/>
      <w:iCs/>
      <w:sz w:val="22"/>
      <w:szCs w:val="22"/>
    </w:rPr>
  </w:style>
  <w:style w:type="paragraph" w:styleId="819" w:customStyle="1">
    <w:name w:val="标题 81"/>
    <w:basedOn w:val="715"/>
    <w:next w:val="715"/>
    <w:link w:val="820"/>
    <w:uiPriority w:val="9"/>
    <w:unhideWhenUsed/>
    <w:qFormat/>
    <w:pPr>
      <w:keepLines/>
      <w:keepNext/>
      <w:spacing w:before="320" w:after="200"/>
      <w:outlineLvl w:val="7"/>
    </w:pPr>
    <w:rPr>
      <w:rFonts w:ascii="Arial" w:hAnsi="Arial" w:eastAsia="Arial" w:cs="Arial"/>
      <w:i/>
      <w:iCs/>
      <w:sz w:val="22"/>
      <w:szCs w:val="22"/>
    </w:rPr>
  </w:style>
  <w:style w:type="character" w:styleId="820" w:customStyle="1">
    <w:name w:val="Heading 8 Char"/>
    <w:link w:val="819"/>
    <w:uiPriority w:val="9"/>
    <w:qFormat/>
    <w:rPr>
      <w:rFonts w:ascii="Arial" w:hAnsi="Arial" w:eastAsia="Arial" w:cs="Arial"/>
      <w:i/>
      <w:iCs/>
      <w:sz w:val="22"/>
      <w:szCs w:val="22"/>
    </w:rPr>
  </w:style>
  <w:style w:type="paragraph" w:styleId="821" w:customStyle="1">
    <w:name w:val="标题 91"/>
    <w:basedOn w:val="715"/>
    <w:next w:val="715"/>
    <w:link w:val="822"/>
    <w:uiPriority w:val="9"/>
    <w:unhideWhenUsed/>
    <w:qFormat/>
    <w:pPr>
      <w:keepLines/>
      <w:keepNext/>
      <w:spacing w:before="320" w:after="200"/>
      <w:outlineLvl w:val="8"/>
    </w:pPr>
    <w:rPr>
      <w:rFonts w:ascii="Arial" w:hAnsi="Arial" w:eastAsia="Arial" w:cs="Arial"/>
      <w:i/>
      <w:iCs/>
      <w:szCs w:val="21"/>
    </w:rPr>
  </w:style>
  <w:style w:type="character" w:styleId="822" w:customStyle="1">
    <w:name w:val="Heading 9 Char"/>
    <w:link w:val="821"/>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rPr>
  </w:style>
  <w:style w:type="character" w:styleId="824" w:customStyle="1">
    <w:name w:val="标题 Char"/>
    <w:link w:val="760"/>
    <w:uiPriority w:val="10"/>
    <w:qFormat/>
    <w:rPr>
      <w:sz w:val="48"/>
      <w:szCs w:val="48"/>
    </w:rPr>
  </w:style>
  <w:style w:type="character" w:styleId="825" w:customStyle="1">
    <w:name w:val="副标题 Char"/>
    <w:link w:val="750"/>
    <w:uiPriority w:val="11"/>
    <w:qFormat/>
    <w:rPr>
      <w:sz w:val="24"/>
      <w:szCs w:val="24"/>
    </w:rPr>
  </w:style>
  <w:style w:type="paragraph" w:styleId="826">
    <w:name w:val="Quote"/>
    <w:basedOn w:val="715"/>
    <w:next w:val="715"/>
    <w:link w:val="827"/>
    <w:uiPriority w:val="29"/>
    <w:qFormat/>
    <w:pPr>
      <w:ind w:left="720" w:right="720"/>
    </w:pPr>
    <w:rPr>
      <w:i/>
    </w:rPr>
  </w:style>
  <w:style w:type="character" w:styleId="827" w:customStyle="1">
    <w:name w:val="引用 Char"/>
    <w:link w:val="826"/>
    <w:uiPriority w:val="29"/>
    <w:qFormat/>
    <w:rPr>
      <w:i/>
    </w:rPr>
  </w:style>
  <w:style w:type="paragraph" w:styleId="828">
    <w:name w:val="Intense Quote"/>
    <w:basedOn w:val="715"/>
    <w:next w:val="715"/>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Char"/>
    <w:link w:val="828"/>
    <w:uiPriority w:val="30"/>
    <w:qFormat/>
    <w:rPr>
      <w:i/>
    </w:rPr>
  </w:style>
  <w:style w:type="paragraph" w:styleId="830" w:customStyle="1">
    <w:name w:val="页眉1"/>
    <w:basedOn w:val="715"/>
    <w:link w:val="831"/>
    <w:uiPriority w:val="99"/>
    <w:unhideWhenUsed/>
    <w:qFormat/>
    <w:pPr>
      <w:tabs>
        <w:tab w:val="center" w:pos="7143" w:leader="none"/>
        <w:tab w:val="right" w:pos="14287" w:leader="none"/>
      </w:tabs>
    </w:pPr>
  </w:style>
  <w:style w:type="character" w:styleId="831" w:customStyle="1">
    <w:name w:val="Header Char"/>
    <w:link w:val="830"/>
    <w:uiPriority w:val="99"/>
    <w:qFormat/>
  </w:style>
  <w:style w:type="paragraph" w:styleId="832" w:customStyle="1">
    <w:name w:val="页脚1"/>
    <w:basedOn w:val="715"/>
    <w:link w:val="835"/>
    <w:uiPriority w:val="99"/>
    <w:unhideWhenUsed/>
    <w:qFormat/>
    <w:pPr>
      <w:tabs>
        <w:tab w:val="center" w:pos="7143" w:leader="none"/>
        <w:tab w:val="right" w:pos="14287" w:leader="none"/>
      </w:tabs>
    </w:pPr>
  </w:style>
  <w:style w:type="character" w:styleId="833" w:customStyle="1">
    <w:name w:val="Footer Char"/>
    <w:uiPriority w:val="99"/>
    <w:qFormat/>
  </w:style>
  <w:style w:type="paragraph" w:styleId="834" w:customStyle="1">
    <w:name w:val="题注1"/>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35" w:customStyle="1">
    <w:name w:val="Caption Char"/>
    <w:link w:val="832"/>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Footnote Text Char"/>
    <w:uiPriority w:val="99"/>
    <w:qFormat/>
    <w:rPr>
      <w:sz w:val="18"/>
    </w:rPr>
  </w:style>
  <w:style w:type="character" w:styleId="962" w:customStyle="1">
    <w:name w:val="尾注文本 Char"/>
    <w:link w:val="743"/>
    <w:uiPriority w:val="99"/>
    <w:qFormat/>
    <w:rPr>
      <w:sz w:val="20"/>
    </w:rPr>
  </w:style>
  <w:style w:type="paragraph" w:styleId="963" w:customStyle="1">
    <w:name w:val="TOC 标题11"/>
    <w:uiPriority w:val="39"/>
    <w:unhideWhenUsed/>
    <w:qFormat/>
    <w:rPr>
      <w:rFonts w:hint="default" w:ascii="Times New Roman" w:hAnsi="Times New Roman" w:eastAsia="宋体" w:cs="Times New Roman"/>
    </w:rPr>
  </w:style>
  <w:style w:type="character" w:styleId="964" w:customStyle="1">
    <w:name w:val="标题 2 Char"/>
    <w:link w:val="717"/>
    <w:uiPriority w:val="99"/>
    <w:qFormat/>
    <w:rPr>
      <w:rFonts w:ascii="楷体_GB2312" w:hAnsi="Times New Roman" w:eastAsia="楷体_GB2312" w:cs="Times New Roman"/>
      <w:b/>
      <w:bCs/>
      <w:sz w:val="18"/>
      <w:szCs w:val="20"/>
    </w:rPr>
  </w:style>
  <w:style w:type="character" w:styleId="965" w:customStyle="1">
    <w:name w:val="标题 3 Char"/>
    <w:link w:val="718"/>
    <w:uiPriority w:val="99"/>
    <w:qFormat/>
    <w:rPr>
      <w:rFonts w:ascii="Times New Roman" w:hAnsi="Times New Roman" w:eastAsia="楷体_GB2312" w:cs="Times New Roman"/>
      <w:b/>
      <w:bCs/>
      <w:sz w:val="15"/>
      <w:szCs w:val="20"/>
    </w:rPr>
  </w:style>
  <w:style w:type="character" w:styleId="966" w:customStyle="1">
    <w:name w:val="标题 4 Char"/>
    <w:link w:val="719"/>
    <w:uiPriority w:val="99"/>
    <w:qFormat/>
    <w:rPr>
      <w:rFonts w:ascii="Times New Roman" w:hAnsi="Times New Roman" w:eastAsia="楷体_GB2312" w:cs="Times New Roman"/>
      <w:b/>
      <w:bCs/>
      <w:sz w:val="13"/>
      <w:szCs w:val="20"/>
    </w:rPr>
  </w:style>
  <w:style w:type="character" w:styleId="967" w:customStyle="1">
    <w:name w:val="标题 5 Char"/>
    <w:link w:val="720"/>
    <w:uiPriority w:val="99"/>
    <w:qFormat/>
    <w:rPr>
      <w:rFonts w:ascii="楷体_GB2312" w:hAnsi="Times New Roman" w:eastAsia="楷体_GB2312" w:cs="Times New Roman"/>
      <w:bCs/>
      <w:sz w:val="28"/>
      <w:szCs w:val="20"/>
    </w:rPr>
  </w:style>
  <w:style w:type="character" w:styleId="968" w:customStyle="1">
    <w:name w:val="正文缩进 Char"/>
    <w:link w:val="728"/>
    <w:uiPriority w:val="0"/>
    <w:qFormat/>
    <w:rPr>
      <w:rFonts w:ascii="Times New Roman" w:hAnsi="Times New Roman"/>
      <w:sz w:val="21"/>
      <w:szCs w:val="24"/>
    </w:rPr>
  </w:style>
  <w:style w:type="character" w:styleId="969" w:customStyle="1">
    <w:name w:val="文档结构图 Char"/>
    <w:link w:val="731"/>
    <w:uiPriority w:val="99"/>
    <w:semiHidden/>
    <w:qFormat/>
    <w:rPr>
      <w:rFonts w:ascii="Times New Roman" w:hAnsi="Times New Roman" w:eastAsia="宋体" w:cs="Times New Roman"/>
      <w:szCs w:val="20"/>
      <w:shd w:val="clear" w:color="auto" w:fill="000080"/>
    </w:rPr>
  </w:style>
  <w:style w:type="character" w:styleId="970" w:customStyle="1">
    <w:name w:val="批注文字 Char"/>
    <w:link w:val="732"/>
    <w:uiPriority w:val="0"/>
    <w:semiHidden/>
    <w:qFormat/>
    <w:rPr>
      <w:rFonts w:ascii="Times New Roman" w:hAnsi="Times New Roman" w:eastAsia="宋体" w:cs="Times New Roman"/>
      <w:szCs w:val="24"/>
    </w:rPr>
  </w:style>
  <w:style w:type="character" w:styleId="971" w:customStyle="1">
    <w:name w:val="正文文本 Char"/>
    <w:link w:val="734"/>
    <w:uiPriority w:val="99"/>
    <w:qFormat/>
    <w:rPr>
      <w:rFonts w:ascii="华文中宋" w:hAnsi="Times New Roman" w:eastAsia="华文中宋" w:cs="Times New Roman"/>
      <w:bCs/>
      <w:sz w:val="28"/>
      <w:szCs w:val="20"/>
    </w:rPr>
  </w:style>
  <w:style w:type="character" w:styleId="972" w:customStyle="1">
    <w:name w:val="正文文本缩进 Char"/>
    <w:link w:val="735"/>
    <w:uiPriority w:val="0"/>
    <w:qFormat/>
    <w:rPr>
      <w:rFonts w:ascii="Times New Roman" w:hAnsi="Times New Roman" w:eastAsia="宋体" w:cs="Times New Roman"/>
      <w:b/>
      <w:sz w:val="30"/>
      <w:szCs w:val="20"/>
    </w:rPr>
  </w:style>
  <w:style w:type="character" w:styleId="973" w:customStyle="1">
    <w:name w:val="纯文本 Char"/>
    <w:link w:val="739"/>
    <w:uiPriority w:val="0"/>
    <w:qFormat/>
    <w:rPr>
      <w:rFonts w:ascii="宋体" w:hAnsi="Courier New"/>
      <w:sz w:val="21"/>
      <w:szCs w:val="21"/>
    </w:rPr>
  </w:style>
  <w:style w:type="character" w:styleId="974" w:customStyle="1">
    <w:name w:val="日期 Char"/>
    <w:link w:val="741"/>
    <w:uiPriority w:val="99"/>
    <w:qFormat/>
    <w:rPr>
      <w:rFonts w:ascii="Times New Roman" w:hAnsi="Times New Roman" w:eastAsia="黑体" w:cs="Times New Roman"/>
      <w:b/>
      <w:sz w:val="36"/>
      <w:szCs w:val="20"/>
    </w:rPr>
  </w:style>
  <w:style w:type="character" w:styleId="975" w:customStyle="1">
    <w:name w:val="正文文本缩进 2 Char"/>
    <w:link w:val="742"/>
    <w:uiPriority w:val="99"/>
    <w:qFormat/>
    <w:rPr>
      <w:rFonts w:ascii="楷体_GB2312" w:hAnsi="Times New Roman" w:eastAsia="楷体_GB2312" w:cs="Times New Roman"/>
      <w:b/>
      <w:sz w:val="28"/>
      <w:szCs w:val="20"/>
    </w:rPr>
  </w:style>
  <w:style w:type="character" w:styleId="976" w:customStyle="1">
    <w:name w:val="批注框文本 Char"/>
    <w:link w:val="744"/>
    <w:uiPriority w:val="99"/>
    <w:semiHidden/>
    <w:qFormat/>
    <w:rPr>
      <w:rFonts w:ascii="Times New Roman" w:hAnsi="Times New Roman" w:eastAsia="宋体" w:cs="Times New Roman"/>
      <w:sz w:val="18"/>
      <w:szCs w:val="18"/>
    </w:rPr>
  </w:style>
  <w:style w:type="character" w:styleId="977" w:customStyle="1">
    <w:name w:val="页脚 Char"/>
    <w:link w:val="745"/>
    <w:uiPriority w:val="99"/>
    <w:qFormat/>
    <w:rPr>
      <w:sz w:val="18"/>
      <w:szCs w:val="18"/>
    </w:rPr>
  </w:style>
  <w:style w:type="character" w:styleId="978" w:customStyle="1">
    <w:name w:val="页眉 Char"/>
    <w:link w:val="747"/>
    <w:uiPriority w:val="0"/>
    <w:qFormat/>
    <w:rPr>
      <w:sz w:val="18"/>
      <w:szCs w:val="18"/>
    </w:rPr>
  </w:style>
  <w:style w:type="character" w:styleId="979" w:customStyle="1">
    <w:name w:val="脚注文本 Char"/>
    <w:link w:val="752"/>
    <w:uiPriority w:val="0"/>
    <w:qFormat/>
    <w:rPr>
      <w:rFonts w:ascii="Times New Roman" w:hAnsi="Times New Roman"/>
      <w:sz w:val="18"/>
    </w:rPr>
  </w:style>
  <w:style w:type="character" w:styleId="980" w:customStyle="1">
    <w:name w:val="正文文本缩进 3 Char"/>
    <w:link w:val="754"/>
    <w:uiPriority w:val="99"/>
    <w:qFormat/>
    <w:rPr>
      <w:rFonts w:ascii="Times New Roman" w:hAnsi="Times New Roman" w:eastAsia="宋体" w:cs="Times New Roman"/>
      <w:szCs w:val="20"/>
    </w:rPr>
  </w:style>
  <w:style w:type="character" w:styleId="981" w:customStyle="1">
    <w:name w:val="正文文本 2 Char"/>
    <w:link w:val="758"/>
    <w:uiPriority w:val="99"/>
    <w:qFormat/>
    <w:rPr>
      <w:rFonts w:ascii="Times New Roman" w:hAnsi="Times New Roman" w:eastAsia="宋体" w:cs="Times New Roman"/>
      <w:szCs w:val="20"/>
    </w:rPr>
  </w:style>
  <w:style w:type="character" w:styleId="982" w:customStyle="1">
    <w:name w:val="普通(网站) Char"/>
    <w:link w:val="759"/>
    <w:uiPriority w:val="0"/>
    <w:qFormat/>
    <w:rPr>
      <w:rFonts w:ascii="宋体" w:hAnsi="宋体"/>
      <w:sz w:val="24"/>
      <w:szCs w:val="24"/>
    </w:rPr>
  </w:style>
  <w:style w:type="character" w:styleId="983" w:customStyle="1">
    <w:name w:val="批注主题 Char"/>
    <w:link w:val="761"/>
    <w:uiPriority w:val="0"/>
    <w:semiHidden/>
    <w:qFormat/>
    <w:rPr>
      <w:rFonts w:ascii="Times New Roman" w:hAnsi="Times New Roman" w:eastAsia="宋体" w:cs="Times New Roman"/>
      <w:b/>
      <w:bCs/>
      <w:szCs w:val="24"/>
    </w:rPr>
  </w:style>
  <w:style w:type="character" w:styleId="984" w:customStyle="1">
    <w:name w:val="正文首行缩进 Char"/>
    <w:link w:val="762"/>
    <w:uiPriority w:val="99"/>
    <w:semiHidden/>
    <w:qFormat/>
    <w:rPr>
      <w:rFonts w:ascii="Times New Roman" w:hAnsi="Times New Roman" w:eastAsia="华文中宋" w:cs="Times New Roman"/>
      <w:sz w:val="21"/>
      <w:szCs w:val="20"/>
    </w:rPr>
  </w:style>
  <w:style w:type="character" w:styleId="985" w:customStyle="1">
    <w:name w:val="批注框文本 Char1"/>
    <w:uiPriority w:val="99"/>
    <w:semiHidden/>
    <w:qFormat/>
    <w:rPr>
      <w:rFonts w:ascii="Times New Roman" w:hAnsi="Times New Roman" w:eastAsia="宋体" w:cs="Times New Roman"/>
      <w:sz w:val="18"/>
      <w:szCs w:val="18"/>
    </w:rPr>
  </w:style>
  <w:style w:type="character" w:styleId="986" w:customStyle="1">
    <w:name w:val="正文文本 2 Char1"/>
    <w:uiPriority w:val="99"/>
    <w:semiHidden/>
    <w:qFormat/>
    <w:rPr>
      <w:rFonts w:ascii="Times New Roman" w:hAnsi="Times New Roman" w:eastAsia="宋体" w:cs="Times New Roman"/>
      <w:szCs w:val="20"/>
    </w:rPr>
  </w:style>
  <w:style w:type="character" w:styleId="987" w:customStyle="1">
    <w:name w:val="文档结构图 Char1"/>
    <w:uiPriority w:val="99"/>
    <w:semiHidden/>
    <w:qFormat/>
    <w:rPr>
      <w:rFonts w:ascii="宋体" w:hAnsi="Times New Roman" w:eastAsia="宋体" w:cs="Times New Roman"/>
      <w:sz w:val="18"/>
      <w:szCs w:val="18"/>
    </w:rPr>
  </w:style>
  <w:style w:type="character" w:styleId="988" w:customStyle="1">
    <w:name w:val="正文文本缩进 Char1"/>
    <w:uiPriority w:val="99"/>
    <w:semiHidden/>
    <w:qFormat/>
    <w:rPr>
      <w:rFonts w:ascii="Times New Roman" w:hAnsi="Times New Roman" w:eastAsia="宋体" w:cs="Times New Roman"/>
      <w:szCs w:val="20"/>
    </w:rPr>
  </w:style>
  <w:style w:type="character" w:styleId="989" w:customStyle="1">
    <w:name w:val="15"/>
    <w:uiPriority w:val="0"/>
    <w:qFormat/>
    <w:rPr>
      <w:rFonts w:ascii="Times New Roman" w:hAnsi="Times New Roman" w:cs="Times New Roman"/>
    </w:rPr>
  </w:style>
  <w:style w:type="character" w:styleId="990" w:customStyle="1">
    <w:name w:val="正文文本缩进 2 Char1"/>
    <w:uiPriority w:val="99"/>
    <w:semiHidden/>
    <w:qFormat/>
    <w:rPr>
      <w:rFonts w:ascii="Times New Roman" w:hAnsi="Times New Roman" w:eastAsia="宋体" w:cs="Times New Roman"/>
      <w:szCs w:val="20"/>
    </w:rPr>
  </w:style>
  <w:style w:type="character" w:styleId="991" w:customStyle="1">
    <w:name w:val="日期 Char1"/>
    <w:uiPriority w:val="99"/>
    <w:semiHidden/>
    <w:qFormat/>
    <w:rPr>
      <w:rFonts w:ascii="Times New Roman" w:hAnsi="Times New Roman" w:eastAsia="宋体" w:cs="Times New Roman"/>
      <w:szCs w:val="20"/>
    </w:rPr>
  </w:style>
  <w:style w:type="character" w:styleId="992" w:customStyle="1">
    <w:name w:val="正文文本缩进 3 Char1"/>
    <w:uiPriority w:val="99"/>
    <w:semiHidden/>
    <w:qFormat/>
    <w:rPr>
      <w:rFonts w:ascii="Times New Roman" w:hAnsi="Times New Roman" w:eastAsia="宋体" w:cs="Times New Roman"/>
      <w:sz w:val="16"/>
      <w:szCs w:val="16"/>
    </w:rPr>
  </w:style>
  <w:style w:type="paragraph" w:styleId="993">
    <w:name w:val="List Paragraph"/>
    <w:basedOn w:val="715"/>
    <w:uiPriority w:val="0"/>
    <w:qFormat/>
    <w:pPr>
      <w:ind w:firstLine="420"/>
    </w:pPr>
    <w:rPr>
      <w:szCs w:val="21"/>
    </w:rPr>
  </w:style>
  <w:style w:type="paragraph" w:styleId="994" w:customStyle="1">
    <w:name w:val="普通文字"/>
    <w:basedOn w:val="715"/>
    <w:next w:val="715"/>
    <w:uiPriority w:val="0"/>
    <w:qFormat/>
    <w:rPr>
      <w:rFonts w:ascii="宋体"/>
      <w:sz w:val="24"/>
    </w:rPr>
  </w:style>
  <w:style w:type="paragraph" w:styleId="995" w:customStyle="1">
    <w:name w:val="样式 小四 段前: 5 磅 段后: 5 磅 首行缩进:  2 字符"/>
    <w:basedOn w:val="715"/>
    <w:uiPriority w:val="0"/>
    <w:qFormat/>
    <w:pPr>
      <w:jc w:val="center"/>
      <w:spacing w:line="360" w:lineRule="auto"/>
    </w:pPr>
    <w:rPr>
      <w:rFonts w:ascii="宋体" w:hAnsi="宋体"/>
      <w:bCs/>
      <w:color w:val="ff0000"/>
      <w:sz w:val="24"/>
      <w:szCs w:val="24"/>
    </w:rPr>
  </w:style>
  <w:style w:type="paragraph" w:styleId="996" w:customStyle="1">
    <w:name w:val="首行缩进"/>
    <w:uiPriority w:val="0"/>
    <w:qFormat/>
    <w:pPr>
      <w:ind w:firstLine="480"/>
      <w:jc w:val="both"/>
      <w:widowControl w:val="off"/>
    </w:pPr>
    <w:rPr>
      <w:rFonts w:hint="default" w:ascii="Times New Roman" w:hAnsi="Times New Roman" w:eastAsia="宋体" w:cs="Times New Roman"/>
      <w:sz w:val="21"/>
      <w:lang w:val="zh-CN"/>
    </w:rPr>
  </w:style>
  <w:style w:type="paragraph" w:styleId="997" w:customStyle="1">
    <w:name w:val="Other|1"/>
    <w:basedOn w:val="715"/>
    <w:uiPriority w:val="0"/>
    <w:qFormat/>
    <w:pPr>
      <w:ind w:firstLine="220"/>
    </w:pPr>
    <w:rPr>
      <w:rFonts w:ascii="宋体" w:hAnsi="宋体" w:cs="宋体"/>
      <w:sz w:val="20"/>
      <w:lang w:val="zh-TW" w:eastAsia="zh-TW" w:bidi="zh-TW"/>
    </w:rPr>
  </w:style>
  <w:style w:type="character" w:styleId="998" w:customStyle="1">
    <w:name w:val="font11"/>
    <w:uiPriority w:val="0"/>
    <w:qFormat/>
    <w:rPr>
      <w:rFonts w:hint="eastAsia" w:ascii="宋体" w:hAnsi="宋体" w:eastAsia="宋体" w:cs="宋体"/>
      <w:color w:val="333333"/>
      <w:sz w:val="20"/>
      <w:szCs w:val="20"/>
      <w:u w:val="none"/>
    </w:rPr>
  </w:style>
  <w:style w:type="paragraph" w:styleId="999" w:customStyle="1">
    <w:name w:val="纯文本1"/>
    <w:basedOn w:val="715"/>
    <w:uiPriority w:val="0"/>
    <w:qFormat/>
    <w:rPr>
      <w:rFonts w:ascii="宋体" w:hAnsi="Courier New" w:eastAsia="楷体_GB2312"/>
      <w:sz w:val="26"/>
    </w:rPr>
  </w:style>
  <w:style w:type="character" w:styleId="1000" w:customStyle="1">
    <w:name w:val="font21"/>
    <w:uiPriority w:val="0"/>
    <w:qFormat/>
    <w:rPr>
      <w:rFonts w:hint="eastAsia" w:ascii="宋体" w:hAnsi="宋体" w:eastAsia="宋体" w:cs="宋体"/>
      <w:color w:val="000000"/>
      <w:sz w:val="20"/>
      <w:szCs w:val="20"/>
      <w:u w:val="none"/>
    </w:rPr>
  </w:style>
  <w:style w:type="character" w:styleId="1001" w:customStyle="1">
    <w:name w:val="font01"/>
    <w:uiPriority w:val="0"/>
    <w:qFormat/>
    <w:rPr>
      <w:rFonts w:ascii="Tahoma" w:hAnsi="Tahoma" w:eastAsia="Tahoma" w:cs="Tahoma"/>
      <w:color w:val="333333"/>
      <w:sz w:val="20"/>
      <w:szCs w:val="20"/>
      <w:u w:val="none"/>
    </w:rPr>
  </w:style>
  <w:style w:type="paragraph" w:styleId="1002" w:customStyle="1">
    <w:name w:val="列出段落2"/>
    <w:basedOn w:val="715"/>
    <w:uiPriority w:val="34"/>
    <w:qFormat/>
    <w:pPr>
      <w:ind w:firstLine="420"/>
    </w:pPr>
  </w:style>
  <w:style w:type="paragraph" w:styleId="1003" w:customStyle="1">
    <w:name w:val="正文文本2"/>
    <w:basedOn w:val="715"/>
    <w:next w:val="1004"/>
    <w:uiPriority w:val="0"/>
    <w:qFormat/>
    <w:rPr>
      <w:rFonts w:ascii="华文中宋" w:eastAsia="华文中宋"/>
      <w:bCs/>
      <w:sz w:val="28"/>
    </w:rPr>
  </w:style>
  <w:style w:type="paragraph" w:styleId="1004" w:customStyle="1">
    <w:name w:val="列表项目符号 51"/>
    <w:basedOn w:val="715"/>
    <w:uiPriority w:val="0"/>
    <w:qFormat/>
    <w:pPr>
      <w:ind w:left="2040" w:hanging="360"/>
      <w:spacing w:line="360" w:lineRule="exact"/>
      <w:widowControl/>
      <w:tabs>
        <w:tab w:val="left" w:pos="2040" w:leader="none"/>
      </w:tabs>
    </w:pPr>
    <w:rPr>
      <w:rFonts w:eastAsia="楷体_GB2312"/>
      <w:sz w:val="24"/>
    </w:rPr>
  </w:style>
  <w:style w:type="paragraph" w:styleId="1005" w:customStyle="1">
    <w:name w:val="页脚11"/>
    <w:basedOn w:val="715"/>
    <w:next w:val="715"/>
    <w:uiPriority w:val="99"/>
    <w:unhideWhenUsed/>
    <w:qFormat/>
    <w:pPr>
      <w:jc w:val="left"/>
      <w:tabs>
        <w:tab w:val="center" w:pos="4153" w:leader="none"/>
        <w:tab w:val="right" w:pos="8306" w:leader="none"/>
      </w:tabs>
    </w:pPr>
    <w:rPr>
      <w:sz w:val="18"/>
      <w:szCs w:val="18"/>
    </w:rPr>
  </w:style>
  <w:style w:type="paragraph" w:styleId="1006" w:customStyle="1">
    <w:name w:val="正文缩进11"/>
    <w:basedOn w:val="715"/>
    <w:uiPriority w:val="0"/>
    <w:unhideWhenUsed/>
    <w:qFormat/>
    <w:pPr>
      <w:ind w:firstLine="420"/>
    </w:pPr>
    <w:rPr>
      <w:szCs w:val="24"/>
    </w:rPr>
  </w:style>
  <w:style w:type="paragraph" w:styleId="1007" w:customStyle="1">
    <w:name w:val="无间隔1"/>
    <w:uiPriority w:val="99"/>
    <w:qFormat/>
    <w:pPr>
      <w:jc w:val="both"/>
      <w:widowControl w:val="off"/>
    </w:pPr>
    <w:rPr>
      <w:rFonts w:hint="default" w:ascii="Calibri" w:hAnsi="Calibri" w:eastAsia="宋体" w:cs="Calibri"/>
      <w:sz w:val="21"/>
      <w:szCs w:val="21"/>
    </w:rPr>
  </w:style>
  <w:style w:type="paragraph" w:styleId="1008" w:customStyle="1">
    <w:name w:val="_Style 1"/>
    <w:basedOn w:val="715"/>
    <w:uiPriority w:val="99"/>
    <w:qFormat/>
    <w:pPr>
      <w:ind w:firstLine="420"/>
    </w:pPr>
    <w:rPr>
      <w:rFonts w:ascii="Calibri" w:hAnsi="Calibri"/>
      <w:szCs w:val="22"/>
    </w:rPr>
  </w:style>
  <w:style w:type="paragraph" w:styleId="1009" w:customStyle="1">
    <w:name w:val="BodyText1I2"/>
    <w:basedOn w:val="1010"/>
    <w:next w:val="1011"/>
    <w:uiPriority w:val="0"/>
    <w:qFormat/>
    <w:pPr>
      <w:ind w:firstLine="210"/>
    </w:pPr>
  </w:style>
  <w:style w:type="paragraph" w:styleId="1010" w:customStyle="1">
    <w:name w:val="BodyTextIndent"/>
    <w:basedOn w:val="715"/>
    <w:uiPriority w:val="0"/>
    <w:qFormat/>
    <w:pPr>
      <w:ind w:left="420"/>
      <w:spacing w:after="120"/>
    </w:pPr>
  </w:style>
  <w:style w:type="paragraph" w:styleId="1011" w:customStyle="1">
    <w:name w:val="BodyText"/>
    <w:basedOn w:val="715"/>
    <w:uiPriority w:val="0"/>
    <w:qFormat/>
    <w:pPr>
      <w:spacing w:after="120"/>
    </w:pPr>
  </w:style>
  <w:style w:type="paragraph" w:styleId="1012" w:customStyle="1">
    <w:name w:val="正文1"/>
    <w:basedOn w:val="715"/>
    <w:link w:val="1017"/>
    <w:uiPriority w:val="0"/>
    <w:qFormat/>
    <w:pPr>
      <w:ind w:firstLine="200"/>
      <w:spacing w:line="360" w:lineRule="auto"/>
    </w:pPr>
    <w:rPr>
      <w:sz w:val="28"/>
      <w:szCs w:val="28"/>
    </w:rPr>
  </w:style>
  <w:style w:type="paragraph" w:styleId="1013" w:customStyle="1">
    <w:name w:val="正文—表图名"/>
    <w:basedOn w:val="715"/>
    <w:uiPriority w:val="0"/>
    <w:qFormat/>
    <w:pPr>
      <w:jc w:val="center"/>
    </w:pPr>
    <w:rPr>
      <w:b/>
      <w:szCs w:val="21"/>
    </w:rPr>
  </w:style>
  <w:style w:type="paragraph" w:styleId="1014" w:customStyle="1">
    <w:name w:val="正文—表内文字"/>
    <w:basedOn w:val="715"/>
    <w:uiPriority w:val="0"/>
    <w:qFormat/>
    <w:pPr>
      <w:jc w:val="center"/>
    </w:pPr>
    <w:rPr>
      <w:bCs/>
      <w:szCs w:val="21"/>
    </w:rPr>
  </w:style>
  <w:style w:type="paragraph" w:styleId="1015" w:customStyle="1">
    <w:name w:val="列出段落3"/>
    <w:basedOn w:val="715"/>
    <w:uiPriority w:val="0"/>
    <w:qFormat/>
    <w:pPr>
      <w:ind w:firstLine="420"/>
    </w:pPr>
    <w:rPr>
      <w:szCs w:val="21"/>
    </w:rPr>
  </w:style>
  <w:style w:type="paragraph" w:styleId="1016" w:customStyle="1">
    <w:name w:val="表图名"/>
    <w:basedOn w:val="729"/>
    <w:uiPriority w:val="0"/>
    <w:qFormat/>
    <w:pPr>
      <w:spacing w:line="360" w:lineRule="auto"/>
    </w:pPr>
    <w:rPr>
      <w:rFonts w:ascii="Times New Roman" w:hAnsi="Times New Roman" w:eastAsia="宋体"/>
      <w:bCs/>
      <w:sz w:val="24"/>
      <w:szCs w:val="24"/>
    </w:rPr>
  </w:style>
  <w:style w:type="character" w:styleId="1017" w:customStyle="1">
    <w:name w:val="正文1 字符"/>
    <w:link w:val="1012"/>
    <w:uiPriority w:val="0"/>
    <w:qFormat/>
    <w:rPr>
      <w:rFonts w:hint="default" w:ascii="Times New Roman" w:hAnsi="Times New Roman" w:eastAsia="宋体" w:cs="仿宋"/>
      <w:sz w:val="28"/>
      <w:szCs w:val="28"/>
      <w:lang w:val="en-US" w:eastAsia="zh-CN" w:bidi="ar"/>
    </w:rPr>
  </w:style>
  <w:style w:type="paragraph" w:styleId="1018" w:customStyle="1">
    <w:name w:val="正文表中文字"/>
    <w:basedOn w:val="715"/>
    <w:uiPriority w:val="0"/>
    <w:qFormat/>
    <w:pPr>
      <w:jc w:val="center"/>
    </w:pPr>
    <w:rPr>
      <w:bCs/>
      <w:szCs w:val="21"/>
    </w:rPr>
  </w:style>
  <w:style w:type="paragraph" w:styleId="1019" w:customStyle="1">
    <w:name w:val="+正文"/>
    <w:basedOn w:val="715"/>
    <w:uiPriority w:val="0"/>
    <w:qFormat/>
    <w:pPr>
      <w:ind w:firstLine="200"/>
      <w:spacing w:line="360" w:lineRule="auto"/>
    </w:pPr>
    <w:rPr>
      <w:sz w:val="24"/>
      <w:szCs w:val="28"/>
    </w:rPr>
  </w:style>
  <w:style w:type="character" w:styleId="1020" w:customStyle="1">
    <w:name w:val="font101"/>
    <w:basedOn w:val="725"/>
    <w:uiPriority w:val="0"/>
    <w:qFormat/>
    <w:rPr>
      <w:rFonts w:hint="default" w:ascii="Times New Roman" w:hAnsi="Times New Roman" w:cs="Times New Roman"/>
      <w:b/>
      <w:bCs/>
      <w:color w:val="000000"/>
      <w:sz w:val="20"/>
      <w:szCs w:val="20"/>
      <w:u w:val="none"/>
    </w:rPr>
  </w:style>
  <w:style w:type="paragraph" w:styleId="1021" w:customStyle="1">
    <w:name w:val="*正文"/>
    <w:basedOn w:val="715"/>
    <w:uiPriority w:val="0"/>
    <w:qFormat/>
    <w:pPr>
      <w:ind w:firstLine="200"/>
      <w:spacing w:line="360" w:lineRule="auto"/>
    </w:pPr>
    <w:rPr>
      <w:sz w:val="24"/>
    </w:rPr>
  </w:style>
  <w:style w:type="paragraph" w:styleId="1022" w:customStyle="1">
    <w:name w:val="修订1"/>
    <w:hidden/>
    <w:uiPriority w:val="99"/>
    <w:unhideWhenUsed/>
    <w:qFormat/>
    <w:rPr>
      <w:rFonts w:hint="default" w:ascii="Times New Roman" w:hAnsi="Times New Roman" w:eastAsia="宋体" w:cs="Times New Roman"/>
      <w:sz w:val="21"/>
    </w:rPr>
  </w:style>
  <w:style w:type="paragraph" w:styleId="1023" w:customStyle="1">
    <w:name w:val="正文缩进111"/>
    <w:basedOn w:val="715"/>
    <w:uiPriority w:val="0"/>
    <w:qFormat/>
    <w:pPr>
      <w:ind w:firstLine="420"/>
      <w:jc w:val="left"/>
      <w:widowControl/>
    </w:pPr>
    <w:rPr>
      <w:sz w:val="20"/>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0cca5448-e0a7-42c7-891b-52eada75ca34</errorID>
      <errorWord>（</errorWord>
      <group>L1_Word</group>
      <groupName>字词问题</groupName>
      <ability>L2_Typo</ability>
      <abilityName>字词错误</abilityName>
      <candidateList>
        <item>（在</item>
      </candidateList>
      <explain/>
      <paraID>563B5E29</paraID>
      <start>89</start>
      <end>90</end>
      <status>unmodified</status>
      <modifiedWord/>
      <trackRevisions>false</trackRevisions>
    </reviewItem>
    <reviewItem>
      <errorID>e1229f13-7365-4b20-a43a-43bcbe71968d</errorID>
      <errorWord>（</errorWord>
      <group>L1_Punc</group>
      <groupName>标点问题</groupName>
      <ability>L2_Punc_CN</ability>
      <abilityName>标点符号问题</abilityName>
      <candidateList/>
      <explain>同一形式括号套用。</explain>
      <paraID>563B5E29</paraID>
      <start>115</start>
      <end>116</end>
      <status>unmodified</status>
      <modifiedWord/>
      <trackRevisions>false</trackRevisions>
    </reviewItem>
    <reviewItem>
      <errorID>f0b80ee3-3f24-4d17-98be-b7f8e5640f37</errorID>
      <errorWord>）</errorWord>
      <group>L1_Punc</group>
      <groupName>标点问题</groupName>
      <ability>L2_Punc_CN</ability>
      <abilityName>标点符号问题</abilityName>
      <candidateList/>
      <explain>同一形式括号套用。</explain>
      <paraID>563B5E29</paraID>
      <start>119</start>
      <end>120</end>
      <status>unmodified</status>
      <modifiedWord/>
      <trackRevisions>false</trackRevisions>
    </reviewItem>
    <reviewItem>
      <errorID>326abfc6-e807-4550-8877-81f46d80c0ad</errorID>
      <errorWord>（</errorWord>
      <group>L1_Punc</group>
      <groupName>标点问题</groupName>
      <ability>L2_Punc_CN</ability>
      <abilityName>标点符号问题</abilityName>
      <candidateList/>
      <explain>同一形式括号套用。</explain>
      <paraID>563B5E29</paraID>
      <start>128</start>
      <end>129</end>
      <status>unmodified</status>
      <modifiedWord/>
      <trackRevisions>false</trackRevisions>
    </reviewItem>
    <reviewItem>
      <errorID>eab52dae-4336-4ac3-977a-0de492d897fc</errorID>
      <errorWord>）</errorWord>
      <group>L1_Punc</group>
      <groupName>标点问题</groupName>
      <ability>L2_Punc_CN</ability>
      <abilityName>标点符号问题</abilityName>
      <candidateList/>
      <explain>同一形式括号套用。</explain>
      <paraID>563B5E29</paraID>
      <start>175</start>
      <end>176</end>
      <status>unmodified</status>
      <modifiedWord/>
      <trackRevisions>false</trackRevisions>
    </reviewItem>
    <reviewItem>
      <errorID>7b7add86-c842-4016-8577-1332d7934fb1</errorID>
      <errorWord>“.</errorWord>
      <group>L1_Punc</group>
      <groupName>标点问题</groupName>
      <ability>L2_Punc_CN</ability>
      <abilityName>标点符号问题</abilityName>
      <candidateList>
        <item>“</item>
      </candidateList>
      <explain/>
      <paraID>563B5E29</paraID>
      <start>204</start>
      <end>206</end>
      <status>unmodified</status>
      <modifiedWord/>
      <trackRevisions>false</trackRevisions>
    </reviewItem>
    <reviewItem>
      <errorID>38356a82-46da-4d72-9618-1f1cb54ae014</errorID>
      <errorWord>“.</errorWord>
      <group>L1_Punc</group>
      <groupName>标点问题</groupName>
      <ability>L2_Punc_CN</ability>
      <abilityName>标点符号问题</abilityName>
      <candidateList>
        <item>“</item>
      </candidateList>
      <explain/>
      <paraID>427404AE</paraID>
      <start>11</start>
      <end>13</end>
      <status>unmodified</status>
      <modifiedWord/>
      <trackRevisions>false</trackRevisions>
    </reviewItem>
    <reviewItem>
      <errorID>97c338df-c196-49c3-9768-b97d4acf06d1</errorID>
      <errorWord>截止至2026年</errorWord>
      <group>L1_Word</group>
      <groupName>字词问题</groupName>
      <ability>L2_Typo</ability>
      <abilityName>字词错误</abilityName>
      <candidateList>
        <item>截至2026年</item>
      </candidateList>
      <explain/>
      <paraID>20E06D26</paraID>
      <start>48</start>
      <end>56</end>
      <status>unmodified</status>
      <modifiedWord/>
      <trackRevisions>false</trackRevisions>
    </reviewItem>
    <reviewItem>
      <errorID>15f3429f-07df-4eb7-8122-c46a2aaca026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6C32DB92</paraID>
      <start>0</start>
      <end>2</end>
      <status>unmodified</status>
      <modifiedWord/>
      <trackRevisions>false</trackRevisions>
    </reviewItem>
    <reviewItem>
      <errorID>c97b0b64-68e6-4660-a1de-43b140a5baf6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63DCDF39</paraID>
      <start>0</start>
      <end>2</end>
      <status>unmodified</status>
      <modifiedWord/>
      <trackRevisions>false</trackRevisions>
    </reviewItem>
    <reviewItem>
      <errorID>b60aca4c-c94b-4aec-8d7d-eb88d56c0a9a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79363081</paraID>
      <start>0</start>
      <end>2</end>
      <status>unmodified</status>
      <modifiedWord/>
      <trackRevisions>false</trackRevisions>
    </reviewItem>
    <reviewItem>
      <errorID>52396e87-7780-4dec-ac0c-48e4630e48f9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18DE0B67</paraID>
      <start>0</start>
      <end>2</end>
      <status>unmodified</status>
      <modifiedWord/>
      <trackRevisions>false</trackRevisions>
    </reviewItem>
    <reviewItem>
      <errorID>ae4286c7-0214-4622-9bc0-acf6a41af1d6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CD53AE</paraID>
      <start>0</start>
      <end>2</end>
      <status>unmodified</status>
      <modifiedWord/>
      <trackRevisions>false</trackRevisions>
    </reviewItem>
    <reviewItem>
      <errorID>49037a50-7927-4ec3-a977-30cb332314bc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7F9F8018</paraID>
      <start>0</start>
      <end>2</end>
      <status>unmodified</status>
      <modifiedWord/>
      <trackRevisions>false</trackRevisions>
    </reviewItem>
    <reviewItem>
      <errorID>b3a3af1c-740f-490e-9f59-94df4fb91a34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5151E885</paraID>
      <start>0</start>
      <end>2</end>
      <status>unmodified</status>
      <modifiedWord/>
      <trackRevisions>false</trackRevisions>
    </reviewItem>
    <reviewItem>
      <errorID>34a4d19f-a57f-4715-8047-e91217c91aca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56AB2059</paraID>
      <start>0</start>
      <end>2</end>
      <status>unmodified</status>
      <modifiedWord/>
      <trackRevisions>false</trackRevisions>
    </reviewItem>
    <reviewItem>
      <errorID>f77ea233-0c82-46fd-834a-57607e5802f8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21179883</paraID>
      <start>0</start>
      <end>2</end>
      <status>unmodified</status>
      <modifiedWord/>
      <trackRevisions>false</trackRevisions>
    </reviewItem>
    <reviewItem>
      <errorID>b2f33624-b66c-4f10-a5ac-5ae4889bd7c8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63BBA955</paraID>
      <start>0</start>
      <end>2</end>
      <status>unmodified</status>
      <modifiedWord/>
      <trackRevisions>false</trackRevisions>
    </reviewItem>
    <reviewItem>
      <errorID>dd7a5f26-136c-431a-822f-4e0e40eed44e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14E9FDC2</paraID>
      <start>0</start>
      <end>3</end>
      <status>unmodified</status>
      <modifiedWord/>
      <trackRevisions>false</trackRevisions>
    </reviewItem>
    <reviewItem>
      <errorID>c980917d-218e-4899-ae4d-b4ec9c314f04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6AFE47D6</paraID>
      <start>0</start>
      <end>3</end>
      <status>unmodified</status>
      <modifiedWord/>
      <trackRevisions>false</trackRevisions>
    </reviewItem>
    <reviewItem>
      <errorID>22330b06-0008-4414-930f-70cf30c47b0f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6E7B744F</paraID>
      <start>0</start>
      <end>3</end>
      <status>unmodified</status>
      <modifiedWord/>
      <trackRevisions>false</trackRevisions>
    </reviewItem>
    <reviewItem>
      <errorID>9b9984f5-7895-4ef4-adc0-d73222ab0fd1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604AAA3A</paraID>
      <start>0</start>
      <end>3</end>
      <status>unmodified</status>
      <modifiedWord/>
      <trackRevisions>false</trackRevisions>
    </reviewItem>
    <reviewItem>
      <errorID>7e89b175-8386-48d3-b160-1ee0eb9470c4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680DD186</paraID>
      <start>0</start>
      <end>3</end>
      <status>unmodified</status>
      <modifiedWord/>
      <trackRevisions>false</trackRevisions>
    </reviewItem>
    <reviewItem>
      <errorID>14358e07-46bc-4104-82d9-912b2b4618fa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27DD3C31</paraID>
      <start>0</start>
      <end>2</end>
      <status>unmodified</status>
      <modifiedWord/>
      <trackRevisions>false</trackRevisions>
    </reviewItem>
    <reviewItem>
      <errorID>d7eae95c-7758-4ff0-8929-eb663e7d15ce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7F52463F</paraID>
      <start>0</start>
      <end>2</end>
      <status>unmodified</status>
      <modifiedWord/>
      <trackRevisions>false</trackRevisions>
    </reviewItem>
    <reviewItem>
      <errorID>6e6a629f-6cc0-4cf2-8d11-28c6c9ce69b1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2543E630</paraID>
      <start>0</start>
      <end>2</end>
      <status>unmodified</status>
      <modifiedWord/>
      <trackRevisions>false</trackRevisions>
    </reviewItem>
    <reviewItem>
      <errorID>fc05a1ac-ee83-4c05-8b90-572da800f20a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A6F4EA7</paraID>
      <start>0</start>
      <end>2</end>
      <status>unmodified</status>
      <modifiedWord/>
      <trackRevisions>false</trackRevisions>
    </reviewItem>
    <reviewItem>
      <errorID>5d633b65-eca0-42aa-a80f-4f80f1cc16ce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79879EED</paraID>
      <start>0</start>
      <end>2</end>
      <status>unmodified</status>
      <modifiedWord/>
      <trackRevisions>false</trackRevisions>
    </reviewItem>
    <reviewItem>
      <errorID>c8e73b30-700b-4a6e-bcde-c97f51196522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632727DA</paraID>
      <start>0</start>
      <end>2</end>
      <status>unmodified</status>
      <modifiedWord/>
      <trackRevisions>false</trackRevisions>
    </reviewItem>
    <reviewItem>
      <errorID>5d435d1a-563f-47c5-8b04-012616520702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15A9F8F1</paraID>
      <start>0</start>
      <end>2</end>
      <status>unmodified</status>
      <modifiedWord/>
      <trackRevisions>false</trackRevisions>
    </reviewItem>
    <reviewItem>
      <errorID>3af0ac26-3a2d-43b9-84fb-b9800f06a803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7E978A81</paraID>
      <start>0</start>
      <end>2</end>
      <status>unmodified</status>
      <modifiedWord/>
      <trackRevisions>false</trackRevisions>
    </reviewItem>
    <reviewItem>
      <errorID>afc678fe-abe7-4f0f-85e9-940549d47c8c</errorID>
      <errorWord>100万以下</errorWord>
      <group>L1_Word</group>
      <groupName>字词问题</groupName>
      <ability>L2_Typo</ability>
      <abilityName>字词错误</abilityName>
      <candidateList>
        <item>100万元以下</item>
      </candidateList>
      <explain/>
      <paraID>61D7CD52</paraID>
      <start>45</start>
      <end>51</end>
      <status>unmodified</status>
      <modifiedWord/>
      <trackRevisions>false</trackRevisions>
    </reviewItem>
    <reviewItem>
      <errorID>81885aaa-d41b-42b1-b9e3-6ac71272feca</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61D7CD52</paraID>
      <start>59</start>
      <end>68</end>
      <status>unmodified</status>
      <modifiedWord/>
      <trackRevisions>false</trackRevisions>
    </reviewItem>
    <reviewItem>
      <errorID>9287bfdd-b45d-41fd-ac09-03cfbc112902</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61D7CD52</paraID>
      <start>76</start>
      <end>86</end>
      <status>unmodified</status>
      <modifiedWord/>
      <trackRevisions>false</trackRevisions>
    </reviewItem>
    <reviewItem>
      <errorID>2ddb0042-3454-40b4-aa22-d6684e3fe212</errorID>
      <errorWord>海拔高度</errorWord>
      <group>L1_Word</group>
      <groupName>字词问题</groupName>
      <ability>L2_Typo</ability>
      <abilityName>字词错误</abilityName>
      <candidateList>
        <item>海拔</item>
      </candidateList>
      <explain/>
      <paraID>7EA1DC65</paraID>
      <start>4</start>
      <end>6</end>
      <status>modified</status>
      <modifiedWord>海拔</modifiedWord>
      <trackRevisions>false</trackRevisions>
    </reviewItem>
    <reviewItem>
      <errorID>54b1a475-6e9e-47de-ae02-7e7d52008d59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27706D34</paraID>
      <start>0</start>
      <end>2</end>
      <status>unmodified</status>
      <modifiedWord/>
      <trackRevisions>false</trackRevisions>
    </reviewItem>
    <reviewItem>
      <errorID>65c6673f-560c-4a01-9fb8-48b514f80d60</errorID>
      <errorWord>海拔高度</errorWord>
      <group>L1_Word</group>
      <groupName>字词问题</groupName>
      <ability>L2_Typo</ability>
      <abilityName>字词错误</abilityName>
      <candidateList>
        <item>海拔</item>
      </candidateList>
      <explain/>
      <paraID>2A1B8C50</paraID>
      <start>4</start>
      <end>6</end>
      <status>modified</status>
      <modifiedWord>海拔</modifiedWord>
      <trackRevisions>false</trackRevisions>
    </reviewItem>
    <reviewItem>
      <errorID>4f7bdc1b-02e9-4b27-a810-491605b5680a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234B4E2C</paraID>
      <start>0</start>
      <end>2</end>
      <status>unmodified</status>
      <modifiedWord/>
      <trackRevisions>false</trackRevisions>
    </reviewItem>
    <reviewItem>
      <errorID>627ff73a-a01a-4370-8cdd-e603fab609a0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3B63B10B</paraID>
      <start>0</start>
      <end>2</end>
      <status>unmodified</status>
      <modifiedWord/>
      <trackRevisions>false</trackRevisions>
    </reviewItem>
    <reviewItem>
      <errorID>89fcf3fe-7ed1-48d9-8d73-a1dcd09aeb21</errorID>
      <errorWord>场景下</errorWord>
      <group>L1_Word</group>
      <groupName>字词问题</groupName>
      <ability>L2_Typo</ability>
      <abilityName>字词错误</abilityName>
      <candidateList>
        <item>场景</item>
      </candidateList>
      <explain/>
      <paraID>400E82AD</paraID>
      <start>13</start>
      <end>16</end>
      <status>unmodified</status>
      <modifiedWord/>
      <trackRevisions>false</trackRevisions>
    </reviewItem>
    <reviewItem>
      <errorID>6fa58843-cf43-4769-a4f3-90f161907761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52B50398</paraID>
      <start>0</start>
      <end>2</end>
      <status>unmodified</status>
      <modifiedWord/>
      <trackRevisions>false</trackRevisions>
    </reviewItem>
    <reviewItem>
      <errorID>4de61b50-0d8c-4488-b609-084af65302e4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6727F9F1</paraID>
      <start>0</start>
      <end>2</end>
      <status>unmodified</status>
      <modifiedWord/>
      <trackRevisions>false</trackRevisions>
    </reviewItem>
    <reviewItem>
      <errorID>06bea331-3cb8-4522-9359-0579ee2fb0e6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543C5ED2</paraID>
      <start>0</start>
      <end>2</end>
      <status>unmodified</status>
      <modifiedWord/>
      <trackRevisions>false</trackRevisions>
    </reviewItem>
    <reviewItem>
      <errorID>be80e56c-bf0a-4355-9935-74d008747a36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7ECD50C4</paraID>
      <start>0</start>
      <end>2</end>
      <status>unmodified</status>
      <modifiedWord/>
      <trackRevisions>false</trackRevisions>
    </reviewItem>
    <reviewItem>
      <errorID>5c23e819-f721-4a3a-b6ac-21f6a1f7ade8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116ADE9C</paraID>
      <start>0</start>
      <end>2</end>
      <status>unmodified</status>
      <modifiedWord/>
      <trackRevisions>false</trackRevisions>
    </reviewItem>
    <reviewItem>
      <errorID>e921b789-9fb4-4cb3-9419-5a585b2bfca1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797CC849</paraID>
      <start>0</start>
      <end>2</end>
      <status>unmodified</status>
      <modifiedWord/>
      <trackRevisions>false</trackRevisions>
    </reviewItem>
    <reviewItem>
      <errorID>fe77b6bd-d5b8-4e96-b255-76762c01b73d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15D6B29E</paraID>
      <start>0</start>
      <end>2</end>
      <status>unmodified</status>
      <modifiedWord/>
      <trackRevisions>false</trackRevisions>
    </reviewItem>
    <reviewItem>
      <errorID>da0974f5-26b8-4b14-990a-e11e9d482cd3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7AC7999D</paraID>
      <start>0</start>
      <end>2</end>
      <status>unmodified</status>
      <modifiedWord/>
      <trackRevisions>false</trackRevisions>
    </reviewItem>
    <reviewItem>
      <errorID>12b7c5bf-2897-41a4-a4fe-67b1c8467ae6</errorID>
      <errorWord>税</errorWord>
      <group>L1_Word</group>
      <groupName>字词问题</groupName>
      <ability>L2_Typo</ability>
      <abilityName>字词错误</abilityName>
      <candidateList>
        <item>税费</item>
      </candidateList>
      <explain/>
      <paraID>30CC2503</paraID>
      <start>46</start>
      <end>47</end>
      <status>unmodified</status>
      <modifiedWord/>
      <trackRevisions>false</trackRevisions>
    </reviewItem>
    <reviewItem>
      <errorID>067842a2-ce07-44de-9373-fff59a603ac3</errorID>
      <errorWord>一</errorWord>
      <group>L1_Word</group>
      <groupName>字词问题</groupName>
      <ability>L2_Typo</ability>
      <abilityName>字词错误</abilityName>
      <candidateList>
        <item>一个</item>
      </candidateList>
      <explain/>
      <paraID>65212FAD</paraID>
      <start>70</start>
      <end>71</end>
      <status>unmodified</status>
      <modifiedWord/>
      <trackRevisions>false</trackRevisions>
    </reviewItem>
    <reviewItem>
      <errorID>11068c4f-9c8c-4674-b01e-4ce64887ab70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2E79FE58</paraID>
      <start>0</start>
      <end>2</end>
      <status>unmodified</status>
      <modifiedWord/>
      <trackRevisions>false</trackRevisions>
    </reviewItem>
    <reviewItem>
      <errorID>76514c51-a608-4756-9078-e44c88ecec12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7A336CE9</paraID>
      <start>0</start>
      <end>2</end>
      <status>unmodified</status>
      <modifiedWord/>
      <trackRevisions>false</trackRevisions>
    </reviewItem>
    <reviewItem>
      <errorID>160d87d4-966c-495b-b46a-b8106a37f742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3985107B</paraID>
      <start>0</start>
      <end>2</end>
      <status>unmodified</status>
      <modifiedWord/>
      <trackRevisions>false</trackRevisions>
    </reviewItem>
    <reviewItem>
      <errorID>e3b31a33-ef14-4a81-adc2-f728fe71b21d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12C551C</paraID>
      <start>0</start>
      <end>2</end>
      <status>unmodified</status>
      <modifiedWord/>
      <trackRevisions>false</trackRevisions>
    </reviewItem>
    <reviewItem>
      <errorID>6743a262-9d74-4dea-a792-f9b8cb87ddb5</errorID>
      <errorWord>，就</errorWord>
      <group>L1_Word</group>
      <groupName>字词问题</groupName>
      <ability>L2_Typo</ability>
      <abilityName>字词错误</abilityName>
      <candidateList>
        <item>，</item>
      </candidateList>
      <explain/>
      <paraID> 684BAD4</paraID>
      <start>49</start>
      <end>51</end>
      <status>unmodified</status>
      <modifiedWord/>
      <trackRevisions>false</trackRevisions>
    </reviewItem>
    <reviewItem>
      <errorID>15da71a9-3ef0-479d-8ef4-d728db429a48</errorID>
      <errorWord>期出现的质量问题</errorWord>
      <group>L1_Word</group>
      <groupName>字词问题</groupName>
      <ability>L2_Typo</ability>
      <abilityName>字词错误</abilityName>
      <candidateList>
        <item>期内出现的质量问题</item>
      </candidateList>
      <explain/>
      <paraID>6D7DD569</paraID>
      <start>23</start>
      <end>31</end>
      <status>unmodified</status>
      <modifiedWord/>
      <trackRevisions>false</trackRevisions>
    </reviewItem>
    <reviewItem>
      <errorID>fdee9f23-c7ab-4ae1-80bf-54d93675741b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4867F15A</paraID>
      <start>0</start>
      <end>2</end>
      <status>unmodified</status>
      <modifiedWord/>
      <trackRevisions>false</trackRevisions>
    </reviewItem>
    <reviewItem>
      <errorID>9659b3bb-1d90-48e4-9c04-a040775f44fb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767829DD</paraID>
      <start>0</start>
      <end>2</end>
      <status>unmodified</status>
      <modifiedWord/>
      <trackRevisions>false</trackRevisions>
    </reviewItem>
    <reviewItem>
      <errorID>677da82f-0c0f-49e6-9ae0-07c8b75cc4f0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2A984E74</paraID>
      <start>0</start>
      <end>2</end>
      <status>unmodified</status>
      <modifiedWord/>
      <trackRevisions>false</trackRevisions>
    </reviewItem>
    <reviewItem>
      <errorID>b96bc5bb-252c-4e48-945c-1a5c09c002b1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3BAB2AA0</paraID>
      <start>0</start>
      <end>2</end>
      <status>unmodified</status>
      <modifiedWord/>
      <trackRevisions>false</trackRevisions>
    </reviewItem>
    <reviewItem>
      <errorID>7de54196-d6cd-483c-b881-e59a09fed60c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5443F2DF</paraID>
      <start>0</start>
      <end>2</end>
      <status>unmodified</status>
      <modifiedWord/>
      <trackRevisions>false</trackRevisions>
    </reviewItem>
    <reviewItem>
      <errorID>fc742152-fc8b-4798-b1bc-be8a92f82310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2ECDAC29</paraID>
      <start>0</start>
      <end>2</end>
      <status>unmodified</status>
      <modifiedWord/>
      <trackRevisions>false</trackRevisions>
    </reviewItem>
    <reviewItem>
      <errorID>e2b98b02-85b3-4957-af05-ed24e27bcc1a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B2F2849</paraID>
      <start>0</start>
      <end>2</end>
      <status>unmodified</status>
      <modifiedWord/>
      <trackRevisions>false</trackRevisions>
    </reviewItem>
    <reviewItem>
      <errorID>85659664-6264-488d-9899-726d385fea8e</errorID>
      <errorWord>日通知乙方</errorWord>
      <group>L1_Word</group>
      <groupName>字词问题</groupName>
      <ability>L2_Typo</ability>
      <abilityName>字词错误</abilityName>
      <candidateList>
        <item>日内通知乙方</item>
      </candidateList>
      <explain/>
      <paraID>463BD60A</paraID>
      <start>15</start>
      <end>20</end>
      <status>unmodified</status>
      <modifiedWord/>
      <trackRevisions>false</trackRevisions>
    </reviewItem>
    <reviewItem>
      <errorID>14aa0083-2e69-4068-b195-5e55eb011586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147B1F25</paraID>
      <start>0</start>
      <end>2</end>
      <status>unmodified</status>
      <modifiedWord/>
      <trackRevisions>false</trackRevisions>
    </reviewItem>
    <reviewItem>
      <errorID>f5cda16b-852c-4c4f-9791-98f2448aa2bf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8BBCB5E</paraID>
      <start>0</start>
      <end>2</end>
      <status>unmodified</status>
      <modifiedWord/>
      <trackRevisions>false</trackRevisions>
    </reviewItem>
    <reviewItem>
      <errorID>028ac207-ef32-4305-84e9-45845a28ab5d</errorID>
      <errorWord>时</errorWord>
      <group>L1_Word</group>
      <groupName>字词问题</groupName>
      <ability>L2_Typo</ability>
      <abilityName>字词错误</abilityName>
      <candidateList>
        <item>时提</item>
      </candidateList>
      <explain/>
      <paraID>10CB0A21</paraID>
      <start>64</start>
      <end>65</end>
      <status>unmodified</status>
      <modifiedWord/>
      <trackRevisions>false</trackRevisions>
    </reviewItem>
    <reviewItem>
      <errorID>8581312e-e98a-437f-9291-8d59a06ca6c3</errorID>
      <errorWord>内的</errorWord>
      <group>L1_Word</group>
      <groupName>字词问题</groupName>
      <ability>L2_Typo</ability>
      <abilityName>字词错误</abilityName>
      <candidateList>
        <item>内</item>
      </candidateList>
      <explain/>
      <paraID>22A6DD9B</paraID>
      <start>152</start>
      <end>154</end>
      <status>unmodified</status>
      <modifiedWord/>
      <trackRevisions>false</trackRevisions>
    </reviewItem>
    <reviewItem>
      <errorID>cfd7017f-7505-437a-963e-32d44e645a21</errorID>
      <errorWord>工作所必须</errorWord>
      <group>L1_Word</group>
      <groupName>字词问题</groupName>
      <ability>L2_Typo</ability>
      <abilityName>字词错误</abilityName>
      <candidateList>
        <item>工作所必需</item>
      </candidateList>
      <explain/>
      <paraID>701CF54F</paraID>
      <start>11</start>
      <end>16</end>
      <status>unmodified</status>
      <modifiedWord/>
      <trackRevisions>false</trackRevisions>
    </reviewItem>
    <reviewItem>
      <errorID>df5c94e7-1332-49fb-8e64-3c7192c3cfe4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364D4F4C</paraID>
      <start>0</start>
      <end>2</end>
      <status>unmodified</status>
      <modifiedWord/>
      <trackRevisions>false</trackRevisions>
    </reviewItem>
    <reviewItem>
      <errorID>546dea3d-823e-4466-ba7a-4ab83db69b03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3508833</paraID>
      <start>0</start>
      <end>2</end>
      <status>unmodified</status>
      <modifiedWord/>
      <trackRevisions>false</trackRevisions>
    </reviewItem>
    <reviewItem>
      <errorID>ddff6605-f0bc-4531-9893-1915669f54e3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56240DB2</paraID>
      <start>0</start>
      <end>2</end>
      <status>unmodified</status>
      <modifiedWord/>
      <trackRevisions>false</trackRevisions>
    </reviewItem>
    <reviewItem>
      <errorID>57c61263-99d0-4190-b000-84d83831451e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475AACB1</paraID>
      <start>0</start>
      <end>2</end>
      <status>unmodified</status>
      <modifiedWord/>
      <trackRevisions>false</trackRevisions>
    </reviewItem>
    <reviewItem>
      <errorID>3acbcaf1-79a7-4663-8d8e-2e392acf53dc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45085B2E</paraID>
      <start>0</start>
      <end>2</end>
      <status>unmodified</status>
      <modifiedWord/>
      <trackRevisions>false</trackRevisions>
    </reviewItem>
    <reviewItem>
      <errorID>9745acdb-e819-422a-9196-66e5f3570ed5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36BFA972</paraID>
      <start>0</start>
      <end>2</end>
      <status>unmodified</status>
      <modifiedWord/>
      <trackRevisions>false</trackRevisions>
    </reviewItem>
    <reviewItem>
      <errorID>1740e17e-33c8-4955-ba89-8a218534903d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23D24FD7</paraID>
      <start>0</start>
      <end>2</end>
      <status>unmodified</status>
      <modifiedWord/>
      <trackRevisions>false</trackRevisions>
    </reviewItem>
    <reviewItem>
      <errorID>955f4d6a-b9dd-418c-959d-35a26505c05c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21AE3DD4</paraID>
      <start>0</start>
      <end>2</end>
      <status>unmodified</status>
      <modifiedWord/>
      <trackRevisions>false</trackRevisions>
    </reviewItem>
    <reviewItem>
      <errorID>14f7c448-4e0f-45eb-8b34-895651bea450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723CD915</paraID>
      <start>0</start>
      <end>2</end>
      <status>unmodified</status>
      <modifiedWord/>
      <trackRevisions>false</trackRevisions>
    </reviewItem>
    <reviewItem>
      <errorID>2d4f4e29-f775-4146-89cd-97d8be777090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34FE6FF1</paraID>
      <start>0</start>
      <end>2</end>
      <status>unmodified</status>
      <modifiedWord/>
      <trackRevisions>false</trackRevisions>
    </reviewItem>
    <reviewItem>
      <errorID>168b30cd-7bee-48e6-bd83-199f1cd58716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6CF7703</paraID>
      <start>0</start>
      <end>2</end>
      <status>unmodified</status>
      <modifiedWord/>
      <trackRevisions>false</trackRevisions>
    </reviewItem>
    <reviewItem>
      <errorID>95bf8f55-30c3-4d5b-806c-ee40e9ad7500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34678DAA</paraID>
      <start>0</start>
      <end>2</end>
      <status>unmodified</status>
      <modifiedWord/>
      <trackRevisions>false</trackRevisions>
    </reviewItem>
    <reviewItem>
      <errorID>c12a802e-cff8-4fc5-8cc8-a54a79ad2a65</errorID>
      <errorWord>期出现的质量问题</errorWord>
      <group>L1_Word</group>
      <groupName>字词问题</groupName>
      <ability>L2_Typo</ability>
      <abilityName>字词错误</abilityName>
      <candidateList>
        <item>期内出现的质量问题</item>
      </candidateList>
      <explain/>
      <paraID>4086F8DE</paraID>
      <start>20</start>
      <end>28</end>
      <status>unmodified</status>
      <modifiedWord/>
      <trackRevisions>false</trackRevisions>
    </reviewItem>
    <reviewItem>
      <errorID>fd4952ad-cb7b-48a4-ba34-b13a8ea2784e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4411E125</paraID>
      <start>0</start>
      <end>2</end>
      <status>unmodified</status>
      <modifiedWord/>
      <trackRevisions>false</trackRevisions>
    </reviewItem>
    <reviewItem>
      <errorID>8ac1462f-cd60-4f79-a98f-e84031b38e9c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5A7559BA</paraID>
      <start>0</start>
      <end>2</end>
      <status>unmodified</status>
      <modifiedWord/>
      <trackRevisions>false</trackRevisions>
    </reviewItem>
    <reviewItem>
      <errorID>ccf0e4d8-0b97-4b43-b183-029fa1f14f6a</errorID>
      <errorWord>算</errorWord>
      <group>L1_Word</group>
      <groupName>字词问题</groupName>
      <ability>L2_Typo</ability>
      <abilityName>字词错误</abilityName>
      <candidateList>
        <item>算后</item>
      </candidateList>
      <explain/>
      <paraID>62EA34FE</paraID>
      <start>6</start>
      <end>7</end>
      <status>unmodified</status>
      <modifiedWord/>
      <trackRevisions>false</trackRevisions>
    </reviewItem>
    <reviewItem>
      <errorID>83c53fd4-b641-4e9e-a425-d7a707fbf2e9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4F2C172F</paraID>
      <start>0</start>
      <end>2</end>
      <status>unmodified</status>
      <modifiedWord/>
      <trackRevisions>false</trackRevisions>
    </reviewItem>
    <reviewItem>
      <errorID>e2ef4234-e51d-4fe2-9a90-7ee5fdc86f0a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296B6020</paraID>
      <start>0</start>
      <end>2</end>
      <status>unmodified</status>
      <modifiedWord/>
      <trackRevisions>false</trackRevisions>
    </reviewItem>
    <reviewItem>
      <errorID>6cc70c74-69a6-4c96-99f8-225d59282a77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3E1D3E60</paraID>
      <start>116</start>
      <end>119</end>
      <status>unmodified</status>
      <modifiedWord/>
      <trackRevisions>false</trackRevisions>
    </reviewItem>
    <reviewItem>
      <errorID>c6a105a2-f209-4cba-879c-de8c19fba95d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3E1D3E60</paraID>
      <start>121</start>
      <end>124</end>
      <status>unmodified</status>
      <modifiedWord/>
      <trackRevisions>false</trackRevisions>
    </reviewItem>
    <reviewItem>
      <errorID>f80c4cdc-bcb5-47ec-8f9e-ca7a6ec134d8</errorID>
      <errorWord>》</errorWord>
      <group>L1_Word</group>
      <groupName>字词问题</groupName>
      <ability>L2_Typo</ability>
      <abilityName>字词错误</abilityName>
      <candidateList>
        <item>》和</item>
      </candidateList>
      <explain/>
      <paraID>36177DD5</paraID>
      <start>127</start>
      <end>128</end>
      <status>unmodified</status>
      <modifiedWord/>
      <trackRevisions>false</trackRevisions>
    </reviewItem>
    <reviewItem>
      <errorID>2a2ec101-e086-4e60-8fe6-2450552acff1</errorID>
      <errorWord>》</errorWord>
      <group>L1_Word</group>
      <groupName>字词问题</groupName>
      <ability>L2_Typo</ability>
      <abilityName>字词错误</abilityName>
      <candidateList>
        <item>》等</item>
      </candidateList>
      <explain/>
      <paraID>36177DD5</paraID>
      <start>154</start>
      <end>155</end>
      <status>unmodified</status>
      <modifiedWord/>
      <trackRevisions>false</trackRevisions>
    </reviewItem>
    <reviewItem>
      <errorID>4815fc77-e995-473d-abbf-9c9592dee072</errorID>
      <errorWord>（</errorWord>
      <group>L1_Punc</group>
      <groupName>标点问题</groupName>
      <ability>L2_Punc_CN</ability>
      <abilityName>标点符号问题</abilityName>
      <candidateList/>
      <explain>同一形式括号套用。</explain>
      <paraID>144A1824</paraID>
      <start>84</start>
      <end>85</end>
      <status>unmodified</status>
      <modifiedWord/>
      <trackRevisions>false</trackRevisions>
    </reviewItem>
    <reviewItem>
      <errorID>33e701f8-b408-400d-b6c4-320bff3fdef6</errorID>
      <errorWord>）</errorWord>
      <group>L1_Punc</group>
      <groupName>标点问题</groupName>
      <ability>L2_Punc_CN</ability>
      <abilityName>标点符号问题</abilityName>
      <candidateList/>
      <explain>同一形式括号套用。</explain>
      <paraID>144A1824</paraID>
      <start>94</start>
      <end>95</end>
      <status>unmodified</status>
      <modifiedWord/>
      <trackRevisions>false</trackRevisions>
    </reviewItem>
    <reviewItem>
      <errorID>7d4d8a8a-5977-4034-8348-ef2bcbbebc21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535652B0</paraID>
      <start>0</start>
      <end>2</end>
      <status>unmodified</status>
      <modifiedWord/>
      <trackRevisions>false</trackRevisions>
    </reviewItem>
    <reviewItem>
      <errorID>10f7c8af-d76e-47ba-abc8-dd56bb6108ac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78E05ADC</paraID>
      <start>0</start>
      <end>2</end>
      <status>unmodified</status>
      <modifiedWord/>
      <trackRevisions>false</trackRevisions>
    </reviewItem>
    <reviewItem>
      <errorID>4b01acca-d3e3-49bc-b8a6-7fe4dc9d59d4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4762D2B1</paraID>
      <start>0</start>
      <end>2</end>
      <status>unmodified</status>
      <modifiedWord/>
      <trackRevisions>false</trackRevisions>
    </reviewItem>
    <reviewItem>
      <errorID>3fcecaba-b64c-4a9b-b364-443d2cbd2a4a</errorID>
      <errorWord>（</errorWord>
      <group>L1_Punc</group>
      <groupName>标点问题</groupName>
      <ability>L2_Punc_CN</ability>
      <abilityName>标点符号问题</abilityName>
      <candidateList/>
      <explain>同一形式括号套用。</explain>
      <paraID>65AB7C67</paraID>
      <start>65</start>
      <end>66</end>
      <status>unmodified</status>
      <modifiedWord/>
      <trackRevisions>false</trackRevisions>
    </reviewItem>
    <reviewItem>
      <errorID>93d7c945-382f-4a98-bd98-3523387a9ad8</errorID>
      <errorWord>）</errorWord>
      <group>L1_Punc</group>
      <groupName>标点问题</groupName>
      <ability>L2_Punc_CN</ability>
      <abilityName>标点符号问题</abilityName>
      <candidateList/>
      <explain>同一形式括号套用。</explain>
      <paraID>65AB7C67</paraID>
      <start>68</start>
      <end>69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AA37A-508C-48EF-88A5-42AA62294CC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B1DFC5F-BCF1-4432-B860-44DF59BBF33A}"/>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10</cp:revision>
  <dcterms:created xsi:type="dcterms:W3CDTF">2026-04-08T08:00:00Z</dcterms:created>
  <dcterms:modified xsi:type="dcterms:W3CDTF">2026-09-04T06:24:47Z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82ADF7EA669C43F4B4820FB9015ED781_13</vt:lpwstr>
  </property>
  <property fmtid="{D5CDD505-2E9C-101B-9397-08002B2CF9AE}" pid="4" name="KSOTemplateDocerSaveRecord">
    <vt:lpwstr>eyJoZGlkIjoiZGRiZWYzNTkzYmEwYTZmYjk3ZGQ3OGQwNTA0ZmI1YWIiLCJ1c2VySWQiOiIxMDI1MzcwNjcwIn0=</vt:lpwstr>
  </property>
</Properties>
</file>