
<file path=[Content_Types].xml><?xml version="1.0" encoding="utf-8"?>
<Types xmlns="http://schemas.openxmlformats.org/package/2006/content-types">
  <Default Extension="xml" ContentType="application/xml"/>
  <Default Extension="rels" ContentType="application/vnd.openxmlformats-package.relationships+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theme/theme1.xml" ContentType="application/vnd.openxmlformats-officedocument.theme+xml"/>
</Types>
</file>

<file path=_rels/.rels><?xml version="1.0" encoding="UTF-8" standalone="yes"?>
<Relationships xmlns="http://schemas.openxmlformats.org/package/2006/relationships"><Relationship Id="rId4" Type="http://schemas.openxmlformats.org/officeDocument/2006/relationships/officeDocument" Target="word/document.xml"/><Relationship Id="rId2" Type="http://schemas.openxmlformats.org/package/2006/relationships/metadata/core-properties" Target="docProps/core.xml"/><Relationship Id="rId1" Type="http://schemas.openxmlformats.org/officeDocument/2006/relationships/extended-properties" Target="docProps/app.xml"/><Relationship Id="rId3"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http://schemas.openxmlformats.org/wordprocessingml/2006/main" xmlns:w14="http://schemas.microsoft.com/office/word/2010/wordml" xmlns:w10="urn:schemas-microsoft-com:office:word"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body>
    <w:p w14:paraId="70E32B1E">
      <w:pPr>
        <w:pStyle w:val="208"/>
        <w:ind w:firstLine="0"/>
        <w:rPr>
          <w:rFonts w:hint="eastAsia" w:ascii="仿宋" w:hAnsi="仿宋" w:eastAsia="仿宋" w:cs="仿宋"/>
          <w:b/>
          <w:bCs/>
          <w:sz w:val="84"/>
          <w:highlight w:val="none"/>
        </w:rPr>
      </w:pPr>
    </w:p>
    <w:p w14:paraId="55F9FEC8">
      <w:pPr>
        <w:pStyle w:val="208"/>
        <w:ind w:firstLine="0"/>
        <w:jc w:val="center"/>
        <w:rPr>
          <w:rFonts w:hint="eastAsia" w:ascii="仿宋" w:hAnsi="仿宋" w:eastAsia="仿宋" w:cs="仿宋"/>
          <w:b/>
          <w:bCs/>
          <w:sz w:val="84"/>
          <w:highlight w:val="none"/>
        </w:rPr>
      </w:pPr>
      <w:r>
        <w:rPr>
          <w:rFonts w:hint="eastAsia" w:ascii="仿宋" w:hAnsi="仿宋" w:eastAsia="仿宋" w:cs="仿宋"/>
          <w:b/>
          <w:bCs/>
          <w:sz w:val="84"/>
          <w:highlight w:val="none"/>
        </w:rPr>
        <w:t>招　标　文　件</w:t>
      </w:r>
    </w:p>
    <w:p w14:paraId="72B01EC9">
      <w:pPr>
        <w:spacing w:before="120" w:after="120" w:line="360" w:lineRule="auto"/>
        <w:jc w:val="center"/>
        <w:rPr>
          <w:rFonts w:hint="eastAsia" w:ascii="仿宋" w:hAnsi="仿宋" w:eastAsia="仿宋" w:cs="仿宋"/>
          <w:b/>
          <w:bCs/>
          <w:sz w:val="32"/>
          <w:szCs w:val="24"/>
          <w:highlight w:val="none"/>
        </w:rPr>
      </w:pPr>
      <w:r>
        <w:rPr>
          <w:rFonts w:hint="eastAsia" w:ascii="仿宋" w:hAnsi="仿宋" w:eastAsia="仿宋" w:cs="仿宋"/>
          <w:b/>
          <w:bCs/>
          <w:sz w:val="32"/>
          <w:szCs w:val="24"/>
          <w:highlight w:val="none"/>
        </w:rPr>
        <w:t>项目名称：</w:t>
      </w:r>
      <w:r>
        <w:rPr>
          <w:rFonts w:hint="eastAsia" w:ascii="仿宋" w:hAnsi="仿宋" w:eastAsia="仿宋" w:cs="仿宋"/>
          <w:b/>
          <w:bCs/>
          <w:sz w:val="32"/>
          <w:szCs w:val="24"/>
          <w:highlight w:val="none"/>
          <w:u w:val="single"/>
        </w:rPr>
        <w:t>如东县大豫镇环境卫生长效管护服务项目（重新招标）</w:t>
      </w:r>
    </w:p>
    <w:p w14:paraId="699A06F1">
      <w:pPr>
        <w:spacing w:before="120" w:after="120" w:line="360" w:lineRule="auto"/>
        <w:ind w:firstLine="964" w:firstLineChars="300"/>
        <w:rPr>
          <w:rFonts w:hint="eastAsia" w:ascii="仿宋" w:hAnsi="仿宋" w:eastAsia="仿宋" w:cs="仿宋"/>
          <w:b/>
          <w:bCs/>
          <w:sz w:val="32"/>
          <w:szCs w:val="24"/>
          <w:highlight w:val="none"/>
        </w:rPr>
      </w:pPr>
      <w:r>
        <w:rPr>
          <w:rFonts w:ascii="仿宋" w:hAnsi="仿宋" w:eastAsia="仿宋" w:cs="仿宋"/>
          <w:b/>
          <w:bCs/>
          <w:sz w:val="32"/>
          <w:szCs w:val="24"/>
          <w:highlight w:val="none"/>
        </w:rPr>
        <w:t>项目编号：</w:t>
      </w:r>
      <w:r>
        <w:rPr>
          <w:rFonts w:hint="eastAsia" w:ascii="仿宋" w:hAnsi="仿宋" w:eastAsia="仿宋" w:cs="仿宋"/>
          <w:b/>
          <w:bCs/>
          <w:sz w:val="32"/>
          <w:szCs w:val="24"/>
          <w:highlight w:val="none"/>
        </w:rPr>
        <w:t xml:space="preserve">JSZC-320623-NTCJ-G2026-0021 </w:t>
      </w:r>
    </w:p>
    <w:p w14:paraId="55094A8E">
      <w:pPr>
        <w:spacing w:before="120" w:after="120" w:line="360" w:lineRule="auto"/>
        <w:ind w:left="2887" w:hanging="2249"/>
        <w:jc w:val="left"/>
        <w:rPr>
          <w:rFonts w:hint="eastAsia" w:ascii="仿宋" w:hAnsi="仿宋" w:eastAsia="仿宋" w:cs="仿宋"/>
          <w:b/>
          <w:bCs/>
          <w:sz w:val="32"/>
          <w:szCs w:val="24"/>
          <w:highlight w:val="none"/>
        </w:rPr>
      </w:pPr>
    </w:p>
    <w:p w14:paraId="607DFEDA">
      <w:pPr>
        <w:spacing w:before="120" w:after="120" w:line="360" w:lineRule="auto"/>
        <w:ind w:left="2887" w:hanging="2249"/>
        <w:jc w:val="left"/>
        <w:rPr>
          <w:rFonts w:hint="eastAsia" w:ascii="仿宋" w:hAnsi="仿宋" w:eastAsia="仿宋" w:cs="仿宋"/>
          <w:b/>
          <w:bCs/>
          <w:sz w:val="32"/>
          <w:szCs w:val="24"/>
          <w:highlight w:val="none"/>
        </w:rPr>
      </w:pPr>
    </w:p>
    <w:p w14:paraId="5CA6E628">
      <w:pPr>
        <w:spacing w:before="120" w:after="120" w:line="360" w:lineRule="auto"/>
        <w:ind w:left="2887" w:hanging="2249"/>
        <w:jc w:val="left"/>
        <w:rPr>
          <w:rFonts w:hint="eastAsia" w:ascii="仿宋" w:hAnsi="仿宋" w:eastAsia="仿宋" w:cs="仿宋"/>
          <w:b/>
          <w:bCs/>
          <w:sz w:val="32"/>
          <w:szCs w:val="24"/>
          <w:highlight w:val="none"/>
        </w:rPr>
      </w:pPr>
    </w:p>
    <w:p w14:paraId="09D87B21">
      <w:pPr>
        <w:spacing w:before="120" w:after="120" w:line="360" w:lineRule="auto"/>
        <w:ind w:left="2887" w:hanging="2249"/>
        <w:jc w:val="left"/>
        <w:rPr>
          <w:rFonts w:hint="eastAsia" w:ascii="仿宋" w:hAnsi="仿宋" w:eastAsia="仿宋" w:cs="仿宋"/>
          <w:b/>
          <w:bCs/>
          <w:sz w:val="32"/>
          <w:szCs w:val="24"/>
          <w:highlight w:val="none"/>
        </w:rPr>
      </w:pPr>
    </w:p>
    <w:p w14:paraId="50F8585C">
      <w:pPr>
        <w:pStyle w:val="14"/>
        <w:rPr>
          <w:highlight w:val="none"/>
        </w:rPr>
      </w:pPr>
    </w:p>
    <w:p w14:paraId="6262A42D">
      <w:pPr>
        <w:pStyle w:val="79"/>
        <w:rPr>
          <w:rFonts w:hint="eastAsia" w:ascii="仿宋" w:hAnsi="仿宋" w:eastAsia="仿宋" w:cs="仿宋"/>
          <w:b/>
          <w:bCs/>
          <w:sz w:val="32"/>
          <w:szCs w:val="24"/>
          <w:highlight w:val="none"/>
        </w:rPr>
      </w:pPr>
    </w:p>
    <w:p w14:paraId="7D413B9E">
      <w:pPr>
        <w:pStyle w:val="79"/>
        <w:rPr>
          <w:rFonts w:hint="eastAsia" w:ascii="仿宋" w:hAnsi="仿宋" w:eastAsia="仿宋" w:cs="仿宋"/>
          <w:b/>
          <w:bCs/>
          <w:sz w:val="32"/>
          <w:szCs w:val="32"/>
          <w:highlight w:val="none"/>
        </w:rPr>
      </w:pPr>
    </w:p>
    <w:p w14:paraId="4A992478">
      <w:pPr>
        <w:pStyle w:val="79"/>
        <w:rPr>
          <w:rFonts w:hint="eastAsia" w:ascii="仿宋" w:hAnsi="仿宋" w:eastAsia="仿宋" w:cs="仿宋"/>
          <w:b/>
          <w:bCs/>
          <w:sz w:val="32"/>
          <w:szCs w:val="32"/>
          <w:highlight w:val="none"/>
        </w:rPr>
      </w:pPr>
    </w:p>
    <w:p w14:paraId="7018E409">
      <w:pPr>
        <w:pStyle w:val="79"/>
        <w:rPr>
          <w:rFonts w:hint="eastAsia" w:ascii="仿宋" w:hAnsi="仿宋" w:eastAsia="仿宋" w:cs="仿宋"/>
          <w:b/>
          <w:bCs/>
          <w:sz w:val="32"/>
          <w:szCs w:val="32"/>
          <w:highlight w:val="none"/>
        </w:rPr>
      </w:pPr>
    </w:p>
    <w:p w14:paraId="05F12250">
      <w:pPr>
        <w:spacing w:before="120" w:after="120" w:line="360" w:lineRule="auto"/>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 xml:space="preserve">  如东县大豫镇人民政府</w:t>
      </w:r>
    </w:p>
    <w:p w14:paraId="0EBE000D">
      <w:pPr>
        <w:spacing w:before="120" w:after="120" w:line="360" w:lineRule="auto"/>
        <w:ind w:firstLine="3534"/>
        <w:jc w:val="left"/>
        <w:rPr>
          <w:rFonts w:hint="eastAsia" w:ascii="仿宋" w:hAnsi="仿宋" w:eastAsia="仿宋" w:cs="仿宋"/>
          <w:sz w:val="32"/>
          <w:szCs w:val="32"/>
          <w:highlight w:val="none"/>
        </w:rPr>
        <w:sectPr>
          <w:footerReference r:id="rId3" w:type="default"/>
          <w:pgSz w:w="11906" w:h="16838"/>
          <w:pgMar w:top="1191" w:right="1587" w:bottom="1191" w:left="1366" w:header="850" w:footer="907" w:gutter="0"/>
          <w:pgNumType w:start="0"/>
          <w:cols w:space="0" w:num="1"/>
          <w:docGrid w:linePitch="360" w:charSpace="0"/>
        </w:sectPr>
      </w:pPr>
      <w:r>
        <w:rPr>
          <w:rFonts w:hint="eastAsia" w:ascii="仿宋" w:hAnsi="仿宋" w:eastAsia="仿宋" w:cs="仿宋"/>
          <w:b/>
          <w:bCs/>
          <w:sz w:val="32"/>
          <w:szCs w:val="32"/>
          <w:highlight w:val="none"/>
        </w:rPr>
        <w:t xml:space="preserve">二O二六年九月  </w:t>
      </w:r>
    </w:p>
    <w:p w14:paraId="2A14B3E9">
      <w:pPr>
        <w:pStyle w:val="208"/>
        <w:ind w:firstLine="0"/>
        <w:jc w:val="both"/>
        <w:rPr>
          <w:rFonts w:hint="eastAsia" w:ascii="仿宋" w:hAnsi="仿宋" w:eastAsia="仿宋" w:cs="仿宋"/>
          <w:highlight w:val="none"/>
        </w:rPr>
      </w:pPr>
    </w:p>
    <w:p w14:paraId="7746CC88">
      <w:pPr>
        <w:spacing w:line="480" w:lineRule="auto"/>
        <w:ind w:firstLine="3570"/>
        <w:rPr>
          <w:rFonts w:hint="eastAsia" w:ascii="仿宋" w:hAnsi="仿宋" w:eastAsia="仿宋" w:cs="仿宋"/>
          <w:b/>
          <w:sz w:val="44"/>
          <w:highlight w:val="none"/>
        </w:rPr>
      </w:pPr>
      <w:bookmarkStart w:id="0" w:name="_Toc120614210"/>
      <w:bookmarkStart w:id="1" w:name="_Toc479757206"/>
      <w:bookmarkStart w:id="2" w:name="_Toc16938516"/>
      <w:bookmarkStart w:id="3" w:name="_Toc513029200"/>
      <w:bookmarkStart w:id="4" w:name="_Toc523127445"/>
      <w:bookmarkStart w:id="5" w:name="_Toc20823272"/>
      <w:r>
        <w:rPr>
          <w:rFonts w:hint="eastAsia" w:ascii="仿宋" w:hAnsi="仿宋" w:eastAsia="仿宋" w:cs="仿宋"/>
          <w:b/>
          <w:sz w:val="44"/>
          <w:highlight w:val="none"/>
        </w:rPr>
        <w:t>总</w:t>
      </w:r>
      <w:bookmarkStart w:id="233" w:name="_GoBack"/>
      <w:bookmarkEnd w:id="233"/>
      <w:r>
        <w:rPr>
          <w:rFonts w:hint="eastAsia" w:ascii="仿宋" w:hAnsi="仿宋" w:eastAsia="仿宋" w:cs="仿宋"/>
          <w:b/>
          <w:sz w:val="44"/>
          <w:highlight w:val="none"/>
        </w:rPr>
        <w:t xml:space="preserve">  目  录</w:t>
      </w:r>
    </w:p>
    <w:p w14:paraId="722163E8">
      <w:pPr>
        <w:rPr>
          <w:rFonts w:hint="eastAsia" w:ascii="仿宋" w:hAnsi="仿宋" w:eastAsia="仿宋" w:cs="仿宋"/>
          <w:highlight w:val="none"/>
        </w:rPr>
      </w:pPr>
    </w:p>
    <w:p w14:paraId="0602A7B5">
      <w:pPr>
        <w:rPr>
          <w:rFonts w:hint="eastAsia" w:ascii="仿宋" w:hAnsi="仿宋" w:eastAsia="仿宋" w:cs="仿宋"/>
          <w:highlight w:val="none"/>
        </w:rPr>
      </w:pPr>
    </w:p>
    <w:p w14:paraId="2EE877F0">
      <w:pPr>
        <w:pStyle w:val="24"/>
        <w:jc w:val="both"/>
        <w:rPr>
          <w:rFonts w:asciiTheme="minorHAnsi" w:hAnsiTheme="minorHAnsi" w:eastAsiaTheme="minorEastAsia" w:cstheme="minorBidi"/>
          <w:caps w:val="0"/>
          <w:sz w:val="21"/>
          <w:szCs w:val="22"/>
          <w:highlight w:val="none"/>
        </w:rPr>
      </w:pPr>
      <w:r>
        <w:rPr>
          <w:rFonts w:hint="eastAsia" w:ascii="仿宋" w:hAnsi="仿宋" w:eastAsia="仿宋" w:cs="仿宋"/>
          <w:highlight w:val="none"/>
        </w:rPr>
        <w:fldChar w:fldCharType="begin"/>
      </w:r>
      <w:r>
        <w:rPr>
          <w:rFonts w:hint="eastAsia" w:ascii="仿宋" w:hAnsi="仿宋" w:eastAsia="仿宋" w:cs="仿宋"/>
          <w:highlight w:val="none"/>
        </w:rPr>
        <w:instrText xml:space="preserve">TOC \o "1-1" \h \u </w:instrText>
      </w:r>
      <w:r>
        <w:rPr>
          <w:rFonts w:hint="eastAsia" w:ascii="仿宋" w:hAnsi="仿宋" w:eastAsia="仿宋" w:cs="仿宋"/>
          <w:highlight w:val="none"/>
        </w:rPr>
        <w:fldChar w:fldCharType="separate"/>
      </w:r>
      <w:r>
        <w:rPr>
          <w:highlight w:val="none"/>
        </w:rPr>
        <w:fldChar w:fldCharType="begin"/>
      </w:r>
      <w:r>
        <w:rPr>
          <w:highlight w:val="none"/>
        </w:rPr>
        <w:instrText xml:space="preserve"> HYPERLINK \l "_Toc186493267" </w:instrText>
      </w:r>
      <w:r>
        <w:rPr>
          <w:highlight w:val="none"/>
        </w:rPr>
        <w:fldChar w:fldCharType="separate"/>
      </w:r>
      <w:r>
        <w:rPr>
          <w:rStyle w:val="43"/>
          <w:rFonts w:hint="eastAsia" w:ascii="仿宋" w:hAnsi="仿宋" w:eastAsia="仿宋" w:cs="仿宋"/>
          <w:b/>
          <w:bCs/>
          <w:color w:val="auto"/>
          <w:highlight w:val="none"/>
        </w:rPr>
        <w:t>第一章</w:t>
      </w:r>
      <w:r>
        <w:rPr>
          <w:rStyle w:val="43"/>
          <w:rFonts w:ascii="仿宋" w:hAnsi="仿宋" w:eastAsia="仿宋" w:cs="仿宋"/>
          <w:b/>
          <w:bCs/>
          <w:color w:val="auto"/>
          <w:highlight w:val="none"/>
        </w:rPr>
        <w:t xml:space="preserve">  </w:t>
      </w:r>
      <w:r>
        <w:rPr>
          <w:rStyle w:val="43"/>
          <w:rFonts w:hint="eastAsia" w:ascii="仿宋" w:hAnsi="仿宋" w:eastAsia="仿宋" w:cs="仿宋"/>
          <w:b/>
          <w:bCs/>
          <w:color w:val="auto"/>
          <w:highlight w:val="none"/>
        </w:rPr>
        <w:t>投标邀请</w:t>
      </w:r>
      <w:r>
        <w:rPr>
          <w:rFonts w:hint="eastAsia" w:eastAsia="仿宋"/>
          <w:highlight w:val="none"/>
          <w:lang w:val="en-US" w:eastAsia="zh-CN"/>
        </w:rPr>
        <w:t>.......................................................</w:t>
      </w:r>
      <w:r>
        <w:rPr>
          <w:highlight w:val="none"/>
        </w:rPr>
        <w:fldChar w:fldCharType="begin"/>
      </w:r>
      <w:r>
        <w:rPr>
          <w:highlight w:val="none"/>
        </w:rPr>
        <w:instrText xml:space="preserve"> PAGEREF _Toc186493267 \h </w:instrText>
      </w:r>
      <w:r>
        <w:rPr>
          <w:highlight w:val="none"/>
        </w:rPr>
        <w:fldChar w:fldCharType="separate"/>
      </w:r>
      <w:r>
        <w:rPr>
          <w:highlight w:val="none"/>
        </w:rPr>
        <w:t>2</w:t>
      </w:r>
      <w:r>
        <w:rPr>
          <w:highlight w:val="none"/>
        </w:rPr>
        <w:fldChar w:fldCharType="end"/>
      </w:r>
      <w:r>
        <w:rPr>
          <w:highlight w:val="none"/>
        </w:rPr>
        <w:fldChar w:fldCharType="end"/>
      </w:r>
    </w:p>
    <w:p w14:paraId="274DF9F8">
      <w:pPr>
        <w:pStyle w:val="24"/>
        <w:jc w:val="both"/>
        <w:rPr>
          <w:rFonts w:asciiTheme="minorHAnsi" w:hAnsiTheme="minorHAnsi" w:eastAsiaTheme="minorEastAsia" w:cstheme="minorBidi"/>
          <w:caps w:val="0"/>
          <w:sz w:val="21"/>
          <w:szCs w:val="22"/>
          <w:highlight w:val="none"/>
        </w:rPr>
      </w:pPr>
      <w:r>
        <w:rPr>
          <w:highlight w:val="none"/>
        </w:rPr>
        <w:fldChar w:fldCharType="begin"/>
      </w:r>
      <w:r>
        <w:rPr>
          <w:highlight w:val="none"/>
        </w:rPr>
        <w:instrText xml:space="preserve"> HYPERLINK \l "_Toc186493268" </w:instrText>
      </w:r>
      <w:r>
        <w:rPr>
          <w:highlight w:val="none"/>
        </w:rPr>
        <w:fldChar w:fldCharType="separate"/>
      </w:r>
      <w:r>
        <w:rPr>
          <w:rStyle w:val="43"/>
          <w:rFonts w:hint="eastAsia" w:ascii="仿宋" w:hAnsi="仿宋" w:eastAsia="仿宋" w:cs="仿宋"/>
          <w:b/>
          <w:bCs/>
          <w:color w:val="auto"/>
          <w:highlight w:val="none"/>
        </w:rPr>
        <w:t>第二章</w:t>
      </w:r>
      <w:r>
        <w:rPr>
          <w:rStyle w:val="43"/>
          <w:rFonts w:ascii="仿宋" w:hAnsi="仿宋" w:eastAsia="仿宋" w:cs="仿宋"/>
          <w:b/>
          <w:bCs/>
          <w:color w:val="auto"/>
          <w:highlight w:val="none"/>
        </w:rPr>
        <w:t xml:space="preserve">  </w:t>
      </w:r>
      <w:r>
        <w:rPr>
          <w:rStyle w:val="43"/>
          <w:rFonts w:hint="eastAsia" w:ascii="仿宋" w:hAnsi="仿宋" w:eastAsia="仿宋" w:cs="仿宋"/>
          <w:b/>
          <w:bCs/>
          <w:color w:val="auto"/>
          <w:highlight w:val="none"/>
        </w:rPr>
        <w:t>投标供应商须知</w:t>
      </w:r>
      <w:r>
        <w:rPr>
          <w:rFonts w:hint="eastAsia" w:eastAsia="仿宋"/>
          <w:highlight w:val="none"/>
          <w:lang w:val="en-US" w:eastAsia="zh-CN"/>
        </w:rPr>
        <w:t>.................................................</w:t>
      </w:r>
      <w:r>
        <w:rPr>
          <w:rFonts w:hint="eastAsia"/>
          <w:highlight w:val="none"/>
        </w:rPr>
        <w:t>6</w:t>
      </w:r>
      <w:r>
        <w:rPr>
          <w:rFonts w:hint="eastAsia"/>
          <w:highlight w:val="none"/>
        </w:rPr>
        <w:fldChar w:fldCharType="end"/>
      </w:r>
    </w:p>
    <w:p w14:paraId="757B7961">
      <w:pPr>
        <w:pStyle w:val="24"/>
        <w:jc w:val="both"/>
        <w:rPr>
          <w:rFonts w:asciiTheme="minorHAnsi" w:hAnsiTheme="minorHAnsi" w:eastAsiaTheme="minorEastAsia" w:cstheme="minorBidi"/>
          <w:caps w:val="0"/>
          <w:sz w:val="21"/>
          <w:szCs w:val="22"/>
          <w:highlight w:val="none"/>
        </w:rPr>
      </w:pPr>
      <w:r>
        <w:rPr>
          <w:highlight w:val="none"/>
        </w:rPr>
        <w:fldChar w:fldCharType="begin"/>
      </w:r>
      <w:r>
        <w:rPr>
          <w:highlight w:val="none"/>
        </w:rPr>
        <w:instrText xml:space="preserve"> HYPERLINK \l "_Toc186493269" </w:instrText>
      </w:r>
      <w:r>
        <w:rPr>
          <w:highlight w:val="none"/>
        </w:rPr>
        <w:fldChar w:fldCharType="separate"/>
      </w:r>
      <w:r>
        <w:rPr>
          <w:rStyle w:val="43"/>
          <w:rFonts w:hint="eastAsia" w:ascii="仿宋" w:hAnsi="仿宋" w:eastAsia="仿宋" w:cs="仿宋"/>
          <w:b/>
          <w:color w:val="auto"/>
          <w:highlight w:val="none"/>
        </w:rPr>
        <w:t>第三章</w:t>
      </w:r>
      <w:r>
        <w:rPr>
          <w:rStyle w:val="43"/>
          <w:rFonts w:ascii="仿宋" w:hAnsi="仿宋" w:eastAsia="仿宋" w:cs="仿宋"/>
          <w:b/>
          <w:color w:val="auto"/>
          <w:highlight w:val="none"/>
        </w:rPr>
        <w:t xml:space="preserve"> </w:t>
      </w:r>
      <w:r>
        <w:rPr>
          <w:rStyle w:val="43"/>
          <w:rFonts w:hint="eastAsia" w:ascii="仿宋" w:hAnsi="仿宋" w:eastAsia="仿宋" w:cs="仿宋"/>
          <w:b/>
          <w:color w:val="auto"/>
          <w:highlight w:val="none"/>
        </w:rPr>
        <w:t xml:space="preserve"> </w:t>
      </w:r>
      <w:r>
        <w:rPr>
          <w:rStyle w:val="43"/>
          <w:rFonts w:hint="eastAsia" w:ascii="仿宋" w:hAnsi="仿宋" w:eastAsia="仿宋" w:cs="仿宋"/>
          <w:b/>
          <w:bCs/>
          <w:color w:val="auto"/>
          <w:highlight w:val="none"/>
        </w:rPr>
        <w:t>合同文本</w:t>
      </w:r>
      <w:r>
        <w:rPr>
          <w:rFonts w:hint="eastAsia" w:eastAsia="仿宋"/>
          <w:highlight w:val="none"/>
          <w:lang w:val="en-US" w:eastAsia="zh-CN"/>
        </w:rPr>
        <w:t>.......................................................</w:t>
      </w:r>
      <w:r>
        <w:rPr>
          <w:highlight w:val="none"/>
        </w:rPr>
        <w:fldChar w:fldCharType="begin"/>
      </w:r>
      <w:r>
        <w:rPr>
          <w:highlight w:val="none"/>
        </w:rPr>
        <w:instrText xml:space="preserve"> PAGEREF _Toc186493269 \h </w:instrText>
      </w:r>
      <w:r>
        <w:rPr>
          <w:highlight w:val="none"/>
        </w:rPr>
        <w:fldChar w:fldCharType="separate"/>
      </w:r>
      <w:r>
        <w:rPr>
          <w:highlight w:val="none"/>
        </w:rPr>
        <w:t>1</w:t>
      </w:r>
      <w:r>
        <w:rPr>
          <w:rFonts w:hint="eastAsia"/>
          <w:highlight w:val="none"/>
          <w:lang w:val="en-US" w:eastAsia="zh-CN"/>
        </w:rPr>
        <w:t>8</w:t>
      </w:r>
      <w:r>
        <w:rPr>
          <w:highlight w:val="none"/>
        </w:rPr>
        <w:fldChar w:fldCharType="end"/>
      </w:r>
      <w:r>
        <w:rPr>
          <w:highlight w:val="none"/>
        </w:rPr>
        <w:fldChar w:fldCharType="end"/>
      </w:r>
    </w:p>
    <w:p w14:paraId="1CEC79B9">
      <w:pPr>
        <w:pStyle w:val="24"/>
        <w:jc w:val="both"/>
        <w:rPr>
          <w:rFonts w:hint="eastAsia" w:eastAsia="宋体" w:asciiTheme="minorHAnsi" w:hAnsiTheme="minorHAnsi" w:cstheme="minorBidi"/>
          <w:caps w:val="0"/>
          <w:sz w:val="21"/>
          <w:szCs w:val="22"/>
          <w:highlight w:val="none"/>
          <w:lang w:eastAsia="zh-CN"/>
        </w:rPr>
      </w:pPr>
      <w:r>
        <w:rPr>
          <w:highlight w:val="none"/>
        </w:rPr>
        <w:fldChar w:fldCharType="begin"/>
      </w:r>
      <w:r>
        <w:rPr>
          <w:highlight w:val="none"/>
        </w:rPr>
        <w:instrText xml:space="preserve"> HYPERLINK \l "_Toc186493270" </w:instrText>
      </w:r>
      <w:r>
        <w:rPr>
          <w:highlight w:val="none"/>
        </w:rPr>
        <w:fldChar w:fldCharType="separate"/>
      </w:r>
      <w:r>
        <w:rPr>
          <w:rStyle w:val="43"/>
          <w:rFonts w:hint="eastAsia" w:ascii="仿宋" w:hAnsi="仿宋" w:eastAsia="仿宋" w:cs="仿宋"/>
          <w:b/>
          <w:color w:val="auto"/>
          <w:highlight w:val="none"/>
        </w:rPr>
        <w:t>第四章</w:t>
      </w:r>
      <w:r>
        <w:rPr>
          <w:rStyle w:val="43"/>
          <w:rFonts w:ascii="仿宋" w:hAnsi="仿宋" w:eastAsia="仿宋" w:cs="仿宋"/>
          <w:b/>
          <w:color w:val="auto"/>
          <w:highlight w:val="none"/>
        </w:rPr>
        <w:t xml:space="preserve">  </w:t>
      </w:r>
      <w:r>
        <w:rPr>
          <w:rStyle w:val="43"/>
          <w:rFonts w:hint="eastAsia" w:ascii="仿宋" w:hAnsi="仿宋" w:eastAsia="仿宋" w:cs="仿宋"/>
          <w:b/>
          <w:color w:val="auto"/>
          <w:highlight w:val="none"/>
        </w:rPr>
        <w:t>采购需求</w:t>
      </w:r>
      <w:r>
        <w:rPr>
          <w:rFonts w:hint="eastAsia" w:eastAsia="仿宋"/>
          <w:highlight w:val="none"/>
          <w:lang w:val="en-US" w:eastAsia="zh-CN"/>
        </w:rPr>
        <w:t>.......................................................</w:t>
      </w:r>
      <w:r>
        <w:rPr>
          <w:rFonts w:hint="eastAsia"/>
          <w:highlight w:val="none"/>
        </w:rPr>
        <w:t>2</w:t>
      </w:r>
      <w:r>
        <w:rPr>
          <w:rFonts w:hint="eastAsia"/>
          <w:highlight w:val="none"/>
        </w:rPr>
        <w:fldChar w:fldCharType="end"/>
      </w:r>
      <w:r>
        <w:rPr>
          <w:rFonts w:hint="eastAsia"/>
          <w:highlight w:val="none"/>
          <w:lang w:val="en-US" w:eastAsia="zh-CN"/>
        </w:rPr>
        <w:t>7</w:t>
      </w:r>
    </w:p>
    <w:p w14:paraId="37066EDF">
      <w:pPr>
        <w:pStyle w:val="24"/>
        <w:jc w:val="both"/>
        <w:rPr>
          <w:rFonts w:hint="default" w:eastAsia="宋体"/>
          <w:highlight w:val="none"/>
          <w:lang w:val="en-US" w:eastAsia="zh-CN"/>
        </w:rPr>
      </w:pPr>
      <w:r>
        <w:rPr>
          <w:rStyle w:val="43"/>
          <w:rFonts w:hint="eastAsia" w:ascii="仿宋" w:hAnsi="仿宋" w:eastAsia="仿宋" w:cs="仿宋"/>
          <w:b/>
          <w:bCs/>
          <w:color w:val="auto"/>
          <w:highlight w:val="none"/>
        </w:rPr>
        <w:t xml:space="preserve">第五章  </w:t>
      </w:r>
      <w:r>
        <w:rPr>
          <w:rStyle w:val="43"/>
          <w:rFonts w:hint="eastAsia" w:ascii="仿宋" w:hAnsi="仿宋" w:eastAsia="仿宋" w:cs="仿宋"/>
          <w:b/>
          <w:color w:val="auto"/>
          <w:highlight w:val="none"/>
        </w:rPr>
        <w:t>评标方</w:t>
      </w:r>
      <w:r>
        <w:rPr>
          <w:rStyle w:val="43"/>
          <w:rFonts w:hint="eastAsia" w:ascii="仿宋" w:hAnsi="仿宋" w:eastAsia="仿宋" w:cs="仿宋"/>
          <w:b/>
          <w:bCs/>
          <w:color w:val="auto"/>
          <w:highlight w:val="none"/>
        </w:rPr>
        <w:t>法与评标标准</w:t>
      </w:r>
      <w:r>
        <w:rPr>
          <w:rFonts w:hint="eastAsia" w:eastAsia="仿宋"/>
          <w:highlight w:val="none"/>
          <w:lang w:val="en-US" w:eastAsia="zh-CN"/>
        </w:rPr>
        <w:t>.............................................</w:t>
      </w:r>
      <w:r>
        <w:rPr>
          <w:rFonts w:hint="eastAsia"/>
          <w:highlight w:val="none"/>
          <w:lang w:val="en-US" w:eastAsia="zh-CN"/>
        </w:rPr>
        <w:t>50</w:t>
      </w:r>
    </w:p>
    <w:p w14:paraId="0CD8317D">
      <w:pPr>
        <w:pStyle w:val="24"/>
        <w:jc w:val="both"/>
        <w:rPr>
          <w:rFonts w:hint="default" w:eastAsia="宋体" w:asciiTheme="minorHAnsi" w:hAnsiTheme="minorHAnsi" w:cstheme="minorBidi"/>
          <w:caps w:val="0"/>
          <w:sz w:val="21"/>
          <w:szCs w:val="22"/>
          <w:highlight w:val="none"/>
          <w:lang w:val="en-US" w:eastAsia="zh-CN"/>
        </w:rPr>
      </w:pPr>
      <w:r>
        <w:rPr>
          <w:highlight w:val="none"/>
        </w:rPr>
        <w:fldChar w:fldCharType="begin"/>
      </w:r>
      <w:r>
        <w:rPr>
          <w:highlight w:val="none"/>
        </w:rPr>
        <w:instrText xml:space="preserve"> HYPERLINK \l "_Toc186493271" </w:instrText>
      </w:r>
      <w:r>
        <w:rPr>
          <w:highlight w:val="none"/>
        </w:rPr>
        <w:fldChar w:fldCharType="separate"/>
      </w:r>
      <w:r>
        <w:rPr>
          <w:rStyle w:val="43"/>
          <w:rFonts w:hint="eastAsia" w:ascii="仿宋" w:hAnsi="仿宋" w:eastAsia="仿宋" w:cs="仿宋"/>
          <w:b/>
          <w:color w:val="auto"/>
          <w:highlight w:val="none"/>
        </w:rPr>
        <w:t>第六章</w:t>
      </w:r>
      <w:r>
        <w:rPr>
          <w:rStyle w:val="43"/>
          <w:rFonts w:ascii="仿宋" w:hAnsi="仿宋" w:eastAsia="仿宋" w:cs="仿宋"/>
          <w:b/>
          <w:color w:val="auto"/>
          <w:highlight w:val="none"/>
        </w:rPr>
        <w:t xml:space="preserve">  </w:t>
      </w:r>
      <w:r>
        <w:rPr>
          <w:rStyle w:val="43"/>
          <w:rFonts w:hint="eastAsia" w:ascii="仿宋" w:hAnsi="仿宋" w:eastAsia="仿宋" w:cs="仿宋"/>
          <w:b/>
          <w:color w:val="auto"/>
          <w:highlight w:val="none"/>
        </w:rPr>
        <w:t>投标文件格式</w:t>
      </w:r>
      <w:r>
        <w:rPr>
          <w:rFonts w:hint="eastAsia" w:eastAsia="仿宋"/>
          <w:highlight w:val="none"/>
          <w:lang w:val="en-US" w:eastAsia="zh-CN"/>
        </w:rPr>
        <w:t>...................................................</w:t>
      </w:r>
      <w:r>
        <w:rPr>
          <w:rFonts w:hint="eastAsia"/>
          <w:highlight w:val="none"/>
        </w:rPr>
        <w:fldChar w:fldCharType="end"/>
      </w:r>
      <w:r>
        <w:rPr>
          <w:rFonts w:hint="eastAsia"/>
          <w:highlight w:val="none"/>
          <w:lang w:val="en-US" w:eastAsia="zh-CN"/>
        </w:rPr>
        <w:t>57</w:t>
      </w:r>
    </w:p>
    <w:p w14:paraId="5CEF3F08">
      <w:pPr>
        <w:jc w:val="both"/>
        <w:rPr>
          <w:rFonts w:hint="eastAsia" w:ascii="仿宋" w:hAnsi="仿宋" w:eastAsia="仿宋" w:cs="仿宋"/>
          <w:sz w:val="24"/>
          <w:szCs w:val="24"/>
          <w:highlight w:val="none"/>
        </w:rPr>
      </w:pPr>
      <w:r>
        <w:rPr>
          <w:rFonts w:hint="eastAsia" w:ascii="仿宋" w:hAnsi="仿宋" w:eastAsia="仿宋" w:cs="仿宋"/>
          <w:sz w:val="24"/>
          <w:szCs w:val="24"/>
          <w:highlight w:val="none"/>
        </w:rPr>
        <w:fldChar w:fldCharType="end"/>
      </w:r>
    </w:p>
    <w:p w14:paraId="6151FFB4">
      <w:pPr>
        <w:rPr>
          <w:rFonts w:hint="eastAsia" w:ascii="仿宋" w:hAnsi="仿宋" w:eastAsia="仿宋" w:cs="仿宋"/>
          <w:sz w:val="36"/>
          <w:szCs w:val="36"/>
          <w:highlight w:val="none"/>
        </w:rPr>
      </w:pPr>
    </w:p>
    <w:p w14:paraId="21CB8884">
      <w:pPr>
        <w:rPr>
          <w:rFonts w:hint="eastAsia" w:ascii="仿宋" w:hAnsi="仿宋" w:eastAsia="仿宋" w:cs="仿宋"/>
          <w:sz w:val="36"/>
          <w:szCs w:val="36"/>
          <w:highlight w:val="none"/>
        </w:rPr>
      </w:pPr>
    </w:p>
    <w:p w14:paraId="1840E78D">
      <w:pPr>
        <w:rPr>
          <w:rFonts w:hint="eastAsia" w:ascii="仿宋" w:hAnsi="仿宋" w:eastAsia="仿宋" w:cs="仿宋"/>
          <w:sz w:val="36"/>
          <w:szCs w:val="36"/>
          <w:highlight w:val="none"/>
        </w:rPr>
      </w:pPr>
    </w:p>
    <w:p w14:paraId="0CFFDD86">
      <w:pPr>
        <w:rPr>
          <w:rFonts w:hint="eastAsia" w:ascii="仿宋" w:hAnsi="仿宋" w:eastAsia="仿宋" w:cs="仿宋"/>
          <w:sz w:val="36"/>
          <w:szCs w:val="36"/>
          <w:highlight w:val="none"/>
        </w:rPr>
      </w:pPr>
    </w:p>
    <w:p w14:paraId="4EE2143A">
      <w:pPr>
        <w:rPr>
          <w:rFonts w:hint="eastAsia" w:ascii="仿宋" w:hAnsi="仿宋" w:eastAsia="仿宋" w:cs="仿宋"/>
          <w:sz w:val="36"/>
          <w:szCs w:val="36"/>
          <w:highlight w:val="none"/>
        </w:rPr>
      </w:pPr>
    </w:p>
    <w:p w14:paraId="522ED7E6">
      <w:pPr>
        <w:rPr>
          <w:rFonts w:hint="eastAsia" w:ascii="仿宋" w:hAnsi="仿宋" w:eastAsia="仿宋" w:cs="仿宋"/>
          <w:highlight w:val="none"/>
        </w:rPr>
      </w:pPr>
    </w:p>
    <w:p w14:paraId="6A1D82CC">
      <w:pPr>
        <w:rPr>
          <w:rFonts w:hint="eastAsia" w:ascii="仿宋" w:hAnsi="仿宋" w:eastAsia="仿宋" w:cs="仿宋"/>
          <w:highlight w:val="none"/>
        </w:rPr>
      </w:pPr>
    </w:p>
    <w:p w14:paraId="092FA9B3">
      <w:pPr>
        <w:rPr>
          <w:rFonts w:hint="eastAsia" w:ascii="仿宋" w:hAnsi="仿宋" w:eastAsia="仿宋" w:cs="仿宋"/>
          <w:highlight w:val="none"/>
        </w:rPr>
      </w:pPr>
    </w:p>
    <w:p w14:paraId="048DE67D">
      <w:pPr>
        <w:rPr>
          <w:rFonts w:hint="eastAsia" w:ascii="仿宋" w:hAnsi="仿宋" w:eastAsia="仿宋" w:cs="仿宋"/>
          <w:highlight w:val="none"/>
        </w:rPr>
      </w:pPr>
    </w:p>
    <w:p w14:paraId="52CFEE33">
      <w:pPr>
        <w:rPr>
          <w:rFonts w:hint="eastAsia" w:ascii="仿宋" w:hAnsi="仿宋" w:eastAsia="仿宋" w:cs="仿宋"/>
          <w:highlight w:val="none"/>
        </w:rPr>
      </w:pPr>
    </w:p>
    <w:p w14:paraId="0DF1FB7D">
      <w:pPr>
        <w:rPr>
          <w:rFonts w:hint="eastAsia" w:ascii="仿宋" w:hAnsi="仿宋" w:eastAsia="仿宋" w:cs="仿宋"/>
          <w:highlight w:val="none"/>
        </w:rPr>
      </w:pPr>
    </w:p>
    <w:p w14:paraId="17499F8A">
      <w:pPr>
        <w:rPr>
          <w:rFonts w:hint="eastAsia" w:ascii="仿宋" w:hAnsi="仿宋" w:eastAsia="仿宋" w:cs="仿宋"/>
          <w:highlight w:val="none"/>
        </w:rPr>
      </w:pPr>
    </w:p>
    <w:p w14:paraId="7E7A1C4A">
      <w:pPr>
        <w:rPr>
          <w:rFonts w:hint="eastAsia" w:ascii="仿宋" w:hAnsi="仿宋" w:eastAsia="仿宋" w:cs="仿宋"/>
          <w:highlight w:val="none"/>
        </w:rPr>
      </w:pPr>
    </w:p>
    <w:p w14:paraId="2D9C34B3">
      <w:pPr>
        <w:rPr>
          <w:rFonts w:hint="eastAsia" w:ascii="仿宋" w:hAnsi="仿宋" w:eastAsia="仿宋" w:cs="仿宋"/>
          <w:highlight w:val="none"/>
        </w:rPr>
      </w:pPr>
    </w:p>
    <w:p w14:paraId="5C9E8D91">
      <w:pPr>
        <w:rPr>
          <w:rFonts w:hint="eastAsia" w:ascii="仿宋" w:hAnsi="仿宋" w:eastAsia="仿宋" w:cs="仿宋"/>
          <w:highlight w:val="none"/>
        </w:rPr>
      </w:pPr>
    </w:p>
    <w:p w14:paraId="49A9EC03">
      <w:pPr>
        <w:rPr>
          <w:rFonts w:hint="eastAsia" w:ascii="仿宋" w:hAnsi="仿宋" w:eastAsia="仿宋" w:cs="仿宋"/>
          <w:highlight w:val="none"/>
        </w:rPr>
      </w:pPr>
    </w:p>
    <w:p w14:paraId="16CFFDFE">
      <w:pPr>
        <w:rPr>
          <w:rFonts w:hint="eastAsia" w:ascii="仿宋" w:hAnsi="仿宋" w:eastAsia="仿宋" w:cs="仿宋"/>
          <w:highlight w:val="none"/>
        </w:rPr>
      </w:pPr>
    </w:p>
    <w:p w14:paraId="444FB704">
      <w:pPr>
        <w:rPr>
          <w:rFonts w:hint="eastAsia" w:ascii="仿宋" w:hAnsi="仿宋" w:eastAsia="仿宋" w:cs="仿宋"/>
          <w:highlight w:val="none"/>
        </w:rPr>
      </w:pPr>
    </w:p>
    <w:p w14:paraId="412CE1B4">
      <w:pPr>
        <w:pStyle w:val="2"/>
        <w:rPr>
          <w:rFonts w:hint="eastAsia" w:ascii="仿宋" w:hAnsi="仿宋" w:eastAsia="仿宋" w:cs="仿宋"/>
          <w:b/>
          <w:bCs/>
          <w:sz w:val="44"/>
          <w:szCs w:val="44"/>
          <w:highlight w:val="none"/>
        </w:rPr>
        <w:sectPr>
          <w:footerReference r:id="rId4" w:type="default"/>
          <w:pgSz w:w="11906" w:h="16838"/>
          <w:pgMar w:top="1191" w:right="1587" w:bottom="1191" w:left="1366" w:header="850" w:footer="907" w:gutter="0"/>
          <w:pgNumType w:start="1"/>
          <w:cols w:space="0" w:num="1"/>
          <w:docGrid w:linePitch="360" w:charSpace="0"/>
        </w:sectPr>
      </w:pPr>
    </w:p>
    <w:p w14:paraId="71DB9AA4">
      <w:pPr>
        <w:pStyle w:val="2"/>
        <w:rPr>
          <w:rFonts w:hint="eastAsia" w:ascii="仿宋" w:hAnsi="仿宋" w:eastAsia="仿宋" w:cs="仿宋"/>
          <w:b/>
          <w:bCs/>
          <w:sz w:val="44"/>
          <w:szCs w:val="44"/>
          <w:highlight w:val="none"/>
        </w:rPr>
      </w:pPr>
      <w:bookmarkStart w:id="6" w:name="_Toc186493267"/>
      <w:r>
        <w:rPr>
          <w:rFonts w:hint="eastAsia" w:ascii="仿宋" w:hAnsi="仿宋" w:eastAsia="仿宋" w:cs="仿宋"/>
          <w:b/>
          <w:bCs/>
          <w:sz w:val="44"/>
          <w:szCs w:val="44"/>
          <w:highlight w:val="none"/>
        </w:rPr>
        <w:t xml:space="preserve">第一章  </w:t>
      </w:r>
      <w:bookmarkEnd w:id="0"/>
      <w:r>
        <w:rPr>
          <w:rFonts w:hint="eastAsia" w:ascii="仿宋" w:hAnsi="仿宋" w:eastAsia="仿宋" w:cs="仿宋"/>
          <w:b/>
          <w:bCs/>
          <w:sz w:val="44"/>
          <w:szCs w:val="44"/>
          <w:highlight w:val="none"/>
        </w:rPr>
        <w:t>投标邀请</w:t>
      </w:r>
      <w:bookmarkEnd w:id="6"/>
    </w:p>
    <w:p w14:paraId="10C88722">
      <w:pPr>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受如东县大豫镇人民政府的委托，就如东县大豫镇环境卫生长效管护服务项目（重新招标）【项目编号：</w:t>
      </w:r>
      <w:r>
        <w:rPr>
          <w:rFonts w:hint="eastAsia" w:ascii="仿宋" w:hAnsi="仿宋" w:eastAsia="仿宋" w:cs="仿宋"/>
          <w:sz w:val="24"/>
          <w:szCs w:val="24"/>
          <w:highlight w:val="none"/>
          <w:lang w:eastAsia="zh-CN"/>
        </w:rPr>
        <w:t>JSZC-320623-NTCJ-G2026-0021</w:t>
      </w:r>
      <w:r>
        <w:rPr>
          <w:rFonts w:hint="eastAsia" w:ascii="仿宋" w:hAnsi="仿宋" w:eastAsia="仿宋" w:cs="仿宋"/>
          <w:sz w:val="24"/>
          <w:szCs w:val="24"/>
          <w:highlight w:val="none"/>
        </w:rPr>
        <w:t xml:space="preserve"> 】进行公开招标采购，欢迎符合条件的供应商投标。</w:t>
      </w:r>
    </w:p>
    <w:p w14:paraId="77F4D912">
      <w:pPr>
        <w:pBdr>
          <w:top w:val="single" w:color="auto" w:sz="4" w:space="1"/>
          <w:left w:val="single" w:color="auto" w:sz="4" w:space="4"/>
          <w:bottom w:val="single" w:color="auto" w:sz="4" w:space="1"/>
          <w:right w:val="single" w:color="auto" w:sz="4" w:space="4"/>
        </w:pBdr>
        <w:rPr>
          <w:rFonts w:hint="eastAsia" w:ascii="仿宋" w:hAnsi="仿宋" w:eastAsia="仿宋" w:cs="仿宋"/>
          <w:sz w:val="24"/>
          <w:szCs w:val="24"/>
          <w:highlight w:val="none"/>
        </w:rPr>
      </w:pPr>
      <w:r>
        <w:rPr>
          <w:rFonts w:hint="eastAsia" w:ascii="仿宋" w:hAnsi="仿宋" w:eastAsia="仿宋" w:cs="仿宋"/>
          <w:sz w:val="24"/>
          <w:szCs w:val="24"/>
          <w:highlight w:val="none"/>
        </w:rPr>
        <w:t>项目概况</w:t>
      </w:r>
    </w:p>
    <w:p w14:paraId="073890D0">
      <w:pPr>
        <w:pBdr>
          <w:top w:val="single" w:color="auto" w:sz="4" w:space="1"/>
          <w:left w:val="single" w:color="auto" w:sz="4" w:space="4"/>
          <w:bottom w:val="single" w:color="auto" w:sz="4" w:space="1"/>
          <w:right w:val="single" w:color="auto" w:sz="4" w:space="4"/>
        </w:pBdr>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如东县大豫镇环境卫生长效管护服务项目（重新招标）招标的潜在投标供应商可在</w:t>
      </w:r>
      <w:r>
        <w:rPr>
          <w:rFonts w:hint="eastAsia" w:ascii="仿宋" w:hAnsi="仿宋" w:eastAsia="仿宋" w:cs="仿宋"/>
          <w:sz w:val="24"/>
          <w:szCs w:val="24"/>
          <w:highlight w:val="none"/>
          <w:u w:val="single"/>
        </w:rPr>
        <w:t>“江苏政府采购网”自行免费下载</w:t>
      </w:r>
      <w:r>
        <w:rPr>
          <w:rFonts w:hint="eastAsia" w:ascii="仿宋" w:hAnsi="仿宋" w:eastAsia="仿宋" w:cs="仿宋"/>
          <w:sz w:val="24"/>
          <w:szCs w:val="24"/>
          <w:highlight w:val="none"/>
        </w:rPr>
        <w:t>招标文件，并于</w:t>
      </w:r>
      <w:r>
        <w:rPr>
          <w:rFonts w:hint="eastAsia" w:ascii="仿宋" w:hAnsi="仿宋" w:eastAsia="仿宋" w:cs="仿宋"/>
          <w:sz w:val="24"/>
          <w:szCs w:val="24"/>
          <w:highlight w:val="none"/>
          <w:u w:val="single"/>
        </w:rPr>
        <w:t>2026年</w:t>
      </w:r>
      <w:r>
        <w:rPr>
          <w:rFonts w:hint="eastAsia" w:ascii="仿宋" w:hAnsi="仿宋" w:eastAsia="仿宋" w:cs="仿宋"/>
          <w:sz w:val="24"/>
          <w:szCs w:val="24"/>
          <w:highlight w:val="none"/>
          <w:u w:val="single"/>
          <w:lang w:val="en-US" w:eastAsia="zh-CN"/>
        </w:rPr>
        <w:t>10月20日</w:t>
      </w:r>
      <w:r>
        <w:rPr>
          <w:rFonts w:hint="eastAsia" w:ascii="仿宋" w:hAnsi="仿宋" w:eastAsia="仿宋" w:cs="仿宋"/>
          <w:bCs/>
          <w:sz w:val="24"/>
          <w:szCs w:val="24"/>
          <w:highlight w:val="none"/>
          <w:u w:val="single"/>
        </w:rPr>
        <w:t>上午9点00分</w:t>
      </w:r>
      <w:r>
        <w:rPr>
          <w:rFonts w:hint="eastAsia" w:ascii="仿宋" w:hAnsi="仿宋" w:eastAsia="仿宋" w:cs="仿宋"/>
          <w:bCs/>
          <w:sz w:val="24"/>
          <w:szCs w:val="24"/>
          <w:highlight w:val="none"/>
        </w:rPr>
        <w:t>（北京时间）前递交投标文件</w:t>
      </w:r>
      <w:r>
        <w:rPr>
          <w:rFonts w:hint="eastAsia" w:ascii="仿宋" w:hAnsi="仿宋" w:eastAsia="仿宋" w:cs="仿宋"/>
          <w:sz w:val="24"/>
          <w:szCs w:val="24"/>
          <w:highlight w:val="none"/>
        </w:rPr>
        <w:t>。</w:t>
      </w:r>
    </w:p>
    <w:p w14:paraId="2018260D">
      <w:pPr>
        <w:spacing w:line="480" w:lineRule="exact"/>
        <w:rPr>
          <w:rFonts w:hint="eastAsia" w:ascii="仿宋" w:hAnsi="仿宋" w:eastAsia="仿宋" w:cs="仿宋"/>
          <w:b/>
          <w:bCs/>
          <w:sz w:val="32"/>
          <w:szCs w:val="32"/>
          <w:highlight w:val="none"/>
        </w:rPr>
      </w:pPr>
      <w:bookmarkStart w:id="7" w:name="_Toc35393790"/>
      <w:bookmarkStart w:id="8" w:name="_Toc28359079"/>
      <w:bookmarkStart w:id="9" w:name="_Toc35393621"/>
      <w:bookmarkStart w:id="10" w:name="_Toc28359002"/>
      <w:bookmarkStart w:id="11" w:name="_Toc38985263"/>
      <w:bookmarkStart w:id="12" w:name="_Hlk24379207"/>
      <w:r>
        <w:rPr>
          <w:rFonts w:hint="eastAsia" w:ascii="仿宋" w:hAnsi="仿宋" w:eastAsia="仿宋" w:cs="仿宋"/>
          <w:b/>
          <w:bCs/>
          <w:sz w:val="32"/>
          <w:szCs w:val="32"/>
          <w:highlight w:val="none"/>
        </w:rPr>
        <w:t>一、项目基本情况</w:t>
      </w:r>
      <w:bookmarkEnd w:id="7"/>
      <w:bookmarkEnd w:id="8"/>
      <w:bookmarkEnd w:id="9"/>
      <w:bookmarkEnd w:id="10"/>
      <w:bookmarkEnd w:id="11"/>
    </w:p>
    <w:p w14:paraId="597873D3">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1.项目编号：</w:t>
      </w:r>
      <w:r>
        <w:rPr>
          <w:rFonts w:hint="eastAsia" w:ascii="仿宋" w:hAnsi="仿宋" w:eastAsia="仿宋" w:cs="仿宋"/>
          <w:sz w:val="24"/>
          <w:szCs w:val="24"/>
          <w:highlight w:val="none"/>
          <w:lang w:eastAsia="zh-CN"/>
        </w:rPr>
        <w:t>JSZC-320623-NTCJ-G2026-0021</w:t>
      </w:r>
      <w:r>
        <w:rPr>
          <w:rFonts w:hint="eastAsia" w:ascii="仿宋" w:hAnsi="仿宋" w:eastAsia="仿宋" w:cs="仿宋"/>
          <w:sz w:val="24"/>
          <w:szCs w:val="24"/>
          <w:highlight w:val="none"/>
        </w:rPr>
        <w:t xml:space="preserve">  </w:t>
      </w:r>
      <w:r>
        <w:rPr>
          <w:rFonts w:hint="eastAsia" w:ascii="Arial" w:hAnsi="Arial" w:cs="Arial"/>
          <w:sz w:val="22"/>
          <w:highlight w:val="none"/>
        </w:rPr>
        <w:t xml:space="preserve"> </w:t>
      </w:r>
    </w:p>
    <w:p w14:paraId="7D003AD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2.项目名称：</w:t>
      </w:r>
      <w:bookmarkEnd w:id="12"/>
      <w:r>
        <w:rPr>
          <w:rFonts w:hint="eastAsia" w:ascii="仿宋" w:hAnsi="仿宋" w:eastAsia="仿宋" w:cs="仿宋"/>
          <w:sz w:val="24"/>
          <w:szCs w:val="24"/>
          <w:highlight w:val="none"/>
        </w:rPr>
        <w:t>如东县大豫镇环境卫生长效管护服务项目（重新招标）</w:t>
      </w:r>
    </w:p>
    <w:p w14:paraId="0CDE5E7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3.采购方式：公开招标</w:t>
      </w:r>
    </w:p>
    <w:p w14:paraId="49DAC795">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4.项目类型：服务</w:t>
      </w:r>
    </w:p>
    <w:p w14:paraId="69277C7D">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5.所属行业：其他未列明行业</w:t>
      </w:r>
    </w:p>
    <w:p w14:paraId="2ADFADB0">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6.预算金额：</w:t>
      </w:r>
    </w:p>
    <w:tbl>
      <w:tblPr>
        <w:tblStyle w:val="36"/>
        <w:tblW w:w="0" w:type="auto"/>
        <w:tblInd w:w="5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48"/>
        <w:gridCol w:w="3460"/>
        <w:gridCol w:w="3460"/>
      </w:tblGrid>
      <w:tr w14:paraId="2F135B3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62171074">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分包号</w:t>
            </w:r>
          </w:p>
        </w:tc>
        <w:tc>
          <w:tcPr>
            <w:tcW w:w="3460" w:type="dxa"/>
          </w:tcPr>
          <w:p w14:paraId="29DF11FA">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预算金额（人民币：万元/年）</w:t>
            </w:r>
          </w:p>
        </w:tc>
        <w:tc>
          <w:tcPr>
            <w:tcW w:w="3460" w:type="dxa"/>
          </w:tcPr>
          <w:p w14:paraId="6DC16382">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三年预算金额（万元）</w:t>
            </w:r>
          </w:p>
        </w:tc>
      </w:tr>
      <w:tr w14:paraId="33868051">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48" w:type="dxa"/>
          </w:tcPr>
          <w:p w14:paraId="149E9FCD">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3460" w:type="dxa"/>
          </w:tcPr>
          <w:p w14:paraId="24654102">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1253.85</w:t>
            </w:r>
          </w:p>
        </w:tc>
        <w:tc>
          <w:tcPr>
            <w:tcW w:w="3460" w:type="dxa"/>
          </w:tcPr>
          <w:p w14:paraId="5B7BB2C8">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3761.55</w:t>
            </w:r>
          </w:p>
        </w:tc>
      </w:tr>
    </w:tbl>
    <w:p w14:paraId="49F57F36">
      <w:pPr>
        <w:spacing w:line="480" w:lineRule="exact"/>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最高限价：</w:t>
      </w:r>
    </w:p>
    <w:tbl>
      <w:tblPr>
        <w:tblStyle w:val="36"/>
        <w:tblW w:w="0" w:type="auto"/>
        <w:tblInd w:w="57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76"/>
        <w:gridCol w:w="2021"/>
        <w:gridCol w:w="2078"/>
        <w:gridCol w:w="2811"/>
      </w:tblGrid>
      <w:tr w14:paraId="6039A886">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6A1E2803">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分包号</w:t>
            </w:r>
          </w:p>
        </w:tc>
        <w:tc>
          <w:tcPr>
            <w:tcW w:w="2021" w:type="dxa"/>
            <w:vAlign w:val="center"/>
          </w:tcPr>
          <w:p w14:paraId="21F1DC6D">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是否设定最高限价（是/否）</w:t>
            </w:r>
          </w:p>
        </w:tc>
        <w:tc>
          <w:tcPr>
            <w:tcW w:w="2078" w:type="dxa"/>
            <w:vAlign w:val="center"/>
          </w:tcPr>
          <w:p w14:paraId="56A1F333">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最高限价（人民币：万元/年）</w:t>
            </w:r>
          </w:p>
        </w:tc>
        <w:tc>
          <w:tcPr>
            <w:tcW w:w="2811" w:type="dxa"/>
            <w:vAlign w:val="center"/>
          </w:tcPr>
          <w:p w14:paraId="1DFBCECF">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三年最高限价（人民币：万元）</w:t>
            </w:r>
          </w:p>
        </w:tc>
      </w:tr>
      <w:tr w14:paraId="2FD241E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76" w:type="dxa"/>
            <w:vAlign w:val="center"/>
          </w:tcPr>
          <w:p w14:paraId="1F0307E8">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2021" w:type="dxa"/>
            <w:vAlign w:val="center"/>
          </w:tcPr>
          <w:p w14:paraId="5252FFFC">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是</w:t>
            </w:r>
          </w:p>
        </w:tc>
        <w:tc>
          <w:tcPr>
            <w:tcW w:w="2078" w:type="dxa"/>
            <w:vAlign w:val="center"/>
          </w:tcPr>
          <w:p w14:paraId="553342EF">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1103.388</w:t>
            </w:r>
          </w:p>
        </w:tc>
        <w:tc>
          <w:tcPr>
            <w:tcW w:w="2811" w:type="dxa"/>
            <w:vAlign w:val="center"/>
          </w:tcPr>
          <w:p w14:paraId="2A9BA33E">
            <w:pPr>
              <w:spacing w:line="48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3310.164</w:t>
            </w:r>
          </w:p>
        </w:tc>
      </w:tr>
    </w:tbl>
    <w:p w14:paraId="30367C6E">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7.采购需求（简介）：详细内容见本招标文件第四章。</w:t>
      </w:r>
    </w:p>
    <w:p w14:paraId="35504F12">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8.合同履行期限:三年，自合同签订之日起三年。</w:t>
      </w:r>
    </w:p>
    <w:p w14:paraId="64F62779">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9.本项目（是/否）接受联合体投标：否。</w:t>
      </w:r>
    </w:p>
    <w:p w14:paraId="5255472A">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10.本项目是否接受分包：否。</w:t>
      </w:r>
    </w:p>
    <w:p w14:paraId="2C97F9EA">
      <w:pPr>
        <w:spacing w:line="480" w:lineRule="exact"/>
        <w:rPr>
          <w:rFonts w:hint="eastAsia" w:ascii="仿宋" w:hAnsi="仿宋" w:eastAsia="仿宋" w:cs="仿宋"/>
          <w:b/>
          <w:bCs/>
          <w:sz w:val="32"/>
          <w:szCs w:val="32"/>
          <w:highlight w:val="none"/>
        </w:rPr>
      </w:pPr>
      <w:bookmarkStart w:id="13" w:name="_Toc28359080"/>
      <w:bookmarkStart w:id="14" w:name="_Toc38985264"/>
      <w:bookmarkStart w:id="15" w:name="_Toc35393622"/>
      <w:bookmarkStart w:id="16" w:name="_Toc35393791"/>
      <w:bookmarkStart w:id="17" w:name="_Toc28359003"/>
      <w:r>
        <w:rPr>
          <w:rFonts w:hint="eastAsia" w:ascii="仿宋" w:hAnsi="仿宋" w:eastAsia="仿宋" w:cs="仿宋"/>
          <w:b/>
          <w:bCs/>
          <w:sz w:val="32"/>
          <w:szCs w:val="32"/>
          <w:highlight w:val="none"/>
        </w:rPr>
        <w:t>二、申请人的资格要求：</w:t>
      </w:r>
      <w:bookmarkEnd w:id="13"/>
      <w:bookmarkEnd w:id="14"/>
      <w:bookmarkEnd w:id="15"/>
      <w:bookmarkEnd w:id="16"/>
      <w:bookmarkEnd w:id="17"/>
    </w:p>
    <w:p w14:paraId="5D5B4FD0">
      <w:pPr>
        <w:spacing w:line="480" w:lineRule="exact"/>
        <w:ind w:firstLine="480"/>
        <w:rPr>
          <w:rFonts w:hint="eastAsia" w:ascii="仿宋" w:hAnsi="仿宋" w:eastAsia="仿宋" w:cs="仿宋"/>
          <w:sz w:val="24"/>
          <w:szCs w:val="24"/>
          <w:highlight w:val="none"/>
        </w:rPr>
      </w:pPr>
      <w:bookmarkStart w:id="18" w:name="_Toc28359004"/>
      <w:bookmarkStart w:id="19" w:name="_Toc35393623"/>
      <w:bookmarkStart w:id="20" w:name="_Toc35393792"/>
      <w:bookmarkStart w:id="21" w:name="_Toc38985265"/>
      <w:bookmarkStart w:id="22" w:name="_Toc28359081"/>
      <w:r>
        <w:rPr>
          <w:rFonts w:hint="eastAsia" w:ascii="仿宋" w:hAnsi="仿宋" w:eastAsia="仿宋" w:cs="仿宋"/>
          <w:sz w:val="24"/>
          <w:szCs w:val="24"/>
          <w:highlight w:val="none"/>
        </w:rPr>
        <w:t>（一）通用资格要求</w:t>
      </w:r>
    </w:p>
    <w:p w14:paraId="1311B52F">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1.满足《中华人民共和国政府采购法》第二十二条规定；（按附件3格式进行声明，投标文件中无需提供其他证明材料）；</w:t>
      </w:r>
    </w:p>
    <w:p w14:paraId="29607EA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在“信用中国”网站（www.creditchina.gov.cn）查询，无被列入失信被执行人、重大税收违法案件当事人名单、政府采购严重失信行为记录名单及其他不符合《中华人民共和国政府采购法》第二十二条规定条件的信用记录。（投标文件中无需提供证明材料）。</w:t>
      </w:r>
    </w:p>
    <w:p w14:paraId="75E79772">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 落实政府采购政策需满足的资格要求：</w:t>
      </w:r>
      <w:r>
        <w:rPr>
          <w:rFonts w:hint="eastAsia" w:ascii="仿宋" w:hAnsi="仿宋" w:eastAsia="仿宋" w:cs="仿宋"/>
          <w:sz w:val="24"/>
          <w:szCs w:val="24"/>
          <w:highlight w:val="none"/>
          <w:lang w:val="en-US" w:eastAsia="zh-CN"/>
        </w:rPr>
        <w:t>无</w:t>
      </w:r>
      <w:r>
        <w:rPr>
          <w:rFonts w:hint="eastAsia" w:ascii="仿宋" w:hAnsi="仿宋" w:eastAsia="仿宋" w:cs="仿宋"/>
          <w:sz w:val="24"/>
          <w:szCs w:val="24"/>
          <w:highlight w:val="none"/>
        </w:rPr>
        <w:t>。</w:t>
      </w:r>
    </w:p>
    <w:p w14:paraId="50A9D4E4">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（二）本项目的特定资格要求：无。</w:t>
      </w:r>
    </w:p>
    <w:p w14:paraId="1E591F00">
      <w:pPr>
        <w:spacing w:line="480" w:lineRule="exac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三、获取招标文件</w:t>
      </w:r>
      <w:bookmarkEnd w:id="18"/>
      <w:bookmarkEnd w:id="19"/>
      <w:bookmarkEnd w:id="20"/>
      <w:bookmarkEnd w:id="21"/>
      <w:bookmarkEnd w:id="22"/>
    </w:p>
    <w:p w14:paraId="5C06F341">
      <w:pPr>
        <w:spacing w:line="480" w:lineRule="exact"/>
        <w:ind w:firstLine="480"/>
        <w:rPr>
          <w:rFonts w:hint="eastAsia" w:ascii="仿宋" w:hAnsi="仿宋" w:eastAsia="仿宋" w:cs="仿宋"/>
          <w:sz w:val="24"/>
          <w:szCs w:val="24"/>
          <w:highlight w:val="none"/>
        </w:rPr>
      </w:pPr>
      <w:bookmarkStart w:id="23" w:name="_Toc28359082"/>
      <w:bookmarkStart w:id="24" w:name="_Toc28359005"/>
      <w:bookmarkStart w:id="25" w:name="_Toc35393624"/>
      <w:bookmarkStart w:id="26" w:name="_Toc38985266"/>
      <w:bookmarkStart w:id="27" w:name="_Toc35393793"/>
      <w:r>
        <w:rPr>
          <w:rFonts w:hint="eastAsia" w:ascii="仿宋" w:hAnsi="仿宋" w:eastAsia="仿宋" w:cs="仿宋"/>
          <w:sz w:val="24"/>
          <w:szCs w:val="24"/>
          <w:highlight w:val="none"/>
        </w:rPr>
        <w:t>1.时间：</w:t>
      </w:r>
      <w:r>
        <w:rPr>
          <w:rFonts w:hint="eastAsia" w:ascii="仿宋" w:hAnsi="仿宋" w:eastAsia="仿宋" w:cs="仿宋"/>
          <w:sz w:val="24"/>
          <w:highlight w:val="none"/>
        </w:rPr>
        <w:t>自采购公告发布之日</w:t>
      </w:r>
      <w:r>
        <w:rPr>
          <w:rFonts w:hint="eastAsia" w:ascii="仿宋" w:hAnsi="仿宋" w:eastAsia="仿宋" w:cs="仿宋"/>
          <w:sz w:val="24"/>
          <w:szCs w:val="24"/>
          <w:highlight w:val="none"/>
          <w:lang w:val="en-US" w:eastAsia="zh-CN"/>
        </w:rPr>
        <w:t>起5个工作日</w:t>
      </w:r>
      <w:r>
        <w:rPr>
          <w:rFonts w:hint="eastAsia" w:ascii="仿宋" w:hAnsi="仿宋" w:eastAsia="仿宋" w:cs="仿宋"/>
          <w:sz w:val="24"/>
          <w:szCs w:val="24"/>
          <w:highlight w:val="none"/>
        </w:rPr>
        <w:t>（北京时间）</w:t>
      </w:r>
    </w:p>
    <w:p w14:paraId="11AEDD8E">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2.地点：“江苏政府采购网”</w:t>
      </w:r>
    </w:p>
    <w:p w14:paraId="7C765B5C">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3.方式：凡有意参与投标的供应商须登录江苏政府采购网首页点击“苏采云”→通过CA锁进行响应确认，并自行在招标文件有效获取期内及时下载获取。</w:t>
      </w:r>
    </w:p>
    <w:p w14:paraId="639BE343">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4.售价：免费</w:t>
      </w:r>
    </w:p>
    <w:p w14:paraId="6E6A7181">
      <w:pPr>
        <w:spacing w:line="480" w:lineRule="exac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四、提交投标文件</w:t>
      </w:r>
      <w:bookmarkEnd w:id="23"/>
      <w:bookmarkEnd w:id="24"/>
      <w:r>
        <w:rPr>
          <w:rFonts w:hint="eastAsia" w:ascii="仿宋" w:hAnsi="仿宋" w:eastAsia="仿宋" w:cs="仿宋"/>
          <w:b/>
          <w:bCs/>
          <w:sz w:val="32"/>
          <w:szCs w:val="32"/>
          <w:highlight w:val="none"/>
        </w:rPr>
        <w:t>截止时间、开标时间和地点</w:t>
      </w:r>
      <w:bookmarkEnd w:id="25"/>
      <w:bookmarkEnd w:id="26"/>
      <w:bookmarkEnd w:id="27"/>
    </w:p>
    <w:p w14:paraId="04915ED9">
      <w:pPr>
        <w:spacing w:line="480" w:lineRule="exact"/>
        <w:ind w:firstLine="480"/>
        <w:rPr>
          <w:rFonts w:hint="eastAsia" w:ascii="仿宋" w:hAnsi="仿宋" w:eastAsia="仿宋" w:cs="仿宋"/>
          <w:sz w:val="24"/>
          <w:szCs w:val="24"/>
          <w:highlight w:val="none"/>
        </w:rPr>
      </w:pPr>
      <w:bookmarkStart w:id="28" w:name="_Toc28359084"/>
      <w:bookmarkStart w:id="29" w:name="_Toc38985267"/>
      <w:bookmarkStart w:id="30" w:name="_Toc28359007"/>
      <w:bookmarkStart w:id="31" w:name="_Toc35393625"/>
      <w:bookmarkStart w:id="32" w:name="_Toc35393794"/>
      <w:r>
        <w:rPr>
          <w:rFonts w:hint="eastAsia" w:ascii="仿宋" w:hAnsi="仿宋" w:eastAsia="仿宋" w:cs="仿宋"/>
          <w:bCs/>
          <w:sz w:val="24"/>
          <w:szCs w:val="24"/>
          <w:highlight w:val="none"/>
        </w:rPr>
        <w:t>1.提交投标文件截止时间、开标时间：</w:t>
      </w:r>
      <w:r>
        <w:rPr>
          <w:rFonts w:hint="eastAsia" w:ascii="仿宋" w:hAnsi="仿宋" w:eastAsia="仿宋" w:cs="仿宋"/>
          <w:sz w:val="24"/>
          <w:szCs w:val="24"/>
          <w:highlight w:val="none"/>
          <w:u w:val="single"/>
        </w:rPr>
        <w:t>2026年</w:t>
      </w:r>
      <w:r>
        <w:rPr>
          <w:rFonts w:hint="eastAsia" w:ascii="仿宋" w:hAnsi="仿宋" w:eastAsia="仿宋" w:cs="仿宋"/>
          <w:sz w:val="24"/>
          <w:szCs w:val="24"/>
          <w:highlight w:val="none"/>
          <w:u w:val="single"/>
          <w:lang w:val="en-US" w:eastAsia="zh-CN"/>
        </w:rPr>
        <w:t>10月20日</w:t>
      </w:r>
      <w:r>
        <w:rPr>
          <w:rFonts w:hint="eastAsia" w:ascii="仿宋" w:hAnsi="仿宋" w:eastAsia="仿宋" w:cs="仿宋"/>
          <w:bCs/>
          <w:sz w:val="24"/>
          <w:szCs w:val="24"/>
          <w:highlight w:val="none"/>
          <w:u w:val="single"/>
        </w:rPr>
        <w:t>上午9点00分</w:t>
      </w:r>
      <w:r>
        <w:rPr>
          <w:rFonts w:hint="eastAsia" w:ascii="仿宋" w:hAnsi="仿宋" w:eastAsia="仿宋" w:cs="仿宋"/>
          <w:sz w:val="24"/>
          <w:szCs w:val="24"/>
          <w:highlight w:val="none"/>
        </w:rPr>
        <w:t>（北京时间），逾时，系统将拒绝接受上传投标文件电子文档。</w:t>
      </w:r>
    </w:p>
    <w:p w14:paraId="57F05D6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2.地点：“苏采云”政府采购一体化平台。</w:t>
      </w:r>
    </w:p>
    <w:p w14:paraId="3B3C4FEC">
      <w:pPr>
        <w:spacing w:line="480" w:lineRule="exac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五、公告期限</w:t>
      </w:r>
      <w:bookmarkEnd w:id="28"/>
      <w:bookmarkEnd w:id="29"/>
      <w:bookmarkEnd w:id="30"/>
      <w:bookmarkEnd w:id="31"/>
      <w:bookmarkEnd w:id="32"/>
    </w:p>
    <w:p w14:paraId="13D2F537">
      <w:pPr>
        <w:spacing w:line="480" w:lineRule="exact"/>
        <w:ind w:firstLine="480"/>
        <w:rPr>
          <w:rFonts w:hint="eastAsia" w:ascii="仿宋" w:hAnsi="仿宋" w:eastAsia="仿宋" w:cs="仿宋"/>
          <w:sz w:val="24"/>
          <w:szCs w:val="24"/>
          <w:highlight w:val="none"/>
        </w:rPr>
      </w:pPr>
      <w:bookmarkStart w:id="33" w:name="_Toc38985268"/>
      <w:bookmarkStart w:id="34" w:name="_Toc35393795"/>
      <w:bookmarkStart w:id="35" w:name="_Toc35393626"/>
      <w:r>
        <w:rPr>
          <w:rFonts w:hint="eastAsia" w:ascii="仿宋" w:hAnsi="仿宋" w:eastAsia="仿宋" w:cs="仿宋"/>
          <w:sz w:val="24"/>
          <w:szCs w:val="24"/>
          <w:highlight w:val="none"/>
        </w:rPr>
        <w:t>自本公告发布之日起5个工作日。</w:t>
      </w:r>
    </w:p>
    <w:p w14:paraId="1F1608B6">
      <w:pPr>
        <w:spacing w:line="480" w:lineRule="exac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六、其他补充事宜</w:t>
      </w:r>
      <w:bookmarkEnd w:id="33"/>
      <w:bookmarkEnd w:id="34"/>
      <w:bookmarkEnd w:id="35"/>
    </w:p>
    <w:p w14:paraId="2B58FDC4">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1.项目开标活动模式：不见面远程开标模式</w:t>
      </w:r>
    </w:p>
    <w:p w14:paraId="100C2544">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投标供应商（含潜在投标供应商）对采购方式、招标文件中项目需求、供应商资格条件、评标方法和评标标准、资格审查部分、合同文本等应当由采购人答复的质疑，请向采购人提出，由采购人负责答复。投标供应商对其他事项的质疑，请向代理机构提出，由代理机构负责答复。对在“苏采云”系统操作阶段的询问请向交易系统软件维护人员提出。</w:t>
      </w:r>
    </w:p>
    <w:p w14:paraId="3CFE6C1C">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投标供应商应依照规定提交各类声明函、承诺函，不再同时提供原件备查或提供有关部门出具的相关证明文件。但中标人应做好提交声明函、承诺函相应原件的核查准备；核查后发现虚假或违背承诺的，依照相关法律法规规定处理。</w:t>
      </w:r>
    </w:p>
    <w:p w14:paraId="07862FD0">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开标当天投标供应商应及时登录“苏采云”政府采购一体化平台，并在规定时间内自行实施远程解密。投标供应商解密时间限定为投标文件解密指令发出后30分钟（投标供应商应当充分考虑网络延时造成的本地网络计时不一致风险，提前完成解密动作）。投标供应商因网络、电源、浏览器不稳定、未按要求配置软硬件环境，解密锁用错或其他物理故障、操作熟练程度等自身原因，导致投标文件在规定时间内未能解密、解密失败或解密超时，相应责任由投标供应商自行承担；因采购人原因或网上招投标平台发生故障，导致无法按时完成投标文件解密或开、评标工作无法进行的，可根据实际情况相应延迟解密时间或调整开、评标时间。</w:t>
      </w:r>
    </w:p>
    <w:p w14:paraId="41E4F689">
      <w:pPr>
        <w:spacing w:line="480" w:lineRule="exact"/>
        <w:rPr>
          <w:rFonts w:hint="eastAsia" w:ascii="仿宋" w:hAnsi="仿宋" w:eastAsia="仿宋" w:cs="仿宋"/>
          <w:b/>
          <w:bCs/>
          <w:sz w:val="32"/>
          <w:szCs w:val="32"/>
          <w:highlight w:val="none"/>
        </w:rPr>
      </w:pPr>
      <w:bookmarkStart w:id="36" w:name="_Toc35393796"/>
      <w:bookmarkStart w:id="37" w:name="_Toc38985269"/>
      <w:bookmarkStart w:id="38" w:name="_Toc28359008"/>
      <w:bookmarkStart w:id="39" w:name="_Toc35393627"/>
      <w:bookmarkStart w:id="40" w:name="_Toc28359085"/>
      <w:r>
        <w:rPr>
          <w:rFonts w:hint="eastAsia" w:ascii="仿宋" w:hAnsi="仿宋" w:eastAsia="仿宋" w:cs="仿宋"/>
          <w:b/>
          <w:bCs/>
          <w:sz w:val="32"/>
          <w:szCs w:val="32"/>
          <w:highlight w:val="none"/>
        </w:rPr>
        <w:t>七、</w:t>
      </w:r>
      <w:bookmarkEnd w:id="36"/>
      <w:bookmarkEnd w:id="37"/>
      <w:bookmarkEnd w:id="38"/>
      <w:bookmarkEnd w:id="39"/>
      <w:bookmarkEnd w:id="40"/>
      <w:r>
        <w:rPr>
          <w:rFonts w:hint="eastAsia" w:ascii="仿宋" w:hAnsi="仿宋" w:eastAsia="仿宋" w:cs="仿宋"/>
          <w:b/>
          <w:bCs/>
          <w:sz w:val="32"/>
          <w:szCs w:val="32"/>
          <w:highlight w:val="none"/>
        </w:rPr>
        <w:t>对本次招标提出询问，请按以下方式联系</w:t>
      </w:r>
    </w:p>
    <w:p w14:paraId="07D2B38D">
      <w:pPr>
        <w:spacing w:line="480" w:lineRule="exact"/>
        <w:ind w:firstLine="480"/>
        <w:rPr>
          <w:rFonts w:hint="eastAsia" w:ascii="仿宋" w:hAnsi="仿宋" w:eastAsia="仿宋" w:cs="仿宋"/>
          <w:sz w:val="24"/>
          <w:szCs w:val="24"/>
          <w:highlight w:val="none"/>
        </w:rPr>
      </w:pPr>
      <w:bookmarkStart w:id="41" w:name="_Toc28359010"/>
      <w:bookmarkStart w:id="42" w:name="_Toc28359087"/>
      <w:r>
        <w:rPr>
          <w:rFonts w:hint="eastAsia" w:ascii="仿宋" w:hAnsi="仿宋" w:eastAsia="仿宋" w:cs="仿宋"/>
          <w:sz w:val="24"/>
          <w:szCs w:val="24"/>
          <w:highlight w:val="none"/>
        </w:rPr>
        <w:t>1.采购人信息</w:t>
      </w:r>
    </w:p>
    <w:p w14:paraId="393ECA2A">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名称：如东县大豫镇人民政府</w:t>
      </w:r>
    </w:p>
    <w:p w14:paraId="38DE91F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地址：如东县大豫镇新兴路8号</w:t>
      </w:r>
    </w:p>
    <w:p w14:paraId="4D926900">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联系人：袁灵宁 </w:t>
      </w:r>
    </w:p>
    <w:p w14:paraId="04D30EA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联系方式：13506271595 </w:t>
      </w:r>
    </w:p>
    <w:p w14:paraId="2FE5D47E">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2.采购代理机构信息</w:t>
      </w:r>
    </w:p>
    <w:p w14:paraId="1F15A59D">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名称：南通城建工程项目管理有限公司</w:t>
      </w:r>
    </w:p>
    <w:p w14:paraId="1C7F489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地址：如东县长江路27号</w:t>
      </w:r>
    </w:p>
    <w:p w14:paraId="5A106015">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联系人：陈工</w:t>
      </w:r>
    </w:p>
    <w:p w14:paraId="4142EB4F">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联系方式：13404206005</w:t>
      </w:r>
    </w:p>
    <w:p w14:paraId="3F49FBD5">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3.项目联系方式</w:t>
      </w:r>
    </w:p>
    <w:p w14:paraId="144EF4D2">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项目联系人：袁灵宁 </w:t>
      </w:r>
    </w:p>
    <w:p w14:paraId="3412D8FB">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联系方式：13506271595  　</w:t>
      </w:r>
      <w:bookmarkEnd w:id="41"/>
      <w:bookmarkEnd w:id="42"/>
    </w:p>
    <w:p w14:paraId="521AF3F8">
      <w:pPr>
        <w:spacing w:line="480" w:lineRule="exact"/>
        <w:ind w:firstLine="480" w:firstLineChars="200"/>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4.软件维护人员</w:t>
      </w:r>
    </w:p>
    <w:p w14:paraId="6F0E4250">
      <w:pPr>
        <w:spacing w:line="480" w:lineRule="exact"/>
        <w:ind w:firstLine="480" w:firstLineChars="200"/>
        <w:rPr>
          <w:rFonts w:hint="eastAsia" w:ascii="仿宋" w:hAnsi="仿宋" w:eastAsia="仿宋" w:cs="仿宋"/>
          <w:b/>
          <w:bCs/>
          <w:sz w:val="32"/>
          <w:szCs w:val="32"/>
          <w:highlight w:val="none"/>
        </w:rPr>
      </w:pPr>
      <w:r>
        <w:rPr>
          <w:rFonts w:hint="eastAsia" w:ascii="仿宋" w:hAnsi="仿宋" w:eastAsia="仿宋" w:cs="仿宋"/>
          <w:color w:val="000000"/>
          <w:sz w:val="24"/>
          <w:szCs w:val="24"/>
          <w:highlight w:val="none"/>
        </w:rPr>
        <w:t xml:space="preserve">联系方式：0519-86722801、0519-86722806  </w:t>
      </w:r>
    </w:p>
    <w:p w14:paraId="1112F35F">
      <w:pPr>
        <w:spacing w:line="480" w:lineRule="exact"/>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八、其他</w:t>
      </w:r>
    </w:p>
    <w:p w14:paraId="1F0F442D">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 根据省财政厅《关于更换全省政府采购交易系统CA数字证书和电子签章的通知》（苏财购〔2023〕101号），“苏采云”政府采购交易系统（以下简称苏采云系统）的CA数字证书、电子签章已更换为江苏省电子政务证书认证中心CA和方正国际软件（北京）有限公司电子签章。如果投标供应商通过苏采云系统参与政府采购项目，需要更换CA数字证书和电子签章。具体详见《江苏省政府采购管理交易系统(苏采云)供应商操作指南》（以下简称《操作指南》），《操作指南》链接：</w:t>
      </w:r>
      <w:r>
        <w:rPr>
          <w:rFonts w:hint="eastAsia" w:ascii="仿宋" w:hAnsi="仿宋" w:eastAsia="仿宋" w:cs="仿宋"/>
          <w:bCs/>
          <w:sz w:val="24"/>
          <w:szCs w:val="24"/>
          <w:highlight w:val="none"/>
        </w:rPr>
        <w:t>http://www.ccgp-jiangsu.gov.cn/jiangsu/zlxz/ee/ee3a4bc5a3454aa2b0d9312230633ce9.html。</w:t>
      </w:r>
    </w:p>
    <w:p w14:paraId="27B742D3">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领取CA和办理电子签章请至南通市政务服务中心裙楼四楼CA办理窗口办理，详见《江苏省政府采购数字证书(供应商)CA及电子签章办理指南》），请及时进行注册并按要求制作、上传电子投标文件。</w:t>
      </w:r>
    </w:p>
    <w:p w14:paraId="3C8B4F4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2.有关本次招标的事项若存在变动或修改，敬请及时关注“江苏政府采购网”发布的更正公告。</w:t>
      </w:r>
    </w:p>
    <w:p w14:paraId="476D1A3A">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3.本次招标不收取投标保证金。</w:t>
      </w:r>
    </w:p>
    <w:p w14:paraId="3F940F31">
      <w:pPr>
        <w:ind w:right="840"/>
        <w:rPr>
          <w:highlight w:val="none"/>
        </w:rPr>
      </w:pPr>
      <w:bookmarkStart w:id="43" w:name="_Toc120614211"/>
    </w:p>
    <w:p w14:paraId="2E17A8C3">
      <w:pPr>
        <w:rPr>
          <w:rFonts w:hint="eastAsia" w:ascii="仿宋" w:hAnsi="仿宋" w:eastAsia="仿宋" w:cs="仿宋"/>
          <w:b/>
          <w:bCs/>
          <w:sz w:val="44"/>
          <w:szCs w:val="44"/>
          <w:highlight w:val="none"/>
        </w:rPr>
      </w:pPr>
      <w:bookmarkStart w:id="44" w:name="_Toc186493268"/>
      <w:r>
        <w:rPr>
          <w:rFonts w:hint="eastAsia" w:ascii="仿宋" w:hAnsi="仿宋" w:eastAsia="仿宋" w:cs="仿宋"/>
          <w:b/>
          <w:bCs/>
          <w:sz w:val="44"/>
          <w:szCs w:val="44"/>
          <w:highlight w:val="none"/>
        </w:rPr>
        <w:br w:type="page"/>
      </w:r>
    </w:p>
    <w:p w14:paraId="5CB21223">
      <w:pPr>
        <w:ind w:right="840"/>
        <w:jc w:val="center"/>
        <w:outlineLvl w:val="0"/>
        <w:rPr>
          <w:highlight w:val="none"/>
        </w:rPr>
      </w:pPr>
      <w:r>
        <w:rPr>
          <w:rFonts w:hint="eastAsia" w:ascii="仿宋" w:hAnsi="仿宋" w:eastAsia="仿宋" w:cs="仿宋"/>
          <w:b/>
          <w:bCs/>
          <w:sz w:val="44"/>
          <w:szCs w:val="44"/>
          <w:highlight w:val="none"/>
        </w:rPr>
        <w:t xml:space="preserve">  第二章  </w:t>
      </w:r>
      <w:bookmarkEnd w:id="1"/>
      <w:bookmarkEnd w:id="2"/>
      <w:bookmarkEnd w:id="3"/>
      <w:bookmarkEnd w:id="4"/>
      <w:bookmarkEnd w:id="5"/>
      <w:bookmarkEnd w:id="43"/>
      <w:bookmarkStart w:id="45" w:name="_Toc20823274"/>
      <w:bookmarkStart w:id="46" w:name="_Toc513029202"/>
      <w:bookmarkStart w:id="47" w:name="_Toc16938518"/>
      <w:bookmarkStart w:id="48" w:name="_Toc120614213"/>
      <w:r>
        <w:rPr>
          <w:rFonts w:hint="eastAsia" w:ascii="仿宋" w:hAnsi="仿宋" w:eastAsia="仿宋" w:cs="仿宋"/>
          <w:b/>
          <w:bCs/>
          <w:sz w:val="44"/>
          <w:szCs w:val="44"/>
          <w:highlight w:val="none"/>
        </w:rPr>
        <w:t>投标供应商须知</w:t>
      </w:r>
      <w:bookmarkEnd w:id="44"/>
      <w:bookmarkEnd w:id="45"/>
      <w:bookmarkEnd w:id="46"/>
      <w:bookmarkEnd w:id="47"/>
      <w:bookmarkEnd w:id="48"/>
    </w:p>
    <w:p w14:paraId="366EA5A0">
      <w:pPr>
        <w:keepNext/>
        <w:keepLines/>
        <w:spacing w:before="145" w:after="145" w:line="400" w:lineRule="exact"/>
        <w:outlineLvl w:val="1"/>
        <w:rPr>
          <w:rFonts w:hint="eastAsia" w:ascii="仿宋" w:hAnsi="仿宋" w:eastAsia="仿宋" w:cs="仿宋"/>
          <w:b/>
          <w:bCs/>
          <w:sz w:val="32"/>
          <w:szCs w:val="32"/>
          <w:highlight w:val="none"/>
        </w:rPr>
      </w:pPr>
      <w:bookmarkStart w:id="49" w:name="_Toc20823275"/>
      <w:bookmarkStart w:id="50" w:name="_Toc16938519"/>
      <w:bookmarkStart w:id="51" w:name="_Toc513029203"/>
      <w:bookmarkStart w:id="52" w:name="_Toc120614214"/>
      <w:r>
        <w:rPr>
          <w:rFonts w:hint="eastAsia" w:ascii="仿宋" w:hAnsi="仿宋" w:eastAsia="仿宋" w:cs="仿宋"/>
          <w:b/>
          <w:bCs/>
          <w:sz w:val="32"/>
          <w:szCs w:val="32"/>
          <w:highlight w:val="none"/>
        </w:rPr>
        <w:t>一、总则</w:t>
      </w:r>
      <w:bookmarkEnd w:id="49"/>
      <w:bookmarkEnd w:id="50"/>
      <w:bookmarkEnd w:id="51"/>
      <w:bookmarkEnd w:id="52"/>
    </w:p>
    <w:p w14:paraId="4DD4CDF4">
      <w:pPr>
        <w:keepNext/>
        <w:keepLines/>
        <w:spacing w:line="400" w:lineRule="exact"/>
        <w:ind w:firstLine="422"/>
        <w:rPr>
          <w:rFonts w:hint="eastAsia" w:ascii="仿宋" w:hAnsi="仿宋" w:eastAsia="仿宋" w:cs="仿宋"/>
          <w:b/>
          <w:bCs/>
          <w:sz w:val="28"/>
          <w:szCs w:val="28"/>
          <w:highlight w:val="none"/>
        </w:rPr>
      </w:pPr>
      <w:bookmarkStart w:id="53" w:name="_Hlt16619475"/>
      <w:bookmarkEnd w:id="53"/>
      <w:bookmarkStart w:id="54" w:name="_Toc458694821"/>
      <w:bookmarkStart w:id="55" w:name="_Toc16938520"/>
      <w:bookmarkStart w:id="56" w:name="_Toc20823276"/>
      <w:bookmarkStart w:id="57" w:name="_Toc513029204"/>
      <w:r>
        <w:rPr>
          <w:rFonts w:hint="eastAsia" w:ascii="仿宋" w:hAnsi="仿宋" w:eastAsia="仿宋" w:cs="仿宋"/>
          <w:b/>
          <w:bCs/>
          <w:sz w:val="28"/>
          <w:szCs w:val="28"/>
          <w:highlight w:val="none"/>
        </w:rPr>
        <w:t>1</w:t>
      </w:r>
      <w:bookmarkEnd w:id="54"/>
      <w:r>
        <w:rPr>
          <w:rFonts w:hint="eastAsia" w:ascii="仿宋" w:hAnsi="仿宋" w:eastAsia="仿宋" w:cs="仿宋"/>
          <w:b/>
          <w:bCs/>
          <w:sz w:val="28"/>
          <w:szCs w:val="28"/>
          <w:highlight w:val="none"/>
        </w:rPr>
        <w:t>、招标方式</w:t>
      </w:r>
      <w:bookmarkEnd w:id="55"/>
      <w:bookmarkEnd w:id="56"/>
      <w:bookmarkEnd w:id="57"/>
    </w:p>
    <w:p w14:paraId="77EDF9E1">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1.1 本次招标采取公开招标方式，本招标文件仅适用于招标公告中所述项目。</w:t>
      </w:r>
    </w:p>
    <w:p w14:paraId="7F9830AF">
      <w:pPr>
        <w:keepNext/>
        <w:keepLines/>
        <w:spacing w:line="400" w:lineRule="exact"/>
        <w:ind w:firstLine="422"/>
        <w:rPr>
          <w:rFonts w:hint="eastAsia" w:ascii="仿宋" w:hAnsi="仿宋" w:eastAsia="仿宋" w:cs="仿宋"/>
          <w:b/>
          <w:bCs/>
          <w:sz w:val="28"/>
          <w:szCs w:val="28"/>
          <w:highlight w:val="none"/>
        </w:rPr>
      </w:pPr>
      <w:bookmarkStart w:id="58" w:name="_Toc513029205"/>
      <w:bookmarkStart w:id="59" w:name="_Toc16938521"/>
      <w:bookmarkStart w:id="60" w:name="_Toc20823277"/>
      <w:r>
        <w:rPr>
          <w:rFonts w:hint="eastAsia" w:ascii="仿宋" w:hAnsi="仿宋" w:eastAsia="仿宋" w:cs="仿宋"/>
          <w:b/>
          <w:bCs/>
          <w:sz w:val="28"/>
          <w:szCs w:val="28"/>
          <w:highlight w:val="none"/>
        </w:rPr>
        <w:t>2、合格的</w:t>
      </w:r>
      <w:bookmarkEnd w:id="58"/>
      <w:bookmarkEnd w:id="59"/>
      <w:bookmarkEnd w:id="60"/>
      <w:r>
        <w:rPr>
          <w:rFonts w:hint="eastAsia" w:ascii="仿宋" w:hAnsi="仿宋" w:eastAsia="仿宋" w:cs="仿宋"/>
          <w:b/>
          <w:bCs/>
          <w:sz w:val="28"/>
          <w:szCs w:val="28"/>
          <w:highlight w:val="none"/>
        </w:rPr>
        <w:t>投标供应商</w:t>
      </w:r>
    </w:p>
    <w:p w14:paraId="0C90A4D6">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2.1满足招标公告中供应商的资格要求的规定。</w:t>
      </w:r>
    </w:p>
    <w:p w14:paraId="24105194">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2.2 满足本文件实质性要求的规定。</w:t>
      </w:r>
    </w:p>
    <w:p w14:paraId="21165836">
      <w:pPr>
        <w:keepNext/>
        <w:keepLines/>
        <w:spacing w:line="400" w:lineRule="exact"/>
        <w:ind w:firstLine="422"/>
        <w:rPr>
          <w:rFonts w:hint="eastAsia" w:ascii="仿宋" w:hAnsi="仿宋" w:eastAsia="仿宋" w:cs="仿宋"/>
          <w:b/>
          <w:bCs/>
          <w:sz w:val="28"/>
          <w:szCs w:val="28"/>
          <w:highlight w:val="none"/>
        </w:rPr>
      </w:pPr>
      <w:bookmarkStart w:id="61" w:name="_Toc16938522"/>
      <w:bookmarkStart w:id="62" w:name="_Toc513029206"/>
      <w:bookmarkStart w:id="63" w:name="_Toc20823278"/>
      <w:r>
        <w:rPr>
          <w:rFonts w:hint="eastAsia" w:ascii="仿宋" w:hAnsi="仿宋" w:eastAsia="仿宋" w:cs="仿宋"/>
          <w:b/>
          <w:bCs/>
          <w:sz w:val="28"/>
          <w:szCs w:val="28"/>
          <w:highlight w:val="none"/>
        </w:rPr>
        <w:t>3、适用法律</w:t>
      </w:r>
      <w:bookmarkEnd w:id="61"/>
      <w:bookmarkEnd w:id="62"/>
      <w:bookmarkEnd w:id="63"/>
    </w:p>
    <w:p w14:paraId="7142C0FE">
      <w:pPr>
        <w:spacing w:line="400" w:lineRule="exact"/>
        <w:ind w:firstLine="420"/>
        <w:rPr>
          <w:rFonts w:hint="eastAsia" w:ascii="仿宋" w:hAnsi="仿宋" w:eastAsia="仿宋" w:cs="仿宋"/>
          <w:sz w:val="24"/>
          <w:highlight w:val="none"/>
        </w:rPr>
      </w:pPr>
      <w:r>
        <w:rPr>
          <w:rFonts w:hint="eastAsia" w:ascii="仿宋" w:hAnsi="仿宋" w:eastAsia="仿宋" w:cs="仿宋"/>
          <w:sz w:val="24"/>
          <w:highlight w:val="none"/>
        </w:rPr>
        <w:t>3.1 本次招标及由此产生的合同受中华人民共和国有关的法律法规制约和保护。</w:t>
      </w:r>
    </w:p>
    <w:p w14:paraId="28F2C503">
      <w:pPr>
        <w:keepNext/>
        <w:keepLines/>
        <w:spacing w:line="400" w:lineRule="exact"/>
        <w:ind w:firstLine="422" w:firstLineChars="150"/>
        <w:rPr>
          <w:rFonts w:hint="eastAsia" w:ascii="仿宋" w:hAnsi="仿宋" w:eastAsia="仿宋" w:cs="仿宋"/>
          <w:b/>
          <w:bCs/>
          <w:color w:val="000000"/>
          <w:sz w:val="28"/>
          <w:szCs w:val="28"/>
          <w:highlight w:val="none"/>
        </w:rPr>
      </w:pPr>
      <w:bookmarkStart w:id="64" w:name="_Toc20823279"/>
      <w:bookmarkStart w:id="65" w:name="_Toc513029207"/>
      <w:bookmarkStart w:id="66" w:name="_Toc16938523"/>
      <w:bookmarkStart w:id="67" w:name="_Toc462564067"/>
      <w:r>
        <w:rPr>
          <w:rFonts w:hint="eastAsia" w:ascii="仿宋" w:hAnsi="仿宋" w:eastAsia="仿宋" w:cs="仿宋"/>
          <w:b/>
          <w:bCs/>
          <w:color w:val="000000"/>
          <w:sz w:val="28"/>
          <w:szCs w:val="28"/>
          <w:highlight w:val="none"/>
        </w:rPr>
        <w:t>4、投标费用</w:t>
      </w:r>
      <w:bookmarkEnd w:id="64"/>
      <w:bookmarkEnd w:id="65"/>
      <w:bookmarkEnd w:id="66"/>
      <w:bookmarkEnd w:id="67"/>
    </w:p>
    <w:p w14:paraId="047CDDEF">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bCs/>
          <w:sz w:val="24"/>
          <w:highlight w:val="none"/>
        </w:rPr>
        <w:t>4.1</w:t>
      </w:r>
      <w:r>
        <w:rPr>
          <w:rFonts w:hint="eastAsia" w:ascii="仿宋" w:hAnsi="仿宋" w:eastAsia="仿宋" w:cs="仿宋"/>
          <w:sz w:val="24"/>
          <w:highlight w:val="none"/>
        </w:rPr>
        <w:t xml:space="preserve"> 投标供应商应自行承担所有与参加投标有关的费用，无论投标过程中的做法和结果如何，采购人在任何情况下均无义务和责任承担这些费用。</w:t>
      </w:r>
    </w:p>
    <w:p w14:paraId="455AC522">
      <w:pPr>
        <w:spacing w:line="500" w:lineRule="exact"/>
        <w:ind w:firstLine="480" w:firstLineChars="200"/>
        <w:rPr>
          <w:rFonts w:hint="eastAsia" w:ascii="仿宋" w:hAnsi="仿宋" w:eastAsia="仿宋" w:cs="仿宋"/>
          <w:sz w:val="24"/>
          <w:highlight w:val="none"/>
        </w:rPr>
      </w:pPr>
      <w:r>
        <w:rPr>
          <w:rFonts w:hint="eastAsia" w:ascii="仿宋" w:hAnsi="仿宋" w:eastAsia="仿宋" w:cs="仿宋"/>
          <w:sz w:val="24"/>
          <w:highlight w:val="none"/>
        </w:rPr>
        <w:t>4.2本次招标代理服务费由成交供应商支付，收费标准为中标价*2.5‰，请各投标供应商报价时综合考虑。</w:t>
      </w:r>
    </w:p>
    <w:p w14:paraId="464982BE">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color w:val="000000"/>
          <w:sz w:val="28"/>
          <w:szCs w:val="28"/>
          <w:highlight w:val="none"/>
        </w:rPr>
        <w:t>5、招标文件的约束力</w:t>
      </w:r>
    </w:p>
    <w:p w14:paraId="0D298141">
      <w:pPr>
        <w:spacing w:line="480" w:lineRule="exact"/>
        <w:ind w:firstLine="480"/>
        <w:rPr>
          <w:rFonts w:hint="eastAsia" w:ascii="仿宋" w:hAnsi="仿宋" w:eastAsia="仿宋" w:cs="仿宋"/>
          <w:sz w:val="24"/>
          <w:szCs w:val="24"/>
          <w:highlight w:val="none"/>
        </w:rPr>
      </w:pPr>
      <w:r>
        <w:rPr>
          <w:rFonts w:hint="eastAsia" w:ascii="仿宋" w:hAnsi="仿宋" w:eastAsia="仿宋" w:cs="仿宋"/>
          <w:bCs/>
          <w:sz w:val="24"/>
          <w:szCs w:val="24"/>
          <w:highlight w:val="none"/>
        </w:rPr>
        <w:t>5.1</w:t>
      </w:r>
      <w:r>
        <w:rPr>
          <w:rFonts w:hint="eastAsia" w:ascii="仿宋" w:hAnsi="仿宋" w:eastAsia="仿宋" w:cs="仿宋"/>
          <w:sz w:val="24"/>
          <w:szCs w:val="24"/>
          <w:highlight w:val="none"/>
        </w:rPr>
        <w:t>投标供应商一旦参加本项目采购活动，即被认为接受了本招标文件的规定和约束。</w:t>
      </w:r>
    </w:p>
    <w:p w14:paraId="0C504002">
      <w:pPr>
        <w:keepNext/>
        <w:keepLines/>
        <w:spacing w:before="145" w:after="145" w:line="400" w:lineRule="exact"/>
        <w:outlineLvl w:val="1"/>
        <w:rPr>
          <w:rFonts w:hint="eastAsia" w:ascii="仿宋" w:hAnsi="仿宋" w:eastAsia="仿宋" w:cs="仿宋"/>
          <w:b/>
          <w:bCs/>
          <w:sz w:val="32"/>
          <w:szCs w:val="32"/>
          <w:highlight w:val="none"/>
        </w:rPr>
      </w:pPr>
      <w:bookmarkStart w:id="68" w:name="_Toc120614215"/>
      <w:bookmarkStart w:id="69" w:name="_Toc16938525"/>
      <w:bookmarkStart w:id="70" w:name="_Toc20823281"/>
      <w:bookmarkStart w:id="71" w:name="_Toc513029209"/>
      <w:r>
        <w:rPr>
          <w:rFonts w:hint="eastAsia" w:ascii="仿宋" w:hAnsi="仿宋" w:eastAsia="仿宋" w:cs="仿宋"/>
          <w:b/>
          <w:bCs/>
          <w:sz w:val="32"/>
          <w:szCs w:val="32"/>
          <w:highlight w:val="none"/>
        </w:rPr>
        <w:t>二、招标文件</w:t>
      </w:r>
      <w:bookmarkEnd w:id="68"/>
      <w:bookmarkEnd w:id="69"/>
      <w:bookmarkEnd w:id="70"/>
      <w:bookmarkEnd w:id="71"/>
    </w:p>
    <w:p w14:paraId="7DB43256">
      <w:pPr>
        <w:keepNext/>
        <w:keepLines/>
        <w:spacing w:line="400" w:lineRule="exact"/>
        <w:ind w:firstLine="422"/>
        <w:rPr>
          <w:rFonts w:hint="eastAsia" w:ascii="仿宋" w:hAnsi="仿宋" w:eastAsia="仿宋" w:cs="仿宋"/>
          <w:b/>
          <w:bCs/>
          <w:sz w:val="28"/>
          <w:szCs w:val="28"/>
          <w:highlight w:val="none"/>
        </w:rPr>
      </w:pPr>
      <w:bookmarkStart w:id="72" w:name="_Toc513029210"/>
      <w:bookmarkStart w:id="73" w:name="_Toc16938526"/>
      <w:bookmarkStart w:id="74" w:name="_Toc20823282"/>
      <w:r>
        <w:rPr>
          <w:rFonts w:hint="eastAsia" w:ascii="仿宋" w:hAnsi="仿宋" w:eastAsia="仿宋" w:cs="仿宋"/>
          <w:b/>
          <w:bCs/>
          <w:sz w:val="28"/>
          <w:szCs w:val="28"/>
          <w:highlight w:val="none"/>
        </w:rPr>
        <w:t>6、招标文件构成</w:t>
      </w:r>
      <w:bookmarkEnd w:id="72"/>
      <w:bookmarkEnd w:id="73"/>
      <w:bookmarkEnd w:id="74"/>
    </w:p>
    <w:p w14:paraId="04FC147E">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6.1 招标文件由以下部分组成：</w:t>
      </w:r>
    </w:p>
    <w:p w14:paraId="55AAD401">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（1）投标邀请</w:t>
      </w:r>
    </w:p>
    <w:p w14:paraId="159406FA">
      <w:pPr>
        <w:tabs>
          <w:tab w:val="center" w:pos="4476"/>
        </w:tabs>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（2）投标供应商须知</w:t>
      </w:r>
      <w:r>
        <w:rPr>
          <w:rFonts w:hint="eastAsia" w:ascii="仿宋" w:hAnsi="仿宋" w:eastAsia="仿宋" w:cs="仿宋"/>
          <w:bCs/>
          <w:sz w:val="24"/>
          <w:highlight w:val="none"/>
        </w:rPr>
        <w:tab/>
      </w:r>
    </w:p>
    <w:p w14:paraId="6ADC6BC6">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（3）合同文本</w:t>
      </w:r>
    </w:p>
    <w:p w14:paraId="251F8BA9">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（4）采购需求</w:t>
      </w:r>
    </w:p>
    <w:p w14:paraId="463D8845">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（5）评标方法与评标标准</w:t>
      </w:r>
    </w:p>
    <w:p w14:paraId="41A1898C">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（6）投标文件格式</w:t>
      </w:r>
    </w:p>
    <w:p w14:paraId="6D268876">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请仔细检查招标文件是否齐全，如有缺漏请立即与代理机构联系解决。</w:t>
      </w:r>
    </w:p>
    <w:p w14:paraId="7A4E1771">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6.2</w:t>
      </w:r>
      <w:r>
        <w:rPr>
          <w:rFonts w:hint="eastAsia" w:ascii="仿宋" w:hAnsi="仿宋" w:eastAsia="仿宋" w:cs="仿宋"/>
          <w:sz w:val="24"/>
          <w:highlight w:val="none"/>
        </w:rPr>
        <w:t xml:space="preserve"> 投标供应商应认真阅读招标文件中所有的事项、格式、条款和规范等要求。按招标文件要求和规定编制投标文件，并保证所提供的全部资料的真实性，以使其投标文件对招标文件作出实质性响应，否则其风险由投标供应商自行承担。</w:t>
      </w:r>
    </w:p>
    <w:p w14:paraId="20E63E91">
      <w:pPr>
        <w:keepNext/>
        <w:keepLines/>
        <w:spacing w:line="400" w:lineRule="exact"/>
        <w:ind w:firstLine="422"/>
        <w:rPr>
          <w:rFonts w:hint="eastAsia" w:ascii="仿宋" w:hAnsi="仿宋" w:eastAsia="仿宋" w:cs="仿宋"/>
          <w:b/>
          <w:bCs/>
          <w:sz w:val="28"/>
          <w:szCs w:val="28"/>
          <w:highlight w:val="none"/>
        </w:rPr>
      </w:pPr>
      <w:bookmarkStart w:id="75" w:name="_Toc513029211"/>
      <w:bookmarkStart w:id="76" w:name="_Toc16938527"/>
      <w:bookmarkStart w:id="77" w:name="_Toc20823283"/>
      <w:bookmarkStart w:id="78" w:name="_Toc462564070"/>
      <w:r>
        <w:rPr>
          <w:rFonts w:hint="eastAsia" w:ascii="仿宋" w:hAnsi="仿宋" w:eastAsia="仿宋" w:cs="仿宋"/>
          <w:b/>
          <w:bCs/>
          <w:sz w:val="28"/>
          <w:szCs w:val="28"/>
          <w:highlight w:val="none"/>
        </w:rPr>
        <w:t>7、招标文件的澄清</w:t>
      </w:r>
      <w:bookmarkEnd w:id="75"/>
      <w:bookmarkEnd w:id="76"/>
      <w:bookmarkEnd w:id="77"/>
      <w:bookmarkEnd w:id="78"/>
    </w:p>
    <w:p w14:paraId="3BFB0589">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7.1任何要求对招标文件进行澄清的投标供应商，应在投标截止期十日前按招标公告中的通讯地址，以书面形式通知采购人。采购人有权对发出的招标文件进行必要的澄清或修改。</w:t>
      </w:r>
    </w:p>
    <w:p w14:paraId="28102FD7">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7.2采购人视情况组织答疑会。</w:t>
      </w:r>
    </w:p>
    <w:p w14:paraId="10080122">
      <w:pPr>
        <w:keepNext/>
        <w:keepLines/>
        <w:spacing w:line="400" w:lineRule="exact"/>
        <w:ind w:firstLine="422"/>
        <w:rPr>
          <w:rFonts w:hint="eastAsia" w:ascii="仿宋" w:hAnsi="仿宋" w:eastAsia="仿宋" w:cs="仿宋"/>
          <w:b/>
          <w:bCs/>
          <w:sz w:val="28"/>
          <w:szCs w:val="28"/>
          <w:highlight w:val="none"/>
        </w:rPr>
      </w:pPr>
      <w:bookmarkStart w:id="79" w:name="_Toc20823284"/>
      <w:bookmarkStart w:id="80" w:name="_Toc462564071"/>
      <w:bookmarkStart w:id="81" w:name="_Toc16938528"/>
      <w:bookmarkStart w:id="82" w:name="_Toc513029212"/>
      <w:r>
        <w:rPr>
          <w:rFonts w:hint="eastAsia" w:ascii="仿宋" w:hAnsi="仿宋" w:eastAsia="仿宋" w:cs="仿宋"/>
          <w:b/>
          <w:bCs/>
          <w:sz w:val="28"/>
          <w:szCs w:val="28"/>
          <w:highlight w:val="none"/>
        </w:rPr>
        <w:t>8、招标文件的修改</w:t>
      </w:r>
      <w:bookmarkEnd w:id="79"/>
      <w:bookmarkEnd w:id="80"/>
      <w:bookmarkEnd w:id="81"/>
      <w:bookmarkEnd w:id="82"/>
    </w:p>
    <w:p w14:paraId="1E202768">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8.1</w:t>
      </w:r>
      <w:r>
        <w:rPr>
          <w:rFonts w:hint="eastAsia" w:ascii="仿宋" w:hAnsi="仿宋" w:eastAsia="仿宋" w:cs="仿宋"/>
          <w:sz w:val="24"/>
          <w:highlight w:val="none"/>
        </w:rPr>
        <w:t xml:space="preserve"> 在投标截止时间前，代理机构可以对招标文件进行修改。</w:t>
      </w:r>
    </w:p>
    <w:p w14:paraId="52948125">
      <w:pPr>
        <w:spacing w:line="500" w:lineRule="exact"/>
        <w:ind w:firstLine="480"/>
        <w:rPr>
          <w:rFonts w:hint="eastAsia" w:ascii="仿宋" w:hAnsi="仿宋" w:eastAsia="仿宋" w:cs="仿宋"/>
          <w:sz w:val="28"/>
          <w:highlight w:val="none"/>
        </w:rPr>
      </w:pPr>
      <w:r>
        <w:rPr>
          <w:rFonts w:hint="eastAsia" w:ascii="仿宋" w:hAnsi="仿宋" w:eastAsia="仿宋" w:cs="仿宋"/>
          <w:bCs/>
          <w:sz w:val="24"/>
          <w:highlight w:val="none"/>
        </w:rPr>
        <w:t xml:space="preserve">8.2 </w:t>
      </w:r>
      <w:r>
        <w:rPr>
          <w:rFonts w:hint="eastAsia" w:ascii="仿宋" w:hAnsi="仿宋" w:eastAsia="仿宋" w:cs="仿宋"/>
          <w:sz w:val="24"/>
          <w:highlight w:val="none"/>
        </w:rPr>
        <w:t>代理机构</w:t>
      </w:r>
      <w:r>
        <w:rPr>
          <w:rFonts w:hint="eastAsia" w:ascii="仿宋" w:hAnsi="仿宋" w:eastAsia="仿宋" w:cs="仿宋"/>
          <w:sz w:val="24"/>
          <w:szCs w:val="24"/>
          <w:highlight w:val="none"/>
        </w:rPr>
        <w:t>有权按照法定的要求</w:t>
      </w:r>
      <w:r>
        <w:rPr>
          <w:rFonts w:hint="eastAsia" w:ascii="仿宋" w:hAnsi="仿宋" w:eastAsia="仿宋" w:cs="仿宋"/>
          <w:sz w:val="24"/>
          <w:highlight w:val="none"/>
        </w:rPr>
        <w:t>推迟投标截止日期和开标日期。</w:t>
      </w:r>
    </w:p>
    <w:p w14:paraId="262B4368">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 xml:space="preserve">8.3 </w:t>
      </w:r>
      <w:r>
        <w:rPr>
          <w:rFonts w:hint="eastAsia" w:ascii="仿宋" w:hAnsi="仿宋" w:eastAsia="仿宋" w:cs="仿宋"/>
          <w:sz w:val="24"/>
          <w:highlight w:val="none"/>
        </w:rPr>
        <w:t>招标文件的修改将在江苏政府采购网公布，</w:t>
      </w:r>
      <w:r>
        <w:rPr>
          <w:rFonts w:hint="eastAsia" w:ascii="仿宋" w:hAnsi="仿宋" w:eastAsia="仿宋" w:cs="仿宋"/>
          <w:sz w:val="24"/>
          <w:szCs w:val="24"/>
          <w:highlight w:val="none"/>
        </w:rPr>
        <w:t>补充文件将作为招标文件的组成部分，</w:t>
      </w:r>
      <w:r>
        <w:rPr>
          <w:rFonts w:hint="eastAsia" w:ascii="仿宋" w:hAnsi="仿宋" w:eastAsia="仿宋" w:cs="仿宋"/>
          <w:sz w:val="24"/>
          <w:highlight w:val="none"/>
        </w:rPr>
        <w:t>并对投标供应商具有约束力。</w:t>
      </w:r>
    </w:p>
    <w:p w14:paraId="64C5B3E3">
      <w:pPr>
        <w:keepNext/>
        <w:keepLines/>
        <w:spacing w:before="145" w:after="145" w:line="400" w:lineRule="exact"/>
        <w:outlineLvl w:val="1"/>
        <w:rPr>
          <w:rFonts w:hint="eastAsia" w:ascii="仿宋" w:hAnsi="仿宋" w:eastAsia="仿宋" w:cs="仿宋"/>
          <w:b/>
          <w:bCs/>
          <w:sz w:val="32"/>
          <w:szCs w:val="32"/>
          <w:highlight w:val="none"/>
        </w:rPr>
      </w:pPr>
      <w:bookmarkStart w:id="83" w:name="_Toc16938529"/>
      <w:bookmarkStart w:id="84" w:name="_Toc120614216"/>
      <w:bookmarkStart w:id="85" w:name="_Toc513029213"/>
      <w:bookmarkStart w:id="86" w:name="_Toc20823285"/>
      <w:bookmarkStart w:id="87" w:name="_Toc462564072"/>
      <w:r>
        <w:rPr>
          <w:rFonts w:hint="eastAsia" w:ascii="仿宋" w:hAnsi="仿宋" w:eastAsia="仿宋" w:cs="仿宋"/>
          <w:b/>
          <w:bCs/>
          <w:sz w:val="32"/>
          <w:szCs w:val="32"/>
          <w:highlight w:val="none"/>
        </w:rPr>
        <w:t>三、投标文件的编制</w:t>
      </w:r>
      <w:bookmarkEnd w:id="83"/>
      <w:bookmarkEnd w:id="84"/>
      <w:bookmarkEnd w:id="85"/>
      <w:bookmarkEnd w:id="86"/>
      <w:bookmarkEnd w:id="87"/>
    </w:p>
    <w:p w14:paraId="0F92F3C5">
      <w:pPr>
        <w:keepNext/>
        <w:keepLines/>
        <w:spacing w:line="400" w:lineRule="exact"/>
        <w:ind w:firstLine="422"/>
        <w:rPr>
          <w:rFonts w:hint="eastAsia" w:ascii="仿宋" w:hAnsi="仿宋" w:eastAsia="仿宋" w:cs="仿宋"/>
          <w:b/>
          <w:bCs/>
          <w:sz w:val="28"/>
          <w:szCs w:val="28"/>
          <w:highlight w:val="none"/>
        </w:rPr>
      </w:pPr>
      <w:bookmarkStart w:id="88" w:name="_Toc20823286"/>
      <w:bookmarkStart w:id="89" w:name="_Toc16938530"/>
      <w:bookmarkStart w:id="90" w:name="_Toc462564073"/>
      <w:bookmarkStart w:id="91" w:name="_Toc513029214"/>
      <w:r>
        <w:rPr>
          <w:rFonts w:hint="eastAsia" w:ascii="仿宋" w:hAnsi="仿宋" w:eastAsia="仿宋" w:cs="仿宋"/>
          <w:b/>
          <w:bCs/>
          <w:sz w:val="28"/>
          <w:szCs w:val="28"/>
          <w:highlight w:val="none"/>
        </w:rPr>
        <w:t>9、投标文件的语言及度量衡单位</w:t>
      </w:r>
      <w:bookmarkEnd w:id="88"/>
      <w:bookmarkEnd w:id="89"/>
      <w:bookmarkEnd w:id="90"/>
      <w:bookmarkEnd w:id="91"/>
    </w:p>
    <w:p w14:paraId="139E7A0D">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9.1</w:t>
      </w:r>
      <w:r>
        <w:rPr>
          <w:rFonts w:hint="eastAsia" w:ascii="仿宋" w:hAnsi="仿宋" w:eastAsia="仿宋" w:cs="仿宋"/>
          <w:sz w:val="24"/>
          <w:highlight w:val="none"/>
        </w:rPr>
        <w:t>投标供应商提交的投标文件以及投标供应商与代理机构就有关投标的所有来往通知、函件和文件均应使用</w:t>
      </w:r>
      <w:r>
        <w:rPr>
          <w:rFonts w:hint="eastAsia" w:ascii="仿宋" w:hAnsi="仿宋" w:eastAsia="仿宋" w:cs="仿宋"/>
          <w:b/>
          <w:bCs/>
          <w:sz w:val="24"/>
          <w:highlight w:val="none"/>
        </w:rPr>
        <w:t>简体中文</w:t>
      </w:r>
      <w:r>
        <w:rPr>
          <w:rFonts w:hint="eastAsia" w:ascii="仿宋" w:hAnsi="仿宋" w:eastAsia="仿宋" w:cs="仿宋"/>
          <w:sz w:val="24"/>
          <w:highlight w:val="none"/>
        </w:rPr>
        <w:t>。</w:t>
      </w:r>
    </w:p>
    <w:p w14:paraId="41BD0204">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9.2</w:t>
      </w:r>
      <w:r>
        <w:rPr>
          <w:rFonts w:hint="eastAsia" w:ascii="仿宋" w:hAnsi="仿宋" w:eastAsia="仿宋" w:cs="仿宋"/>
          <w:sz w:val="24"/>
          <w:highlight w:val="none"/>
        </w:rPr>
        <w:t xml:space="preserve"> 除技术性能另有规定外，投标文件所使用的度量衡单位，均须采用国家法定计量单位。</w:t>
      </w:r>
    </w:p>
    <w:p w14:paraId="0B031D43">
      <w:pPr>
        <w:keepNext/>
        <w:keepLines/>
        <w:spacing w:line="400" w:lineRule="exact"/>
        <w:ind w:firstLine="422"/>
        <w:rPr>
          <w:rFonts w:hint="eastAsia" w:ascii="仿宋" w:hAnsi="仿宋" w:eastAsia="仿宋" w:cs="仿宋"/>
          <w:b/>
          <w:bCs/>
          <w:sz w:val="28"/>
          <w:szCs w:val="28"/>
          <w:highlight w:val="none"/>
        </w:rPr>
      </w:pPr>
      <w:bookmarkStart w:id="92" w:name="_Toc20823287"/>
      <w:bookmarkStart w:id="93" w:name="_Toc16938531"/>
      <w:bookmarkStart w:id="94" w:name="_Toc462564074"/>
      <w:bookmarkStart w:id="95" w:name="_Toc513029215"/>
      <w:r>
        <w:rPr>
          <w:rFonts w:hint="eastAsia" w:ascii="仿宋" w:hAnsi="仿宋" w:eastAsia="仿宋" w:cs="仿宋"/>
          <w:b/>
          <w:bCs/>
          <w:sz w:val="28"/>
          <w:szCs w:val="28"/>
          <w:highlight w:val="none"/>
        </w:rPr>
        <w:t>10、投标文件构成</w:t>
      </w:r>
      <w:bookmarkEnd w:id="92"/>
      <w:bookmarkEnd w:id="93"/>
      <w:bookmarkEnd w:id="94"/>
      <w:bookmarkEnd w:id="95"/>
    </w:p>
    <w:p w14:paraId="11864399">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10.1投标供应商编写的投标文件应包括资格证明文件、实质性要求响应及偏离表、投标分项报价表、技术要求响应及偏离表、商务要求响应及偏离表、其他证明文件、投标函、开标一览表等部分。请按“第六章  投标文件格式”要求编写投标文件。</w:t>
      </w:r>
    </w:p>
    <w:p w14:paraId="66DBF728">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10.2 如标书制作工具中格式和内容与“江苏政府采购网”发布的招标文件不一致，请以“江苏政府采购网”发布的招标文件为准。</w:t>
      </w:r>
    </w:p>
    <w:p w14:paraId="1FA5AAAD">
      <w:pPr>
        <w:keepNext/>
        <w:keepLines/>
        <w:spacing w:line="400" w:lineRule="exact"/>
        <w:ind w:firstLine="422"/>
        <w:rPr>
          <w:rFonts w:hint="eastAsia" w:ascii="仿宋" w:hAnsi="仿宋" w:eastAsia="仿宋" w:cs="仿宋"/>
          <w:b/>
          <w:bCs/>
          <w:sz w:val="28"/>
          <w:szCs w:val="28"/>
          <w:highlight w:val="none"/>
        </w:rPr>
      </w:pPr>
      <w:bookmarkStart w:id="96" w:name="_Hlt26670360"/>
      <w:bookmarkEnd w:id="96"/>
      <w:bookmarkStart w:id="97" w:name="_Hlt26668975"/>
      <w:bookmarkEnd w:id="97"/>
      <w:bookmarkStart w:id="98" w:name="_Hlt26954838"/>
      <w:bookmarkEnd w:id="98"/>
      <w:bookmarkStart w:id="99" w:name="_Toc513029216"/>
      <w:bookmarkStart w:id="100" w:name="_Toc513029219"/>
      <w:bookmarkStart w:id="101" w:name="_Toc14577357"/>
      <w:bookmarkStart w:id="102" w:name="_Toc49090507"/>
      <w:bookmarkStart w:id="103" w:name="_Toc14577354"/>
      <w:bookmarkStart w:id="104" w:name="_Toc49090509"/>
      <w:r>
        <w:rPr>
          <w:rFonts w:hint="eastAsia" w:ascii="仿宋" w:hAnsi="仿宋" w:eastAsia="仿宋" w:cs="仿宋"/>
          <w:b/>
          <w:bCs/>
          <w:sz w:val="28"/>
          <w:szCs w:val="28"/>
          <w:highlight w:val="none"/>
        </w:rPr>
        <w:t>11、证明投标供应商及投标标的符合招标文件规定的文件</w:t>
      </w:r>
      <w:bookmarkEnd w:id="99"/>
      <w:bookmarkEnd w:id="100"/>
      <w:bookmarkEnd w:id="101"/>
      <w:bookmarkEnd w:id="102"/>
      <w:bookmarkEnd w:id="103"/>
      <w:bookmarkEnd w:id="104"/>
    </w:p>
    <w:p w14:paraId="31916CF7">
      <w:pPr>
        <w:spacing w:line="500" w:lineRule="exact"/>
        <w:ind w:firstLine="480"/>
        <w:rPr>
          <w:rFonts w:hint="eastAsia" w:ascii="仿宋" w:hAnsi="仿宋" w:eastAsia="仿宋" w:cs="仿宋"/>
          <w:sz w:val="24"/>
          <w:highlight w:val="none"/>
        </w:rPr>
      </w:pPr>
      <w:bookmarkStart w:id="105" w:name="_Toc14577355"/>
      <w:bookmarkStart w:id="106" w:name="_Toc49090508"/>
      <w:r>
        <w:rPr>
          <w:rFonts w:hint="eastAsia" w:ascii="仿宋" w:hAnsi="仿宋" w:eastAsia="仿宋" w:cs="仿宋"/>
          <w:sz w:val="24"/>
          <w:highlight w:val="none"/>
        </w:rPr>
        <w:t>11.1投标供应商应按照法律、法规、规章和规范性文件以及招标文件要求提交证明文件，证明其及投标标的符合招标文件规定。</w:t>
      </w:r>
    </w:p>
    <w:p w14:paraId="330E0976">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11.2招标文件对证明文件无明确形式要求的，证明文件可以以文字资料、图纸和数据等形式提交。</w:t>
      </w:r>
    </w:p>
    <w:p w14:paraId="3C8DC384">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12、投标分项报价</w:t>
      </w:r>
      <w:bookmarkEnd w:id="105"/>
      <w:bookmarkStart w:id="107" w:name="_Hlt26670373"/>
      <w:bookmarkEnd w:id="107"/>
      <w:r>
        <w:rPr>
          <w:rFonts w:hint="eastAsia" w:ascii="仿宋" w:hAnsi="仿宋" w:eastAsia="仿宋" w:cs="仿宋"/>
          <w:b/>
          <w:bCs/>
          <w:sz w:val="28"/>
          <w:szCs w:val="28"/>
          <w:highlight w:val="none"/>
        </w:rPr>
        <w:t>表</w:t>
      </w:r>
      <w:bookmarkEnd w:id="106"/>
    </w:p>
    <w:p w14:paraId="25927C04">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12.1 投标供应商按照招标文件规定格式填报投标分项报价表</w:t>
      </w:r>
      <w:bookmarkStart w:id="108" w:name="_Hlt26670399"/>
      <w:bookmarkEnd w:id="108"/>
      <w:r>
        <w:rPr>
          <w:rFonts w:hint="eastAsia" w:ascii="仿宋" w:hAnsi="仿宋" w:eastAsia="仿宋" w:cs="仿宋"/>
          <w:sz w:val="24"/>
          <w:highlight w:val="none"/>
        </w:rPr>
        <w:t>。</w:t>
      </w:r>
    </w:p>
    <w:p w14:paraId="7FAC6FDA">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12.2投标货币。投标文件中的单价和总价无特殊规定的采用人民币报价，以元为单位标注。招标文件中另有规定的按规定执行。</w:t>
      </w:r>
    </w:p>
    <w:p w14:paraId="154C0C90">
      <w:pPr>
        <w:keepNext/>
        <w:keepLines/>
        <w:spacing w:line="400" w:lineRule="exact"/>
        <w:ind w:firstLine="422"/>
        <w:rPr>
          <w:rFonts w:hint="eastAsia" w:ascii="仿宋" w:hAnsi="仿宋" w:eastAsia="仿宋" w:cs="仿宋"/>
          <w:b/>
          <w:bCs/>
          <w:sz w:val="28"/>
          <w:szCs w:val="28"/>
          <w:highlight w:val="none"/>
        </w:rPr>
      </w:pPr>
      <w:bookmarkStart w:id="109" w:name="_Hlt26954842"/>
      <w:bookmarkEnd w:id="109"/>
      <w:bookmarkStart w:id="110" w:name="_Hlt26954846"/>
      <w:bookmarkEnd w:id="110"/>
      <w:bookmarkStart w:id="111" w:name="_Hlt26670486"/>
      <w:bookmarkEnd w:id="111"/>
      <w:bookmarkStart w:id="112" w:name="_Hlt26954731"/>
      <w:bookmarkEnd w:id="112"/>
      <w:bookmarkStart w:id="113" w:name="_Hlt26954848"/>
      <w:bookmarkEnd w:id="113"/>
      <w:bookmarkStart w:id="114" w:name="_Hlt26668983"/>
      <w:bookmarkEnd w:id="114"/>
      <w:bookmarkStart w:id="115" w:name="_Hlt26670403"/>
      <w:bookmarkEnd w:id="115"/>
      <w:bookmarkStart w:id="116" w:name="_Hlt26670425"/>
      <w:bookmarkEnd w:id="116"/>
      <w:bookmarkStart w:id="117" w:name="_Hlt26954844"/>
      <w:bookmarkEnd w:id="117"/>
      <w:bookmarkStart w:id="118" w:name="_Hlt26670482"/>
      <w:bookmarkEnd w:id="118"/>
      <w:r>
        <w:rPr>
          <w:rFonts w:hint="eastAsia" w:ascii="仿宋" w:hAnsi="仿宋" w:eastAsia="仿宋" w:cs="仿宋"/>
          <w:b/>
          <w:bCs/>
          <w:sz w:val="28"/>
          <w:szCs w:val="28"/>
          <w:highlight w:val="none"/>
        </w:rPr>
        <w:t>13、技术要求响应及偏离表、商务要求响应及偏离表</w:t>
      </w:r>
    </w:p>
    <w:p w14:paraId="218AA849">
      <w:pPr>
        <w:spacing w:line="500" w:lineRule="exact"/>
        <w:ind w:firstLine="480"/>
        <w:rPr>
          <w:rFonts w:hint="eastAsia" w:ascii="仿宋" w:hAnsi="仿宋" w:eastAsia="仿宋" w:cs="仿宋"/>
          <w:sz w:val="24"/>
          <w:highlight w:val="none"/>
          <w:lang w:val="zh-CN"/>
        </w:rPr>
      </w:pPr>
      <w:r>
        <w:rPr>
          <w:rFonts w:hint="eastAsia" w:ascii="仿宋" w:hAnsi="仿宋" w:eastAsia="仿宋" w:cs="仿宋"/>
          <w:sz w:val="24"/>
          <w:highlight w:val="none"/>
          <w:lang w:val="zh-CN"/>
        </w:rPr>
        <w:t>13.1投标供应商需对招标文件中的技术要求与商务要求逐项作出响应，如有偏离的，应逐条填列在偏离表中，并说明偏离情况。</w:t>
      </w:r>
    </w:p>
    <w:p w14:paraId="5F66C64B">
      <w:pPr>
        <w:spacing w:line="500" w:lineRule="exact"/>
        <w:ind w:firstLine="480"/>
        <w:rPr>
          <w:rFonts w:hint="eastAsia" w:ascii="仿宋" w:hAnsi="仿宋" w:eastAsia="仿宋" w:cs="仿宋"/>
          <w:sz w:val="24"/>
          <w:highlight w:val="none"/>
          <w:lang w:val="zh-CN"/>
        </w:rPr>
      </w:pPr>
      <w:bookmarkStart w:id="119" w:name="_Toc49090510"/>
      <w:bookmarkStart w:id="120" w:name="_Toc14577359"/>
      <w:r>
        <w:rPr>
          <w:rFonts w:hint="eastAsia" w:ascii="仿宋" w:hAnsi="仿宋" w:eastAsia="仿宋" w:cs="仿宋"/>
          <w:sz w:val="24"/>
          <w:highlight w:val="none"/>
          <w:lang w:val="zh-CN"/>
        </w:rPr>
        <w:t>13.2投标供应商需按照招标文件要求，在投标文件中提供与技术要求和商务要求相关的证明材料。</w:t>
      </w:r>
    </w:p>
    <w:p w14:paraId="04D219EB">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14、投标函和开标一览表</w:t>
      </w:r>
    </w:p>
    <w:p w14:paraId="0B390AB7">
      <w:pPr>
        <w:spacing w:line="500" w:lineRule="exact"/>
        <w:ind w:firstLine="480"/>
        <w:rPr>
          <w:rFonts w:hint="eastAsia" w:ascii="仿宋" w:hAnsi="仿宋" w:eastAsia="仿宋" w:cs="仿宋"/>
          <w:sz w:val="24"/>
          <w:highlight w:val="none"/>
        </w:rPr>
      </w:pPr>
      <w:r>
        <w:rPr>
          <w:rFonts w:hint="eastAsia" w:ascii="仿宋" w:hAnsi="仿宋" w:eastAsia="仿宋" w:cs="仿宋"/>
          <w:bCs/>
          <w:sz w:val="24"/>
          <w:highlight w:val="none"/>
        </w:rPr>
        <w:t>14.1</w:t>
      </w:r>
      <w:r>
        <w:rPr>
          <w:rFonts w:hint="eastAsia" w:ascii="仿宋" w:hAnsi="仿宋" w:eastAsia="仿宋" w:cs="仿宋"/>
          <w:sz w:val="24"/>
          <w:highlight w:val="none"/>
        </w:rPr>
        <w:t xml:space="preserve"> 投标供应商应按照要求提供的格式完整、正确填写投标函、开标一览表。</w:t>
      </w:r>
    </w:p>
    <w:p w14:paraId="265CC6C1">
      <w:pPr>
        <w:spacing w:line="500" w:lineRule="exact"/>
        <w:ind w:firstLine="480"/>
        <w:rPr>
          <w:rFonts w:hint="eastAsia" w:ascii="仿宋" w:hAnsi="仿宋" w:eastAsia="仿宋" w:cs="仿宋"/>
          <w:sz w:val="24"/>
          <w:highlight w:val="none"/>
        </w:rPr>
      </w:pPr>
      <w:r>
        <w:rPr>
          <w:rFonts w:hint="eastAsia" w:ascii="仿宋" w:hAnsi="仿宋" w:eastAsia="仿宋" w:cs="仿宋"/>
          <w:sz w:val="24"/>
          <w:highlight w:val="none"/>
        </w:rPr>
        <w:t>14.2对于采用折扣率报价的项目，开标一览表中的投标优惠率应与投标分项报价表中的投标折扣率折算后一致，如不一致，</w:t>
      </w:r>
      <w:r>
        <w:rPr>
          <w:rFonts w:hint="eastAsia" w:ascii="仿宋" w:hAnsi="仿宋" w:eastAsia="仿宋" w:cs="仿宋"/>
          <w:b/>
          <w:bCs/>
          <w:sz w:val="24"/>
          <w:highlight w:val="none"/>
        </w:rPr>
        <w:t>作为无效投标处理</w:t>
      </w:r>
      <w:r>
        <w:rPr>
          <w:rFonts w:hint="eastAsia" w:ascii="仿宋" w:hAnsi="仿宋" w:eastAsia="仿宋" w:cs="仿宋"/>
          <w:sz w:val="24"/>
          <w:highlight w:val="none"/>
        </w:rPr>
        <w:t>。</w:t>
      </w:r>
      <w:bookmarkEnd w:id="119"/>
      <w:bookmarkEnd w:id="120"/>
    </w:p>
    <w:p w14:paraId="50419D66">
      <w:pPr>
        <w:keepNext/>
        <w:keepLines/>
        <w:spacing w:line="400" w:lineRule="exact"/>
        <w:ind w:firstLine="422"/>
        <w:rPr>
          <w:rFonts w:hint="eastAsia" w:ascii="仿宋" w:hAnsi="仿宋" w:eastAsia="仿宋" w:cs="仿宋"/>
          <w:b/>
          <w:bCs/>
          <w:sz w:val="28"/>
          <w:szCs w:val="28"/>
          <w:highlight w:val="none"/>
        </w:rPr>
      </w:pPr>
      <w:bookmarkStart w:id="121" w:name="_Hlt26954850"/>
      <w:bookmarkEnd w:id="121"/>
      <w:bookmarkStart w:id="122" w:name="_Hlt26670489"/>
      <w:bookmarkEnd w:id="122"/>
      <w:bookmarkStart w:id="123" w:name="_Hlt26954734"/>
      <w:bookmarkEnd w:id="123"/>
      <w:bookmarkStart w:id="124" w:name="_Toc49090511"/>
      <w:bookmarkStart w:id="125" w:name="_Toc14577360"/>
      <w:r>
        <w:rPr>
          <w:rFonts w:hint="eastAsia" w:ascii="仿宋" w:hAnsi="仿宋" w:eastAsia="仿宋" w:cs="仿宋"/>
          <w:b/>
          <w:bCs/>
          <w:sz w:val="28"/>
          <w:szCs w:val="28"/>
          <w:highlight w:val="none"/>
        </w:rPr>
        <w:t>15、投标有效期</w:t>
      </w:r>
      <w:bookmarkEnd w:id="124"/>
      <w:bookmarkEnd w:id="125"/>
    </w:p>
    <w:p w14:paraId="0040303E">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15.1</w:t>
      </w:r>
      <w:r>
        <w:rPr>
          <w:rFonts w:hint="eastAsia" w:ascii="仿宋" w:hAnsi="仿宋" w:eastAsia="仿宋" w:cs="仿宋"/>
          <w:bCs/>
          <w:sz w:val="24"/>
          <w:highlight w:val="none"/>
        </w:rPr>
        <w:t xml:space="preserve"> 投标有效期为代理机构规定的开标之日后</w:t>
      </w:r>
      <w:r>
        <w:rPr>
          <w:rFonts w:hint="eastAsia" w:ascii="仿宋" w:hAnsi="仿宋" w:eastAsia="仿宋" w:cs="仿宋"/>
          <w:b/>
          <w:sz w:val="24"/>
          <w:highlight w:val="none"/>
          <w:u w:val="single"/>
        </w:rPr>
        <w:t>六十（60）天</w:t>
      </w:r>
      <w:r>
        <w:rPr>
          <w:rFonts w:hint="eastAsia" w:ascii="仿宋" w:hAnsi="仿宋" w:eastAsia="仿宋" w:cs="仿宋"/>
          <w:bCs/>
          <w:sz w:val="24"/>
          <w:highlight w:val="none"/>
        </w:rPr>
        <w:t>。投标有效期比规定短的将被视为未实质性响应招标文件而予以拒绝。</w:t>
      </w:r>
    </w:p>
    <w:p w14:paraId="39877A5D">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16、投标有效期的延长</w:t>
      </w:r>
    </w:p>
    <w:p w14:paraId="1D6E1256">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16.1</w:t>
      </w:r>
      <w:r>
        <w:rPr>
          <w:rFonts w:hint="eastAsia" w:ascii="仿宋" w:hAnsi="仿宋" w:eastAsia="仿宋" w:cs="仿宋"/>
          <w:bCs/>
          <w:sz w:val="24"/>
          <w:highlight w:val="none"/>
        </w:rPr>
        <w:t>在特殊情况下，代理机构于原投标有效期满之前，可向投标供应商提出延长投标有效期的要求。这种要求与答复均应采用书面形式。投标供应商可以拒绝代理机构的这一要求而放弃投标</w:t>
      </w:r>
      <w:r>
        <w:rPr>
          <w:rFonts w:hint="eastAsia" w:ascii="仿宋" w:hAnsi="仿宋" w:eastAsia="仿宋" w:cs="仿宋"/>
          <w:sz w:val="24"/>
          <w:szCs w:val="24"/>
          <w:highlight w:val="none"/>
        </w:rPr>
        <w:t>。</w:t>
      </w:r>
      <w:r>
        <w:rPr>
          <w:rFonts w:hint="eastAsia" w:ascii="仿宋" w:hAnsi="仿宋" w:eastAsia="仿宋" w:cs="仿宋"/>
          <w:bCs/>
          <w:sz w:val="24"/>
          <w:highlight w:val="none"/>
        </w:rPr>
        <w:t>同意延长投标有效期的投标供应商既不能要求也不允许修改其投标文件</w:t>
      </w:r>
      <w:r>
        <w:rPr>
          <w:rFonts w:hint="eastAsia" w:ascii="仿宋" w:hAnsi="仿宋" w:eastAsia="仿宋" w:cs="仿宋"/>
          <w:sz w:val="24"/>
          <w:szCs w:val="24"/>
          <w:highlight w:val="none"/>
        </w:rPr>
        <w:t>，同时受投标有效期约束的所有权利与义务均延长至新的有效期</w:t>
      </w:r>
      <w:r>
        <w:rPr>
          <w:rFonts w:hint="eastAsia" w:ascii="仿宋" w:hAnsi="仿宋" w:eastAsia="仿宋" w:cs="仿宋"/>
          <w:bCs/>
          <w:sz w:val="24"/>
          <w:highlight w:val="none"/>
        </w:rPr>
        <w:t>。</w:t>
      </w:r>
    </w:p>
    <w:p w14:paraId="22C23939">
      <w:pPr>
        <w:keepNext/>
        <w:keepLines/>
        <w:spacing w:before="145" w:after="145" w:line="400" w:lineRule="exact"/>
        <w:outlineLvl w:val="1"/>
        <w:rPr>
          <w:rFonts w:hint="eastAsia" w:ascii="仿宋" w:hAnsi="仿宋" w:eastAsia="仿宋" w:cs="仿宋"/>
          <w:b/>
          <w:bCs/>
          <w:sz w:val="32"/>
          <w:szCs w:val="32"/>
          <w:highlight w:val="none"/>
        </w:rPr>
      </w:pPr>
      <w:bookmarkStart w:id="126" w:name="_Hlt26954852"/>
      <w:bookmarkEnd w:id="126"/>
      <w:bookmarkStart w:id="127" w:name="_Hlt26954739"/>
      <w:bookmarkEnd w:id="127"/>
      <w:bookmarkStart w:id="128" w:name="_Toc120614217"/>
      <w:bookmarkStart w:id="129" w:name="_Toc16938540"/>
      <w:bookmarkStart w:id="130" w:name="_Toc513029224"/>
      <w:bookmarkStart w:id="131" w:name="_Toc20823296"/>
      <w:r>
        <w:rPr>
          <w:rFonts w:hint="eastAsia" w:ascii="仿宋" w:hAnsi="仿宋" w:eastAsia="仿宋" w:cs="仿宋"/>
          <w:b/>
          <w:bCs/>
          <w:sz w:val="32"/>
          <w:szCs w:val="32"/>
          <w:highlight w:val="none"/>
        </w:rPr>
        <w:t>四、投标文件的递交</w:t>
      </w:r>
      <w:bookmarkEnd w:id="128"/>
      <w:bookmarkEnd w:id="129"/>
      <w:bookmarkEnd w:id="130"/>
      <w:bookmarkEnd w:id="131"/>
    </w:p>
    <w:p w14:paraId="1019FA3B">
      <w:pPr>
        <w:keepNext/>
        <w:keepLines/>
        <w:spacing w:line="400" w:lineRule="exact"/>
        <w:ind w:firstLine="422"/>
        <w:rPr>
          <w:rFonts w:hint="eastAsia" w:ascii="仿宋" w:hAnsi="仿宋" w:eastAsia="仿宋" w:cs="仿宋"/>
          <w:b/>
          <w:bCs/>
          <w:sz w:val="28"/>
          <w:szCs w:val="28"/>
          <w:highlight w:val="none"/>
        </w:rPr>
      </w:pPr>
      <w:bookmarkStart w:id="132" w:name="_Toc16938541"/>
      <w:bookmarkStart w:id="133" w:name="_Toc20823297"/>
      <w:bookmarkStart w:id="134" w:name="_Toc462564084"/>
      <w:bookmarkStart w:id="135" w:name="_Toc513029225"/>
      <w:r>
        <w:rPr>
          <w:rFonts w:hint="eastAsia" w:ascii="仿宋" w:hAnsi="仿宋" w:eastAsia="仿宋" w:cs="仿宋"/>
          <w:b/>
          <w:bCs/>
          <w:sz w:val="28"/>
          <w:szCs w:val="28"/>
          <w:highlight w:val="none"/>
        </w:rPr>
        <w:t>17、投标文件</w:t>
      </w:r>
      <w:bookmarkEnd w:id="132"/>
      <w:bookmarkEnd w:id="133"/>
      <w:bookmarkEnd w:id="134"/>
      <w:bookmarkEnd w:id="135"/>
      <w:r>
        <w:rPr>
          <w:rFonts w:hint="eastAsia" w:ascii="仿宋" w:hAnsi="仿宋" w:eastAsia="仿宋" w:cs="仿宋"/>
          <w:b/>
          <w:bCs/>
          <w:sz w:val="28"/>
          <w:szCs w:val="28"/>
          <w:highlight w:val="none"/>
        </w:rPr>
        <w:t>的递交</w:t>
      </w:r>
    </w:p>
    <w:p w14:paraId="4FA15797">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17.1</w:t>
      </w:r>
      <w:r>
        <w:rPr>
          <w:rFonts w:hint="eastAsia" w:ascii="仿宋" w:hAnsi="仿宋" w:eastAsia="仿宋" w:cs="仿宋"/>
          <w:bCs/>
          <w:sz w:val="24"/>
          <w:highlight w:val="none"/>
        </w:rPr>
        <w:t xml:space="preserve"> 电子投标文件的递交</w:t>
      </w:r>
    </w:p>
    <w:p w14:paraId="7BAA117F">
      <w:pPr>
        <w:pStyle w:val="209"/>
        <w:ind w:left="525"/>
        <w:rPr>
          <w:rFonts w:hint="eastAsia" w:ascii="仿宋" w:hAnsi="仿宋" w:eastAsia="仿宋" w:cs="仿宋"/>
          <w:bCs/>
          <w:sz w:val="24"/>
          <w:highlight w:val="none"/>
        </w:rPr>
      </w:pPr>
      <w:r>
        <w:rPr>
          <w:rFonts w:hint="eastAsia" w:ascii="仿宋" w:hAnsi="仿宋" w:eastAsia="仿宋" w:cs="仿宋"/>
          <w:bCs/>
          <w:sz w:val="24"/>
          <w:highlight w:val="none"/>
        </w:rPr>
        <w:t>投标供应商应当按照《操作手册》规定，在投标截止时间前制作并上传电子投标文件。</w:t>
      </w:r>
      <w:bookmarkStart w:id="136" w:name="_Toc513029226"/>
      <w:bookmarkStart w:id="137" w:name="_Toc20823298"/>
      <w:bookmarkStart w:id="138" w:name="_Toc16938542"/>
    </w:p>
    <w:p w14:paraId="466E2694">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17.2确定成交供应商后，由成交供应商递交系统打印的一套正本、三套副本纸质投标文件。</w:t>
      </w:r>
    </w:p>
    <w:p w14:paraId="0ACAD5E8">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18、投标截止</w:t>
      </w:r>
      <w:bookmarkEnd w:id="136"/>
      <w:bookmarkEnd w:id="137"/>
      <w:bookmarkEnd w:id="138"/>
      <w:r>
        <w:rPr>
          <w:rFonts w:hint="eastAsia" w:ascii="仿宋" w:hAnsi="仿宋" w:eastAsia="仿宋" w:cs="仿宋"/>
          <w:b/>
          <w:bCs/>
          <w:sz w:val="28"/>
          <w:szCs w:val="28"/>
          <w:highlight w:val="none"/>
        </w:rPr>
        <w:t>时间</w:t>
      </w:r>
    </w:p>
    <w:p w14:paraId="227CEC77">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18.1</w:t>
      </w:r>
      <w:r>
        <w:rPr>
          <w:rFonts w:hint="eastAsia" w:ascii="仿宋" w:hAnsi="仿宋" w:eastAsia="仿宋" w:cs="仿宋"/>
          <w:bCs/>
          <w:sz w:val="24"/>
          <w:highlight w:val="none"/>
        </w:rPr>
        <w:t>投标供应商上传电子投标文件的时间不得迟于招标公告中规定的投标截止时间。</w:t>
      </w:r>
    </w:p>
    <w:p w14:paraId="2D885A23">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投标供应商应充分考虑到网络环境、网络带宽等风险因素，如因投标供应商自身原因造成的电子投标文件上传不成功的按照本招标文件第二章第26.1.2条规定做无效投标处理。</w:t>
      </w:r>
    </w:p>
    <w:p w14:paraId="62F6C070">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18.2</w:t>
      </w:r>
      <w:r>
        <w:rPr>
          <w:rFonts w:hint="eastAsia" w:ascii="仿宋" w:hAnsi="仿宋" w:eastAsia="仿宋" w:cs="仿宋"/>
          <w:bCs/>
          <w:sz w:val="24"/>
          <w:highlight w:val="none"/>
        </w:rPr>
        <w:t>代理机构可以按照规定，通过修改招标文件酌情延长投标截止时间，在此情况下，投标供应商的所有权利和义务以及投标供应商受制的截止时间均应以延长后新的截止时间为准。</w:t>
      </w:r>
    </w:p>
    <w:p w14:paraId="2F416CB8">
      <w:pPr>
        <w:keepNext/>
        <w:keepLines/>
        <w:spacing w:line="400" w:lineRule="exact"/>
        <w:ind w:firstLine="422"/>
        <w:rPr>
          <w:rFonts w:hint="eastAsia" w:ascii="仿宋" w:hAnsi="仿宋" w:eastAsia="仿宋" w:cs="仿宋"/>
          <w:b/>
          <w:bCs/>
          <w:sz w:val="28"/>
          <w:szCs w:val="28"/>
          <w:highlight w:val="none"/>
        </w:rPr>
      </w:pPr>
      <w:bookmarkStart w:id="139" w:name="_Toc513029227"/>
      <w:bookmarkStart w:id="140" w:name="_Toc20823299"/>
      <w:bookmarkStart w:id="141" w:name="_Toc16938543"/>
      <w:r>
        <w:rPr>
          <w:rFonts w:hint="eastAsia" w:ascii="仿宋" w:hAnsi="仿宋" w:eastAsia="仿宋" w:cs="仿宋"/>
          <w:b/>
          <w:bCs/>
          <w:sz w:val="28"/>
          <w:szCs w:val="28"/>
          <w:highlight w:val="none"/>
        </w:rPr>
        <w:t>19、投标文件</w:t>
      </w:r>
      <w:bookmarkEnd w:id="139"/>
      <w:bookmarkEnd w:id="140"/>
      <w:bookmarkEnd w:id="141"/>
      <w:r>
        <w:rPr>
          <w:rFonts w:hint="eastAsia" w:ascii="仿宋" w:hAnsi="仿宋" w:eastAsia="仿宋" w:cs="仿宋"/>
          <w:b/>
          <w:bCs/>
          <w:sz w:val="28"/>
          <w:szCs w:val="28"/>
          <w:highlight w:val="none"/>
        </w:rPr>
        <w:t>的拒收</w:t>
      </w:r>
    </w:p>
    <w:p w14:paraId="7BF49520">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19.1</w:t>
      </w:r>
      <w:r>
        <w:rPr>
          <w:rFonts w:hint="eastAsia" w:ascii="仿宋" w:hAnsi="仿宋" w:eastAsia="仿宋" w:cs="仿宋"/>
          <w:bCs/>
          <w:sz w:val="24"/>
          <w:highlight w:val="none"/>
        </w:rPr>
        <w:t>代理机构拒绝接收在其规定的投标截止时间后上传的任何投标文件。</w:t>
      </w:r>
    </w:p>
    <w:p w14:paraId="7109D4FF">
      <w:pPr>
        <w:keepNext/>
        <w:keepLines/>
        <w:spacing w:line="400" w:lineRule="exact"/>
        <w:ind w:firstLine="422"/>
        <w:rPr>
          <w:rFonts w:hint="eastAsia" w:ascii="仿宋" w:hAnsi="仿宋" w:eastAsia="仿宋" w:cs="仿宋"/>
          <w:b/>
          <w:bCs/>
          <w:sz w:val="28"/>
          <w:szCs w:val="28"/>
          <w:highlight w:val="none"/>
        </w:rPr>
      </w:pPr>
      <w:bookmarkStart w:id="142" w:name="_Toc513029228"/>
      <w:bookmarkStart w:id="143" w:name="_Toc16938544"/>
      <w:bookmarkStart w:id="144" w:name="_Toc20823300"/>
      <w:r>
        <w:rPr>
          <w:rFonts w:hint="eastAsia" w:ascii="仿宋" w:hAnsi="仿宋" w:eastAsia="仿宋" w:cs="仿宋"/>
          <w:b/>
          <w:bCs/>
          <w:sz w:val="28"/>
          <w:szCs w:val="28"/>
          <w:highlight w:val="none"/>
        </w:rPr>
        <w:t>20、投标文件的撤回和修改</w:t>
      </w:r>
      <w:bookmarkEnd w:id="142"/>
      <w:bookmarkEnd w:id="143"/>
      <w:bookmarkEnd w:id="144"/>
    </w:p>
    <w:p w14:paraId="213D3BE4">
      <w:pPr>
        <w:spacing w:line="480" w:lineRule="exact"/>
        <w:ind w:firstLine="480"/>
        <w:rPr>
          <w:rFonts w:hint="eastAsia" w:ascii="仿宋" w:hAnsi="仿宋" w:eastAsia="仿宋" w:cs="仿宋"/>
          <w:sz w:val="24"/>
          <w:highlight w:val="none"/>
        </w:rPr>
      </w:pPr>
      <w:r>
        <w:rPr>
          <w:rFonts w:hint="eastAsia" w:ascii="仿宋" w:hAnsi="仿宋" w:eastAsia="仿宋" w:cs="仿宋"/>
          <w:sz w:val="24"/>
          <w:highlight w:val="none"/>
        </w:rPr>
        <w:t>20.1 投标文件的撤回</w:t>
      </w:r>
    </w:p>
    <w:p w14:paraId="452F5A0B">
      <w:pPr>
        <w:spacing w:line="480" w:lineRule="exact"/>
        <w:ind w:firstLine="480"/>
        <w:rPr>
          <w:rFonts w:hint="eastAsia" w:ascii="仿宋" w:hAnsi="仿宋" w:eastAsia="仿宋" w:cs="仿宋"/>
          <w:sz w:val="24"/>
          <w:highlight w:val="none"/>
        </w:rPr>
      </w:pPr>
      <w:r>
        <w:rPr>
          <w:rFonts w:hint="eastAsia" w:ascii="仿宋" w:hAnsi="仿宋" w:eastAsia="仿宋" w:cs="仿宋"/>
          <w:sz w:val="24"/>
          <w:highlight w:val="none"/>
        </w:rPr>
        <w:t>20.1.1 电子投标文件的撤回</w:t>
      </w:r>
    </w:p>
    <w:p w14:paraId="449E2506">
      <w:pPr>
        <w:spacing w:line="480" w:lineRule="exact"/>
        <w:ind w:firstLine="480"/>
        <w:rPr>
          <w:rFonts w:hint="eastAsia" w:ascii="仿宋" w:hAnsi="仿宋" w:eastAsia="仿宋" w:cs="仿宋"/>
          <w:sz w:val="24"/>
          <w:highlight w:val="none"/>
        </w:rPr>
      </w:pPr>
      <w:r>
        <w:rPr>
          <w:rFonts w:hint="eastAsia" w:ascii="仿宋" w:hAnsi="仿宋" w:eastAsia="仿宋" w:cs="仿宋"/>
          <w:sz w:val="24"/>
          <w:highlight w:val="none"/>
        </w:rPr>
        <w:t>投标供应商可在投标截止时间前，撤回其电子投标文件，具体操作方法见《操作手册》。</w:t>
      </w:r>
    </w:p>
    <w:p w14:paraId="01FF268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20.1.2 投标供应商撤回电子投标文件，则认为其不再参与本项目投标活动。</w:t>
      </w:r>
    </w:p>
    <w:p w14:paraId="3475F09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20.2 投标文件的修改</w:t>
      </w:r>
    </w:p>
    <w:p w14:paraId="2B9BD21C">
      <w:pPr>
        <w:spacing w:line="480" w:lineRule="exact"/>
        <w:ind w:firstLine="480"/>
        <w:rPr>
          <w:rFonts w:hint="eastAsia" w:ascii="仿宋" w:hAnsi="仿宋" w:eastAsia="仿宋" w:cs="仿宋"/>
          <w:sz w:val="24"/>
          <w:highlight w:val="none"/>
        </w:rPr>
      </w:pPr>
      <w:r>
        <w:rPr>
          <w:rFonts w:hint="eastAsia" w:ascii="仿宋" w:hAnsi="仿宋" w:eastAsia="仿宋" w:cs="仿宋"/>
          <w:sz w:val="24"/>
          <w:highlight w:val="none"/>
        </w:rPr>
        <w:t>20.2.1投标供应商可在投标截止时间前，对其电子投标文件进行修改，具体操作方法见《操作手册》。</w:t>
      </w:r>
    </w:p>
    <w:p w14:paraId="13D85351">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20.2.2</w:t>
      </w:r>
      <w:r>
        <w:rPr>
          <w:rFonts w:hint="eastAsia" w:ascii="仿宋" w:hAnsi="仿宋" w:eastAsia="仿宋" w:cs="仿宋"/>
          <w:bCs/>
          <w:sz w:val="24"/>
          <w:highlight w:val="none"/>
        </w:rPr>
        <w:t xml:space="preserve"> 在投标截止时间之后，投标供应商不得对其电子投标文件作任何修改。</w:t>
      </w:r>
    </w:p>
    <w:p w14:paraId="6D01076A">
      <w:pPr>
        <w:spacing w:line="50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20.3</w:t>
      </w:r>
      <w:r>
        <w:rPr>
          <w:rFonts w:hint="eastAsia" w:ascii="仿宋" w:hAnsi="仿宋" w:eastAsia="仿宋" w:cs="仿宋"/>
          <w:bCs/>
          <w:sz w:val="24"/>
          <w:highlight w:val="none"/>
        </w:rPr>
        <w:t>在投标截止时间至招标文件中规定的投标有效期满之间的这段时间内，投标供应商不得撤回其投标。</w:t>
      </w:r>
    </w:p>
    <w:p w14:paraId="5B86682A">
      <w:pPr>
        <w:keepNext/>
        <w:keepLines/>
        <w:spacing w:before="145" w:after="145" w:line="400" w:lineRule="exact"/>
        <w:outlineLvl w:val="1"/>
        <w:rPr>
          <w:rFonts w:hint="eastAsia" w:ascii="仿宋" w:hAnsi="仿宋" w:eastAsia="仿宋" w:cs="仿宋"/>
          <w:b/>
          <w:bCs/>
          <w:sz w:val="32"/>
          <w:szCs w:val="32"/>
          <w:highlight w:val="none"/>
        </w:rPr>
      </w:pPr>
      <w:bookmarkStart w:id="145" w:name="_Toc513029229"/>
      <w:bookmarkStart w:id="146" w:name="_Toc16938545"/>
      <w:bookmarkStart w:id="147" w:name="_Toc120614218"/>
      <w:bookmarkStart w:id="148" w:name="_Toc20823301"/>
      <w:r>
        <w:rPr>
          <w:rFonts w:hint="eastAsia" w:ascii="仿宋" w:hAnsi="仿宋" w:eastAsia="仿宋" w:cs="仿宋"/>
          <w:b/>
          <w:bCs/>
          <w:sz w:val="32"/>
          <w:szCs w:val="32"/>
          <w:highlight w:val="none"/>
        </w:rPr>
        <w:t>五、开标与评标</w:t>
      </w:r>
      <w:bookmarkEnd w:id="145"/>
      <w:bookmarkEnd w:id="146"/>
      <w:bookmarkEnd w:id="147"/>
      <w:bookmarkEnd w:id="148"/>
    </w:p>
    <w:p w14:paraId="4E56FA6F">
      <w:pPr>
        <w:keepNext/>
        <w:keepLines/>
        <w:spacing w:line="400" w:lineRule="exact"/>
        <w:ind w:firstLine="422"/>
        <w:rPr>
          <w:rFonts w:hint="eastAsia" w:ascii="仿宋" w:hAnsi="仿宋" w:eastAsia="仿宋" w:cs="仿宋"/>
          <w:b/>
          <w:bCs/>
          <w:sz w:val="28"/>
          <w:szCs w:val="28"/>
          <w:highlight w:val="none"/>
        </w:rPr>
      </w:pPr>
      <w:bookmarkStart w:id="149" w:name="_Toc16938546"/>
      <w:bookmarkStart w:id="150" w:name="_Toc513029230"/>
      <w:bookmarkStart w:id="151" w:name="_Toc20823302"/>
      <w:r>
        <w:rPr>
          <w:rFonts w:hint="eastAsia" w:ascii="仿宋" w:hAnsi="仿宋" w:eastAsia="仿宋" w:cs="仿宋"/>
          <w:b/>
          <w:bCs/>
          <w:sz w:val="28"/>
          <w:szCs w:val="28"/>
          <w:highlight w:val="none"/>
        </w:rPr>
        <w:t>21、开标</w:t>
      </w:r>
      <w:bookmarkEnd w:id="149"/>
      <w:bookmarkEnd w:id="150"/>
      <w:bookmarkEnd w:id="151"/>
    </w:p>
    <w:p w14:paraId="79D252BB">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21.1代理机构将在招标公告中规定的时间和地点组织公开开标。投标供应商应当按照《操作手册》规定，参加开标活动和在苏采云系统规定的时间内对投标文件进行解密。</w:t>
      </w:r>
    </w:p>
    <w:p w14:paraId="14BCCB0B">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21.2开标仪式由代理机构组织。苏采云系统将自动对项目进行开标，并宣布各投标供应商名称和投标价格。</w:t>
      </w:r>
    </w:p>
    <w:p w14:paraId="29C62942">
      <w:pPr>
        <w:spacing w:line="500" w:lineRule="exact"/>
        <w:ind w:firstLine="480"/>
        <w:rPr>
          <w:rFonts w:hint="eastAsia" w:ascii="仿宋" w:hAnsi="仿宋" w:eastAsia="仿宋" w:cs="仿宋"/>
          <w:sz w:val="24"/>
          <w:szCs w:val="24"/>
          <w:highlight w:val="none"/>
        </w:rPr>
      </w:pPr>
      <w:r>
        <w:rPr>
          <w:rFonts w:hint="eastAsia" w:ascii="仿宋" w:hAnsi="仿宋" w:eastAsia="仿宋" w:cs="仿宋"/>
          <w:bCs/>
          <w:sz w:val="24"/>
          <w:highlight w:val="none"/>
        </w:rPr>
        <w:t>21.3投标供应商在开标过程中涉及到的投标文件解密、开标结果确认等工作，应按照《操作手册》规定执行。</w:t>
      </w:r>
    </w:p>
    <w:p w14:paraId="32298EA9">
      <w:pPr>
        <w:spacing w:line="5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21.4投标供应商如果对开标过程和开标记录有疑义，应当根据《操作手册》规定提出，如苏采云系统中《开标记录表》宣布后5分钟内未提出的，视同认可开标结果。</w:t>
      </w:r>
    </w:p>
    <w:p w14:paraId="7F52C062">
      <w:pPr>
        <w:keepNext/>
        <w:keepLines/>
        <w:spacing w:line="400" w:lineRule="exact"/>
        <w:ind w:firstLine="422"/>
        <w:rPr>
          <w:rFonts w:hint="eastAsia" w:ascii="仿宋" w:hAnsi="仿宋" w:eastAsia="仿宋" w:cs="仿宋"/>
          <w:b/>
          <w:bCs/>
          <w:sz w:val="28"/>
          <w:szCs w:val="28"/>
          <w:highlight w:val="none"/>
        </w:rPr>
      </w:pPr>
      <w:bookmarkStart w:id="152" w:name="_Toc513029231"/>
      <w:bookmarkStart w:id="153" w:name="_Toc16938547"/>
      <w:bookmarkStart w:id="154" w:name="_Toc20823303"/>
      <w:r>
        <w:rPr>
          <w:rFonts w:hint="eastAsia" w:ascii="仿宋" w:hAnsi="仿宋" w:eastAsia="仿宋" w:cs="仿宋"/>
          <w:b/>
          <w:bCs/>
          <w:sz w:val="28"/>
          <w:szCs w:val="28"/>
          <w:highlight w:val="none"/>
        </w:rPr>
        <w:t>22、评标委员会</w:t>
      </w:r>
    </w:p>
    <w:p w14:paraId="24AB6B63">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22.1 开标后，代理机构将立即组织评标委员会（以下简称评委会）进行评标。</w:t>
      </w:r>
    </w:p>
    <w:p w14:paraId="5F436B23">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22.2 评委会由采购人代表和有关技术、经济等方面的专家组成，且人员构成符合政府采购有关规定。</w:t>
      </w:r>
    </w:p>
    <w:p w14:paraId="38720411">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22.3评委会独立工作，负责评审所有投标文件并确定中标候选人。</w:t>
      </w:r>
    </w:p>
    <w:p w14:paraId="0912DEAA">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23、评标过程的保密与公正</w:t>
      </w:r>
      <w:bookmarkEnd w:id="152"/>
      <w:bookmarkEnd w:id="153"/>
      <w:bookmarkEnd w:id="154"/>
    </w:p>
    <w:p w14:paraId="33F4D51C">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23.1公开开标后，直至向中标的投标供应商授予合同时止，凡是与审查、澄清、评价和比较投标的有关资料以及授标建议等，采购人、评委、代理机构均不得向投标供应商或与评标无关的其他人员透露。</w:t>
      </w:r>
    </w:p>
    <w:p w14:paraId="52A0533C">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23.2在评标过程中，投标供应商不得以任何行为影响评标过程，否则其投标文件将被作为无效投标文件。</w:t>
      </w:r>
    </w:p>
    <w:p w14:paraId="6BA60A3F">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23.3在评标期间，代理机构将设专门人员与投标供应商联系。</w:t>
      </w:r>
    </w:p>
    <w:p w14:paraId="5BE410D7">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23.4代理机构和评标委员会不向未中标的投标供应商解释未中标原因，也不公布评标过程中的相关细节。</w:t>
      </w:r>
    </w:p>
    <w:p w14:paraId="5766EEFB">
      <w:pPr>
        <w:spacing w:line="480" w:lineRule="exact"/>
        <w:ind w:firstLine="480"/>
        <w:rPr>
          <w:rFonts w:hint="eastAsia" w:ascii="仿宋" w:hAnsi="仿宋" w:eastAsia="仿宋" w:cs="仿宋"/>
          <w:b/>
          <w:sz w:val="24"/>
          <w:szCs w:val="24"/>
          <w:highlight w:val="none"/>
        </w:rPr>
      </w:pPr>
      <w:r>
        <w:rPr>
          <w:rFonts w:hint="eastAsia" w:ascii="仿宋" w:hAnsi="仿宋" w:eastAsia="仿宋" w:cs="仿宋"/>
          <w:bCs/>
          <w:sz w:val="24"/>
          <w:szCs w:val="24"/>
          <w:highlight w:val="none"/>
        </w:rPr>
        <w:t>23.5采用综合评分法的项目，未中标的投标供应商可于中标结果公告期限届满之日起通过苏采云系统查看自己的评审得分及排序情况。</w:t>
      </w:r>
    </w:p>
    <w:p w14:paraId="22EAFC16">
      <w:pPr>
        <w:keepNext/>
        <w:keepLines/>
        <w:spacing w:line="400" w:lineRule="exact"/>
        <w:ind w:firstLine="422"/>
        <w:rPr>
          <w:rFonts w:hint="eastAsia" w:ascii="仿宋" w:hAnsi="仿宋" w:eastAsia="仿宋" w:cs="仿宋"/>
          <w:b/>
          <w:bCs/>
          <w:sz w:val="28"/>
          <w:szCs w:val="28"/>
          <w:highlight w:val="none"/>
        </w:rPr>
      </w:pPr>
      <w:bookmarkStart w:id="155" w:name="_Toc513029232"/>
      <w:bookmarkStart w:id="156" w:name="_Toc16938548"/>
      <w:bookmarkStart w:id="157" w:name="_Toc20823304"/>
      <w:r>
        <w:rPr>
          <w:rFonts w:hint="eastAsia" w:ascii="仿宋" w:hAnsi="仿宋" w:eastAsia="仿宋" w:cs="仿宋"/>
          <w:b/>
          <w:bCs/>
          <w:sz w:val="28"/>
          <w:szCs w:val="28"/>
          <w:highlight w:val="none"/>
        </w:rPr>
        <w:t>24、投标文件的澄清</w:t>
      </w:r>
      <w:bookmarkEnd w:id="155"/>
      <w:bookmarkEnd w:id="156"/>
      <w:bookmarkEnd w:id="157"/>
    </w:p>
    <w:p w14:paraId="2BD596DC">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24.1评标期间，评委会对投标文件中含义不明确、同类问题表述不一致或者有明显文字和计算错误的内容 ，有权要求投标供应商作出必要的澄清、说明或者补正。</w:t>
      </w:r>
    </w:p>
    <w:p w14:paraId="3C09389C">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投标供应商的澄清、说明或者补正不得超出投标文件的范围或者改变投标文件的实质性内容。</w:t>
      </w:r>
    </w:p>
    <w:p w14:paraId="48CD8579">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评标委员会并非对每个投标供应商都做澄清要求。</w:t>
      </w:r>
    </w:p>
    <w:p w14:paraId="0F8653C5">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24.2需要投标供应商进行澄清、说明和补正的，评委会将通过苏采云系统向投标供应商发出“澄清要求函”，接到“澄清要求函”的投标供应商应当按照要求在苏采云系统中提交“澄清响应函”并加盖CA电子公章。澄清、说明和补正的内容作为投标文件的补充部分，具体操作方式见《操作手册》。</w:t>
      </w:r>
    </w:p>
    <w:p w14:paraId="2F4853C1">
      <w:pPr>
        <w:spacing w:line="480" w:lineRule="exact"/>
        <w:ind w:firstLine="480"/>
        <w:rPr>
          <w:rFonts w:hint="eastAsia" w:ascii="仿宋" w:hAnsi="仿宋" w:eastAsia="仿宋" w:cs="仿宋"/>
          <w:bCs/>
          <w:sz w:val="24"/>
          <w:szCs w:val="24"/>
          <w:highlight w:val="none"/>
        </w:rPr>
      </w:pPr>
      <w:r>
        <w:rPr>
          <w:rFonts w:hint="eastAsia" w:ascii="仿宋" w:hAnsi="仿宋" w:eastAsia="仿宋" w:cs="仿宋"/>
          <w:bCs/>
          <w:sz w:val="24"/>
          <w:szCs w:val="24"/>
          <w:highlight w:val="none"/>
        </w:rPr>
        <w:t>24.3接到评委会澄清、说明和补正要求的投标供应商如未按规定做出澄清、说明和补正，其风险由投标供应商自行承担。</w:t>
      </w:r>
    </w:p>
    <w:p w14:paraId="04C1ECE2">
      <w:pPr>
        <w:keepNext/>
        <w:keepLines/>
        <w:spacing w:line="400" w:lineRule="exact"/>
        <w:ind w:firstLine="422"/>
        <w:rPr>
          <w:rFonts w:hint="eastAsia" w:ascii="仿宋" w:hAnsi="仿宋" w:eastAsia="仿宋" w:cs="仿宋"/>
          <w:b/>
          <w:bCs/>
          <w:sz w:val="28"/>
          <w:szCs w:val="28"/>
          <w:highlight w:val="none"/>
        </w:rPr>
      </w:pPr>
      <w:bookmarkStart w:id="158" w:name="_Toc513029233"/>
      <w:bookmarkStart w:id="159" w:name="_Toc16938549"/>
      <w:bookmarkStart w:id="160" w:name="_Toc20823305"/>
      <w:r>
        <w:rPr>
          <w:rFonts w:hint="eastAsia" w:ascii="仿宋" w:hAnsi="仿宋" w:eastAsia="仿宋" w:cs="仿宋"/>
          <w:b/>
          <w:bCs/>
          <w:sz w:val="28"/>
          <w:szCs w:val="28"/>
          <w:highlight w:val="none"/>
        </w:rPr>
        <w:t>25、对投标文件的初审</w:t>
      </w:r>
      <w:bookmarkEnd w:id="158"/>
      <w:bookmarkEnd w:id="159"/>
      <w:bookmarkEnd w:id="160"/>
    </w:p>
    <w:p w14:paraId="1EA93E72">
      <w:pPr>
        <w:spacing w:line="46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25.1</w:t>
      </w:r>
      <w:r>
        <w:rPr>
          <w:rFonts w:hint="eastAsia" w:ascii="仿宋" w:hAnsi="仿宋" w:eastAsia="仿宋" w:cs="仿宋"/>
          <w:bCs/>
          <w:sz w:val="24"/>
          <w:highlight w:val="none"/>
        </w:rPr>
        <w:t>投标文件初审分为资格审查和符合性审查。</w:t>
      </w:r>
    </w:p>
    <w:p w14:paraId="5DCD528F">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25.1.1资格审查：依据法律法规和招标文件的规定，由采购人对投标文件中的资格证明文件进行审查。资格审查的结论，采购人以书面形式向评委会进行反馈。</w:t>
      </w:r>
    </w:p>
    <w:p w14:paraId="28E52C2A">
      <w:pPr>
        <w:spacing w:line="460" w:lineRule="exact"/>
        <w:ind w:firstLine="480"/>
        <w:jc w:val="left"/>
        <w:rPr>
          <w:rFonts w:hint="eastAsia" w:ascii="仿宋" w:hAnsi="仿宋" w:eastAsia="仿宋" w:cs="仿宋"/>
          <w:bCs/>
          <w:sz w:val="24"/>
          <w:highlight w:val="none"/>
        </w:rPr>
      </w:pPr>
      <w:r>
        <w:rPr>
          <w:rFonts w:hint="eastAsia" w:ascii="仿宋" w:hAnsi="仿宋" w:eastAsia="仿宋" w:cs="仿宋"/>
          <w:bCs/>
          <w:sz w:val="24"/>
          <w:highlight w:val="none"/>
        </w:rPr>
        <w:t>采购人在进行资格性审查的同时，将在“信用中国”网站（www.creditchina.gov.cn）查询投标供应商的信用记录，以确定投标供应商是否具备投标资格,查询结果留存并归档。</w:t>
      </w:r>
    </w:p>
    <w:p w14:paraId="7ADC1687">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三个自然人、法人或者其他组织组成一个联合体，以一个供应商的身份共同参加政府采购活动的,联合体成员存在不良信用记录的，视同联合体存在不良应用记录。</w:t>
      </w:r>
    </w:p>
    <w:p w14:paraId="68593FFD">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25.1.2符合性审查：依据招标文件的规定，由评委会从投标文件的有效性、完整性和对招标文件的响应程度进行审查，以确定是否对招标文件的实质性要求作出响应。</w:t>
      </w:r>
    </w:p>
    <w:p w14:paraId="42F8ABFF">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25.1.3未通过资格审查或符合性审查的投标供应商，评标委员会将在</w:t>
      </w:r>
      <w:r>
        <w:rPr>
          <w:rFonts w:hint="eastAsia" w:ascii="仿宋" w:hAnsi="仿宋" w:eastAsia="仿宋" w:cs="仿宋"/>
          <w:sz w:val="24"/>
          <w:szCs w:val="24"/>
          <w:highlight w:val="none"/>
        </w:rPr>
        <w:t>苏采云系统</w:t>
      </w:r>
      <w:r>
        <w:rPr>
          <w:rFonts w:hint="eastAsia" w:ascii="仿宋" w:hAnsi="仿宋" w:eastAsia="仿宋" w:cs="仿宋"/>
          <w:bCs/>
          <w:sz w:val="24"/>
          <w:highlight w:val="none"/>
        </w:rPr>
        <w:t>中告知未通过资格审查或符合性审查的原因，评标结束后，评标委员会将不再告知未通过资格审查和符合性审查的原因。</w:t>
      </w:r>
    </w:p>
    <w:p w14:paraId="58EB1C5E">
      <w:pPr>
        <w:spacing w:line="460" w:lineRule="exact"/>
        <w:ind w:firstLine="480"/>
        <w:rPr>
          <w:rFonts w:hint="eastAsia" w:ascii="仿宋" w:hAnsi="仿宋" w:eastAsia="仿宋" w:cs="仿宋"/>
          <w:sz w:val="24"/>
          <w:highlight w:val="none"/>
        </w:rPr>
      </w:pPr>
      <w:r>
        <w:rPr>
          <w:rFonts w:hint="eastAsia" w:ascii="仿宋" w:hAnsi="仿宋" w:eastAsia="仿宋" w:cs="仿宋"/>
          <w:sz w:val="24"/>
          <w:highlight w:val="none"/>
        </w:rPr>
        <w:t>25.2在详细评标之前，评委会将首先审查每份投标文件是否实质性响应了招标文件的要求。实质性响应的投标应该是与招标文件要求的全部条款、条件和规格相符，没有重大偏离或保留的投标。</w:t>
      </w:r>
    </w:p>
    <w:p w14:paraId="4EAC2DF8">
      <w:pPr>
        <w:spacing w:line="460" w:lineRule="exact"/>
        <w:ind w:firstLine="480"/>
        <w:rPr>
          <w:rFonts w:hint="eastAsia" w:ascii="仿宋" w:hAnsi="仿宋" w:eastAsia="仿宋" w:cs="仿宋"/>
          <w:sz w:val="24"/>
          <w:highlight w:val="none"/>
        </w:rPr>
      </w:pPr>
      <w:r>
        <w:rPr>
          <w:rFonts w:hint="eastAsia" w:ascii="仿宋" w:hAnsi="仿宋" w:eastAsia="仿宋" w:cs="仿宋"/>
          <w:sz w:val="24"/>
          <w:highlight w:val="none"/>
        </w:rPr>
        <w:t>所谓重大偏离或保留是指与招标文件规定的实质性要求存在负偏离，或者在实质上与招标文件不一致，而且限制了合同中买方的权利或投标供应商的义务，纠正这些偏离或保留将会对其他实质性响应要求的投标供应商的竞争地位产生不公正的影响。重大偏离的认定需经过评委会以少数服从多数的原则作出结论。评委决定投标文件的响应性只根据投标文件本身的内容，而不寻求外部的证据。</w:t>
      </w:r>
    </w:p>
    <w:p w14:paraId="3E6C6B8B">
      <w:pPr>
        <w:spacing w:line="460" w:lineRule="exact"/>
        <w:ind w:firstLine="480"/>
        <w:rPr>
          <w:rFonts w:hint="eastAsia" w:ascii="仿宋" w:hAnsi="仿宋" w:eastAsia="仿宋" w:cs="仿宋"/>
          <w:sz w:val="24"/>
          <w:highlight w:val="none"/>
        </w:rPr>
      </w:pPr>
      <w:r>
        <w:rPr>
          <w:rFonts w:hint="eastAsia" w:ascii="仿宋" w:hAnsi="仿宋" w:eastAsia="仿宋" w:cs="仿宋"/>
          <w:sz w:val="24"/>
          <w:highlight w:val="none"/>
        </w:rPr>
        <w:t>25.3如果投标文件实质上没有响应招标文件的要求，评委会将予以拒绝，投标供应商不得通过修改或撤销不合要求的偏离或保留而使其投标成为实质性响应的投标。</w:t>
      </w:r>
    </w:p>
    <w:p w14:paraId="60669547">
      <w:pPr>
        <w:spacing w:line="46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25.4</w:t>
      </w:r>
      <w:r>
        <w:rPr>
          <w:rFonts w:hint="eastAsia" w:ascii="仿宋" w:hAnsi="仿宋" w:eastAsia="仿宋" w:cs="仿宋"/>
          <w:bCs/>
          <w:sz w:val="24"/>
          <w:highlight w:val="none"/>
        </w:rPr>
        <w:t>评委会将对确定为实质性响应的投标进行进一步审核，确定其是否有计算上或累加上的算术错误，修正错误的原则如下：</w:t>
      </w:r>
    </w:p>
    <w:p w14:paraId="5A79A034">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（1）大写金额和小写金额不一致的，以大写金额为准。</w:t>
      </w:r>
    </w:p>
    <w:p w14:paraId="0703DBD0">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（2）单价金额小数点或者百分比有明显错位的，以开标一览表的总价为准，并修改单价。</w:t>
      </w:r>
    </w:p>
    <w:p w14:paraId="3A1463C6">
      <w:pPr>
        <w:spacing w:line="46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（3）总价金额与按单价汇总金额不一致的，以单价金额计算结果为准。</w:t>
      </w:r>
    </w:p>
    <w:p w14:paraId="3B447906">
      <w:pPr>
        <w:spacing w:line="460" w:lineRule="exact"/>
        <w:ind w:firstLine="720"/>
        <w:rPr>
          <w:rFonts w:hint="eastAsia" w:ascii="仿宋" w:hAnsi="仿宋" w:eastAsia="仿宋" w:cs="仿宋"/>
          <w:bCs/>
          <w:sz w:val="24"/>
          <w:highlight w:val="none"/>
        </w:rPr>
      </w:pPr>
      <w:r>
        <w:rPr>
          <w:rFonts w:hint="eastAsia" w:ascii="仿宋" w:hAnsi="仿宋" w:eastAsia="仿宋" w:cs="仿宋"/>
          <w:bCs/>
          <w:sz w:val="24"/>
          <w:highlight w:val="none"/>
        </w:rPr>
        <w:t>同时出现两种以上错误的，按照前款规定的顺序修正。</w:t>
      </w:r>
    </w:p>
    <w:p w14:paraId="4CE3A9B4">
      <w:pPr>
        <w:spacing w:line="460" w:lineRule="exact"/>
        <w:ind w:firstLine="480"/>
        <w:rPr>
          <w:rFonts w:hint="eastAsia" w:ascii="仿宋" w:hAnsi="仿宋" w:eastAsia="仿宋" w:cs="仿宋"/>
          <w:bCs/>
          <w:sz w:val="24"/>
          <w:highlight w:val="none"/>
        </w:rPr>
      </w:pPr>
      <w:r>
        <w:rPr>
          <w:rFonts w:hint="eastAsia" w:ascii="仿宋" w:hAnsi="仿宋" w:eastAsia="仿宋" w:cs="仿宋"/>
          <w:sz w:val="24"/>
          <w:highlight w:val="none"/>
        </w:rPr>
        <w:t>25.5</w:t>
      </w:r>
      <w:r>
        <w:rPr>
          <w:rFonts w:hint="eastAsia" w:ascii="仿宋" w:hAnsi="仿宋" w:eastAsia="仿宋" w:cs="仿宋"/>
          <w:bCs/>
          <w:sz w:val="24"/>
          <w:highlight w:val="none"/>
        </w:rPr>
        <w:t>评委会将按上述修正错误的方法调整投标文件中的投标报价，并通过</w:t>
      </w:r>
      <w:r>
        <w:rPr>
          <w:rFonts w:hint="eastAsia" w:ascii="仿宋" w:hAnsi="仿宋" w:eastAsia="仿宋" w:cs="仿宋"/>
          <w:sz w:val="24"/>
          <w:szCs w:val="24"/>
          <w:highlight w:val="none"/>
        </w:rPr>
        <w:t>苏采云系统</w:t>
      </w:r>
      <w:r>
        <w:rPr>
          <w:rFonts w:hint="eastAsia" w:ascii="仿宋" w:hAnsi="仿宋" w:eastAsia="仿宋" w:cs="仿宋"/>
          <w:bCs/>
          <w:sz w:val="24"/>
          <w:highlight w:val="none"/>
        </w:rPr>
        <w:t>告知投标供应商，调整后的价格应对投标供应商具有约束力。如果投标供应商不接受修正后的价格，则其投标将被拒绝。</w:t>
      </w:r>
    </w:p>
    <w:p w14:paraId="54F24604">
      <w:pPr>
        <w:spacing w:line="460" w:lineRule="exact"/>
        <w:ind w:firstLine="420"/>
        <w:rPr>
          <w:rFonts w:hint="eastAsia" w:ascii="仿宋" w:hAnsi="仿宋" w:eastAsia="仿宋" w:cs="仿宋"/>
          <w:sz w:val="24"/>
          <w:highlight w:val="none"/>
        </w:rPr>
      </w:pPr>
      <w:r>
        <w:rPr>
          <w:rFonts w:hint="eastAsia" w:ascii="仿宋" w:hAnsi="仿宋" w:eastAsia="仿宋" w:cs="仿宋"/>
          <w:sz w:val="24"/>
          <w:highlight w:val="none"/>
        </w:rPr>
        <w:t>25.6评委会将允许修正投标文件中不构成重大偏离的、微小的、非正规的、不一致的或不规则的地方，但这些修改不能影响任何投标供应商相应的名次排列。</w:t>
      </w:r>
      <w:bookmarkStart w:id="161" w:name="_Toc16938550"/>
      <w:bookmarkStart w:id="162" w:name="_Toc513029234"/>
      <w:bookmarkStart w:id="163" w:name="_Toc20823306"/>
    </w:p>
    <w:p w14:paraId="6D74E94F">
      <w:pPr>
        <w:spacing w:line="460" w:lineRule="exact"/>
        <w:ind w:firstLine="420"/>
        <w:rPr>
          <w:rFonts w:hint="eastAsia" w:ascii="仿宋" w:hAnsi="仿宋" w:eastAsia="仿宋" w:cs="仿宋"/>
          <w:sz w:val="24"/>
          <w:highlight w:val="none"/>
        </w:rPr>
      </w:pPr>
      <w:r>
        <w:rPr>
          <w:rFonts w:hint="eastAsia" w:ascii="仿宋" w:hAnsi="仿宋" w:eastAsia="仿宋" w:cs="仿宋"/>
          <w:sz w:val="24"/>
          <w:highlight w:val="none"/>
        </w:rPr>
        <w:t>25.7投标供应商在开、评标全过程中应保持通讯畅通，及时登录</w:t>
      </w:r>
      <w:r>
        <w:rPr>
          <w:rFonts w:hint="eastAsia" w:ascii="仿宋" w:hAnsi="仿宋" w:eastAsia="仿宋" w:cs="仿宋"/>
          <w:sz w:val="24"/>
          <w:szCs w:val="24"/>
          <w:highlight w:val="none"/>
        </w:rPr>
        <w:t>苏采云系统</w:t>
      </w:r>
      <w:r>
        <w:rPr>
          <w:rFonts w:hint="eastAsia" w:ascii="仿宋" w:hAnsi="仿宋" w:eastAsia="仿宋" w:cs="仿宋"/>
          <w:sz w:val="24"/>
          <w:highlight w:val="none"/>
        </w:rPr>
        <w:t>查阅、答复相关信息，并安排专人与代理机构及评标委员会联系。</w:t>
      </w:r>
    </w:p>
    <w:p w14:paraId="502DBB15">
      <w:pPr>
        <w:spacing w:line="400" w:lineRule="exact"/>
        <w:ind w:firstLine="420"/>
        <w:outlineLvl w:val="9"/>
        <w:rPr>
          <w:rFonts w:hint="eastAsia" w:ascii="仿宋" w:hAnsi="仿宋" w:eastAsia="仿宋" w:cs="仿宋"/>
          <w:b/>
          <w:bCs/>
          <w:color w:val="auto"/>
          <w:sz w:val="24"/>
          <w:szCs w:val="21"/>
          <w:highlight w:val="none"/>
        </w:rPr>
      </w:pPr>
      <w:r>
        <w:rPr>
          <w:rFonts w:hint="eastAsia" w:ascii="仿宋" w:hAnsi="仿宋" w:eastAsia="仿宋" w:cs="仿宋"/>
          <w:b/>
          <w:bCs/>
          <w:color w:val="auto"/>
          <w:sz w:val="24"/>
          <w:highlight w:val="none"/>
        </w:rPr>
        <w:t>25.8.</w:t>
      </w:r>
      <w:r>
        <w:rPr>
          <w:rFonts w:hint="eastAsia" w:ascii="仿宋" w:hAnsi="仿宋" w:eastAsia="仿宋" w:cs="仿宋"/>
          <w:b/>
          <w:bCs/>
          <w:color w:val="auto"/>
          <w:sz w:val="24"/>
          <w:szCs w:val="21"/>
          <w:highlight w:val="none"/>
        </w:rPr>
        <w:t>异常低价审查</w:t>
      </w:r>
    </w:p>
    <w:p w14:paraId="0B8D3B83">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25.8.1评标过程中出现下列情形之一的，评标小组应当启动异常低价投标审查程序：</w:t>
      </w:r>
    </w:p>
    <w:p w14:paraId="0CD08165">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（1）投标（响应）报价低于全部通过符合性审查供应商投标（响应）报价平均值50%的，即投标（响应）报价&lt;全部通过符合性审查供应商投标（响应）报价平均值×50%；</w:t>
      </w:r>
    </w:p>
    <w:p w14:paraId="048C6CA3">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（2）投标（响应）报价低于通过符合性审查的次低报价供应商投标（响应）报价50%的，即投标（响应）报价&lt;通过符合性审查的次低报价供应商投标（响应）报价×50%；</w:t>
      </w:r>
    </w:p>
    <w:p w14:paraId="4DA7B1CB">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（3）投标（响应）报价低于采购项目最高限价45%的，即投标（响应）报价&lt;采购项目最高限价×45%；</w:t>
      </w:r>
    </w:p>
    <w:p w14:paraId="5B38D84C">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（4）评标小组基于专业判断，认为供应商报价过低，有可能影响产品质量或者不能诚信履约的其他情形。</w:t>
      </w:r>
    </w:p>
    <w:p w14:paraId="77B5B71C">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25.8.2 评标小组启动异常低价投标（响应）审查后，属于前述第1项至第4项情形的，应当要求相关供应商通过“苏采云”系统在30分钟内对投标（响应）价格作出解释，提供项目具体成本测算等与报价合理性相关的书面说明及必要的证明材料，包括但不限于原材料成本、人工成本、制造费用等。其中，属于第3项情形，供应商已随投标（响应）文件一并提交相关书面说明及必要的证明材料的，在评审现场可不再重复提交。</w:t>
      </w:r>
    </w:p>
    <w:p w14:paraId="50397204">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评标小组依据专业经验，参考同类项目中标（成交）价格、类似产品市场价格水平、行业人工费用标准、国家有关部门指导行业协会发布的行业平均成本等情况，对报价合理性进行判断。投标（响应）供应商不能提供书面说明、证明材料，或者提供的书面说明、证明材料不能证明其报价合理性的，评标小组应当将其作为无效投标（响应）处理。</w:t>
      </w:r>
    </w:p>
    <w:p w14:paraId="11CC22DC">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color w:val="auto"/>
          <w:sz w:val="24"/>
          <w:szCs w:val="24"/>
          <w:highlight w:val="none"/>
          <w:lang w:val="en-US" w:eastAsia="zh-CN"/>
        </w:rPr>
      </w:pPr>
      <w:r>
        <w:rPr>
          <w:rFonts w:hint="eastAsia" w:ascii="仿宋" w:hAnsi="仿宋" w:eastAsia="仿宋" w:cs="仿宋"/>
          <w:b/>
          <w:bCs/>
          <w:color w:val="auto"/>
          <w:sz w:val="24"/>
          <w:szCs w:val="24"/>
          <w:highlight w:val="none"/>
          <w:lang w:val="en-US" w:eastAsia="zh-CN"/>
        </w:rPr>
        <w:t>采购人、采购代理机构应当为评标小组在评审现场及时获取同类项目中标（成交）价格、类似产品市场价格水平、行业人工费用标准、国家有关部门指导行业协会发布的行业平均成本等相关信息资料提供便利。评标小组借助互联网等渠道查询相关信息的，应当严格遵守评审工作纪律，不得实施影响评审公正的行为。</w:t>
      </w:r>
    </w:p>
    <w:p w14:paraId="5C352DD0">
      <w:pPr>
        <w:pageBreakBefore w:val="0"/>
        <w:widowControl w:val="0"/>
        <w:kinsoku/>
        <w:wordWrap/>
        <w:overflowPunct/>
        <w:topLinePunct w:val="0"/>
        <w:autoSpaceDE/>
        <w:autoSpaceDN/>
        <w:bidi w:val="0"/>
        <w:adjustRightInd/>
        <w:snapToGrid/>
        <w:spacing w:line="500" w:lineRule="exact"/>
        <w:ind w:firstLine="482" w:firstLineChars="200"/>
        <w:textAlignment w:val="auto"/>
        <w:rPr>
          <w:rFonts w:hint="eastAsia" w:ascii="仿宋" w:hAnsi="仿宋" w:eastAsia="仿宋" w:cs="仿宋"/>
          <w:b/>
          <w:bCs/>
          <w:sz w:val="28"/>
          <w:szCs w:val="28"/>
          <w:highlight w:val="none"/>
        </w:rPr>
      </w:pPr>
      <w:r>
        <w:rPr>
          <w:rFonts w:hint="eastAsia" w:ascii="仿宋" w:hAnsi="仿宋" w:eastAsia="仿宋" w:cs="仿宋"/>
          <w:b/>
          <w:bCs/>
          <w:color w:val="auto"/>
          <w:sz w:val="24"/>
          <w:szCs w:val="24"/>
          <w:highlight w:val="none"/>
          <w:lang w:val="en-US" w:eastAsia="zh-CN"/>
        </w:rPr>
        <w:t>异常低价投标（响应）审查的启动原因、审查意见和审查结果应当在评审报告中记录，并随供应商提供的相关书面说明及证明材料，以及评标小组有关互联网浏览、查询历史一并归档。</w:t>
      </w:r>
    </w:p>
    <w:p w14:paraId="74A268FB">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26、</w:t>
      </w:r>
      <w:bookmarkEnd w:id="161"/>
      <w:bookmarkEnd w:id="162"/>
      <w:bookmarkEnd w:id="163"/>
      <w:r>
        <w:rPr>
          <w:rFonts w:hint="eastAsia" w:ascii="仿宋" w:hAnsi="仿宋" w:eastAsia="仿宋" w:cs="仿宋"/>
          <w:b/>
          <w:bCs/>
          <w:sz w:val="28"/>
          <w:szCs w:val="28"/>
          <w:highlight w:val="none"/>
        </w:rPr>
        <w:t>无效投标条款和废标条款</w:t>
      </w:r>
    </w:p>
    <w:p w14:paraId="15A26BFC">
      <w:pPr>
        <w:spacing w:line="440" w:lineRule="exact"/>
        <w:ind w:left="479"/>
        <w:outlineLvl w:val="2"/>
        <w:rPr>
          <w:rFonts w:hint="eastAsia" w:ascii="仿宋" w:hAnsi="仿宋" w:eastAsia="仿宋" w:cs="仿宋"/>
          <w:bCs/>
          <w:sz w:val="24"/>
          <w:highlight w:val="none"/>
        </w:rPr>
      </w:pPr>
      <w:bookmarkStart w:id="164" w:name="_Toc16938551"/>
      <w:bookmarkStart w:id="165" w:name="_Toc513029235"/>
      <w:bookmarkStart w:id="166" w:name="_Toc20823307"/>
      <w:r>
        <w:rPr>
          <w:rFonts w:hint="eastAsia" w:ascii="仿宋" w:hAnsi="仿宋" w:eastAsia="仿宋" w:cs="仿宋"/>
          <w:bCs/>
          <w:sz w:val="24"/>
          <w:highlight w:val="none"/>
        </w:rPr>
        <w:t>26.1无效投标条款</w:t>
      </w:r>
    </w:p>
    <w:p w14:paraId="13154D56">
      <w:pPr>
        <w:spacing w:line="440" w:lineRule="exact"/>
        <w:ind w:firstLine="480"/>
        <w:rPr>
          <w:rFonts w:hint="eastAsia" w:ascii="仿宋" w:hAnsi="仿宋" w:eastAsia="仿宋" w:cs="仿宋"/>
          <w:bCs/>
          <w:sz w:val="24"/>
          <w:szCs w:val="24"/>
          <w:highlight w:val="none"/>
        </w:rPr>
      </w:pPr>
      <w:r>
        <w:rPr>
          <w:rFonts w:hint="eastAsia" w:ascii="仿宋" w:hAnsi="仿宋" w:eastAsia="仿宋" w:cs="仿宋"/>
          <w:bCs/>
          <w:sz w:val="24"/>
          <w:highlight w:val="none"/>
        </w:rPr>
        <w:t>26</w:t>
      </w:r>
      <w:r>
        <w:rPr>
          <w:rFonts w:hint="eastAsia" w:ascii="仿宋" w:hAnsi="仿宋" w:eastAsia="仿宋" w:cs="仿宋"/>
          <w:bCs/>
          <w:sz w:val="24"/>
          <w:szCs w:val="24"/>
          <w:highlight w:val="none"/>
        </w:rPr>
        <w:t>.1.1 投标供应商在</w:t>
      </w:r>
      <w:r>
        <w:rPr>
          <w:rFonts w:hint="eastAsia" w:ascii="仿宋" w:hAnsi="仿宋" w:eastAsia="仿宋" w:cs="仿宋"/>
          <w:sz w:val="24"/>
          <w:szCs w:val="24"/>
          <w:highlight w:val="none"/>
        </w:rPr>
        <w:t>苏采云系统</w:t>
      </w:r>
      <w:r>
        <w:rPr>
          <w:rFonts w:hint="eastAsia" w:ascii="仿宋" w:hAnsi="仿宋" w:eastAsia="仿宋" w:cs="仿宋"/>
          <w:bCs/>
          <w:sz w:val="24"/>
          <w:szCs w:val="24"/>
          <w:highlight w:val="none"/>
        </w:rPr>
        <w:t>规定的时间内未成功解密电子投标文件的。</w:t>
      </w:r>
    </w:p>
    <w:p w14:paraId="334484DB">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26.1.2 投标供应商未按照招标文件要求上传电子投标文件的。</w:t>
      </w:r>
    </w:p>
    <w:p w14:paraId="66A98A44">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26.1.3 投标供应商同一分包提交两个（含两个）以上不同的投标报价的。</w:t>
      </w:r>
    </w:p>
    <w:p w14:paraId="112A4233">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26.1.4投标供应商不具备招标文件中规定资格要求的。</w:t>
      </w:r>
    </w:p>
    <w:p w14:paraId="1D3A5CCC">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26.1.5投标供应商的报价超过了采购预算或最高限价的。</w:t>
      </w:r>
    </w:p>
    <w:p w14:paraId="6306AF69">
      <w:pPr>
        <w:spacing w:line="440" w:lineRule="exact"/>
        <w:ind w:firstLine="480"/>
        <w:rPr>
          <w:rFonts w:hint="eastAsia" w:ascii="仿宋" w:hAnsi="仿宋" w:eastAsia="仿宋" w:cs="仿宋"/>
          <w:bCs/>
          <w:i/>
          <w:sz w:val="24"/>
          <w:highlight w:val="none"/>
          <w:u w:val="single"/>
        </w:rPr>
      </w:pPr>
      <w:r>
        <w:rPr>
          <w:rFonts w:hint="eastAsia" w:ascii="仿宋" w:hAnsi="仿宋" w:eastAsia="仿宋" w:cs="仿宋"/>
          <w:bCs/>
          <w:sz w:val="24"/>
          <w:highlight w:val="none"/>
        </w:rPr>
        <w:t>26.1.6未通过符合性审查的。</w:t>
      </w:r>
    </w:p>
    <w:p w14:paraId="12843CEB">
      <w:pPr>
        <w:spacing w:line="5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26.1.7不符合招标文件中规定的实质性要求的</w:t>
      </w:r>
      <w:r>
        <w:rPr>
          <w:rFonts w:hint="eastAsia" w:ascii="仿宋" w:hAnsi="仿宋" w:eastAsia="仿宋" w:cs="仿宋"/>
          <w:bCs/>
          <w:sz w:val="24"/>
          <w:highlight w:val="none"/>
          <w:u w:val="single"/>
        </w:rPr>
        <w:t>（本招标文件中斜体且有下划线部分为实质性要求）</w:t>
      </w:r>
      <w:r>
        <w:rPr>
          <w:rFonts w:hint="eastAsia" w:ascii="仿宋" w:hAnsi="仿宋" w:eastAsia="仿宋" w:cs="仿宋"/>
          <w:bCs/>
          <w:sz w:val="24"/>
          <w:highlight w:val="none"/>
        </w:rPr>
        <w:t>。</w:t>
      </w:r>
    </w:p>
    <w:p w14:paraId="7621BAD1">
      <w:pPr>
        <w:spacing w:line="500" w:lineRule="exact"/>
        <w:ind w:firstLine="480"/>
        <w:rPr>
          <w:rFonts w:hint="eastAsia" w:ascii="仿宋" w:hAnsi="仿宋" w:eastAsia="仿宋" w:cs="仿宋"/>
          <w:bCs/>
          <w:i/>
          <w:sz w:val="24"/>
          <w:highlight w:val="none"/>
          <w:u w:val="single"/>
        </w:rPr>
      </w:pPr>
      <w:r>
        <w:rPr>
          <w:rFonts w:hint="eastAsia" w:ascii="仿宋" w:hAnsi="仿宋" w:eastAsia="仿宋" w:cs="仿宋"/>
          <w:sz w:val="24"/>
          <w:highlight w:val="none"/>
        </w:rPr>
        <w:t>26.1.8对于采用折扣率报价的项目，开标一览表中的投标优惠率与投标分项报价表中的投标折扣率折算后不一致的。</w:t>
      </w:r>
    </w:p>
    <w:p w14:paraId="0708CDA7">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26.1.9 投标供应商被 “信用中国”网站（www.creditchina.gov.cn）列入失信被执行人或重大税收违法案件当事人名单或政府采购严重失信行为记录名单。或查询“信用中国”网站后发现投标供应商存在其他不符合《中华人民共和国政府采购法》第二十二条规定条件的信用记录。</w:t>
      </w:r>
    </w:p>
    <w:p w14:paraId="77C63E88">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26.1.10 投标文件含有采购人不能接受的附加条件的。</w:t>
      </w:r>
    </w:p>
    <w:p w14:paraId="0B59D076">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26.1.11评标委员会认为投标供应商的报价明显低于其他通过符合性审查投标供应商的报价，有可能影响产品质量或者不能诚信履约的，将通过</w:t>
      </w:r>
      <w:r>
        <w:rPr>
          <w:rFonts w:hint="eastAsia" w:ascii="仿宋" w:hAnsi="仿宋" w:eastAsia="仿宋" w:cs="仿宋"/>
          <w:sz w:val="24"/>
          <w:szCs w:val="24"/>
          <w:highlight w:val="none"/>
        </w:rPr>
        <w:t>苏采云系统</w:t>
      </w:r>
      <w:r>
        <w:rPr>
          <w:rFonts w:hint="eastAsia" w:ascii="仿宋" w:hAnsi="仿宋" w:eastAsia="仿宋" w:cs="仿宋"/>
          <w:bCs/>
          <w:sz w:val="24"/>
          <w:highlight w:val="none"/>
        </w:rPr>
        <w:t>要求其在合理的时间内提供说明，必要时提交相关证明材料；投标供应商不能证明其报价合理性的，评标委员会应当将其作为无效投标处理。</w:t>
      </w:r>
    </w:p>
    <w:p w14:paraId="0F9EE575">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26.1.12投标文件未按照招标文件要求加盖CA电子公章的。</w:t>
      </w:r>
    </w:p>
    <w:p w14:paraId="5DD581E2">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26.1.13其他法律、法规及本招标文件规定的属无效投标的情形。</w:t>
      </w:r>
    </w:p>
    <w:p w14:paraId="62E4A6C6">
      <w:pPr>
        <w:spacing w:line="440" w:lineRule="exact"/>
        <w:ind w:left="479"/>
        <w:outlineLvl w:val="2"/>
        <w:rPr>
          <w:rFonts w:hint="eastAsia" w:ascii="仿宋" w:hAnsi="仿宋" w:eastAsia="仿宋" w:cs="仿宋"/>
          <w:bCs/>
          <w:sz w:val="24"/>
          <w:highlight w:val="none"/>
        </w:rPr>
      </w:pPr>
      <w:r>
        <w:rPr>
          <w:rFonts w:hint="eastAsia" w:ascii="仿宋" w:hAnsi="仿宋" w:eastAsia="仿宋" w:cs="仿宋"/>
          <w:bCs/>
          <w:sz w:val="24"/>
          <w:highlight w:val="none"/>
        </w:rPr>
        <w:t>26.2废标条款</w:t>
      </w:r>
    </w:p>
    <w:p w14:paraId="78DED471">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26.2.1符合专业条件的投标供应商或者对招标文件作实质响应的投标供应商不足三家的。26.2.2出现影响采购公正的违法、违规行为的。</w:t>
      </w:r>
    </w:p>
    <w:p w14:paraId="1788DD14">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26.2.3因重大变故，采购任务取消的。</w:t>
      </w:r>
    </w:p>
    <w:p w14:paraId="7895FCA3">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26.2.4评标委员会认定招标文件存在歧义、重大缺陷导致评审工作无法进行。</w:t>
      </w:r>
    </w:p>
    <w:p w14:paraId="2D09F825">
      <w:pPr>
        <w:spacing w:line="440" w:lineRule="exact"/>
        <w:ind w:left="479"/>
        <w:rPr>
          <w:rFonts w:hint="eastAsia" w:ascii="仿宋" w:hAnsi="仿宋" w:eastAsia="仿宋" w:cs="仿宋"/>
          <w:bCs/>
          <w:sz w:val="24"/>
          <w:highlight w:val="none"/>
        </w:rPr>
      </w:pPr>
      <w:r>
        <w:rPr>
          <w:rFonts w:hint="eastAsia" w:ascii="仿宋" w:hAnsi="仿宋" w:eastAsia="仿宋" w:cs="仿宋"/>
          <w:bCs/>
          <w:sz w:val="24"/>
          <w:highlight w:val="none"/>
        </w:rPr>
        <w:t>26.2.5 因</w:t>
      </w:r>
      <w:r>
        <w:rPr>
          <w:rFonts w:hint="eastAsia" w:ascii="仿宋" w:hAnsi="仿宋" w:eastAsia="仿宋" w:cs="仿宋"/>
          <w:sz w:val="24"/>
          <w:szCs w:val="24"/>
          <w:highlight w:val="none"/>
        </w:rPr>
        <w:t>苏采云</w:t>
      </w:r>
      <w:r>
        <w:rPr>
          <w:rFonts w:hint="eastAsia" w:ascii="仿宋" w:hAnsi="仿宋" w:eastAsia="仿宋" w:cs="仿宋"/>
          <w:bCs/>
          <w:sz w:val="24"/>
          <w:highlight w:val="none"/>
        </w:rPr>
        <w:t>系统故障原因造成开标不成功的。</w:t>
      </w:r>
    </w:p>
    <w:p w14:paraId="728171E3">
      <w:pPr>
        <w:spacing w:line="440" w:lineRule="exact"/>
        <w:ind w:left="479"/>
        <w:outlineLvl w:val="2"/>
        <w:rPr>
          <w:rFonts w:hint="eastAsia" w:ascii="仿宋" w:hAnsi="仿宋" w:eastAsia="仿宋" w:cs="仿宋"/>
          <w:bCs/>
          <w:sz w:val="24"/>
          <w:highlight w:val="none"/>
        </w:rPr>
      </w:pPr>
      <w:r>
        <w:rPr>
          <w:rFonts w:hint="eastAsia" w:ascii="仿宋" w:hAnsi="仿宋" w:eastAsia="仿宋" w:cs="仿宋"/>
          <w:bCs/>
          <w:sz w:val="24"/>
          <w:highlight w:val="none"/>
        </w:rPr>
        <w:t>26.3 投标截止时间结束后参加投标的供应商不足三家的处理：</w:t>
      </w:r>
    </w:p>
    <w:p w14:paraId="6AFB187C">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26.3.1如出现投标截止时间结束后参加投标的供应商或者在评标期间对招标文件做出实质响应的供应商不足三家情况，按政府采购相关规定执行。</w:t>
      </w:r>
    </w:p>
    <w:p w14:paraId="3DE7332D">
      <w:pPr>
        <w:keepNext/>
        <w:keepLines/>
        <w:spacing w:before="145" w:after="145" w:line="400" w:lineRule="exact"/>
        <w:ind w:firstLine="421"/>
        <w:outlineLvl w:val="1"/>
        <w:rPr>
          <w:rFonts w:hint="eastAsia" w:ascii="仿宋" w:hAnsi="仿宋" w:eastAsia="仿宋" w:cs="仿宋"/>
          <w:b/>
          <w:bCs/>
          <w:sz w:val="32"/>
          <w:szCs w:val="32"/>
          <w:highlight w:val="none"/>
        </w:rPr>
      </w:pPr>
      <w:bookmarkStart w:id="167" w:name="_Toc120614219"/>
      <w:r>
        <w:rPr>
          <w:rFonts w:hint="eastAsia" w:ascii="仿宋" w:hAnsi="仿宋" w:eastAsia="仿宋" w:cs="仿宋"/>
          <w:b/>
          <w:bCs/>
          <w:sz w:val="32"/>
          <w:szCs w:val="32"/>
          <w:highlight w:val="none"/>
        </w:rPr>
        <w:t>六、</w:t>
      </w:r>
      <w:bookmarkEnd w:id="164"/>
      <w:bookmarkEnd w:id="165"/>
      <w:bookmarkEnd w:id="166"/>
      <w:r>
        <w:rPr>
          <w:rFonts w:hint="eastAsia" w:ascii="仿宋" w:hAnsi="仿宋" w:eastAsia="仿宋" w:cs="仿宋"/>
          <w:b/>
          <w:bCs/>
          <w:sz w:val="32"/>
          <w:szCs w:val="32"/>
          <w:highlight w:val="none"/>
        </w:rPr>
        <w:t>定标</w:t>
      </w:r>
      <w:bookmarkEnd w:id="167"/>
    </w:p>
    <w:p w14:paraId="69A30F00">
      <w:pPr>
        <w:keepNext/>
        <w:keepLines/>
        <w:spacing w:line="400" w:lineRule="exact"/>
        <w:ind w:firstLine="422"/>
        <w:rPr>
          <w:rFonts w:hint="eastAsia" w:ascii="仿宋" w:hAnsi="仿宋" w:eastAsia="仿宋" w:cs="仿宋"/>
          <w:b/>
          <w:bCs/>
          <w:sz w:val="28"/>
          <w:szCs w:val="28"/>
          <w:highlight w:val="none"/>
        </w:rPr>
      </w:pPr>
      <w:bookmarkStart w:id="168" w:name="_Toc513029238"/>
      <w:bookmarkStart w:id="169" w:name="_Toc20823310"/>
      <w:bookmarkStart w:id="170" w:name="_Toc16938554"/>
      <w:r>
        <w:rPr>
          <w:rFonts w:hint="eastAsia" w:ascii="仿宋" w:hAnsi="仿宋" w:eastAsia="仿宋" w:cs="仿宋"/>
          <w:b/>
          <w:bCs/>
          <w:sz w:val="28"/>
          <w:szCs w:val="28"/>
          <w:highlight w:val="none"/>
        </w:rPr>
        <w:t>27、</w:t>
      </w:r>
      <w:bookmarkEnd w:id="168"/>
      <w:r>
        <w:rPr>
          <w:rFonts w:hint="eastAsia" w:ascii="仿宋" w:hAnsi="仿宋" w:eastAsia="仿宋" w:cs="仿宋"/>
          <w:b/>
          <w:bCs/>
          <w:sz w:val="28"/>
          <w:szCs w:val="28"/>
          <w:highlight w:val="none"/>
        </w:rPr>
        <w:t>确定</w:t>
      </w:r>
      <w:bookmarkEnd w:id="169"/>
      <w:bookmarkEnd w:id="170"/>
      <w:r>
        <w:rPr>
          <w:rFonts w:hint="eastAsia" w:ascii="仿宋" w:hAnsi="仿宋" w:eastAsia="仿宋" w:cs="仿宋"/>
          <w:b/>
          <w:bCs/>
          <w:sz w:val="28"/>
          <w:szCs w:val="28"/>
          <w:highlight w:val="none"/>
        </w:rPr>
        <w:t>中标单位</w:t>
      </w:r>
    </w:p>
    <w:p w14:paraId="2F83620C">
      <w:pPr>
        <w:spacing w:line="40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27.1中标候选人的选取原则和数量见招标文件第五章规定。</w:t>
      </w:r>
    </w:p>
    <w:p w14:paraId="5E55212D">
      <w:pPr>
        <w:spacing w:line="440" w:lineRule="exact"/>
        <w:ind w:firstLine="480"/>
        <w:rPr>
          <w:rFonts w:hint="eastAsia" w:ascii="仿宋" w:hAnsi="仿宋" w:eastAsia="仿宋" w:cs="仿宋"/>
          <w:bCs/>
          <w:sz w:val="24"/>
          <w:highlight w:val="none"/>
        </w:rPr>
      </w:pPr>
      <w:r>
        <w:rPr>
          <w:rFonts w:hint="eastAsia" w:ascii="仿宋" w:hAnsi="仿宋" w:eastAsia="仿宋" w:cs="仿宋"/>
          <w:bCs/>
          <w:sz w:val="24"/>
          <w:highlight w:val="none"/>
        </w:rPr>
        <w:t>27.2 采购人在评标报告确定的中标候选人名单中按顺序确定中标人。采购人应根据评委会推荐的中标候选人确定中标供应商。</w:t>
      </w:r>
    </w:p>
    <w:p w14:paraId="02E6ABBF">
      <w:pPr>
        <w:spacing w:line="480" w:lineRule="exact"/>
        <w:ind w:firstLine="480"/>
        <w:rPr>
          <w:rFonts w:hint="eastAsia" w:ascii="仿宋" w:hAnsi="仿宋" w:eastAsia="仿宋" w:cs="仿宋"/>
          <w:sz w:val="24"/>
          <w:szCs w:val="24"/>
          <w:highlight w:val="none"/>
        </w:rPr>
      </w:pPr>
      <w:r>
        <w:rPr>
          <w:rFonts w:hint="eastAsia" w:ascii="仿宋" w:hAnsi="仿宋" w:eastAsia="仿宋" w:cs="仿宋"/>
          <w:bCs/>
          <w:sz w:val="24"/>
          <w:szCs w:val="24"/>
          <w:highlight w:val="none"/>
        </w:rPr>
        <w:t xml:space="preserve">27.3 </w:t>
      </w:r>
      <w:r>
        <w:rPr>
          <w:rFonts w:hint="eastAsia" w:ascii="仿宋" w:hAnsi="仿宋" w:eastAsia="仿宋" w:cs="仿宋"/>
          <w:sz w:val="24"/>
          <w:szCs w:val="24"/>
          <w:highlight w:val="none"/>
        </w:rPr>
        <w:t>代理机构将在“江苏政府采购网”发布中标公告，公告期限为1个工作日。</w:t>
      </w:r>
    </w:p>
    <w:p w14:paraId="66575D2E">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27.4若有充分证据证明，中标人出现下列情况之一的，一经查实，将被取消中标资格：</w:t>
      </w:r>
    </w:p>
    <w:p w14:paraId="409EA0A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27.4.1提供虚假材料谋取中标的。</w:t>
      </w:r>
    </w:p>
    <w:p w14:paraId="20860993">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27.4.2向采购人、代理机构行贿或者提供其他不正当利益的。</w:t>
      </w:r>
    </w:p>
    <w:p w14:paraId="512A1D40">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27.4.3 属于本文件规定的无效条件，但在评标过程中又未被评委会发现的。</w:t>
      </w:r>
    </w:p>
    <w:p w14:paraId="57B0F9B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27.4.4与采购人或者其他供应商恶意串通的。</w:t>
      </w:r>
    </w:p>
    <w:p w14:paraId="3B68B6AD">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27.4.5采取不正当手段诋毁、排挤其他供应商的。</w:t>
      </w:r>
    </w:p>
    <w:p w14:paraId="3B34D27B">
      <w:pPr>
        <w:spacing w:line="480" w:lineRule="exact"/>
        <w:ind w:firstLine="480"/>
        <w:rPr>
          <w:rFonts w:hint="eastAsia" w:ascii="仿宋" w:hAnsi="仿宋" w:eastAsia="仿宋" w:cs="仿宋"/>
          <w:sz w:val="24"/>
          <w:szCs w:val="24"/>
          <w:highlight w:val="none"/>
        </w:rPr>
      </w:pPr>
      <w:bookmarkStart w:id="171" w:name="_Toc200451960"/>
      <w:r>
        <w:rPr>
          <w:rFonts w:hint="eastAsia" w:ascii="仿宋" w:hAnsi="仿宋" w:eastAsia="仿宋" w:cs="仿宋"/>
          <w:sz w:val="24"/>
          <w:szCs w:val="24"/>
          <w:highlight w:val="none"/>
        </w:rPr>
        <w:t>27.5 有下列情形之一的，视为投标供应商串通投标，投标无效：</w:t>
      </w:r>
    </w:p>
    <w:p w14:paraId="747B850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27.5.1不同投标供应商的投标文件由同一单位或者个人编制。</w:t>
      </w:r>
    </w:p>
    <w:p w14:paraId="41AB87A1">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27.5.2不同投标供应商委托同一单位或者个人办理投标事宜。</w:t>
      </w:r>
    </w:p>
    <w:p w14:paraId="6C7F11EA">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27.5.3 不同投标供应商的投标文件载明的项目管理成员或者联系人员为同一人。</w:t>
      </w:r>
    </w:p>
    <w:p w14:paraId="61DF237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27.5.4不同投标供应商的投标文件异常一致或者投标报价呈规律性差异。</w:t>
      </w:r>
    </w:p>
    <w:p w14:paraId="48603D9C">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28、质疑处理</w:t>
      </w:r>
      <w:bookmarkEnd w:id="171"/>
    </w:p>
    <w:p w14:paraId="2F28580C">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28.1提出质疑的供应商应当是参与所质疑项目采购活动的供应商。潜在供应商依法获取其可质疑的采购文件的，可以对采购文件提出质疑。</w:t>
      </w:r>
    </w:p>
    <w:p w14:paraId="39C69E0D">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28.2供应商认为采购文件、采购过程和采购结果使自己的权益受到损害的，可以在知道或应知其权益受到损害之日起七个工作日内，以书面形式根据下述28.4条款的规定向采购人或代理机构提出质疑。上述应知其权益受到损害之日，是指：</w:t>
      </w:r>
    </w:p>
    <w:p w14:paraId="13AA1C7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28.2.1对可以质疑的采购文件提出质疑的，为收到采购文件之日或者采购文件公告期限届满之日；</w:t>
      </w:r>
    </w:p>
    <w:p w14:paraId="00129624">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28.2.2对采购过程提出质疑的，为各采购程序环节结束之日；</w:t>
      </w:r>
    </w:p>
    <w:p w14:paraId="64168A30">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28.2.3对中标或者成交结果提出质疑的，为中标或者成交结果公告期限届满之日。</w:t>
      </w:r>
    </w:p>
    <w:p w14:paraId="4FC04C99">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供应商应当在法定质疑期内一次性提出针对同一采购程序环节的质疑。供应商如在法定期限内对同一采购程序环节提出多次质疑的，采购人、代理机构将只对供应商第一次质疑作出答复。</w:t>
      </w:r>
    </w:p>
    <w:p w14:paraId="1F47660C">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28.3质疑函必须按照本招标文件中《质疑函范本》（附件15）要求的格式和内容进行填写。供应商如组成联合体参加投标，则《质疑函范本》中要求签字、盖章、加盖公章之处，联合体各方均须按要求签字、盖章、加盖公章。</w:t>
      </w:r>
    </w:p>
    <w:p w14:paraId="11229362">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28.4投标供应商（含潜在投标供应商）对采购方式、招标文件中采购需求、供应商资格条件、评标方法和评标标准、合同文本及资格审查结果的询问、质疑请向采购人提出，由采购人负责答复。投标供应商对除上述事项以外其他事项的询问、质疑请向代理机构提出，由代理机构负责答复。</w:t>
      </w:r>
    </w:p>
    <w:p w14:paraId="767CD2D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采购人及代理机构只接收以纸质原件形式送达的质疑,建议投标供应商尽量通过邮寄方式提交质疑（采购人和代理机构不接受无快递运单号的快递）。</w:t>
      </w:r>
    </w:p>
    <w:p w14:paraId="2DB183CF">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采购人质疑接收人及联系方式，见本招标文件第一章。</w:t>
      </w:r>
    </w:p>
    <w:p w14:paraId="0E1A5FDD">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代理机构质疑受理联系方式，见本招标文件第一章。</w:t>
      </w:r>
    </w:p>
    <w:p w14:paraId="24DC559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 以下情形的质疑不予受理</w:t>
      </w:r>
    </w:p>
    <w:p w14:paraId="33CC2D1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28.5.1 内容不符合《政府采购质疑和投诉办法》第十二条规定的质疑。</w:t>
      </w:r>
    </w:p>
    <w:p w14:paraId="3AEA9DC7">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28.5.2 超出政府采购法定期限的质疑。</w:t>
      </w:r>
    </w:p>
    <w:p w14:paraId="55B3ADA3">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28.5.3 以传真、电子邮件等方式递交的非原件形式的质疑。</w:t>
      </w:r>
    </w:p>
    <w:p w14:paraId="691937F4">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28.5.4未参加投标活动的供应商或在投标活动中自身权益未受到损害的供应商所提出的质疑。</w:t>
      </w:r>
    </w:p>
    <w:p w14:paraId="07848182">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28.5.5供应商组成联合体参加投标，联合体中任何一方或多方未按要求签字、盖章、加盖公章的质疑。</w:t>
      </w:r>
    </w:p>
    <w:p w14:paraId="016900FE">
      <w:pPr>
        <w:spacing w:line="480" w:lineRule="exact"/>
        <w:ind w:firstLine="468"/>
        <w:rPr>
          <w:rFonts w:hint="eastAsia" w:ascii="仿宋" w:hAnsi="仿宋" w:eastAsia="仿宋" w:cs="仿宋"/>
          <w:sz w:val="28"/>
          <w:szCs w:val="28"/>
          <w:highlight w:val="none"/>
        </w:rPr>
      </w:pPr>
      <w:r>
        <w:rPr>
          <w:rFonts w:hint="eastAsia" w:ascii="仿宋" w:hAnsi="仿宋" w:eastAsia="仿宋" w:cs="仿宋"/>
          <w:sz w:val="24"/>
          <w:szCs w:val="24"/>
          <w:highlight w:val="none"/>
        </w:rPr>
        <w:t>28.6供应商提出书面质疑必须有理、有据，不得捏造事实、提供虚假材料进行恶意质疑。否则，一经查实，采购人有权依据政府采购的有关规定，报请政府采购监管部门对该供应商进行相应的行政处罚和记录该供应商的失信信息。</w:t>
      </w:r>
    </w:p>
    <w:p w14:paraId="3457BC8F">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29、中标通知书</w:t>
      </w:r>
    </w:p>
    <w:p w14:paraId="24E97AD7">
      <w:pPr>
        <w:spacing w:line="480" w:lineRule="exact"/>
        <w:ind w:firstLine="600"/>
        <w:rPr>
          <w:rFonts w:hint="eastAsia" w:ascii="仿宋" w:hAnsi="仿宋" w:eastAsia="仿宋" w:cs="仿宋"/>
          <w:sz w:val="24"/>
          <w:szCs w:val="24"/>
          <w:highlight w:val="none"/>
        </w:rPr>
      </w:pPr>
      <w:r>
        <w:rPr>
          <w:rFonts w:hint="eastAsia" w:ascii="仿宋" w:hAnsi="仿宋" w:eastAsia="仿宋" w:cs="仿宋"/>
          <w:sz w:val="24"/>
          <w:szCs w:val="24"/>
          <w:highlight w:val="none"/>
        </w:rPr>
        <w:t>29.l中标结果确定后，代理机构将向中标人发出中标通知书。请中标人在中标结果公告届满之日起30日内,使用CA数字证书登录苏采云系统及时下载中标通知书。因系统存储空间有限，自中标结果公告届满之日起30日后，苏采云系统不再保证提供下载中标通知书服务,因未及时下载而造成的不利后果由中标人自行承担。</w:t>
      </w:r>
    </w:p>
    <w:p w14:paraId="2C1A54A0">
      <w:pPr>
        <w:pStyle w:val="32"/>
        <w:spacing w:before="0" w:beforeAutospacing="0" w:after="0" w:afterAutospacing="0" w:line="480" w:lineRule="exact"/>
        <w:ind w:firstLine="480"/>
        <w:rPr>
          <w:rFonts w:hint="eastAsia" w:ascii="仿宋" w:hAnsi="仿宋" w:eastAsia="仿宋" w:cs="仿宋"/>
          <w:highlight w:val="none"/>
        </w:rPr>
      </w:pPr>
      <w:r>
        <w:rPr>
          <w:rFonts w:hint="eastAsia" w:ascii="仿宋" w:hAnsi="仿宋" w:eastAsia="仿宋" w:cs="仿宋"/>
          <w:highlight w:val="none"/>
        </w:rPr>
        <w:t>29.2中标通知书将是合同的一个组成部分。对采购人和中标人均具有法律效力。中标通知书发出后，采购人改变中标结果的，或者中标人放弃中标项目的，应当依法承担法律责任。</w:t>
      </w:r>
    </w:p>
    <w:p w14:paraId="092D3709">
      <w:pPr>
        <w:keepNext/>
        <w:keepLines/>
        <w:spacing w:before="145" w:after="145" w:line="400" w:lineRule="exact"/>
        <w:ind w:firstLine="421"/>
        <w:outlineLvl w:val="1"/>
        <w:rPr>
          <w:rFonts w:hint="eastAsia" w:ascii="仿宋" w:hAnsi="仿宋" w:eastAsia="仿宋" w:cs="仿宋"/>
          <w:b/>
          <w:bCs/>
          <w:sz w:val="32"/>
          <w:szCs w:val="32"/>
          <w:highlight w:val="none"/>
        </w:rPr>
      </w:pPr>
      <w:bookmarkStart w:id="172" w:name="_Toc20823308"/>
      <w:bookmarkStart w:id="173" w:name="_Toc120614220"/>
      <w:bookmarkStart w:id="174" w:name="_Toc513029236"/>
      <w:bookmarkStart w:id="175" w:name="_Toc16938552"/>
      <w:r>
        <w:rPr>
          <w:rFonts w:hint="eastAsia" w:ascii="仿宋" w:hAnsi="仿宋" w:eastAsia="仿宋" w:cs="仿宋"/>
          <w:b/>
          <w:bCs/>
          <w:sz w:val="32"/>
          <w:szCs w:val="32"/>
          <w:highlight w:val="none"/>
        </w:rPr>
        <w:t>七、授予合同</w:t>
      </w:r>
      <w:bookmarkEnd w:id="172"/>
      <w:bookmarkEnd w:id="173"/>
      <w:bookmarkEnd w:id="174"/>
      <w:bookmarkEnd w:id="175"/>
    </w:p>
    <w:p w14:paraId="26A5193E">
      <w:pPr>
        <w:keepNext/>
        <w:keepLines/>
        <w:spacing w:line="400" w:lineRule="exact"/>
        <w:ind w:firstLine="422"/>
        <w:rPr>
          <w:rFonts w:hint="eastAsia" w:ascii="仿宋" w:hAnsi="仿宋" w:eastAsia="仿宋" w:cs="仿宋"/>
          <w:b/>
          <w:bCs/>
          <w:sz w:val="28"/>
          <w:szCs w:val="28"/>
          <w:highlight w:val="none"/>
        </w:rPr>
      </w:pPr>
      <w:bookmarkStart w:id="176" w:name="_Toc20823309"/>
      <w:bookmarkStart w:id="177" w:name="_Toc16938553"/>
      <w:bookmarkStart w:id="178" w:name="_Toc513029237"/>
      <w:r>
        <w:rPr>
          <w:rFonts w:hint="eastAsia" w:ascii="仿宋" w:hAnsi="仿宋" w:eastAsia="仿宋" w:cs="仿宋"/>
          <w:b/>
          <w:bCs/>
          <w:sz w:val="28"/>
          <w:szCs w:val="28"/>
          <w:highlight w:val="none"/>
        </w:rPr>
        <w:t>30、 签订合同</w:t>
      </w:r>
    </w:p>
    <w:p w14:paraId="26C62DDD">
      <w:pPr>
        <w:spacing w:line="480" w:lineRule="exact"/>
        <w:ind w:firstLine="600"/>
        <w:rPr>
          <w:rFonts w:hint="eastAsia" w:ascii="仿宋" w:hAnsi="仿宋" w:eastAsia="仿宋" w:cs="仿宋"/>
          <w:sz w:val="24"/>
          <w:szCs w:val="24"/>
          <w:highlight w:val="none"/>
        </w:rPr>
      </w:pPr>
      <w:r>
        <w:rPr>
          <w:rFonts w:hint="eastAsia" w:ascii="仿宋" w:hAnsi="仿宋" w:eastAsia="仿宋" w:cs="仿宋"/>
          <w:bCs/>
          <w:sz w:val="24"/>
          <w:szCs w:val="24"/>
          <w:highlight w:val="none"/>
        </w:rPr>
        <w:t>30</w:t>
      </w:r>
      <w:r>
        <w:rPr>
          <w:rFonts w:hint="eastAsia" w:ascii="仿宋" w:hAnsi="仿宋" w:eastAsia="仿宋" w:cs="仿宋"/>
          <w:sz w:val="24"/>
          <w:szCs w:val="24"/>
          <w:highlight w:val="none"/>
        </w:rPr>
        <w:t>.l中标人应当在中标通知书发出之日起三十日内，按照招标文件确定的事项与采购人签订政府采购合同。</w:t>
      </w:r>
      <w:r>
        <w:rPr>
          <w:rFonts w:hint="eastAsia" w:ascii="仿宋" w:hAnsi="仿宋" w:eastAsia="仿宋" w:cs="仿宋"/>
          <w:b/>
          <w:bCs/>
          <w:sz w:val="24"/>
          <w:szCs w:val="24"/>
          <w:highlight w:val="none"/>
        </w:rPr>
        <w:t>中标</w:t>
      </w:r>
      <w:r>
        <w:rPr>
          <w:rFonts w:hint="eastAsia" w:ascii="仿宋" w:hAnsi="仿宋" w:eastAsia="仿宋" w:cs="仿宋"/>
          <w:b/>
          <w:bCs/>
          <w:sz w:val="24"/>
          <w:szCs w:val="24"/>
          <w:highlight w:val="none"/>
          <w:lang w:val="zh-CN"/>
        </w:rPr>
        <w:t>人应在中标结果公告</w:t>
      </w:r>
      <w:r>
        <w:rPr>
          <w:rFonts w:hint="eastAsia" w:ascii="仿宋" w:hAnsi="仿宋" w:eastAsia="仿宋" w:cs="仿宋"/>
          <w:b/>
          <w:bCs/>
          <w:sz w:val="24"/>
          <w:szCs w:val="24"/>
          <w:highlight w:val="none"/>
          <w:lang w:val="en-US" w:eastAsia="zh-CN"/>
        </w:rPr>
        <w:t>公示后</w:t>
      </w:r>
      <w:r>
        <w:rPr>
          <w:rFonts w:hint="eastAsia" w:ascii="仿宋" w:hAnsi="仿宋" w:eastAsia="仿宋" w:cs="仿宋"/>
          <w:b/>
          <w:bCs/>
          <w:sz w:val="24"/>
          <w:szCs w:val="24"/>
          <w:highlight w:val="none"/>
          <w:lang w:val="zh-CN"/>
        </w:rPr>
        <w:t>向</w:t>
      </w:r>
      <w:r>
        <w:rPr>
          <w:rFonts w:hint="eastAsia" w:ascii="仿宋" w:hAnsi="仿宋" w:eastAsia="仿宋" w:cs="仿宋"/>
          <w:b/>
          <w:bCs/>
          <w:sz w:val="24"/>
          <w:szCs w:val="24"/>
          <w:highlight w:val="none"/>
        </w:rPr>
        <w:t>代理机构提供三份纸质版投标文件</w:t>
      </w:r>
      <w:r>
        <w:rPr>
          <w:rFonts w:hint="eastAsia" w:ascii="仿宋" w:hAnsi="仿宋" w:eastAsia="仿宋" w:cs="仿宋"/>
          <w:b/>
          <w:bCs/>
          <w:sz w:val="24"/>
          <w:szCs w:val="24"/>
          <w:highlight w:val="none"/>
          <w:lang w:val="zh-CN"/>
        </w:rPr>
        <w:t>（须与上传电子档内容一致）</w:t>
      </w:r>
      <w:r>
        <w:rPr>
          <w:rFonts w:hint="eastAsia" w:ascii="仿宋" w:hAnsi="仿宋" w:eastAsia="仿宋" w:cs="仿宋"/>
          <w:b/>
          <w:bCs/>
          <w:sz w:val="24"/>
          <w:szCs w:val="24"/>
          <w:highlight w:val="none"/>
        </w:rPr>
        <w:t>。</w:t>
      </w:r>
    </w:p>
    <w:p w14:paraId="1BDA3A50">
      <w:pPr>
        <w:spacing w:line="480" w:lineRule="exact"/>
        <w:ind w:firstLine="600"/>
        <w:rPr>
          <w:rFonts w:hint="eastAsia" w:ascii="仿宋" w:hAnsi="仿宋" w:eastAsia="仿宋" w:cs="仿宋"/>
          <w:sz w:val="24"/>
          <w:szCs w:val="24"/>
          <w:highlight w:val="none"/>
        </w:rPr>
      </w:pPr>
      <w:r>
        <w:rPr>
          <w:rFonts w:hint="eastAsia" w:ascii="仿宋" w:hAnsi="仿宋" w:eastAsia="仿宋" w:cs="仿宋"/>
          <w:sz w:val="24"/>
          <w:szCs w:val="24"/>
          <w:highlight w:val="none"/>
        </w:rPr>
        <w:t>30.2招标文件、中标人的投标文件及招标过程中有关澄清、承诺文件均应作为合同附件。</w:t>
      </w:r>
    </w:p>
    <w:p w14:paraId="1DFBC1AE">
      <w:pPr>
        <w:spacing w:line="480" w:lineRule="exact"/>
        <w:ind w:firstLine="600"/>
        <w:rPr>
          <w:rFonts w:hint="eastAsia" w:ascii="仿宋" w:hAnsi="仿宋" w:eastAsia="仿宋" w:cs="仿宋"/>
          <w:sz w:val="24"/>
          <w:szCs w:val="24"/>
          <w:highlight w:val="none"/>
        </w:rPr>
      </w:pPr>
      <w:r>
        <w:rPr>
          <w:rFonts w:hint="eastAsia" w:ascii="仿宋" w:hAnsi="仿宋" w:eastAsia="仿宋" w:cs="仿宋"/>
          <w:sz w:val="24"/>
          <w:szCs w:val="24"/>
          <w:highlight w:val="none"/>
        </w:rPr>
        <w:t>30.3签订合同后，中标人不得将合同标的进行转包。未经采购人同意，中标人也不得采用分包的形式履行合同，否则采购人有权终止合同。转包造成采购人损失的，中标人应承担相应赔偿责任。</w:t>
      </w:r>
    </w:p>
    <w:p w14:paraId="5E41EB4A">
      <w:pPr>
        <w:keepNext/>
        <w:keepLines/>
        <w:spacing w:line="400" w:lineRule="exact"/>
        <w:ind w:firstLine="422"/>
        <w:rPr>
          <w:rFonts w:hint="eastAsia" w:ascii="仿宋" w:hAnsi="仿宋" w:eastAsia="仿宋" w:cs="仿宋"/>
          <w:b/>
          <w:bCs/>
          <w:sz w:val="28"/>
          <w:szCs w:val="28"/>
          <w:highlight w:val="none"/>
        </w:rPr>
      </w:pPr>
      <w:r>
        <w:rPr>
          <w:rFonts w:hint="eastAsia" w:ascii="仿宋" w:hAnsi="仿宋" w:eastAsia="仿宋" w:cs="仿宋"/>
          <w:b/>
          <w:bCs/>
          <w:sz w:val="28"/>
          <w:szCs w:val="28"/>
          <w:highlight w:val="none"/>
        </w:rPr>
        <w:t>31、服务（包含与服务相关的货物）的追加、减少</w:t>
      </w:r>
    </w:p>
    <w:p w14:paraId="21EC6B7C">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31.1政府采购合同履行中，采购人需追加与合同标的相同的服务（包含与服务相关的货物），在不改变合同其他条款的前提下，可以与中标人协商签订补充合同，但所有补充合同的采购金额不超过原合同金额10%。</w:t>
      </w:r>
    </w:p>
    <w:p w14:paraId="05E43DEE">
      <w:pPr>
        <w:spacing w:line="500" w:lineRule="exact"/>
        <w:ind w:firstLine="480"/>
        <w:rPr>
          <w:rFonts w:hint="eastAsia" w:ascii="仿宋" w:hAnsi="仿宋" w:eastAsia="仿宋" w:cs="仿宋"/>
          <w:highlight w:val="none"/>
        </w:rPr>
      </w:pPr>
      <w:r>
        <w:rPr>
          <w:rFonts w:hint="eastAsia" w:ascii="仿宋" w:hAnsi="仿宋" w:eastAsia="仿宋" w:cs="仿宋"/>
          <w:sz w:val="24"/>
          <w:szCs w:val="24"/>
          <w:highlight w:val="none"/>
        </w:rPr>
        <w:t>31.2采购结束后，采购人若由于各种客观原因，必须对采购项目所牵涉的服务进行适当的减少时，在双方协商一致的前提下，可以按照招标采购时的价格水平做相应的调减，并据此签订补充合同。</w:t>
      </w:r>
      <w:bookmarkEnd w:id="176"/>
      <w:bookmarkEnd w:id="177"/>
      <w:bookmarkEnd w:id="178"/>
    </w:p>
    <w:p w14:paraId="20288AAF">
      <w:pPr>
        <w:keepNext/>
        <w:keepLines/>
        <w:spacing w:line="400" w:lineRule="exact"/>
        <w:ind w:firstLine="422"/>
        <w:rPr>
          <w:rFonts w:hint="eastAsia" w:ascii="仿宋" w:hAnsi="仿宋" w:eastAsia="仿宋" w:cs="仿宋"/>
          <w:b/>
          <w:bCs/>
          <w:sz w:val="28"/>
          <w:szCs w:val="28"/>
          <w:highlight w:val="none"/>
        </w:rPr>
      </w:pPr>
      <w:bookmarkStart w:id="179" w:name="_Toc513029242"/>
      <w:bookmarkStart w:id="180" w:name="_Toc20823314"/>
      <w:bookmarkStart w:id="181" w:name="_Toc479757207"/>
      <w:bookmarkStart w:id="182" w:name="_Toc16938558"/>
      <w:bookmarkStart w:id="183" w:name="_Toc120614221"/>
      <w:r>
        <w:rPr>
          <w:rFonts w:hint="eastAsia" w:ascii="仿宋" w:hAnsi="仿宋" w:eastAsia="仿宋" w:cs="仿宋"/>
          <w:b/>
          <w:bCs/>
          <w:sz w:val="28"/>
          <w:szCs w:val="28"/>
          <w:highlight w:val="none"/>
        </w:rPr>
        <w:t>32、政府采购履约资金扶持政策</w:t>
      </w:r>
    </w:p>
    <w:p w14:paraId="4E5D3064">
      <w:pPr>
        <w:spacing w:line="48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32.1根据《关于深入开展南通市政府采购线上合同信用融资工作的通知》（通财购〔2022〕68号），对政府采购中标供应商提出“政采贷”融资申请的，采购人应当依法按时在“苏采云”系统中录入并公开政府采购合同信息，勾选“融资贷款”选项，并在合同签订、验收付款、账号维护等环节提供必要便利，持续降低参与政府采购的中小企业融资成本。中标供应商如需获得合同信用融资支持，可凭政府采购合同办理“政采贷”融资贷款，详情请见江苏省政府采购网-政采贷专栏。</w:t>
      </w:r>
    </w:p>
    <w:p w14:paraId="68165DD8">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32.2本项目履约保证金</w:t>
      </w:r>
      <w:r>
        <w:rPr>
          <w:rFonts w:hint="eastAsia" w:ascii="仿宋" w:hAnsi="仿宋" w:eastAsia="仿宋" w:cs="仿宋"/>
          <w:sz w:val="24"/>
          <w:szCs w:val="24"/>
          <w:highlight w:val="none"/>
          <w:u w:val="single"/>
        </w:rPr>
        <w:t>伍拾万元</w:t>
      </w:r>
      <w:r>
        <w:rPr>
          <w:rFonts w:hint="eastAsia" w:ascii="仿宋" w:hAnsi="仿宋" w:eastAsia="仿宋" w:cs="仿宋"/>
          <w:sz w:val="24"/>
          <w:szCs w:val="24"/>
          <w:highlight w:val="none"/>
        </w:rPr>
        <w:t>，以履约保函（保险）形式向采购人缴纳的，按照《关于在全省政府采购领域推行电子履约保函（保险）的通知》，登录江苏政府采购网，选择“保险保函”模块，进行相关操作。供应商可登陆江苏政府采购网“资料下载”栏目下载“政府采购电子履约（保函）保险操作手册（网址：www.ccgp-jiangsu.gov.cn/jisngsu/zlxz/)。</w:t>
      </w:r>
    </w:p>
    <w:p w14:paraId="3D1B086D">
      <w:pPr>
        <w:pStyle w:val="14"/>
        <w:rPr>
          <w:highlight w:val="none"/>
        </w:rPr>
      </w:pPr>
    </w:p>
    <w:p w14:paraId="511F1916">
      <w:pPr>
        <w:rPr>
          <w:highlight w:val="none"/>
        </w:rPr>
      </w:pPr>
    </w:p>
    <w:p w14:paraId="31123284">
      <w:pPr>
        <w:pStyle w:val="14"/>
        <w:rPr>
          <w:highlight w:val="none"/>
        </w:rPr>
      </w:pPr>
    </w:p>
    <w:p w14:paraId="2228BD68">
      <w:pPr>
        <w:rPr>
          <w:highlight w:val="none"/>
        </w:rPr>
      </w:pPr>
    </w:p>
    <w:p w14:paraId="0FF71540">
      <w:pPr>
        <w:pStyle w:val="14"/>
        <w:rPr>
          <w:highlight w:val="none"/>
        </w:rPr>
      </w:pPr>
    </w:p>
    <w:bookmarkEnd w:id="179"/>
    <w:bookmarkEnd w:id="180"/>
    <w:bookmarkEnd w:id="181"/>
    <w:bookmarkEnd w:id="182"/>
    <w:bookmarkEnd w:id="183"/>
    <w:p w14:paraId="14F70342">
      <w:pPr>
        <w:rPr>
          <w:rFonts w:hint="eastAsia" w:ascii="仿宋" w:hAnsi="仿宋" w:eastAsia="仿宋" w:cs="仿宋"/>
          <w:b/>
          <w:sz w:val="44"/>
          <w:highlight w:val="none"/>
        </w:rPr>
      </w:pPr>
      <w:bookmarkStart w:id="184" w:name="_Toc186493269"/>
      <w:bookmarkStart w:id="185" w:name="_Toc16938590"/>
      <w:bookmarkStart w:id="186" w:name="_Toc20823346"/>
      <w:bookmarkStart w:id="187" w:name="_Toc120614244"/>
      <w:bookmarkStart w:id="188" w:name="_Toc462564139"/>
      <w:bookmarkStart w:id="189" w:name="_Toc479757211"/>
      <w:r>
        <w:rPr>
          <w:rFonts w:hint="eastAsia" w:ascii="仿宋" w:hAnsi="仿宋" w:eastAsia="仿宋" w:cs="仿宋"/>
          <w:b/>
          <w:sz w:val="44"/>
          <w:highlight w:val="none"/>
        </w:rPr>
        <w:br w:type="page"/>
      </w:r>
    </w:p>
    <w:p w14:paraId="56371A1F">
      <w:pPr>
        <w:pStyle w:val="2"/>
        <w:keepLines w:val="0"/>
        <w:pageBreakBefore w:val="0"/>
        <w:widowControl w:val="0"/>
        <w:kinsoku/>
        <w:wordWrap/>
        <w:overflowPunct/>
        <w:topLinePunct w:val="0"/>
        <w:autoSpaceDE/>
        <w:autoSpaceDN/>
        <w:bidi w:val="0"/>
        <w:adjustRightInd/>
        <w:spacing w:line="360" w:lineRule="auto"/>
        <w:textAlignment w:val="auto"/>
        <w:outlineLvl w:val="0"/>
        <w:rPr>
          <w:rFonts w:hint="eastAsia" w:ascii="仿宋" w:hAnsi="仿宋" w:eastAsia="仿宋" w:cs="仿宋"/>
          <w:b/>
          <w:bCs w:val="0"/>
          <w:sz w:val="44"/>
          <w:highlight w:val="none"/>
        </w:rPr>
      </w:pPr>
      <w:r>
        <w:rPr>
          <w:rFonts w:hint="eastAsia" w:ascii="仿宋" w:hAnsi="仿宋" w:eastAsia="仿宋" w:cs="仿宋"/>
          <w:b/>
          <w:sz w:val="44"/>
          <w:highlight w:val="none"/>
        </w:rPr>
        <w:t xml:space="preserve">第三章 </w:t>
      </w:r>
      <w:r>
        <w:rPr>
          <w:rFonts w:hint="eastAsia" w:ascii="仿宋" w:hAnsi="仿宋" w:eastAsia="仿宋" w:cs="仿宋"/>
          <w:b/>
          <w:bCs w:val="0"/>
          <w:sz w:val="44"/>
          <w:highlight w:val="none"/>
        </w:rPr>
        <w:t>合同文本</w:t>
      </w:r>
    </w:p>
    <w:p w14:paraId="1BE60364">
      <w:pPr>
        <w:keepLines w:val="0"/>
        <w:pageBreakBefore w:val="0"/>
        <w:widowControl w:val="0"/>
        <w:kinsoku/>
        <w:wordWrap/>
        <w:overflowPunct/>
        <w:topLinePunct w:val="0"/>
        <w:autoSpaceDE/>
        <w:autoSpaceDN/>
        <w:bidi w:val="0"/>
        <w:adjustRightInd/>
        <w:spacing w:line="360" w:lineRule="auto"/>
        <w:ind w:firstLine="480" w:firstLineChars="200"/>
        <w:textAlignment w:val="auto"/>
        <w:outlineLvl w:val="9"/>
        <w:rPr>
          <w:rFonts w:hint="eastAsia" w:ascii="仿宋" w:hAnsi="仿宋" w:eastAsia="仿宋" w:cs="仿宋"/>
          <w:b/>
          <w:sz w:val="30"/>
          <w:highlight w:val="none"/>
        </w:rPr>
      </w:pPr>
      <w:bookmarkStart w:id="190" w:name="_Toc20823315"/>
      <w:bookmarkStart w:id="191" w:name="_Toc16938559"/>
      <w:bookmarkStart w:id="192" w:name="_Toc513029243"/>
      <w:r>
        <w:rPr>
          <w:rFonts w:hint="eastAsia" w:ascii="仿宋" w:hAnsi="仿宋" w:eastAsia="仿宋" w:cs="仿宋"/>
          <w:bCs/>
          <w:sz w:val="24"/>
          <w:highlight w:val="none"/>
        </w:rPr>
        <w:t>以下为中标后签定本项目合同的通用条款，中标人不得提出实质性的修改。</w:t>
      </w:r>
    </w:p>
    <w:p w14:paraId="3C18F726">
      <w:pPr>
        <w:keepLines w:val="0"/>
        <w:pageBreakBefore w:val="0"/>
        <w:widowControl w:val="0"/>
        <w:kinsoku/>
        <w:wordWrap/>
        <w:overflowPunct/>
        <w:topLinePunct w:val="0"/>
        <w:autoSpaceDE/>
        <w:autoSpaceDN/>
        <w:bidi w:val="0"/>
        <w:adjustRightInd/>
        <w:snapToGrid w:val="0"/>
        <w:spacing w:line="360" w:lineRule="auto"/>
        <w:jc w:val="center"/>
        <w:textAlignment w:val="auto"/>
        <w:outlineLvl w:val="9"/>
        <w:rPr>
          <w:rFonts w:hint="eastAsia" w:ascii="仿宋" w:hAnsi="仿宋" w:eastAsia="仿宋" w:cs="仿宋"/>
          <w:b/>
          <w:bCs/>
          <w:sz w:val="30"/>
          <w:szCs w:val="20"/>
          <w:highlight w:val="none"/>
        </w:rPr>
      </w:pPr>
      <w:r>
        <w:rPr>
          <w:rFonts w:hint="eastAsia" w:ascii="仿宋" w:hAnsi="仿宋" w:eastAsia="仿宋" w:cs="仿宋"/>
          <w:b/>
          <w:sz w:val="30"/>
          <w:highlight w:val="none"/>
        </w:rPr>
        <w:t>江苏省政府采购合同（服务）（JSZC-320623-NTCJ-G2026-0021）</w:t>
      </w:r>
    </w:p>
    <w:p w14:paraId="519DD72D">
      <w:pPr>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项目名称：</w:t>
      </w:r>
      <w:r>
        <w:rPr>
          <w:rFonts w:hint="eastAsia" w:ascii="仿宋" w:hAnsi="仿宋" w:eastAsia="仿宋" w:cs="仿宋"/>
          <w:sz w:val="24"/>
          <w:szCs w:val="24"/>
          <w:highlight w:val="none"/>
          <w:u w:val="single"/>
        </w:rPr>
        <w:t>如东县大豫镇环境卫生长效管护项目</w:t>
      </w:r>
      <w:r>
        <w:rPr>
          <w:rFonts w:hint="eastAsia" w:ascii="仿宋" w:hAnsi="仿宋" w:eastAsia="仿宋" w:cs="仿宋"/>
          <w:color w:val="000000"/>
          <w:sz w:val="24"/>
          <w:szCs w:val="24"/>
          <w:highlight w:val="none"/>
        </w:rPr>
        <w:t xml:space="preserve">                   </w:t>
      </w:r>
    </w:p>
    <w:p w14:paraId="64918262">
      <w:pPr>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color w:val="FF0000"/>
          <w:sz w:val="24"/>
          <w:szCs w:val="24"/>
          <w:highlight w:val="none"/>
        </w:rPr>
      </w:pPr>
      <w:r>
        <w:rPr>
          <w:rFonts w:hint="eastAsia" w:ascii="仿宋" w:hAnsi="仿宋" w:eastAsia="仿宋" w:cs="仿宋"/>
          <w:color w:val="000000"/>
          <w:sz w:val="24"/>
          <w:szCs w:val="24"/>
          <w:highlight w:val="none"/>
        </w:rPr>
        <w:t>项目编号：</w:t>
      </w:r>
      <w:r>
        <w:rPr>
          <w:rFonts w:hint="eastAsia" w:ascii="仿宋" w:hAnsi="仿宋" w:eastAsia="仿宋" w:cs="仿宋"/>
          <w:color w:val="000000"/>
          <w:sz w:val="24"/>
          <w:szCs w:val="24"/>
          <w:highlight w:val="none"/>
          <w:u w:val="single"/>
        </w:rPr>
        <w:t>JSZC-320623-NTCJ-G2026-0021</w:t>
      </w:r>
      <w:r>
        <w:rPr>
          <w:rFonts w:hint="eastAsia" w:ascii="仿宋" w:hAnsi="仿宋" w:eastAsia="仿宋" w:cs="仿宋"/>
          <w:color w:val="000000"/>
          <w:sz w:val="24"/>
          <w:szCs w:val="24"/>
          <w:highlight w:val="none"/>
        </w:rPr>
        <w:t xml:space="preserve">           </w:t>
      </w:r>
      <w:r>
        <w:rPr>
          <w:rFonts w:hint="eastAsia" w:ascii="仿宋" w:hAnsi="仿宋" w:eastAsia="仿宋" w:cs="仿宋"/>
          <w:color w:val="FF0000"/>
          <w:sz w:val="24"/>
          <w:szCs w:val="24"/>
          <w:highlight w:val="none"/>
        </w:rPr>
        <w:t xml:space="preserve"> </w:t>
      </w:r>
    </w:p>
    <w:p w14:paraId="04EF0604">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甲方：（买方）</w:t>
      </w:r>
      <w:r>
        <w:rPr>
          <w:rFonts w:hint="eastAsia" w:ascii="仿宋" w:hAnsi="仿宋" w:eastAsia="仿宋" w:cs="仿宋"/>
          <w:sz w:val="24"/>
          <w:szCs w:val="24"/>
          <w:highlight w:val="none"/>
          <w:u w:val="single"/>
        </w:rPr>
        <w:t>如东县大豫镇人民政府</w:t>
      </w:r>
    </w:p>
    <w:p w14:paraId="24B995AA">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color w:val="000000"/>
          <w:sz w:val="24"/>
          <w:szCs w:val="24"/>
          <w:highlight w:val="none"/>
          <w:u w:val="single"/>
          <w:lang w:val="en-US" w:eastAsia="zh-CN"/>
        </w:rPr>
      </w:pPr>
      <w:r>
        <w:rPr>
          <w:rFonts w:hint="eastAsia" w:ascii="仿宋" w:hAnsi="仿宋" w:eastAsia="仿宋" w:cs="仿宋"/>
          <w:sz w:val="24"/>
          <w:szCs w:val="24"/>
          <w:highlight w:val="none"/>
        </w:rPr>
        <w:t>乙方：（卖方）</w:t>
      </w:r>
      <w:r>
        <w:rPr>
          <w:rFonts w:hint="eastAsia" w:ascii="仿宋" w:hAnsi="仿宋" w:eastAsia="仿宋" w:cs="仿宋"/>
          <w:color w:val="000000"/>
          <w:sz w:val="24"/>
          <w:szCs w:val="24"/>
          <w:highlight w:val="none"/>
          <w:u w:val="single"/>
          <w:lang w:val="en-US" w:eastAsia="zh-CN"/>
        </w:rPr>
        <w:t xml:space="preserve">                      </w:t>
      </w:r>
    </w:p>
    <w:p w14:paraId="4A1A901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color w:val="000000"/>
          <w:sz w:val="24"/>
          <w:szCs w:val="24"/>
          <w:highlight w:val="none"/>
        </w:rPr>
        <w:t>依据《中华人民共和国民法典》、《中华人民共和国政府采购法》等有关的法律法规，以及本采购项目的招标文件、乙方的《投标文件》及《中标通知书》，甲乙双方同意签订本合同。具体情况及要求如下:</w:t>
      </w:r>
    </w:p>
    <w:p w14:paraId="1FA82443">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一、合同内容</w:t>
      </w:r>
    </w:p>
    <w:p w14:paraId="2CB4F80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 标的名称：</w:t>
      </w:r>
      <w:r>
        <w:rPr>
          <w:rFonts w:hint="eastAsia" w:ascii="仿宋" w:hAnsi="仿宋" w:eastAsia="仿宋" w:cs="仿宋"/>
          <w:sz w:val="24"/>
          <w:szCs w:val="24"/>
          <w:highlight w:val="none"/>
          <w:u w:val="single"/>
        </w:rPr>
        <w:t>如东县大豫镇环境卫生长效管护项目</w:t>
      </w:r>
    </w:p>
    <w:p w14:paraId="51E676B1">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u w:val="single"/>
          <w:lang w:eastAsia="zh-CN"/>
        </w:rPr>
      </w:pPr>
      <w:r>
        <w:rPr>
          <w:rFonts w:hint="eastAsia" w:ascii="仿宋" w:hAnsi="仿宋" w:eastAsia="仿宋" w:cs="仿宋"/>
          <w:sz w:val="24"/>
          <w:szCs w:val="24"/>
          <w:highlight w:val="none"/>
        </w:rPr>
        <w:t>1.2标的质量：</w:t>
      </w:r>
      <w:r>
        <w:rPr>
          <w:rFonts w:hint="eastAsia" w:ascii="仿宋" w:hAnsi="仿宋" w:eastAsia="仿宋" w:cs="仿宋"/>
          <w:sz w:val="24"/>
          <w:szCs w:val="24"/>
          <w:highlight w:val="none"/>
          <w:u w:val="single"/>
        </w:rPr>
        <w:t>详见县农村人居环境长效管护考核要求、县“河长制”实施方案、县“路长制”实施办法、全县水环境整治工作要求和《大豫镇环境卫生长效管护项目考核细则》等规定</w:t>
      </w:r>
      <w:r>
        <w:rPr>
          <w:rFonts w:hint="eastAsia" w:ascii="仿宋" w:hAnsi="仿宋" w:eastAsia="仿宋" w:cs="仿宋"/>
          <w:sz w:val="24"/>
          <w:szCs w:val="24"/>
          <w:highlight w:val="none"/>
          <w:u w:val="single"/>
          <w:lang w:eastAsia="zh-CN"/>
        </w:rPr>
        <w:t>。</w:t>
      </w:r>
    </w:p>
    <w:p w14:paraId="4957714B">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1.3 标的数量（规模）：</w:t>
      </w:r>
    </w:p>
    <w:p w14:paraId="515C13BD">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1.3.1</w:t>
      </w:r>
      <w:r>
        <w:rPr>
          <w:rFonts w:hint="eastAsia" w:ascii="仿宋" w:hAnsi="仿宋" w:eastAsia="仿宋" w:cs="仿宋"/>
          <w:sz w:val="24"/>
          <w:szCs w:val="24"/>
          <w:highlight w:val="none"/>
        </w:rPr>
        <w:t>项目范围：</w:t>
      </w:r>
      <w:r>
        <w:rPr>
          <w:rFonts w:hint="eastAsia" w:ascii="仿宋" w:hAnsi="仿宋" w:eastAsia="仿宋" w:cs="仿宋"/>
          <w:sz w:val="24"/>
          <w:szCs w:val="24"/>
          <w:highlight w:val="none"/>
          <w:u w:val="single"/>
        </w:rPr>
        <w:t>大豫镇全区域整体环境卫生长效管护项目外包服务，具体包括：（1）18个行政村（含镇属用地范围）；（2）三个镇区（含公厕保洁）及新老S334、S222、S221、G328、X203、X111、X257、大白线等沿线环卫。兵房镇区：保洁全覆盖，约6平方公里，人口4900人，公厕12座;（如泰运河以北四贯河以西：东西三至四贯，向北至兵北八横河；如泰运河以北四贯河以东：东西四贯河向东400米，向北至兵北八横河河北东西路；如泰运河以南四贯河以西：东西三至四贯，向南至兵中桥；如泰运河以南四贯河以东：东西四贯河向东600米，向南至兵中桥。）老大豫镇区：以张謇铜像为中心，北至茂青桥，南至立交桥，东至幼儿园（小学门口），西至3贯路。人口1200人，公厕1座;丁家店镇区：以丁家店桥为中心，向南500米，向北800米，东至5贯路，西至幼儿园。人口1200人，公厕2座。（3）东凌工业集中区、兵房工业园区、张謇工业园区。（4）根据上级部署要求的其它区域。</w:t>
      </w:r>
    </w:p>
    <w:p w14:paraId="17DBA87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1.3.2</w:t>
      </w:r>
      <w:r>
        <w:rPr>
          <w:rFonts w:hint="eastAsia" w:ascii="仿宋" w:hAnsi="仿宋" w:eastAsia="仿宋" w:cs="仿宋"/>
          <w:sz w:val="24"/>
          <w:szCs w:val="24"/>
          <w:highlight w:val="none"/>
        </w:rPr>
        <w:t>项目内容：</w:t>
      </w:r>
      <w:r>
        <w:rPr>
          <w:rFonts w:hint="eastAsia" w:ascii="仿宋" w:hAnsi="仿宋" w:eastAsia="仿宋" w:cs="仿宋"/>
          <w:sz w:val="24"/>
          <w:szCs w:val="24"/>
          <w:highlight w:val="none"/>
          <w:u w:val="single"/>
        </w:rPr>
        <w:t>（1）垃圾〔包括但不限于生活垃圾、农业生产垃圾（秸秆除外）、大件垃圾（含旧马桶、废弃家具等）、一般工业垃圾等。“下同”〕的清扫、捡拾、分类、收集、清运等收运处置以及垃圾设施的管护，同时配合村（社区）做好建筑垃圾和修缮装修垃圾的收运处置；（2）道路、桥梁保洁；（3）三、四级河道长效保洁管护（含芦苇和芦竹清理）；（4）道路两侧及镇区绿化的保洁；（5）三个镇区所有公共厕所保洁；（6）环境卫生管理中心、易腐垃圾处理中心及村级中转站的运营、维护和保洁；（7）全力做好各类突发公共事件、突击检查创建、重大活动、重大节日等垃圾量高峰期间的环卫保障，服从相关具体工作安排。（详见《大豫镇环境卫生长效管护项目考核细则》，以下简称《考核细则》）</w:t>
      </w:r>
      <w:r>
        <w:rPr>
          <w:rFonts w:hint="eastAsia" w:ascii="仿宋" w:hAnsi="仿宋" w:eastAsia="仿宋" w:cs="仿宋"/>
          <w:sz w:val="24"/>
          <w:szCs w:val="24"/>
          <w:highlight w:val="none"/>
          <w:u w:val="single"/>
          <w:lang w:eastAsia="zh-CN"/>
        </w:rPr>
        <w:t>。</w:t>
      </w:r>
    </w:p>
    <w:p w14:paraId="60A735DB">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1.4 履行时间（期限）：</w:t>
      </w:r>
      <w:r>
        <w:rPr>
          <w:rFonts w:hint="eastAsia" w:ascii="仿宋" w:hAnsi="仿宋" w:eastAsia="仿宋" w:cs="仿宋"/>
          <w:sz w:val="24"/>
          <w:szCs w:val="24"/>
          <w:highlight w:val="none"/>
          <w:u w:val="single"/>
        </w:rPr>
        <w:t>三年【2026年 月 日-2029年 月 日】</w:t>
      </w:r>
    </w:p>
    <w:p w14:paraId="3F18339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1.5 履行地点：</w:t>
      </w:r>
      <w:r>
        <w:rPr>
          <w:rFonts w:hint="eastAsia" w:ascii="仿宋" w:hAnsi="仿宋" w:eastAsia="仿宋" w:cs="仿宋"/>
          <w:sz w:val="24"/>
          <w:szCs w:val="24"/>
          <w:highlight w:val="none"/>
          <w:u w:val="single"/>
        </w:rPr>
        <w:t>如东县大豫镇</w:t>
      </w:r>
    </w:p>
    <w:p w14:paraId="57C42DE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default" w:ascii="仿宋" w:hAnsi="仿宋" w:eastAsia="仿宋" w:cs="仿宋"/>
          <w:sz w:val="24"/>
          <w:szCs w:val="24"/>
          <w:highlight w:val="none"/>
          <w:lang w:val="en-US"/>
        </w:rPr>
      </w:pPr>
      <w:r>
        <w:rPr>
          <w:rFonts w:hint="eastAsia" w:ascii="仿宋" w:hAnsi="仿宋" w:eastAsia="仿宋" w:cs="仿宋"/>
          <w:sz w:val="24"/>
          <w:szCs w:val="24"/>
          <w:highlight w:val="none"/>
        </w:rPr>
        <w:t>1.6履行方式：</w:t>
      </w:r>
      <w:r>
        <w:rPr>
          <w:rFonts w:hint="eastAsia" w:ascii="仿宋" w:hAnsi="仿宋" w:eastAsia="仿宋" w:cs="仿宋"/>
          <w:sz w:val="24"/>
          <w:szCs w:val="24"/>
          <w:highlight w:val="none"/>
          <w:u w:val="single"/>
          <w:lang w:val="en-US" w:eastAsia="zh-CN"/>
        </w:rPr>
        <w:t xml:space="preserve">                  </w:t>
      </w:r>
    </w:p>
    <w:p w14:paraId="443AA8DE">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二、合同金额</w:t>
      </w:r>
    </w:p>
    <w:p w14:paraId="1A6FCD2E">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2.1 本合同金额为（大写）：</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元）人民币或其他币种。</w:t>
      </w:r>
    </w:p>
    <w:p w14:paraId="700D1948">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三、技术资料</w:t>
      </w:r>
    </w:p>
    <w:p w14:paraId="72358ABA">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3.1乙方应按招标文件规定的时间向甲方提供服务（包含与服务相关的货物）的有关技术资料。</w:t>
      </w:r>
    </w:p>
    <w:p w14:paraId="102B437B">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3.2 没有甲方事先书面同意，乙方不得将由甲方提供的有关合同或任何合同条文、规格、计划、图纸、样品或资料提供给与履行本合同无关的任何其他人。即使向履行本合同有关的人员提供，也应注意保密并限于履行合同的必需范围。</w:t>
      </w:r>
    </w:p>
    <w:p w14:paraId="4E964B97">
      <w:pPr>
        <w:pStyle w:val="19"/>
        <w:keepLines w:val="0"/>
        <w:pageBreakBefore w:val="0"/>
        <w:widowControl w:val="0"/>
        <w:kinsoku/>
        <w:wordWrap/>
        <w:overflowPunct/>
        <w:topLinePunct w:val="0"/>
        <w:autoSpaceDE/>
        <w:autoSpaceDN/>
        <w:bidi w:val="0"/>
        <w:adjustRightInd/>
        <w:snapToGrid w:val="0"/>
        <w:spacing w:line="360" w:lineRule="auto"/>
        <w:ind w:left="412" w:hanging="412" w:hangingChars="171"/>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四、知识产权</w:t>
      </w:r>
    </w:p>
    <w:p w14:paraId="0DE9130D">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4.1乙方应保证甲方在使用、接受本合同服务（包含与服务相关的货物）或其任何一部分时不受第三方提出侵犯其专利权、版权、商标权和工业设计权等知识产权的起诉。一旦出现侵权，由乙方负全部责任。</w:t>
      </w:r>
    </w:p>
    <w:p w14:paraId="204F5A56">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sz w:val="24"/>
          <w:szCs w:val="24"/>
          <w:highlight w:val="none"/>
          <w:u w:val="single"/>
        </w:rPr>
      </w:pPr>
      <w:r>
        <w:rPr>
          <w:rFonts w:hint="eastAsia" w:ascii="仿宋" w:hAnsi="仿宋" w:eastAsia="仿宋" w:cs="仿宋"/>
          <w:b/>
          <w:sz w:val="24"/>
          <w:szCs w:val="24"/>
          <w:highlight w:val="none"/>
        </w:rPr>
        <w:t>五、产权担保</w:t>
      </w:r>
    </w:p>
    <w:p w14:paraId="04191944">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5.1 乙方保证所交付的服务（包含与服务相关的货物）的所有权完全属于乙方且无任何抵押、查封等产权瑕疵。</w:t>
      </w:r>
    </w:p>
    <w:p w14:paraId="24A5EEE0">
      <w:pPr>
        <w:pStyle w:val="19"/>
        <w:keepLines w:val="0"/>
        <w:pageBreakBefore w:val="0"/>
        <w:widowControl w:val="0"/>
        <w:kinsoku/>
        <w:wordWrap/>
        <w:overflowPunct/>
        <w:topLinePunct w:val="0"/>
        <w:autoSpaceDE/>
        <w:autoSpaceDN/>
        <w:bidi w:val="0"/>
        <w:adjustRightInd/>
        <w:snapToGrid w:val="0"/>
        <w:spacing w:line="360" w:lineRule="auto"/>
        <w:ind w:left="410" w:hanging="410" w:hangingChars="17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六、履约保证金</w:t>
      </w:r>
    </w:p>
    <w:p w14:paraId="19C2860D">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6.1 乙方交纳人民币</w:t>
      </w:r>
      <w:r>
        <w:rPr>
          <w:rFonts w:hint="eastAsia" w:ascii="仿宋" w:hAnsi="仿宋" w:eastAsia="仿宋" w:cs="仿宋"/>
          <w:sz w:val="24"/>
          <w:szCs w:val="24"/>
          <w:highlight w:val="none"/>
          <w:u w:val="single"/>
          <w:lang w:val="en-US" w:eastAsia="zh-CN"/>
        </w:rPr>
        <w:t>伍拾万元整</w:t>
      </w:r>
      <w:r>
        <w:rPr>
          <w:rFonts w:hint="eastAsia" w:ascii="仿宋" w:hAnsi="仿宋" w:eastAsia="仿宋" w:cs="仿宋"/>
          <w:sz w:val="24"/>
          <w:szCs w:val="24"/>
          <w:highlight w:val="none"/>
        </w:rPr>
        <w:t>作为本合同的履约保证金。</w:t>
      </w:r>
    </w:p>
    <w:p w14:paraId="1C2D26FB">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6.2合同履行结束后，甲方应及时退还交纳的履约保证金。</w:t>
      </w:r>
    </w:p>
    <w:p w14:paraId="7ED71B96">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u w:val="single"/>
          <w:lang w:val="en-US" w:eastAsia="zh-CN"/>
        </w:rPr>
      </w:pPr>
      <w:r>
        <w:rPr>
          <w:rFonts w:hint="eastAsia" w:ascii="仿宋" w:hAnsi="仿宋" w:eastAsia="仿宋" w:cs="仿宋"/>
          <w:sz w:val="24"/>
          <w:szCs w:val="24"/>
          <w:highlight w:val="none"/>
        </w:rPr>
        <w:t>6.2.1履约保证金退还方式：</w:t>
      </w:r>
      <w:r>
        <w:rPr>
          <w:rFonts w:hint="eastAsia" w:ascii="仿宋" w:hAnsi="仿宋" w:eastAsia="仿宋" w:cs="仿宋"/>
          <w:sz w:val="24"/>
          <w:szCs w:val="24"/>
          <w:highlight w:val="none"/>
          <w:u w:val="single"/>
          <w:lang w:val="en-US" w:eastAsia="zh-CN"/>
        </w:rPr>
        <w:t>原路退还</w:t>
      </w:r>
    </w:p>
    <w:p w14:paraId="6E07BC6E">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rPr>
        <w:t>6.2.2履约保证金退还时间：</w:t>
      </w:r>
      <w:r>
        <w:rPr>
          <w:rFonts w:hint="eastAsia" w:ascii="仿宋" w:hAnsi="仿宋" w:eastAsia="仿宋" w:cs="仿宋"/>
          <w:sz w:val="24"/>
          <w:szCs w:val="24"/>
          <w:highlight w:val="none"/>
          <w:u w:val="single"/>
        </w:rPr>
        <w:t>本合同期满或提前终止后，乙方在完全履行合同义务且未发生本合同第</w:t>
      </w:r>
      <w:r>
        <w:rPr>
          <w:rFonts w:hint="eastAsia" w:ascii="仿宋" w:hAnsi="仿宋" w:eastAsia="仿宋" w:cs="仿宋"/>
          <w:sz w:val="24"/>
          <w:szCs w:val="24"/>
          <w:highlight w:val="none"/>
          <w:u w:val="single"/>
          <w:lang w:val="en-US" w:eastAsia="zh-CN"/>
        </w:rPr>
        <w:t>十一</w:t>
      </w:r>
      <w:r>
        <w:rPr>
          <w:rFonts w:hint="eastAsia" w:ascii="仿宋" w:hAnsi="仿宋" w:eastAsia="仿宋" w:cs="仿宋"/>
          <w:sz w:val="24"/>
          <w:szCs w:val="24"/>
          <w:highlight w:val="none"/>
          <w:u w:val="single"/>
        </w:rPr>
        <w:t>条约定的甲方有权扣除履约保证金之情形的，甲方在乙方办理完毕全部交接手续后30日内，将履约保证金（不计利息）全额返还给乙方</w:t>
      </w:r>
      <w:r>
        <w:rPr>
          <w:rFonts w:hint="eastAsia" w:ascii="仿宋" w:hAnsi="仿宋" w:eastAsia="仿宋" w:cs="仿宋"/>
          <w:sz w:val="24"/>
          <w:szCs w:val="24"/>
          <w:highlight w:val="none"/>
          <w:u w:val="single"/>
          <w:lang w:eastAsia="zh-CN"/>
        </w:rPr>
        <w:t>。</w:t>
      </w:r>
    </w:p>
    <w:p w14:paraId="3337A8D8">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sz w:val="24"/>
          <w:szCs w:val="24"/>
          <w:highlight w:val="none"/>
        </w:rPr>
        <w:t>6.2.3履约保证金退还条件：</w:t>
      </w:r>
      <w:r>
        <w:rPr>
          <w:rFonts w:hint="eastAsia" w:ascii="仿宋" w:hAnsi="仿宋" w:eastAsia="仿宋" w:cs="仿宋"/>
          <w:color w:val="auto"/>
          <w:sz w:val="24"/>
          <w:szCs w:val="24"/>
          <w:highlight w:val="none"/>
          <w:lang w:val="en-US" w:eastAsia="zh-CN"/>
        </w:rPr>
        <w:t>乙方全部履约合同义务，经甲方验收合格无质量、进度等问题的，甲方在验收合格后一次性退还履约保证金，甲方若逾期退还履约保证金的，按照逾期部分的每日0.05%支付违约金。</w:t>
      </w:r>
    </w:p>
    <w:p w14:paraId="65C2B4C8">
      <w:pPr>
        <w:keepNext w:val="0"/>
        <w:keepLines w:val="0"/>
        <w:pageBreakBefore w:val="0"/>
        <w:widowControl w:val="0"/>
        <w:kinsoku/>
        <w:wordWrap/>
        <w:overflowPunct/>
        <w:topLinePunct w:val="0"/>
        <w:autoSpaceDE/>
        <w:autoSpaceDN/>
        <w:bidi w:val="0"/>
        <w:adjustRightInd/>
        <w:snapToGrid w:val="0"/>
        <w:spacing w:line="360" w:lineRule="auto"/>
        <w:ind w:left="0" w:leftChars="0"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6.2.4发生以下情况的，履约保证金不予退还或部分退还：</w:t>
      </w:r>
    </w:p>
    <w:p w14:paraId="4436A200">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6.2.4.1 签订合同后，乙方不履行合同义务的，甲方有权全额扣除履约保证金，全额不予退还，同时甲方亦有权终止合同，乙方还须承担相应的法律赔偿责任。</w:t>
      </w:r>
    </w:p>
    <w:p w14:paraId="63E21184">
      <w:pPr>
        <w:keepNext w:val="0"/>
        <w:keepLines w:val="0"/>
        <w:pageBreakBefore w:val="0"/>
        <w:widowControl w:val="0"/>
        <w:kinsoku/>
        <w:wordWrap/>
        <w:overflowPunct/>
        <w:topLinePunct w:val="0"/>
        <w:autoSpaceDE/>
        <w:autoSpaceDN/>
        <w:bidi w:val="0"/>
        <w:adjustRightInd/>
        <w:snapToGrid w:val="0"/>
        <w:spacing w:line="360" w:lineRule="auto"/>
        <w:ind w:firstLine="480" w:firstLineChars="200"/>
        <w:jc w:val="both"/>
        <w:textAlignment w:val="auto"/>
        <w:rPr>
          <w:rFonts w:hint="eastAsia" w:ascii="仿宋" w:hAnsi="仿宋" w:eastAsia="仿宋" w:cs="仿宋"/>
          <w:color w:val="auto"/>
          <w:sz w:val="24"/>
          <w:szCs w:val="24"/>
          <w:highlight w:val="none"/>
          <w:lang w:val="en-US" w:eastAsia="zh-CN"/>
        </w:rPr>
      </w:pPr>
      <w:r>
        <w:rPr>
          <w:rFonts w:hint="eastAsia" w:ascii="仿宋" w:hAnsi="仿宋" w:eastAsia="仿宋" w:cs="仿宋"/>
          <w:color w:val="auto"/>
          <w:sz w:val="24"/>
          <w:szCs w:val="24"/>
          <w:highlight w:val="none"/>
          <w:lang w:val="en-US" w:eastAsia="zh-CN"/>
        </w:rPr>
        <w:t>6.2.4.2 乙方在履约过程中发生违约行为，给甲方造成损失的，甲方有权在乙方缴纳的履约保证金中予以扣款，以弥补甲方经济损失，不足的部分乙方另外补齐。</w:t>
      </w:r>
    </w:p>
    <w:p w14:paraId="429A1256">
      <w:pPr>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七、合同转包或分包</w:t>
      </w:r>
    </w:p>
    <w:p w14:paraId="1E1A0A7F">
      <w:pPr>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7.1乙方不得将合同标的转包给他人履行。</w:t>
      </w:r>
    </w:p>
    <w:p w14:paraId="5C6EC7CE">
      <w:pPr>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7.2乙方不得将合同标的分包给他人履行。</w:t>
      </w:r>
    </w:p>
    <w:p w14:paraId="68576A10">
      <w:pPr>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7.3乙方如有转包或未经甲方同意的分包行为，甲方有权解除合同。</w:t>
      </w:r>
    </w:p>
    <w:p w14:paraId="02F14554">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八、合同款项支付</w:t>
      </w:r>
    </w:p>
    <w:p w14:paraId="49D232A4">
      <w:pPr>
        <w:pStyle w:val="19"/>
        <w:keepNext w:val="0"/>
        <w:keepLines w:val="0"/>
        <w:pageBreakBefore w:val="0"/>
        <w:widowControl w:val="0"/>
        <w:kinsoku/>
        <w:wordWrap/>
        <w:overflowPunct/>
        <w:topLinePunct w:val="0"/>
        <w:autoSpaceDE/>
        <w:autoSpaceDN/>
        <w:bidi w:val="0"/>
        <w:adjustRightInd/>
        <w:snapToGrid w:val="0"/>
        <w:spacing w:line="360" w:lineRule="auto"/>
        <w:ind w:left="479" w:leftChars="228" w:firstLine="0" w:firstLineChars="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8.1合同款项的支付方式及进度安排</w:t>
      </w:r>
    </w:p>
    <w:p w14:paraId="6C7E2942">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u w:val="single"/>
        </w:rPr>
      </w:pPr>
      <w:r>
        <w:rPr>
          <w:rFonts w:hint="eastAsia" w:ascii="仿宋" w:hAnsi="仿宋" w:eastAsia="仿宋" w:cs="仿宋"/>
          <w:sz w:val="24"/>
          <w:szCs w:val="24"/>
          <w:highlight w:val="none"/>
          <w:u w:val="none"/>
        </w:rPr>
        <w:t>8.1.1 支付时间：</w:t>
      </w:r>
      <w:r>
        <w:rPr>
          <w:rFonts w:hint="eastAsia" w:ascii="仿宋" w:hAnsi="仿宋" w:eastAsia="仿宋" w:cs="仿宋"/>
          <w:sz w:val="24"/>
          <w:szCs w:val="24"/>
          <w:highlight w:val="none"/>
          <w:u w:val="single"/>
        </w:rPr>
        <w:t>甲方按照月度进行考核计算并按季度支付给乙方，每季度结束后次月付款（其中生活垃圾收运服务费用由各村支付其50%，镇按照实际中标价格，测算分割到各村，村级费用由各村年底一次性支付给乙方）。乙方与甲方结算时，乙方均需足额向甲方出具合法票据及该季度乙方向其职员发放工资的发放银行流水账单作为付款的前提。价款除本合同约定和依照《考核细则》扣款外，任何一方不得擅自改变。</w:t>
      </w:r>
    </w:p>
    <w:p w14:paraId="1D781579">
      <w:pPr>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u w:val="none"/>
          <w:lang w:val="en-US" w:eastAsia="zh-CN"/>
        </w:rPr>
        <w:t>8.1.2</w:t>
      </w:r>
      <w:r>
        <w:rPr>
          <w:rFonts w:hint="eastAsia" w:ascii="仿宋" w:hAnsi="仿宋" w:eastAsia="仿宋" w:cs="仿宋"/>
          <w:sz w:val="24"/>
          <w:szCs w:val="24"/>
          <w:highlight w:val="none"/>
          <w:u w:val="none"/>
        </w:rPr>
        <w:t>考核</w:t>
      </w:r>
      <w:r>
        <w:rPr>
          <w:rFonts w:hint="eastAsia" w:ascii="仿宋" w:hAnsi="仿宋" w:eastAsia="仿宋" w:cs="仿宋"/>
          <w:sz w:val="24"/>
          <w:szCs w:val="24"/>
          <w:highlight w:val="none"/>
        </w:rPr>
        <w:t>奖惩方式：</w:t>
      </w:r>
    </w:p>
    <w:p w14:paraId="079CC5B2">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1.绩效考核结果与合同价款相挂钩，按甲方对乙方月度绩效考核来确定，实行百分制，其中甲方考核结果占50%，各村（社区）运行管理考核结果占40%，其他减分项结果占10%。具体操作如下：</w:t>
      </w:r>
    </w:p>
    <w:p w14:paraId="05003EB7">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（1）在甲方月度绩效考核中得分为90分（含90分）至100分的，按当月基本价款的100%结算；</w:t>
      </w:r>
    </w:p>
    <w:p w14:paraId="6B605913">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（2）在甲方月度绩效考核中得分为85分（含85分）至90分的，按当月基本价款的95%结算；</w:t>
      </w:r>
    </w:p>
    <w:p w14:paraId="0A276741">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（3）在甲方月度绩效考核中得分为80分（含80分）至85分的，按当月基本价款的90%结算；</w:t>
      </w:r>
    </w:p>
    <w:p w14:paraId="6150703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（4）在甲方月度绩效考核中实际得分为80分以下的，每减少n分按当月基本价款（90%-2%*n）结算。注：n=80-实际得分</w:t>
      </w:r>
    </w:p>
    <w:p w14:paraId="77544D09">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2.设村（社区）月度专项考核扣款。根据各村（社区）月度运行管理考核得分，实行分档扣款：考核得分低于90分（含 80分至89.9分），每村扣减资金2000元；考核得分低于80分（含60分至79.9分），每村扣减资金4000元；考核得分低于60分，每村扣减资金6000元。上述考核扣款经汇总核定后，统一计入当月基本价款予以结算。</w:t>
      </w:r>
    </w:p>
    <w:p w14:paraId="2EA7540A">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3.环境卫生管理中心单独考核，考核结果与合同款相挂钩，镇五位一体办按环境卫生管理中心月度绩效考核评分组织月度考评，得分在90分（不含90分）以下的，具体得分在80-90（含80分），每减少0.1分，在月度合同款结算价的基础上减少0.2%的基础价款；得分在80分（不含80分）以下的，每减少0.1分，在月度合同款结算价的基础上减少0.5%的基础价款。</w:t>
      </w:r>
    </w:p>
    <w:p w14:paraId="2B7262CA">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8.1.3</w:t>
      </w:r>
      <w:r>
        <w:rPr>
          <w:rFonts w:hint="eastAsia" w:ascii="仿宋" w:hAnsi="仿宋" w:eastAsia="仿宋" w:cs="仿宋"/>
          <w:sz w:val="24"/>
          <w:szCs w:val="24"/>
          <w:highlight w:val="none"/>
        </w:rPr>
        <w:t>结果运用：</w:t>
      </w:r>
    </w:p>
    <w:p w14:paraId="56C6D946">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sz w:val="24"/>
          <w:szCs w:val="24"/>
          <w:highlight w:val="none"/>
        </w:rPr>
      </w:pPr>
      <w:r>
        <w:rPr>
          <w:rFonts w:hint="eastAsia" w:ascii="仿宋" w:hAnsi="仿宋" w:eastAsia="仿宋" w:cs="仿宋"/>
          <w:sz w:val="24"/>
          <w:szCs w:val="24"/>
          <w:highlight w:val="none"/>
        </w:rPr>
        <w:t>月度结算支付款=每月甲方绩效考核结果-日常巡查考核扣款（含后装式压缩车清运频次专项考核）-管理运行考核扣款（含人员配备、不适岗专项考核）-来信来访考核扣款-村（社区）月度专项考核扣款-环境卫生管理中心运行考核扣款。</w:t>
      </w:r>
    </w:p>
    <w:p w14:paraId="75D1FCD6">
      <w:pPr>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九、税费</w:t>
      </w:r>
    </w:p>
    <w:p w14:paraId="4833906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9.1本合同执行中相关的一切税费均由乙方负担。</w:t>
      </w:r>
    </w:p>
    <w:p w14:paraId="7BA2E372">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十、项目验收</w:t>
      </w:r>
    </w:p>
    <w:p w14:paraId="767928B4">
      <w:pPr>
        <w:pStyle w:val="19"/>
        <w:keepNext w:val="0"/>
        <w:keepLines w:val="0"/>
        <w:pageBreakBefore w:val="0"/>
        <w:widowControl w:val="0"/>
        <w:kinsoku/>
        <w:wordWrap/>
        <w:overflowPunct/>
        <w:topLinePunct w:val="0"/>
        <w:autoSpaceDE/>
        <w:autoSpaceDN/>
        <w:bidi w:val="0"/>
        <w:adjustRightInd/>
        <w:snapToGrid w:val="0"/>
        <w:spacing w:line="360" w:lineRule="auto"/>
        <w:ind w:left="479" w:leftChars="228" w:firstLine="0" w:firstLineChars="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10.1 甲方依法组织履约验收工作。</w:t>
      </w:r>
    </w:p>
    <w:p w14:paraId="59EE80A3">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10.2 甲方在组织履约验收前，将根据项目特点制定验收方案，明确履约验收的时间、方式、程序等内容，并可根据项目特点对服务期内的服务实施情况进行分期考核，综合考核情况和服务效果进行验收。乙方应根据验收方案内容做好相应配合工作。</w:t>
      </w:r>
    </w:p>
    <w:p w14:paraId="771C1907">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10.3 对于实际使用人和甲方分离的项目，甲方邀请实际使用人参与验收。</w:t>
      </w:r>
    </w:p>
    <w:p w14:paraId="104871D7">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10.4 如有必要，甲方邀请参加本项目的其他供应商或第三方专业机构及专家参与验收，相关意见将作为验收书的参考资料。</w:t>
      </w:r>
    </w:p>
    <w:p w14:paraId="474BCA09">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10.5 甲方成立验收小组，按照采购合同的约定对乙方的履约情况进行验收。验收时,甲方按照采购合同的约定对每一项技术、服务、安全标准的履约情况进行确认。验收结束后,验收小组出具验收书,列明各项标准的验收情况及项目总体评价,由验收双方共同签署。验收结果与采购合同约定的资金支付及履约保证金返还条件挂钩。履约验收的各项资料存档备查。</w:t>
      </w:r>
    </w:p>
    <w:p w14:paraId="6399EF7D">
      <w:pPr>
        <w:pStyle w:val="19"/>
        <w:keepNext w:val="0"/>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Cs/>
          <w:sz w:val="24"/>
          <w:szCs w:val="24"/>
          <w:highlight w:val="none"/>
        </w:rPr>
      </w:pPr>
      <w:r>
        <w:rPr>
          <w:rFonts w:hint="eastAsia" w:ascii="仿宋" w:hAnsi="仿宋" w:eastAsia="仿宋" w:cs="仿宋"/>
          <w:bCs/>
          <w:sz w:val="24"/>
          <w:szCs w:val="24"/>
          <w:highlight w:val="none"/>
        </w:rPr>
        <w:t>10.6 验收合格的项目,甲方根据采购合同的约定及时向乙方支付合同款项、退还履约保证金。验收不合格的项目，甲方依法及时处理。采购合同的履行、违约责任和解决争议的方式等适用《中华人民共和国民法典》。乙方在履约过程中有政府采购法律法规规定的违法违规情形的,甲方将及时报告本级财政部门。</w:t>
      </w:r>
    </w:p>
    <w:p w14:paraId="1604CD1A">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十一、违约责任</w:t>
      </w:r>
    </w:p>
    <w:p w14:paraId="273F3C3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11.1 甲方无正当理由拒绝接受乙方提供服务的，甲方向乙方偿付拒绝接受服务合同价款总值</w:t>
      </w:r>
      <w:r>
        <w:rPr>
          <w:rFonts w:hint="eastAsia" w:ascii="仿宋" w:hAnsi="仿宋" w:eastAsia="仿宋" w:cs="仿宋"/>
          <w:sz w:val="24"/>
          <w:szCs w:val="24"/>
          <w:highlight w:val="none"/>
          <w:u w:val="single"/>
          <w:lang w:val="en-US" w:eastAsia="zh-CN"/>
        </w:rPr>
        <w:t>2%</w:t>
      </w:r>
      <w:r>
        <w:rPr>
          <w:rFonts w:hint="eastAsia" w:ascii="仿宋" w:hAnsi="仿宋" w:eastAsia="仿宋" w:cs="仿宋"/>
          <w:sz w:val="24"/>
          <w:szCs w:val="24"/>
          <w:highlight w:val="none"/>
        </w:rPr>
        <w:t>的违约金。</w:t>
      </w:r>
    </w:p>
    <w:p w14:paraId="7DA9696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11.2 甲方无故逾期验收和办理合同款项支付手续的,甲方应按逾期付款总额</w:t>
      </w:r>
      <w:r>
        <w:rPr>
          <w:rFonts w:hint="eastAsia" w:ascii="仿宋" w:hAnsi="仿宋" w:eastAsia="仿宋" w:cs="仿宋"/>
          <w:sz w:val="24"/>
          <w:szCs w:val="24"/>
          <w:highlight w:val="none"/>
          <w:u w:val="single"/>
        </w:rPr>
        <w:t xml:space="preserve"> </w:t>
      </w:r>
      <w:r>
        <w:rPr>
          <w:rFonts w:hint="eastAsia" w:ascii="仿宋" w:hAnsi="仿宋" w:eastAsia="仿宋" w:cs="仿宋"/>
          <w:sz w:val="24"/>
          <w:szCs w:val="24"/>
          <w:highlight w:val="none"/>
          <w:u w:val="single"/>
          <w:lang w:val="en-US" w:eastAsia="zh-CN"/>
        </w:rPr>
        <w:t>万分之0.01</w:t>
      </w:r>
      <w:r>
        <w:rPr>
          <w:rFonts w:hint="eastAsia" w:ascii="仿宋" w:hAnsi="仿宋" w:eastAsia="仿宋" w:cs="仿宋"/>
          <w:sz w:val="24"/>
          <w:szCs w:val="24"/>
          <w:highlight w:val="none"/>
        </w:rPr>
        <w:t>每日向乙方支付违约金。</w:t>
      </w:r>
    </w:p>
    <w:p w14:paraId="3FD9ACD1">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11.3 乙方逾期提供服务的，乙方应按逾期提供服务合同总额每日</w:t>
      </w:r>
      <w:r>
        <w:rPr>
          <w:rFonts w:hint="eastAsia" w:ascii="仿宋" w:hAnsi="仿宋" w:eastAsia="仿宋" w:cs="仿宋"/>
          <w:sz w:val="24"/>
          <w:szCs w:val="24"/>
          <w:highlight w:val="none"/>
          <w:u w:val="single"/>
          <w:lang w:val="en-US" w:eastAsia="zh-CN"/>
        </w:rPr>
        <w:t>10000元</w:t>
      </w:r>
      <w:r>
        <w:rPr>
          <w:rFonts w:hint="eastAsia" w:ascii="仿宋" w:hAnsi="仿宋" w:eastAsia="仿宋" w:cs="仿宋"/>
          <w:sz w:val="24"/>
          <w:szCs w:val="24"/>
          <w:highlight w:val="none"/>
        </w:rPr>
        <w:t>向甲方支付违约金，由甲方从待付合同款项中扣除。逾期超过约定日期</w:t>
      </w:r>
      <w:r>
        <w:rPr>
          <w:rFonts w:hint="eastAsia" w:ascii="仿宋" w:hAnsi="仿宋" w:eastAsia="仿宋" w:cs="仿宋"/>
          <w:sz w:val="24"/>
          <w:szCs w:val="24"/>
          <w:highlight w:val="none"/>
          <w:u w:val="single"/>
          <w:lang w:val="en-US" w:eastAsia="zh-CN"/>
        </w:rPr>
        <w:t>5</w:t>
      </w:r>
      <w:r>
        <w:rPr>
          <w:rFonts w:hint="eastAsia" w:ascii="仿宋" w:hAnsi="仿宋" w:eastAsia="仿宋" w:cs="仿宋"/>
          <w:sz w:val="24"/>
          <w:szCs w:val="24"/>
          <w:highlight w:val="none"/>
          <w:u w:val="none"/>
        </w:rPr>
        <w:t>个工作日</w:t>
      </w:r>
      <w:r>
        <w:rPr>
          <w:rFonts w:hint="eastAsia" w:ascii="仿宋" w:hAnsi="仿宋" w:eastAsia="仿宋" w:cs="仿宋"/>
          <w:sz w:val="24"/>
          <w:szCs w:val="24"/>
          <w:highlight w:val="none"/>
        </w:rPr>
        <w:t>不能提供服务的，甲方可解除本合同。乙方因逾期提供服务或因其他违约行为导致甲方解除合同的，乙方应向甲方支付合同价款总额</w:t>
      </w:r>
      <w:r>
        <w:rPr>
          <w:rFonts w:hint="eastAsia" w:ascii="仿宋" w:hAnsi="仿宋" w:eastAsia="仿宋" w:cs="仿宋"/>
          <w:sz w:val="24"/>
          <w:szCs w:val="24"/>
          <w:highlight w:val="none"/>
          <w:u w:val="single"/>
          <w:lang w:val="en-US" w:eastAsia="zh-CN"/>
        </w:rPr>
        <w:t>10%</w:t>
      </w:r>
      <w:r>
        <w:rPr>
          <w:rFonts w:hint="eastAsia" w:ascii="仿宋" w:hAnsi="仿宋" w:eastAsia="仿宋" w:cs="仿宋"/>
          <w:sz w:val="24"/>
          <w:szCs w:val="24"/>
          <w:highlight w:val="none"/>
        </w:rPr>
        <w:t xml:space="preserve">的违约金，如造成甲方损失超过违约金的，超出部分由乙方继续承担赔偿责任。 </w:t>
      </w:r>
    </w:p>
    <w:p w14:paraId="7B190C6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11.4 乙方所提供服务的标准不符合合同规定及招标文件规定标准的，甲方有权拒绝接受服务，并可单方面解除合同。</w:t>
      </w:r>
    </w:p>
    <w:p w14:paraId="4806EDCB">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 xml:space="preserve"> 乙方不得擅自更换项目负责人，否则甲方有权终止合同，并有权将乙方的履约保证金作为违约金处理，且不予以退还。如出现特殊情况确需更换的，应当由乙方提出申请（更换的项目负责人其工作经验、业绩、管理能力等必须满足《考核细则》中的相应要求）并提供必要的证明文件报甲方审核批准后方可更换。</w:t>
      </w:r>
    </w:p>
    <w:p w14:paraId="10589FAC">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11.</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 xml:space="preserve"> 乙方不得超过自己履约能力接受该项任务，该工作不允许转包或分包，若发现有转包或分包的行为，甲方有权解除合同，并有权将乙方的履约保证金作为违约金处理，且不予以退还。</w:t>
      </w:r>
    </w:p>
    <w:p w14:paraId="7BBC3E05">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11.7</w:t>
      </w:r>
      <w:r>
        <w:rPr>
          <w:rFonts w:hint="eastAsia" w:ascii="仿宋" w:hAnsi="仿宋" w:eastAsia="仿宋" w:cs="仿宋"/>
          <w:sz w:val="24"/>
          <w:szCs w:val="24"/>
          <w:highlight w:val="none"/>
        </w:rPr>
        <w:t>乙方人员配备不能满足甲方《考核细则》中人员配备，片长及以上管理人员每少1人的，每月按月度结算支付款3%扣罚，一般人员每少1人的每月按月度结算支付款1%扣罚。</w:t>
      </w:r>
    </w:p>
    <w:p w14:paraId="21DE71C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11.8</w:t>
      </w:r>
      <w:r>
        <w:rPr>
          <w:rFonts w:hint="eastAsia" w:ascii="仿宋" w:hAnsi="仿宋" w:eastAsia="仿宋" w:cs="仿宋"/>
          <w:sz w:val="24"/>
          <w:szCs w:val="24"/>
          <w:highlight w:val="none"/>
        </w:rPr>
        <w:t>合同执行期内，摊销期满设备在期满后一个月内未购置到位，甲方有权要求乙方限期整改，逾期未整改的，每月按月度结算支付款的2%扣罚；本合同签订后一个月内未按照本项目承包范围及内容完成一次全面大清理的按年度合同款的2%扣罚。</w:t>
      </w:r>
    </w:p>
    <w:p w14:paraId="73EE46BA">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11.9</w:t>
      </w:r>
      <w:r>
        <w:rPr>
          <w:rFonts w:hint="eastAsia" w:ascii="仿宋" w:hAnsi="仿宋" w:eastAsia="仿宋" w:cs="仿宋"/>
          <w:sz w:val="24"/>
          <w:szCs w:val="24"/>
          <w:highlight w:val="none"/>
        </w:rPr>
        <w:t>乙方未给所用员工缴纳相关社会保险、商业保险的发现一例扣罚10000元，并及时补交到位；符合职工参保年龄人员工资实际发放不得低于如东县职工工资最低标准。各岗位实际发放工资不得低于投标分项报价中的人工单价，不得拖欠工人工资，以上情况发现一例扣罚10000元，并及时补足相应工资。</w:t>
      </w:r>
    </w:p>
    <w:p w14:paraId="272664F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11.10</w:t>
      </w:r>
      <w:r>
        <w:rPr>
          <w:rFonts w:hint="eastAsia" w:ascii="仿宋" w:hAnsi="仿宋" w:eastAsia="仿宋" w:cs="仿宋"/>
          <w:sz w:val="24"/>
          <w:szCs w:val="24"/>
          <w:highlight w:val="none"/>
        </w:rPr>
        <w:t>因乙方管理不善或操作不当等原因发生的事故并对甲方、乙方或第三方造成人身、财产等损害的，由乙方负责妥善处理并承担由此产生的一切责任，造成甲方经济损失的，乙方应给予甲方经济赔偿。如若发生人身、财产安全事故的，由乙方妥善处理并承担由此产生的一切责任的，如若乙方不妥善处理，甲方有权解除本合同，并有权将乙方的履约保证金作为违约金处理，且不予以退还。</w:t>
      </w:r>
    </w:p>
    <w:p w14:paraId="3C0DEE14">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11.11</w:t>
      </w:r>
      <w:r>
        <w:rPr>
          <w:rFonts w:hint="eastAsia" w:ascii="仿宋" w:hAnsi="仿宋" w:eastAsia="仿宋" w:cs="仿宋"/>
          <w:sz w:val="24"/>
          <w:szCs w:val="24"/>
          <w:highlight w:val="none"/>
        </w:rPr>
        <w:t>因乙方由于管理或劳资纠纷引起赴县及以上单位上访的，有一例扣除当月金额10000元。</w:t>
      </w:r>
    </w:p>
    <w:p w14:paraId="1B2D2585">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11.12</w:t>
      </w:r>
      <w:r>
        <w:rPr>
          <w:rFonts w:hint="eastAsia" w:ascii="仿宋" w:hAnsi="仿宋" w:eastAsia="仿宋" w:cs="仿宋"/>
          <w:sz w:val="24"/>
          <w:szCs w:val="24"/>
          <w:highlight w:val="none"/>
        </w:rPr>
        <w:t>被县及以上部门曝光通报的，对不称职人员不予清退的（乙方对缺岗、工作不到位的保洁人员进行教育，对累计被甲方、村三次处罚的人员予以清退），甲方将在本合同价款中扣除每次每人每月10000元。</w:t>
      </w:r>
    </w:p>
    <w:p w14:paraId="10C578F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11.13</w:t>
      </w:r>
      <w:r>
        <w:rPr>
          <w:rFonts w:hint="eastAsia" w:ascii="仿宋" w:hAnsi="仿宋" w:eastAsia="仿宋" w:cs="仿宋"/>
          <w:sz w:val="24"/>
          <w:szCs w:val="24"/>
          <w:highlight w:val="none"/>
        </w:rPr>
        <w:t>根据相关要求、实际情况,《考核细则》进行相应调整或增加内容的，乙方若不服从的，甲方有权解除本合同，并有权将乙方的履约保证金作为违约金处理，且不予以退还。</w:t>
      </w:r>
    </w:p>
    <w:p w14:paraId="6276B9BE">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11.14</w:t>
      </w:r>
      <w:r>
        <w:rPr>
          <w:rFonts w:hint="eastAsia" w:ascii="仿宋" w:hAnsi="仿宋" w:eastAsia="仿宋" w:cs="仿宋"/>
          <w:sz w:val="24"/>
          <w:szCs w:val="24"/>
          <w:highlight w:val="none"/>
        </w:rPr>
        <w:t>乙方有因保洁作业项目被媒体曝光、上级批评或发生群体事件，造成恶劣影响的；全年在甲方月度考核累计三次低于80分的；对甲方就同一类问题发出书面整改通知三次以上未能整改的；乙方违反劳动法律、法规或规章，不能妥善平息与乙方员工之间劳资争议的；因重大节日或重大活动乙方对甲方交办的突击性工作不能按时完成，造成恶劣影响等上述情形之一的，甲方有权解除合同，并有权将乙方的履约保证金作为违约金处理，且不予以退还。</w:t>
      </w:r>
    </w:p>
    <w:p w14:paraId="17A93F74">
      <w:pPr>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十二</w:t>
      </w:r>
      <w:r>
        <w:rPr>
          <w:rFonts w:hint="eastAsia" w:ascii="仿宋" w:hAnsi="仿宋" w:eastAsia="仿宋" w:cs="仿宋"/>
          <w:b/>
          <w:bCs/>
          <w:sz w:val="24"/>
          <w:szCs w:val="24"/>
          <w:highlight w:val="none"/>
        </w:rPr>
        <w:t>、无产权瑕疵条款</w:t>
      </w:r>
    </w:p>
    <w:p w14:paraId="1750262F">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乙方保证所提供的服务设施、设备所有权完全属于乙方且无任何抵押、查封等产权瑕疵。如有产权瑕疵，视为乙方主违约。乙方应负担由此产生的相关损失。</w:t>
      </w:r>
    </w:p>
    <w:p w14:paraId="7C42BDFC">
      <w:pPr>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十三</w:t>
      </w:r>
      <w:r>
        <w:rPr>
          <w:rFonts w:hint="eastAsia" w:ascii="仿宋" w:hAnsi="仿宋" w:eastAsia="仿宋" w:cs="仿宋"/>
          <w:b/>
          <w:bCs/>
          <w:sz w:val="24"/>
          <w:szCs w:val="24"/>
          <w:highlight w:val="none"/>
        </w:rPr>
        <w:t>、设备的配备和使用</w:t>
      </w:r>
    </w:p>
    <w:p w14:paraId="109CE09F">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1.甲方无偿提供乙方项目服务办公场所，乙方需要按照甲方要求增购（租赁）的车辆、工具等设备。乙方提供所有设备的使用必须证照齐全，安全性能达标，缴纳设备保险，乙方承担设备使用过程中的一切费用和风险。</w:t>
      </w:r>
    </w:p>
    <w:p w14:paraId="20D4DA7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2.塑料垃圾桶（240L）移交给乙方使用，以移交清单为准，仅服务甲方区域内生活垃圾清运，不得挪至甲方以外区域使用或者挪作其他用途，如因挪用产生的相关损失由乙方负担。废弃垃圾桶必须运至甲方指定区域，乙方不得擅自处理。合同执行期内因各种原因导致塑料垃圾桶（240L）数量不足，无法满足服务需求，由乙方负责添购。</w:t>
      </w:r>
    </w:p>
    <w:p w14:paraId="2117EEA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bCs w:val="0"/>
          <w:sz w:val="24"/>
          <w:szCs w:val="24"/>
          <w:highlight w:val="none"/>
          <w:lang w:val="en-US" w:eastAsia="zh-CN"/>
        </w:rPr>
      </w:pPr>
      <w:r>
        <w:rPr>
          <w:rFonts w:hint="eastAsia" w:ascii="仿宋" w:hAnsi="仿宋" w:eastAsia="仿宋" w:cs="仿宋"/>
          <w:sz w:val="24"/>
          <w:szCs w:val="24"/>
          <w:highlight w:val="none"/>
        </w:rPr>
        <w:t>3.农户两分类垃圾小桶由乙方按照村（社区）统计的数量在合同签订后一个月内添购到位。乙方应严格按照招标文件约定的产品规格、技术要求组织供货，不得擅自变更。乙方供货时须随货提供产品原厂检测报告、合格证明文件等相关质量证明资料，资料须真实、有效、完整。甲方有权对到货产品进行外观、规格、数量及技术参数验收，必要时可委托第三方机构检测。经检验或检测，产品不符合规格、技术要求、质量标准或与提供的检测报告不一致的，甲方有权无条件退货，乙方须在甲方要求的时限内完成退换货。因产品不合格、退货、换货产生的运输费、装卸费、检测费、工期延误损失等一切费用与责任，均由乙方自行承担。若乙方多次提供不合格产品，或拒不配合退换货，甲方有权中止合同、扣除相应款项，并追究乙方违约责任。</w:t>
      </w:r>
    </w:p>
    <w:p w14:paraId="6E0E3863">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bCs w:val="0"/>
          <w:sz w:val="24"/>
          <w:szCs w:val="24"/>
          <w:highlight w:val="none"/>
        </w:rPr>
      </w:pPr>
      <w:r>
        <w:rPr>
          <w:rFonts w:hint="eastAsia" w:ascii="仿宋" w:hAnsi="仿宋" w:eastAsia="仿宋" w:cs="仿宋"/>
          <w:b/>
          <w:bCs w:val="0"/>
          <w:sz w:val="24"/>
          <w:szCs w:val="24"/>
          <w:highlight w:val="none"/>
          <w:lang w:val="en-US" w:eastAsia="zh-CN"/>
        </w:rPr>
        <w:t>十四</w:t>
      </w:r>
      <w:r>
        <w:rPr>
          <w:rFonts w:hint="eastAsia" w:ascii="仿宋" w:hAnsi="仿宋" w:eastAsia="仿宋" w:cs="仿宋"/>
          <w:b/>
          <w:bCs w:val="0"/>
          <w:sz w:val="24"/>
          <w:szCs w:val="24"/>
          <w:highlight w:val="none"/>
        </w:rPr>
        <w:t>、双方权利义务</w:t>
      </w:r>
    </w:p>
    <w:p w14:paraId="5C25A1A6">
      <w:pPr>
        <w:pStyle w:val="19"/>
        <w:keepLines w:val="0"/>
        <w:pageBreakBefore w:val="0"/>
        <w:widowControl w:val="0"/>
        <w:kinsoku/>
        <w:wordWrap/>
        <w:overflowPunct/>
        <w:topLinePunct w:val="0"/>
        <w:autoSpaceDE/>
        <w:autoSpaceDN/>
        <w:bidi w:val="0"/>
        <w:adjustRightInd/>
        <w:snapToGrid w:val="0"/>
        <w:spacing w:line="360" w:lineRule="auto"/>
        <w:ind w:firstLine="240" w:firstLineChars="1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（一）甲方的权利义务：</w:t>
      </w:r>
    </w:p>
    <w:p w14:paraId="35957B60">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1.建立专业机构，按长效管理要求正常做好督查考核工作；</w:t>
      </w:r>
    </w:p>
    <w:p w14:paraId="3F5590A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2.负责与各村的协调，加强社会宣传，为乙方营造良好的工作环境；</w:t>
      </w:r>
    </w:p>
    <w:p w14:paraId="127766A8">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3.严格按照本合同第三条规定，向乙方支付服务费用；</w:t>
      </w:r>
    </w:p>
    <w:p w14:paraId="084B5BF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4.及时传达、通报上级精神，并按精神要求指导乙方工作。</w:t>
      </w:r>
    </w:p>
    <w:p w14:paraId="301C5564">
      <w:pPr>
        <w:pStyle w:val="19"/>
        <w:keepLines w:val="0"/>
        <w:pageBreakBefore w:val="0"/>
        <w:widowControl w:val="0"/>
        <w:kinsoku/>
        <w:wordWrap/>
        <w:overflowPunct/>
        <w:topLinePunct w:val="0"/>
        <w:autoSpaceDE/>
        <w:autoSpaceDN/>
        <w:bidi w:val="0"/>
        <w:adjustRightInd/>
        <w:snapToGrid w:val="0"/>
        <w:spacing w:line="360" w:lineRule="auto"/>
        <w:ind w:firstLine="240" w:firstLineChars="1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（二）乙方的权利义务：</w:t>
      </w:r>
    </w:p>
    <w:p w14:paraId="644FCBA5">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1.具备独立财产，有自己的名称、组织机构和场所，能够独立承担民事责任；</w:t>
      </w:r>
    </w:p>
    <w:p w14:paraId="153F8076">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2.按要求组织实施，按照法律规定享受权利、承担义务；</w:t>
      </w:r>
    </w:p>
    <w:p w14:paraId="7A7F59FD">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3.建立健全安全责任制。建立安全生产管理系统，创建安全生产、文明生产的氛围，定期进行安全教育和检查。所有工作人员必须按规定穿戴防护用品，并持证上岗。本合同履行期间，乙方必须加强安全管理工作，确保不发生任何人身、财产安全事故，如若发生人身、财产安全事故的，由乙方负责妥善处理并承担由此产生的一切责任；</w:t>
      </w:r>
    </w:p>
    <w:p w14:paraId="79737885">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4.合同签订后一个月内乙方应与从事服务工作的员工签订用工合同（劳动、劳务合同），明确工作职责、范围、时间、标准等内容，明确内部考核奖惩制度按合同附件中承诺的人员、设备按时进场。合同期内所有设备摊销期满需全新购置，摊销期满后一个月内购置到位，原有设备由乙方自行处理。</w:t>
      </w:r>
    </w:p>
    <w:p w14:paraId="3C1B5050">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5.严格按照《考核细则》确保“用工人数、用工质量、工资标准”三到位。依法用工，及时缴纳相关社会保险、商业保险，按时发放工资；符合职工参保年龄人员工资实际发放不得低于如东县职工工资最低标准。各岗位实际发放工资不得低于投标分项报价中的人工单价。</w:t>
      </w:r>
    </w:p>
    <w:p w14:paraId="0D42584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6.承担因保洁所需发生的工人工资、福利、保险、交通、设备、办公等经费。承担镇环境卫生管理中心及易腐垃圾处置中心日常维护费用；涉及设备维修和更换的，由乙方提出申请，经甲方批准后方可实施，费用凭票报支。</w:t>
      </w:r>
    </w:p>
    <w:p w14:paraId="3512A186">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7.合同执行期内，无条件接受关于垃圾分类相关工作部署，严格按照上级明确的垃圾分类行业标准、工艺、要求组织人员、设施落实到位，不得提出增加服务费的要求；</w:t>
      </w:r>
    </w:p>
    <w:p w14:paraId="3EC3929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8.服从甲方管理，接受甲方“五位一体”办公室和甲方所辖村（社区）的监督、检查、指导和考核，完成交办的临时性、突击性任务，对甲方提出的意见及时采纳并采取相应整改措施；提供服务过程中与单位或个人产生的矛盾纠纷应及时妥善处理，无法处理的应根据实际情况向甲方“五位一体”办公室或村汇报。</w:t>
      </w:r>
    </w:p>
    <w:p w14:paraId="4B2FBD39">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9.根据相关要求、实际情况《考核细则》进行相应调整或增加内容的，乙方必须服从。</w:t>
      </w:r>
    </w:p>
    <w:p w14:paraId="7F3B79DC">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b w:val="0"/>
          <w:bCs/>
          <w:sz w:val="24"/>
          <w:szCs w:val="24"/>
          <w:highlight w:val="none"/>
        </w:rPr>
      </w:pPr>
      <w:r>
        <w:rPr>
          <w:rFonts w:hint="eastAsia" w:ascii="仿宋" w:hAnsi="仿宋" w:eastAsia="仿宋" w:cs="仿宋"/>
          <w:b w:val="0"/>
          <w:bCs/>
          <w:sz w:val="24"/>
          <w:szCs w:val="24"/>
          <w:highlight w:val="none"/>
        </w:rPr>
        <w:t>10.乙方必须在15天内与原服务单位做好交接工作。</w:t>
      </w:r>
    </w:p>
    <w:p w14:paraId="4161DF95">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w:t>
      </w:r>
      <w:r>
        <w:rPr>
          <w:rFonts w:hint="eastAsia" w:ascii="仿宋" w:hAnsi="仿宋" w:eastAsia="仿宋" w:cs="仿宋"/>
          <w:b/>
          <w:sz w:val="24"/>
          <w:szCs w:val="24"/>
          <w:highlight w:val="none"/>
          <w:lang w:val="en-US" w:eastAsia="zh-CN"/>
        </w:rPr>
        <w:t>五</w:t>
      </w:r>
      <w:r>
        <w:rPr>
          <w:rFonts w:hint="eastAsia" w:ascii="仿宋" w:hAnsi="仿宋" w:eastAsia="仿宋" w:cs="仿宋"/>
          <w:b/>
          <w:sz w:val="24"/>
          <w:szCs w:val="24"/>
          <w:highlight w:val="none"/>
        </w:rPr>
        <w:t>、不可抗力事件处理</w:t>
      </w:r>
    </w:p>
    <w:p w14:paraId="004383BE">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.1 在合同有效期内，任何一方因不可抗力事件导致不能履行合同，则合同履行期可延长，其延长期与不可抗力影响 期相同。</w:t>
      </w:r>
    </w:p>
    <w:p w14:paraId="0AF8C583">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.2 不可抗力事件发生后，应立即通知对方，并寄送有关权威机构出具的证明。</w:t>
      </w:r>
    </w:p>
    <w:p w14:paraId="47298162">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5</w:t>
      </w:r>
      <w:r>
        <w:rPr>
          <w:rFonts w:hint="eastAsia" w:ascii="仿宋" w:hAnsi="仿宋" w:eastAsia="仿宋" w:cs="仿宋"/>
          <w:sz w:val="24"/>
          <w:szCs w:val="24"/>
          <w:highlight w:val="none"/>
        </w:rPr>
        <w:t>.3 不可抗力事件延续</w:t>
      </w:r>
      <w:r>
        <w:rPr>
          <w:rFonts w:hint="eastAsia" w:ascii="仿宋" w:hAnsi="仿宋" w:eastAsia="仿宋" w:cs="仿宋"/>
          <w:sz w:val="24"/>
          <w:szCs w:val="24"/>
          <w:highlight w:val="none"/>
          <w:u w:val="single"/>
          <w:lang w:val="en-US" w:eastAsia="zh-CN"/>
        </w:rPr>
        <w:t>30</w:t>
      </w:r>
      <w:r>
        <w:rPr>
          <w:rFonts w:hint="eastAsia" w:ascii="仿宋" w:hAnsi="仿宋" w:eastAsia="仿宋" w:cs="仿宋"/>
          <w:sz w:val="24"/>
          <w:szCs w:val="24"/>
          <w:highlight w:val="none"/>
        </w:rPr>
        <w:t>天以上，双方应通过友好协商，确定是否继续履行合同。</w:t>
      </w:r>
    </w:p>
    <w:p w14:paraId="3496DC4C">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val="en-US" w:eastAsia="zh-CN"/>
        </w:rPr>
        <w:t>十六、</w:t>
      </w:r>
      <w:r>
        <w:rPr>
          <w:rFonts w:hint="eastAsia" w:ascii="仿宋" w:hAnsi="仿宋" w:eastAsia="仿宋" w:cs="仿宋"/>
          <w:b/>
          <w:bCs/>
          <w:sz w:val="24"/>
          <w:szCs w:val="24"/>
          <w:highlight w:val="none"/>
        </w:rPr>
        <w:t>其他</w:t>
      </w:r>
    </w:p>
    <w:p w14:paraId="2FC32EBB">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（一）合同价为本合同期内对应服务范围、服务内容的总包干费用，乙方不得以任何理由提出增加服务费用的要求。</w:t>
      </w:r>
    </w:p>
    <w:p w14:paraId="572FC1B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（二）合同执行期间，如遇不可抗力，致使本合同无法履行时，双方应按有关法律规定及时协商处理。</w:t>
      </w:r>
    </w:p>
    <w:p w14:paraId="4C8A59E6">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（三）合同执行期间，所增补的所有项目不再增加任何费用。</w:t>
      </w:r>
    </w:p>
    <w:p w14:paraId="18A9098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sz w:val="24"/>
          <w:szCs w:val="24"/>
          <w:highlight w:val="none"/>
        </w:rPr>
      </w:pPr>
      <w:r>
        <w:rPr>
          <w:rFonts w:hint="eastAsia" w:ascii="仿宋" w:hAnsi="仿宋" w:eastAsia="仿宋" w:cs="仿宋"/>
          <w:sz w:val="24"/>
          <w:szCs w:val="24"/>
          <w:highlight w:val="none"/>
        </w:rPr>
        <w:t>（四）合同执行期间，如遇市、县及甲方各级管理体制改革要求，不再实行外包服务的，甲方有权终止本合同。</w:t>
      </w:r>
    </w:p>
    <w:p w14:paraId="5BFC1135">
      <w:pPr>
        <w:keepLines w:val="0"/>
        <w:pageBreakBefore w:val="0"/>
        <w:widowControl w:val="0"/>
        <w:kinsoku/>
        <w:wordWrap/>
        <w:overflowPunct/>
        <w:topLinePunct w:val="0"/>
        <w:autoSpaceDE/>
        <w:autoSpaceDN/>
        <w:bidi w:val="0"/>
        <w:adjustRightInd/>
        <w:spacing w:line="360" w:lineRule="auto"/>
        <w:ind w:firstLine="480" w:firstLineChars="200"/>
        <w:textAlignment w:val="auto"/>
        <w:rPr>
          <w:rFonts w:hint="eastAsia" w:ascii="仿宋" w:hAnsi="仿宋" w:eastAsia="仿宋" w:cs="仿宋"/>
          <w:b/>
          <w:sz w:val="24"/>
          <w:szCs w:val="24"/>
          <w:highlight w:val="none"/>
        </w:rPr>
      </w:pPr>
      <w:r>
        <w:rPr>
          <w:rFonts w:hint="eastAsia" w:ascii="仿宋" w:hAnsi="仿宋" w:eastAsia="仿宋" w:cs="仿宋"/>
          <w:sz w:val="24"/>
          <w:szCs w:val="24"/>
          <w:highlight w:val="none"/>
        </w:rPr>
        <w:t>（五）甲乙双方共同确认本合同书首部所载明的住所地，为甲乙双方方在履行本合同过程中向对方发出书面函件的有效送达地址，如发生变更应及时书面通知对方，否则按本合同书所约定的住所地向对方发出书面函件无论出现拒收、无法送达、迁移新址不详等均视为已送达，对此甲乙双方均无异议。</w:t>
      </w:r>
    </w:p>
    <w:p w14:paraId="20B5EF5E">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w:t>
      </w:r>
      <w:r>
        <w:rPr>
          <w:rFonts w:hint="eastAsia" w:ascii="仿宋" w:hAnsi="仿宋" w:eastAsia="仿宋" w:cs="仿宋"/>
          <w:b/>
          <w:sz w:val="24"/>
          <w:szCs w:val="24"/>
          <w:highlight w:val="none"/>
          <w:lang w:val="en-US" w:eastAsia="zh-CN"/>
        </w:rPr>
        <w:t>七</w:t>
      </w:r>
      <w:r>
        <w:rPr>
          <w:rFonts w:hint="eastAsia" w:ascii="仿宋" w:hAnsi="仿宋" w:eastAsia="仿宋" w:cs="仿宋"/>
          <w:b/>
          <w:sz w:val="24"/>
          <w:szCs w:val="24"/>
          <w:highlight w:val="none"/>
        </w:rPr>
        <w:t>、解决争议的方法</w:t>
      </w:r>
    </w:p>
    <w:p w14:paraId="08AA90B9">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.1双方在签订、履行合同中所发生的一切争议，应通过友好协商解决。如协商不成，由甲方住所地人民法院管辖。</w:t>
      </w:r>
    </w:p>
    <w:p w14:paraId="271D8664">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w:t>
      </w:r>
      <w:r>
        <w:rPr>
          <w:rFonts w:hint="eastAsia" w:ascii="仿宋" w:hAnsi="仿宋" w:eastAsia="仿宋" w:cs="仿宋"/>
          <w:b/>
          <w:sz w:val="24"/>
          <w:szCs w:val="24"/>
          <w:highlight w:val="none"/>
          <w:lang w:val="en-US" w:eastAsia="zh-CN"/>
        </w:rPr>
        <w:t>八</w:t>
      </w:r>
      <w:r>
        <w:rPr>
          <w:rFonts w:hint="eastAsia" w:ascii="仿宋" w:hAnsi="仿宋" w:eastAsia="仿宋" w:cs="仿宋"/>
          <w:b/>
          <w:sz w:val="24"/>
          <w:szCs w:val="24"/>
          <w:highlight w:val="none"/>
        </w:rPr>
        <w:t>、本合同文件的组成：</w:t>
      </w:r>
    </w:p>
    <w:p w14:paraId="205819C5">
      <w:pPr>
        <w:pStyle w:val="19"/>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1.下列文件应视为构成并作为阅读和理解本合同书的组成部分：</w:t>
      </w:r>
    </w:p>
    <w:p w14:paraId="60689C3E">
      <w:pPr>
        <w:pStyle w:val="19"/>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(1) 本合同书</w:t>
      </w:r>
    </w:p>
    <w:p w14:paraId="3B08F0B8">
      <w:pPr>
        <w:pStyle w:val="19"/>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(2) 大豫镇环境卫生长效管护项目考核细则</w:t>
      </w:r>
    </w:p>
    <w:p w14:paraId="20104F0F">
      <w:pPr>
        <w:pStyle w:val="19"/>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(3) 大豫镇环境卫生长效管护项目需服务单位投入设备—最低标准明细表</w:t>
      </w:r>
    </w:p>
    <w:p w14:paraId="4B50A6BD">
      <w:pPr>
        <w:pStyle w:val="19"/>
        <w:keepLines w:val="0"/>
        <w:pageBreakBefore w:val="0"/>
        <w:widowControl w:val="0"/>
        <w:kinsoku/>
        <w:wordWrap/>
        <w:overflowPunct/>
        <w:topLinePunct w:val="0"/>
        <w:autoSpaceDE/>
        <w:autoSpaceDN/>
        <w:bidi w:val="0"/>
        <w:adjustRightInd/>
        <w:snapToGrid w:val="0"/>
        <w:spacing w:line="360" w:lineRule="auto"/>
        <w:ind w:firstLine="482" w:firstLineChars="200"/>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2.上述文件将互为补充，如有歧义或不一致之处，应以主合同条款的规定为准，但附件中对主合同条款的进一步明确和细化除外。</w:t>
      </w:r>
    </w:p>
    <w:p w14:paraId="30822401">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rPr>
        <w:t>十</w:t>
      </w:r>
      <w:r>
        <w:rPr>
          <w:rFonts w:hint="eastAsia" w:ascii="仿宋" w:hAnsi="仿宋" w:eastAsia="仿宋" w:cs="仿宋"/>
          <w:b/>
          <w:sz w:val="24"/>
          <w:szCs w:val="24"/>
          <w:highlight w:val="none"/>
          <w:lang w:val="en-US" w:eastAsia="zh-CN"/>
        </w:rPr>
        <w:t>九</w:t>
      </w:r>
      <w:r>
        <w:rPr>
          <w:rFonts w:hint="eastAsia" w:ascii="仿宋" w:hAnsi="仿宋" w:eastAsia="仿宋" w:cs="仿宋"/>
          <w:b/>
          <w:sz w:val="24"/>
          <w:szCs w:val="24"/>
          <w:highlight w:val="none"/>
        </w:rPr>
        <w:t>、本合同未尽事宜，经双方协商确认后签订补充合同。</w:t>
      </w:r>
    </w:p>
    <w:p w14:paraId="6FC3FC23">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b/>
          <w:sz w:val="24"/>
          <w:szCs w:val="24"/>
          <w:highlight w:val="none"/>
        </w:rPr>
      </w:pPr>
      <w:r>
        <w:rPr>
          <w:rFonts w:hint="eastAsia" w:ascii="仿宋" w:hAnsi="仿宋" w:eastAsia="仿宋" w:cs="仿宋"/>
          <w:b/>
          <w:sz w:val="24"/>
          <w:szCs w:val="24"/>
          <w:highlight w:val="none"/>
          <w:lang w:val="en-US" w:eastAsia="zh-CN"/>
        </w:rPr>
        <w:t>二十、</w:t>
      </w:r>
      <w:r>
        <w:rPr>
          <w:rFonts w:hint="eastAsia" w:ascii="仿宋" w:hAnsi="仿宋" w:eastAsia="仿宋" w:cs="仿宋"/>
          <w:b/>
          <w:sz w:val="24"/>
          <w:szCs w:val="24"/>
          <w:highlight w:val="none"/>
        </w:rPr>
        <w:t>合同生效及其它</w:t>
      </w:r>
    </w:p>
    <w:p w14:paraId="05B6A387">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lang w:eastAsia="zh-CN"/>
        </w:rPr>
      </w:pP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.1合同自乙方机械设备及人员全部到位，经甲方验收合格后生效</w:t>
      </w:r>
      <w:r>
        <w:rPr>
          <w:rFonts w:hint="eastAsia" w:ascii="仿宋" w:hAnsi="仿宋" w:eastAsia="仿宋" w:cs="仿宋"/>
          <w:sz w:val="24"/>
          <w:szCs w:val="24"/>
          <w:highlight w:val="none"/>
          <w:lang w:eastAsia="zh-CN"/>
        </w:rPr>
        <w:t>。</w:t>
      </w:r>
    </w:p>
    <w:p w14:paraId="1A6FCC0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2</w:t>
      </w:r>
      <w:r>
        <w:rPr>
          <w:rFonts w:hint="eastAsia" w:ascii="仿宋" w:hAnsi="仿宋" w:eastAsia="仿宋" w:cs="仿宋"/>
          <w:sz w:val="24"/>
          <w:szCs w:val="24"/>
          <w:highlight w:val="none"/>
        </w:rPr>
        <w:t>合同经双方法定代表人或授权委托代表人签字并加盖单位公章后生效。</w:t>
      </w:r>
    </w:p>
    <w:p w14:paraId="380AFCE9">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本合同未尽事宜，遵照中华人民共和国现行法律法规有关条文执行。</w:t>
      </w:r>
    </w:p>
    <w:p w14:paraId="52FD667F">
      <w:pPr>
        <w:pStyle w:val="19"/>
        <w:keepLines w:val="0"/>
        <w:pageBreakBefore w:val="0"/>
        <w:widowControl w:val="0"/>
        <w:kinsoku/>
        <w:wordWrap/>
        <w:overflowPunct/>
        <w:topLinePunct w:val="0"/>
        <w:autoSpaceDE/>
        <w:autoSpaceDN/>
        <w:bidi w:val="0"/>
        <w:adjustRightInd/>
        <w:snapToGrid w:val="0"/>
        <w:spacing w:line="360" w:lineRule="auto"/>
        <w:ind w:firstLine="480" w:firstLine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20</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 xml:space="preserve"> 本合同一式玖份，甲、乙双方各贰份，甲方“五位一体”办公室、甲方财政所各执壹份，留档壹份。</w:t>
      </w:r>
    </w:p>
    <w:p w14:paraId="06DE3F37">
      <w:pPr>
        <w:pStyle w:val="19"/>
        <w:keepLines w:val="0"/>
        <w:pageBreakBefore w:val="0"/>
        <w:widowControl w:val="0"/>
        <w:kinsoku/>
        <w:wordWrap/>
        <w:overflowPunct/>
        <w:topLinePunct w:val="0"/>
        <w:autoSpaceDE/>
        <w:autoSpaceDN/>
        <w:bidi w:val="0"/>
        <w:adjustRightInd/>
        <w:snapToGrid w:val="0"/>
        <w:spacing w:line="360" w:lineRule="auto"/>
        <w:ind w:left="480" w:hanging="480" w:hangingChars="200"/>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甲方：                        乙方： </w:t>
      </w:r>
    </w:p>
    <w:p w14:paraId="1751DFE0">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地址：                        地址： </w:t>
      </w:r>
    </w:p>
    <w:p w14:paraId="7EE754D7">
      <w:pPr>
        <w:pStyle w:val="19"/>
        <w:keepLines w:val="0"/>
        <w:pageBreakBefore w:val="0"/>
        <w:widowControl w:val="0"/>
        <w:kinsoku/>
        <w:wordWrap/>
        <w:overflowPunct/>
        <w:topLinePunct w:val="0"/>
        <w:autoSpaceDE/>
        <w:autoSpaceDN/>
        <w:bidi w:val="0"/>
        <w:adjustRightInd/>
        <w:snapToGrid w:val="0"/>
        <w:spacing w:line="360" w:lineRule="auto"/>
        <w:textAlignment w:val="auto"/>
        <w:outlineLvl w:val="9"/>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法定代表人或授权代表：        法定代表人或授权代表：</w:t>
      </w:r>
    </w:p>
    <w:p w14:paraId="00746135">
      <w:pPr>
        <w:pStyle w:val="19"/>
        <w:keepLines w:val="0"/>
        <w:pageBreakBefore w:val="0"/>
        <w:widowControl w:val="0"/>
        <w:kinsoku/>
        <w:wordWrap/>
        <w:overflowPunct/>
        <w:topLinePunct w:val="0"/>
        <w:autoSpaceDE/>
        <w:autoSpaceDN/>
        <w:bidi w:val="0"/>
        <w:adjustRightInd/>
        <w:snapToGrid w:val="0"/>
        <w:spacing w:line="360" w:lineRule="auto"/>
        <w:ind w:firstLine="240" w:firstLineChars="100"/>
        <w:textAlignment w:val="auto"/>
        <w:outlineLvl w:val="9"/>
        <w:rPr>
          <w:rFonts w:hint="eastAsia" w:ascii="仿宋" w:hAnsi="仿宋" w:eastAsia="仿宋" w:cs="仿宋"/>
          <w:highlight w:val="none"/>
        </w:rPr>
      </w:pPr>
      <w:r>
        <w:rPr>
          <w:rFonts w:hint="eastAsia" w:ascii="仿宋" w:hAnsi="仿宋" w:eastAsia="仿宋" w:cs="仿宋"/>
          <w:sz w:val="24"/>
          <w:szCs w:val="24"/>
          <w:highlight w:val="none"/>
        </w:rPr>
        <w:t xml:space="preserve">联系电话：                    联系电话：          </w:t>
      </w:r>
    </w:p>
    <w:p w14:paraId="02C75B84">
      <w:pPr>
        <w:keepLines w:val="0"/>
        <w:pageBreakBefore w:val="0"/>
        <w:widowControl w:val="0"/>
        <w:kinsoku/>
        <w:wordWrap/>
        <w:overflowPunct/>
        <w:topLinePunct w:val="0"/>
        <w:autoSpaceDE/>
        <w:autoSpaceDN/>
        <w:bidi w:val="0"/>
        <w:adjustRightInd/>
        <w:spacing w:line="360" w:lineRule="auto"/>
        <w:textAlignment w:val="auto"/>
        <w:rPr>
          <w:rFonts w:hint="eastAsia" w:ascii="仿宋" w:hAnsi="仿宋" w:eastAsia="仿宋" w:cs="仿宋"/>
          <w:sz w:val="24"/>
          <w:szCs w:val="24"/>
          <w:highlight w:val="none"/>
        </w:rPr>
      </w:pPr>
      <w:r>
        <w:rPr>
          <w:rFonts w:hint="eastAsia" w:ascii="仿宋" w:hAnsi="仿宋" w:eastAsia="仿宋" w:cs="仿宋"/>
          <w:highlight w:val="none"/>
        </w:rPr>
        <w:t xml:space="preserve">                                     </w:t>
      </w:r>
      <w:r>
        <w:rPr>
          <w:rFonts w:hint="eastAsia" w:ascii="仿宋" w:hAnsi="仿宋" w:eastAsia="仿宋" w:cs="仿宋"/>
          <w:sz w:val="24"/>
          <w:szCs w:val="24"/>
          <w:highlight w:val="none"/>
        </w:rPr>
        <w:t xml:space="preserve">     </w:t>
      </w:r>
    </w:p>
    <w:p w14:paraId="516A0B19">
      <w:pPr>
        <w:keepLines w:val="0"/>
        <w:pageBreakBefore w:val="0"/>
        <w:widowControl w:val="0"/>
        <w:kinsoku/>
        <w:wordWrap/>
        <w:overflowPunct/>
        <w:topLinePunct w:val="0"/>
        <w:autoSpaceDE/>
        <w:autoSpaceDN/>
        <w:bidi w:val="0"/>
        <w:adjustRightInd/>
        <w:spacing w:line="360" w:lineRule="auto"/>
        <w:ind w:firstLine="3840" w:firstLineChars="1600"/>
        <w:textAlignment w:val="auto"/>
        <w:rPr>
          <w:highlight w:val="none"/>
        </w:rPr>
      </w:pPr>
      <w:r>
        <w:rPr>
          <w:rFonts w:hint="eastAsia" w:ascii="仿宋" w:hAnsi="仿宋" w:eastAsia="仿宋" w:cs="仿宋"/>
          <w:sz w:val="24"/>
          <w:szCs w:val="24"/>
          <w:highlight w:val="none"/>
        </w:rPr>
        <w:t xml:space="preserve">签订日期：  </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年</w:t>
      </w:r>
      <w:r>
        <w:rPr>
          <w:rFonts w:hint="eastAsia" w:ascii="仿宋" w:hAnsi="仿宋" w:eastAsia="仿宋" w:cs="仿宋"/>
          <w:sz w:val="24"/>
          <w:szCs w:val="24"/>
          <w:highlight w:val="none"/>
          <w:lang w:val="en-US" w:eastAsia="zh-CN"/>
        </w:rPr>
        <w:t xml:space="preserve">    </w:t>
      </w:r>
      <w:r>
        <w:rPr>
          <w:rFonts w:hint="eastAsia" w:ascii="仿宋" w:hAnsi="仿宋" w:eastAsia="仿宋" w:cs="仿宋"/>
          <w:sz w:val="24"/>
          <w:szCs w:val="24"/>
          <w:highlight w:val="none"/>
        </w:rPr>
        <w:t>月</w:t>
      </w:r>
      <w:r>
        <w:rPr>
          <w:rFonts w:hint="eastAsia" w:ascii="仿宋" w:hAnsi="仿宋" w:eastAsia="仿宋" w:cs="仿宋"/>
          <w:sz w:val="24"/>
          <w:szCs w:val="24"/>
          <w:highlight w:val="none"/>
          <w:u w:val="single"/>
          <w:lang w:val="en-US" w:eastAsia="zh-CN"/>
        </w:rPr>
        <w:t xml:space="preserve">     </w:t>
      </w:r>
      <w:r>
        <w:rPr>
          <w:rFonts w:hint="eastAsia" w:ascii="仿宋" w:hAnsi="仿宋" w:eastAsia="仿宋" w:cs="仿宋"/>
          <w:sz w:val="24"/>
          <w:szCs w:val="24"/>
          <w:highlight w:val="none"/>
        </w:rPr>
        <w:t>日</w:t>
      </w:r>
      <w:bookmarkEnd w:id="190"/>
      <w:bookmarkEnd w:id="191"/>
      <w:bookmarkEnd w:id="192"/>
    </w:p>
    <w:p w14:paraId="07754F0E">
      <w:pPr>
        <w:spacing w:line="560" w:lineRule="exact"/>
        <w:ind w:firstLine="480" w:firstLineChars="200"/>
        <w:jc w:val="right"/>
        <w:rPr>
          <w:rFonts w:hint="eastAsia" w:ascii="仿宋" w:hAnsi="仿宋" w:eastAsia="仿宋" w:cs="仿宋"/>
          <w:sz w:val="24"/>
          <w:szCs w:val="24"/>
          <w:highlight w:val="none"/>
        </w:rPr>
      </w:pPr>
    </w:p>
    <w:p w14:paraId="5CC8EBF8">
      <w:pPr>
        <w:pStyle w:val="19"/>
        <w:spacing w:before="120" w:after="120" w:line="0" w:lineRule="atLeast"/>
        <w:ind w:firstLine="2650"/>
        <w:outlineLvl w:val="0"/>
        <w:rPr>
          <w:rFonts w:hint="eastAsia" w:ascii="仿宋" w:hAnsi="仿宋" w:eastAsia="仿宋" w:cs="仿宋"/>
          <w:b/>
          <w:sz w:val="44"/>
          <w:highlight w:val="none"/>
        </w:rPr>
      </w:pPr>
    </w:p>
    <w:p w14:paraId="231162C9">
      <w:pPr>
        <w:rPr>
          <w:rFonts w:hint="eastAsia" w:ascii="仿宋" w:hAnsi="仿宋" w:eastAsia="仿宋" w:cs="仿宋"/>
          <w:b/>
          <w:sz w:val="44"/>
          <w:highlight w:val="none"/>
        </w:rPr>
      </w:pPr>
      <w:r>
        <w:rPr>
          <w:rFonts w:hint="eastAsia" w:ascii="仿宋" w:hAnsi="仿宋" w:eastAsia="仿宋" w:cs="仿宋"/>
          <w:b/>
          <w:sz w:val="44"/>
          <w:highlight w:val="none"/>
        </w:rPr>
        <w:br w:type="page"/>
      </w:r>
    </w:p>
    <w:p w14:paraId="6DE5CF86">
      <w:pPr>
        <w:pStyle w:val="19"/>
        <w:spacing w:before="120" w:after="120" w:line="0" w:lineRule="atLeast"/>
        <w:ind w:firstLine="2650"/>
        <w:outlineLvl w:val="0"/>
        <w:rPr>
          <w:rFonts w:hint="eastAsia" w:ascii="仿宋" w:hAnsi="仿宋" w:eastAsia="仿宋" w:cs="仿宋"/>
          <w:b/>
          <w:sz w:val="44"/>
          <w:highlight w:val="none"/>
        </w:rPr>
      </w:pPr>
      <w:r>
        <w:rPr>
          <w:rFonts w:hint="eastAsia" w:ascii="仿宋" w:hAnsi="仿宋" w:eastAsia="仿宋" w:cs="仿宋"/>
          <w:b/>
          <w:sz w:val="44"/>
          <w:highlight w:val="none"/>
        </w:rPr>
        <w:t xml:space="preserve">第四章  </w:t>
      </w:r>
      <w:bookmarkEnd w:id="184"/>
      <w:bookmarkEnd w:id="185"/>
      <w:bookmarkEnd w:id="186"/>
      <w:bookmarkEnd w:id="187"/>
      <w:bookmarkStart w:id="193" w:name="_Toc26554093"/>
      <w:bookmarkStart w:id="194" w:name="_Toc49090575"/>
      <w:bookmarkStart w:id="195" w:name="_Toc120614281"/>
      <w:r>
        <w:rPr>
          <w:rFonts w:hint="eastAsia" w:ascii="仿宋" w:hAnsi="仿宋" w:eastAsia="仿宋" w:cs="仿宋"/>
          <w:b/>
          <w:sz w:val="44"/>
          <w:highlight w:val="none"/>
        </w:rPr>
        <w:t>采购需求</w:t>
      </w:r>
    </w:p>
    <w:p w14:paraId="15E36A55">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供应商在制作投标文件时仔细研究项目需求说明。项目需求包括技术要求和商务要求:技术要求是指对采购标的功能和质量要求，包括性能、材料、结构、外观、安全，或者服务内容和标准等,其中必须满足的实质性要求加斜体下划线;</w:t>
      </w:r>
    </w:p>
    <w:p w14:paraId="0D979D64">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商务要求是指取得采购标的的时间、地点、财务和服务要求，包括交付（实施）的时间（期限）和地点（范围）、付款条件（进度和方法）、包装和运输、售后服务、保险等,其中必须满足的实质性要求加斜体下划线。</w:t>
      </w:r>
    </w:p>
    <w:p w14:paraId="3CCF6C97">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一、采购标的需实现的功能或者目标，以及为落实政府采购政策需满足的要求</w:t>
      </w:r>
    </w:p>
    <w:p w14:paraId="02A3AAD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本采购标的为如东县大豫镇环境卫生长效管护服务，服务范围覆盖大豫镇全镇域公共区域。通过开展常态化道路清扫、村居保洁、河道岸线清理、垃圾分类收运、公共设施管护、环境整治及应急保障等全套环卫作业，彻底消除卫生死角、垃圾积存、乱堆乱放等问题，建立常态化、标准化、精细化、长效化镇村环卫管护体系，持续巩固人居环境整治成果，保障全镇环境卫生常态达标，顺利通过各级主管部门日常检查、专项督查、季度及年度考核。</w:t>
      </w:r>
    </w:p>
    <w:p w14:paraId="789F165F">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二、采购标的需执行的国家相关标准、行业标准、地方标准或者其他标准、规范</w:t>
      </w:r>
    </w:p>
    <w:p w14:paraId="3C6C7EB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本项目所有环卫作业服务全过程严格遵守国家、江苏省、南通市、如东县现行环境卫生管理标准及规范，主要包含但不限于：《城市环境卫生质量标准》（GB/T 28052）、《城市道路清扫保洁质量与评价标准》（CJJ/T126）、《生活垃圾收集运输技术规程》、江苏省农村人居环境整治标准、南通市乡镇环境卫生长效管护管理办法、如东县环卫作业质量考核标准及各级主管部门发布的环卫作业、垃圾分类、垃圾处置、河道保洁相关管理规范与考核文件。</w:t>
      </w:r>
    </w:p>
    <w:p w14:paraId="7EBB158E">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三、采购标的需满足的质量、安全、技术规格、物理特性等要求</w:t>
      </w:r>
    </w:p>
    <w:p w14:paraId="63AE2DDA">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1. 质量要求：全域保洁质量统一达标且满足采购人要求，具体详见本章第五点。</w:t>
      </w:r>
    </w:p>
    <w:p w14:paraId="057E2F0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2. 安全要求：所有作业人员必须佩戴安全防护用具，规范穿戴工装、反光防护装备；作业车辆合规上牌、定期年检，驾驶员持证上岗；严格落实道路作业安全规范，设置安全警示标识，杜绝作业安全事故、交通安全事故、垃圾违规倾倒污染事故。</w:t>
      </w:r>
    </w:p>
    <w:p w14:paraId="675EF8E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3. 技术规格要求：环卫作业方式、作业频次、作业流程、管护标准严格对标乡镇长效管护技术要求。</w:t>
      </w:r>
    </w:p>
    <w:p w14:paraId="2011F88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4. 物理特性及设备要求：所有环卫作业车辆、清扫工具、消杀设备、垃圾收集容器完好整洁、功能正常，设备适配乡镇道路、村居、田间作业场景，性能稳定、运行安全、整洁美观。</w:t>
      </w:r>
    </w:p>
    <w:p w14:paraId="744F6261">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四、采购标的的数量、采购项目交付或者实施的时间和地点</w:t>
      </w:r>
    </w:p>
    <w:p w14:paraId="397377D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1. 采购标的数量：本次采购为如东县大豫镇全域环境卫生长效管护整体服务，无拆分标段，为单一整体服务项目。项目所用作业设备、保洁机具、垃圾桶具等配套物资，严格落实国家节能、环保产品要求，涉及节能产品全部选用国家最新强制节能清单内合规产品，严禁使用淘汰、超标、高耗能设备。</w:t>
      </w:r>
    </w:p>
    <w:p w14:paraId="0D05157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2. 服务期限3年，自合同签订之日起。</w:t>
      </w:r>
    </w:p>
    <w:p w14:paraId="5F2236D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3. 实施地点：如东县大豫镇全镇域范围内。</w:t>
      </w:r>
    </w:p>
    <w:p w14:paraId="27B73138">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五、采购标的需满足的服务标准、期限、效率等要求</w:t>
      </w:r>
    </w:p>
    <w:p w14:paraId="533341F0">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（一）具体服务范围</w:t>
      </w:r>
    </w:p>
    <w:p w14:paraId="70756DF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1、18个行政村及镇属用地；</w:t>
      </w:r>
    </w:p>
    <w:p w14:paraId="6407F45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2、三个镇区（含公厕保洁）及新老S334、S222、S221、G328、X203、X111、X257、大白线沿线环卫。</w:t>
      </w:r>
    </w:p>
    <w:p w14:paraId="2035B18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兵房镇区：保洁全覆盖，约6平方公里，人口4900人，公厕12座;（如泰运河以北四贯河以西：东西三至四贯，向北至兵北八横河；如泰运河以北四贯河以东：东西四贯河向东400米，向北至兵北八横河河北东西路；如泰运河以南四贯河以西：东西三至四贯，向南至兵中桥；如泰运河以南四贯河以东：东西四贯河向东600米，向南至兵中桥。）</w:t>
      </w:r>
    </w:p>
    <w:p w14:paraId="46E9696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老大豫镇区：以张謇铜像为中心，北至茂青桥，南至立交桥，东至幼儿园（小学门口），西至3贯路。人口1300人，公厕1座;</w:t>
      </w:r>
    </w:p>
    <w:p w14:paraId="037D85F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丁家店镇区：以丁家店桥为中心，向南600米，向北800米，东至5贯路，西至幼儿园。人口1300人，公厕2座。</w:t>
      </w:r>
    </w:p>
    <w:p w14:paraId="018802C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3、东凌工业集中区、兵房工业园区、张謇工业园区。</w:t>
      </w:r>
    </w:p>
    <w:p w14:paraId="59DF8E2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4、根据上级部署要求的其它区域。</w:t>
      </w:r>
    </w:p>
    <w:p w14:paraId="705CF2F6">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（二）服务内容</w:t>
      </w:r>
    </w:p>
    <w:p w14:paraId="38E1C4A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垃圾〔包括但不限于生活垃圾、农业生产垃圾（含零星废瓜、藤、秸秆等）、大件垃圾（含旧马桶、废弃家具等）、一般工业垃圾等。“下同”〕的清扫、捡拾、分类、收集、清运等收运处置，以及垃圾设施的管护，同时配合村（社区）做好建筑垃圾和修缮装修垃圾的收运处置；</w:t>
      </w:r>
    </w:p>
    <w:p w14:paraId="4841E2C1">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2、道路、桥梁保洁；</w:t>
      </w:r>
    </w:p>
    <w:p w14:paraId="22A4E6C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3、三、四级河道长效管护（含芦苇和芦竹清理）；</w:t>
      </w:r>
    </w:p>
    <w:p w14:paraId="2B35F98C">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4、道路两侧及镇区绿化的保洁；</w:t>
      </w:r>
    </w:p>
    <w:p w14:paraId="50B32B8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5、三个镇区所有公共厕所保洁；</w:t>
      </w:r>
    </w:p>
    <w:p w14:paraId="0498BDD2">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6、环境卫生管理中心、易腐垃圾处理中心及村级生活垃圾中转房的运营、维护和保洁；</w:t>
      </w:r>
    </w:p>
    <w:p w14:paraId="72B6DF7A">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7、全力做好各类突发公共事件、突击检查创建、重大活动、重大节日等垃圾量高峰期间的环卫保障，服从相关具体工作安排。</w:t>
      </w:r>
    </w:p>
    <w:p w14:paraId="6CA84261">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lang w:val="en-US" w:eastAsia="zh-CN"/>
        </w:rPr>
        <w:t>三</w:t>
      </w: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rPr>
        <w:t>全镇整体区域环境卫生长效管护外包服务的项目标准要求</w:t>
      </w:r>
    </w:p>
    <w:p w14:paraId="0E077535">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lang w:val="en-US" w:eastAsia="zh-CN"/>
        </w:rPr>
        <w:t>一）</w:t>
      </w:r>
      <w:r>
        <w:rPr>
          <w:rFonts w:hint="eastAsia" w:ascii="华文仿宋" w:hAnsi="华文仿宋" w:eastAsia="华文仿宋" w:cs="华文仿宋"/>
          <w:b/>
          <w:sz w:val="24"/>
          <w:szCs w:val="24"/>
          <w:highlight w:val="none"/>
        </w:rPr>
        <w:t>垃圾收运处置</w:t>
      </w:r>
    </w:p>
    <w:p w14:paraId="4F28305E">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负责镇域服务范围内垃圾实行常态化、全方位、无死角的清扫、捡拾、分类、收集、清运，确保不发生垃圾散落遍地和堆积积存，若要进行垃圾分类，则根据上级要求执行。</w:t>
      </w:r>
    </w:p>
    <w:p w14:paraId="53D4763E">
      <w:pPr>
        <w:spacing w:line="360" w:lineRule="auto"/>
        <w:ind w:left="643"/>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1、垃圾保洁</w:t>
      </w:r>
    </w:p>
    <w:p w14:paraId="18C8F82D">
      <w:pPr>
        <w:spacing w:line="360" w:lineRule="auto"/>
        <w:ind w:firstLine="471" w:firstLineChars="196"/>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（1）保洁网格：</w:t>
      </w:r>
      <w:r>
        <w:rPr>
          <w:rFonts w:hint="eastAsia" w:ascii="华文仿宋" w:hAnsi="华文仿宋" w:eastAsia="华文仿宋" w:cs="华文仿宋"/>
          <w:sz w:val="24"/>
          <w:szCs w:val="24"/>
          <w:highlight w:val="none"/>
        </w:rPr>
        <w:t>全镇18个行政村范围内，按每350户左右划分网格，每个网格配1名保洁人员，负责该网格范围内的所有保洁任务。（附村级保洁人员配备表。）</w:t>
      </w:r>
    </w:p>
    <w:p w14:paraId="70E58D0B">
      <w:pPr>
        <w:spacing w:line="360" w:lineRule="auto"/>
        <w:ind w:firstLine="505"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（2）保洁任务：</w:t>
      </w:r>
      <w:r>
        <w:rPr>
          <w:rFonts w:hint="eastAsia" w:ascii="华文仿宋" w:hAnsi="华文仿宋" w:eastAsia="华文仿宋" w:cs="华文仿宋"/>
          <w:sz w:val="24"/>
          <w:szCs w:val="24"/>
          <w:highlight w:val="none"/>
        </w:rPr>
        <w:t>负责及时将责任区域内的垃圾，清扫捡拾收集到垃圾设施内；负责及时保洁垃圾设施，清扫作业场地，把垃圾设施摆正复位。</w:t>
      </w:r>
    </w:p>
    <w:p w14:paraId="3160CFC4">
      <w:pPr>
        <w:spacing w:line="360" w:lineRule="auto"/>
        <w:ind w:firstLine="505"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（3）保洁标准：</w:t>
      </w:r>
      <w:r>
        <w:rPr>
          <w:rFonts w:hint="eastAsia" w:ascii="华文仿宋" w:hAnsi="华文仿宋" w:eastAsia="华文仿宋" w:cs="华文仿宋"/>
          <w:sz w:val="24"/>
          <w:szCs w:val="24"/>
          <w:highlight w:val="none"/>
        </w:rPr>
        <w:t>责任区域内无散落垃圾堆积；垃圾桶边无飘散外溢垃圾，无积水，无明显恶臭；要保持区域整体环境清洁，垃圾设施及周边保持干净，摆放整齐。</w:t>
      </w:r>
    </w:p>
    <w:p w14:paraId="6A0F53EA">
      <w:pPr>
        <w:spacing w:line="360" w:lineRule="auto"/>
        <w:ind w:firstLine="505"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（4）保洁频次：</w:t>
      </w:r>
      <w:r>
        <w:rPr>
          <w:rFonts w:hint="eastAsia" w:ascii="华文仿宋" w:hAnsi="华文仿宋" w:eastAsia="华文仿宋" w:cs="华文仿宋"/>
          <w:sz w:val="24"/>
          <w:szCs w:val="24"/>
          <w:highlight w:val="none"/>
        </w:rPr>
        <w:t>在区域范围内负责每天巡回清扫和重点打扫一次，根据需求增加频次保持环境干净整洁，用每个网格区域的干净整洁，保证全镇总范围的干净整洁。</w:t>
      </w:r>
    </w:p>
    <w:p w14:paraId="69131D4F">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2、垃圾清运</w:t>
      </w:r>
    </w:p>
    <w:p w14:paraId="1D584FB8">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（1）清运体系：</w:t>
      </w:r>
      <w:r>
        <w:rPr>
          <w:rFonts w:hint="eastAsia" w:ascii="华文仿宋" w:hAnsi="华文仿宋" w:eastAsia="华文仿宋" w:cs="华文仿宋"/>
          <w:bCs/>
          <w:sz w:val="24"/>
          <w:szCs w:val="24"/>
          <w:highlight w:val="none"/>
        </w:rPr>
        <w:t>根据实际需要构建两级全覆盖的高效清运体系，即由90辆电动三轮车组成的“一级清运”，由6辆压缩车组成“二级清运”。</w:t>
      </w:r>
    </w:p>
    <w:p w14:paraId="5FF70E86">
      <w:pPr>
        <w:spacing w:line="360" w:lineRule="auto"/>
        <w:ind w:firstLine="480" w:firstLineChars="200"/>
        <w:rPr>
          <w:rFonts w:hint="eastAsia" w:ascii="华文仿宋" w:hAnsi="华文仿宋" w:eastAsia="华文仿宋" w:cs="华文仿宋"/>
          <w:bCs/>
          <w:sz w:val="24"/>
          <w:szCs w:val="24"/>
          <w:highlight w:val="none"/>
        </w:rPr>
      </w:pPr>
      <w:r>
        <w:rPr>
          <w:rFonts w:hint="eastAsia" w:ascii="华文仿宋" w:hAnsi="华文仿宋" w:eastAsia="华文仿宋" w:cs="华文仿宋"/>
          <w:b/>
          <w:sz w:val="24"/>
          <w:szCs w:val="24"/>
          <w:highlight w:val="none"/>
        </w:rPr>
        <w:t>（2）清运网格：</w:t>
      </w:r>
      <w:r>
        <w:rPr>
          <w:rFonts w:hint="eastAsia" w:ascii="华文仿宋" w:hAnsi="华文仿宋" w:eastAsia="华文仿宋" w:cs="华文仿宋"/>
          <w:bCs/>
          <w:sz w:val="24"/>
          <w:szCs w:val="24"/>
          <w:highlight w:val="none"/>
        </w:rPr>
        <w:t>全镇范围内，按每350户组成一个清运网络，合计90名清运收集工，实行生活垃圾上门收集模式，分网格进行入户收集。</w:t>
      </w:r>
    </w:p>
    <w:p w14:paraId="23F50BDD">
      <w:pPr>
        <w:spacing w:line="360" w:lineRule="auto"/>
        <w:ind w:firstLine="480" w:firstLineChars="200"/>
        <w:rPr>
          <w:rFonts w:hint="eastAsia" w:ascii="华文仿宋" w:hAnsi="华文仿宋" w:eastAsia="华文仿宋" w:cs="华文仿宋"/>
          <w:bCs/>
          <w:sz w:val="24"/>
          <w:szCs w:val="24"/>
          <w:highlight w:val="none"/>
        </w:rPr>
      </w:pPr>
      <w:r>
        <w:rPr>
          <w:rFonts w:hint="eastAsia" w:ascii="华文仿宋" w:hAnsi="华文仿宋" w:eastAsia="华文仿宋" w:cs="华文仿宋"/>
          <w:b/>
          <w:sz w:val="24"/>
          <w:szCs w:val="24"/>
          <w:highlight w:val="none"/>
        </w:rPr>
        <w:t>（3）分级清运：</w:t>
      </w:r>
      <w:r>
        <w:rPr>
          <w:rFonts w:hint="eastAsia" w:ascii="华文仿宋" w:hAnsi="华文仿宋" w:eastAsia="华文仿宋" w:cs="华文仿宋"/>
          <w:bCs/>
          <w:sz w:val="24"/>
          <w:szCs w:val="24"/>
          <w:highlight w:val="none"/>
        </w:rPr>
        <w:t>分级清运：“一级清运”小车负责对网格内农户每日实行上门收集，将农户两分类垃圾小桶内生活垃圾转运至垃圾中转房，同时做好农户周边垃圾捡拾及抛弃的沙发、家具等杂物收运处置以及对道路沿线的垃圾进行收集。“二级清运”大车负责将垃圾中转房、重点区域垃圾桶垃圾压缩清运至天楹（或镇垃圾中转站）。</w:t>
      </w:r>
    </w:p>
    <w:p w14:paraId="0AD4E751">
      <w:pPr>
        <w:spacing w:line="360" w:lineRule="auto"/>
        <w:ind w:firstLine="471"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（4）清运管理：</w:t>
      </w:r>
      <w:r>
        <w:rPr>
          <w:rFonts w:hint="eastAsia" w:ascii="华文仿宋" w:hAnsi="华文仿宋" w:eastAsia="华文仿宋" w:cs="华文仿宋"/>
          <w:sz w:val="24"/>
          <w:szCs w:val="24"/>
          <w:highlight w:val="none"/>
        </w:rPr>
        <w:t>公司</w:t>
      </w:r>
      <w:r>
        <w:rPr>
          <w:rFonts w:hint="eastAsia" w:ascii="华文仿宋" w:hAnsi="华文仿宋" w:eastAsia="华文仿宋" w:cs="华文仿宋"/>
          <w:sz w:val="24"/>
          <w:szCs w:val="24"/>
          <w:highlight w:val="none"/>
          <w:lang w:eastAsia="zh-CN"/>
        </w:rPr>
        <w:t>法定代表人</w:t>
      </w:r>
      <w:r>
        <w:rPr>
          <w:rFonts w:hint="eastAsia" w:ascii="华文仿宋" w:hAnsi="华文仿宋" w:eastAsia="华文仿宋" w:cs="华文仿宋"/>
          <w:sz w:val="24"/>
          <w:szCs w:val="24"/>
          <w:highlight w:val="none"/>
        </w:rPr>
        <w:t>（或授权驻镇总经理）要强化管理调度，要明确一名主管牵头负责带领全体片长加强清运体系的管理，按垃圾流向明确分工、落实责任、采取措施，确保清运体系正常运行。</w:t>
      </w:r>
    </w:p>
    <w:p w14:paraId="24BAD396">
      <w:pPr>
        <w:spacing w:line="360" w:lineRule="auto"/>
        <w:ind w:firstLine="471"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①“二级清运”。</w:t>
      </w:r>
      <w:r>
        <w:rPr>
          <w:rFonts w:hint="eastAsia" w:ascii="华文仿宋" w:hAnsi="华文仿宋" w:eastAsia="华文仿宋" w:cs="华文仿宋"/>
          <w:sz w:val="24"/>
          <w:szCs w:val="24"/>
          <w:highlight w:val="none"/>
        </w:rPr>
        <w:t>对垃圾出镇的管理：牵头主管要重点负责做好每天全镇压缩车辆的清运范围、时间、车次、吨位、效果、安全等工作调度，最大限度地推动垃圾出镇，确保垃圾中转房满载垃圾桶能得到及时清运，不得留置垃圾过夜，确保“一级清运”不受阻。</w:t>
      </w:r>
    </w:p>
    <w:p w14:paraId="2E53EE12">
      <w:pPr>
        <w:spacing w:line="360" w:lineRule="auto"/>
        <w:ind w:firstLine="471"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②“一级清运”。</w:t>
      </w:r>
      <w:r>
        <w:rPr>
          <w:rFonts w:hint="eastAsia" w:ascii="华文仿宋" w:hAnsi="华文仿宋" w:eastAsia="华文仿宋" w:cs="华文仿宋"/>
          <w:sz w:val="24"/>
          <w:szCs w:val="24"/>
          <w:highlight w:val="none"/>
        </w:rPr>
        <w:t>对垃圾入房和垃圾入桶的管理：各片片长要重点负责做好每天各片清运小车的清运范围、时间、效果、安全等工作调度，最大限度的推动垃圾进中转房及时转运。对于群众红白喜事等垃圾高峰期，需提前与农户沟通放置足够数量的垃圾大桶，确保群众投放垃圾不受影响，</w:t>
      </w:r>
    </w:p>
    <w:p w14:paraId="64E0F471">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(5)清运频次：</w:t>
      </w:r>
      <w:r>
        <w:rPr>
          <w:rFonts w:hint="eastAsia" w:ascii="华文仿宋" w:hAnsi="华文仿宋" w:eastAsia="华文仿宋" w:cs="华文仿宋"/>
          <w:sz w:val="24"/>
          <w:szCs w:val="24"/>
          <w:highlight w:val="none"/>
        </w:rPr>
        <w:t>所有清运车辆要按区域分工负责，确保全镇群众投放垃圾入桶不受影响，确保全镇垃圾尽快清运出镇。</w:t>
      </w:r>
    </w:p>
    <w:p w14:paraId="250E6CF7">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①压缩车（5T）。正常情况下，4辆压缩车（5T）每天外运车次不少于16车次（每天固定车次考核，隔日不换算，计量以天楹或镇环境卫生管理中心当天实际记录为准）。强化调度管理，保证垃圾中转房内满载垃圾桶及时清运出镇，不得留置垃圾过夜，满足各片电动三轮的清运要求，不得影响整体垃圾清运效率。</w:t>
      </w:r>
    </w:p>
    <w:p w14:paraId="3577185F">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②压缩车（3T）。正常情况下，</w:t>
      </w:r>
      <w:r>
        <w:rPr>
          <w:rFonts w:hint="eastAsia" w:ascii="华文仿宋" w:hAnsi="华文仿宋" w:eastAsia="华文仿宋" w:cs="华文仿宋"/>
          <w:b/>
          <w:bCs/>
          <w:sz w:val="24"/>
          <w:szCs w:val="24"/>
          <w:highlight w:val="none"/>
          <w:lang w:val="en-US" w:eastAsia="zh-CN"/>
        </w:rPr>
        <w:t>2</w:t>
      </w:r>
      <w:r>
        <w:rPr>
          <w:rFonts w:hint="eastAsia" w:ascii="华文仿宋" w:hAnsi="华文仿宋" w:eastAsia="华文仿宋" w:cs="华文仿宋"/>
          <w:b/>
          <w:bCs/>
          <w:sz w:val="24"/>
          <w:szCs w:val="24"/>
          <w:highlight w:val="none"/>
        </w:rPr>
        <w:t>辆压缩车（3T）每天外运车次不少于4车次（每天固定车次考核，隔日不换算，计量以天楹或镇环境卫生管理中心当天实际记录为准）。3个镇区（含公厕保洁）及相关企事业单位、学校、医院等重点区域清运频次做到日产日清。</w:t>
      </w:r>
    </w:p>
    <w:p w14:paraId="34EEC9C8">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③清运小车。全镇90辆电动三轮车及时入户分类收运生活垃圾清运至各村垃圾中转房，做到日产日清无积存，不得出现信访。</w:t>
      </w:r>
    </w:p>
    <w:p w14:paraId="47BFCC42">
      <w:pPr>
        <w:spacing w:line="360" w:lineRule="auto"/>
        <w:ind w:firstLine="504"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④频次调整。公司要管理到</w:t>
      </w:r>
      <w:r>
        <w:rPr>
          <w:rFonts w:hint="eastAsia" w:ascii="华文仿宋" w:hAnsi="华文仿宋" w:eastAsia="华文仿宋" w:cs="华文仿宋"/>
          <w:bCs/>
          <w:sz w:val="24"/>
          <w:szCs w:val="24"/>
          <w:highlight w:val="none"/>
        </w:rPr>
        <w:t>每辆车每天的路线和运输车次</w:t>
      </w:r>
      <w:r>
        <w:rPr>
          <w:rFonts w:hint="eastAsia" w:ascii="华文仿宋" w:hAnsi="华文仿宋" w:eastAsia="华文仿宋" w:cs="华文仿宋"/>
          <w:b/>
          <w:sz w:val="24"/>
          <w:szCs w:val="24"/>
          <w:highlight w:val="none"/>
        </w:rPr>
        <w:t>，</w:t>
      </w:r>
      <w:r>
        <w:rPr>
          <w:rFonts w:hint="eastAsia" w:ascii="华文仿宋" w:hAnsi="华文仿宋" w:eastAsia="华文仿宋" w:cs="华文仿宋"/>
          <w:sz w:val="24"/>
          <w:szCs w:val="24"/>
          <w:highlight w:val="none"/>
        </w:rPr>
        <w:t>确保全镇垃圾收运正常不受限制。同时，根据具体情况加以预见预判，尤其是夏季、重大节假日、群众红白喜事等垃圾高峰期，适时增加运输车辆及清运频次，确保垃圾不积压滞留。</w:t>
      </w:r>
    </w:p>
    <w:p w14:paraId="240BC836">
      <w:pPr>
        <w:spacing w:line="360" w:lineRule="auto"/>
        <w:ind w:firstLine="504"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⑤检查考核。镇“五位一体”办公室将检查每辆车每天的清运车次和数量等具体情况，看是否符合清运频次和数量要求并进行专项考核。同时，将根据季节及垃圾量适时增加考核车次（以书面形式通知），确保垃圾不积压。</w:t>
      </w:r>
    </w:p>
    <w:p w14:paraId="730C76FD">
      <w:pPr>
        <w:spacing w:line="360" w:lineRule="auto"/>
        <w:ind w:firstLine="505"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(6)其他清运：</w:t>
      </w:r>
      <w:r>
        <w:rPr>
          <w:rFonts w:hint="eastAsia" w:ascii="华文仿宋" w:hAnsi="华文仿宋" w:eastAsia="华文仿宋" w:cs="华文仿宋"/>
          <w:sz w:val="24"/>
          <w:szCs w:val="24"/>
          <w:highlight w:val="none"/>
        </w:rPr>
        <w:t>农业生产垃圾、大件垃圾等其他垃圾运至各村（社区）指定堆场。</w:t>
      </w:r>
    </w:p>
    <w:p w14:paraId="403DAAAA">
      <w:pPr>
        <w:spacing w:line="360" w:lineRule="auto"/>
        <w:ind w:firstLine="505" w:firstLineChars="21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3、垃圾设施管护</w:t>
      </w:r>
    </w:p>
    <w:p w14:paraId="18C9252F">
      <w:pPr>
        <w:pStyle w:val="14"/>
        <w:spacing w:line="360" w:lineRule="auto"/>
        <w:ind w:left="601" w:right="6"/>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（1）管护标准：</w:t>
      </w:r>
    </w:p>
    <w:p w14:paraId="77A4455A">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①收集设施应美观、适用，与周围环境协调，完好率应不低于98%；</w:t>
      </w:r>
    </w:p>
    <w:p w14:paraId="74058042">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②收集设施置放点及周围应整洁，无蝇、无臭；</w:t>
      </w:r>
    </w:p>
    <w:p w14:paraId="121659D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③收集设施内的垃圾应及时清除、无满溢和散落；</w:t>
      </w:r>
    </w:p>
    <w:p w14:paraId="7E815C4D">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④及时扶正、摆好塑料垃圾桶不跨道；</w:t>
      </w:r>
    </w:p>
    <w:p w14:paraId="43BEF5F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fldChar w:fldCharType="begin"/>
      </w:r>
      <w:r>
        <w:rPr>
          <w:rFonts w:hint="eastAsia" w:ascii="华文仿宋" w:hAnsi="华文仿宋" w:eastAsia="华文仿宋" w:cs="华文仿宋"/>
          <w:sz w:val="24"/>
          <w:szCs w:val="24"/>
          <w:highlight w:val="none"/>
        </w:rPr>
        <w:instrText xml:space="preserve"> = 5 \* GB3 </w:instrText>
      </w:r>
      <w:r>
        <w:rPr>
          <w:rFonts w:hint="eastAsia" w:ascii="华文仿宋" w:hAnsi="华文仿宋" w:eastAsia="华文仿宋" w:cs="华文仿宋"/>
          <w:sz w:val="24"/>
          <w:szCs w:val="24"/>
          <w:highlight w:val="none"/>
        </w:rPr>
        <w:fldChar w:fldCharType="separate"/>
      </w:r>
      <w:r>
        <w:rPr>
          <w:rFonts w:hint="eastAsia" w:ascii="华文仿宋" w:hAnsi="华文仿宋" w:eastAsia="华文仿宋" w:cs="华文仿宋"/>
          <w:sz w:val="24"/>
          <w:szCs w:val="24"/>
          <w:highlight w:val="none"/>
        </w:rPr>
        <w:t>⑤</w:t>
      </w:r>
      <w:r>
        <w:rPr>
          <w:rFonts w:hint="eastAsia" w:ascii="华文仿宋" w:hAnsi="华文仿宋" w:eastAsia="华文仿宋" w:cs="华文仿宋"/>
          <w:sz w:val="24"/>
          <w:szCs w:val="24"/>
          <w:highlight w:val="none"/>
        </w:rPr>
        <w:fldChar w:fldCharType="end"/>
      </w:r>
      <w:r>
        <w:rPr>
          <w:rFonts w:hint="eastAsia" w:ascii="华文仿宋" w:hAnsi="华文仿宋" w:eastAsia="华文仿宋" w:cs="华文仿宋"/>
          <w:sz w:val="24"/>
          <w:szCs w:val="24"/>
          <w:highlight w:val="none"/>
        </w:rPr>
        <w:t>定时清洗箱体，每天清运人员需对垃圾中转房内塑料垃圾桶进行清洗，正常保持其外壁清洁状态。</w:t>
      </w:r>
    </w:p>
    <w:p w14:paraId="0FEE4E6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（2）禁止损坏：</w:t>
      </w:r>
      <w:r>
        <w:rPr>
          <w:rFonts w:hint="eastAsia" w:ascii="华文仿宋" w:hAnsi="华文仿宋" w:eastAsia="华文仿宋" w:cs="华文仿宋"/>
          <w:sz w:val="24"/>
          <w:szCs w:val="24"/>
          <w:highlight w:val="none"/>
        </w:rPr>
        <w:t>加强对一线保洁人员教育管理，落实责任，调动工作积极性。禁止一切破坏垃圾设施的行为，发现其他人员损坏、偷拿、移位、他用等情况要及时制止并报告，主管、片长及村保洁队长要及时对接，共同追究当事人损坏赔偿责任。</w:t>
      </w:r>
    </w:p>
    <w:p w14:paraId="4442D189">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4、运输车辆管护</w:t>
      </w:r>
    </w:p>
    <w:p w14:paraId="526D41DF">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所有车辆必须持证驾驶、证件齐全、定期年检、保险齐全，必须车容整洁、正常检修、车况良好、密闭运输，运输过程中不得撒落造成二次污染，发生撒落及时清理干净；做好消杀工作，严格做到每天上午10:00左右消杀一次，下午4:00左右消杀一次，视垃圾产量及垃圾成份等具体情况可适当增加消杀次数，严禁苍蝇产生。</w:t>
      </w:r>
    </w:p>
    <w:p w14:paraId="4484DE54">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5、清运禁止行为</w:t>
      </w:r>
    </w:p>
    <w:p w14:paraId="38521FF2">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不得接收和收运承包区域以外垃圾，禁止不及时收集，禁止任意倾倒、抛洒或堆放垃圾，禁止焚烧垃圾，禁止运输途中丢弃、遗撒垃圾。</w:t>
      </w:r>
      <w:r>
        <w:rPr>
          <w:rFonts w:hint="eastAsia" w:ascii="华文仿宋" w:hAnsi="华文仿宋" w:eastAsia="华文仿宋" w:cs="华文仿宋"/>
          <w:b/>
          <w:sz w:val="24"/>
          <w:szCs w:val="24"/>
          <w:highlight w:val="none"/>
        </w:rPr>
        <w:t>个人不得私自签约收运单位废弃物</w:t>
      </w:r>
      <w:r>
        <w:rPr>
          <w:rFonts w:hint="eastAsia" w:ascii="华文仿宋" w:hAnsi="华文仿宋" w:eastAsia="华文仿宋" w:cs="华文仿宋"/>
          <w:sz w:val="24"/>
          <w:szCs w:val="24"/>
          <w:highlight w:val="none"/>
        </w:rPr>
        <w:t>。</w:t>
      </w:r>
    </w:p>
    <w:p w14:paraId="41A0622D">
      <w:pPr>
        <w:spacing w:line="360" w:lineRule="auto"/>
        <w:ind w:firstLine="505" w:firstLineChars="21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6、垃圾有序分类</w:t>
      </w:r>
    </w:p>
    <w:p w14:paraId="40E33B54">
      <w:pPr>
        <w:spacing w:line="360" w:lineRule="auto"/>
        <w:ind w:firstLine="504" w:firstLineChars="21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积极组织人员参与垃圾分类工作，严格按照分类标准有序分类、规范清运。经分类的可腐垃圾要及时清运到专业处理点，其他生活垃圾必须高效送达天楹电厂，生产垃圾、大件废弃物运至</w:t>
      </w:r>
      <w:r>
        <w:rPr>
          <w:rFonts w:hint="eastAsia" w:ascii="华文仿宋" w:hAnsi="华文仿宋" w:eastAsia="华文仿宋" w:cs="华文仿宋"/>
          <w:sz w:val="24"/>
          <w:szCs w:val="24"/>
          <w:highlight w:val="none"/>
          <w:lang w:eastAsia="zh-CN"/>
        </w:rPr>
        <w:t>招标人</w:t>
      </w:r>
      <w:r>
        <w:rPr>
          <w:rFonts w:hint="eastAsia" w:ascii="华文仿宋" w:hAnsi="华文仿宋" w:eastAsia="华文仿宋" w:cs="华文仿宋"/>
          <w:sz w:val="24"/>
          <w:szCs w:val="24"/>
          <w:highlight w:val="none"/>
        </w:rPr>
        <w:t>指定地点按要求有序堆放或填埋。</w:t>
      </w:r>
    </w:p>
    <w:p w14:paraId="6867DD54">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lang w:val="en-US" w:eastAsia="zh-CN"/>
        </w:rPr>
        <w:t>二）</w:t>
      </w:r>
      <w:r>
        <w:rPr>
          <w:rFonts w:hint="eastAsia" w:ascii="华文仿宋" w:hAnsi="华文仿宋" w:eastAsia="华文仿宋" w:cs="华文仿宋"/>
          <w:b/>
          <w:sz w:val="24"/>
          <w:szCs w:val="24"/>
          <w:highlight w:val="none"/>
        </w:rPr>
        <w:t>道路、桥梁保洁管护</w:t>
      </w:r>
    </w:p>
    <w:p w14:paraId="73A2DB38">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Cs/>
          <w:sz w:val="24"/>
          <w:szCs w:val="24"/>
          <w:highlight w:val="none"/>
        </w:rPr>
        <w:t>全镇配备25名道路专项管护员，</w:t>
      </w:r>
      <w:r>
        <w:rPr>
          <w:rFonts w:hint="eastAsia" w:ascii="华文仿宋" w:hAnsi="华文仿宋" w:eastAsia="华文仿宋" w:cs="华文仿宋"/>
          <w:b/>
          <w:sz w:val="24"/>
          <w:szCs w:val="24"/>
          <w:highlight w:val="none"/>
        </w:rPr>
        <w:t>负责镇域范围道路及其沿线公共区域和桥梁的常态化、全方位、无死角保洁</w:t>
      </w:r>
    </w:p>
    <w:p w14:paraId="49C0EF4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1、路面路边保洁要求：</w:t>
      </w:r>
      <w:r>
        <w:rPr>
          <w:rFonts w:hint="eastAsia" w:ascii="华文仿宋" w:hAnsi="华文仿宋" w:eastAsia="华文仿宋" w:cs="华文仿宋"/>
          <w:sz w:val="24"/>
          <w:szCs w:val="24"/>
          <w:highlight w:val="none"/>
        </w:rPr>
        <w:t>路面（桥面）干净整洁，无散落垃圾、无堆积抛洒物，路边线杆、墙面上无小广告。</w:t>
      </w:r>
    </w:p>
    <w:p w14:paraId="09A83B0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2、路肩保洁要求：</w:t>
      </w:r>
      <w:r>
        <w:rPr>
          <w:rFonts w:hint="eastAsia" w:ascii="华文仿宋" w:hAnsi="华文仿宋" w:eastAsia="华文仿宋" w:cs="华文仿宋"/>
          <w:sz w:val="24"/>
          <w:szCs w:val="24"/>
          <w:highlight w:val="none"/>
        </w:rPr>
        <w:t>路肩边坡及沿线公共区域无散落垃圾、无堆放占用，零星农业生产垃圾、大件垃圾要及时清理。保证路肩(坡)无15cm以上高草现象，不得化除。每年4-11月份的5-13日为割草日，四好农路和大小循环线路年割草不低于10次/年，庄排线道路割草不低于8次/年，路坡割至路田分界沟或路田分界处，割草后的路面及时保洁。及时清理路边2米范围内的加拿大一枝黄花（不含农田及居民场所）。</w:t>
      </w:r>
    </w:p>
    <w:p w14:paraId="15EE4DC6">
      <w:pPr>
        <w:spacing w:line="360" w:lineRule="auto"/>
        <w:ind w:firstLine="480" w:firstLineChars="200"/>
        <w:rPr>
          <w:rFonts w:hint="eastAsia" w:ascii="华文仿宋" w:hAnsi="华文仿宋" w:eastAsia="华文仿宋" w:cs="华文仿宋"/>
          <w:bCs/>
          <w:sz w:val="24"/>
          <w:szCs w:val="24"/>
          <w:highlight w:val="none"/>
        </w:rPr>
      </w:pPr>
      <w:r>
        <w:rPr>
          <w:rFonts w:hint="eastAsia" w:ascii="华文仿宋" w:hAnsi="华文仿宋" w:eastAsia="华文仿宋" w:cs="华文仿宋"/>
          <w:b/>
          <w:sz w:val="24"/>
          <w:szCs w:val="24"/>
          <w:highlight w:val="none"/>
        </w:rPr>
        <w:t>3、重点路段保洁：</w:t>
      </w:r>
      <w:r>
        <w:rPr>
          <w:rFonts w:hint="eastAsia" w:ascii="华文仿宋" w:hAnsi="华文仿宋" w:eastAsia="华文仿宋" w:cs="华文仿宋"/>
          <w:bCs/>
          <w:sz w:val="24"/>
          <w:szCs w:val="24"/>
          <w:highlight w:val="none"/>
        </w:rPr>
        <w:t>新老S334、S222、S221、G328、X203、X111、X257、大白线等国、省、县道路面人流繁忙，充分体现镇容镇貌，在县级保洁的基础上，服务公司必须每天重点进行巡查清理保洁并正常保持干净清洁。</w:t>
      </w:r>
    </w:p>
    <w:p w14:paraId="722A558E">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三）河道保洁管护</w:t>
      </w:r>
    </w:p>
    <w:p w14:paraId="5D21245E">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负责镇域范围内三、四级河道及其沿线边坡公共区域实行常态化、全方位、无死角保洁。三、四级河道一般按3m、2m设定公共区域，特殊情形另定。</w:t>
      </w:r>
    </w:p>
    <w:p w14:paraId="5B7D06AF">
      <w:pPr>
        <w:numPr>
          <w:ilvl w:val="0"/>
          <w:numId w:val="2"/>
        </w:numPr>
        <w:spacing w:line="360" w:lineRule="auto"/>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明确分工</w:t>
      </w:r>
    </w:p>
    <w:p w14:paraId="66764DED">
      <w:pPr>
        <w:spacing w:line="360" w:lineRule="auto"/>
        <w:ind w:firstLine="470"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所有河道任务分工要明确到人。</w:t>
      </w:r>
    </w:p>
    <w:p w14:paraId="63985B95">
      <w:pPr>
        <w:spacing w:line="360" w:lineRule="auto"/>
        <w:ind w:firstLine="470"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（1）通航的三、四级河河面和河坡的保洁要专人负责，用机动船进行保洁。与如泰运河相通的贯河上选择固定点位设置飘浮物的拦截处和清运点，及时清理清运。</w:t>
      </w:r>
    </w:p>
    <w:p w14:paraId="66FE3ED7">
      <w:pPr>
        <w:spacing w:line="360" w:lineRule="auto"/>
        <w:ind w:firstLine="470"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（2）不通航的三、四级河道、沟塘、渠道的河坡及河面由河道长效保洁队员和区域保洁员负责，用非机动船进行清理。</w:t>
      </w:r>
    </w:p>
    <w:p w14:paraId="42BDA48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（3）生态河道的河坡、河面及绿化保洁由河道长效保洁员负责，定期修整河坡草坪，根据河坡绿化的树况及时采取扶正、踏实等措施。</w:t>
      </w:r>
    </w:p>
    <w:p w14:paraId="005DDADD">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（4）生态缓冲区内设计、建设和清理过的河道及泯沟参照生态河标准进行保洁。</w:t>
      </w:r>
    </w:p>
    <w:p w14:paraId="2BA20184">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2、人员配备。</w:t>
      </w:r>
      <w:r>
        <w:rPr>
          <w:rFonts w:hint="eastAsia" w:ascii="华文仿宋" w:hAnsi="华文仿宋" w:eastAsia="华文仿宋" w:cs="华文仿宋"/>
          <w:bCs/>
          <w:sz w:val="24"/>
          <w:szCs w:val="24"/>
          <w:highlight w:val="none"/>
        </w:rPr>
        <w:t>全镇配备40名河道长效保洁员，分四个组，每组十人，每组设一名组长，负责组织现场保洁作业</w:t>
      </w:r>
      <w:r>
        <w:rPr>
          <w:rFonts w:hint="eastAsia" w:ascii="华文仿宋" w:hAnsi="华文仿宋" w:eastAsia="华文仿宋" w:cs="华文仿宋"/>
          <w:b/>
          <w:sz w:val="24"/>
          <w:szCs w:val="24"/>
          <w:highlight w:val="none"/>
        </w:rPr>
        <w:t>。</w:t>
      </w:r>
      <w:r>
        <w:rPr>
          <w:rFonts w:hint="eastAsia" w:ascii="华文仿宋" w:hAnsi="华文仿宋" w:eastAsia="华文仿宋" w:cs="华文仿宋"/>
          <w:sz w:val="24"/>
          <w:szCs w:val="24"/>
          <w:highlight w:val="none"/>
        </w:rPr>
        <w:t>机动船配一名船长（驾驶员）和两名保洁员，驾驶员要有相应的上岗证书。非机动船在保洁过程中必须两人以上共同参与，不得单人作业。</w:t>
      </w:r>
    </w:p>
    <w:p w14:paraId="0120E566">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3、保洁内容</w:t>
      </w:r>
    </w:p>
    <w:p w14:paraId="660D1DA5">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河坡：保持河道的坡岸清洁，河坡及公共区域内无散落飘浮垃圾、无堆积丢弃杂物，等级河道蓝线范围内要无垦坡种植、无杂枝倒树，发现要及时清理。生态河河坡绿化修剪要规范、整洁，河坡草坪可视范围内保持无高草，在3月到11月份每20天割草一次，其他时间根据需要清理。</w:t>
      </w:r>
    </w:p>
    <w:p w14:paraId="2037278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河面：河道水面保持清洁，河面河边及转角等无漂浮垃圾，无水花生、无水葫芦、无大面积浮萍等恶性水生作物，定期清理河面及河坡芦竹和芦苇。每年年初要对镇域范围内所有三、四级河道及生态河道内芦竹和芦苇清理到位，镇五位一体办将于每年1月中旬组织人员专项督查，清理不到位将严格按照《考核细则》重点扣罚。</w:t>
      </w:r>
    </w:p>
    <w:p w14:paraId="7EF30F4C">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（3）桥头：所有桥头坝梗的周边保持清洁，无垃圾杂物堆积，所有区域无动物尸体。</w:t>
      </w:r>
    </w:p>
    <w:p w14:paraId="4D9EC07C">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（4）泯沟头：泯沟和道路交界处要保持清洁，无垃圾杂物堆积，零星秸秆、破旧家具等要及时清运至各村指定堆场。</w:t>
      </w:r>
    </w:p>
    <w:p w14:paraId="5E4B21D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4、保洁频次。</w:t>
      </w:r>
      <w:r>
        <w:rPr>
          <w:rFonts w:hint="eastAsia" w:ascii="华文仿宋" w:hAnsi="华文仿宋" w:eastAsia="华文仿宋" w:cs="华文仿宋"/>
          <w:bCs/>
          <w:sz w:val="24"/>
          <w:szCs w:val="24"/>
          <w:highlight w:val="none"/>
        </w:rPr>
        <w:t>河道保洁充分体现镇域环境，服务项目的标准要求相对更高，因此单独列出进行明确。服务</w:t>
      </w:r>
      <w:r>
        <w:rPr>
          <w:rFonts w:hint="eastAsia" w:ascii="华文仿宋" w:hAnsi="华文仿宋" w:eastAsia="华文仿宋" w:cs="华文仿宋"/>
          <w:sz w:val="24"/>
          <w:szCs w:val="24"/>
          <w:highlight w:val="none"/>
        </w:rPr>
        <w:t>公司要明确一名主管牵头负责，按河道区域明确分工、落实责任、采取措施，确保河道保洁体系正常运行。</w:t>
      </w:r>
      <w:r>
        <w:rPr>
          <w:rFonts w:hint="eastAsia" w:ascii="华文仿宋" w:hAnsi="华文仿宋" w:eastAsia="华文仿宋" w:cs="华文仿宋"/>
          <w:bCs/>
          <w:sz w:val="24"/>
          <w:szCs w:val="24"/>
          <w:highlight w:val="none"/>
        </w:rPr>
        <w:t>河道长效保洁员工作以河道保洁为主，除重大创建活动等不得用于其它项目的保洁。每周一制定本周工作计划交镇五位一体办,镇五位一体办将对工作完成情况进行跟踪督察，无正当理由未及时完成将发出书面整改通知，接通知后规定时间内仍未完成的将严格按照《考核细则》进行重点扣罚。</w:t>
      </w:r>
    </w:p>
    <w:p w14:paraId="035E62A5">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四）绿化保洁管护</w:t>
      </w:r>
    </w:p>
    <w:p w14:paraId="56FAFB21">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1、全面覆盖。</w:t>
      </w:r>
      <w:r>
        <w:rPr>
          <w:rFonts w:hint="eastAsia" w:ascii="华文仿宋" w:hAnsi="华文仿宋" w:eastAsia="华文仿宋" w:cs="华文仿宋"/>
          <w:sz w:val="24"/>
          <w:szCs w:val="24"/>
          <w:highlight w:val="none"/>
        </w:rPr>
        <w:t>明确每条道路、河坡边的绿化保洁责任，把每一棵绿化、每一处草坪的保洁任务明确到具体保洁员。</w:t>
      </w:r>
    </w:p>
    <w:p w14:paraId="7580FAC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2、日常保洁。</w:t>
      </w:r>
      <w:r>
        <w:rPr>
          <w:rFonts w:hint="eastAsia" w:ascii="华文仿宋" w:hAnsi="华文仿宋" w:eastAsia="华文仿宋" w:cs="华文仿宋"/>
          <w:sz w:val="24"/>
          <w:szCs w:val="24"/>
          <w:highlight w:val="none"/>
        </w:rPr>
        <w:t>道路、河坡两侧绿化、草坪正常健壮生长，所有道路(省、县道除外，三个镇区沿街绿化带列入保洁范围)两侧树木每年采取涂白一次。</w:t>
      </w:r>
    </w:p>
    <w:p w14:paraId="702088D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3、地面卫生。</w:t>
      </w:r>
      <w:r>
        <w:rPr>
          <w:rFonts w:hint="eastAsia" w:ascii="华文仿宋" w:hAnsi="华文仿宋" w:eastAsia="华文仿宋" w:cs="华文仿宋"/>
          <w:sz w:val="24"/>
          <w:szCs w:val="24"/>
          <w:highlight w:val="none"/>
        </w:rPr>
        <w:t>绿化下无高杆及游藤作物、无散落暴露飘浮垃圾、无乱扔乱丢。</w:t>
      </w:r>
    </w:p>
    <w:p w14:paraId="2B2D978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4、保洁频次。</w:t>
      </w:r>
      <w:r>
        <w:rPr>
          <w:rFonts w:hint="eastAsia" w:ascii="华文仿宋" w:hAnsi="华文仿宋" w:eastAsia="华文仿宋" w:cs="华文仿宋"/>
          <w:sz w:val="24"/>
          <w:szCs w:val="24"/>
          <w:highlight w:val="none"/>
        </w:rPr>
        <w:t>整体面上显眼问题每天</w:t>
      </w:r>
      <w:r>
        <w:rPr>
          <w:rFonts w:hint="eastAsia" w:ascii="华文仿宋" w:hAnsi="华文仿宋" w:eastAsia="华文仿宋" w:cs="华文仿宋"/>
          <w:b/>
          <w:sz w:val="24"/>
          <w:szCs w:val="24"/>
          <w:highlight w:val="none"/>
        </w:rPr>
        <w:t>巡查重点</w:t>
      </w:r>
      <w:r>
        <w:rPr>
          <w:rFonts w:hint="eastAsia" w:ascii="华文仿宋" w:hAnsi="华文仿宋" w:eastAsia="华文仿宋" w:cs="华文仿宋"/>
          <w:sz w:val="24"/>
          <w:szCs w:val="24"/>
          <w:highlight w:val="none"/>
        </w:rPr>
        <w:t>巡查清理保洁一轮，全面保洁按内容要求控制在2天以内，整体彻底清理保洁一轮。</w:t>
      </w:r>
    </w:p>
    <w:p w14:paraId="0F1A517D">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lang w:val="en-US" w:eastAsia="zh-CN"/>
        </w:rPr>
        <w:t>四</w:t>
      </w: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rPr>
        <w:t>三个镇区（含公厕保洁）及新老S334、S222、S221、G328、X203、X111、X257、大白线等沿线重点区域“五位一体”外包服务项目的标准要求</w:t>
      </w:r>
    </w:p>
    <w:p w14:paraId="7FB4D42A">
      <w:pPr>
        <w:pStyle w:val="225"/>
        <w:spacing w:line="360" w:lineRule="auto"/>
        <w:ind w:left="0"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因重点区域人员密度高，充分体现镇容镇貌，服务项目的标准要求相对更高，因此单独列出进行明确。公司要单独组织队伍进行管理运行，推行机械化作业新模式，降低环卫工人劳动强度，提高工作标准，大幅度改善服务效果，推动镇区等重点区域的卫生水平走在全县前列。</w:t>
      </w:r>
    </w:p>
    <w:p w14:paraId="573C5275">
      <w:pPr>
        <w:pStyle w:val="225"/>
        <w:spacing w:line="360" w:lineRule="auto"/>
        <w:ind w:left="0"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机械化作业新模式，可利用洗扫车、洒水车、高压冲洗车等具备不同功能的机械化作业车辆，与电瓶保洁车、人工清扫保洁结合全方位进</w:t>
      </w:r>
      <w:r>
        <w:rPr>
          <w:rFonts w:hint="eastAsia" w:ascii="华文仿宋" w:hAnsi="华文仿宋" w:eastAsia="华文仿宋" w:cs="华文仿宋"/>
          <w:spacing w:val="-10"/>
          <w:sz w:val="24"/>
          <w:szCs w:val="24"/>
          <w:highlight w:val="none"/>
        </w:rPr>
        <w:t>行道路清扫保洁作业，最终实现人机有效结合，即以机械化为主，人工保洁为辅，</w:t>
      </w:r>
      <w:r>
        <w:rPr>
          <w:rFonts w:hint="eastAsia" w:ascii="华文仿宋" w:hAnsi="华文仿宋" w:eastAsia="华文仿宋" w:cs="华文仿宋"/>
          <w:sz w:val="24"/>
          <w:szCs w:val="24"/>
          <w:highlight w:val="none"/>
        </w:rPr>
        <w:t>而作业能效超越两者自身的“1+1＞2”的高效作业模式。</w:t>
      </w:r>
    </w:p>
    <w:p w14:paraId="40342E71">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一）环卫保洁</w:t>
      </w:r>
    </w:p>
    <w:p w14:paraId="2CE67A05">
      <w:pPr>
        <w:tabs>
          <w:tab w:val="left" w:pos="6435"/>
        </w:tabs>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sz w:val="24"/>
          <w:szCs w:val="24"/>
          <w:highlight w:val="none"/>
        </w:rPr>
        <w:t>1、</w:t>
      </w:r>
      <w:r>
        <w:rPr>
          <w:rFonts w:hint="eastAsia" w:ascii="华文仿宋" w:hAnsi="华文仿宋" w:eastAsia="华文仿宋" w:cs="华文仿宋"/>
          <w:b/>
          <w:sz w:val="24"/>
          <w:szCs w:val="24"/>
          <w:highlight w:val="none"/>
        </w:rPr>
        <w:t>保洁范围</w:t>
      </w:r>
    </w:p>
    <w:p w14:paraId="20E3EAE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按区域分工负责做好区域内道路、桥梁、公共广场、公共绿地、公共厕所等公共区域、内街巷等保洁工作。</w:t>
      </w:r>
    </w:p>
    <w:p w14:paraId="62B79EFF">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2、保洁要求</w:t>
      </w:r>
    </w:p>
    <w:p w14:paraId="395B78E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①环卫标准：</w:t>
      </w:r>
      <w:r>
        <w:rPr>
          <w:rFonts w:hint="eastAsia" w:ascii="华文仿宋" w:hAnsi="华文仿宋" w:eastAsia="华文仿宋" w:cs="华文仿宋"/>
          <w:sz w:val="24"/>
          <w:szCs w:val="24"/>
          <w:highlight w:val="none"/>
        </w:rPr>
        <w:t>桥梁、街道、道路等设施整洁完好，道路和桥梁上设置的隔离墩、防护栏、排水等设施整洁完好。保洁范围内（含路边停放的车辆下方）要达到“六不六净”要求，“六不”指不见积水、不见沉积灰尘、不见纸屑果皮烟头、不漏收垃圾堆、不见牛皮癣、不见杂物；“六净”指路面净、路沿净、人行道净、树桩墙边净、垃圾桶净、雨水斗净。</w:t>
      </w:r>
    </w:p>
    <w:p w14:paraId="0538F3DC">
      <w:pPr>
        <w:spacing w:line="360" w:lineRule="auto"/>
        <w:ind w:firstLine="471" w:firstLineChars="196"/>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②巡管要求：</w:t>
      </w:r>
      <w:r>
        <w:rPr>
          <w:rFonts w:hint="eastAsia" w:ascii="华文仿宋" w:hAnsi="华文仿宋" w:eastAsia="华文仿宋" w:cs="华文仿宋"/>
          <w:sz w:val="24"/>
          <w:szCs w:val="24"/>
          <w:highlight w:val="none"/>
        </w:rPr>
        <w:t>发现道路、路牙以及在道路、广场以及其他公共场地设置的交通、电信、邮政、电力、环境卫生、消防、供水、燃气等各类设施出现问题的及时报告。</w:t>
      </w:r>
    </w:p>
    <w:p w14:paraId="74EFE129">
      <w:pPr>
        <w:spacing w:line="360" w:lineRule="auto"/>
        <w:ind w:firstLine="471" w:firstLineChars="196"/>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3、作业频次及时间</w:t>
      </w:r>
    </w:p>
    <w:p w14:paraId="11060A1C">
      <w:pPr>
        <w:spacing w:line="360" w:lineRule="auto"/>
        <w:ind w:firstLine="471" w:firstLineChars="196"/>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①机械作业</w:t>
      </w:r>
    </w:p>
    <w:tbl>
      <w:tblPr>
        <w:tblStyle w:val="36"/>
        <w:tblW w:w="9679" w:type="dxa"/>
        <w:jc w:val="center"/>
        <w:tblLayout w:type="fixed"/>
        <w:tblCellMar>
          <w:top w:w="0" w:type="dxa"/>
          <w:left w:w="0" w:type="dxa"/>
          <w:bottom w:w="0" w:type="dxa"/>
          <w:right w:w="0" w:type="dxa"/>
        </w:tblCellMar>
      </w:tblPr>
      <w:tblGrid>
        <w:gridCol w:w="1458"/>
        <w:gridCol w:w="1701"/>
        <w:gridCol w:w="1984"/>
        <w:gridCol w:w="1417"/>
        <w:gridCol w:w="1418"/>
        <w:gridCol w:w="1701"/>
      </w:tblGrid>
      <w:tr w14:paraId="62E2F506">
        <w:tblPrEx>
          <w:tblCellMar>
            <w:top w:w="0" w:type="dxa"/>
            <w:left w:w="0" w:type="dxa"/>
            <w:bottom w:w="0" w:type="dxa"/>
            <w:right w:w="0" w:type="dxa"/>
          </w:tblCellMar>
        </w:tblPrEx>
        <w:trPr>
          <w:trHeight w:val="466" w:hRule="exact"/>
          <w:jc w:val="center"/>
        </w:trPr>
        <w:tc>
          <w:tcPr>
            <w:tcW w:w="1458" w:type="dxa"/>
            <w:tcBorders>
              <w:top w:val="single" w:color="000000" w:sz="4" w:space="0"/>
              <w:left w:val="single" w:color="000000" w:sz="4" w:space="0"/>
              <w:bottom w:val="single" w:color="auto" w:sz="4" w:space="0"/>
              <w:right w:val="single" w:color="000000" w:sz="4" w:space="0"/>
            </w:tcBorders>
          </w:tcPr>
          <w:p w14:paraId="2FBE98F5">
            <w:pPr>
              <w:pStyle w:val="212"/>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作业类别</w:t>
            </w:r>
          </w:p>
        </w:tc>
        <w:tc>
          <w:tcPr>
            <w:tcW w:w="1701" w:type="dxa"/>
            <w:tcBorders>
              <w:top w:val="single" w:color="000000" w:sz="4" w:space="0"/>
              <w:left w:val="single" w:color="000000" w:sz="4" w:space="0"/>
              <w:bottom w:val="single" w:color="auto" w:sz="4" w:space="0"/>
              <w:right w:val="single" w:color="000000" w:sz="4" w:space="0"/>
            </w:tcBorders>
          </w:tcPr>
          <w:p w14:paraId="3DFEBF1A">
            <w:pPr>
              <w:pStyle w:val="212"/>
              <w:spacing w:line="360" w:lineRule="auto"/>
              <w:ind w:left="103" w:firstLine="360" w:firstLineChars="15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车道类型</w:t>
            </w:r>
          </w:p>
        </w:tc>
        <w:tc>
          <w:tcPr>
            <w:tcW w:w="1984" w:type="dxa"/>
            <w:tcBorders>
              <w:top w:val="single" w:color="000000" w:sz="4" w:space="0"/>
              <w:left w:val="single" w:color="000000" w:sz="4" w:space="0"/>
              <w:bottom w:val="single" w:color="auto" w:sz="4" w:space="0"/>
              <w:right w:val="single" w:color="000000" w:sz="4" w:space="0"/>
            </w:tcBorders>
          </w:tcPr>
          <w:p w14:paraId="70F628F3">
            <w:pPr>
              <w:pStyle w:val="212"/>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洗扫</w:t>
            </w:r>
          </w:p>
        </w:tc>
        <w:tc>
          <w:tcPr>
            <w:tcW w:w="1417" w:type="dxa"/>
            <w:tcBorders>
              <w:top w:val="single" w:color="000000" w:sz="4" w:space="0"/>
              <w:left w:val="single" w:color="000000" w:sz="4" w:space="0"/>
              <w:bottom w:val="single" w:color="auto" w:sz="4" w:space="0"/>
              <w:right w:val="single" w:color="000000" w:sz="4" w:space="0"/>
            </w:tcBorders>
          </w:tcPr>
          <w:p w14:paraId="2E8DF0AF">
            <w:pPr>
              <w:pStyle w:val="212"/>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洒水</w:t>
            </w:r>
          </w:p>
        </w:tc>
        <w:tc>
          <w:tcPr>
            <w:tcW w:w="1418" w:type="dxa"/>
            <w:tcBorders>
              <w:top w:val="single" w:color="000000" w:sz="4" w:space="0"/>
              <w:left w:val="single" w:color="000000" w:sz="4" w:space="0"/>
              <w:bottom w:val="single" w:color="auto" w:sz="4" w:space="0"/>
              <w:right w:val="single" w:color="000000" w:sz="4" w:space="0"/>
            </w:tcBorders>
          </w:tcPr>
          <w:p w14:paraId="16572D89">
            <w:pPr>
              <w:pStyle w:val="212"/>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冲洗</w:t>
            </w:r>
          </w:p>
        </w:tc>
        <w:tc>
          <w:tcPr>
            <w:tcW w:w="1701" w:type="dxa"/>
            <w:tcBorders>
              <w:top w:val="single" w:color="000000" w:sz="4" w:space="0"/>
              <w:left w:val="single" w:color="000000" w:sz="4" w:space="0"/>
              <w:bottom w:val="single" w:color="auto" w:sz="4" w:space="0"/>
              <w:right w:val="single" w:color="000000" w:sz="4" w:space="0"/>
            </w:tcBorders>
          </w:tcPr>
          <w:p w14:paraId="297AB0F2">
            <w:pPr>
              <w:pStyle w:val="212"/>
              <w:tabs>
                <w:tab w:val="left" w:pos="628"/>
              </w:tabs>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备</w:t>
            </w:r>
            <w:r>
              <w:rPr>
                <w:rFonts w:hint="eastAsia" w:ascii="华文仿宋" w:hAnsi="华文仿宋" w:eastAsia="华文仿宋" w:cs="华文仿宋"/>
                <w:sz w:val="24"/>
                <w:szCs w:val="24"/>
                <w:highlight w:val="none"/>
              </w:rPr>
              <w:tab/>
            </w:r>
            <w:r>
              <w:rPr>
                <w:rFonts w:hint="eastAsia" w:ascii="华文仿宋" w:hAnsi="华文仿宋" w:eastAsia="华文仿宋" w:cs="华文仿宋"/>
                <w:sz w:val="24"/>
                <w:szCs w:val="24"/>
                <w:highlight w:val="none"/>
              </w:rPr>
              <w:t>注</w:t>
            </w:r>
          </w:p>
        </w:tc>
      </w:tr>
      <w:tr w14:paraId="0691DB4B">
        <w:tblPrEx>
          <w:tblCellMar>
            <w:top w:w="0" w:type="dxa"/>
            <w:left w:w="0" w:type="dxa"/>
            <w:bottom w:w="0" w:type="dxa"/>
            <w:right w:w="0" w:type="dxa"/>
          </w:tblCellMar>
        </w:tblPrEx>
        <w:trPr>
          <w:trHeight w:val="2490" w:hRule="exact"/>
          <w:jc w:val="center"/>
        </w:trPr>
        <w:tc>
          <w:tcPr>
            <w:tcW w:w="1458" w:type="dxa"/>
            <w:vMerge w:val="restart"/>
            <w:tcBorders>
              <w:top w:val="single" w:color="auto" w:sz="4" w:space="0"/>
              <w:left w:val="single" w:color="auto" w:sz="4" w:space="0"/>
              <w:right w:val="single" w:color="auto" w:sz="4" w:space="0"/>
            </w:tcBorders>
            <w:textDirection w:val="tbRlV"/>
          </w:tcPr>
          <w:p w14:paraId="37DEE177">
            <w:pPr>
              <w:pStyle w:val="212"/>
              <w:spacing w:line="360" w:lineRule="auto"/>
              <w:ind w:left="103" w:right="84"/>
              <w:rPr>
                <w:rFonts w:hint="eastAsia" w:ascii="华文仿宋" w:hAnsi="华文仿宋" w:eastAsia="华文仿宋" w:cs="华文仿宋"/>
                <w:spacing w:val="13"/>
                <w:sz w:val="24"/>
                <w:szCs w:val="24"/>
                <w:highlight w:val="none"/>
              </w:rPr>
            </w:pPr>
          </w:p>
          <w:p w14:paraId="7C7C567D">
            <w:pPr>
              <w:pStyle w:val="212"/>
              <w:spacing w:line="360" w:lineRule="auto"/>
              <w:ind w:left="103" w:right="84"/>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pacing w:val="13"/>
                <w:sz w:val="24"/>
                <w:szCs w:val="24"/>
                <w:highlight w:val="none"/>
              </w:rPr>
              <w:t>机械化作业</w:t>
            </w:r>
          </w:p>
        </w:tc>
        <w:tc>
          <w:tcPr>
            <w:tcW w:w="1701" w:type="dxa"/>
            <w:tcBorders>
              <w:top w:val="single" w:color="auto" w:sz="4" w:space="0"/>
              <w:left w:val="single" w:color="auto" w:sz="4" w:space="0"/>
              <w:bottom w:val="single" w:color="auto" w:sz="4" w:space="0"/>
              <w:right w:val="single" w:color="auto" w:sz="4" w:space="0"/>
            </w:tcBorders>
          </w:tcPr>
          <w:p w14:paraId="490EE575">
            <w:pPr>
              <w:pStyle w:val="212"/>
              <w:spacing w:line="360" w:lineRule="auto"/>
              <w:rPr>
                <w:rFonts w:hint="eastAsia" w:ascii="华文仿宋" w:hAnsi="华文仿宋" w:eastAsia="华文仿宋" w:cs="华文仿宋"/>
                <w:b/>
                <w:bCs/>
                <w:sz w:val="24"/>
                <w:szCs w:val="24"/>
                <w:highlight w:val="none"/>
              </w:rPr>
            </w:pPr>
          </w:p>
          <w:p w14:paraId="5B8590A5">
            <w:pPr>
              <w:pStyle w:val="212"/>
              <w:spacing w:line="360" w:lineRule="auto"/>
              <w:rPr>
                <w:rFonts w:hint="eastAsia" w:ascii="华文仿宋" w:hAnsi="华文仿宋" w:eastAsia="华文仿宋" w:cs="华文仿宋"/>
                <w:bCs/>
                <w:sz w:val="24"/>
                <w:szCs w:val="24"/>
                <w:highlight w:val="none"/>
              </w:rPr>
            </w:pPr>
            <w:r>
              <w:rPr>
                <w:rFonts w:hint="eastAsia" w:ascii="华文仿宋" w:hAnsi="华文仿宋" w:eastAsia="华文仿宋" w:cs="华文仿宋"/>
                <w:bCs/>
                <w:sz w:val="24"/>
                <w:szCs w:val="24"/>
                <w:highlight w:val="none"/>
              </w:rPr>
              <w:t>集镇区主干道</w:t>
            </w:r>
          </w:p>
        </w:tc>
        <w:tc>
          <w:tcPr>
            <w:tcW w:w="1984" w:type="dxa"/>
            <w:tcBorders>
              <w:top w:val="single" w:color="auto" w:sz="4" w:space="0"/>
              <w:left w:val="single" w:color="auto" w:sz="4" w:space="0"/>
              <w:bottom w:val="single" w:color="auto" w:sz="4" w:space="0"/>
              <w:right w:val="single" w:color="auto" w:sz="4" w:space="0"/>
            </w:tcBorders>
          </w:tcPr>
          <w:p w14:paraId="2E0AED4C">
            <w:pPr>
              <w:pStyle w:val="212"/>
              <w:spacing w:line="360" w:lineRule="auto"/>
              <w:ind w:right="176" w:firstLine="120" w:firstLineChars="5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 xml:space="preserve">2次/日 </w:t>
            </w:r>
          </w:p>
          <w:p w14:paraId="743E50E7">
            <w:pPr>
              <w:pStyle w:val="212"/>
              <w:spacing w:line="360" w:lineRule="auto"/>
              <w:ind w:left="102" w:right="17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分别于6:30前、14:30前完成 重点区域增加一次</w:t>
            </w:r>
          </w:p>
        </w:tc>
        <w:tc>
          <w:tcPr>
            <w:tcW w:w="1417" w:type="dxa"/>
            <w:tcBorders>
              <w:top w:val="single" w:color="auto" w:sz="4" w:space="0"/>
              <w:left w:val="single" w:color="auto" w:sz="4" w:space="0"/>
              <w:bottom w:val="single" w:color="auto" w:sz="4" w:space="0"/>
              <w:right w:val="single" w:color="auto" w:sz="4" w:space="0"/>
            </w:tcBorders>
          </w:tcPr>
          <w:p w14:paraId="15B29506">
            <w:pPr>
              <w:pStyle w:val="212"/>
              <w:spacing w:line="360" w:lineRule="auto"/>
              <w:ind w:left="102" w:right="17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 xml:space="preserve">1次/日   夏季两次 </w:t>
            </w:r>
            <w:r>
              <w:rPr>
                <w:rFonts w:hint="eastAsia" w:ascii="华文仿宋" w:hAnsi="华文仿宋" w:eastAsia="华文仿宋" w:cs="华文仿宋"/>
                <w:spacing w:val="13"/>
                <w:sz w:val="24"/>
                <w:szCs w:val="24"/>
                <w:highlight w:val="none"/>
              </w:rPr>
              <w:t>分别于6时、14时前完成</w:t>
            </w:r>
          </w:p>
        </w:tc>
        <w:tc>
          <w:tcPr>
            <w:tcW w:w="1418" w:type="dxa"/>
            <w:tcBorders>
              <w:top w:val="single" w:color="auto" w:sz="4" w:space="0"/>
              <w:left w:val="single" w:color="auto" w:sz="4" w:space="0"/>
              <w:bottom w:val="single" w:color="auto" w:sz="4" w:space="0"/>
              <w:right w:val="single" w:color="auto" w:sz="4" w:space="0"/>
            </w:tcBorders>
          </w:tcPr>
          <w:p w14:paraId="7F0BB841">
            <w:pPr>
              <w:pStyle w:val="212"/>
              <w:spacing w:line="360" w:lineRule="auto"/>
              <w:ind w:firstLine="120" w:firstLineChars="5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2次/周</w:t>
            </w:r>
          </w:p>
          <w:p w14:paraId="7FA894D7">
            <w:pPr>
              <w:pStyle w:val="212"/>
              <w:spacing w:line="360" w:lineRule="auto"/>
              <w:ind w:left="103"/>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22:00-次日早6:00时段，在机扫作业前进行</w:t>
            </w:r>
          </w:p>
        </w:tc>
        <w:tc>
          <w:tcPr>
            <w:tcW w:w="1701" w:type="dxa"/>
            <w:vMerge w:val="restart"/>
            <w:tcBorders>
              <w:top w:val="single" w:color="auto" w:sz="4" w:space="0"/>
              <w:left w:val="single" w:color="auto" w:sz="4" w:space="0"/>
              <w:bottom w:val="single" w:color="auto" w:sz="4" w:space="0"/>
              <w:right w:val="single" w:color="auto" w:sz="4" w:space="0"/>
            </w:tcBorders>
          </w:tcPr>
          <w:p w14:paraId="0162E66F">
            <w:pPr>
              <w:pStyle w:val="212"/>
              <w:numPr>
                <w:ilvl w:val="0"/>
                <w:numId w:val="3"/>
              </w:numPr>
              <w:spacing w:before="74" w:line="300" w:lineRule="exact"/>
              <w:ind w:left="102" w:right="96"/>
              <w:rPr>
                <w:rFonts w:hint="eastAsia" w:ascii="仿宋" w:hAnsi="仿宋" w:eastAsia="仿宋" w:cs="仿宋"/>
                <w:sz w:val="24"/>
                <w:szCs w:val="24"/>
                <w:highlight w:val="none"/>
              </w:rPr>
            </w:pPr>
            <w:r>
              <w:rPr>
                <w:rFonts w:ascii="仿宋" w:hAnsi="仿宋" w:eastAsia="仿宋" w:cs="仿宋"/>
                <w:spacing w:val="9"/>
                <w:sz w:val="24"/>
                <w:szCs w:val="24"/>
                <w:highlight w:val="none"/>
              </w:rPr>
              <w:t>普扫时间：</w:t>
            </w:r>
            <w:r>
              <w:rPr>
                <w:rFonts w:hint="eastAsia" w:ascii="仿宋" w:hAnsi="仿宋" w:eastAsia="仿宋" w:cs="仿宋"/>
                <w:spacing w:val="9"/>
                <w:sz w:val="24"/>
                <w:szCs w:val="24"/>
                <w:highlight w:val="none"/>
              </w:rPr>
              <w:t>6</w:t>
            </w:r>
            <w:r>
              <w:rPr>
                <w:rFonts w:ascii="仿宋" w:hAnsi="仿宋" w:eastAsia="仿宋" w:cs="仿宋"/>
                <w:spacing w:val="9"/>
                <w:sz w:val="24"/>
                <w:szCs w:val="24"/>
                <w:highlight w:val="none"/>
              </w:rPr>
              <w:t>:30</w:t>
            </w:r>
            <w:r>
              <w:rPr>
                <w:rFonts w:ascii="仿宋" w:hAnsi="仿宋" w:eastAsia="仿宋" w:cs="仿宋"/>
                <w:sz w:val="24"/>
                <w:szCs w:val="24"/>
                <w:highlight w:val="none"/>
              </w:rPr>
              <w:t>前;</w:t>
            </w:r>
          </w:p>
          <w:p w14:paraId="4A2EDA35">
            <w:pPr>
              <w:pStyle w:val="212"/>
              <w:numPr>
                <w:ilvl w:val="0"/>
                <w:numId w:val="3"/>
              </w:numPr>
              <w:spacing w:before="74" w:line="300" w:lineRule="exact"/>
              <w:ind w:left="102" w:right="96"/>
              <w:rPr>
                <w:rFonts w:hint="eastAsia" w:ascii="仿宋" w:hAnsi="仿宋" w:eastAsia="仿宋" w:cs="仿宋"/>
                <w:sz w:val="24"/>
                <w:szCs w:val="24"/>
                <w:highlight w:val="none"/>
              </w:rPr>
            </w:pPr>
            <w:r>
              <w:rPr>
                <w:rFonts w:ascii="仿宋" w:hAnsi="仿宋" w:eastAsia="仿宋" w:cs="仿宋"/>
                <w:spacing w:val="10"/>
                <w:sz w:val="24"/>
                <w:szCs w:val="24"/>
                <w:highlight w:val="none"/>
              </w:rPr>
              <w:t>冬季低于</w:t>
            </w:r>
            <w:r>
              <w:rPr>
                <w:rFonts w:ascii="仿宋" w:hAnsi="仿宋" w:eastAsia="仿宋" w:cs="仿宋"/>
                <w:spacing w:val="13"/>
                <w:sz w:val="24"/>
                <w:szCs w:val="24"/>
                <w:highlight w:val="none"/>
              </w:rPr>
              <w:t>2℃冲</w:t>
            </w:r>
            <w:r>
              <w:rPr>
                <w:rFonts w:ascii="仿宋" w:hAnsi="仿宋" w:eastAsia="仿宋" w:cs="仿宋"/>
                <w:sz w:val="24"/>
                <w:szCs w:val="24"/>
                <w:highlight w:val="none"/>
              </w:rPr>
              <w:t>洗、洒水进行停止作</w:t>
            </w:r>
            <w:r>
              <w:rPr>
                <w:rFonts w:hint="eastAsia" w:ascii="仿宋" w:hAnsi="仿宋" w:eastAsia="仿宋" w:cs="仿宋"/>
                <w:sz w:val="24"/>
                <w:szCs w:val="24"/>
                <w:highlight w:val="none"/>
              </w:rPr>
              <w:t>业；</w:t>
            </w:r>
          </w:p>
          <w:p w14:paraId="027611B4">
            <w:pPr>
              <w:pStyle w:val="212"/>
              <w:spacing w:line="360" w:lineRule="auto"/>
              <w:ind w:right="98" w:firstLine="120" w:firstLineChars="50"/>
              <w:rPr>
                <w:rFonts w:hint="eastAsia" w:ascii="华文仿宋" w:hAnsi="华文仿宋" w:eastAsia="华文仿宋" w:cs="华文仿宋"/>
                <w:sz w:val="24"/>
                <w:szCs w:val="24"/>
                <w:highlight w:val="none"/>
              </w:rPr>
            </w:pPr>
            <w:r>
              <w:rPr>
                <w:rFonts w:hint="eastAsia" w:ascii="仿宋" w:hAnsi="仿宋" w:eastAsia="仿宋" w:cs="仿宋"/>
                <w:sz w:val="24"/>
                <w:szCs w:val="24"/>
                <w:highlight w:val="none"/>
              </w:rPr>
              <w:t>3、如遇特殊情况各作业类别必需增加频次，确保路牙边无积土。</w:t>
            </w:r>
          </w:p>
        </w:tc>
      </w:tr>
      <w:tr w14:paraId="415C1B18">
        <w:tblPrEx>
          <w:tblCellMar>
            <w:top w:w="0" w:type="dxa"/>
            <w:left w:w="0" w:type="dxa"/>
            <w:bottom w:w="0" w:type="dxa"/>
            <w:right w:w="0" w:type="dxa"/>
          </w:tblCellMar>
        </w:tblPrEx>
        <w:trPr>
          <w:trHeight w:val="1690" w:hRule="exact"/>
          <w:jc w:val="center"/>
        </w:trPr>
        <w:tc>
          <w:tcPr>
            <w:tcW w:w="1458" w:type="dxa"/>
            <w:vMerge w:val="continue"/>
            <w:tcBorders>
              <w:left w:val="single" w:color="auto" w:sz="4" w:space="0"/>
              <w:bottom w:val="single" w:color="auto" w:sz="4" w:space="0"/>
              <w:right w:val="single" w:color="auto" w:sz="4" w:space="0"/>
            </w:tcBorders>
          </w:tcPr>
          <w:p w14:paraId="249688DE">
            <w:pPr>
              <w:pStyle w:val="212"/>
              <w:spacing w:line="360" w:lineRule="auto"/>
              <w:ind w:left="103" w:right="84"/>
              <w:rPr>
                <w:rFonts w:hint="eastAsia" w:ascii="华文仿宋" w:hAnsi="华文仿宋" w:eastAsia="华文仿宋" w:cs="华文仿宋"/>
                <w:spacing w:val="13"/>
                <w:sz w:val="24"/>
                <w:szCs w:val="24"/>
                <w:highlight w:val="none"/>
              </w:rPr>
            </w:pPr>
          </w:p>
        </w:tc>
        <w:tc>
          <w:tcPr>
            <w:tcW w:w="1701" w:type="dxa"/>
            <w:tcBorders>
              <w:top w:val="single" w:color="auto" w:sz="4" w:space="0"/>
              <w:left w:val="single" w:color="auto" w:sz="4" w:space="0"/>
              <w:bottom w:val="single" w:color="auto" w:sz="4" w:space="0"/>
              <w:right w:val="single" w:color="auto" w:sz="4" w:space="0"/>
            </w:tcBorders>
          </w:tcPr>
          <w:p w14:paraId="3E0D7518">
            <w:pPr>
              <w:pStyle w:val="212"/>
              <w:spacing w:line="360" w:lineRule="auto"/>
              <w:ind w:left="103" w:right="84"/>
              <w:rPr>
                <w:rFonts w:hint="eastAsia" w:ascii="华文仿宋" w:hAnsi="华文仿宋" w:eastAsia="华文仿宋" w:cs="华文仿宋"/>
                <w:spacing w:val="13"/>
                <w:sz w:val="24"/>
                <w:szCs w:val="24"/>
                <w:highlight w:val="none"/>
              </w:rPr>
            </w:pPr>
            <w:r>
              <w:rPr>
                <w:rFonts w:hint="eastAsia" w:ascii="华文仿宋" w:hAnsi="华文仿宋" w:eastAsia="华文仿宋" w:cs="华文仿宋"/>
                <w:spacing w:val="13"/>
                <w:sz w:val="24"/>
                <w:szCs w:val="24"/>
                <w:highlight w:val="none"/>
              </w:rPr>
              <w:t>县乡道、过境公路</w:t>
            </w:r>
          </w:p>
        </w:tc>
        <w:tc>
          <w:tcPr>
            <w:tcW w:w="1984" w:type="dxa"/>
            <w:tcBorders>
              <w:top w:val="single" w:color="auto" w:sz="4" w:space="0"/>
              <w:left w:val="single" w:color="auto" w:sz="4" w:space="0"/>
              <w:bottom w:val="single" w:color="auto" w:sz="4" w:space="0"/>
              <w:right w:val="single" w:color="auto" w:sz="4" w:space="0"/>
            </w:tcBorders>
          </w:tcPr>
          <w:p w14:paraId="2551FD1D">
            <w:pPr>
              <w:pStyle w:val="212"/>
              <w:spacing w:line="360" w:lineRule="auto"/>
              <w:ind w:left="103" w:right="84"/>
              <w:rPr>
                <w:rFonts w:hint="eastAsia" w:ascii="华文仿宋" w:hAnsi="华文仿宋" w:eastAsia="华文仿宋" w:cs="华文仿宋"/>
                <w:spacing w:val="13"/>
                <w:sz w:val="24"/>
                <w:szCs w:val="24"/>
                <w:highlight w:val="none"/>
              </w:rPr>
            </w:pPr>
            <w:r>
              <w:rPr>
                <w:rFonts w:hint="eastAsia" w:ascii="华文仿宋" w:hAnsi="华文仿宋" w:eastAsia="华文仿宋" w:cs="华文仿宋"/>
                <w:sz w:val="24"/>
                <w:szCs w:val="24"/>
                <w:highlight w:val="none"/>
              </w:rPr>
              <w:t>2次/周</w:t>
            </w:r>
          </w:p>
        </w:tc>
        <w:tc>
          <w:tcPr>
            <w:tcW w:w="1417" w:type="dxa"/>
            <w:tcBorders>
              <w:top w:val="single" w:color="auto" w:sz="4" w:space="0"/>
              <w:left w:val="single" w:color="auto" w:sz="4" w:space="0"/>
              <w:bottom w:val="single" w:color="auto" w:sz="4" w:space="0"/>
              <w:right w:val="single" w:color="auto" w:sz="4" w:space="0"/>
            </w:tcBorders>
          </w:tcPr>
          <w:p w14:paraId="5568062B">
            <w:pPr>
              <w:pStyle w:val="212"/>
              <w:spacing w:line="360" w:lineRule="auto"/>
              <w:ind w:left="103" w:right="84"/>
              <w:rPr>
                <w:rFonts w:hint="eastAsia" w:ascii="华文仿宋" w:hAnsi="华文仿宋" w:eastAsia="华文仿宋" w:cs="华文仿宋"/>
                <w:spacing w:val="13"/>
                <w:sz w:val="24"/>
                <w:szCs w:val="24"/>
                <w:highlight w:val="none"/>
              </w:rPr>
            </w:pPr>
            <w:r>
              <w:rPr>
                <w:rFonts w:hint="eastAsia" w:ascii="华文仿宋" w:hAnsi="华文仿宋" w:eastAsia="华文仿宋" w:cs="华文仿宋"/>
                <w:sz w:val="24"/>
                <w:szCs w:val="24"/>
                <w:highlight w:val="none"/>
              </w:rPr>
              <w:t>2次/周</w:t>
            </w:r>
          </w:p>
        </w:tc>
        <w:tc>
          <w:tcPr>
            <w:tcW w:w="1418" w:type="dxa"/>
            <w:tcBorders>
              <w:top w:val="single" w:color="auto" w:sz="4" w:space="0"/>
              <w:left w:val="single" w:color="auto" w:sz="4" w:space="0"/>
              <w:bottom w:val="single" w:color="auto" w:sz="4" w:space="0"/>
              <w:right w:val="single" w:color="auto" w:sz="4" w:space="0"/>
            </w:tcBorders>
          </w:tcPr>
          <w:p w14:paraId="12C18826">
            <w:pPr>
              <w:pStyle w:val="212"/>
              <w:spacing w:line="360" w:lineRule="auto"/>
              <w:rPr>
                <w:rFonts w:hint="eastAsia" w:ascii="华文仿宋" w:hAnsi="华文仿宋" w:eastAsia="华文仿宋" w:cs="华文仿宋"/>
                <w:b/>
                <w:bCs/>
                <w:sz w:val="24"/>
                <w:szCs w:val="24"/>
                <w:highlight w:val="none"/>
              </w:rPr>
            </w:pPr>
            <w:r>
              <w:rPr>
                <w:rFonts w:hint="eastAsia" w:ascii="华文仿宋" w:hAnsi="华文仿宋" w:eastAsia="华文仿宋" w:cs="华文仿宋"/>
                <w:sz w:val="24"/>
                <w:szCs w:val="24"/>
                <w:highlight w:val="none"/>
              </w:rPr>
              <w:t>2次/周</w:t>
            </w:r>
          </w:p>
        </w:tc>
        <w:tc>
          <w:tcPr>
            <w:tcW w:w="1701" w:type="dxa"/>
            <w:vMerge w:val="continue"/>
            <w:tcBorders>
              <w:top w:val="single" w:color="auto" w:sz="4" w:space="0"/>
              <w:left w:val="single" w:color="auto" w:sz="4" w:space="0"/>
              <w:bottom w:val="single" w:color="auto" w:sz="4" w:space="0"/>
              <w:right w:val="single" w:color="auto" w:sz="4" w:space="0"/>
            </w:tcBorders>
          </w:tcPr>
          <w:p w14:paraId="2590DC31">
            <w:pPr>
              <w:spacing w:line="360" w:lineRule="auto"/>
              <w:rPr>
                <w:rFonts w:hint="eastAsia" w:ascii="华文仿宋" w:hAnsi="华文仿宋" w:eastAsia="华文仿宋" w:cs="华文仿宋"/>
                <w:sz w:val="24"/>
                <w:szCs w:val="24"/>
                <w:highlight w:val="none"/>
              </w:rPr>
            </w:pPr>
          </w:p>
        </w:tc>
      </w:tr>
    </w:tbl>
    <w:p w14:paraId="058832A7">
      <w:pPr>
        <w:spacing w:line="360" w:lineRule="auto"/>
        <w:ind w:firstLine="471" w:firstLineChars="196"/>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②人工清扫保洁</w:t>
      </w:r>
    </w:p>
    <w:p w14:paraId="550BD65B">
      <w:pPr>
        <w:pStyle w:val="225"/>
        <w:spacing w:line="360" w:lineRule="auto"/>
        <w:ind w:left="0"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镇区人工清扫保洁作业内容包括：路沿石杂草清除、漂浮垃圾捡拾、店铺墙边清扫、公交站台清扫、后街里巷清扫、广场清扫、桥梁清扫等。每天不少于8小时作业。5:00-11:00（7点前完成清扫，7:00-8:00轮流吃早饭，确保道路有人），14:00-17:00，学校、超市等人流量大的地段划为重点区域，需增加一次普扫。巡回、检查保洁作业时间：11:00-14:00,17:00-19:00。</w:t>
      </w:r>
    </w:p>
    <w:p w14:paraId="422B48E9">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二）垃圾清运</w:t>
      </w:r>
    </w:p>
    <w:p w14:paraId="1198E30C">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1、清运频次：每天上午下午各清运一次，确保及时清运到位，不发生垃圾外溢外露情形。</w:t>
      </w:r>
    </w:p>
    <w:p w14:paraId="314AF304">
      <w:pPr>
        <w:pStyle w:val="225"/>
        <w:spacing w:line="360" w:lineRule="auto"/>
        <w:ind w:left="0"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清运要求：对区域道路两侧的垃圾桶、生活小区门口垃圾集中堆放点的垃圾采用后装压缩车直接运至如东天楹环保能源有限公司或镇环境卫生管理中心；对于有物业小区由物业管理人员将垃圾桶定时定点拖至小区集中点，后街里巷由保洁员负责将垃圾运至主干道垃圾集中点，再由后装压缩车进行收运。</w:t>
      </w:r>
    </w:p>
    <w:p w14:paraId="74D5BC6B">
      <w:pPr>
        <w:pStyle w:val="225"/>
        <w:spacing w:line="360" w:lineRule="auto"/>
        <w:ind w:firstLine="1680" w:firstLineChars="7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 xml:space="preserve"> </w:t>
      </w:r>
    </w:p>
    <w:p w14:paraId="57B05E1A">
      <w:pPr>
        <w:pStyle w:val="225"/>
        <w:spacing w:line="360" w:lineRule="auto"/>
        <w:jc w:val="center"/>
        <w:rPr>
          <w:rFonts w:hint="eastAsia" w:ascii="华文仿宋" w:hAnsi="华文仿宋" w:eastAsia="华文仿宋" w:cs="华文仿宋"/>
          <w:sz w:val="24"/>
          <w:szCs w:val="24"/>
          <w:highlight w:val="none"/>
        </w:rPr>
      </w:pPr>
    </w:p>
    <w:p w14:paraId="2359A803">
      <w:pPr>
        <w:pStyle w:val="225"/>
        <w:spacing w:line="360" w:lineRule="auto"/>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垃圾收运时间安排表</w:t>
      </w:r>
    </w:p>
    <w:tbl>
      <w:tblPr>
        <w:tblStyle w:val="36"/>
        <w:tblW w:w="6282" w:type="dxa"/>
        <w:tblInd w:w="1268" w:type="dxa"/>
        <w:tblLayout w:type="fixed"/>
        <w:tblCellMar>
          <w:top w:w="0" w:type="dxa"/>
          <w:left w:w="0" w:type="dxa"/>
          <w:bottom w:w="0" w:type="dxa"/>
          <w:right w:w="0" w:type="dxa"/>
        </w:tblCellMar>
      </w:tblPr>
      <w:tblGrid>
        <w:gridCol w:w="1176"/>
        <w:gridCol w:w="2624"/>
        <w:gridCol w:w="2482"/>
      </w:tblGrid>
      <w:tr w14:paraId="3C1C4CE5">
        <w:tblPrEx>
          <w:tblCellMar>
            <w:top w:w="0" w:type="dxa"/>
            <w:left w:w="0" w:type="dxa"/>
            <w:bottom w:w="0" w:type="dxa"/>
            <w:right w:w="0" w:type="dxa"/>
          </w:tblCellMar>
        </w:tblPrEx>
        <w:trPr>
          <w:trHeight w:val="553" w:hRule="exact"/>
        </w:trPr>
        <w:tc>
          <w:tcPr>
            <w:tcW w:w="1176" w:type="dxa"/>
            <w:tcBorders>
              <w:top w:val="single" w:color="000000" w:sz="4" w:space="0"/>
              <w:left w:val="single" w:color="000000" w:sz="4" w:space="0"/>
              <w:bottom w:val="single" w:color="000000" w:sz="4" w:space="0"/>
              <w:right w:val="single" w:color="000000" w:sz="4" w:space="0"/>
            </w:tcBorders>
          </w:tcPr>
          <w:p w14:paraId="418F4079">
            <w:pPr>
              <w:pStyle w:val="212"/>
              <w:spacing w:line="360" w:lineRule="auto"/>
              <w:ind w:left="362"/>
              <w:rPr>
                <w:rFonts w:hint="eastAsia" w:ascii="华文仿宋" w:hAnsi="华文仿宋" w:eastAsia="华文仿宋" w:cs="华文仿宋"/>
                <w:sz w:val="24"/>
                <w:szCs w:val="24"/>
                <w:highlight w:val="none"/>
              </w:rPr>
            </w:pPr>
            <w:r>
              <w:rPr>
                <w:rFonts w:hint="eastAsia" w:ascii="华文仿宋" w:hAnsi="华文仿宋" w:eastAsia="华文仿宋" w:cs="华文仿宋"/>
                <w:b/>
                <w:bCs/>
                <w:sz w:val="24"/>
                <w:szCs w:val="24"/>
                <w:highlight w:val="none"/>
              </w:rPr>
              <w:t>序号</w:t>
            </w:r>
          </w:p>
        </w:tc>
        <w:tc>
          <w:tcPr>
            <w:tcW w:w="2624" w:type="dxa"/>
            <w:tcBorders>
              <w:top w:val="single" w:color="000000" w:sz="4" w:space="0"/>
              <w:left w:val="single" w:color="000000" w:sz="4" w:space="0"/>
              <w:bottom w:val="single" w:color="000000" w:sz="4" w:space="0"/>
              <w:right w:val="single" w:color="000000" w:sz="4" w:space="0"/>
            </w:tcBorders>
          </w:tcPr>
          <w:p w14:paraId="2FA94371">
            <w:pPr>
              <w:pStyle w:val="212"/>
              <w:spacing w:line="360" w:lineRule="auto"/>
              <w:ind w:left="864"/>
              <w:rPr>
                <w:rFonts w:hint="eastAsia" w:ascii="华文仿宋" w:hAnsi="华文仿宋" w:eastAsia="华文仿宋" w:cs="华文仿宋"/>
                <w:sz w:val="24"/>
                <w:szCs w:val="24"/>
                <w:highlight w:val="none"/>
              </w:rPr>
            </w:pPr>
            <w:r>
              <w:rPr>
                <w:rFonts w:hint="eastAsia" w:ascii="华文仿宋" w:hAnsi="华文仿宋" w:eastAsia="华文仿宋" w:cs="华文仿宋"/>
                <w:b/>
                <w:bCs/>
                <w:sz w:val="24"/>
                <w:szCs w:val="24"/>
                <w:highlight w:val="none"/>
              </w:rPr>
              <w:t>作业内容</w:t>
            </w:r>
          </w:p>
        </w:tc>
        <w:tc>
          <w:tcPr>
            <w:tcW w:w="2482" w:type="dxa"/>
            <w:tcBorders>
              <w:top w:val="single" w:color="000000" w:sz="4" w:space="0"/>
              <w:left w:val="single" w:color="000000" w:sz="4" w:space="0"/>
              <w:bottom w:val="single" w:color="000000" w:sz="4" w:space="0"/>
              <w:right w:val="single" w:color="000000" w:sz="4" w:space="0"/>
            </w:tcBorders>
          </w:tcPr>
          <w:p w14:paraId="0B8D0598">
            <w:pPr>
              <w:pStyle w:val="212"/>
              <w:spacing w:line="360" w:lineRule="auto"/>
              <w:ind w:left="794"/>
              <w:rPr>
                <w:rFonts w:hint="eastAsia" w:ascii="华文仿宋" w:hAnsi="华文仿宋" w:eastAsia="华文仿宋" w:cs="华文仿宋"/>
                <w:sz w:val="24"/>
                <w:szCs w:val="24"/>
                <w:highlight w:val="none"/>
              </w:rPr>
            </w:pPr>
            <w:r>
              <w:rPr>
                <w:rFonts w:hint="eastAsia" w:ascii="华文仿宋" w:hAnsi="华文仿宋" w:eastAsia="华文仿宋" w:cs="华文仿宋"/>
                <w:b/>
                <w:bCs/>
                <w:sz w:val="24"/>
                <w:szCs w:val="24"/>
                <w:highlight w:val="none"/>
              </w:rPr>
              <w:t>作业时间</w:t>
            </w:r>
          </w:p>
        </w:tc>
      </w:tr>
      <w:tr w14:paraId="7F302EEB">
        <w:tblPrEx>
          <w:tblCellMar>
            <w:top w:w="0" w:type="dxa"/>
            <w:left w:w="0" w:type="dxa"/>
            <w:bottom w:w="0" w:type="dxa"/>
            <w:right w:w="0" w:type="dxa"/>
          </w:tblCellMar>
        </w:tblPrEx>
        <w:trPr>
          <w:trHeight w:val="561" w:hRule="exact"/>
        </w:trPr>
        <w:tc>
          <w:tcPr>
            <w:tcW w:w="1176" w:type="dxa"/>
            <w:tcBorders>
              <w:top w:val="single" w:color="000000" w:sz="4" w:space="0"/>
              <w:left w:val="single" w:color="000000" w:sz="4" w:space="0"/>
              <w:bottom w:val="single" w:color="000000" w:sz="4" w:space="0"/>
              <w:right w:val="single" w:color="000000" w:sz="4" w:space="0"/>
            </w:tcBorders>
          </w:tcPr>
          <w:p w14:paraId="24BEBB45">
            <w:pPr>
              <w:pStyle w:val="212"/>
              <w:spacing w:line="360" w:lineRule="auto"/>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w:t>
            </w:r>
          </w:p>
        </w:tc>
        <w:tc>
          <w:tcPr>
            <w:tcW w:w="2624" w:type="dxa"/>
            <w:tcBorders>
              <w:top w:val="single" w:color="000000" w:sz="4" w:space="0"/>
              <w:left w:val="single" w:color="000000" w:sz="4" w:space="0"/>
              <w:bottom w:val="single" w:color="000000" w:sz="4" w:space="0"/>
              <w:right w:val="single" w:color="000000" w:sz="4" w:space="0"/>
            </w:tcBorders>
          </w:tcPr>
          <w:p w14:paraId="442303E2">
            <w:pPr>
              <w:pStyle w:val="212"/>
              <w:spacing w:line="360" w:lineRule="auto"/>
              <w:ind w:left="535"/>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收运（第一次）</w:t>
            </w:r>
          </w:p>
        </w:tc>
        <w:tc>
          <w:tcPr>
            <w:tcW w:w="2482" w:type="dxa"/>
            <w:tcBorders>
              <w:top w:val="single" w:color="000000" w:sz="4" w:space="0"/>
              <w:left w:val="single" w:color="000000" w:sz="4" w:space="0"/>
              <w:bottom w:val="single" w:color="000000" w:sz="4" w:space="0"/>
              <w:right w:val="single" w:color="000000" w:sz="4" w:space="0"/>
            </w:tcBorders>
          </w:tcPr>
          <w:p w14:paraId="0E58C953">
            <w:pPr>
              <w:pStyle w:val="212"/>
              <w:spacing w:line="360" w:lineRule="auto"/>
              <w:ind w:left="631"/>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04:00-09:00</w:t>
            </w:r>
          </w:p>
        </w:tc>
      </w:tr>
      <w:tr w14:paraId="5CF49FC9">
        <w:tblPrEx>
          <w:tblCellMar>
            <w:top w:w="0" w:type="dxa"/>
            <w:left w:w="0" w:type="dxa"/>
            <w:bottom w:w="0" w:type="dxa"/>
            <w:right w:w="0" w:type="dxa"/>
          </w:tblCellMar>
        </w:tblPrEx>
        <w:trPr>
          <w:trHeight w:val="555" w:hRule="exact"/>
        </w:trPr>
        <w:tc>
          <w:tcPr>
            <w:tcW w:w="1176" w:type="dxa"/>
            <w:tcBorders>
              <w:top w:val="single" w:color="000000" w:sz="4" w:space="0"/>
              <w:left w:val="single" w:color="000000" w:sz="4" w:space="0"/>
              <w:bottom w:val="single" w:color="000000" w:sz="4" w:space="0"/>
              <w:right w:val="single" w:color="000000" w:sz="4" w:space="0"/>
            </w:tcBorders>
          </w:tcPr>
          <w:p w14:paraId="7684EF4B">
            <w:pPr>
              <w:pStyle w:val="212"/>
              <w:spacing w:line="360" w:lineRule="auto"/>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w:t>
            </w:r>
          </w:p>
        </w:tc>
        <w:tc>
          <w:tcPr>
            <w:tcW w:w="2624" w:type="dxa"/>
            <w:tcBorders>
              <w:top w:val="single" w:color="000000" w:sz="4" w:space="0"/>
              <w:left w:val="single" w:color="000000" w:sz="4" w:space="0"/>
              <w:bottom w:val="single" w:color="000000" w:sz="4" w:space="0"/>
              <w:right w:val="single" w:color="000000" w:sz="4" w:space="0"/>
            </w:tcBorders>
          </w:tcPr>
          <w:p w14:paraId="64DD0F3F">
            <w:pPr>
              <w:pStyle w:val="212"/>
              <w:spacing w:line="360" w:lineRule="auto"/>
              <w:ind w:left="535"/>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收运（第二次）</w:t>
            </w:r>
          </w:p>
        </w:tc>
        <w:tc>
          <w:tcPr>
            <w:tcW w:w="2482" w:type="dxa"/>
            <w:tcBorders>
              <w:top w:val="single" w:color="000000" w:sz="4" w:space="0"/>
              <w:left w:val="single" w:color="000000" w:sz="4" w:space="0"/>
              <w:bottom w:val="single" w:color="000000" w:sz="4" w:space="0"/>
              <w:right w:val="single" w:color="000000" w:sz="4" w:space="0"/>
            </w:tcBorders>
          </w:tcPr>
          <w:p w14:paraId="0F9EDF99">
            <w:pPr>
              <w:pStyle w:val="212"/>
              <w:spacing w:line="360" w:lineRule="auto"/>
              <w:ind w:left="631"/>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14:00-16:00</w:t>
            </w:r>
          </w:p>
        </w:tc>
      </w:tr>
      <w:tr w14:paraId="69A053E9">
        <w:tblPrEx>
          <w:tblCellMar>
            <w:top w:w="0" w:type="dxa"/>
            <w:left w:w="0" w:type="dxa"/>
            <w:bottom w:w="0" w:type="dxa"/>
            <w:right w:w="0" w:type="dxa"/>
          </w:tblCellMar>
        </w:tblPrEx>
        <w:trPr>
          <w:trHeight w:val="437" w:hRule="exact"/>
        </w:trPr>
        <w:tc>
          <w:tcPr>
            <w:tcW w:w="1176" w:type="dxa"/>
            <w:tcBorders>
              <w:top w:val="single" w:color="000000" w:sz="4" w:space="0"/>
              <w:left w:val="single" w:color="000000" w:sz="4" w:space="0"/>
              <w:bottom w:val="single" w:color="000000" w:sz="4" w:space="0"/>
              <w:right w:val="single" w:color="000000" w:sz="4" w:space="0"/>
            </w:tcBorders>
          </w:tcPr>
          <w:p w14:paraId="2FA2CC7E">
            <w:pPr>
              <w:pStyle w:val="212"/>
              <w:spacing w:line="360" w:lineRule="auto"/>
              <w:jc w:val="center"/>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w:t>
            </w:r>
          </w:p>
        </w:tc>
        <w:tc>
          <w:tcPr>
            <w:tcW w:w="2624" w:type="dxa"/>
            <w:tcBorders>
              <w:top w:val="single" w:color="000000" w:sz="4" w:space="0"/>
              <w:left w:val="single" w:color="000000" w:sz="4" w:space="0"/>
              <w:bottom w:val="single" w:color="000000" w:sz="4" w:space="0"/>
              <w:right w:val="single" w:color="000000" w:sz="4" w:space="0"/>
            </w:tcBorders>
          </w:tcPr>
          <w:p w14:paraId="138BDBE3">
            <w:pPr>
              <w:pStyle w:val="212"/>
              <w:spacing w:line="360" w:lineRule="auto"/>
              <w:ind w:left="867"/>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巡回收集</w:t>
            </w:r>
          </w:p>
        </w:tc>
        <w:tc>
          <w:tcPr>
            <w:tcW w:w="2482" w:type="dxa"/>
            <w:tcBorders>
              <w:top w:val="single" w:color="000000" w:sz="4" w:space="0"/>
              <w:left w:val="single" w:color="000000" w:sz="4" w:space="0"/>
              <w:bottom w:val="single" w:color="000000" w:sz="4" w:space="0"/>
              <w:right w:val="single" w:color="000000" w:sz="4" w:space="0"/>
            </w:tcBorders>
          </w:tcPr>
          <w:p w14:paraId="777F4C55">
            <w:pPr>
              <w:pStyle w:val="212"/>
              <w:spacing w:line="360" w:lineRule="auto"/>
              <w:ind w:left="686"/>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8:00-17:00</w:t>
            </w:r>
          </w:p>
        </w:tc>
      </w:tr>
    </w:tbl>
    <w:p w14:paraId="46BFF560">
      <w:pPr>
        <w:pStyle w:val="225"/>
        <w:spacing w:line="360" w:lineRule="auto"/>
        <w:ind w:firstLine="640"/>
        <w:rPr>
          <w:rFonts w:hint="eastAsia" w:ascii="华文仿宋" w:hAnsi="华文仿宋" w:eastAsia="华文仿宋" w:cs="华文仿宋"/>
          <w:sz w:val="24"/>
          <w:szCs w:val="24"/>
          <w:highlight w:val="none"/>
        </w:rPr>
      </w:pPr>
    </w:p>
    <w:p w14:paraId="4D3534A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分类处置：建筑垃圾、工程渣土、修缮装修垃圾等不得混入生活垃圾堆放到指定的地点；工业固体废、医疗废物以及其他易燃、易爆、剧毒、放射性等有毒有害废弃物，应当按照国家有关规定单独收集、运输、处置，禁止混入城市生活垃圾，发现外来此类废弃物应依法处置。</w:t>
      </w:r>
    </w:p>
    <w:p w14:paraId="0D3196CE">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三）公厕保洁</w:t>
      </w:r>
    </w:p>
    <w:p w14:paraId="42730FCA">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sz w:val="24"/>
          <w:szCs w:val="24"/>
          <w:highlight w:val="none"/>
        </w:rPr>
        <w:t>必须做到“六无六净”。“六无”即无纸屑、无污迹、无堵塞、无积水、无蛆蝇、无积尘；“六净”即地面净、墙壁净、门窗净、蹲位净、隔板净、周围净。</w:t>
      </w:r>
    </w:p>
    <w:p w14:paraId="53317FA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1、地面：安排专人全天候保洁，地面上午下午各间隔打扫2次，总的不少于4次，要保持内部清爽无水渍。</w:t>
      </w:r>
    </w:p>
    <w:p w14:paraId="2CFA867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2、墙面：水池、墙面、板面和隐蔽部位每天清理2次，必须做到无污迹、无蜘蛛、无蛆虫、无黄斑、无小广告、无杂物等，保持卫生清洁空气清香。</w:t>
      </w:r>
    </w:p>
    <w:p w14:paraId="2204DBBF">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3、外部：厕所外部周边无杂物杂草，无垃圾。</w:t>
      </w:r>
    </w:p>
    <w:p w14:paraId="2F6EEC6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4、清运：负责清掏粪便的应当及时清掏，不得出现外溢情形；应当密闭运输并倾倒指定消纳场所，不得随意倾倒污染环境。</w:t>
      </w:r>
    </w:p>
    <w:p w14:paraId="4D70FAB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5、消毒：每天上午对公厕内部空间进行一次有效消毒。</w:t>
      </w:r>
    </w:p>
    <w:p w14:paraId="024F5EFB">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6、记录：保洁人员每次打扫要求记录，片长每天进行检查要有评价记录。</w:t>
      </w:r>
    </w:p>
    <w:p w14:paraId="39FB7982">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四）其它方面</w:t>
      </w:r>
    </w:p>
    <w:p w14:paraId="7F713E27">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sz w:val="24"/>
          <w:szCs w:val="24"/>
          <w:highlight w:val="none"/>
        </w:rPr>
        <w:t>1、里巷保洁：里巷道路及时保洁，做到无垃圾积存，每周一集中巡回清理杂物一次。</w:t>
      </w:r>
    </w:p>
    <w:p w14:paraId="366A4B6A">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垃圾收集设施：清运后将垃圾桶摆放到位，尤其是四分类垃圾桶要严格按照标识进行归位，垃圾桶每周机械冲洗、擦洗1次，每日人工擦洗一次，做到随脏随擦。每天将四分类垃圾收集亭保洁一次，做到无污渍、无小广告。如发现收集亭有任何损坏问题及时上报公司或镇五位一体办公室。</w:t>
      </w:r>
    </w:p>
    <w:p w14:paraId="26DBF50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3、市政设施保洁：公交站台（牌）、公益宣传栏、护栏等设施每天保洁一次，做到无污渍、无小广告。</w:t>
      </w:r>
    </w:p>
    <w:p w14:paraId="5F54E1DE">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sz w:val="24"/>
          <w:szCs w:val="24"/>
          <w:highlight w:val="none"/>
        </w:rPr>
        <w:t>4、绿化保洁：绿化带内无垃圾、周边无杂物，及时清除杂草、治虫、清理爬藤作物等；每年3-4月对树木剥芽一次，夏季、冬季各修剪一次；草坪在4-10月份每20天割草一次，其他时间根据需要清理，对乔木、灌木的修剪要根据其具体高度及形状。</w:t>
      </w:r>
    </w:p>
    <w:p w14:paraId="5669DBF0">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lang w:eastAsia="zh-CN"/>
        </w:rPr>
        <w:t>（</w:t>
      </w:r>
      <w:r>
        <w:rPr>
          <w:rFonts w:hint="eastAsia" w:ascii="华文仿宋" w:hAnsi="华文仿宋" w:eastAsia="华文仿宋" w:cs="华文仿宋"/>
          <w:b/>
          <w:bCs/>
          <w:sz w:val="24"/>
          <w:szCs w:val="24"/>
          <w:highlight w:val="none"/>
          <w:lang w:val="en-US" w:eastAsia="zh-CN"/>
        </w:rPr>
        <w:t>五</w:t>
      </w:r>
      <w:r>
        <w:rPr>
          <w:rFonts w:hint="eastAsia" w:ascii="华文仿宋" w:hAnsi="华文仿宋" w:eastAsia="华文仿宋" w:cs="华文仿宋"/>
          <w:b/>
          <w:bCs/>
          <w:sz w:val="24"/>
          <w:szCs w:val="24"/>
          <w:highlight w:val="none"/>
          <w:lang w:eastAsia="zh-CN"/>
        </w:rPr>
        <w:t>）</w:t>
      </w:r>
      <w:r>
        <w:rPr>
          <w:rFonts w:hint="eastAsia" w:ascii="华文仿宋" w:hAnsi="华文仿宋" w:eastAsia="华文仿宋" w:cs="华文仿宋"/>
          <w:b/>
          <w:bCs/>
          <w:sz w:val="24"/>
          <w:szCs w:val="24"/>
          <w:highlight w:val="none"/>
        </w:rPr>
        <w:t>环境卫生管理中心和易腐垃圾处置中心的运营和维护</w:t>
      </w:r>
    </w:p>
    <w:p w14:paraId="36275B4F">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一）生活垃圾中转</w:t>
      </w:r>
    </w:p>
    <w:p w14:paraId="1EE6A65D">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1、服务公司负责制定垃圾中转实施方案，保证垃圾运至环境卫生管理中心时有序倒放，不拥堵、无乱倒现象。</w:t>
      </w:r>
    </w:p>
    <w:p w14:paraId="11890E4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2、转运垃圾需全部倒入压缩箱内，不得堆放在地面，倒放过程中出现漏滴时，要第一时间进行处理，确保地面随时干净。</w:t>
      </w:r>
    </w:p>
    <w:p w14:paraId="51F4D6F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3、垃圾压缩箱装满后应及时通知驾驶人员运走，不得将装满的箱体压缩后放置于环境卫生管理中心内不处理。</w:t>
      </w:r>
    </w:p>
    <w:p w14:paraId="38E7852B">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4、垃圾压缩过程中产生的渗滤液要及时排放到收集池内，不得污染地面卫生。</w:t>
      </w:r>
    </w:p>
    <w:p w14:paraId="24EC8862">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二)垃圾运输</w:t>
      </w:r>
    </w:p>
    <w:p w14:paraId="2138CF3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1、垃圾装满后及时清运。</w:t>
      </w:r>
    </w:p>
    <w:p w14:paraId="1B71A8D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2、转运车辆驶离环境卫生管理中心时，必须对车辆（包括箱体）进行冲洗干净后，方可离场；要确保车辆干净、整洁。</w:t>
      </w:r>
    </w:p>
    <w:p w14:paraId="7266839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3、垃圾计量应真实、准确，不得弄虚作假。</w:t>
      </w:r>
    </w:p>
    <w:p w14:paraId="61D20E2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4、垃圾运输车辆停放时应摆放整齐，车身干净、整洁、无臭味，不得影响环境卫生管理中心容貌或周边环境。</w:t>
      </w:r>
    </w:p>
    <w:p w14:paraId="52756B65">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三）环境卫生管理中心管理</w:t>
      </w:r>
    </w:p>
    <w:p w14:paraId="7DA5E63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1、环境卫生管理中心必须保持24小时有人值班（安排食宿），严禁脱岗等无人管理现象发生。</w:t>
      </w:r>
    </w:p>
    <w:p w14:paraId="607ECF95">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2、中心随时清洗，掉落的垃圾及时清理倒入垃圾压缩箱内，保持站场卫生良好。</w:t>
      </w:r>
    </w:p>
    <w:p w14:paraId="7BEE7917">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3、做好中心卫生消杀、防虫、防疫等工作。</w:t>
      </w:r>
    </w:p>
    <w:p w14:paraId="06A8722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4、严格按照操作设备规范进行操作，严禁违规使用，杜绝安全事故发生。</w:t>
      </w:r>
    </w:p>
    <w:p w14:paraId="072EF86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5、值班室保持规范、整洁、卫生，物品有序堆放。</w:t>
      </w:r>
    </w:p>
    <w:p w14:paraId="2FFBC1BC">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6、环境卫生管理中心场内严禁出现拾荒人员，严禁中心内堆放废旧回收杂物。</w:t>
      </w:r>
    </w:p>
    <w:p w14:paraId="684425FB">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四）污水处理</w:t>
      </w:r>
    </w:p>
    <w:p w14:paraId="1972027A">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1、因垃圾压缩过程中会产生大量渗滤液和污水，严禁直接将污水排入附近的河流、水域和土地内。</w:t>
      </w:r>
    </w:p>
    <w:p w14:paraId="45D5B23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2、压缩过程中产生的垃圾渗滤液需及时通知转运部门运送至指定地点处理。</w:t>
      </w:r>
    </w:p>
    <w:p w14:paraId="32222AFD">
      <w:pPr>
        <w:spacing w:line="360" w:lineRule="auto"/>
        <w:ind w:firstLine="480" w:firstLineChars="200"/>
        <w:rPr>
          <w:rFonts w:hint="eastAsia" w:ascii="华文仿宋" w:hAnsi="华文仿宋" w:eastAsia="华文仿宋" w:cs="华文仿宋"/>
          <w:b/>
          <w:bCs/>
          <w:sz w:val="24"/>
          <w:szCs w:val="24"/>
          <w:highlight w:val="none"/>
        </w:rPr>
      </w:pPr>
      <w:r>
        <w:rPr>
          <w:rFonts w:hint="eastAsia" w:ascii="华文仿宋" w:hAnsi="华文仿宋" w:eastAsia="华文仿宋" w:cs="华文仿宋"/>
          <w:b/>
          <w:bCs/>
          <w:sz w:val="24"/>
          <w:szCs w:val="24"/>
          <w:highlight w:val="none"/>
        </w:rPr>
        <w:t>五）内部管理要求</w:t>
      </w:r>
    </w:p>
    <w:p w14:paraId="63D80B4B">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1、建立严格的内部管理制度，包括作业标准、作业流程、安全作业措施及制度、应急工作预案等，中心负责人在服务过程中应当建立相应的工作日志、操作记录等，镇五位一体办定期抽查并提出整改意见。</w:t>
      </w:r>
    </w:p>
    <w:p w14:paraId="72361ED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（2）所有员工统一着装，佩带安全帽，安全作业，操作人员在服务过程中，须合理使用环境卫生管理中心设施设备，定期维护保养，如因工作人员原因造成毁（损）坏的，则由承包方担全部赔偿责任。</w:t>
      </w:r>
    </w:p>
    <w:p w14:paraId="214A6C89">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lang w:val="en-US" w:eastAsia="zh-CN"/>
        </w:rPr>
        <w:t>六</w:t>
      </w:r>
      <w:r>
        <w:rPr>
          <w:rFonts w:hint="eastAsia" w:ascii="华文仿宋" w:hAnsi="华文仿宋" w:eastAsia="华文仿宋" w:cs="华文仿宋"/>
          <w:b/>
          <w:sz w:val="24"/>
          <w:szCs w:val="24"/>
          <w:highlight w:val="none"/>
          <w:lang w:eastAsia="zh-CN"/>
        </w:rPr>
        <w:t>）</w:t>
      </w:r>
      <w:r>
        <w:rPr>
          <w:rFonts w:hint="eastAsia" w:ascii="华文仿宋" w:hAnsi="华文仿宋" w:eastAsia="华文仿宋" w:cs="华文仿宋"/>
          <w:b/>
          <w:sz w:val="24"/>
          <w:szCs w:val="24"/>
          <w:highlight w:val="none"/>
        </w:rPr>
        <w:t>公司管理运行要求</w:t>
      </w:r>
    </w:p>
    <w:p w14:paraId="3F32876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服务公司是政府购买服务，代表政府为辖区内群众做好环境卫保洁服务的。公司要通过宣传教育强化为民情怀、提升服务意识，推动每名工作人员做好环境卫生服务；通过加强内部管理、深入沟通交流，引导每名工作人员高标准完成任务，赢得群众理解和口碑，形成浓厚的共建、共管、共创、共爱的保洁氛围。镇“五位一体”办对管理运行中具体的问题将以书面交办单形式要求公司落实整改。</w:t>
      </w:r>
    </w:p>
    <w:p w14:paraId="108261A1">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一）人员岗位的配备管理</w:t>
      </w:r>
    </w:p>
    <w:p w14:paraId="74E808B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充足的工作人员是高质量完成服务任务的关键前提，公司实际用工人数以镇测算人员数为准，不得比测算标准减少、用工质量不得比要求标准降低，必须按镇测算人数和标准配足配齐，负责管理运行和全域保洁。</w:t>
      </w:r>
    </w:p>
    <w:p w14:paraId="04A373A2">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1、岗位配备。</w:t>
      </w:r>
    </w:p>
    <w:p w14:paraId="0D97B9D6">
      <w:pPr>
        <w:spacing w:line="360" w:lineRule="auto"/>
        <w:ind w:firstLine="480" w:firstLineChars="200"/>
        <w:outlineLvl w:val="0"/>
        <w:rPr>
          <w:rFonts w:hint="eastAsia" w:ascii="华文仿宋" w:hAnsi="华文仿宋" w:eastAsia="华文仿宋" w:cs="华文仿宋"/>
          <w:i/>
          <w:iCs/>
          <w:sz w:val="24"/>
          <w:szCs w:val="24"/>
          <w:highlight w:val="none"/>
          <w:u w:val="single"/>
        </w:rPr>
      </w:pPr>
      <w:r>
        <w:rPr>
          <w:rFonts w:hint="eastAsia" w:ascii="华文仿宋" w:hAnsi="华文仿宋" w:eastAsia="华文仿宋" w:cs="华文仿宋"/>
          <w:i/>
          <w:iCs/>
          <w:sz w:val="24"/>
          <w:szCs w:val="24"/>
          <w:highlight w:val="none"/>
          <w:u w:val="single"/>
        </w:rPr>
        <w:t>结合全镇实际，公司必须按要求进行设岗管理，正常在镇范围内从事运行管理岗位具体有：公司</w:t>
      </w:r>
      <w:r>
        <w:rPr>
          <w:rFonts w:hint="eastAsia" w:ascii="华文仿宋" w:hAnsi="华文仿宋" w:eastAsia="华文仿宋" w:cs="华文仿宋"/>
          <w:i/>
          <w:iCs/>
          <w:sz w:val="24"/>
          <w:szCs w:val="24"/>
          <w:highlight w:val="none"/>
          <w:u w:val="single"/>
          <w:lang w:eastAsia="zh-CN"/>
        </w:rPr>
        <w:t>法定代表人</w:t>
      </w:r>
      <w:r>
        <w:rPr>
          <w:rFonts w:hint="eastAsia" w:ascii="华文仿宋" w:hAnsi="华文仿宋" w:eastAsia="华文仿宋" w:cs="华文仿宋"/>
          <w:i/>
          <w:iCs/>
          <w:sz w:val="24"/>
          <w:szCs w:val="24"/>
          <w:highlight w:val="none"/>
          <w:u w:val="single"/>
        </w:rPr>
        <w:t>（或授权驻镇总经理）1名，项目正主管1名，项目副主管1名，财务人员1名，分片片长5名（镇区1名，农村4名），农村保洁清运人员115名（其中90名为上门收集人员，25名为保洁人员道路专项保洁员），镇区保洁员19名，东凌工业集中区保洁员2名，兵房工业园区保洁员1名，张謇工业园区保洁员1名，河道长效保洁员40名，大型车辆驾驶员8名、辅助工1名、倒桶工12名。环境卫生管理中心设站长1名，统计员1名，操作工2名，辅助工4名。除</w:t>
      </w:r>
      <w:r>
        <w:rPr>
          <w:rFonts w:hint="eastAsia" w:ascii="华文仿宋" w:hAnsi="华文仿宋" w:eastAsia="华文仿宋" w:cs="华文仿宋"/>
          <w:i/>
          <w:iCs/>
          <w:sz w:val="24"/>
          <w:szCs w:val="24"/>
          <w:highlight w:val="none"/>
          <w:u w:val="single"/>
          <w:lang w:eastAsia="zh-CN"/>
        </w:rPr>
        <w:t>法定代表人</w:t>
      </w:r>
      <w:r>
        <w:rPr>
          <w:rFonts w:hint="eastAsia" w:ascii="华文仿宋" w:hAnsi="华文仿宋" w:eastAsia="华文仿宋" w:cs="华文仿宋"/>
          <w:i/>
          <w:iCs/>
          <w:sz w:val="24"/>
          <w:szCs w:val="24"/>
          <w:highlight w:val="none"/>
          <w:u w:val="single"/>
        </w:rPr>
        <w:t>（或授权驻镇总经理）外，其余工作人员应尽可能在本镇范围内选聘，在现有人员中择优录用，除现有人员外，本镇退役军人、残疾人优先考虑。</w:t>
      </w:r>
    </w:p>
    <w:p w14:paraId="10C11220">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2、人员要求</w:t>
      </w:r>
    </w:p>
    <w:p w14:paraId="59E0FEC2">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w:t>
      </w:r>
      <w:r>
        <w:rPr>
          <w:rFonts w:hint="eastAsia" w:ascii="华文仿宋" w:hAnsi="华文仿宋" w:eastAsia="华文仿宋" w:cs="华文仿宋"/>
          <w:sz w:val="24"/>
          <w:szCs w:val="24"/>
          <w:highlight w:val="none"/>
          <w:lang w:eastAsia="zh-CN"/>
        </w:rPr>
        <w:t>法定代表人</w:t>
      </w:r>
      <w:r>
        <w:rPr>
          <w:rFonts w:hint="eastAsia" w:ascii="华文仿宋" w:hAnsi="华文仿宋" w:eastAsia="华文仿宋" w:cs="华文仿宋"/>
          <w:sz w:val="24"/>
          <w:szCs w:val="24"/>
          <w:highlight w:val="none"/>
        </w:rPr>
        <w:t>（或授权驻镇总经理）：要能够深刻理解“生态振兴和人居环境”工作的要求，要充分认识满足人民群众对美好生活的向往，要配足岗位人员、强化物资保障、科学合理调度、注重运行管理、加强安全生产，不断提升公司运行效率保洁水平。</w:t>
      </w:r>
    </w:p>
    <w:p w14:paraId="279A4DF7">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2）正、副主管、会计：3名管理人员都要有一定环卫管理经历经验，或农村工作经验、相关企业车间班组长以上的管理经验，要具有较强管理和服务意识，要具有较强沟通和协调能力，能够有效加强人员管理，能够有效推动工作落实，其中主管必须有一名55周岁以下男性。以我镇测算人员数量为准，若管理人员每少1人的，每月按月度结算支付款3%扣罚。</w:t>
      </w:r>
    </w:p>
    <w:p w14:paraId="65ADCF6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3）片长：片长的人员安排公司以发包方推荐为主。镇区1名片长，公司应当选择一名理念先进，能积极学习并运用县级以上城区环卫管理经验的管理人员，专职负责镇的管理。农村片4名片长，男性,应具有丰富的农村工作经验，较强的现场管理和协调能力，责任心强，能够坚持原则。以我镇测算人员数量为准，若片长每少1人的，每月按月度结算支付款3%扣罚。</w:t>
      </w:r>
    </w:p>
    <w:p w14:paraId="57F97D2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保洁清运员和河道长效保洁队：不少于178人，保洁员男性不大于65周岁、女性不大于60周岁年龄（若工作责任心强、能吃苦耐劳、群众认可度高可适当放宽），清运人员和河道长效保洁队须为男性，尽可能在本镇范围内对应的各村选择录用责任心强、能吃苦耐劳、群众认可度高、家庭形象好、年纪轻、身体健康的人员。以我镇测算人员数量为准，若保洁员、道路专项管护员、河道长效保洁队和清运人员每少1人的，每月按月度结算支付款1%扣罚。</w:t>
      </w:r>
    </w:p>
    <w:p w14:paraId="19421A01">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保洁清运工作强度大，对体力耐力有一定的要求，年龄较大的员工可能在体力上难以长时间维持高强度的工作状态，影响工作效率和质量。要建有到龄退岗机制，原则上男性不大于68周岁，女性不大于65周岁，若工作职责心强，能吃苦耐劳、群众认可度高可适当放宽，严禁男性超过70周岁，女性超过67周岁。</w:t>
      </w:r>
    </w:p>
    <w:p w14:paraId="17EC68FD">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（5）五位一体专干：镇每村安排一名村干任村五位一体专干，负责参与公司在该村范围内的卫生管理和人员调度，加强对本村范围内的清运员和保洁员的管理与考核。</w:t>
      </w:r>
    </w:p>
    <w:p w14:paraId="63847678">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sz w:val="24"/>
          <w:szCs w:val="24"/>
          <w:highlight w:val="none"/>
        </w:rPr>
        <w:t>（6）人员管理：公司要制定人员工作考评管理制度，对每个人的工作绩效进行考核。正副主管、会计、片长、村五位一体专干等管理人员都要熟悉相应管理区域的每个保洁员、清运员等一线工作人员的基本情况。对考核评价</w:t>
      </w:r>
      <w:r>
        <w:rPr>
          <w:rFonts w:hint="eastAsia" w:ascii="华文仿宋" w:hAnsi="华文仿宋" w:eastAsia="华文仿宋" w:cs="华文仿宋"/>
          <w:b/>
          <w:sz w:val="24"/>
          <w:szCs w:val="24"/>
          <w:highlight w:val="none"/>
        </w:rPr>
        <w:t>适岗性差的工作人员，经教育后仍无法满足工作要求的要及时解聘更换。</w:t>
      </w:r>
    </w:p>
    <w:p w14:paraId="6BC1BB26">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3、考勤管理</w:t>
      </w:r>
    </w:p>
    <w:p w14:paraId="02358DA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（1）公司必须在镇区有固定的办公场所，</w:t>
      </w:r>
      <w:r>
        <w:rPr>
          <w:rFonts w:hint="eastAsia" w:ascii="华文仿宋" w:hAnsi="华文仿宋" w:eastAsia="华文仿宋" w:cs="华文仿宋"/>
          <w:sz w:val="24"/>
          <w:szCs w:val="24"/>
          <w:highlight w:val="none"/>
          <w:lang w:eastAsia="zh-CN"/>
        </w:rPr>
        <w:t>法定代表人</w:t>
      </w:r>
      <w:r>
        <w:rPr>
          <w:rFonts w:hint="eastAsia" w:ascii="华文仿宋" w:hAnsi="华文仿宋" w:eastAsia="华文仿宋" w:cs="华文仿宋"/>
          <w:sz w:val="24"/>
          <w:szCs w:val="24"/>
          <w:highlight w:val="none"/>
        </w:rPr>
        <w:t>（或授权驻镇总经理）、正副主管和会计每天到其办公场所指纹签到，镇“五位一体”办公室负责管理，其他人员到岗到位情况由公司负责考勤，镇随时组织抽查。</w:t>
      </w:r>
    </w:p>
    <w:p w14:paraId="5B88FCD7">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（2）公司</w:t>
      </w:r>
      <w:r>
        <w:rPr>
          <w:rFonts w:hint="eastAsia" w:ascii="华文仿宋" w:hAnsi="华文仿宋" w:eastAsia="华文仿宋" w:cs="华文仿宋"/>
          <w:b/>
          <w:sz w:val="24"/>
          <w:szCs w:val="24"/>
          <w:highlight w:val="none"/>
          <w:lang w:eastAsia="zh-CN"/>
        </w:rPr>
        <w:t>法定代表人</w:t>
      </w:r>
      <w:r>
        <w:rPr>
          <w:rFonts w:hint="eastAsia" w:ascii="华文仿宋" w:hAnsi="华文仿宋" w:eastAsia="华文仿宋" w:cs="华文仿宋"/>
          <w:b/>
          <w:sz w:val="24"/>
          <w:szCs w:val="24"/>
          <w:highlight w:val="none"/>
        </w:rPr>
        <w:t>（或授权驻镇总经理）必须在镇总体牵头，亲自参与管理，负责生产调度，每月出勤不少于22个工作日。</w:t>
      </w:r>
    </w:p>
    <w:p w14:paraId="31589987">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（3）正副主管每人每月出勤不少于25个工作日，会计每月出勤不少于22个工作日。</w:t>
      </w:r>
    </w:p>
    <w:p w14:paraId="2F069D3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（4）片长每月出勤不少于28天。</w:t>
      </w:r>
    </w:p>
    <w:p w14:paraId="2BCA4AA2">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（5）在清明、五一、国庆、元旦、春节等节日期间，片长以上管理人员必须每天在镇亲自指挥管理应对各种情况，确保保洁全域整体干净整洁，确保垃圾高峰期清运顺畅，确保不发生社会垃圾滞压乱象。</w:t>
      </w:r>
    </w:p>
    <w:p w14:paraId="0A9DE1CD">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二）工作运行机制及制度</w:t>
      </w:r>
    </w:p>
    <w:p w14:paraId="65EC2ABF">
      <w:pPr>
        <w:spacing w:line="360" w:lineRule="auto"/>
        <w:ind w:firstLine="480" w:firstLineChars="200"/>
        <w:rPr>
          <w:rFonts w:hint="eastAsia" w:ascii="华文仿宋" w:hAnsi="华文仿宋" w:eastAsia="华文仿宋" w:cs="华文仿宋"/>
          <w:sz w:val="24"/>
          <w:szCs w:val="24"/>
          <w:highlight w:val="none"/>
          <w:u w:val="single"/>
        </w:rPr>
      </w:pPr>
      <w:r>
        <w:rPr>
          <w:rFonts w:hint="eastAsia" w:ascii="华文仿宋" w:hAnsi="华文仿宋" w:eastAsia="华文仿宋" w:cs="华文仿宋"/>
          <w:b/>
          <w:sz w:val="24"/>
          <w:szCs w:val="24"/>
          <w:highlight w:val="none"/>
        </w:rPr>
        <w:t>1、组织机制：</w:t>
      </w:r>
      <w:r>
        <w:rPr>
          <w:rFonts w:hint="eastAsia" w:ascii="华文仿宋" w:hAnsi="华文仿宋" w:eastAsia="华文仿宋" w:cs="华文仿宋"/>
          <w:sz w:val="24"/>
          <w:szCs w:val="24"/>
          <w:highlight w:val="none"/>
        </w:rPr>
        <w:t>在足额配全人员的基础上，建立层级分明的管理架构，</w:t>
      </w:r>
      <w:r>
        <w:rPr>
          <w:rFonts w:hint="eastAsia" w:ascii="华文仿宋" w:hAnsi="华文仿宋" w:eastAsia="华文仿宋" w:cs="华文仿宋"/>
          <w:sz w:val="24"/>
          <w:szCs w:val="24"/>
          <w:highlight w:val="none"/>
          <w:lang w:eastAsia="zh-CN"/>
        </w:rPr>
        <w:t>法定代表人</w:t>
      </w:r>
      <w:r>
        <w:rPr>
          <w:rFonts w:hint="eastAsia" w:ascii="华文仿宋" w:hAnsi="华文仿宋" w:eastAsia="华文仿宋" w:cs="华文仿宋"/>
          <w:sz w:val="24"/>
          <w:szCs w:val="24"/>
          <w:highlight w:val="none"/>
        </w:rPr>
        <w:t>（或授权驻镇总经理）总负责，项目正副主管包片负责同时负责河道长效保洁队工作规划和调度，片长包村负责。</w:t>
      </w:r>
    </w:p>
    <w:p w14:paraId="3030C0D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2、环卫闭环监管机制：</w:t>
      </w:r>
      <w:r>
        <w:rPr>
          <w:rFonts w:hint="eastAsia" w:ascii="华文仿宋" w:hAnsi="华文仿宋" w:eastAsia="华文仿宋" w:cs="华文仿宋"/>
          <w:sz w:val="24"/>
          <w:szCs w:val="24"/>
          <w:highlight w:val="none"/>
        </w:rPr>
        <w:t>公司必须根据大豫镇实际情况建立满足大豫镇“五位一体”现实需要的环卫智能管理平台，对人员、车辆作业路线、作业次数、作业时间实时监控，具备作业里程统计、历史作业轨迹回放、人员违规事件点查询预警、作业规划、考核评价等功能，能够彻底解决人员作业合理规划、作业过程实时监控、作业结果公平考核等管理难题。</w:t>
      </w:r>
    </w:p>
    <w:p w14:paraId="5963080B">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3、奖惩机制：</w:t>
      </w:r>
      <w:r>
        <w:rPr>
          <w:rFonts w:hint="eastAsia" w:ascii="华文仿宋" w:hAnsi="华文仿宋" w:eastAsia="华文仿宋" w:cs="华文仿宋"/>
          <w:sz w:val="24"/>
          <w:szCs w:val="24"/>
          <w:highlight w:val="none"/>
        </w:rPr>
        <w:t>奖惩机制：</w:t>
      </w:r>
      <w:r>
        <w:rPr>
          <w:rFonts w:hint="eastAsia" w:ascii="华文仿宋" w:hAnsi="华文仿宋" w:eastAsia="华文仿宋" w:cs="华文仿宋"/>
          <w:sz w:val="24"/>
          <w:szCs w:val="24"/>
          <w:highlight w:val="none"/>
        </w:rPr>
        <w:fldChar w:fldCharType="begin"/>
      </w:r>
      <w:r>
        <w:rPr>
          <w:rFonts w:hint="eastAsia" w:ascii="华文仿宋" w:hAnsi="华文仿宋" w:eastAsia="华文仿宋" w:cs="华文仿宋"/>
          <w:sz w:val="24"/>
          <w:szCs w:val="24"/>
          <w:highlight w:val="none"/>
        </w:rPr>
        <w:instrText xml:space="preserve"> = 1 \* GB3 </w:instrText>
      </w:r>
      <w:r>
        <w:rPr>
          <w:rFonts w:hint="eastAsia" w:ascii="华文仿宋" w:hAnsi="华文仿宋" w:eastAsia="华文仿宋" w:cs="华文仿宋"/>
          <w:sz w:val="24"/>
          <w:szCs w:val="24"/>
          <w:highlight w:val="none"/>
        </w:rPr>
        <w:fldChar w:fldCharType="separate"/>
      </w:r>
      <w:r>
        <w:rPr>
          <w:rFonts w:hint="eastAsia" w:ascii="华文仿宋" w:hAnsi="华文仿宋" w:eastAsia="华文仿宋" w:cs="华文仿宋"/>
          <w:sz w:val="24"/>
          <w:szCs w:val="24"/>
          <w:highlight w:val="none"/>
        </w:rPr>
        <w:t>①</w:t>
      </w:r>
      <w:r>
        <w:rPr>
          <w:rFonts w:hint="eastAsia" w:ascii="华文仿宋" w:hAnsi="华文仿宋" w:eastAsia="华文仿宋" w:cs="华文仿宋"/>
          <w:sz w:val="24"/>
          <w:szCs w:val="24"/>
          <w:highlight w:val="none"/>
        </w:rPr>
        <w:fldChar w:fldCharType="end"/>
      </w:r>
      <w:r>
        <w:rPr>
          <w:rFonts w:hint="eastAsia" w:ascii="华文仿宋" w:hAnsi="华文仿宋" w:eastAsia="华文仿宋" w:cs="华文仿宋"/>
          <w:sz w:val="24"/>
          <w:szCs w:val="24"/>
          <w:highlight w:val="none"/>
        </w:rPr>
        <w:t>公司必须制定一套完善的人员考核奖惩机制，考核到级、到岗、到人，与工资发放挂钩，并做好相应台账记录。镇五位一体办公室将随机进行抽查落实情况，并组织考核。</w:t>
      </w:r>
      <w:r>
        <w:rPr>
          <w:rFonts w:hint="eastAsia" w:ascii="华文仿宋" w:hAnsi="华文仿宋" w:eastAsia="华文仿宋" w:cs="华文仿宋"/>
          <w:sz w:val="24"/>
          <w:szCs w:val="24"/>
          <w:highlight w:val="none"/>
        </w:rPr>
        <w:fldChar w:fldCharType="begin"/>
      </w:r>
      <w:r>
        <w:rPr>
          <w:rFonts w:hint="eastAsia" w:ascii="华文仿宋" w:hAnsi="华文仿宋" w:eastAsia="华文仿宋" w:cs="华文仿宋"/>
          <w:sz w:val="24"/>
          <w:szCs w:val="24"/>
          <w:highlight w:val="none"/>
        </w:rPr>
        <w:instrText xml:space="preserve"> = 2 \* GB3 </w:instrText>
      </w:r>
      <w:r>
        <w:rPr>
          <w:rFonts w:hint="eastAsia" w:ascii="华文仿宋" w:hAnsi="华文仿宋" w:eastAsia="华文仿宋" w:cs="华文仿宋"/>
          <w:sz w:val="24"/>
          <w:szCs w:val="24"/>
          <w:highlight w:val="none"/>
        </w:rPr>
        <w:fldChar w:fldCharType="separate"/>
      </w:r>
      <w:r>
        <w:rPr>
          <w:rFonts w:hint="eastAsia" w:ascii="华文仿宋" w:hAnsi="华文仿宋" w:eastAsia="华文仿宋" w:cs="华文仿宋"/>
          <w:sz w:val="24"/>
          <w:szCs w:val="24"/>
          <w:highlight w:val="none"/>
        </w:rPr>
        <w:t>②</w:t>
      </w:r>
      <w:r>
        <w:rPr>
          <w:rFonts w:hint="eastAsia" w:ascii="华文仿宋" w:hAnsi="华文仿宋" w:eastAsia="华文仿宋" w:cs="华文仿宋"/>
          <w:sz w:val="24"/>
          <w:szCs w:val="24"/>
          <w:highlight w:val="none"/>
        </w:rPr>
        <w:fldChar w:fldCharType="end"/>
      </w:r>
      <w:r>
        <w:rPr>
          <w:rFonts w:hint="eastAsia" w:ascii="华文仿宋" w:hAnsi="华文仿宋" w:eastAsia="华文仿宋" w:cs="华文仿宋"/>
          <w:sz w:val="24"/>
          <w:szCs w:val="24"/>
          <w:highlight w:val="none"/>
        </w:rPr>
        <w:t>各村每月对保洁人员进行评价，当月得分最低的保洁人员将予以警告教育，连续两个月评价得分最低的保洁人员责令承包单位予以辞退，不辞退的由镇在承包款中扣除每人每月10000元。</w:t>
      </w:r>
      <w:r>
        <w:rPr>
          <w:rFonts w:hint="eastAsia" w:ascii="华文仿宋" w:hAnsi="华文仿宋" w:eastAsia="华文仿宋" w:cs="华文仿宋"/>
          <w:sz w:val="24"/>
          <w:szCs w:val="24"/>
          <w:highlight w:val="none"/>
        </w:rPr>
        <w:fldChar w:fldCharType="begin"/>
      </w:r>
      <w:r>
        <w:rPr>
          <w:rFonts w:hint="eastAsia" w:ascii="华文仿宋" w:hAnsi="华文仿宋" w:eastAsia="华文仿宋" w:cs="华文仿宋"/>
          <w:sz w:val="24"/>
          <w:szCs w:val="24"/>
          <w:highlight w:val="none"/>
        </w:rPr>
        <w:instrText xml:space="preserve"> = 3 \* GB3 </w:instrText>
      </w:r>
      <w:r>
        <w:rPr>
          <w:rFonts w:hint="eastAsia" w:ascii="华文仿宋" w:hAnsi="华文仿宋" w:eastAsia="华文仿宋" w:cs="华文仿宋"/>
          <w:sz w:val="24"/>
          <w:szCs w:val="24"/>
          <w:highlight w:val="none"/>
        </w:rPr>
        <w:fldChar w:fldCharType="separate"/>
      </w:r>
      <w:r>
        <w:rPr>
          <w:rFonts w:hint="eastAsia" w:ascii="华文仿宋" w:hAnsi="华文仿宋" w:eastAsia="华文仿宋" w:cs="华文仿宋"/>
          <w:sz w:val="24"/>
          <w:szCs w:val="24"/>
          <w:highlight w:val="none"/>
        </w:rPr>
        <w:t>③</w:t>
      </w:r>
      <w:r>
        <w:rPr>
          <w:rFonts w:hint="eastAsia" w:ascii="华文仿宋" w:hAnsi="华文仿宋" w:eastAsia="华文仿宋" w:cs="华文仿宋"/>
          <w:sz w:val="24"/>
          <w:szCs w:val="24"/>
          <w:highlight w:val="none"/>
        </w:rPr>
        <w:fldChar w:fldCharType="end"/>
      </w:r>
      <w:r>
        <w:rPr>
          <w:rFonts w:hint="eastAsia" w:ascii="华文仿宋" w:hAnsi="华文仿宋" w:eastAsia="华文仿宋" w:cs="华文仿宋"/>
          <w:sz w:val="24"/>
          <w:szCs w:val="24"/>
          <w:highlight w:val="none"/>
        </w:rPr>
        <w:t>镇五位一体办每月对河道长效保洁队人员进行评价，当月得分最低的保洁员将予以警告教育，连续两个月得分最低的保洁人员责令承包单位予以辞退，不辞退的由镇在承包款中扣除每个每月10000元。</w:t>
      </w:r>
    </w:p>
    <w:p w14:paraId="47386536">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4、例会制度：</w:t>
      </w:r>
      <w:r>
        <w:rPr>
          <w:rFonts w:hint="eastAsia" w:ascii="华文仿宋" w:hAnsi="华文仿宋" w:eastAsia="华文仿宋" w:cs="华文仿宋"/>
          <w:sz w:val="24"/>
          <w:szCs w:val="24"/>
          <w:highlight w:val="none"/>
        </w:rPr>
        <w:t>公司必须建立健全各层级例会制度，做好相应台账记录。①全体人员会议：每年召开全体保洁员大会（含以片为单位会议）不少于2批次。②全体管理人员会议：镇“五位一体”办公室人员参加的片长以上管理人员的会议每周不少于一次。③村全体保洁队会议：片长主持、包片主管和村五位一体专干参加的全体队员会议每周每村至少召开一次。</w:t>
      </w:r>
      <w:r>
        <w:rPr>
          <w:rFonts w:hint="eastAsia" w:ascii="华文仿宋" w:hAnsi="华文仿宋" w:eastAsia="华文仿宋" w:cs="华文仿宋"/>
          <w:sz w:val="24"/>
          <w:szCs w:val="24"/>
          <w:highlight w:val="none"/>
        </w:rPr>
        <w:fldChar w:fldCharType="begin"/>
      </w:r>
      <w:r>
        <w:rPr>
          <w:rFonts w:hint="eastAsia" w:ascii="华文仿宋" w:hAnsi="华文仿宋" w:eastAsia="华文仿宋" w:cs="华文仿宋"/>
          <w:sz w:val="24"/>
          <w:szCs w:val="24"/>
          <w:highlight w:val="none"/>
        </w:rPr>
        <w:instrText xml:space="preserve"> = 4 \* GB3 </w:instrText>
      </w:r>
      <w:r>
        <w:rPr>
          <w:rFonts w:hint="eastAsia" w:ascii="华文仿宋" w:hAnsi="华文仿宋" w:eastAsia="华文仿宋" w:cs="华文仿宋"/>
          <w:sz w:val="24"/>
          <w:szCs w:val="24"/>
          <w:highlight w:val="none"/>
        </w:rPr>
        <w:fldChar w:fldCharType="separate"/>
      </w:r>
      <w:r>
        <w:rPr>
          <w:rFonts w:hint="eastAsia" w:ascii="华文仿宋" w:hAnsi="华文仿宋" w:eastAsia="华文仿宋" w:cs="华文仿宋"/>
          <w:sz w:val="24"/>
          <w:szCs w:val="24"/>
          <w:highlight w:val="none"/>
        </w:rPr>
        <w:t>④</w:t>
      </w:r>
      <w:r>
        <w:rPr>
          <w:rFonts w:hint="eastAsia" w:ascii="华文仿宋" w:hAnsi="华文仿宋" w:eastAsia="华文仿宋" w:cs="华文仿宋"/>
          <w:sz w:val="24"/>
          <w:szCs w:val="24"/>
          <w:highlight w:val="none"/>
        </w:rPr>
        <w:fldChar w:fldCharType="end"/>
      </w:r>
      <w:r>
        <w:rPr>
          <w:rFonts w:hint="eastAsia" w:ascii="华文仿宋" w:hAnsi="华文仿宋" w:eastAsia="华文仿宋" w:cs="华文仿宋"/>
          <w:sz w:val="24"/>
          <w:szCs w:val="24"/>
          <w:highlight w:val="none"/>
        </w:rPr>
        <w:t>河道长效保洁队会议：项目主管主持、各片片长参加的全体队员会议每周至少召开一次。（必须集中开会，集中点评问题，集中部署工作，形式可灵活机动）。</w:t>
      </w:r>
    </w:p>
    <w:p w14:paraId="598FB2F0">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5、考勤制度：</w:t>
      </w:r>
      <w:r>
        <w:rPr>
          <w:rFonts w:hint="eastAsia" w:ascii="华文仿宋" w:hAnsi="华文仿宋" w:eastAsia="华文仿宋" w:cs="华文仿宋"/>
          <w:sz w:val="24"/>
          <w:szCs w:val="24"/>
          <w:highlight w:val="none"/>
        </w:rPr>
        <w:t>公司必须按考勤管理要求建立完善考勤制度。</w:t>
      </w:r>
    </w:p>
    <w:p w14:paraId="78D097B9">
      <w:pPr>
        <w:spacing w:line="360" w:lineRule="auto"/>
        <w:ind w:firstLine="480" w:firstLineChars="20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6、保险与工资：</w:t>
      </w:r>
      <w:r>
        <w:rPr>
          <w:rFonts w:hint="eastAsia" w:ascii="华文仿宋" w:hAnsi="华文仿宋" w:eastAsia="华文仿宋" w:cs="华文仿宋"/>
          <w:sz w:val="24"/>
          <w:szCs w:val="24"/>
          <w:highlight w:val="none"/>
        </w:rPr>
        <w:t>公司要及时缴纳相关保险，按时足额发放工人工资，养老保险缴纳适龄人员工资发放不得低于如东县职工工资最低标准。各岗位实际发放工资不得低于投标分项报价中的人工单价。</w:t>
      </w:r>
    </w:p>
    <w:p w14:paraId="75597BAE">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三）安全生产责任及管理</w:t>
      </w:r>
    </w:p>
    <w:p w14:paraId="04EABC93">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服务公司对“五位一体”服务安全生产承担主体责任，负责所有安全生产事故的一切责任，负责处理事故所有相关事宜。</w:t>
      </w:r>
    </w:p>
    <w:p w14:paraId="3C50F858">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1、落实责任：</w:t>
      </w:r>
      <w:r>
        <w:rPr>
          <w:rFonts w:hint="eastAsia" w:ascii="华文仿宋" w:hAnsi="华文仿宋" w:eastAsia="华文仿宋" w:cs="华文仿宋"/>
          <w:sz w:val="24"/>
          <w:szCs w:val="24"/>
          <w:highlight w:val="none"/>
        </w:rPr>
        <w:t>公司要明确专人任安全员，负责公司的安全生产管理，严格执行安全生产相关规定，把安全生产责任落实到每一个责任人，开展安全培训，组织安全检查，记录安全台账。</w:t>
      </w:r>
    </w:p>
    <w:p w14:paraId="09541081">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2、排查整改：</w:t>
      </w:r>
      <w:r>
        <w:rPr>
          <w:rFonts w:hint="eastAsia" w:ascii="华文仿宋" w:hAnsi="华文仿宋" w:eastAsia="华文仿宋" w:cs="华文仿宋"/>
          <w:sz w:val="24"/>
          <w:szCs w:val="24"/>
          <w:highlight w:val="none"/>
        </w:rPr>
        <w:t>要</w:t>
      </w:r>
      <w:r>
        <w:rPr>
          <w:rFonts w:hint="eastAsia" w:ascii="华文仿宋" w:hAnsi="华文仿宋" w:eastAsia="华文仿宋" w:cs="华文仿宋"/>
          <w:b/>
          <w:sz w:val="24"/>
          <w:szCs w:val="24"/>
          <w:highlight w:val="none"/>
        </w:rPr>
        <w:t>“</w:t>
      </w:r>
      <w:r>
        <w:rPr>
          <w:rFonts w:hint="eastAsia" w:ascii="华文仿宋" w:hAnsi="华文仿宋" w:eastAsia="华文仿宋" w:cs="华文仿宋"/>
          <w:sz w:val="24"/>
          <w:szCs w:val="24"/>
          <w:highlight w:val="none"/>
        </w:rPr>
        <w:t>敬畏生命”，正常组织安全生产检查，开展安全隐患排查，实行安全生产闭环管理，积极开展各项安全生产专项整治行动，高效完成整治任务，杜绝发生安全事故。</w:t>
      </w:r>
    </w:p>
    <w:p w14:paraId="7909D1BE">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3、车辆安全：</w:t>
      </w:r>
      <w:r>
        <w:rPr>
          <w:rFonts w:hint="eastAsia" w:ascii="华文仿宋" w:hAnsi="华文仿宋" w:eastAsia="华文仿宋" w:cs="华文仿宋"/>
          <w:sz w:val="24"/>
          <w:szCs w:val="24"/>
          <w:highlight w:val="none"/>
        </w:rPr>
        <w:t>所有运输车辆及驾驶人员必须证照齐全，年检保险齐全，一旦出现相关证件不全，年检保险不到位的，立即停止该车辆使用。加强专项检查，不得出现驾驶人员疲劳驾驶情况。</w:t>
      </w:r>
    </w:p>
    <w:p w14:paraId="08C05EA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4、人员安全：</w:t>
      </w:r>
      <w:r>
        <w:rPr>
          <w:rFonts w:hint="eastAsia" w:ascii="华文仿宋" w:hAnsi="华文仿宋" w:eastAsia="华文仿宋" w:cs="华文仿宋"/>
          <w:sz w:val="24"/>
          <w:szCs w:val="24"/>
          <w:highlight w:val="none"/>
        </w:rPr>
        <w:t>所有人员必须持有健康体检报告，所有保洁人员必须穿着保洁服、保洁帽、救生衣等装备上岗，不得饮酒上岗，注意交通生产安全。</w:t>
      </w:r>
    </w:p>
    <w:p w14:paraId="56FC3DF4">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5、安全培训：</w:t>
      </w:r>
      <w:r>
        <w:rPr>
          <w:rFonts w:hint="eastAsia" w:ascii="华文仿宋" w:hAnsi="华文仿宋" w:eastAsia="华文仿宋" w:cs="华文仿宋"/>
          <w:sz w:val="24"/>
          <w:szCs w:val="24"/>
          <w:highlight w:val="none"/>
        </w:rPr>
        <w:t>每月做好安全保洁培训，加强对保洁人员的安全生产教育，警钟常鸣，提高人身防护安全意识，做好安全记录，完善安全台账，确保不发生人身财产安全责任事故。</w:t>
      </w:r>
    </w:p>
    <w:p w14:paraId="25E19B33">
      <w:pPr>
        <w:spacing w:line="360" w:lineRule="auto"/>
        <w:ind w:firstLine="480" w:firstLineChars="200"/>
        <w:outlineLvl w:val="0"/>
        <w:rPr>
          <w:rFonts w:hint="eastAsia" w:ascii="华文仿宋" w:hAnsi="华文仿宋" w:eastAsia="华文仿宋" w:cs="华文仿宋"/>
          <w:b/>
          <w:sz w:val="24"/>
          <w:szCs w:val="24"/>
          <w:highlight w:val="none"/>
        </w:rPr>
      </w:pPr>
      <w:r>
        <w:rPr>
          <w:rFonts w:hint="eastAsia" w:ascii="华文仿宋" w:hAnsi="华文仿宋" w:eastAsia="华文仿宋" w:cs="华文仿宋"/>
          <w:b/>
          <w:sz w:val="24"/>
          <w:szCs w:val="24"/>
          <w:highlight w:val="none"/>
        </w:rPr>
        <w:t>四）应急预案</w:t>
      </w:r>
    </w:p>
    <w:p w14:paraId="5B0BBA09">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sz w:val="24"/>
          <w:szCs w:val="24"/>
          <w:highlight w:val="none"/>
        </w:rPr>
        <w:t>服务公司要针对自然灾害，各类突发公共事件，各类所有创建、所有重大活动，春节、国庆、中秋、端午等所有节日，秋季落叶处置等做好环卫作业应急保障方案。</w:t>
      </w:r>
    </w:p>
    <w:p w14:paraId="6BECC22F">
      <w:pPr>
        <w:spacing w:line="360" w:lineRule="auto"/>
        <w:ind w:firstLine="480" w:firstLineChars="200"/>
        <w:rPr>
          <w:rFonts w:hint="eastAsia" w:ascii="华文仿宋" w:hAnsi="华文仿宋" w:eastAsia="华文仿宋" w:cs="华文仿宋"/>
          <w:sz w:val="24"/>
          <w:szCs w:val="24"/>
          <w:highlight w:val="none"/>
        </w:rPr>
      </w:pPr>
      <w:r>
        <w:rPr>
          <w:rFonts w:hint="eastAsia" w:ascii="华文仿宋" w:hAnsi="华文仿宋" w:eastAsia="华文仿宋" w:cs="华文仿宋"/>
          <w:b/>
          <w:sz w:val="24"/>
          <w:szCs w:val="24"/>
          <w:highlight w:val="none"/>
        </w:rPr>
        <w:t>1、成立应急小组：</w:t>
      </w:r>
      <w:r>
        <w:rPr>
          <w:rFonts w:hint="eastAsia" w:ascii="华文仿宋" w:hAnsi="华文仿宋" w:eastAsia="华文仿宋" w:cs="华文仿宋"/>
          <w:sz w:val="24"/>
          <w:szCs w:val="24"/>
          <w:highlight w:val="none"/>
        </w:rPr>
        <w:t>为确保应急保障服务的及时性，服务公司项目经理统筹，担任本项目的应急保障小组组长；正、副主管担任本项目的应急保障小组副组长；安排3名片区管理员、10名一线骨干保洁员为本项目应急小组组员。</w:t>
      </w:r>
    </w:p>
    <w:p w14:paraId="74E279E2">
      <w:pPr>
        <w:spacing w:line="360" w:lineRule="auto"/>
        <w:ind w:firstLine="480" w:firstLineChars="200"/>
        <w:rPr>
          <w:rFonts w:hint="eastAsia" w:ascii="仿宋" w:hAnsi="仿宋" w:eastAsia="仿宋" w:cs="仿宋"/>
          <w:sz w:val="24"/>
          <w:szCs w:val="24"/>
          <w:highlight w:val="none"/>
        </w:rPr>
      </w:pPr>
      <w:r>
        <w:rPr>
          <w:rFonts w:hint="eastAsia" w:ascii="华文仿宋" w:hAnsi="华文仿宋" w:eastAsia="华文仿宋" w:cs="华文仿宋"/>
          <w:b/>
          <w:sz w:val="24"/>
          <w:szCs w:val="24"/>
          <w:highlight w:val="none"/>
        </w:rPr>
        <w:t>2、配备应急保障物资：</w:t>
      </w:r>
      <w:r>
        <w:rPr>
          <w:rFonts w:hint="eastAsia" w:ascii="华文仿宋" w:hAnsi="华文仿宋" w:eastAsia="华文仿宋" w:cs="华文仿宋"/>
          <w:sz w:val="24"/>
          <w:szCs w:val="24"/>
          <w:highlight w:val="none"/>
        </w:rPr>
        <w:t>服务公司要做好人员、车辆、设备、材料防护设施的保障，包括小型垃圾收集车、后装垃圾压缩车、高压冲洗车、警示牌、医药箱等。</w:t>
      </w:r>
    </w:p>
    <w:p w14:paraId="2F6ADA33">
      <w:pPr>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五）管护设备配备</w:t>
      </w:r>
    </w:p>
    <w:p w14:paraId="31419D30">
      <w:pPr>
        <w:spacing w:line="360" w:lineRule="auto"/>
        <w:ind w:firstLine="482" w:firstLineChars="200"/>
        <w:rPr>
          <w:rFonts w:hint="eastAsia" w:ascii="仿宋" w:hAnsi="仿宋" w:eastAsia="仿宋" w:cs="仿宋"/>
          <w:b/>
          <w:bCs/>
          <w:i/>
          <w:iCs/>
          <w:sz w:val="24"/>
          <w:szCs w:val="24"/>
          <w:highlight w:val="none"/>
          <w:u w:val="single"/>
        </w:rPr>
      </w:pPr>
      <w:r>
        <w:rPr>
          <w:rFonts w:hint="eastAsia" w:ascii="仿宋" w:hAnsi="仿宋" w:eastAsia="仿宋" w:cs="仿宋"/>
          <w:b/>
          <w:bCs/>
          <w:i/>
          <w:iCs/>
          <w:sz w:val="24"/>
          <w:szCs w:val="24"/>
          <w:highlight w:val="none"/>
          <w:u w:val="single"/>
        </w:rPr>
        <w:t>1.</w:t>
      </w:r>
      <w:r>
        <w:rPr>
          <w:rFonts w:hint="eastAsia" w:ascii="仿宋" w:hAnsi="仿宋" w:eastAsia="仿宋" w:cs="仿宋"/>
          <w:b/>
          <w:bCs/>
          <w:i/>
          <w:iCs/>
          <w:sz w:val="24"/>
          <w:szCs w:val="24"/>
          <w:highlight w:val="none"/>
          <w:u w:val="single"/>
          <w:lang w:eastAsia="zh-CN"/>
        </w:rPr>
        <w:t>投标供应商</w:t>
      </w:r>
      <w:r>
        <w:rPr>
          <w:rFonts w:hint="eastAsia" w:ascii="仿宋" w:hAnsi="仿宋" w:eastAsia="仿宋" w:cs="仿宋"/>
          <w:b/>
          <w:bCs/>
          <w:i/>
          <w:iCs/>
          <w:sz w:val="24"/>
          <w:szCs w:val="24"/>
          <w:highlight w:val="none"/>
          <w:u w:val="single"/>
        </w:rPr>
        <w:t>须配备5吨及以上压缩式提桶垃圾车不得少于4辆，3吨及以上压缩式提桶垃圾车不得少于2辆，入户收集六桶电动车不少于90辆，两桶电动保洁车不少于23辆，农用轻型卡车不少于1辆，易腐垃圾平板车不少于1辆，5T以上（含5T）洗扫车不少于1辆，10吨高压冲洗车不少于1辆，1吨高压冲洗车不少于1辆，两分类垃圾小桶（50L/个）不少于28000组（2个/组），机动割草保洁船不少于3艘，电动保洁船不少于6艘，随车吊不少于1辆，小型机具器具（含割草机50台、鼓风机</w:t>
      </w:r>
      <w:r>
        <w:rPr>
          <w:rFonts w:hint="eastAsia" w:ascii="仿宋" w:hAnsi="仿宋" w:eastAsia="仿宋" w:cs="仿宋"/>
          <w:b/>
          <w:bCs/>
          <w:i/>
          <w:iCs/>
          <w:sz w:val="24"/>
          <w:szCs w:val="24"/>
          <w:highlight w:val="none"/>
          <w:u w:val="single"/>
        </w:rPr>
        <w:tab/>
      </w:r>
      <w:r>
        <w:rPr>
          <w:rFonts w:hint="eastAsia" w:ascii="仿宋" w:hAnsi="仿宋" w:eastAsia="仿宋" w:cs="仿宋"/>
          <w:b/>
          <w:bCs/>
          <w:i/>
          <w:iCs/>
          <w:sz w:val="24"/>
          <w:szCs w:val="24"/>
          <w:highlight w:val="none"/>
          <w:u w:val="single"/>
        </w:rPr>
        <w:t>6台、绿篱剪6把、高枝剪6把）、辅材等满足项目需求，环卫智能管理平台运行及维护。</w:t>
      </w:r>
    </w:p>
    <w:p w14:paraId="3D37F8EE">
      <w:pPr>
        <w:spacing w:line="360" w:lineRule="auto"/>
        <w:ind w:firstLine="482" w:firstLineChars="200"/>
        <w:rPr>
          <w:rFonts w:hint="eastAsia" w:ascii="仿宋" w:hAnsi="仿宋" w:eastAsia="仿宋" w:cs="仿宋"/>
          <w:b/>
          <w:bCs/>
          <w:i/>
          <w:iCs/>
          <w:sz w:val="24"/>
          <w:szCs w:val="24"/>
          <w:highlight w:val="none"/>
          <w:u w:val="single"/>
        </w:rPr>
      </w:pPr>
      <w:r>
        <w:rPr>
          <w:rFonts w:hint="eastAsia" w:ascii="仿宋" w:hAnsi="仿宋" w:eastAsia="仿宋" w:cs="仿宋"/>
          <w:b/>
          <w:bCs/>
          <w:i/>
          <w:iCs/>
          <w:sz w:val="24"/>
          <w:szCs w:val="24"/>
          <w:highlight w:val="none"/>
        </w:rPr>
        <w:t>备注：</w:t>
      </w:r>
      <w:r>
        <w:rPr>
          <w:rFonts w:hint="eastAsia" w:ascii="仿宋" w:hAnsi="仿宋" w:eastAsia="仿宋" w:cs="仿宋"/>
          <w:b/>
          <w:bCs/>
          <w:i/>
          <w:iCs/>
          <w:sz w:val="24"/>
          <w:szCs w:val="24"/>
          <w:highlight w:val="none"/>
          <w:u w:val="single"/>
        </w:rPr>
        <w:t>两分类垃圾桶必须为全新购置，每组2个(含架子)，颜色均为绿黑配，桶体及桶盖（除配料）采用除必要的颜料和色素外，采用100%高密度聚乙烯全新料一次性注模成型，不得使用回料。单个桶容量≥50L，总重量≥2.4kg，数量最终以各村统计为准，确保每户1组。</w:t>
      </w:r>
    </w:p>
    <w:p w14:paraId="275588AC">
      <w:pPr>
        <w:spacing w:line="360" w:lineRule="auto"/>
        <w:ind w:firstLine="482" w:firstLineChars="200"/>
        <w:rPr>
          <w:rFonts w:hint="eastAsia" w:ascii="仿宋" w:hAnsi="仿宋" w:eastAsia="仿宋" w:cs="仿宋"/>
          <w:i/>
          <w:iCs/>
          <w:sz w:val="24"/>
          <w:szCs w:val="24"/>
          <w:highlight w:val="none"/>
          <w:u w:val="single"/>
        </w:rPr>
      </w:pPr>
      <w:r>
        <w:rPr>
          <w:rFonts w:hint="eastAsia" w:ascii="仿宋" w:hAnsi="仿宋" w:eastAsia="仿宋" w:cs="仿宋"/>
          <w:b/>
          <w:bCs/>
          <w:i/>
          <w:iCs/>
          <w:sz w:val="24"/>
          <w:szCs w:val="24"/>
          <w:highlight w:val="none"/>
          <w:u w:val="single"/>
        </w:rPr>
        <w:t>应急保障设备要求：3吨以上后装压缩车2辆，雾炮车1辆，铲车1辆（可调用，无需定点）。</w:t>
      </w:r>
    </w:p>
    <w:p w14:paraId="1768E988">
      <w:pPr>
        <w:spacing w:line="360" w:lineRule="auto"/>
        <w:ind w:firstLine="482" w:firstLineChars="200"/>
        <w:rPr>
          <w:rFonts w:hint="eastAsia" w:ascii="仿宋" w:hAnsi="仿宋" w:eastAsia="仿宋" w:cs="仿宋"/>
          <w:b/>
          <w:bCs/>
          <w:i/>
          <w:iCs/>
          <w:sz w:val="24"/>
          <w:szCs w:val="24"/>
          <w:highlight w:val="none"/>
          <w:u w:val="single"/>
        </w:rPr>
      </w:pPr>
      <w:r>
        <w:rPr>
          <w:rFonts w:hint="eastAsia" w:ascii="仿宋" w:hAnsi="仿宋" w:eastAsia="仿宋" w:cs="仿宋"/>
          <w:b/>
          <w:bCs/>
          <w:i/>
          <w:iCs/>
          <w:sz w:val="24"/>
          <w:szCs w:val="24"/>
          <w:highlight w:val="none"/>
          <w:u w:val="single"/>
        </w:rPr>
        <w:t>2.投标供应商在中标后1个月内配齐以上车辆、船等设备（提供发票</w:t>
      </w:r>
      <w:r>
        <w:rPr>
          <w:rFonts w:hint="eastAsia" w:ascii="仿宋" w:hAnsi="仿宋" w:eastAsia="仿宋" w:cs="仿宋"/>
          <w:b/>
          <w:bCs/>
          <w:i/>
          <w:iCs/>
          <w:sz w:val="24"/>
          <w:szCs w:val="24"/>
          <w:highlight w:val="none"/>
          <w:u w:val="single"/>
          <w:lang w:eastAsia="zh-CN"/>
        </w:rPr>
        <w:t>，</w:t>
      </w:r>
      <w:r>
        <w:rPr>
          <w:rFonts w:hint="eastAsia" w:ascii="仿宋" w:hAnsi="仿宋" w:eastAsia="仿宋" w:cs="仿宋"/>
          <w:b/>
          <w:bCs/>
          <w:i/>
          <w:iCs/>
          <w:sz w:val="24"/>
          <w:szCs w:val="24"/>
          <w:highlight w:val="none"/>
          <w:u w:val="single"/>
          <w:lang w:val="en-US" w:eastAsia="zh-CN"/>
        </w:rPr>
        <w:t>若租赁的提供租赁合同和发票</w:t>
      </w:r>
      <w:r>
        <w:rPr>
          <w:rFonts w:hint="eastAsia" w:ascii="仿宋" w:hAnsi="仿宋" w:eastAsia="仿宋" w:cs="仿宋"/>
          <w:b/>
          <w:bCs/>
          <w:i/>
          <w:iCs/>
          <w:sz w:val="24"/>
          <w:szCs w:val="24"/>
          <w:highlight w:val="none"/>
          <w:u w:val="single"/>
        </w:rPr>
        <w:t>），如配备不到位，</w:t>
      </w:r>
      <w:r>
        <w:rPr>
          <w:rFonts w:hint="eastAsia" w:ascii="仿宋" w:hAnsi="仿宋" w:eastAsia="仿宋" w:cs="仿宋"/>
          <w:b/>
          <w:bCs/>
          <w:i/>
          <w:iCs/>
          <w:sz w:val="24"/>
          <w:szCs w:val="24"/>
          <w:highlight w:val="none"/>
          <w:u w:val="single"/>
          <w:lang w:eastAsia="zh-CN"/>
        </w:rPr>
        <w:t>招标人</w:t>
      </w:r>
      <w:r>
        <w:rPr>
          <w:rFonts w:hint="eastAsia" w:ascii="仿宋" w:hAnsi="仿宋" w:eastAsia="仿宋" w:cs="仿宋"/>
          <w:b/>
          <w:bCs/>
          <w:i/>
          <w:iCs/>
          <w:sz w:val="24"/>
          <w:szCs w:val="24"/>
          <w:highlight w:val="none"/>
          <w:u w:val="single"/>
        </w:rPr>
        <w:t>有权解除合同，不退还履约保证金。</w:t>
      </w:r>
    </w:p>
    <w:p w14:paraId="2ED3BEFA">
      <w:pPr>
        <w:spacing w:line="360" w:lineRule="auto"/>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七</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考核管理</w:t>
      </w:r>
    </w:p>
    <w:p w14:paraId="0C525BFC">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详见县农村人居环境长效管护考核要求、县“河长制”实施方案、县“路长制”实施办法、全县水环境整治工作要求和《大豫镇环境卫生长效管护项目考核细则》等规定。</w:t>
      </w:r>
    </w:p>
    <w:p w14:paraId="4E9F79E2">
      <w:pPr>
        <w:spacing w:line="360" w:lineRule="auto"/>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八</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付款方式</w:t>
      </w:r>
    </w:p>
    <w:p w14:paraId="5713BACD">
      <w:pPr>
        <w:spacing w:line="360" w:lineRule="auto"/>
        <w:ind w:firstLine="480" w:firstLineChars="200"/>
        <w:rPr>
          <w:rFonts w:hint="eastAsia" w:ascii="仿宋" w:hAnsi="仿宋" w:eastAsia="仿宋" w:cs="仿宋"/>
          <w:sz w:val="24"/>
          <w:highlight w:val="none"/>
          <w:lang w:eastAsia="zh-CN"/>
        </w:rPr>
      </w:pPr>
      <w:r>
        <w:rPr>
          <w:rFonts w:hint="eastAsia" w:ascii="仿宋" w:hAnsi="仿宋" w:eastAsia="仿宋" w:cs="仿宋"/>
          <w:sz w:val="24"/>
          <w:highlight w:val="none"/>
        </w:rPr>
        <w:t>一）</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按照月度进行考核计算并按季度支付给</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，每季度次月上旬付款（其中生活垃圾收运服务费用由各村支付其50%，镇按照实际中标价格，测算分割到各村，村级费用由各村年底一次性支付给</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与</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结</w:t>
      </w:r>
      <w:r>
        <w:rPr>
          <w:rFonts w:hint="eastAsia" w:ascii="仿宋" w:hAnsi="仿宋" w:eastAsia="仿宋" w:cs="仿宋"/>
          <w:sz w:val="24"/>
          <w:highlight w:val="none"/>
        </w:rPr>
        <w:t>算时，</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均需足额向</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出具合法票据及该季度</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向其职员发放工资的发放银行流水账单作为付款的前提。价款除本合同约定和依照《考核细则》扣款外，任何一方不得擅自改变。</w:t>
      </w:r>
    </w:p>
    <w:p w14:paraId="2AF2334D">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二）考核奖惩方式：</w:t>
      </w:r>
    </w:p>
    <w:p w14:paraId="28A6C8DF">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w:t>
      </w:r>
      <w:r>
        <w:rPr>
          <w:rFonts w:hint="eastAsia" w:ascii="仿宋" w:hAnsi="仿宋" w:eastAsia="仿宋" w:cs="仿宋"/>
          <w:sz w:val="24"/>
          <w:highlight w:val="none"/>
          <w:lang w:eastAsia="zh-CN"/>
        </w:rPr>
        <w:t>、</w:t>
      </w:r>
      <w:r>
        <w:rPr>
          <w:rFonts w:hint="eastAsia" w:ascii="仿宋" w:hAnsi="仿宋" w:eastAsia="仿宋" w:cs="仿宋"/>
          <w:sz w:val="24"/>
          <w:highlight w:val="none"/>
        </w:rPr>
        <w:t>绩效考核结果与合同价款相挂钩，按</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对</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highlight w:val="none"/>
        </w:rPr>
        <w:t>月度绩效考核来确定，实行百分制，其中</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考核结果占50%，各村（社区）运行管理考核结果占40%，其他减分项结果占10%。具体操作如下：</w:t>
      </w:r>
    </w:p>
    <w:p w14:paraId="2174D9D2">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（1）在</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月度绩效考核中得分为90分（含90分）至100分的，按当月基本价款的100%结算；</w:t>
      </w:r>
    </w:p>
    <w:p w14:paraId="1AD519B8">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（2）在</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月度绩效考核中得分为85分（含85分）至90分的，按当月基本价款的95%结算；</w:t>
      </w:r>
    </w:p>
    <w:p w14:paraId="7C4865CE">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（3）在</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月度绩效考核中得分为80分（含80分）至85分的，按当月基本价款的90%结算；</w:t>
      </w:r>
    </w:p>
    <w:p w14:paraId="0076985C">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（4）在</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月度绩效考核中实际得分为80分以下的，每减少n分按当月基本价款（90%-2%*n）结算。注：n=80-实际得分</w:t>
      </w:r>
    </w:p>
    <w:p w14:paraId="60BFB319">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设村（社区）月度专项考核扣款。根据各村（社区）月度运行管理考核得分，实行分档扣款：考核得分低于90分（含 80分至89.9分），每村扣减资金2000元；考核得分低于80分（含60分至79.9分），每村扣减资金4000元；考核得分低于60分，每村扣减资金6000元。上述考核扣款经汇总核定后，统一计入当月基本价款予以结算。</w:t>
      </w:r>
    </w:p>
    <w:p w14:paraId="3546B055">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3</w:t>
      </w:r>
      <w:r>
        <w:rPr>
          <w:rFonts w:hint="eastAsia" w:ascii="仿宋" w:hAnsi="仿宋" w:eastAsia="仿宋" w:cs="仿宋"/>
          <w:sz w:val="24"/>
          <w:highlight w:val="none"/>
          <w:lang w:eastAsia="zh-CN"/>
        </w:rPr>
        <w:t>、</w:t>
      </w:r>
      <w:r>
        <w:rPr>
          <w:rFonts w:hint="eastAsia" w:ascii="仿宋" w:hAnsi="仿宋" w:eastAsia="仿宋" w:cs="仿宋"/>
          <w:sz w:val="24"/>
          <w:highlight w:val="none"/>
        </w:rPr>
        <w:t>环境卫生管理中心单独考核，考核结果与合同款相挂钩，镇五位一体办按环境卫生管理中心月度绩效考核评分组织月度考评，得分在90分（不含90分）以下的，具体得分在80-90（含80分），每减少0.1分，在月度合同款结算价的基础上减少0.2%的基础价款；得分在80分（不含80分）以下的，每减少0.1分，在月度合同款结算价的基础上减少0.5%的基础价款。</w:t>
      </w:r>
    </w:p>
    <w:p w14:paraId="73E7818C">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lang w:val="en-US" w:eastAsia="zh-CN"/>
        </w:rPr>
        <w:t>4</w:t>
      </w:r>
      <w:r>
        <w:rPr>
          <w:rFonts w:hint="eastAsia" w:ascii="仿宋" w:hAnsi="仿宋" w:eastAsia="仿宋" w:cs="仿宋"/>
          <w:sz w:val="24"/>
          <w:highlight w:val="none"/>
          <w:lang w:eastAsia="zh-CN"/>
        </w:rPr>
        <w:t>、</w:t>
      </w:r>
      <w:r>
        <w:rPr>
          <w:rFonts w:hint="eastAsia" w:ascii="仿宋" w:hAnsi="仿宋" w:eastAsia="仿宋" w:cs="仿宋"/>
          <w:sz w:val="24"/>
          <w:highlight w:val="none"/>
        </w:rPr>
        <w:t>结果运用：</w:t>
      </w:r>
    </w:p>
    <w:p w14:paraId="1361BB71">
      <w:pPr>
        <w:spacing w:line="360" w:lineRule="auto"/>
        <w:ind w:firstLine="480" w:firstLineChars="200"/>
        <w:rPr>
          <w:rFonts w:hint="eastAsia" w:ascii="仿宋" w:hAnsi="仿宋" w:eastAsia="仿宋" w:cs="仿宋"/>
          <w:sz w:val="24"/>
          <w:highlight w:val="none"/>
        </w:rPr>
      </w:pPr>
      <w:r>
        <w:rPr>
          <w:rFonts w:hint="eastAsia" w:ascii="仿宋" w:hAnsi="仿宋" w:eastAsia="仿宋" w:cs="仿宋"/>
          <w:sz w:val="24"/>
          <w:highlight w:val="none"/>
        </w:rPr>
        <w:t>月度结算支付款=每月</w:t>
      </w:r>
      <w:r>
        <w:rPr>
          <w:rFonts w:hint="eastAsia" w:ascii="仿宋" w:hAnsi="仿宋" w:eastAsia="仿宋" w:cs="仿宋"/>
          <w:sz w:val="24"/>
          <w:highlight w:val="none"/>
          <w:lang w:eastAsia="zh-CN"/>
        </w:rPr>
        <w:t>招标人</w:t>
      </w:r>
      <w:r>
        <w:rPr>
          <w:rFonts w:hint="eastAsia" w:ascii="仿宋" w:hAnsi="仿宋" w:eastAsia="仿宋" w:cs="仿宋"/>
          <w:sz w:val="24"/>
          <w:highlight w:val="none"/>
        </w:rPr>
        <w:t>绩效考核结果-日常巡查考核扣款（含后装式压缩车清运频次专项考核）-管理运行考核扣款（含人员配备、不适岗专项考核）-来信来访考核扣款-村（社区）月度专项考核扣款-环境卫生管理中心运行考核扣款。</w:t>
      </w:r>
    </w:p>
    <w:p w14:paraId="2760A0F7">
      <w:pPr>
        <w:spacing w:line="360" w:lineRule="auto"/>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九</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违约责任</w:t>
      </w:r>
    </w:p>
    <w:p w14:paraId="410BDF13">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1、</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不得擅自更换项目负责人，否则</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有权终止合同，并有权将</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的履约保证金作为违约金处理，且不予以退还。如出现特殊情况确需更换的，应当由</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提出申请（更换的项目负责人其工作经验、业绩、管理能力等必须满足《考核细则》中的相应要求）并提供必要的证明文件报</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审核批准后方可更换。</w:t>
      </w:r>
    </w:p>
    <w:p w14:paraId="7F79B058">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2、</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不得超过自己履约能力接受该项任务，该工作不允许转包或分包，若发现有转包或分包的行为，</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有权解除合同，并有权将</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的履约保证金作为违约金处理，且不予以退还。</w:t>
      </w:r>
    </w:p>
    <w:p w14:paraId="7A6F1501">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3、</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人员配备不能满足</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《考核细则》中人员配备，片长及以上管理人员每少1人的，每月按月度结算支付款3%扣罚，一般人员每少1人的每月按月度结算支付款1%扣罚。</w:t>
      </w:r>
    </w:p>
    <w:p w14:paraId="1285BD14">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合同执行期内，摊销期满设备在期满后一个月内未购置</w:t>
      </w:r>
      <w:r>
        <w:rPr>
          <w:rFonts w:hint="eastAsia" w:ascii="仿宋" w:hAnsi="仿宋" w:eastAsia="仿宋" w:cs="仿宋"/>
          <w:sz w:val="24"/>
          <w:szCs w:val="24"/>
          <w:highlight w:val="none"/>
          <w:lang w:val="en-US" w:eastAsia="zh-CN"/>
        </w:rPr>
        <w:t>或租赁</w:t>
      </w:r>
      <w:r>
        <w:rPr>
          <w:rFonts w:hint="eastAsia" w:ascii="仿宋" w:hAnsi="仿宋" w:eastAsia="仿宋" w:cs="仿宋"/>
          <w:sz w:val="24"/>
          <w:szCs w:val="24"/>
          <w:highlight w:val="none"/>
        </w:rPr>
        <w:t>到位，</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有权要求</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限期整改，逾期未整改的，每月按月度结算支付款的2%扣罚；本合同签订后一个月内未按照本项目承包范围及内容完成一次全面大清理的按年度合同款的2%扣罚。</w:t>
      </w:r>
    </w:p>
    <w:p w14:paraId="2FB36988">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5、</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未给所用员工缴纳相关社会保险、商业保险的发现一例扣罚10000元，并及时补交到位；符合职工参保年龄人员工资实际发放不得低于如东县职工工资最低标准。各岗位实际发放工资不得低于投标分项报价中的人工单价，不得拖欠工人工资，以上情况发现一例扣罚10000元，并及时补足相应工资。</w:t>
      </w:r>
    </w:p>
    <w:p w14:paraId="10E441E7">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因</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管理不善或操作不当等原因发生的事故并对</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或第三方造成人身、财产等损害的，由</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负责妥善处理并承担由此产生的一切责任，造成</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经济损失的，</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应给予</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经济赔偿。如若发生人身、财产安全事故的，由</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妥善处理并承担由此产生的一切责任的，如若</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不妥善处理，</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有权解除本合同，并有权将</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的履约保证金作为违约金处理，且不予以退还。</w:t>
      </w:r>
    </w:p>
    <w:p w14:paraId="1FC0F6F0">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7、</w:t>
      </w:r>
      <w:r>
        <w:rPr>
          <w:rFonts w:hint="eastAsia" w:ascii="仿宋" w:hAnsi="仿宋" w:eastAsia="仿宋" w:cs="仿宋"/>
          <w:sz w:val="24"/>
          <w:szCs w:val="24"/>
          <w:highlight w:val="none"/>
        </w:rPr>
        <w:t>因</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由于管理或劳资纠纷引起赴县及以上单位上访的，有一例扣除当月金额10000元。</w:t>
      </w:r>
    </w:p>
    <w:p w14:paraId="48CE1B9F">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8、</w:t>
      </w:r>
      <w:r>
        <w:rPr>
          <w:rFonts w:hint="eastAsia" w:ascii="仿宋" w:hAnsi="仿宋" w:eastAsia="仿宋" w:cs="仿宋"/>
          <w:sz w:val="24"/>
          <w:szCs w:val="24"/>
          <w:highlight w:val="none"/>
        </w:rPr>
        <w:t>被县及以上部门曝光通报的，对不称职人员不予清退的（</w:t>
      </w:r>
      <w:r>
        <w:rPr>
          <w:rFonts w:hint="eastAsia" w:ascii="仿宋" w:hAnsi="仿宋" w:eastAsia="仿宋" w:cs="仿宋"/>
          <w:sz w:val="24"/>
          <w:szCs w:val="24"/>
          <w:highlight w:val="none"/>
          <w:lang w:eastAsia="zh-CN"/>
        </w:rPr>
        <w:t>投标供应商</w:t>
      </w:r>
      <w:r>
        <w:rPr>
          <w:rFonts w:hint="eastAsia" w:ascii="仿宋" w:hAnsi="仿宋" w:eastAsia="仿宋" w:cs="仿宋"/>
          <w:sz w:val="24"/>
          <w:szCs w:val="24"/>
          <w:highlight w:val="none"/>
        </w:rPr>
        <w:t>对缺岗、工作不到位的保洁人员进行教育，对累计被</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、村三次处罚的人员予以清退），</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将在本合同价款中扣除每次每人每月10000元。</w:t>
      </w:r>
    </w:p>
    <w:p w14:paraId="260672B6">
      <w:pPr>
        <w:spacing w:line="360" w:lineRule="auto"/>
        <w:ind w:firstLine="480" w:firstLineChars="200"/>
        <w:rPr>
          <w:rFonts w:hint="eastAsia" w:ascii="仿宋" w:hAnsi="仿宋" w:eastAsia="仿宋" w:cs="仿宋"/>
          <w:sz w:val="24"/>
          <w:szCs w:val="24"/>
          <w:highlight w:val="none"/>
        </w:rPr>
      </w:pPr>
      <w:r>
        <w:rPr>
          <w:rFonts w:hint="eastAsia" w:ascii="仿宋" w:hAnsi="仿宋" w:eastAsia="仿宋" w:cs="仿宋"/>
          <w:sz w:val="24"/>
          <w:szCs w:val="24"/>
          <w:highlight w:val="none"/>
          <w:lang w:val="en-US" w:eastAsia="zh-CN"/>
        </w:rPr>
        <w:t>9、</w:t>
      </w:r>
      <w:r>
        <w:rPr>
          <w:rFonts w:hint="eastAsia" w:ascii="仿宋" w:hAnsi="仿宋" w:eastAsia="仿宋" w:cs="仿宋"/>
          <w:sz w:val="24"/>
          <w:szCs w:val="24"/>
          <w:highlight w:val="none"/>
        </w:rPr>
        <w:t>根据相关要求、实际情况,《考核细则》进行相应调整或增加内容的，</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若不服从的，</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有权解除本合同，并有权将</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的履约保证金作为违约金处理，且不予以退还。</w:t>
      </w:r>
    </w:p>
    <w:p w14:paraId="606B82B0">
      <w:pPr>
        <w:spacing w:line="360" w:lineRule="auto"/>
        <w:ind w:firstLine="480" w:firstLineChars="200"/>
        <w:rPr>
          <w:rFonts w:hint="eastAsia" w:ascii="仿宋" w:hAnsi="仿宋" w:eastAsia="仿宋" w:cs="仿宋"/>
          <w:i/>
          <w:iCs/>
          <w:strike/>
          <w:sz w:val="24"/>
          <w:szCs w:val="24"/>
          <w:highlight w:val="none"/>
          <w:u w:val="single"/>
        </w:rPr>
      </w:pPr>
      <w:r>
        <w:rPr>
          <w:rFonts w:hint="eastAsia" w:ascii="仿宋" w:hAnsi="仿宋" w:eastAsia="仿宋" w:cs="仿宋"/>
          <w:sz w:val="24"/>
          <w:szCs w:val="24"/>
          <w:highlight w:val="none"/>
          <w:lang w:val="en-US" w:eastAsia="zh-CN"/>
        </w:rPr>
        <w:t>10、</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有因保洁作业项目被媒体曝光、上级批评或发生群体事件，造成恶劣影响的；全年在</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月度考核累计三次低于80分的；对</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就同一类问题发出书面整改通知三次以上未能整改的；</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违反劳动法律、法规或规章，不能妥善平息与</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员工之间劳资争议的；因重大节日或重大活动</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对</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交办的突击性工作不能按时完成，造成恶劣影响等上述情形之一的，</w:t>
      </w:r>
      <w:r>
        <w:rPr>
          <w:rFonts w:hint="eastAsia" w:ascii="仿宋" w:hAnsi="仿宋" w:eastAsia="仿宋" w:cs="仿宋"/>
          <w:sz w:val="24"/>
          <w:szCs w:val="24"/>
          <w:highlight w:val="none"/>
          <w:lang w:eastAsia="zh-CN"/>
        </w:rPr>
        <w:t>招标人</w:t>
      </w:r>
      <w:r>
        <w:rPr>
          <w:rFonts w:hint="eastAsia" w:ascii="仿宋" w:hAnsi="仿宋" w:eastAsia="仿宋" w:cs="仿宋"/>
          <w:sz w:val="24"/>
          <w:szCs w:val="24"/>
          <w:highlight w:val="none"/>
        </w:rPr>
        <w:t>有权解除合同，并有权将</w:t>
      </w:r>
      <w:r>
        <w:rPr>
          <w:rFonts w:hint="eastAsia" w:ascii="仿宋" w:hAnsi="仿宋" w:eastAsia="仿宋" w:cs="仿宋"/>
          <w:sz w:val="24"/>
          <w:highlight w:val="none"/>
          <w:lang w:val="en-US" w:eastAsia="zh-CN"/>
        </w:rPr>
        <w:t>中标</w:t>
      </w:r>
      <w:r>
        <w:rPr>
          <w:rFonts w:hint="eastAsia" w:ascii="仿宋" w:hAnsi="仿宋" w:eastAsia="仿宋" w:cs="仿宋"/>
          <w:sz w:val="24"/>
          <w:highlight w:val="none"/>
          <w:lang w:eastAsia="zh-CN"/>
        </w:rPr>
        <w:t>供应商</w:t>
      </w:r>
      <w:r>
        <w:rPr>
          <w:rFonts w:hint="eastAsia" w:ascii="仿宋" w:hAnsi="仿宋" w:eastAsia="仿宋" w:cs="仿宋"/>
          <w:sz w:val="24"/>
          <w:szCs w:val="24"/>
          <w:highlight w:val="none"/>
        </w:rPr>
        <w:t>的履约保证金作为违约金处理，且不予以退还。</w:t>
      </w:r>
    </w:p>
    <w:p w14:paraId="17817A39">
      <w:pPr>
        <w:spacing w:line="360" w:lineRule="auto"/>
        <w:ind w:firstLine="482" w:firstLineChars="200"/>
        <w:rPr>
          <w:rFonts w:hint="eastAsia" w:ascii="仿宋" w:hAnsi="仿宋" w:eastAsia="仿宋" w:cs="仿宋"/>
          <w:b/>
          <w:bCs/>
          <w:sz w:val="24"/>
          <w:highlight w:val="none"/>
        </w:rPr>
      </w:pPr>
      <w:r>
        <w:rPr>
          <w:rFonts w:hint="eastAsia" w:ascii="仿宋" w:hAnsi="仿宋" w:eastAsia="仿宋" w:cs="仿宋"/>
          <w:b/>
          <w:bCs/>
          <w:sz w:val="24"/>
          <w:highlight w:val="none"/>
          <w:lang w:eastAsia="zh-CN"/>
        </w:rPr>
        <w:t>（</w:t>
      </w:r>
      <w:r>
        <w:rPr>
          <w:rFonts w:hint="eastAsia" w:ascii="仿宋" w:hAnsi="仿宋" w:eastAsia="仿宋" w:cs="仿宋"/>
          <w:b/>
          <w:bCs/>
          <w:sz w:val="24"/>
          <w:highlight w:val="none"/>
          <w:lang w:val="en-US" w:eastAsia="zh-CN"/>
        </w:rPr>
        <w:t>十</w:t>
      </w:r>
      <w:r>
        <w:rPr>
          <w:rFonts w:hint="eastAsia" w:ascii="仿宋" w:hAnsi="仿宋" w:eastAsia="仿宋" w:cs="仿宋"/>
          <w:b/>
          <w:bCs/>
          <w:sz w:val="24"/>
          <w:highlight w:val="none"/>
          <w:lang w:eastAsia="zh-CN"/>
        </w:rPr>
        <w:t>）</w:t>
      </w:r>
      <w:r>
        <w:rPr>
          <w:rFonts w:hint="eastAsia" w:ascii="仿宋" w:hAnsi="仿宋" w:eastAsia="仿宋" w:cs="仿宋"/>
          <w:b/>
          <w:bCs/>
          <w:sz w:val="24"/>
          <w:highlight w:val="none"/>
        </w:rPr>
        <w:t>注意事项</w:t>
      </w:r>
    </w:p>
    <w:p w14:paraId="5D3A9FD7">
      <w:pPr>
        <w:pStyle w:val="14"/>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1</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本项目招标人不统一组织集中现场踏勘，由</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自行安排时间赴全部管护区域开展实地尽调，踏勘产生的交通、人员等一切费用由</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自行承担，踏勘期间安全责任由</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自负。中标单位不得以不了解现场情况为由而要求另行增加费用。</w:t>
      </w:r>
    </w:p>
    <w:p w14:paraId="2D12F1B8">
      <w:pPr>
        <w:pStyle w:val="14"/>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2</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须实地核查管护范围内道路、河道、绿化、公共区域、背街小巷、村居、工业园区、环境卫生管理中心、垃圾收集点、垃圾产生规模、作业难度、通行条件、季节垃圾波动、周边客观制约条件等全部现实状况。招标文件提供的管护面积、点位清单、范围示意图等资料仅作参考，不作为现场实际依据，一切以实地现状为准。</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应结合现场实际编制管护实施方案、测算投标报价。</w:t>
      </w:r>
    </w:p>
    <w:p w14:paraId="4ACFE7ED">
      <w:pPr>
        <w:pStyle w:val="14"/>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3</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提交投标文件，即视作已完成充分现场实地尽调；无论</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是否实际赴现场，均视为已完全知晓、认可全部管护现场现状，对人居环境长效管护各类作业风险已充分预判。</w:t>
      </w:r>
    </w:p>
    <w:p w14:paraId="25013EE6">
      <w:pPr>
        <w:pStyle w:val="14"/>
        <w:spacing w:line="360" w:lineRule="auto"/>
        <w:ind w:firstLine="482" w:firstLineChars="20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4</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风险责任划分：履约期间，凡因</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现场尽调疏漏、现场情况研判失误、对管护现状理解偏差，导致报价漏项、人员设备配置不足、管护方案与现场不匹配、成本超支、服务考核不达标等全部后果，由此产生的经济损失与履约风险，均由中标人自行承担。采购人不因此调整合同价款，不给予任何补偿，</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不得以此为由提出调价、索赔、变更合同等诉求。</w:t>
      </w:r>
    </w:p>
    <w:p w14:paraId="3BD6C231">
      <w:pPr>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5</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本项目为乡镇农村人居环境长效管护服务，人工成本为项目主要成本。</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报价须充分结合当地管护、环卫行业人员平均薪酬水平、当地最低工资标准、社保缴纳、高温津贴、意外伤害保险、加班工资、劳保福利等全部用工成本进行测算。</w:t>
      </w:r>
    </w:p>
    <w:p w14:paraId="38E493F7">
      <w:pPr>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6</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须按招标文件要求提供分项报价表，清晰列明本项目拟投入各岗位人员工资、社保、各类津贴福利等价格组成。</w:t>
      </w:r>
      <w:r>
        <w:rPr>
          <w:rFonts w:ascii="仿宋" w:hAnsi="仿宋" w:eastAsia="仿宋" w:cs="仿宋"/>
          <w:b/>
          <w:bCs/>
          <w:sz w:val="24"/>
          <w:szCs w:val="24"/>
          <w:highlight w:val="none"/>
        </w:rPr>
        <w:t>招标文件附件提供的采购人近五年行业各</w:t>
      </w:r>
      <w:r>
        <w:rPr>
          <w:rFonts w:hint="eastAsia" w:ascii="仿宋" w:hAnsi="仿宋" w:eastAsia="仿宋" w:cs="仿宋"/>
          <w:b/>
          <w:bCs/>
          <w:sz w:val="24"/>
          <w:szCs w:val="24"/>
          <w:highlight w:val="none"/>
        </w:rPr>
        <w:t>岗位</w:t>
      </w:r>
      <w:r>
        <w:rPr>
          <w:rFonts w:ascii="仿宋" w:hAnsi="仿宋" w:eastAsia="仿宋" w:cs="仿宋"/>
          <w:b/>
          <w:bCs/>
          <w:sz w:val="24"/>
          <w:szCs w:val="24"/>
          <w:highlight w:val="none"/>
        </w:rPr>
        <w:t>薪资水平仅供</w:t>
      </w:r>
      <w:r>
        <w:rPr>
          <w:rFonts w:hint="eastAsia" w:ascii="仿宋" w:hAnsi="仿宋" w:eastAsia="仿宋" w:cs="仿宋"/>
          <w:b/>
          <w:bCs/>
          <w:sz w:val="24"/>
          <w:szCs w:val="24"/>
          <w:highlight w:val="none"/>
          <w:lang w:eastAsia="zh-CN"/>
        </w:rPr>
        <w:t>投标供应商</w:t>
      </w:r>
      <w:r>
        <w:rPr>
          <w:rFonts w:ascii="仿宋" w:hAnsi="仿宋" w:eastAsia="仿宋" w:cs="仿宋"/>
          <w:b/>
          <w:bCs/>
          <w:sz w:val="24"/>
          <w:szCs w:val="24"/>
          <w:highlight w:val="none"/>
        </w:rPr>
        <w:t>参考，不对</w:t>
      </w:r>
      <w:r>
        <w:rPr>
          <w:rFonts w:hint="eastAsia" w:ascii="仿宋" w:hAnsi="仿宋" w:eastAsia="仿宋" w:cs="仿宋"/>
          <w:b/>
          <w:bCs/>
          <w:sz w:val="24"/>
          <w:szCs w:val="24"/>
          <w:highlight w:val="none"/>
          <w:lang w:eastAsia="zh-CN"/>
        </w:rPr>
        <w:t>投标供应商</w:t>
      </w:r>
      <w:r>
        <w:rPr>
          <w:rFonts w:ascii="仿宋" w:hAnsi="仿宋" w:eastAsia="仿宋" w:cs="仿宋"/>
          <w:b/>
          <w:bCs/>
          <w:sz w:val="24"/>
          <w:szCs w:val="24"/>
          <w:highlight w:val="none"/>
        </w:rPr>
        <w:t>构成任何约束。</w:t>
      </w:r>
      <w:r>
        <w:rPr>
          <w:rFonts w:hint="eastAsia" w:ascii="仿宋" w:hAnsi="仿宋" w:eastAsia="仿宋" w:cs="仿宋"/>
          <w:b/>
          <w:bCs/>
          <w:sz w:val="24"/>
          <w:szCs w:val="24"/>
          <w:highlight w:val="none"/>
          <w:lang w:eastAsia="zh-CN"/>
        </w:rPr>
        <w:t>投标供应商</w:t>
      </w:r>
      <w:r>
        <w:rPr>
          <w:rFonts w:ascii="仿宋" w:hAnsi="仿宋" w:eastAsia="仿宋" w:cs="仿宋"/>
          <w:b/>
          <w:bCs/>
          <w:sz w:val="24"/>
          <w:szCs w:val="24"/>
          <w:highlight w:val="none"/>
        </w:rPr>
        <w:t>应自行开展市场调研，结合自身经营管理能力，自主测算本项目全部报价。</w:t>
      </w:r>
    </w:p>
    <w:p w14:paraId="340D2D1E">
      <w:pPr>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7</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若投标文件测算的人员成本显著低于当地同行业正常平均水平，评标委员会有权按照异常低价审查程序，要求</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作出书面解释并提供成本测算依据。</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无法合理解释、无法提供有效证明材料的，评标委员会可认定其投标无效。</w:t>
      </w:r>
    </w:p>
    <w:p w14:paraId="7888AF30">
      <w:pPr>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8</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递交投标文件，即视为已充分评估本项目全部用工成本风险。因</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自身对当地用工薪酬研判不足、人员成本测算过低，造成中标后人员配置不足、工资社保无法足额落实、人员流失、管护服务不达标等全部后果，全部经济损失、履约风险由中标</w:t>
      </w:r>
      <w:r>
        <w:rPr>
          <w:rFonts w:hint="eastAsia" w:ascii="仿宋" w:hAnsi="仿宋" w:eastAsia="仿宋" w:cs="仿宋"/>
          <w:b/>
          <w:bCs/>
          <w:sz w:val="24"/>
          <w:szCs w:val="24"/>
          <w:highlight w:val="none"/>
          <w:lang w:eastAsia="zh-CN"/>
        </w:rPr>
        <w:t>投标供应商</w:t>
      </w:r>
      <w:r>
        <w:rPr>
          <w:rFonts w:hint="eastAsia" w:ascii="仿宋" w:hAnsi="仿宋" w:eastAsia="仿宋" w:cs="仿宋"/>
          <w:b/>
          <w:bCs/>
          <w:sz w:val="24"/>
          <w:szCs w:val="24"/>
          <w:highlight w:val="none"/>
        </w:rPr>
        <w:t>自行承担，采购人不予调价、不予补偿。</w:t>
      </w:r>
    </w:p>
    <w:p w14:paraId="2B4EBD53">
      <w:pPr>
        <w:spacing w:line="360" w:lineRule="auto"/>
        <w:ind w:firstLine="480"/>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9</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中标后，中标人必须依法足额发放人员工资、缴纳社保及落实法定津贴。若实际发放薪酬显著低于投标测算成本、低于法定标准，采购人有权按合同约定扣罚违约金、暂停付款，情节严重的有权解除合同。</w:t>
      </w:r>
    </w:p>
    <w:p w14:paraId="62DD0F63">
      <w:pPr>
        <w:spacing w:line="360" w:lineRule="auto"/>
        <w:ind w:firstLine="480"/>
        <w:rPr>
          <w:rFonts w:hint="eastAsia" w:ascii="华文仿宋" w:hAnsi="华文仿宋" w:eastAsia="华文仿宋" w:cs="华文仿宋"/>
          <w:b/>
          <w:bCs/>
          <w:sz w:val="24"/>
          <w:szCs w:val="24"/>
          <w:highlight w:val="none"/>
          <w:lang w:val="en-US" w:eastAsia="zh-CN" w:bidi="ar-SA"/>
        </w:rPr>
      </w:pPr>
      <w:r>
        <w:rPr>
          <w:rFonts w:hint="eastAsia" w:ascii="仿宋" w:hAnsi="仿宋" w:eastAsia="仿宋" w:cs="仿宋"/>
          <w:b/>
          <w:bCs/>
          <w:sz w:val="24"/>
          <w:szCs w:val="24"/>
          <w:highlight w:val="none"/>
        </w:rPr>
        <w:t>10</w:t>
      </w:r>
      <w:r>
        <w:rPr>
          <w:rFonts w:hint="eastAsia" w:ascii="仿宋" w:hAnsi="仿宋" w:eastAsia="仿宋" w:cs="仿宋"/>
          <w:b/>
          <w:bCs/>
          <w:sz w:val="24"/>
          <w:szCs w:val="24"/>
          <w:highlight w:val="none"/>
          <w:lang w:eastAsia="zh-CN"/>
        </w:rPr>
        <w:t>、</w:t>
      </w:r>
      <w:r>
        <w:rPr>
          <w:rFonts w:hint="eastAsia" w:ascii="仿宋" w:hAnsi="仿宋" w:eastAsia="仿宋" w:cs="仿宋"/>
          <w:b/>
          <w:bCs/>
          <w:sz w:val="24"/>
          <w:szCs w:val="24"/>
          <w:highlight w:val="none"/>
        </w:rPr>
        <w:t>中标单位必须在15天内与原服务单位做好交接工作。</w:t>
      </w:r>
    </w:p>
    <w:p w14:paraId="6978E1B6">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六、采购标的的验收标准、方法、时间</w:t>
      </w:r>
    </w:p>
    <w:p w14:paraId="65593F1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1. 验收标准：以本项目采购文件、投标文件、合同约定及国家、地方环卫作业质量标准为验收依据，全域环境卫生达标、作业规范、台账齐全、无重大卫生问题、无违规履约行为，即为服务达标、验收合格。</w:t>
      </w:r>
    </w:p>
    <w:p w14:paraId="0EF51690">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2. 验收方法：采用日常考核、月度考评、季度综合验收、年度总体验收相结合的方式，通过现场实地核查、台账资料审核、问题整改复核、各级督查结果汇总等方式综合评定。</w:t>
      </w:r>
    </w:p>
    <w:p w14:paraId="72D51DE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华文仿宋" w:hAnsi="华文仿宋" w:eastAsia="华文仿宋" w:cs="华文仿宋"/>
          <w:sz w:val="24"/>
          <w:szCs w:val="24"/>
          <w:highlight w:val="none"/>
          <w:lang w:val="en-US" w:eastAsia="zh-CN" w:bidi="ar-SA"/>
        </w:rPr>
      </w:pPr>
      <w:r>
        <w:rPr>
          <w:rFonts w:hint="eastAsia" w:ascii="华文仿宋" w:hAnsi="华文仿宋" w:eastAsia="华文仿宋" w:cs="华文仿宋"/>
          <w:sz w:val="24"/>
          <w:szCs w:val="24"/>
          <w:highlight w:val="none"/>
          <w:lang w:val="en-US" w:eastAsia="zh-CN" w:bidi="ar-SA"/>
        </w:rPr>
        <w:t>3. 验收时间：供应商提交完整验收申请及全套履约资料后，采购人在7个工作日内组织完成验收工作。</w:t>
      </w:r>
    </w:p>
    <w:p w14:paraId="14CA77CA">
      <w:pPr>
        <w:pStyle w:val="4"/>
        <w:keepNext w:val="0"/>
        <w:keepLines w:val="0"/>
        <w:pageBreakBefore w:val="0"/>
        <w:widowControl/>
        <w:suppressLineNumbers w:val="0"/>
        <w:kinsoku/>
        <w:wordWrap/>
        <w:overflowPunct/>
        <w:topLinePunct w:val="0"/>
        <w:autoSpaceDE/>
        <w:autoSpaceDN/>
        <w:bidi w:val="0"/>
        <w:adjustRightInd/>
        <w:snapToGrid/>
        <w:spacing w:before="0" w:after="0" w:line="360" w:lineRule="auto"/>
        <w:jc w:val="left"/>
        <w:textAlignment w:val="auto"/>
        <w:rPr>
          <w:rFonts w:hint="eastAsia" w:ascii="华文仿宋" w:hAnsi="华文仿宋" w:eastAsia="华文仿宋" w:cs="华文仿宋"/>
          <w:b/>
          <w:bCs/>
          <w:sz w:val="24"/>
          <w:szCs w:val="24"/>
          <w:highlight w:val="none"/>
          <w:lang w:val="en-US" w:eastAsia="zh-CN" w:bidi="ar-SA"/>
        </w:rPr>
      </w:pPr>
      <w:r>
        <w:rPr>
          <w:rFonts w:hint="eastAsia" w:ascii="华文仿宋" w:hAnsi="华文仿宋" w:eastAsia="华文仿宋" w:cs="华文仿宋"/>
          <w:b/>
          <w:bCs/>
          <w:sz w:val="24"/>
          <w:szCs w:val="24"/>
          <w:highlight w:val="none"/>
          <w:lang w:val="en-US" w:eastAsia="zh-CN" w:bidi="ar-SA"/>
        </w:rPr>
        <w:t>七、采购标的的其他技术、服务等要求</w:t>
      </w:r>
      <w:r>
        <w:rPr>
          <w:rFonts w:hint="eastAsia" w:ascii="仿宋" w:hAnsi="仿宋" w:eastAsia="仿宋" w:cs="仿宋"/>
          <w:b/>
          <w:bCs/>
          <w:color w:val="auto"/>
          <w:sz w:val="24"/>
          <w:szCs w:val="24"/>
          <w:highlight w:val="none"/>
        </w:rPr>
        <w:t>（增加商品包装、快递包装的相关要求）</w:t>
      </w:r>
    </w:p>
    <w:p w14:paraId="335626D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1.商品包装环保要求：</w:t>
      </w:r>
    </w:p>
    <w:p w14:paraId="5770DE0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（1）商品包装层数不得超过 3 层，空隙率不大于 40%；</w:t>
      </w:r>
    </w:p>
    <w:p w14:paraId="3B054BB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（2）商品包装尽可能使用单一材质的包装材料，如因功能需求必需使用不同材质，不同材质间应便于分离；</w:t>
      </w:r>
    </w:p>
    <w:p w14:paraId="5DC5EF2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（3）商品包装中铅、汞、镉、六价铬的总含量应不大于100mg/kg；</w:t>
      </w:r>
    </w:p>
    <w:p w14:paraId="764EFE4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（4）商品包装印刷使用的油墨中挥发性有机化合物(VOCs)含量应不大于 5%（以重量计）；</w:t>
      </w:r>
    </w:p>
    <w:p w14:paraId="2F1C1CF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（5）塑料材质商品包装上呈现的印刷颜色不得超过 6 色；</w:t>
      </w:r>
    </w:p>
    <w:p w14:paraId="3AA4E8EE">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（6）纸质商品包装应使用 75%以上的可再生纤维原料生产；</w:t>
      </w:r>
    </w:p>
    <w:p w14:paraId="7B8FCDEC">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（7）木质商品包装的原料应来源于可持续性森林。</w:t>
      </w:r>
    </w:p>
    <w:p w14:paraId="5FFA5582">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2.快递包装环保要求：</w:t>
      </w:r>
    </w:p>
    <w:p w14:paraId="5881DFD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（1）快递包装中重金属（铅、汞、镉、六价铬）总量应不大于 100mg/kg；</w:t>
      </w:r>
    </w:p>
    <w:p w14:paraId="33D878A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（2）快递包装印刷使用的油墨中不应添加邻苯二甲酸酯，其挥发性有机化合物(VOCs)含量应不大于5%（以重量计）；</w:t>
      </w:r>
    </w:p>
    <w:p w14:paraId="62448F0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（3）快递包装中使用纸基材的包装材料，纸基材中的有机氯的含量应不大于 150 mg/kg；</w:t>
      </w:r>
    </w:p>
    <w:p w14:paraId="7F747AD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（4）快递包装中使用塑料基材的包装材料不得使用邻苯二甲酸二异壬酯、邻苯二甲酸二正辛酯、邻苯二甲酸二(2-乙基)己酯、邻苯二甲酸二异癸酯、邻苯二甲酸丁基苄基酯、邻苯二甲酸二丁酯等作为增塑剂；</w:t>
      </w:r>
    </w:p>
    <w:p w14:paraId="0C0A8F3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（5）快递中使用的塑料包装袋不得使用聚氯乙烯作为原料，且原料应为单一材质制成，生物分解率大于60%；</w:t>
      </w:r>
    </w:p>
    <w:p w14:paraId="3919EA2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（6）快递中使用的充气类填充物不得使用聚氯乙烯作为 原料，且原料为单一材质制成，生物分解率大于60%；</w:t>
      </w:r>
    </w:p>
    <w:p w14:paraId="048D00B7">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（7）快递中使用的集装袋应为单一材质制成，其重复使用次数应不小于 80 次；</w:t>
      </w:r>
    </w:p>
    <w:p w14:paraId="6CC78ACF">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（8）快递中应使用幅宽不大于45mm 的生物降解胶带；</w:t>
      </w:r>
    </w:p>
    <w:p w14:paraId="70274C19">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（9）快递包装中不得使用溶剂型胶粘剂；</w:t>
      </w:r>
    </w:p>
    <w:p w14:paraId="6ECA29AD">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（10）快递应使用电子面单；</w:t>
      </w:r>
    </w:p>
    <w:p w14:paraId="0874C62B">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（11）直接使用商品包装作为快递包装的商品，其商品包装满足《商品包装政府采购需求标准（试行）》即可；</w:t>
      </w:r>
    </w:p>
    <w:p w14:paraId="0B8E9E45">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（12）快递包装产品质量和封装方式应符合相关国家或行业标准技术指标要求。</w:t>
      </w:r>
    </w:p>
    <w:p w14:paraId="1796C00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3.绿色数据中心</w:t>
      </w:r>
    </w:p>
    <w:p w14:paraId="15D8ED5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4.低挥发性有机化合物产品：本项目中如有涉及涂料、胶黏剂、油墨、清洗剂等挥发性有机物产品的，属于强制性标准的，供应商应当执行国家和我省VOCs含量限制标准。供应商提供符合推荐性标准的涂料、胶黏剂、油墨、清洗剂等挥发性有机物产品的，予以评审优惠。在通用类货物、家具、印刷、公务车辆维修等采购项目中，供应商应优先使用低挥发性原辅材料，将使用低VOCs含量的涂料、胶黏剂等纳入合同条款。</w:t>
      </w:r>
    </w:p>
    <w:p w14:paraId="2BD7A1C3">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5.节能环保产品：依据财政部、发展改革委发布的《节能产品政府采购品目清单》，本项目中有政府强制采购节能产品的（属于清单中打★品目的），只能选择具有国家确定的认证机构出具的、处于有效期之内的节能产品认证证书的产品进行报价，认证机构详见市场监管总局发布的《参与实施政府采购节能产品认证机构名录》和《参与实施政府采购环境标志产品认证机构名录》。</w:t>
      </w:r>
    </w:p>
    <w:p w14:paraId="7CD522C1">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val="0"/>
          <w:bCs w:val="0"/>
          <w:sz w:val="24"/>
          <w:szCs w:val="24"/>
          <w:highlight w:val="none"/>
        </w:rPr>
      </w:pPr>
      <w:r>
        <w:rPr>
          <w:rFonts w:hint="eastAsia" w:ascii="仿宋" w:hAnsi="仿宋" w:eastAsia="仿宋" w:cs="仿宋"/>
          <w:b w:val="0"/>
          <w:bCs w:val="0"/>
          <w:sz w:val="24"/>
          <w:szCs w:val="24"/>
          <w:highlight w:val="none"/>
        </w:rPr>
        <w:t>6.绿色低碳管理目标和服务要求：在物业、合同能源管理等服务类采购项目需求中，要强化绿色低碳管理目标和服务要求，促进绿色产品和服务推广应用。</w:t>
      </w:r>
    </w:p>
    <w:p w14:paraId="324DE6B6">
      <w:pPr>
        <w:keepNext w:val="0"/>
        <w:keepLines w:val="0"/>
        <w:pageBreakBefore w:val="0"/>
        <w:widowControl/>
        <w:suppressLineNumbers w:val="0"/>
        <w:kinsoku/>
        <w:wordWrap/>
        <w:overflowPunct/>
        <w:topLinePunct w:val="0"/>
        <w:autoSpaceDE/>
        <w:autoSpaceDN/>
        <w:bidi w:val="0"/>
        <w:adjustRightInd/>
        <w:snapToGrid/>
        <w:spacing w:line="360" w:lineRule="auto"/>
        <w:ind w:firstLine="480" w:firstLineChars="200"/>
        <w:jc w:val="left"/>
        <w:textAlignment w:val="auto"/>
        <w:rPr>
          <w:rFonts w:hint="eastAsia" w:ascii="仿宋" w:hAnsi="仿宋" w:eastAsia="仿宋" w:cs="仿宋"/>
          <w:b/>
          <w:bCs/>
          <w:sz w:val="24"/>
          <w:szCs w:val="24"/>
          <w:highlight w:val="none"/>
        </w:rPr>
      </w:pPr>
      <w:r>
        <w:rPr>
          <w:rFonts w:hint="eastAsia" w:ascii="仿宋" w:hAnsi="仿宋" w:eastAsia="仿宋" w:cs="仿宋"/>
          <w:b w:val="0"/>
          <w:bCs w:val="0"/>
          <w:sz w:val="24"/>
          <w:szCs w:val="24"/>
          <w:highlight w:val="none"/>
        </w:rPr>
        <w:t>7.采购的货物或者服务属信创产品目录内容内的，须遵照信创产品要求提供货物或服务。</w:t>
      </w:r>
    </w:p>
    <w:p w14:paraId="16097931">
      <w:pPr>
        <w:spacing w:line="360" w:lineRule="auto"/>
        <w:rPr>
          <w:rFonts w:hint="eastAsia" w:ascii="仿宋" w:hAnsi="仿宋" w:eastAsia="仿宋" w:cs="仿宋"/>
          <w:b/>
          <w:bCs/>
          <w:sz w:val="24"/>
          <w:szCs w:val="24"/>
          <w:highlight w:val="none"/>
        </w:rPr>
      </w:pPr>
    </w:p>
    <w:p w14:paraId="262D962B">
      <w:pPr>
        <w:spacing w:line="360" w:lineRule="auto"/>
        <w:rPr>
          <w:rFonts w:hint="eastAsia" w:ascii="仿宋" w:hAnsi="仿宋" w:eastAsia="仿宋" w:cs="仿宋"/>
          <w:b/>
          <w:bCs/>
          <w:sz w:val="24"/>
          <w:szCs w:val="24"/>
          <w:highlight w:val="none"/>
        </w:rPr>
      </w:pPr>
    </w:p>
    <w:p w14:paraId="04506A2A">
      <w:pPr>
        <w:pStyle w:val="35"/>
        <w:rPr>
          <w:rFonts w:hint="eastAsia" w:cs="Arial"/>
          <w:bCs/>
          <w:sz w:val="24"/>
          <w:szCs w:val="24"/>
          <w:highlight w:val="none"/>
        </w:rPr>
      </w:pPr>
    </w:p>
    <w:p w14:paraId="1C056E74">
      <w:pPr>
        <w:rPr>
          <w:rFonts w:hint="eastAsia" w:ascii="仿宋" w:hAnsi="仿宋" w:eastAsia="仿宋" w:cs="仿宋"/>
          <w:b/>
          <w:sz w:val="44"/>
          <w:highlight w:val="none"/>
        </w:rPr>
      </w:pPr>
      <w:bookmarkStart w:id="196" w:name="_Toc186493270"/>
      <w:r>
        <w:rPr>
          <w:rFonts w:hint="eastAsia" w:ascii="仿宋" w:hAnsi="仿宋" w:eastAsia="仿宋" w:cs="仿宋"/>
          <w:b/>
          <w:sz w:val="44"/>
          <w:highlight w:val="none"/>
        </w:rPr>
        <w:br w:type="page"/>
      </w:r>
    </w:p>
    <w:p w14:paraId="176B1D87">
      <w:pPr>
        <w:spacing w:line="360" w:lineRule="auto"/>
        <w:jc w:val="center"/>
        <w:outlineLvl w:val="0"/>
        <w:rPr>
          <w:rFonts w:hint="eastAsia" w:ascii="仿宋" w:hAnsi="仿宋" w:eastAsia="仿宋" w:cs="仿宋"/>
          <w:bCs/>
          <w:sz w:val="44"/>
          <w:highlight w:val="none"/>
        </w:rPr>
      </w:pPr>
      <w:r>
        <w:rPr>
          <w:rFonts w:hint="eastAsia" w:ascii="仿宋" w:hAnsi="仿宋" w:eastAsia="仿宋" w:cs="仿宋"/>
          <w:b/>
          <w:sz w:val="44"/>
          <w:highlight w:val="none"/>
        </w:rPr>
        <w:t>第五章  评标方</w:t>
      </w:r>
      <w:r>
        <w:rPr>
          <w:rFonts w:hint="eastAsia" w:ascii="仿宋" w:hAnsi="仿宋" w:eastAsia="仿宋" w:cs="仿宋"/>
          <w:b/>
          <w:bCs/>
          <w:sz w:val="44"/>
          <w:highlight w:val="none"/>
        </w:rPr>
        <w:t>法与评标标准</w:t>
      </w:r>
      <w:bookmarkEnd w:id="196"/>
    </w:p>
    <w:p w14:paraId="03587F2A">
      <w:pPr>
        <w:outlineLvl w:val="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一、评审方法：</w:t>
      </w:r>
    </w:p>
    <w:p w14:paraId="75132DCB">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采用综合评分法，由评标委员会对投标供应商资格进行审查，然后对符合资格的投标供应商的投标文件进行符合性审查，最后评标委员会对符合性审查合格的投标文件商务、技术部分进行评估，综合比较与评价。投标供应商商务技术分和价格分的合计分值，为该投标供应商的评标总得分。</w:t>
      </w:r>
    </w:p>
    <w:p w14:paraId="7BD0C625">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评标结果按评审后得分由高到低顺序排列，确定中标候选人名单并按顺序确定中标人。得分相同的，按投标报价由低到高顺序排列。得分且投标报价相同的并列,按照技术指标优劣顺序推荐。</w:t>
      </w:r>
    </w:p>
    <w:tbl>
      <w:tblPr>
        <w:tblStyle w:val="36"/>
        <w:tblW w:w="0" w:type="auto"/>
        <w:tblInd w:w="9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autofit"/>
        <w:tblCellMar>
          <w:top w:w="0" w:type="dxa"/>
          <w:left w:w="108" w:type="dxa"/>
          <w:bottom w:w="0" w:type="dxa"/>
          <w:right w:w="108" w:type="dxa"/>
        </w:tblCellMar>
      </w:tblPr>
      <w:tblGrid>
        <w:gridCol w:w="1196"/>
        <w:gridCol w:w="2461"/>
        <w:gridCol w:w="5390"/>
      </w:tblGrid>
      <w:tr w14:paraId="70830E14">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6" w:type="dxa"/>
            <w:vAlign w:val="center"/>
          </w:tcPr>
          <w:p w14:paraId="134E6DF5">
            <w:pPr>
              <w:spacing w:line="500" w:lineRule="exact"/>
              <w:ind w:firstLine="240"/>
              <w:rPr>
                <w:rFonts w:hint="eastAsia" w:ascii="仿宋" w:hAnsi="仿宋" w:eastAsia="仿宋" w:cs="仿宋"/>
                <w:sz w:val="24"/>
                <w:szCs w:val="24"/>
                <w:highlight w:val="none"/>
              </w:rPr>
            </w:pPr>
            <w:r>
              <w:rPr>
                <w:rFonts w:hint="eastAsia" w:ascii="仿宋" w:hAnsi="仿宋" w:eastAsia="仿宋" w:cs="仿宋"/>
                <w:sz w:val="24"/>
                <w:szCs w:val="24"/>
                <w:highlight w:val="none"/>
              </w:rPr>
              <w:t>分包号</w:t>
            </w:r>
          </w:p>
        </w:tc>
        <w:tc>
          <w:tcPr>
            <w:tcW w:w="2461" w:type="dxa"/>
            <w:vAlign w:val="center"/>
          </w:tcPr>
          <w:p w14:paraId="42DD14DD">
            <w:pPr>
              <w:spacing w:line="5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选取中标候选人数量</w:t>
            </w:r>
          </w:p>
        </w:tc>
        <w:tc>
          <w:tcPr>
            <w:tcW w:w="5390" w:type="dxa"/>
            <w:vAlign w:val="center"/>
          </w:tcPr>
          <w:p w14:paraId="3676395A">
            <w:pPr>
              <w:spacing w:line="500" w:lineRule="exact"/>
              <w:ind w:firstLine="1351"/>
              <w:rPr>
                <w:rFonts w:hint="eastAsia" w:ascii="仿宋" w:hAnsi="仿宋" w:eastAsia="仿宋" w:cs="仿宋"/>
                <w:sz w:val="24"/>
                <w:szCs w:val="24"/>
                <w:highlight w:val="none"/>
              </w:rPr>
            </w:pPr>
            <w:r>
              <w:rPr>
                <w:rFonts w:hint="eastAsia" w:ascii="仿宋" w:hAnsi="仿宋" w:eastAsia="仿宋" w:cs="仿宋"/>
                <w:sz w:val="24"/>
                <w:szCs w:val="24"/>
                <w:highlight w:val="none"/>
              </w:rPr>
              <w:t>选取中标候选人的原则</w:t>
            </w:r>
          </w:p>
        </w:tc>
      </w:tr>
      <w:tr w14:paraId="23F452F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c>
          <w:tcPr>
            <w:tcW w:w="1196" w:type="dxa"/>
            <w:vAlign w:val="center"/>
          </w:tcPr>
          <w:p w14:paraId="6EC0140B">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2461" w:type="dxa"/>
            <w:vAlign w:val="center"/>
          </w:tcPr>
          <w:p w14:paraId="59CDD0B9">
            <w:pPr>
              <w:spacing w:line="500" w:lineRule="exact"/>
              <w:ind w:firstLine="873"/>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5390" w:type="dxa"/>
            <w:vAlign w:val="center"/>
          </w:tcPr>
          <w:p w14:paraId="47CD243F">
            <w:pPr>
              <w:spacing w:line="5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满足招标文件全部实质性要求，且按照评审因素的量化指标评审得分最高的投标供应商为中标候选人。</w:t>
            </w:r>
          </w:p>
        </w:tc>
      </w:tr>
    </w:tbl>
    <w:p w14:paraId="6F1F8B8B">
      <w:pPr>
        <w:spacing w:line="500" w:lineRule="exact"/>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二、政府采购政策功能落实：</w:t>
      </w:r>
    </w:p>
    <w:p w14:paraId="28394E15">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1、小微型企业价格扣除</w:t>
      </w:r>
    </w:p>
    <w:p w14:paraId="39753566">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（1）本项目对小型和微型企业产品给予10%的扣除价格，用扣除后的价格参与评审。</w:t>
      </w:r>
    </w:p>
    <w:p w14:paraId="608E659E">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（2）供应商需按照《政府采购促进中小企业发展管理办法》（财库﹝2020﹞46 号）的规定提供相应的《中小企业声明函》。</w:t>
      </w:r>
    </w:p>
    <w:p w14:paraId="51DD36E3">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（3）企业标准请参照《关于印发中小企业划型标准规定的通知》（工信部联企业[2011]300号）文件规定自行填写。</w:t>
      </w:r>
    </w:p>
    <w:p w14:paraId="2E8F9029">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2、残疾人福利单位价格扣除</w:t>
      </w:r>
    </w:p>
    <w:p w14:paraId="549A4BBC">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（1）本项目对残疾人福利性单位，给予10%的价格扣除，用扣除后的价格参与评审。</w:t>
      </w:r>
    </w:p>
    <w:p w14:paraId="3E585924">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（2）残疾人福利单位需按照招标文件的要求提供《残疾人福利性单位声明函》。</w:t>
      </w:r>
    </w:p>
    <w:p w14:paraId="5E609EDB">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（3）残疾人福利单位标准请参照《关于促进残疾人就业政府采购政策的通知》（财库〔2017〕141号）。</w:t>
      </w:r>
    </w:p>
    <w:p w14:paraId="3BBB1D29">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3、监狱和戒毒企业价格扣除</w:t>
      </w:r>
    </w:p>
    <w:p w14:paraId="145A936D">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（1）本项目对监狱和戒毒企业（简称监狱企业）给予10%的价格扣除，用扣除后的价格参与评审。</w:t>
      </w:r>
    </w:p>
    <w:p w14:paraId="71D674CB">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（2）监狱企业参加政府采购活动时，需提供由省级以上监狱管理局、戒毒管理局(含新疆生产建设兵团)出具的属于监狱企业的证明文件。供应商如不提供上述证明文件，价格将不做相应扣除。</w:t>
      </w:r>
    </w:p>
    <w:p w14:paraId="4B4B726D">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（3）监狱企业标准请参照《关于政府采购支持监狱企业发展有关问题的通知》（财库[2014]68号）。</w:t>
      </w:r>
    </w:p>
    <w:p w14:paraId="2871A1FB">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4、残疾人福利单位、监狱企业属于小型、微型企业的，不重复享受政策。</w:t>
      </w:r>
    </w:p>
    <w:p w14:paraId="2A5FE09E">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5、如本项目同意联合体参加投标或同意分包履行合同的，大中型企业与小微企业（残疾人福利单位、监狱企业）组成联合体或者大中型企业向一家或多家小微企业（残疾人福利单位、监狱企业）分包的，对联合协议或者分包意向协议约定小微企业合同份额占到合同总金额30%以上的，对联合体或者大中型企业的报价给予4%的扣除，用扣除后的价格参与评审。</w:t>
      </w:r>
    </w:p>
    <w:p w14:paraId="3B38DD59">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6、联合体各方均为小型、微型企业（残疾人福利单位、监狱企业）的，联合体享受10%价格扣除，用扣除后的价格参与评审。</w:t>
      </w:r>
    </w:p>
    <w:p w14:paraId="0F9071E8">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7、专门面向中小企业采购的项目或者采购包，不再执行价格评审优惠的扶持政策。</w:t>
      </w:r>
    </w:p>
    <w:p w14:paraId="336E8B34">
      <w:pPr>
        <w:spacing w:line="500" w:lineRule="exact"/>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三、评标方法与评标标准：</w:t>
      </w:r>
    </w:p>
    <w:p w14:paraId="32DF0D07">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本项目采用综合评分法。评委会将按下列评审因素与评审标准进行评分，总分值为100分。</w:t>
      </w:r>
    </w:p>
    <w:p w14:paraId="320395CB">
      <w:pPr>
        <w:spacing w:line="500" w:lineRule="exact"/>
        <w:ind w:firstLine="24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3.1价格分（20分）：</w:t>
      </w:r>
    </w:p>
    <w:p w14:paraId="4E9654D4">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价格分统一采用低价优先法计算，即满足招标文件要求且投标价格最低的投标报价为评标基准价，其价格分为满分。其他投标供应商的价格分统一按照下列公式计算（注：计算过程和最后得分均四舍五入保留小数点后两位数）：</w:t>
      </w:r>
    </w:p>
    <w:p w14:paraId="784118D0">
      <w:pPr>
        <w:spacing w:line="500" w:lineRule="exact"/>
        <w:ind w:firstLine="555"/>
        <w:rPr>
          <w:rFonts w:hint="eastAsia" w:ascii="仿宋" w:hAnsi="仿宋" w:eastAsia="仿宋" w:cs="仿宋"/>
          <w:sz w:val="24"/>
          <w:szCs w:val="24"/>
          <w:highlight w:val="none"/>
        </w:rPr>
      </w:pPr>
      <w:r>
        <w:rPr>
          <w:rFonts w:hint="eastAsia" w:ascii="仿宋" w:hAnsi="仿宋" w:eastAsia="仿宋" w:cs="仿宋"/>
          <w:sz w:val="24"/>
          <w:szCs w:val="24"/>
          <w:highlight w:val="none"/>
        </w:rPr>
        <w:t>投标报价得分=（评标基准价/投标报价）×价格权值×100</w:t>
      </w:r>
    </w:p>
    <w:p w14:paraId="7461CE8F">
      <w:pPr>
        <w:spacing w:line="500" w:lineRule="exact"/>
        <w:ind w:firstLine="241"/>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3.2商务技术分（80分）：</w:t>
      </w:r>
    </w:p>
    <w:p w14:paraId="673E2C79">
      <w:pPr>
        <w:spacing w:line="500" w:lineRule="exact"/>
        <w:ind w:firstLine="555"/>
        <w:rPr>
          <w:rFonts w:hint="eastAsia" w:ascii="仿宋" w:hAnsi="仿宋" w:eastAsia="仿宋" w:cs="仿宋"/>
          <w:highlight w:val="none"/>
        </w:rPr>
      </w:pPr>
      <w:r>
        <w:rPr>
          <w:rFonts w:hint="eastAsia" w:ascii="仿宋" w:hAnsi="仿宋" w:eastAsia="仿宋" w:cs="仿宋"/>
          <w:sz w:val="24"/>
          <w:szCs w:val="24"/>
          <w:highlight w:val="none"/>
        </w:rPr>
        <w:t>各供应商得分为评标小组成员评分的算术平均分，分值保留小数点后两位。</w:t>
      </w:r>
    </w:p>
    <w:tbl>
      <w:tblPr>
        <w:tblStyle w:val="36"/>
        <w:tblW w:w="9243" w:type="dxa"/>
        <w:jc w:val="center"/>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Layout w:type="fixed"/>
        <w:tblCellMar>
          <w:top w:w="0" w:type="dxa"/>
          <w:left w:w="108" w:type="dxa"/>
          <w:bottom w:w="0" w:type="dxa"/>
          <w:right w:w="108" w:type="dxa"/>
        </w:tblCellMar>
      </w:tblPr>
      <w:tblGrid>
        <w:gridCol w:w="769"/>
        <w:gridCol w:w="1487"/>
        <w:gridCol w:w="5919"/>
        <w:gridCol w:w="1068"/>
      </w:tblGrid>
      <w:tr w14:paraId="0DF5F20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50" w:hRule="atLeast"/>
          <w:jc w:val="center"/>
        </w:trPr>
        <w:tc>
          <w:tcPr>
            <w:tcW w:w="769" w:type="dxa"/>
            <w:tcBorders>
              <w:tl2br w:val="nil"/>
              <w:tr2bl w:val="nil"/>
            </w:tcBorders>
            <w:vAlign w:val="center"/>
          </w:tcPr>
          <w:p w14:paraId="573D06C8">
            <w:pPr>
              <w:widowControl/>
              <w:spacing w:line="360" w:lineRule="auto"/>
              <w:jc w:val="center"/>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bidi="ar"/>
              </w:rPr>
              <w:t>序号</w:t>
            </w:r>
          </w:p>
        </w:tc>
        <w:tc>
          <w:tcPr>
            <w:tcW w:w="1487" w:type="dxa"/>
            <w:tcBorders>
              <w:tl2br w:val="nil"/>
              <w:tr2bl w:val="nil"/>
            </w:tcBorders>
            <w:vAlign w:val="center"/>
          </w:tcPr>
          <w:p w14:paraId="5B3A04EA">
            <w:pPr>
              <w:widowControl/>
              <w:spacing w:line="360" w:lineRule="auto"/>
              <w:jc w:val="center"/>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bidi="ar"/>
              </w:rPr>
              <w:t>评分点名称</w:t>
            </w:r>
          </w:p>
        </w:tc>
        <w:tc>
          <w:tcPr>
            <w:tcW w:w="5919" w:type="dxa"/>
            <w:tcBorders>
              <w:tl2br w:val="nil"/>
              <w:tr2bl w:val="nil"/>
            </w:tcBorders>
            <w:vAlign w:val="center"/>
          </w:tcPr>
          <w:p w14:paraId="5BDB722D">
            <w:pPr>
              <w:widowControl/>
              <w:spacing w:line="360" w:lineRule="auto"/>
              <w:jc w:val="center"/>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bidi="ar"/>
              </w:rPr>
              <w:t>评审标准</w:t>
            </w:r>
          </w:p>
        </w:tc>
        <w:tc>
          <w:tcPr>
            <w:tcW w:w="1068" w:type="dxa"/>
            <w:tcBorders>
              <w:tl2br w:val="nil"/>
              <w:tr2bl w:val="nil"/>
            </w:tcBorders>
            <w:vAlign w:val="center"/>
          </w:tcPr>
          <w:p w14:paraId="0CB81B24">
            <w:pPr>
              <w:widowControl/>
              <w:spacing w:line="360" w:lineRule="auto"/>
              <w:jc w:val="center"/>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bidi="ar"/>
              </w:rPr>
              <w:t>分值（分）</w:t>
            </w:r>
          </w:p>
        </w:tc>
      </w:tr>
      <w:tr w14:paraId="19191AB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2163" w:hRule="atLeast"/>
          <w:jc w:val="center"/>
        </w:trPr>
        <w:tc>
          <w:tcPr>
            <w:tcW w:w="769" w:type="dxa"/>
            <w:tcBorders>
              <w:tl2br w:val="nil"/>
              <w:tr2bl w:val="nil"/>
            </w:tcBorders>
            <w:vAlign w:val="center"/>
          </w:tcPr>
          <w:p w14:paraId="2F537227">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1</w:t>
            </w:r>
          </w:p>
        </w:tc>
        <w:tc>
          <w:tcPr>
            <w:tcW w:w="1487" w:type="dxa"/>
            <w:tcBorders>
              <w:tl2br w:val="nil"/>
              <w:tr2bl w:val="nil"/>
            </w:tcBorders>
            <w:vAlign w:val="center"/>
          </w:tcPr>
          <w:p w14:paraId="2F4F1A0F">
            <w:pPr>
              <w:widowControl/>
              <w:spacing w:line="360" w:lineRule="auto"/>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企业经营业绩（10分）</w:t>
            </w:r>
          </w:p>
        </w:tc>
        <w:tc>
          <w:tcPr>
            <w:tcW w:w="5919" w:type="dxa"/>
            <w:tcBorders>
              <w:tl2br w:val="nil"/>
              <w:tr2bl w:val="nil"/>
            </w:tcBorders>
            <w:vAlign w:val="center"/>
          </w:tcPr>
          <w:p w14:paraId="08A78DC4">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投标供应商自2022年1月1日以来（以合同签订时间为准）承担过年度类似本项目业绩的，有一个业绩得2分，本项最多得10分。</w:t>
            </w:r>
          </w:p>
          <w:p w14:paraId="1EF6434A">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（注：同一</w:t>
            </w:r>
            <w:r>
              <w:rPr>
                <w:rFonts w:hint="eastAsia" w:ascii="仿宋" w:hAnsi="仿宋" w:eastAsia="仿宋" w:cs="仿宋"/>
                <w:sz w:val="24"/>
                <w:szCs w:val="24"/>
                <w:highlight w:val="none"/>
                <w:lang w:val="en-US" w:eastAsia="zh-CN"/>
              </w:rPr>
              <w:t>招标人</w:t>
            </w:r>
            <w:r>
              <w:rPr>
                <w:rFonts w:hint="eastAsia" w:ascii="仿宋" w:hAnsi="仿宋" w:eastAsia="仿宋" w:cs="仿宋"/>
                <w:sz w:val="24"/>
                <w:szCs w:val="24"/>
                <w:highlight w:val="none"/>
              </w:rPr>
              <w:t>的只计一次得分，提供合同扫描件并加盖投标供应商红色实物公章或电子签章。）</w:t>
            </w:r>
          </w:p>
        </w:tc>
        <w:tc>
          <w:tcPr>
            <w:tcW w:w="1068" w:type="dxa"/>
            <w:tcBorders>
              <w:tl2br w:val="nil"/>
              <w:tr2bl w:val="nil"/>
            </w:tcBorders>
            <w:vAlign w:val="center"/>
          </w:tcPr>
          <w:p w14:paraId="6880325D">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10</w:t>
            </w:r>
          </w:p>
        </w:tc>
      </w:tr>
      <w:tr w14:paraId="20C4DAA2">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769" w:type="dxa"/>
            <w:tcBorders>
              <w:tl2br w:val="nil"/>
              <w:tr2bl w:val="nil"/>
            </w:tcBorders>
            <w:vAlign w:val="center"/>
          </w:tcPr>
          <w:p w14:paraId="73238F49">
            <w:pPr>
              <w:widowControl/>
              <w:spacing w:line="360" w:lineRule="auto"/>
              <w:jc w:val="center"/>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2</w:t>
            </w:r>
          </w:p>
        </w:tc>
        <w:tc>
          <w:tcPr>
            <w:tcW w:w="1487" w:type="dxa"/>
            <w:tcBorders>
              <w:tl2br w:val="nil"/>
              <w:tr2bl w:val="nil"/>
            </w:tcBorders>
            <w:vAlign w:val="center"/>
          </w:tcPr>
          <w:p w14:paraId="363CE06D">
            <w:pPr>
              <w:widowControl/>
              <w:spacing w:line="360" w:lineRule="auto"/>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企业实力（</w:t>
            </w:r>
            <w:r>
              <w:rPr>
                <w:rFonts w:hint="eastAsia" w:ascii="仿宋" w:hAnsi="仿宋" w:eastAsia="仿宋" w:cs="仿宋"/>
                <w:b/>
                <w:bCs/>
                <w:sz w:val="24"/>
                <w:szCs w:val="24"/>
                <w:highlight w:val="none"/>
                <w:lang w:val="en-US" w:eastAsia="zh-CN"/>
              </w:rPr>
              <w:t>6</w:t>
            </w:r>
            <w:r>
              <w:rPr>
                <w:rFonts w:hint="eastAsia" w:ascii="仿宋" w:hAnsi="仿宋" w:eastAsia="仿宋" w:cs="仿宋"/>
                <w:b/>
                <w:bCs/>
                <w:sz w:val="24"/>
                <w:szCs w:val="24"/>
                <w:highlight w:val="none"/>
              </w:rPr>
              <w:t>分）</w:t>
            </w:r>
          </w:p>
        </w:tc>
        <w:tc>
          <w:tcPr>
            <w:tcW w:w="5919" w:type="dxa"/>
            <w:tcBorders>
              <w:tl2br w:val="nil"/>
              <w:tr2bl w:val="nil"/>
            </w:tcBorders>
            <w:vAlign w:val="center"/>
          </w:tcPr>
          <w:p w14:paraId="6FB29ACF">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（投标供应商具有质量管理体系认证证书、环境管理体系认证证书、</w:t>
            </w:r>
            <w:r>
              <w:rPr>
                <w:rFonts w:hint="eastAsia" w:ascii="仿宋" w:hAnsi="仿宋" w:eastAsia="仿宋" w:cs="仿宋"/>
                <w:kern w:val="2"/>
                <w:sz w:val="24"/>
                <w:szCs w:val="24"/>
                <w:highlight w:val="none"/>
              </w:rPr>
              <w:t>职业健康与安全管理体系认证</w:t>
            </w:r>
            <w:r>
              <w:rPr>
                <w:rFonts w:hint="eastAsia" w:ascii="仿宋" w:hAnsi="仿宋" w:eastAsia="仿宋" w:cs="仿宋"/>
                <w:sz w:val="24"/>
                <w:szCs w:val="24"/>
                <w:highlight w:val="none"/>
              </w:rPr>
              <w:t>证书，有1个得2分，最多得6分。</w:t>
            </w:r>
          </w:p>
          <w:p w14:paraId="31E9D72F">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注：①提供认证证书原件扫描件。②体系认证证书在有效期内，认证证书需同时提供全国认证信息公共服务平台查询截图。</w:t>
            </w:r>
          </w:p>
        </w:tc>
        <w:tc>
          <w:tcPr>
            <w:tcW w:w="1068" w:type="dxa"/>
            <w:tcBorders>
              <w:tl2br w:val="nil"/>
              <w:tr2bl w:val="nil"/>
            </w:tcBorders>
            <w:vAlign w:val="center"/>
          </w:tcPr>
          <w:p w14:paraId="72F0F3C6">
            <w:pPr>
              <w:widowControl/>
              <w:spacing w:line="360" w:lineRule="auto"/>
              <w:jc w:val="center"/>
              <w:textAlignment w:val="center"/>
              <w:rPr>
                <w:rFonts w:hint="eastAsia" w:ascii="仿宋" w:hAnsi="仿宋" w:eastAsia="仿宋" w:cs="仿宋"/>
                <w:sz w:val="24"/>
                <w:szCs w:val="24"/>
                <w:highlight w:val="none"/>
                <w:lang w:eastAsia="zh-CN" w:bidi="ar"/>
              </w:rPr>
            </w:pPr>
            <w:r>
              <w:rPr>
                <w:rFonts w:hint="eastAsia" w:ascii="仿宋" w:hAnsi="仿宋" w:eastAsia="仿宋" w:cs="仿宋"/>
                <w:sz w:val="24"/>
                <w:szCs w:val="24"/>
                <w:highlight w:val="none"/>
                <w:lang w:val="en-US" w:eastAsia="zh-CN" w:bidi="ar"/>
              </w:rPr>
              <w:t>6</w:t>
            </w:r>
          </w:p>
        </w:tc>
      </w:tr>
      <w:tr w14:paraId="7319BB56">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769" w:type="dxa"/>
            <w:tcBorders>
              <w:tl2br w:val="nil"/>
              <w:tr2bl w:val="nil"/>
            </w:tcBorders>
            <w:vAlign w:val="center"/>
          </w:tcPr>
          <w:p w14:paraId="3B043B50">
            <w:pPr>
              <w:widowControl/>
              <w:spacing w:line="360" w:lineRule="auto"/>
              <w:jc w:val="center"/>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3</w:t>
            </w:r>
          </w:p>
        </w:tc>
        <w:tc>
          <w:tcPr>
            <w:tcW w:w="1487" w:type="dxa"/>
            <w:tcBorders>
              <w:tl2br w:val="nil"/>
              <w:tr2bl w:val="nil"/>
            </w:tcBorders>
            <w:vAlign w:val="center"/>
          </w:tcPr>
          <w:p w14:paraId="2C644A53">
            <w:pPr>
              <w:widowControl/>
              <w:spacing w:line="360" w:lineRule="auto"/>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人员配备（6分）</w:t>
            </w:r>
          </w:p>
        </w:tc>
        <w:tc>
          <w:tcPr>
            <w:tcW w:w="5919" w:type="dxa"/>
            <w:tcBorders>
              <w:tl2br w:val="nil"/>
              <w:tr2bl w:val="nil"/>
            </w:tcBorders>
            <w:vAlign w:val="center"/>
          </w:tcPr>
          <w:p w14:paraId="1E8418F6">
            <w:pPr>
              <w:pStyle w:val="14"/>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拟派项目组正、副主管，具有安全管理员培训合格证书的，有一个得</w:t>
            </w:r>
            <w:r>
              <w:rPr>
                <w:rFonts w:hint="eastAsia" w:ascii="仿宋" w:hAnsi="仿宋" w:eastAsia="仿宋" w:cs="仿宋"/>
                <w:sz w:val="24"/>
                <w:szCs w:val="24"/>
                <w:highlight w:val="none"/>
                <w:lang w:val="en-US" w:eastAsia="zh-CN"/>
              </w:rPr>
              <w:t>3</w:t>
            </w:r>
            <w:r>
              <w:rPr>
                <w:rFonts w:hint="eastAsia" w:ascii="仿宋" w:hAnsi="仿宋" w:eastAsia="仿宋" w:cs="仿宋"/>
                <w:sz w:val="24"/>
                <w:szCs w:val="24"/>
                <w:highlight w:val="none"/>
              </w:rPr>
              <w:t>分，本项最高得</w:t>
            </w:r>
            <w:r>
              <w:rPr>
                <w:rFonts w:hint="eastAsia" w:ascii="仿宋" w:hAnsi="仿宋" w:eastAsia="仿宋" w:cs="仿宋"/>
                <w:sz w:val="24"/>
                <w:szCs w:val="24"/>
                <w:highlight w:val="none"/>
                <w:lang w:val="en-US" w:eastAsia="zh-CN"/>
              </w:rPr>
              <w:t>6</w:t>
            </w:r>
            <w:r>
              <w:rPr>
                <w:rFonts w:hint="eastAsia" w:ascii="仿宋" w:hAnsi="仿宋" w:eastAsia="仿宋" w:cs="仿宋"/>
                <w:sz w:val="24"/>
                <w:szCs w:val="24"/>
                <w:highlight w:val="none"/>
              </w:rPr>
              <w:t>分。</w:t>
            </w:r>
          </w:p>
          <w:p w14:paraId="3EBA8D13">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（注：上述人员不得兼任，须提供证书原件扫描件，且须提供本单位为其缴纳的2026年6月份—2026年8月份中至少一个月的社保证明扫描件。）</w:t>
            </w:r>
          </w:p>
        </w:tc>
        <w:tc>
          <w:tcPr>
            <w:tcW w:w="1068" w:type="dxa"/>
            <w:tcBorders>
              <w:tl2br w:val="nil"/>
              <w:tr2bl w:val="nil"/>
            </w:tcBorders>
            <w:vAlign w:val="center"/>
          </w:tcPr>
          <w:p w14:paraId="15C2F410">
            <w:pPr>
              <w:widowControl/>
              <w:spacing w:line="360" w:lineRule="auto"/>
              <w:jc w:val="center"/>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6</w:t>
            </w:r>
          </w:p>
        </w:tc>
      </w:tr>
      <w:tr w14:paraId="1BDEFA8E">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0" w:hRule="atLeast"/>
          <w:jc w:val="center"/>
        </w:trPr>
        <w:tc>
          <w:tcPr>
            <w:tcW w:w="769" w:type="dxa"/>
            <w:tcBorders>
              <w:tl2br w:val="nil"/>
              <w:tr2bl w:val="nil"/>
            </w:tcBorders>
            <w:vAlign w:val="center"/>
          </w:tcPr>
          <w:p w14:paraId="3D34D4EB">
            <w:pPr>
              <w:widowControl/>
              <w:spacing w:line="360" w:lineRule="auto"/>
              <w:jc w:val="center"/>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4</w:t>
            </w:r>
          </w:p>
        </w:tc>
        <w:tc>
          <w:tcPr>
            <w:tcW w:w="1487" w:type="dxa"/>
            <w:tcBorders>
              <w:tl2br w:val="nil"/>
              <w:tr2bl w:val="nil"/>
            </w:tcBorders>
            <w:vAlign w:val="center"/>
          </w:tcPr>
          <w:p w14:paraId="2ED90CD2">
            <w:pPr>
              <w:widowControl/>
              <w:spacing w:line="360" w:lineRule="auto"/>
              <w:textAlignment w:val="center"/>
              <w:rPr>
                <w:rFonts w:hint="eastAsia" w:ascii="仿宋" w:hAnsi="仿宋" w:eastAsia="仿宋" w:cs="仿宋"/>
                <w:b/>
                <w:bCs/>
                <w:sz w:val="24"/>
                <w:szCs w:val="24"/>
                <w:highlight w:val="none"/>
                <w:lang w:bidi="ar"/>
              </w:rPr>
            </w:pPr>
            <w:r>
              <w:rPr>
                <w:rFonts w:hint="eastAsia" w:ascii="仿宋" w:hAnsi="仿宋" w:eastAsia="仿宋" w:cs="仿宋"/>
                <w:b/>
                <w:bCs/>
                <w:sz w:val="24"/>
                <w:szCs w:val="24"/>
                <w:highlight w:val="none"/>
                <w:lang w:bidi="ar"/>
              </w:rPr>
              <w:t>荣誉情况（1</w:t>
            </w:r>
            <w:r>
              <w:rPr>
                <w:rFonts w:hint="eastAsia" w:ascii="仿宋" w:hAnsi="仿宋" w:eastAsia="仿宋" w:cs="仿宋"/>
                <w:b/>
                <w:bCs/>
                <w:sz w:val="24"/>
                <w:szCs w:val="24"/>
                <w:highlight w:val="none"/>
                <w:lang w:val="en-US" w:eastAsia="zh-CN" w:bidi="ar"/>
              </w:rPr>
              <w:t>8</w:t>
            </w:r>
            <w:r>
              <w:rPr>
                <w:rFonts w:hint="eastAsia" w:ascii="仿宋" w:hAnsi="仿宋" w:eastAsia="仿宋" w:cs="仿宋"/>
                <w:b/>
                <w:bCs/>
                <w:sz w:val="24"/>
                <w:szCs w:val="24"/>
                <w:highlight w:val="none"/>
                <w:lang w:bidi="ar"/>
              </w:rPr>
              <w:t>分）</w:t>
            </w:r>
          </w:p>
        </w:tc>
        <w:tc>
          <w:tcPr>
            <w:tcW w:w="5919" w:type="dxa"/>
            <w:tcBorders>
              <w:tl2br w:val="nil"/>
              <w:tr2bl w:val="nil"/>
            </w:tcBorders>
            <w:vAlign w:val="center"/>
          </w:tcPr>
          <w:p w14:paraId="57CD98C6">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1.投标供应商自2022年1月1日以来（时间以荣誉证书时间为准）获得过机关单位或者行政部门颁发的相关荣誉的，有一个得2分，最多得1</w:t>
            </w:r>
            <w:r>
              <w:rPr>
                <w:rFonts w:hint="eastAsia" w:ascii="仿宋" w:hAnsi="仿宋" w:eastAsia="仿宋" w:cs="仿宋"/>
                <w:sz w:val="24"/>
                <w:szCs w:val="24"/>
                <w:highlight w:val="none"/>
                <w:lang w:val="en-US" w:eastAsia="zh-CN"/>
              </w:rPr>
              <w:t>4</w:t>
            </w:r>
            <w:r>
              <w:rPr>
                <w:rFonts w:hint="eastAsia" w:ascii="仿宋" w:hAnsi="仿宋" w:eastAsia="仿宋" w:cs="仿宋"/>
                <w:sz w:val="24"/>
                <w:szCs w:val="24"/>
                <w:highlight w:val="none"/>
              </w:rPr>
              <w:t>分；</w:t>
            </w:r>
          </w:p>
          <w:p w14:paraId="056ABE86">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2.投标供应商拟投入的在职环卫工作人员中获得过机关单位或者行政主管部门颁发的相关个人荣誉的，有一个得2分，最多得4分。</w:t>
            </w:r>
          </w:p>
          <w:p w14:paraId="6B1BBEF1">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注：提供荣誉证书或获奖证书扫描件并加盖投标供应商红色实物公章或电子签章，个人除提供证书外还须提供本单位为其缴纳的2026年6月份—2026年8月份中至少一个月的社保证明扫描件并加盖投标供应商红色实物公章或电子签章。</w:t>
            </w:r>
          </w:p>
        </w:tc>
        <w:tc>
          <w:tcPr>
            <w:tcW w:w="1068" w:type="dxa"/>
            <w:tcBorders>
              <w:tl2br w:val="nil"/>
              <w:tr2bl w:val="nil"/>
            </w:tcBorders>
            <w:vAlign w:val="center"/>
          </w:tcPr>
          <w:p w14:paraId="22792075">
            <w:pPr>
              <w:widowControl/>
              <w:spacing w:line="360" w:lineRule="auto"/>
              <w:jc w:val="center"/>
              <w:textAlignment w:val="center"/>
              <w:rPr>
                <w:rFonts w:hint="eastAsia" w:ascii="仿宋" w:hAnsi="仿宋" w:eastAsia="仿宋" w:cs="仿宋"/>
                <w:sz w:val="24"/>
                <w:szCs w:val="24"/>
                <w:highlight w:val="none"/>
                <w:lang w:eastAsia="zh-CN" w:bidi="ar"/>
              </w:rPr>
            </w:pPr>
            <w:r>
              <w:rPr>
                <w:rFonts w:hint="eastAsia" w:ascii="仿宋" w:hAnsi="仿宋" w:eastAsia="仿宋" w:cs="仿宋"/>
                <w:sz w:val="24"/>
                <w:szCs w:val="24"/>
                <w:highlight w:val="none"/>
                <w:lang w:bidi="ar"/>
              </w:rPr>
              <w:t>1</w:t>
            </w:r>
            <w:r>
              <w:rPr>
                <w:rFonts w:hint="eastAsia" w:ascii="仿宋" w:hAnsi="仿宋" w:eastAsia="仿宋" w:cs="仿宋"/>
                <w:sz w:val="24"/>
                <w:szCs w:val="24"/>
                <w:highlight w:val="none"/>
                <w:lang w:val="en-US" w:eastAsia="zh-CN" w:bidi="ar"/>
              </w:rPr>
              <w:t>8</w:t>
            </w:r>
          </w:p>
        </w:tc>
      </w:tr>
      <w:tr w14:paraId="042CF1F8">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430" w:hRule="atLeast"/>
          <w:jc w:val="center"/>
        </w:trPr>
        <w:tc>
          <w:tcPr>
            <w:tcW w:w="769" w:type="dxa"/>
            <w:tcBorders>
              <w:tl2br w:val="nil"/>
              <w:tr2bl w:val="nil"/>
            </w:tcBorders>
            <w:vAlign w:val="center"/>
          </w:tcPr>
          <w:p w14:paraId="543EC917">
            <w:pPr>
              <w:spacing w:line="360" w:lineRule="auto"/>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5</w:t>
            </w:r>
          </w:p>
        </w:tc>
        <w:tc>
          <w:tcPr>
            <w:tcW w:w="1487" w:type="dxa"/>
            <w:tcBorders>
              <w:tl2br w:val="nil"/>
              <w:tr2bl w:val="nil"/>
            </w:tcBorders>
            <w:vAlign w:val="center"/>
          </w:tcPr>
          <w:p w14:paraId="07B55758">
            <w:pPr>
              <w:widowControl/>
              <w:spacing w:line="360" w:lineRule="auto"/>
              <w:textAlignment w:val="center"/>
              <w:rPr>
                <w:rFonts w:hint="eastAsia" w:ascii="仿宋" w:hAnsi="仿宋" w:eastAsia="仿宋" w:cs="仿宋"/>
                <w:b/>
                <w:bCs/>
                <w:sz w:val="24"/>
                <w:szCs w:val="24"/>
                <w:highlight w:val="none"/>
                <w:lang w:bidi="ar"/>
              </w:rPr>
            </w:pPr>
            <w:r>
              <w:rPr>
                <w:rFonts w:hint="eastAsia" w:ascii="仿宋" w:hAnsi="仿宋" w:eastAsia="仿宋" w:cs="仿宋"/>
                <w:b/>
                <w:bCs/>
                <w:sz w:val="24"/>
                <w:szCs w:val="24"/>
                <w:highlight w:val="none"/>
                <w:lang w:bidi="ar"/>
              </w:rPr>
              <w:t>拟投入机械设备</w:t>
            </w:r>
          </w:p>
          <w:p w14:paraId="52E4723B">
            <w:pPr>
              <w:widowControl/>
              <w:spacing w:line="360" w:lineRule="auto"/>
              <w:textAlignment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lang w:bidi="ar"/>
              </w:rPr>
              <w:t>（15分）</w:t>
            </w:r>
          </w:p>
        </w:tc>
        <w:tc>
          <w:tcPr>
            <w:tcW w:w="5919" w:type="dxa"/>
            <w:tcBorders>
              <w:tl2br w:val="nil"/>
              <w:tr2bl w:val="nil"/>
            </w:tcBorders>
            <w:vAlign w:val="center"/>
          </w:tcPr>
          <w:p w14:paraId="20FF222B">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根据投标方案、保洁范围提高机械化率，投标供应商有</w:t>
            </w:r>
            <w:r>
              <w:rPr>
                <w:rFonts w:hint="eastAsia" w:ascii="仿宋" w:hAnsi="仿宋" w:eastAsia="仿宋" w:cs="仿宋"/>
                <w:sz w:val="24"/>
                <w:szCs w:val="24"/>
                <w:highlight w:val="none"/>
                <w:lang w:val="en-US" w:eastAsia="zh-CN"/>
              </w:rPr>
              <w:t>专业设备</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包含压缩式垃圾车、扫洗车、高压冲洗车、雾炮车、铲车、机动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电动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保洁船等</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。以上车辆、保洁船等设备可为投标供应商自有财产或者租赁</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各投标供应商按以下要求配备：</w:t>
            </w:r>
          </w:p>
          <w:p w14:paraId="76CE9233">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具有压缩式垃圾车</w:t>
            </w:r>
            <w:r>
              <w:rPr>
                <w:rFonts w:hint="eastAsia" w:ascii="仿宋" w:hAnsi="仿宋" w:eastAsia="仿宋" w:cs="仿宋"/>
                <w:sz w:val="24"/>
                <w:szCs w:val="24"/>
                <w:highlight w:val="none"/>
                <w:lang w:val="en-US" w:eastAsia="zh-CN"/>
              </w:rPr>
              <w:t>≥6辆</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洗扫车≥1辆</w:t>
            </w:r>
            <w:r>
              <w:rPr>
                <w:rFonts w:hint="eastAsia" w:ascii="仿宋" w:hAnsi="仿宋" w:eastAsia="仿宋" w:cs="仿宋"/>
                <w:sz w:val="24"/>
                <w:szCs w:val="24"/>
                <w:highlight w:val="none"/>
              </w:rPr>
              <w:t>、高压冲洗车</w:t>
            </w:r>
            <w:r>
              <w:rPr>
                <w:rFonts w:hint="eastAsia" w:ascii="仿宋" w:hAnsi="仿宋" w:eastAsia="仿宋" w:cs="仿宋"/>
                <w:sz w:val="24"/>
                <w:szCs w:val="24"/>
                <w:highlight w:val="none"/>
                <w:lang w:val="en-US" w:eastAsia="zh-CN"/>
              </w:rPr>
              <w:t>≥2辆</w:t>
            </w:r>
            <w:r>
              <w:rPr>
                <w:rFonts w:hint="eastAsia" w:ascii="仿宋" w:hAnsi="仿宋" w:eastAsia="仿宋" w:cs="仿宋"/>
                <w:sz w:val="24"/>
                <w:szCs w:val="24"/>
                <w:highlight w:val="none"/>
              </w:rPr>
              <w:t>、雾炮车</w:t>
            </w:r>
            <w:r>
              <w:rPr>
                <w:rFonts w:hint="eastAsia" w:ascii="仿宋" w:hAnsi="仿宋" w:eastAsia="仿宋" w:cs="仿宋"/>
                <w:sz w:val="24"/>
                <w:szCs w:val="24"/>
                <w:highlight w:val="none"/>
                <w:lang w:val="en-US" w:eastAsia="zh-CN"/>
              </w:rPr>
              <w:t>≥1辆</w:t>
            </w:r>
            <w:r>
              <w:rPr>
                <w:rFonts w:hint="eastAsia" w:ascii="仿宋" w:hAnsi="仿宋" w:eastAsia="仿宋" w:cs="仿宋"/>
                <w:sz w:val="24"/>
                <w:szCs w:val="24"/>
                <w:highlight w:val="none"/>
              </w:rPr>
              <w:t>、铲车</w:t>
            </w:r>
            <w:r>
              <w:rPr>
                <w:rFonts w:hint="eastAsia" w:ascii="仿宋" w:hAnsi="仿宋" w:eastAsia="仿宋" w:cs="仿宋"/>
                <w:sz w:val="24"/>
                <w:szCs w:val="24"/>
                <w:highlight w:val="none"/>
                <w:lang w:val="en-US" w:eastAsia="zh-CN"/>
              </w:rPr>
              <w:t>≥1辆</w:t>
            </w:r>
            <w:r>
              <w:rPr>
                <w:rFonts w:hint="eastAsia" w:ascii="仿宋" w:hAnsi="仿宋" w:eastAsia="仿宋" w:cs="仿宋"/>
                <w:sz w:val="24"/>
                <w:szCs w:val="24"/>
                <w:highlight w:val="none"/>
              </w:rPr>
              <w:t>、机动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电动</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保洁船</w:t>
            </w:r>
            <w:r>
              <w:rPr>
                <w:rFonts w:hint="eastAsia" w:ascii="仿宋" w:hAnsi="仿宋" w:eastAsia="仿宋" w:cs="仿宋"/>
                <w:sz w:val="24"/>
                <w:szCs w:val="24"/>
                <w:highlight w:val="none"/>
                <w:lang w:val="en-US" w:eastAsia="zh-CN"/>
              </w:rPr>
              <w:t>≥9艘</w:t>
            </w:r>
            <w:r>
              <w:rPr>
                <w:rFonts w:hint="eastAsia" w:ascii="仿宋" w:hAnsi="仿宋" w:eastAsia="仿宋" w:cs="仿宋"/>
                <w:sz w:val="24"/>
                <w:szCs w:val="24"/>
                <w:highlight w:val="none"/>
              </w:rPr>
              <w:t>等，以上设备</w:t>
            </w:r>
            <w:r>
              <w:rPr>
                <w:rFonts w:hint="eastAsia" w:ascii="仿宋" w:hAnsi="仿宋" w:eastAsia="仿宋" w:cs="仿宋"/>
                <w:sz w:val="24"/>
                <w:szCs w:val="24"/>
                <w:highlight w:val="none"/>
                <w:lang w:val="en-US" w:eastAsia="zh-CN"/>
              </w:rPr>
              <w:t>数量为最低配备数量，在满足最低数量要求的前提下</w:t>
            </w:r>
            <w:r>
              <w:rPr>
                <w:rFonts w:hint="eastAsia" w:ascii="仿宋" w:hAnsi="仿宋" w:eastAsia="仿宋" w:cs="仿宋"/>
                <w:sz w:val="24"/>
                <w:szCs w:val="24"/>
                <w:highlight w:val="none"/>
              </w:rPr>
              <w:t>，</w:t>
            </w:r>
            <w:r>
              <w:rPr>
                <w:rFonts w:hint="eastAsia" w:ascii="仿宋" w:hAnsi="仿宋" w:eastAsia="仿宋" w:cs="仿宋"/>
                <w:sz w:val="24"/>
                <w:szCs w:val="24"/>
                <w:highlight w:val="none"/>
                <w:lang w:val="en-US" w:eastAsia="zh-CN"/>
              </w:rPr>
              <w:t>各投标供应商</w:t>
            </w:r>
            <w:r>
              <w:rPr>
                <w:rFonts w:hint="eastAsia" w:ascii="仿宋" w:hAnsi="仿宋" w:eastAsia="仿宋" w:cs="仿宋"/>
                <w:sz w:val="24"/>
                <w:szCs w:val="24"/>
                <w:highlight w:val="none"/>
              </w:rPr>
              <w:t>任意搭配，每</w:t>
            </w:r>
            <w:r>
              <w:rPr>
                <w:rFonts w:hint="eastAsia" w:ascii="仿宋" w:hAnsi="仿宋" w:eastAsia="仿宋" w:cs="仿宋"/>
                <w:sz w:val="24"/>
                <w:szCs w:val="24"/>
                <w:highlight w:val="none"/>
                <w:lang w:val="en-US" w:eastAsia="zh-CN"/>
              </w:rPr>
              <w:t>增加</w:t>
            </w:r>
            <w:r>
              <w:rPr>
                <w:rFonts w:hint="eastAsia" w:ascii="仿宋" w:hAnsi="仿宋" w:eastAsia="仿宋" w:cs="仿宋"/>
                <w:sz w:val="24"/>
                <w:szCs w:val="24"/>
                <w:highlight w:val="none"/>
              </w:rPr>
              <w:t>一辆</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lang w:val="en-US" w:eastAsia="zh-CN"/>
              </w:rPr>
              <w:t>艘</w:t>
            </w:r>
            <w:r>
              <w:rPr>
                <w:rFonts w:hint="eastAsia" w:ascii="仿宋" w:hAnsi="仿宋" w:eastAsia="仿宋" w:cs="仿宋"/>
                <w:sz w:val="24"/>
                <w:szCs w:val="24"/>
                <w:highlight w:val="none"/>
                <w:lang w:eastAsia="zh-CN"/>
              </w:rPr>
              <w:t>）</w:t>
            </w:r>
            <w:r>
              <w:rPr>
                <w:rFonts w:hint="eastAsia" w:ascii="仿宋" w:hAnsi="仿宋" w:eastAsia="仿宋" w:cs="仿宋"/>
                <w:sz w:val="24"/>
                <w:szCs w:val="24"/>
                <w:highlight w:val="none"/>
              </w:rPr>
              <w:t>得0.5分，最多得15分；</w:t>
            </w:r>
          </w:p>
          <w:p w14:paraId="6DCBB2C6">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注：1.如以上设备为自有财产的，车辆须提供行驶证、购置发票扫描件并加盖投标供应商红色实物公章或电子签章，行驶证上所有人须是投标供应商。保洁船提供购置发票扫描件并加盖投标供应商红色实物公章或电子签章；</w:t>
            </w:r>
          </w:p>
          <w:p w14:paraId="3A9646B3">
            <w:pPr>
              <w:spacing w:line="360" w:lineRule="auto"/>
              <w:rPr>
                <w:rFonts w:eastAsia="仿宋"/>
                <w:highlight w:val="none"/>
              </w:rPr>
            </w:pPr>
            <w:r>
              <w:rPr>
                <w:rFonts w:hint="eastAsia" w:ascii="仿宋" w:hAnsi="仿宋" w:eastAsia="仿宋" w:cs="仿宋"/>
                <w:sz w:val="24"/>
                <w:szCs w:val="24"/>
                <w:highlight w:val="none"/>
              </w:rPr>
              <w:t>2.如以上设备为租赁的，车辆须提供租赁合同、行驶证、购置发票扫描件并加盖投标供应商红色实物公章或电子签章，行驶证上所有人须和租赁合同上的出租人一致。保洁船提供租赁合同、购置发票扫描件并加盖投标供应商红色实物公章或电子签章。</w:t>
            </w:r>
          </w:p>
        </w:tc>
        <w:tc>
          <w:tcPr>
            <w:tcW w:w="1068" w:type="dxa"/>
            <w:tcBorders>
              <w:tl2br w:val="nil"/>
              <w:tr2bl w:val="nil"/>
            </w:tcBorders>
            <w:vAlign w:val="center"/>
          </w:tcPr>
          <w:p w14:paraId="322302BE">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15</w:t>
            </w:r>
          </w:p>
        </w:tc>
      </w:tr>
      <w:tr w14:paraId="6C76E23D">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1376" w:hRule="atLeast"/>
          <w:jc w:val="center"/>
        </w:trPr>
        <w:tc>
          <w:tcPr>
            <w:tcW w:w="769" w:type="dxa"/>
            <w:vMerge w:val="restart"/>
            <w:tcBorders>
              <w:tl2br w:val="nil"/>
              <w:tr2bl w:val="nil"/>
            </w:tcBorders>
            <w:vAlign w:val="center"/>
          </w:tcPr>
          <w:p w14:paraId="4B4B5A62">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5</w:t>
            </w:r>
          </w:p>
        </w:tc>
        <w:tc>
          <w:tcPr>
            <w:tcW w:w="1487" w:type="dxa"/>
            <w:vMerge w:val="restart"/>
            <w:tcBorders>
              <w:tl2br w:val="nil"/>
              <w:tr2bl w:val="nil"/>
            </w:tcBorders>
            <w:vAlign w:val="center"/>
          </w:tcPr>
          <w:p w14:paraId="24D750A6">
            <w:pPr>
              <w:widowControl/>
              <w:spacing w:line="360" w:lineRule="auto"/>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全域保洁整体运作方案（25分）</w:t>
            </w:r>
          </w:p>
        </w:tc>
        <w:tc>
          <w:tcPr>
            <w:tcW w:w="5919" w:type="dxa"/>
            <w:tcBorders>
              <w:tl2br w:val="nil"/>
              <w:tr2bl w:val="nil"/>
            </w:tcBorders>
            <w:vAlign w:val="center"/>
          </w:tcPr>
          <w:p w14:paraId="733DAB1F">
            <w:pPr>
              <w:spacing w:line="360" w:lineRule="auto"/>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一、管理机制与各项制度方案（6分）</w:t>
            </w:r>
          </w:p>
          <w:p w14:paraId="1FDAB4A8">
            <w:pPr>
              <w:spacing w:line="360" w:lineRule="auto"/>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投标供应商须结合本乡镇人居环境长效管护项目实际情况，针对性编制项目管理机制与配套管理制度方案，方案需贴合行业规范、具备落地性与实操性，严禁模板化套用、空洞化表述。本方案内容须完整包含以下六项核心内容：</w:t>
            </w:r>
          </w:p>
          <w:p w14:paraId="24515631">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1.</w:t>
            </w:r>
            <w:r>
              <w:rPr>
                <w:rFonts w:ascii="仿宋" w:hAnsi="仿宋" w:eastAsia="仿宋" w:cs="仿宋"/>
                <w:sz w:val="24"/>
                <w:szCs w:val="24"/>
                <w:highlight w:val="none"/>
                <w:lang w:bidi="ar"/>
              </w:rPr>
              <w:t>日常考核机制方案</w:t>
            </w:r>
          </w:p>
          <w:p w14:paraId="5F646260">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2.</w:t>
            </w:r>
            <w:r>
              <w:rPr>
                <w:rFonts w:ascii="仿宋" w:hAnsi="仿宋" w:eastAsia="仿宋" w:cs="仿宋"/>
                <w:sz w:val="24"/>
                <w:szCs w:val="24"/>
                <w:highlight w:val="none"/>
                <w:lang w:bidi="ar"/>
              </w:rPr>
              <w:t>激励考核机制方案</w:t>
            </w:r>
          </w:p>
          <w:p w14:paraId="291EEF24">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3.</w:t>
            </w:r>
            <w:r>
              <w:rPr>
                <w:rFonts w:ascii="仿宋" w:hAnsi="仿宋" w:eastAsia="仿宋" w:cs="仿宋"/>
                <w:sz w:val="24"/>
                <w:szCs w:val="24"/>
                <w:highlight w:val="none"/>
                <w:lang w:bidi="ar"/>
              </w:rPr>
              <w:t>监督机制方案</w:t>
            </w:r>
          </w:p>
          <w:p w14:paraId="22C911FF">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4.</w:t>
            </w:r>
            <w:r>
              <w:rPr>
                <w:rFonts w:ascii="仿宋" w:hAnsi="仿宋" w:eastAsia="仿宋" w:cs="仿宋"/>
                <w:sz w:val="24"/>
                <w:szCs w:val="24"/>
                <w:highlight w:val="none"/>
                <w:lang w:bidi="ar"/>
              </w:rPr>
              <w:t>自我约束机制方案</w:t>
            </w:r>
          </w:p>
          <w:p w14:paraId="16C415EB">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5.</w:t>
            </w:r>
            <w:r>
              <w:rPr>
                <w:rFonts w:ascii="仿宋" w:hAnsi="仿宋" w:eastAsia="仿宋" w:cs="仿宋"/>
                <w:sz w:val="24"/>
                <w:szCs w:val="24"/>
                <w:highlight w:val="none"/>
                <w:lang w:bidi="ar"/>
              </w:rPr>
              <w:t>信息反馈及处理机制方案</w:t>
            </w:r>
          </w:p>
          <w:p w14:paraId="7B898746">
            <w:pPr>
              <w:spacing w:line="360" w:lineRule="auto"/>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6.</w:t>
            </w:r>
            <w:r>
              <w:rPr>
                <w:rFonts w:ascii="仿宋" w:hAnsi="仿宋" w:eastAsia="仿宋" w:cs="仿宋"/>
                <w:sz w:val="24"/>
                <w:szCs w:val="24"/>
                <w:highlight w:val="none"/>
                <w:lang w:bidi="ar"/>
              </w:rPr>
              <w:t>人员的使用、考核、淘汰机制等其他相应管理制度方案</w:t>
            </w:r>
          </w:p>
          <w:p w14:paraId="66177D64">
            <w:pPr>
              <w:spacing w:line="360" w:lineRule="auto"/>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评分规则：</w:t>
            </w:r>
            <w:r>
              <w:rPr>
                <w:rFonts w:ascii="仿宋" w:hAnsi="仿宋" w:eastAsia="仿宋" w:cs="仿宋"/>
                <w:sz w:val="24"/>
                <w:szCs w:val="24"/>
                <w:highlight w:val="none"/>
                <w:lang w:bidi="ar"/>
              </w:rPr>
              <w:t>上述六项内容，每缺少一项扣1分；方案编制内容每存在一处缺陷或不足扣0.5分，本项分值扣完为止，最高得6分。</w:t>
            </w:r>
          </w:p>
          <w:p w14:paraId="2E325400">
            <w:pPr>
              <w:spacing w:line="360" w:lineRule="auto"/>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缺陷与不足认定标准（满足任意一条即判定扣分）</w:t>
            </w:r>
            <w:r>
              <w:rPr>
                <w:rFonts w:ascii="仿宋" w:hAnsi="仿宋" w:eastAsia="仿宋" w:cs="仿宋"/>
                <w:sz w:val="24"/>
                <w:szCs w:val="24"/>
                <w:highlight w:val="none"/>
                <w:lang w:bidi="ar"/>
              </w:rPr>
              <w:t>：方案内容不切合行业实际、不符合国家法规政策；内容生搬硬造，与项目实际情况不符、存在明显偏差；内容过于简略，无具体落地措施；存在大量与本项目管护工作无关的冗余文字；内容不适用于本项目实际情况，不具备可操作性；内容存在逻辑漏洞或专业原理错误。</w:t>
            </w:r>
          </w:p>
        </w:tc>
        <w:tc>
          <w:tcPr>
            <w:tcW w:w="1068" w:type="dxa"/>
            <w:tcBorders>
              <w:tl2br w:val="nil"/>
              <w:tr2bl w:val="nil"/>
            </w:tcBorders>
            <w:vAlign w:val="center"/>
          </w:tcPr>
          <w:p w14:paraId="5BCD4257">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6</w:t>
            </w:r>
          </w:p>
        </w:tc>
      </w:tr>
      <w:tr w14:paraId="09789A34">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778" w:hRule="atLeast"/>
          <w:jc w:val="center"/>
        </w:trPr>
        <w:tc>
          <w:tcPr>
            <w:tcW w:w="769" w:type="dxa"/>
            <w:vMerge w:val="continue"/>
            <w:tcBorders>
              <w:tl2br w:val="nil"/>
              <w:tr2bl w:val="nil"/>
            </w:tcBorders>
            <w:vAlign w:val="center"/>
          </w:tcPr>
          <w:p w14:paraId="27D227D0">
            <w:pPr>
              <w:spacing w:line="360" w:lineRule="auto"/>
              <w:rPr>
                <w:rFonts w:hint="eastAsia" w:ascii="仿宋" w:hAnsi="仿宋" w:eastAsia="仿宋" w:cs="仿宋"/>
                <w:sz w:val="24"/>
                <w:szCs w:val="24"/>
                <w:highlight w:val="none"/>
              </w:rPr>
            </w:pPr>
            <w:bookmarkStart w:id="197" w:name="_Hlk238629523"/>
          </w:p>
        </w:tc>
        <w:tc>
          <w:tcPr>
            <w:tcW w:w="1487" w:type="dxa"/>
            <w:vMerge w:val="continue"/>
            <w:tcBorders>
              <w:tl2br w:val="nil"/>
              <w:tr2bl w:val="nil"/>
            </w:tcBorders>
            <w:vAlign w:val="center"/>
          </w:tcPr>
          <w:p w14:paraId="444E0E89">
            <w:pPr>
              <w:spacing w:line="360" w:lineRule="auto"/>
              <w:rPr>
                <w:rFonts w:hint="eastAsia" w:ascii="仿宋" w:hAnsi="仿宋" w:eastAsia="仿宋" w:cs="仿宋"/>
                <w:sz w:val="24"/>
                <w:szCs w:val="24"/>
                <w:highlight w:val="none"/>
              </w:rPr>
            </w:pPr>
          </w:p>
        </w:tc>
        <w:tc>
          <w:tcPr>
            <w:tcW w:w="5919" w:type="dxa"/>
            <w:tcBorders>
              <w:tl2br w:val="nil"/>
              <w:tr2bl w:val="nil"/>
            </w:tcBorders>
            <w:vAlign w:val="center"/>
          </w:tcPr>
          <w:p w14:paraId="01906B8D">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二、作业方案（12分）</w:t>
            </w:r>
          </w:p>
          <w:p w14:paraId="1C7AA22B">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投标供应商须针对本项目管护服务全域开展全面、充分的现场实地尽调，结合项目现场实际现状、服务范围、作业特点编制专属作业方案，方案需贴合现场实际、针对性强、具备可操作性，不得脱离项目实际、套用通用模板。本方案内容须完整包含以下十项核心内容：</w:t>
            </w:r>
          </w:p>
          <w:p w14:paraId="27AC09F7">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1.</w:t>
            </w:r>
            <w:r>
              <w:rPr>
                <w:rFonts w:ascii="仿宋" w:hAnsi="仿宋" w:eastAsia="仿宋" w:cs="仿宋"/>
                <w:sz w:val="24"/>
                <w:szCs w:val="24"/>
                <w:highlight w:val="none"/>
                <w:lang w:bidi="ar"/>
              </w:rPr>
              <w:t>项目负责人、管理人员、作业人员配备方案</w:t>
            </w:r>
          </w:p>
          <w:p w14:paraId="0E070C82">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2.</w:t>
            </w:r>
            <w:r>
              <w:rPr>
                <w:rFonts w:ascii="仿宋" w:hAnsi="仿宋" w:eastAsia="仿宋" w:cs="仿宋"/>
                <w:sz w:val="24"/>
                <w:szCs w:val="24"/>
                <w:highlight w:val="none"/>
                <w:lang w:bidi="ar"/>
              </w:rPr>
              <w:t>作业设备投入方案</w:t>
            </w:r>
          </w:p>
          <w:p w14:paraId="3F7782CC">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3.</w:t>
            </w:r>
            <w:r>
              <w:rPr>
                <w:rFonts w:ascii="仿宋" w:hAnsi="仿宋" w:eastAsia="仿宋" w:cs="仿宋"/>
                <w:sz w:val="24"/>
                <w:szCs w:val="24"/>
                <w:highlight w:val="none"/>
                <w:lang w:bidi="ar"/>
              </w:rPr>
              <w:t>镇区综合管护方案</w:t>
            </w:r>
          </w:p>
          <w:p w14:paraId="66E1AAB4">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4.</w:t>
            </w:r>
            <w:r>
              <w:rPr>
                <w:rFonts w:ascii="仿宋" w:hAnsi="仿宋" w:eastAsia="仿宋" w:cs="仿宋"/>
                <w:sz w:val="24"/>
                <w:szCs w:val="24"/>
                <w:highlight w:val="none"/>
                <w:lang w:bidi="ar"/>
              </w:rPr>
              <w:t>工业园区管护方案</w:t>
            </w:r>
          </w:p>
          <w:p w14:paraId="7A5EB4C5">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5.</w:t>
            </w:r>
            <w:r>
              <w:rPr>
                <w:rFonts w:ascii="仿宋" w:hAnsi="仿宋" w:eastAsia="仿宋" w:cs="仿宋"/>
                <w:sz w:val="24"/>
                <w:szCs w:val="24"/>
                <w:highlight w:val="none"/>
                <w:lang w:bidi="ar"/>
              </w:rPr>
              <w:t>垃圾日产日清方案</w:t>
            </w:r>
          </w:p>
          <w:p w14:paraId="1E49F3A9">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6.</w:t>
            </w:r>
            <w:r>
              <w:rPr>
                <w:rFonts w:ascii="仿宋" w:hAnsi="仿宋" w:eastAsia="仿宋" w:cs="仿宋"/>
                <w:sz w:val="24"/>
                <w:szCs w:val="24"/>
                <w:highlight w:val="none"/>
                <w:lang w:bidi="ar"/>
              </w:rPr>
              <w:t>垃圾分类控制方案</w:t>
            </w:r>
          </w:p>
          <w:p w14:paraId="16156B3F">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7.</w:t>
            </w:r>
            <w:r>
              <w:rPr>
                <w:rFonts w:ascii="仿宋" w:hAnsi="仿宋" w:eastAsia="仿宋" w:cs="仿宋"/>
                <w:sz w:val="24"/>
                <w:szCs w:val="24"/>
                <w:highlight w:val="none"/>
                <w:lang w:bidi="ar"/>
              </w:rPr>
              <w:t>河道管护控制方案</w:t>
            </w:r>
          </w:p>
          <w:p w14:paraId="4EC002FD">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8.</w:t>
            </w:r>
            <w:r>
              <w:rPr>
                <w:rFonts w:ascii="仿宋" w:hAnsi="仿宋" w:eastAsia="仿宋" w:cs="仿宋"/>
                <w:sz w:val="24"/>
                <w:szCs w:val="24"/>
                <w:highlight w:val="none"/>
                <w:lang w:bidi="ar"/>
              </w:rPr>
              <w:t>绿化管护控制方案</w:t>
            </w:r>
          </w:p>
          <w:p w14:paraId="373F791B">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9.</w:t>
            </w:r>
            <w:r>
              <w:rPr>
                <w:rFonts w:ascii="仿宋" w:hAnsi="仿宋" w:eastAsia="仿宋" w:cs="仿宋"/>
                <w:sz w:val="24"/>
                <w:szCs w:val="24"/>
                <w:highlight w:val="none"/>
                <w:lang w:bidi="ar"/>
              </w:rPr>
              <w:t>生活垃圾中转站工作方案</w:t>
            </w:r>
          </w:p>
          <w:p w14:paraId="1915C871">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10.</w:t>
            </w:r>
            <w:r>
              <w:rPr>
                <w:rFonts w:ascii="仿宋" w:hAnsi="仿宋" w:eastAsia="仿宋" w:cs="仿宋"/>
                <w:sz w:val="24"/>
                <w:szCs w:val="24"/>
                <w:highlight w:val="none"/>
                <w:lang w:bidi="ar"/>
              </w:rPr>
              <w:t>成本控制和服务人员基本待遇保障方案</w:t>
            </w:r>
          </w:p>
          <w:p w14:paraId="73B76366">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评分规则：</w:t>
            </w:r>
            <w:r>
              <w:rPr>
                <w:rFonts w:ascii="仿宋" w:hAnsi="仿宋" w:eastAsia="仿宋" w:cs="仿宋"/>
                <w:sz w:val="24"/>
                <w:szCs w:val="24"/>
                <w:highlight w:val="none"/>
                <w:lang w:bidi="ar"/>
              </w:rPr>
              <w:t>上述十项内容，每缺少一项扣1.2分；方案编制内容每存在一处缺陷或不足扣0.</w:t>
            </w:r>
            <w:r>
              <w:rPr>
                <w:rFonts w:hint="eastAsia" w:ascii="仿宋" w:hAnsi="仿宋" w:eastAsia="仿宋" w:cs="仿宋"/>
                <w:sz w:val="24"/>
                <w:szCs w:val="24"/>
                <w:highlight w:val="none"/>
                <w:lang w:bidi="ar"/>
              </w:rPr>
              <w:t>5</w:t>
            </w:r>
            <w:r>
              <w:rPr>
                <w:rFonts w:ascii="仿宋" w:hAnsi="仿宋" w:eastAsia="仿宋" w:cs="仿宋"/>
                <w:sz w:val="24"/>
                <w:szCs w:val="24"/>
                <w:highlight w:val="none"/>
                <w:lang w:bidi="ar"/>
              </w:rPr>
              <w:t>分，本项分值扣完为止，最高得12分。</w:t>
            </w:r>
          </w:p>
          <w:p w14:paraId="5D6D43C7">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缺陷与不足认定标准（满足任意一条即判定扣分）：</w:t>
            </w:r>
            <w:r>
              <w:rPr>
                <w:rFonts w:ascii="仿宋" w:hAnsi="仿宋" w:eastAsia="仿宋" w:cs="仿宋"/>
                <w:sz w:val="24"/>
                <w:szCs w:val="24"/>
                <w:highlight w:val="none"/>
                <w:lang w:bidi="ar"/>
              </w:rPr>
              <w:t>方案内容不切合行业实际、不符合国家法规政策；内容生搬硬造，与项目实际情况不符、存在明显偏差；内容过于简略，无具体作业流程、管控措施；存在大量与本项目管护工作无关的冗余文字；内容不适用于本项目实际作业场景，不具备可操作性；内容存在逻辑漏洞或专业原理错误。</w:t>
            </w:r>
          </w:p>
          <w:p w14:paraId="43CE0FB8">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特别说明：</w:t>
            </w:r>
            <w:r>
              <w:rPr>
                <w:rFonts w:ascii="仿宋" w:hAnsi="仿宋" w:eastAsia="仿宋" w:cs="仿宋"/>
                <w:sz w:val="24"/>
                <w:szCs w:val="24"/>
                <w:highlight w:val="none"/>
                <w:lang w:bidi="ar"/>
              </w:rPr>
              <w:t>供应商投标即视为已完成本项目全域现场实地尽调，充分知悉本项目镇区、工业园区、河道、绿化、垃圾中转站及全域人居环境管护实际现状。评标委员会依据投标方案的针对性、真实性、完整性、可操作性、贴合现场程度独立评审打分，不接受供应商以踏勘不充分、现场情况预判偏差、认知不足等为由的事后申辩、补正及分值调整申请。</w:t>
            </w:r>
          </w:p>
        </w:tc>
        <w:tc>
          <w:tcPr>
            <w:tcW w:w="1068" w:type="dxa"/>
            <w:tcBorders>
              <w:tl2br w:val="nil"/>
              <w:tr2bl w:val="nil"/>
            </w:tcBorders>
            <w:vAlign w:val="center"/>
          </w:tcPr>
          <w:p w14:paraId="533DEB4C">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12</w:t>
            </w:r>
          </w:p>
        </w:tc>
      </w:tr>
      <w:bookmarkEnd w:id="197"/>
      <w:tr w14:paraId="181AA741">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70" w:hRule="atLeast"/>
          <w:jc w:val="center"/>
        </w:trPr>
        <w:tc>
          <w:tcPr>
            <w:tcW w:w="769" w:type="dxa"/>
            <w:vMerge w:val="continue"/>
            <w:tcBorders>
              <w:tl2br w:val="nil"/>
              <w:tr2bl w:val="nil"/>
            </w:tcBorders>
            <w:vAlign w:val="center"/>
          </w:tcPr>
          <w:p w14:paraId="72C07D54">
            <w:pPr>
              <w:spacing w:line="360" w:lineRule="auto"/>
              <w:rPr>
                <w:rFonts w:hint="eastAsia" w:ascii="仿宋" w:hAnsi="仿宋" w:eastAsia="仿宋" w:cs="仿宋"/>
                <w:sz w:val="24"/>
                <w:szCs w:val="24"/>
                <w:highlight w:val="none"/>
              </w:rPr>
            </w:pPr>
          </w:p>
        </w:tc>
        <w:tc>
          <w:tcPr>
            <w:tcW w:w="1487" w:type="dxa"/>
            <w:vMerge w:val="continue"/>
            <w:tcBorders>
              <w:tl2br w:val="nil"/>
              <w:tr2bl w:val="nil"/>
            </w:tcBorders>
            <w:vAlign w:val="center"/>
          </w:tcPr>
          <w:p w14:paraId="5D94E172">
            <w:pPr>
              <w:spacing w:line="360" w:lineRule="auto"/>
              <w:rPr>
                <w:rFonts w:hint="eastAsia" w:ascii="仿宋" w:hAnsi="仿宋" w:eastAsia="仿宋" w:cs="仿宋"/>
                <w:sz w:val="24"/>
                <w:szCs w:val="24"/>
                <w:highlight w:val="none"/>
              </w:rPr>
            </w:pPr>
          </w:p>
        </w:tc>
        <w:tc>
          <w:tcPr>
            <w:tcW w:w="5919" w:type="dxa"/>
            <w:tcBorders>
              <w:tl2br w:val="nil"/>
              <w:tr2bl w:val="nil"/>
            </w:tcBorders>
            <w:vAlign w:val="center"/>
          </w:tcPr>
          <w:p w14:paraId="3399BBD7">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三、安全措施（3分）</w:t>
            </w:r>
          </w:p>
          <w:p w14:paraId="2BC7F063">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投标供应商须结合本项目户外作业、全域管护的工作特性，针对性编制安全保障措施方案，全面覆盖项目作业全流程安全管控要求。本方案内容须完整包含以下三项核心内容：</w:t>
            </w:r>
          </w:p>
          <w:p w14:paraId="305DD22B">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1.</w:t>
            </w:r>
            <w:r>
              <w:rPr>
                <w:rFonts w:ascii="仿宋" w:hAnsi="仿宋" w:eastAsia="仿宋" w:cs="仿宋"/>
                <w:sz w:val="24"/>
                <w:szCs w:val="24"/>
                <w:highlight w:val="none"/>
                <w:lang w:bidi="ar"/>
              </w:rPr>
              <w:t>安全制度方案</w:t>
            </w:r>
          </w:p>
          <w:p w14:paraId="1A548B0C">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2.</w:t>
            </w:r>
            <w:r>
              <w:rPr>
                <w:rFonts w:ascii="仿宋" w:hAnsi="仿宋" w:eastAsia="仿宋" w:cs="仿宋"/>
                <w:sz w:val="24"/>
                <w:szCs w:val="24"/>
                <w:highlight w:val="none"/>
                <w:lang w:bidi="ar"/>
              </w:rPr>
              <w:t>安全实施器材配备、规范用工及安全文明作业保障措施方案</w:t>
            </w:r>
          </w:p>
          <w:p w14:paraId="38671384">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3.</w:t>
            </w:r>
            <w:r>
              <w:rPr>
                <w:rFonts w:ascii="仿宋" w:hAnsi="仿宋" w:eastAsia="仿宋" w:cs="仿宋"/>
                <w:sz w:val="24"/>
                <w:szCs w:val="24"/>
                <w:highlight w:val="none"/>
                <w:lang w:bidi="ar"/>
              </w:rPr>
              <w:t>劳动保护、安全事故处理措施方案</w:t>
            </w:r>
          </w:p>
          <w:p w14:paraId="656485B8">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评分规则：</w:t>
            </w:r>
            <w:r>
              <w:rPr>
                <w:rFonts w:ascii="仿宋" w:hAnsi="仿宋" w:eastAsia="仿宋" w:cs="仿宋"/>
                <w:sz w:val="24"/>
                <w:szCs w:val="24"/>
                <w:highlight w:val="none"/>
                <w:lang w:bidi="ar"/>
              </w:rPr>
              <w:t>上述三项内容，每缺少一项扣1分；方案编制内容每存在一处缺陷或不足扣0.5分，本项分值扣完为止，最高得3分。</w:t>
            </w:r>
          </w:p>
          <w:p w14:paraId="5C6ACAB8">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缺陷与不足认定标准（满足任意一条即判定扣分）：</w:t>
            </w:r>
            <w:r>
              <w:rPr>
                <w:rFonts w:ascii="仿宋" w:hAnsi="仿宋" w:eastAsia="仿宋" w:cs="仿宋"/>
                <w:sz w:val="24"/>
                <w:szCs w:val="24"/>
                <w:highlight w:val="none"/>
                <w:lang w:bidi="ar"/>
              </w:rPr>
              <w:t>方案内容不切合行业实际、不符合国家法规政策；内容生搬硬造，与项目实际情况不符、存在明显偏差；内容过于简略，无具体安全管控举措；存在大量与本项目安全管理无关的冗余文字；内容不适用于本项目实际情况，不具备可操作性；内容存在逻辑漏洞或专业原理错误。</w:t>
            </w:r>
          </w:p>
        </w:tc>
        <w:tc>
          <w:tcPr>
            <w:tcW w:w="1068" w:type="dxa"/>
            <w:tcBorders>
              <w:tl2br w:val="nil"/>
              <w:tr2bl w:val="nil"/>
            </w:tcBorders>
            <w:vAlign w:val="center"/>
          </w:tcPr>
          <w:p w14:paraId="07EFDDBF">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r>
      <w:tr w14:paraId="4AA88347">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990" w:hRule="atLeast"/>
          <w:jc w:val="center"/>
        </w:trPr>
        <w:tc>
          <w:tcPr>
            <w:tcW w:w="769" w:type="dxa"/>
            <w:vMerge w:val="continue"/>
            <w:tcBorders>
              <w:tl2br w:val="nil"/>
              <w:tr2bl w:val="nil"/>
            </w:tcBorders>
            <w:vAlign w:val="center"/>
          </w:tcPr>
          <w:p w14:paraId="518F2B4C">
            <w:pPr>
              <w:spacing w:line="360" w:lineRule="auto"/>
              <w:rPr>
                <w:rFonts w:hint="eastAsia" w:ascii="仿宋" w:hAnsi="仿宋" w:eastAsia="仿宋" w:cs="仿宋"/>
                <w:sz w:val="24"/>
                <w:szCs w:val="24"/>
                <w:highlight w:val="none"/>
              </w:rPr>
            </w:pPr>
          </w:p>
        </w:tc>
        <w:tc>
          <w:tcPr>
            <w:tcW w:w="1487" w:type="dxa"/>
            <w:vMerge w:val="continue"/>
            <w:tcBorders>
              <w:tl2br w:val="nil"/>
              <w:tr2bl w:val="nil"/>
            </w:tcBorders>
            <w:vAlign w:val="center"/>
          </w:tcPr>
          <w:p w14:paraId="7C7CF5C5">
            <w:pPr>
              <w:spacing w:line="360" w:lineRule="auto"/>
              <w:rPr>
                <w:rFonts w:hint="eastAsia" w:ascii="仿宋" w:hAnsi="仿宋" w:eastAsia="仿宋" w:cs="仿宋"/>
                <w:sz w:val="24"/>
                <w:szCs w:val="24"/>
                <w:highlight w:val="none"/>
              </w:rPr>
            </w:pPr>
          </w:p>
        </w:tc>
        <w:tc>
          <w:tcPr>
            <w:tcW w:w="5919" w:type="dxa"/>
            <w:tcBorders>
              <w:tl2br w:val="nil"/>
              <w:tr2bl w:val="nil"/>
            </w:tcBorders>
            <w:vAlign w:val="center"/>
          </w:tcPr>
          <w:p w14:paraId="60ED8DBC">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四、应急措施（3分）</w:t>
            </w:r>
          </w:p>
          <w:p w14:paraId="14635937">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投标供应商须针对项目日常管护、重大保障、突发状况等场景，编制全面、可行的应急处置方案，有效应对各类突发及特殊作业场景。本方案内容须完整包含以下三项核心内容：</w:t>
            </w:r>
          </w:p>
          <w:p w14:paraId="42624662">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1.</w:t>
            </w:r>
            <w:r>
              <w:rPr>
                <w:rFonts w:ascii="仿宋" w:hAnsi="仿宋" w:eastAsia="仿宋" w:cs="仿宋"/>
                <w:sz w:val="24"/>
                <w:szCs w:val="24"/>
                <w:highlight w:val="none"/>
                <w:lang w:bidi="ar"/>
              </w:rPr>
              <w:t>节假日预案方案</w:t>
            </w:r>
          </w:p>
          <w:p w14:paraId="4F32E84E">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2.</w:t>
            </w:r>
            <w:r>
              <w:rPr>
                <w:rFonts w:ascii="仿宋" w:hAnsi="仿宋" w:eastAsia="仿宋" w:cs="仿宋"/>
                <w:sz w:val="24"/>
                <w:szCs w:val="24"/>
                <w:highlight w:val="none"/>
                <w:lang w:bidi="ar"/>
              </w:rPr>
              <w:t>迎接重大活动及检查评比的保障措施方案</w:t>
            </w:r>
          </w:p>
          <w:p w14:paraId="6F06D5D8">
            <w:pPr>
              <w:widowControl/>
              <w:spacing w:line="360" w:lineRule="auto"/>
              <w:textAlignment w:val="center"/>
              <w:rPr>
                <w:rFonts w:hint="eastAsia" w:ascii="仿宋" w:hAnsi="仿宋" w:eastAsia="仿宋" w:cs="仿宋"/>
                <w:sz w:val="24"/>
                <w:szCs w:val="24"/>
                <w:highlight w:val="none"/>
                <w:lang w:bidi="ar"/>
              </w:rPr>
            </w:pPr>
            <w:r>
              <w:rPr>
                <w:rFonts w:hint="eastAsia" w:ascii="仿宋" w:hAnsi="仿宋" w:eastAsia="仿宋" w:cs="仿宋"/>
                <w:sz w:val="24"/>
                <w:szCs w:val="24"/>
                <w:highlight w:val="none"/>
                <w:lang w:bidi="ar"/>
              </w:rPr>
              <w:t>3.</w:t>
            </w:r>
            <w:r>
              <w:rPr>
                <w:rFonts w:ascii="仿宋" w:hAnsi="仿宋" w:eastAsia="仿宋" w:cs="仿宋"/>
                <w:sz w:val="24"/>
                <w:szCs w:val="24"/>
                <w:highlight w:val="none"/>
                <w:lang w:bidi="ar"/>
              </w:rPr>
              <w:t>人员临时调动及突发事件的处理措施方案</w:t>
            </w:r>
          </w:p>
          <w:p w14:paraId="7446B3AE">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评分规则：</w:t>
            </w:r>
            <w:r>
              <w:rPr>
                <w:rFonts w:ascii="仿宋" w:hAnsi="仿宋" w:eastAsia="仿宋" w:cs="仿宋"/>
                <w:sz w:val="24"/>
                <w:szCs w:val="24"/>
                <w:highlight w:val="none"/>
                <w:lang w:bidi="ar"/>
              </w:rPr>
              <w:t>上述三项内容，每缺少一项扣1分；方案编制内容每存在一处缺陷或不足扣0.5分，本项分值扣完为止，最高得3分。</w:t>
            </w:r>
          </w:p>
          <w:p w14:paraId="57680FEC">
            <w:pPr>
              <w:widowControl/>
              <w:spacing w:line="360" w:lineRule="auto"/>
              <w:textAlignment w:val="center"/>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缺陷与不足认定标准（满足任意一条即判定扣分）：</w:t>
            </w:r>
            <w:r>
              <w:rPr>
                <w:rFonts w:ascii="仿宋" w:hAnsi="仿宋" w:eastAsia="仿宋" w:cs="仿宋"/>
                <w:sz w:val="24"/>
                <w:szCs w:val="24"/>
                <w:highlight w:val="none"/>
                <w:lang w:bidi="ar"/>
              </w:rPr>
              <w:t>方案内容不切合行业实际、不符合国家法规政策；内容生搬硬造，与项目实际情况不符、存在明显偏差；内容过于简略，无具体应急处置流程；存在大量与本项目应急保障无关的冗余文字；内容不适用于本项目实际情况，不具备可操作性；内容存在逻辑漏洞或专业原理错误。</w:t>
            </w:r>
          </w:p>
        </w:tc>
        <w:tc>
          <w:tcPr>
            <w:tcW w:w="1068" w:type="dxa"/>
            <w:tcBorders>
              <w:tl2br w:val="nil"/>
              <w:tr2bl w:val="nil"/>
            </w:tcBorders>
            <w:vAlign w:val="center"/>
          </w:tcPr>
          <w:p w14:paraId="4E37B85C">
            <w:pPr>
              <w:widowControl/>
              <w:spacing w:line="360" w:lineRule="auto"/>
              <w:jc w:val="center"/>
              <w:textAlignment w:val="center"/>
              <w:rPr>
                <w:rStyle w:val="223"/>
                <w:rFonts w:hint="default" w:ascii="仿宋" w:hAnsi="仿宋" w:eastAsia="仿宋" w:cs="仿宋"/>
                <w:color w:val="auto"/>
                <w:highlight w:val="none"/>
                <w:lang w:bidi="ar"/>
              </w:rPr>
            </w:pPr>
            <w:r>
              <w:rPr>
                <w:rStyle w:val="223"/>
                <w:rFonts w:hint="default" w:ascii="仿宋" w:hAnsi="仿宋" w:eastAsia="仿宋" w:cs="仿宋"/>
                <w:color w:val="auto"/>
                <w:highlight w:val="none"/>
                <w:lang w:bidi="ar"/>
              </w:rPr>
              <w:t>3</w:t>
            </w:r>
          </w:p>
        </w:tc>
      </w:tr>
      <w:tr w14:paraId="33DC1D8C">
        <w:tblPrEx>
          <w:tblBorders>
            <w:top w:val="single" w:color="000000" w:sz="2" w:space="0"/>
            <w:left w:val="single" w:color="000000" w:sz="2" w:space="0"/>
            <w:bottom w:val="single" w:color="000000" w:sz="2" w:space="0"/>
            <w:right w:val="single" w:color="000000" w:sz="2" w:space="0"/>
            <w:insideH w:val="single" w:color="000000" w:sz="2" w:space="0"/>
            <w:insideV w:val="single" w:color="000000" w:sz="2" w:space="0"/>
          </w:tblBorders>
          <w:tblCellMar>
            <w:top w:w="0" w:type="dxa"/>
            <w:left w:w="108" w:type="dxa"/>
            <w:bottom w:w="0" w:type="dxa"/>
            <w:right w:w="108" w:type="dxa"/>
          </w:tblCellMar>
        </w:tblPrEx>
        <w:trPr>
          <w:trHeight w:val="532" w:hRule="atLeast"/>
          <w:jc w:val="center"/>
        </w:trPr>
        <w:tc>
          <w:tcPr>
            <w:tcW w:w="769" w:type="dxa"/>
            <w:vMerge w:val="continue"/>
            <w:tcBorders>
              <w:tl2br w:val="nil"/>
              <w:tr2bl w:val="nil"/>
            </w:tcBorders>
            <w:vAlign w:val="center"/>
          </w:tcPr>
          <w:p w14:paraId="3DC11D2D">
            <w:pPr>
              <w:spacing w:line="360" w:lineRule="auto"/>
              <w:rPr>
                <w:rFonts w:hint="eastAsia" w:ascii="仿宋" w:hAnsi="仿宋" w:eastAsia="仿宋" w:cs="仿宋"/>
                <w:sz w:val="24"/>
                <w:szCs w:val="24"/>
                <w:highlight w:val="none"/>
              </w:rPr>
            </w:pPr>
          </w:p>
        </w:tc>
        <w:tc>
          <w:tcPr>
            <w:tcW w:w="1487" w:type="dxa"/>
            <w:vMerge w:val="continue"/>
            <w:tcBorders>
              <w:tl2br w:val="nil"/>
              <w:tr2bl w:val="nil"/>
            </w:tcBorders>
            <w:vAlign w:val="center"/>
          </w:tcPr>
          <w:p w14:paraId="34890DC8">
            <w:pPr>
              <w:spacing w:line="360" w:lineRule="auto"/>
              <w:rPr>
                <w:rFonts w:hint="eastAsia" w:ascii="仿宋" w:hAnsi="仿宋" w:eastAsia="仿宋" w:cs="仿宋"/>
                <w:sz w:val="24"/>
                <w:szCs w:val="24"/>
                <w:highlight w:val="none"/>
              </w:rPr>
            </w:pPr>
          </w:p>
        </w:tc>
        <w:tc>
          <w:tcPr>
            <w:tcW w:w="5919" w:type="dxa"/>
            <w:tcBorders>
              <w:tl2br w:val="nil"/>
              <w:tr2bl w:val="nil"/>
            </w:tcBorders>
            <w:vAlign w:val="center"/>
          </w:tcPr>
          <w:p w14:paraId="08E2819C">
            <w:pPr>
              <w:spacing w:line="360" w:lineRule="auto"/>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五、各项承诺（1分）</w:t>
            </w:r>
          </w:p>
          <w:p w14:paraId="7492E9E0">
            <w:pPr>
              <w:spacing w:line="360" w:lineRule="auto"/>
              <w:rPr>
                <w:rFonts w:hint="eastAsia" w:ascii="仿宋" w:hAnsi="仿宋" w:eastAsia="仿宋" w:cs="仿宋"/>
                <w:sz w:val="24"/>
                <w:szCs w:val="24"/>
                <w:highlight w:val="none"/>
                <w:lang w:bidi="ar"/>
              </w:rPr>
            </w:pPr>
            <w:r>
              <w:rPr>
                <w:rFonts w:ascii="仿宋" w:hAnsi="仿宋" w:eastAsia="仿宋" w:cs="仿宋"/>
                <w:sz w:val="24"/>
                <w:szCs w:val="24"/>
                <w:highlight w:val="none"/>
                <w:lang w:bidi="ar"/>
              </w:rPr>
              <w:t>投标供应商须自行拟定承诺书，承诺内容需包含但不限于质量承诺、各类安全事故善后处理承诺、依法规范用工承诺、履约期各类风险应对承诺、不可抗力事件及时处理承诺等核心内容。</w:t>
            </w:r>
          </w:p>
          <w:p w14:paraId="43233D05">
            <w:pPr>
              <w:spacing w:line="360" w:lineRule="auto"/>
              <w:rPr>
                <w:rFonts w:hint="eastAsia" w:ascii="仿宋" w:hAnsi="仿宋" w:eastAsia="仿宋" w:cs="仿宋"/>
                <w:sz w:val="24"/>
                <w:szCs w:val="24"/>
                <w:highlight w:val="none"/>
                <w:lang w:bidi="ar"/>
              </w:rPr>
            </w:pPr>
            <w:r>
              <w:rPr>
                <w:rFonts w:ascii="仿宋" w:hAnsi="仿宋" w:eastAsia="仿宋" w:cs="仿宋"/>
                <w:b/>
                <w:bCs/>
                <w:sz w:val="24"/>
                <w:szCs w:val="24"/>
                <w:highlight w:val="none"/>
                <w:lang w:bidi="ar"/>
              </w:rPr>
              <w:t>评分规则：</w:t>
            </w:r>
            <w:r>
              <w:rPr>
                <w:rFonts w:ascii="仿宋" w:hAnsi="仿宋" w:eastAsia="仿宋" w:cs="仿宋"/>
                <w:sz w:val="24"/>
                <w:szCs w:val="24"/>
                <w:highlight w:val="none"/>
                <w:lang w:bidi="ar"/>
              </w:rPr>
              <w:t>完整提供包含全部核心承诺内容的承诺书得1分，内容缺失、未按要求提供承诺书的不得分。</w:t>
            </w:r>
          </w:p>
        </w:tc>
        <w:tc>
          <w:tcPr>
            <w:tcW w:w="1068" w:type="dxa"/>
            <w:tcBorders>
              <w:tl2br w:val="nil"/>
              <w:tr2bl w:val="nil"/>
            </w:tcBorders>
            <w:vAlign w:val="center"/>
          </w:tcPr>
          <w:p w14:paraId="39E8D264">
            <w:pPr>
              <w:widowControl/>
              <w:spacing w:line="360" w:lineRule="auto"/>
              <w:jc w:val="center"/>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lang w:bidi="ar"/>
              </w:rPr>
              <w:t>1</w:t>
            </w:r>
          </w:p>
        </w:tc>
      </w:tr>
    </w:tbl>
    <w:p w14:paraId="1E6647D2">
      <w:pPr>
        <w:rPr>
          <w:highlight w:val="none"/>
        </w:rPr>
      </w:pPr>
    </w:p>
    <w:p w14:paraId="54DE1376">
      <w:pPr>
        <w:pStyle w:val="35"/>
        <w:ind w:firstLine="0"/>
        <w:rPr>
          <w:rFonts w:hint="eastAsia" w:ascii="仿宋" w:hAnsi="仿宋" w:eastAsia="仿宋" w:cs="仿宋"/>
          <w:sz w:val="22"/>
          <w:szCs w:val="22"/>
          <w:highlight w:val="none"/>
        </w:rPr>
      </w:pPr>
    </w:p>
    <w:p w14:paraId="6A042B16">
      <w:pPr>
        <w:spacing w:line="560" w:lineRule="exact"/>
        <w:ind w:firstLine="480" w:firstLineChars="200"/>
        <w:jc w:val="right"/>
        <w:rPr>
          <w:rFonts w:hint="eastAsia" w:ascii="仿宋" w:hAnsi="仿宋" w:eastAsia="仿宋" w:cs="仿宋"/>
          <w:sz w:val="24"/>
          <w:szCs w:val="24"/>
          <w:highlight w:val="none"/>
        </w:rPr>
      </w:pPr>
    </w:p>
    <w:p w14:paraId="3CF5D70A">
      <w:pPr>
        <w:pStyle w:val="2"/>
        <w:ind w:firstLine="2209"/>
        <w:jc w:val="left"/>
        <w:rPr>
          <w:rFonts w:hint="eastAsia" w:ascii="仿宋" w:hAnsi="仿宋" w:eastAsia="仿宋" w:cs="仿宋"/>
          <w:b/>
          <w:sz w:val="44"/>
          <w:highlight w:val="none"/>
        </w:rPr>
      </w:pPr>
      <w:bookmarkStart w:id="198" w:name="_Toc186493271"/>
      <w:r>
        <w:rPr>
          <w:rFonts w:hint="eastAsia" w:ascii="仿宋" w:hAnsi="仿宋" w:eastAsia="仿宋" w:cs="仿宋"/>
          <w:b/>
          <w:sz w:val="44"/>
          <w:highlight w:val="none"/>
        </w:rPr>
        <w:t>第六章  投标</w:t>
      </w:r>
      <w:bookmarkEnd w:id="193"/>
      <w:bookmarkEnd w:id="194"/>
      <w:bookmarkEnd w:id="195"/>
      <w:r>
        <w:rPr>
          <w:rFonts w:hint="eastAsia" w:ascii="仿宋" w:hAnsi="仿宋" w:eastAsia="仿宋" w:cs="仿宋"/>
          <w:b/>
          <w:sz w:val="44"/>
          <w:highlight w:val="none"/>
        </w:rPr>
        <w:t>文件格式</w:t>
      </w:r>
      <w:bookmarkEnd w:id="198"/>
    </w:p>
    <w:p w14:paraId="3E4771A0">
      <w:pPr>
        <w:jc w:val="center"/>
        <w:rPr>
          <w:rFonts w:hint="eastAsia" w:ascii="仿宋" w:hAnsi="仿宋" w:eastAsia="仿宋" w:cs="仿宋"/>
          <w:b/>
          <w:sz w:val="72"/>
          <w:highlight w:val="none"/>
        </w:rPr>
      </w:pPr>
      <w:bookmarkStart w:id="199" w:name="_Hlt26955039"/>
      <w:bookmarkEnd w:id="199"/>
      <w:bookmarkStart w:id="200" w:name="_Hlt26671244"/>
      <w:bookmarkEnd w:id="200"/>
      <w:bookmarkStart w:id="201" w:name="_Toc49090576"/>
      <w:bookmarkStart w:id="202" w:name="_Toc26554094"/>
      <w:bookmarkStart w:id="203" w:name="_Toc120614282"/>
    </w:p>
    <w:p w14:paraId="55DEDC8B">
      <w:pPr>
        <w:jc w:val="center"/>
        <w:outlineLvl w:val="0"/>
        <w:rPr>
          <w:rFonts w:hint="eastAsia" w:ascii="仿宋" w:hAnsi="仿宋" w:eastAsia="仿宋" w:cs="仿宋"/>
          <w:b/>
          <w:sz w:val="72"/>
          <w:highlight w:val="none"/>
        </w:rPr>
      </w:pPr>
      <w:bookmarkStart w:id="204" w:name="_Toc186493272"/>
      <w:r>
        <w:rPr>
          <w:rFonts w:hint="eastAsia" w:ascii="仿宋" w:hAnsi="仿宋" w:eastAsia="仿宋" w:cs="仿宋"/>
          <w:b/>
          <w:sz w:val="72"/>
          <w:highlight w:val="none"/>
        </w:rPr>
        <w:t>投  标  文  件</w:t>
      </w:r>
      <w:bookmarkEnd w:id="204"/>
    </w:p>
    <w:p w14:paraId="61BF9D08">
      <w:pPr>
        <w:jc w:val="center"/>
        <w:rPr>
          <w:rFonts w:hint="eastAsia" w:ascii="仿宋" w:hAnsi="仿宋" w:eastAsia="仿宋" w:cs="仿宋"/>
          <w:b/>
          <w:sz w:val="72"/>
          <w:highlight w:val="none"/>
        </w:rPr>
      </w:pPr>
    </w:p>
    <w:p w14:paraId="0EF82243">
      <w:pPr>
        <w:jc w:val="center"/>
        <w:rPr>
          <w:rFonts w:hint="eastAsia" w:ascii="仿宋" w:hAnsi="仿宋" w:eastAsia="仿宋" w:cs="仿宋"/>
          <w:b/>
          <w:sz w:val="72"/>
          <w:highlight w:val="none"/>
        </w:rPr>
      </w:pPr>
    </w:p>
    <w:p w14:paraId="60471C76">
      <w:pPr>
        <w:jc w:val="center"/>
        <w:rPr>
          <w:rFonts w:hint="eastAsia" w:ascii="仿宋" w:hAnsi="仿宋" w:eastAsia="仿宋" w:cs="仿宋"/>
          <w:b/>
          <w:sz w:val="36"/>
          <w:highlight w:val="none"/>
        </w:rPr>
      </w:pPr>
    </w:p>
    <w:p w14:paraId="231BB695">
      <w:pPr>
        <w:pStyle w:val="14"/>
        <w:rPr>
          <w:highlight w:val="none"/>
        </w:rPr>
      </w:pPr>
    </w:p>
    <w:p w14:paraId="79383230">
      <w:pPr>
        <w:jc w:val="center"/>
        <w:rPr>
          <w:rFonts w:hint="eastAsia" w:ascii="仿宋" w:hAnsi="仿宋" w:eastAsia="仿宋" w:cs="仿宋"/>
          <w:b/>
          <w:sz w:val="36"/>
          <w:highlight w:val="none"/>
        </w:rPr>
      </w:pPr>
    </w:p>
    <w:p w14:paraId="7BEA6740">
      <w:pPr>
        <w:jc w:val="center"/>
        <w:rPr>
          <w:rFonts w:hint="eastAsia" w:ascii="仿宋" w:hAnsi="仿宋" w:eastAsia="仿宋" w:cs="仿宋"/>
          <w:b/>
          <w:sz w:val="36"/>
          <w:highlight w:val="none"/>
        </w:rPr>
      </w:pPr>
    </w:p>
    <w:p w14:paraId="6A88005A">
      <w:pPr>
        <w:ind w:firstLine="1084"/>
        <w:outlineLvl w:val="0"/>
        <w:rPr>
          <w:rFonts w:hint="eastAsia" w:ascii="仿宋" w:hAnsi="仿宋" w:eastAsia="仿宋" w:cs="仿宋"/>
          <w:b/>
          <w:sz w:val="36"/>
          <w:highlight w:val="none"/>
        </w:rPr>
      </w:pPr>
      <w:bookmarkStart w:id="205" w:name="_Toc186493273"/>
      <w:r>
        <w:rPr>
          <w:rFonts w:hint="eastAsia" w:ascii="仿宋" w:hAnsi="仿宋" w:eastAsia="仿宋" w:cs="仿宋"/>
          <w:b/>
          <w:sz w:val="36"/>
          <w:highlight w:val="none"/>
        </w:rPr>
        <w:t>项 目 名 称：</w:t>
      </w:r>
      <w:bookmarkEnd w:id="205"/>
    </w:p>
    <w:p w14:paraId="7E827181">
      <w:pPr>
        <w:ind w:firstLine="1084"/>
        <w:outlineLvl w:val="0"/>
        <w:rPr>
          <w:rFonts w:hint="eastAsia" w:ascii="仿宋" w:hAnsi="仿宋" w:eastAsia="仿宋" w:cs="仿宋"/>
          <w:b/>
          <w:sz w:val="36"/>
          <w:highlight w:val="none"/>
          <w:u w:val="single"/>
        </w:rPr>
      </w:pPr>
      <w:bookmarkStart w:id="206" w:name="_Toc186493274"/>
      <w:r>
        <w:rPr>
          <w:rFonts w:hint="eastAsia" w:ascii="仿宋" w:hAnsi="仿宋" w:eastAsia="仿宋" w:cs="仿宋"/>
          <w:b/>
          <w:sz w:val="36"/>
          <w:highlight w:val="none"/>
        </w:rPr>
        <w:t>项 目 编 号：</w:t>
      </w:r>
      <w:bookmarkEnd w:id="206"/>
    </w:p>
    <w:p w14:paraId="6D4968E2">
      <w:pPr>
        <w:outlineLvl w:val="0"/>
        <w:rPr>
          <w:rFonts w:hint="eastAsia" w:ascii="仿宋" w:hAnsi="仿宋" w:eastAsia="仿宋" w:cs="仿宋"/>
          <w:b/>
          <w:sz w:val="36"/>
          <w:highlight w:val="none"/>
          <w:u w:val="single"/>
        </w:rPr>
      </w:pPr>
      <w:r>
        <w:rPr>
          <w:rFonts w:hint="eastAsia" w:ascii="仿宋" w:hAnsi="仿宋" w:eastAsia="仿宋" w:cs="仿宋"/>
          <w:b/>
          <w:sz w:val="36"/>
          <w:highlight w:val="none"/>
        </w:rPr>
        <w:t xml:space="preserve">      </w:t>
      </w:r>
      <w:bookmarkStart w:id="207" w:name="_Toc186493275"/>
      <w:r>
        <w:rPr>
          <w:rFonts w:hint="eastAsia" w:ascii="仿宋" w:hAnsi="仿宋" w:eastAsia="仿宋" w:cs="仿宋"/>
          <w:b/>
          <w:sz w:val="36"/>
          <w:highlight w:val="none"/>
        </w:rPr>
        <w:t>投标供应商名称 ：</w:t>
      </w:r>
      <w:r>
        <w:rPr>
          <w:rFonts w:hint="eastAsia" w:ascii="仿宋" w:hAnsi="仿宋" w:eastAsia="仿宋" w:cs="仿宋"/>
          <w:b/>
          <w:sz w:val="36"/>
          <w:highlight w:val="none"/>
          <w:u w:val="single"/>
        </w:rPr>
        <w:t>（加盖CA电子公章）</w:t>
      </w:r>
      <w:bookmarkEnd w:id="207"/>
    </w:p>
    <w:p w14:paraId="34498C3B">
      <w:pPr>
        <w:outlineLvl w:val="0"/>
        <w:rPr>
          <w:rFonts w:hint="eastAsia" w:ascii="仿宋" w:hAnsi="仿宋" w:eastAsia="仿宋" w:cs="仿宋"/>
          <w:b/>
          <w:sz w:val="36"/>
          <w:highlight w:val="none"/>
          <w:u w:val="single"/>
        </w:rPr>
      </w:pPr>
      <w:r>
        <w:rPr>
          <w:rFonts w:hint="eastAsia" w:ascii="仿宋" w:hAnsi="仿宋" w:eastAsia="仿宋" w:cs="仿宋"/>
          <w:b/>
          <w:sz w:val="36"/>
          <w:highlight w:val="none"/>
        </w:rPr>
        <w:t xml:space="preserve">      </w:t>
      </w:r>
      <w:bookmarkStart w:id="208" w:name="_Toc186493276"/>
      <w:r>
        <w:rPr>
          <w:rFonts w:hint="eastAsia" w:ascii="仿宋" w:hAnsi="仿宋" w:eastAsia="仿宋" w:cs="仿宋"/>
          <w:b/>
          <w:sz w:val="36"/>
          <w:highlight w:val="none"/>
        </w:rPr>
        <w:t>日      期 ：</w:t>
      </w:r>
      <w:bookmarkEnd w:id="208"/>
    </w:p>
    <w:p w14:paraId="04957D18">
      <w:pPr>
        <w:spacing w:line="440" w:lineRule="exact"/>
        <w:jc w:val="center"/>
        <w:rPr>
          <w:rFonts w:hint="eastAsia" w:ascii="仿宋" w:hAnsi="仿宋" w:eastAsia="仿宋" w:cs="仿宋"/>
          <w:b/>
          <w:bCs/>
          <w:sz w:val="32"/>
          <w:szCs w:val="32"/>
          <w:highlight w:val="none"/>
        </w:rPr>
      </w:pPr>
    </w:p>
    <w:p w14:paraId="75ECA408">
      <w:pPr>
        <w:spacing w:line="440" w:lineRule="exact"/>
        <w:rPr>
          <w:rFonts w:hint="eastAsia" w:ascii="仿宋" w:hAnsi="仿宋" w:eastAsia="仿宋" w:cs="仿宋"/>
          <w:highlight w:val="none"/>
        </w:rPr>
      </w:pPr>
    </w:p>
    <w:p w14:paraId="125DCE74">
      <w:pPr>
        <w:rPr>
          <w:rFonts w:hint="eastAsia" w:ascii="仿宋" w:hAnsi="仿宋" w:eastAsia="仿宋" w:cs="仿宋"/>
          <w:b/>
          <w:bCs/>
          <w:sz w:val="32"/>
          <w:szCs w:val="32"/>
          <w:highlight w:val="none"/>
        </w:rPr>
      </w:pPr>
    </w:p>
    <w:p w14:paraId="33C6023F">
      <w:pPr>
        <w:spacing w:line="440" w:lineRule="exact"/>
        <w:outlineLvl w:val="0"/>
        <w:rPr>
          <w:rFonts w:hint="eastAsia" w:ascii="仿宋" w:hAnsi="仿宋" w:eastAsia="仿宋" w:cs="仿宋"/>
          <w:b/>
          <w:bCs/>
          <w:sz w:val="32"/>
          <w:szCs w:val="32"/>
          <w:highlight w:val="none"/>
        </w:rPr>
      </w:pPr>
    </w:p>
    <w:p w14:paraId="4E50F703">
      <w:pPr>
        <w:spacing w:line="440" w:lineRule="exact"/>
        <w:jc w:val="center"/>
        <w:outlineLvl w:val="0"/>
        <w:rPr>
          <w:rFonts w:hint="eastAsia" w:ascii="仿宋" w:hAnsi="仿宋" w:eastAsia="仿宋" w:cs="仿宋"/>
          <w:b/>
          <w:bCs/>
          <w:sz w:val="32"/>
          <w:szCs w:val="32"/>
          <w:highlight w:val="none"/>
        </w:rPr>
      </w:pPr>
    </w:p>
    <w:p w14:paraId="13211CE9">
      <w:pPr>
        <w:pStyle w:val="79"/>
        <w:ind w:firstLine="643"/>
        <w:rPr>
          <w:rFonts w:hint="eastAsia" w:ascii="仿宋" w:hAnsi="仿宋" w:eastAsia="仿宋" w:cs="仿宋"/>
          <w:b/>
          <w:bCs/>
          <w:sz w:val="32"/>
          <w:szCs w:val="32"/>
          <w:highlight w:val="none"/>
        </w:rPr>
      </w:pPr>
    </w:p>
    <w:p w14:paraId="785EE2EB">
      <w:pPr>
        <w:pStyle w:val="79"/>
        <w:ind w:firstLine="643"/>
        <w:rPr>
          <w:rFonts w:hint="eastAsia" w:ascii="仿宋" w:hAnsi="仿宋" w:eastAsia="仿宋" w:cs="仿宋"/>
          <w:b/>
          <w:bCs/>
          <w:sz w:val="32"/>
          <w:szCs w:val="32"/>
          <w:highlight w:val="none"/>
        </w:rPr>
      </w:pPr>
    </w:p>
    <w:p w14:paraId="6B344E20">
      <w:pPr>
        <w:pStyle w:val="79"/>
        <w:ind w:firstLine="643"/>
        <w:rPr>
          <w:rFonts w:hint="eastAsia" w:ascii="仿宋" w:hAnsi="仿宋" w:eastAsia="仿宋" w:cs="仿宋"/>
          <w:b/>
          <w:bCs/>
          <w:sz w:val="32"/>
          <w:szCs w:val="32"/>
          <w:highlight w:val="none"/>
        </w:rPr>
      </w:pPr>
    </w:p>
    <w:p w14:paraId="50A60C19">
      <w:pPr>
        <w:spacing w:line="440" w:lineRule="exact"/>
        <w:jc w:val="center"/>
        <w:outlineLvl w:val="0"/>
        <w:rPr>
          <w:rFonts w:hint="eastAsia" w:ascii="仿宋" w:hAnsi="仿宋" w:eastAsia="仿宋" w:cs="仿宋"/>
          <w:b/>
          <w:bCs/>
          <w:sz w:val="32"/>
          <w:szCs w:val="32"/>
          <w:highlight w:val="none"/>
        </w:rPr>
      </w:pPr>
    </w:p>
    <w:p w14:paraId="0D2AF945">
      <w:pPr>
        <w:spacing w:line="440" w:lineRule="exact"/>
        <w:jc w:val="center"/>
        <w:outlineLvl w:val="0"/>
        <w:rPr>
          <w:rFonts w:hint="eastAsia" w:ascii="仿宋" w:hAnsi="仿宋" w:eastAsia="仿宋" w:cs="仿宋"/>
          <w:b/>
          <w:bCs/>
          <w:sz w:val="32"/>
          <w:szCs w:val="32"/>
          <w:highlight w:val="none"/>
        </w:rPr>
      </w:pPr>
    </w:p>
    <w:p w14:paraId="44A98BE8">
      <w:pPr>
        <w:spacing w:line="440" w:lineRule="exact"/>
        <w:jc w:val="center"/>
        <w:outlineLvl w:val="0"/>
        <w:rPr>
          <w:rFonts w:hint="eastAsia" w:ascii="仿宋" w:hAnsi="仿宋" w:eastAsia="仿宋" w:cs="仿宋"/>
          <w:b/>
          <w:bCs/>
          <w:sz w:val="32"/>
          <w:szCs w:val="32"/>
          <w:highlight w:val="none"/>
        </w:rPr>
      </w:pPr>
    </w:p>
    <w:p w14:paraId="376913D4">
      <w:pPr>
        <w:spacing w:line="440" w:lineRule="exact"/>
        <w:jc w:val="center"/>
        <w:outlineLvl w:val="0"/>
        <w:rPr>
          <w:rFonts w:hint="eastAsia" w:ascii="仿宋" w:hAnsi="仿宋" w:eastAsia="仿宋" w:cs="仿宋"/>
          <w:b/>
          <w:bCs/>
          <w:sz w:val="32"/>
          <w:szCs w:val="32"/>
          <w:highlight w:val="none"/>
        </w:rPr>
      </w:pPr>
    </w:p>
    <w:p w14:paraId="552A8FF8">
      <w:pPr>
        <w:spacing w:line="440" w:lineRule="exact"/>
        <w:jc w:val="center"/>
        <w:outlineLvl w:val="0"/>
        <w:rPr>
          <w:rFonts w:hint="eastAsia" w:ascii="仿宋" w:hAnsi="仿宋" w:eastAsia="仿宋" w:cs="仿宋"/>
          <w:b/>
          <w:bCs/>
          <w:sz w:val="32"/>
          <w:szCs w:val="32"/>
          <w:highlight w:val="none"/>
        </w:rPr>
      </w:pPr>
    </w:p>
    <w:p w14:paraId="5CE202C5">
      <w:pPr>
        <w:spacing w:line="440" w:lineRule="exact"/>
        <w:jc w:val="center"/>
        <w:outlineLvl w:val="0"/>
        <w:rPr>
          <w:rFonts w:hint="eastAsia" w:ascii="仿宋" w:hAnsi="仿宋" w:eastAsia="仿宋" w:cs="仿宋"/>
          <w:b/>
          <w:bCs/>
          <w:sz w:val="32"/>
          <w:szCs w:val="32"/>
          <w:highlight w:val="none"/>
        </w:rPr>
      </w:pPr>
    </w:p>
    <w:p w14:paraId="65912C10">
      <w:pPr>
        <w:spacing w:line="440" w:lineRule="exact"/>
        <w:jc w:val="center"/>
        <w:outlineLvl w:val="0"/>
        <w:rPr>
          <w:rFonts w:hint="eastAsia" w:ascii="仿宋" w:hAnsi="仿宋" w:eastAsia="仿宋" w:cs="仿宋"/>
          <w:b/>
          <w:bCs/>
          <w:sz w:val="32"/>
          <w:szCs w:val="32"/>
          <w:highlight w:val="none"/>
        </w:rPr>
      </w:pPr>
      <w:bookmarkStart w:id="209" w:name="_Toc186493277"/>
      <w:r>
        <w:rPr>
          <w:rFonts w:hint="eastAsia" w:ascii="仿宋" w:hAnsi="仿宋" w:eastAsia="仿宋" w:cs="仿宋"/>
          <w:b/>
          <w:bCs/>
          <w:sz w:val="32"/>
          <w:szCs w:val="32"/>
          <w:highlight w:val="none"/>
        </w:rPr>
        <w:t>投标文件的组成</w:t>
      </w:r>
      <w:bookmarkEnd w:id="209"/>
    </w:p>
    <w:p w14:paraId="0D543C41">
      <w:pPr>
        <w:spacing w:line="440" w:lineRule="exact"/>
        <w:jc w:val="center"/>
        <w:rPr>
          <w:rFonts w:hint="eastAsia" w:ascii="仿宋" w:hAnsi="仿宋" w:eastAsia="仿宋" w:cs="仿宋"/>
          <w:b/>
          <w:bCs/>
          <w:sz w:val="32"/>
          <w:szCs w:val="32"/>
          <w:highlight w:val="none"/>
        </w:rPr>
      </w:pPr>
    </w:p>
    <w:p w14:paraId="7398464D">
      <w:pPr>
        <w:spacing w:line="360" w:lineRule="auto"/>
        <w:ind w:left="480"/>
        <w:outlineLvl w:val="0"/>
        <w:rPr>
          <w:rFonts w:hint="eastAsia" w:ascii="仿宋" w:hAnsi="仿宋" w:eastAsia="仿宋" w:cs="仿宋"/>
          <w:b/>
          <w:sz w:val="24"/>
          <w:highlight w:val="none"/>
        </w:rPr>
      </w:pPr>
      <w:bookmarkStart w:id="210" w:name="_Toc186493278"/>
      <w:r>
        <w:rPr>
          <w:rFonts w:hint="eastAsia" w:ascii="仿宋" w:hAnsi="仿宋" w:eastAsia="仿宋" w:cs="仿宋"/>
          <w:b/>
          <w:sz w:val="24"/>
          <w:highlight w:val="none"/>
        </w:rPr>
        <w:t>一、基本目录</w:t>
      </w:r>
      <w:bookmarkEnd w:id="210"/>
    </w:p>
    <w:p w14:paraId="33CDFD1F">
      <w:pPr>
        <w:spacing w:line="360" w:lineRule="auto"/>
        <w:ind w:left="480"/>
        <w:rPr>
          <w:rFonts w:hint="eastAsia" w:ascii="仿宋" w:hAnsi="仿宋" w:eastAsia="仿宋" w:cs="仿宋"/>
          <w:sz w:val="24"/>
          <w:highlight w:val="none"/>
        </w:rPr>
      </w:pPr>
      <w:r>
        <w:rPr>
          <w:rFonts w:hint="eastAsia" w:ascii="仿宋" w:hAnsi="仿宋" w:eastAsia="仿宋" w:cs="仿宋"/>
          <w:sz w:val="24"/>
          <w:highlight w:val="none"/>
        </w:rPr>
        <w:t>1.开标一览表（格式见附件1）</w:t>
      </w:r>
    </w:p>
    <w:p w14:paraId="00745F90">
      <w:pPr>
        <w:spacing w:line="360" w:lineRule="auto"/>
        <w:ind w:left="480"/>
        <w:rPr>
          <w:rFonts w:hint="eastAsia" w:ascii="仿宋" w:hAnsi="仿宋" w:eastAsia="仿宋" w:cs="仿宋"/>
          <w:sz w:val="24"/>
          <w:highlight w:val="none"/>
        </w:rPr>
      </w:pPr>
      <w:r>
        <w:rPr>
          <w:rFonts w:hint="eastAsia" w:ascii="仿宋" w:hAnsi="仿宋" w:eastAsia="仿宋" w:cs="仿宋"/>
          <w:sz w:val="24"/>
          <w:highlight w:val="none"/>
        </w:rPr>
        <w:t>2.投标分项报价表（格式见附件2）</w:t>
      </w:r>
    </w:p>
    <w:p w14:paraId="0B82CDDD">
      <w:pPr>
        <w:spacing w:line="360" w:lineRule="auto"/>
        <w:ind w:left="480"/>
        <w:outlineLvl w:val="0"/>
        <w:rPr>
          <w:rFonts w:hint="eastAsia" w:ascii="仿宋" w:hAnsi="仿宋" w:eastAsia="仿宋" w:cs="仿宋"/>
          <w:b/>
          <w:sz w:val="24"/>
          <w:highlight w:val="none"/>
        </w:rPr>
      </w:pPr>
      <w:bookmarkStart w:id="211" w:name="_Toc186493279"/>
      <w:r>
        <w:rPr>
          <w:rFonts w:hint="eastAsia" w:ascii="仿宋" w:hAnsi="仿宋" w:eastAsia="仿宋" w:cs="仿宋"/>
          <w:b/>
          <w:sz w:val="24"/>
          <w:highlight w:val="none"/>
        </w:rPr>
        <w:t>二、资格审查内容</w:t>
      </w:r>
      <w:bookmarkEnd w:id="211"/>
    </w:p>
    <w:p w14:paraId="342053C1">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1.投标供应商符合《政府采购法》第二十二条规定条件的声明函（</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3）</w:t>
      </w:r>
    </w:p>
    <w:p w14:paraId="5739E87E">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2.法定代表人身份证明、</w:t>
      </w:r>
      <w:r>
        <w:rPr>
          <w:rFonts w:hint="eastAsia" w:ascii="仿宋" w:hAnsi="仿宋" w:eastAsia="仿宋" w:cs="仿宋"/>
          <w:sz w:val="24"/>
          <w:highlight w:val="none"/>
          <w:lang w:val="zh-CN"/>
        </w:rPr>
        <w:t>法定代表人的身份证</w:t>
      </w:r>
      <w:r>
        <w:rPr>
          <w:rFonts w:hint="eastAsia" w:ascii="仿宋" w:hAnsi="仿宋" w:eastAsia="仿宋" w:cs="仿宋"/>
          <w:sz w:val="24"/>
          <w:highlight w:val="none"/>
        </w:rPr>
        <w:t>扫描件（</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4）</w:t>
      </w:r>
    </w:p>
    <w:p w14:paraId="63991601">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3.法定代表人授权书、被授权</w:t>
      </w:r>
      <w:r>
        <w:rPr>
          <w:rFonts w:hint="eastAsia" w:ascii="仿宋" w:hAnsi="仿宋" w:eastAsia="仿宋" w:cs="仿宋"/>
          <w:sz w:val="24"/>
          <w:highlight w:val="none"/>
          <w:lang w:val="zh-CN"/>
        </w:rPr>
        <w:t>人身份证</w:t>
      </w:r>
      <w:r>
        <w:rPr>
          <w:rFonts w:hint="eastAsia" w:ascii="仿宋" w:hAnsi="仿宋" w:eastAsia="仿宋" w:cs="仿宋"/>
          <w:sz w:val="24"/>
          <w:highlight w:val="none"/>
        </w:rPr>
        <w:t>扫描件（如有授权，</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5）</w:t>
      </w:r>
    </w:p>
    <w:p w14:paraId="02EE2000">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4.投标函（</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6）</w:t>
      </w:r>
    </w:p>
    <w:p w14:paraId="044E483E">
      <w:pPr>
        <w:spacing w:line="360" w:lineRule="auto"/>
        <w:ind w:firstLine="480"/>
        <w:rPr>
          <w:highlight w:val="none"/>
        </w:rPr>
      </w:pPr>
      <w:r>
        <w:rPr>
          <w:rFonts w:hint="eastAsia" w:ascii="仿宋" w:hAnsi="仿宋" w:eastAsia="仿宋" w:cs="仿宋"/>
          <w:sz w:val="24"/>
          <w:highlight w:val="none"/>
        </w:rPr>
        <w:t>5</w:t>
      </w:r>
      <w:r>
        <w:rPr>
          <w:rFonts w:hint="eastAsia" w:ascii="仿宋" w:hAnsi="仿宋" w:eastAsia="仿宋" w:cs="仿宋"/>
          <w:sz w:val="24"/>
          <w:highlight w:val="none"/>
          <w:lang w:val="zh-CN"/>
        </w:rPr>
        <w:t>.其它需要提交的资格审查证明材料。</w:t>
      </w:r>
    </w:p>
    <w:p w14:paraId="4A361465">
      <w:pPr>
        <w:spacing w:line="360" w:lineRule="auto"/>
        <w:ind w:left="480"/>
        <w:outlineLvl w:val="0"/>
        <w:rPr>
          <w:rFonts w:hint="eastAsia" w:ascii="仿宋" w:hAnsi="仿宋" w:eastAsia="仿宋" w:cs="仿宋"/>
          <w:b/>
          <w:sz w:val="24"/>
          <w:highlight w:val="none"/>
        </w:rPr>
      </w:pPr>
      <w:bookmarkStart w:id="212" w:name="_Toc186493280"/>
      <w:r>
        <w:rPr>
          <w:rFonts w:hint="eastAsia" w:ascii="仿宋" w:hAnsi="仿宋" w:eastAsia="仿宋" w:cs="仿宋"/>
          <w:b/>
          <w:sz w:val="24"/>
          <w:highlight w:val="none"/>
        </w:rPr>
        <w:t>三、符合性审查内容</w:t>
      </w:r>
      <w:bookmarkEnd w:id="212"/>
    </w:p>
    <w:p w14:paraId="17B9350F">
      <w:pPr>
        <w:spacing w:line="360" w:lineRule="auto"/>
        <w:ind w:left="480"/>
        <w:rPr>
          <w:rFonts w:hint="eastAsia" w:ascii="仿宋" w:hAnsi="仿宋" w:eastAsia="仿宋" w:cs="仿宋"/>
          <w:sz w:val="24"/>
          <w:highlight w:val="none"/>
        </w:rPr>
      </w:pPr>
      <w:r>
        <w:rPr>
          <w:rFonts w:hint="eastAsia" w:ascii="仿宋" w:hAnsi="仿宋" w:eastAsia="仿宋" w:cs="仿宋"/>
          <w:sz w:val="24"/>
          <w:highlight w:val="none"/>
        </w:rPr>
        <w:t>1.技术要求响应及偏离表（</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10）</w:t>
      </w:r>
    </w:p>
    <w:p w14:paraId="37354ADB">
      <w:pPr>
        <w:spacing w:line="360" w:lineRule="auto"/>
        <w:ind w:firstLine="480"/>
        <w:rPr>
          <w:rFonts w:hint="eastAsia" w:ascii="仿宋" w:hAnsi="仿宋" w:eastAsia="仿宋" w:cs="仿宋"/>
          <w:sz w:val="24"/>
          <w:highlight w:val="none"/>
        </w:rPr>
      </w:pPr>
      <w:r>
        <w:rPr>
          <w:rFonts w:hint="eastAsia" w:ascii="仿宋" w:hAnsi="仿宋" w:eastAsia="仿宋" w:cs="仿宋"/>
          <w:sz w:val="24"/>
          <w:highlight w:val="none"/>
        </w:rPr>
        <w:t>2.商务要求响应及偏离表（</w:t>
      </w:r>
      <w:r>
        <w:rPr>
          <w:rFonts w:hint="eastAsia" w:ascii="仿宋" w:hAnsi="仿宋" w:eastAsia="仿宋" w:cs="仿宋"/>
          <w:sz w:val="24"/>
          <w:highlight w:val="none"/>
          <w:lang w:val="zh-CN"/>
        </w:rPr>
        <w:t>格式见附件</w:t>
      </w:r>
      <w:r>
        <w:rPr>
          <w:rFonts w:hint="eastAsia" w:ascii="仿宋" w:hAnsi="仿宋" w:eastAsia="仿宋" w:cs="仿宋"/>
          <w:sz w:val="24"/>
          <w:highlight w:val="none"/>
        </w:rPr>
        <w:t>11）</w:t>
      </w:r>
    </w:p>
    <w:p w14:paraId="12857533">
      <w:pPr>
        <w:spacing w:line="360" w:lineRule="auto"/>
        <w:ind w:firstLine="480"/>
        <w:rPr>
          <w:rFonts w:eastAsia="仿宋"/>
          <w:highlight w:val="none"/>
        </w:rPr>
      </w:pPr>
      <w:r>
        <w:rPr>
          <w:rFonts w:hint="eastAsia" w:ascii="仿宋" w:hAnsi="仿宋" w:eastAsia="仿宋" w:cs="仿宋"/>
          <w:sz w:val="24"/>
          <w:highlight w:val="none"/>
        </w:rPr>
        <w:t>3.实质性要求响应及偏离表，投标供应商必须对技术要求和商务要求中</w:t>
      </w:r>
      <w:r>
        <w:rPr>
          <w:rFonts w:hint="eastAsia" w:ascii="仿宋" w:hAnsi="仿宋" w:eastAsia="仿宋" w:cs="仿宋"/>
          <w:b/>
          <w:bCs/>
          <w:sz w:val="24"/>
          <w:highlight w:val="none"/>
        </w:rPr>
        <w:t>加斜体下划线的实质性要求做出响应，</w:t>
      </w:r>
      <w:r>
        <w:rPr>
          <w:rFonts w:hint="eastAsia" w:ascii="仿宋" w:hAnsi="仿宋" w:eastAsia="仿宋" w:cs="仿宋"/>
          <w:sz w:val="24"/>
          <w:highlight w:val="none"/>
        </w:rPr>
        <w:t>否则做无效响应处理。</w:t>
      </w:r>
    </w:p>
    <w:p w14:paraId="24EDDD80">
      <w:pPr>
        <w:spacing w:line="360" w:lineRule="auto"/>
        <w:ind w:firstLine="480"/>
        <w:outlineLvl w:val="0"/>
        <w:rPr>
          <w:rFonts w:hint="eastAsia" w:ascii="仿宋" w:hAnsi="仿宋" w:eastAsia="仿宋" w:cs="仿宋"/>
          <w:b/>
          <w:sz w:val="24"/>
          <w:szCs w:val="24"/>
          <w:highlight w:val="none"/>
        </w:rPr>
      </w:pPr>
      <w:bookmarkStart w:id="213" w:name="_Toc186493281"/>
      <w:r>
        <w:rPr>
          <w:rFonts w:hint="eastAsia" w:ascii="仿宋" w:hAnsi="仿宋" w:eastAsia="仿宋" w:cs="仿宋"/>
          <w:b/>
          <w:sz w:val="24"/>
          <w:szCs w:val="24"/>
          <w:highlight w:val="none"/>
        </w:rPr>
        <w:t>四、</w:t>
      </w:r>
      <w:r>
        <w:rPr>
          <w:rFonts w:hint="eastAsia" w:ascii="仿宋" w:hAnsi="仿宋" w:eastAsia="仿宋" w:cs="仿宋"/>
          <w:b/>
          <w:sz w:val="24"/>
          <w:szCs w:val="24"/>
          <w:highlight w:val="none"/>
          <w:lang w:val="zh-CN"/>
        </w:rPr>
        <w:t>商务技术</w:t>
      </w:r>
      <w:r>
        <w:rPr>
          <w:rFonts w:hint="eastAsia" w:ascii="仿宋" w:hAnsi="仿宋" w:eastAsia="仿宋" w:cs="仿宋"/>
          <w:b/>
          <w:sz w:val="24"/>
          <w:szCs w:val="24"/>
          <w:highlight w:val="none"/>
        </w:rPr>
        <w:t>内容</w:t>
      </w:r>
      <w:bookmarkEnd w:id="213"/>
    </w:p>
    <w:p w14:paraId="54574546">
      <w:pPr>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w:t>
      </w:r>
      <w:r>
        <w:rPr>
          <w:rFonts w:hint="eastAsia" w:ascii="仿宋" w:hAnsi="仿宋" w:eastAsia="仿宋" w:cs="仿宋"/>
          <w:sz w:val="24"/>
          <w:szCs w:val="24"/>
          <w:highlight w:val="none"/>
          <w:lang w:val="zh-CN"/>
        </w:rPr>
        <w:t>商务技术评分标准中须提供的相关得分佐证材料</w:t>
      </w:r>
    </w:p>
    <w:p w14:paraId="33097D1A">
      <w:pPr>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w:t>
      </w:r>
      <w:r>
        <w:rPr>
          <w:rFonts w:hint="eastAsia" w:ascii="仿宋" w:hAnsi="仿宋" w:eastAsia="仿宋" w:cs="仿宋"/>
          <w:sz w:val="24"/>
          <w:szCs w:val="24"/>
          <w:highlight w:val="none"/>
          <w:lang w:val="zh-CN"/>
        </w:rPr>
        <w:t>投标供应商认为需要提交的其他材料。</w:t>
      </w:r>
    </w:p>
    <w:p w14:paraId="0E110CCA">
      <w:pPr>
        <w:spacing w:line="360" w:lineRule="auto"/>
        <w:ind w:firstLine="480"/>
        <w:outlineLvl w:val="0"/>
        <w:rPr>
          <w:rFonts w:hint="eastAsia" w:ascii="仿宋" w:hAnsi="仿宋" w:eastAsia="仿宋" w:cs="仿宋"/>
          <w:b/>
          <w:sz w:val="24"/>
          <w:szCs w:val="24"/>
          <w:highlight w:val="none"/>
        </w:rPr>
      </w:pPr>
      <w:bookmarkStart w:id="214" w:name="_Toc186493282"/>
      <w:r>
        <w:rPr>
          <w:rFonts w:hint="eastAsia" w:ascii="仿宋" w:hAnsi="仿宋" w:eastAsia="仿宋" w:cs="仿宋"/>
          <w:b/>
          <w:sz w:val="24"/>
          <w:szCs w:val="24"/>
          <w:highlight w:val="none"/>
        </w:rPr>
        <w:t>五、价格扣除证明文件</w:t>
      </w:r>
      <w:bookmarkEnd w:id="214"/>
    </w:p>
    <w:p w14:paraId="3F2459A8">
      <w:pPr>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1.中小企业声明函（格式见附件7）</w:t>
      </w:r>
    </w:p>
    <w:p w14:paraId="70904550">
      <w:pPr>
        <w:spacing w:line="360" w:lineRule="auto"/>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2.残疾人福利性单位声明函（格式见附件8）</w:t>
      </w:r>
    </w:p>
    <w:p w14:paraId="69C0129C">
      <w:pPr>
        <w:spacing w:line="360" w:lineRule="auto"/>
        <w:ind w:firstLine="480"/>
        <w:rPr>
          <w:rFonts w:hint="eastAsia" w:ascii="仿宋" w:hAnsi="仿宋" w:eastAsia="仿宋" w:cs="仿宋"/>
          <w:sz w:val="24"/>
          <w:szCs w:val="24"/>
          <w:highlight w:val="none"/>
          <w:lang w:val="zh-CN"/>
        </w:rPr>
      </w:pPr>
      <w:r>
        <w:rPr>
          <w:rFonts w:hint="eastAsia" w:ascii="仿宋" w:hAnsi="仿宋" w:eastAsia="仿宋" w:cs="仿宋"/>
          <w:sz w:val="24"/>
          <w:szCs w:val="24"/>
          <w:highlight w:val="none"/>
        </w:rPr>
        <w:t>3.监狱和戒毒企业证明材料（格式见附件9）</w:t>
      </w:r>
    </w:p>
    <w:p w14:paraId="0896D0F4">
      <w:pPr>
        <w:outlineLvl w:val="0"/>
        <w:rPr>
          <w:rFonts w:hint="eastAsia" w:ascii="仿宋" w:hAnsi="仿宋" w:eastAsia="仿宋" w:cs="仿宋"/>
          <w:b/>
          <w:sz w:val="24"/>
          <w:szCs w:val="24"/>
          <w:highlight w:val="none"/>
        </w:rPr>
      </w:pPr>
      <w:r>
        <w:rPr>
          <w:rFonts w:hint="eastAsia" w:ascii="仿宋" w:hAnsi="仿宋" w:eastAsia="仿宋" w:cs="仿宋"/>
          <w:sz w:val="24"/>
          <w:szCs w:val="24"/>
          <w:highlight w:val="none"/>
          <w:lang w:val="zh-CN"/>
        </w:rPr>
        <w:br w:type="page" w:clear="all"/>
      </w:r>
      <w:bookmarkStart w:id="215" w:name="_Toc186493283"/>
      <w:r>
        <w:rPr>
          <w:rFonts w:hint="eastAsia" w:ascii="仿宋" w:hAnsi="仿宋" w:eastAsia="仿宋" w:cs="仿宋"/>
          <w:b/>
          <w:sz w:val="24"/>
          <w:szCs w:val="24"/>
          <w:highlight w:val="none"/>
        </w:rPr>
        <w:t>附件1</w:t>
      </w:r>
      <w:bookmarkEnd w:id="215"/>
      <w:r>
        <w:rPr>
          <w:rFonts w:hint="eastAsia" w:ascii="仿宋" w:hAnsi="仿宋" w:eastAsia="仿宋" w:cs="仿宋"/>
          <w:b/>
          <w:sz w:val="24"/>
          <w:szCs w:val="24"/>
          <w:highlight w:val="none"/>
        </w:rPr>
        <w:t xml:space="preserve"> </w:t>
      </w:r>
    </w:p>
    <w:p w14:paraId="1CDAD1CC">
      <w:pPr>
        <w:jc w:val="center"/>
        <w:rPr>
          <w:rFonts w:hint="eastAsia" w:ascii="宋体" w:hAnsi="宋体"/>
          <w:b/>
          <w:sz w:val="30"/>
          <w:szCs w:val="30"/>
          <w:highlight w:val="none"/>
        </w:rPr>
      </w:pPr>
      <w:r>
        <w:rPr>
          <w:rFonts w:hint="eastAsia" w:ascii="仿宋" w:hAnsi="仿宋" w:eastAsia="仿宋" w:cs="仿宋"/>
          <w:b/>
          <w:sz w:val="30"/>
          <w:szCs w:val="30"/>
          <w:highlight w:val="none"/>
        </w:rPr>
        <w:t>开标一览表</w:t>
      </w:r>
    </w:p>
    <w:p w14:paraId="11AF3895">
      <w:pPr>
        <w:pStyle w:val="14"/>
        <w:rPr>
          <w:highlight w:val="none"/>
        </w:rPr>
      </w:pPr>
    </w:p>
    <w:p w14:paraId="0A1A6BD2">
      <w:pPr>
        <w:spacing w:line="0" w:lineRule="atLeast"/>
        <w:rPr>
          <w:rFonts w:hint="eastAsia" w:ascii="仿宋" w:hAnsi="仿宋" w:eastAsia="仿宋" w:cs="仿宋"/>
          <w:sz w:val="24"/>
          <w:szCs w:val="24"/>
          <w:highlight w:val="none"/>
        </w:rPr>
      </w:pPr>
      <w:r>
        <w:rPr>
          <w:rFonts w:hint="eastAsia" w:ascii="仿宋" w:hAnsi="仿宋" w:eastAsia="仿宋" w:cs="仿宋"/>
          <w:sz w:val="24"/>
          <w:szCs w:val="24"/>
          <w:highlight w:val="none"/>
        </w:rPr>
        <w:t>投标供应商全称：</w:t>
      </w:r>
    </w:p>
    <w:p w14:paraId="32A719E7">
      <w:pPr>
        <w:spacing w:line="0" w:lineRule="atLeast"/>
        <w:rPr>
          <w:rFonts w:hint="eastAsia" w:ascii="仿宋" w:hAnsi="仿宋" w:eastAsia="仿宋" w:cs="仿宋"/>
          <w:sz w:val="24"/>
          <w:szCs w:val="24"/>
          <w:highlight w:val="none"/>
        </w:rPr>
      </w:pPr>
      <w:r>
        <w:rPr>
          <w:rFonts w:hint="eastAsia" w:ascii="仿宋" w:hAnsi="仿宋" w:eastAsia="仿宋" w:cs="仿宋"/>
          <w:sz w:val="24"/>
          <w:szCs w:val="24"/>
          <w:highlight w:val="none"/>
        </w:rPr>
        <w:t>项目名称：</w:t>
      </w:r>
    </w:p>
    <w:p w14:paraId="4F9978C0">
      <w:pPr>
        <w:spacing w:line="0" w:lineRule="atLeas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项目编号：                                   </w:t>
      </w:r>
    </w:p>
    <w:tbl>
      <w:tblPr>
        <w:tblStyle w:val="36"/>
        <w:tblW w:w="0" w:type="auto"/>
        <w:tblInd w:w="76"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9064"/>
      </w:tblGrid>
      <w:tr w14:paraId="7D9CDA6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725" w:hRule="atLeast"/>
        </w:trPr>
        <w:tc>
          <w:tcPr>
            <w:tcW w:w="9064" w:type="dxa"/>
            <w:vAlign w:val="center"/>
          </w:tcPr>
          <w:p w14:paraId="4DBA42AE">
            <w:pPr>
              <w:rPr>
                <w:rFonts w:hint="eastAsia" w:ascii="仿宋" w:hAnsi="仿宋" w:eastAsia="仿宋" w:cs="仿宋"/>
                <w:sz w:val="24"/>
                <w:szCs w:val="24"/>
                <w:highlight w:val="none"/>
              </w:rPr>
            </w:pPr>
            <w:r>
              <w:rPr>
                <w:rFonts w:hint="eastAsia" w:ascii="仿宋" w:hAnsi="仿宋" w:eastAsia="仿宋" w:cs="仿宋"/>
                <w:sz w:val="24"/>
                <w:szCs w:val="24"/>
                <w:highlight w:val="none"/>
              </w:rPr>
              <w:t>一年投标报价：小写：       元/年</w:t>
            </w:r>
          </w:p>
        </w:tc>
      </w:tr>
      <w:tr w14:paraId="23D1A7A3">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12" w:hRule="atLeast"/>
        </w:trPr>
        <w:tc>
          <w:tcPr>
            <w:tcW w:w="9064" w:type="dxa"/>
            <w:vAlign w:val="center"/>
          </w:tcPr>
          <w:p w14:paraId="0572E541">
            <w:pPr>
              <w:pStyle w:val="208"/>
              <w:spacing w:before="0" w:after="0" w:line="500" w:lineRule="exact"/>
              <w:ind w:firstLine="0"/>
              <w:jc w:val="both"/>
              <w:rPr>
                <w:rFonts w:hint="eastAsia" w:ascii="仿宋" w:hAnsi="仿宋" w:eastAsia="仿宋" w:cs="仿宋"/>
                <w:szCs w:val="21"/>
                <w:highlight w:val="none"/>
              </w:rPr>
            </w:pPr>
            <w:r>
              <w:rPr>
                <w:rFonts w:hint="eastAsia" w:ascii="仿宋" w:hAnsi="仿宋" w:eastAsia="仿宋" w:cs="仿宋"/>
                <w:szCs w:val="21"/>
                <w:highlight w:val="none"/>
              </w:rPr>
              <w:t>三年</w:t>
            </w:r>
            <w:r>
              <w:rPr>
                <w:rFonts w:hint="eastAsia" w:ascii="仿宋" w:hAnsi="仿宋" w:eastAsia="仿宋" w:cs="仿宋"/>
                <w:highlight w:val="none"/>
              </w:rPr>
              <w:t>投标报价：小写：         元</w:t>
            </w:r>
          </w:p>
        </w:tc>
      </w:tr>
    </w:tbl>
    <w:p w14:paraId="3D18D475">
      <w:pPr>
        <w:spacing w:line="400" w:lineRule="exact"/>
        <w:rPr>
          <w:rFonts w:hint="eastAsia" w:ascii="仿宋" w:hAnsi="仿宋" w:eastAsia="仿宋" w:cs="仿宋"/>
          <w:b/>
          <w:bCs/>
          <w:sz w:val="24"/>
          <w:highlight w:val="none"/>
        </w:rPr>
      </w:pPr>
    </w:p>
    <w:p w14:paraId="7C9B67D7">
      <w:pPr>
        <w:spacing w:line="400" w:lineRule="exact"/>
        <w:rPr>
          <w:rFonts w:hint="eastAsia" w:ascii="仿宋" w:hAnsi="仿宋" w:eastAsia="仿宋" w:cs="仿宋"/>
          <w:sz w:val="24"/>
          <w:highlight w:val="none"/>
        </w:rPr>
      </w:pPr>
      <w:r>
        <w:rPr>
          <w:rFonts w:hint="eastAsia" w:ascii="仿宋" w:hAnsi="仿宋" w:eastAsia="仿宋" w:cs="仿宋"/>
          <w:b/>
          <w:bCs/>
          <w:sz w:val="24"/>
          <w:highlight w:val="none"/>
        </w:rPr>
        <w:t>注：1、本附件格式仅作参考，投标供应商以苏采云平台实际情况进行填报。</w:t>
      </w:r>
    </w:p>
    <w:p w14:paraId="70EB8D0D">
      <w:pPr>
        <w:rPr>
          <w:rFonts w:hint="eastAsia" w:ascii="仿宋" w:hAnsi="仿宋" w:eastAsia="仿宋" w:cs="仿宋"/>
          <w:b/>
          <w:sz w:val="24"/>
          <w:szCs w:val="24"/>
          <w:highlight w:val="none"/>
        </w:rPr>
      </w:pPr>
    </w:p>
    <w:p w14:paraId="178F25EF">
      <w:pPr>
        <w:spacing w:line="400" w:lineRule="exact"/>
        <w:ind w:firstLine="2400"/>
        <w:rPr>
          <w:rFonts w:hint="eastAsia" w:ascii="仿宋" w:hAnsi="仿宋" w:eastAsia="仿宋" w:cs="仿宋"/>
          <w:sz w:val="24"/>
          <w:highlight w:val="none"/>
        </w:rPr>
      </w:pPr>
      <w:r>
        <w:rPr>
          <w:rFonts w:hint="eastAsia" w:ascii="仿宋" w:hAnsi="仿宋" w:eastAsia="仿宋" w:cs="仿宋"/>
          <w:sz w:val="24"/>
          <w:highlight w:val="none"/>
        </w:rPr>
        <w:t>投标供应商（</w:t>
      </w:r>
      <w:r>
        <w:rPr>
          <w:rFonts w:hint="eastAsia" w:ascii="仿宋" w:hAnsi="仿宋" w:eastAsia="仿宋" w:cs="仿宋"/>
          <w:sz w:val="24"/>
          <w:szCs w:val="24"/>
          <w:highlight w:val="none"/>
        </w:rPr>
        <w:t>加盖CA电子签章</w:t>
      </w:r>
      <w:r>
        <w:rPr>
          <w:rFonts w:hint="eastAsia" w:ascii="仿宋" w:hAnsi="仿宋" w:eastAsia="仿宋" w:cs="仿宋"/>
          <w:sz w:val="24"/>
          <w:highlight w:val="none"/>
        </w:rPr>
        <w:t>）：</w:t>
      </w:r>
    </w:p>
    <w:p w14:paraId="69AEFF30">
      <w:pPr>
        <w:pStyle w:val="14"/>
        <w:rPr>
          <w:highlight w:val="none"/>
        </w:rPr>
      </w:pPr>
    </w:p>
    <w:p w14:paraId="7980CB92">
      <w:pPr>
        <w:spacing w:line="400" w:lineRule="exact"/>
        <w:ind w:firstLine="1920"/>
        <w:rPr>
          <w:rFonts w:hint="eastAsia" w:ascii="仿宋" w:hAnsi="仿宋" w:eastAsia="仿宋" w:cs="仿宋"/>
          <w:sz w:val="24"/>
          <w:highlight w:val="none"/>
        </w:rPr>
      </w:pPr>
      <w:r>
        <w:rPr>
          <w:rFonts w:hint="eastAsia" w:ascii="仿宋" w:hAnsi="仿宋" w:eastAsia="仿宋" w:cs="仿宋"/>
          <w:sz w:val="24"/>
          <w:highlight w:val="none"/>
        </w:rPr>
        <w:t>法定代表人或委托代理人（签章）：</w:t>
      </w:r>
    </w:p>
    <w:p w14:paraId="5D0E98E6">
      <w:pPr>
        <w:spacing w:line="400" w:lineRule="exact"/>
        <w:ind w:firstLine="480"/>
        <w:rPr>
          <w:rFonts w:hint="eastAsia" w:ascii="仿宋" w:hAnsi="仿宋" w:eastAsia="仿宋" w:cs="仿宋"/>
          <w:sz w:val="24"/>
          <w:highlight w:val="none"/>
        </w:rPr>
      </w:pPr>
    </w:p>
    <w:p w14:paraId="140C88F2">
      <w:pPr>
        <w:ind w:firstLine="4320"/>
        <w:rPr>
          <w:rFonts w:hint="eastAsia" w:ascii="仿宋" w:hAnsi="仿宋" w:eastAsia="仿宋" w:cs="仿宋"/>
          <w:sz w:val="24"/>
          <w:highlight w:val="none"/>
        </w:rPr>
      </w:pPr>
      <w:r>
        <w:rPr>
          <w:rFonts w:hint="eastAsia" w:ascii="仿宋" w:hAnsi="仿宋" w:eastAsia="仿宋" w:cs="仿宋"/>
          <w:sz w:val="24"/>
          <w:highlight w:val="none"/>
        </w:rPr>
        <w:t>日期：         年    月    日</w:t>
      </w:r>
    </w:p>
    <w:p w14:paraId="3FEE7A24">
      <w:pPr>
        <w:rPr>
          <w:highlight w:val="none"/>
        </w:rPr>
      </w:pPr>
    </w:p>
    <w:p w14:paraId="3AD082D5">
      <w:pPr>
        <w:rPr>
          <w:highlight w:val="none"/>
        </w:rPr>
      </w:pPr>
    </w:p>
    <w:p w14:paraId="6C37F15B">
      <w:pPr>
        <w:rPr>
          <w:highlight w:val="none"/>
        </w:rPr>
      </w:pPr>
    </w:p>
    <w:p w14:paraId="393310F1">
      <w:pPr>
        <w:rPr>
          <w:highlight w:val="none"/>
        </w:rPr>
      </w:pPr>
    </w:p>
    <w:p w14:paraId="771DC224">
      <w:pPr>
        <w:rPr>
          <w:highlight w:val="none"/>
        </w:rPr>
      </w:pPr>
    </w:p>
    <w:p w14:paraId="4BADE20D">
      <w:pPr>
        <w:rPr>
          <w:highlight w:val="none"/>
        </w:rPr>
      </w:pPr>
    </w:p>
    <w:p w14:paraId="68C5FA0A">
      <w:pPr>
        <w:rPr>
          <w:highlight w:val="none"/>
        </w:rPr>
      </w:pPr>
    </w:p>
    <w:p w14:paraId="0E16525D">
      <w:pPr>
        <w:rPr>
          <w:highlight w:val="none"/>
        </w:rPr>
      </w:pPr>
    </w:p>
    <w:p w14:paraId="09626F83">
      <w:pPr>
        <w:rPr>
          <w:highlight w:val="none"/>
        </w:rPr>
      </w:pPr>
    </w:p>
    <w:p w14:paraId="205CB122">
      <w:pPr>
        <w:rPr>
          <w:highlight w:val="none"/>
        </w:rPr>
      </w:pPr>
    </w:p>
    <w:p w14:paraId="1F043634">
      <w:pPr>
        <w:rPr>
          <w:highlight w:val="none"/>
        </w:rPr>
      </w:pPr>
    </w:p>
    <w:p w14:paraId="7FA01BFD">
      <w:pPr>
        <w:rPr>
          <w:highlight w:val="none"/>
        </w:rPr>
      </w:pPr>
    </w:p>
    <w:p w14:paraId="3C5EB478">
      <w:pPr>
        <w:rPr>
          <w:highlight w:val="none"/>
        </w:rPr>
      </w:pPr>
    </w:p>
    <w:p w14:paraId="183E274E">
      <w:pPr>
        <w:rPr>
          <w:highlight w:val="none"/>
        </w:rPr>
      </w:pPr>
    </w:p>
    <w:p w14:paraId="2376884C">
      <w:pPr>
        <w:rPr>
          <w:highlight w:val="none"/>
        </w:rPr>
      </w:pPr>
    </w:p>
    <w:p w14:paraId="15577E7D">
      <w:pPr>
        <w:rPr>
          <w:highlight w:val="none"/>
        </w:rPr>
      </w:pPr>
    </w:p>
    <w:p w14:paraId="589C41B3">
      <w:pPr>
        <w:rPr>
          <w:highlight w:val="none"/>
        </w:rPr>
      </w:pPr>
    </w:p>
    <w:p w14:paraId="7D914405">
      <w:pPr>
        <w:rPr>
          <w:highlight w:val="none"/>
        </w:rPr>
      </w:pPr>
    </w:p>
    <w:p w14:paraId="48EB6568">
      <w:pPr>
        <w:rPr>
          <w:highlight w:val="none"/>
        </w:rPr>
      </w:pPr>
    </w:p>
    <w:p w14:paraId="099E2EB6">
      <w:pPr>
        <w:rPr>
          <w:highlight w:val="none"/>
        </w:rPr>
      </w:pPr>
    </w:p>
    <w:p w14:paraId="1472AD20">
      <w:pPr>
        <w:rPr>
          <w:highlight w:val="none"/>
        </w:rPr>
      </w:pPr>
    </w:p>
    <w:p w14:paraId="0E685029">
      <w:pPr>
        <w:tabs>
          <w:tab w:val="left" w:pos="606"/>
        </w:tabs>
        <w:jc w:val="left"/>
        <w:rPr>
          <w:highlight w:val="none"/>
        </w:rPr>
        <w:sectPr>
          <w:footerReference r:id="rId5" w:type="default"/>
          <w:pgSz w:w="11906" w:h="16838"/>
          <w:pgMar w:top="1191" w:right="1587" w:bottom="1191" w:left="1366" w:header="850" w:footer="907" w:gutter="0"/>
          <w:cols w:space="0" w:num="1"/>
          <w:docGrid w:linePitch="360" w:charSpace="0"/>
        </w:sectPr>
      </w:pPr>
      <w:r>
        <w:rPr>
          <w:rFonts w:hint="eastAsia"/>
          <w:highlight w:val="none"/>
        </w:rPr>
        <w:tab/>
      </w:r>
    </w:p>
    <w:p w14:paraId="52D7FCD3">
      <w:pPr>
        <w:rPr>
          <w:rFonts w:hint="eastAsia" w:ascii="仿宋" w:hAnsi="仿宋" w:eastAsia="仿宋" w:cs="仿宋"/>
          <w:b/>
          <w:bCs/>
          <w:sz w:val="30"/>
          <w:szCs w:val="30"/>
          <w:highlight w:val="none"/>
        </w:rPr>
      </w:pPr>
      <w:bookmarkStart w:id="216" w:name="_Toc186493284"/>
      <w:r>
        <w:rPr>
          <w:rFonts w:hint="eastAsia" w:ascii="仿宋" w:hAnsi="仿宋" w:eastAsia="仿宋" w:cs="仿宋"/>
          <w:b/>
          <w:sz w:val="24"/>
          <w:szCs w:val="24"/>
          <w:highlight w:val="none"/>
        </w:rPr>
        <w:t>附件2</w:t>
      </w:r>
      <w:bookmarkEnd w:id="216"/>
      <w:r>
        <w:rPr>
          <w:rFonts w:hint="eastAsia" w:ascii="仿宋" w:hAnsi="仿宋" w:eastAsia="仿宋" w:cs="仿宋"/>
          <w:b/>
          <w:sz w:val="24"/>
          <w:szCs w:val="24"/>
          <w:highlight w:val="none"/>
        </w:rPr>
        <w:t xml:space="preserve">                                             </w:t>
      </w:r>
    </w:p>
    <w:p w14:paraId="430B12E1">
      <w:pPr>
        <w:pStyle w:val="230"/>
        <w:spacing w:line="360" w:lineRule="auto"/>
        <w:jc w:val="center"/>
        <w:rPr>
          <w:rFonts w:ascii="仿宋" w:hAnsi="仿宋" w:eastAsia="仿宋" w:cs="仿宋"/>
          <w:b/>
          <w:bCs/>
          <w:sz w:val="24"/>
          <w:szCs w:val="24"/>
          <w:highlight w:val="none"/>
        </w:rPr>
      </w:pPr>
      <w:r>
        <w:rPr>
          <w:rFonts w:ascii="仿宋" w:hAnsi="仿宋" w:eastAsia="仿宋" w:cs="仿宋"/>
          <w:b/>
          <w:bCs/>
          <w:sz w:val="30"/>
          <w:szCs w:val="30"/>
          <w:highlight w:val="none"/>
        </w:rPr>
        <w:t>投标分项报价表</w:t>
      </w:r>
    </w:p>
    <w:p w14:paraId="1AE00E9E">
      <w:pPr>
        <w:pStyle w:val="230"/>
        <w:spacing w:line="360" w:lineRule="auto"/>
        <w:jc w:val="left"/>
        <w:rPr>
          <w:rFonts w:ascii="仿宋" w:hAnsi="仿宋" w:eastAsia="仿宋" w:cs="仿宋"/>
          <w:b/>
          <w:bCs/>
          <w:sz w:val="24"/>
          <w:szCs w:val="24"/>
          <w:highlight w:val="none"/>
        </w:rPr>
      </w:pPr>
      <w:r>
        <w:rPr>
          <w:rFonts w:ascii="仿宋" w:hAnsi="仿宋" w:eastAsia="仿宋" w:cs="仿宋"/>
          <w:b/>
          <w:bCs/>
          <w:sz w:val="24"/>
          <w:szCs w:val="24"/>
          <w:highlight w:val="none"/>
        </w:rPr>
        <w:t>项目名称：</w:t>
      </w:r>
      <w:r>
        <w:rPr>
          <w:rFonts w:ascii="仿宋" w:hAnsi="仿宋" w:eastAsia="仿宋" w:cs="仿宋"/>
          <w:b/>
          <w:bCs/>
          <w:sz w:val="24"/>
          <w:szCs w:val="24"/>
          <w:highlight w:val="none"/>
          <w:u w:val="single"/>
        </w:rPr>
        <w:t>如东县大豫镇环境卫生长效管护服务项目（重新招标）</w:t>
      </w:r>
    </w:p>
    <w:tbl>
      <w:tblPr>
        <w:tblStyle w:val="36"/>
        <w:tblW w:w="10431" w:type="dxa"/>
        <w:jc w:val="center"/>
        <w:tblLayout w:type="autofit"/>
        <w:tblCellMar>
          <w:top w:w="0" w:type="dxa"/>
          <w:left w:w="108" w:type="dxa"/>
          <w:bottom w:w="0" w:type="dxa"/>
          <w:right w:w="108" w:type="dxa"/>
        </w:tblCellMar>
      </w:tblPr>
      <w:tblGrid>
        <w:gridCol w:w="893"/>
        <w:gridCol w:w="2959"/>
        <w:gridCol w:w="1066"/>
        <w:gridCol w:w="1825"/>
        <w:gridCol w:w="1599"/>
        <w:gridCol w:w="2089"/>
      </w:tblGrid>
      <w:tr w14:paraId="55FCE8FE">
        <w:tblPrEx>
          <w:tblCellMar>
            <w:top w:w="0" w:type="dxa"/>
            <w:left w:w="108" w:type="dxa"/>
            <w:bottom w:w="0" w:type="dxa"/>
            <w:right w:w="108" w:type="dxa"/>
          </w:tblCellMar>
        </w:tblPrEx>
        <w:trPr>
          <w:trHeight w:val="519" w:hRule="atLeast"/>
          <w:jc w:val="center"/>
        </w:trPr>
        <w:tc>
          <w:tcPr>
            <w:tcW w:w="10431" w:type="dxa"/>
            <w:gridSpan w:val="6"/>
            <w:tcBorders>
              <w:top w:val="nil"/>
              <w:left w:val="nil"/>
              <w:bottom w:val="nil"/>
              <w:right w:val="nil"/>
            </w:tcBorders>
            <w:vAlign w:val="center"/>
          </w:tcPr>
          <w:p w14:paraId="209D84D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如东县大豫镇环境卫生长效管护招标项目报价清单</w:t>
            </w:r>
          </w:p>
        </w:tc>
      </w:tr>
      <w:tr w14:paraId="3892F635">
        <w:tblPrEx>
          <w:tblCellMar>
            <w:top w:w="0" w:type="dxa"/>
            <w:left w:w="108" w:type="dxa"/>
            <w:bottom w:w="0" w:type="dxa"/>
            <w:right w:w="108" w:type="dxa"/>
          </w:tblCellMar>
        </w:tblPrEx>
        <w:trPr>
          <w:trHeight w:val="519" w:hRule="atLeast"/>
          <w:jc w:val="center"/>
        </w:trPr>
        <w:tc>
          <w:tcPr>
            <w:tcW w:w="893" w:type="dxa"/>
            <w:vMerge w:val="restart"/>
            <w:tcBorders>
              <w:top w:val="single" w:color="000000" w:sz="4" w:space="0"/>
              <w:left w:val="single" w:color="000000" w:sz="4" w:space="0"/>
              <w:bottom w:val="single" w:color="000000" w:sz="4" w:space="0"/>
              <w:right w:val="single" w:color="000000" w:sz="4" w:space="0"/>
            </w:tcBorders>
            <w:vAlign w:val="center"/>
          </w:tcPr>
          <w:p w14:paraId="6283326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序号</w:t>
            </w:r>
          </w:p>
        </w:tc>
        <w:tc>
          <w:tcPr>
            <w:tcW w:w="9538" w:type="dxa"/>
            <w:gridSpan w:val="5"/>
            <w:tcBorders>
              <w:top w:val="single" w:color="000000" w:sz="4" w:space="0"/>
              <w:left w:val="single" w:color="000000" w:sz="4" w:space="0"/>
              <w:bottom w:val="single" w:color="000000" w:sz="4" w:space="0"/>
              <w:right w:val="single" w:color="000000" w:sz="4" w:space="0"/>
            </w:tcBorders>
            <w:vAlign w:val="center"/>
          </w:tcPr>
          <w:p w14:paraId="5E31D3B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一年报价</w:t>
            </w:r>
          </w:p>
        </w:tc>
      </w:tr>
      <w:tr w14:paraId="6793A812">
        <w:tblPrEx>
          <w:tblCellMar>
            <w:top w:w="0" w:type="dxa"/>
            <w:left w:w="108" w:type="dxa"/>
            <w:bottom w:w="0" w:type="dxa"/>
            <w:right w:w="108" w:type="dxa"/>
          </w:tblCellMar>
        </w:tblPrEx>
        <w:trPr>
          <w:trHeight w:val="519" w:hRule="atLeast"/>
          <w:jc w:val="center"/>
        </w:trPr>
        <w:tc>
          <w:tcPr>
            <w:tcW w:w="893" w:type="dxa"/>
            <w:vMerge w:val="continue"/>
            <w:tcBorders>
              <w:top w:val="single" w:color="000000" w:sz="4" w:space="0"/>
              <w:left w:val="single" w:color="000000" w:sz="4" w:space="0"/>
              <w:bottom w:val="single" w:color="000000" w:sz="4" w:space="0"/>
              <w:right w:val="single" w:color="000000" w:sz="4" w:space="0"/>
            </w:tcBorders>
            <w:vAlign w:val="center"/>
          </w:tcPr>
          <w:p w14:paraId="78FC1EF9">
            <w:pPr>
              <w:jc w:val="center"/>
              <w:rPr>
                <w:rFonts w:hint="eastAsia" w:ascii="仿宋" w:hAnsi="仿宋" w:eastAsia="仿宋" w:cs="仿宋"/>
                <w:color w:val="000000"/>
                <w:sz w:val="24"/>
                <w:szCs w:val="24"/>
                <w:highlight w:val="none"/>
              </w:rPr>
            </w:pPr>
          </w:p>
        </w:tc>
        <w:tc>
          <w:tcPr>
            <w:tcW w:w="2959" w:type="dxa"/>
            <w:tcBorders>
              <w:top w:val="single" w:color="000000" w:sz="4" w:space="0"/>
              <w:left w:val="single" w:color="000000" w:sz="4" w:space="0"/>
              <w:bottom w:val="single" w:color="000000" w:sz="4" w:space="0"/>
              <w:right w:val="single" w:color="000000" w:sz="4" w:space="0"/>
            </w:tcBorders>
            <w:vAlign w:val="center"/>
          </w:tcPr>
          <w:p w14:paraId="7B3D40D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项目名称</w:t>
            </w:r>
          </w:p>
        </w:tc>
        <w:tc>
          <w:tcPr>
            <w:tcW w:w="1066" w:type="dxa"/>
            <w:tcBorders>
              <w:top w:val="single" w:color="000000" w:sz="4" w:space="0"/>
              <w:left w:val="single" w:color="000000" w:sz="4" w:space="0"/>
              <w:bottom w:val="single" w:color="000000" w:sz="4" w:space="0"/>
              <w:right w:val="single" w:color="000000" w:sz="4" w:space="0"/>
            </w:tcBorders>
            <w:vAlign w:val="center"/>
          </w:tcPr>
          <w:p w14:paraId="77EDB18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数量</w:t>
            </w:r>
          </w:p>
        </w:tc>
        <w:tc>
          <w:tcPr>
            <w:tcW w:w="1825" w:type="dxa"/>
            <w:tcBorders>
              <w:top w:val="single" w:color="000000" w:sz="4" w:space="0"/>
              <w:left w:val="single" w:color="000000" w:sz="4" w:space="0"/>
              <w:bottom w:val="single" w:color="000000" w:sz="4" w:space="0"/>
              <w:right w:val="single" w:color="000000" w:sz="4" w:space="0"/>
            </w:tcBorders>
            <w:vAlign w:val="center"/>
          </w:tcPr>
          <w:p w14:paraId="74C15DA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标准（元/月）</w:t>
            </w:r>
          </w:p>
        </w:tc>
        <w:tc>
          <w:tcPr>
            <w:tcW w:w="1599" w:type="dxa"/>
            <w:tcBorders>
              <w:top w:val="single" w:color="000000" w:sz="4" w:space="0"/>
              <w:left w:val="single" w:color="000000" w:sz="4" w:space="0"/>
              <w:bottom w:val="single" w:color="000000" w:sz="4" w:space="0"/>
              <w:right w:val="single" w:color="000000" w:sz="4" w:space="0"/>
            </w:tcBorders>
            <w:vAlign w:val="center"/>
          </w:tcPr>
          <w:p w14:paraId="39323A5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小计（元）</w:t>
            </w:r>
          </w:p>
        </w:tc>
        <w:tc>
          <w:tcPr>
            <w:tcW w:w="2089" w:type="dxa"/>
            <w:tcBorders>
              <w:top w:val="single" w:color="000000" w:sz="4" w:space="0"/>
              <w:left w:val="single" w:color="000000" w:sz="4" w:space="0"/>
              <w:bottom w:val="single" w:color="000000" w:sz="4" w:space="0"/>
              <w:right w:val="single" w:color="000000" w:sz="4" w:space="0"/>
            </w:tcBorders>
            <w:vAlign w:val="center"/>
          </w:tcPr>
          <w:p w14:paraId="56F3F1E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备注</w:t>
            </w:r>
          </w:p>
        </w:tc>
      </w:tr>
      <w:tr w14:paraId="4A1A2DA5">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6A3982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2959" w:type="dxa"/>
            <w:tcBorders>
              <w:top w:val="single" w:color="000000" w:sz="4" w:space="0"/>
              <w:left w:val="single" w:color="000000" w:sz="4" w:space="0"/>
              <w:bottom w:val="single" w:color="000000" w:sz="4" w:space="0"/>
              <w:right w:val="single" w:color="000000" w:sz="4" w:space="0"/>
            </w:tcBorders>
            <w:vAlign w:val="center"/>
          </w:tcPr>
          <w:p w14:paraId="6D0FD87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农村清运工工资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13EF589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90</w:t>
            </w:r>
          </w:p>
        </w:tc>
        <w:tc>
          <w:tcPr>
            <w:tcW w:w="1825" w:type="dxa"/>
            <w:tcBorders>
              <w:top w:val="single" w:color="000000" w:sz="4" w:space="0"/>
              <w:left w:val="single" w:color="000000" w:sz="4" w:space="0"/>
              <w:bottom w:val="single" w:color="000000" w:sz="4" w:space="0"/>
              <w:right w:val="single" w:color="000000" w:sz="4" w:space="0"/>
            </w:tcBorders>
            <w:vAlign w:val="center"/>
          </w:tcPr>
          <w:p w14:paraId="602593B5">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CA06936">
            <w:pPr>
              <w:jc w:val="center"/>
              <w:rPr>
                <w:rFonts w:hint="eastAsia" w:ascii="仿宋" w:hAnsi="仿宋" w:eastAsia="仿宋" w:cs="仿宋"/>
                <w:color w:val="000000"/>
                <w:sz w:val="24"/>
                <w:szCs w:val="24"/>
                <w:highlight w:val="none"/>
              </w:rPr>
            </w:pPr>
          </w:p>
        </w:tc>
        <w:tc>
          <w:tcPr>
            <w:tcW w:w="2089" w:type="dxa"/>
            <w:vMerge w:val="restart"/>
            <w:tcBorders>
              <w:top w:val="single" w:color="000000" w:sz="4" w:space="0"/>
              <w:left w:val="single" w:color="000000" w:sz="4" w:space="0"/>
              <w:bottom w:val="single" w:color="000000" w:sz="4" w:space="0"/>
              <w:right w:val="single" w:color="000000" w:sz="4" w:space="0"/>
            </w:tcBorders>
            <w:vAlign w:val="center"/>
          </w:tcPr>
          <w:p w14:paraId="50F10A04">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1-18项小计价格为12个月的工资，投标供应商自行将月标准工资*数量*12计入小计</w:t>
            </w:r>
          </w:p>
        </w:tc>
      </w:tr>
      <w:tr w14:paraId="6E0C9990">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6955E5E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w:t>
            </w:r>
          </w:p>
        </w:tc>
        <w:tc>
          <w:tcPr>
            <w:tcW w:w="2959" w:type="dxa"/>
            <w:tcBorders>
              <w:top w:val="single" w:color="000000" w:sz="4" w:space="0"/>
              <w:left w:val="single" w:color="000000" w:sz="4" w:space="0"/>
              <w:bottom w:val="single" w:color="000000" w:sz="4" w:space="0"/>
              <w:right w:val="single" w:color="000000" w:sz="4" w:space="0"/>
            </w:tcBorders>
            <w:vAlign w:val="center"/>
          </w:tcPr>
          <w:p w14:paraId="1F61123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镇区保洁员工资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6A050FF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19</w:t>
            </w:r>
          </w:p>
        </w:tc>
        <w:tc>
          <w:tcPr>
            <w:tcW w:w="1825" w:type="dxa"/>
            <w:tcBorders>
              <w:top w:val="single" w:color="000000" w:sz="4" w:space="0"/>
              <w:left w:val="single" w:color="000000" w:sz="4" w:space="0"/>
              <w:bottom w:val="single" w:color="000000" w:sz="4" w:space="0"/>
              <w:right w:val="single" w:color="000000" w:sz="4" w:space="0"/>
            </w:tcBorders>
            <w:vAlign w:val="center"/>
          </w:tcPr>
          <w:p w14:paraId="5F4248DA">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0CF1B00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EFAFEC5">
            <w:pPr>
              <w:jc w:val="left"/>
              <w:rPr>
                <w:rFonts w:hint="eastAsia" w:ascii="仿宋" w:hAnsi="仿宋" w:eastAsia="仿宋" w:cs="仿宋"/>
                <w:color w:val="000000"/>
                <w:sz w:val="24"/>
                <w:szCs w:val="24"/>
                <w:highlight w:val="none"/>
              </w:rPr>
            </w:pPr>
          </w:p>
        </w:tc>
      </w:tr>
      <w:tr w14:paraId="5A4544A8">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746C2CE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3</w:t>
            </w:r>
          </w:p>
        </w:tc>
        <w:tc>
          <w:tcPr>
            <w:tcW w:w="2959" w:type="dxa"/>
            <w:tcBorders>
              <w:top w:val="single" w:color="000000" w:sz="4" w:space="0"/>
              <w:left w:val="single" w:color="000000" w:sz="4" w:space="0"/>
              <w:bottom w:val="single" w:color="000000" w:sz="4" w:space="0"/>
              <w:right w:val="single" w:color="000000" w:sz="4" w:space="0"/>
            </w:tcBorders>
            <w:vAlign w:val="center"/>
          </w:tcPr>
          <w:p w14:paraId="7502D8C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道路专项管护员工资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094436A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25</w:t>
            </w:r>
          </w:p>
        </w:tc>
        <w:tc>
          <w:tcPr>
            <w:tcW w:w="1825" w:type="dxa"/>
            <w:tcBorders>
              <w:top w:val="single" w:color="000000" w:sz="4" w:space="0"/>
              <w:left w:val="single" w:color="000000" w:sz="4" w:space="0"/>
              <w:bottom w:val="single" w:color="000000" w:sz="4" w:space="0"/>
              <w:right w:val="single" w:color="000000" w:sz="4" w:space="0"/>
            </w:tcBorders>
            <w:vAlign w:val="center"/>
          </w:tcPr>
          <w:p w14:paraId="18F22440">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C6574D5">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7B3FD116">
            <w:pPr>
              <w:jc w:val="left"/>
              <w:rPr>
                <w:rFonts w:hint="eastAsia" w:ascii="仿宋" w:hAnsi="仿宋" w:eastAsia="仿宋" w:cs="仿宋"/>
                <w:color w:val="000000"/>
                <w:sz w:val="24"/>
                <w:szCs w:val="24"/>
                <w:highlight w:val="none"/>
              </w:rPr>
            </w:pPr>
          </w:p>
        </w:tc>
      </w:tr>
      <w:tr w14:paraId="15A2A5BF">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E67D10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4</w:t>
            </w:r>
          </w:p>
        </w:tc>
        <w:tc>
          <w:tcPr>
            <w:tcW w:w="2959" w:type="dxa"/>
            <w:tcBorders>
              <w:top w:val="single" w:color="000000" w:sz="4" w:space="0"/>
              <w:left w:val="single" w:color="000000" w:sz="4" w:space="0"/>
              <w:bottom w:val="single" w:color="000000" w:sz="4" w:space="0"/>
              <w:right w:val="single" w:color="000000" w:sz="4" w:space="0"/>
            </w:tcBorders>
            <w:vAlign w:val="center"/>
          </w:tcPr>
          <w:p w14:paraId="5FCBA86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东凌工业区保洁员工资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2308589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w:t>
            </w:r>
          </w:p>
        </w:tc>
        <w:tc>
          <w:tcPr>
            <w:tcW w:w="1825" w:type="dxa"/>
            <w:tcBorders>
              <w:top w:val="single" w:color="000000" w:sz="4" w:space="0"/>
              <w:left w:val="single" w:color="000000" w:sz="4" w:space="0"/>
              <w:bottom w:val="single" w:color="000000" w:sz="4" w:space="0"/>
              <w:right w:val="single" w:color="000000" w:sz="4" w:space="0"/>
            </w:tcBorders>
            <w:vAlign w:val="center"/>
          </w:tcPr>
          <w:p w14:paraId="123BD5FA">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C8C9CFB">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596F15C2">
            <w:pPr>
              <w:jc w:val="left"/>
              <w:rPr>
                <w:rFonts w:hint="eastAsia" w:ascii="仿宋" w:hAnsi="仿宋" w:eastAsia="仿宋" w:cs="仿宋"/>
                <w:color w:val="000000"/>
                <w:sz w:val="24"/>
                <w:szCs w:val="24"/>
                <w:highlight w:val="none"/>
              </w:rPr>
            </w:pPr>
          </w:p>
        </w:tc>
      </w:tr>
      <w:tr w14:paraId="0157F8FC">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1BBD43F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5</w:t>
            </w:r>
          </w:p>
        </w:tc>
        <w:tc>
          <w:tcPr>
            <w:tcW w:w="2959" w:type="dxa"/>
            <w:tcBorders>
              <w:top w:val="single" w:color="000000" w:sz="4" w:space="0"/>
              <w:left w:val="single" w:color="000000" w:sz="4" w:space="0"/>
              <w:bottom w:val="single" w:color="000000" w:sz="4" w:space="0"/>
              <w:right w:val="single" w:color="000000" w:sz="4" w:space="0"/>
            </w:tcBorders>
            <w:vAlign w:val="center"/>
          </w:tcPr>
          <w:p w14:paraId="46E426D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兵房、张謇工业区保洁工资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39B2684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w:t>
            </w:r>
          </w:p>
        </w:tc>
        <w:tc>
          <w:tcPr>
            <w:tcW w:w="1825" w:type="dxa"/>
            <w:tcBorders>
              <w:top w:val="single" w:color="000000" w:sz="4" w:space="0"/>
              <w:left w:val="single" w:color="000000" w:sz="4" w:space="0"/>
              <w:bottom w:val="single" w:color="000000" w:sz="4" w:space="0"/>
              <w:right w:val="single" w:color="000000" w:sz="4" w:space="0"/>
            </w:tcBorders>
            <w:vAlign w:val="center"/>
          </w:tcPr>
          <w:p w14:paraId="0C57871F">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4E7787F">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0F065783">
            <w:pPr>
              <w:jc w:val="left"/>
              <w:rPr>
                <w:rFonts w:hint="eastAsia" w:ascii="仿宋" w:hAnsi="仿宋" w:eastAsia="仿宋" w:cs="仿宋"/>
                <w:color w:val="000000"/>
                <w:sz w:val="24"/>
                <w:szCs w:val="24"/>
                <w:highlight w:val="none"/>
              </w:rPr>
            </w:pPr>
          </w:p>
        </w:tc>
      </w:tr>
      <w:tr w14:paraId="01536DED">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6F79E7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6</w:t>
            </w:r>
          </w:p>
        </w:tc>
        <w:tc>
          <w:tcPr>
            <w:tcW w:w="2959" w:type="dxa"/>
            <w:tcBorders>
              <w:top w:val="single" w:color="000000" w:sz="4" w:space="0"/>
              <w:left w:val="single" w:color="000000" w:sz="4" w:space="0"/>
              <w:bottom w:val="single" w:color="000000" w:sz="4" w:space="0"/>
              <w:right w:val="single" w:color="000000" w:sz="4" w:space="0"/>
            </w:tcBorders>
            <w:vAlign w:val="center"/>
          </w:tcPr>
          <w:p w14:paraId="0486D03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河道长效管护队长工资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42EE879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4</w:t>
            </w:r>
          </w:p>
        </w:tc>
        <w:tc>
          <w:tcPr>
            <w:tcW w:w="1825" w:type="dxa"/>
            <w:tcBorders>
              <w:top w:val="single" w:color="000000" w:sz="4" w:space="0"/>
              <w:left w:val="single" w:color="000000" w:sz="4" w:space="0"/>
              <w:bottom w:val="single" w:color="000000" w:sz="4" w:space="0"/>
              <w:right w:val="single" w:color="000000" w:sz="4" w:space="0"/>
            </w:tcBorders>
            <w:vAlign w:val="center"/>
          </w:tcPr>
          <w:p w14:paraId="53D37CA3">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736148C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76324379">
            <w:pPr>
              <w:jc w:val="left"/>
              <w:rPr>
                <w:rFonts w:hint="eastAsia" w:ascii="仿宋" w:hAnsi="仿宋" w:eastAsia="仿宋" w:cs="仿宋"/>
                <w:color w:val="000000"/>
                <w:sz w:val="24"/>
                <w:szCs w:val="24"/>
                <w:highlight w:val="none"/>
              </w:rPr>
            </w:pPr>
          </w:p>
        </w:tc>
      </w:tr>
      <w:tr w14:paraId="5A56A127">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78ACBF0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7</w:t>
            </w:r>
          </w:p>
        </w:tc>
        <w:tc>
          <w:tcPr>
            <w:tcW w:w="2959" w:type="dxa"/>
            <w:tcBorders>
              <w:top w:val="single" w:color="000000" w:sz="4" w:space="0"/>
              <w:left w:val="single" w:color="000000" w:sz="4" w:space="0"/>
              <w:bottom w:val="single" w:color="000000" w:sz="4" w:space="0"/>
              <w:right w:val="single" w:color="000000" w:sz="4" w:space="0"/>
            </w:tcBorders>
            <w:vAlign w:val="center"/>
          </w:tcPr>
          <w:p w14:paraId="1629C75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河道长效管护队员工资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5BD1186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36</w:t>
            </w:r>
          </w:p>
        </w:tc>
        <w:tc>
          <w:tcPr>
            <w:tcW w:w="1825" w:type="dxa"/>
            <w:tcBorders>
              <w:top w:val="single" w:color="000000" w:sz="4" w:space="0"/>
              <w:left w:val="single" w:color="000000" w:sz="4" w:space="0"/>
              <w:bottom w:val="single" w:color="000000" w:sz="4" w:space="0"/>
              <w:right w:val="single" w:color="000000" w:sz="4" w:space="0"/>
            </w:tcBorders>
            <w:vAlign w:val="center"/>
          </w:tcPr>
          <w:p w14:paraId="7FA2831B">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88C9288">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63DE1849">
            <w:pPr>
              <w:jc w:val="left"/>
              <w:rPr>
                <w:rFonts w:hint="eastAsia" w:ascii="仿宋" w:hAnsi="仿宋" w:eastAsia="仿宋" w:cs="仿宋"/>
                <w:color w:val="000000"/>
                <w:sz w:val="24"/>
                <w:szCs w:val="24"/>
                <w:highlight w:val="none"/>
              </w:rPr>
            </w:pPr>
          </w:p>
        </w:tc>
      </w:tr>
      <w:tr w14:paraId="6170C238">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48713FF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8</w:t>
            </w:r>
          </w:p>
        </w:tc>
        <w:tc>
          <w:tcPr>
            <w:tcW w:w="2959" w:type="dxa"/>
            <w:tcBorders>
              <w:top w:val="single" w:color="000000" w:sz="4" w:space="0"/>
              <w:left w:val="single" w:color="000000" w:sz="4" w:space="0"/>
              <w:bottom w:val="single" w:color="000000" w:sz="4" w:space="0"/>
              <w:right w:val="single" w:color="000000" w:sz="4" w:space="0"/>
            </w:tcBorders>
            <w:vAlign w:val="center"/>
          </w:tcPr>
          <w:p w14:paraId="3BAED42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压缩车驾驶员工资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3D0E6AB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6</w:t>
            </w:r>
          </w:p>
        </w:tc>
        <w:tc>
          <w:tcPr>
            <w:tcW w:w="1825" w:type="dxa"/>
            <w:tcBorders>
              <w:top w:val="single" w:color="000000" w:sz="4" w:space="0"/>
              <w:left w:val="single" w:color="000000" w:sz="4" w:space="0"/>
              <w:bottom w:val="single" w:color="000000" w:sz="4" w:space="0"/>
              <w:right w:val="single" w:color="000000" w:sz="4" w:space="0"/>
            </w:tcBorders>
            <w:vAlign w:val="center"/>
          </w:tcPr>
          <w:p w14:paraId="6D218476">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39E39EB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6C4D02C9">
            <w:pPr>
              <w:jc w:val="left"/>
              <w:rPr>
                <w:rFonts w:hint="eastAsia" w:ascii="仿宋" w:hAnsi="仿宋" w:eastAsia="仿宋" w:cs="仿宋"/>
                <w:color w:val="000000"/>
                <w:sz w:val="24"/>
                <w:szCs w:val="24"/>
                <w:highlight w:val="none"/>
              </w:rPr>
            </w:pPr>
          </w:p>
        </w:tc>
      </w:tr>
      <w:tr w14:paraId="64EE36B0">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3DD7B91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9</w:t>
            </w:r>
          </w:p>
        </w:tc>
        <w:tc>
          <w:tcPr>
            <w:tcW w:w="2959" w:type="dxa"/>
            <w:tcBorders>
              <w:top w:val="single" w:color="000000" w:sz="4" w:space="0"/>
              <w:left w:val="single" w:color="000000" w:sz="4" w:space="0"/>
              <w:bottom w:val="single" w:color="000000" w:sz="4" w:space="0"/>
              <w:right w:val="single" w:color="000000" w:sz="4" w:space="0"/>
            </w:tcBorders>
            <w:vAlign w:val="center"/>
          </w:tcPr>
          <w:p w14:paraId="17E4333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机械化驾驶员工资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288CD37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1825" w:type="dxa"/>
            <w:tcBorders>
              <w:top w:val="single" w:color="000000" w:sz="4" w:space="0"/>
              <w:left w:val="single" w:color="000000" w:sz="4" w:space="0"/>
              <w:bottom w:val="single" w:color="000000" w:sz="4" w:space="0"/>
              <w:right w:val="single" w:color="000000" w:sz="4" w:space="0"/>
            </w:tcBorders>
            <w:vAlign w:val="center"/>
          </w:tcPr>
          <w:p w14:paraId="3D994EF4">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3D76AE7F">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0D111F66">
            <w:pPr>
              <w:jc w:val="left"/>
              <w:rPr>
                <w:rFonts w:hint="eastAsia" w:ascii="仿宋" w:hAnsi="仿宋" w:eastAsia="仿宋" w:cs="仿宋"/>
                <w:color w:val="000000"/>
                <w:sz w:val="24"/>
                <w:szCs w:val="24"/>
                <w:highlight w:val="none"/>
              </w:rPr>
            </w:pPr>
          </w:p>
        </w:tc>
      </w:tr>
      <w:tr w14:paraId="19DCA6A3">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1B4E55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10</w:t>
            </w:r>
          </w:p>
        </w:tc>
        <w:tc>
          <w:tcPr>
            <w:tcW w:w="2959" w:type="dxa"/>
            <w:tcBorders>
              <w:top w:val="single" w:color="000000" w:sz="4" w:space="0"/>
              <w:left w:val="single" w:color="000000" w:sz="4" w:space="0"/>
              <w:bottom w:val="single" w:color="000000" w:sz="4" w:space="0"/>
              <w:right w:val="single" w:color="000000" w:sz="4" w:space="0"/>
            </w:tcBorders>
            <w:vAlign w:val="center"/>
          </w:tcPr>
          <w:p w14:paraId="33CF078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轻卡驾驶员工资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2861C15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1825" w:type="dxa"/>
            <w:tcBorders>
              <w:top w:val="single" w:color="000000" w:sz="4" w:space="0"/>
              <w:left w:val="single" w:color="000000" w:sz="4" w:space="0"/>
              <w:bottom w:val="single" w:color="000000" w:sz="4" w:space="0"/>
              <w:right w:val="single" w:color="000000" w:sz="4" w:space="0"/>
            </w:tcBorders>
            <w:vAlign w:val="center"/>
          </w:tcPr>
          <w:p w14:paraId="49429F30">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BE1CEF4">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40CD2A4D">
            <w:pPr>
              <w:jc w:val="left"/>
              <w:rPr>
                <w:rFonts w:hint="eastAsia" w:ascii="仿宋" w:hAnsi="仿宋" w:eastAsia="仿宋" w:cs="仿宋"/>
                <w:color w:val="000000"/>
                <w:sz w:val="24"/>
                <w:szCs w:val="24"/>
                <w:highlight w:val="none"/>
              </w:rPr>
            </w:pPr>
          </w:p>
        </w:tc>
      </w:tr>
      <w:tr w14:paraId="01E44592">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40F18CD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11</w:t>
            </w:r>
          </w:p>
        </w:tc>
        <w:tc>
          <w:tcPr>
            <w:tcW w:w="2959" w:type="dxa"/>
            <w:tcBorders>
              <w:top w:val="single" w:color="000000" w:sz="4" w:space="0"/>
              <w:left w:val="single" w:color="000000" w:sz="4" w:space="0"/>
              <w:bottom w:val="single" w:color="000000" w:sz="4" w:space="0"/>
              <w:right w:val="single" w:color="000000" w:sz="4" w:space="0"/>
            </w:tcBorders>
            <w:vAlign w:val="center"/>
          </w:tcPr>
          <w:p w14:paraId="0DB3D9F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辅助工工资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47BE6AE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1825" w:type="dxa"/>
            <w:tcBorders>
              <w:top w:val="single" w:color="000000" w:sz="4" w:space="0"/>
              <w:left w:val="single" w:color="000000" w:sz="4" w:space="0"/>
              <w:bottom w:val="single" w:color="000000" w:sz="4" w:space="0"/>
              <w:right w:val="single" w:color="000000" w:sz="4" w:space="0"/>
            </w:tcBorders>
            <w:vAlign w:val="center"/>
          </w:tcPr>
          <w:p w14:paraId="6F179E91">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782B168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80C7B55">
            <w:pPr>
              <w:jc w:val="left"/>
              <w:rPr>
                <w:rFonts w:hint="eastAsia" w:ascii="仿宋" w:hAnsi="仿宋" w:eastAsia="仿宋" w:cs="仿宋"/>
                <w:color w:val="000000"/>
                <w:sz w:val="24"/>
                <w:szCs w:val="24"/>
                <w:highlight w:val="none"/>
              </w:rPr>
            </w:pPr>
          </w:p>
        </w:tc>
      </w:tr>
      <w:tr w14:paraId="23F099F0">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D4DB5C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12</w:t>
            </w:r>
          </w:p>
        </w:tc>
        <w:tc>
          <w:tcPr>
            <w:tcW w:w="2959" w:type="dxa"/>
            <w:tcBorders>
              <w:top w:val="single" w:color="000000" w:sz="4" w:space="0"/>
              <w:left w:val="single" w:color="000000" w:sz="4" w:space="0"/>
              <w:bottom w:val="single" w:color="000000" w:sz="4" w:space="0"/>
              <w:right w:val="single" w:color="000000" w:sz="4" w:space="0"/>
            </w:tcBorders>
            <w:vAlign w:val="center"/>
          </w:tcPr>
          <w:p w14:paraId="19434E9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倒桶工工资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4629CEC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12</w:t>
            </w:r>
          </w:p>
        </w:tc>
        <w:tc>
          <w:tcPr>
            <w:tcW w:w="1825" w:type="dxa"/>
            <w:tcBorders>
              <w:top w:val="single" w:color="000000" w:sz="4" w:space="0"/>
              <w:left w:val="single" w:color="000000" w:sz="4" w:space="0"/>
              <w:bottom w:val="single" w:color="000000" w:sz="4" w:space="0"/>
              <w:right w:val="single" w:color="000000" w:sz="4" w:space="0"/>
            </w:tcBorders>
            <w:vAlign w:val="center"/>
          </w:tcPr>
          <w:p w14:paraId="4CEF0B7A">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099816F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AB60528">
            <w:pPr>
              <w:jc w:val="left"/>
              <w:rPr>
                <w:rFonts w:hint="eastAsia" w:ascii="仿宋" w:hAnsi="仿宋" w:eastAsia="仿宋" w:cs="仿宋"/>
                <w:color w:val="000000"/>
                <w:sz w:val="24"/>
                <w:szCs w:val="24"/>
                <w:highlight w:val="none"/>
              </w:rPr>
            </w:pPr>
          </w:p>
        </w:tc>
      </w:tr>
      <w:tr w14:paraId="7F1BA6ED">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604E4DD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13</w:t>
            </w:r>
          </w:p>
        </w:tc>
        <w:tc>
          <w:tcPr>
            <w:tcW w:w="2959" w:type="dxa"/>
            <w:tcBorders>
              <w:top w:val="single" w:color="000000" w:sz="4" w:space="0"/>
              <w:left w:val="single" w:color="000000" w:sz="4" w:space="0"/>
              <w:bottom w:val="single" w:color="000000" w:sz="4" w:space="0"/>
              <w:right w:val="single" w:color="000000" w:sz="4" w:space="0"/>
            </w:tcBorders>
            <w:vAlign w:val="center"/>
          </w:tcPr>
          <w:p w14:paraId="370C75F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片长工资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741738A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5</w:t>
            </w:r>
          </w:p>
        </w:tc>
        <w:tc>
          <w:tcPr>
            <w:tcW w:w="1825" w:type="dxa"/>
            <w:tcBorders>
              <w:top w:val="single" w:color="000000" w:sz="4" w:space="0"/>
              <w:left w:val="single" w:color="000000" w:sz="4" w:space="0"/>
              <w:bottom w:val="single" w:color="000000" w:sz="4" w:space="0"/>
              <w:right w:val="single" w:color="000000" w:sz="4" w:space="0"/>
            </w:tcBorders>
            <w:vAlign w:val="center"/>
          </w:tcPr>
          <w:p w14:paraId="39E6803E">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5AD2AF4D">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5F9C0293">
            <w:pPr>
              <w:jc w:val="left"/>
              <w:rPr>
                <w:rFonts w:hint="eastAsia" w:ascii="仿宋" w:hAnsi="仿宋" w:eastAsia="仿宋" w:cs="仿宋"/>
                <w:color w:val="000000"/>
                <w:sz w:val="24"/>
                <w:szCs w:val="24"/>
                <w:highlight w:val="none"/>
              </w:rPr>
            </w:pPr>
          </w:p>
        </w:tc>
      </w:tr>
      <w:tr w14:paraId="2775F150">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62DFD70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14</w:t>
            </w:r>
          </w:p>
        </w:tc>
        <w:tc>
          <w:tcPr>
            <w:tcW w:w="2959" w:type="dxa"/>
            <w:tcBorders>
              <w:top w:val="single" w:color="000000" w:sz="4" w:space="0"/>
              <w:left w:val="single" w:color="000000" w:sz="4" w:space="0"/>
              <w:bottom w:val="single" w:color="000000" w:sz="4" w:space="0"/>
              <w:right w:val="single" w:color="000000" w:sz="4" w:space="0"/>
            </w:tcBorders>
            <w:vAlign w:val="center"/>
          </w:tcPr>
          <w:p w14:paraId="4048BDA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管理人员工资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41A0532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3</w:t>
            </w:r>
          </w:p>
        </w:tc>
        <w:tc>
          <w:tcPr>
            <w:tcW w:w="1825" w:type="dxa"/>
            <w:tcBorders>
              <w:top w:val="single" w:color="000000" w:sz="4" w:space="0"/>
              <w:left w:val="single" w:color="000000" w:sz="4" w:space="0"/>
              <w:bottom w:val="single" w:color="000000" w:sz="4" w:space="0"/>
              <w:right w:val="single" w:color="000000" w:sz="4" w:space="0"/>
            </w:tcBorders>
            <w:vAlign w:val="center"/>
          </w:tcPr>
          <w:p w14:paraId="3EA40FA9">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36F99B37">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0C45823">
            <w:pPr>
              <w:jc w:val="left"/>
              <w:rPr>
                <w:rFonts w:hint="eastAsia" w:ascii="仿宋" w:hAnsi="仿宋" w:eastAsia="仿宋" w:cs="仿宋"/>
                <w:color w:val="000000"/>
                <w:sz w:val="24"/>
                <w:szCs w:val="24"/>
                <w:highlight w:val="none"/>
              </w:rPr>
            </w:pPr>
          </w:p>
        </w:tc>
      </w:tr>
      <w:tr w14:paraId="497EFE66">
        <w:tblPrEx>
          <w:tblCellMar>
            <w:top w:w="0" w:type="dxa"/>
            <w:left w:w="108" w:type="dxa"/>
            <w:bottom w:w="0" w:type="dxa"/>
            <w:right w:w="108" w:type="dxa"/>
          </w:tblCellMar>
        </w:tblPrEx>
        <w:trPr>
          <w:trHeight w:val="636"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72B73F2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15</w:t>
            </w:r>
          </w:p>
        </w:tc>
        <w:tc>
          <w:tcPr>
            <w:tcW w:w="2959" w:type="dxa"/>
            <w:tcBorders>
              <w:top w:val="single" w:color="000000" w:sz="4" w:space="0"/>
              <w:left w:val="single" w:color="000000" w:sz="4" w:space="0"/>
              <w:bottom w:val="single" w:color="000000" w:sz="4" w:space="0"/>
              <w:right w:val="single" w:color="000000" w:sz="4" w:space="0"/>
            </w:tcBorders>
            <w:vAlign w:val="center"/>
          </w:tcPr>
          <w:p w14:paraId="7AFFE5F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环境卫生管理中心站长工资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4625D9D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1825" w:type="dxa"/>
            <w:tcBorders>
              <w:top w:val="single" w:color="000000" w:sz="4" w:space="0"/>
              <w:left w:val="single" w:color="000000" w:sz="4" w:space="0"/>
              <w:bottom w:val="single" w:color="000000" w:sz="4" w:space="0"/>
              <w:right w:val="single" w:color="000000" w:sz="4" w:space="0"/>
            </w:tcBorders>
            <w:vAlign w:val="center"/>
          </w:tcPr>
          <w:p w14:paraId="352223D5">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79C57459">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70D6F99">
            <w:pPr>
              <w:jc w:val="left"/>
              <w:rPr>
                <w:rFonts w:hint="eastAsia" w:ascii="仿宋" w:hAnsi="仿宋" w:eastAsia="仿宋" w:cs="仿宋"/>
                <w:color w:val="000000"/>
                <w:sz w:val="24"/>
                <w:szCs w:val="24"/>
                <w:highlight w:val="none"/>
              </w:rPr>
            </w:pPr>
          </w:p>
        </w:tc>
      </w:tr>
      <w:tr w14:paraId="739E0B06">
        <w:tblPrEx>
          <w:tblCellMar>
            <w:top w:w="0" w:type="dxa"/>
            <w:left w:w="108" w:type="dxa"/>
            <w:bottom w:w="0" w:type="dxa"/>
            <w:right w:w="108" w:type="dxa"/>
          </w:tblCellMar>
        </w:tblPrEx>
        <w:trPr>
          <w:trHeight w:val="636"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7F26347">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16</w:t>
            </w:r>
          </w:p>
        </w:tc>
        <w:tc>
          <w:tcPr>
            <w:tcW w:w="2959" w:type="dxa"/>
            <w:tcBorders>
              <w:top w:val="single" w:color="000000" w:sz="4" w:space="0"/>
              <w:left w:val="single" w:color="000000" w:sz="4" w:space="0"/>
              <w:bottom w:val="single" w:color="000000" w:sz="4" w:space="0"/>
              <w:right w:val="single" w:color="000000" w:sz="4" w:space="0"/>
            </w:tcBorders>
            <w:vAlign w:val="center"/>
          </w:tcPr>
          <w:p w14:paraId="18D7549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环境卫生管理中心统计员工资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17D3F3E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w:t>
            </w:r>
          </w:p>
        </w:tc>
        <w:tc>
          <w:tcPr>
            <w:tcW w:w="1825" w:type="dxa"/>
            <w:tcBorders>
              <w:top w:val="single" w:color="000000" w:sz="4" w:space="0"/>
              <w:left w:val="single" w:color="000000" w:sz="4" w:space="0"/>
              <w:bottom w:val="single" w:color="000000" w:sz="4" w:space="0"/>
              <w:right w:val="single" w:color="000000" w:sz="4" w:space="0"/>
            </w:tcBorders>
            <w:vAlign w:val="center"/>
          </w:tcPr>
          <w:p w14:paraId="393FB0DE">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5B70FBFB">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187FA307">
            <w:pPr>
              <w:jc w:val="left"/>
              <w:rPr>
                <w:rFonts w:hint="eastAsia" w:ascii="仿宋" w:hAnsi="仿宋" w:eastAsia="仿宋" w:cs="仿宋"/>
                <w:color w:val="000000"/>
                <w:sz w:val="24"/>
                <w:szCs w:val="24"/>
                <w:highlight w:val="none"/>
              </w:rPr>
            </w:pPr>
          </w:p>
        </w:tc>
      </w:tr>
      <w:tr w14:paraId="765F9930">
        <w:tblPrEx>
          <w:tblCellMar>
            <w:top w:w="0" w:type="dxa"/>
            <w:left w:w="108" w:type="dxa"/>
            <w:bottom w:w="0" w:type="dxa"/>
            <w:right w:w="108" w:type="dxa"/>
          </w:tblCellMar>
        </w:tblPrEx>
        <w:trPr>
          <w:trHeight w:val="648"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1119C9F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17</w:t>
            </w:r>
          </w:p>
        </w:tc>
        <w:tc>
          <w:tcPr>
            <w:tcW w:w="2959" w:type="dxa"/>
            <w:tcBorders>
              <w:top w:val="single" w:color="000000" w:sz="4" w:space="0"/>
              <w:left w:val="single" w:color="000000" w:sz="4" w:space="0"/>
              <w:bottom w:val="single" w:color="000000" w:sz="4" w:space="0"/>
              <w:right w:val="single" w:color="000000" w:sz="4" w:space="0"/>
            </w:tcBorders>
            <w:vAlign w:val="center"/>
          </w:tcPr>
          <w:p w14:paraId="2565A1A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 xml:space="preserve">环境卫生管理中心操作工工资 </w:t>
            </w:r>
          </w:p>
        </w:tc>
        <w:tc>
          <w:tcPr>
            <w:tcW w:w="1066" w:type="dxa"/>
            <w:tcBorders>
              <w:top w:val="single" w:color="000000" w:sz="4" w:space="0"/>
              <w:left w:val="single" w:color="000000" w:sz="4" w:space="0"/>
              <w:bottom w:val="single" w:color="000000" w:sz="4" w:space="0"/>
              <w:right w:val="single" w:color="000000" w:sz="4" w:space="0"/>
            </w:tcBorders>
            <w:vAlign w:val="center"/>
          </w:tcPr>
          <w:p w14:paraId="46F87CB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w:t>
            </w:r>
          </w:p>
        </w:tc>
        <w:tc>
          <w:tcPr>
            <w:tcW w:w="1825" w:type="dxa"/>
            <w:tcBorders>
              <w:top w:val="single" w:color="000000" w:sz="4" w:space="0"/>
              <w:left w:val="single" w:color="000000" w:sz="4" w:space="0"/>
              <w:bottom w:val="single" w:color="000000" w:sz="4" w:space="0"/>
              <w:right w:val="single" w:color="000000" w:sz="4" w:space="0"/>
            </w:tcBorders>
            <w:vAlign w:val="center"/>
          </w:tcPr>
          <w:p w14:paraId="45D50631">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185B68DC">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05D27859">
            <w:pPr>
              <w:jc w:val="left"/>
              <w:rPr>
                <w:rFonts w:hint="eastAsia" w:ascii="仿宋" w:hAnsi="仿宋" w:eastAsia="仿宋" w:cs="仿宋"/>
                <w:color w:val="000000"/>
                <w:sz w:val="24"/>
                <w:szCs w:val="24"/>
                <w:highlight w:val="none"/>
              </w:rPr>
            </w:pPr>
          </w:p>
        </w:tc>
      </w:tr>
      <w:tr w14:paraId="1FD95307">
        <w:tblPrEx>
          <w:tblCellMar>
            <w:top w:w="0" w:type="dxa"/>
            <w:left w:w="108" w:type="dxa"/>
            <w:bottom w:w="0" w:type="dxa"/>
            <w:right w:w="108" w:type="dxa"/>
          </w:tblCellMar>
        </w:tblPrEx>
        <w:trPr>
          <w:trHeight w:val="612"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4C84C2B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18</w:t>
            </w:r>
          </w:p>
        </w:tc>
        <w:tc>
          <w:tcPr>
            <w:tcW w:w="2959" w:type="dxa"/>
            <w:tcBorders>
              <w:top w:val="single" w:color="000000" w:sz="4" w:space="0"/>
              <w:left w:val="single" w:color="000000" w:sz="4" w:space="0"/>
              <w:bottom w:val="single" w:color="000000" w:sz="4" w:space="0"/>
              <w:right w:val="single" w:color="000000" w:sz="4" w:space="0"/>
            </w:tcBorders>
            <w:vAlign w:val="center"/>
          </w:tcPr>
          <w:p w14:paraId="1C2FDA0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环境卫生管理中心辅助工工资</w:t>
            </w:r>
          </w:p>
        </w:tc>
        <w:tc>
          <w:tcPr>
            <w:tcW w:w="1066" w:type="dxa"/>
            <w:tcBorders>
              <w:top w:val="single" w:color="000000" w:sz="4" w:space="0"/>
              <w:left w:val="single" w:color="000000" w:sz="4" w:space="0"/>
              <w:bottom w:val="single" w:color="000000" w:sz="4" w:space="0"/>
              <w:right w:val="single" w:color="000000" w:sz="4" w:space="0"/>
            </w:tcBorders>
            <w:vAlign w:val="center"/>
          </w:tcPr>
          <w:p w14:paraId="72CCF53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4</w:t>
            </w:r>
          </w:p>
        </w:tc>
        <w:tc>
          <w:tcPr>
            <w:tcW w:w="1825" w:type="dxa"/>
            <w:tcBorders>
              <w:top w:val="single" w:color="000000" w:sz="4" w:space="0"/>
              <w:left w:val="single" w:color="000000" w:sz="4" w:space="0"/>
              <w:bottom w:val="single" w:color="000000" w:sz="4" w:space="0"/>
              <w:right w:val="single" w:color="000000" w:sz="4" w:space="0"/>
            </w:tcBorders>
            <w:vAlign w:val="center"/>
          </w:tcPr>
          <w:p w14:paraId="3BE75C27">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35C707AE">
            <w:pPr>
              <w:jc w:val="center"/>
              <w:rPr>
                <w:rFonts w:hint="eastAsia" w:ascii="仿宋" w:hAnsi="仿宋" w:eastAsia="仿宋" w:cs="仿宋"/>
                <w:color w:val="000000"/>
                <w:sz w:val="24"/>
                <w:szCs w:val="24"/>
                <w:highlight w:val="none"/>
              </w:rPr>
            </w:pPr>
          </w:p>
        </w:tc>
        <w:tc>
          <w:tcPr>
            <w:tcW w:w="2089" w:type="dxa"/>
            <w:vMerge w:val="continue"/>
            <w:tcBorders>
              <w:top w:val="single" w:color="000000" w:sz="4" w:space="0"/>
              <w:left w:val="single" w:color="000000" w:sz="4" w:space="0"/>
              <w:bottom w:val="single" w:color="000000" w:sz="4" w:space="0"/>
              <w:right w:val="single" w:color="000000" w:sz="4" w:space="0"/>
            </w:tcBorders>
            <w:vAlign w:val="center"/>
          </w:tcPr>
          <w:p w14:paraId="2F7E6AF0">
            <w:pPr>
              <w:jc w:val="left"/>
              <w:rPr>
                <w:rFonts w:hint="eastAsia" w:ascii="仿宋" w:hAnsi="仿宋" w:eastAsia="仿宋" w:cs="仿宋"/>
                <w:color w:val="000000"/>
                <w:sz w:val="24"/>
                <w:szCs w:val="24"/>
                <w:highlight w:val="none"/>
              </w:rPr>
            </w:pPr>
          </w:p>
        </w:tc>
      </w:tr>
      <w:tr w14:paraId="323D3980">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6F53053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19</w:t>
            </w:r>
          </w:p>
        </w:tc>
        <w:tc>
          <w:tcPr>
            <w:tcW w:w="2959" w:type="dxa"/>
            <w:tcBorders>
              <w:top w:val="single" w:color="000000" w:sz="4" w:space="0"/>
              <w:left w:val="single" w:color="000000" w:sz="4" w:space="0"/>
              <w:bottom w:val="single" w:color="000000" w:sz="4" w:space="0"/>
              <w:right w:val="single" w:color="000000" w:sz="4" w:space="0"/>
            </w:tcBorders>
            <w:vAlign w:val="center"/>
          </w:tcPr>
          <w:p w14:paraId="5EFBE85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职工保险</w:t>
            </w:r>
          </w:p>
        </w:tc>
        <w:tc>
          <w:tcPr>
            <w:tcW w:w="1066" w:type="dxa"/>
            <w:tcBorders>
              <w:top w:val="single" w:color="000000" w:sz="4" w:space="0"/>
              <w:left w:val="single" w:color="000000" w:sz="4" w:space="0"/>
              <w:bottom w:val="single" w:color="000000" w:sz="4" w:space="0"/>
              <w:right w:val="single" w:color="000000" w:sz="4" w:space="0"/>
            </w:tcBorders>
            <w:vAlign w:val="center"/>
          </w:tcPr>
          <w:p w14:paraId="010E52D1">
            <w:pPr>
              <w:jc w:val="center"/>
              <w:rPr>
                <w:rFonts w:hint="eastAsia" w:ascii="仿宋" w:hAnsi="仿宋" w:eastAsia="仿宋" w:cs="仿宋"/>
                <w:color w:val="000000"/>
                <w:sz w:val="24"/>
                <w:szCs w:val="24"/>
                <w:highlight w:val="none"/>
              </w:rPr>
            </w:pPr>
          </w:p>
        </w:tc>
        <w:tc>
          <w:tcPr>
            <w:tcW w:w="1825" w:type="dxa"/>
            <w:tcBorders>
              <w:top w:val="single" w:color="000000" w:sz="4" w:space="0"/>
              <w:left w:val="single" w:color="000000" w:sz="4" w:space="0"/>
              <w:bottom w:val="single" w:color="auto" w:sz="4" w:space="0"/>
              <w:right w:val="single" w:color="000000" w:sz="4" w:space="0"/>
            </w:tcBorders>
            <w:vAlign w:val="center"/>
          </w:tcPr>
          <w:p w14:paraId="1D8BC849">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auto" w:sz="4" w:space="0"/>
              <w:right w:val="single" w:color="000000" w:sz="4" w:space="0"/>
            </w:tcBorders>
            <w:vAlign w:val="center"/>
          </w:tcPr>
          <w:p w14:paraId="168F6061">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auto" w:sz="4" w:space="0"/>
              <w:right w:val="single" w:color="000000" w:sz="4" w:space="0"/>
            </w:tcBorders>
            <w:vAlign w:val="center"/>
          </w:tcPr>
          <w:p w14:paraId="15712FA3">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此项人员合计,数量由投标供应商自行填入</w:t>
            </w:r>
          </w:p>
        </w:tc>
      </w:tr>
      <w:tr w14:paraId="109926AC">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71D3A4F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20</w:t>
            </w:r>
          </w:p>
        </w:tc>
        <w:tc>
          <w:tcPr>
            <w:tcW w:w="2959" w:type="dxa"/>
            <w:tcBorders>
              <w:top w:val="single" w:color="000000" w:sz="4" w:space="0"/>
              <w:left w:val="single" w:color="000000" w:sz="4" w:space="0"/>
              <w:bottom w:val="single" w:color="000000" w:sz="4" w:space="0"/>
              <w:right w:val="single" w:color="000000" w:sz="4" w:space="0"/>
            </w:tcBorders>
            <w:vAlign w:val="center"/>
          </w:tcPr>
          <w:p w14:paraId="5F6BDE5F">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意外伤害险</w:t>
            </w:r>
          </w:p>
        </w:tc>
        <w:tc>
          <w:tcPr>
            <w:tcW w:w="1066" w:type="dxa"/>
            <w:tcBorders>
              <w:top w:val="single" w:color="000000" w:sz="4" w:space="0"/>
              <w:left w:val="single" w:color="000000" w:sz="4" w:space="0"/>
              <w:bottom w:val="single" w:color="000000" w:sz="4" w:space="0"/>
              <w:right w:val="single" w:color="000000" w:sz="4" w:space="0"/>
            </w:tcBorders>
            <w:vAlign w:val="center"/>
          </w:tcPr>
          <w:p w14:paraId="483ECDE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215</w:t>
            </w:r>
          </w:p>
        </w:tc>
        <w:tc>
          <w:tcPr>
            <w:tcW w:w="1825" w:type="dxa"/>
            <w:tcBorders>
              <w:top w:val="single" w:color="auto" w:sz="4" w:space="0"/>
              <w:left w:val="single" w:color="000000" w:sz="4" w:space="0"/>
              <w:bottom w:val="single" w:color="auto" w:sz="4" w:space="0"/>
              <w:right w:val="single" w:color="000000" w:sz="4" w:space="0"/>
            </w:tcBorders>
            <w:vAlign w:val="center"/>
          </w:tcPr>
          <w:p w14:paraId="2C6D3C1B">
            <w:pPr>
              <w:jc w:val="center"/>
              <w:rPr>
                <w:rFonts w:hint="eastAsia" w:ascii="仿宋" w:hAnsi="仿宋" w:eastAsia="仿宋" w:cs="仿宋"/>
                <w:color w:val="000000"/>
                <w:sz w:val="24"/>
                <w:szCs w:val="24"/>
                <w:highlight w:val="none"/>
              </w:rPr>
            </w:pPr>
          </w:p>
        </w:tc>
        <w:tc>
          <w:tcPr>
            <w:tcW w:w="1599" w:type="dxa"/>
            <w:tcBorders>
              <w:top w:val="single" w:color="auto" w:sz="4" w:space="0"/>
              <w:left w:val="single" w:color="000000" w:sz="4" w:space="0"/>
              <w:bottom w:val="single" w:color="auto" w:sz="4" w:space="0"/>
              <w:right w:val="single" w:color="000000" w:sz="4" w:space="0"/>
            </w:tcBorders>
            <w:vAlign w:val="center"/>
          </w:tcPr>
          <w:p w14:paraId="75A7ABF3">
            <w:pPr>
              <w:jc w:val="center"/>
              <w:rPr>
                <w:rFonts w:hint="eastAsia" w:ascii="仿宋" w:hAnsi="仿宋" w:eastAsia="仿宋" w:cs="仿宋"/>
                <w:color w:val="000000"/>
                <w:sz w:val="24"/>
                <w:szCs w:val="24"/>
                <w:highlight w:val="none"/>
              </w:rPr>
            </w:pPr>
          </w:p>
        </w:tc>
        <w:tc>
          <w:tcPr>
            <w:tcW w:w="2089" w:type="dxa"/>
            <w:vMerge w:val="restart"/>
            <w:tcBorders>
              <w:top w:val="single" w:color="auto" w:sz="4" w:space="0"/>
              <w:left w:val="single" w:color="000000" w:sz="4" w:space="0"/>
              <w:bottom w:val="single" w:color="auto" w:sz="4" w:space="0"/>
              <w:right w:val="single" w:color="000000" w:sz="4" w:space="0"/>
            </w:tcBorders>
            <w:vAlign w:val="center"/>
          </w:tcPr>
          <w:p w14:paraId="3C7C88C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78010842">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5E6D542C">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21</w:t>
            </w:r>
          </w:p>
        </w:tc>
        <w:tc>
          <w:tcPr>
            <w:tcW w:w="2959" w:type="dxa"/>
            <w:tcBorders>
              <w:top w:val="single" w:color="000000" w:sz="4" w:space="0"/>
              <w:left w:val="single" w:color="000000" w:sz="4" w:space="0"/>
              <w:bottom w:val="single" w:color="000000" w:sz="4" w:space="0"/>
              <w:right w:val="single" w:color="000000" w:sz="4" w:space="0"/>
            </w:tcBorders>
            <w:vAlign w:val="center"/>
          </w:tcPr>
          <w:p w14:paraId="234304F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福利费及高温补贴</w:t>
            </w:r>
          </w:p>
        </w:tc>
        <w:tc>
          <w:tcPr>
            <w:tcW w:w="1066" w:type="dxa"/>
            <w:tcBorders>
              <w:top w:val="single" w:color="000000" w:sz="4" w:space="0"/>
              <w:left w:val="single" w:color="000000" w:sz="4" w:space="0"/>
              <w:bottom w:val="single" w:color="000000" w:sz="4" w:space="0"/>
              <w:right w:val="single" w:color="000000" w:sz="4" w:space="0"/>
            </w:tcBorders>
            <w:vAlign w:val="center"/>
          </w:tcPr>
          <w:p w14:paraId="5D22173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215</w:t>
            </w:r>
          </w:p>
        </w:tc>
        <w:tc>
          <w:tcPr>
            <w:tcW w:w="1825" w:type="dxa"/>
            <w:tcBorders>
              <w:top w:val="single" w:color="auto" w:sz="4" w:space="0"/>
              <w:left w:val="single" w:color="000000" w:sz="4" w:space="0"/>
              <w:bottom w:val="single" w:color="000000" w:sz="4" w:space="0"/>
              <w:right w:val="single" w:color="000000" w:sz="4" w:space="0"/>
            </w:tcBorders>
            <w:vAlign w:val="center"/>
          </w:tcPr>
          <w:p w14:paraId="7FE0E474">
            <w:pPr>
              <w:jc w:val="center"/>
              <w:rPr>
                <w:rFonts w:hint="eastAsia" w:ascii="仿宋" w:hAnsi="仿宋" w:eastAsia="仿宋" w:cs="仿宋"/>
                <w:color w:val="000000"/>
                <w:sz w:val="24"/>
                <w:szCs w:val="24"/>
                <w:highlight w:val="none"/>
              </w:rPr>
            </w:pPr>
          </w:p>
        </w:tc>
        <w:tc>
          <w:tcPr>
            <w:tcW w:w="1599" w:type="dxa"/>
            <w:tcBorders>
              <w:top w:val="single" w:color="auto" w:sz="4" w:space="0"/>
              <w:left w:val="single" w:color="000000" w:sz="4" w:space="0"/>
              <w:bottom w:val="single" w:color="000000" w:sz="4" w:space="0"/>
              <w:right w:val="single" w:color="000000" w:sz="4" w:space="0"/>
            </w:tcBorders>
            <w:vAlign w:val="center"/>
          </w:tcPr>
          <w:p w14:paraId="71A929AD">
            <w:pPr>
              <w:jc w:val="center"/>
              <w:rPr>
                <w:rFonts w:hint="eastAsia" w:ascii="仿宋" w:hAnsi="仿宋" w:eastAsia="仿宋" w:cs="仿宋"/>
                <w:color w:val="000000"/>
                <w:sz w:val="24"/>
                <w:szCs w:val="24"/>
                <w:highlight w:val="none"/>
              </w:rPr>
            </w:pPr>
          </w:p>
        </w:tc>
        <w:tc>
          <w:tcPr>
            <w:tcW w:w="2089" w:type="dxa"/>
            <w:vMerge w:val="continue"/>
            <w:tcBorders>
              <w:top w:val="single" w:color="auto" w:sz="4" w:space="0"/>
              <w:left w:val="single" w:color="000000" w:sz="4" w:space="0"/>
              <w:bottom w:val="single" w:color="000000" w:sz="4" w:space="0"/>
              <w:right w:val="single" w:color="000000" w:sz="4" w:space="0"/>
            </w:tcBorders>
            <w:vAlign w:val="center"/>
          </w:tcPr>
          <w:p w14:paraId="01B0D5A7">
            <w:pPr>
              <w:jc w:val="left"/>
              <w:rPr>
                <w:rFonts w:hint="eastAsia" w:ascii="仿宋" w:hAnsi="仿宋" w:eastAsia="仿宋" w:cs="仿宋"/>
                <w:color w:val="000000"/>
                <w:sz w:val="24"/>
                <w:szCs w:val="24"/>
                <w:highlight w:val="none"/>
              </w:rPr>
            </w:pPr>
          </w:p>
        </w:tc>
      </w:tr>
      <w:tr w14:paraId="20AAC03F">
        <w:tblPrEx>
          <w:tblCellMar>
            <w:top w:w="0" w:type="dxa"/>
            <w:left w:w="108" w:type="dxa"/>
            <w:bottom w:w="0" w:type="dxa"/>
            <w:right w:w="108" w:type="dxa"/>
          </w:tblCellMar>
        </w:tblPrEx>
        <w:trPr>
          <w:trHeight w:val="720" w:hRule="atLeast"/>
          <w:jc w:val="center"/>
        </w:trPr>
        <w:tc>
          <w:tcPr>
            <w:tcW w:w="6743" w:type="dxa"/>
            <w:gridSpan w:val="4"/>
            <w:tcBorders>
              <w:top w:val="single" w:color="000000" w:sz="4" w:space="0"/>
              <w:left w:val="single" w:color="000000" w:sz="4" w:space="0"/>
              <w:bottom w:val="single" w:color="000000" w:sz="4" w:space="0"/>
              <w:right w:val="single" w:color="000000" w:sz="4" w:space="0"/>
            </w:tcBorders>
            <w:vAlign w:val="center"/>
          </w:tcPr>
          <w:p w14:paraId="5AA6CCB4">
            <w:pPr>
              <w:widowControl/>
              <w:jc w:val="center"/>
              <w:textAlignment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lang w:bidi="ar"/>
              </w:rPr>
              <w:t>人员经费合计（元）=以上1-21项小计之和</w:t>
            </w:r>
          </w:p>
        </w:tc>
        <w:tc>
          <w:tcPr>
            <w:tcW w:w="1599" w:type="dxa"/>
            <w:tcBorders>
              <w:top w:val="single" w:color="000000" w:sz="4" w:space="0"/>
              <w:left w:val="single" w:color="000000" w:sz="4" w:space="0"/>
              <w:bottom w:val="single" w:color="000000" w:sz="4" w:space="0"/>
              <w:right w:val="single" w:color="000000" w:sz="4" w:space="0"/>
            </w:tcBorders>
            <w:vAlign w:val="center"/>
          </w:tcPr>
          <w:p w14:paraId="4C08088E">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6B3D106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2E1AE554">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519DE45D">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22</w:t>
            </w:r>
          </w:p>
        </w:tc>
        <w:tc>
          <w:tcPr>
            <w:tcW w:w="2959" w:type="dxa"/>
            <w:tcBorders>
              <w:top w:val="single" w:color="000000" w:sz="4" w:space="0"/>
              <w:left w:val="single" w:color="000000" w:sz="4" w:space="0"/>
              <w:bottom w:val="single" w:color="000000" w:sz="4" w:space="0"/>
              <w:right w:val="single" w:color="000000" w:sz="4" w:space="0"/>
            </w:tcBorders>
            <w:vAlign w:val="center"/>
          </w:tcPr>
          <w:p w14:paraId="314E9575">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保洁人员工具费</w:t>
            </w:r>
          </w:p>
        </w:tc>
        <w:tc>
          <w:tcPr>
            <w:tcW w:w="1066" w:type="dxa"/>
            <w:tcBorders>
              <w:top w:val="single" w:color="000000" w:sz="4" w:space="0"/>
              <w:left w:val="single" w:color="000000" w:sz="4" w:space="0"/>
              <w:bottom w:val="single" w:color="000000" w:sz="4" w:space="0"/>
              <w:right w:val="single" w:color="000000" w:sz="4" w:space="0"/>
            </w:tcBorders>
            <w:vAlign w:val="center"/>
          </w:tcPr>
          <w:p w14:paraId="2EC882E5">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5D52596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3B3D29A0">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472AB1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51FE6F3D">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58DC9C0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23</w:t>
            </w:r>
          </w:p>
        </w:tc>
        <w:tc>
          <w:tcPr>
            <w:tcW w:w="2959" w:type="dxa"/>
            <w:tcBorders>
              <w:top w:val="single" w:color="000000" w:sz="4" w:space="0"/>
              <w:left w:val="single" w:color="000000" w:sz="4" w:space="0"/>
              <w:bottom w:val="single" w:color="000000" w:sz="4" w:space="0"/>
              <w:right w:val="single" w:color="000000" w:sz="4" w:space="0"/>
            </w:tcBorders>
            <w:vAlign w:val="center"/>
          </w:tcPr>
          <w:p w14:paraId="225ADAE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办公经费</w:t>
            </w:r>
          </w:p>
        </w:tc>
        <w:tc>
          <w:tcPr>
            <w:tcW w:w="1066" w:type="dxa"/>
            <w:tcBorders>
              <w:top w:val="single" w:color="000000" w:sz="4" w:space="0"/>
              <w:left w:val="single" w:color="000000" w:sz="4" w:space="0"/>
              <w:bottom w:val="single" w:color="000000" w:sz="4" w:space="0"/>
              <w:right w:val="single" w:color="000000" w:sz="4" w:space="0"/>
            </w:tcBorders>
            <w:vAlign w:val="center"/>
          </w:tcPr>
          <w:p w14:paraId="128D0E17">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48623BFB">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7BA3EBCA">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A999BE4">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2EA76323">
        <w:tblPrEx>
          <w:tblCellMar>
            <w:top w:w="0" w:type="dxa"/>
            <w:left w:w="108" w:type="dxa"/>
            <w:bottom w:w="0" w:type="dxa"/>
            <w:right w:w="108" w:type="dxa"/>
          </w:tblCellMar>
        </w:tblPrEx>
        <w:trPr>
          <w:trHeight w:val="636"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8FE6934">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24</w:t>
            </w:r>
          </w:p>
        </w:tc>
        <w:tc>
          <w:tcPr>
            <w:tcW w:w="2959" w:type="dxa"/>
            <w:tcBorders>
              <w:top w:val="single" w:color="000000" w:sz="4" w:space="0"/>
              <w:left w:val="single" w:color="000000" w:sz="4" w:space="0"/>
              <w:bottom w:val="single" w:color="000000" w:sz="4" w:space="0"/>
              <w:right w:val="single" w:color="000000" w:sz="4" w:space="0"/>
            </w:tcBorders>
            <w:vAlign w:val="center"/>
          </w:tcPr>
          <w:p w14:paraId="4316B4E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环境卫生管理中心伙食费、值班费</w:t>
            </w:r>
          </w:p>
        </w:tc>
        <w:tc>
          <w:tcPr>
            <w:tcW w:w="1066" w:type="dxa"/>
            <w:tcBorders>
              <w:top w:val="single" w:color="000000" w:sz="4" w:space="0"/>
              <w:left w:val="single" w:color="000000" w:sz="4" w:space="0"/>
              <w:bottom w:val="single" w:color="000000" w:sz="4" w:space="0"/>
              <w:right w:val="single" w:color="000000" w:sz="4" w:space="0"/>
            </w:tcBorders>
            <w:vAlign w:val="center"/>
          </w:tcPr>
          <w:p w14:paraId="5926C08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3EB60218">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677B2BE2">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7B4F5CC8">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4162CE39">
        <w:tblPrEx>
          <w:tblCellMar>
            <w:top w:w="0" w:type="dxa"/>
            <w:left w:w="108" w:type="dxa"/>
            <w:bottom w:w="0" w:type="dxa"/>
            <w:right w:w="108" w:type="dxa"/>
          </w:tblCellMar>
        </w:tblPrEx>
        <w:trPr>
          <w:trHeight w:val="732"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66930091">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25</w:t>
            </w:r>
          </w:p>
        </w:tc>
        <w:tc>
          <w:tcPr>
            <w:tcW w:w="2959" w:type="dxa"/>
            <w:tcBorders>
              <w:top w:val="single" w:color="000000" w:sz="4" w:space="0"/>
              <w:left w:val="single" w:color="000000" w:sz="4" w:space="0"/>
              <w:bottom w:val="single" w:color="000000" w:sz="4" w:space="0"/>
              <w:right w:val="single" w:color="000000" w:sz="4" w:space="0"/>
            </w:tcBorders>
            <w:vAlign w:val="center"/>
          </w:tcPr>
          <w:p w14:paraId="3089A62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车辆、船、设备投入分摊（含财务成本）</w:t>
            </w:r>
          </w:p>
        </w:tc>
        <w:tc>
          <w:tcPr>
            <w:tcW w:w="1066" w:type="dxa"/>
            <w:tcBorders>
              <w:top w:val="single" w:color="000000" w:sz="4" w:space="0"/>
              <w:left w:val="single" w:color="000000" w:sz="4" w:space="0"/>
              <w:bottom w:val="single" w:color="000000" w:sz="4" w:space="0"/>
              <w:right w:val="single" w:color="000000" w:sz="4" w:space="0"/>
            </w:tcBorders>
            <w:vAlign w:val="center"/>
          </w:tcPr>
          <w:p w14:paraId="2BB6DF3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219ED0D3">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64BDE1D4">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638D5E2D">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36D524E3">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068E2D7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26</w:t>
            </w:r>
          </w:p>
        </w:tc>
        <w:tc>
          <w:tcPr>
            <w:tcW w:w="2959" w:type="dxa"/>
            <w:tcBorders>
              <w:top w:val="single" w:color="000000" w:sz="4" w:space="0"/>
              <w:left w:val="single" w:color="000000" w:sz="4" w:space="0"/>
              <w:bottom w:val="single" w:color="000000" w:sz="4" w:space="0"/>
              <w:right w:val="single" w:color="000000" w:sz="4" w:space="0"/>
            </w:tcBorders>
            <w:vAlign w:val="center"/>
          </w:tcPr>
          <w:p w14:paraId="1771D52B">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车辆维护（修)费</w:t>
            </w:r>
          </w:p>
        </w:tc>
        <w:tc>
          <w:tcPr>
            <w:tcW w:w="1066" w:type="dxa"/>
            <w:tcBorders>
              <w:top w:val="single" w:color="000000" w:sz="4" w:space="0"/>
              <w:left w:val="single" w:color="000000" w:sz="4" w:space="0"/>
              <w:bottom w:val="single" w:color="000000" w:sz="4" w:space="0"/>
              <w:right w:val="single" w:color="000000" w:sz="4" w:space="0"/>
            </w:tcBorders>
            <w:vAlign w:val="center"/>
          </w:tcPr>
          <w:p w14:paraId="050B7DE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24EAECDA">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638D356B">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B473BFD">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05C2A063">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29F4F959">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27</w:t>
            </w:r>
          </w:p>
        </w:tc>
        <w:tc>
          <w:tcPr>
            <w:tcW w:w="2959" w:type="dxa"/>
            <w:tcBorders>
              <w:top w:val="single" w:color="000000" w:sz="4" w:space="0"/>
              <w:left w:val="single" w:color="000000" w:sz="4" w:space="0"/>
              <w:bottom w:val="single" w:color="000000" w:sz="4" w:space="0"/>
              <w:right w:val="single" w:color="000000" w:sz="4" w:space="0"/>
            </w:tcBorders>
            <w:vAlign w:val="center"/>
          </w:tcPr>
          <w:p w14:paraId="360E9FDA">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车辆油费（含割草机）</w:t>
            </w:r>
          </w:p>
        </w:tc>
        <w:tc>
          <w:tcPr>
            <w:tcW w:w="1066" w:type="dxa"/>
            <w:tcBorders>
              <w:top w:val="single" w:color="000000" w:sz="4" w:space="0"/>
              <w:left w:val="single" w:color="000000" w:sz="4" w:space="0"/>
              <w:bottom w:val="single" w:color="000000" w:sz="4" w:space="0"/>
              <w:right w:val="single" w:color="000000" w:sz="4" w:space="0"/>
            </w:tcBorders>
            <w:vAlign w:val="center"/>
          </w:tcPr>
          <w:p w14:paraId="6A1743D6">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19925A30">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1E9A9711">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2BA2206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19456569">
        <w:tblPrEx>
          <w:tblCellMar>
            <w:top w:w="0" w:type="dxa"/>
            <w:left w:w="108" w:type="dxa"/>
            <w:bottom w:w="0" w:type="dxa"/>
            <w:right w:w="108" w:type="dxa"/>
          </w:tblCellMar>
        </w:tblPrEx>
        <w:trPr>
          <w:trHeight w:val="684" w:hRule="atLeast"/>
          <w:jc w:val="center"/>
        </w:trPr>
        <w:tc>
          <w:tcPr>
            <w:tcW w:w="6743" w:type="dxa"/>
            <w:gridSpan w:val="4"/>
            <w:tcBorders>
              <w:top w:val="single" w:color="000000" w:sz="4" w:space="0"/>
              <w:left w:val="single" w:color="000000" w:sz="4" w:space="0"/>
              <w:bottom w:val="single" w:color="000000" w:sz="4" w:space="0"/>
              <w:right w:val="single" w:color="000000" w:sz="4" w:space="0"/>
            </w:tcBorders>
            <w:vAlign w:val="center"/>
          </w:tcPr>
          <w:p w14:paraId="168F9E94">
            <w:pPr>
              <w:widowControl/>
              <w:jc w:val="center"/>
              <w:textAlignment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lang w:bidi="ar"/>
              </w:rPr>
              <w:t>辅材经费合计（元）=以上22-27项小计之和</w:t>
            </w:r>
          </w:p>
        </w:tc>
        <w:tc>
          <w:tcPr>
            <w:tcW w:w="1599" w:type="dxa"/>
            <w:tcBorders>
              <w:top w:val="single" w:color="000000" w:sz="4" w:space="0"/>
              <w:left w:val="single" w:color="000000" w:sz="4" w:space="0"/>
              <w:bottom w:val="single" w:color="000000" w:sz="4" w:space="0"/>
              <w:right w:val="single" w:color="000000" w:sz="4" w:space="0"/>
            </w:tcBorders>
            <w:vAlign w:val="center"/>
          </w:tcPr>
          <w:p w14:paraId="1EC3587A">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47260973">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17AF0D30">
        <w:tblPrEx>
          <w:tblCellMar>
            <w:top w:w="0" w:type="dxa"/>
            <w:left w:w="108" w:type="dxa"/>
            <w:bottom w:w="0" w:type="dxa"/>
            <w:right w:w="108" w:type="dxa"/>
          </w:tblCellMar>
        </w:tblPrEx>
        <w:trPr>
          <w:trHeight w:val="1248" w:hRule="atLeast"/>
          <w:jc w:val="center"/>
        </w:trPr>
        <w:tc>
          <w:tcPr>
            <w:tcW w:w="893" w:type="dxa"/>
            <w:tcBorders>
              <w:top w:val="single" w:color="000000" w:sz="4" w:space="0"/>
              <w:left w:val="single" w:color="000000" w:sz="4" w:space="0"/>
              <w:bottom w:val="single" w:color="000000" w:sz="4" w:space="0"/>
              <w:right w:val="nil"/>
            </w:tcBorders>
            <w:vAlign w:val="center"/>
          </w:tcPr>
          <w:p w14:paraId="16501E73">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28</w:t>
            </w:r>
          </w:p>
        </w:tc>
        <w:tc>
          <w:tcPr>
            <w:tcW w:w="0" w:type="auto"/>
            <w:tcBorders>
              <w:top w:val="single" w:color="000000" w:sz="4" w:space="0"/>
              <w:left w:val="single" w:color="000000" w:sz="4" w:space="0"/>
              <w:bottom w:val="single" w:color="000000" w:sz="4" w:space="0"/>
              <w:right w:val="single" w:color="000000" w:sz="4" w:space="0"/>
            </w:tcBorders>
            <w:noWrap/>
            <w:vAlign w:val="center"/>
          </w:tcPr>
          <w:p w14:paraId="1AACE93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两分类垃圾小桶</w:t>
            </w:r>
          </w:p>
        </w:tc>
        <w:tc>
          <w:tcPr>
            <w:tcW w:w="1066" w:type="dxa"/>
            <w:tcBorders>
              <w:top w:val="single" w:color="000000" w:sz="4" w:space="0"/>
              <w:left w:val="single" w:color="000000" w:sz="4" w:space="0"/>
              <w:bottom w:val="single" w:color="000000" w:sz="4" w:space="0"/>
              <w:right w:val="single" w:color="000000" w:sz="4" w:space="0"/>
            </w:tcBorders>
            <w:vAlign w:val="center"/>
          </w:tcPr>
          <w:p w14:paraId="767A8DE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28000组</w:t>
            </w:r>
          </w:p>
        </w:tc>
        <w:tc>
          <w:tcPr>
            <w:tcW w:w="1825" w:type="dxa"/>
            <w:tcBorders>
              <w:top w:val="single" w:color="000000" w:sz="4" w:space="0"/>
              <w:left w:val="single" w:color="000000" w:sz="4" w:space="0"/>
              <w:bottom w:val="single" w:color="000000" w:sz="4" w:space="0"/>
              <w:right w:val="single" w:color="000000" w:sz="4" w:space="0"/>
            </w:tcBorders>
            <w:vAlign w:val="center"/>
          </w:tcPr>
          <w:p w14:paraId="56A200D3">
            <w:pPr>
              <w:jc w:val="center"/>
              <w:rPr>
                <w:rFonts w:hint="eastAsia" w:ascii="仿宋" w:hAnsi="仿宋" w:eastAsia="仿宋" w:cs="仿宋"/>
                <w:color w:val="000000"/>
                <w:sz w:val="24"/>
                <w:szCs w:val="24"/>
                <w:highlight w:val="none"/>
              </w:rPr>
            </w:pPr>
          </w:p>
        </w:tc>
        <w:tc>
          <w:tcPr>
            <w:tcW w:w="1599" w:type="dxa"/>
            <w:tcBorders>
              <w:top w:val="single" w:color="000000" w:sz="4" w:space="0"/>
              <w:left w:val="single" w:color="000000" w:sz="4" w:space="0"/>
              <w:bottom w:val="single" w:color="000000" w:sz="4" w:space="0"/>
              <w:right w:val="single" w:color="000000" w:sz="4" w:space="0"/>
            </w:tcBorders>
            <w:vAlign w:val="center"/>
          </w:tcPr>
          <w:p w14:paraId="200683E2">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34FE37CA">
            <w:pPr>
              <w:widowControl/>
              <w:jc w:val="left"/>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垃圾小桶总费用按三年分期摊销，本栏报价为一年摊销费用</w:t>
            </w:r>
          </w:p>
        </w:tc>
      </w:tr>
      <w:tr w14:paraId="13D602F2">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3199A4E2">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29</w:t>
            </w:r>
          </w:p>
        </w:tc>
        <w:tc>
          <w:tcPr>
            <w:tcW w:w="2959" w:type="dxa"/>
            <w:tcBorders>
              <w:top w:val="single" w:color="000000" w:sz="4" w:space="0"/>
              <w:left w:val="single" w:color="000000" w:sz="4" w:space="0"/>
              <w:bottom w:val="single" w:color="000000" w:sz="4" w:space="0"/>
              <w:right w:val="single" w:color="000000" w:sz="4" w:space="0"/>
            </w:tcBorders>
            <w:vAlign w:val="center"/>
          </w:tcPr>
          <w:p w14:paraId="6E573FA6">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其他费用</w:t>
            </w:r>
          </w:p>
        </w:tc>
        <w:tc>
          <w:tcPr>
            <w:tcW w:w="1066" w:type="dxa"/>
            <w:tcBorders>
              <w:top w:val="single" w:color="000000" w:sz="4" w:space="0"/>
              <w:left w:val="single" w:color="000000" w:sz="4" w:space="0"/>
              <w:bottom w:val="single" w:color="000000" w:sz="4" w:space="0"/>
              <w:right w:val="single" w:color="000000" w:sz="4" w:space="0"/>
            </w:tcBorders>
            <w:vAlign w:val="center"/>
          </w:tcPr>
          <w:p w14:paraId="2431C36F">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2423442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77FB5DCB">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014A20B9">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4D2B32BA">
        <w:tblPrEx>
          <w:tblCellMar>
            <w:top w:w="0" w:type="dxa"/>
            <w:left w:w="108" w:type="dxa"/>
            <w:bottom w:w="0" w:type="dxa"/>
            <w:right w:w="108" w:type="dxa"/>
          </w:tblCellMar>
        </w:tblPrEx>
        <w:trPr>
          <w:trHeight w:val="519" w:hRule="atLeast"/>
          <w:jc w:val="center"/>
        </w:trPr>
        <w:tc>
          <w:tcPr>
            <w:tcW w:w="893" w:type="dxa"/>
            <w:tcBorders>
              <w:top w:val="single" w:color="000000" w:sz="4" w:space="0"/>
              <w:left w:val="single" w:color="000000" w:sz="4" w:space="0"/>
              <w:bottom w:val="single" w:color="000000" w:sz="4" w:space="0"/>
              <w:right w:val="single" w:color="000000" w:sz="4" w:space="0"/>
            </w:tcBorders>
            <w:vAlign w:val="center"/>
          </w:tcPr>
          <w:p w14:paraId="143BB810">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30</w:t>
            </w:r>
          </w:p>
        </w:tc>
        <w:tc>
          <w:tcPr>
            <w:tcW w:w="2959" w:type="dxa"/>
            <w:tcBorders>
              <w:top w:val="single" w:color="000000" w:sz="4" w:space="0"/>
              <w:left w:val="single" w:color="000000" w:sz="4" w:space="0"/>
              <w:bottom w:val="single" w:color="000000" w:sz="4" w:space="0"/>
              <w:right w:val="single" w:color="000000" w:sz="4" w:space="0"/>
            </w:tcBorders>
            <w:vAlign w:val="center"/>
          </w:tcPr>
          <w:p w14:paraId="5210FAFE">
            <w:pPr>
              <w:widowControl/>
              <w:jc w:val="center"/>
              <w:textAlignment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lang w:bidi="ar"/>
              </w:rPr>
              <w:t>利税</w:t>
            </w:r>
          </w:p>
        </w:tc>
        <w:tc>
          <w:tcPr>
            <w:tcW w:w="1066" w:type="dxa"/>
            <w:tcBorders>
              <w:top w:val="single" w:color="000000" w:sz="4" w:space="0"/>
              <w:left w:val="single" w:color="000000" w:sz="4" w:space="0"/>
              <w:bottom w:val="single" w:color="000000" w:sz="4" w:space="0"/>
              <w:right w:val="single" w:color="000000" w:sz="4" w:space="0"/>
            </w:tcBorders>
            <w:vAlign w:val="center"/>
          </w:tcPr>
          <w:p w14:paraId="7079B4CE">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1项</w:t>
            </w:r>
          </w:p>
        </w:tc>
        <w:tc>
          <w:tcPr>
            <w:tcW w:w="1825" w:type="dxa"/>
            <w:tcBorders>
              <w:top w:val="single" w:color="000000" w:sz="4" w:space="0"/>
              <w:left w:val="single" w:color="000000" w:sz="4" w:space="0"/>
              <w:bottom w:val="single" w:color="000000" w:sz="4" w:space="0"/>
              <w:right w:val="single" w:color="000000" w:sz="4" w:space="0"/>
            </w:tcBorders>
            <w:vAlign w:val="center"/>
          </w:tcPr>
          <w:p w14:paraId="081A32C8">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c>
          <w:tcPr>
            <w:tcW w:w="1599" w:type="dxa"/>
            <w:tcBorders>
              <w:top w:val="single" w:color="000000" w:sz="4" w:space="0"/>
              <w:left w:val="single" w:color="000000" w:sz="4" w:space="0"/>
              <w:bottom w:val="single" w:color="000000" w:sz="4" w:space="0"/>
              <w:right w:val="single" w:color="000000" w:sz="4" w:space="0"/>
            </w:tcBorders>
            <w:vAlign w:val="center"/>
          </w:tcPr>
          <w:p w14:paraId="701AE484">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2BD8F31">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20E95DF6">
        <w:tblPrEx>
          <w:tblCellMar>
            <w:top w:w="0" w:type="dxa"/>
            <w:left w:w="108" w:type="dxa"/>
            <w:bottom w:w="0" w:type="dxa"/>
            <w:right w:w="108" w:type="dxa"/>
          </w:tblCellMar>
        </w:tblPrEx>
        <w:trPr>
          <w:trHeight w:val="732" w:hRule="atLeast"/>
          <w:jc w:val="center"/>
        </w:trPr>
        <w:tc>
          <w:tcPr>
            <w:tcW w:w="6743" w:type="dxa"/>
            <w:gridSpan w:val="4"/>
            <w:tcBorders>
              <w:top w:val="single" w:color="000000" w:sz="4" w:space="0"/>
              <w:left w:val="single" w:color="000000" w:sz="4" w:space="0"/>
              <w:bottom w:val="single" w:color="000000" w:sz="4" w:space="0"/>
              <w:right w:val="single" w:color="000000" w:sz="4" w:space="0"/>
            </w:tcBorders>
            <w:vAlign w:val="center"/>
          </w:tcPr>
          <w:p w14:paraId="0D45E0F1">
            <w:pPr>
              <w:widowControl/>
              <w:jc w:val="center"/>
              <w:textAlignment w:val="center"/>
              <w:rPr>
                <w:rFonts w:hint="eastAsia" w:ascii="仿宋" w:hAnsi="仿宋" w:eastAsia="仿宋" w:cs="仿宋"/>
                <w:color w:val="FF0000"/>
                <w:sz w:val="24"/>
                <w:szCs w:val="24"/>
                <w:highlight w:val="none"/>
              </w:rPr>
            </w:pPr>
            <w:r>
              <w:rPr>
                <w:rFonts w:hint="eastAsia" w:ascii="仿宋" w:hAnsi="仿宋" w:eastAsia="仿宋" w:cs="仿宋"/>
                <w:color w:val="FF0000"/>
                <w:sz w:val="24"/>
                <w:szCs w:val="24"/>
                <w:highlight w:val="none"/>
                <w:lang w:bidi="ar"/>
              </w:rPr>
              <w:t>一年全费用总价（元）=人员经费合计+辅材经费合计+两分类垃圾小桶+其他费用+利税</w:t>
            </w:r>
          </w:p>
        </w:tc>
        <w:tc>
          <w:tcPr>
            <w:tcW w:w="1599" w:type="dxa"/>
            <w:tcBorders>
              <w:top w:val="single" w:color="000000" w:sz="4" w:space="0"/>
              <w:left w:val="single" w:color="000000" w:sz="4" w:space="0"/>
              <w:bottom w:val="single" w:color="000000" w:sz="4" w:space="0"/>
              <w:right w:val="single" w:color="000000" w:sz="4" w:space="0"/>
            </w:tcBorders>
            <w:vAlign w:val="center"/>
          </w:tcPr>
          <w:p w14:paraId="4CD32915">
            <w:pPr>
              <w:jc w:val="center"/>
              <w:rPr>
                <w:rFonts w:hint="eastAsia" w:ascii="仿宋" w:hAnsi="仿宋" w:eastAsia="仿宋" w:cs="仿宋"/>
                <w:color w:val="000000"/>
                <w:sz w:val="24"/>
                <w:szCs w:val="24"/>
                <w:highlight w:val="none"/>
              </w:rPr>
            </w:pPr>
          </w:p>
        </w:tc>
        <w:tc>
          <w:tcPr>
            <w:tcW w:w="2089" w:type="dxa"/>
            <w:tcBorders>
              <w:top w:val="single" w:color="000000" w:sz="4" w:space="0"/>
              <w:left w:val="single" w:color="000000" w:sz="4" w:space="0"/>
              <w:bottom w:val="single" w:color="000000" w:sz="4" w:space="0"/>
              <w:right w:val="single" w:color="000000" w:sz="4" w:space="0"/>
            </w:tcBorders>
            <w:vAlign w:val="center"/>
          </w:tcPr>
          <w:p w14:paraId="5BDBF8EC">
            <w:pPr>
              <w:jc w:val="center"/>
              <w:rPr>
                <w:rFonts w:hint="eastAsia" w:ascii="仿宋" w:hAnsi="仿宋" w:eastAsia="仿宋" w:cs="仿宋"/>
                <w:color w:val="000000"/>
                <w:sz w:val="24"/>
                <w:szCs w:val="24"/>
                <w:highlight w:val="none"/>
              </w:rPr>
            </w:pPr>
            <w:r>
              <w:rPr>
                <w:rFonts w:hint="eastAsia" w:ascii="仿宋" w:hAnsi="仿宋" w:eastAsia="仿宋" w:cs="仿宋"/>
                <w:color w:val="000000"/>
                <w:sz w:val="24"/>
                <w:szCs w:val="24"/>
                <w:highlight w:val="none"/>
              </w:rPr>
              <w:t>/</w:t>
            </w:r>
          </w:p>
        </w:tc>
      </w:tr>
      <w:tr w14:paraId="344BC867">
        <w:tblPrEx>
          <w:tblCellMar>
            <w:top w:w="0" w:type="dxa"/>
            <w:left w:w="108" w:type="dxa"/>
            <w:bottom w:w="0" w:type="dxa"/>
            <w:right w:w="108" w:type="dxa"/>
          </w:tblCellMar>
        </w:tblPrEx>
        <w:trPr>
          <w:trHeight w:val="732" w:hRule="atLeast"/>
          <w:jc w:val="center"/>
        </w:trPr>
        <w:tc>
          <w:tcPr>
            <w:tcW w:w="6743" w:type="dxa"/>
            <w:gridSpan w:val="4"/>
            <w:tcBorders>
              <w:top w:val="single" w:color="000000" w:sz="4" w:space="0"/>
              <w:left w:val="single" w:color="000000" w:sz="4" w:space="0"/>
              <w:bottom w:val="single" w:color="000000" w:sz="4" w:space="0"/>
              <w:right w:val="single" w:color="000000" w:sz="4" w:space="0"/>
            </w:tcBorders>
            <w:vAlign w:val="center"/>
          </w:tcPr>
          <w:p w14:paraId="33C6733F">
            <w:pPr>
              <w:widowControl/>
              <w:jc w:val="center"/>
              <w:textAlignment w:val="center"/>
              <w:rPr>
                <w:rFonts w:hint="eastAsia" w:ascii="仿宋" w:hAnsi="仿宋" w:eastAsia="仿宋" w:cs="仿宋"/>
                <w:color w:val="FF0000"/>
                <w:sz w:val="24"/>
                <w:szCs w:val="24"/>
                <w:highlight w:val="none"/>
                <w:lang w:bidi="ar"/>
              </w:rPr>
            </w:pPr>
            <w:r>
              <w:rPr>
                <w:rFonts w:hint="eastAsia" w:ascii="仿宋" w:hAnsi="仿宋" w:eastAsia="仿宋" w:cs="仿宋"/>
                <w:color w:val="FF0000"/>
                <w:sz w:val="24"/>
                <w:szCs w:val="24"/>
                <w:highlight w:val="none"/>
                <w:lang w:bidi="ar"/>
              </w:rPr>
              <w:t>三年总报价（元）=一年全费用总价*3年</w:t>
            </w:r>
          </w:p>
        </w:tc>
        <w:tc>
          <w:tcPr>
            <w:tcW w:w="3688" w:type="dxa"/>
            <w:gridSpan w:val="2"/>
            <w:tcBorders>
              <w:top w:val="single" w:color="000000" w:sz="4" w:space="0"/>
              <w:left w:val="single" w:color="000000" w:sz="4" w:space="0"/>
              <w:bottom w:val="single" w:color="000000" w:sz="4" w:space="0"/>
              <w:right w:val="single" w:color="000000" w:sz="4" w:space="0"/>
            </w:tcBorders>
            <w:vAlign w:val="center"/>
          </w:tcPr>
          <w:p w14:paraId="5F3FF94C">
            <w:pPr>
              <w:jc w:val="center"/>
              <w:rPr>
                <w:rFonts w:hint="eastAsia" w:ascii="仿宋" w:hAnsi="仿宋" w:eastAsia="仿宋" w:cs="仿宋"/>
                <w:color w:val="000000"/>
                <w:sz w:val="24"/>
                <w:szCs w:val="24"/>
                <w:highlight w:val="none"/>
              </w:rPr>
            </w:pPr>
          </w:p>
        </w:tc>
      </w:tr>
      <w:tr w14:paraId="3E325B42">
        <w:tblPrEx>
          <w:tblCellMar>
            <w:top w:w="0" w:type="dxa"/>
            <w:left w:w="108" w:type="dxa"/>
            <w:bottom w:w="0" w:type="dxa"/>
            <w:right w:w="108" w:type="dxa"/>
          </w:tblCellMar>
        </w:tblPrEx>
        <w:trPr>
          <w:trHeight w:val="479" w:hRule="atLeast"/>
          <w:jc w:val="center"/>
        </w:trPr>
        <w:tc>
          <w:tcPr>
            <w:tcW w:w="10431" w:type="dxa"/>
            <w:gridSpan w:val="6"/>
            <w:tcBorders>
              <w:top w:val="single" w:color="000000" w:sz="4" w:space="0"/>
              <w:left w:val="nil"/>
              <w:bottom w:val="nil"/>
              <w:right w:val="nil"/>
            </w:tcBorders>
            <w:vAlign w:val="center"/>
          </w:tcPr>
          <w:p w14:paraId="5A53F18E">
            <w:pPr>
              <w:widowControl/>
              <w:spacing w:line="360" w:lineRule="auto"/>
              <w:jc w:val="left"/>
              <w:textAlignment w:val="center"/>
              <w:rPr>
                <w:rFonts w:hint="eastAsia" w:ascii="仿宋" w:hAnsi="仿宋" w:eastAsia="仿宋" w:cs="仿宋"/>
                <w:sz w:val="24"/>
                <w:szCs w:val="24"/>
                <w:highlight w:val="none"/>
              </w:rPr>
            </w:pPr>
            <w:r>
              <w:rPr>
                <w:rFonts w:hint="eastAsia" w:ascii="仿宋" w:hAnsi="仿宋" w:eastAsia="仿宋" w:cs="仿宋"/>
                <w:sz w:val="24"/>
                <w:szCs w:val="24"/>
                <w:highlight w:val="none"/>
              </w:rPr>
              <w:t>1.以上报价清单中数量*月标准工资*12不等于小计的作无效标处理；</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2.各小计之和不等于合计的作无效标处理；</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3.各合计之和（包含两分类垃圾桶、其他费用及利税）不等于一年全费用总价的作无效标处理；</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4.一年全费用总价和三年总报价与投标函中的投标报价不一致的作无效标处理；</w:t>
            </w:r>
            <w:r>
              <w:rPr>
                <w:rFonts w:hint="eastAsia" w:ascii="仿宋" w:hAnsi="仿宋" w:eastAsia="仿宋" w:cs="仿宋"/>
                <w:sz w:val="24"/>
                <w:szCs w:val="24"/>
                <w:highlight w:val="none"/>
              </w:rPr>
              <w:br w:type="textWrapping"/>
            </w:r>
            <w:r>
              <w:rPr>
                <w:rFonts w:hint="eastAsia" w:ascii="仿宋" w:hAnsi="仿宋" w:eastAsia="仿宋" w:cs="仿宋"/>
                <w:sz w:val="24"/>
                <w:szCs w:val="24"/>
                <w:highlight w:val="none"/>
              </w:rPr>
              <w:t>5.两分类垃圾小桶产品规格和技术要求符合下列标准：50L分类垃圾桶约（每组2个，含架子，颜色均为绿黑配）桶体及桶盖（除配料）采用除必要的颜料和色素外，采用100%高密度聚乙烯全新料一次性注模成型，不得使用回料。单个桶容量≥50L，总重量≥2.4kg，中标方供货时需提供产品检测报告。</w:t>
            </w:r>
          </w:p>
          <w:p w14:paraId="6166C221">
            <w:pPr>
              <w:pStyle w:val="14"/>
              <w:spacing w:line="360" w:lineRule="auto"/>
              <w:rPr>
                <w:rFonts w:hint="eastAsia" w:ascii="仿宋" w:hAnsi="仿宋" w:eastAsia="仿宋" w:cs="仿宋"/>
                <w:b/>
                <w:bCs/>
                <w:color w:val="000000"/>
                <w:sz w:val="24"/>
                <w:szCs w:val="24"/>
                <w:highlight w:val="none"/>
                <w:lang w:bidi="ar"/>
              </w:rPr>
            </w:pPr>
            <w:r>
              <w:rPr>
                <w:rFonts w:hint="eastAsia" w:ascii="仿宋" w:hAnsi="仿宋" w:eastAsia="仿宋" w:cs="仿宋"/>
                <w:sz w:val="24"/>
                <w:szCs w:val="24"/>
                <w:highlight w:val="none"/>
              </w:rPr>
              <w:t>6.投标总价包含但不限于设备、车辆、船、机具、辅材、油费、保险费、保养维修费、人员工资、保险、福利、不可预见费用、管理费、招标代理服务费、利润、税等完成本项目所需的一切费用。同时，报价也应包含合同履行过程中可能发生的一切风险。</w:t>
            </w:r>
          </w:p>
        </w:tc>
      </w:tr>
    </w:tbl>
    <w:p w14:paraId="2CE3C2B4">
      <w:pPr>
        <w:spacing w:line="360" w:lineRule="exact"/>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w:t>
      </w:r>
    </w:p>
    <w:p w14:paraId="38B1310F">
      <w:pPr>
        <w:spacing w:line="360" w:lineRule="exact"/>
        <w:rPr>
          <w:rFonts w:hint="eastAsia" w:ascii="仿宋" w:hAnsi="仿宋" w:eastAsia="仿宋" w:cs="仿宋"/>
          <w:b/>
          <w:sz w:val="24"/>
          <w:szCs w:val="24"/>
          <w:highlight w:val="none"/>
        </w:rPr>
      </w:pPr>
      <w:r>
        <w:rPr>
          <w:rFonts w:hint="eastAsia" w:ascii="仿宋" w:hAnsi="仿宋" w:eastAsia="仿宋" w:cs="仿宋"/>
          <w:sz w:val="24"/>
          <w:szCs w:val="24"/>
          <w:highlight w:val="none"/>
        </w:rPr>
        <w:t>提醒：清单报价表均须加盖CA电子公章。</w:t>
      </w:r>
    </w:p>
    <w:p w14:paraId="00B3D2BC">
      <w:pPr>
        <w:spacing w:line="360" w:lineRule="exact"/>
        <w:jc w:val="center"/>
        <w:rPr>
          <w:rFonts w:hint="eastAsia" w:ascii="仿宋" w:hAnsi="仿宋" w:eastAsia="仿宋" w:cs="仿宋"/>
          <w:b/>
          <w:sz w:val="24"/>
          <w:szCs w:val="24"/>
          <w:highlight w:val="none"/>
        </w:rPr>
      </w:pPr>
      <w:r>
        <w:rPr>
          <w:rFonts w:hint="eastAsia" w:ascii="仿宋" w:hAnsi="仿宋" w:eastAsia="仿宋" w:cs="仿宋"/>
          <w:b/>
          <w:sz w:val="24"/>
          <w:szCs w:val="24"/>
          <w:highlight w:val="none"/>
        </w:rPr>
        <w:t xml:space="preserve">       </w:t>
      </w:r>
    </w:p>
    <w:p w14:paraId="0DA83850">
      <w:pPr>
        <w:spacing w:line="360" w:lineRule="exact"/>
        <w:jc w:val="center"/>
        <w:rPr>
          <w:rFonts w:hint="eastAsia" w:ascii="仿宋" w:hAnsi="仿宋" w:eastAsia="仿宋" w:cs="仿宋"/>
          <w:bCs/>
          <w:sz w:val="24"/>
          <w:szCs w:val="24"/>
          <w:highlight w:val="none"/>
        </w:rPr>
      </w:pPr>
      <w:r>
        <w:rPr>
          <w:rFonts w:hint="eastAsia" w:ascii="仿宋" w:hAnsi="仿宋" w:eastAsia="仿宋" w:cs="仿宋"/>
          <w:bCs/>
          <w:sz w:val="24"/>
          <w:szCs w:val="24"/>
          <w:highlight w:val="none"/>
        </w:rPr>
        <w:t>投标供应商（加盖CA电子公章）：</w:t>
      </w:r>
    </w:p>
    <w:p w14:paraId="09850984">
      <w:pPr>
        <w:spacing w:line="360" w:lineRule="exact"/>
        <w:ind w:firstLine="3600" w:firstLineChars="1500"/>
        <w:rPr>
          <w:rFonts w:hint="eastAsia" w:ascii="仿宋" w:hAnsi="仿宋" w:eastAsia="仿宋" w:cs="仿宋"/>
          <w:sz w:val="24"/>
          <w:szCs w:val="24"/>
          <w:highlight w:val="none"/>
        </w:rPr>
      </w:pPr>
      <w:r>
        <w:rPr>
          <w:rFonts w:hint="eastAsia" w:ascii="仿宋" w:hAnsi="仿宋" w:eastAsia="仿宋" w:cs="仿宋"/>
          <w:bCs/>
          <w:sz w:val="24"/>
          <w:szCs w:val="24"/>
          <w:highlight w:val="none"/>
        </w:rPr>
        <w:t>法定代表人(签章)：</w:t>
      </w:r>
      <w:r>
        <w:rPr>
          <w:rFonts w:hint="eastAsia" w:ascii="仿宋" w:hAnsi="仿宋" w:eastAsia="仿宋" w:cs="仿宋"/>
          <w:bCs/>
          <w:sz w:val="24"/>
          <w:szCs w:val="24"/>
          <w:highlight w:val="none"/>
          <w:u w:val="single"/>
        </w:rPr>
        <w:t xml:space="preserve">                      </w:t>
      </w:r>
    </w:p>
    <w:p w14:paraId="4FCAD1A0">
      <w:pPr>
        <w:spacing w:line="400" w:lineRule="exact"/>
        <w:jc w:val="right"/>
        <w:rPr>
          <w:rFonts w:hint="eastAsia" w:ascii="仿宋" w:hAnsi="仿宋" w:eastAsia="仿宋" w:cs="仿宋"/>
          <w:sz w:val="24"/>
          <w:szCs w:val="24"/>
          <w:highlight w:val="none"/>
        </w:rPr>
      </w:pPr>
    </w:p>
    <w:p w14:paraId="32D8BFF4">
      <w:pPr>
        <w:spacing w:line="400" w:lineRule="exact"/>
        <w:jc w:val="right"/>
        <w:rPr>
          <w:rFonts w:hint="eastAsia" w:ascii="仿宋" w:hAnsi="仿宋" w:eastAsia="仿宋" w:cs="仿宋"/>
          <w:sz w:val="24"/>
          <w:szCs w:val="24"/>
          <w:highlight w:val="none"/>
        </w:rPr>
        <w:sectPr>
          <w:pgSz w:w="11906" w:h="16838"/>
          <w:pgMar w:top="1191" w:right="1587" w:bottom="1191" w:left="1366" w:header="850" w:footer="907" w:gutter="0"/>
          <w:cols w:space="0" w:num="1"/>
          <w:docGrid w:linePitch="294" w:charSpace="0"/>
        </w:sectPr>
      </w:pPr>
      <w:r>
        <w:rPr>
          <w:rFonts w:hint="eastAsia" w:ascii="仿宋" w:hAnsi="仿宋" w:eastAsia="仿宋" w:cs="仿宋"/>
          <w:sz w:val="24"/>
          <w:szCs w:val="24"/>
          <w:highlight w:val="none"/>
        </w:rPr>
        <w:t>年     月     日</w:t>
      </w:r>
    </w:p>
    <w:p w14:paraId="4048C71C">
      <w:pPr>
        <w:jc w:val="left"/>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t>附件3</w:t>
      </w:r>
    </w:p>
    <w:p w14:paraId="430B6459">
      <w:pPr>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投标供应商符合《政府采购法》第二十二条规定条件的声明函</w:t>
      </w:r>
    </w:p>
    <w:p w14:paraId="271588BE">
      <w:pPr>
        <w:spacing w:line="460" w:lineRule="exact"/>
        <w:rPr>
          <w:rFonts w:hint="eastAsia" w:ascii="仿宋" w:hAnsi="仿宋" w:eastAsia="仿宋" w:cs="仿宋"/>
          <w:b/>
          <w:bCs/>
          <w:sz w:val="44"/>
          <w:szCs w:val="44"/>
          <w:highlight w:val="none"/>
        </w:rPr>
      </w:pPr>
    </w:p>
    <w:p w14:paraId="002BB5C6">
      <w:pPr>
        <w:spacing w:line="520" w:lineRule="exact"/>
        <w:ind w:firstLine="480"/>
        <w:rPr>
          <w:rFonts w:hint="eastAsia" w:ascii="仿宋" w:hAnsi="仿宋" w:eastAsia="仿宋" w:cs="仿宋"/>
          <w:b/>
          <w:bCs/>
          <w:sz w:val="24"/>
          <w:highlight w:val="none"/>
        </w:rPr>
      </w:pPr>
      <w:r>
        <w:rPr>
          <w:rFonts w:hint="eastAsia" w:ascii="仿宋" w:hAnsi="仿宋" w:eastAsia="仿宋" w:cs="仿宋"/>
          <w:bCs/>
          <w:sz w:val="24"/>
          <w:highlight w:val="none"/>
        </w:rPr>
        <w:t>我单位参加（项目名称），（项目编号）投标活动。针对《中华人民共和国政府采购法》第二十二条规定做出如下声明：</w:t>
      </w:r>
    </w:p>
    <w:p w14:paraId="27E90AC1">
      <w:pPr>
        <w:spacing w:line="520" w:lineRule="exact"/>
        <w:ind w:firstLine="482"/>
        <w:rPr>
          <w:rFonts w:hint="eastAsia" w:ascii="仿宋" w:hAnsi="仿宋" w:eastAsia="仿宋" w:cs="仿宋"/>
          <w:sz w:val="24"/>
          <w:highlight w:val="none"/>
        </w:rPr>
      </w:pPr>
      <w:r>
        <w:rPr>
          <w:rFonts w:hint="eastAsia" w:ascii="仿宋" w:hAnsi="仿宋" w:eastAsia="仿宋" w:cs="仿宋"/>
          <w:bCs/>
          <w:sz w:val="24"/>
          <w:highlight w:val="none"/>
        </w:rPr>
        <w:t>1.我单位具有独立承担民事责任的能力；</w:t>
      </w:r>
    </w:p>
    <w:p w14:paraId="324E4CD5">
      <w:pPr>
        <w:spacing w:line="520" w:lineRule="exact"/>
        <w:ind w:firstLine="482"/>
        <w:rPr>
          <w:rFonts w:hint="eastAsia" w:ascii="仿宋" w:hAnsi="仿宋" w:eastAsia="仿宋" w:cs="仿宋"/>
          <w:sz w:val="24"/>
          <w:highlight w:val="none"/>
        </w:rPr>
      </w:pPr>
      <w:r>
        <w:rPr>
          <w:rFonts w:hint="eastAsia" w:ascii="仿宋" w:hAnsi="仿宋" w:eastAsia="仿宋" w:cs="仿宋"/>
          <w:sz w:val="24"/>
          <w:highlight w:val="none"/>
        </w:rPr>
        <w:t>2.我单位具有良好的商业信誉和健全的财务会计制度；</w:t>
      </w:r>
    </w:p>
    <w:p w14:paraId="00E64A85">
      <w:pPr>
        <w:spacing w:line="520" w:lineRule="exact"/>
        <w:ind w:firstLine="482"/>
        <w:rPr>
          <w:rFonts w:hint="eastAsia" w:ascii="仿宋" w:hAnsi="仿宋" w:eastAsia="仿宋" w:cs="仿宋"/>
          <w:sz w:val="24"/>
          <w:highlight w:val="none"/>
        </w:rPr>
      </w:pPr>
      <w:r>
        <w:rPr>
          <w:rFonts w:hint="eastAsia" w:ascii="仿宋" w:hAnsi="仿宋" w:eastAsia="仿宋" w:cs="仿宋"/>
          <w:sz w:val="24"/>
          <w:highlight w:val="none"/>
        </w:rPr>
        <w:t>3.我单位具有履行合同所必需的设备和专业技术能力；</w:t>
      </w:r>
    </w:p>
    <w:p w14:paraId="1DC57A34">
      <w:pPr>
        <w:spacing w:line="520" w:lineRule="exact"/>
        <w:ind w:firstLine="482"/>
        <w:rPr>
          <w:rFonts w:hint="eastAsia" w:ascii="仿宋" w:hAnsi="仿宋" w:eastAsia="仿宋" w:cs="仿宋"/>
          <w:sz w:val="24"/>
          <w:highlight w:val="none"/>
        </w:rPr>
      </w:pPr>
      <w:r>
        <w:rPr>
          <w:rFonts w:hint="eastAsia" w:ascii="仿宋" w:hAnsi="仿宋" w:eastAsia="仿宋" w:cs="仿宋"/>
          <w:sz w:val="24"/>
          <w:highlight w:val="none"/>
        </w:rPr>
        <w:t>4.我单位有依法缴纳税收和社会保障资金的良好记录；</w:t>
      </w:r>
    </w:p>
    <w:p w14:paraId="3BEDE4F9">
      <w:pPr>
        <w:spacing w:line="520" w:lineRule="exact"/>
        <w:ind w:firstLine="482"/>
        <w:rPr>
          <w:rFonts w:hint="eastAsia" w:ascii="仿宋" w:hAnsi="仿宋" w:eastAsia="仿宋" w:cs="仿宋"/>
          <w:sz w:val="24"/>
          <w:highlight w:val="none"/>
        </w:rPr>
      </w:pPr>
      <w:r>
        <w:rPr>
          <w:rFonts w:hint="eastAsia" w:ascii="仿宋" w:hAnsi="仿宋" w:eastAsia="仿宋" w:cs="仿宋"/>
          <w:sz w:val="24"/>
          <w:highlight w:val="none"/>
        </w:rPr>
        <w:t>5.我单位参加政府采购活动前三年内，在经营活动中没有重大违法记录；（1.供应商在参加政府采购活动前三年内因违法经营被禁止在一定期限内参加政府采购活动，期限届满的，可以参加政府采购活动。2.《中华人民共和国政府采购法实施条例》第十九条第一款规定的“较大数额罚款”认定为200万元以上的罚款，法律、行政法规以及国务院有关部门明确规定相关领域“较大数额罚款”标准高于200万元的，从其规定。）</w:t>
      </w:r>
    </w:p>
    <w:p w14:paraId="3075FFC2">
      <w:pPr>
        <w:spacing w:line="520" w:lineRule="exact"/>
        <w:ind w:firstLine="482"/>
        <w:rPr>
          <w:rFonts w:hint="eastAsia" w:ascii="仿宋" w:hAnsi="仿宋" w:eastAsia="仿宋" w:cs="仿宋"/>
          <w:sz w:val="24"/>
          <w:highlight w:val="none"/>
        </w:rPr>
      </w:pPr>
      <w:r>
        <w:rPr>
          <w:rFonts w:hint="eastAsia" w:ascii="仿宋" w:hAnsi="仿宋" w:eastAsia="仿宋" w:cs="仿宋"/>
          <w:sz w:val="24"/>
          <w:highlight w:val="none"/>
        </w:rPr>
        <w:t>6.我单位满足法律、行政法规规定的其他条件。</w:t>
      </w:r>
    </w:p>
    <w:p w14:paraId="39E188CC">
      <w:pPr>
        <w:spacing w:line="500" w:lineRule="exact"/>
        <w:ind w:firstLine="482"/>
        <w:rPr>
          <w:rFonts w:hint="eastAsia" w:ascii="仿宋" w:hAnsi="仿宋" w:eastAsia="仿宋" w:cs="仿宋"/>
          <w:sz w:val="24"/>
          <w:highlight w:val="none"/>
        </w:rPr>
      </w:pPr>
    </w:p>
    <w:p w14:paraId="1C49D35A">
      <w:pPr>
        <w:spacing w:line="500" w:lineRule="exact"/>
        <w:rPr>
          <w:rFonts w:hint="eastAsia" w:ascii="仿宋" w:hAnsi="仿宋" w:eastAsia="仿宋" w:cs="仿宋"/>
          <w:bCs/>
          <w:sz w:val="24"/>
          <w:highlight w:val="none"/>
        </w:rPr>
      </w:pPr>
    </w:p>
    <w:p w14:paraId="573DE3FC">
      <w:pPr>
        <w:spacing w:line="500" w:lineRule="exact"/>
        <w:rPr>
          <w:rFonts w:hint="eastAsia" w:ascii="仿宋" w:hAnsi="仿宋" w:eastAsia="仿宋" w:cs="仿宋"/>
          <w:bCs/>
          <w:sz w:val="24"/>
          <w:highlight w:val="none"/>
        </w:rPr>
      </w:pPr>
    </w:p>
    <w:p w14:paraId="7C600E8A">
      <w:pPr>
        <w:spacing w:line="460" w:lineRule="exact"/>
        <w:jc w:val="center"/>
        <w:rPr>
          <w:rFonts w:hint="eastAsia" w:ascii="仿宋" w:hAnsi="仿宋" w:eastAsia="仿宋" w:cs="仿宋"/>
          <w:bCs/>
          <w:sz w:val="24"/>
          <w:highlight w:val="none"/>
        </w:rPr>
      </w:pPr>
      <w:r>
        <w:rPr>
          <w:rFonts w:hint="eastAsia" w:ascii="仿宋" w:hAnsi="仿宋" w:eastAsia="仿宋" w:cs="仿宋"/>
          <w:bCs/>
          <w:sz w:val="24"/>
          <w:highlight w:val="none"/>
        </w:rPr>
        <w:t xml:space="preserve">             承诺人名称（加盖CA电子公章）：</w:t>
      </w:r>
    </w:p>
    <w:p w14:paraId="0C1AB5BA">
      <w:pPr>
        <w:spacing w:line="460" w:lineRule="exact"/>
        <w:jc w:val="right"/>
        <w:rPr>
          <w:rFonts w:hint="eastAsia" w:ascii="仿宋" w:hAnsi="仿宋" w:eastAsia="仿宋" w:cs="仿宋"/>
          <w:bCs/>
          <w:sz w:val="24"/>
          <w:highlight w:val="none"/>
        </w:rPr>
      </w:pPr>
    </w:p>
    <w:p w14:paraId="77BA6221">
      <w:pPr>
        <w:spacing w:line="460" w:lineRule="exact"/>
        <w:jc w:val="right"/>
        <w:rPr>
          <w:rFonts w:hint="eastAsia" w:ascii="仿宋" w:hAnsi="仿宋" w:eastAsia="仿宋" w:cs="仿宋"/>
          <w:bCs/>
          <w:sz w:val="24"/>
          <w:highlight w:val="none"/>
        </w:rPr>
      </w:pPr>
      <w:r>
        <w:rPr>
          <w:rFonts w:hint="eastAsia" w:ascii="仿宋" w:hAnsi="仿宋" w:eastAsia="仿宋" w:cs="仿宋"/>
          <w:bCs/>
          <w:sz w:val="24"/>
          <w:highlight w:val="none"/>
        </w:rPr>
        <w:t xml:space="preserve">                                 日期：年月日</w:t>
      </w:r>
    </w:p>
    <w:p w14:paraId="445389B8">
      <w:pPr>
        <w:spacing w:line="560" w:lineRule="exact"/>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br w:type="page" w:clear="all"/>
      </w:r>
      <w:bookmarkStart w:id="217" w:name="_Toc186493285"/>
      <w:r>
        <w:rPr>
          <w:rFonts w:hint="eastAsia" w:ascii="仿宋" w:hAnsi="仿宋" w:eastAsia="仿宋" w:cs="仿宋"/>
          <w:b/>
          <w:sz w:val="24"/>
          <w:szCs w:val="24"/>
          <w:highlight w:val="none"/>
        </w:rPr>
        <w:t>附件</w:t>
      </w:r>
      <w:bookmarkEnd w:id="217"/>
      <w:r>
        <w:rPr>
          <w:rFonts w:hint="eastAsia" w:ascii="仿宋" w:hAnsi="仿宋" w:eastAsia="仿宋" w:cs="仿宋"/>
          <w:b/>
          <w:sz w:val="24"/>
          <w:szCs w:val="24"/>
          <w:highlight w:val="none"/>
        </w:rPr>
        <w:t xml:space="preserve">4     </w:t>
      </w:r>
    </w:p>
    <w:p w14:paraId="53D729E4">
      <w:pPr>
        <w:spacing w:line="560" w:lineRule="exact"/>
        <w:jc w:val="center"/>
        <w:rPr>
          <w:rFonts w:hint="eastAsia" w:ascii="仿宋" w:hAnsi="仿宋" w:eastAsia="仿宋" w:cs="仿宋"/>
          <w:b/>
          <w:bCs/>
          <w:sz w:val="32"/>
          <w:szCs w:val="32"/>
          <w:highlight w:val="none"/>
        </w:rPr>
      </w:pPr>
      <w:r>
        <w:rPr>
          <w:rFonts w:hint="eastAsia" w:ascii="仿宋" w:hAnsi="仿宋" w:eastAsia="仿宋" w:cs="仿宋"/>
          <w:b/>
          <w:bCs/>
          <w:sz w:val="32"/>
          <w:szCs w:val="32"/>
          <w:highlight w:val="none"/>
        </w:rPr>
        <w:t>法定代表人身份证明</w:t>
      </w:r>
    </w:p>
    <w:p w14:paraId="006EE5B3">
      <w:pPr>
        <w:spacing w:line="480" w:lineRule="exact"/>
        <w:rPr>
          <w:rFonts w:hint="eastAsia" w:ascii="仿宋" w:hAnsi="仿宋" w:eastAsia="仿宋" w:cs="仿宋"/>
          <w:sz w:val="24"/>
          <w:szCs w:val="24"/>
          <w:highlight w:val="none"/>
        </w:rPr>
      </w:pPr>
    </w:p>
    <w:p w14:paraId="396EBDA6">
      <w:pPr>
        <w:spacing w:line="48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先生/女士： 现任我单位职务，为法定代表人，特此证明。</w:t>
      </w:r>
    </w:p>
    <w:p w14:paraId="686E56EE">
      <w:pPr>
        <w:spacing w:line="480" w:lineRule="exact"/>
        <w:ind w:firstLine="480"/>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身份证号码：</w:t>
      </w:r>
    </w:p>
    <w:p w14:paraId="6C09D4A8">
      <w:pPr>
        <w:spacing w:line="480" w:lineRule="exact"/>
        <w:ind w:firstLine="480"/>
        <w:rPr>
          <w:rFonts w:hint="eastAsia" w:ascii="仿宋" w:hAnsi="仿宋" w:eastAsia="仿宋" w:cs="仿宋"/>
          <w:sz w:val="24"/>
          <w:szCs w:val="24"/>
          <w:highlight w:val="none"/>
        </w:rPr>
      </w:pPr>
    </w:p>
    <w:p w14:paraId="503015F6">
      <w:pPr>
        <w:spacing w:line="460" w:lineRule="exact"/>
        <w:ind w:firstLine="480"/>
        <w:rPr>
          <w:rFonts w:hint="eastAsia" w:ascii="仿宋" w:hAnsi="仿宋" w:eastAsia="仿宋" w:cs="仿宋"/>
          <w:b/>
          <w:sz w:val="24"/>
          <w:highlight w:val="none"/>
        </w:rPr>
      </w:pPr>
      <w:r>
        <w:rPr>
          <w:rFonts w:hint="eastAsia" w:ascii="仿宋" w:hAnsi="仿宋" w:eastAsia="仿宋" w:cs="仿宋"/>
          <w:b/>
          <w:sz w:val="24"/>
          <w:szCs w:val="24"/>
          <w:highlight w:val="none"/>
        </w:rPr>
        <w:t>注：提供法定代表人的身份证扫描件</w:t>
      </w:r>
      <w:r>
        <w:rPr>
          <w:rFonts w:hint="eastAsia" w:ascii="仿宋" w:hAnsi="仿宋" w:eastAsia="仿宋" w:cs="仿宋"/>
          <w:bCs/>
          <w:sz w:val="24"/>
          <w:highlight w:val="none"/>
        </w:rPr>
        <w:t>（加盖CA电子公章）</w:t>
      </w:r>
      <w:r>
        <w:rPr>
          <w:rFonts w:hint="eastAsia" w:ascii="仿宋" w:hAnsi="仿宋" w:eastAsia="仿宋" w:cs="仿宋"/>
          <w:b/>
          <w:sz w:val="24"/>
          <w:szCs w:val="24"/>
          <w:highlight w:val="none"/>
        </w:rPr>
        <w:br w:type="page" w:clear="all"/>
      </w:r>
      <w:r>
        <w:rPr>
          <w:rFonts w:hint="eastAsia" w:ascii="仿宋" w:hAnsi="仿宋" w:eastAsia="仿宋" w:cs="仿宋"/>
          <w:b/>
          <w:sz w:val="24"/>
          <w:highlight w:val="none"/>
        </w:rPr>
        <w:t xml:space="preserve">附件5            </w:t>
      </w:r>
    </w:p>
    <w:p w14:paraId="5FC74B9E">
      <w:pPr>
        <w:spacing w:line="460" w:lineRule="exact"/>
        <w:ind w:firstLine="480"/>
        <w:jc w:val="center"/>
        <w:rPr>
          <w:rFonts w:hint="eastAsia" w:ascii="仿宋" w:hAnsi="仿宋" w:eastAsia="仿宋" w:cs="仿宋"/>
          <w:bCs/>
          <w:sz w:val="30"/>
          <w:szCs w:val="30"/>
          <w:highlight w:val="none"/>
        </w:rPr>
      </w:pPr>
      <w:r>
        <w:rPr>
          <w:rFonts w:hint="eastAsia" w:ascii="仿宋" w:hAnsi="仿宋" w:eastAsia="仿宋" w:cs="仿宋"/>
          <w:b/>
          <w:sz w:val="30"/>
          <w:szCs w:val="30"/>
          <w:highlight w:val="none"/>
        </w:rPr>
        <w:t>法人授权书</w:t>
      </w:r>
    </w:p>
    <w:p w14:paraId="7BACD0A6">
      <w:pPr>
        <w:tabs>
          <w:tab w:val="left" w:pos="360"/>
        </w:tabs>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本授权书声明：（投标供应商名称）授权（被授权人的姓名）为我方就项目采购活动的合法代理人，以本单位名义全权处理一切与该项目采购有关的事务。</w:t>
      </w:r>
    </w:p>
    <w:p w14:paraId="2FCD71DB">
      <w:pPr>
        <w:tabs>
          <w:tab w:val="left" w:pos="360"/>
        </w:tabs>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本授权书于______年____月____日起生效，特此声明。</w:t>
      </w:r>
    </w:p>
    <w:p w14:paraId="7795BAA4">
      <w:pPr>
        <w:tabs>
          <w:tab w:val="left" w:pos="360"/>
        </w:tabs>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 xml:space="preserve">    被授权人身份证号码：</w:t>
      </w:r>
    </w:p>
    <w:p w14:paraId="46262ED9">
      <w:pPr>
        <w:tabs>
          <w:tab w:val="left" w:pos="360"/>
        </w:tabs>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 xml:space="preserve">    被授权人联系电话（手机）：</w:t>
      </w:r>
    </w:p>
    <w:p w14:paraId="41E00BAE">
      <w:pPr>
        <w:tabs>
          <w:tab w:val="left" w:pos="360"/>
        </w:tabs>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授权单位名称</w:t>
      </w:r>
      <w:r>
        <w:rPr>
          <w:rFonts w:hint="eastAsia" w:ascii="仿宋" w:hAnsi="仿宋" w:eastAsia="仿宋" w:cs="仿宋"/>
          <w:sz w:val="24"/>
          <w:szCs w:val="24"/>
          <w:highlight w:val="none"/>
          <w:u w:val="single"/>
        </w:rPr>
        <w:t xml:space="preserve">（加盖CA电子公章）：                   </w:t>
      </w:r>
    </w:p>
    <w:p w14:paraId="4B2CEBAD">
      <w:pPr>
        <w:tabs>
          <w:tab w:val="left" w:pos="360"/>
        </w:tabs>
        <w:ind w:firstLine="480"/>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单位地址：</w:t>
      </w:r>
    </w:p>
    <w:p w14:paraId="155A210B">
      <w:pPr>
        <w:tabs>
          <w:tab w:val="left" w:pos="360"/>
        </w:tabs>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日期：</w:t>
      </w:r>
      <w:bookmarkStart w:id="218" w:name="_Hlt26955070"/>
      <w:bookmarkEnd w:id="218"/>
      <w:bookmarkStart w:id="219" w:name="_格式3__银行出具的资信证明"/>
      <w:bookmarkEnd w:id="219"/>
      <w:bookmarkStart w:id="220" w:name="_Hlt26671380"/>
      <w:bookmarkEnd w:id="220"/>
    </w:p>
    <w:p w14:paraId="3DB26AA1">
      <w:pPr>
        <w:keepNext/>
        <w:keepLines/>
        <w:spacing w:before="260" w:after="260" w:line="416" w:lineRule="auto"/>
        <w:rPr>
          <w:rFonts w:hint="eastAsia" w:ascii="仿宋" w:hAnsi="仿宋" w:eastAsia="仿宋" w:cs="仿宋"/>
          <w:b/>
          <w:sz w:val="24"/>
          <w:szCs w:val="44"/>
          <w:highlight w:val="none"/>
        </w:rPr>
      </w:pPr>
    </w:p>
    <w:p w14:paraId="00B16ED8">
      <w:pPr>
        <w:spacing w:line="460" w:lineRule="exact"/>
        <w:ind w:firstLine="480"/>
        <w:jc w:val="left"/>
        <w:rPr>
          <w:rFonts w:hint="eastAsia" w:ascii="仿宋" w:hAnsi="仿宋" w:eastAsia="仿宋" w:cs="仿宋"/>
          <w:b/>
          <w:sz w:val="24"/>
          <w:highlight w:val="none"/>
        </w:rPr>
      </w:pPr>
      <w:r>
        <w:rPr>
          <w:rFonts w:hint="eastAsia" w:ascii="仿宋" w:hAnsi="仿宋" w:eastAsia="仿宋" w:cs="仿宋"/>
          <w:bCs/>
          <w:sz w:val="24"/>
          <w:szCs w:val="44"/>
          <w:highlight w:val="none"/>
        </w:rPr>
        <w:t>注：提供被授权人身份证扫描件（加盖CA电子公章）</w:t>
      </w:r>
      <w:r>
        <w:rPr>
          <w:rFonts w:hint="eastAsia" w:ascii="仿宋" w:hAnsi="仿宋" w:eastAsia="仿宋" w:cs="仿宋"/>
          <w:bCs/>
          <w:sz w:val="24"/>
          <w:szCs w:val="44"/>
          <w:highlight w:val="none"/>
        </w:rPr>
        <w:br w:type="page" w:clear="all"/>
      </w:r>
      <w:r>
        <w:rPr>
          <w:rFonts w:hint="eastAsia" w:ascii="仿宋" w:hAnsi="仿宋" w:eastAsia="仿宋" w:cs="仿宋"/>
          <w:b/>
          <w:sz w:val="24"/>
          <w:highlight w:val="none"/>
        </w:rPr>
        <w:t xml:space="preserve">附件6                            </w:t>
      </w:r>
    </w:p>
    <w:p w14:paraId="31F60B78">
      <w:pPr>
        <w:spacing w:line="460" w:lineRule="exact"/>
        <w:ind w:firstLine="480"/>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投标函</w:t>
      </w:r>
    </w:p>
    <w:p w14:paraId="4722BA82">
      <w:pPr>
        <w:spacing w:line="420" w:lineRule="exact"/>
        <w:jc w:val="left"/>
        <w:rPr>
          <w:rFonts w:hint="eastAsia" w:ascii="仿宋" w:hAnsi="仿宋" w:eastAsia="仿宋" w:cs="仿宋"/>
          <w:sz w:val="24"/>
          <w:highlight w:val="none"/>
        </w:rPr>
      </w:pPr>
      <w:r>
        <w:rPr>
          <w:rFonts w:hint="eastAsia" w:ascii="仿宋" w:hAnsi="仿宋" w:eastAsia="仿宋" w:cs="仿宋"/>
          <w:sz w:val="24"/>
          <w:highlight w:val="none"/>
        </w:rPr>
        <w:t>致：如东县大豫镇人民政府</w:t>
      </w:r>
    </w:p>
    <w:p w14:paraId="1A59F03F">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根据贵方的（项目名称）的招标文件，正式授权下述被授权人_____(姓名)代表我方（投标供应商的名称），全权处理本次项目投标的有关事宜。</w:t>
      </w:r>
    </w:p>
    <w:p w14:paraId="076268F9">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据此函，被授权人_____(姓名)兹宣布同意如下：</w:t>
      </w:r>
    </w:p>
    <w:p w14:paraId="6561C1E4">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1.按招标文件规定的各项要求，向买方提供所需货物（包含与货物相关的服务）。</w:t>
      </w:r>
    </w:p>
    <w:p w14:paraId="725832D3">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2.我们完全理解贵方不一定将合同授予最低报价的投标供应商。</w:t>
      </w:r>
    </w:p>
    <w:p w14:paraId="3CA2B12E">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3.我们已详细审核全部招标文件及其有效补充文件，我们知道必须放弃提出含糊不清或误解问题的权利。</w:t>
      </w:r>
    </w:p>
    <w:p w14:paraId="4873F42C">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4.我们同意从规定的开标日期起遵循本投标文件，并在规定的投标有效期期满之前均具有约束力。</w:t>
      </w:r>
    </w:p>
    <w:p w14:paraId="236B1A3F">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5.同意向贵方提供贵方可能另外要求的与投标有关的任何证据或资料，并保证我方已提供和将要提供的文件是真实的、准确的。</w:t>
      </w:r>
    </w:p>
    <w:p w14:paraId="5EDAA9B1">
      <w:pPr>
        <w:spacing w:line="420" w:lineRule="exact"/>
        <w:ind w:firstLine="480"/>
        <w:jc w:val="left"/>
        <w:rPr>
          <w:rFonts w:hint="eastAsia" w:ascii="仿宋" w:hAnsi="仿宋" w:eastAsia="仿宋" w:cs="仿宋"/>
          <w:sz w:val="24"/>
          <w:highlight w:val="none"/>
        </w:rPr>
      </w:pPr>
      <w:r>
        <w:rPr>
          <w:rFonts w:hint="eastAsia" w:ascii="仿宋" w:hAnsi="仿宋" w:eastAsia="仿宋" w:cs="仿宋"/>
          <w:sz w:val="24"/>
          <w:highlight w:val="none"/>
        </w:rPr>
        <w:t>6.一旦我方中标,我方将根据招标文件的规定，严格履行合同的责任和义务,并保证在招标文件规定的时间完成项目，交付买方验收、使用。</w:t>
      </w:r>
    </w:p>
    <w:p w14:paraId="05ACDE18">
      <w:pPr>
        <w:spacing w:line="420" w:lineRule="exact"/>
        <w:ind w:left="425"/>
        <w:jc w:val="left"/>
        <w:rPr>
          <w:rFonts w:hint="eastAsia" w:ascii="仿宋" w:hAnsi="仿宋" w:eastAsia="仿宋" w:cs="仿宋"/>
          <w:sz w:val="24"/>
          <w:highlight w:val="none"/>
        </w:rPr>
      </w:pPr>
      <w:r>
        <w:rPr>
          <w:rFonts w:hint="eastAsia" w:ascii="仿宋" w:hAnsi="仿宋" w:eastAsia="仿宋" w:cs="仿宋"/>
          <w:sz w:val="24"/>
          <w:highlight w:val="none"/>
        </w:rPr>
        <w:t>7.与本投标有关的正式通讯地址为：</w:t>
      </w:r>
    </w:p>
    <w:p w14:paraId="53D0FCAF">
      <w:pPr>
        <w:spacing w:line="420" w:lineRule="exact"/>
        <w:ind w:left="420" w:firstLine="480"/>
        <w:jc w:val="left"/>
        <w:rPr>
          <w:rFonts w:hint="eastAsia" w:ascii="仿宋" w:hAnsi="仿宋" w:eastAsia="仿宋" w:cs="仿宋"/>
          <w:sz w:val="24"/>
          <w:highlight w:val="none"/>
          <w:u w:val="single"/>
        </w:rPr>
      </w:pPr>
      <w:r>
        <w:rPr>
          <w:rFonts w:hint="eastAsia" w:ascii="仿宋" w:hAnsi="仿宋" w:eastAsia="仿宋" w:cs="仿宋"/>
          <w:sz w:val="24"/>
          <w:highlight w:val="none"/>
        </w:rPr>
        <w:t>地          址：</w:t>
      </w:r>
    </w:p>
    <w:p w14:paraId="137AA7BC">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邮          编：</w:t>
      </w:r>
    </w:p>
    <w:p w14:paraId="638188D3">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电          话：</w:t>
      </w:r>
    </w:p>
    <w:p w14:paraId="7B6AE2F6">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传          真：</w:t>
      </w:r>
    </w:p>
    <w:p w14:paraId="4E91EF2D">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投标供应商开户行：</w:t>
      </w:r>
    </w:p>
    <w:p w14:paraId="4F917C45">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账          号：</w:t>
      </w:r>
    </w:p>
    <w:p w14:paraId="1B5944A0">
      <w:pPr>
        <w:spacing w:line="420" w:lineRule="exact"/>
        <w:ind w:left="420" w:firstLine="480"/>
        <w:jc w:val="left"/>
        <w:rPr>
          <w:rFonts w:hint="eastAsia" w:ascii="仿宋" w:hAnsi="仿宋" w:eastAsia="仿宋" w:cs="仿宋"/>
          <w:sz w:val="24"/>
          <w:highlight w:val="none"/>
        </w:rPr>
      </w:pPr>
      <w:r>
        <w:rPr>
          <w:rFonts w:hint="eastAsia" w:ascii="仿宋" w:hAnsi="仿宋" w:eastAsia="仿宋" w:cs="仿宋"/>
          <w:sz w:val="24"/>
          <w:highlight w:val="none"/>
        </w:rPr>
        <w:t>日          期：_____年____月____日</w:t>
      </w:r>
    </w:p>
    <w:p w14:paraId="4AAA74A2">
      <w:pPr>
        <w:spacing w:line="560" w:lineRule="exact"/>
        <w:ind w:firstLine="240"/>
        <w:jc w:val="center"/>
        <w:rPr>
          <w:rFonts w:hint="eastAsia" w:ascii="仿宋" w:hAnsi="仿宋" w:eastAsia="仿宋" w:cs="仿宋"/>
          <w:bCs/>
          <w:sz w:val="24"/>
          <w:highlight w:val="none"/>
        </w:rPr>
      </w:pPr>
    </w:p>
    <w:p w14:paraId="084941C6">
      <w:pPr>
        <w:jc w:val="left"/>
        <w:outlineLvl w:val="0"/>
        <w:rPr>
          <w:rFonts w:hint="eastAsia" w:ascii="仿宋" w:hAnsi="仿宋" w:eastAsia="仿宋" w:cs="仿宋"/>
          <w:b/>
          <w:sz w:val="24"/>
          <w:highlight w:val="none"/>
        </w:rPr>
      </w:pPr>
      <w:r>
        <w:rPr>
          <w:rFonts w:hint="eastAsia" w:ascii="仿宋" w:hAnsi="仿宋" w:eastAsia="仿宋" w:cs="仿宋"/>
          <w:bCs/>
          <w:sz w:val="24"/>
          <w:highlight w:val="none"/>
        </w:rPr>
        <w:br w:type="page" w:clear="all"/>
      </w:r>
      <w:bookmarkStart w:id="221" w:name="_Toc186493286"/>
      <w:r>
        <w:rPr>
          <w:rFonts w:hint="eastAsia" w:ascii="仿宋" w:hAnsi="仿宋" w:eastAsia="仿宋" w:cs="仿宋"/>
          <w:b/>
          <w:sz w:val="24"/>
          <w:highlight w:val="none"/>
        </w:rPr>
        <w:t>附件</w:t>
      </w:r>
      <w:bookmarkEnd w:id="221"/>
      <w:r>
        <w:rPr>
          <w:rFonts w:hint="eastAsia" w:ascii="仿宋" w:hAnsi="仿宋" w:eastAsia="仿宋" w:cs="仿宋"/>
          <w:b/>
          <w:sz w:val="24"/>
          <w:highlight w:val="none"/>
        </w:rPr>
        <w:t>7</w:t>
      </w:r>
    </w:p>
    <w:p w14:paraId="7D6CF103">
      <w:pPr>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中小企业声明函（服务）</w:t>
      </w:r>
    </w:p>
    <w:p w14:paraId="5767071C">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本公司（联合体）郑重声明，根据《政府采购促进中小企业发展管理办法》（财库﹝2020﹞46 号）的规定，本公司（联合体）参加</w:t>
      </w:r>
      <w:r>
        <w:rPr>
          <w:rFonts w:hint="eastAsia" w:ascii="仿宋" w:hAnsi="仿宋" w:eastAsia="仿宋" w:cs="仿宋"/>
          <w:sz w:val="24"/>
          <w:szCs w:val="24"/>
          <w:highlight w:val="none"/>
          <w:u w:val="single"/>
        </w:rPr>
        <w:t>（单位名称）</w:t>
      </w:r>
      <w:r>
        <w:rPr>
          <w:rFonts w:hint="eastAsia" w:ascii="仿宋" w:hAnsi="仿宋" w:eastAsia="仿宋" w:cs="仿宋"/>
          <w:sz w:val="24"/>
          <w:szCs w:val="24"/>
          <w:highlight w:val="none"/>
        </w:rPr>
        <w:t>的</w:t>
      </w:r>
      <w:r>
        <w:rPr>
          <w:rFonts w:hint="eastAsia" w:ascii="仿宋" w:hAnsi="仿宋" w:eastAsia="仿宋" w:cs="仿宋"/>
          <w:sz w:val="24"/>
          <w:szCs w:val="24"/>
          <w:highlight w:val="none"/>
          <w:u w:val="single"/>
        </w:rPr>
        <w:t>（项目名称）</w:t>
      </w:r>
      <w:r>
        <w:rPr>
          <w:rFonts w:hint="eastAsia" w:ascii="仿宋" w:hAnsi="仿宋" w:eastAsia="仿宋" w:cs="仿宋"/>
          <w:sz w:val="24"/>
          <w:szCs w:val="24"/>
          <w:highlight w:val="none"/>
        </w:rPr>
        <w:t>采购活动，服务全部由符合政策要求的中小企业承接。相关企业（含联合体中的中小企业、签订分包意向协议的中小企业）的具体情况如下：</w:t>
      </w:r>
    </w:p>
    <w:p w14:paraId="2688A34D">
      <w:pPr>
        <w:spacing w:line="400" w:lineRule="exact"/>
        <w:ind w:firstLine="360"/>
        <w:rPr>
          <w:rFonts w:hint="eastAsia" w:ascii="仿宋" w:hAnsi="仿宋" w:eastAsia="仿宋" w:cs="仿宋"/>
          <w:i/>
          <w:sz w:val="24"/>
          <w:szCs w:val="24"/>
          <w:highlight w:val="none"/>
          <w:u w:val="single"/>
        </w:rPr>
      </w:pPr>
      <w:r>
        <w:rPr>
          <w:rFonts w:hint="eastAsia" w:ascii="仿宋" w:hAnsi="仿宋" w:eastAsia="仿宋" w:cs="仿宋"/>
          <w:sz w:val="24"/>
          <w:szCs w:val="24"/>
          <w:highlight w:val="none"/>
        </w:rPr>
        <w:t>1.</w:t>
      </w:r>
      <w:r>
        <w:rPr>
          <w:rFonts w:hint="eastAsia" w:ascii="仿宋" w:hAnsi="仿宋" w:eastAsia="仿宋" w:cs="仿宋"/>
          <w:sz w:val="24"/>
          <w:szCs w:val="24"/>
          <w:highlight w:val="none"/>
          <w:u w:val="single"/>
        </w:rPr>
        <w:t>（标的名称）</w:t>
      </w:r>
      <w:r>
        <w:rPr>
          <w:rFonts w:hint="eastAsia" w:ascii="仿宋" w:hAnsi="仿宋" w:eastAsia="仿宋" w:cs="仿宋"/>
          <w:i/>
          <w:sz w:val="24"/>
          <w:szCs w:val="24"/>
          <w:highlight w:val="none"/>
        </w:rPr>
        <w:t>，</w:t>
      </w:r>
      <w:r>
        <w:rPr>
          <w:rFonts w:hint="eastAsia" w:ascii="仿宋" w:hAnsi="仿宋" w:eastAsia="仿宋" w:cs="仿宋"/>
          <w:sz w:val="24"/>
          <w:szCs w:val="24"/>
          <w:highlight w:val="none"/>
        </w:rPr>
        <w:t>属于</w:t>
      </w:r>
      <w:r>
        <w:rPr>
          <w:rFonts w:hint="eastAsia" w:ascii="仿宋" w:hAnsi="仿宋" w:eastAsia="仿宋" w:cs="仿宋"/>
          <w:sz w:val="24"/>
          <w:szCs w:val="24"/>
          <w:highlight w:val="none"/>
          <w:u w:val="single"/>
        </w:rPr>
        <w:t xml:space="preserve"> （采购文件中明确的所属行业） </w:t>
      </w:r>
      <w:r>
        <w:rPr>
          <w:rFonts w:hint="eastAsia" w:ascii="仿宋" w:hAnsi="仿宋" w:eastAsia="仿宋" w:cs="仿宋"/>
          <w:sz w:val="24"/>
          <w:szCs w:val="24"/>
          <w:highlight w:val="none"/>
        </w:rPr>
        <w:t>行业；承建（承接）企业为</w:t>
      </w:r>
      <w:r>
        <w:rPr>
          <w:rFonts w:hint="eastAsia" w:ascii="仿宋" w:hAnsi="仿宋" w:eastAsia="仿宋" w:cs="仿宋"/>
          <w:sz w:val="24"/>
          <w:szCs w:val="24"/>
          <w:highlight w:val="none"/>
          <w:u w:val="single"/>
        </w:rPr>
        <w:t>（企业名称）</w:t>
      </w:r>
      <w:r>
        <w:rPr>
          <w:rFonts w:hint="eastAsia" w:ascii="仿宋" w:hAnsi="仿宋" w:eastAsia="仿宋" w:cs="仿宋"/>
          <w:sz w:val="24"/>
          <w:szCs w:val="24"/>
          <w:highlight w:val="none"/>
        </w:rPr>
        <w:t>，从业人员人，营业收入为万元，资产总额为万元，属于</w:t>
      </w:r>
      <w:r>
        <w:rPr>
          <w:rFonts w:hint="eastAsia" w:ascii="仿宋" w:hAnsi="仿宋" w:eastAsia="仿宋" w:cs="仿宋"/>
          <w:sz w:val="24"/>
          <w:szCs w:val="24"/>
          <w:highlight w:val="none"/>
          <w:u w:val="single"/>
        </w:rPr>
        <w:t>（□中型企业 □小型企业 □微型企业）；</w:t>
      </w:r>
    </w:p>
    <w:p w14:paraId="62ED8A8D">
      <w:pPr>
        <w:spacing w:line="400" w:lineRule="exact"/>
        <w:ind w:firstLine="360"/>
        <w:rPr>
          <w:rFonts w:hint="eastAsia" w:ascii="仿宋" w:hAnsi="仿宋" w:eastAsia="仿宋" w:cs="仿宋"/>
          <w:i/>
          <w:sz w:val="24"/>
          <w:szCs w:val="24"/>
          <w:highlight w:val="none"/>
          <w:u w:val="single"/>
        </w:rPr>
      </w:pPr>
      <w:r>
        <w:rPr>
          <w:rFonts w:hint="eastAsia" w:ascii="仿宋" w:hAnsi="仿宋" w:eastAsia="仿宋" w:cs="仿宋"/>
          <w:sz w:val="24"/>
          <w:szCs w:val="24"/>
          <w:highlight w:val="none"/>
        </w:rPr>
        <w:t>2.</w:t>
      </w:r>
      <w:r>
        <w:rPr>
          <w:rFonts w:hint="eastAsia" w:ascii="仿宋" w:hAnsi="仿宋" w:eastAsia="仿宋" w:cs="仿宋"/>
          <w:sz w:val="24"/>
          <w:szCs w:val="24"/>
          <w:highlight w:val="none"/>
          <w:u w:val="single"/>
        </w:rPr>
        <w:t>（标的名称）</w:t>
      </w:r>
      <w:r>
        <w:rPr>
          <w:rFonts w:hint="eastAsia" w:ascii="仿宋" w:hAnsi="仿宋" w:eastAsia="仿宋" w:cs="仿宋"/>
          <w:i/>
          <w:sz w:val="24"/>
          <w:szCs w:val="24"/>
          <w:highlight w:val="none"/>
        </w:rPr>
        <w:t>，</w:t>
      </w:r>
      <w:r>
        <w:rPr>
          <w:rFonts w:hint="eastAsia" w:ascii="仿宋" w:hAnsi="仿宋" w:eastAsia="仿宋" w:cs="仿宋"/>
          <w:sz w:val="24"/>
          <w:szCs w:val="24"/>
          <w:highlight w:val="none"/>
        </w:rPr>
        <w:t>属于</w:t>
      </w:r>
      <w:r>
        <w:rPr>
          <w:rFonts w:hint="eastAsia" w:ascii="仿宋" w:hAnsi="仿宋" w:eastAsia="仿宋" w:cs="仿宋"/>
          <w:sz w:val="24"/>
          <w:szCs w:val="24"/>
          <w:highlight w:val="none"/>
          <w:u w:val="single"/>
        </w:rPr>
        <w:t xml:space="preserve"> （采购文件中明确的所属行业） </w:t>
      </w:r>
      <w:r>
        <w:rPr>
          <w:rFonts w:hint="eastAsia" w:ascii="仿宋" w:hAnsi="仿宋" w:eastAsia="仿宋" w:cs="仿宋"/>
          <w:sz w:val="24"/>
          <w:szCs w:val="24"/>
          <w:highlight w:val="none"/>
        </w:rPr>
        <w:t>行业；承建（承接）企业为</w:t>
      </w:r>
      <w:r>
        <w:rPr>
          <w:rFonts w:hint="eastAsia" w:ascii="仿宋" w:hAnsi="仿宋" w:eastAsia="仿宋" w:cs="仿宋"/>
          <w:sz w:val="24"/>
          <w:szCs w:val="24"/>
          <w:highlight w:val="none"/>
          <w:u w:val="single"/>
        </w:rPr>
        <w:t>（企业名称）</w:t>
      </w:r>
      <w:r>
        <w:rPr>
          <w:rFonts w:hint="eastAsia" w:ascii="仿宋" w:hAnsi="仿宋" w:eastAsia="仿宋" w:cs="仿宋"/>
          <w:sz w:val="24"/>
          <w:szCs w:val="24"/>
          <w:highlight w:val="none"/>
        </w:rPr>
        <w:t>，从业人员人，营业收入为万元，资产总额为万元，属于</w:t>
      </w:r>
      <w:r>
        <w:rPr>
          <w:rFonts w:hint="eastAsia" w:ascii="仿宋" w:hAnsi="仿宋" w:eastAsia="仿宋" w:cs="仿宋"/>
          <w:sz w:val="24"/>
          <w:szCs w:val="24"/>
          <w:highlight w:val="none"/>
          <w:u w:val="single"/>
        </w:rPr>
        <w:t>（□中型企业 □小型企业 □微型企业）；</w:t>
      </w:r>
    </w:p>
    <w:p w14:paraId="4DE92B4C">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w:t>
      </w:r>
    </w:p>
    <w:p w14:paraId="052EE7EB">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以上企业，不属于大企业的分支机构，不存在控股股东为大企业的情形，也不存在与大企业的负责人为同一人的情形。</w:t>
      </w:r>
    </w:p>
    <w:p w14:paraId="7383C5A9">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本企业对上述声明内容的真实性负责。如有虚假，将依法承担相应责任。</w:t>
      </w:r>
    </w:p>
    <w:p w14:paraId="2142D371">
      <w:pPr>
        <w:spacing w:line="400" w:lineRule="exact"/>
        <w:ind w:right="720"/>
        <w:rPr>
          <w:rFonts w:hint="eastAsia" w:ascii="仿宋" w:hAnsi="仿宋" w:eastAsia="仿宋" w:cs="仿宋"/>
          <w:sz w:val="24"/>
          <w:szCs w:val="24"/>
          <w:highlight w:val="none"/>
        </w:rPr>
      </w:pPr>
    </w:p>
    <w:p w14:paraId="1BB65106">
      <w:pPr>
        <w:spacing w:line="400" w:lineRule="exact"/>
        <w:ind w:right="180" w:firstLine="36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  供应商全称（加盖CA电子公章）：</w:t>
      </w:r>
    </w:p>
    <w:p w14:paraId="3C4F04C8">
      <w:pPr>
        <w:spacing w:line="400" w:lineRule="exact"/>
        <w:ind w:right="480" w:firstLine="5520"/>
        <w:rPr>
          <w:rFonts w:hint="eastAsia" w:ascii="仿宋" w:hAnsi="仿宋" w:eastAsia="仿宋" w:cs="仿宋"/>
          <w:sz w:val="24"/>
          <w:szCs w:val="24"/>
          <w:highlight w:val="none"/>
        </w:rPr>
      </w:pPr>
    </w:p>
    <w:p w14:paraId="3E774FF0">
      <w:pPr>
        <w:spacing w:line="400" w:lineRule="exact"/>
        <w:ind w:right="480" w:firstLine="5520"/>
        <w:rPr>
          <w:rFonts w:hint="eastAsia" w:ascii="仿宋" w:hAnsi="仿宋" w:eastAsia="仿宋" w:cs="仿宋"/>
          <w:sz w:val="24"/>
          <w:szCs w:val="24"/>
          <w:highlight w:val="none"/>
        </w:rPr>
      </w:pPr>
      <w:r>
        <w:rPr>
          <w:rFonts w:hint="eastAsia" w:ascii="仿宋" w:hAnsi="仿宋" w:eastAsia="仿宋" w:cs="仿宋"/>
          <w:sz w:val="24"/>
          <w:szCs w:val="24"/>
          <w:highlight w:val="none"/>
        </w:rPr>
        <w:t>日  期：</w:t>
      </w:r>
    </w:p>
    <w:p w14:paraId="02427785">
      <w:pPr>
        <w:spacing w:line="400" w:lineRule="exact"/>
        <w:ind w:firstLine="240"/>
        <w:rPr>
          <w:rFonts w:hint="eastAsia" w:ascii="仿宋" w:hAnsi="仿宋" w:eastAsia="仿宋" w:cs="仿宋"/>
          <w:sz w:val="24"/>
          <w:szCs w:val="24"/>
          <w:highlight w:val="none"/>
        </w:rPr>
      </w:pPr>
    </w:p>
    <w:p w14:paraId="4AEFC7D0">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6BD14DA1">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1、如项目类型为“服务”，请按照此格式填写。</w:t>
      </w:r>
    </w:p>
    <w:p w14:paraId="579C0CE0">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2、从业人员、营业收入、资产总额填报上一年度数据，无上一年度数据的新成立企业可不填报。</w:t>
      </w:r>
    </w:p>
    <w:p w14:paraId="18A6E317">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3、专门面向中小微型企业采购的项目，投标供应商如不提供此声明函，则不能通过资格审查；非专门面向中小微型企业采购的项目，投标供应商如不提供此声明函，价格将不做相应扣除。</w:t>
      </w:r>
    </w:p>
    <w:p w14:paraId="5562AA8B">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4、投标供应商自行勾选承接企业的企业规模类型。</w:t>
      </w:r>
    </w:p>
    <w:p w14:paraId="45357162">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5、中标人的《中小企业声明函》将随中标结果同时公告。投标供应商按照本办法规定提供声明函内容不实的，属于提供虚假材料谋取中标、成交，依照《中华人民共和国政府采购法》等国家有关规定追究相应责任。</w:t>
      </w:r>
    </w:p>
    <w:p w14:paraId="2E4BA31B">
      <w:pPr>
        <w:spacing w:line="400" w:lineRule="exact"/>
        <w:ind w:firstLine="482"/>
        <w:rPr>
          <w:rFonts w:hint="eastAsia" w:ascii="仿宋" w:hAnsi="仿宋" w:eastAsia="仿宋" w:cs="仿宋"/>
          <w:b/>
          <w:sz w:val="24"/>
          <w:szCs w:val="24"/>
          <w:highlight w:val="none"/>
        </w:rPr>
      </w:pPr>
    </w:p>
    <w:p w14:paraId="26BD08DE">
      <w:pPr>
        <w:spacing w:line="588" w:lineRule="exact"/>
        <w:jc w:val="left"/>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br w:type="page" w:clear="all"/>
      </w:r>
      <w:bookmarkStart w:id="222" w:name="_Toc186493287"/>
      <w:r>
        <w:rPr>
          <w:rFonts w:hint="eastAsia" w:ascii="仿宋" w:hAnsi="仿宋" w:eastAsia="仿宋" w:cs="仿宋"/>
          <w:b/>
          <w:sz w:val="24"/>
          <w:szCs w:val="24"/>
          <w:highlight w:val="none"/>
        </w:rPr>
        <w:t>附件</w:t>
      </w:r>
      <w:bookmarkEnd w:id="222"/>
      <w:r>
        <w:rPr>
          <w:rFonts w:hint="eastAsia" w:ascii="仿宋" w:hAnsi="仿宋" w:eastAsia="仿宋" w:cs="仿宋"/>
          <w:b/>
          <w:sz w:val="24"/>
          <w:szCs w:val="24"/>
          <w:highlight w:val="none"/>
        </w:rPr>
        <w:t>8</w:t>
      </w:r>
    </w:p>
    <w:p w14:paraId="3D0A001E">
      <w:pPr>
        <w:spacing w:line="588" w:lineRule="exact"/>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残疾人福利性单位声明函（服务）</w:t>
      </w:r>
    </w:p>
    <w:p w14:paraId="43B36613">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本单位郑重声明，根据《财政部 民政部 中国残疾人联合会关于促进残疾人就业政府采购政策的通知》（财库〔2017〕 141号）的规定，本单位为符合条件的残疾人福利性单位，且本单位参加单位的采购文件项目编号为的项目采购活动由本单位提供服务。</w:t>
      </w:r>
    </w:p>
    <w:p w14:paraId="545FC550">
      <w:pPr>
        <w:spacing w:line="400" w:lineRule="exact"/>
        <w:ind w:firstLine="360"/>
        <w:rPr>
          <w:rFonts w:hint="eastAsia" w:ascii="仿宋" w:hAnsi="仿宋" w:eastAsia="仿宋" w:cs="仿宋"/>
          <w:sz w:val="24"/>
          <w:szCs w:val="24"/>
          <w:highlight w:val="none"/>
        </w:rPr>
      </w:pPr>
      <w:r>
        <w:rPr>
          <w:rFonts w:hint="eastAsia" w:ascii="仿宋" w:hAnsi="仿宋" w:eastAsia="仿宋" w:cs="仿宋"/>
          <w:sz w:val="24"/>
          <w:szCs w:val="24"/>
          <w:highlight w:val="none"/>
        </w:rPr>
        <w:t>本单位对上述声明的真实性负责。如有虚假，将依法承担相应责任。</w:t>
      </w:r>
    </w:p>
    <w:p w14:paraId="792162CE">
      <w:pPr>
        <w:spacing w:line="0" w:lineRule="atLeast"/>
        <w:ind w:firstLine="480"/>
        <w:rPr>
          <w:rFonts w:hint="eastAsia" w:ascii="仿宋" w:hAnsi="仿宋" w:eastAsia="仿宋" w:cs="仿宋"/>
          <w:sz w:val="24"/>
          <w:highlight w:val="none"/>
        </w:rPr>
      </w:pPr>
    </w:p>
    <w:p w14:paraId="10D86363">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58698BD4">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1、如项目类型为“服务”，请按照此格式填写。</w:t>
      </w:r>
    </w:p>
    <w:p w14:paraId="64262D10">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2、专门面向中小微型企业采购的项目，投标供应商为残疾人福利性单位并提供服务的必须提供此声明函，否则将不能通过资格审查。</w:t>
      </w:r>
    </w:p>
    <w:p w14:paraId="279BB1FB">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3、非专门面向中小微型企业采购的项目，投标供应商如不提供此声明函，价格将不做相应扣除。</w:t>
      </w:r>
    </w:p>
    <w:p w14:paraId="1B07A4A1">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4、中标人为残疾人福利性单位的，此声明函将随中标结果同时公告，接受社会监督。</w:t>
      </w:r>
    </w:p>
    <w:p w14:paraId="0F43820B">
      <w:pPr>
        <w:spacing w:line="588" w:lineRule="exact"/>
        <w:ind w:firstLine="624"/>
        <w:rPr>
          <w:rFonts w:hint="eastAsia" w:ascii="仿宋" w:hAnsi="仿宋" w:eastAsia="仿宋" w:cs="仿宋"/>
          <w:spacing w:val="6"/>
          <w:sz w:val="30"/>
          <w:szCs w:val="30"/>
          <w:highlight w:val="none"/>
        </w:rPr>
      </w:pPr>
    </w:p>
    <w:p w14:paraId="2BE09366">
      <w:pPr>
        <w:tabs>
          <w:tab w:val="left" w:pos="4860"/>
        </w:tabs>
        <w:spacing w:line="0" w:lineRule="atLeast"/>
        <w:ind w:right="1559" w:firstLine="624"/>
        <w:jc w:val="center"/>
        <w:rPr>
          <w:rFonts w:hint="eastAsia" w:ascii="仿宋" w:hAnsi="仿宋" w:eastAsia="仿宋" w:cs="仿宋"/>
          <w:sz w:val="24"/>
          <w:highlight w:val="none"/>
        </w:rPr>
      </w:pPr>
      <w:r>
        <w:rPr>
          <w:rFonts w:hint="eastAsia" w:ascii="仿宋" w:hAnsi="仿宋" w:eastAsia="仿宋" w:cs="仿宋"/>
          <w:sz w:val="24"/>
          <w:highlight w:val="none"/>
        </w:rPr>
        <w:t>供应商全称（加盖CA电子公章）：</w:t>
      </w:r>
    </w:p>
    <w:p w14:paraId="61837AC2">
      <w:pPr>
        <w:tabs>
          <w:tab w:val="left" w:pos="4860"/>
        </w:tabs>
        <w:spacing w:line="0" w:lineRule="atLeast"/>
        <w:ind w:right="1559" w:firstLine="480"/>
        <w:jc w:val="center"/>
        <w:rPr>
          <w:rFonts w:hint="eastAsia" w:ascii="仿宋" w:hAnsi="仿宋" w:eastAsia="仿宋" w:cs="仿宋"/>
          <w:sz w:val="24"/>
          <w:highlight w:val="none"/>
        </w:rPr>
      </w:pPr>
    </w:p>
    <w:p w14:paraId="0C0941FE">
      <w:pPr>
        <w:tabs>
          <w:tab w:val="left" w:pos="4860"/>
        </w:tabs>
        <w:spacing w:line="0" w:lineRule="atLeast"/>
        <w:ind w:right="1559" w:firstLine="480"/>
        <w:jc w:val="center"/>
        <w:rPr>
          <w:rFonts w:hint="eastAsia" w:ascii="仿宋" w:hAnsi="仿宋" w:eastAsia="仿宋" w:cs="仿宋"/>
          <w:sz w:val="24"/>
          <w:highlight w:val="none"/>
        </w:rPr>
      </w:pPr>
      <w:r>
        <w:rPr>
          <w:rFonts w:hint="eastAsia" w:ascii="仿宋" w:hAnsi="仿宋" w:eastAsia="仿宋" w:cs="仿宋"/>
          <w:sz w:val="24"/>
          <w:highlight w:val="none"/>
        </w:rPr>
        <w:t xml:space="preserve">                          日  期：</w:t>
      </w:r>
    </w:p>
    <w:p w14:paraId="5A3554C2">
      <w:pPr>
        <w:spacing w:line="420" w:lineRule="exact"/>
        <w:jc w:val="center"/>
        <w:rPr>
          <w:rFonts w:hint="eastAsia" w:ascii="仿宋" w:hAnsi="仿宋" w:eastAsia="仿宋" w:cs="仿宋"/>
          <w:b/>
          <w:sz w:val="32"/>
          <w:szCs w:val="32"/>
          <w:highlight w:val="none"/>
        </w:rPr>
      </w:pPr>
    </w:p>
    <w:p w14:paraId="4B018C1D">
      <w:pPr>
        <w:spacing w:line="420" w:lineRule="exact"/>
        <w:rPr>
          <w:rFonts w:hint="eastAsia" w:ascii="仿宋" w:hAnsi="仿宋" w:eastAsia="仿宋" w:cs="仿宋"/>
          <w:b/>
          <w:sz w:val="24"/>
          <w:szCs w:val="24"/>
          <w:highlight w:val="none"/>
        </w:rPr>
      </w:pPr>
    </w:p>
    <w:p w14:paraId="1569151F">
      <w:pPr>
        <w:spacing w:line="420" w:lineRule="exact"/>
        <w:rPr>
          <w:rFonts w:hint="eastAsia" w:ascii="仿宋" w:hAnsi="仿宋" w:eastAsia="仿宋" w:cs="仿宋"/>
          <w:b/>
          <w:sz w:val="24"/>
          <w:szCs w:val="24"/>
          <w:highlight w:val="none"/>
        </w:rPr>
      </w:pPr>
    </w:p>
    <w:p w14:paraId="7B5BFEE7">
      <w:pPr>
        <w:spacing w:line="420" w:lineRule="exact"/>
        <w:rPr>
          <w:rFonts w:hint="eastAsia" w:ascii="仿宋" w:hAnsi="仿宋" w:eastAsia="仿宋" w:cs="仿宋"/>
          <w:b/>
          <w:sz w:val="24"/>
          <w:szCs w:val="24"/>
          <w:highlight w:val="none"/>
        </w:rPr>
      </w:pPr>
    </w:p>
    <w:p w14:paraId="134EF069">
      <w:pPr>
        <w:spacing w:line="420" w:lineRule="exact"/>
        <w:rPr>
          <w:rFonts w:hint="eastAsia" w:ascii="仿宋" w:hAnsi="仿宋" w:eastAsia="仿宋" w:cs="仿宋"/>
          <w:b/>
          <w:sz w:val="24"/>
          <w:szCs w:val="24"/>
          <w:highlight w:val="none"/>
        </w:rPr>
      </w:pPr>
    </w:p>
    <w:p w14:paraId="5669B5CC">
      <w:pPr>
        <w:spacing w:line="420" w:lineRule="exact"/>
        <w:rPr>
          <w:rFonts w:hint="eastAsia" w:ascii="仿宋" w:hAnsi="仿宋" w:eastAsia="仿宋" w:cs="仿宋"/>
          <w:b/>
          <w:sz w:val="24"/>
          <w:szCs w:val="24"/>
          <w:highlight w:val="none"/>
        </w:rPr>
      </w:pPr>
    </w:p>
    <w:p w14:paraId="30704228">
      <w:pPr>
        <w:spacing w:line="420" w:lineRule="exact"/>
        <w:rPr>
          <w:rFonts w:hint="eastAsia" w:ascii="仿宋" w:hAnsi="仿宋" w:eastAsia="仿宋" w:cs="仿宋"/>
          <w:b/>
          <w:sz w:val="24"/>
          <w:szCs w:val="24"/>
          <w:highlight w:val="none"/>
        </w:rPr>
      </w:pPr>
    </w:p>
    <w:p w14:paraId="5DA6B359">
      <w:pPr>
        <w:spacing w:line="420" w:lineRule="exact"/>
        <w:rPr>
          <w:rFonts w:hint="eastAsia" w:ascii="仿宋" w:hAnsi="仿宋" w:eastAsia="仿宋" w:cs="仿宋"/>
          <w:b/>
          <w:sz w:val="24"/>
          <w:szCs w:val="24"/>
          <w:highlight w:val="none"/>
        </w:rPr>
      </w:pPr>
    </w:p>
    <w:p w14:paraId="5F3B4DB9">
      <w:pPr>
        <w:spacing w:line="420" w:lineRule="exact"/>
        <w:rPr>
          <w:rFonts w:hint="eastAsia" w:ascii="仿宋" w:hAnsi="仿宋" w:eastAsia="仿宋" w:cs="仿宋"/>
          <w:b/>
          <w:sz w:val="24"/>
          <w:szCs w:val="24"/>
          <w:highlight w:val="none"/>
        </w:rPr>
      </w:pPr>
    </w:p>
    <w:p w14:paraId="01219DBC">
      <w:pPr>
        <w:spacing w:line="420" w:lineRule="exact"/>
        <w:rPr>
          <w:rFonts w:hint="eastAsia" w:ascii="仿宋" w:hAnsi="仿宋" w:eastAsia="仿宋" w:cs="仿宋"/>
          <w:b/>
          <w:sz w:val="24"/>
          <w:szCs w:val="24"/>
          <w:highlight w:val="none"/>
        </w:rPr>
      </w:pPr>
    </w:p>
    <w:p w14:paraId="01ACDB84">
      <w:pPr>
        <w:spacing w:line="420" w:lineRule="exact"/>
        <w:rPr>
          <w:rFonts w:hint="eastAsia" w:ascii="仿宋" w:hAnsi="仿宋" w:eastAsia="仿宋" w:cs="仿宋"/>
          <w:b/>
          <w:sz w:val="24"/>
          <w:szCs w:val="24"/>
          <w:highlight w:val="none"/>
        </w:rPr>
      </w:pPr>
    </w:p>
    <w:p w14:paraId="5F6DFC7E">
      <w:pPr>
        <w:spacing w:line="420" w:lineRule="exact"/>
        <w:rPr>
          <w:rFonts w:hint="eastAsia" w:ascii="仿宋" w:hAnsi="仿宋" w:eastAsia="仿宋" w:cs="仿宋"/>
          <w:b/>
          <w:sz w:val="24"/>
          <w:szCs w:val="24"/>
          <w:highlight w:val="none"/>
        </w:rPr>
      </w:pPr>
    </w:p>
    <w:p w14:paraId="197C5330">
      <w:pPr>
        <w:spacing w:line="420" w:lineRule="exact"/>
        <w:rPr>
          <w:rFonts w:hint="eastAsia" w:ascii="仿宋" w:hAnsi="仿宋" w:eastAsia="仿宋" w:cs="仿宋"/>
          <w:b/>
          <w:sz w:val="24"/>
          <w:szCs w:val="24"/>
          <w:highlight w:val="none"/>
        </w:rPr>
      </w:pPr>
    </w:p>
    <w:p w14:paraId="519028C3">
      <w:pPr>
        <w:spacing w:line="420" w:lineRule="exact"/>
        <w:outlineLvl w:val="0"/>
        <w:rPr>
          <w:rFonts w:hint="eastAsia" w:ascii="仿宋" w:hAnsi="仿宋" w:eastAsia="仿宋" w:cs="仿宋"/>
          <w:b/>
          <w:sz w:val="24"/>
          <w:szCs w:val="24"/>
          <w:highlight w:val="none"/>
        </w:rPr>
      </w:pPr>
      <w:bookmarkStart w:id="223" w:name="_Toc186493288"/>
    </w:p>
    <w:p w14:paraId="22788FE4">
      <w:pPr>
        <w:spacing w:line="420" w:lineRule="exact"/>
        <w:outlineLvl w:val="0"/>
        <w:rPr>
          <w:rFonts w:hint="eastAsia" w:ascii="仿宋" w:hAnsi="仿宋" w:eastAsia="仿宋" w:cs="仿宋"/>
          <w:b/>
          <w:sz w:val="24"/>
          <w:szCs w:val="24"/>
          <w:highlight w:val="none"/>
        </w:rPr>
      </w:pPr>
    </w:p>
    <w:p w14:paraId="0634E982">
      <w:pPr>
        <w:spacing w:line="420" w:lineRule="exact"/>
        <w:outlineLvl w:val="0"/>
        <w:rPr>
          <w:rFonts w:hint="eastAsia" w:ascii="仿宋" w:hAnsi="仿宋" w:eastAsia="仿宋" w:cs="仿宋"/>
          <w:b/>
          <w:sz w:val="24"/>
          <w:szCs w:val="24"/>
          <w:highlight w:val="none"/>
        </w:rPr>
      </w:pPr>
    </w:p>
    <w:p w14:paraId="36EEE53D">
      <w:pPr>
        <w:spacing w:line="420" w:lineRule="exact"/>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t>附件</w:t>
      </w:r>
      <w:bookmarkEnd w:id="223"/>
      <w:r>
        <w:rPr>
          <w:rFonts w:hint="eastAsia" w:ascii="仿宋" w:hAnsi="仿宋" w:eastAsia="仿宋" w:cs="仿宋"/>
          <w:b/>
          <w:sz w:val="24"/>
          <w:szCs w:val="24"/>
          <w:highlight w:val="none"/>
        </w:rPr>
        <w:t>9</w:t>
      </w:r>
    </w:p>
    <w:p w14:paraId="05DD13CE">
      <w:pPr>
        <w:spacing w:line="420" w:lineRule="exact"/>
        <w:jc w:val="center"/>
        <w:rPr>
          <w:rFonts w:hint="eastAsia" w:ascii="仿宋" w:hAnsi="仿宋" w:eastAsia="仿宋" w:cs="仿宋"/>
          <w:b/>
          <w:bCs/>
          <w:sz w:val="30"/>
          <w:szCs w:val="30"/>
          <w:highlight w:val="none"/>
        </w:rPr>
      </w:pPr>
      <w:r>
        <w:rPr>
          <w:rFonts w:hint="eastAsia" w:ascii="仿宋" w:hAnsi="仿宋" w:eastAsia="仿宋" w:cs="仿宋"/>
          <w:b/>
          <w:bCs/>
          <w:sz w:val="30"/>
          <w:szCs w:val="30"/>
          <w:highlight w:val="none"/>
        </w:rPr>
        <w:t>监狱和戒毒企业证明材料</w:t>
      </w:r>
    </w:p>
    <w:p w14:paraId="0D4D739F">
      <w:pPr>
        <w:spacing w:line="420" w:lineRule="exact"/>
        <w:ind w:firstLine="495"/>
        <w:rPr>
          <w:rFonts w:hint="eastAsia" w:ascii="仿宋" w:hAnsi="仿宋" w:eastAsia="仿宋" w:cs="仿宋"/>
          <w:sz w:val="28"/>
          <w:szCs w:val="28"/>
          <w:highlight w:val="none"/>
        </w:rPr>
      </w:pPr>
    </w:p>
    <w:p w14:paraId="6F594D8F">
      <w:pPr>
        <w:spacing w:line="420" w:lineRule="exact"/>
        <w:jc w:val="center"/>
        <w:rPr>
          <w:rFonts w:hint="eastAsia" w:ascii="仿宋" w:hAnsi="仿宋" w:eastAsia="仿宋" w:cs="仿宋"/>
          <w:b/>
          <w:bCs/>
          <w:sz w:val="24"/>
          <w:szCs w:val="24"/>
          <w:highlight w:val="none"/>
        </w:rPr>
      </w:pPr>
      <w:r>
        <w:rPr>
          <w:rFonts w:hint="eastAsia" w:ascii="仿宋" w:hAnsi="仿宋" w:eastAsia="仿宋" w:cs="仿宋"/>
          <w:b/>
          <w:bCs/>
          <w:sz w:val="24"/>
          <w:szCs w:val="24"/>
          <w:highlight w:val="none"/>
        </w:rPr>
        <w:t>（格式自拟）</w:t>
      </w:r>
    </w:p>
    <w:p w14:paraId="50016CFF">
      <w:pPr>
        <w:spacing w:line="420" w:lineRule="exact"/>
        <w:ind w:firstLine="495"/>
        <w:rPr>
          <w:rFonts w:hint="eastAsia" w:ascii="仿宋" w:hAnsi="仿宋" w:eastAsia="仿宋" w:cs="仿宋"/>
          <w:sz w:val="28"/>
          <w:szCs w:val="28"/>
          <w:highlight w:val="none"/>
        </w:rPr>
      </w:pPr>
    </w:p>
    <w:p w14:paraId="61BF4AD3">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根据《财政部司法部关于政府采购支持监狱企业发展有关问题的通知》（财库〔2014〕68号），监狱企业参加政府采购活动时，应当提供由省级以上监狱管理局、戒毒管理局（含新疆生产建设兵团）出具的，供应商属于监狱企业的证明文件。</w:t>
      </w:r>
    </w:p>
    <w:p w14:paraId="02A678D7">
      <w:pPr>
        <w:spacing w:line="400" w:lineRule="exact"/>
        <w:ind w:firstLine="480"/>
        <w:rPr>
          <w:rFonts w:hint="eastAsia" w:ascii="仿宋" w:hAnsi="仿宋" w:eastAsia="仿宋" w:cs="仿宋"/>
          <w:sz w:val="24"/>
          <w:szCs w:val="24"/>
          <w:highlight w:val="none"/>
        </w:rPr>
      </w:pPr>
    </w:p>
    <w:p w14:paraId="47769111">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2AA82587">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1、专门面向中小微型企业采购的项目，投标供应商如不提供此证明材料，则不能通过资格审查；非专门面向中小微型企业采购的项目，投标供应商如不提供此证明材料，价格将不做相应扣除。</w:t>
      </w:r>
    </w:p>
    <w:p w14:paraId="0FB46930">
      <w:pPr>
        <w:spacing w:line="400" w:lineRule="exact"/>
        <w:ind w:firstLine="480"/>
        <w:rPr>
          <w:rFonts w:hint="eastAsia" w:ascii="仿宋" w:hAnsi="仿宋" w:eastAsia="仿宋" w:cs="仿宋"/>
          <w:sz w:val="24"/>
          <w:szCs w:val="24"/>
          <w:highlight w:val="none"/>
        </w:rPr>
      </w:pPr>
      <w:r>
        <w:rPr>
          <w:rFonts w:hint="eastAsia" w:ascii="仿宋" w:hAnsi="仿宋" w:eastAsia="仿宋" w:cs="仿宋"/>
          <w:sz w:val="24"/>
          <w:szCs w:val="24"/>
          <w:highlight w:val="none"/>
        </w:rPr>
        <w:t>2、中标人为监狱和戒毒企业的，此证明材料将随中标结果同时公告，接受社会监督。投标供应商按照本办法规定提供证明材料内容不实的，属于提供虚假材料谋取中标、成交，依照《中华人民共和国政府采购法》等国家有关规定追究相应责任。</w:t>
      </w:r>
    </w:p>
    <w:p w14:paraId="1734124F">
      <w:pPr>
        <w:spacing w:line="400" w:lineRule="exact"/>
        <w:ind w:firstLine="480"/>
        <w:rPr>
          <w:rFonts w:hint="eastAsia" w:ascii="仿宋" w:hAnsi="仿宋" w:eastAsia="仿宋" w:cs="仿宋"/>
          <w:sz w:val="24"/>
          <w:szCs w:val="24"/>
          <w:highlight w:val="none"/>
        </w:rPr>
      </w:pPr>
    </w:p>
    <w:p w14:paraId="43AF1932">
      <w:pPr>
        <w:spacing w:line="560" w:lineRule="exact"/>
        <w:jc w:val="center"/>
        <w:rPr>
          <w:rFonts w:hint="eastAsia" w:ascii="仿宋" w:hAnsi="仿宋" w:eastAsia="仿宋" w:cs="仿宋"/>
          <w:b/>
          <w:sz w:val="32"/>
          <w:szCs w:val="32"/>
          <w:highlight w:val="none"/>
        </w:rPr>
      </w:pPr>
    </w:p>
    <w:p w14:paraId="2F666B5B">
      <w:pPr>
        <w:spacing w:line="588" w:lineRule="exact"/>
        <w:ind w:firstLine="624"/>
        <w:rPr>
          <w:rFonts w:hint="eastAsia" w:ascii="仿宋" w:hAnsi="仿宋" w:eastAsia="仿宋" w:cs="仿宋"/>
          <w:spacing w:val="6"/>
          <w:sz w:val="30"/>
          <w:szCs w:val="30"/>
          <w:highlight w:val="none"/>
        </w:rPr>
      </w:pPr>
    </w:p>
    <w:p w14:paraId="073153E2">
      <w:pPr>
        <w:tabs>
          <w:tab w:val="left" w:pos="4860"/>
        </w:tabs>
        <w:spacing w:line="0" w:lineRule="atLeast"/>
        <w:ind w:right="1559" w:firstLine="624"/>
        <w:jc w:val="center"/>
        <w:rPr>
          <w:rFonts w:hint="eastAsia" w:ascii="仿宋" w:hAnsi="仿宋" w:eastAsia="仿宋" w:cs="仿宋"/>
          <w:sz w:val="24"/>
          <w:highlight w:val="none"/>
        </w:rPr>
      </w:pPr>
      <w:r>
        <w:rPr>
          <w:rFonts w:hint="eastAsia" w:ascii="仿宋" w:hAnsi="仿宋" w:eastAsia="仿宋" w:cs="仿宋"/>
          <w:sz w:val="24"/>
          <w:highlight w:val="none"/>
        </w:rPr>
        <w:t>供应商全称（加盖CA电子公章）：</w:t>
      </w:r>
    </w:p>
    <w:p w14:paraId="0A6BC611">
      <w:pPr>
        <w:tabs>
          <w:tab w:val="left" w:pos="4860"/>
        </w:tabs>
        <w:spacing w:line="0" w:lineRule="atLeast"/>
        <w:ind w:right="1559" w:firstLine="480"/>
        <w:jc w:val="center"/>
        <w:rPr>
          <w:rFonts w:hint="eastAsia" w:ascii="仿宋" w:hAnsi="仿宋" w:eastAsia="仿宋" w:cs="仿宋"/>
          <w:sz w:val="24"/>
          <w:highlight w:val="none"/>
        </w:rPr>
      </w:pPr>
    </w:p>
    <w:p w14:paraId="639A4028">
      <w:pPr>
        <w:tabs>
          <w:tab w:val="left" w:pos="4860"/>
        </w:tabs>
        <w:spacing w:line="0" w:lineRule="atLeast"/>
        <w:ind w:right="1559" w:firstLine="480"/>
        <w:jc w:val="center"/>
        <w:rPr>
          <w:rFonts w:hint="eastAsia" w:ascii="仿宋" w:hAnsi="仿宋" w:eastAsia="仿宋" w:cs="仿宋"/>
          <w:sz w:val="24"/>
          <w:highlight w:val="none"/>
        </w:rPr>
      </w:pPr>
      <w:r>
        <w:rPr>
          <w:rFonts w:hint="eastAsia" w:ascii="仿宋" w:hAnsi="仿宋" w:eastAsia="仿宋" w:cs="仿宋"/>
          <w:sz w:val="24"/>
          <w:highlight w:val="none"/>
        </w:rPr>
        <w:t xml:space="preserve">                          日  期：</w:t>
      </w:r>
    </w:p>
    <w:p w14:paraId="2F9C3166">
      <w:pPr>
        <w:spacing w:line="560" w:lineRule="exact"/>
        <w:rPr>
          <w:rFonts w:hint="eastAsia" w:ascii="仿宋" w:hAnsi="仿宋" w:eastAsia="仿宋" w:cs="仿宋"/>
          <w:b/>
          <w:sz w:val="32"/>
          <w:szCs w:val="32"/>
          <w:highlight w:val="none"/>
        </w:rPr>
      </w:pPr>
    </w:p>
    <w:p w14:paraId="161FDAFE">
      <w:pPr>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br w:type="page" w:clear="all"/>
      </w:r>
      <w:bookmarkEnd w:id="201"/>
      <w:bookmarkEnd w:id="202"/>
      <w:bookmarkEnd w:id="203"/>
      <w:bookmarkStart w:id="224" w:name="_Toc186493289"/>
      <w:bookmarkStart w:id="225" w:name="_Toc120614284"/>
      <w:r>
        <w:rPr>
          <w:rFonts w:hint="eastAsia" w:ascii="仿宋" w:hAnsi="仿宋" w:eastAsia="仿宋" w:cs="仿宋"/>
          <w:b/>
          <w:sz w:val="24"/>
          <w:szCs w:val="24"/>
          <w:highlight w:val="none"/>
        </w:rPr>
        <w:t>附件</w:t>
      </w:r>
      <w:bookmarkEnd w:id="224"/>
      <w:r>
        <w:rPr>
          <w:rFonts w:hint="eastAsia" w:ascii="仿宋" w:hAnsi="仿宋" w:eastAsia="仿宋" w:cs="仿宋"/>
          <w:b/>
          <w:sz w:val="24"/>
          <w:szCs w:val="24"/>
          <w:highlight w:val="none"/>
        </w:rPr>
        <w:t>10</w:t>
      </w:r>
    </w:p>
    <w:p w14:paraId="5F20F9F2">
      <w:pPr>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技术要求响应及偏离表</w:t>
      </w:r>
    </w:p>
    <w:p w14:paraId="0F21912F">
      <w:pPr>
        <w:ind w:firstLine="48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（由投标供应商据实填写，表格不够自行添加）</w:t>
      </w:r>
    </w:p>
    <w:tbl>
      <w:tblPr>
        <w:tblStyle w:val="36"/>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43"/>
        <w:gridCol w:w="2300"/>
        <w:gridCol w:w="2008"/>
        <w:gridCol w:w="2591"/>
        <w:gridCol w:w="1427"/>
      </w:tblGrid>
      <w:tr w14:paraId="153196DB">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460" w:type="pct"/>
            <w:tcBorders>
              <w:top w:val="single" w:color="auto" w:sz="12" w:space="0"/>
              <w:left w:val="single" w:color="auto" w:sz="12" w:space="0"/>
              <w:bottom w:val="single" w:color="auto" w:sz="6" w:space="0"/>
              <w:right w:val="single" w:color="auto" w:sz="6" w:space="0"/>
            </w:tcBorders>
            <w:vAlign w:val="center"/>
          </w:tcPr>
          <w:p w14:paraId="15CB6A81">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序号</w:t>
            </w:r>
          </w:p>
        </w:tc>
        <w:tc>
          <w:tcPr>
            <w:tcW w:w="1254" w:type="pct"/>
            <w:tcBorders>
              <w:top w:val="single" w:color="auto" w:sz="12" w:space="0"/>
              <w:left w:val="single" w:color="auto" w:sz="6" w:space="0"/>
              <w:bottom w:val="single" w:color="auto" w:sz="6" w:space="0"/>
              <w:right w:val="single" w:color="auto" w:sz="6" w:space="0"/>
            </w:tcBorders>
            <w:vAlign w:val="center"/>
          </w:tcPr>
          <w:p w14:paraId="37C193B5">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服务名称</w:t>
            </w:r>
          </w:p>
        </w:tc>
        <w:tc>
          <w:tcPr>
            <w:tcW w:w="1095" w:type="pct"/>
            <w:tcBorders>
              <w:top w:val="single" w:color="auto" w:sz="12" w:space="0"/>
              <w:left w:val="single" w:color="auto" w:sz="6" w:space="0"/>
              <w:bottom w:val="single" w:color="auto" w:sz="6" w:space="0"/>
              <w:right w:val="single" w:color="auto" w:sz="6" w:space="0"/>
            </w:tcBorders>
            <w:vAlign w:val="center"/>
          </w:tcPr>
          <w:p w14:paraId="184C4D1D">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招标文件要求的技术要求</w:t>
            </w:r>
          </w:p>
        </w:tc>
        <w:tc>
          <w:tcPr>
            <w:tcW w:w="1413" w:type="pct"/>
            <w:tcBorders>
              <w:top w:val="single" w:color="auto" w:sz="12" w:space="0"/>
              <w:left w:val="single" w:color="auto" w:sz="6" w:space="0"/>
              <w:bottom w:val="single" w:color="auto" w:sz="6" w:space="0"/>
              <w:right w:val="single" w:color="auto" w:sz="6" w:space="0"/>
            </w:tcBorders>
            <w:vAlign w:val="center"/>
          </w:tcPr>
          <w:p w14:paraId="42371A84">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投标文件响应情况</w:t>
            </w:r>
          </w:p>
        </w:tc>
        <w:tc>
          <w:tcPr>
            <w:tcW w:w="778" w:type="pct"/>
            <w:tcBorders>
              <w:top w:val="single" w:color="auto" w:sz="12" w:space="0"/>
              <w:left w:val="single" w:color="auto" w:sz="6" w:space="0"/>
              <w:bottom w:val="single" w:color="auto" w:sz="6" w:space="0"/>
              <w:right w:val="single" w:color="auto" w:sz="12" w:space="0"/>
            </w:tcBorders>
          </w:tcPr>
          <w:p w14:paraId="570110A5">
            <w:pPr>
              <w:spacing w:line="340" w:lineRule="exact"/>
              <w:jc w:val="center"/>
              <w:rPr>
                <w:rFonts w:hint="eastAsia" w:ascii="仿宋" w:hAnsi="仿宋" w:eastAsia="仿宋" w:cs="仿宋"/>
                <w:sz w:val="24"/>
                <w:szCs w:val="24"/>
                <w:highlight w:val="none"/>
              </w:rPr>
            </w:pPr>
          </w:p>
          <w:p w14:paraId="5EE869D9">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偏离说明</w:t>
            </w:r>
          </w:p>
        </w:tc>
      </w:tr>
      <w:tr w14:paraId="05C0CB9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4" w:hRule="atLeast"/>
        </w:trPr>
        <w:tc>
          <w:tcPr>
            <w:tcW w:w="460" w:type="pct"/>
            <w:tcBorders>
              <w:top w:val="single" w:color="auto" w:sz="6" w:space="0"/>
              <w:left w:val="single" w:color="auto" w:sz="12" w:space="0"/>
              <w:bottom w:val="single" w:color="auto" w:sz="6" w:space="0"/>
              <w:right w:val="single" w:color="auto" w:sz="6" w:space="0"/>
            </w:tcBorders>
          </w:tcPr>
          <w:p w14:paraId="2A750E0D">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254" w:type="pct"/>
            <w:tcBorders>
              <w:top w:val="single" w:color="auto" w:sz="6" w:space="0"/>
              <w:left w:val="single" w:color="auto" w:sz="6" w:space="0"/>
              <w:bottom w:val="single" w:color="auto" w:sz="6" w:space="0"/>
              <w:right w:val="single" w:color="auto" w:sz="6" w:space="0"/>
            </w:tcBorders>
            <w:vAlign w:val="center"/>
          </w:tcPr>
          <w:p w14:paraId="67A8CEEE">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521761DE">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66126095">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6A101349">
            <w:pPr>
              <w:spacing w:line="340" w:lineRule="exact"/>
              <w:jc w:val="left"/>
              <w:rPr>
                <w:rFonts w:hint="eastAsia" w:ascii="仿宋" w:hAnsi="仿宋" w:eastAsia="仿宋" w:cs="仿宋"/>
                <w:sz w:val="24"/>
                <w:szCs w:val="24"/>
                <w:highlight w:val="none"/>
              </w:rPr>
            </w:pPr>
          </w:p>
        </w:tc>
      </w:tr>
      <w:tr w14:paraId="08A75C40">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460" w:type="pct"/>
            <w:tcBorders>
              <w:top w:val="single" w:color="auto" w:sz="6" w:space="0"/>
              <w:left w:val="single" w:color="auto" w:sz="12" w:space="0"/>
              <w:bottom w:val="single" w:color="auto" w:sz="6" w:space="0"/>
              <w:right w:val="single" w:color="auto" w:sz="6" w:space="0"/>
            </w:tcBorders>
          </w:tcPr>
          <w:p w14:paraId="504EFAD4">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1254" w:type="pct"/>
            <w:tcBorders>
              <w:top w:val="single" w:color="auto" w:sz="6" w:space="0"/>
              <w:left w:val="single" w:color="auto" w:sz="6" w:space="0"/>
              <w:bottom w:val="single" w:color="auto" w:sz="6" w:space="0"/>
              <w:right w:val="single" w:color="auto" w:sz="6" w:space="0"/>
            </w:tcBorders>
            <w:vAlign w:val="center"/>
          </w:tcPr>
          <w:p w14:paraId="00F97FD8">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7EAA395D">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636791F4">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17573C0C">
            <w:pPr>
              <w:spacing w:line="340" w:lineRule="exact"/>
              <w:jc w:val="left"/>
              <w:rPr>
                <w:rFonts w:hint="eastAsia" w:ascii="仿宋" w:hAnsi="仿宋" w:eastAsia="仿宋" w:cs="仿宋"/>
                <w:sz w:val="24"/>
                <w:szCs w:val="24"/>
                <w:highlight w:val="none"/>
              </w:rPr>
            </w:pPr>
          </w:p>
        </w:tc>
      </w:tr>
      <w:tr w14:paraId="2AB5B1F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60" w:type="pct"/>
            <w:tcBorders>
              <w:top w:val="single" w:color="auto" w:sz="6" w:space="0"/>
              <w:left w:val="single" w:color="auto" w:sz="12" w:space="0"/>
              <w:bottom w:val="single" w:color="auto" w:sz="6" w:space="0"/>
              <w:right w:val="single" w:color="auto" w:sz="6" w:space="0"/>
            </w:tcBorders>
          </w:tcPr>
          <w:p w14:paraId="178AA618">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c>
          <w:tcPr>
            <w:tcW w:w="1254" w:type="pct"/>
            <w:tcBorders>
              <w:top w:val="single" w:color="auto" w:sz="6" w:space="0"/>
              <w:left w:val="single" w:color="auto" w:sz="6" w:space="0"/>
              <w:bottom w:val="single" w:color="auto" w:sz="6" w:space="0"/>
              <w:right w:val="single" w:color="auto" w:sz="6" w:space="0"/>
            </w:tcBorders>
            <w:vAlign w:val="center"/>
          </w:tcPr>
          <w:p w14:paraId="3D12ABF4">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105B8330">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21C49039">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0CDD8EA3">
            <w:pPr>
              <w:spacing w:line="340" w:lineRule="exact"/>
              <w:jc w:val="left"/>
              <w:rPr>
                <w:rFonts w:hint="eastAsia" w:ascii="仿宋" w:hAnsi="仿宋" w:eastAsia="仿宋" w:cs="仿宋"/>
                <w:sz w:val="24"/>
                <w:szCs w:val="24"/>
                <w:highlight w:val="none"/>
              </w:rPr>
            </w:pPr>
          </w:p>
        </w:tc>
      </w:tr>
      <w:tr w14:paraId="27DB65CD">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tcPr>
          <w:p w14:paraId="17795E1F">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1254" w:type="pct"/>
            <w:tcBorders>
              <w:top w:val="single" w:color="auto" w:sz="6" w:space="0"/>
              <w:left w:val="single" w:color="auto" w:sz="6" w:space="0"/>
              <w:bottom w:val="single" w:color="auto" w:sz="6" w:space="0"/>
              <w:right w:val="single" w:color="auto" w:sz="6" w:space="0"/>
            </w:tcBorders>
            <w:vAlign w:val="center"/>
          </w:tcPr>
          <w:p w14:paraId="261C9BBD">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328F5849">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403AABF5">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25E39BC4">
            <w:pPr>
              <w:spacing w:line="340" w:lineRule="exact"/>
              <w:jc w:val="left"/>
              <w:rPr>
                <w:rFonts w:hint="eastAsia" w:ascii="仿宋" w:hAnsi="仿宋" w:eastAsia="仿宋" w:cs="仿宋"/>
                <w:sz w:val="24"/>
                <w:szCs w:val="24"/>
                <w:highlight w:val="none"/>
              </w:rPr>
            </w:pPr>
          </w:p>
        </w:tc>
      </w:tr>
      <w:tr w14:paraId="28783AB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843" w:type="dxa"/>
            <w:tcBorders>
              <w:top w:val="single" w:color="auto" w:sz="6" w:space="0"/>
              <w:left w:val="single" w:color="auto" w:sz="12" w:space="0"/>
              <w:bottom w:val="single" w:color="auto" w:sz="6" w:space="0"/>
              <w:right w:val="single" w:color="auto" w:sz="6" w:space="0"/>
            </w:tcBorders>
            <w:vAlign w:val="center"/>
          </w:tcPr>
          <w:p w14:paraId="26DD3AC6">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2300" w:type="dxa"/>
            <w:tcBorders>
              <w:top w:val="single" w:color="auto" w:sz="6" w:space="0"/>
              <w:left w:val="single" w:color="auto" w:sz="6" w:space="0"/>
              <w:bottom w:val="single" w:color="auto" w:sz="6" w:space="0"/>
              <w:right w:val="single" w:color="auto" w:sz="6" w:space="0"/>
            </w:tcBorders>
            <w:vAlign w:val="center"/>
          </w:tcPr>
          <w:p w14:paraId="1024747B">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1095" w:type="pct"/>
            <w:tcBorders>
              <w:top w:val="single" w:color="auto" w:sz="6" w:space="0"/>
              <w:left w:val="single" w:color="auto" w:sz="6" w:space="0"/>
              <w:bottom w:val="single" w:color="auto" w:sz="6" w:space="0"/>
              <w:right w:val="single" w:color="auto" w:sz="6" w:space="0"/>
            </w:tcBorders>
            <w:vAlign w:val="center"/>
          </w:tcPr>
          <w:p w14:paraId="61954F26">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380A550C">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7F6D8AF1">
            <w:pPr>
              <w:spacing w:line="340" w:lineRule="exact"/>
              <w:jc w:val="left"/>
              <w:rPr>
                <w:rFonts w:hint="eastAsia" w:ascii="仿宋" w:hAnsi="仿宋" w:eastAsia="仿宋" w:cs="仿宋"/>
                <w:sz w:val="24"/>
                <w:szCs w:val="24"/>
                <w:highlight w:val="none"/>
              </w:rPr>
            </w:pPr>
          </w:p>
        </w:tc>
      </w:tr>
    </w:tbl>
    <w:p w14:paraId="27720974">
      <w:pPr>
        <w:spacing w:line="400" w:lineRule="exact"/>
        <w:rPr>
          <w:rFonts w:hint="eastAsia" w:ascii="仿宋" w:hAnsi="仿宋" w:eastAsia="仿宋" w:cs="仿宋"/>
          <w:sz w:val="24"/>
          <w:szCs w:val="24"/>
          <w:highlight w:val="none"/>
        </w:rPr>
      </w:pPr>
    </w:p>
    <w:p w14:paraId="5CE161BC">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4D6F44C9">
      <w:pPr>
        <w:numPr>
          <w:ilvl w:val="0"/>
          <w:numId w:val="4"/>
        </w:numPr>
        <w:spacing w:line="300" w:lineRule="auto"/>
        <w:contextualSpacing/>
        <w:rPr>
          <w:rFonts w:hint="eastAsia" w:ascii="仿宋" w:hAnsi="仿宋" w:eastAsia="仿宋" w:cs="仿宋"/>
          <w:b/>
          <w:bCs/>
          <w:sz w:val="24"/>
          <w:highlight w:val="none"/>
        </w:rPr>
      </w:pPr>
      <w:r>
        <w:rPr>
          <w:rFonts w:hint="eastAsia" w:ascii="仿宋" w:hAnsi="仿宋" w:eastAsia="仿宋" w:cs="仿宋"/>
          <w:b/>
          <w:bCs/>
          <w:sz w:val="24"/>
          <w:highlight w:val="none"/>
        </w:rPr>
        <w:t>投标供应商提交的投标文件中与招标文件第四章“采购需求”中的技术要求如有偏离的，应逐条填列在偏离表中。</w:t>
      </w:r>
    </w:p>
    <w:p w14:paraId="40AEA48B">
      <w:pPr>
        <w:spacing w:line="300" w:lineRule="auto"/>
        <w:contextualSpacing/>
        <w:rPr>
          <w:rFonts w:hint="eastAsia" w:ascii="仿宋" w:hAnsi="仿宋" w:eastAsia="仿宋" w:cs="仿宋"/>
          <w:sz w:val="24"/>
          <w:highlight w:val="none"/>
        </w:rPr>
      </w:pPr>
      <w:r>
        <w:rPr>
          <w:rFonts w:hint="eastAsia" w:ascii="仿宋" w:hAnsi="仿宋" w:eastAsia="仿宋" w:cs="仿宋"/>
          <w:sz w:val="24"/>
          <w:highlight w:val="none"/>
        </w:rPr>
        <w:t>2.“偏离说明”一栏选择“正偏离”、“无偏离”、“负偏离”进行填写。未填写的内容视为完全响应本招标文件要求。正偏离、无偏离的确认和负偏离是否响应招标文件，由评委会认定。</w:t>
      </w:r>
    </w:p>
    <w:p w14:paraId="06EB33F4">
      <w:pPr>
        <w:pStyle w:val="35"/>
        <w:rPr>
          <w:rFonts w:hint="eastAsia" w:ascii="仿宋" w:hAnsi="仿宋" w:eastAsia="仿宋" w:cs="仿宋"/>
          <w:highlight w:val="none"/>
        </w:rPr>
      </w:pPr>
    </w:p>
    <w:p w14:paraId="0834C7C0">
      <w:pPr>
        <w:spacing w:line="588" w:lineRule="exact"/>
        <w:rPr>
          <w:rFonts w:hint="eastAsia" w:ascii="仿宋" w:hAnsi="仿宋" w:eastAsia="仿宋" w:cs="仿宋"/>
          <w:spacing w:val="6"/>
          <w:sz w:val="30"/>
          <w:szCs w:val="30"/>
          <w:highlight w:val="none"/>
        </w:rPr>
      </w:pPr>
    </w:p>
    <w:p w14:paraId="6BDFB563">
      <w:pPr>
        <w:tabs>
          <w:tab w:val="left" w:pos="4860"/>
        </w:tabs>
        <w:spacing w:line="0" w:lineRule="atLeast"/>
        <w:ind w:right="1559" w:firstLine="624"/>
        <w:jc w:val="center"/>
        <w:rPr>
          <w:rFonts w:hint="eastAsia" w:ascii="仿宋" w:hAnsi="仿宋" w:eastAsia="仿宋" w:cs="仿宋"/>
          <w:sz w:val="24"/>
          <w:highlight w:val="none"/>
        </w:rPr>
      </w:pPr>
      <w:r>
        <w:rPr>
          <w:rFonts w:hint="eastAsia" w:ascii="仿宋" w:hAnsi="仿宋" w:eastAsia="仿宋" w:cs="仿宋"/>
          <w:sz w:val="24"/>
          <w:highlight w:val="none"/>
        </w:rPr>
        <w:t>供应商全称（加盖CA电子公章）：</w:t>
      </w:r>
    </w:p>
    <w:p w14:paraId="003E905A">
      <w:pPr>
        <w:tabs>
          <w:tab w:val="left" w:pos="4860"/>
        </w:tabs>
        <w:spacing w:line="0" w:lineRule="atLeast"/>
        <w:ind w:right="1559" w:firstLine="480"/>
        <w:jc w:val="center"/>
        <w:rPr>
          <w:rFonts w:hint="eastAsia" w:ascii="仿宋" w:hAnsi="仿宋" w:eastAsia="仿宋" w:cs="仿宋"/>
          <w:sz w:val="24"/>
          <w:highlight w:val="none"/>
        </w:rPr>
      </w:pPr>
    </w:p>
    <w:p w14:paraId="7B348A0F">
      <w:pPr>
        <w:tabs>
          <w:tab w:val="left" w:pos="4860"/>
        </w:tabs>
        <w:spacing w:line="0" w:lineRule="atLeast"/>
        <w:ind w:right="1559" w:firstLine="480"/>
        <w:jc w:val="center"/>
        <w:rPr>
          <w:rFonts w:hint="eastAsia" w:ascii="仿宋" w:hAnsi="仿宋" w:eastAsia="仿宋" w:cs="仿宋"/>
          <w:sz w:val="24"/>
          <w:highlight w:val="none"/>
        </w:rPr>
      </w:pPr>
      <w:r>
        <w:rPr>
          <w:rFonts w:hint="eastAsia" w:ascii="仿宋" w:hAnsi="仿宋" w:eastAsia="仿宋" w:cs="仿宋"/>
          <w:sz w:val="24"/>
          <w:highlight w:val="none"/>
        </w:rPr>
        <w:t xml:space="preserve">                          日  期：</w:t>
      </w:r>
    </w:p>
    <w:p w14:paraId="29A15897">
      <w:pPr>
        <w:spacing w:line="400" w:lineRule="exact"/>
        <w:rPr>
          <w:rFonts w:hint="eastAsia" w:ascii="仿宋" w:hAnsi="仿宋" w:eastAsia="仿宋" w:cs="仿宋"/>
          <w:sz w:val="24"/>
          <w:szCs w:val="24"/>
          <w:highlight w:val="none"/>
        </w:rPr>
      </w:pPr>
    </w:p>
    <w:p w14:paraId="2DD05360">
      <w:pPr>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br w:type="page" w:clear="all"/>
      </w:r>
      <w:bookmarkStart w:id="226" w:name="_Toc186493290"/>
      <w:r>
        <w:rPr>
          <w:rFonts w:hint="eastAsia" w:ascii="仿宋" w:hAnsi="仿宋" w:eastAsia="仿宋" w:cs="仿宋"/>
          <w:b/>
          <w:sz w:val="24"/>
          <w:szCs w:val="24"/>
          <w:highlight w:val="none"/>
        </w:rPr>
        <w:t>附件1</w:t>
      </w:r>
      <w:bookmarkEnd w:id="226"/>
      <w:r>
        <w:rPr>
          <w:rFonts w:hint="eastAsia" w:ascii="仿宋" w:hAnsi="仿宋" w:eastAsia="仿宋" w:cs="仿宋"/>
          <w:b/>
          <w:sz w:val="24"/>
          <w:szCs w:val="24"/>
          <w:highlight w:val="none"/>
        </w:rPr>
        <w:t>1</w:t>
      </w:r>
    </w:p>
    <w:p w14:paraId="2C1B5E65">
      <w:pPr>
        <w:jc w:val="center"/>
        <w:rPr>
          <w:rFonts w:hint="eastAsia" w:ascii="仿宋" w:hAnsi="仿宋" w:eastAsia="仿宋" w:cs="仿宋"/>
          <w:b/>
          <w:sz w:val="30"/>
          <w:szCs w:val="30"/>
          <w:highlight w:val="none"/>
        </w:rPr>
      </w:pPr>
      <w:r>
        <w:rPr>
          <w:rFonts w:hint="eastAsia" w:ascii="仿宋" w:hAnsi="仿宋" w:eastAsia="仿宋" w:cs="仿宋"/>
          <w:b/>
          <w:sz w:val="30"/>
          <w:szCs w:val="30"/>
          <w:highlight w:val="none"/>
        </w:rPr>
        <w:t>商务要求响应及偏离表</w:t>
      </w:r>
    </w:p>
    <w:p w14:paraId="31011E56">
      <w:pPr>
        <w:ind w:firstLine="480"/>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（由投标供应商据实填写，表格不够自行添加）</w:t>
      </w:r>
    </w:p>
    <w:tbl>
      <w:tblPr>
        <w:tblStyle w:val="36"/>
        <w:tblW w:w="5000" w:type="pct"/>
        <w:tblInd w:w="0" w:type="dxa"/>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Layout w:type="autofit"/>
        <w:tblCellMar>
          <w:top w:w="0" w:type="dxa"/>
          <w:left w:w="108" w:type="dxa"/>
          <w:bottom w:w="0" w:type="dxa"/>
          <w:right w:w="108" w:type="dxa"/>
        </w:tblCellMar>
      </w:tblPr>
      <w:tblGrid>
        <w:gridCol w:w="843"/>
        <w:gridCol w:w="2300"/>
        <w:gridCol w:w="2008"/>
        <w:gridCol w:w="2591"/>
        <w:gridCol w:w="1427"/>
      </w:tblGrid>
      <w:tr w14:paraId="5947E69C">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994" w:hRule="atLeast"/>
        </w:trPr>
        <w:tc>
          <w:tcPr>
            <w:tcW w:w="460" w:type="pct"/>
            <w:tcBorders>
              <w:top w:val="single" w:color="auto" w:sz="12" w:space="0"/>
              <w:left w:val="single" w:color="auto" w:sz="12" w:space="0"/>
              <w:bottom w:val="single" w:color="auto" w:sz="6" w:space="0"/>
              <w:right w:val="single" w:color="auto" w:sz="6" w:space="0"/>
            </w:tcBorders>
            <w:vAlign w:val="center"/>
          </w:tcPr>
          <w:p w14:paraId="12F59453">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序号</w:t>
            </w:r>
          </w:p>
        </w:tc>
        <w:tc>
          <w:tcPr>
            <w:tcW w:w="1254" w:type="pct"/>
            <w:tcBorders>
              <w:top w:val="single" w:color="auto" w:sz="12" w:space="0"/>
              <w:left w:val="single" w:color="auto" w:sz="6" w:space="0"/>
              <w:bottom w:val="single" w:color="auto" w:sz="6" w:space="0"/>
              <w:right w:val="single" w:color="auto" w:sz="6" w:space="0"/>
            </w:tcBorders>
            <w:vAlign w:val="center"/>
          </w:tcPr>
          <w:p w14:paraId="7247E7C6">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服务名称</w:t>
            </w:r>
          </w:p>
        </w:tc>
        <w:tc>
          <w:tcPr>
            <w:tcW w:w="1095" w:type="pct"/>
            <w:tcBorders>
              <w:top w:val="single" w:color="auto" w:sz="12" w:space="0"/>
              <w:left w:val="single" w:color="auto" w:sz="6" w:space="0"/>
              <w:bottom w:val="single" w:color="auto" w:sz="6" w:space="0"/>
              <w:right w:val="single" w:color="auto" w:sz="6" w:space="0"/>
            </w:tcBorders>
            <w:vAlign w:val="center"/>
          </w:tcPr>
          <w:p w14:paraId="4B939CE7">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招标文件要求的商务条款</w:t>
            </w:r>
          </w:p>
        </w:tc>
        <w:tc>
          <w:tcPr>
            <w:tcW w:w="1413" w:type="pct"/>
            <w:tcBorders>
              <w:top w:val="single" w:color="auto" w:sz="12" w:space="0"/>
              <w:left w:val="single" w:color="auto" w:sz="6" w:space="0"/>
              <w:bottom w:val="single" w:color="auto" w:sz="6" w:space="0"/>
              <w:right w:val="single" w:color="auto" w:sz="6" w:space="0"/>
            </w:tcBorders>
            <w:vAlign w:val="center"/>
          </w:tcPr>
          <w:p w14:paraId="78F71B10">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投标文件响应情况</w:t>
            </w:r>
          </w:p>
        </w:tc>
        <w:tc>
          <w:tcPr>
            <w:tcW w:w="778" w:type="pct"/>
            <w:tcBorders>
              <w:top w:val="single" w:color="auto" w:sz="12" w:space="0"/>
              <w:left w:val="single" w:color="auto" w:sz="6" w:space="0"/>
              <w:bottom w:val="single" w:color="auto" w:sz="6" w:space="0"/>
              <w:right w:val="single" w:color="auto" w:sz="12" w:space="0"/>
            </w:tcBorders>
          </w:tcPr>
          <w:p w14:paraId="3AD62A27">
            <w:pPr>
              <w:spacing w:line="340" w:lineRule="exact"/>
              <w:jc w:val="center"/>
              <w:rPr>
                <w:rFonts w:hint="eastAsia" w:ascii="仿宋" w:hAnsi="仿宋" w:eastAsia="仿宋" w:cs="仿宋"/>
                <w:sz w:val="24"/>
                <w:szCs w:val="24"/>
                <w:highlight w:val="none"/>
              </w:rPr>
            </w:pPr>
          </w:p>
          <w:p w14:paraId="451BDF07">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偏离说明</w:t>
            </w:r>
          </w:p>
        </w:tc>
      </w:tr>
      <w:tr w14:paraId="5F62AD19">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69" w:hRule="atLeast"/>
        </w:trPr>
        <w:tc>
          <w:tcPr>
            <w:tcW w:w="460" w:type="pct"/>
            <w:tcBorders>
              <w:top w:val="single" w:color="auto" w:sz="6" w:space="0"/>
              <w:left w:val="single" w:color="auto" w:sz="12" w:space="0"/>
              <w:bottom w:val="single" w:color="auto" w:sz="6" w:space="0"/>
              <w:right w:val="single" w:color="auto" w:sz="6" w:space="0"/>
            </w:tcBorders>
          </w:tcPr>
          <w:p w14:paraId="3666CB0F">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1254" w:type="pct"/>
            <w:tcBorders>
              <w:top w:val="single" w:color="auto" w:sz="6" w:space="0"/>
              <w:left w:val="single" w:color="auto" w:sz="6" w:space="0"/>
              <w:bottom w:val="single" w:color="auto" w:sz="6" w:space="0"/>
              <w:right w:val="single" w:color="auto" w:sz="6" w:space="0"/>
            </w:tcBorders>
            <w:vAlign w:val="center"/>
          </w:tcPr>
          <w:p w14:paraId="2088D6DE">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3CA7C303">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0AF1250E">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60275131">
            <w:pPr>
              <w:spacing w:line="340" w:lineRule="exact"/>
              <w:jc w:val="left"/>
              <w:rPr>
                <w:rFonts w:hint="eastAsia" w:ascii="仿宋" w:hAnsi="仿宋" w:eastAsia="仿宋" w:cs="仿宋"/>
                <w:sz w:val="24"/>
                <w:szCs w:val="24"/>
                <w:highlight w:val="none"/>
              </w:rPr>
            </w:pPr>
          </w:p>
        </w:tc>
      </w:tr>
      <w:tr w14:paraId="0332A413">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548" w:hRule="atLeast"/>
        </w:trPr>
        <w:tc>
          <w:tcPr>
            <w:tcW w:w="460" w:type="pct"/>
            <w:tcBorders>
              <w:top w:val="single" w:color="auto" w:sz="6" w:space="0"/>
              <w:left w:val="single" w:color="auto" w:sz="12" w:space="0"/>
              <w:bottom w:val="single" w:color="auto" w:sz="6" w:space="0"/>
              <w:right w:val="single" w:color="auto" w:sz="6" w:space="0"/>
            </w:tcBorders>
          </w:tcPr>
          <w:p w14:paraId="6797924A">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1254" w:type="pct"/>
            <w:tcBorders>
              <w:top w:val="single" w:color="auto" w:sz="6" w:space="0"/>
              <w:left w:val="single" w:color="auto" w:sz="6" w:space="0"/>
              <w:bottom w:val="single" w:color="auto" w:sz="6" w:space="0"/>
              <w:right w:val="single" w:color="auto" w:sz="6" w:space="0"/>
            </w:tcBorders>
            <w:vAlign w:val="center"/>
          </w:tcPr>
          <w:p w14:paraId="3CD4048A">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2CBEEBF0">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336E2CCE">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24B9B3C7">
            <w:pPr>
              <w:spacing w:line="340" w:lineRule="exact"/>
              <w:jc w:val="left"/>
              <w:rPr>
                <w:rFonts w:hint="eastAsia" w:ascii="仿宋" w:hAnsi="仿宋" w:eastAsia="仿宋" w:cs="仿宋"/>
                <w:sz w:val="24"/>
                <w:szCs w:val="24"/>
                <w:highlight w:val="none"/>
              </w:rPr>
            </w:pPr>
          </w:p>
        </w:tc>
      </w:tr>
      <w:tr w14:paraId="2AA7EE11">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00" w:hRule="atLeast"/>
        </w:trPr>
        <w:tc>
          <w:tcPr>
            <w:tcW w:w="460" w:type="pct"/>
            <w:tcBorders>
              <w:top w:val="single" w:color="auto" w:sz="6" w:space="0"/>
              <w:left w:val="single" w:color="auto" w:sz="12" w:space="0"/>
              <w:bottom w:val="single" w:color="auto" w:sz="6" w:space="0"/>
              <w:right w:val="single" w:color="auto" w:sz="6" w:space="0"/>
            </w:tcBorders>
          </w:tcPr>
          <w:p w14:paraId="48CD2B05">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3</w:t>
            </w:r>
          </w:p>
        </w:tc>
        <w:tc>
          <w:tcPr>
            <w:tcW w:w="1254" w:type="pct"/>
            <w:tcBorders>
              <w:top w:val="single" w:color="auto" w:sz="6" w:space="0"/>
              <w:left w:val="single" w:color="auto" w:sz="6" w:space="0"/>
              <w:bottom w:val="single" w:color="auto" w:sz="6" w:space="0"/>
              <w:right w:val="single" w:color="auto" w:sz="6" w:space="0"/>
            </w:tcBorders>
            <w:vAlign w:val="center"/>
          </w:tcPr>
          <w:p w14:paraId="01F8288D">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28386983">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17349A97">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581B4EB9">
            <w:pPr>
              <w:spacing w:line="340" w:lineRule="exact"/>
              <w:jc w:val="left"/>
              <w:rPr>
                <w:rFonts w:hint="eastAsia" w:ascii="仿宋" w:hAnsi="仿宋" w:eastAsia="仿宋" w:cs="仿宋"/>
                <w:sz w:val="24"/>
                <w:szCs w:val="24"/>
                <w:highlight w:val="none"/>
              </w:rPr>
            </w:pPr>
          </w:p>
        </w:tc>
      </w:tr>
      <w:tr w14:paraId="1D3CD4C5">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460" w:type="pct"/>
            <w:tcBorders>
              <w:top w:val="single" w:color="auto" w:sz="6" w:space="0"/>
              <w:left w:val="single" w:color="auto" w:sz="12" w:space="0"/>
              <w:bottom w:val="single" w:color="auto" w:sz="6" w:space="0"/>
              <w:right w:val="single" w:color="auto" w:sz="6" w:space="0"/>
            </w:tcBorders>
          </w:tcPr>
          <w:p w14:paraId="0764DA5F">
            <w:pPr>
              <w:spacing w:line="34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4</w:t>
            </w:r>
          </w:p>
        </w:tc>
        <w:tc>
          <w:tcPr>
            <w:tcW w:w="1254" w:type="pct"/>
            <w:tcBorders>
              <w:top w:val="single" w:color="auto" w:sz="6" w:space="0"/>
              <w:left w:val="single" w:color="auto" w:sz="6" w:space="0"/>
              <w:bottom w:val="single" w:color="auto" w:sz="6" w:space="0"/>
              <w:right w:val="single" w:color="auto" w:sz="6" w:space="0"/>
            </w:tcBorders>
            <w:vAlign w:val="center"/>
          </w:tcPr>
          <w:p w14:paraId="431A19F8">
            <w:pPr>
              <w:spacing w:line="340" w:lineRule="exact"/>
              <w:jc w:val="left"/>
              <w:rPr>
                <w:rFonts w:hint="eastAsia" w:ascii="仿宋" w:hAnsi="仿宋" w:eastAsia="仿宋" w:cs="仿宋"/>
                <w:sz w:val="24"/>
                <w:szCs w:val="24"/>
                <w:highlight w:val="none"/>
              </w:rPr>
            </w:pPr>
          </w:p>
        </w:tc>
        <w:tc>
          <w:tcPr>
            <w:tcW w:w="1095" w:type="pct"/>
            <w:tcBorders>
              <w:top w:val="single" w:color="auto" w:sz="6" w:space="0"/>
              <w:left w:val="single" w:color="auto" w:sz="6" w:space="0"/>
              <w:bottom w:val="single" w:color="auto" w:sz="6" w:space="0"/>
              <w:right w:val="single" w:color="auto" w:sz="6" w:space="0"/>
            </w:tcBorders>
            <w:vAlign w:val="center"/>
          </w:tcPr>
          <w:p w14:paraId="5B63266B">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05C5C339">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0EDF07D9">
            <w:pPr>
              <w:spacing w:line="340" w:lineRule="exact"/>
              <w:jc w:val="left"/>
              <w:rPr>
                <w:rFonts w:hint="eastAsia" w:ascii="仿宋" w:hAnsi="仿宋" w:eastAsia="仿宋" w:cs="仿宋"/>
                <w:sz w:val="24"/>
                <w:szCs w:val="24"/>
                <w:highlight w:val="none"/>
              </w:rPr>
            </w:pPr>
          </w:p>
        </w:tc>
      </w:tr>
      <w:tr w14:paraId="57602F06">
        <w:tblPrEx>
          <w:tblBorders>
            <w:top w:val="single" w:color="auto" w:sz="12" w:space="0"/>
            <w:left w:val="single" w:color="auto" w:sz="12" w:space="0"/>
            <w:bottom w:val="single" w:color="auto" w:sz="12" w:space="0"/>
            <w:right w:val="single" w:color="auto" w:sz="12" w:space="0"/>
            <w:insideH w:val="single" w:color="auto" w:sz="6" w:space="0"/>
            <w:insideV w:val="single" w:color="auto" w:sz="6" w:space="0"/>
          </w:tblBorders>
          <w:tblCellMar>
            <w:top w:w="0" w:type="dxa"/>
            <w:left w:w="108" w:type="dxa"/>
            <w:bottom w:w="0" w:type="dxa"/>
            <w:right w:w="108" w:type="dxa"/>
          </w:tblCellMar>
        </w:tblPrEx>
        <w:trPr>
          <w:trHeight w:val="419" w:hRule="atLeast"/>
        </w:trPr>
        <w:tc>
          <w:tcPr>
            <w:tcW w:w="843" w:type="dxa"/>
            <w:tcBorders>
              <w:top w:val="single" w:color="auto" w:sz="6" w:space="0"/>
              <w:left w:val="single" w:color="auto" w:sz="12" w:space="0"/>
              <w:bottom w:val="single" w:color="auto" w:sz="6" w:space="0"/>
              <w:right w:val="single" w:color="auto" w:sz="6" w:space="0"/>
            </w:tcBorders>
            <w:vAlign w:val="center"/>
          </w:tcPr>
          <w:p w14:paraId="41BB413D">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2300" w:type="dxa"/>
            <w:tcBorders>
              <w:top w:val="single" w:color="auto" w:sz="6" w:space="0"/>
              <w:left w:val="single" w:color="auto" w:sz="6" w:space="0"/>
              <w:bottom w:val="single" w:color="auto" w:sz="6" w:space="0"/>
              <w:right w:val="single" w:color="auto" w:sz="6" w:space="0"/>
            </w:tcBorders>
            <w:vAlign w:val="center"/>
          </w:tcPr>
          <w:p w14:paraId="47C2996D">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1095" w:type="pct"/>
            <w:tcBorders>
              <w:top w:val="single" w:color="auto" w:sz="6" w:space="0"/>
              <w:left w:val="single" w:color="auto" w:sz="6" w:space="0"/>
              <w:bottom w:val="single" w:color="auto" w:sz="6" w:space="0"/>
              <w:right w:val="single" w:color="auto" w:sz="6" w:space="0"/>
            </w:tcBorders>
            <w:vAlign w:val="center"/>
          </w:tcPr>
          <w:p w14:paraId="0F84C364">
            <w:pPr>
              <w:spacing w:line="340" w:lineRule="exact"/>
              <w:jc w:val="left"/>
              <w:rPr>
                <w:rFonts w:hint="eastAsia" w:ascii="仿宋" w:hAnsi="仿宋" w:eastAsia="仿宋" w:cs="仿宋"/>
                <w:sz w:val="24"/>
                <w:szCs w:val="24"/>
                <w:highlight w:val="none"/>
              </w:rPr>
            </w:pPr>
          </w:p>
        </w:tc>
        <w:tc>
          <w:tcPr>
            <w:tcW w:w="1413" w:type="pct"/>
            <w:tcBorders>
              <w:top w:val="single" w:color="auto" w:sz="6" w:space="0"/>
              <w:left w:val="single" w:color="auto" w:sz="6" w:space="0"/>
              <w:bottom w:val="single" w:color="auto" w:sz="6" w:space="0"/>
              <w:right w:val="single" w:color="auto" w:sz="6" w:space="0"/>
            </w:tcBorders>
            <w:vAlign w:val="center"/>
          </w:tcPr>
          <w:p w14:paraId="7348902B">
            <w:pPr>
              <w:spacing w:line="340" w:lineRule="exact"/>
              <w:jc w:val="left"/>
              <w:rPr>
                <w:rFonts w:hint="eastAsia" w:ascii="仿宋" w:hAnsi="仿宋" w:eastAsia="仿宋" w:cs="仿宋"/>
                <w:sz w:val="24"/>
                <w:szCs w:val="24"/>
                <w:highlight w:val="none"/>
              </w:rPr>
            </w:pPr>
          </w:p>
        </w:tc>
        <w:tc>
          <w:tcPr>
            <w:tcW w:w="778" w:type="pct"/>
            <w:tcBorders>
              <w:top w:val="single" w:color="auto" w:sz="6" w:space="0"/>
              <w:left w:val="single" w:color="auto" w:sz="6" w:space="0"/>
              <w:bottom w:val="single" w:color="auto" w:sz="6" w:space="0"/>
              <w:right w:val="single" w:color="auto" w:sz="12" w:space="0"/>
            </w:tcBorders>
          </w:tcPr>
          <w:p w14:paraId="41CFAE58">
            <w:pPr>
              <w:spacing w:line="340" w:lineRule="exact"/>
              <w:jc w:val="left"/>
              <w:rPr>
                <w:rFonts w:hint="eastAsia" w:ascii="仿宋" w:hAnsi="仿宋" w:eastAsia="仿宋" w:cs="仿宋"/>
                <w:sz w:val="24"/>
                <w:szCs w:val="24"/>
                <w:highlight w:val="none"/>
              </w:rPr>
            </w:pPr>
          </w:p>
        </w:tc>
      </w:tr>
    </w:tbl>
    <w:p w14:paraId="1FF8D6D8">
      <w:pPr>
        <w:spacing w:line="400" w:lineRule="exact"/>
        <w:rPr>
          <w:rFonts w:hint="eastAsia" w:ascii="仿宋" w:hAnsi="仿宋" w:eastAsia="仿宋" w:cs="仿宋"/>
          <w:sz w:val="24"/>
          <w:szCs w:val="24"/>
          <w:highlight w:val="none"/>
        </w:rPr>
      </w:pPr>
    </w:p>
    <w:p w14:paraId="2856D1E5">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备注：</w:t>
      </w:r>
    </w:p>
    <w:p w14:paraId="25BF053A">
      <w:pPr>
        <w:numPr>
          <w:ilvl w:val="0"/>
          <w:numId w:val="5"/>
        </w:num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投标供应商提交的投标文件中与招标文件第四章“采购需求”中的商务要求如有偏离的，应逐条填列在偏离表中。 </w:t>
      </w:r>
    </w:p>
    <w:p w14:paraId="2C383D0A">
      <w:pPr>
        <w:spacing w:line="400" w:lineRule="exact"/>
        <w:rPr>
          <w:rFonts w:hint="eastAsia" w:ascii="仿宋" w:hAnsi="仿宋" w:eastAsia="仿宋" w:cs="仿宋"/>
          <w:sz w:val="24"/>
          <w:szCs w:val="24"/>
          <w:highlight w:val="none"/>
        </w:rPr>
      </w:pPr>
      <w:r>
        <w:rPr>
          <w:rFonts w:hint="eastAsia" w:ascii="仿宋" w:hAnsi="仿宋" w:eastAsia="仿宋" w:cs="仿宋"/>
          <w:sz w:val="24"/>
          <w:szCs w:val="24"/>
          <w:highlight w:val="none"/>
        </w:rPr>
        <w:t>2.“偏离说明”一栏选择“正偏离”、“无偏离”、“负偏离”进行填写。未填写的内容视为完全响应本招标文件要求。正偏离、无偏离的确认和负偏离是否响应招标文件，由评委会认定。</w:t>
      </w:r>
    </w:p>
    <w:p w14:paraId="048A809A">
      <w:pPr>
        <w:spacing w:line="400" w:lineRule="exact"/>
        <w:rPr>
          <w:rFonts w:hint="eastAsia" w:ascii="仿宋" w:hAnsi="仿宋" w:eastAsia="仿宋" w:cs="仿宋"/>
          <w:sz w:val="24"/>
          <w:szCs w:val="24"/>
          <w:highlight w:val="none"/>
        </w:rPr>
      </w:pPr>
    </w:p>
    <w:p w14:paraId="507450DD">
      <w:pPr>
        <w:rPr>
          <w:rFonts w:hint="eastAsia" w:ascii="仿宋" w:hAnsi="仿宋" w:eastAsia="仿宋" w:cs="仿宋"/>
          <w:highlight w:val="none"/>
        </w:rPr>
      </w:pPr>
    </w:p>
    <w:p w14:paraId="194EFB9D">
      <w:pPr>
        <w:spacing w:line="588" w:lineRule="exact"/>
        <w:ind w:firstLine="624"/>
        <w:rPr>
          <w:rFonts w:hint="eastAsia" w:ascii="仿宋" w:hAnsi="仿宋" w:eastAsia="仿宋" w:cs="仿宋"/>
          <w:spacing w:val="6"/>
          <w:sz w:val="30"/>
          <w:szCs w:val="30"/>
          <w:highlight w:val="none"/>
        </w:rPr>
      </w:pPr>
    </w:p>
    <w:p w14:paraId="06177AE6">
      <w:pPr>
        <w:tabs>
          <w:tab w:val="left" w:pos="4860"/>
        </w:tabs>
        <w:spacing w:line="0" w:lineRule="atLeast"/>
        <w:ind w:right="1559" w:firstLine="624"/>
        <w:jc w:val="center"/>
        <w:rPr>
          <w:rFonts w:hint="eastAsia" w:ascii="仿宋" w:hAnsi="仿宋" w:eastAsia="仿宋" w:cs="仿宋"/>
          <w:sz w:val="24"/>
          <w:highlight w:val="none"/>
        </w:rPr>
      </w:pPr>
      <w:r>
        <w:rPr>
          <w:rFonts w:hint="eastAsia" w:ascii="仿宋" w:hAnsi="仿宋" w:eastAsia="仿宋" w:cs="仿宋"/>
          <w:sz w:val="24"/>
          <w:highlight w:val="none"/>
        </w:rPr>
        <w:t>供应商全称（加盖CA电子公章）：</w:t>
      </w:r>
    </w:p>
    <w:p w14:paraId="4DD27A42">
      <w:pPr>
        <w:tabs>
          <w:tab w:val="left" w:pos="4860"/>
        </w:tabs>
        <w:spacing w:line="0" w:lineRule="atLeast"/>
        <w:ind w:right="1559" w:firstLine="480"/>
        <w:jc w:val="center"/>
        <w:rPr>
          <w:rFonts w:hint="eastAsia" w:ascii="仿宋" w:hAnsi="仿宋" w:eastAsia="仿宋" w:cs="仿宋"/>
          <w:sz w:val="24"/>
          <w:highlight w:val="none"/>
        </w:rPr>
      </w:pPr>
    </w:p>
    <w:p w14:paraId="1EA9125E">
      <w:pPr>
        <w:tabs>
          <w:tab w:val="left" w:pos="4860"/>
        </w:tabs>
        <w:spacing w:line="0" w:lineRule="atLeast"/>
        <w:ind w:right="1559" w:firstLine="480"/>
        <w:jc w:val="center"/>
        <w:rPr>
          <w:rFonts w:hint="eastAsia" w:ascii="仿宋" w:hAnsi="仿宋" w:eastAsia="仿宋" w:cs="仿宋"/>
          <w:sz w:val="24"/>
          <w:highlight w:val="none"/>
        </w:rPr>
      </w:pPr>
      <w:r>
        <w:rPr>
          <w:rFonts w:hint="eastAsia" w:ascii="仿宋" w:hAnsi="仿宋" w:eastAsia="仿宋" w:cs="仿宋"/>
          <w:sz w:val="24"/>
          <w:highlight w:val="none"/>
        </w:rPr>
        <w:t xml:space="preserve">                          日  期：</w:t>
      </w:r>
    </w:p>
    <w:p w14:paraId="57325233">
      <w:pPr>
        <w:rPr>
          <w:rFonts w:hint="eastAsia" w:ascii="仿宋" w:hAnsi="仿宋" w:eastAsia="仿宋" w:cs="仿宋"/>
          <w:highlight w:val="none"/>
        </w:rPr>
      </w:pPr>
    </w:p>
    <w:p w14:paraId="40885541">
      <w:pPr>
        <w:rPr>
          <w:rFonts w:hint="eastAsia" w:ascii="仿宋" w:hAnsi="仿宋" w:eastAsia="仿宋" w:cs="仿宋"/>
          <w:highlight w:val="none"/>
        </w:rPr>
      </w:pPr>
    </w:p>
    <w:p w14:paraId="493B7993">
      <w:pPr>
        <w:jc w:val="center"/>
        <w:rPr>
          <w:rFonts w:hint="eastAsia" w:ascii="仿宋" w:hAnsi="仿宋" w:eastAsia="仿宋" w:cs="仿宋"/>
          <w:b/>
          <w:sz w:val="24"/>
          <w:szCs w:val="24"/>
          <w:highlight w:val="none"/>
        </w:rPr>
      </w:pPr>
    </w:p>
    <w:p w14:paraId="09B3E9E0">
      <w:pPr>
        <w:jc w:val="left"/>
        <w:rPr>
          <w:rFonts w:hint="eastAsia" w:ascii="仿宋" w:hAnsi="仿宋" w:eastAsia="仿宋" w:cs="仿宋"/>
          <w:b/>
          <w:sz w:val="32"/>
          <w:szCs w:val="32"/>
          <w:highlight w:val="none"/>
        </w:rPr>
      </w:pPr>
    </w:p>
    <w:p w14:paraId="561FF850">
      <w:pPr>
        <w:rPr>
          <w:rFonts w:hint="eastAsia" w:ascii="仿宋" w:hAnsi="仿宋" w:eastAsia="仿宋" w:cs="仿宋"/>
          <w:b/>
          <w:sz w:val="24"/>
          <w:szCs w:val="24"/>
          <w:highlight w:val="none"/>
        </w:rPr>
      </w:pPr>
    </w:p>
    <w:p w14:paraId="2385E8E9">
      <w:pPr>
        <w:rPr>
          <w:rFonts w:hint="eastAsia" w:ascii="仿宋" w:hAnsi="仿宋" w:eastAsia="仿宋" w:cs="仿宋"/>
          <w:b/>
          <w:sz w:val="24"/>
          <w:szCs w:val="24"/>
          <w:highlight w:val="none"/>
        </w:rPr>
      </w:pPr>
    </w:p>
    <w:p w14:paraId="6344EFEF">
      <w:pPr>
        <w:rPr>
          <w:rFonts w:hint="eastAsia" w:ascii="仿宋" w:hAnsi="仿宋" w:eastAsia="仿宋" w:cs="仿宋"/>
          <w:b/>
          <w:sz w:val="24"/>
          <w:szCs w:val="24"/>
          <w:highlight w:val="none"/>
        </w:rPr>
      </w:pPr>
    </w:p>
    <w:p w14:paraId="66B593FD">
      <w:pPr>
        <w:pStyle w:val="14"/>
        <w:rPr>
          <w:rFonts w:hint="eastAsia" w:ascii="仿宋" w:hAnsi="仿宋" w:eastAsia="仿宋" w:cs="仿宋"/>
          <w:b/>
          <w:sz w:val="24"/>
          <w:szCs w:val="24"/>
          <w:highlight w:val="none"/>
        </w:rPr>
      </w:pPr>
    </w:p>
    <w:p w14:paraId="5EFB4DE4">
      <w:pPr>
        <w:rPr>
          <w:rFonts w:hint="eastAsia" w:ascii="仿宋" w:hAnsi="仿宋" w:eastAsia="仿宋" w:cs="仿宋"/>
          <w:b/>
          <w:sz w:val="24"/>
          <w:szCs w:val="24"/>
          <w:highlight w:val="none"/>
        </w:rPr>
      </w:pPr>
      <w:bookmarkStart w:id="227" w:name="_Toc186493291"/>
      <w:r>
        <w:rPr>
          <w:rFonts w:hint="eastAsia" w:ascii="仿宋" w:hAnsi="仿宋" w:eastAsia="仿宋" w:cs="仿宋"/>
          <w:b/>
          <w:sz w:val="24"/>
          <w:szCs w:val="24"/>
          <w:highlight w:val="none"/>
        </w:rPr>
        <w:br w:type="page"/>
      </w:r>
    </w:p>
    <w:p w14:paraId="69E7FCC4">
      <w:pPr>
        <w:outlineLvl w:val="0"/>
        <w:rPr>
          <w:rFonts w:hint="eastAsia" w:ascii="仿宋" w:hAnsi="仿宋" w:eastAsia="仿宋" w:cs="仿宋"/>
          <w:b/>
          <w:sz w:val="24"/>
          <w:szCs w:val="24"/>
          <w:highlight w:val="none"/>
        </w:rPr>
      </w:pPr>
      <w:r>
        <w:rPr>
          <w:rFonts w:hint="eastAsia" w:ascii="仿宋" w:hAnsi="仿宋" w:eastAsia="仿宋" w:cs="仿宋"/>
          <w:b/>
          <w:sz w:val="24"/>
          <w:szCs w:val="24"/>
          <w:highlight w:val="none"/>
        </w:rPr>
        <w:t>附件1</w:t>
      </w:r>
      <w:bookmarkEnd w:id="227"/>
      <w:r>
        <w:rPr>
          <w:rFonts w:hint="eastAsia" w:ascii="仿宋" w:hAnsi="仿宋" w:eastAsia="仿宋" w:cs="仿宋"/>
          <w:b/>
          <w:sz w:val="24"/>
          <w:szCs w:val="24"/>
          <w:highlight w:val="none"/>
        </w:rPr>
        <w:t xml:space="preserve">2      </w:t>
      </w:r>
    </w:p>
    <w:p w14:paraId="03D8DC59">
      <w:pPr>
        <w:rPr>
          <w:rFonts w:hint="eastAsia" w:ascii="仿宋" w:hAnsi="仿宋" w:eastAsia="仿宋" w:cs="仿宋"/>
          <w:b/>
          <w:sz w:val="30"/>
          <w:szCs w:val="30"/>
          <w:highlight w:val="none"/>
        </w:rPr>
      </w:pPr>
      <w:r>
        <w:rPr>
          <w:rFonts w:hint="eastAsia" w:ascii="仿宋" w:hAnsi="仿宋" w:eastAsia="仿宋" w:cs="仿宋"/>
          <w:b/>
          <w:sz w:val="30"/>
          <w:szCs w:val="30"/>
          <w:highlight w:val="none"/>
        </w:rPr>
        <w:t xml:space="preserve"> 实质性要求响应及偏离表 </w:t>
      </w:r>
    </w:p>
    <w:tbl>
      <w:tblPr>
        <w:tblStyle w:val="36"/>
        <w:tblW w:w="0" w:type="auto"/>
        <w:tblInd w:w="0" w:type="dxa"/>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Layout w:type="fixed"/>
        <w:tblCellMar>
          <w:top w:w="0" w:type="dxa"/>
          <w:left w:w="108" w:type="dxa"/>
          <w:bottom w:w="0" w:type="dxa"/>
          <w:right w:w="108" w:type="dxa"/>
        </w:tblCellMar>
      </w:tblPr>
      <w:tblGrid>
        <w:gridCol w:w="545"/>
        <w:gridCol w:w="3609"/>
        <w:gridCol w:w="3047"/>
        <w:gridCol w:w="1796"/>
      </w:tblGrid>
      <w:tr w14:paraId="4A73BC17">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Pr>
        <w:tc>
          <w:tcPr>
            <w:tcW w:w="545" w:type="dxa"/>
            <w:vAlign w:val="center"/>
          </w:tcPr>
          <w:p w14:paraId="318A0073">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序号</w:t>
            </w:r>
          </w:p>
        </w:tc>
        <w:tc>
          <w:tcPr>
            <w:tcW w:w="3609" w:type="dxa"/>
            <w:vAlign w:val="center"/>
          </w:tcPr>
          <w:p w14:paraId="16400582">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招标文件技术要求和商务要求中的实质性要求</w:t>
            </w:r>
            <w:r>
              <w:rPr>
                <w:rFonts w:hint="eastAsia" w:ascii="仿宋" w:hAnsi="仿宋" w:eastAsia="仿宋" w:cs="仿宋"/>
                <w:i/>
                <w:sz w:val="24"/>
                <w:szCs w:val="24"/>
                <w:highlight w:val="none"/>
                <w:u w:val="single"/>
              </w:rPr>
              <w:t>（加斜体下划线内容）</w:t>
            </w:r>
          </w:p>
        </w:tc>
        <w:tc>
          <w:tcPr>
            <w:tcW w:w="3047" w:type="dxa"/>
            <w:vAlign w:val="center"/>
          </w:tcPr>
          <w:p w14:paraId="31201BE0">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投标响应情况</w:t>
            </w:r>
          </w:p>
        </w:tc>
        <w:tc>
          <w:tcPr>
            <w:tcW w:w="1796" w:type="dxa"/>
            <w:vAlign w:val="center"/>
          </w:tcPr>
          <w:p w14:paraId="37DA3D70">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正偏离、无偏离、负偏离</w:t>
            </w:r>
          </w:p>
        </w:tc>
      </w:tr>
      <w:tr w14:paraId="2E7EAE4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545" w:type="dxa"/>
          </w:tcPr>
          <w:p w14:paraId="5503A65B">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1</w:t>
            </w:r>
          </w:p>
        </w:tc>
        <w:tc>
          <w:tcPr>
            <w:tcW w:w="3609" w:type="dxa"/>
          </w:tcPr>
          <w:p w14:paraId="0811CF66">
            <w:pPr>
              <w:spacing w:line="400" w:lineRule="exact"/>
              <w:jc w:val="center"/>
              <w:rPr>
                <w:rFonts w:hint="eastAsia" w:ascii="仿宋" w:hAnsi="仿宋" w:eastAsia="仿宋" w:cs="仿宋"/>
                <w:sz w:val="24"/>
                <w:szCs w:val="24"/>
                <w:highlight w:val="none"/>
              </w:rPr>
            </w:pPr>
          </w:p>
        </w:tc>
        <w:tc>
          <w:tcPr>
            <w:tcW w:w="3047" w:type="dxa"/>
          </w:tcPr>
          <w:p w14:paraId="2E4E2378">
            <w:pPr>
              <w:spacing w:line="400" w:lineRule="exact"/>
              <w:jc w:val="center"/>
              <w:rPr>
                <w:rFonts w:hint="eastAsia" w:ascii="仿宋" w:hAnsi="仿宋" w:eastAsia="仿宋" w:cs="仿宋"/>
                <w:sz w:val="24"/>
                <w:szCs w:val="24"/>
                <w:highlight w:val="none"/>
              </w:rPr>
            </w:pPr>
          </w:p>
        </w:tc>
        <w:tc>
          <w:tcPr>
            <w:tcW w:w="1796" w:type="dxa"/>
          </w:tcPr>
          <w:p w14:paraId="06B37AE7">
            <w:pPr>
              <w:spacing w:line="400" w:lineRule="exact"/>
              <w:jc w:val="center"/>
              <w:rPr>
                <w:rFonts w:hint="eastAsia" w:ascii="仿宋" w:hAnsi="仿宋" w:eastAsia="仿宋" w:cs="仿宋"/>
                <w:sz w:val="24"/>
                <w:szCs w:val="24"/>
                <w:highlight w:val="none"/>
              </w:rPr>
            </w:pPr>
          </w:p>
        </w:tc>
      </w:tr>
      <w:tr w14:paraId="1E294AF2">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545" w:type="dxa"/>
          </w:tcPr>
          <w:p w14:paraId="4CEFF89C">
            <w:pPr>
              <w:spacing w:line="400" w:lineRule="exac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2</w:t>
            </w:r>
          </w:p>
        </w:tc>
        <w:tc>
          <w:tcPr>
            <w:tcW w:w="3609" w:type="dxa"/>
          </w:tcPr>
          <w:p w14:paraId="2D216252">
            <w:pPr>
              <w:spacing w:line="400" w:lineRule="exact"/>
              <w:jc w:val="center"/>
              <w:rPr>
                <w:rFonts w:hint="eastAsia" w:ascii="仿宋" w:hAnsi="仿宋" w:eastAsia="仿宋" w:cs="仿宋"/>
                <w:sz w:val="24"/>
                <w:szCs w:val="24"/>
                <w:highlight w:val="none"/>
              </w:rPr>
            </w:pPr>
          </w:p>
        </w:tc>
        <w:tc>
          <w:tcPr>
            <w:tcW w:w="3047" w:type="dxa"/>
          </w:tcPr>
          <w:p w14:paraId="74C5C1F9">
            <w:pPr>
              <w:spacing w:line="400" w:lineRule="exact"/>
              <w:jc w:val="center"/>
              <w:rPr>
                <w:rFonts w:hint="eastAsia" w:ascii="仿宋" w:hAnsi="仿宋" w:eastAsia="仿宋" w:cs="仿宋"/>
                <w:sz w:val="24"/>
                <w:szCs w:val="24"/>
                <w:highlight w:val="none"/>
              </w:rPr>
            </w:pPr>
          </w:p>
        </w:tc>
        <w:tc>
          <w:tcPr>
            <w:tcW w:w="1796" w:type="dxa"/>
          </w:tcPr>
          <w:p w14:paraId="61AF53A8">
            <w:pPr>
              <w:spacing w:line="400" w:lineRule="exact"/>
              <w:jc w:val="center"/>
              <w:rPr>
                <w:rFonts w:hint="eastAsia" w:ascii="仿宋" w:hAnsi="仿宋" w:eastAsia="仿宋" w:cs="仿宋"/>
                <w:sz w:val="24"/>
                <w:szCs w:val="24"/>
                <w:highlight w:val="none"/>
              </w:rPr>
            </w:pPr>
          </w:p>
        </w:tc>
      </w:tr>
      <w:tr w14:paraId="0EBA9828">
        <w:tblPrEx>
          <w:tblBorders>
            <w:top w:val="single" w:color="auto" w:sz="4" w:space="0"/>
            <w:left w:val="single" w:color="auto" w:sz="4" w:space="0"/>
            <w:bottom w:val="single" w:color="auto" w:sz="4" w:space="0"/>
            <w:right w:val="single" w:color="auto" w:sz="4" w:space="0"/>
            <w:insideH w:val="single" w:color="auto" w:sz="4" w:space="0"/>
            <w:insideV w:val="single" w:color="auto" w:sz="4" w:space="0"/>
          </w:tblBorders>
          <w:tblCellMar>
            <w:top w:w="0" w:type="dxa"/>
            <w:left w:w="108" w:type="dxa"/>
            <w:bottom w:w="0" w:type="dxa"/>
            <w:right w:w="108" w:type="dxa"/>
          </w:tblCellMar>
        </w:tblPrEx>
        <w:trPr>
          <w:cantSplit/>
          <w:trHeight w:val="640" w:hRule="atLeast"/>
        </w:trPr>
        <w:tc>
          <w:tcPr>
            <w:tcW w:w="545" w:type="dxa"/>
            <w:vAlign w:val="center"/>
          </w:tcPr>
          <w:p w14:paraId="312CE382">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3609" w:type="dxa"/>
            <w:vAlign w:val="center"/>
          </w:tcPr>
          <w:p w14:paraId="2220B18B">
            <w:pPr>
              <w:spacing w:line="0" w:lineRule="atLeast"/>
              <w:jc w:val="center"/>
              <w:rPr>
                <w:rFonts w:hint="eastAsia" w:ascii="仿宋" w:hAnsi="仿宋" w:eastAsia="仿宋" w:cs="仿宋"/>
                <w:sz w:val="24"/>
                <w:szCs w:val="24"/>
                <w:highlight w:val="none"/>
              </w:rPr>
            </w:pPr>
            <w:r>
              <w:rPr>
                <w:rFonts w:hint="eastAsia" w:ascii="仿宋" w:hAnsi="仿宋" w:eastAsia="仿宋" w:cs="仿宋"/>
                <w:sz w:val="24"/>
                <w:szCs w:val="24"/>
                <w:highlight w:val="none"/>
              </w:rPr>
              <w:t>……</w:t>
            </w:r>
          </w:p>
        </w:tc>
        <w:tc>
          <w:tcPr>
            <w:tcW w:w="3047" w:type="dxa"/>
          </w:tcPr>
          <w:p w14:paraId="5B47E7A1">
            <w:pPr>
              <w:spacing w:line="400" w:lineRule="exact"/>
              <w:jc w:val="center"/>
              <w:rPr>
                <w:rFonts w:hint="eastAsia" w:ascii="仿宋" w:hAnsi="仿宋" w:eastAsia="仿宋" w:cs="仿宋"/>
                <w:sz w:val="24"/>
                <w:szCs w:val="24"/>
                <w:highlight w:val="none"/>
              </w:rPr>
            </w:pPr>
          </w:p>
        </w:tc>
        <w:tc>
          <w:tcPr>
            <w:tcW w:w="1796" w:type="dxa"/>
          </w:tcPr>
          <w:p w14:paraId="708DE5ED">
            <w:pPr>
              <w:spacing w:line="400" w:lineRule="exact"/>
              <w:jc w:val="center"/>
              <w:rPr>
                <w:rFonts w:hint="eastAsia" w:ascii="仿宋" w:hAnsi="仿宋" w:eastAsia="仿宋" w:cs="仿宋"/>
                <w:sz w:val="24"/>
                <w:szCs w:val="24"/>
                <w:highlight w:val="none"/>
              </w:rPr>
            </w:pPr>
          </w:p>
        </w:tc>
      </w:tr>
    </w:tbl>
    <w:p w14:paraId="276BEF1B">
      <w:pPr>
        <w:spacing w:line="400" w:lineRule="exact"/>
        <w:rPr>
          <w:rFonts w:hint="eastAsia" w:ascii="仿宋" w:hAnsi="仿宋" w:eastAsia="仿宋" w:cs="仿宋"/>
          <w:sz w:val="24"/>
          <w:szCs w:val="24"/>
          <w:highlight w:val="none"/>
        </w:rPr>
      </w:pPr>
    </w:p>
    <w:p w14:paraId="72C0979A">
      <w:pPr>
        <w:spacing w:line="400" w:lineRule="exact"/>
        <w:rPr>
          <w:rFonts w:hint="eastAsia" w:ascii="仿宋" w:hAnsi="仿宋" w:eastAsia="仿宋" w:cs="仿宋"/>
          <w:sz w:val="24"/>
          <w:highlight w:val="none"/>
        </w:rPr>
      </w:pPr>
      <w:r>
        <w:rPr>
          <w:rFonts w:hint="eastAsia" w:ascii="仿宋" w:hAnsi="仿宋" w:eastAsia="仿宋" w:cs="仿宋"/>
          <w:sz w:val="24"/>
          <w:szCs w:val="24"/>
          <w:highlight w:val="none"/>
        </w:rPr>
        <w:t>备注：</w:t>
      </w:r>
      <w:r>
        <w:rPr>
          <w:rFonts w:hint="eastAsia" w:ascii="仿宋" w:hAnsi="仿宋" w:eastAsia="仿宋" w:cs="仿宋"/>
          <w:sz w:val="24"/>
          <w:highlight w:val="none"/>
        </w:rPr>
        <w:t>供应商必须对技术要求和商务要求中的实质性要求（加斜体下划线内容）做出明确响应，未填写的内容视为完全响应本采购文件实质性要求。</w:t>
      </w:r>
    </w:p>
    <w:p w14:paraId="6184E302">
      <w:pPr>
        <w:spacing w:line="400" w:lineRule="exact"/>
        <w:rPr>
          <w:rFonts w:hint="eastAsia" w:ascii="仿宋" w:hAnsi="仿宋" w:eastAsia="仿宋" w:cs="仿宋"/>
          <w:sz w:val="24"/>
          <w:szCs w:val="24"/>
          <w:highlight w:val="none"/>
        </w:rPr>
      </w:pPr>
    </w:p>
    <w:p w14:paraId="4205AB81">
      <w:pPr>
        <w:spacing w:line="588" w:lineRule="exact"/>
        <w:ind w:firstLine="624"/>
        <w:rPr>
          <w:rFonts w:hint="eastAsia" w:ascii="仿宋" w:hAnsi="仿宋" w:eastAsia="仿宋" w:cs="仿宋"/>
          <w:spacing w:val="6"/>
          <w:sz w:val="30"/>
          <w:szCs w:val="30"/>
          <w:highlight w:val="none"/>
        </w:rPr>
      </w:pPr>
    </w:p>
    <w:p w14:paraId="6E913D4A">
      <w:pPr>
        <w:tabs>
          <w:tab w:val="left" w:pos="4860"/>
        </w:tabs>
        <w:spacing w:line="0" w:lineRule="atLeast"/>
        <w:ind w:right="1559" w:firstLine="624"/>
        <w:jc w:val="center"/>
        <w:rPr>
          <w:rFonts w:hint="eastAsia" w:ascii="仿宋" w:hAnsi="仿宋" w:eastAsia="仿宋" w:cs="仿宋"/>
          <w:sz w:val="24"/>
          <w:highlight w:val="none"/>
        </w:rPr>
      </w:pPr>
      <w:r>
        <w:rPr>
          <w:rFonts w:hint="eastAsia" w:ascii="仿宋" w:hAnsi="仿宋" w:eastAsia="仿宋" w:cs="仿宋"/>
          <w:sz w:val="24"/>
          <w:highlight w:val="none"/>
        </w:rPr>
        <w:t>供应商全称（加盖CA电子公章）：</w:t>
      </w:r>
    </w:p>
    <w:p w14:paraId="54E94062">
      <w:pPr>
        <w:tabs>
          <w:tab w:val="left" w:pos="4860"/>
        </w:tabs>
        <w:spacing w:line="0" w:lineRule="atLeast"/>
        <w:ind w:right="1559" w:firstLine="480"/>
        <w:jc w:val="center"/>
        <w:rPr>
          <w:rFonts w:hint="eastAsia" w:ascii="仿宋" w:hAnsi="仿宋" w:eastAsia="仿宋" w:cs="仿宋"/>
          <w:sz w:val="24"/>
          <w:highlight w:val="none"/>
        </w:rPr>
      </w:pPr>
    </w:p>
    <w:p w14:paraId="1357DD3A">
      <w:pPr>
        <w:tabs>
          <w:tab w:val="left" w:pos="4860"/>
        </w:tabs>
        <w:spacing w:line="0" w:lineRule="atLeast"/>
        <w:ind w:right="1559" w:firstLine="480"/>
        <w:jc w:val="center"/>
        <w:rPr>
          <w:rFonts w:hint="eastAsia" w:ascii="仿宋" w:hAnsi="仿宋" w:eastAsia="仿宋" w:cs="仿宋"/>
          <w:sz w:val="24"/>
          <w:highlight w:val="none"/>
        </w:rPr>
      </w:pPr>
      <w:r>
        <w:rPr>
          <w:rFonts w:hint="eastAsia" w:ascii="仿宋" w:hAnsi="仿宋" w:eastAsia="仿宋" w:cs="仿宋"/>
          <w:sz w:val="24"/>
          <w:highlight w:val="none"/>
        </w:rPr>
        <w:t xml:space="preserve">                          日  期：</w:t>
      </w:r>
    </w:p>
    <w:p w14:paraId="2CCEA395">
      <w:pPr>
        <w:jc w:val="center"/>
        <w:rPr>
          <w:rFonts w:hint="eastAsia" w:ascii="仿宋" w:hAnsi="仿宋" w:eastAsia="仿宋" w:cs="仿宋"/>
          <w:b/>
          <w:sz w:val="32"/>
          <w:szCs w:val="32"/>
          <w:highlight w:val="none"/>
        </w:rPr>
      </w:pPr>
    </w:p>
    <w:p w14:paraId="0E6656BC">
      <w:pPr>
        <w:spacing w:line="560" w:lineRule="exact"/>
        <w:jc w:val="left"/>
        <w:rPr>
          <w:rFonts w:hint="eastAsia" w:ascii="仿宋" w:hAnsi="仿宋" w:eastAsia="仿宋" w:cs="仿宋"/>
          <w:b/>
          <w:sz w:val="24"/>
          <w:szCs w:val="24"/>
          <w:highlight w:val="none"/>
        </w:rPr>
      </w:pPr>
    </w:p>
    <w:p w14:paraId="071A2857">
      <w:pPr>
        <w:pStyle w:val="35"/>
        <w:ind w:firstLine="482"/>
        <w:rPr>
          <w:rFonts w:hint="eastAsia" w:ascii="仿宋" w:hAnsi="仿宋" w:eastAsia="仿宋" w:cs="仿宋"/>
          <w:b/>
          <w:sz w:val="24"/>
          <w:szCs w:val="24"/>
          <w:highlight w:val="none"/>
        </w:rPr>
      </w:pPr>
    </w:p>
    <w:p w14:paraId="118A545F">
      <w:pPr>
        <w:rPr>
          <w:rFonts w:hint="eastAsia" w:ascii="仿宋" w:hAnsi="仿宋" w:eastAsia="仿宋" w:cs="仿宋"/>
          <w:b/>
          <w:sz w:val="24"/>
          <w:szCs w:val="24"/>
          <w:highlight w:val="none"/>
        </w:rPr>
      </w:pPr>
    </w:p>
    <w:p w14:paraId="02D36DEC">
      <w:pPr>
        <w:pStyle w:val="35"/>
        <w:ind w:firstLine="482"/>
        <w:rPr>
          <w:rFonts w:hint="eastAsia" w:ascii="仿宋" w:hAnsi="仿宋" w:eastAsia="仿宋" w:cs="仿宋"/>
          <w:b/>
          <w:sz w:val="24"/>
          <w:szCs w:val="24"/>
          <w:highlight w:val="none"/>
        </w:rPr>
      </w:pPr>
    </w:p>
    <w:p w14:paraId="042CAD10">
      <w:pPr>
        <w:rPr>
          <w:rFonts w:hint="eastAsia" w:ascii="仿宋" w:hAnsi="仿宋" w:eastAsia="仿宋" w:cs="仿宋"/>
          <w:b/>
          <w:sz w:val="24"/>
          <w:szCs w:val="24"/>
          <w:highlight w:val="none"/>
        </w:rPr>
      </w:pPr>
    </w:p>
    <w:p w14:paraId="40F7E661">
      <w:pPr>
        <w:rPr>
          <w:highlight w:val="none"/>
        </w:rPr>
      </w:pPr>
    </w:p>
    <w:p w14:paraId="014DDE1D">
      <w:pPr>
        <w:spacing w:line="560" w:lineRule="exact"/>
        <w:rPr>
          <w:rFonts w:hint="eastAsia" w:ascii="仿宋" w:hAnsi="仿宋" w:eastAsia="仿宋" w:cs="仿宋"/>
          <w:b/>
          <w:sz w:val="24"/>
          <w:szCs w:val="24"/>
          <w:highlight w:val="none"/>
        </w:rPr>
      </w:pPr>
    </w:p>
    <w:p w14:paraId="234EC2A6">
      <w:pPr>
        <w:pStyle w:val="213"/>
        <w:rPr>
          <w:rFonts w:eastAsia="仿宋"/>
          <w:color w:val="auto"/>
          <w:highlight w:val="none"/>
        </w:rPr>
      </w:pPr>
    </w:p>
    <w:p w14:paraId="1F8E120E">
      <w:pPr>
        <w:rPr>
          <w:rFonts w:eastAsia="仿宋"/>
          <w:highlight w:val="none"/>
        </w:rPr>
      </w:pPr>
      <w:r>
        <w:rPr>
          <w:rFonts w:hint="eastAsia" w:eastAsia="仿宋"/>
          <w:highlight w:val="none"/>
        </w:rPr>
        <w:br w:type="page"/>
      </w:r>
    </w:p>
    <w:p w14:paraId="28576776">
      <w:pPr>
        <w:pStyle w:val="213"/>
        <w:rPr>
          <w:rFonts w:eastAsia="仿宋"/>
          <w:color w:val="auto"/>
          <w:highlight w:val="none"/>
        </w:rPr>
      </w:pPr>
      <w:r>
        <w:rPr>
          <w:rFonts w:hint="eastAsia" w:eastAsia="仿宋"/>
          <w:color w:val="auto"/>
          <w:highlight w:val="none"/>
        </w:rPr>
        <w:t>附件1</w:t>
      </w:r>
      <w:bookmarkEnd w:id="188"/>
      <w:bookmarkEnd w:id="189"/>
      <w:bookmarkEnd w:id="225"/>
      <w:r>
        <w:rPr>
          <w:rFonts w:hint="eastAsia" w:eastAsia="仿宋"/>
          <w:color w:val="auto"/>
          <w:highlight w:val="none"/>
        </w:rPr>
        <w:t>3</w:t>
      </w:r>
    </w:p>
    <w:p w14:paraId="3C28D6D2">
      <w:pPr>
        <w:jc w:val="center"/>
        <w:outlineLvl w:val="0"/>
        <w:rPr>
          <w:rFonts w:hint="eastAsia" w:ascii="仿宋" w:hAnsi="仿宋" w:eastAsia="仿宋" w:cs="仿宋"/>
          <w:b/>
          <w:bCs/>
          <w:sz w:val="32"/>
          <w:szCs w:val="32"/>
          <w:highlight w:val="none"/>
        </w:rPr>
      </w:pPr>
      <w:bookmarkStart w:id="228" w:name="_Toc186493292"/>
      <w:r>
        <w:rPr>
          <w:rFonts w:hint="eastAsia" w:ascii="仿宋" w:hAnsi="仿宋" w:eastAsia="仿宋" w:cs="仿宋"/>
          <w:b/>
          <w:bCs/>
          <w:sz w:val="32"/>
          <w:szCs w:val="32"/>
          <w:highlight w:val="none"/>
        </w:rPr>
        <w:t>质疑函范本</w:t>
      </w:r>
      <w:bookmarkEnd w:id="228"/>
    </w:p>
    <w:p w14:paraId="05C61A49">
      <w:pPr>
        <w:spacing w:before="290" w:line="360" w:lineRule="auto"/>
        <w:outlineLvl w:val="0"/>
        <w:rPr>
          <w:rFonts w:hint="eastAsia" w:ascii="仿宋" w:hAnsi="仿宋" w:eastAsia="仿宋" w:cs="仿宋"/>
          <w:bCs/>
          <w:sz w:val="24"/>
          <w:szCs w:val="24"/>
          <w:highlight w:val="none"/>
        </w:rPr>
      </w:pPr>
      <w:bookmarkStart w:id="229" w:name="_Toc186493293"/>
      <w:r>
        <w:rPr>
          <w:rFonts w:hint="eastAsia" w:ascii="仿宋" w:hAnsi="仿宋" w:eastAsia="仿宋" w:cs="仿宋"/>
          <w:bCs/>
          <w:sz w:val="24"/>
          <w:szCs w:val="24"/>
          <w:highlight w:val="none"/>
        </w:rPr>
        <w:t>一、质疑供应商基本信息</w:t>
      </w:r>
      <w:bookmarkEnd w:id="229"/>
    </w:p>
    <w:p w14:paraId="1BEB122D">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质疑供应商：</w:t>
      </w:r>
    </w:p>
    <w:p w14:paraId="24250FE8">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地址：邮编：</w:t>
      </w:r>
    </w:p>
    <w:p w14:paraId="3CDFFCAA">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联系人：联系电话：</w:t>
      </w:r>
    </w:p>
    <w:p w14:paraId="77ECE73D">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授权代表：</w:t>
      </w:r>
    </w:p>
    <w:p w14:paraId="566FF510">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联系电话：</w:t>
      </w:r>
    </w:p>
    <w:p w14:paraId="201941DA">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地址： 邮编：</w:t>
      </w:r>
    </w:p>
    <w:p w14:paraId="04001646">
      <w:pPr>
        <w:spacing w:line="360" w:lineRule="auto"/>
        <w:outlineLvl w:val="0"/>
        <w:rPr>
          <w:rFonts w:hint="eastAsia" w:ascii="仿宋" w:hAnsi="仿宋" w:eastAsia="仿宋" w:cs="仿宋"/>
          <w:bCs/>
          <w:sz w:val="24"/>
          <w:szCs w:val="24"/>
          <w:highlight w:val="none"/>
        </w:rPr>
      </w:pPr>
      <w:bookmarkStart w:id="230" w:name="_Toc186493294"/>
      <w:r>
        <w:rPr>
          <w:rFonts w:hint="eastAsia" w:ascii="仿宋" w:hAnsi="仿宋" w:eastAsia="仿宋" w:cs="仿宋"/>
          <w:bCs/>
          <w:sz w:val="24"/>
          <w:szCs w:val="24"/>
          <w:highlight w:val="none"/>
        </w:rPr>
        <w:t>二、质疑项目基本情况</w:t>
      </w:r>
      <w:bookmarkEnd w:id="230"/>
    </w:p>
    <w:p w14:paraId="12633940">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质疑项目的名称：</w:t>
      </w:r>
    </w:p>
    <w:p w14:paraId="0397FA1C">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质疑项目的编号：包号：</w:t>
      </w:r>
    </w:p>
    <w:p w14:paraId="7862BDF0">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采购人名称：</w:t>
      </w:r>
    </w:p>
    <w:p w14:paraId="7F1DA21C">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采购文件获取日期：</w:t>
      </w:r>
    </w:p>
    <w:p w14:paraId="2EE10B2D">
      <w:pPr>
        <w:spacing w:line="360" w:lineRule="auto"/>
        <w:outlineLvl w:val="0"/>
        <w:rPr>
          <w:rFonts w:hint="eastAsia" w:ascii="仿宋" w:hAnsi="仿宋" w:eastAsia="仿宋" w:cs="仿宋"/>
          <w:bCs/>
          <w:sz w:val="24"/>
          <w:szCs w:val="24"/>
          <w:highlight w:val="none"/>
        </w:rPr>
      </w:pPr>
      <w:bookmarkStart w:id="231" w:name="_Toc186493295"/>
      <w:r>
        <w:rPr>
          <w:rFonts w:hint="eastAsia" w:ascii="仿宋" w:hAnsi="仿宋" w:eastAsia="仿宋" w:cs="仿宋"/>
          <w:bCs/>
          <w:sz w:val="24"/>
          <w:szCs w:val="24"/>
          <w:highlight w:val="none"/>
        </w:rPr>
        <w:t>三、质疑事项具体内容</w:t>
      </w:r>
      <w:bookmarkEnd w:id="231"/>
    </w:p>
    <w:p w14:paraId="0A7692B2">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质疑事项1：</w:t>
      </w:r>
    </w:p>
    <w:p w14:paraId="01E665DF">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事实依据：</w:t>
      </w:r>
    </w:p>
    <w:p w14:paraId="7EDEE01E">
      <w:pPr>
        <w:spacing w:line="360" w:lineRule="auto"/>
        <w:rPr>
          <w:rFonts w:hint="eastAsia" w:ascii="仿宋" w:hAnsi="仿宋" w:eastAsia="仿宋" w:cs="仿宋"/>
          <w:sz w:val="24"/>
          <w:szCs w:val="24"/>
          <w:highlight w:val="none"/>
        </w:rPr>
      </w:pPr>
    </w:p>
    <w:p w14:paraId="4748E360">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法律依据：</w:t>
      </w:r>
    </w:p>
    <w:p w14:paraId="5247A9D3">
      <w:pPr>
        <w:spacing w:line="360" w:lineRule="auto"/>
        <w:rPr>
          <w:rFonts w:hint="eastAsia" w:ascii="仿宋" w:hAnsi="仿宋" w:eastAsia="仿宋" w:cs="仿宋"/>
          <w:sz w:val="24"/>
          <w:szCs w:val="24"/>
          <w:highlight w:val="none"/>
          <w:u w:val="single"/>
        </w:rPr>
      </w:pPr>
    </w:p>
    <w:p w14:paraId="224AD63A">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质疑事项2</w:t>
      </w:r>
    </w:p>
    <w:p w14:paraId="2C0928FE">
      <w:pPr>
        <w:spacing w:line="360" w:lineRule="auto"/>
        <w:rPr>
          <w:rFonts w:hint="eastAsia" w:ascii="仿宋" w:hAnsi="仿宋" w:eastAsia="仿宋" w:cs="仿宋"/>
          <w:sz w:val="24"/>
          <w:szCs w:val="24"/>
          <w:highlight w:val="none"/>
        </w:rPr>
      </w:pPr>
      <w:r>
        <w:rPr>
          <w:rFonts w:hint="eastAsia" w:ascii="仿宋" w:hAnsi="仿宋" w:eastAsia="仿宋" w:cs="仿宋"/>
          <w:sz w:val="24"/>
          <w:szCs w:val="24"/>
          <w:highlight w:val="none"/>
        </w:rPr>
        <w:t>……</w:t>
      </w:r>
    </w:p>
    <w:p w14:paraId="76765B68">
      <w:pPr>
        <w:spacing w:line="360" w:lineRule="auto"/>
        <w:outlineLvl w:val="0"/>
        <w:rPr>
          <w:rFonts w:hint="eastAsia" w:ascii="仿宋" w:hAnsi="仿宋" w:eastAsia="仿宋" w:cs="仿宋"/>
          <w:bCs/>
          <w:sz w:val="24"/>
          <w:szCs w:val="24"/>
          <w:highlight w:val="none"/>
        </w:rPr>
      </w:pPr>
      <w:bookmarkStart w:id="232" w:name="_Toc186493296"/>
      <w:r>
        <w:rPr>
          <w:rFonts w:hint="eastAsia" w:ascii="仿宋" w:hAnsi="仿宋" w:eastAsia="仿宋" w:cs="仿宋"/>
          <w:bCs/>
          <w:sz w:val="24"/>
          <w:szCs w:val="24"/>
          <w:highlight w:val="none"/>
        </w:rPr>
        <w:t>四、与质疑事项相关的质疑请求</w:t>
      </w:r>
      <w:bookmarkEnd w:id="232"/>
    </w:p>
    <w:p w14:paraId="359D9B65">
      <w:pPr>
        <w:spacing w:line="360" w:lineRule="auto"/>
        <w:rPr>
          <w:rFonts w:hint="eastAsia" w:ascii="仿宋" w:hAnsi="仿宋" w:eastAsia="仿宋" w:cs="仿宋"/>
          <w:sz w:val="24"/>
          <w:szCs w:val="24"/>
          <w:highlight w:val="none"/>
          <w:u w:val="single"/>
        </w:rPr>
      </w:pPr>
      <w:r>
        <w:rPr>
          <w:rFonts w:hint="eastAsia" w:ascii="仿宋" w:hAnsi="仿宋" w:eastAsia="仿宋" w:cs="仿宋"/>
          <w:sz w:val="24"/>
          <w:szCs w:val="24"/>
          <w:highlight w:val="none"/>
        </w:rPr>
        <w:t>请求：</w:t>
      </w:r>
    </w:p>
    <w:p w14:paraId="7A5F39D8">
      <w:pPr>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签字(签章)：                   公章：                      </w:t>
      </w:r>
    </w:p>
    <w:p w14:paraId="323B109A">
      <w:pPr>
        <w:rPr>
          <w:rFonts w:hint="eastAsia" w:ascii="仿宋" w:hAnsi="仿宋" w:eastAsia="仿宋" w:cs="仿宋"/>
          <w:sz w:val="24"/>
          <w:szCs w:val="24"/>
          <w:highlight w:val="none"/>
        </w:rPr>
      </w:pPr>
      <w:r>
        <w:rPr>
          <w:rFonts w:hint="eastAsia" w:ascii="仿宋" w:hAnsi="仿宋" w:eastAsia="仿宋" w:cs="仿宋"/>
          <w:sz w:val="24"/>
          <w:szCs w:val="24"/>
          <w:highlight w:val="none"/>
        </w:rPr>
        <w:t xml:space="preserve">日期：    </w:t>
      </w:r>
    </w:p>
    <w:p w14:paraId="1EF8A49C">
      <w:pPr>
        <w:spacing w:line="400" w:lineRule="exact"/>
        <w:rPr>
          <w:rFonts w:hint="eastAsia" w:ascii="仿宋" w:hAnsi="仿宋" w:eastAsia="仿宋" w:cs="仿宋"/>
          <w:b/>
          <w:sz w:val="24"/>
          <w:szCs w:val="24"/>
          <w:highlight w:val="none"/>
        </w:rPr>
      </w:pPr>
    </w:p>
    <w:p w14:paraId="43CFC525">
      <w:pPr>
        <w:spacing w:line="400" w:lineRule="exact"/>
        <w:rPr>
          <w:rFonts w:hint="eastAsia" w:ascii="仿宋" w:hAnsi="仿宋" w:eastAsia="仿宋" w:cs="仿宋"/>
          <w:b/>
          <w:sz w:val="24"/>
          <w:szCs w:val="24"/>
          <w:highlight w:val="none"/>
        </w:rPr>
      </w:pPr>
    </w:p>
    <w:p w14:paraId="14CAF96E">
      <w:pPr>
        <w:spacing w:line="400" w:lineRule="exact"/>
        <w:rPr>
          <w:rFonts w:hint="eastAsia" w:ascii="仿宋" w:hAnsi="仿宋" w:eastAsia="仿宋" w:cs="仿宋"/>
          <w:b/>
          <w:sz w:val="24"/>
          <w:szCs w:val="24"/>
          <w:highlight w:val="none"/>
        </w:rPr>
      </w:pPr>
      <w:r>
        <w:rPr>
          <w:rFonts w:hint="eastAsia" w:ascii="仿宋" w:hAnsi="仿宋" w:eastAsia="仿宋" w:cs="仿宋"/>
          <w:b/>
          <w:sz w:val="24"/>
          <w:szCs w:val="24"/>
          <w:highlight w:val="none"/>
        </w:rPr>
        <w:t>质疑函制作说明：</w:t>
      </w:r>
    </w:p>
    <w:p w14:paraId="49CFB465">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1.供应商提出质疑时，应提交质疑函和必要的证明材料。</w:t>
      </w:r>
    </w:p>
    <w:p w14:paraId="404872D0">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2.质疑供应商若委托代理人进行质疑的，质疑函应按要求列明“授权代表”的有关内容，并在附件中提交由质疑供应商签署的授权委托书。授权委托书应载明代理人的姓名或者名称、代理事项、具体权限、期限和相关事项。</w:t>
      </w:r>
    </w:p>
    <w:p w14:paraId="36697386">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3.质疑供应商若对项目的某一分包进行质疑，质疑函中应列明具体分包号。</w:t>
      </w:r>
    </w:p>
    <w:p w14:paraId="0681ACFB">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4.质疑函的质疑事项应具体、明确，并有必要的事实依据和法律依据。</w:t>
      </w:r>
    </w:p>
    <w:p w14:paraId="37D5CFBB">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5.质疑函的质疑请求应与质疑事项相关。</w:t>
      </w:r>
    </w:p>
    <w:p w14:paraId="208F1BC4">
      <w:pPr>
        <w:widowControl/>
        <w:spacing w:line="400" w:lineRule="exact"/>
        <w:ind w:firstLine="480"/>
        <w:jc w:val="left"/>
        <w:rPr>
          <w:rFonts w:hint="eastAsia" w:ascii="仿宋" w:hAnsi="仿宋" w:eastAsia="仿宋" w:cs="仿宋"/>
          <w:sz w:val="24"/>
          <w:szCs w:val="24"/>
          <w:highlight w:val="none"/>
        </w:rPr>
      </w:pPr>
      <w:r>
        <w:rPr>
          <w:rFonts w:hint="eastAsia" w:ascii="仿宋" w:hAnsi="仿宋" w:eastAsia="仿宋" w:cs="仿宋"/>
          <w:sz w:val="24"/>
          <w:szCs w:val="24"/>
          <w:highlight w:val="none"/>
        </w:rPr>
        <w:t>6.质疑供应商为自然人的，质疑函应由本人签字；质疑供应商为法人或者其他组织的，质疑函应由法定代表人、主要负责人，或者其授权代表签字或者盖章，并加盖公章。</w:t>
      </w:r>
    </w:p>
    <w:p w14:paraId="2D28F815">
      <w:pPr>
        <w:pStyle w:val="12"/>
        <w:rPr>
          <w:rFonts w:hint="eastAsia" w:ascii="仿宋" w:hAnsi="仿宋" w:eastAsia="仿宋" w:cs="仿宋"/>
          <w:sz w:val="24"/>
          <w:szCs w:val="24"/>
          <w:highlight w:val="none"/>
        </w:rPr>
      </w:pPr>
    </w:p>
    <w:p w14:paraId="17C21B38">
      <w:pPr>
        <w:pStyle w:val="12"/>
        <w:rPr>
          <w:rFonts w:hint="eastAsia" w:ascii="仿宋" w:hAnsi="仿宋" w:eastAsia="仿宋" w:cs="仿宋"/>
          <w:sz w:val="24"/>
          <w:szCs w:val="24"/>
          <w:highlight w:val="none"/>
        </w:rPr>
      </w:pPr>
    </w:p>
    <w:p w14:paraId="0C9AE1CE">
      <w:pPr>
        <w:widowControl/>
        <w:spacing w:line="700" w:lineRule="exact"/>
        <w:jc w:val="left"/>
        <w:rPr>
          <w:rFonts w:hint="eastAsia" w:ascii="仿宋" w:hAnsi="仿宋" w:eastAsia="仿宋" w:cs="仿宋"/>
          <w:sz w:val="24"/>
          <w:szCs w:val="24"/>
          <w:highlight w:val="none"/>
        </w:rPr>
      </w:pPr>
    </w:p>
    <w:p w14:paraId="2CD540A1">
      <w:pPr>
        <w:rPr>
          <w:highlight w:val="none"/>
        </w:rPr>
      </w:pPr>
    </w:p>
    <w:p w14:paraId="0C1D1B16">
      <w:pPr>
        <w:rPr>
          <w:highlight w:val="none"/>
        </w:rPr>
      </w:pPr>
    </w:p>
    <w:sectPr>
      <w:pgSz w:w="11906" w:h="16838"/>
      <w:pgMar w:top="1191" w:right="1587" w:bottom="1191" w:left="1366" w:header="850" w:footer="907" w:gutter="0"/>
      <w:cols w:space="0" w:num="1"/>
      <w:docGrid w:linePitch="294" w:charSpace="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1"/>
    <w:family w:val="auto"/>
    <w:pitch w:val="default"/>
    <w:sig w:usb0="E0002EFF" w:usb1="C000785B" w:usb2="00000009" w:usb3="00000000" w:csb0="400001FF" w:csb1="FFFF0000"/>
  </w:font>
  <w:font w:name="宋体">
    <w:panose1 w:val="02010600030101010101"/>
    <w:charset w:val="80"/>
    <w:family w:val="auto"/>
    <w:pitch w:val="default"/>
    <w:sig w:usb0="00000203" w:usb1="288F0000" w:usb2="00000006" w:usb3="00000000" w:csb0="00040001" w:csb1="00000000"/>
  </w:font>
  <w:font w:name="Wingdings">
    <w:panose1 w:val="05000000000000000000"/>
    <w:charset w:val="02"/>
    <w:family w:val="auto"/>
    <w:pitch w:val="default"/>
    <w:sig w:usb0="00000000" w:usb1="00000000" w:usb2="00000000" w:usb3="00000000" w:csb0="80000000" w:csb1="00000000"/>
  </w:font>
  <w:font w:name="Arial">
    <w:panose1 w:val="020B0604020202020204"/>
    <w:charset w:val="01"/>
    <w:family w:val="swiss"/>
    <w:pitch w:val="default"/>
    <w:sig w:usb0="E0002EFF" w:usb1="C000785B" w:usb2="00000009" w:usb3="00000000" w:csb0="400001FF" w:csb1="FFFF0000"/>
  </w:font>
  <w:font w:name="黑体">
    <w:panose1 w:val="02010609060101010101"/>
    <w:charset w:val="86"/>
    <w:family w:val="auto"/>
    <w:pitch w:val="default"/>
    <w:sig w:usb0="800002BF" w:usb1="38CF7CFA" w:usb2="00000016" w:usb3="00000000" w:csb0="00040001" w:csb1="00000000"/>
  </w:font>
  <w:font w:name="Courier New">
    <w:panose1 w:val="02070309020205020404"/>
    <w:charset w:val="01"/>
    <w:family w:val="modern"/>
    <w:pitch w:val="default"/>
    <w:sig w:usb0="E0002EFF" w:usb1="C0007843" w:usb2="00000009" w:usb3="00000000" w:csb0="400001FF" w:csb1="FFFF0000"/>
  </w:font>
  <w:font w:name="Symbol">
    <w:panose1 w:val="05050102010706020507"/>
    <w:charset w:val="02"/>
    <w:family w:val="roman"/>
    <w:pitch w:val="default"/>
    <w:sig w:usb0="00000000" w:usb1="00000000" w:usb2="00000000" w:usb3="00000000" w:csb0="80000000" w:csb1="00000000"/>
  </w:font>
  <w:font w:name="Calibri">
    <w:panose1 w:val="020F0502020204030204"/>
    <w:charset w:val="00"/>
    <w:family w:val="swiss"/>
    <w:pitch w:val="default"/>
    <w:sig w:usb0="E4002EFF" w:usb1="C200247B" w:usb2="00000009" w:usb3="00000000" w:csb0="200001FF" w:csb1="00000000"/>
  </w:font>
  <w:font w:name="楷体_GB2312">
    <w:altName w:val="楷体"/>
    <w:panose1 w:val="02010609030101010101"/>
    <w:charset w:val="86"/>
    <w:family w:val="modern"/>
    <w:pitch w:val="default"/>
    <w:sig w:usb0="00000000" w:usb1="00000000" w:usb2="00000010" w:usb3="00000000" w:csb0="00040000" w:csb1="00000000"/>
  </w:font>
  <w:font w:name="楷体">
    <w:panose1 w:val="02010609060101010101"/>
    <w:charset w:val="86"/>
    <w:family w:val="modern"/>
    <w:pitch w:val="default"/>
    <w:sig w:usb0="800002BF" w:usb1="38CF7CFA" w:usb2="00000016" w:usb3="00000000" w:csb0="00040001" w:csb1="00000000"/>
  </w:font>
  <w:font w:name="仿宋_GB2312">
    <w:altName w:val="仿宋"/>
    <w:panose1 w:val="02010609030101010101"/>
    <w:charset w:val="86"/>
    <w:family w:val="modern"/>
    <w:pitch w:val="default"/>
    <w:sig w:usb0="00000000" w:usb1="00000000" w:usb2="00000010" w:usb3="00000000" w:csb0="00040000" w:csb1="00000000"/>
  </w:font>
  <w:font w:name="仿宋">
    <w:panose1 w:val="02010609060101010101"/>
    <w:charset w:val="86"/>
    <w:family w:val="modern"/>
    <w:pitch w:val="default"/>
    <w:sig w:usb0="800002BF" w:usb1="38CF7CFA" w:usb2="00000016" w:usb3="00000000" w:csb0="00040001" w:csb1="00000000"/>
  </w:font>
  <w:font w:name="等线">
    <w:panose1 w:val="02010600030101010101"/>
    <w:charset w:val="86"/>
    <w:family w:val="auto"/>
    <w:pitch w:val="default"/>
    <w:sig w:usb0="A00002BF" w:usb1="38CF7CFA" w:usb2="00000016" w:usb3="00000000" w:csb0="0004000F" w:csb1="00000000"/>
  </w:font>
  <w:font w:name="华文仿宋">
    <w:panose1 w:val="02010600040101010101"/>
    <w:charset w:val="86"/>
    <w:family w:val="auto"/>
    <w:pitch w:val="default"/>
    <w:sig w:usb0="00000287" w:usb1="080F0000" w:usb2="00000000" w:usb3="00000000" w:csb0="0004009F" w:csb1="DFD7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3F14380">
    <w:pPr>
      <w:pStyle w:val="22"/>
      <w:jc w:val="center"/>
      <w:rPr>
        <w:b/>
        <w:i/>
      </w:rP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0A69E2F0">
    <w:pPr>
      <w:pStyle w:val="22"/>
      <w:jc w:val="center"/>
      <w:rPr>
        <w:b/>
        <w:i/>
      </w:rPr>
    </w:pPr>
    <w:r>
      <mc:AlternateContent>
        <mc:Choice Requires="wps">
          <w:drawing>
            <wp:anchor distT="0" distB="0" distL="114300" distR="114300" simplePos="0" relativeHeight="251659264" behindDoc="0" locked="0" layoutInCell="1" allowOverlap="1">
              <wp:simplePos x="0" y="0"/>
              <wp:positionH relativeFrom="margin">
                <wp:align>center</wp:align>
              </wp:positionH>
              <wp:positionV relativeFrom="paragraph">
                <wp:posOffset>0</wp:posOffset>
              </wp:positionV>
              <wp:extent cx="1828800" cy="1828800"/>
              <wp:effectExtent l="0" t="0" r="0" b="0"/>
              <wp:wrapNone/>
              <wp:docPr id="1" name="文本框 1"/>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603C1F61">
                          <w:pPr>
                            <w:pStyle w:val="22"/>
                          </w:pPr>
                          <w:r>
                            <w:fldChar w:fldCharType="begin"/>
                          </w:r>
                          <w:r>
                            <w:instrText xml:space="preserve"> PAGE  \* MERGEFORMAT </w:instrText>
                          </w:r>
                          <w:r>
                            <w:fldChar w:fldCharType="separate"/>
                          </w:r>
                          <w:r>
                            <w:t>1</w:t>
                          </w:r>
                          <w: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59264;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IzXDnwqAgAAVQQAAA4AAABkcnMvZTJvRG9jLnhtbK1UzY7TMBC+I/EO&#10;lu80aRGrKmq6KlsVIVXsSgVxdh2nieQ/2W6T8gDwBpy4cOe5+hx8zk8XLRz2wMUZe8bfzPfNOIvb&#10;VklyEs7XRud0OkkpEZqbotaHnH76uHk1p8QHpgsmjRY5PQtPb5cvXywam4mZqYwshCMA0T5rbE6r&#10;EGyWJJ5XQjE/MVZoOEvjFAvYukNSONYAXclklqY3SWNcYZ3hwnucrnsnHRDdcwBNWdZcrA0/KqFD&#10;j+qEZAGUfFVbT5ddtWUpeLgvSy8CkTkF09CtSAJ7H9dkuWDZwTFb1XwogT2nhCecFKs1kl6h1iww&#10;cnT1X1Cq5s54U4YJNyrpiXSKgMU0faLNrmJWdFwgtbdX0f3/g+UfTg+O1AUmgRLNFBp++f7t8uPX&#10;5edXMo3yNNZniNpZxIX2rWlj6HDucRhZt6VT8Qs+BH6Ie76KK9pAeLw0n83nKVwcvnEDnOTxunU+&#10;vBNGkWjk1KF7najstPWhDx1DYjZtNrWUOGeZ1KTJ6c3rN2l34eoBuNTIEUn0xUYrtPt2YLA3xRnE&#10;nOknw1u+qZF8y3x4YA6jgILxWMI9llIaJDGDRUll3Jd/ncd4dAheShqMVk41XhIl8r1G5wAYRsON&#10;xn409FHdGcwquoFaOhMXXJCjWTqjPuMFrWIOuJjmyJTTMJp3oR9vvEAuVqsuCLNmWdjqneUROirm&#10;7eoYIGCnaxSlV2LQCtPWdWZ4GXGc/9x3UY9/g+VvUEsDBAoAAAAAAIdO4kAAAAAAAAAAAAAAAAAG&#10;AAAAX3JlbHMvUEsDBBQAAAAIAIdO4kCKFGY80QAAAJQBAAALAAAAX3JlbHMvLnJlbHOlkMFqwzAM&#10;hu+DvYPRfXGawxijTi+j0GvpHsDYimMaW0Yy2fr28w6DZfS2o36h7xP//vCZFrUiS6RsYNf1oDA7&#10;8jEHA++X49MLKKk2e7tQRgM3FDiMjw/7My62tiOZYxHVKFkMzLWWV63FzZisdFQwt81EnGxtIwdd&#10;rLvagHro+2fNvxkwbpjq5A3wyQ+gLrfSzH/YKTomoal2jpKmaYruHlUHtmWO7sg24Ru5RrMcsBrw&#10;LBoHalnXfgR9X7/7p97TRz7jutV+h4zrj1dvuhy/AFBLAwQUAAAACACHTuJAfublIPcAAADhAQAA&#10;EwAAAFtDb250ZW50X1R5cGVzXS54bWyVkUFOwzAQRfdI3MHyFiVOu0AIJemCtEtAqBxgZE8Si2Rs&#10;eUxob4+TthtEkVjaM/+/J7vcHMZBTBjYOqrkKi+kQNLOWOoq+b7fZQ9ScAQyMDjCSh6R5aa+vSn3&#10;R48sUpq4kn2M/lEp1j2OwLnzSGnSujBCTMfQKQ/6AzpU66K4V9pRRIpZnDtkXTbYwucQxfaQrk8m&#10;AQeW4um0OLMqCd4PVkNMpmoi84OSnQl5Si473FvPd0lDql8J8+Q64Jx7SU8TrEHxCiE+w5g0lAms&#10;jPuigFP+d8lsOXLm2tZqzJvATYq94XSxutaOa9c4/d/y7ZK6dKvlg+pvUEsBAhQAFAAAAAgAh07i&#10;QH7m5SD3AAAA4QEAABMAAAAAAAAAAQAgAAAAkwQAAFtDb250ZW50X1R5cGVzXS54bWxQSwECFAAK&#10;AAAAAACHTuJAAAAAAAAAAAAAAAAABgAAAAAAAAAAABAAAAB1AwAAX3JlbHMvUEsBAhQAFAAAAAgA&#10;h07iQIoUZjzRAAAAlAEAAAsAAAAAAAAAAQAgAAAAmQMAAF9yZWxzLy5yZWxzUEsBAhQACgAAAAAA&#10;h07iQAAAAAAAAAAAAAAAAAQAAAAAAAAAAAAQAAAAAAAAAGRycy9QSwECFAAUAAAACACHTuJAs0lY&#10;7tAAAAAFAQAADwAAAAAAAAABACAAAAAiAAAAZHJzL2Rvd25yZXYueG1sUEsBAhQAFAAAAAgAh07i&#10;QIzXDnwqAgAAVQQAAA4AAAAAAAAAAQAgAAAAHwEAAGRycy9lMm9Eb2MueG1sUEsFBgAAAAAGAAYA&#10;WQEAALsFAAAAAA==&#10;">
              <v:fill on="f" focussize="0,0"/>
              <v:stroke on="f" weight="0.5pt"/>
              <v:imagedata o:title=""/>
              <o:lock v:ext="edit" aspectratio="f"/>
              <v:textbox inset="0mm,0mm,0mm,0mm" style="mso-fit-shape-to-text:t;">
                <w:txbxContent>
                  <w:p w14:paraId="603C1F61">
                    <w:pPr>
                      <w:pStyle w:val="22"/>
                    </w:pPr>
                    <w:r>
                      <w:fldChar w:fldCharType="begin"/>
                    </w:r>
                    <w:r>
                      <w:instrText xml:space="preserve"> PAGE  \* MERGEFORMAT </w:instrText>
                    </w:r>
                    <w:r>
                      <w:fldChar w:fldCharType="separate"/>
                    </w:r>
                    <w:r>
                      <w:t>1</w:t>
                    </w:r>
                    <w:r>
                      <w:fldChar w:fldCharType="end"/>
                    </w:r>
                  </w:p>
                </w:txbxContent>
              </v:textbox>
            </v:shape>
          </w:pict>
        </mc:Fallback>
      </mc:AlternateContent>
    </w: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15 wp14">
  <w:p w14:paraId="2B3D88BE">
    <w:pPr>
      <w:pStyle w:val="22"/>
      <w:jc w:val="center"/>
    </w:pPr>
    <w:r>
      <mc:AlternateContent>
        <mc:Choice Requires="wps">
          <w:drawing>
            <wp:anchor distT="0" distB="0" distL="114300" distR="114300" simplePos="0" relativeHeight="251660288" behindDoc="0" locked="0" layoutInCell="1" allowOverlap="1">
              <wp:simplePos x="0" y="0"/>
              <wp:positionH relativeFrom="margin">
                <wp:align>center</wp:align>
              </wp:positionH>
              <wp:positionV relativeFrom="paragraph">
                <wp:posOffset>0</wp:posOffset>
              </wp:positionV>
              <wp:extent cx="1828800" cy="1828800"/>
              <wp:effectExtent l="0" t="0" r="0" b="0"/>
              <wp:wrapNone/>
              <wp:docPr id="2" name="文本框 2"/>
              <wp:cNvGraphicFramePr/>
              <a:graphic xmlns:a="http://schemas.openxmlformats.org/drawingml/2006/main">
                <a:graphicData uri="http://schemas.microsoft.com/office/word/2010/wordprocessingShape">
                  <wps:wsp>
                    <wps:cNvSpPr txBox="1"/>
                    <wps:spPr>
                      <a:xfrm>
                        <a:off x="0" y="0"/>
                        <a:ext cx="1828800" cy="1828800"/>
                      </a:xfrm>
                      <a:prstGeom prst="rect">
                        <a:avLst/>
                      </a:prstGeom>
                      <a:noFill/>
                      <a:ln w="6350">
                        <a:noFill/>
                      </a:ln>
                    </wps:spPr>
                    <wps:style>
                      <a:lnRef idx="0">
                        <a:schemeClr val="accent1"/>
                      </a:lnRef>
                      <a:fillRef idx="0">
                        <a:schemeClr val="accent1"/>
                      </a:fillRef>
                      <a:effectRef idx="0">
                        <a:schemeClr val="accent1"/>
                      </a:effectRef>
                      <a:fontRef idx="minor">
                        <a:schemeClr val="dk1"/>
                      </a:fontRef>
                    </wps:style>
                    <wps:txbx>
                      <w:txbxContent>
                        <w:p w14:paraId="1C528AD2">
                          <w:pPr>
                            <w:pStyle w:val="22"/>
                            <w:jc w:val="center"/>
                          </w:pPr>
                          <w:r>
                            <w:fldChar w:fldCharType="begin"/>
                          </w:r>
                          <w:r>
                            <w:instrText xml:space="preserve"> PAGE   \* MERGEFORMAT </w:instrText>
                          </w:r>
                          <w:r>
                            <w:fldChar w:fldCharType="separate"/>
                          </w:r>
                          <w:r>
                            <w:rPr>
                              <w:lang w:val="zh-CN"/>
                            </w:rPr>
                            <w:t>19</w:t>
                          </w:r>
                          <w:r>
                            <w:rPr>
                              <w:lang w:val="zh-CN"/>
                            </w:rPr>
                            <w:fldChar w:fldCharType="end"/>
                          </w:r>
                        </w:p>
                      </w:txbxContent>
                    </wps:txbx>
                    <wps:bodyPr rot="0" spcFirstLastPara="0" vertOverflow="overflow" horzOverflow="overflow" vert="horz" wrap="none" lIns="0" tIns="0" rIns="0" bIns="0" numCol="1" spcCol="0" rtlCol="0" fromWordArt="0" anchor="t" anchorCtr="0" forceAA="0" compatLnSpc="1">
                      <a:spAutoFit/>
                    </wps:bodyPr>
                  </wps:wsp>
                </a:graphicData>
              </a:graphic>
            </wp:anchor>
          </w:drawing>
        </mc:Choice>
        <mc:Fallback>
          <w:pict>
            <v:shape id="_x0000_s1026" o:spid="_x0000_s1026" o:spt="202" type="#_x0000_t202" style="position:absolute;left:0pt;margin-top:0pt;height:144pt;width:144pt;mso-position-horizontal:center;mso-position-horizontal-relative:margin;mso-wrap-style:none;z-index:251660288;mso-width-relative:page;mso-height-relative:page;" filled="f" stroked="f" coordsize="21600,21600" o:gfxdata="UEsDBAoAAAAAAIdO4kAAAAAAAAAAAAAAAAAEAAAAZHJzL1BLAwQUAAAACACHTuJAs0lY7tAAAAAF&#10;AQAADwAAAGRycy9kb3ducmV2LnhtbE2PQUvDQBCF74L/YRmhN7tpKxJiNgVL06Ng48HjNjsm0d3Z&#10;sLtN4793FEEvwzze8OZ75XZ2VkwY4uBJwWqZgUBqvRmoU/DS1Lc5iJg0GW09oYJPjLCtrq9KXRh/&#10;oWecjqkTHEKx0Ar6lMZCytj26HRc+hGJvTcfnE4sQydN0BcOd1aus+xeOj0Qf+j1iLse24/j2SnY&#10;1U0TJozBvuKh3rw/Pd7hflZqcbPKHkAknNPfMXzjMzpUzHTyZzJRWAVcJP1M9tZ5zvL0u8iqlP/p&#10;qy9QSwMEFAAAAAgAh07iQAVhjD8rAgAAVQQAAA4AAABkcnMvZTJvRG9jLnhtbK1UzY7TMBC+I/EO&#10;lu80bRGrqmq6KlsVIVXsSgVxdh2nieQ/2W6T8gDwBpy4cOe5+hx8dpIuWjjsgYsz9oy/8ffNTBa3&#10;rZLkJJyvjc7pZDSmRGhuilofcvrp4+bVjBIfmC6YNFrk9Cw8vV2+fLFo7FxMTWVkIRwBiPbzxua0&#10;CsHOs8zzSijmR8YKDWdpnGIBW3fICscaoCuZTcfjm6wxrrDOcOE9Ttedk/aI7jmApixrLtaGH5XQ&#10;oUN1QrIASr6qrafL9NqyFDzcl6UXgcicgmlIK5LA3sc1Wy7Y/OCYrWreP4E95wlPOClWayS9Qq1Z&#10;YOTo6r+gVM2d8aYMI25U1hFJioDFZPxEm13FrEhcILW3V9H9/4PlH04PjtRFTqeUaKZQ8Mv3b5cf&#10;vy4/v5JplKexfo6onUVcaN+aFk0znHscRtZt6VT8gg+BH+Ker+KKNhAeL82ms9kYLg7fsAF+9njd&#10;Oh/eCaNINHLqUL0kKjttfehCh5CYTZtNLWWqoNSkyenN6zfjdOHqAbjUyBFJdI+NVmj3bc9sb4oz&#10;iDnTdYa3fFMj+Zb58MAcWgEPxrCEeyylNEhieouSyrgv/zqP8agQvJQ0aK2cakwSJfK9RuUAGAbD&#10;DcZ+MPRR3Rn06gRDaHkyccEFOZilM+ozJmgVc8DFNEemnIbBvAtde2MCuVitUhB6zbKw1TvLI3QU&#10;z9vVMUDApGsUpVOi1wrdlirTT0Zs5z/3Kerxb7D8DVBLAwQKAAAAAACHTuJAAAAAAAAAAAAAAAAA&#10;BgAAAF9yZWxzL1BLAwQUAAAACACHTuJAihRmPNEAAACUAQAACwAAAF9yZWxzLy5yZWxzpZDBasMw&#10;DIbvg72D0X1xmsMYo04vo9Br6R7A2IpjGltGMtn69vMOg2X0tqN+oe8T//7wmRa1IkukbGDX9aAw&#10;O/IxBwPvl+PTCyipNnu7UEYDNxQ4jI8P+zMutrYjmWMR1ShZDMy1lletxc2YrHRUMLfNRJxsbSMH&#10;Xay72oB66Ptnzb8ZMG6Y6uQN8MkPoC630sx/2Ck6JqGpdo6SpmmK7h5VB7Zlju7INuEbuUazHLAa&#10;8CwaB2pZ134EfV+/+6fe00c+47rVfoeM649Xb7ocvwBQSwMEFAAAAAgAh07iQH7m5SD3AAAA4QEA&#10;ABMAAABbQ29udGVudF9UeXBlc10ueG1slZFBTsMwEEX3SNzB8hYlTrtACCXpgrRLQKgcYGRPEotk&#10;bHlMaG+Pk7YbRJFY2jP/vye73BzGQUwY2Dqq5CovpEDSzljqKvm+32UPUnAEMjA4wkoekeWmvr0p&#10;90ePLFKauJJ9jP5RKdY9jsC580hp0rowQkzH0CkP+gM6VOuiuFfaUUSKWZw7ZF022MLnEMX2kK5P&#10;JgEHluLptDizKgneD1ZDTKZqIvODkp0JeUouO9xbz3dJQ6pfCfPkOuCce0lPE6xB8QohPsOYNJQJ&#10;rIz7ooBT/nfJbDly5trWasybwE2KveF0sbrWjmvXOP3f8u2SunSr5YPqb1BLAQIUABQAAAAIAIdO&#10;4kB+5uUg9wAAAOEBAAATAAAAAAAAAAEAIAAAAJQEAABbQ29udGVudF9UeXBlc10ueG1sUEsBAhQA&#10;CgAAAAAAh07iQAAAAAAAAAAAAAAAAAYAAAAAAAAAAAAQAAAAdgMAAF9yZWxzL1BLAQIUABQAAAAI&#10;AIdO4kCKFGY80QAAAJQBAAALAAAAAAAAAAEAIAAAAJoDAABfcmVscy8ucmVsc1BLAQIUAAoAAAAA&#10;AIdO4kAAAAAAAAAAAAAAAAAEAAAAAAAAAAAAEAAAAAAAAABkcnMvUEsBAhQAFAAAAAgAh07iQLNJ&#10;WO7QAAAABQEAAA8AAAAAAAAAAQAgAAAAIgAAAGRycy9kb3ducmV2LnhtbFBLAQIUABQAAAAIAIdO&#10;4kAFYYw/KwIAAFUEAAAOAAAAAAAAAAEAIAAAAB8BAABkcnMvZTJvRG9jLnhtbFBLBQYAAAAABgAG&#10;AFkBAAC8BQAAAAA=&#10;">
              <v:fill on="f" focussize="0,0"/>
              <v:stroke on="f" weight="0.5pt"/>
              <v:imagedata o:title=""/>
              <o:lock v:ext="edit" aspectratio="f"/>
              <v:textbox inset="0mm,0mm,0mm,0mm" style="mso-fit-shape-to-text:t;">
                <w:txbxContent>
                  <w:p w14:paraId="1C528AD2">
                    <w:pPr>
                      <w:pStyle w:val="22"/>
                      <w:jc w:val="center"/>
                    </w:pPr>
                    <w:r>
                      <w:fldChar w:fldCharType="begin"/>
                    </w:r>
                    <w:r>
                      <w:instrText xml:space="preserve"> PAGE   \* MERGEFORMAT </w:instrText>
                    </w:r>
                    <w:r>
                      <w:fldChar w:fldCharType="separate"/>
                    </w:r>
                    <w:r>
                      <w:rPr>
                        <w:lang w:val="zh-CN"/>
                      </w:rPr>
                      <w:t>19</w:t>
                    </w:r>
                    <w:r>
                      <w:rPr>
                        <w:lang w:val="zh-CN"/>
                      </w:rPr>
                      <w:fldChar w:fldCharType="end"/>
                    </w:r>
                  </w:p>
                </w:txbxContent>
              </v:textbox>
            </v:shape>
          </w:pict>
        </mc:Fallback>
      </mc:AlternateContent>
    </w:r>
  </w:p>
  <w:p w14:paraId="72B3B038">
    <w:pPr>
      <w:pStyle w:val="22"/>
      <w:jc w:val="center"/>
      <w:rPr>
        <w:b/>
        <w:i/>
      </w:rPr>
    </w:pPr>
  </w:p>
</w:ft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xmlns:wpsCustomData="http://www.wps.cn/officeDocument/2013/wpsCustomData" mc:Ignorable="w14 wp14">
  <w:abstractNum w:abstractNumId="0">
    <w:nsid w:val="A48D25BC"/>
    <w:multiLevelType w:val="multilevel"/>
    <w:tmpl w:val="A48D25BC"/>
    <w:lvl w:ilvl="0" w:tentative="0">
      <w:start w:val="1"/>
      <w:numFmt w:val="decimal"/>
      <w:suff w:val="space"/>
      <w:lvlText w:val="%1."/>
      <w:lvlJc w:val="left"/>
    </w:lvl>
    <w:lvl w:ilvl="1" w:tentative="0">
      <w:start w:val="1"/>
      <w:numFmt w:val="bullet"/>
      <w:lvlText w:val="o"/>
      <w:lvlJc w:val="left"/>
      <w:pPr>
        <w:ind w:left="2007" w:hanging="360"/>
      </w:pPr>
      <w:rPr>
        <w:rFonts w:hint="default" w:ascii="Courier New" w:hAnsi="Courier New" w:eastAsia="Courier New" w:cs="Courier New"/>
      </w:rPr>
    </w:lvl>
    <w:lvl w:ilvl="2" w:tentative="0">
      <w:start w:val="1"/>
      <w:numFmt w:val="bullet"/>
      <w:lvlText w:val="§"/>
      <w:lvlJc w:val="left"/>
      <w:pPr>
        <w:ind w:left="2727" w:hanging="360"/>
      </w:pPr>
      <w:rPr>
        <w:rFonts w:hint="default" w:ascii="Wingdings" w:hAnsi="Wingdings" w:eastAsia="Wingdings" w:cs="Wingdings"/>
      </w:rPr>
    </w:lvl>
    <w:lvl w:ilvl="3" w:tentative="0">
      <w:start w:val="1"/>
      <w:numFmt w:val="bullet"/>
      <w:lvlText w:val="·"/>
      <w:lvlJc w:val="left"/>
      <w:pPr>
        <w:ind w:left="3447" w:hanging="360"/>
      </w:pPr>
      <w:rPr>
        <w:rFonts w:hint="default" w:ascii="Symbol" w:hAnsi="Symbol" w:eastAsia="Symbol" w:cs="Symbol"/>
      </w:rPr>
    </w:lvl>
    <w:lvl w:ilvl="4" w:tentative="0">
      <w:start w:val="1"/>
      <w:numFmt w:val="bullet"/>
      <w:lvlText w:val="o"/>
      <w:lvlJc w:val="left"/>
      <w:pPr>
        <w:ind w:left="4167" w:hanging="360"/>
      </w:pPr>
      <w:rPr>
        <w:rFonts w:hint="default" w:ascii="Courier New" w:hAnsi="Courier New" w:eastAsia="Courier New" w:cs="Courier New"/>
      </w:rPr>
    </w:lvl>
    <w:lvl w:ilvl="5" w:tentative="0">
      <w:start w:val="1"/>
      <w:numFmt w:val="bullet"/>
      <w:lvlText w:val="§"/>
      <w:lvlJc w:val="left"/>
      <w:pPr>
        <w:ind w:left="4887" w:hanging="360"/>
      </w:pPr>
      <w:rPr>
        <w:rFonts w:hint="default" w:ascii="Wingdings" w:hAnsi="Wingdings" w:eastAsia="Wingdings" w:cs="Wingdings"/>
      </w:rPr>
    </w:lvl>
    <w:lvl w:ilvl="6" w:tentative="0">
      <w:start w:val="1"/>
      <w:numFmt w:val="bullet"/>
      <w:lvlText w:val="·"/>
      <w:lvlJc w:val="left"/>
      <w:pPr>
        <w:ind w:left="5607" w:hanging="360"/>
      </w:pPr>
      <w:rPr>
        <w:rFonts w:hint="default" w:ascii="Symbol" w:hAnsi="Symbol" w:eastAsia="Symbol" w:cs="Symbol"/>
      </w:rPr>
    </w:lvl>
    <w:lvl w:ilvl="7" w:tentative="0">
      <w:start w:val="1"/>
      <w:numFmt w:val="bullet"/>
      <w:lvlText w:val="o"/>
      <w:lvlJc w:val="left"/>
      <w:pPr>
        <w:ind w:left="6327" w:hanging="360"/>
      </w:pPr>
      <w:rPr>
        <w:rFonts w:hint="default" w:ascii="Courier New" w:hAnsi="Courier New" w:eastAsia="Courier New" w:cs="Courier New"/>
      </w:rPr>
    </w:lvl>
    <w:lvl w:ilvl="8" w:tentative="0">
      <w:start w:val="1"/>
      <w:numFmt w:val="bullet"/>
      <w:lvlText w:val="§"/>
      <w:lvlJc w:val="left"/>
      <w:pPr>
        <w:ind w:left="7047" w:hanging="360"/>
      </w:pPr>
      <w:rPr>
        <w:rFonts w:hint="default" w:ascii="Wingdings" w:hAnsi="Wingdings" w:eastAsia="Wingdings" w:cs="Wingdings"/>
      </w:rPr>
    </w:lvl>
  </w:abstractNum>
  <w:abstractNum w:abstractNumId="1">
    <w:nsid w:val="AA21EA28"/>
    <w:multiLevelType w:val="multilevel"/>
    <w:tmpl w:val="AA21EA28"/>
    <w:lvl w:ilvl="0" w:tentative="0">
      <w:start w:val="1"/>
      <w:numFmt w:val="decimal"/>
      <w:suff w:val="space"/>
      <w:lvlText w:val="%1."/>
      <w:lvlJc w:val="left"/>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2">
    <w:nsid w:val="AB44DFAB"/>
    <w:multiLevelType w:val="singleLevel"/>
    <w:tmpl w:val="AB44DFAB"/>
    <w:lvl w:ilvl="0" w:tentative="0">
      <w:start w:val="1"/>
      <w:numFmt w:val="decimal"/>
      <w:suff w:val="nothing"/>
      <w:lvlText w:val="%1、"/>
      <w:lvlJc w:val="left"/>
    </w:lvl>
  </w:abstractNum>
  <w:abstractNum w:abstractNumId="3">
    <w:nsid w:val="0053208E"/>
    <w:multiLevelType w:val="multilevel"/>
    <w:tmpl w:val="0053208E"/>
    <w:lvl w:ilvl="0" w:tentative="0">
      <w:start w:val="1"/>
      <w:numFmt w:val="upperLetter"/>
      <w:pStyle w:val="211"/>
      <w:lvlText w:val="附录%1."/>
      <w:lvlJc w:val="left"/>
      <w:pPr>
        <w:tabs>
          <w:tab w:val="left" w:pos="907"/>
        </w:tabs>
        <w:ind w:left="907" w:hanging="907"/>
      </w:pPr>
      <w:rPr>
        <w:rFonts w:hint="eastAsia"/>
      </w:rPr>
    </w:lvl>
    <w:lvl w:ilvl="1" w:tentative="0">
      <w:start w:val="1"/>
      <w:numFmt w:val="bullet"/>
      <w:lvlText w:val="o"/>
      <w:lvlJc w:val="left"/>
      <w:pPr>
        <w:ind w:left="1440" w:hanging="360"/>
      </w:pPr>
      <w:rPr>
        <w:rFonts w:hint="default" w:ascii="Courier New" w:hAnsi="Courier New" w:eastAsia="Courier New" w:cs="Courier New"/>
      </w:rPr>
    </w:lvl>
    <w:lvl w:ilvl="2" w:tentative="0">
      <w:start w:val="1"/>
      <w:numFmt w:val="bullet"/>
      <w:lvlText w:val="§"/>
      <w:lvlJc w:val="left"/>
      <w:pPr>
        <w:ind w:left="2160" w:hanging="360"/>
      </w:pPr>
      <w:rPr>
        <w:rFonts w:hint="default" w:ascii="Wingdings" w:hAnsi="Wingdings" w:eastAsia="Wingdings" w:cs="Wingdings"/>
      </w:rPr>
    </w:lvl>
    <w:lvl w:ilvl="3" w:tentative="0">
      <w:start w:val="1"/>
      <w:numFmt w:val="bullet"/>
      <w:lvlText w:val="·"/>
      <w:lvlJc w:val="left"/>
      <w:pPr>
        <w:ind w:left="2880" w:hanging="360"/>
      </w:pPr>
      <w:rPr>
        <w:rFonts w:hint="default" w:ascii="Symbol" w:hAnsi="Symbol" w:eastAsia="Symbol" w:cs="Symbol"/>
      </w:rPr>
    </w:lvl>
    <w:lvl w:ilvl="4" w:tentative="0">
      <w:start w:val="1"/>
      <w:numFmt w:val="bullet"/>
      <w:lvlText w:val="o"/>
      <w:lvlJc w:val="left"/>
      <w:pPr>
        <w:ind w:left="3600" w:hanging="360"/>
      </w:pPr>
      <w:rPr>
        <w:rFonts w:hint="default" w:ascii="Courier New" w:hAnsi="Courier New" w:eastAsia="Courier New" w:cs="Courier New"/>
      </w:rPr>
    </w:lvl>
    <w:lvl w:ilvl="5" w:tentative="0">
      <w:start w:val="1"/>
      <w:numFmt w:val="bullet"/>
      <w:lvlText w:val="§"/>
      <w:lvlJc w:val="left"/>
      <w:pPr>
        <w:ind w:left="4320" w:hanging="360"/>
      </w:pPr>
      <w:rPr>
        <w:rFonts w:hint="default" w:ascii="Wingdings" w:hAnsi="Wingdings" w:eastAsia="Wingdings" w:cs="Wingdings"/>
      </w:rPr>
    </w:lvl>
    <w:lvl w:ilvl="6" w:tentative="0">
      <w:start w:val="1"/>
      <w:numFmt w:val="bullet"/>
      <w:lvlText w:val="·"/>
      <w:lvlJc w:val="left"/>
      <w:pPr>
        <w:ind w:left="5040" w:hanging="360"/>
      </w:pPr>
      <w:rPr>
        <w:rFonts w:hint="default" w:ascii="Symbol" w:hAnsi="Symbol" w:eastAsia="Symbol" w:cs="Symbol"/>
      </w:rPr>
    </w:lvl>
    <w:lvl w:ilvl="7" w:tentative="0">
      <w:start w:val="1"/>
      <w:numFmt w:val="bullet"/>
      <w:lvlText w:val="o"/>
      <w:lvlJc w:val="left"/>
      <w:pPr>
        <w:ind w:left="5760" w:hanging="360"/>
      </w:pPr>
      <w:rPr>
        <w:rFonts w:hint="default" w:ascii="Courier New" w:hAnsi="Courier New" w:eastAsia="Courier New" w:cs="Courier New"/>
      </w:rPr>
    </w:lvl>
    <w:lvl w:ilvl="8" w:tentative="0">
      <w:start w:val="1"/>
      <w:numFmt w:val="bullet"/>
      <w:lvlText w:val="§"/>
      <w:lvlJc w:val="left"/>
      <w:pPr>
        <w:ind w:left="6480" w:hanging="360"/>
      </w:pPr>
      <w:rPr>
        <w:rFonts w:hint="default" w:ascii="Wingdings" w:hAnsi="Wingdings" w:eastAsia="Wingdings" w:cs="Wingdings"/>
      </w:rPr>
    </w:lvl>
  </w:abstractNum>
  <w:abstractNum w:abstractNumId="4">
    <w:nsid w:val="2FB157CC"/>
    <w:multiLevelType w:val="multilevel"/>
    <w:tmpl w:val="2FB157CC"/>
    <w:lvl w:ilvl="0" w:tentative="0">
      <w:start w:val="1"/>
      <w:numFmt w:val="decimal"/>
      <w:lvlText w:val="%1、"/>
      <w:lvlJc w:val="left"/>
      <w:pPr>
        <w:ind w:left="1363" w:hanging="720"/>
      </w:pPr>
      <w:rPr>
        <w:rFonts w:hint="default"/>
      </w:rPr>
    </w:lvl>
    <w:lvl w:ilvl="1" w:tentative="0">
      <w:start w:val="1"/>
      <w:numFmt w:val="lowerLetter"/>
      <w:lvlText w:val="%2)"/>
      <w:lvlJc w:val="left"/>
      <w:pPr>
        <w:ind w:left="1483" w:hanging="420"/>
      </w:pPr>
    </w:lvl>
    <w:lvl w:ilvl="2" w:tentative="0">
      <w:start w:val="1"/>
      <w:numFmt w:val="lowerRoman"/>
      <w:lvlText w:val="%3."/>
      <w:lvlJc w:val="right"/>
      <w:pPr>
        <w:ind w:left="1903" w:hanging="420"/>
      </w:pPr>
    </w:lvl>
    <w:lvl w:ilvl="3" w:tentative="0">
      <w:start w:val="1"/>
      <w:numFmt w:val="decimal"/>
      <w:lvlText w:val="%4."/>
      <w:lvlJc w:val="left"/>
      <w:pPr>
        <w:ind w:left="2323" w:hanging="420"/>
      </w:pPr>
    </w:lvl>
    <w:lvl w:ilvl="4" w:tentative="0">
      <w:start w:val="1"/>
      <w:numFmt w:val="lowerLetter"/>
      <w:lvlText w:val="%5)"/>
      <w:lvlJc w:val="left"/>
      <w:pPr>
        <w:ind w:left="2743" w:hanging="420"/>
      </w:pPr>
    </w:lvl>
    <w:lvl w:ilvl="5" w:tentative="0">
      <w:start w:val="1"/>
      <w:numFmt w:val="lowerRoman"/>
      <w:lvlText w:val="%6."/>
      <w:lvlJc w:val="right"/>
      <w:pPr>
        <w:ind w:left="3163" w:hanging="420"/>
      </w:pPr>
    </w:lvl>
    <w:lvl w:ilvl="6" w:tentative="0">
      <w:start w:val="1"/>
      <w:numFmt w:val="decimal"/>
      <w:lvlText w:val="%7."/>
      <w:lvlJc w:val="left"/>
      <w:pPr>
        <w:ind w:left="3583" w:hanging="420"/>
      </w:pPr>
    </w:lvl>
    <w:lvl w:ilvl="7" w:tentative="0">
      <w:start w:val="1"/>
      <w:numFmt w:val="lowerLetter"/>
      <w:lvlText w:val="%8)"/>
      <w:lvlJc w:val="left"/>
      <w:pPr>
        <w:ind w:left="4003" w:hanging="420"/>
      </w:pPr>
    </w:lvl>
    <w:lvl w:ilvl="8" w:tentative="0">
      <w:start w:val="1"/>
      <w:numFmt w:val="lowerRoman"/>
      <w:lvlText w:val="%9."/>
      <w:lvlJc w:val="right"/>
      <w:pPr>
        <w:ind w:left="4423" w:hanging="420"/>
      </w:pPr>
    </w:lvl>
  </w:abstractNum>
  <w:num w:numId="1">
    <w:abstractNumId w:val="3"/>
  </w:num>
  <w:num w:numId="2">
    <w:abstractNumId w:val="4"/>
  </w:num>
  <w:num w:numId="3">
    <w:abstractNumId w:val="2"/>
  </w:num>
  <w:num w:numId="4">
    <w:abstractNumId w:val="0"/>
  </w:num>
  <w:num w:numId="5">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xmlns:wpsCustomData="http://www.wps.cn/officeDocument/2013/wpsCustomData" mc:Ignorable="w14">
  <w:zoom w:percent="110"/>
  <w:bordersDoNotSurroundHeader w:val="0"/>
  <w:bordersDoNotSurroundFooter w:val="0"/>
  <w:documentProtection w:enforcement="0"/>
  <w:defaultTabStop w:val="420"/>
  <w:drawingGridHorizontalSpacing w:val="210"/>
  <w:drawingGridVerticalSpacing w:val="-7946"/>
  <w:displayHorizontalDrawingGridEvery w:val="1"/>
  <w:displayVerticalDrawingGridEvery w:val="1"/>
  <w:noPunctuationKerning w:val="1"/>
  <w:characterSpacingControl w:val="doNotCompress"/>
  <w:compat>
    <w:balanceSingleByteDoubleByteWidth/>
    <w:ulTrailSpace/>
    <w:doNotExpandShiftReturn/>
    <w:doNotWrapTextWithPunct/>
    <w:doNotUseEastAsianBreakRules/>
    <w:useFELayout/>
    <w:doNotUseIndentAsNumberingTabStop/>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CA42FD"/>
    <w:rsid w:val="000F0E93"/>
    <w:rsid w:val="00137E3F"/>
    <w:rsid w:val="001B537B"/>
    <w:rsid w:val="002A24C3"/>
    <w:rsid w:val="002E6413"/>
    <w:rsid w:val="002E6A1B"/>
    <w:rsid w:val="003218E2"/>
    <w:rsid w:val="00324C42"/>
    <w:rsid w:val="00326C47"/>
    <w:rsid w:val="00363423"/>
    <w:rsid w:val="00396B4B"/>
    <w:rsid w:val="003A6B87"/>
    <w:rsid w:val="003F520A"/>
    <w:rsid w:val="004B5B60"/>
    <w:rsid w:val="00566816"/>
    <w:rsid w:val="005B6D53"/>
    <w:rsid w:val="005D038D"/>
    <w:rsid w:val="005F3747"/>
    <w:rsid w:val="00866E24"/>
    <w:rsid w:val="008C0D4E"/>
    <w:rsid w:val="009D751C"/>
    <w:rsid w:val="009E75A9"/>
    <w:rsid w:val="009F117A"/>
    <w:rsid w:val="00A12289"/>
    <w:rsid w:val="00AB25D0"/>
    <w:rsid w:val="00BC1E36"/>
    <w:rsid w:val="00BF623C"/>
    <w:rsid w:val="00C27B5C"/>
    <w:rsid w:val="00C77B74"/>
    <w:rsid w:val="00CA2ED6"/>
    <w:rsid w:val="00CA3D4C"/>
    <w:rsid w:val="00CA42FD"/>
    <w:rsid w:val="00CC2686"/>
    <w:rsid w:val="00CF306B"/>
    <w:rsid w:val="00D060C0"/>
    <w:rsid w:val="00DC38F3"/>
    <w:rsid w:val="00DC6F33"/>
    <w:rsid w:val="00E30EC7"/>
    <w:rsid w:val="00E40446"/>
    <w:rsid w:val="00E41F9A"/>
    <w:rsid w:val="00F22D52"/>
    <w:rsid w:val="00FC4D0B"/>
    <w:rsid w:val="01062EEC"/>
    <w:rsid w:val="011078C7"/>
    <w:rsid w:val="014E23E0"/>
    <w:rsid w:val="01AC28DD"/>
    <w:rsid w:val="01FF0067"/>
    <w:rsid w:val="020C008E"/>
    <w:rsid w:val="022B3727"/>
    <w:rsid w:val="02443CCC"/>
    <w:rsid w:val="03030A3E"/>
    <w:rsid w:val="03322962"/>
    <w:rsid w:val="03D12CCC"/>
    <w:rsid w:val="03D96696"/>
    <w:rsid w:val="040A684F"/>
    <w:rsid w:val="041871BE"/>
    <w:rsid w:val="04293EB0"/>
    <w:rsid w:val="043A7135"/>
    <w:rsid w:val="04837A47"/>
    <w:rsid w:val="04DB24E5"/>
    <w:rsid w:val="05450D48"/>
    <w:rsid w:val="0568505A"/>
    <w:rsid w:val="05AF57AD"/>
    <w:rsid w:val="062067FE"/>
    <w:rsid w:val="06714F28"/>
    <w:rsid w:val="06F2019A"/>
    <w:rsid w:val="06F86E33"/>
    <w:rsid w:val="074A1D85"/>
    <w:rsid w:val="07FE349D"/>
    <w:rsid w:val="08002443"/>
    <w:rsid w:val="080621EE"/>
    <w:rsid w:val="08107187"/>
    <w:rsid w:val="08C40E78"/>
    <w:rsid w:val="08EE7A25"/>
    <w:rsid w:val="090C5E9C"/>
    <w:rsid w:val="09F935EE"/>
    <w:rsid w:val="0A3B4AC1"/>
    <w:rsid w:val="0A5856A3"/>
    <w:rsid w:val="0A77431C"/>
    <w:rsid w:val="0A876E4C"/>
    <w:rsid w:val="0ABC1690"/>
    <w:rsid w:val="0B7D045A"/>
    <w:rsid w:val="0B9E7C8F"/>
    <w:rsid w:val="0BCD4D32"/>
    <w:rsid w:val="0BFA65D0"/>
    <w:rsid w:val="0C2F32F7"/>
    <w:rsid w:val="0C395F24"/>
    <w:rsid w:val="0C4C7D0E"/>
    <w:rsid w:val="0C700DD7"/>
    <w:rsid w:val="0C90769F"/>
    <w:rsid w:val="0D2B6A4E"/>
    <w:rsid w:val="0D762A91"/>
    <w:rsid w:val="0D872355"/>
    <w:rsid w:val="0DD570CD"/>
    <w:rsid w:val="0DE13138"/>
    <w:rsid w:val="0E1E1875"/>
    <w:rsid w:val="0E2A1FC8"/>
    <w:rsid w:val="0E340610"/>
    <w:rsid w:val="0E732330"/>
    <w:rsid w:val="0E9037CB"/>
    <w:rsid w:val="0F45587B"/>
    <w:rsid w:val="0F6B111B"/>
    <w:rsid w:val="0F7537A4"/>
    <w:rsid w:val="0FB5271F"/>
    <w:rsid w:val="0FE4264A"/>
    <w:rsid w:val="100C7B27"/>
    <w:rsid w:val="10125B88"/>
    <w:rsid w:val="10BD12C2"/>
    <w:rsid w:val="10DC4A8E"/>
    <w:rsid w:val="10E36DA6"/>
    <w:rsid w:val="11A66CA4"/>
    <w:rsid w:val="11CE7C31"/>
    <w:rsid w:val="11D30BC8"/>
    <w:rsid w:val="12372FC7"/>
    <w:rsid w:val="125B4CBE"/>
    <w:rsid w:val="129C6B7B"/>
    <w:rsid w:val="12DA277F"/>
    <w:rsid w:val="13236BA6"/>
    <w:rsid w:val="13A37390"/>
    <w:rsid w:val="13F26515"/>
    <w:rsid w:val="14866A15"/>
    <w:rsid w:val="156C2EC6"/>
    <w:rsid w:val="16B21029"/>
    <w:rsid w:val="17012AEA"/>
    <w:rsid w:val="171B2659"/>
    <w:rsid w:val="171E2D8F"/>
    <w:rsid w:val="174065B3"/>
    <w:rsid w:val="175005C5"/>
    <w:rsid w:val="17691658"/>
    <w:rsid w:val="17E65852"/>
    <w:rsid w:val="18FA0C02"/>
    <w:rsid w:val="19834C82"/>
    <w:rsid w:val="19A8293B"/>
    <w:rsid w:val="19AA144C"/>
    <w:rsid w:val="19B3604F"/>
    <w:rsid w:val="19BE3676"/>
    <w:rsid w:val="1ADE194D"/>
    <w:rsid w:val="1B7421A9"/>
    <w:rsid w:val="1BA15893"/>
    <w:rsid w:val="1BB10651"/>
    <w:rsid w:val="1BD75E2C"/>
    <w:rsid w:val="1C150C0C"/>
    <w:rsid w:val="1C232984"/>
    <w:rsid w:val="1C5D1849"/>
    <w:rsid w:val="1D304879"/>
    <w:rsid w:val="1D3137F6"/>
    <w:rsid w:val="1D395729"/>
    <w:rsid w:val="1D5030CD"/>
    <w:rsid w:val="1D68045E"/>
    <w:rsid w:val="1DAD5E38"/>
    <w:rsid w:val="1DAF719A"/>
    <w:rsid w:val="1E036392"/>
    <w:rsid w:val="1E984D2C"/>
    <w:rsid w:val="1ED86226"/>
    <w:rsid w:val="1F356A1F"/>
    <w:rsid w:val="1F952153"/>
    <w:rsid w:val="1FB21CE5"/>
    <w:rsid w:val="1FCC1CE1"/>
    <w:rsid w:val="1FFB7C68"/>
    <w:rsid w:val="211264F8"/>
    <w:rsid w:val="21654628"/>
    <w:rsid w:val="218464AE"/>
    <w:rsid w:val="21A36E5D"/>
    <w:rsid w:val="21A41C3A"/>
    <w:rsid w:val="21A70001"/>
    <w:rsid w:val="21C1459A"/>
    <w:rsid w:val="21D020D9"/>
    <w:rsid w:val="21EF63D2"/>
    <w:rsid w:val="22734459"/>
    <w:rsid w:val="22BF2BDC"/>
    <w:rsid w:val="23580F2E"/>
    <w:rsid w:val="241237D2"/>
    <w:rsid w:val="24174B94"/>
    <w:rsid w:val="241B709D"/>
    <w:rsid w:val="25223F74"/>
    <w:rsid w:val="25CB3C39"/>
    <w:rsid w:val="264D28A0"/>
    <w:rsid w:val="26A56238"/>
    <w:rsid w:val="27201D62"/>
    <w:rsid w:val="27207FB4"/>
    <w:rsid w:val="275F6D2E"/>
    <w:rsid w:val="279261C1"/>
    <w:rsid w:val="27AE7A61"/>
    <w:rsid w:val="27E66335"/>
    <w:rsid w:val="28011B94"/>
    <w:rsid w:val="28154809"/>
    <w:rsid w:val="28362E2B"/>
    <w:rsid w:val="28556C31"/>
    <w:rsid w:val="286F11F3"/>
    <w:rsid w:val="28A0273D"/>
    <w:rsid w:val="28CC431B"/>
    <w:rsid w:val="29622B06"/>
    <w:rsid w:val="299A404E"/>
    <w:rsid w:val="29BE4DE0"/>
    <w:rsid w:val="2A071F1F"/>
    <w:rsid w:val="2A075D21"/>
    <w:rsid w:val="2A30050E"/>
    <w:rsid w:val="2A5D507B"/>
    <w:rsid w:val="2A720B27"/>
    <w:rsid w:val="2AAD3775"/>
    <w:rsid w:val="2B93219A"/>
    <w:rsid w:val="2BBA2193"/>
    <w:rsid w:val="2C1D328F"/>
    <w:rsid w:val="2C270644"/>
    <w:rsid w:val="2C446EDF"/>
    <w:rsid w:val="2C604D64"/>
    <w:rsid w:val="2CBE5118"/>
    <w:rsid w:val="2CCB53C6"/>
    <w:rsid w:val="2D1136B6"/>
    <w:rsid w:val="2D1A49BD"/>
    <w:rsid w:val="2D630BFB"/>
    <w:rsid w:val="2DC572CF"/>
    <w:rsid w:val="2DC84F02"/>
    <w:rsid w:val="2E1B61BA"/>
    <w:rsid w:val="2EB9234B"/>
    <w:rsid w:val="2EF64565"/>
    <w:rsid w:val="2EFF622A"/>
    <w:rsid w:val="2F952E60"/>
    <w:rsid w:val="301C6D51"/>
    <w:rsid w:val="30575990"/>
    <w:rsid w:val="310C5ADB"/>
    <w:rsid w:val="317D3DE6"/>
    <w:rsid w:val="3202507E"/>
    <w:rsid w:val="32233065"/>
    <w:rsid w:val="325038C0"/>
    <w:rsid w:val="326A2A2B"/>
    <w:rsid w:val="33AD2BD0"/>
    <w:rsid w:val="341D6C3D"/>
    <w:rsid w:val="346D3E53"/>
    <w:rsid w:val="34C86836"/>
    <w:rsid w:val="35B67D87"/>
    <w:rsid w:val="35C0308E"/>
    <w:rsid w:val="360C7D55"/>
    <w:rsid w:val="36284168"/>
    <w:rsid w:val="3651207C"/>
    <w:rsid w:val="368925F7"/>
    <w:rsid w:val="36B17579"/>
    <w:rsid w:val="36B83D65"/>
    <w:rsid w:val="36C95C32"/>
    <w:rsid w:val="36D73248"/>
    <w:rsid w:val="370B137F"/>
    <w:rsid w:val="371D7F62"/>
    <w:rsid w:val="37256F21"/>
    <w:rsid w:val="3779661A"/>
    <w:rsid w:val="377D6D5D"/>
    <w:rsid w:val="378C567A"/>
    <w:rsid w:val="378C63B1"/>
    <w:rsid w:val="37B41122"/>
    <w:rsid w:val="38EF579E"/>
    <w:rsid w:val="398D772B"/>
    <w:rsid w:val="39B91FEE"/>
    <w:rsid w:val="39F72DF7"/>
    <w:rsid w:val="39F96B6F"/>
    <w:rsid w:val="3A437DEA"/>
    <w:rsid w:val="3A865F28"/>
    <w:rsid w:val="3A9514DA"/>
    <w:rsid w:val="3AB042CB"/>
    <w:rsid w:val="3ACE37A5"/>
    <w:rsid w:val="3ADF1782"/>
    <w:rsid w:val="3AED7D56"/>
    <w:rsid w:val="3B5B2575"/>
    <w:rsid w:val="3B660234"/>
    <w:rsid w:val="3BB45E27"/>
    <w:rsid w:val="3BED46A3"/>
    <w:rsid w:val="3CA456AC"/>
    <w:rsid w:val="3CBB45AF"/>
    <w:rsid w:val="3D0418D3"/>
    <w:rsid w:val="3D36579B"/>
    <w:rsid w:val="3D881438"/>
    <w:rsid w:val="3DDC3759"/>
    <w:rsid w:val="3DE10046"/>
    <w:rsid w:val="3E23069C"/>
    <w:rsid w:val="3E3C3120"/>
    <w:rsid w:val="3EB50271"/>
    <w:rsid w:val="3EB805C7"/>
    <w:rsid w:val="3FA0183A"/>
    <w:rsid w:val="3FE1193D"/>
    <w:rsid w:val="404B17A6"/>
    <w:rsid w:val="405C41EF"/>
    <w:rsid w:val="406E2745"/>
    <w:rsid w:val="407D653E"/>
    <w:rsid w:val="408847A8"/>
    <w:rsid w:val="409708D3"/>
    <w:rsid w:val="409C46F8"/>
    <w:rsid w:val="40ED6DE9"/>
    <w:rsid w:val="412F6470"/>
    <w:rsid w:val="419C20CF"/>
    <w:rsid w:val="41F50E78"/>
    <w:rsid w:val="42192F7B"/>
    <w:rsid w:val="422D771F"/>
    <w:rsid w:val="424E3E69"/>
    <w:rsid w:val="42781202"/>
    <w:rsid w:val="428131C9"/>
    <w:rsid w:val="42E33231"/>
    <w:rsid w:val="43281A31"/>
    <w:rsid w:val="4340580E"/>
    <w:rsid w:val="438C4797"/>
    <w:rsid w:val="43D11CBB"/>
    <w:rsid w:val="43DC1A0D"/>
    <w:rsid w:val="43FE2133"/>
    <w:rsid w:val="44725636"/>
    <w:rsid w:val="44F667EA"/>
    <w:rsid w:val="44FA35FD"/>
    <w:rsid w:val="453A628D"/>
    <w:rsid w:val="45637592"/>
    <w:rsid w:val="457A5EF2"/>
    <w:rsid w:val="45984F2B"/>
    <w:rsid w:val="45A92BC9"/>
    <w:rsid w:val="46560EA5"/>
    <w:rsid w:val="466D1CAB"/>
    <w:rsid w:val="4689127A"/>
    <w:rsid w:val="474C3F5D"/>
    <w:rsid w:val="47BB0CCB"/>
    <w:rsid w:val="47CA56A6"/>
    <w:rsid w:val="47E22F6B"/>
    <w:rsid w:val="489035D0"/>
    <w:rsid w:val="48A90EBB"/>
    <w:rsid w:val="493D634C"/>
    <w:rsid w:val="496B4CA0"/>
    <w:rsid w:val="4A3A3C77"/>
    <w:rsid w:val="4A5B7E34"/>
    <w:rsid w:val="4AF64B7C"/>
    <w:rsid w:val="4AFA62A3"/>
    <w:rsid w:val="4AFB21DE"/>
    <w:rsid w:val="4B49112B"/>
    <w:rsid w:val="4BA64E06"/>
    <w:rsid w:val="4BC539B4"/>
    <w:rsid w:val="4BE73F62"/>
    <w:rsid w:val="4C0F1D02"/>
    <w:rsid w:val="4C1E393E"/>
    <w:rsid w:val="4C7205A5"/>
    <w:rsid w:val="4D663ABA"/>
    <w:rsid w:val="4DB37B38"/>
    <w:rsid w:val="4DCA62DD"/>
    <w:rsid w:val="4DDB25DF"/>
    <w:rsid w:val="4E525304"/>
    <w:rsid w:val="4E643089"/>
    <w:rsid w:val="4E795BAC"/>
    <w:rsid w:val="4EBE573E"/>
    <w:rsid w:val="4EE44497"/>
    <w:rsid w:val="4FB34975"/>
    <w:rsid w:val="50D51236"/>
    <w:rsid w:val="50EC2B32"/>
    <w:rsid w:val="5164364B"/>
    <w:rsid w:val="51765DFD"/>
    <w:rsid w:val="519E6ECF"/>
    <w:rsid w:val="521627DE"/>
    <w:rsid w:val="521A1457"/>
    <w:rsid w:val="52547743"/>
    <w:rsid w:val="528154FB"/>
    <w:rsid w:val="52DE294E"/>
    <w:rsid w:val="52EB59D1"/>
    <w:rsid w:val="52F35C31"/>
    <w:rsid w:val="531A43CF"/>
    <w:rsid w:val="534E2B83"/>
    <w:rsid w:val="536F7A4A"/>
    <w:rsid w:val="53786204"/>
    <w:rsid w:val="53AA2830"/>
    <w:rsid w:val="53D33B35"/>
    <w:rsid w:val="53E02A8C"/>
    <w:rsid w:val="540B1B91"/>
    <w:rsid w:val="544D7D8B"/>
    <w:rsid w:val="54E84E40"/>
    <w:rsid w:val="55077873"/>
    <w:rsid w:val="5521466C"/>
    <w:rsid w:val="554307C8"/>
    <w:rsid w:val="554A6E6E"/>
    <w:rsid w:val="55C51BA3"/>
    <w:rsid w:val="55F73214"/>
    <w:rsid w:val="55F92552"/>
    <w:rsid w:val="563665FD"/>
    <w:rsid w:val="56D83F29"/>
    <w:rsid w:val="56DE10C7"/>
    <w:rsid w:val="572216F1"/>
    <w:rsid w:val="57405985"/>
    <w:rsid w:val="57727B09"/>
    <w:rsid w:val="578357F2"/>
    <w:rsid w:val="584C3E7F"/>
    <w:rsid w:val="58B33F35"/>
    <w:rsid w:val="58D00F8B"/>
    <w:rsid w:val="59162E41"/>
    <w:rsid w:val="59CD7278"/>
    <w:rsid w:val="59EC50C7"/>
    <w:rsid w:val="5A032EEA"/>
    <w:rsid w:val="5A654426"/>
    <w:rsid w:val="5A946B2A"/>
    <w:rsid w:val="5B7955BD"/>
    <w:rsid w:val="5BB6514A"/>
    <w:rsid w:val="5C2C64D8"/>
    <w:rsid w:val="5C6B79B4"/>
    <w:rsid w:val="5C7142EE"/>
    <w:rsid w:val="5C721E19"/>
    <w:rsid w:val="5D722610"/>
    <w:rsid w:val="5DA41571"/>
    <w:rsid w:val="5DA76D9D"/>
    <w:rsid w:val="5DD821C1"/>
    <w:rsid w:val="6051070B"/>
    <w:rsid w:val="607758A4"/>
    <w:rsid w:val="60A56859"/>
    <w:rsid w:val="60A76A75"/>
    <w:rsid w:val="614534C9"/>
    <w:rsid w:val="61585D0B"/>
    <w:rsid w:val="615C5477"/>
    <w:rsid w:val="61842381"/>
    <w:rsid w:val="61B21A4C"/>
    <w:rsid w:val="61BA27D8"/>
    <w:rsid w:val="61C977B9"/>
    <w:rsid w:val="621E1579"/>
    <w:rsid w:val="6220263B"/>
    <w:rsid w:val="62570027"/>
    <w:rsid w:val="6299163B"/>
    <w:rsid w:val="62C878A5"/>
    <w:rsid w:val="62E01DCA"/>
    <w:rsid w:val="6324615B"/>
    <w:rsid w:val="647D0F5E"/>
    <w:rsid w:val="64DA6254"/>
    <w:rsid w:val="65225751"/>
    <w:rsid w:val="656729C2"/>
    <w:rsid w:val="656F7435"/>
    <w:rsid w:val="65985489"/>
    <w:rsid w:val="660164E0"/>
    <w:rsid w:val="66247B8F"/>
    <w:rsid w:val="6686712D"/>
    <w:rsid w:val="669874FF"/>
    <w:rsid w:val="66B92259"/>
    <w:rsid w:val="67DB4126"/>
    <w:rsid w:val="68064081"/>
    <w:rsid w:val="68217862"/>
    <w:rsid w:val="682F23A6"/>
    <w:rsid w:val="686B20E8"/>
    <w:rsid w:val="68D52A98"/>
    <w:rsid w:val="68D550AF"/>
    <w:rsid w:val="69912D7D"/>
    <w:rsid w:val="69A0650F"/>
    <w:rsid w:val="6A136F29"/>
    <w:rsid w:val="6A5E135C"/>
    <w:rsid w:val="6A7A0D56"/>
    <w:rsid w:val="6A966A50"/>
    <w:rsid w:val="6A984704"/>
    <w:rsid w:val="6B182A49"/>
    <w:rsid w:val="6B4020DA"/>
    <w:rsid w:val="6B4A563E"/>
    <w:rsid w:val="6B916358"/>
    <w:rsid w:val="6BF54B38"/>
    <w:rsid w:val="6C16685D"/>
    <w:rsid w:val="6C755C79"/>
    <w:rsid w:val="6D090170"/>
    <w:rsid w:val="6D2D0302"/>
    <w:rsid w:val="6DF62992"/>
    <w:rsid w:val="6E82467D"/>
    <w:rsid w:val="6EF45832"/>
    <w:rsid w:val="6EFA7BFF"/>
    <w:rsid w:val="6F460950"/>
    <w:rsid w:val="6F5A4CB2"/>
    <w:rsid w:val="6F5B1156"/>
    <w:rsid w:val="6F775864"/>
    <w:rsid w:val="6F7C08F2"/>
    <w:rsid w:val="6FBF5649"/>
    <w:rsid w:val="6FE0165C"/>
    <w:rsid w:val="70900510"/>
    <w:rsid w:val="710B7DC9"/>
    <w:rsid w:val="712E4649"/>
    <w:rsid w:val="715B27DB"/>
    <w:rsid w:val="71976CEE"/>
    <w:rsid w:val="719E17CE"/>
    <w:rsid w:val="71DB1320"/>
    <w:rsid w:val="720F3316"/>
    <w:rsid w:val="724B20B5"/>
    <w:rsid w:val="727B1B10"/>
    <w:rsid w:val="72916C3D"/>
    <w:rsid w:val="72F74C46"/>
    <w:rsid w:val="72FA5B9A"/>
    <w:rsid w:val="7318611E"/>
    <w:rsid w:val="73214465"/>
    <w:rsid w:val="73473641"/>
    <w:rsid w:val="735201D1"/>
    <w:rsid w:val="737208DB"/>
    <w:rsid w:val="739F6935"/>
    <w:rsid w:val="74161AF0"/>
    <w:rsid w:val="74B35591"/>
    <w:rsid w:val="753A5550"/>
    <w:rsid w:val="75740D36"/>
    <w:rsid w:val="759AC977"/>
    <w:rsid w:val="759C7DD3"/>
    <w:rsid w:val="75EC43AC"/>
    <w:rsid w:val="76377481"/>
    <w:rsid w:val="765D7381"/>
    <w:rsid w:val="766C6C2F"/>
    <w:rsid w:val="76A4359C"/>
    <w:rsid w:val="76EA2DC0"/>
    <w:rsid w:val="774D3558"/>
    <w:rsid w:val="77A9459E"/>
    <w:rsid w:val="77FC495B"/>
    <w:rsid w:val="785C53F5"/>
    <w:rsid w:val="78BF0096"/>
    <w:rsid w:val="78E86DDB"/>
    <w:rsid w:val="79BC6C95"/>
    <w:rsid w:val="7A5F39FD"/>
    <w:rsid w:val="7C2A25DC"/>
    <w:rsid w:val="7C5F5123"/>
    <w:rsid w:val="7C6E3C5D"/>
    <w:rsid w:val="7D4421C5"/>
    <w:rsid w:val="7D556963"/>
    <w:rsid w:val="7E345985"/>
    <w:rsid w:val="7E783185"/>
    <w:rsid w:val="7E792761"/>
    <w:rsid w:val="7EF50554"/>
    <w:rsid w:val="7F1C1122"/>
    <w:rsid w:val="7F1DD288"/>
    <w:rsid w:val="7F8244DD"/>
    <w:rsid w:val="7F9D30C5"/>
    <w:rsid w:val="7FE107B1"/>
    <w:rsid w:val="F5FF5C12"/>
    <w:rsid w:val="FD74EE64"/>
  </w:rsids>
  <m:mathPr>
    <m:mathFont m:val="Cambria Math"/>
    <m:brkBin m:val="before"/>
    <m:brkBinSub m:val="--"/>
    <m:smallFrac m:val="1"/>
    <m:dispDef/>
    <m:lMargin m:val="0"/>
    <m:rMargin m:val="0"/>
    <m:defJc m:val="centerGroup"/>
    <m:wrapIndent m:val="1440"/>
    <m:intLim m:val="subSup"/>
    <m:naryLim m:val="undOvr"/>
  </m:mathPr>
  <w:themeFontLang w:val="en-US" w:eastAsia="zh-CN"/>
  <w:clrSchemeMapping w:bg1="light1" w:t1="dark1" w:bg2="light2" w:t2="dark2" w:accent1="accent1" w:accent2="accent2" w:accent3="accent3" w:accent4="accent4" w:accent5="accent5" w:accent6="accent6" w:hyperlink="hyperlink" w:followedHyperlink="followedHyperlink"/>
  <w:doNotIncludeSubdocsInStats/>
  <mc:AlternateContent>
    <mc:Choice Requires="wpsCustomData">
      <wpsCustomData:typoFeatureVersion val="1"/>
    </mc:Choice>
  </mc:AlternateContent>
</w:settings>
</file>

<file path=word/styles.xml><?xml version="1.0" encoding="utf-8"?>
<w:styles xmlns:mc="http://schemas.openxmlformats.org/markup-compatibility/2006" xmlns:o="urn:schemas-microsoft-com:office:office" xmlns:r="http://schemas.openxmlformats.org/officeDocument/2006/relationships" xmlns:m="http://schemas.openxmlformats.org/officeDocument/2006/math" xmlns:v="urn:schemas-microsoft-com:vml" xmlns:w="http://schemas.openxmlformats.org/wordprocessingml/2006/main" xmlns:w14="http://schemas.microsoft.com/office/word/2010/wordml" xmlns:w10="urn:schemas-microsoft-com:office:word" xmlns:sl="http://schemas.openxmlformats.org/schemaLibrary/2006/main" xmlns:wpsCustomData="http://www.wps.cn/officeDocument/2013/wpsCustomData" mc:Ignorable="w14">
  <w:docDefaults>
    <w:rPrDefault>
      <w:rPr>
        <w:rFonts w:ascii="Times New Roman" w:hAnsi="Times New Roman" w:eastAsia="宋体" w:cs="Times New Roman"/>
      </w:rPr>
    </w:rPrDefault>
    <w:pPrDefault/>
  </w:docDefaults>
  <w:latentStyles w:count="260" w:defQFormat="0" w:defUnhideWhenUsed="1" w:defSemiHidden="1" w:defUIPriority="99" w:defLockedState="0">
    <w:lsdException w:qFormat="1" w:unhideWhenUsed="0" w:uiPriority="0" w:semiHidden="0" w:name="Normal"/>
    <w:lsdException w:qFormat="1" w:unhideWhenUsed="0" w:uiPriority="0" w:semiHidden="0" w:name="heading 1"/>
    <w:lsdException w:qFormat="1" w:uiPriority="9" w:semiHidden="0" w:name="heading 2"/>
    <w:lsdException w:qFormat="1" w:uiPriority="9" w:semiHidden="0" w:name="heading 3"/>
    <w:lsdException w:qFormat="1" w:uiPriority="9" w:semiHidden="0" w:name="heading 4"/>
    <w:lsdException w:qFormat="1" w:uiPriority="9" w:semiHidden="0" w:name="heading 5"/>
    <w:lsdException w:qFormat="1" w:uiPriority="9" w:semiHidden="0" w:name="heading 6"/>
    <w:lsdException w:qFormat="1" w:uiPriority="9" w:semiHidden="0" w:name="heading 7"/>
    <w:lsdException w:qFormat="1" w:uiPriority="9" w:semiHidden="0" w:name="heading 8"/>
    <w:lsdException w:qFormat="1" w:uiPriority="9" w:semiHidden="0" w:name="heading 9"/>
    <w:lsdException w:uiPriority="99" w:name="index 1"/>
    <w:lsdException w:uiPriority="99" w:name="index 2"/>
    <w:lsdException w:uiPriority="99" w:name="index 3"/>
    <w:lsdException w:uiPriority="99" w:name="index 4"/>
    <w:lsdException w:uiPriority="99" w:name="index 5"/>
    <w:lsdException w:uiPriority="99" w:name="index 6"/>
    <w:lsdException w:uiPriority="99" w:name="index 7"/>
    <w:lsdException w:uiPriority="99" w:name="index 8"/>
    <w:lsdException w:uiPriority="99" w:name="index 9"/>
    <w:lsdException w:qFormat="1" w:unhideWhenUsed="0" w:uiPriority="39" w:semiHidden="0" w:name="toc 1"/>
    <w:lsdException w:qFormat="1" w:uiPriority="39" w:semiHidden="0" w:name="toc 2"/>
    <w:lsdException w:qFormat="1" w:uiPriority="39" w:semiHidden="0" w:name="toc 3"/>
    <w:lsdException w:qFormat="1" w:uiPriority="39" w:semiHidden="0" w:name="toc 4"/>
    <w:lsdException w:qFormat="1" w:uiPriority="39" w:semiHidden="0" w:name="toc 5"/>
    <w:lsdException w:qFormat="1" w:uiPriority="39" w:semiHidden="0" w:name="toc 6"/>
    <w:lsdException w:qFormat="1" w:uiPriority="39" w:semiHidden="0" w:name="toc 7"/>
    <w:lsdException w:qFormat="1" w:uiPriority="39" w:semiHidden="0" w:name="toc 8"/>
    <w:lsdException w:qFormat="1" w:uiPriority="39" w:semiHidden="0" w:name="toc 9"/>
    <w:lsdException w:qFormat="1" w:unhideWhenUsed="0" w:uiPriority="0" w:semiHidden="0" w:name="Normal Indent"/>
    <w:lsdException w:qFormat="1" w:uiPriority="99" w:name="footnote text"/>
    <w:lsdException w:uiPriority="99" w:name="annotation text"/>
    <w:lsdException w:qFormat="1" w:unhideWhenUsed="0" w:uiPriority="0" w:semiHidden="0" w:name="header"/>
    <w:lsdException w:qFormat="1" w:unhideWhenUsed="0" w:uiPriority="99" w:semiHidden="0" w:name="footer"/>
    <w:lsdException w:uiPriority="99" w:name="index heading"/>
    <w:lsdException w:qFormat="1" w:uiPriority="35" w:name="caption"/>
    <w:lsdException w:qFormat="1" w:uiPriority="99" w:semiHidden="0" w:name="table of figures"/>
    <w:lsdException w:uiPriority="99" w:name="envelope address"/>
    <w:lsdException w:qFormat="1" w:uiPriority="99" w:semiHidden="0" w:name="envelope return"/>
    <w:lsdException w:qFormat="1" w:uiPriority="99" w:semiHidden="0" w:name="footnote reference"/>
    <w:lsdException w:uiPriority="99" w:name="annotation reference"/>
    <w:lsdException w:uiPriority="99" w:name="line number"/>
    <w:lsdException w:qFormat="1" w:unhideWhenUsed="0" w:uiPriority="0" w:semiHidden="0" w:name="page number"/>
    <w:lsdException w:qFormat="1" w:uiPriority="99" w:name="endnote reference"/>
    <w:lsdException w:qFormat="1" w:uiPriority="99" w:name="endnote text"/>
    <w:lsdException w:uiPriority="99" w:name="table of authorities"/>
    <w:lsdException w:uiPriority="99" w:name="macro"/>
    <w:lsdException w:uiPriority="99" w:name="toa heading"/>
    <w:lsdException w:uiPriority="99" w:name="List"/>
    <w:lsdException w:uiPriority="99" w:name="List Bullet"/>
    <w:lsdException w:uiPriority="99" w:name="List Number"/>
    <w:lsdException w:uiPriority="99" w:name="List 2"/>
    <w:lsdException w:uiPriority="99" w:name="List 3"/>
    <w:lsdException w:uiPriority="99" w:name="List 4"/>
    <w:lsdException w:uiPriority="99" w:name="List 5"/>
    <w:lsdException w:uiPriority="99" w:name="List Bullet 2"/>
    <w:lsdException w:uiPriority="99" w:name="List Bullet 3"/>
    <w:lsdException w:uiPriority="99" w:name="List Bullet 4"/>
    <w:lsdException w:uiPriority="99" w:name="List Bullet 5"/>
    <w:lsdException w:uiPriority="99" w:name="List Number 2"/>
    <w:lsdException w:uiPriority="99" w:name="List Number 3"/>
    <w:lsdException w:uiPriority="99" w:name="List Number 4"/>
    <w:lsdException w:uiPriority="99" w:name="List Number 5"/>
    <w:lsdException w:qFormat="1" w:unhideWhenUsed="0" w:uiPriority="10" w:semiHidden="0" w:name="Title"/>
    <w:lsdException w:uiPriority="99" w:name="Closing"/>
    <w:lsdException w:uiPriority="99" w:name="Signature"/>
    <w:lsdException w:qFormat="1" w:uiPriority="1" w:name="Default Paragraph Font"/>
    <w:lsdException w:qFormat="1" w:unhideWhenUsed="0" w:uiPriority="0" w:semiHidden="0" w:name="Body Text"/>
    <w:lsdException w:qFormat="1" w:unhideWhenUsed="0" w:uiPriority="0" w:semiHidden="0" w:name="Body Text Indent"/>
    <w:lsdException w:uiPriority="99" w:name="List Continue"/>
    <w:lsdException w:uiPriority="99" w:name="List Continue 2"/>
    <w:lsdException w:uiPriority="99" w:name="List Continue 3"/>
    <w:lsdException w:uiPriority="99" w:name="List Continue 4"/>
    <w:lsdException w:uiPriority="99" w:name="List Continue 5"/>
    <w:lsdException w:uiPriority="99" w:name="Message Header"/>
    <w:lsdException w:qFormat="1" w:unhideWhenUsed="0" w:uiPriority="11" w:semiHidden="0" w:name="Subtitle"/>
    <w:lsdException w:uiPriority="99" w:name="Salutation"/>
    <w:lsdException w:uiPriority="99" w:name="Date"/>
    <w:lsdException w:qFormat="1" w:unhideWhenUsed="0" w:uiPriority="0" w:semiHidden="0" w:name="Body Text First Indent"/>
    <w:lsdException w:qFormat="1" w:unhideWhenUsed="0" w:uiPriority="0" w:semiHidden="0" w:name="Body Text First Indent 2"/>
    <w:lsdException w:uiPriority="99" w:name="Note Heading"/>
    <w:lsdException w:uiPriority="99" w:name="Body Text 2"/>
    <w:lsdException w:uiPriority="99" w:name="Body Text 3"/>
    <w:lsdException w:uiPriority="99" w:name="Body Text Indent 2"/>
    <w:lsdException w:uiPriority="99" w:name="Body Text Indent 3"/>
    <w:lsdException w:uiPriority="99" w:name="Block Text"/>
    <w:lsdException w:qFormat="1" w:uiPriority="99" w:semiHidden="0" w:name="Hyperlink"/>
    <w:lsdException w:qFormat="1" w:uiPriority="99" w:name="FollowedHyperlink"/>
    <w:lsdException w:qFormat="1" w:unhideWhenUsed="0" w:uiPriority="22" w:semiHidden="0" w:name="Strong"/>
    <w:lsdException w:qFormat="1" w:unhideWhenUsed="0" w:uiPriority="20" w:semiHidden="0" w:name="Emphasis"/>
    <w:lsdException w:uiPriority="99" w:name="Document Map"/>
    <w:lsdException w:qFormat="1" w:unhideWhenUsed="0" w:uiPriority="0" w:semiHidden="0" w:name="Plain Text"/>
    <w:lsdException w:uiPriority="99" w:name="E-mail Signature"/>
    <w:lsdException w:qFormat="1" w:unhideWhenUsed="0" w:uiPriority="99" w:semiHidden="0" w:name="Normal (Web)"/>
    <w:lsdException w:uiPriority="99" w:name="HTML Acronym"/>
    <w:lsdException w:uiPriority="99" w:name="HTML Address"/>
    <w:lsdException w:uiPriority="99" w:name="HTML Cite"/>
    <w:lsdException w:uiPriority="99" w:name="HTML Code"/>
    <w:lsdException w:uiPriority="99" w:name="HTML Definition"/>
    <w:lsdException w:uiPriority="99" w:name="HTML Keyboard"/>
    <w:lsdException w:uiPriority="99" w:name="HTML Preformatted"/>
    <w:lsdException w:uiPriority="99" w:name="HTML Sample"/>
    <w:lsdException w:uiPriority="99" w:name="HTML Typewriter"/>
    <w:lsdException w:uiPriority="99" w:name="HTML Variable"/>
    <w:lsdException w:qFormat="1" w:uiPriority="99" w:name="Normal Table"/>
    <w:lsdException w:uiPriority="99" w:name="annotation subject"/>
    <w:lsdException w:uiPriority="99" w:name="Table Simple 1"/>
    <w:lsdException w:uiPriority="99" w:name="Table Simple 2"/>
    <w:lsdException w:uiPriority="99" w:name="Table Simple 3"/>
    <w:lsdException w:uiPriority="99" w:name="Table Classic 1"/>
    <w:lsdException w:uiPriority="99" w:name="Table Classic 2"/>
    <w:lsdException w:uiPriority="99" w:name="Table Classic 3"/>
    <w:lsdException w:uiPriority="99" w:name="Table Classic 4"/>
    <w:lsdException w:uiPriority="99" w:name="Table Colorful 1"/>
    <w:lsdException w:uiPriority="99" w:name="Table Colorful 2"/>
    <w:lsdException w:uiPriority="99" w:name="Table Colorful 3"/>
    <w:lsdException w:uiPriority="99" w:name="Table Columns 1"/>
    <w:lsdException w:uiPriority="99" w:name="Table Columns 2"/>
    <w:lsdException w:uiPriority="99" w:name="Table Columns 3"/>
    <w:lsdException w:uiPriority="99" w:name="Table Columns 4"/>
    <w:lsdException w:uiPriority="99" w:name="Table Columns 5"/>
    <w:lsdException w:uiPriority="99" w:name="Table Grid 1"/>
    <w:lsdException w:uiPriority="99" w:name="Table Grid 2"/>
    <w:lsdException w:uiPriority="99" w:name="Table Grid 3"/>
    <w:lsdException w:uiPriority="99" w:name="Table Grid 4"/>
    <w:lsdException w:uiPriority="99" w:name="Table Grid 5"/>
    <w:lsdException w:uiPriority="99" w:name="Table Grid 6"/>
    <w:lsdException w:uiPriority="99" w:name="Table Grid 7"/>
    <w:lsdException w:uiPriority="99" w:name="Table Grid 8"/>
    <w:lsdException w:uiPriority="99" w:name="Table List 1"/>
    <w:lsdException w:uiPriority="99" w:name="Table List 2"/>
    <w:lsdException w:uiPriority="99" w:name="Table List 3"/>
    <w:lsdException w:uiPriority="99" w:name="Table List 4"/>
    <w:lsdException w:uiPriority="99" w:name="Table List 5"/>
    <w:lsdException w:uiPriority="99" w:name="Table List 6"/>
    <w:lsdException w:uiPriority="99" w:name="Table List 7"/>
    <w:lsdException w:uiPriority="99" w:name="Table List 8"/>
    <w:lsdException w:uiPriority="99" w:name="Table 3D effects 1"/>
    <w:lsdException w:uiPriority="99" w:name="Table 3D effects 2"/>
    <w:lsdException w:uiPriority="99" w:name="Table 3D effects 3"/>
    <w:lsdException w:uiPriority="99" w:name="Table Contemporary"/>
    <w:lsdException w:uiPriority="99" w:name="Table Elegant"/>
    <w:lsdException w:uiPriority="99" w:name="Table Professional"/>
    <w:lsdException w:uiPriority="99" w:name="Table Subtle 1"/>
    <w:lsdException w:uiPriority="99" w:name="Table Subtle 2"/>
    <w:lsdException w:uiPriority="99" w:name="Table Web 1"/>
    <w:lsdException w:uiPriority="99" w:name="Table Web 2"/>
    <w:lsdException w:uiPriority="99" w:name="Table Web 3"/>
    <w:lsdException w:uiPriority="99" w:name="Balloon Text"/>
    <w:lsdException w:qFormat="1" w:unhideWhenUsed="0" w:uiPriority="59" w:semiHidden="0" w:name="Table Grid"/>
    <w:lsdException w:uiPriority="99" w:name="Table Theme"/>
    <w:lsdException w:qFormat="1" w:unhideWhenUsed="0" w:uiPriority="99" w:semiHidden="0" w:name="No Spacing"/>
    <w:lsdException w:unhideWhenUsed="0" w:uiPriority="60" w:semiHidden="0" w:name="Light Shading"/>
    <w:lsdException w:unhideWhenUsed="0" w:uiPriority="61" w:semiHidden="0" w:name="Light List"/>
    <w:lsdException w:unhideWhenUsed="0" w:uiPriority="62" w:semiHidden="0" w:name="Light Grid"/>
    <w:lsdException w:unhideWhenUsed="0" w:uiPriority="63" w:semiHidden="0" w:name="Medium Shading 1"/>
    <w:lsdException w:unhideWhenUsed="0" w:uiPriority="64" w:semiHidden="0" w:name="Medium Shading 2"/>
    <w:lsdException w:unhideWhenUsed="0" w:uiPriority="65" w:semiHidden="0" w:name="Medium List 1"/>
    <w:lsdException w:unhideWhenUsed="0" w:uiPriority="66" w:semiHidden="0" w:name="Medium List 2"/>
    <w:lsdException w:unhideWhenUsed="0" w:uiPriority="67" w:semiHidden="0" w:name="Medium Grid 1"/>
    <w:lsdException w:unhideWhenUsed="0" w:uiPriority="68" w:semiHidden="0" w:name="Medium Grid 2"/>
    <w:lsdException w:unhideWhenUsed="0" w:uiPriority="69" w:semiHidden="0" w:name="Medium Grid 3"/>
    <w:lsdException w:unhideWhenUsed="0" w:uiPriority="70" w:semiHidden="0" w:name="Dark List"/>
    <w:lsdException w:unhideWhenUsed="0" w:uiPriority="71" w:semiHidden="0" w:name="Colorful Shading"/>
    <w:lsdException w:unhideWhenUsed="0" w:uiPriority="72" w:semiHidden="0" w:name="Colorful List"/>
    <w:lsdException w:unhideWhenUsed="0" w:uiPriority="73" w:semiHidden="0" w:name="Colorful Grid"/>
    <w:lsdException w:unhideWhenUsed="0" w:uiPriority="60" w:semiHidden="0" w:name="Light Shading Accent 1"/>
    <w:lsdException w:unhideWhenUsed="0" w:uiPriority="61" w:semiHidden="0" w:name="Light List Accent 1"/>
    <w:lsdException w:unhideWhenUsed="0" w:uiPriority="62" w:semiHidden="0" w:name="Light Grid Accent 1"/>
    <w:lsdException w:unhideWhenUsed="0" w:uiPriority="63" w:semiHidden="0" w:name="Medium Shading 1 Accent 1"/>
    <w:lsdException w:unhideWhenUsed="0" w:uiPriority="64" w:semiHidden="0" w:name="Medium Shading 2 Accent 1"/>
    <w:lsdException w:unhideWhenUsed="0" w:uiPriority="65" w:semiHidden="0" w:name="Medium List 1 Accent 1"/>
    <w:lsdException w:qFormat="1" w:unhideWhenUsed="0" w:uiPriority="34" w:semiHidden="0" w:name="List Paragraph"/>
    <w:lsdException w:qFormat="1" w:unhideWhenUsed="0" w:uiPriority="29" w:semiHidden="0" w:name="Quote"/>
    <w:lsdException w:qFormat="1" w:unhideWhenUsed="0" w:uiPriority="30" w:semiHidden="0" w:name="Intense Quote"/>
    <w:lsdException w:unhideWhenUsed="0" w:uiPriority="66" w:semiHidden="0" w:name="Medium List 2 Accent 1"/>
    <w:lsdException w:unhideWhenUsed="0" w:uiPriority="67" w:semiHidden="0" w:name="Medium Grid 1 Accent 1"/>
    <w:lsdException w:unhideWhenUsed="0" w:uiPriority="68" w:semiHidden="0" w:name="Medium Grid 2 Accent 1"/>
    <w:lsdException w:unhideWhenUsed="0" w:uiPriority="69" w:semiHidden="0" w:name="Medium Grid 3 Accent 1"/>
    <w:lsdException w:unhideWhenUsed="0" w:uiPriority="70" w:semiHidden="0" w:name="Dark List Accent 1"/>
    <w:lsdException w:unhideWhenUsed="0" w:uiPriority="71" w:semiHidden="0" w:name="Colorful Shading Accent 1"/>
    <w:lsdException w:unhideWhenUsed="0" w:uiPriority="72" w:semiHidden="0" w:name="Colorful List Accent 1"/>
    <w:lsdException w:unhideWhenUsed="0" w:uiPriority="73" w:semiHidden="0" w:name="Colorful Grid Accent 1"/>
    <w:lsdException w:unhideWhenUsed="0" w:uiPriority="60" w:semiHidden="0" w:name="Light Shading Accent 2"/>
    <w:lsdException w:unhideWhenUsed="0" w:uiPriority="61" w:semiHidden="0" w:name="Light List Accent 2"/>
    <w:lsdException w:unhideWhenUsed="0" w:uiPriority="62" w:semiHidden="0" w:name="Light Grid Accent 2"/>
    <w:lsdException w:unhideWhenUsed="0" w:uiPriority="63" w:semiHidden="0" w:name="Medium Shading 1 Accent 2"/>
    <w:lsdException w:unhideWhenUsed="0" w:uiPriority="64" w:semiHidden="0" w:name="Medium Shading 2 Accent 2"/>
    <w:lsdException w:unhideWhenUsed="0" w:uiPriority="65" w:semiHidden="0" w:name="Medium List 1 Accent 2"/>
    <w:lsdException w:unhideWhenUsed="0" w:uiPriority="66" w:semiHidden="0" w:name="Medium List 2 Accent 2"/>
    <w:lsdException w:unhideWhenUsed="0" w:uiPriority="67" w:semiHidden="0" w:name="Medium Grid 1 Accent 2"/>
    <w:lsdException w:unhideWhenUsed="0" w:uiPriority="68" w:semiHidden="0" w:name="Medium Grid 2 Accent 2"/>
    <w:lsdException w:unhideWhenUsed="0" w:uiPriority="69" w:semiHidden="0" w:name="Medium Grid 3 Accent 2"/>
    <w:lsdException w:unhideWhenUsed="0" w:uiPriority="70" w:semiHidden="0" w:name="Dark List Accent 2"/>
    <w:lsdException w:unhideWhenUsed="0" w:uiPriority="71" w:semiHidden="0" w:name="Colorful Shading Accent 2"/>
    <w:lsdException w:unhideWhenUsed="0" w:uiPriority="72" w:semiHidden="0" w:name="Colorful List Accent 2"/>
    <w:lsdException w:unhideWhenUsed="0" w:uiPriority="73" w:semiHidden="0" w:name="Colorful Grid Accent 2"/>
    <w:lsdException w:unhideWhenUsed="0" w:uiPriority="60" w:semiHidden="0" w:name="Light Shading Accent 3"/>
    <w:lsdException w:unhideWhenUsed="0" w:uiPriority="61" w:semiHidden="0" w:name="Light List Accent 3"/>
    <w:lsdException w:unhideWhenUsed="0" w:uiPriority="62" w:semiHidden="0" w:name="Light Grid Accent 3"/>
    <w:lsdException w:unhideWhenUsed="0" w:uiPriority="63" w:semiHidden="0" w:name="Medium Shading 1 Accent 3"/>
    <w:lsdException w:unhideWhenUsed="0" w:uiPriority="64" w:semiHidden="0" w:name="Medium Shading 2 Accent 3"/>
    <w:lsdException w:unhideWhenUsed="0" w:uiPriority="65" w:semiHidden="0" w:name="Medium List 1 Accent 3"/>
    <w:lsdException w:unhideWhenUsed="0" w:uiPriority="66" w:semiHidden="0" w:name="Medium List 2 Accent 3"/>
    <w:lsdException w:unhideWhenUsed="0" w:uiPriority="67" w:semiHidden="0" w:name="Medium Grid 1 Accent 3"/>
    <w:lsdException w:unhideWhenUsed="0" w:uiPriority="68" w:semiHidden="0" w:name="Medium Grid 2 Accent 3"/>
    <w:lsdException w:unhideWhenUsed="0" w:uiPriority="69" w:semiHidden="0" w:name="Medium Grid 3 Accent 3"/>
    <w:lsdException w:unhideWhenUsed="0" w:uiPriority="70" w:semiHidden="0" w:name="Dark List Accent 3"/>
    <w:lsdException w:unhideWhenUsed="0" w:uiPriority="71" w:semiHidden="0" w:name="Colorful Shading Accent 3"/>
    <w:lsdException w:unhideWhenUsed="0" w:uiPriority="72" w:semiHidden="0" w:name="Colorful List Accent 3"/>
    <w:lsdException w:unhideWhenUsed="0" w:uiPriority="73" w:semiHidden="0" w:name="Colorful Grid Accent 3"/>
    <w:lsdException w:unhideWhenUsed="0" w:uiPriority="60" w:semiHidden="0" w:name="Light Shading Accent 4"/>
    <w:lsdException w:unhideWhenUsed="0" w:uiPriority="61" w:semiHidden="0" w:name="Light List Accent 4"/>
    <w:lsdException w:unhideWhenUsed="0" w:uiPriority="62" w:semiHidden="0" w:name="Light Grid Accent 4"/>
    <w:lsdException w:unhideWhenUsed="0" w:uiPriority="63" w:semiHidden="0" w:name="Medium Shading 1 Accent 4"/>
    <w:lsdException w:unhideWhenUsed="0" w:uiPriority="64" w:semiHidden="0" w:name="Medium Shading 2 Accent 4"/>
    <w:lsdException w:unhideWhenUsed="0" w:uiPriority="65" w:semiHidden="0" w:name="Medium List 1 Accent 4"/>
    <w:lsdException w:unhideWhenUsed="0" w:uiPriority="66" w:semiHidden="0" w:name="Medium List 2 Accent 4"/>
    <w:lsdException w:unhideWhenUsed="0" w:uiPriority="67" w:semiHidden="0" w:name="Medium Grid 1 Accent 4"/>
    <w:lsdException w:unhideWhenUsed="0" w:uiPriority="68" w:semiHidden="0" w:name="Medium Grid 2 Accent 4"/>
    <w:lsdException w:unhideWhenUsed="0" w:uiPriority="69" w:semiHidden="0" w:name="Medium Grid 3 Accent 4"/>
    <w:lsdException w:unhideWhenUsed="0" w:uiPriority="70" w:semiHidden="0" w:name="Dark List Accent 4"/>
    <w:lsdException w:unhideWhenUsed="0" w:uiPriority="71" w:semiHidden="0" w:name="Colorful Shading Accent 4"/>
    <w:lsdException w:unhideWhenUsed="0" w:uiPriority="72" w:semiHidden="0" w:name="Colorful List Accent 4"/>
    <w:lsdException w:unhideWhenUsed="0" w:uiPriority="73" w:semiHidden="0" w:name="Colorful Grid Accent 4"/>
    <w:lsdException w:unhideWhenUsed="0" w:uiPriority="60" w:semiHidden="0" w:name="Light Shading Accent 5"/>
    <w:lsdException w:unhideWhenUsed="0" w:uiPriority="61" w:semiHidden="0" w:name="Light List Accent 5"/>
    <w:lsdException w:unhideWhenUsed="0" w:uiPriority="62" w:semiHidden="0" w:name="Light Grid Accent 5"/>
    <w:lsdException w:unhideWhenUsed="0" w:uiPriority="63" w:semiHidden="0" w:name="Medium Shading 1 Accent 5"/>
    <w:lsdException w:unhideWhenUsed="0" w:uiPriority="64" w:semiHidden="0" w:name="Medium Shading 2 Accent 5"/>
    <w:lsdException w:unhideWhenUsed="0" w:uiPriority="65" w:semiHidden="0" w:name="Medium List 1 Accent 5"/>
    <w:lsdException w:unhideWhenUsed="0" w:uiPriority="66" w:semiHidden="0" w:name="Medium List 2 Accent 5"/>
    <w:lsdException w:unhideWhenUsed="0" w:uiPriority="67" w:semiHidden="0" w:name="Medium Grid 1 Accent 5"/>
    <w:lsdException w:unhideWhenUsed="0" w:uiPriority="68" w:semiHidden="0" w:name="Medium Grid 2 Accent 5"/>
    <w:lsdException w:unhideWhenUsed="0" w:uiPriority="69" w:semiHidden="0" w:name="Medium Grid 3 Accent 5"/>
    <w:lsdException w:unhideWhenUsed="0" w:uiPriority="70" w:semiHidden="0" w:name="Dark List Accent 5"/>
    <w:lsdException w:unhideWhenUsed="0" w:uiPriority="71" w:semiHidden="0" w:name="Colorful Shading Accent 5"/>
    <w:lsdException w:unhideWhenUsed="0" w:uiPriority="72" w:semiHidden="0" w:name="Colorful List Accent 5"/>
    <w:lsdException w:unhideWhenUsed="0" w:uiPriority="73" w:semiHidden="0" w:name="Colorful Grid Accent 5"/>
    <w:lsdException w:unhideWhenUsed="0" w:uiPriority="60" w:semiHidden="0" w:name="Light Shading Accent 6"/>
    <w:lsdException w:unhideWhenUsed="0" w:uiPriority="61" w:semiHidden="0" w:name="Light List Accent 6"/>
    <w:lsdException w:unhideWhenUsed="0" w:uiPriority="62" w:semiHidden="0" w:name="Light Grid Accent 6"/>
    <w:lsdException w:unhideWhenUsed="0" w:uiPriority="63" w:semiHidden="0" w:name="Medium Shading 1 Accent 6"/>
    <w:lsdException w:unhideWhenUsed="0" w:uiPriority="64" w:semiHidden="0" w:name="Medium Shading 2 Accent 6"/>
    <w:lsdException w:unhideWhenUsed="0" w:uiPriority="65" w:semiHidden="0" w:name="Medium List 1 Accent 6"/>
    <w:lsdException w:unhideWhenUsed="0" w:uiPriority="66" w:semiHidden="0" w:name="Medium List 2 Accent 6"/>
    <w:lsdException w:unhideWhenUsed="0" w:uiPriority="67" w:semiHidden="0" w:name="Medium Grid 1 Accent 6"/>
    <w:lsdException w:unhideWhenUsed="0" w:uiPriority="68" w:semiHidden="0" w:name="Medium Grid 2 Accent 6"/>
    <w:lsdException w:unhideWhenUsed="0" w:uiPriority="69" w:semiHidden="0" w:name="Medium Grid 3 Accent 6"/>
    <w:lsdException w:unhideWhenUsed="0" w:uiPriority="70" w:semiHidden="0" w:name="Dark List Accent 6"/>
    <w:lsdException w:unhideWhenUsed="0" w:uiPriority="71" w:semiHidden="0" w:name="Colorful Shading Accent 6"/>
    <w:lsdException w:unhideWhenUsed="0" w:uiPriority="72" w:semiHidden="0" w:name="Colorful List Accent 6"/>
    <w:lsdException w:unhideWhenUsed="0" w:uiPriority="73" w:semiHidden="0" w:name="Colorful Grid Accent 6"/>
  </w:latentStyles>
  <w:style w:type="paragraph" w:default="1" w:styleId="1">
    <w:name w:val="Normal"/>
    <w:qFormat/>
    <w:uiPriority w:val="0"/>
    <w:pPr>
      <w:widowControl w:val="0"/>
      <w:jc w:val="both"/>
    </w:pPr>
    <w:rPr>
      <w:rFonts w:ascii="Times New Roman" w:hAnsi="Times New Roman" w:eastAsia="宋体" w:cs="Times New Roman"/>
      <w:sz w:val="21"/>
      <w:szCs w:val="21"/>
      <w:lang w:val="en-US" w:eastAsia="zh-CN" w:bidi="ar-SA"/>
    </w:rPr>
  </w:style>
  <w:style w:type="paragraph" w:styleId="2">
    <w:name w:val="heading 1"/>
    <w:basedOn w:val="1"/>
    <w:next w:val="1"/>
    <w:qFormat/>
    <w:uiPriority w:val="0"/>
    <w:pPr>
      <w:keepNext/>
      <w:jc w:val="center"/>
      <w:outlineLvl w:val="0"/>
    </w:pPr>
    <w:rPr>
      <w:rFonts w:ascii="楷体_GB2312" w:eastAsia="楷体_GB2312"/>
      <w:sz w:val="28"/>
      <w:szCs w:val="28"/>
    </w:rPr>
  </w:style>
  <w:style w:type="paragraph" w:styleId="3">
    <w:name w:val="heading 2"/>
    <w:basedOn w:val="1"/>
    <w:next w:val="1"/>
    <w:link w:val="81"/>
    <w:unhideWhenUsed/>
    <w:qFormat/>
    <w:uiPriority w:val="9"/>
    <w:pPr>
      <w:keepNext/>
      <w:keepLines/>
      <w:spacing w:before="360" w:after="200"/>
      <w:outlineLvl w:val="1"/>
    </w:pPr>
    <w:rPr>
      <w:rFonts w:ascii="Arial" w:hAnsi="Arial" w:eastAsia="Arial" w:cs="Arial"/>
      <w:sz w:val="34"/>
    </w:rPr>
  </w:style>
  <w:style w:type="paragraph" w:styleId="4">
    <w:name w:val="heading 3"/>
    <w:basedOn w:val="1"/>
    <w:next w:val="1"/>
    <w:link w:val="82"/>
    <w:unhideWhenUsed/>
    <w:qFormat/>
    <w:uiPriority w:val="9"/>
    <w:pPr>
      <w:keepNext/>
      <w:keepLines/>
      <w:spacing w:before="320" w:after="200"/>
      <w:outlineLvl w:val="2"/>
    </w:pPr>
    <w:rPr>
      <w:rFonts w:ascii="Arial" w:hAnsi="Arial" w:eastAsia="Arial" w:cs="Arial"/>
      <w:sz w:val="30"/>
      <w:szCs w:val="30"/>
    </w:rPr>
  </w:style>
  <w:style w:type="paragraph" w:styleId="5">
    <w:name w:val="heading 4"/>
    <w:basedOn w:val="1"/>
    <w:next w:val="1"/>
    <w:link w:val="83"/>
    <w:unhideWhenUsed/>
    <w:qFormat/>
    <w:uiPriority w:val="9"/>
    <w:pPr>
      <w:keepNext/>
      <w:keepLines/>
      <w:spacing w:before="320" w:after="200"/>
      <w:outlineLvl w:val="3"/>
    </w:pPr>
    <w:rPr>
      <w:rFonts w:ascii="Arial" w:hAnsi="Arial" w:eastAsia="Arial" w:cs="Arial"/>
      <w:b/>
      <w:bCs/>
      <w:sz w:val="26"/>
      <w:szCs w:val="26"/>
    </w:rPr>
  </w:style>
  <w:style w:type="paragraph" w:styleId="6">
    <w:name w:val="heading 5"/>
    <w:basedOn w:val="1"/>
    <w:next w:val="1"/>
    <w:link w:val="84"/>
    <w:unhideWhenUsed/>
    <w:qFormat/>
    <w:uiPriority w:val="9"/>
    <w:pPr>
      <w:keepNext/>
      <w:keepLines/>
      <w:spacing w:before="320" w:after="200"/>
      <w:outlineLvl w:val="4"/>
    </w:pPr>
    <w:rPr>
      <w:rFonts w:ascii="Arial" w:hAnsi="Arial" w:eastAsia="Arial" w:cs="Arial"/>
      <w:b/>
      <w:bCs/>
      <w:sz w:val="24"/>
      <w:szCs w:val="24"/>
    </w:rPr>
  </w:style>
  <w:style w:type="paragraph" w:styleId="7">
    <w:name w:val="heading 6"/>
    <w:basedOn w:val="1"/>
    <w:next w:val="1"/>
    <w:link w:val="85"/>
    <w:unhideWhenUsed/>
    <w:qFormat/>
    <w:uiPriority w:val="9"/>
    <w:pPr>
      <w:keepNext/>
      <w:keepLines/>
      <w:spacing w:before="320" w:after="200"/>
      <w:outlineLvl w:val="5"/>
    </w:pPr>
    <w:rPr>
      <w:rFonts w:ascii="Arial" w:hAnsi="Arial" w:eastAsia="Arial" w:cs="Arial"/>
      <w:b/>
      <w:bCs/>
      <w:sz w:val="22"/>
      <w:szCs w:val="22"/>
    </w:rPr>
  </w:style>
  <w:style w:type="paragraph" w:styleId="8">
    <w:name w:val="heading 7"/>
    <w:basedOn w:val="1"/>
    <w:next w:val="1"/>
    <w:link w:val="86"/>
    <w:unhideWhenUsed/>
    <w:qFormat/>
    <w:uiPriority w:val="9"/>
    <w:pPr>
      <w:keepNext/>
      <w:keepLines/>
      <w:spacing w:before="320" w:after="200"/>
      <w:outlineLvl w:val="6"/>
    </w:pPr>
    <w:rPr>
      <w:rFonts w:ascii="Arial" w:hAnsi="Arial" w:eastAsia="Arial" w:cs="Arial"/>
      <w:b/>
      <w:bCs/>
      <w:i/>
      <w:iCs/>
      <w:sz w:val="22"/>
      <w:szCs w:val="22"/>
    </w:rPr>
  </w:style>
  <w:style w:type="paragraph" w:styleId="9">
    <w:name w:val="heading 8"/>
    <w:basedOn w:val="1"/>
    <w:next w:val="1"/>
    <w:link w:val="87"/>
    <w:unhideWhenUsed/>
    <w:qFormat/>
    <w:uiPriority w:val="9"/>
    <w:pPr>
      <w:keepNext/>
      <w:keepLines/>
      <w:spacing w:before="320" w:after="200"/>
      <w:outlineLvl w:val="7"/>
    </w:pPr>
    <w:rPr>
      <w:rFonts w:ascii="Arial" w:hAnsi="Arial" w:eastAsia="Arial" w:cs="Arial"/>
      <w:i/>
      <w:iCs/>
      <w:sz w:val="22"/>
      <w:szCs w:val="22"/>
    </w:rPr>
  </w:style>
  <w:style w:type="paragraph" w:styleId="10">
    <w:name w:val="heading 9"/>
    <w:basedOn w:val="1"/>
    <w:next w:val="1"/>
    <w:link w:val="88"/>
    <w:unhideWhenUsed/>
    <w:qFormat/>
    <w:uiPriority w:val="9"/>
    <w:pPr>
      <w:keepNext/>
      <w:keepLines/>
      <w:spacing w:before="320" w:after="200"/>
      <w:outlineLvl w:val="8"/>
    </w:pPr>
    <w:rPr>
      <w:rFonts w:ascii="Arial" w:hAnsi="Arial" w:eastAsia="Arial" w:cs="Arial"/>
      <w:i/>
      <w:iCs/>
    </w:rPr>
  </w:style>
  <w:style w:type="character" w:default="1" w:styleId="38">
    <w:name w:val="Default Paragraph Font"/>
    <w:semiHidden/>
    <w:unhideWhenUsed/>
    <w:qFormat/>
    <w:uiPriority w:val="1"/>
  </w:style>
  <w:style w:type="table" w:default="1" w:styleId="36">
    <w:name w:val="Normal Table"/>
    <w:semiHidden/>
    <w:unhideWhenUsed/>
    <w:qFormat/>
    <w:uiPriority w:val="99"/>
    <w:tblPr>
      <w:tblCellMar>
        <w:top w:w="0" w:type="dxa"/>
        <w:left w:w="108" w:type="dxa"/>
        <w:bottom w:w="0" w:type="dxa"/>
        <w:right w:w="108" w:type="dxa"/>
      </w:tblCellMar>
    </w:tblPr>
  </w:style>
  <w:style w:type="paragraph" w:styleId="11">
    <w:name w:val="toc 7"/>
    <w:basedOn w:val="1"/>
    <w:next w:val="1"/>
    <w:unhideWhenUsed/>
    <w:qFormat/>
    <w:uiPriority w:val="39"/>
    <w:pPr>
      <w:spacing w:after="57"/>
      <w:ind w:left="1701"/>
    </w:pPr>
  </w:style>
  <w:style w:type="paragraph" w:styleId="12">
    <w:name w:val="Normal Indent"/>
    <w:basedOn w:val="1"/>
    <w:qFormat/>
    <w:uiPriority w:val="0"/>
    <w:pPr>
      <w:ind w:firstLine="420"/>
    </w:pPr>
  </w:style>
  <w:style w:type="paragraph" w:styleId="13">
    <w:name w:val="caption"/>
    <w:basedOn w:val="1"/>
    <w:next w:val="1"/>
    <w:semiHidden/>
    <w:unhideWhenUsed/>
    <w:qFormat/>
    <w:uiPriority w:val="35"/>
    <w:pPr>
      <w:spacing w:line="276" w:lineRule="auto"/>
    </w:pPr>
    <w:rPr>
      <w:b/>
      <w:bCs/>
      <w:color w:val="4874CB" w:themeColor="accent1"/>
      <w:sz w:val="18"/>
      <w:szCs w:val="18"/>
      <w14:textFill>
        <w14:solidFill>
          <w14:schemeClr w14:val="accent1"/>
        </w14:solidFill>
      </w14:textFill>
    </w:rPr>
  </w:style>
  <w:style w:type="paragraph" w:styleId="14">
    <w:name w:val="Body Text"/>
    <w:basedOn w:val="1"/>
    <w:qFormat/>
    <w:uiPriority w:val="0"/>
    <w:rPr>
      <w:rFonts w:ascii="楷体_GB2312" w:hAnsi="Arial" w:eastAsia="楷体_GB2312"/>
      <w:sz w:val="28"/>
      <w:szCs w:val="28"/>
    </w:rPr>
  </w:style>
  <w:style w:type="paragraph" w:styleId="15">
    <w:name w:val="Body Text Indent"/>
    <w:basedOn w:val="1"/>
    <w:next w:val="16"/>
    <w:qFormat/>
    <w:uiPriority w:val="0"/>
    <w:pPr>
      <w:ind w:firstLine="645"/>
    </w:pPr>
    <w:rPr>
      <w:rFonts w:ascii="楷体_GB2312" w:eastAsia="楷体_GB2312"/>
      <w:sz w:val="32"/>
      <w:szCs w:val="32"/>
    </w:rPr>
  </w:style>
  <w:style w:type="paragraph" w:styleId="16">
    <w:name w:val="envelope return"/>
    <w:basedOn w:val="1"/>
    <w:unhideWhenUsed/>
    <w:qFormat/>
    <w:uiPriority w:val="99"/>
    <w:rPr>
      <w:rFonts w:ascii="Arial" w:hAnsi="Arial"/>
    </w:rPr>
  </w:style>
  <w:style w:type="paragraph" w:styleId="17">
    <w:name w:val="toc 5"/>
    <w:basedOn w:val="1"/>
    <w:next w:val="1"/>
    <w:unhideWhenUsed/>
    <w:qFormat/>
    <w:uiPriority w:val="39"/>
    <w:pPr>
      <w:spacing w:after="57"/>
      <w:ind w:left="1134"/>
    </w:pPr>
  </w:style>
  <w:style w:type="paragraph" w:styleId="18">
    <w:name w:val="toc 3"/>
    <w:basedOn w:val="1"/>
    <w:next w:val="1"/>
    <w:unhideWhenUsed/>
    <w:qFormat/>
    <w:uiPriority w:val="39"/>
    <w:pPr>
      <w:spacing w:after="57"/>
      <w:ind w:left="567"/>
    </w:pPr>
  </w:style>
  <w:style w:type="paragraph" w:styleId="19">
    <w:name w:val="Plain Text"/>
    <w:basedOn w:val="1"/>
    <w:qFormat/>
    <w:uiPriority w:val="0"/>
    <w:rPr>
      <w:rFonts w:ascii="宋体" w:hAnsi="Courier New" w:cs="Courier New"/>
    </w:rPr>
  </w:style>
  <w:style w:type="paragraph" w:styleId="20">
    <w:name w:val="toc 8"/>
    <w:basedOn w:val="1"/>
    <w:next w:val="1"/>
    <w:unhideWhenUsed/>
    <w:qFormat/>
    <w:uiPriority w:val="39"/>
    <w:pPr>
      <w:spacing w:after="57"/>
      <w:ind w:left="1984"/>
    </w:pPr>
  </w:style>
  <w:style w:type="paragraph" w:styleId="21">
    <w:name w:val="endnote text"/>
    <w:basedOn w:val="1"/>
    <w:link w:val="206"/>
    <w:semiHidden/>
    <w:unhideWhenUsed/>
    <w:qFormat/>
    <w:uiPriority w:val="99"/>
    <w:rPr>
      <w:sz w:val="20"/>
    </w:rPr>
  </w:style>
  <w:style w:type="paragraph" w:styleId="22">
    <w:name w:val="footer"/>
    <w:basedOn w:val="1"/>
    <w:link w:val="222"/>
    <w:qFormat/>
    <w:uiPriority w:val="99"/>
    <w:pPr>
      <w:tabs>
        <w:tab w:val="center" w:pos="4153"/>
        <w:tab w:val="right" w:pos="8306"/>
      </w:tabs>
      <w:jc w:val="left"/>
    </w:pPr>
    <w:rPr>
      <w:sz w:val="18"/>
      <w:szCs w:val="18"/>
    </w:rPr>
  </w:style>
  <w:style w:type="paragraph" w:styleId="23">
    <w:name w:val="header"/>
    <w:basedOn w:val="1"/>
    <w:qFormat/>
    <w:uiPriority w:val="0"/>
    <w:pPr>
      <w:tabs>
        <w:tab w:val="center" w:pos="4153"/>
        <w:tab w:val="right" w:pos="8306"/>
      </w:tabs>
      <w:jc w:val="center"/>
    </w:pPr>
    <w:rPr>
      <w:sz w:val="18"/>
      <w:szCs w:val="18"/>
    </w:rPr>
  </w:style>
  <w:style w:type="paragraph" w:styleId="24">
    <w:name w:val="toc 1"/>
    <w:basedOn w:val="1"/>
    <w:next w:val="1"/>
    <w:qFormat/>
    <w:uiPriority w:val="39"/>
    <w:pPr>
      <w:tabs>
        <w:tab w:val="right" w:leader="dot" w:pos="8720"/>
      </w:tabs>
      <w:spacing w:before="120" w:after="120" w:line="400" w:lineRule="exact"/>
      <w:jc w:val="left"/>
    </w:pPr>
    <w:rPr>
      <w:rFonts w:ascii="宋体" w:hAnsi="宋体"/>
      <w:caps/>
      <w:sz w:val="24"/>
      <w:szCs w:val="24"/>
    </w:rPr>
  </w:style>
  <w:style w:type="paragraph" w:styleId="25">
    <w:name w:val="toc 4"/>
    <w:basedOn w:val="1"/>
    <w:next w:val="1"/>
    <w:unhideWhenUsed/>
    <w:qFormat/>
    <w:uiPriority w:val="39"/>
    <w:pPr>
      <w:spacing w:after="57"/>
      <w:ind w:left="850"/>
    </w:pPr>
  </w:style>
  <w:style w:type="paragraph" w:styleId="26">
    <w:name w:val="Subtitle"/>
    <w:basedOn w:val="1"/>
    <w:next w:val="1"/>
    <w:link w:val="91"/>
    <w:qFormat/>
    <w:uiPriority w:val="11"/>
    <w:pPr>
      <w:spacing w:before="200" w:after="200"/>
    </w:pPr>
    <w:rPr>
      <w:sz w:val="24"/>
      <w:szCs w:val="24"/>
    </w:rPr>
  </w:style>
  <w:style w:type="paragraph" w:styleId="27">
    <w:name w:val="footnote text"/>
    <w:basedOn w:val="1"/>
    <w:link w:val="205"/>
    <w:semiHidden/>
    <w:unhideWhenUsed/>
    <w:qFormat/>
    <w:uiPriority w:val="99"/>
    <w:pPr>
      <w:spacing w:after="40"/>
    </w:pPr>
    <w:rPr>
      <w:sz w:val="18"/>
    </w:rPr>
  </w:style>
  <w:style w:type="paragraph" w:styleId="28">
    <w:name w:val="toc 6"/>
    <w:basedOn w:val="1"/>
    <w:next w:val="1"/>
    <w:unhideWhenUsed/>
    <w:qFormat/>
    <w:uiPriority w:val="39"/>
    <w:pPr>
      <w:spacing w:after="57"/>
      <w:ind w:left="1417"/>
    </w:pPr>
  </w:style>
  <w:style w:type="paragraph" w:styleId="29">
    <w:name w:val="table of figures"/>
    <w:basedOn w:val="1"/>
    <w:next w:val="1"/>
    <w:unhideWhenUsed/>
    <w:qFormat/>
    <w:uiPriority w:val="99"/>
  </w:style>
  <w:style w:type="paragraph" w:styleId="30">
    <w:name w:val="toc 2"/>
    <w:basedOn w:val="1"/>
    <w:next w:val="1"/>
    <w:unhideWhenUsed/>
    <w:qFormat/>
    <w:uiPriority w:val="39"/>
    <w:pPr>
      <w:spacing w:after="57"/>
      <w:ind w:left="283"/>
    </w:pPr>
  </w:style>
  <w:style w:type="paragraph" w:styleId="31">
    <w:name w:val="toc 9"/>
    <w:basedOn w:val="1"/>
    <w:next w:val="1"/>
    <w:unhideWhenUsed/>
    <w:qFormat/>
    <w:uiPriority w:val="39"/>
    <w:pPr>
      <w:spacing w:after="57"/>
      <w:ind w:left="2268"/>
    </w:pPr>
  </w:style>
  <w:style w:type="paragraph" w:styleId="32">
    <w:name w:val="Normal (Web)"/>
    <w:basedOn w:val="1"/>
    <w:qFormat/>
    <w:uiPriority w:val="99"/>
    <w:pPr>
      <w:widowControl/>
      <w:spacing w:before="100" w:beforeAutospacing="1" w:after="100" w:afterAutospacing="1"/>
      <w:jc w:val="left"/>
    </w:pPr>
    <w:rPr>
      <w:rFonts w:ascii="宋体" w:hAnsi="宋体" w:cs="宋体"/>
      <w:sz w:val="24"/>
      <w:szCs w:val="24"/>
    </w:rPr>
  </w:style>
  <w:style w:type="paragraph" w:styleId="33">
    <w:name w:val="Title"/>
    <w:basedOn w:val="1"/>
    <w:next w:val="1"/>
    <w:link w:val="90"/>
    <w:qFormat/>
    <w:uiPriority w:val="10"/>
    <w:pPr>
      <w:spacing w:before="300" w:after="200"/>
      <w:contextualSpacing/>
    </w:pPr>
    <w:rPr>
      <w:sz w:val="48"/>
      <w:szCs w:val="48"/>
    </w:rPr>
  </w:style>
  <w:style w:type="paragraph" w:styleId="34">
    <w:name w:val="Body Text First Indent"/>
    <w:basedOn w:val="14"/>
    <w:qFormat/>
    <w:uiPriority w:val="0"/>
    <w:pPr>
      <w:spacing w:line="360" w:lineRule="auto"/>
      <w:ind w:firstLine="200"/>
    </w:pPr>
    <w:rPr>
      <w:rFonts w:ascii="仿宋_GB2312" w:eastAsia="仿宋_GB2312"/>
      <w:sz w:val="30"/>
      <w:szCs w:val="30"/>
    </w:rPr>
  </w:style>
  <w:style w:type="paragraph" w:styleId="35">
    <w:name w:val="Body Text First Indent 2"/>
    <w:basedOn w:val="15"/>
    <w:next w:val="1"/>
    <w:qFormat/>
    <w:uiPriority w:val="0"/>
    <w:pPr>
      <w:spacing w:line="360" w:lineRule="auto"/>
      <w:ind w:firstLine="420"/>
    </w:pPr>
    <w:rPr>
      <w:rFonts w:ascii="宋体" w:hAnsi="宋体" w:eastAsia="宋体"/>
      <w:sz w:val="21"/>
      <w:szCs w:val="20"/>
    </w:rPr>
  </w:style>
  <w:style w:type="table" w:styleId="37">
    <w:name w:val="Table Grid"/>
    <w:basedOn w:val="36"/>
    <w:qFormat/>
    <w:uiPriority w:val="59"/>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styleId="39">
    <w:name w:val="Strong"/>
    <w:basedOn w:val="38"/>
    <w:qFormat/>
    <w:uiPriority w:val="22"/>
    <w:rPr>
      <w:b/>
    </w:rPr>
  </w:style>
  <w:style w:type="character" w:styleId="40">
    <w:name w:val="endnote reference"/>
    <w:basedOn w:val="38"/>
    <w:semiHidden/>
    <w:unhideWhenUsed/>
    <w:qFormat/>
    <w:uiPriority w:val="99"/>
    <w:rPr>
      <w:vertAlign w:val="superscript"/>
    </w:rPr>
  </w:style>
  <w:style w:type="character" w:styleId="41">
    <w:name w:val="page number"/>
    <w:basedOn w:val="38"/>
    <w:qFormat/>
    <w:uiPriority w:val="0"/>
  </w:style>
  <w:style w:type="character" w:styleId="42">
    <w:name w:val="FollowedHyperlink"/>
    <w:basedOn w:val="38"/>
    <w:semiHidden/>
    <w:unhideWhenUsed/>
    <w:qFormat/>
    <w:uiPriority w:val="99"/>
    <w:rPr>
      <w:color w:val="333333"/>
      <w:u w:val="none"/>
    </w:rPr>
  </w:style>
  <w:style w:type="character" w:styleId="43">
    <w:name w:val="Hyperlink"/>
    <w:unhideWhenUsed/>
    <w:qFormat/>
    <w:uiPriority w:val="99"/>
    <w:rPr>
      <w:color w:val="0026E5" w:themeColor="hyperlink"/>
      <w:u w:val="single"/>
      <w14:textFill>
        <w14:solidFill>
          <w14:schemeClr w14:val="hlink"/>
        </w14:solidFill>
      </w14:textFill>
    </w:rPr>
  </w:style>
  <w:style w:type="character" w:styleId="44">
    <w:name w:val="footnote reference"/>
    <w:basedOn w:val="38"/>
    <w:unhideWhenUsed/>
    <w:qFormat/>
    <w:uiPriority w:val="99"/>
    <w:rPr>
      <w:vertAlign w:val="superscript"/>
    </w:rPr>
  </w:style>
  <w:style w:type="character" w:customStyle="1" w:styleId="45">
    <w:name w:val="Heading 2 Char"/>
    <w:basedOn w:val="38"/>
    <w:qFormat/>
    <w:uiPriority w:val="9"/>
    <w:rPr>
      <w:rFonts w:ascii="Arial" w:hAnsi="Arial" w:eastAsia="Arial" w:cs="Arial"/>
      <w:sz w:val="34"/>
    </w:rPr>
  </w:style>
  <w:style w:type="character" w:customStyle="1" w:styleId="46">
    <w:name w:val="Heading 3 Char"/>
    <w:basedOn w:val="38"/>
    <w:qFormat/>
    <w:uiPriority w:val="9"/>
    <w:rPr>
      <w:rFonts w:ascii="Arial" w:hAnsi="Arial" w:eastAsia="Arial" w:cs="Arial"/>
      <w:sz w:val="30"/>
      <w:szCs w:val="30"/>
    </w:rPr>
  </w:style>
  <w:style w:type="character" w:customStyle="1" w:styleId="47">
    <w:name w:val="Heading 4 Char"/>
    <w:basedOn w:val="38"/>
    <w:qFormat/>
    <w:uiPriority w:val="9"/>
    <w:rPr>
      <w:rFonts w:ascii="Arial" w:hAnsi="Arial" w:eastAsia="Arial" w:cs="Arial"/>
      <w:b/>
      <w:bCs/>
      <w:sz w:val="26"/>
      <w:szCs w:val="26"/>
    </w:rPr>
  </w:style>
  <w:style w:type="character" w:customStyle="1" w:styleId="48">
    <w:name w:val="Heading 5 Char"/>
    <w:basedOn w:val="38"/>
    <w:qFormat/>
    <w:uiPriority w:val="9"/>
    <w:rPr>
      <w:rFonts w:ascii="Arial" w:hAnsi="Arial" w:eastAsia="Arial" w:cs="Arial"/>
      <w:b/>
      <w:bCs/>
      <w:sz w:val="24"/>
      <w:szCs w:val="24"/>
    </w:rPr>
  </w:style>
  <w:style w:type="character" w:customStyle="1" w:styleId="49">
    <w:name w:val="Heading 6 Char"/>
    <w:basedOn w:val="38"/>
    <w:qFormat/>
    <w:uiPriority w:val="9"/>
    <w:rPr>
      <w:rFonts w:ascii="Arial" w:hAnsi="Arial" w:eastAsia="Arial" w:cs="Arial"/>
      <w:b/>
      <w:bCs/>
      <w:sz w:val="22"/>
      <w:szCs w:val="22"/>
    </w:rPr>
  </w:style>
  <w:style w:type="character" w:customStyle="1" w:styleId="50">
    <w:name w:val="Heading 7 Char"/>
    <w:basedOn w:val="38"/>
    <w:qFormat/>
    <w:uiPriority w:val="9"/>
    <w:rPr>
      <w:rFonts w:ascii="Arial" w:hAnsi="Arial" w:eastAsia="Arial" w:cs="Arial"/>
      <w:b/>
      <w:bCs/>
      <w:i/>
      <w:iCs/>
      <w:sz w:val="22"/>
      <w:szCs w:val="22"/>
    </w:rPr>
  </w:style>
  <w:style w:type="character" w:customStyle="1" w:styleId="51">
    <w:name w:val="Heading 8 Char"/>
    <w:basedOn w:val="38"/>
    <w:qFormat/>
    <w:uiPriority w:val="9"/>
    <w:rPr>
      <w:rFonts w:ascii="Arial" w:hAnsi="Arial" w:eastAsia="Arial" w:cs="Arial"/>
      <w:i/>
      <w:iCs/>
      <w:sz w:val="22"/>
      <w:szCs w:val="22"/>
    </w:rPr>
  </w:style>
  <w:style w:type="character" w:customStyle="1" w:styleId="52">
    <w:name w:val="Heading 9 Char"/>
    <w:basedOn w:val="38"/>
    <w:qFormat/>
    <w:uiPriority w:val="9"/>
    <w:rPr>
      <w:rFonts w:ascii="Arial" w:hAnsi="Arial" w:eastAsia="Arial" w:cs="Arial"/>
      <w:i/>
      <w:iCs/>
      <w:sz w:val="21"/>
      <w:szCs w:val="21"/>
    </w:rPr>
  </w:style>
  <w:style w:type="character" w:customStyle="1" w:styleId="53">
    <w:name w:val="Title Char"/>
    <w:basedOn w:val="38"/>
    <w:qFormat/>
    <w:uiPriority w:val="10"/>
    <w:rPr>
      <w:sz w:val="48"/>
      <w:szCs w:val="48"/>
    </w:rPr>
  </w:style>
  <w:style w:type="character" w:customStyle="1" w:styleId="54">
    <w:name w:val="Subtitle Char"/>
    <w:basedOn w:val="38"/>
    <w:qFormat/>
    <w:uiPriority w:val="11"/>
    <w:rPr>
      <w:sz w:val="24"/>
      <w:szCs w:val="24"/>
    </w:rPr>
  </w:style>
  <w:style w:type="character" w:customStyle="1" w:styleId="55">
    <w:name w:val="Quote Char"/>
    <w:qFormat/>
    <w:uiPriority w:val="29"/>
    <w:rPr>
      <w:i/>
    </w:rPr>
  </w:style>
  <w:style w:type="character" w:customStyle="1" w:styleId="56">
    <w:name w:val="Intense Quote Char"/>
    <w:qFormat/>
    <w:uiPriority w:val="30"/>
    <w:rPr>
      <w:i/>
    </w:rPr>
  </w:style>
  <w:style w:type="table" w:customStyle="1" w:styleId="57">
    <w:name w:val="无格式表格 11"/>
    <w:basedOn w:val="36"/>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tblStylePr w:type="firstRow">
      <w:rPr>
        <w:rFonts w:ascii="Arial" w:hAnsi="Arial"/>
        <w:b/>
        <w:color w:val="404040"/>
        <w:sz w:val="22"/>
      </w:r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shd w:val="clear" w:color="F1F1F1" w:themeColor="text1" w:themeTint="0D" w:fill="F1F1F1" w:themeFill="text1" w:themeFillTint="0D"/>
      </w:tcPr>
    </w:tblStylePr>
    <w:tblStylePr w:type="band1Horz">
      <w:tcPr>
        <w:shd w:val="clear" w:color="F1F1F1" w:themeColor="text1" w:themeTint="0D" w:fill="F1F1F1" w:themeFill="text1" w:themeFillTint="0D"/>
      </w:tcPr>
    </w:tblStylePr>
  </w:style>
  <w:style w:type="table" w:customStyle="1" w:styleId="58">
    <w:name w:val="无格式表格 21"/>
    <w:basedOn w:val="36"/>
    <w:qFormat/>
    <w:uiPriority w:val="59"/>
    <w:tblPr>
      <w:tblBorders>
        <w:top w:val="single" w:color="000000" w:themeColor="text1" w:sz="4" w:space="0"/>
        <w:left w:val="none" w:color="000000" w:themeColor="text1" w:sz="4" w:space="0"/>
        <w:bottom w:val="single" w:color="000000" w:themeColor="text1" w:sz="4" w:space="0"/>
        <w:right w:val="none" w:color="000000" w:themeColor="text1" w:sz="4" w:space="0"/>
      </w:tblBorders>
    </w:tblPr>
    <w:tblStylePr w:type="firstRow">
      <w:rPr>
        <w:rFonts w:ascii="Arial" w:hAnsi="Arial"/>
        <w:b/>
        <w:color w:val="404040"/>
        <w:sz w:val="22"/>
      </w:rPr>
      <w:tcPr>
        <w:tcBorders>
          <w:top w:val="single" w:color="000000" w:themeColor="text1" w:sz="4" w:space="0"/>
          <w:bottom w:val="single" w:color="000000" w:themeColor="text1" w:sz="4" w:space="0"/>
        </w:tcBorders>
      </w:tcPr>
    </w:tblStylePr>
    <w:tblStylePr w:type="lastRow">
      <w:rPr>
        <w:rFonts w:ascii="Arial" w:hAnsi="Arial"/>
        <w:b/>
        <w:color w:val="404040"/>
        <w:sz w:val="22"/>
      </w:rPr>
    </w:tblStylePr>
    <w:tblStylePr w:type="firstCol">
      <w:rPr>
        <w:rFonts w:ascii="Arial" w:hAnsi="Arial"/>
        <w:b/>
        <w:color w:val="404040"/>
        <w:sz w:val="22"/>
      </w:rPr>
    </w:tblStylePr>
    <w:tblStylePr w:type="lastCol">
      <w:rPr>
        <w:rFonts w:ascii="Arial" w:hAnsi="Arial"/>
        <w:b/>
        <w:color w:val="404040"/>
        <w:sz w:val="22"/>
      </w:rPr>
    </w:tblStylePr>
    <w:tblStylePr w:type="band1Vert">
      <w:tcPr>
        <w:tcBorders>
          <w:left w:val="single" w:color="000000" w:themeColor="text1" w:sz="4" w:space="0"/>
          <w:right w:val="single" w:color="000000" w:themeColor="text1" w:sz="4" w:space="0"/>
        </w:tcBorders>
      </w:tcPr>
    </w:tblStylePr>
    <w:tblStylePr w:type="band2Vert">
      <w:tcPr>
        <w:tcBorders>
          <w:left w:val="single" w:color="000000" w:themeColor="text1" w:sz="4" w:space="0"/>
          <w:right w:val="single" w:color="000000" w:themeColor="text1" w:sz="4" w:space="0"/>
        </w:tcBorders>
      </w:tcPr>
    </w:tblStylePr>
    <w:tblStylePr w:type="band1Horz">
      <w:tcPr>
        <w:tcBorders>
          <w:top w:val="single" w:color="000000" w:themeColor="text1" w:sz="4" w:space="0"/>
          <w:bottom w:val="single" w:color="000000" w:themeColor="text1" w:sz="4" w:space="0"/>
        </w:tcBorders>
      </w:tcPr>
    </w:tblStylePr>
  </w:style>
  <w:style w:type="table" w:customStyle="1" w:styleId="59">
    <w:name w:val="无格式表格 31"/>
    <w:basedOn w:val="36"/>
    <w:qFormat/>
    <w:uiPriority w:val="99"/>
    <w:tblStylePr w:type="firstRow">
      <w:rPr>
        <w:b/>
        <w:caps/>
        <w:color w:val="404040"/>
      </w:rPr>
      <w:tcPr>
        <w:tcBorders>
          <w:top w:val="nil"/>
          <w:left w:val="nil"/>
          <w:bottom w:val="single" w:color="404040" w:sz="4" w:space="0"/>
          <w:right w:val="nil"/>
        </w:tcBorders>
      </w:tcPr>
    </w:tblStylePr>
    <w:tblStylePr w:type="lastRow">
      <w:rPr>
        <w:b/>
        <w:caps/>
        <w:color w:val="404040"/>
      </w:rPr>
    </w:tblStylePr>
    <w:tblStylePr w:type="firstCol">
      <w:rPr>
        <w:b/>
        <w:caps/>
        <w:color w:val="404040"/>
      </w:rPr>
      <w:tcPr>
        <w:tcBorders>
          <w:top w:val="nil"/>
          <w:left w:val="nil"/>
          <w:bottom w:val="nil"/>
          <w:right w:val="single" w:color="404040" w:sz="4" w:space="0"/>
        </w:tcBorders>
      </w:tcPr>
    </w:tblStylePr>
    <w:tblStylePr w:type="lastCol">
      <w:rPr>
        <w:b/>
        <w:caps/>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0">
    <w:name w:val="无格式表格 41"/>
    <w:basedOn w:val="36"/>
    <w:qFormat/>
    <w:uiPriority w:val="99"/>
    <w:tblStylePr w:type="firstRow">
      <w:rPr>
        <w:b/>
        <w:color w:val="404040"/>
      </w:r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1">
    <w:name w:val="无格式表格 51"/>
    <w:basedOn w:val="36"/>
    <w:qFormat/>
    <w:uiPriority w:val="99"/>
    <w:tblStylePr w:type="firstRow">
      <w:rPr>
        <w:i/>
        <w:color w:val="404040"/>
      </w:rPr>
      <w:tcPr>
        <w:tcBorders>
          <w:left w:val="nil"/>
          <w:bottom w:val="single" w:color="404040" w:sz="4" w:space="0"/>
          <w:right w:val="nil"/>
        </w:tcBorders>
        <w:shd w:val="clear" w:color="FFFFFF" w:fill="auto"/>
      </w:tcPr>
    </w:tblStylePr>
    <w:tblStylePr w:type="lastRow">
      <w:rPr>
        <w:i/>
        <w:color w:val="404040"/>
      </w:rPr>
      <w:tcPr>
        <w:tcBorders>
          <w:top w:val="single" w:color="404040" w:sz="4" w:space="0"/>
          <w:left w:val="nil"/>
          <w:right w:val="nil"/>
        </w:tcBorders>
        <w:shd w:val="clear" w:color="FFFFFF" w:fill="auto"/>
      </w:tcPr>
    </w:tblStylePr>
    <w:tblStylePr w:type="firstCol">
      <w:pPr>
        <w:jc w:val="right"/>
      </w:pPr>
      <w:rPr>
        <w:i/>
        <w:color w:val="404040"/>
      </w:rPr>
      <w:tcPr>
        <w:tcBorders>
          <w:right w:val="single" w:color="404040" w:sz="4" w:space="0"/>
        </w:tcBorders>
        <w:shd w:val="clear" w:color="FFFFFF" w:fill="auto"/>
      </w:tcPr>
    </w:tblStylePr>
    <w:tblStylePr w:type="lastCol">
      <w:rPr>
        <w:i/>
        <w:color w:val="404040"/>
      </w:rPr>
      <w:tcPr>
        <w:tcBorders>
          <w:left w:val="single" w:color="404040" w:sz="4" w:space="0"/>
        </w:tcBorders>
        <w:shd w:val="clear" w:color="FFFFFF" w:fill="auto"/>
      </w:tcPr>
    </w:tblStylePr>
    <w:tblStylePr w:type="band1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cPr>
        <w:shd w:val="clear" w:color="F1F1F1" w:themeColor="text1" w:themeTint="0D" w:fill="F1F1F1" w:themeFill="text1" w:themeFillTint="0D"/>
      </w:tcPr>
    </w:tblStylePr>
  </w:style>
  <w:style w:type="table" w:customStyle="1" w:styleId="62">
    <w:name w:val="网格表 1 浅色1"/>
    <w:basedOn w:val="36"/>
    <w:qFormat/>
    <w:uiPriority w:val="99"/>
    <w:tblPr>
      <w:tbl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insideH w:val="single" w:color="979797" w:themeColor="text1" w:themeTint="67" w:sz="4" w:space="0"/>
        <w:insideV w:val="single" w:color="979797" w:themeColor="text1" w:themeTint="67" w:sz="4" w:space="0"/>
      </w:tblBorders>
    </w:tblPr>
    <w:tblStylePr w:type="firstRow">
      <w:rPr>
        <w:b/>
        <w:color w:val="404040"/>
      </w:rPr>
      <w:tcPr>
        <w:tcBorders>
          <w:bottom w:val="single" w:color="696969" w:themeColor="tex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979797" w:themeColor="text1" w:themeTint="67" w:sz="4" w:space="0"/>
          <w:left w:val="single" w:color="979797" w:themeColor="text1" w:themeTint="67" w:sz="4" w:space="0"/>
          <w:bottom w:val="single" w:color="979797" w:themeColor="text1" w:themeTint="67" w:sz="4" w:space="0"/>
          <w:right w:val="single" w:color="979797" w:themeColor="text1" w:themeTint="67" w:sz="4" w:space="0"/>
        </w:tcBorders>
      </w:tcPr>
    </w:tblStylePr>
  </w:style>
  <w:style w:type="table" w:customStyle="1" w:styleId="63">
    <w:name w:val="网格表 21"/>
    <w:basedOn w:val="36"/>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single" w:color="696969" w:themeColor="text1" w:themeTint="95" w:sz="12" w:space="0"/>
          <w:right w:val="nil"/>
        </w:tcBorders>
        <w:shd w:val="clear" w:color="FFFFFF" w:fill="auto"/>
      </w:tcPr>
    </w:tblStylePr>
    <w:tblStylePr w:type="lastRow">
      <w:rPr>
        <w:b/>
        <w:color w:val="404040"/>
      </w:rPr>
      <w:tcPr>
        <w:tcBorders>
          <w:top w:val="single" w:color="696969" w:themeColor="text1" w:themeTint="9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4">
    <w:name w:val="网格表 31"/>
    <w:basedOn w:val="36"/>
    <w:qFormat/>
    <w:uiPriority w:val="99"/>
    <w:tblPr>
      <w:tblBorders>
        <w:bottom w:val="single" w:color="696969" w:themeColor="text1" w:themeTint="95" w:sz="4" w:space="0"/>
        <w:insideH w:val="single" w:color="696969" w:themeColor="text1" w:themeTint="95" w:sz="4" w:space="0"/>
        <w:insideV w:val="single" w:color="696969" w:themeColor="text1" w:themeTint="9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5">
    <w:name w:val="网格表 41"/>
    <w:basedOn w:val="36"/>
    <w:qFormat/>
    <w:uiPriority w:val="59"/>
    <w:tblPr>
      <w:tblBorders>
        <w:top w:val="single" w:color="6E6E6E" w:themeColor="text1" w:themeTint="90" w:sz="4" w:space="0"/>
        <w:left w:val="single" w:color="6E6E6E" w:themeColor="text1" w:themeTint="90" w:sz="4" w:space="0"/>
        <w:bottom w:val="single" w:color="6E6E6E" w:themeColor="text1" w:themeTint="90" w:sz="4" w:space="0"/>
        <w:right w:val="single" w:color="6E6E6E" w:themeColor="text1" w:themeTint="90" w:sz="4" w:space="0"/>
        <w:insideH w:val="single" w:color="6E6E6E" w:themeColor="text1" w:themeTint="90" w:sz="4" w:space="0"/>
        <w:insideV w:val="single" w:color="6E6E6E" w:themeColor="text1" w:themeTint="90" w:sz="4" w:space="0"/>
      </w:tblBorders>
    </w:tblPr>
    <w:tblStylePr w:type="firstRow">
      <w:rPr>
        <w:rFonts w:ascii="Arial" w:hAnsi="Arial"/>
        <w:b/>
        <w:color w:val="FFFFFF"/>
        <w:sz w:val="22"/>
      </w:rPr>
      <w:tcPr>
        <w:tcBorders>
          <w:top w:val="single" w:color="000000" w:themeColor="text1" w:sz="4" w:space="0"/>
          <w:left w:val="single" w:color="000000" w:themeColor="text1" w:sz="4" w:space="0"/>
          <w:bottom w:val="single" w:color="000000" w:themeColor="text1" w:sz="4" w:space="0"/>
          <w:right w:val="single" w:color="000000" w:themeColor="text1" w:sz="4" w:space="0"/>
        </w:tcBorders>
        <w:shd w:val="clear" w:color="000000" w:themeColor="text1" w:fill="000000" w:themeFill="text1"/>
      </w:tcPr>
    </w:tblStylePr>
    <w:tblStylePr w:type="lastRow">
      <w:rPr>
        <w:b/>
        <w:color w:val="404040"/>
      </w:rPr>
      <w:tcPr>
        <w:tcBorders>
          <w:top w:val="single" w:color="000000" w:themeColor="text1"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CACACA" w:themeColor="text1" w:themeTint="34" w:fill="CACACA" w:themeFill="text1" w:themeFillTint="34"/>
      </w:tcPr>
    </w:tblStylePr>
    <w:tblStylePr w:type="band1Horz">
      <w:rPr>
        <w:rFonts w:ascii="Arial" w:hAnsi="Arial"/>
        <w:color w:val="404040"/>
        <w:sz w:val="22"/>
      </w:rPr>
      <w:tcPr>
        <w:shd w:val="clear" w:color="CACACA" w:themeColor="text1" w:themeTint="34" w:fill="CACACA" w:themeFill="text1" w:themeFillTint="34"/>
      </w:tcPr>
    </w:tblStylePr>
  </w:style>
  <w:style w:type="table" w:customStyle="1" w:styleId="66">
    <w:name w:val="网格表 5 深色1"/>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000000" w:themeColor="text1" w:fill="000000" w:themeFill="text1"/>
      </w:tcPr>
    </w:tblStylePr>
    <w:tblStylePr w:type="lastRow">
      <w:rPr>
        <w:rFonts w:ascii="Arial" w:hAnsi="Arial"/>
        <w:b/>
        <w:color w:val="FFFFFF"/>
        <w:sz w:val="22"/>
      </w:rPr>
      <w:tcPr>
        <w:tcBorders>
          <w:top w:val="single" w:color="FFFFFF" w:themeColor="light1" w:sz="4" w:space="0"/>
        </w:tcBorders>
        <w:shd w:val="clear" w:color="000000" w:themeColor="text1" w:fill="000000" w:themeFill="text1"/>
      </w:tcPr>
    </w:tblStylePr>
    <w:tblStylePr w:type="firstCol">
      <w:rPr>
        <w:rFonts w:ascii="Arial" w:hAnsi="Arial"/>
        <w:b/>
        <w:color w:val="FFFFFF"/>
        <w:sz w:val="22"/>
      </w:rPr>
      <w:tcPr>
        <w:shd w:val="clear" w:color="000000" w:themeColor="text1" w:fill="000000" w:themeFill="text1"/>
      </w:tcPr>
    </w:tblStylePr>
    <w:tblStylePr w:type="lastCol">
      <w:rPr>
        <w:rFonts w:ascii="Arial" w:hAnsi="Arial"/>
        <w:b/>
        <w:color w:val="FFFFFF"/>
        <w:sz w:val="22"/>
      </w:rPr>
      <w:tcPr>
        <w:shd w:val="clear" w:color="000000" w:themeColor="text1" w:fill="000000" w:themeFill="text1"/>
      </w:tcPr>
    </w:tblStylePr>
    <w:tblStylePr w:type="band1Vert">
      <w:tcPr>
        <w:shd w:val="clear" w:color="898989" w:themeColor="text1" w:themeTint="75" w:fill="898989" w:themeFill="text1" w:themeFillTint="75"/>
      </w:tcPr>
    </w:tblStylePr>
    <w:tblStylePr w:type="band1Horz">
      <w:tcPr>
        <w:shd w:val="clear" w:color="898989" w:themeColor="text1" w:themeTint="75" w:fill="898989" w:themeFill="text1" w:themeFillTint="75"/>
      </w:tcPr>
    </w:tblStylePr>
  </w:style>
  <w:style w:type="table" w:customStyle="1" w:styleId="67">
    <w:name w:val="网格表 6 彩色1"/>
    <w:basedOn w:val="36"/>
    <w:qFormat/>
    <w:uiPriority w:val="99"/>
    <w:tblPr>
      <w:tblBorders>
        <w:top w:val="single" w:color="7E7E7E" w:themeColor="text1" w:themeTint="80" w:sz="4" w:space="0"/>
        <w:left w:val="single" w:color="7E7E7E" w:themeColor="text1" w:themeTint="80" w:sz="4" w:space="0"/>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b/>
        <w:color w:val="808080" w:themeColor="text1" w:themeTint="80"/>
        <w14:textFill>
          <w14:solidFill>
            <w14:schemeClr w14:val="tx1">
              <w14:lumMod w14:val="50000"/>
              <w14:lumOff w14:val="50000"/>
            </w14:schemeClr>
          </w14:solidFill>
        </w14:textFill>
      </w:rPr>
      <w:tcPr>
        <w:tcBorders>
          <w:bottom w:val="single" w:color="7E7E7E" w:themeColor="text1" w:themeTint="80" w:sz="12" w:space="0"/>
        </w:tcBorders>
      </w:tcPr>
    </w:tblStylePr>
    <w:tblStylePr w:type="lastRow">
      <w:rPr>
        <w:b/>
        <w:color w:val="808080" w:themeColor="text1" w:themeTint="80"/>
        <w14:textFill>
          <w14:solidFill>
            <w14:schemeClr w14:val="tx1">
              <w14:lumMod w14:val="50000"/>
              <w14:lumOff w14:val="50000"/>
            </w14:schemeClr>
          </w14:solidFill>
        </w14:textFill>
      </w:rPr>
    </w:tblStylePr>
    <w:tblStylePr w:type="firstCol">
      <w:rPr>
        <w:b/>
        <w:color w:val="808080" w:themeColor="text1" w:themeTint="80"/>
        <w14:textFill>
          <w14:solidFill>
            <w14:schemeClr w14:val="tx1">
              <w14:lumMod w14:val="50000"/>
              <w14:lumOff w14:val="50000"/>
            </w14:schemeClr>
          </w14:solidFill>
        </w14:textFill>
      </w:rPr>
    </w:tblStylePr>
    <w:tblStylePr w:type="lastCol">
      <w:rPr>
        <w:b/>
        <w:color w:val="808080" w:themeColor="text1" w:themeTint="80"/>
        <w14:textFill>
          <w14:solidFill>
            <w14:schemeClr w14:val="tx1">
              <w14:lumMod w14:val="50000"/>
              <w14:lumOff w14:val="50000"/>
            </w14:schemeClr>
          </w14:solidFill>
        </w14:textFill>
      </w:rPr>
    </w:tblStylePr>
    <w:tblStylePr w:type="band1Vert">
      <w:tcPr>
        <w:shd w:val="clear" w:color="CACACA" w:themeColor="text1" w:themeTint="34" w:fill="CACACA" w:themeFill="text1" w:themeFillTint="34"/>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CACACA" w:themeColor="text1" w:themeTint="34" w:fill="CACACA" w:themeFill="text1" w:themeFillTint="34"/>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8">
    <w:name w:val="网格表 7 彩色1"/>
    <w:basedOn w:val="36"/>
    <w:qFormat/>
    <w:uiPriority w:val="99"/>
    <w:tblPr>
      <w:tblBorders>
        <w:bottom w:val="single" w:color="7E7E7E" w:themeColor="text1" w:themeTint="80" w:sz="4" w:space="0"/>
        <w:right w:val="single" w:color="7E7E7E" w:themeColor="text1" w:themeTint="80" w:sz="4" w:space="0"/>
        <w:insideH w:val="single" w:color="7E7E7E" w:themeColor="text1" w:themeTint="80" w:sz="4" w:space="0"/>
        <w:insideV w:val="single" w:color="7E7E7E" w:themeColor="text1" w:themeTint="80" w:sz="4" w:space="0"/>
      </w:tblBorders>
    </w:tblPr>
    <w:tblStylePr w:type="firstRow">
      <w:rPr>
        <w:rFonts w:ascii="Arial" w:hAnsi="Arial"/>
        <w:b/>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b/>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F1F1F1" w:themeColor="text1" w:themeTint="0D" w:fill="F1F1F1" w:themeFill="text1" w:themeFillTint="0D"/>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F1F1F1" w:themeColor="text1" w:themeTint="0D" w:fill="F1F1F1" w:themeFill="text1" w:themeFillTint="0D"/>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table" w:customStyle="1" w:styleId="69">
    <w:name w:val="清单表 1 浅色1"/>
    <w:basedOn w:val="36"/>
    <w:qFormat/>
    <w:uiPriority w:val="99"/>
    <w:tblStylePr w:type="firstRow">
      <w:rPr>
        <w:b/>
        <w:color w:val="404040"/>
      </w:rPr>
      <w:tcPr>
        <w:tcBorders>
          <w:top w:val="nil"/>
          <w:left w:val="nil"/>
          <w:bottom w:val="single" w:color="000000" w:themeColor="text1" w:sz="4" w:space="0"/>
          <w:right w:val="nil"/>
        </w:tcBorders>
      </w:tcPr>
    </w:tblStylePr>
    <w:tblStylePr w:type="lastRow">
      <w:rPr>
        <w:b/>
        <w:color w:val="404040"/>
      </w:rPr>
      <w:tcPr>
        <w:tcBorders>
          <w:top w:val="single" w:color="000000" w:themeColor="tex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BEBEBE" w:themeColor="text1" w:themeTint="40" w:fill="BEBEBE" w:themeFill="text1" w:themeFillTint="40"/>
      </w:tcPr>
    </w:tblStylePr>
    <w:tblStylePr w:type="band1Horz">
      <w:tcPr>
        <w:shd w:val="clear" w:color="BEBEBE" w:themeColor="text1" w:themeTint="40" w:fill="BEBEBE" w:themeFill="text1" w:themeFillTint="40"/>
      </w:tcPr>
    </w:tblStylePr>
  </w:style>
  <w:style w:type="table" w:customStyle="1" w:styleId="70">
    <w:name w:val="清单表 21"/>
    <w:basedOn w:val="36"/>
    <w:qFormat/>
    <w:uiPriority w:val="99"/>
    <w:tblPr>
      <w:tblBorders>
        <w:top w:val="single" w:color="6E6E6E" w:themeColor="text1" w:themeTint="90" w:sz="4" w:space="0"/>
        <w:bottom w:val="single" w:color="6E6E6E" w:themeColor="text1" w:themeTint="90" w:sz="4" w:space="0"/>
        <w:insideH w:val="single" w:color="6E6E6E" w:themeColor="text1" w:themeTint="90" w:sz="4" w:space="0"/>
      </w:tblBorders>
    </w:tblPr>
    <w:tblStylePr w:type="fir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lastRow">
      <w:rPr>
        <w:rFonts w:ascii="Arial" w:hAnsi="Arial"/>
        <w:b/>
        <w:color w:val="404040"/>
        <w:sz w:val="22"/>
      </w:rPr>
      <w:tcPr>
        <w:tcBorders>
          <w:top w:val="single" w:color="6E6E6E" w:themeColor="text1" w:themeTint="90" w:sz="4" w:space="0"/>
          <w:left w:val="nil"/>
          <w:bottom w:val="single" w:color="6E6E6E" w:themeColor="tex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71">
    <w:name w:val="清单表 31"/>
    <w:basedOn w:val="36"/>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000000" w:themeColor="text1" w:sz="4" w:space="0"/>
          <w:right w:val="single" w:color="000000" w:themeColor="text1" w:sz="4" w:space="0"/>
        </w:tcBorders>
      </w:tcPr>
    </w:tblStylePr>
    <w:tblStylePr w:type="band1Horz">
      <w:rPr>
        <w:rFonts w:ascii="Arial" w:hAnsi="Arial"/>
        <w:color w:val="404040"/>
        <w:sz w:val="22"/>
      </w:rPr>
      <w:tcPr>
        <w:tcBorders>
          <w:top w:val="single" w:color="000000" w:themeColor="text1" w:sz="4" w:space="0"/>
          <w:bottom w:val="single" w:color="000000" w:themeColor="text1" w:sz="4" w:space="0"/>
        </w:tcBorders>
      </w:tcPr>
    </w:tblStylePr>
  </w:style>
  <w:style w:type="table" w:customStyle="1" w:styleId="72">
    <w:name w:val="清单表 41"/>
    <w:basedOn w:val="36"/>
    <w:qFormat/>
    <w:uiPriority w:val="99"/>
    <w:tblPr>
      <w:tblBorders>
        <w:top w:val="single" w:color="000000" w:themeColor="text1" w:sz="4" w:space="0"/>
        <w:left w:val="single" w:color="000000" w:themeColor="text1" w:sz="4" w:space="0"/>
        <w:bottom w:val="single" w:color="000000" w:themeColor="text1" w:sz="4" w:space="0"/>
        <w:right w:val="single" w:color="000000" w:themeColor="text1" w:sz="4" w:space="0"/>
        <w:insideH w:val="single" w:color="000000" w:themeColor="text1" w:sz="4" w:space="0"/>
      </w:tblBorders>
    </w:tblPr>
    <w:tblStylePr w:type="firstRow">
      <w:rPr>
        <w:rFonts w:ascii="Arial" w:hAnsi="Arial"/>
        <w:b/>
        <w:color w:val="FFFFFF"/>
        <w:sz w:val="22"/>
      </w:rPr>
      <w:tcPr>
        <w:shd w:val="clear" w:color="000000" w:themeColor="text1" w:fill="000000" w:themeFill="tex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BEBEBE" w:themeColor="text1" w:themeTint="40" w:fill="BEBEBE" w:themeFill="text1" w:themeFillTint="40"/>
      </w:tcPr>
    </w:tblStylePr>
    <w:tblStylePr w:type="band1Horz">
      <w:rPr>
        <w:rFonts w:ascii="Arial" w:hAnsi="Arial"/>
        <w:color w:val="404040"/>
        <w:sz w:val="22"/>
      </w:rPr>
      <w:tcPr>
        <w:shd w:val="clear" w:color="BEBEBE" w:themeColor="text1" w:themeTint="40" w:fill="BEBEBE" w:themeFill="text1" w:themeFillTint="40"/>
      </w:tcPr>
    </w:tblStylePr>
  </w:style>
  <w:style w:type="table" w:customStyle="1" w:styleId="73">
    <w:name w:val="清单表 5 深色1"/>
    <w:basedOn w:val="36"/>
    <w:qFormat/>
    <w:uiPriority w:val="99"/>
    <w:tblPr>
      <w:tblBorders>
        <w:top w:val="single" w:color="7E7E7E" w:themeColor="text1" w:themeTint="80" w:sz="32" w:space="0"/>
        <w:left w:val="single" w:color="7E7E7E" w:themeColor="text1" w:themeTint="80" w:sz="32" w:space="0"/>
        <w:bottom w:val="single" w:color="7E7E7E" w:themeColor="text1" w:themeTint="80" w:sz="32" w:space="0"/>
        <w:right w:val="single" w:color="7E7E7E" w:themeColor="text1" w:themeTint="80" w:sz="32" w:space="0"/>
      </w:tblBorders>
    </w:tblPr>
    <w:tblStylePr w:type="firstRow">
      <w:rPr>
        <w:rFonts w:ascii="Arial" w:hAnsi="Arial"/>
        <w:b/>
        <w:color w:val="FFFFFF" w:themeColor="light1"/>
        <w:sz w:val="22"/>
        <w14:textFill>
          <w14:solidFill>
            <w14:schemeClr w14:val="lt1"/>
          </w14:solidFill>
        </w14:textFill>
      </w:rPr>
      <w:tcPr>
        <w:tcBorders>
          <w:top w:val="single" w:color="7E7E7E" w:themeColor="text1" w:themeTint="80" w:sz="32" w:space="0"/>
          <w:bottom w:val="single" w:color="FFFFFF" w:themeColor="light1" w:sz="12" w:space="0"/>
        </w:tcBorders>
        <w:shd w:val="clear" w:color="7E7E7E" w:themeColor="text1" w:themeTint="80" w:fill="7E7E7E" w:themeFill="text1" w:themeFillTint="80"/>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E7E7E" w:themeColor="text1" w:themeTint="80" w:sz="32" w:space="0"/>
          <w:right w:val="single" w:color="FFFFFF" w:themeColor="light1" w:sz="4" w:space="0"/>
        </w:tcBorders>
      </w:tcPr>
    </w:tblStylePr>
    <w:tblStylePr w:type="lastCol">
      <w:tcPr>
        <w:tcBorders>
          <w:left w:val="single" w:color="FFFFFF" w:themeColor="light1" w:sz="4" w:space="0"/>
          <w:right w:val="single" w:color="7E7E7E" w:themeColor="text1" w:themeTint="80" w:sz="32" w:space="0"/>
        </w:tcBorders>
      </w:tcPr>
    </w:tblStylePr>
    <w:tblStylePr w:type="band1Vert">
      <w:tcPr>
        <w:tcBorders>
          <w:left w:val="single" w:color="FFFFFF" w:themeColor="light1" w:sz="4" w:space="0"/>
          <w:right w:val="single" w:color="FFFFFF" w:themeColor="light1" w:sz="4" w:space="0"/>
        </w:tcBorders>
        <w:shd w:val="clear" w:color="7E7E7E" w:themeColor="text1" w:themeTint="80" w:fill="7E7E7E" w:themeFill="text1" w:themeFillTint="80"/>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E7E7E" w:themeColor="text1" w:themeTint="80" w:fill="7E7E7E" w:themeFill="text1" w:themeFillTint="80"/>
      </w:tcPr>
    </w:tblStylePr>
    <w:tblStylePr w:type="band2Horz">
      <w:tcPr>
        <w:tcBorders>
          <w:top w:val="single" w:color="FFFFFF" w:themeColor="light1" w:sz="4" w:space="0"/>
          <w:bottom w:val="single" w:color="FFFFFF" w:themeColor="light1" w:sz="4" w:space="0"/>
        </w:tcBorders>
        <w:shd w:val="clear" w:color="7E7E7E" w:themeColor="text1" w:themeTint="80" w:fill="7E7E7E" w:themeFill="text1" w:themeFillTint="80"/>
      </w:tcPr>
    </w:tblStylePr>
  </w:style>
  <w:style w:type="table" w:customStyle="1" w:styleId="74">
    <w:name w:val="清单表 6 彩色1"/>
    <w:basedOn w:val="36"/>
    <w:qFormat/>
    <w:uiPriority w:val="99"/>
    <w:tblPr>
      <w:tblBorders>
        <w:top w:val="single" w:color="7E7E7E" w:themeColor="text1" w:themeTint="80" w:sz="4" w:space="0"/>
        <w:bottom w:val="single" w:color="7E7E7E" w:themeColor="text1" w:themeTint="80" w:sz="4" w:space="0"/>
      </w:tblBorders>
    </w:tblPr>
    <w:tblStylePr w:type="firstRow">
      <w:rPr>
        <w:b/>
        <w:color w:val="000000" w:themeColor="text1"/>
        <w14:textFill>
          <w14:solidFill>
            <w14:schemeClr w14:val="tx1"/>
          </w14:solidFill>
        </w14:textFill>
      </w:rPr>
      <w:tcPr>
        <w:tcBorders>
          <w:bottom w:val="single" w:color="7E7E7E" w:themeColor="text1" w:themeTint="80" w:sz="4" w:space="0"/>
        </w:tcBorders>
      </w:tcPr>
    </w:tblStylePr>
    <w:tblStylePr w:type="lastRow">
      <w:rPr>
        <w:b/>
        <w:color w:val="000000" w:themeColor="text1"/>
        <w14:textFill>
          <w14:solidFill>
            <w14:schemeClr w14:val="tx1"/>
          </w14:solidFill>
        </w14:textFill>
      </w:rPr>
      <w:tcPr>
        <w:tcBorders>
          <w:top w:val="single" w:color="7E7E7E" w:themeColor="text1" w:themeTint="80" w:sz="4" w:space="0"/>
        </w:tcBorders>
      </w:tcPr>
    </w:tblStylePr>
    <w:tblStylePr w:type="firstCol">
      <w:rPr>
        <w:b/>
        <w:color w:val="000000" w:themeColor="text1"/>
        <w14:textFill>
          <w14:solidFill>
            <w14:schemeClr w14:val="tx1"/>
          </w14:solidFill>
        </w14:textFill>
      </w:rPr>
    </w:tblStylePr>
    <w:tblStylePr w:type="lastCol">
      <w:rPr>
        <w:b/>
        <w:color w:val="000000" w:themeColor="text1"/>
        <w14:textFill>
          <w14:solidFill>
            <w14:schemeClr w14:val="tx1"/>
          </w14:solidFill>
        </w14:textFill>
      </w:rPr>
    </w:tblStylePr>
    <w:tblStylePr w:type="band1Vert">
      <w:tcPr>
        <w:shd w:val="clear" w:color="BEBEBE" w:themeColor="text1" w:themeTint="40" w:fill="BEBEBE" w:themeFill="text1" w:themeFillTint="40"/>
      </w:tcPr>
    </w:tblStylePr>
    <w:tblStylePr w:type="band1Horz">
      <w:rPr>
        <w:rFonts w:ascii="Arial" w:hAnsi="Arial"/>
        <w:color w:val="000000" w:themeColor="text1"/>
        <w:sz w:val="22"/>
        <w14:textFill>
          <w14:solidFill>
            <w14:schemeClr w14:val="tx1"/>
          </w14:solidFill>
        </w14:textFill>
      </w:rPr>
      <w:tcPr>
        <w:shd w:val="clear" w:color="BEBEBE" w:themeColor="text1" w:themeTint="40" w:fill="BEBEBE" w:themeFill="text1" w:themeFillTint="40"/>
      </w:tcPr>
    </w:tblStylePr>
    <w:tblStylePr w:type="band2Horz">
      <w:rPr>
        <w:rFonts w:ascii="Arial" w:hAnsi="Arial"/>
        <w:color w:val="000000" w:themeColor="text1"/>
        <w:sz w:val="22"/>
        <w14:textFill>
          <w14:solidFill>
            <w14:schemeClr w14:val="tx1"/>
          </w14:solidFill>
        </w14:textFill>
      </w:rPr>
    </w:tblStylePr>
  </w:style>
  <w:style w:type="table" w:customStyle="1" w:styleId="75">
    <w:name w:val="清单表 7 彩色1"/>
    <w:basedOn w:val="36"/>
    <w:qFormat/>
    <w:uiPriority w:val="99"/>
    <w:tblPr>
      <w:tblBorders>
        <w:right w:val="single" w:color="7E7E7E" w:themeColor="text1" w:themeTint="80" w:sz="4" w:space="0"/>
      </w:tblBorders>
    </w:tblPr>
    <w:tblStylePr w:type="firstRow">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single" w:color="7E7E7E" w:themeColor="text1" w:themeTint="80" w:sz="4" w:space="0"/>
          <w:right w:val="nil"/>
        </w:tcBorders>
        <w:shd w:val="clear" w:color="FFFFFF" w:themeColor="light1" w:fill="FFFFFF" w:themeFill="light1"/>
      </w:tcPr>
    </w:tblStylePr>
    <w:tblStylePr w:type="lastRow">
      <w:rPr>
        <w:rFonts w:ascii="Arial" w:hAnsi="Arial"/>
        <w:i/>
        <w:color w:val="808080" w:themeColor="text1" w:themeTint="80"/>
        <w:sz w:val="22"/>
        <w14:textFill>
          <w14:solidFill>
            <w14:schemeClr w14:val="tx1">
              <w14:lumMod w14:val="50000"/>
              <w14:lumOff w14:val="50000"/>
            </w14:schemeClr>
          </w14:solidFill>
        </w14:textFill>
      </w:rPr>
      <w:tcPr>
        <w:tcBorders>
          <w:top w:val="single" w:color="7E7E7E" w:themeColor="text1" w:themeTint="80" w:sz="4" w:space="0"/>
          <w:left w:val="nil"/>
          <w:bottom w:val="nil"/>
          <w:right w:val="nil"/>
        </w:tcBorders>
        <w:shd w:val="clear" w:color="FFFFFF" w:themeColor="light1" w:fill="FFFFFF" w:themeFill="light1"/>
      </w:tcPr>
    </w:tblStylePr>
    <w:tblStylePr w:type="firstCol">
      <w:pPr>
        <w:jc w:val="right"/>
      </w:pPr>
      <w:rPr>
        <w:rFonts w:ascii="Arial" w:hAnsi="Arial"/>
        <w:i/>
        <w:color w:val="808080" w:themeColor="text1" w:themeTint="80"/>
        <w:sz w:val="22"/>
        <w14:textFill>
          <w14:solidFill>
            <w14:schemeClr w14:val="tx1">
              <w14:lumMod w14:val="50000"/>
              <w14:lumOff w14:val="50000"/>
            </w14:schemeClr>
          </w14:solidFill>
        </w14:textFill>
      </w:rPr>
      <w:tcPr>
        <w:tcBorders>
          <w:top w:val="nil"/>
          <w:left w:val="nil"/>
          <w:bottom w:val="nil"/>
          <w:right w:val="single" w:color="7E7E7E" w:themeColor="text1" w:themeTint="80" w:sz="4" w:space="0"/>
        </w:tcBorders>
        <w:shd w:val="clear" w:color="FFFFFF" w:fill="auto"/>
      </w:tcPr>
    </w:tblStylePr>
    <w:tblStylePr w:type="lastCol">
      <w:rPr>
        <w:rFonts w:ascii="Arial" w:hAnsi="Arial"/>
        <w:i/>
        <w:color w:val="808080" w:themeColor="text1" w:themeTint="80"/>
        <w:sz w:val="22"/>
        <w14:textFill>
          <w14:solidFill>
            <w14:schemeClr w14:val="tx1">
              <w14:lumMod w14:val="50000"/>
              <w14:lumOff w14:val="50000"/>
            </w14:schemeClr>
          </w14:solidFill>
        </w14:textFill>
      </w:rPr>
      <w:tcPr>
        <w:tcBorders>
          <w:top w:val="nil"/>
          <w:left w:val="single" w:color="7E7E7E" w:themeColor="text1" w:themeTint="80" w:sz="4" w:space="0"/>
          <w:bottom w:val="nil"/>
          <w:right w:val="nil"/>
        </w:tcBorders>
        <w:shd w:val="clear" w:color="FFFFFF" w:fill="auto"/>
      </w:tcPr>
    </w:tblStylePr>
    <w:tblStylePr w:type="band1Vert">
      <w:tcPr>
        <w:shd w:val="clear" w:color="BEBEBE" w:themeColor="text1" w:themeTint="40" w:fill="BEBEBE" w:themeFill="text1" w:themeFillTint="40"/>
      </w:tcPr>
    </w:tblStylePr>
    <w:tblStylePr w:type="band1Horz">
      <w:rPr>
        <w:rFonts w:ascii="Arial" w:hAnsi="Arial"/>
        <w:color w:val="808080" w:themeColor="text1" w:themeTint="80"/>
        <w:sz w:val="22"/>
        <w14:textFill>
          <w14:solidFill>
            <w14:schemeClr w14:val="tx1">
              <w14:lumMod w14:val="50000"/>
              <w14:lumOff w14:val="50000"/>
            </w14:schemeClr>
          </w14:solidFill>
        </w14:textFill>
      </w:rPr>
      <w:tcPr>
        <w:shd w:val="clear" w:color="BEBEBE" w:themeColor="text1" w:themeTint="40" w:fill="BEBEBE" w:themeFill="text1" w:themeFillTint="40"/>
      </w:tcPr>
    </w:tblStylePr>
    <w:tblStylePr w:type="band2Horz">
      <w:rPr>
        <w:rFonts w:ascii="Arial" w:hAnsi="Arial"/>
        <w:color w:val="808080" w:themeColor="text1" w:themeTint="80"/>
        <w:sz w:val="22"/>
        <w14:textFill>
          <w14:solidFill>
            <w14:schemeClr w14:val="tx1">
              <w14:lumMod w14:val="50000"/>
              <w14:lumOff w14:val="50000"/>
            </w14:schemeClr>
          </w14:solidFill>
        </w14:textFill>
      </w:rPr>
    </w:tblStylePr>
  </w:style>
  <w:style w:type="character" w:customStyle="1" w:styleId="76">
    <w:name w:val="Footnote Text Char"/>
    <w:qFormat/>
    <w:uiPriority w:val="99"/>
    <w:rPr>
      <w:sz w:val="18"/>
    </w:rPr>
  </w:style>
  <w:style w:type="character" w:customStyle="1" w:styleId="77">
    <w:name w:val="Endnote Text Char"/>
    <w:qFormat/>
    <w:uiPriority w:val="99"/>
    <w:rPr>
      <w:sz w:val="20"/>
    </w:rPr>
  </w:style>
  <w:style w:type="paragraph" w:customStyle="1" w:styleId="78">
    <w:name w:val="TOC 标题1"/>
    <w:unhideWhenUsed/>
    <w:qFormat/>
    <w:uiPriority w:val="39"/>
    <w:rPr>
      <w:rFonts w:asciiTheme="minorHAnsi" w:hAnsiTheme="minorHAnsi" w:eastAsiaTheme="minorEastAsia" w:cstheme="minorBidi"/>
      <w:lang w:val="en-US" w:eastAsia="zh-CN" w:bidi="ar-SA"/>
    </w:rPr>
  </w:style>
  <w:style w:type="paragraph" w:customStyle="1" w:styleId="79">
    <w:name w:val="报告正文"/>
    <w:basedOn w:val="1"/>
    <w:qFormat/>
    <w:uiPriority w:val="0"/>
    <w:pPr>
      <w:ind w:firstLine="560"/>
    </w:pPr>
    <w:rPr>
      <w:szCs w:val="20"/>
      <w:lang w:val="zh-CN"/>
    </w:rPr>
  </w:style>
  <w:style w:type="character" w:customStyle="1" w:styleId="80">
    <w:name w:val="Heading 1 Char"/>
    <w:basedOn w:val="38"/>
    <w:qFormat/>
    <w:uiPriority w:val="9"/>
    <w:rPr>
      <w:rFonts w:ascii="Arial" w:hAnsi="Arial" w:eastAsia="Arial" w:cs="Arial"/>
      <w:sz w:val="40"/>
      <w:szCs w:val="40"/>
    </w:rPr>
  </w:style>
  <w:style w:type="character" w:customStyle="1" w:styleId="81">
    <w:name w:val="标题 2 字符"/>
    <w:basedOn w:val="38"/>
    <w:link w:val="3"/>
    <w:qFormat/>
    <w:uiPriority w:val="9"/>
    <w:rPr>
      <w:rFonts w:ascii="Arial" w:hAnsi="Arial" w:eastAsia="Arial" w:cs="Arial"/>
      <w:sz w:val="34"/>
    </w:rPr>
  </w:style>
  <w:style w:type="character" w:customStyle="1" w:styleId="82">
    <w:name w:val="标题 3 字符"/>
    <w:basedOn w:val="38"/>
    <w:link w:val="4"/>
    <w:qFormat/>
    <w:uiPriority w:val="9"/>
    <w:rPr>
      <w:rFonts w:ascii="Arial" w:hAnsi="Arial" w:eastAsia="Arial" w:cs="Arial"/>
      <w:sz w:val="30"/>
      <w:szCs w:val="30"/>
    </w:rPr>
  </w:style>
  <w:style w:type="character" w:customStyle="1" w:styleId="83">
    <w:name w:val="标题 4 字符"/>
    <w:basedOn w:val="38"/>
    <w:link w:val="5"/>
    <w:qFormat/>
    <w:uiPriority w:val="9"/>
    <w:rPr>
      <w:rFonts w:ascii="Arial" w:hAnsi="Arial" w:eastAsia="Arial" w:cs="Arial"/>
      <w:b/>
      <w:bCs/>
      <w:sz w:val="26"/>
      <w:szCs w:val="26"/>
    </w:rPr>
  </w:style>
  <w:style w:type="character" w:customStyle="1" w:styleId="84">
    <w:name w:val="标题 5 字符"/>
    <w:basedOn w:val="38"/>
    <w:link w:val="6"/>
    <w:qFormat/>
    <w:uiPriority w:val="9"/>
    <w:rPr>
      <w:rFonts w:ascii="Arial" w:hAnsi="Arial" w:eastAsia="Arial" w:cs="Arial"/>
      <w:b/>
      <w:bCs/>
      <w:sz w:val="24"/>
      <w:szCs w:val="24"/>
    </w:rPr>
  </w:style>
  <w:style w:type="character" w:customStyle="1" w:styleId="85">
    <w:name w:val="标题 6 字符"/>
    <w:basedOn w:val="38"/>
    <w:link w:val="7"/>
    <w:qFormat/>
    <w:uiPriority w:val="9"/>
    <w:rPr>
      <w:rFonts w:ascii="Arial" w:hAnsi="Arial" w:eastAsia="Arial" w:cs="Arial"/>
      <w:b/>
      <w:bCs/>
      <w:sz w:val="22"/>
      <w:szCs w:val="22"/>
    </w:rPr>
  </w:style>
  <w:style w:type="character" w:customStyle="1" w:styleId="86">
    <w:name w:val="标题 7 字符"/>
    <w:basedOn w:val="38"/>
    <w:link w:val="8"/>
    <w:qFormat/>
    <w:uiPriority w:val="9"/>
    <w:rPr>
      <w:rFonts w:ascii="Arial" w:hAnsi="Arial" w:eastAsia="Arial" w:cs="Arial"/>
      <w:b/>
      <w:bCs/>
      <w:i/>
      <w:iCs/>
      <w:sz w:val="22"/>
      <w:szCs w:val="22"/>
    </w:rPr>
  </w:style>
  <w:style w:type="character" w:customStyle="1" w:styleId="87">
    <w:name w:val="标题 8 字符"/>
    <w:basedOn w:val="38"/>
    <w:link w:val="9"/>
    <w:qFormat/>
    <w:uiPriority w:val="9"/>
    <w:rPr>
      <w:rFonts w:ascii="Arial" w:hAnsi="Arial" w:eastAsia="Arial" w:cs="Arial"/>
      <w:i/>
      <w:iCs/>
      <w:sz w:val="22"/>
      <w:szCs w:val="22"/>
    </w:rPr>
  </w:style>
  <w:style w:type="character" w:customStyle="1" w:styleId="88">
    <w:name w:val="标题 9 字符"/>
    <w:basedOn w:val="38"/>
    <w:link w:val="10"/>
    <w:qFormat/>
    <w:uiPriority w:val="9"/>
    <w:rPr>
      <w:rFonts w:ascii="Arial" w:hAnsi="Arial" w:eastAsia="Arial" w:cs="Arial"/>
      <w:i/>
      <w:iCs/>
      <w:sz w:val="21"/>
      <w:szCs w:val="21"/>
    </w:rPr>
  </w:style>
  <w:style w:type="paragraph" w:styleId="89">
    <w:name w:val="List Paragraph"/>
    <w:basedOn w:val="1"/>
    <w:qFormat/>
    <w:uiPriority w:val="34"/>
    <w:pPr>
      <w:ind w:left="720"/>
      <w:contextualSpacing/>
    </w:pPr>
  </w:style>
  <w:style w:type="character" w:customStyle="1" w:styleId="90">
    <w:name w:val="标题 字符"/>
    <w:basedOn w:val="38"/>
    <w:link w:val="33"/>
    <w:qFormat/>
    <w:uiPriority w:val="10"/>
    <w:rPr>
      <w:sz w:val="48"/>
      <w:szCs w:val="48"/>
    </w:rPr>
  </w:style>
  <w:style w:type="character" w:customStyle="1" w:styleId="91">
    <w:name w:val="副标题 字符"/>
    <w:basedOn w:val="38"/>
    <w:link w:val="26"/>
    <w:qFormat/>
    <w:uiPriority w:val="11"/>
    <w:rPr>
      <w:sz w:val="24"/>
      <w:szCs w:val="24"/>
    </w:rPr>
  </w:style>
  <w:style w:type="paragraph" w:styleId="92">
    <w:name w:val="Quote"/>
    <w:basedOn w:val="1"/>
    <w:next w:val="1"/>
    <w:link w:val="93"/>
    <w:qFormat/>
    <w:uiPriority w:val="29"/>
    <w:pPr>
      <w:ind w:left="720" w:right="720"/>
    </w:pPr>
    <w:rPr>
      <w:i/>
    </w:rPr>
  </w:style>
  <w:style w:type="character" w:customStyle="1" w:styleId="93">
    <w:name w:val="引用 字符"/>
    <w:link w:val="92"/>
    <w:qFormat/>
    <w:uiPriority w:val="29"/>
    <w:rPr>
      <w:i/>
    </w:rPr>
  </w:style>
  <w:style w:type="paragraph" w:styleId="94">
    <w:name w:val="Intense Quote"/>
    <w:basedOn w:val="1"/>
    <w:next w:val="1"/>
    <w:link w:val="95"/>
    <w:qFormat/>
    <w:uiPriority w:val="30"/>
    <w:pPr>
      <w:pBdr>
        <w:top w:val="single" w:color="FFFFFF" w:sz="4" w:space="5"/>
        <w:left w:val="single" w:color="FFFFFF" w:sz="4" w:space="10"/>
        <w:bottom w:val="single" w:color="FFFFFF" w:sz="4" w:space="5"/>
        <w:right w:val="single" w:color="FFFFFF" w:sz="4" w:space="10"/>
      </w:pBdr>
      <w:shd w:val="clear" w:color="auto" w:fill="F2F2F2"/>
      <w:ind w:left="720" w:right="720"/>
    </w:pPr>
    <w:rPr>
      <w:i/>
    </w:rPr>
  </w:style>
  <w:style w:type="character" w:customStyle="1" w:styleId="95">
    <w:name w:val="明显引用 字符"/>
    <w:link w:val="94"/>
    <w:qFormat/>
    <w:uiPriority w:val="30"/>
    <w:rPr>
      <w:i/>
    </w:rPr>
  </w:style>
  <w:style w:type="character" w:customStyle="1" w:styleId="96">
    <w:name w:val="Header Char"/>
    <w:basedOn w:val="38"/>
    <w:qFormat/>
    <w:uiPriority w:val="99"/>
  </w:style>
  <w:style w:type="character" w:customStyle="1" w:styleId="97">
    <w:name w:val="Footer Char"/>
    <w:basedOn w:val="38"/>
    <w:qFormat/>
    <w:uiPriority w:val="99"/>
  </w:style>
  <w:style w:type="character" w:customStyle="1" w:styleId="98">
    <w:name w:val="Caption Char"/>
    <w:qFormat/>
    <w:uiPriority w:val="99"/>
  </w:style>
  <w:style w:type="table" w:customStyle="1" w:styleId="99">
    <w:name w:val="Table Grid Light"/>
    <w:basedOn w:val="36"/>
    <w:qFormat/>
    <w:uiPriority w:val="59"/>
    <w:tblPr>
      <w:tblBorders>
        <w:top w:val="single" w:color="AEAEAE" w:themeColor="text1" w:themeTint="50" w:sz="4" w:space="0"/>
        <w:left w:val="single" w:color="AEAEAE" w:themeColor="text1" w:themeTint="50" w:sz="4" w:space="0"/>
        <w:bottom w:val="single" w:color="AEAEAE" w:themeColor="text1" w:themeTint="50" w:sz="4" w:space="0"/>
        <w:right w:val="single" w:color="AEAEAE" w:themeColor="text1" w:themeTint="50" w:sz="4" w:space="0"/>
        <w:insideH w:val="single" w:color="AEAEAE" w:themeColor="text1" w:themeTint="50" w:sz="4" w:space="0"/>
        <w:insideV w:val="single" w:color="AEAEAE" w:themeColor="text1" w:themeTint="50" w:sz="4" w:space="0"/>
      </w:tblBorders>
    </w:tblPr>
  </w:style>
  <w:style w:type="table" w:customStyle="1" w:styleId="100">
    <w:name w:val="Grid Table 1 Light - Accent 1"/>
    <w:basedOn w:val="36"/>
    <w:qFormat/>
    <w:uiPriority w:val="99"/>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b/>
        <w:color w:val="404040"/>
      </w:rPr>
      <w:tcPr>
        <w:tcBorders>
          <w:bottom w:val="single" w:color="94ADE0" w:themeColor="accent1"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101">
    <w:name w:val="Grid Table 1 Light - Accent 2"/>
    <w:basedOn w:val="36"/>
    <w:qFormat/>
    <w:uiPriority w:val="99"/>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b/>
        <w:color w:val="404040"/>
      </w:rPr>
      <w:tcPr>
        <w:tcBorders>
          <w:bottom w:val="single" w:color="F5B585" w:themeColor="accent2"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102">
    <w:name w:val="Grid Table 1 Light - Accent 3"/>
    <w:basedOn w:val="36"/>
    <w:qFormat/>
    <w:uiPriority w:val="99"/>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b/>
        <w:color w:val="404040"/>
      </w:rPr>
      <w:tcPr>
        <w:tcBorders>
          <w:bottom w:val="single" w:color="FDDA64" w:themeColor="accent3"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103">
    <w:name w:val="Grid Table 1 Light - Accent 4"/>
    <w:basedOn w:val="36"/>
    <w:qFormat/>
    <w:uiPriority w:val="99"/>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b/>
        <w:color w:val="404040"/>
      </w:rPr>
      <w:tcPr>
        <w:tcBorders>
          <w:bottom w:val="single" w:color="AED890" w:themeColor="accent4"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104">
    <w:name w:val="Grid Table 1 Light - Accent 5"/>
    <w:basedOn w:val="36"/>
    <w:qFormat/>
    <w:uiPriority w:val="99"/>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b/>
        <w:color w:val="404040"/>
      </w:rPr>
      <w:tcPr>
        <w:tcBorders>
          <w:bottom w:val="single" w:color="80DFD7" w:themeColor="accent5"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105">
    <w:name w:val="Grid Table 1 Light - Accent 6"/>
    <w:basedOn w:val="36"/>
    <w:qFormat/>
    <w:uiPriority w:val="99"/>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b/>
        <w:color w:val="404040"/>
      </w:rPr>
      <w:tcPr>
        <w:tcBorders>
          <w:bottom w:val="single" w:color="EF96A0" w:themeColor="accent6" w:themeTint="95" w:sz="12" w:space="0"/>
        </w:tcBorders>
      </w:tcPr>
    </w:tblStylePr>
    <w:tblStylePr w:type="lastRow">
      <w:rPr>
        <w:b/>
        <w:color w:val="404040"/>
      </w:rPr>
    </w:tblStylePr>
    <w:tblStylePr w:type="firstCol">
      <w:rPr>
        <w:b/>
        <w:color w:val="404040"/>
      </w:rPr>
    </w:tblStylePr>
    <w:tblStylePr w:type="lastCol">
      <w:rPr>
        <w:b/>
        <w:color w:val="404040"/>
      </w:r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table" w:customStyle="1" w:styleId="106">
    <w:name w:val="Grid Table 2 - Accent 1"/>
    <w:basedOn w:val="36"/>
    <w:qFormat/>
    <w:uiPriority w:val="99"/>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single" w:color="577FCF" w:themeColor="accent1" w:themeTint="EA" w:sz="12" w:space="0"/>
          <w:right w:val="nil"/>
        </w:tcBorders>
        <w:shd w:val="clear" w:color="FFFFFF" w:fill="auto"/>
      </w:tcPr>
    </w:tblStylePr>
    <w:tblStylePr w:type="lastRow">
      <w:rPr>
        <w:b/>
        <w:color w:val="404040"/>
      </w:rPr>
      <w:tcPr>
        <w:tcBorders>
          <w:top w:val="single" w:color="577FCF" w:themeColor="accent1" w:themeTint="E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107">
    <w:name w:val="Grid Table 2 - Accent 2"/>
    <w:basedOn w:val="36"/>
    <w:qFormat/>
    <w:uiPriority w:val="99"/>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single" w:color="F4B483" w:themeColor="accent2" w:themeTint="97" w:sz="12" w:space="0"/>
          <w:right w:val="nil"/>
        </w:tcBorders>
        <w:shd w:val="clear" w:color="FFFFFF" w:fill="auto"/>
      </w:tcPr>
    </w:tblStylePr>
    <w:tblStylePr w:type="lastRow">
      <w:rPr>
        <w:b/>
        <w:color w:val="404040"/>
      </w:rPr>
      <w:tcPr>
        <w:tcBorders>
          <w:top w:val="single" w:color="F4B483" w:themeColor="accent2" w:themeTint="97"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108">
    <w:name w:val="Grid Table 2 - Accent 3"/>
    <w:basedOn w:val="36"/>
    <w:qFormat/>
    <w:uiPriority w:val="99"/>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single" w:color="F3BA02" w:themeColor="accent3" w:themeTint="FE" w:sz="12" w:space="0"/>
          <w:right w:val="nil"/>
        </w:tcBorders>
        <w:shd w:val="clear" w:color="FFFFFF" w:fill="auto"/>
      </w:tcPr>
    </w:tblStylePr>
    <w:tblStylePr w:type="lastRow">
      <w:rPr>
        <w:b/>
        <w:color w:val="404040"/>
      </w:rPr>
      <w:tcPr>
        <w:tcBorders>
          <w:top w:val="single" w:color="F3BA02" w:themeColor="accent3" w:themeTint="FE"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109">
    <w:name w:val="Grid Table 2 - Accent 4"/>
    <w:basedOn w:val="36"/>
    <w:qFormat/>
    <w:uiPriority w:val="99"/>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single" w:color="ABD78C" w:themeColor="accent4" w:themeTint="9A" w:sz="12" w:space="0"/>
          <w:right w:val="nil"/>
        </w:tcBorders>
        <w:shd w:val="clear" w:color="FFFFFF" w:fill="auto"/>
      </w:tcPr>
    </w:tblStylePr>
    <w:tblStylePr w:type="lastRow">
      <w:rPr>
        <w:b/>
        <w:color w:val="404040"/>
      </w:rPr>
      <w:tcPr>
        <w:tcBorders>
          <w:top w:val="single" w:color="ABD78C" w:themeColor="accent4" w:themeTint="9A"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110">
    <w:name w:val="Grid Table 2 - Accent 5"/>
    <w:basedOn w:val="36"/>
    <w:qFormat/>
    <w:uiPriority w:val="99"/>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single" w:color="30C0B4" w:themeColor="accent5" w:sz="12" w:space="0"/>
          <w:right w:val="nil"/>
        </w:tcBorders>
        <w:shd w:val="clear" w:color="FFFFFF" w:fill="auto"/>
      </w:tcPr>
    </w:tblStylePr>
    <w:tblStylePr w:type="lastRow">
      <w:rPr>
        <w:b/>
        <w:color w:val="404040"/>
      </w:rPr>
      <w:tcPr>
        <w:tcBorders>
          <w:top w:val="single" w:color="30C0B4" w:themeColor="accent5"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111">
    <w:name w:val="Grid Table 2 - Accent 6"/>
    <w:basedOn w:val="36"/>
    <w:qFormat/>
    <w:uiPriority w:val="99"/>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single" w:color="E54C5E" w:themeColor="accent6" w:sz="12" w:space="0"/>
          <w:right w:val="nil"/>
        </w:tcBorders>
        <w:shd w:val="clear" w:color="FFFFFF" w:fill="auto"/>
      </w:tcPr>
    </w:tblStylePr>
    <w:tblStylePr w:type="lastRow">
      <w:rPr>
        <w:b/>
        <w:color w:val="404040"/>
      </w:rPr>
      <w:tcPr>
        <w:tcBorders>
          <w:top w:val="single" w:color="E54C5E" w:themeColor="accent6" w:sz="4" w:space="0"/>
          <w:left w:val="nil"/>
          <w:bottom w:val="nil"/>
          <w:right w:val="nil"/>
        </w:tcBorders>
        <w:shd w:val="clear" w:color="FFFFFF" w:fill="auto"/>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112">
    <w:name w:val="Grid Table 3 - Accent 1"/>
    <w:basedOn w:val="36"/>
    <w:qFormat/>
    <w:uiPriority w:val="99"/>
    <w:tblPr>
      <w:tblBorders>
        <w:bottom w:val="single" w:color="577FCF" w:themeColor="accent1" w:themeTint="EA" w:sz="4" w:space="0"/>
        <w:insideH w:val="single" w:color="577FCF" w:themeColor="accent1" w:themeTint="EA" w:sz="4" w:space="0"/>
        <w:insideV w:val="single" w:color="577FCF" w:themeColor="accent1" w:themeTint="E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9E2F4" w:themeColor="accent1" w:themeTint="34" w:fill="D9E2F4" w:themeFill="accent1" w:themeFillTint="34"/>
      </w:tcPr>
    </w:tblStylePr>
    <w:tblStylePr w:type="band1Horz">
      <w:rPr>
        <w:rFonts w:ascii="Arial" w:hAnsi="Arial"/>
        <w:color w:val="404040"/>
        <w:sz w:val="22"/>
      </w:rPr>
      <w:tcPr>
        <w:shd w:val="clear" w:color="D9E2F4" w:themeColor="accent1" w:themeTint="34" w:fill="D9E2F4" w:themeFill="accent1" w:themeFillTint="34"/>
      </w:tcPr>
    </w:tblStylePr>
  </w:style>
  <w:style w:type="table" w:customStyle="1" w:styleId="113">
    <w:name w:val="Grid Table 3 - Accent 2"/>
    <w:basedOn w:val="36"/>
    <w:qFormat/>
    <w:uiPriority w:val="99"/>
    <w:tblPr>
      <w:tblBorders>
        <w:bottom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114">
    <w:name w:val="Grid Table 3 - Accent 3"/>
    <w:basedOn w:val="36"/>
    <w:qFormat/>
    <w:uiPriority w:val="99"/>
    <w:tblPr>
      <w:tblBorders>
        <w:bottom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115">
    <w:name w:val="Grid Table 3 - Accent 4"/>
    <w:basedOn w:val="36"/>
    <w:qFormat/>
    <w:uiPriority w:val="99"/>
    <w:tblPr>
      <w:tblBorders>
        <w:bottom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116">
    <w:name w:val="Grid Table 3 - Accent 5"/>
    <w:basedOn w:val="36"/>
    <w:qFormat/>
    <w:uiPriority w:val="99"/>
    <w:tblPr>
      <w:tblBorders>
        <w:bottom w:val="single" w:color="30C0B4" w:themeColor="accent5" w:sz="4" w:space="0"/>
        <w:insideH w:val="single" w:color="30C0B4" w:themeColor="accent5" w:sz="4" w:space="0"/>
        <w:insideV w:val="single" w:color="30C0B4" w:themeColor="accent5"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117">
    <w:name w:val="Grid Table 3 - Accent 6"/>
    <w:basedOn w:val="36"/>
    <w:qFormat/>
    <w:uiPriority w:val="99"/>
    <w:tblPr>
      <w:tblBorders>
        <w:bottom w:val="single" w:color="E54C5E" w:themeColor="accent6" w:sz="4" w:space="0"/>
        <w:insideH w:val="single" w:color="E54C5E" w:themeColor="accent6" w:sz="4" w:space="0"/>
        <w:insideV w:val="single" w:color="E54C5E" w:themeColor="accent6" w:sz="4" w:space="0"/>
      </w:tblBorders>
    </w:tblPr>
    <w:tblStylePr w:type="firstRow">
      <w:rPr>
        <w:b/>
        <w:color w:val="404040"/>
      </w:rPr>
      <w:tcPr>
        <w:tcBorders>
          <w:top w:val="nil"/>
          <w:left w:val="nil"/>
          <w:bottom w:val="nil"/>
          <w:right w:val="nil"/>
        </w:tcBorders>
        <w:shd w:val="clear" w:color="FFFFFF" w:fill="auto"/>
      </w:tcPr>
    </w:tblStylePr>
    <w:tblStylePr w:type="lastRow">
      <w:rPr>
        <w:b/>
        <w:color w:val="404040"/>
      </w:rPr>
      <w:tcPr>
        <w:tcBorders>
          <w:top w:val="nil"/>
          <w:left w:val="nil"/>
          <w:bottom w:val="nil"/>
          <w:right w:val="nil"/>
        </w:tcBorders>
        <w:shd w:val="clear" w:color="FFFFFF" w:fill="auto"/>
      </w:tcPr>
    </w:tblStylePr>
    <w:tblStylePr w:type="firstCol">
      <w:pPr>
        <w:jc w:val="right"/>
      </w:pPr>
      <w:rPr>
        <w:i/>
        <w:color w:val="404040"/>
      </w:rPr>
      <w:tcPr>
        <w:tcBorders>
          <w:top w:val="nil"/>
          <w:left w:val="nil"/>
          <w:bottom w:val="nil"/>
          <w:right w:val="nil"/>
        </w:tcBorders>
        <w:shd w:val="clear" w:color="FFFFFF" w:fill="auto"/>
      </w:tcPr>
    </w:tblStylePr>
    <w:tblStylePr w:type="lastCol">
      <w:rPr>
        <w:i/>
        <w:color w:val="404040"/>
      </w:rPr>
      <w:tcPr>
        <w:tcBorders>
          <w:top w:val="nil"/>
          <w:left w:val="nil"/>
          <w:bottom w:val="nil"/>
          <w:right w:val="nil"/>
        </w:tcBorders>
        <w:shd w:val="clear" w:color="FFFFFF" w:fill="auto"/>
      </w:tc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118">
    <w:name w:val="Grid Table 4 - Accent 1"/>
    <w:basedOn w:val="36"/>
    <w:qFormat/>
    <w:uiPriority w:val="59"/>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insideV w:val="single" w:color="97B0E1" w:themeColor="accent1" w:themeTint="90" w:sz="4" w:space="0"/>
      </w:tblBorders>
    </w:tblPr>
    <w:tblStylePr w:type="firstRow">
      <w:rPr>
        <w:rFonts w:ascii="Arial" w:hAnsi="Arial"/>
        <w:b/>
        <w:color w:val="FFFFFF"/>
        <w:sz w:val="22"/>
      </w:rPr>
      <w:tcPr>
        <w:tcBorders>
          <w:top w:val="single" w:color="577FCF" w:themeColor="accent1" w:themeTint="EA" w:sz="4" w:space="0"/>
          <w:left w:val="single" w:color="577FCF" w:themeColor="accent1" w:themeTint="EA" w:sz="4" w:space="0"/>
          <w:bottom w:val="single" w:color="577FCF" w:themeColor="accent1" w:themeTint="EA" w:sz="4" w:space="0"/>
          <w:right w:val="single" w:color="577FCF" w:themeColor="accent1" w:themeTint="EA" w:sz="4" w:space="0"/>
        </w:tcBorders>
        <w:shd w:val="clear" w:color="577FCF" w:themeColor="accent1" w:themeTint="EA" w:fill="577FCF" w:themeFill="accent1" w:themeFillTint="EA"/>
      </w:tcPr>
    </w:tblStylePr>
    <w:tblStylePr w:type="lastRow">
      <w:rPr>
        <w:b/>
        <w:color w:val="404040"/>
      </w:rPr>
      <w:tcPr>
        <w:tcBorders>
          <w:top w:val="single" w:color="577FCF" w:themeColor="accent1" w:themeTint="E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BE3F4" w:themeColor="accent1" w:themeTint="32" w:fill="DBE3F4" w:themeFill="accent1" w:themeFillTint="32"/>
      </w:tcPr>
    </w:tblStylePr>
    <w:tblStylePr w:type="band1Horz">
      <w:rPr>
        <w:rFonts w:ascii="Arial" w:hAnsi="Arial"/>
        <w:color w:val="404040"/>
        <w:sz w:val="22"/>
      </w:rPr>
      <w:tcPr>
        <w:shd w:val="clear" w:color="DBE3F4" w:themeColor="accent1" w:themeTint="32" w:fill="DBE3F4" w:themeFill="accent1" w:themeFillTint="32"/>
      </w:tcPr>
    </w:tblStylePr>
  </w:style>
  <w:style w:type="table" w:customStyle="1" w:styleId="119">
    <w:name w:val="Grid Table 4 - Accent 2"/>
    <w:basedOn w:val="36"/>
    <w:qFormat/>
    <w:uiPriority w:val="59"/>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insideV w:val="single" w:color="F5B889" w:themeColor="accent2" w:themeTint="90" w:sz="4" w:space="0"/>
      </w:tblBorders>
    </w:tblPr>
    <w:tblStylePr w:type="firstRow">
      <w:rPr>
        <w:rFonts w:ascii="Arial" w:hAnsi="Arial"/>
        <w:b/>
        <w:color w:val="FFFFFF"/>
        <w:sz w:val="22"/>
      </w:rPr>
      <w:tcPr>
        <w:tc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cBorders>
        <w:shd w:val="clear" w:color="F4B483" w:themeColor="accent2" w:themeTint="97" w:fill="F4B483" w:themeFill="accent2" w:themeFillTint="97"/>
      </w:tcPr>
    </w:tblStylePr>
    <w:tblStylePr w:type="lastRow">
      <w:rPr>
        <w:b/>
        <w:color w:val="404040"/>
      </w:rPr>
      <w:tcPr>
        <w:tcBorders>
          <w:top w:val="single" w:color="F4B483" w:themeColor="accent2" w:themeTint="97"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cPr>
        <w:shd w:val="clear" w:color="FBE6D6" w:themeColor="accent2" w:themeTint="32" w:fill="FBE6D6" w:themeFill="accent2" w:themeFillTint="32"/>
      </w:tcPr>
    </w:tblStylePr>
  </w:style>
  <w:style w:type="table" w:customStyle="1" w:styleId="120">
    <w:name w:val="Grid Table 4 - Accent 3"/>
    <w:basedOn w:val="36"/>
    <w:qFormat/>
    <w:uiPriority w:val="59"/>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insideV w:val="single" w:color="FDDB6A" w:themeColor="accent3" w:themeTint="90" w:sz="4" w:space="0"/>
      </w:tblBorders>
    </w:tblPr>
    <w:tblStylePr w:type="firstRow">
      <w:rPr>
        <w:rFonts w:ascii="Arial" w:hAnsi="Arial"/>
        <w:b/>
        <w:color w:val="FFFFFF"/>
        <w:sz w:val="22"/>
      </w:rPr>
      <w:tcPr>
        <w:tc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tcBorders>
        <w:shd w:val="clear" w:color="F3BA02" w:themeColor="accent3" w:themeTint="FE" w:fill="F3BA02" w:themeFill="accent3" w:themeFillTint="FE"/>
      </w:tcPr>
    </w:tblStylePr>
    <w:tblStylePr w:type="lastRow">
      <w:rPr>
        <w:b/>
        <w:color w:val="404040"/>
      </w:rPr>
      <w:tcPr>
        <w:tcBorders>
          <w:top w:val="single" w:color="F3BA02" w:themeColor="accent3" w:themeTint="FE"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cPr>
        <w:shd w:val="clear" w:color="FEF2C9" w:themeColor="accent3" w:themeTint="34" w:fill="FEF2C9" w:themeFill="accent3" w:themeFillTint="34"/>
      </w:tcPr>
    </w:tblStylePr>
  </w:style>
  <w:style w:type="table" w:customStyle="1" w:styleId="121">
    <w:name w:val="Grid Table 4 - Accent 4"/>
    <w:basedOn w:val="36"/>
    <w:qFormat/>
    <w:uiPriority w:val="59"/>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insideV w:val="single" w:color="B1D994" w:themeColor="accent4" w:themeTint="90" w:sz="4" w:space="0"/>
      </w:tblBorders>
    </w:tblPr>
    <w:tblStylePr w:type="firstRow">
      <w:rPr>
        <w:rFonts w:ascii="Arial" w:hAnsi="Arial"/>
        <w:b/>
        <w:color w:val="FFFFFF"/>
        <w:sz w:val="22"/>
      </w:rPr>
      <w:tcPr>
        <w:tc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cBorders>
        <w:shd w:val="clear" w:color="ABD78C" w:themeColor="accent4" w:themeTint="9A" w:fill="ABD78C" w:themeFill="accent4" w:themeFillTint="9A"/>
      </w:tcPr>
    </w:tblStylePr>
    <w:tblStylePr w:type="lastRow">
      <w:rPr>
        <w:b/>
        <w:color w:val="404040"/>
      </w:rPr>
      <w:tcPr>
        <w:tcBorders>
          <w:top w:val="single" w:color="ABD78C" w:themeColor="accent4" w:themeTint="9A"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cPr>
        <w:shd w:val="clear" w:color="E2F1D8" w:themeColor="accent4" w:themeTint="34" w:fill="E2F1D8" w:themeFill="accent4" w:themeFillTint="34"/>
      </w:tcPr>
    </w:tblStylePr>
  </w:style>
  <w:style w:type="table" w:customStyle="1" w:styleId="122">
    <w:name w:val="Grid Table 4 - Accent 5"/>
    <w:basedOn w:val="36"/>
    <w:qFormat/>
    <w:uiPriority w:val="59"/>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FFFFFF"/>
        <w:sz w:val="22"/>
      </w:rPr>
      <w:tcPr>
        <w:tcBorders>
          <w:top w:val="single" w:color="30C0B4" w:themeColor="accent5" w:sz="4" w:space="0"/>
          <w:left w:val="single" w:color="30C0B4" w:themeColor="accent5" w:sz="4" w:space="0"/>
          <w:bottom w:val="single" w:color="30C0B4" w:themeColor="accent5" w:sz="4" w:space="0"/>
          <w:right w:val="single" w:color="30C0B4" w:themeColor="accent5" w:sz="4" w:space="0"/>
        </w:tcBorders>
        <w:shd w:val="clear" w:color="30C0B4" w:themeColor="accent5" w:fill="30C0B4" w:themeFill="accent5"/>
      </w:tcPr>
    </w:tblStylePr>
    <w:tblStylePr w:type="lastRow">
      <w:rPr>
        <w:b/>
        <w:color w:val="404040"/>
      </w:rPr>
      <w:tcPr>
        <w:tcBorders>
          <w:top w:val="single" w:color="30C0B4" w:themeColor="accent5"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cPr>
        <w:shd w:val="clear" w:color="D2F3F1" w:themeColor="accent5" w:themeTint="34" w:fill="D2F3F1" w:themeFill="accent5" w:themeFillTint="34"/>
      </w:tcPr>
    </w:tblStylePr>
  </w:style>
  <w:style w:type="table" w:customStyle="1" w:styleId="123">
    <w:name w:val="Grid Table 4 - Accent 6"/>
    <w:basedOn w:val="36"/>
    <w:qFormat/>
    <w:uiPriority w:val="59"/>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FFFFFF"/>
        <w:sz w:val="22"/>
      </w:rPr>
      <w:tcPr>
        <w:tcBorders>
          <w:top w:val="single" w:color="E54C5E" w:themeColor="accent6" w:sz="4" w:space="0"/>
          <w:left w:val="single" w:color="E54C5E" w:themeColor="accent6" w:sz="4" w:space="0"/>
          <w:bottom w:val="single" w:color="E54C5E" w:themeColor="accent6" w:sz="4" w:space="0"/>
          <w:right w:val="single" w:color="E54C5E" w:themeColor="accent6" w:sz="4" w:space="0"/>
        </w:tcBorders>
        <w:shd w:val="clear" w:color="E54C5E" w:themeColor="accent6" w:fill="E54C5E" w:themeFill="accent6"/>
      </w:tcPr>
    </w:tblStylePr>
    <w:tblStylePr w:type="lastRow">
      <w:rPr>
        <w:b/>
        <w:color w:val="404040"/>
      </w:rPr>
      <w:tcPr>
        <w:tcBorders>
          <w:top w:val="single" w:color="E54C5E" w:themeColor="accent6" w:sz="4" w:space="0"/>
        </w:tcBorders>
      </w:tcPr>
    </w:tblStylePr>
    <w:tblStylePr w:type="firstCol">
      <w:rPr>
        <w:b/>
        <w:color w:val="404040"/>
      </w:rPr>
    </w:tblStylePr>
    <w:tblStylePr w:type="lastCol">
      <w:rPr>
        <w:b/>
        <w:color w:val="404040"/>
      </w:rPr>
    </w:tblStylePr>
    <w:tblStylePr w:type="band1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cPr>
        <w:shd w:val="clear" w:color="F9DADE" w:themeColor="accent6" w:themeTint="34" w:fill="F9DADE" w:themeFill="accent6" w:themeFillTint="34"/>
      </w:tcPr>
    </w:tblStylePr>
  </w:style>
  <w:style w:type="table" w:customStyle="1" w:styleId="124">
    <w:name w:val="Grid Table 5 Dark- Accent 1"/>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4874CB" w:themeColor="accent1" w:fill="4874CB" w:themeFill="accent1"/>
      </w:tcPr>
    </w:tblStylePr>
    <w:tblStylePr w:type="lastRow">
      <w:rPr>
        <w:rFonts w:ascii="Arial" w:hAnsi="Arial"/>
        <w:b/>
        <w:color w:val="FFFFFF"/>
        <w:sz w:val="22"/>
      </w:rPr>
      <w:tcPr>
        <w:tcBorders>
          <w:top w:val="single" w:color="FFFFFF" w:themeColor="light1" w:sz="4" w:space="0"/>
        </w:tcBorders>
        <w:shd w:val="clear" w:color="4874CB" w:themeColor="accent1" w:fill="4874CB" w:themeFill="accent1"/>
      </w:tcPr>
    </w:tblStylePr>
    <w:tblStylePr w:type="firstCol">
      <w:rPr>
        <w:rFonts w:ascii="Arial" w:hAnsi="Arial"/>
        <w:b/>
        <w:color w:val="FFFFFF"/>
        <w:sz w:val="22"/>
      </w:rPr>
      <w:tcPr>
        <w:shd w:val="clear" w:color="4874CB" w:themeColor="accent1" w:fill="4874CB" w:themeFill="accent1"/>
      </w:tcPr>
    </w:tblStylePr>
    <w:tblStylePr w:type="lastCol">
      <w:rPr>
        <w:rFonts w:ascii="Arial" w:hAnsi="Arial"/>
        <w:b/>
        <w:color w:val="FFFFFF"/>
        <w:sz w:val="22"/>
      </w:rPr>
      <w:tcPr>
        <w:shd w:val="clear" w:color="4874CB" w:themeColor="accent1" w:fill="4874CB" w:themeFill="accent1"/>
      </w:tcPr>
    </w:tblStylePr>
    <w:tblStylePr w:type="band1Vert">
      <w:tcPr>
        <w:shd w:val="clear" w:color="ABBFE7" w:themeColor="accent1" w:themeTint="75" w:fill="ABBFE7" w:themeFill="accent1" w:themeFillTint="75"/>
      </w:tcPr>
    </w:tblStylePr>
    <w:tblStylePr w:type="band1Horz">
      <w:tcPr>
        <w:shd w:val="clear" w:color="ABBFE7" w:themeColor="accent1" w:themeTint="75" w:fill="ABBFE7" w:themeFill="accent1" w:themeFillTint="75"/>
      </w:tcPr>
    </w:tblStylePr>
  </w:style>
  <w:style w:type="table" w:customStyle="1" w:styleId="125">
    <w:name w:val="Grid Table 5 Dark - Accent 2"/>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E822F" w:themeColor="accent2" w:fill="EE822F" w:themeFill="accent2"/>
      </w:tcPr>
    </w:tblStylePr>
    <w:tblStylePr w:type="lastRow">
      <w:rPr>
        <w:rFonts w:ascii="Arial" w:hAnsi="Arial"/>
        <w:b/>
        <w:color w:val="FFFFFF"/>
        <w:sz w:val="22"/>
      </w:rPr>
      <w:tcPr>
        <w:tcBorders>
          <w:top w:val="single" w:color="FFFFFF" w:themeColor="light1" w:sz="4" w:space="0"/>
        </w:tcBorders>
        <w:shd w:val="clear" w:color="EE822F" w:themeColor="accent2" w:fill="EE822F" w:themeFill="accent2"/>
      </w:tcPr>
    </w:tblStylePr>
    <w:tblStylePr w:type="firstCol">
      <w:rPr>
        <w:rFonts w:ascii="Arial" w:hAnsi="Arial"/>
        <w:b/>
        <w:color w:val="FFFFFF"/>
        <w:sz w:val="22"/>
      </w:rPr>
      <w:tcPr>
        <w:shd w:val="clear" w:color="EE822F" w:themeColor="accent2" w:fill="EE822F" w:themeFill="accent2"/>
      </w:tcPr>
    </w:tblStylePr>
    <w:tblStylePr w:type="lastCol">
      <w:rPr>
        <w:rFonts w:ascii="Arial" w:hAnsi="Arial"/>
        <w:b/>
        <w:color w:val="FFFFFF"/>
        <w:sz w:val="22"/>
      </w:rPr>
      <w:tcPr>
        <w:shd w:val="clear" w:color="EE822F" w:themeColor="accent2" w:fill="EE822F" w:themeFill="accent2"/>
      </w:tcPr>
    </w:tblStylePr>
    <w:tblStylePr w:type="band1Vert">
      <w:tcPr>
        <w:shd w:val="clear" w:color="F7C59F" w:themeColor="accent2" w:themeTint="75" w:fill="F7C59F" w:themeFill="accent2" w:themeFillTint="75"/>
      </w:tcPr>
    </w:tblStylePr>
    <w:tblStylePr w:type="band1Horz">
      <w:tcPr>
        <w:shd w:val="clear" w:color="F7C59F" w:themeColor="accent2" w:themeTint="75" w:fill="F7C59F" w:themeFill="accent2" w:themeFillTint="75"/>
      </w:tcPr>
    </w:tblStylePr>
  </w:style>
  <w:style w:type="table" w:customStyle="1" w:styleId="126">
    <w:name w:val="Grid Table 5 Dark - Accent 3"/>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F2BA02" w:themeColor="accent3" w:fill="F2BA02" w:themeFill="accent3"/>
      </w:tcPr>
    </w:tblStylePr>
    <w:tblStylePr w:type="lastRow">
      <w:rPr>
        <w:rFonts w:ascii="Arial" w:hAnsi="Arial"/>
        <w:b/>
        <w:color w:val="FFFFFF"/>
        <w:sz w:val="22"/>
      </w:rPr>
      <w:tcPr>
        <w:tcBorders>
          <w:top w:val="single" w:color="FFFFFF" w:themeColor="light1" w:sz="4" w:space="0"/>
        </w:tcBorders>
        <w:shd w:val="clear" w:color="F2BA02" w:themeColor="accent3" w:fill="F2BA02" w:themeFill="accent3"/>
      </w:tcPr>
    </w:tblStylePr>
    <w:tblStylePr w:type="firstCol">
      <w:rPr>
        <w:rFonts w:ascii="Arial" w:hAnsi="Arial"/>
        <w:b/>
        <w:color w:val="FFFFFF"/>
        <w:sz w:val="22"/>
      </w:rPr>
      <w:tcPr>
        <w:shd w:val="clear" w:color="F2BA02" w:themeColor="accent3" w:fill="F2BA02" w:themeFill="accent3"/>
      </w:tcPr>
    </w:tblStylePr>
    <w:tblStylePr w:type="lastCol">
      <w:rPr>
        <w:rFonts w:ascii="Arial" w:hAnsi="Arial"/>
        <w:b/>
        <w:color w:val="FFFFFF"/>
        <w:sz w:val="22"/>
      </w:rPr>
      <w:tcPr>
        <w:shd w:val="clear" w:color="F2BA02" w:themeColor="accent3" w:fill="F2BA02" w:themeFill="accent3"/>
      </w:tcPr>
    </w:tblStylePr>
    <w:tblStylePr w:type="band1Vert">
      <w:tcPr>
        <w:shd w:val="clear" w:color="FDE185" w:themeColor="accent3" w:themeTint="75" w:fill="FDE185" w:themeFill="accent3" w:themeFillTint="75"/>
      </w:tcPr>
    </w:tblStylePr>
    <w:tblStylePr w:type="band1Horz">
      <w:tcPr>
        <w:shd w:val="clear" w:color="FDE185" w:themeColor="accent3" w:themeTint="75" w:fill="FDE185" w:themeFill="accent3" w:themeFillTint="75"/>
      </w:tcPr>
    </w:tblStylePr>
  </w:style>
  <w:style w:type="table" w:customStyle="1" w:styleId="127">
    <w:name w:val="Grid Table 5 Dark- Accent 4"/>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75BD42" w:themeColor="accent4" w:fill="75BD42" w:themeFill="accent4"/>
      </w:tcPr>
    </w:tblStylePr>
    <w:tblStylePr w:type="lastRow">
      <w:rPr>
        <w:rFonts w:ascii="Arial" w:hAnsi="Arial"/>
        <w:b/>
        <w:color w:val="FFFFFF"/>
        <w:sz w:val="22"/>
      </w:rPr>
      <w:tcPr>
        <w:tcBorders>
          <w:top w:val="single" w:color="FFFFFF" w:themeColor="light1" w:sz="4" w:space="0"/>
        </w:tcBorders>
        <w:shd w:val="clear" w:color="75BD42" w:themeColor="accent4" w:fill="75BD42" w:themeFill="accent4"/>
      </w:tcPr>
    </w:tblStylePr>
    <w:tblStylePr w:type="firstCol">
      <w:rPr>
        <w:rFonts w:ascii="Arial" w:hAnsi="Arial"/>
        <w:b/>
        <w:color w:val="FFFFFF"/>
        <w:sz w:val="22"/>
      </w:rPr>
      <w:tcPr>
        <w:shd w:val="clear" w:color="75BD42" w:themeColor="accent4" w:fill="75BD42" w:themeFill="accent4"/>
      </w:tcPr>
    </w:tblStylePr>
    <w:tblStylePr w:type="lastCol">
      <w:rPr>
        <w:rFonts w:ascii="Arial" w:hAnsi="Arial"/>
        <w:b/>
        <w:color w:val="FFFFFF"/>
        <w:sz w:val="22"/>
      </w:rPr>
      <w:tcPr>
        <w:shd w:val="clear" w:color="75BD42" w:themeColor="accent4" w:fill="75BD42" w:themeFill="accent4"/>
      </w:tcPr>
    </w:tblStylePr>
    <w:tblStylePr w:type="band1Vert">
      <w:tcPr>
        <w:shd w:val="clear" w:color="BFE0A8" w:themeColor="accent4" w:themeTint="75" w:fill="BFE0A8" w:themeFill="accent4" w:themeFillTint="75"/>
      </w:tcPr>
    </w:tblStylePr>
    <w:tblStylePr w:type="band1Horz">
      <w:tcPr>
        <w:shd w:val="clear" w:color="BFE0A8" w:themeColor="accent4" w:themeTint="75" w:fill="BFE0A8" w:themeFill="accent4" w:themeFillTint="75"/>
      </w:tcPr>
    </w:tblStylePr>
  </w:style>
  <w:style w:type="table" w:customStyle="1" w:styleId="128">
    <w:name w:val="Grid Table 5 Dark - Accent 5"/>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30C0B4" w:themeColor="accent5" w:fill="30C0B4" w:themeFill="accent5"/>
      </w:tcPr>
    </w:tblStylePr>
    <w:tblStylePr w:type="lastRow">
      <w:rPr>
        <w:rFonts w:ascii="Arial" w:hAnsi="Arial"/>
        <w:b/>
        <w:color w:val="FFFFFF"/>
        <w:sz w:val="22"/>
      </w:rPr>
      <w:tcPr>
        <w:tcBorders>
          <w:top w:val="single" w:color="FFFFFF" w:themeColor="light1" w:sz="4" w:space="0"/>
        </w:tcBorders>
        <w:shd w:val="clear" w:color="30C0B4" w:themeColor="accent5" w:fill="30C0B4" w:themeFill="accent5"/>
      </w:tcPr>
    </w:tblStylePr>
    <w:tblStylePr w:type="firstCol">
      <w:rPr>
        <w:rFonts w:ascii="Arial" w:hAnsi="Arial"/>
        <w:b/>
        <w:color w:val="FFFFFF"/>
        <w:sz w:val="22"/>
      </w:rPr>
      <w:tcPr>
        <w:shd w:val="clear" w:color="30C0B4" w:themeColor="accent5" w:fill="30C0B4" w:themeFill="accent5"/>
      </w:tcPr>
    </w:tblStylePr>
    <w:tblStylePr w:type="lastCol">
      <w:rPr>
        <w:rFonts w:ascii="Arial" w:hAnsi="Arial"/>
        <w:b/>
        <w:color w:val="FFFFFF"/>
        <w:sz w:val="22"/>
      </w:rPr>
      <w:tcPr>
        <w:shd w:val="clear" w:color="30C0B4" w:themeColor="accent5" w:fill="30C0B4" w:themeFill="accent5"/>
      </w:tcPr>
    </w:tblStylePr>
    <w:tblStylePr w:type="band1Vert">
      <w:tcPr>
        <w:shd w:val="clear" w:color="9BE6E0" w:themeColor="accent5" w:themeTint="75" w:fill="9BE6E0" w:themeFill="accent5" w:themeFillTint="75"/>
      </w:tcPr>
    </w:tblStylePr>
    <w:tblStylePr w:type="band1Horz">
      <w:tcPr>
        <w:shd w:val="clear" w:color="9BE6E0" w:themeColor="accent5" w:themeTint="75" w:fill="9BE6E0" w:themeFill="accent5" w:themeFillTint="75"/>
      </w:tcPr>
    </w:tblStylePr>
  </w:style>
  <w:style w:type="table" w:customStyle="1" w:styleId="129">
    <w:name w:val="Grid Table 5 Dark - Accent 6"/>
    <w:basedOn w:val="36"/>
    <w:qFormat/>
    <w:uiPriority w:val="99"/>
    <w:tblPr>
      <w:tblBorders>
        <w:top w:val="single" w:color="FFFFFF" w:themeColor="light1" w:sz="4" w:space="0"/>
        <w:left w:val="single" w:color="FFFFFF" w:themeColor="light1" w:sz="4" w:space="0"/>
        <w:bottom w:val="single" w:color="FFFFFF" w:themeColor="light1" w:sz="4" w:space="0"/>
        <w:right w:val="single" w:color="FFFFFF" w:themeColor="light1" w:sz="4" w:space="0"/>
        <w:insideH w:val="single" w:color="FFFFFF" w:themeColor="light1" w:sz="4" w:space="0"/>
        <w:insideV w:val="single" w:color="FFFFFF" w:themeColor="light1" w:sz="4" w:space="0"/>
      </w:tblBorders>
    </w:tblPr>
    <w:tblStylePr w:type="firstRow">
      <w:rPr>
        <w:rFonts w:ascii="Arial" w:hAnsi="Arial"/>
        <w:b/>
        <w:color w:val="FFFFFF"/>
        <w:sz w:val="22"/>
      </w:rPr>
      <w:tcPr>
        <w:shd w:val="clear" w:color="E54C5E" w:themeColor="accent6" w:fill="E54C5E" w:themeFill="accent6"/>
      </w:tcPr>
    </w:tblStylePr>
    <w:tblStylePr w:type="lastRow">
      <w:rPr>
        <w:rFonts w:ascii="Arial" w:hAnsi="Arial"/>
        <w:b/>
        <w:color w:val="FFFFFF"/>
        <w:sz w:val="22"/>
      </w:rPr>
      <w:tcPr>
        <w:tcBorders>
          <w:top w:val="single" w:color="FFFFFF" w:themeColor="light1" w:sz="4" w:space="0"/>
        </w:tcBorders>
        <w:shd w:val="clear" w:color="E54C5E" w:themeColor="accent6" w:fill="E54C5E" w:themeFill="accent6"/>
      </w:tcPr>
    </w:tblStylePr>
    <w:tblStylePr w:type="firstCol">
      <w:rPr>
        <w:rFonts w:ascii="Arial" w:hAnsi="Arial"/>
        <w:b/>
        <w:color w:val="FFFFFF"/>
        <w:sz w:val="22"/>
      </w:rPr>
      <w:tcPr>
        <w:shd w:val="clear" w:color="E54C5E" w:themeColor="accent6" w:fill="E54C5E" w:themeFill="accent6"/>
      </w:tcPr>
    </w:tblStylePr>
    <w:tblStylePr w:type="lastCol">
      <w:rPr>
        <w:rFonts w:ascii="Arial" w:hAnsi="Arial"/>
        <w:b/>
        <w:color w:val="FFFFFF"/>
        <w:sz w:val="22"/>
      </w:rPr>
      <w:tcPr>
        <w:shd w:val="clear" w:color="E54C5E" w:themeColor="accent6" w:fill="E54C5E" w:themeFill="accent6"/>
      </w:tcPr>
    </w:tblStylePr>
    <w:tblStylePr w:type="band1Vert">
      <w:tcPr>
        <w:shd w:val="clear" w:color="F3ACB5" w:themeColor="accent6" w:themeTint="75" w:fill="F3ACB5" w:themeFill="accent6" w:themeFillTint="75"/>
      </w:tcPr>
    </w:tblStylePr>
    <w:tblStylePr w:type="band1Horz">
      <w:tcPr>
        <w:shd w:val="clear" w:color="F3ACB5" w:themeColor="accent6" w:themeTint="75" w:fill="F3ACB5" w:themeFill="accent6" w:themeFillTint="75"/>
      </w:tcPr>
    </w:tblStylePr>
  </w:style>
  <w:style w:type="table" w:customStyle="1" w:styleId="130">
    <w:name w:val="Grid Table 6 Colorful - Accent 1"/>
    <w:basedOn w:val="36"/>
    <w:qFormat/>
    <w:uiPriority w:val="99"/>
    <w:tblPr>
      <w:tblBorders>
        <w:top w:val="single" w:color="A3B9E4" w:themeColor="accent1" w:themeTint="80" w:sz="4" w:space="0"/>
        <w:left w:val="single" w:color="A3B9E4" w:themeColor="accent1" w:themeTint="80" w:sz="4" w:space="0"/>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b/>
        <w:color w:val="A4BAE5" w:themeColor="accent1" w:themeTint="80"/>
        <w14:textFill>
          <w14:solidFill>
            <w14:schemeClr w14:val="accent1">
              <w14:lumMod w14:val="50000"/>
              <w14:lumOff w14:val="50000"/>
            </w14:schemeClr>
          </w14:solidFill>
        </w14:textFill>
      </w:rPr>
      <w:tcPr>
        <w:tcBorders>
          <w:bottom w:val="single" w:color="A3B9E4" w:themeColor="accent1" w:themeTint="80" w:sz="12" w:space="0"/>
        </w:tcBorders>
      </w:tcPr>
    </w:tblStylePr>
    <w:tblStylePr w:type="lastRow">
      <w:rPr>
        <w:b/>
        <w:color w:val="A4BAE5" w:themeColor="accent1" w:themeTint="80"/>
        <w14:textFill>
          <w14:solidFill>
            <w14:schemeClr w14:val="accent1">
              <w14:lumMod w14:val="50000"/>
              <w14:lumOff w14:val="50000"/>
            </w14:schemeClr>
          </w14:solidFill>
        </w14:textFill>
      </w:rPr>
    </w:tblStylePr>
    <w:tblStylePr w:type="firstCol">
      <w:rPr>
        <w:b/>
        <w:color w:val="A4BAE5" w:themeColor="accent1" w:themeTint="80"/>
        <w14:textFill>
          <w14:solidFill>
            <w14:schemeClr w14:val="accent1">
              <w14:lumMod w14:val="50000"/>
              <w14:lumOff w14:val="50000"/>
            </w14:schemeClr>
          </w14:solidFill>
        </w14:textFill>
      </w:rPr>
    </w:tblStylePr>
    <w:tblStylePr w:type="lastCol">
      <w:rPr>
        <w:b/>
        <w:color w:val="A4BAE5" w:themeColor="accent1" w:themeTint="80"/>
        <w14:textFill>
          <w14:solidFill>
            <w14:schemeClr w14:val="accent1">
              <w14:lumMod w14:val="50000"/>
              <w14:lumOff w14:val="50000"/>
            </w14:schemeClr>
          </w14:solidFill>
        </w14:textFill>
      </w:r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31">
    <w:name w:val="Grid Table 6 Colorful - Accent 2"/>
    <w:basedOn w:val="36"/>
    <w:qFormat/>
    <w:uiPriority w:val="99"/>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12" w:space="0"/>
        </w:tcBorders>
      </w:tcPr>
    </w:tblStylePr>
    <w:tblStylePr w:type="lastRow">
      <w:rPr>
        <w:b/>
        <w:color w:val="F5B584" w:themeColor="accent2" w:themeTint="96"/>
        <w14:textFill>
          <w14:solidFill>
            <w14:schemeClr w14:val="accent2">
              <w14:lumMod w14:val="59000"/>
              <w14:lumOff w14:val="41000"/>
            </w14:schemeClr>
          </w14:solidFill>
        </w14:textFill>
      </w:r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32">
    <w:name w:val="Grid Table 6 Colorful - Accent 3"/>
    <w:basedOn w:val="36"/>
    <w:qFormat/>
    <w:uiPriority w:val="99"/>
    <w:tblPr>
      <w:tblBorders>
        <w:top w:val="single" w:color="F3BA02" w:themeColor="accent3" w:themeTint="FE" w:sz="4" w:space="0"/>
        <w:left w:val="single" w:color="F3BA02" w:themeColor="accent3" w:themeTint="FE" w:sz="4" w:space="0"/>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b/>
        <w:color w:val="F2BA02" w:themeColor="accent3"/>
        <w14:textFill>
          <w14:solidFill>
            <w14:schemeClr w14:val="accent3"/>
          </w14:solidFill>
        </w14:textFill>
      </w:rPr>
      <w:tcPr>
        <w:tcBorders>
          <w:bottom w:val="single" w:color="F3BA02" w:themeColor="accent3" w:themeTint="FE" w:sz="12" w:space="0"/>
        </w:tcBorders>
      </w:tcPr>
    </w:tblStylePr>
    <w:tblStylePr w:type="lastRow">
      <w:rPr>
        <w:b/>
        <w:color w:val="F2BA02" w:themeColor="accent3"/>
        <w14:textFill>
          <w14:solidFill>
            <w14:schemeClr w14:val="accent3"/>
          </w14:solidFill>
        </w14:textFill>
      </w:rPr>
    </w:tblStylePr>
    <w:tblStylePr w:type="firstCol">
      <w:rPr>
        <w:b/>
        <w:color w:val="F2BA02" w:themeColor="accent3"/>
        <w14:textFill>
          <w14:solidFill>
            <w14:schemeClr w14:val="accent3"/>
          </w14:solidFill>
        </w14:textFill>
      </w:rPr>
    </w:tblStylePr>
    <w:tblStylePr w:type="lastCol">
      <w:rPr>
        <w:b/>
        <w:color w:val="F2BA02" w:themeColor="accent3"/>
        <w14:textFill>
          <w14:solidFill>
            <w14:schemeClr w14:val="accent3"/>
          </w14:solidFill>
        </w14:textFill>
      </w:rPr>
    </w:tblStylePr>
    <w:tblStylePr w:type="band1Vert">
      <w:tcPr>
        <w:shd w:val="clear" w:color="FEF2C9" w:themeColor="accent3" w:themeTint="34" w:fill="FEF2C9" w:themeFill="accent3" w:themeFillTint="34"/>
      </w:tcPr>
    </w:tblStylePr>
    <w:tblStylePr w:type="band1Horz">
      <w:rPr>
        <w:rFonts w:ascii="Arial" w:hAnsi="Arial"/>
        <w:color w:val="F2BA02" w:themeColor="accent3"/>
        <w:sz w:val="22"/>
        <w14:textFill>
          <w14:solidFill>
            <w14:schemeClr w14:val="accent3"/>
          </w14:solidFill>
        </w14:textFill>
      </w:rPr>
      <w:tcPr>
        <w:shd w:val="clear" w:color="FEF2C9" w:themeColor="accent3" w:themeTint="34" w:fill="FEF2C9" w:themeFill="accent3" w:themeFillTint="34"/>
      </w:tcPr>
    </w:tblStylePr>
    <w:tblStylePr w:type="band2Horz">
      <w:rPr>
        <w:rFonts w:ascii="Arial" w:hAnsi="Arial"/>
        <w:color w:val="F2BA02" w:themeColor="accent3"/>
        <w:sz w:val="22"/>
        <w14:textFill>
          <w14:solidFill>
            <w14:schemeClr w14:val="accent3"/>
          </w14:solidFill>
        </w14:textFill>
      </w:rPr>
    </w:tblStylePr>
  </w:style>
  <w:style w:type="table" w:customStyle="1" w:styleId="133">
    <w:name w:val="Grid Table 6 Colorful - Accent 4"/>
    <w:basedOn w:val="36"/>
    <w:qFormat/>
    <w:uiPriority w:val="99"/>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12" w:space="0"/>
        </w:tcBorders>
      </w:tcPr>
    </w:tblStylePr>
    <w:tblStylePr w:type="lastRow">
      <w:rPr>
        <w:b/>
        <w:color w:val="ACD78E" w:themeColor="accent4" w:themeTint="99"/>
        <w14:textFill>
          <w14:solidFill>
            <w14:schemeClr w14:val="accent4">
              <w14:lumMod w14:val="60000"/>
              <w14:lumOff w14:val="40000"/>
            </w14:schemeClr>
          </w14:solidFill>
        </w14:textFill>
      </w:r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34">
    <w:name w:val="Grid Table 6 Colorful - Accent 5"/>
    <w:basedOn w:val="36"/>
    <w:qFormat/>
    <w:uiPriority w:val="99"/>
    <w:tblPr>
      <w:tblBorders>
        <w:top w:val="single" w:color="30C0B4" w:themeColor="accent5" w:sz="4" w:space="0"/>
        <w:left w:val="single" w:color="30C0B4" w:themeColor="accent5" w:sz="4" w:space="0"/>
        <w:bottom w:val="single" w:color="30C0B4" w:themeColor="accent5" w:sz="4" w:space="0"/>
        <w:right w:val="single" w:color="30C0B4" w:themeColor="accent5" w:sz="4" w:space="0"/>
        <w:insideH w:val="single" w:color="30C0B4" w:themeColor="accent5" w:sz="4" w:space="0"/>
        <w:insideV w:val="single" w:color="30C0B4" w:themeColor="accent5" w:sz="4" w:space="0"/>
      </w:tblBorders>
    </w:tblPr>
    <w:tblStylePr w:type="firstRow">
      <w:rPr>
        <w:b/>
        <w:color w:val="1C6F68" w:themeColor="accent5" w:themeShade="94"/>
      </w:rPr>
      <w:tcPr>
        <w:tcBorders>
          <w:bottom w:val="single" w:color="30C0B4" w:themeColor="accent5"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35">
    <w:name w:val="Grid Table 6 Colorful - Accent 6"/>
    <w:basedOn w:val="36"/>
    <w:qFormat/>
    <w:uiPriority w:val="99"/>
    <w:tblPr>
      <w:tblBorders>
        <w:top w:val="single" w:color="E54C5E" w:themeColor="accent6" w:sz="4" w:space="0"/>
        <w:left w:val="single" w:color="E54C5E" w:themeColor="accent6" w:sz="4" w:space="0"/>
        <w:bottom w:val="single" w:color="E54C5E" w:themeColor="accent6" w:sz="4" w:space="0"/>
        <w:right w:val="single" w:color="E54C5E" w:themeColor="accent6" w:sz="4" w:space="0"/>
        <w:insideH w:val="single" w:color="E54C5E" w:themeColor="accent6" w:sz="4" w:space="0"/>
        <w:insideV w:val="single" w:color="E54C5E" w:themeColor="accent6" w:sz="4" w:space="0"/>
      </w:tblBorders>
    </w:tblPr>
    <w:tblStylePr w:type="firstRow">
      <w:rPr>
        <w:b/>
        <w:color w:val="1C6F68" w:themeColor="accent5" w:themeShade="94"/>
      </w:rPr>
      <w:tcPr>
        <w:tcBorders>
          <w:bottom w:val="single" w:color="E54C5E" w:themeColor="accent6" w:sz="12" w:space="0"/>
        </w:tcBorders>
      </w:tcPr>
    </w:tblStylePr>
    <w:tblStylePr w:type="lastRow">
      <w:rPr>
        <w:b/>
        <w:color w:val="1C6F68" w:themeColor="accent5" w:themeShade="94"/>
      </w:rPr>
    </w:tblStylePr>
    <w:tblStylePr w:type="firstCol">
      <w:rPr>
        <w:b/>
        <w:color w:val="1C6F68" w:themeColor="accent5" w:themeShade="94"/>
      </w:rPr>
    </w:tblStylePr>
    <w:tblStylePr w:type="lastCol">
      <w:rPr>
        <w:b/>
        <w:color w:val="1C6F68" w:themeColor="accent5" w:themeShade="94"/>
      </w:rPr>
    </w:tblStylePr>
    <w:tblStylePr w:type="band1Vert">
      <w:tcPr>
        <w:shd w:val="clear" w:color="F9DADE" w:themeColor="accent6" w:themeTint="34" w:fill="F9DADE" w:themeFill="accent6" w:themeFillTint="34"/>
      </w:tcPr>
    </w:tblStylePr>
    <w:tblStylePr w:type="band1Horz">
      <w:rPr>
        <w:rFonts w:ascii="Arial" w:hAnsi="Arial"/>
        <w:color w:val="1C6F68" w:themeColor="accent5" w:themeShade="94"/>
        <w:sz w:val="22"/>
      </w:rPr>
      <w:tcPr>
        <w:shd w:val="clear" w:color="F9DADE" w:themeColor="accent6" w:themeTint="34" w:fill="F9DADE" w:themeFill="accent6" w:themeFillTint="34"/>
      </w:tcPr>
    </w:tblStylePr>
    <w:tblStylePr w:type="band2Horz">
      <w:rPr>
        <w:rFonts w:ascii="Arial" w:hAnsi="Arial"/>
        <w:color w:val="1C6F68" w:themeColor="accent5" w:themeShade="94"/>
        <w:sz w:val="22"/>
      </w:rPr>
    </w:tblStylePr>
  </w:style>
  <w:style w:type="table" w:customStyle="1" w:styleId="136">
    <w:name w:val="Grid Table 7 Colorful - Accent 1"/>
    <w:basedOn w:val="36"/>
    <w:qFormat/>
    <w:uiPriority w:val="99"/>
    <w:tblPr>
      <w:tblBorders>
        <w:bottom w:val="single" w:color="A3B9E4" w:themeColor="accent1" w:themeTint="80" w:sz="4" w:space="0"/>
        <w:right w:val="single" w:color="A3B9E4" w:themeColor="accent1" w:themeTint="80" w:sz="4" w:space="0"/>
        <w:insideH w:val="single" w:color="A3B9E4" w:themeColor="accent1" w:themeTint="80" w:sz="4" w:space="0"/>
        <w:insideV w:val="single" w:color="A3B9E4" w:themeColor="accent1" w:themeTint="80" w:sz="4" w:space="0"/>
      </w:tblBorders>
    </w:tblPr>
    <w:tblStylePr w:type="firstRow">
      <w:rPr>
        <w:rFonts w:ascii="Arial" w:hAnsi="Arial"/>
        <w:b/>
        <w:color w:val="A4BAE5" w:themeColor="accent1" w:themeTint="80"/>
        <w:sz w:val="22"/>
        <w14:textFill>
          <w14:solidFill>
            <w14:schemeClr w14:val="accent1">
              <w14:lumMod w14:val="50000"/>
              <w14:lumOff w14:val="50000"/>
            </w14:schemeClr>
          </w14:solidFill>
        </w14:textFill>
      </w:rPr>
      <w:tcPr>
        <w:tcBorders>
          <w:top w:val="nil"/>
          <w:left w:val="nil"/>
          <w:bottom w:val="single" w:color="A3B9E4" w:themeColor="accent1" w:themeTint="80" w:sz="4" w:space="0"/>
          <w:right w:val="nil"/>
        </w:tcBorders>
        <w:shd w:val="clear" w:color="FFFFFF" w:themeColor="light1" w:fill="FFFFFF" w:themeFill="light1"/>
      </w:tcPr>
    </w:tblStylePr>
    <w:tblStylePr w:type="lastRow">
      <w:rPr>
        <w:rFonts w:ascii="Arial" w:hAnsi="Arial"/>
        <w:b/>
        <w:color w:val="A4BAE5" w:themeColor="accent1" w:themeTint="80"/>
        <w:sz w:val="22"/>
        <w14:textFill>
          <w14:solidFill>
            <w14:schemeClr w14:val="accent1">
              <w14:lumMod w14:val="50000"/>
              <w14:lumOff w14:val="50000"/>
            </w14:schemeClr>
          </w14:solidFill>
        </w14:textFill>
      </w:rPr>
      <w:tcPr>
        <w:tcBorders>
          <w:top w:val="single" w:color="A3B9E4" w:themeColor="accent1" w:themeTint="80" w:sz="4" w:space="0"/>
          <w:left w:val="nil"/>
          <w:bottom w:val="nil"/>
          <w:right w:val="nil"/>
        </w:tcBorders>
        <w:shd w:val="clear" w:color="FFFFFF" w:themeColor="light1" w:fill="FFFFFF" w:themeFill="light1"/>
      </w:tcPr>
    </w:tblStylePr>
    <w:tblStylePr w:type="firstCol">
      <w:pPr>
        <w:jc w:val="right"/>
      </w:pPr>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nil"/>
          <w:bottom w:val="nil"/>
          <w:right w:val="single" w:color="A3B9E4" w:themeColor="accent1" w:themeTint="80" w:sz="4" w:space="0"/>
        </w:tcBorders>
        <w:shd w:val="clear" w:color="FFFFFF" w:fill="auto"/>
      </w:tcPr>
    </w:tblStylePr>
    <w:tblStylePr w:type="lastCol">
      <w:rPr>
        <w:rFonts w:ascii="Arial" w:hAnsi="Arial"/>
        <w:i/>
        <w:color w:val="A4BAE5" w:themeColor="accent1" w:themeTint="80"/>
        <w:sz w:val="22"/>
        <w14:textFill>
          <w14:solidFill>
            <w14:schemeClr w14:val="accent1">
              <w14:lumMod w14:val="50000"/>
              <w14:lumOff w14:val="50000"/>
            </w14:schemeClr>
          </w14:solidFill>
        </w14:textFill>
      </w:rPr>
      <w:tcPr>
        <w:tcBorders>
          <w:top w:val="nil"/>
          <w:left w:val="single" w:color="A3B9E4" w:themeColor="accent1" w:themeTint="80" w:sz="4" w:space="0"/>
          <w:bottom w:val="nil"/>
          <w:right w:val="nil"/>
        </w:tcBorders>
        <w:shd w:val="clear" w:color="FFFFFF" w:fill="auto"/>
      </w:tcPr>
    </w:tblStylePr>
    <w:tblStylePr w:type="band1Vert">
      <w:tcPr>
        <w:shd w:val="clear" w:color="D9E2F4" w:themeColor="accent1" w:themeTint="34" w:fill="D9E2F4" w:themeFill="accent1" w:themeFillTint="34"/>
      </w:tcPr>
    </w:tblStylePr>
    <w:tblStylePr w:type="band1Horz">
      <w:rPr>
        <w:rFonts w:ascii="Arial" w:hAnsi="Arial"/>
        <w:color w:val="A4BAE5" w:themeColor="accent1" w:themeTint="80"/>
        <w:sz w:val="22"/>
        <w14:textFill>
          <w14:solidFill>
            <w14:schemeClr w14:val="accent1">
              <w14:lumMod w14:val="50000"/>
              <w14:lumOff w14:val="50000"/>
            </w14:schemeClr>
          </w14:solidFill>
        </w14:textFill>
      </w:rPr>
      <w:tcPr>
        <w:shd w:val="clear" w:color="D9E2F4" w:themeColor="accent1" w:themeTint="34" w:fill="D9E2F4" w:themeFill="accent1" w:themeFillTint="34"/>
      </w:tcPr>
    </w:tblStylePr>
    <w:tblStylePr w:type="band2Horz">
      <w:rPr>
        <w:rFonts w:ascii="Arial" w:hAnsi="Arial"/>
        <w:color w:val="A4BAE5" w:themeColor="accent1" w:themeTint="80"/>
        <w:sz w:val="22"/>
        <w14:textFill>
          <w14:solidFill>
            <w14:schemeClr w14:val="accent1">
              <w14:lumMod w14:val="50000"/>
              <w14:lumOff w14:val="50000"/>
            </w14:schemeClr>
          </w14:solidFill>
        </w14:textFill>
      </w:rPr>
    </w:tblStylePr>
  </w:style>
  <w:style w:type="table" w:customStyle="1" w:styleId="137">
    <w:name w:val="Grid Table 7 Colorful - Accent 2"/>
    <w:basedOn w:val="36"/>
    <w:qFormat/>
    <w:uiPriority w:val="99"/>
    <w:tblPr>
      <w:tblBorders>
        <w:bottom w:val="single" w:color="F4B483" w:themeColor="accent2" w:themeTint="97" w:sz="4" w:space="0"/>
        <w:right w:val="single" w:color="F4B483" w:themeColor="accent2" w:themeTint="97" w:sz="4" w:space="0"/>
        <w:insideH w:val="single" w:color="F4B483" w:themeColor="accent2" w:themeTint="97" w:sz="4" w:space="0"/>
        <w:insideV w:val="single" w:color="F4B483" w:themeColor="accent2" w:themeTint="97" w:sz="4" w:space="0"/>
      </w:tblBorders>
    </w:tblPr>
    <w:tblStylePr w:type="firstRow">
      <w:rPr>
        <w:rFonts w:ascii="Arial" w:hAnsi="Arial"/>
        <w:b/>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b/>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BE6D6" w:themeColor="accent2" w:themeTint="32" w:fill="FBE6D6" w:themeFill="accent2" w:themeFillTint="32"/>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BE6D6" w:themeColor="accent2" w:themeTint="32" w:fill="FBE6D6" w:themeFill="accent2" w:themeFillTint="32"/>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38">
    <w:name w:val="Grid Table 7 Colorful - Accent 3"/>
    <w:basedOn w:val="36"/>
    <w:qFormat/>
    <w:uiPriority w:val="99"/>
    <w:tblPr>
      <w:tblBorders>
        <w:bottom w:val="single" w:color="F3BA02" w:themeColor="accent3" w:themeTint="FE" w:sz="4" w:space="0"/>
        <w:right w:val="single" w:color="F3BA02" w:themeColor="accent3" w:themeTint="FE" w:sz="4" w:space="0"/>
        <w:insideH w:val="single" w:color="F3BA02" w:themeColor="accent3" w:themeTint="FE" w:sz="4" w:space="0"/>
        <w:insideV w:val="single" w:color="F3BA02" w:themeColor="accent3" w:themeTint="FE" w:sz="4" w:space="0"/>
      </w:tblBorders>
    </w:tblPr>
    <w:tblStylePr w:type="firstRow">
      <w:rPr>
        <w:rFonts w:ascii="Arial" w:hAnsi="Arial"/>
        <w:b/>
        <w:color w:val="F2BA02" w:themeColor="accent3"/>
        <w:sz w:val="22"/>
        <w14:textFill>
          <w14:solidFill>
            <w14:schemeClr w14:val="accent3"/>
          </w14:solidFill>
        </w14:textFill>
      </w:rPr>
      <w:tcPr>
        <w:tcBorders>
          <w:top w:val="nil"/>
          <w:left w:val="nil"/>
          <w:bottom w:val="single" w:color="F3BA02" w:themeColor="accent3" w:themeTint="FE" w:sz="4" w:space="0"/>
          <w:right w:val="nil"/>
        </w:tcBorders>
        <w:shd w:val="clear" w:color="FFFFFF" w:themeColor="light1" w:fill="FFFFFF" w:themeFill="light1"/>
      </w:tcPr>
    </w:tblStylePr>
    <w:tblStylePr w:type="lastRow">
      <w:rPr>
        <w:rFonts w:ascii="Arial" w:hAnsi="Arial"/>
        <w:b/>
        <w:color w:val="F2BA02" w:themeColor="accent3"/>
        <w:sz w:val="22"/>
        <w14:textFill>
          <w14:solidFill>
            <w14:schemeClr w14:val="accent3"/>
          </w14:solidFill>
        </w14:textFill>
      </w:rPr>
      <w:tcPr>
        <w:tcBorders>
          <w:top w:val="single" w:color="F3BA02" w:themeColor="accent3" w:themeTint="FE" w:sz="4" w:space="0"/>
          <w:left w:val="nil"/>
          <w:bottom w:val="nil"/>
          <w:right w:val="nil"/>
        </w:tcBorders>
        <w:shd w:val="clear" w:color="FFFFFF" w:themeColor="light1" w:fill="FFFFFF" w:themeFill="light1"/>
      </w:tcPr>
    </w:tblStylePr>
    <w:tblStylePr w:type="firstCol">
      <w:pPr>
        <w:jc w:val="right"/>
      </w:pPr>
      <w:rPr>
        <w:rFonts w:ascii="Arial" w:hAnsi="Arial"/>
        <w:i/>
        <w:color w:val="F2BA02" w:themeColor="accent3"/>
        <w:sz w:val="22"/>
        <w14:textFill>
          <w14:solidFill>
            <w14:schemeClr w14:val="accent3"/>
          </w14:solidFill>
        </w14:textFill>
      </w:rPr>
      <w:tcPr>
        <w:tcBorders>
          <w:top w:val="nil"/>
          <w:left w:val="nil"/>
          <w:bottom w:val="nil"/>
          <w:right w:val="single" w:color="F3BA02" w:themeColor="accent3" w:themeTint="FE" w:sz="4" w:space="0"/>
        </w:tcBorders>
        <w:shd w:val="clear" w:color="FFFFFF" w:fill="auto"/>
      </w:tcPr>
    </w:tblStylePr>
    <w:tblStylePr w:type="lastCol">
      <w:rPr>
        <w:rFonts w:ascii="Arial" w:hAnsi="Arial"/>
        <w:i/>
        <w:color w:val="F2BA02" w:themeColor="accent3"/>
        <w:sz w:val="22"/>
        <w14:textFill>
          <w14:solidFill>
            <w14:schemeClr w14:val="accent3"/>
          </w14:solidFill>
        </w14:textFill>
      </w:rPr>
      <w:tcPr>
        <w:tcBorders>
          <w:top w:val="nil"/>
          <w:left w:val="single" w:color="F3BA02" w:themeColor="accent3" w:themeTint="FE" w:sz="4" w:space="0"/>
          <w:bottom w:val="nil"/>
          <w:right w:val="nil"/>
        </w:tcBorders>
        <w:shd w:val="clear" w:color="FFFFFF" w:fill="auto"/>
      </w:tcPr>
    </w:tblStylePr>
    <w:tblStylePr w:type="band1Vert">
      <w:tcPr>
        <w:shd w:val="clear" w:color="FEF2C9" w:themeColor="accent3" w:themeTint="34" w:fill="FEF2C9" w:themeFill="accent3" w:themeFillTint="34"/>
      </w:tcPr>
    </w:tblStylePr>
    <w:tblStylePr w:type="band1Horz">
      <w:rPr>
        <w:rFonts w:ascii="Arial" w:hAnsi="Arial"/>
        <w:color w:val="F2BA02" w:themeColor="accent3"/>
        <w:sz w:val="22"/>
        <w14:textFill>
          <w14:solidFill>
            <w14:schemeClr w14:val="accent3"/>
          </w14:solidFill>
        </w14:textFill>
      </w:rPr>
      <w:tcPr>
        <w:shd w:val="clear" w:color="FEF2C9" w:themeColor="accent3" w:themeTint="34" w:fill="FEF2C9" w:themeFill="accent3" w:themeFillTint="34"/>
      </w:tcPr>
    </w:tblStylePr>
    <w:tblStylePr w:type="band2Horz">
      <w:rPr>
        <w:rFonts w:ascii="Arial" w:hAnsi="Arial"/>
        <w:color w:val="F2BA02" w:themeColor="accent3"/>
        <w:sz w:val="22"/>
        <w14:textFill>
          <w14:solidFill>
            <w14:schemeClr w14:val="accent3"/>
          </w14:solidFill>
        </w14:textFill>
      </w:rPr>
    </w:tblStylePr>
  </w:style>
  <w:style w:type="table" w:customStyle="1" w:styleId="139">
    <w:name w:val="Grid Table 7 Colorful - Accent 4"/>
    <w:basedOn w:val="36"/>
    <w:qFormat/>
    <w:uiPriority w:val="99"/>
    <w:tblPr>
      <w:tblBorders>
        <w:bottom w:val="single" w:color="ABD78C" w:themeColor="accent4" w:themeTint="9A" w:sz="4" w:space="0"/>
        <w:right w:val="single" w:color="ABD78C" w:themeColor="accent4" w:themeTint="9A" w:sz="4" w:space="0"/>
        <w:insideH w:val="single" w:color="ABD78C" w:themeColor="accent4" w:themeTint="9A" w:sz="4" w:space="0"/>
        <w:insideV w:val="single" w:color="ABD78C" w:themeColor="accent4" w:themeTint="9A" w:sz="4" w:space="0"/>
      </w:tblBorders>
    </w:tblPr>
    <w:tblStylePr w:type="firstRow">
      <w:rPr>
        <w:rFonts w:ascii="Arial" w:hAnsi="Arial"/>
        <w:b/>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b/>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E2F1D8" w:themeColor="accent4" w:themeTint="34" w:fill="E2F1D8" w:themeFill="accent4" w:themeFillTint="34"/>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E2F1D8" w:themeColor="accent4" w:themeTint="34" w:fill="E2F1D8" w:themeFill="accent4" w:themeFillTint="34"/>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40">
    <w:name w:val="Grid Table 7 Colorful - Accent 5"/>
    <w:basedOn w:val="36"/>
    <w:qFormat/>
    <w:uiPriority w:val="99"/>
    <w:tblPr>
      <w:tblBorders>
        <w:bottom w:val="single" w:color="85E0D8" w:themeColor="accent5" w:themeTint="90" w:sz="4" w:space="0"/>
        <w:right w:val="single" w:color="85E0D8" w:themeColor="accent5" w:themeTint="90" w:sz="4" w:space="0"/>
        <w:insideH w:val="single" w:color="85E0D8" w:themeColor="accent5" w:themeTint="90" w:sz="4" w:space="0"/>
        <w:insideV w:val="single" w:color="85E0D8" w:themeColor="accent5" w:themeTint="90" w:sz="4" w:space="0"/>
      </w:tblBorders>
    </w:tblPr>
    <w:tblStylePr w:type="firstRow">
      <w:rPr>
        <w:rFonts w:ascii="Arial" w:hAnsi="Arial"/>
        <w:b/>
        <w:color w:val="1C6F68" w:themeColor="accent5" w:themeShade="94"/>
        <w:sz w:val="22"/>
      </w:rPr>
      <w:tcPr>
        <w:tcBorders>
          <w:top w:val="nil"/>
          <w:left w:val="nil"/>
          <w:bottom w:val="single" w:color="85E0D8" w:themeColor="accent5" w:themeTint="90" w:sz="4" w:space="0"/>
          <w:right w:val="nil"/>
        </w:tcBorders>
        <w:shd w:val="clear" w:color="FFFFFF" w:themeColor="light1" w:fill="FFFFFF" w:themeFill="light1"/>
      </w:tcPr>
    </w:tblStylePr>
    <w:tblStylePr w:type="lastRow">
      <w:rPr>
        <w:rFonts w:ascii="Arial" w:hAnsi="Arial"/>
        <w:b/>
        <w:color w:val="1C6F68" w:themeColor="accent5" w:themeShade="94"/>
        <w:sz w:val="22"/>
      </w:rPr>
      <w:tcPr>
        <w:tcBorders>
          <w:top w:val="single" w:color="85E0D8" w:themeColor="accent5" w:themeTint="90" w:sz="4" w:space="0"/>
          <w:left w:val="nil"/>
          <w:bottom w:val="nil"/>
          <w:right w:val="nil"/>
        </w:tcBorders>
        <w:shd w:val="clear" w:color="FFFFFF" w:themeColor="light1" w:fill="FFFFFF" w:themeFill="light1"/>
      </w:tcPr>
    </w:tblStylePr>
    <w:tblStylePr w:type="firstCol">
      <w:pPr>
        <w:jc w:val="right"/>
      </w:pPr>
      <w:rPr>
        <w:rFonts w:ascii="Arial" w:hAnsi="Arial"/>
        <w:i/>
        <w:color w:val="1C6F68" w:themeColor="accent5" w:themeShade="94"/>
        <w:sz w:val="22"/>
      </w:rPr>
      <w:tcPr>
        <w:tcBorders>
          <w:top w:val="nil"/>
          <w:left w:val="nil"/>
          <w:bottom w:val="nil"/>
          <w:right w:val="single" w:color="85E0D8" w:themeColor="accent5" w:themeTint="90" w:sz="4" w:space="0"/>
        </w:tcBorders>
        <w:shd w:val="clear" w:color="FFFFFF" w:fill="auto"/>
      </w:tcPr>
    </w:tblStylePr>
    <w:tblStylePr w:type="lastCol">
      <w:rPr>
        <w:rFonts w:ascii="Arial" w:hAnsi="Arial"/>
        <w:i/>
        <w:color w:val="1C6F68" w:themeColor="accent5" w:themeShade="94"/>
        <w:sz w:val="22"/>
      </w:rPr>
      <w:tcPr>
        <w:tcBorders>
          <w:top w:val="nil"/>
          <w:left w:val="single" w:color="85E0D8" w:themeColor="accent5" w:themeTint="90" w:sz="4" w:space="0"/>
          <w:bottom w:val="nil"/>
          <w:right w:val="nil"/>
        </w:tcBorders>
        <w:shd w:val="clear" w:color="FFFFFF" w:fill="auto"/>
      </w:tcPr>
    </w:tblStylePr>
    <w:tblStylePr w:type="band1Vert">
      <w:tcPr>
        <w:shd w:val="clear" w:color="D2F3F1" w:themeColor="accent5" w:themeTint="34" w:fill="D2F3F1" w:themeFill="accent5" w:themeFillTint="34"/>
      </w:tcPr>
    </w:tblStylePr>
    <w:tblStylePr w:type="band1Horz">
      <w:rPr>
        <w:rFonts w:ascii="Arial" w:hAnsi="Arial"/>
        <w:color w:val="1C6F68" w:themeColor="accent5" w:themeShade="94"/>
        <w:sz w:val="22"/>
      </w:rPr>
      <w:tcPr>
        <w:shd w:val="clear" w:color="D2F3F1" w:themeColor="accent5" w:themeTint="34" w:fill="D2F3F1" w:themeFill="accent5" w:themeFillTint="34"/>
      </w:tcPr>
    </w:tblStylePr>
    <w:tblStylePr w:type="band2Horz">
      <w:rPr>
        <w:rFonts w:ascii="Arial" w:hAnsi="Arial"/>
        <w:color w:val="1C6F68" w:themeColor="accent5" w:themeShade="94"/>
        <w:sz w:val="22"/>
      </w:rPr>
    </w:tblStylePr>
  </w:style>
  <w:style w:type="table" w:customStyle="1" w:styleId="141">
    <w:name w:val="Grid Table 7 Colorful - Accent 6"/>
    <w:basedOn w:val="36"/>
    <w:qFormat/>
    <w:uiPriority w:val="99"/>
    <w:tblPr>
      <w:tblBorders>
        <w:bottom w:val="single" w:color="F099A4" w:themeColor="accent6" w:themeTint="90" w:sz="4" w:space="0"/>
        <w:right w:val="single" w:color="F099A4" w:themeColor="accent6" w:themeTint="90" w:sz="4" w:space="0"/>
        <w:insideH w:val="single" w:color="F099A4" w:themeColor="accent6" w:themeTint="90" w:sz="4" w:space="0"/>
        <w:insideV w:val="single" w:color="F099A4" w:themeColor="accent6" w:themeTint="90" w:sz="4" w:space="0"/>
      </w:tblBorders>
    </w:tblPr>
    <w:tblStylePr w:type="firstRow">
      <w:rPr>
        <w:rFonts w:ascii="Arial" w:hAnsi="Arial"/>
        <w:b/>
        <w:color w:val="9A1626" w:themeColor="accent6" w:themeShade="94"/>
        <w:sz w:val="22"/>
      </w:rPr>
      <w:tcPr>
        <w:tcBorders>
          <w:top w:val="nil"/>
          <w:left w:val="nil"/>
          <w:bottom w:val="single" w:color="F099A4" w:themeColor="accent6" w:themeTint="90" w:sz="4" w:space="0"/>
          <w:right w:val="nil"/>
        </w:tcBorders>
        <w:shd w:val="clear" w:color="FFFFFF" w:themeColor="light1" w:fill="FFFFFF" w:themeFill="light1"/>
      </w:tcPr>
    </w:tblStylePr>
    <w:tblStylePr w:type="lastRow">
      <w:rPr>
        <w:rFonts w:ascii="Arial" w:hAnsi="Arial"/>
        <w:b/>
        <w:color w:val="9A1626" w:themeColor="accent6" w:themeShade="94"/>
        <w:sz w:val="22"/>
      </w:rPr>
      <w:tcPr>
        <w:tcBorders>
          <w:top w:val="single" w:color="F099A4" w:themeColor="accent6" w:themeTint="90" w:sz="4" w:space="0"/>
          <w:left w:val="nil"/>
          <w:bottom w:val="nil"/>
          <w:right w:val="nil"/>
        </w:tcBorders>
        <w:shd w:val="clear" w:color="FFFFFF" w:themeColor="light1" w:fill="FFFFFF" w:themeFill="light1"/>
      </w:tcPr>
    </w:tblStylePr>
    <w:tblStylePr w:type="firstCol">
      <w:pPr>
        <w:jc w:val="right"/>
      </w:pPr>
      <w:rPr>
        <w:rFonts w:ascii="Arial" w:hAnsi="Arial"/>
        <w:i/>
        <w:color w:val="9A1626" w:themeColor="accent6" w:themeShade="94"/>
        <w:sz w:val="22"/>
      </w:rPr>
      <w:tcPr>
        <w:tcBorders>
          <w:top w:val="nil"/>
          <w:left w:val="nil"/>
          <w:bottom w:val="nil"/>
          <w:right w:val="single" w:color="F099A4" w:themeColor="accent6" w:themeTint="90" w:sz="4" w:space="0"/>
        </w:tcBorders>
        <w:shd w:val="clear" w:color="FFFFFF" w:fill="auto"/>
      </w:tcPr>
    </w:tblStylePr>
    <w:tblStylePr w:type="lastCol">
      <w:rPr>
        <w:rFonts w:ascii="Arial" w:hAnsi="Arial"/>
        <w:i/>
        <w:color w:val="9A1626" w:themeColor="accent6" w:themeShade="94"/>
        <w:sz w:val="22"/>
      </w:rPr>
      <w:tcPr>
        <w:tcBorders>
          <w:top w:val="nil"/>
          <w:left w:val="single" w:color="F099A4" w:themeColor="accent6" w:themeTint="90" w:sz="4" w:space="0"/>
          <w:bottom w:val="nil"/>
          <w:right w:val="nil"/>
        </w:tcBorders>
        <w:shd w:val="clear" w:color="FFFFFF" w:fill="auto"/>
      </w:tcPr>
    </w:tblStylePr>
    <w:tblStylePr w:type="band1Vert">
      <w:tcPr>
        <w:shd w:val="clear" w:color="F9DADE" w:themeColor="accent6" w:themeTint="34" w:fill="F9DADE" w:themeFill="accent6" w:themeFillTint="34"/>
      </w:tcPr>
    </w:tblStylePr>
    <w:tblStylePr w:type="band1Horz">
      <w:rPr>
        <w:rFonts w:ascii="Arial" w:hAnsi="Arial"/>
        <w:color w:val="9A1626" w:themeColor="accent6" w:themeShade="94"/>
        <w:sz w:val="22"/>
      </w:rPr>
      <w:tcPr>
        <w:shd w:val="clear" w:color="F9DADE" w:themeColor="accent6" w:themeTint="34" w:fill="F9DADE" w:themeFill="accent6" w:themeFillTint="34"/>
      </w:tcPr>
    </w:tblStylePr>
    <w:tblStylePr w:type="band2Horz">
      <w:rPr>
        <w:rFonts w:ascii="Arial" w:hAnsi="Arial"/>
        <w:color w:val="9A1626" w:themeColor="accent6" w:themeShade="94"/>
        <w:sz w:val="22"/>
      </w:rPr>
    </w:tblStylePr>
  </w:style>
  <w:style w:type="table" w:customStyle="1" w:styleId="142">
    <w:name w:val="List Table 1 Light - Accent 1"/>
    <w:basedOn w:val="36"/>
    <w:qFormat/>
    <w:uiPriority w:val="99"/>
    <w:tblStylePr w:type="firstRow">
      <w:rPr>
        <w:b/>
        <w:color w:val="404040"/>
      </w:rPr>
      <w:tcPr>
        <w:tcBorders>
          <w:top w:val="nil"/>
          <w:left w:val="nil"/>
          <w:bottom w:val="single" w:color="4874CB" w:themeColor="accent1" w:sz="4" w:space="0"/>
          <w:right w:val="nil"/>
        </w:tcBorders>
      </w:tcPr>
    </w:tblStylePr>
    <w:tblStylePr w:type="lastRow">
      <w:rPr>
        <w:b/>
        <w:color w:val="404040"/>
      </w:rPr>
      <w:tcPr>
        <w:tcBorders>
          <w:top w:val="single" w:color="4874CB" w:themeColor="accent1"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1DCF1" w:themeColor="accent1" w:themeTint="40" w:fill="D1DCF1" w:themeFill="accent1" w:themeFillTint="40"/>
      </w:tcPr>
    </w:tblStylePr>
    <w:tblStylePr w:type="band1Horz">
      <w:tcPr>
        <w:shd w:val="clear" w:color="D1DCF1" w:themeColor="accent1" w:themeTint="40" w:fill="D1DCF1" w:themeFill="accent1" w:themeFillTint="40"/>
      </w:tcPr>
    </w:tblStylePr>
  </w:style>
  <w:style w:type="table" w:customStyle="1" w:styleId="143">
    <w:name w:val="List Table 1 Light - Accent 2"/>
    <w:basedOn w:val="36"/>
    <w:qFormat/>
    <w:uiPriority w:val="99"/>
    <w:tblStylePr w:type="firstRow">
      <w:rPr>
        <w:b/>
        <w:color w:val="404040"/>
      </w:rPr>
      <w:tcPr>
        <w:tcBorders>
          <w:top w:val="nil"/>
          <w:left w:val="nil"/>
          <w:bottom w:val="single" w:color="EE822F" w:themeColor="accent2" w:sz="4" w:space="0"/>
          <w:right w:val="nil"/>
        </w:tcBorders>
      </w:tcPr>
    </w:tblStylePr>
    <w:tblStylePr w:type="lastRow">
      <w:rPr>
        <w:b/>
        <w:color w:val="404040"/>
      </w:rPr>
      <w:tcPr>
        <w:tcBorders>
          <w:top w:val="single" w:color="EE822F" w:themeColor="accent2"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ADFCA" w:themeColor="accent2" w:themeTint="40" w:fill="FADFCA" w:themeFill="accent2" w:themeFillTint="40"/>
      </w:tcPr>
    </w:tblStylePr>
    <w:tblStylePr w:type="band1Horz">
      <w:tcPr>
        <w:shd w:val="clear" w:color="FADFCA" w:themeColor="accent2" w:themeTint="40" w:fill="FADFCA" w:themeFill="accent2" w:themeFillTint="40"/>
      </w:tcPr>
    </w:tblStylePr>
  </w:style>
  <w:style w:type="table" w:customStyle="1" w:styleId="144">
    <w:name w:val="List Table 1 Light - Accent 3"/>
    <w:basedOn w:val="36"/>
    <w:qFormat/>
    <w:uiPriority w:val="99"/>
    <w:tblStylePr w:type="firstRow">
      <w:rPr>
        <w:b/>
        <w:color w:val="404040"/>
      </w:rPr>
      <w:tcPr>
        <w:tcBorders>
          <w:top w:val="nil"/>
          <w:left w:val="nil"/>
          <w:bottom w:val="single" w:color="F2BA02" w:themeColor="accent3" w:sz="4" w:space="0"/>
          <w:right w:val="nil"/>
        </w:tcBorders>
      </w:tcPr>
    </w:tblStylePr>
    <w:tblStylePr w:type="lastRow">
      <w:rPr>
        <w:b/>
        <w:color w:val="404040"/>
      </w:rPr>
      <w:tcPr>
        <w:tcBorders>
          <w:top w:val="single" w:color="F2BA02" w:themeColor="accent3"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EEFBC" w:themeColor="accent3" w:themeTint="40" w:fill="FEEFBC" w:themeFill="accent3" w:themeFillTint="40"/>
      </w:tcPr>
    </w:tblStylePr>
    <w:tblStylePr w:type="band1Horz">
      <w:tcPr>
        <w:shd w:val="clear" w:color="FEEFBC" w:themeColor="accent3" w:themeTint="40" w:fill="FEEFBC" w:themeFill="accent3" w:themeFillTint="40"/>
      </w:tcPr>
    </w:tblStylePr>
  </w:style>
  <w:style w:type="table" w:customStyle="1" w:styleId="145">
    <w:name w:val="List Table 1 Light - Accent 4"/>
    <w:basedOn w:val="36"/>
    <w:qFormat/>
    <w:uiPriority w:val="99"/>
    <w:tblStylePr w:type="firstRow">
      <w:rPr>
        <w:b/>
        <w:color w:val="404040"/>
      </w:rPr>
      <w:tcPr>
        <w:tcBorders>
          <w:top w:val="nil"/>
          <w:left w:val="nil"/>
          <w:bottom w:val="single" w:color="75BD42" w:themeColor="accent4" w:sz="4" w:space="0"/>
          <w:right w:val="nil"/>
        </w:tcBorders>
      </w:tcPr>
    </w:tblStylePr>
    <w:tblStylePr w:type="lastRow">
      <w:rPr>
        <w:b/>
        <w:color w:val="404040"/>
      </w:rPr>
      <w:tcPr>
        <w:tcBorders>
          <w:top w:val="single" w:color="75BD42" w:themeColor="accent4" w:sz="4" w:space="0"/>
          <w:left w:val="nil"/>
          <w:bottom w:val="nil"/>
          <w:right w:val="nil"/>
        </w:tcBorders>
      </w:tcPr>
    </w:tblStylePr>
    <w:tblStylePr w:type="firstCol">
      <w:rPr>
        <w:b/>
        <w:color w:val="404040"/>
      </w:rPr>
    </w:tblStylePr>
    <w:tblStylePr w:type="lastCol">
      <w:rPr>
        <w:b/>
        <w:color w:val="404040"/>
      </w:rPr>
    </w:tblStylePr>
    <w:tblStylePr w:type="band1Vert">
      <w:tcPr>
        <w:shd w:val="clear" w:color="DCEECF" w:themeColor="accent4" w:themeTint="40" w:fill="DCEECF" w:themeFill="accent4" w:themeFillTint="40"/>
      </w:tcPr>
    </w:tblStylePr>
    <w:tblStylePr w:type="band1Horz">
      <w:tcPr>
        <w:shd w:val="clear" w:color="DCEECF" w:themeColor="accent4" w:themeTint="40" w:fill="DCEECF" w:themeFill="accent4" w:themeFillTint="40"/>
      </w:tcPr>
    </w:tblStylePr>
  </w:style>
  <w:style w:type="table" w:customStyle="1" w:styleId="146">
    <w:name w:val="List Table 1 Light - Accent 5"/>
    <w:basedOn w:val="36"/>
    <w:qFormat/>
    <w:uiPriority w:val="99"/>
    <w:tblStylePr w:type="firstRow">
      <w:rPr>
        <w:b/>
        <w:color w:val="404040"/>
      </w:rPr>
      <w:tcPr>
        <w:tcBorders>
          <w:top w:val="nil"/>
          <w:left w:val="nil"/>
          <w:bottom w:val="single" w:color="30C0B4" w:themeColor="accent5" w:sz="4" w:space="0"/>
          <w:right w:val="nil"/>
        </w:tcBorders>
      </w:tcPr>
    </w:tblStylePr>
    <w:tblStylePr w:type="lastRow">
      <w:rPr>
        <w:b/>
        <w:color w:val="404040"/>
      </w:rPr>
      <w:tcPr>
        <w:tcBorders>
          <w:top w:val="single" w:color="30C0B4" w:themeColor="accent5" w:sz="4" w:space="0"/>
          <w:left w:val="nil"/>
          <w:bottom w:val="nil"/>
          <w:right w:val="nil"/>
        </w:tcBorders>
      </w:tcPr>
    </w:tblStylePr>
    <w:tblStylePr w:type="firstCol">
      <w:rPr>
        <w:b/>
        <w:color w:val="404040"/>
      </w:rPr>
    </w:tblStylePr>
    <w:tblStylePr w:type="lastCol">
      <w:rPr>
        <w:b/>
        <w:color w:val="404040"/>
      </w:rPr>
    </w:tblStylePr>
    <w:tblStylePr w:type="band1Vert">
      <w:tcPr>
        <w:shd w:val="clear" w:color="C8F1EE" w:themeColor="accent5" w:themeTint="40" w:fill="C8F1EE" w:themeFill="accent5" w:themeFillTint="40"/>
      </w:tcPr>
    </w:tblStylePr>
    <w:tblStylePr w:type="band1Horz">
      <w:tcPr>
        <w:shd w:val="clear" w:color="C8F1EE" w:themeColor="accent5" w:themeTint="40" w:fill="C8F1EE" w:themeFill="accent5" w:themeFillTint="40"/>
      </w:tcPr>
    </w:tblStylePr>
  </w:style>
  <w:style w:type="table" w:customStyle="1" w:styleId="147">
    <w:name w:val="List Table 1 Light - Accent 6"/>
    <w:basedOn w:val="36"/>
    <w:qFormat/>
    <w:uiPriority w:val="99"/>
    <w:tblStylePr w:type="firstRow">
      <w:rPr>
        <w:b/>
        <w:color w:val="404040"/>
      </w:rPr>
      <w:tcPr>
        <w:tcBorders>
          <w:top w:val="nil"/>
          <w:left w:val="nil"/>
          <w:bottom w:val="single" w:color="E54C5E" w:themeColor="accent6" w:sz="4" w:space="0"/>
          <w:right w:val="nil"/>
        </w:tcBorders>
      </w:tcPr>
    </w:tblStylePr>
    <w:tblStylePr w:type="lastRow">
      <w:rPr>
        <w:b/>
        <w:color w:val="404040"/>
      </w:rPr>
      <w:tcPr>
        <w:tcBorders>
          <w:top w:val="single" w:color="E54C5E" w:themeColor="accent6" w:sz="4" w:space="0"/>
          <w:left w:val="nil"/>
          <w:bottom w:val="nil"/>
          <w:right w:val="nil"/>
        </w:tcBorders>
      </w:tcPr>
    </w:tblStylePr>
    <w:tblStylePr w:type="firstCol">
      <w:rPr>
        <w:b/>
        <w:color w:val="404040"/>
      </w:rPr>
    </w:tblStylePr>
    <w:tblStylePr w:type="lastCol">
      <w:rPr>
        <w:b/>
        <w:color w:val="404040"/>
      </w:rPr>
    </w:tblStylePr>
    <w:tblStylePr w:type="band1Vert">
      <w:tcPr>
        <w:shd w:val="clear" w:color="F8D2D6" w:themeColor="accent6" w:themeTint="40" w:fill="F8D2D6" w:themeFill="accent6" w:themeFillTint="40"/>
      </w:tcPr>
    </w:tblStylePr>
    <w:tblStylePr w:type="band1Horz">
      <w:tcPr>
        <w:shd w:val="clear" w:color="F8D2D6" w:themeColor="accent6" w:themeTint="40" w:fill="F8D2D6" w:themeFill="accent6" w:themeFillTint="40"/>
      </w:tcPr>
    </w:tblStylePr>
  </w:style>
  <w:style w:type="table" w:customStyle="1" w:styleId="148">
    <w:name w:val="List Table 2 - Accent 1"/>
    <w:basedOn w:val="36"/>
    <w:qFormat/>
    <w:uiPriority w:val="99"/>
    <w:tblPr>
      <w:tblBorders>
        <w:top w:val="single" w:color="97B0E1" w:themeColor="accent1" w:themeTint="90" w:sz="4" w:space="0"/>
        <w:bottom w:val="single" w:color="97B0E1" w:themeColor="accent1" w:themeTint="90" w:sz="4" w:space="0"/>
        <w:insideH w:val="single" w:color="97B0E1" w:themeColor="accent1" w:themeTint="90" w:sz="4" w:space="0"/>
      </w:tblBorders>
    </w:tblPr>
    <w:tblStylePr w:type="fir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lastRow">
      <w:rPr>
        <w:rFonts w:ascii="Arial" w:hAnsi="Arial"/>
        <w:b/>
        <w:color w:val="404040"/>
        <w:sz w:val="22"/>
      </w:rPr>
      <w:tcPr>
        <w:tcBorders>
          <w:top w:val="single" w:color="97B0E1" w:themeColor="accent1" w:themeTint="90" w:sz="4" w:space="0"/>
          <w:left w:val="nil"/>
          <w:bottom w:val="single" w:color="97B0E1" w:themeColor="accent1"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49">
    <w:name w:val="List Table 2 - Accent 2"/>
    <w:basedOn w:val="36"/>
    <w:qFormat/>
    <w:uiPriority w:val="99"/>
    <w:tblPr>
      <w:tblBorders>
        <w:top w:val="single" w:color="F5B889" w:themeColor="accent2" w:themeTint="90" w:sz="4" w:space="0"/>
        <w:bottom w:val="single" w:color="F5B889" w:themeColor="accent2" w:themeTint="90" w:sz="4" w:space="0"/>
        <w:insideH w:val="single" w:color="F5B889" w:themeColor="accent2" w:themeTint="90" w:sz="4" w:space="0"/>
      </w:tblBorders>
    </w:tblPr>
    <w:tblStylePr w:type="fir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lastRow">
      <w:rPr>
        <w:rFonts w:ascii="Arial" w:hAnsi="Arial"/>
        <w:b/>
        <w:color w:val="404040"/>
        <w:sz w:val="22"/>
      </w:rPr>
      <w:tcPr>
        <w:tcBorders>
          <w:top w:val="single" w:color="F5B889" w:themeColor="accent2" w:themeTint="90" w:sz="4" w:space="0"/>
          <w:left w:val="nil"/>
          <w:bottom w:val="single" w:color="F5B889" w:themeColor="accent2"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50">
    <w:name w:val="List Table 2 - Accent 3"/>
    <w:basedOn w:val="36"/>
    <w:qFormat/>
    <w:uiPriority w:val="99"/>
    <w:tblPr>
      <w:tblBorders>
        <w:top w:val="single" w:color="FDDB6A" w:themeColor="accent3" w:themeTint="90" w:sz="4" w:space="0"/>
        <w:bottom w:val="single" w:color="FDDB6A" w:themeColor="accent3" w:themeTint="90" w:sz="4" w:space="0"/>
        <w:insideH w:val="single" w:color="FDDB6A" w:themeColor="accent3" w:themeTint="90" w:sz="4" w:space="0"/>
      </w:tblBorders>
    </w:tblPr>
    <w:tblStylePr w:type="fir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lastRow">
      <w:rPr>
        <w:rFonts w:ascii="Arial" w:hAnsi="Arial"/>
        <w:b/>
        <w:color w:val="404040"/>
        <w:sz w:val="22"/>
      </w:rPr>
      <w:tcPr>
        <w:tcBorders>
          <w:top w:val="single" w:color="FDDB6A" w:themeColor="accent3" w:themeTint="90" w:sz="4" w:space="0"/>
          <w:left w:val="nil"/>
          <w:bottom w:val="single" w:color="FDDB6A" w:themeColor="accent3"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51">
    <w:name w:val="List Table 2 - Accent 4"/>
    <w:basedOn w:val="36"/>
    <w:qFormat/>
    <w:uiPriority w:val="99"/>
    <w:tblPr>
      <w:tblBorders>
        <w:top w:val="single" w:color="B1D994" w:themeColor="accent4" w:themeTint="90" w:sz="4" w:space="0"/>
        <w:bottom w:val="single" w:color="B1D994" w:themeColor="accent4" w:themeTint="90" w:sz="4" w:space="0"/>
        <w:insideH w:val="single" w:color="B1D994" w:themeColor="accent4" w:themeTint="90" w:sz="4" w:space="0"/>
      </w:tblBorders>
    </w:tblPr>
    <w:tblStylePr w:type="fir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lastRow">
      <w:rPr>
        <w:rFonts w:ascii="Arial" w:hAnsi="Arial"/>
        <w:b/>
        <w:color w:val="404040"/>
        <w:sz w:val="22"/>
      </w:rPr>
      <w:tcPr>
        <w:tcBorders>
          <w:top w:val="single" w:color="B1D994" w:themeColor="accent4" w:themeTint="90" w:sz="4" w:space="0"/>
          <w:left w:val="nil"/>
          <w:bottom w:val="single" w:color="B1D994" w:themeColor="accent4"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52">
    <w:name w:val="List Table 2 - Accent 5"/>
    <w:basedOn w:val="36"/>
    <w:qFormat/>
    <w:uiPriority w:val="99"/>
    <w:tblPr>
      <w:tblBorders>
        <w:top w:val="single" w:color="85E0D8" w:themeColor="accent5" w:themeTint="90" w:sz="4" w:space="0"/>
        <w:bottom w:val="single" w:color="85E0D8" w:themeColor="accent5" w:themeTint="90" w:sz="4" w:space="0"/>
        <w:insideH w:val="single" w:color="85E0D8" w:themeColor="accent5" w:themeTint="90" w:sz="4" w:space="0"/>
      </w:tblBorders>
    </w:tblPr>
    <w:tblStylePr w:type="fir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lastRow">
      <w:rPr>
        <w:rFonts w:ascii="Arial" w:hAnsi="Arial"/>
        <w:b/>
        <w:color w:val="404040"/>
        <w:sz w:val="22"/>
      </w:rPr>
      <w:tcPr>
        <w:tcBorders>
          <w:top w:val="single" w:color="85E0D8" w:themeColor="accent5" w:themeTint="90" w:sz="4" w:space="0"/>
          <w:left w:val="nil"/>
          <w:bottom w:val="single" w:color="85E0D8" w:themeColor="accent5"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53">
    <w:name w:val="List Table 2 - Accent 6"/>
    <w:basedOn w:val="36"/>
    <w:qFormat/>
    <w:uiPriority w:val="99"/>
    <w:tblPr>
      <w:tblBorders>
        <w:top w:val="single" w:color="F099A4" w:themeColor="accent6" w:themeTint="90" w:sz="4" w:space="0"/>
        <w:bottom w:val="single" w:color="F099A4" w:themeColor="accent6" w:themeTint="90" w:sz="4" w:space="0"/>
        <w:insideH w:val="single" w:color="F099A4" w:themeColor="accent6" w:themeTint="90" w:sz="4" w:space="0"/>
      </w:tblBorders>
    </w:tblPr>
    <w:tblStylePr w:type="fir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lastRow">
      <w:rPr>
        <w:rFonts w:ascii="Arial" w:hAnsi="Arial"/>
        <w:b/>
        <w:color w:val="404040"/>
        <w:sz w:val="22"/>
      </w:rPr>
      <w:tcPr>
        <w:tcBorders>
          <w:top w:val="single" w:color="F099A4" w:themeColor="accent6" w:themeTint="90" w:sz="4" w:space="0"/>
          <w:left w:val="nil"/>
          <w:bottom w:val="single" w:color="F099A4" w:themeColor="accent6" w:themeTint="90" w:sz="4" w:space="0"/>
          <w:right w:val="nil"/>
        </w:tcBorders>
      </w:tcPr>
    </w:tblStylePr>
    <w:tblStylePr w:type="firstCol">
      <w:rPr>
        <w:rFonts w:ascii="Arial" w:hAnsi="Arial"/>
        <w:b/>
        <w:color w:val="404040"/>
        <w:sz w:val="22"/>
      </w:rPr>
    </w:tblStylePr>
    <w:tblStylePr w:type="lastCol">
      <w:rPr>
        <w:rFonts w:ascii="Arial" w:hAnsi="Arial"/>
        <w:b/>
        <w:color w:val="404040"/>
        <w:sz w:val="22"/>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54">
    <w:name w:val="List Table 3 - Accent 1"/>
    <w:basedOn w:val="36"/>
    <w:qFormat/>
    <w:uiPriority w:val="99"/>
    <w:tblPr>
      <w:tblBorders>
        <w:top w:val="single" w:color="4874CB" w:themeColor="accent1" w:sz="4" w:space="0"/>
        <w:left w:val="single" w:color="4874CB" w:themeColor="accent1" w:sz="4" w:space="0"/>
        <w:bottom w:val="single" w:color="4874CB" w:themeColor="accent1" w:sz="4" w:space="0"/>
        <w:right w:val="single" w:color="4874CB" w:themeColor="accent1"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4874CB" w:themeColor="accent1" w:sz="4" w:space="0"/>
          <w:right w:val="single" w:color="4874CB" w:themeColor="accent1" w:sz="4" w:space="0"/>
        </w:tcBorders>
      </w:tcPr>
    </w:tblStylePr>
    <w:tblStylePr w:type="band1Horz">
      <w:rPr>
        <w:rFonts w:ascii="Arial" w:hAnsi="Arial"/>
        <w:color w:val="404040"/>
        <w:sz w:val="22"/>
      </w:rPr>
      <w:tcPr>
        <w:tcBorders>
          <w:top w:val="single" w:color="4874CB" w:themeColor="accent1" w:sz="4" w:space="0"/>
          <w:bottom w:val="single" w:color="4874CB" w:themeColor="accent1" w:sz="4" w:space="0"/>
        </w:tcBorders>
      </w:tcPr>
    </w:tblStylePr>
  </w:style>
  <w:style w:type="table" w:customStyle="1" w:styleId="155">
    <w:name w:val="List Table 3 - Accent 2"/>
    <w:basedOn w:val="36"/>
    <w:qFormat/>
    <w:uiPriority w:val="99"/>
    <w:tblPr>
      <w:tblBorders>
        <w:top w:val="single" w:color="F4B483" w:themeColor="accent2" w:themeTint="97" w:sz="4" w:space="0"/>
        <w:left w:val="single" w:color="F4B483" w:themeColor="accent2" w:themeTint="97" w:sz="4" w:space="0"/>
        <w:bottom w:val="single" w:color="F4B483" w:themeColor="accent2" w:themeTint="97" w:sz="4" w:space="0"/>
        <w:right w:val="single" w:color="F4B483" w:themeColor="accent2" w:themeTint="97" w:sz="4" w:space="0"/>
      </w:tblBorders>
    </w:tblPr>
    <w:tblStylePr w:type="firstRow">
      <w:rPr>
        <w:rFonts w:ascii="Arial" w:hAnsi="Arial"/>
        <w:b/>
        <w:color w:val="FFFFFF"/>
        <w:sz w:val="22"/>
      </w:rPr>
      <w:tcPr>
        <w:shd w:val="clear" w:color="F4B483" w:themeColor="accent2" w:themeTint="97" w:fill="F4B483" w:themeFill="accent2" w:themeFillTint="97"/>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4B483" w:themeColor="accent2" w:themeTint="97" w:sz="4" w:space="0"/>
          <w:right w:val="single" w:color="F4B483" w:themeColor="accent2" w:themeTint="97" w:sz="4" w:space="0"/>
        </w:tcBorders>
      </w:tcPr>
    </w:tblStylePr>
    <w:tblStylePr w:type="band1Horz">
      <w:rPr>
        <w:rFonts w:ascii="Arial" w:hAnsi="Arial"/>
        <w:color w:val="404040"/>
        <w:sz w:val="22"/>
      </w:rPr>
      <w:tcPr>
        <w:tcBorders>
          <w:top w:val="single" w:color="F4B483" w:themeColor="accent2" w:themeTint="97" w:sz="4" w:space="0"/>
          <w:bottom w:val="single" w:color="F4B483" w:themeColor="accent2" w:themeTint="97" w:sz="4" w:space="0"/>
        </w:tcBorders>
      </w:tcPr>
    </w:tblStylePr>
  </w:style>
  <w:style w:type="table" w:customStyle="1" w:styleId="156">
    <w:name w:val="List Table 3 - Accent 3"/>
    <w:basedOn w:val="36"/>
    <w:qFormat/>
    <w:uiPriority w:val="99"/>
    <w:tblPr>
      <w:tblBorders>
        <w:top w:val="single" w:color="FDD961" w:themeColor="accent3" w:themeTint="98" w:sz="4" w:space="0"/>
        <w:left w:val="single" w:color="FDD961" w:themeColor="accent3" w:themeTint="98" w:sz="4" w:space="0"/>
        <w:bottom w:val="single" w:color="FDD961" w:themeColor="accent3" w:themeTint="98" w:sz="4" w:space="0"/>
        <w:right w:val="single" w:color="FDD961" w:themeColor="accent3" w:themeTint="98" w:sz="4" w:space="0"/>
      </w:tblBorders>
    </w:tblPr>
    <w:tblStylePr w:type="firstRow">
      <w:rPr>
        <w:rFonts w:ascii="Arial" w:hAnsi="Arial"/>
        <w:b/>
        <w:color w:val="FFFFFF"/>
        <w:sz w:val="22"/>
      </w:rPr>
      <w:tcPr>
        <w:shd w:val="clear" w:color="FDD961" w:themeColor="accent3" w:themeTint="98" w:fill="FDD961" w:themeFill="accent3"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FDD961" w:themeColor="accent3" w:themeTint="98" w:sz="4" w:space="0"/>
          <w:right w:val="single" w:color="FDD961" w:themeColor="accent3" w:themeTint="98" w:sz="4" w:space="0"/>
        </w:tcBorders>
      </w:tcPr>
    </w:tblStylePr>
    <w:tblStylePr w:type="band1Horz">
      <w:rPr>
        <w:rFonts w:ascii="Arial" w:hAnsi="Arial"/>
        <w:color w:val="404040"/>
        <w:sz w:val="22"/>
      </w:rPr>
      <w:tcPr>
        <w:tcBorders>
          <w:top w:val="single" w:color="FDD961" w:themeColor="accent3" w:themeTint="98" w:sz="4" w:space="0"/>
          <w:bottom w:val="single" w:color="FDD961" w:themeColor="accent3" w:themeTint="98" w:sz="4" w:space="0"/>
        </w:tcBorders>
      </w:tcPr>
    </w:tblStylePr>
  </w:style>
  <w:style w:type="table" w:customStyle="1" w:styleId="157">
    <w:name w:val="List Table 3 - Accent 4"/>
    <w:basedOn w:val="36"/>
    <w:qFormat/>
    <w:uiPriority w:val="99"/>
    <w:tblPr>
      <w:tblBorders>
        <w:top w:val="single" w:color="ABD78C" w:themeColor="accent4" w:themeTint="9A" w:sz="4" w:space="0"/>
        <w:left w:val="single" w:color="ABD78C" w:themeColor="accent4" w:themeTint="9A" w:sz="4" w:space="0"/>
        <w:bottom w:val="single" w:color="ABD78C" w:themeColor="accent4" w:themeTint="9A" w:sz="4" w:space="0"/>
        <w:right w:val="single" w:color="ABD78C" w:themeColor="accent4" w:themeTint="9A" w:sz="4" w:space="0"/>
      </w:tblBorders>
    </w:tblPr>
    <w:tblStylePr w:type="firstRow">
      <w:rPr>
        <w:rFonts w:ascii="Arial" w:hAnsi="Arial"/>
        <w:b/>
        <w:color w:val="FFFFFF"/>
        <w:sz w:val="22"/>
      </w:rPr>
      <w:tcPr>
        <w:shd w:val="clear" w:color="ABD78C" w:themeColor="accent4" w:themeTint="9A" w:fill="ABD78C" w:themeFill="accent4"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ABD78C" w:themeColor="accent4" w:themeTint="9A" w:sz="4" w:space="0"/>
          <w:right w:val="single" w:color="ABD78C" w:themeColor="accent4" w:themeTint="9A" w:sz="4" w:space="0"/>
        </w:tcBorders>
      </w:tcPr>
    </w:tblStylePr>
    <w:tblStylePr w:type="band1Horz">
      <w:rPr>
        <w:rFonts w:ascii="Arial" w:hAnsi="Arial"/>
        <w:color w:val="404040"/>
        <w:sz w:val="22"/>
      </w:rPr>
      <w:tcPr>
        <w:tcBorders>
          <w:top w:val="single" w:color="ABD78C" w:themeColor="accent4" w:themeTint="9A" w:sz="4" w:space="0"/>
          <w:bottom w:val="single" w:color="ABD78C" w:themeColor="accent4" w:themeTint="9A" w:sz="4" w:space="0"/>
        </w:tcBorders>
      </w:tcPr>
    </w:tblStylePr>
  </w:style>
  <w:style w:type="table" w:customStyle="1" w:styleId="158">
    <w:name w:val="List Table 3 - Accent 5"/>
    <w:basedOn w:val="36"/>
    <w:qFormat/>
    <w:uiPriority w:val="99"/>
    <w:tblPr>
      <w:tblBorders>
        <w:top w:val="single" w:color="7CDED6" w:themeColor="accent5" w:themeTint="9A" w:sz="4" w:space="0"/>
        <w:left w:val="single" w:color="7CDED6" w:themeColor="accent5" w:themeTint="9A" w:sz="4" w:space="0"/>
        <w:bottom w:val="single" w:color="7CDED6" w:themeColor="accent5" w:themeTint="9A" w:sz="4" w:space="0"/>
        <w:right w:val="single" w:color="7CDED6" w:themeColor="accent5" w:themeTint="9A" w:sz="4" w:space="0"/>
      </w:tblBorders>
    </w:tblPr>
    <w:tblStylePr w:type="firstRow">
      <w:rPr>
        <w:rFonts w:ascii="Arial" w:hAnsi="Arial"/>
        <w:b/>
        <w:color w:val="FFFFFF"/>
        <w:sz w:val="22"/>
      </w:rPr>
      <w:tcPr>
        <w:shd w:val="clear" w:color="7CDED6" w:themeColor="accent5" w:themeTint="9A" w:fill="7CDED6" w:themeFill="accent5" w:themeFillTint="9A"/>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7CDED6" w:themeColor="accent5" w:themeTint="9A" w:sz="4" w:space="0"/>
          <w:right w:val="single" w:color="7CDED6" w:themeColor="accent5" w:themeTint="9A" w:sz="4" w:space="0"/>
        </w:tcBorders>
      </w:tcPr>
    </w:tblStylePr>
    <w:tblStylePr w:type="band1Horz">
      <w:rPr>
        <w:rFonts w:ascii="Arial" w:hAnsi="Arial"/>
        <w:color w:val="404040"/>
        <w:sz w:val="22"/>
      </w:rPr>
      <w:tcPr>
        <w:tcBorders>
          <w:top w:val="single" w:color="7CDED6" w:themeColor="accent5" w:themeTint="9A" w:sz="4" w:space="0"/>
          <w:bottom w:val="single" w:color="7CDED6" w:themeColor="accent5" w:themeTint="9A" w:sz="4" w:space="0"/>
        </w:tcBorders>
      </w:tcPr>
    </w:tblStylePr>
  </w:style>
  <w:style w:type="table" w:customStyle="1" w:styleId="159">
    <w:name w:val="List Table 3 - Accent 6"/>
    <w:basedOn w:val="36"/>
    <w:qFormat/>
    <w:uiPriority w:val="99"/>
    <w:tblPr>
      <w:tblBorders>
        <w:top w:val="single" w:color="EF949F" w:themeColor="accent6" w:themeTint="98" w:sz="4" w:space="0"/>
        <w:left w:val="single" w:color="EF949F" w:themeColor="accent6" w:themeTint="98" w:sz="4" w:space="0"/>
        <w:bottom w:val="single" w:color="EF949F" w:themeColor="accent6" w:themeTint="98" w:sz="4" w:space="0"/>
        <w:right w:val="single" w:color="EF949F" w:themeColor="accent6" w:themeTint="98" w:sz="4" w:space="0"/>
      </w:tblBorders>
    </w:tblPr>
    <w:tblStylePr w:type="firstRow">
      <w:rPr>
        <w:rFonts w:ascii="Arial" w:hAnsi="Arial"/>
        <w:b/>
        <w:color w:val="FFFFFF"/>
        <w:sz w:val="22"/>
      </w:rPr>
      <w:tcPr>
        <w:shd w:val="clear" w:color="EF949F" w:themeColor="accent6" w:themeTint="98" w:fill="EF949F" w:themeFill="accent6" w:themeFillTint="98"/>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tcBorders>
          <w:left w:val="single" w:color="EF949F" w:themeColor="accent6" w:themeTint="98" w:sz="4" w:space="0"/>
          <w:right w:val="single" w:color="EF949F" w:themeColor="accent6" w:themeTint="98" w:sz="4" w:space="0"/>
        </w:tcBorders>
      </w:tcPr>
    </w:tblStylePr>
    <w:tblStylePr w:type="band1Horz">
      <w:rPr>
        <w:rFonts w:ascii="Arial" w:hAnsi="Arial"/>
        <w:color w:val="404040"/>
        <w:sz w:val="22"/>
      </w:rPr>
      <w:tcPr>
        <w:tcBorders>
          <w:top w:val="single" w:color="EF949F" w:themeColor="accent6" w:themeTint="98" w:sz="4" w:space="0"/>
          <w:bottom w:val="single" w:color="EF949F" w:themeColor="accent6" w:themeTint="98" w:sz="4" w:space="0"/>
        </w:tcBorders>
      </w:tcPr>
    </w:tblStylePr>
  </w:style>
  <w:style w:type="table" w:customStyle="1" w:styleId="160">
    <w:name w:val="List Table 4 - Accent 1"/>
    <w:basedOn w:val="36"/>
    <w:qFormat/>
    <w:uiPriority w:val="99"/>
    <w:tblPr>
      <w:tblBorders>
        <w:top w:val="single" w:color="97B0E1" w:themeColor="accent1" w:themeTint="90" w:sz="4" w:space="0"/>
        <w:left w:val="single" w:color="97B0E1" w:themeColor="accent1" w:themeTint="90" w:sz="4" w:space="0"/>
        <w:bottom w:val="single" w:color="97B0E1" w:themeColor="accent1" w:themeTint="90" w:sz="4" w:space="0"/>
        <w:right w:val="single" w:color="97B0E1" w:themeColor="accent1" w:themeTint="90" w:sz="4" w:space="0"/>
        <w:insideH w:val="single" w:color="97B0E1" w:themeColor="accent1" w:themeTint="90" w:sz="4" w:space="0"/>
      </w:tblBorders>
    </w:tblPr>
    <w:tblStylePr w:type="firstRow">
      <w:rPr>
        <w:rFonts w:ascii="Arial" w:hAnsi="Arial"/>
        <w:b/>
        <w:color w:val="FFFFFF"/>
        <w:sz w:val="22"/>
      </w:rPr>
      <w:tcPr>
        <w:shd w:val="clear" w:color="4874CB" w:themeColor="accent1" w:fill="4874CB" w:themeFill="accent1"/>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1DCF1" w:themeColor="accent1" w:themeTint="40" w:fill="D1DCF1" w:themeFill="accent1" w:themeFillTint="40"/>
      </w:tcPr>
    </w:tblStylePr>
    <w:tblStylePr w:type="band1Horz">
      <w:rPr>
        <w:rFonts w:ascii="Arial" w:hAnsi="Arial"/>
        <w:color w:val="404040"/>
        <w:sz w:val="22"/>
      </w:rPr>
      <w:tcPr>
        <w:shd w:val="clear" w:color="D1DCF1" w:themeColor="accent1" w:themeTint="40" w:fill="D1DCF1" w:themeFill="accent1" w:themeFillTint="40"/>
      </w:tcPr>
    </w:tblStylePr>
  </w:style>
  <w:style w:type="table" w:customStyle="1" w:styleId="161">
    <w:name w:val="List Table 4 - Accent 2"/>
    <w:basedOn w:val="36"/>
    <w:qFormat/>
    <w:uiPriority w:val="99"/>
    <w:tblPr>
      <w:tblBorders>
        <w:top w:val="single" w:color="F5B889" w:themeColor="accent2" w:themeTint="90" w:sz="4" w:space="0"/>
        <w:left w:val="single" w:color="F5B889" w:themeColor="accent2" w:themeTint="90" w:sz="4" w:space="0"/>
        <w:bottom w:val="single" w:color="F5B889" w:themeColor="accent2" w:themeTint="90" w:sz="4" w:space="0"/>
        <w:right w:val="single" w:color="F5B889" w:themeColor="accent2" w:themeTint="90" w:sz="4" w:space="0"/>
        <w:insideH w:val="single" w:color="F5B889" w:themeColor="accent2" w:themeTint="90" w:sz="4" w:space="0"/>
      </w:tblBorders>
    </w:tblPr>
    <w:tblStylePr w:type="firstRow">
      <w:rPr>
        <w:rFonts w:ascii="Arial" w:hAnsi="Arial"/>
        <w:b/>
        <w:color w:val="FFFFFF"/>
        <w:sz w:val="22"/>
      </w:rPr>
      <w:tcPr>
        <w:shd w:val="clear" w:color="EE822F" w:themeColor="accent2" w:fill="EE822F" w:themeFill="accent2"/>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ADFCA" w:themeColor="accent2" w:themeTint="40" w:fill="FADFCA" w:themeFill="accent2" w:themeFillTint="40"/>
      </w:tcPr>
    </w:tblStylePr>
    <w:tblStylePr w:type="band1Horz">
      <w:rPr>
        <w:rFonts w:ascii="Arial" w:hAnsi="Arial"/>
        <w:color w:val="404040"/>
        <w:sz w:val="22"/>
      </w:rPr>
      <w:tcPr>
        <w:shd w:val="clear" w:color="FADFCA" w:themeColor="accent2" w:themeTint="40" w:fill="FADFCA" w:themeFill="accent2" w:themeFillTint="40"/>
      </w:tcPr>
    </w:tblStylePr>
  </w:style>
  <w:style w:type="table" w:customStyle="1" w:styleId="162">
    <w:name w:val="List Table 4 - Accent 3"/>
    <w:basedOn w:val="36"/>
    <w:qFormat/>
    <w:uiPriority w:val="99"/>
    <w:tblPr>
      <w:tblBorders>
        <w:top w:val="single" w:color="FDDB6A" w:themeColor="accent3" w:themeTint="90" w:sz="4" w:space="0"/>
        <w:left w:val="single" w:color="FDDB6A" w:themeColor="accent3" w:themeTint="90" w:sz="4" w:space="0"/>
        <w:bottom w:val="single" w:color="FDDB6A" w:themeColor="accent3" w:themeTint="90" w:sz="4" w:space="0"/>
        <w:right w:val="single" w:color="FDDB6A" w:themeColor="accent3" w:themeTint="90" w:sz="4" w:space="0"/>
        <w:insideH w:val="single" w:color="FDDB6A" w:themeColor="accent3" w:themeTint="90" w:sz="4" w:space="0"/>
      </w:tblBorders>
    </w:tblPr>
    <w:tblStylePr w:type="firstRow">
      <w:rPr>
        <w:rFonts w:ascii="Arial" w:hAnsi="Arial"/>
        <w:b/>
        <w:color w:val="FFFFFF"/>
        <w:sz w:val="22"/>
      </w:rPr>
      <w:tcPr>
        <w:shd w:val="clear" w:color="F2BA02" w:themeColor="accent3" w:fill="F2BA02" w:themeFill="accent3"/>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EEFBC" w:themeColor="accent3" w:themeTint="40" w:fill="FEEFBC" w:themeFill="accent3" w:themeFillTint="40"/>
      </w:tcPr>
    </w:tblStylePr>
    <w:tblStylePr w:type="band1Horz">
      <w:rPr>
        <w:rFonts w:ascii="Arial" w:hAnsi="Arial"/>
        <w:color w:val="404040"/>
        <w:sz w:val="22"/>
      </w:rPr>
      <w:tcPr>
        <w:shd w:val="clear" w:color="FEEFBC" w:themeColor="accent3" w:themeTint="40" w:fill="FEEFBC" w:themeFill="accent3" w:themeFillTint="40"/>
      </w:tcPr>
    </w:tblStylePr>
  </w:style>
  <w:style w:type="table" w:customStyle="1" w:styleId="163">
    <w:name w:val="List Table 4 - Accent 4"/>
    <w:basedOn w:val="36"/>
    <w:qFormat/>
    <w:uiPriority w:val="99"/>
    <w:tblPr>
      <w:tblBorders>
        <w:top w:val="single" w:color="B1D994" w:themeColor="accent4" w:themeTint="90" w:sz="4" w:space="0"/>
        <w:left w:val="single" w:color="B1D994" w:themeColor="accent4" w:themeTint="90" w:sz="4" w:space="0"/>
        <w:bottom w:val="single" w:color="B1D994" w:themeColor="accent4" w:themeTint="90" w:sz="4" w:space="0"/>
        <w:right w:val="single" w:color="B1D994" w:themeColor="accent4" w:themeTint="90" w:sz="4" w:space="0"/>
        <w:insideH w:val="single" w:color="B1D994" w:themeColor="accent4" w:themeTint="90" w:sz="4" w:space="0"/>
      </w:tblBorders>
    </w:tblPr>
    <w:tblStylePr w:type="firstRow">
      <w:rPr>
        <w:rFonts w:ascii="Arial" w:hAnsi="Arial"/>
        <w:b/>
        <w:color w:val="FFFFFF"/>
        <w:sz w:val="22"/>
      </w:rPr>
      <w:tcPr>
        <w:shd w:val="clear" w:color="75BD42" w:themeColor="accent4" w:fill="75BD42" w:themeFill="accent4"/>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DCEECF" w:themeColor="accent4" w:themeTint="40" w:fill="DCEECF" w:themeFill="accent4" w:themeFillTint="40"/>
      </w:tcPr>
    </w:tblStylePr>
    <w:tblStylePr w:type="band1Horz">
      <w:rPr>
        <w:rFonts w:ascii="Arial" w:hAnsi="Arial"/>
        <w:color w:val="404040"/>
        <w:sz w:val="22"/>
      </w:rPr>
      <w:tcPr>
        <w:shd w:val="clear" w:color="DCEECF" w:themeColor="accent4" w:themeTint="40" w:fill="DCEECF" w:themeFill="accent4" w:themeFillTint="40"/>
      </w:tcPr>
    </w:tblStylePr>
  </w:style>
  <w:style w:type="table" w:customStyle="1" w:styleId="164">
    <w:name w:val="List Table 4 - Accent 5"/>
    <w:basedOn w:val="36"/>
    <w:qFormat/>
    <w:uiPriority w:val="99"/>
    <w:tblPr>
      <w:tblBorders>
        <w:top w:val="single" w:color="85E0D8" w:themeColor="accent5" w:themeTint="90" w:sz="4" w:space="0"/>
        <w:left w:val="single" w:color="85E0D8" w:themeColor="accent5" w:themeTint="90" w:sz="4" w:space="0"/>
        <w:bottom w:val="single" w:color="85E0D8" w:themeColor="accent5" w:themeTint="90" w:sz="4" w:space="0"/>
        <w:right w:val="single" w:color="85E0D8" w:themeColor="accent5" w:themeTint="90" w:sz="4" w:space="0"/>
        <w:insideH w:val="single" w:color="85E0D8" w:themeColor="accent5" w:themeTint="90" w:sz="4" w:space="0"/>
      </w:tblBorders>
    </w:tblPr>
    <w:tblStylePr w:type="firstRow">
      <w:rPr>
        <w:rFonts w:ascii="Arial" w:hAnsi="Arial"/>
        <w:b/>
        <w:color w:val="FFFFFF"/>
        <w:sz w:val="22"/>
      </w:rPr>
      <w:tcPr>
        <w:shd w:val="clear" w:color="30C0B4" w:themeColor="accent5" w:fill="30C0B4" w:themeFill="accent5"/>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C8F1EE" w:themeColor="accent5" w:themeTint="40" w:fill="C8F1EE" w:themeFill="accent5" w:themeFillTint="40"/>
      </w:tcPr>
    </w:tblStylePr>
    <w:tblStylePr w:type="band1Horz">
      <w:rPr>
        <w:rFonts w:ascii="Arial" w:hAnsi="Arial"/>
        <w:color w:val="404040"/>
        <w:sz w:val="22"/>
      </w:rPr>
      <w:tcPr>
        <w:shd w:val="clear" w:color="C8F1EE" w:themeColor="accent5" w:themeTint="40" w:fill="C8F1EE" w:themeFill="accent5" w:themeFillTint="40"/>
      </w:tcPr>
    </w:tblStylePr>
  </w:style>
  <w:style w:type="table" w:customStyle="1" w:styleId="165">
    <w:name w:val="List Table 4 - Accent 6"/>
    <w:basedOn w:val="36"/>
    <w:qFormat/>
    <w:uiPriority w:val="99"/>
    <w:tblPr>
      <w:tblBorders>
        <w:top w:val="single" w:color="F099A4" w:themeColor="accent6" w:themeTint="90" w:sz="4" w:space="0"/>
        <w:left w:val="single" w:color="F099A4" w:themeColor="accent6" w:themeTint="90" w:sz="4" w:space="0"/>
        <w:bottom w:val="single" w:color="F099A4" w:themeColor="accent6" w:themeTint="90" w:sz="4" w:space="0"/>
        <w:right w:val="single" w:color="F099A4" w:themeColor="accent6" w:themeTint="90" w:sz="4" w:space="0"/>
        <w:insideH w:val="single" w:color="F099A4" w:themeColor="accent6" w:themeTint="90" w:sz="4" w:space="0"/>
      </w:tblBorders>
    </w:tblPr>
    <w:tblStylePr w:type="firstRow">
      <w:rPr>
        <w:rFonts w:ascii="Arial" w:hAnsi="Arial"/>
        <w:b/>
        <w:color w:val="FFFFFF"/>
        <w:sz w:val="22"/>
      </w:rPr>
      <w:tcPr>
        <w:shd w:val="clear" w:color="E54C5E" w:themeColor="accent6" w:fill="E54C5E" w:themeFill="accent6"/>
      </w:tcPr>
    </w:tblStylePr>
    <w:tblStylePr w:type="lastRow">
      <w:rPr>
        <w:b/>
        <w:color w:val="404040"/>
      </w:rPr>
    </w:tblStylePr>
    <w:tblStylePr w:type="firstCol">
      <w:rPr>
        <w:b/>
        <w:color w:val="404040"/>
      </w:rPr>
    </w:tblStylePr>
    <w:tblStylePr w:type="lastCol">
      <w:rPr>
        <w:b/>
        <w:color w:val="404040"/>
      </w:rPr>
    </w:tblStylePr>
    <w:tblStylePr w:type="band1Vert">
      <w:rPr>
        <w:rFonts w:ascii="Arial" w:hAnsi="Arial"/>
        <w:color w:val="404040"/>
        <w:sz w:val="22"/>
      </w:rPr>
      <w:tcPr>
        <w:shd w:val="clear" w:color="F8D2D6" w:themeColor="accent6" w:themeTint="40" w:fill="F8D2D6" w:themeFill="accent6" w:themeFillTint="40"/>
      </w:tcPr>
    </w:tblStylePr>
    <w:tblStylePr w:type="band1Horz">
      <w:rPr>
        <w:rFonts w:ascii="Arial" w:hAnsi="Arial"/>
        <w:color w:val="404040"/>
        <w:sz w:val="22"/>
      </w:rPr>
      <w:tcPr>
        <w:shd w:val="clear" w:color="F8D2D6" w:themeColor="accent6" w:themeTint="40" w:fill="F8D2D6" w:themeFill="accent6" w:themeFillTint="40"/>
      </w:tcPr>
    </w:tblStylePr>
  </w:style>
  <w:style w:type="table" w:customStyle="1" w:styleId="166">
    <w:name w:val="List Table 5 Dark - Accent 1"/>
    <w:basedOn w:val="36"/>
    <w:qFormat/>
    <w:uiPriority w:val="99"/>
    <w:tblPr>
      <w:tblBorders>
        <w:top w:val="single" w:color="4874CB" w:themeColor="accent1" w:sz="32" w:space="0"/>
        <w:left w:val="single" w:color="4874CB" w:themeColor="accent1" w:sz="32" w:space="0"/>
        <w:bottom w:val="single" w:color="4874CB" w:themeColor="accent1" w:sz="32" w:space="0"/>
        <w:right w:val="single" w:color="4874CB" w:themeColor="accent1" w:sz="32" w:space="0"/>
      </w:tblBorders>
    </w:tblPr>
    <w:tblStylePr w:type="firstRow">
      <w:rPr>
        <w:rFonts w:ascii="Arial" w:hAnsi="Arial"/>
        <w:b/>
        <w:color w:val="FFFFFF" w:themeColor="light1"/>
        <w:sz w:val="22"/>
        <w14:textFill>
          <w14:solidFill>
            <w14:schemeClr w14:val="lt1"/>
          </w14:solidFill>
        </w14:textFill>
      </w:rPr>
      <w:tcPr>
        <w:tcBorders>
          <w:top w:val="single" w:color="4874CB" w:themeColor="accent1" w:sz="32" w:space="0"/>
          <w:bottom w:val="single" w:color="FFFFFF" w:themeColor="light1" w:sz="12" w:space="0"/>
        </w:tcBorders>
        <w:shd w:val="clear" w:color="4874CB" w:themeColor="accent1" w:fill="4874CB" w:themeFill="accent1"/>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4874CB" w:themeColor="accent1" w:sz="32" w:space="0"/>
          <w:right w:val="single" w:color="FFFFFF" w:themeColor="light1" w:sz="4" w:space="0"/>
        </w:tcBorders>
      </w:tcPr>
    </w:tblStylePr>
    <w:tblStylePr w:type="lastCol">
      <w:tcPr>
        <w:tcBorders>
          <w:left w:val="single" w:color="FFFFFF" w:themeColor="light1" w:sz="4" w:space="0"/>
          <w:right w:val="single" w:color="4874CB" w:themeColor="accent1" w:sz="32" w:space="0"/>
        </w:tcBorders>
      </w:tcPr>
    </w:tblStylePr>
    <w:tblStylePr w:type="band1Vert">
      <w:tcPr>
        <w:tcBorders>
          <w:left w:val="single" w:color="FFFFFF" w:themeColor="light1" w:sz="4" w:space="0"/>
          <w:right w:val="single" w:color="FFFFFF" w:themeColor="light1" w:sz="4" w:space="0"/>
        </w:tcBorders>
        <w:shd w:val="clear" w:color="4874CB" w:themeColor="accent1" w:fill="4874CB" w:themeFill="accent1"/>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4874CB" w:themeColor="accent1" w:fill="4874CB" w:themeFill="accent1"/>
      </w:tcPr>
    </w:tblStylePr>
    <w:tblStylePr w:type="band2Horz">
      <w:tcPr>
        <w:tcBorders>
          <w:top w:val="single" w:color="FFFFFF" w:themeColor="light1" w:sz="4" w:space="0"/>
          <w:bottom w:val="single" w:color="FFFFFF" w:themeColor="light1" w:sz="4" w:space="0"/>
        </w:tcBorders>
        <w:shd w:val="clear" w:color="4874CB" w:themeColor="accent1" w:fill="4874CB" w:themeFill="accent1"/>
      </w:tcPr>
    </w:tblStylePr>
  </w:style>
  <w:style w:type="table" w:customStyle="1" w:styleId="167">
    <w:name w:val="List Table 5 Dark - Accent 2"/>
    <w:basedOn w:val="36"/>
    <w:qFormat/>
    <w:uiPriority w:val="99"/>
    <w:tblPr>
      <w:tblBorders>
        <w:top w:val="single" w:color="F4B483" w:themeColor="accent2" w:themeTint="97" w:sz="32" w:space="0"/>
        <w:left w:val="single" w:color="F4B483" w:themeColor="accent2" w:themeTint="97" w:sz="32" w:space="0"/>
        <w:bottom w:val="single" w:color="F4B483" w:themeColor="accent2" w:themeTint="97" w:sz="32" w:space="0"/>
        <w:right w:val="single" w:color="F4B483" w:themeColor="accent2" w:themeTint="97" w:sz="32" w:space="0"/>
      </w:tblBorders>
    </w:tblPr>
    <w:tblStylePr w:type="firstRow">
      <w:rPr>
        <w:rFonts w:ascii="Arial" w:hAnsi="Arial"/>
        <w:b/>
        <w:color w:val="FFFFFF" w:themeColor="light1"/>
        <w:sz w:val="22"/>
        <w14:textFill>
          <w14:solidFill>
            <w14:schemeClr w14:val="lt1"/>
          </w14:solidFill>
        </w14:textFill>
      </w:rPr>
      <w:tcPr>
        <w:tcBorders>
          <w:top w:val="single" w:color="F4B483" w:themeColor="accent2" w:themeTint="97" w:sz="32" w:space="0"/>
          <w:bottom w:val="single" w:color="FFFFFF" w:themeColor="light1" w:sz="12" w:space="0"/>
        </w:tcBorders>
        <w:shd w:val="clear" w:color="F4B483" w:themeColor="accent2" w:themeTint="97" w:fill="F4B483" w:themeFill="accent2" w:themeFillTint="97"/>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4B483" w:themeColor="accent2" w:themeTint="97" w:sz="32" w:space="0"/>
          <w:right w:val="single" w:color="FFFFFF" w:themeColor="light1" w:sz="4" w:space="0"/>
        </w:tcBorders>
      </w:tcPr>
    </w:tblStylePr>
    <w:tblStylePr w:type="lastCol">
      <w:tcPr>
        <w:tcBorders>
          <w:left w:val="single" w:color="FFFFFF" w:themeColor="light1" w:sz="4" w:space="0"/>
          <w:right w:val="single" w:color="F4B483" w:themeColor="accent2" w:themeTint="97" w:sz="32" w:space="0"/>
        </w:tcBorders>
      </w:tcPr>
    </w:tblStylePr>
    <w:tblStylePr w:type="band1Vert">
      <w:tcPr>
        <w:tcBorders>
          <w:left w:val="single" w:color="FFFFFF" w:themeColor="light1" w:sz="4" w:space="0"/>
          <w:right w:val="single" w:color="FFFFFF" w:themeColor="light1" w:sz="4" w:space="0"/>
        </w:tcBorders>
        <w:shd w:val="clear" w:color="F4B483" w:themeColor="accent2" w:themeTint="97" w:fill="F4B483" w:themeFill="accent2" w:themeFillTint="97"/>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tblStylePr w:type="band2Horz">
      <w:tcPr>
        <w:tcBorders>
          <w:top w:val="single" w:color="FFFFFF" w:themeColor="light1" w:sz="4" w:space="0"/>
          <w:bottom w:val="single" w:color="FFFFFF" w:themeColor="light1" w:sz="4" w:space="0"/>
        </w:tcBorders>
        <w:shd w:val="clear" w:color="F4B483" w:themeColor="accent2" w:themeTint="97" w:fill="F4B483" w:themeFill="accent2" w:themeFillTint="97"/>
      </w:tcPr>
    </w:tblStylePr>
  </w:style>
  <w:style w:type="table" w:customStyle="1" w:styleId="168">
    <w:name w:val="List Table 5 Dark - Accent 3"/>
    <w:basedOn w:val="36"/>
    <w:qFormat/>
    <w:uiPriority w:val="99"/>
    <w:tblPr>
      <w:tblBorders>
        <w:top w:val="single" w:color="FDD961" w:themeColor="accent3" w:themeTint="98" w:sz="32" w:space="0"/>
        <w:left w:val="single" w:color="FDD961" w:themeColor="accent3" w:themeTint="98" w:sz="32" w:space="0"/>
        <w:bottom w:val="single" w:color="FDD961" w:themeColor="accent3" w:themeTint="98" w:sz="32" w:space="0"/>
        <w:right w:val="single" w:color="FDD961" w:themeColor="accent3" w:themeTint="98" w:sz="32" w:space="0"/>
      </w:tblBorders>
    </w:tblPr>
    <w:tblStylePr w:type="firstRow">
      <w:rPr>
        <w:rFonts w:ascii="Arial" w:hAnsi="Arial"/>
        <w:b/>
        <w:color w:val="FFFFFF" w:themeColor="light1"/>
        <w:sz w:val="22"/>
        <w14:textFill>
          <w14:solidFill>
            <w14:schemeClr w14:val="lt1"/>
          </w14:solidFill>
        </w14:textFill>
      </w:rPr>
      <w:tcPr>
        <w:tcBorders>
          <w:top w:val="single" w:color="FDD961" w:themeColor="accent3" w:themeTint="98" w:sz="32" w:space="0"/>
          <w:bottom w:val="single" w:color="FFFFFF" w:themeColor="light1" w:sz="12" w:space="0"/>
        </w:tcBorders>
        <w:shd w:val="clear" w:color="FDD961" w:themeColor="accent3" w:themeTint="98" w:fill="FDD961" w:themeFill="accent3"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FDD961" w:themeColor="accent3" w:themeTint="98" w:sz="32" w:space="0"/>
          <w:right w:val="single" w:color="FFFFFF" w:themeColor="light1" w:sz="4" w:space="0"/>
        </w:tcBorders>
      </w:tcPr>
    </w:tblStylePr>
    <w:tblStylePr w:type="lastCol">
      <w:tcPr>
        <w:tcBorders>
          <w:left w:val="single" w:color="FFFFFF" w:themeColor="light1" w:sz="4" w:space="0"/>
          <w:right w:val="single" w:color="FDD961" w:themeColor="accent3" w:themeTint="98" w:sz="32" w:space="0"/>
        </w:tcBorders>
      </w:tcPr>
    </w:tblStylePr>
    <w:tblStylePr w:type="band1Vert">
      <w:tcPr>
        <w:tcBorders>
          <w:left w:val="single" w:color="FFFFFF" w:themeColor="light1" w:sz="4" w:space="0"/>
          <w:right w:val="single" w:color="FFFFFF" w:themeColor="light1" w:sz="4" w:space="0"/>
        </w:tcBorders>
        <w:shd w:val="clear" w:color="FDD961" w:themeColor="accent3" w:themeTint="98" w:fill="FDD961" w:themeFill="accent3"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tblStylePr w:type="band2Horz">
      <w:tcPr>
        <w:tcBorders>
          <w:top w:val="single" w:color="FFFFFF" w:themeColor="light1" w:sz="4" w:space="0"/>
          <w:bottom w:val="single" w:color="FFFFFF" w:themeColor="light1" w:sz="4" w:space="0"/>
        </w:tcBorders>
        <w:shd w:val="clear" w:color="FDD961" w:themeColor="accent3" w:themeTint="98" w:fill="FDD961" w:themeFill="accent3" w:themeFillTint="98"/>
      </w:tcPr>
    </w:tblStylePr>
  </w:style>
  <w:style w:type="table" w:customStyle="1" w:styleId="169">
    <w:name w:val="List Table 5 Dark - Accent 4"/>
    <w:basedOn w:val="36"/>
    <w:qFormat/>
    <w:uiPriority w:val="99"/>
    <w:tblPr>
      <w:tblBorders>
        <w:top w:val="single" w:color="ABD78C" w:themeColor="accent4" w:themeTint="9A" w:sz="32" w:space="0"/>
        <w:left w:val="single" w:color="ABD78C" w:themeColor="accent4" w:themeTint="9A" w:sz="32" w:space="0"/>
        <w:bottom w:val="single" w:color="ABD78C" w:themeColor="accent4" w:themeTint="9A" w:sz="32" w:space="0"/>
        <w:right w:val="single" w:color="ABD78C" w:themeColor="accent4" w:themeTint="9A" w:sz="32" w:space="0"/>
      </w:tblBorders>
    </w:tblPr>
    <w:tblStylePr w:type="firstRow">
      <w:rPr>
        <w:rFonts w:ascii="Arial" w:hAnsi="Arial"/>
        <w:b/>
        <w:color w:val="FFFFFF" w:themeColor="light1"/>
        <w:sz w:val="22"/>
        <w14:textFill>
          <w14:solidFill>
            <w14:schemeClr w14:val="lt1"/>
          </w14:solidFill>
        </w14:textFill>
      </w:rPr>
      <w:tcPr>
        <w:tcBorders>
          <w:top w:val="single" w:color="ABD78C" w:themeColor="accent4" w:themeTint="9A" w:sz="32" w:space="0"/>
          <w:bottom w:val="single" w:color="FFFFFF" w:themeColor="light1" w:sz="12" w:space="0"/>
        </w:tcBorders>
        <w:shd w:val="clear" w:color="ABD78C" w:themeColor="accent4" w:themeTint="9A" w:fill="ABD78C" w:themeFill="accent4"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ABD78C" w:themeColor="accent4" w:themeTint="9A" w:sz="32" w:space="0"/>
          <w:right w:val="single" w:color="FFFFFF" w:themeColor="light1" w:sz="4" w:space="0"/>
        </w:tcBorders>
      </w:tcPr>
    </w:tblStylePr>
    <w:tblStylePr w:type="lastCol">
      <w:tcPr>
        <w:tcBorders>
          <w:left w:val="single" w:color="FFFFFF" w:themeColor="light1" w:sz="4" w:space="0"/>
          <w:right w:val="single" w:color="ABD78C" w:themeColor="accent4" w:themeTint="9A" w:sz="32" w:space="0"/>
        </w:tcBorders>
      </w:tcPr>
    </w:tblStylePr>
    <w:tblStylePr w:type="band1Vert">
      <w:tcPr>
        <w:tcBorders>
          <w:left w:val="single" w:color="FFFFFF" w:themeColor="light1" w:sz="4" w:space="0"/>
          <w:right w:val="single" w:color="FFFFFF" w:themeColor="light1" w:sz="4" w:space="0"/>
        </w:tcBorders>
        <w:shd w:val="clear" w:color="ABD78C" w:themeColor="accent4" w:themeTint="9A" w:fill="ABD78C" w:themeFill="accent4"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tblStylePr w:type="band2Horz">
      <w:tcPr>
        <w:tcBorders>
          <w:top w:val="single" w:color="FFFFFF" w:themeColor="light1" w:sz="4" w:space="0"/>
          <w:bottom w:val="single" w:color="FFFFFF" w:themeColor="light1" w:sz="4" w:space="0"/>
        </w:tcBorders>
        <w:shd w:val="clear" w:color="ABD78C" w:themeColor="accent4" w:themeTint="9A" w:fill="ABD78C" w:themeFill="accent4" w:themeFillTint="9A"/>
      </w:tcPr>
    </w:tblStylePr>
  </w:style>
  <w:style w:type="table" w:customStyle="1" w:styleId="170">
    <w:name w:val="List Table 5 Dark - Accent 5"/>
    <w:basedOn w:val="36"/>
    <w:qFormat/>
    <w:uiPriority w:val="99"/>
    <w:tblPr>
      <w:tblBorders>
        <w:top w:val="single" w:color="7CDED6" w:themeColor="accent5" w:themeTint="9A" w:sz="32" w:space="0"/>
        <w:left w:val="single" w:color="7CDED6" w:themeColor="accent5" w:themeTint="9A" w:sz="32" w:space="0"/>
        <w:bottom w:val="single" w:color="7CDED6" w:themeColor="accent5" w:themeTint="9A" w:sz="32" w:space="0"/>
        <w:right w:val="single" w:color="7CDED6" w:themeColor="accent5" w:themeTint="9A" w:sz="32" w:space="0"/>
      </w:tblBorders>
    </w:tblPr>
    <w:tblStylePr w:type="firstRow">
      <w:rPr>
        <w:rFonts w:ascii="Arial" w:hAnsi="Arial"/>
        <w:b/>
        <w:color w:val="FFFFFF" w:themeColor="light1"/>
        <w:sz w:val="22"/>
        <w14:textFill>
          <w14:solidFill>
            <w14:schemeClr w14:val="lt1"/>
          </w14:solidFill>
        </w14:textFill>
      </w:rPr>
      <w:tcPr>
        <w:tcBorders>
          <w:top w:val="single" w:color="7CDED6" w:themeColor="accent5" w:themeTint="9A" w:sz="32" w:space="0"/>
          <w:bottom w:val="single" w:color="FFFFFF" w:themeColor="light1" w:sz="12" w:space="0"/>
        </w:tcBorders>
        <w:shd w:val="clear" w:color="7CDED6" w:themeColor="accent5" w:themeTint="9A" w:fill="7CDED6" w:themeFill="accent5" w:themeFillTint="9A"/>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7CDED6" w:themeColor="accent5" w:themeTint="9A" w:sz="32" w:space="0"/>
          <w:right w:val="single" w:color="FFFFFF" w:themeColor="light1" w:sz="4" w:space="0"/>
        </w:tcBorders>
      </w:tcPr>
    </w:tblStylePr>
    <w:tblStylePr w:type="lastCol">
      <w:tcPr>
        <w:tcBorders>
          <w:left w:val="single" w:color="FFFFFF" w:themeColor="light1" w:sz="4" w:space="0"/>
          <w:right w:val="single" w:color="7CDED6" w:themeColor="accent5" w:themeTint="9A" w:sz="32" w:space="0"/>
        </w:tcBorders>
      </w:tcPr>
    </w:tblStylePr>
    <w:tblStylePr w:type="band1Vert">
      <w:tcPr>
        <w:tcBorders>
          <w:left w:val="single" w:color="FFFFFF" w:themeColor="light1" w:sz="4" w:space="0"/>
          <w:right w:val="single" w:color="FFFFFF" w:themeColor="light1" w:sz="4" w:space="0"/>
        </w:tcBorders>
        <w:shd w:val="clear" w:color="7CDED6" w:themeColor="accent5" w:themeTint="9A" w:fill="7CDED6" w:themeFill="accent5" w:themeFillTint="9A"/>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tblStylePr w:type="band2Horz">
      <w:tcPr>
        <w:tcBorders>
          <w:top w:val="single" w:color="FFFFFF" w:themeColor="light1" w:sz="4" w:space="0"/>
          <w:bottom w:val="single" w:color="FFFFFF" w:themeColor="light1" w:sz="4" w:space="0"/>
        </w:tcBorders>
        <w:shd w:val="clear" w:color="7CDED6" w:themeColor="accent5" w:themeTint="9A" w:fill="7CDED6" w:themeFill="accent5" w:themeFillTint="9A"/>
      </w:tcPr>
    </w:tblStylePr>
  </w:style>
  <w:style w:type="table" w:customStyle="1" w:styleId="171">
    <w:name w:val="List Table 5 Dark - Accent 6"/>
    <w:basedOn w:val="36"/>
    <w:qFormat/>
    <w:uiPriority w:val="99"/>
    <w:tblPr>
      <w:tblBorders>
        <w:top w:val="single" w:color="EF949F" w:themeColor="accent6" w:themeTint="98" w:sz="32" w:space="0"/>
        <w:left w:val="single" w:color="EF949F" w:themeColor="accent6" w:themeTint="98" w:sz="32" w:space="0"/>
        <w:bottom w:val="single" w:color="EF949F" w:themeColor="accent6" w:themeTint="98" w:sz="32" w:space="0"/>
        <w:right w:val="single" w:color="EF949F" w:themeColor="accent6" w:themeTint="98" w:sz="32" w:space="0"/>
      </w:tblBorders>
    </w:tblPr>
    <w:tblStylePr w:type="firstRow">
      <w:rPr>
        <w:rFonts w:ascii="Arial" w:hAnsi="Arial"/>
        <w:b/>
        <w:color w:val="FFFFFF" w:themeColor="light1"/>
        <w:sz w:val="22"/>
        <w14:textFill>
          <w14:solidFill>
            <w14:schemeClr w14:val="lt1"/>
          </w14:solidFill>
        </w14:textFill>
      </w:rPr>
      <w:tcPr>
        <w:tcBorders>
          <w:top w:val="single" w:color="EF949F" w:themeColor="accent6" w:themeTint="98" w:sz="32" w:space="0"/>
          <w:bottom w:val="single" w:color="FFFFFF" w:themeColor="light1" w:sz="12" w:space="0"/>
        </w:tcBorders>
        <w:shd w:val="clear" w:color="EF949F" w:themeColor="accent6" w:themeTint="98" w:fill="EF949F" w:themeFill="accent6" w:themeFillTint="98"/>
      </w:tcPr>
    </w:tblStylePr>
    <w:tblStylePr w:type="lastRow">
      <w:rPr>
        <w:rFonts w:ascii="Arial" w:hAnsi="Arial"/>
        <w:b/>
        <w:color w:val="FFFFFF" w:themeColor="light1"/>
        <w:sz w:val="22"/>
        <w14:textFill>
          <w14:solidFill>
            <w14:schemeClr w14:val="lt1"/>
          </w14:solidFill>
        </w14:textFill>
      </w:rPr>
    </w:tblStylePr>
    <w:tblStylePr w:type="firstCol">
      <w:rPr>
        <w:rFonts w:ascii="Arial" w:hAnsi="Arial"/>
        <w:b/>
        <w:color w:val="FFFFFF" w:themeColor="light1"/>
        <w:sz w:val="22"/>
        <w14:textFill>
          <w14:solidFill>
            <w14:schemeClr w14:val="lt1"/>
          </w14:solidFill>
        </w14:textFill>
      </w:rPr>
      <w:tcPr>
        <w:tcBorders>
          <w:left w:val="single" w:color="EF949F" w:themeColor="accent6" w:themeTint="98" w:sz="32" w:space="0"/>
          <w:right w:val="single" w:color="FFFFFF" w:themeColor="light1" w:sz="4" w:space="0"/>
        </w:tcBorders>
      </w:tcPr>
    </w:tblStylePr>
    <w:tblStylePr w:type="lastCol">
      <w:tcPr>
        <w:tcBorders>
          <w:left w:val="single" w:color="FFFFFF" w:themeColor="light1" w:sz="4" w:space="0"/>
          <w:right w:val="single" w:color="EF949F" w:themeColor="accent6" w:themeTint="98" w:sz="32" w:space="0"/>
        </w:tcBorders>
      </w:tcPr>
    </w:tblStylePr>
    <w:tblStylePr w:type="band1Vert">
      <w:tcPr>
        <w:tcBorders>
          <w:left w:val="single" w:color="FFFFFF" w:themeColor="light1" w:sz="4" w:space="0"/>
          <w:right w:val="single" w:color="FFFFFF" w:themeColor="light1" w:sz="4" w:space="0"/>
        </w:tcBorders>
        <w:shd w:val="clear" w:color="EF949F" w:themeColor="accent6" w:themeTint="98" w:fill="EF949F" w:themeFill="accent6" w:themeFillTint="98"/>
      </w:tcPr>
    </w:tblStylePr>
    <w:tblStylePr w:type="band2Vert">
      <w:tcPr>
        <w:tcBorders>
          <w:left w:val="single" w:color="FFFFFF" w:themeColor="light1" w:sz="4" w:space="0"/>
          <w:right w:val="single" w:color="FFFFFF" w:themeColor="light1" w:sz="4" w:space="0"/>
        </w:tcBorders>
      </w:tcPr>
    </w:tblStylePr>
    <w:tblStylePr w:type="band1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tblStylePr w:type="band2Horz">
      <w:tcPr>
        <w:tcBorders>
          <w:top w:val="single" w:color="FFFFFF" w:themeColor="light1" w:sz="4" w:space="0"/>
          <w:bottom w:val="single" w:color="FFFFFF" w:themeColor="light1" w:sz="4" w:space="0"/>
        </w:tcBorders>
        <w:shd w:val="clear" w:color="EF949F" w:themeColor="accent6" w:themeTint="98" w:fill="EF949F" w:themeFill="accent6" w:themeFillTint="98"/>
      </w:tcPr>
    </w:tblStylePr>
  </w:style>
  <w:style w:type="table" w:customStyle="1" w:styleId="172">
    <w:name w:val="List Table 6 Colorful - Accent 1"/>
    <w:basedOn w:val="36"/>
    <w:qFormat/>
    <w:uiPriority w:val="99"/>
    <w:tblPr>
      <w:tblBorders>
        <w:top w:val="single" w:color="4874CB" w:themeColor="accent1" w:sz="4" w:space="0"/>
        <w:bottom w:val="single" w:color="4874CB" w:themeColor="accent1" w:sz="4" w:space="0"/>
      </w:tblBorders>
    </w:tblPr>
    <w:tblStylePr w:type="firstRow">
      <w:rPr>
        <w:b/>
        <w:color w:val="23417C" w:themeColor="accent1" w:themeShade="94"/>
      </w:rPr>
      <w:tcPr>
        <w:tcBorders>
          <w:bottom w:val="single" w:color="4874CB" w:themeColor="accent1" w:sz="4" w:space="0"/>
        </w:tcBorders>
      </w:tcPr>
    </w:tblStylePr>
    <w:tblStylePr w:type="lastRow">
      <w:rPr>
        <w:b/>
        <w:color w:val="23417C" w:themeColor="accent1" w:themeShade="94"/>
      </w:rPr>
      <w:tcPr>
        <w:tcBorders>
          <w:top w:val="single" w:color="4874CB" w:themeColor="accent1" w:sz="4" w:space="0"/>
        </w:tcBorders>
      </w:tcPr>
    </w:tblStylePr>
    <w:tblStylePr w:type="firstCol">
      <w:rPr>
        <w:b/>
        <w:color w:val="23417C" w:themeColor="accent1" w:themeShade="94"/>
      </w:rPr>
    </w:tblStylePr>
    <w:tblStylePr w:type="lastCol">
      <w:rPr>
        <w:b/>
        <w:color w:val="23417C" w:themeColor="accent1" w:themeShade="94"/>
      </w:r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73">
    <w:name w:val="List Table 6 Colorful - Accent 2"/>
    <w:basedOn w:val="36"/>
    <w:qFormat/>
    <w:uiPriority w:val="99"/>
    <w:tblPr>
      <w:tblBorders>
        <w:top w:val="single" w:color="F4B483" w:themeColor="accent2" w:themeTint="97" w:sz="4" w:space="0"/>
        <w:bottom w:val="single" w:color="F4B483" w:themeColor="accent2" w:themeTint="97" w:sz="4" w:space="0"/>
      </w:tblBorders>
    </w:tblPr>
    <w:tblStylePr w:type="firstRow">
      <w:rPr>
        <w:b/>
        <w:color w:val="F5B584" w:themeColor="accent2" w:themeTint="96"/>
        <w14:textFill>
          <w14:solidFill>
            <w14:schemeClr w14:val="accent2">
              <w14:lumMod w14:val="59000"/>
              <w14:lumOff w14:val="41000"/>
            </w14:schemeClr>
          </w14:solidFill>
        </w14:textFill>
      </w:rPr>
      <w:tcPr>
        <w:tcBorders>
          <w:bottom w:val="single" w:color="F4B483" w:themeColor="accent2" w:themeTint="97" w:sz="4" w:space="0"/>
        </w:tcBorders>
      </w:tcPr>
    </w:tblStylePr>
    <w:tblStylePr w:type="lastRow">
      <w:rPr>
        <w:b/>
        <w:color w:val="F5B584" w:themeColor="accent2" w:themeTint="96"/>
        <w14:textFill>
          <w14:solidFill>
            <w14:schemeClr w14:val="accent2">
              <w14:lumMod w14:val="59000"/>
              <w14:lumOff w14:val="41000"/>
            </w14:schemeClr>
          </w14:solidFill>
        </w14:textFill>
      </w:rPr>
      <w:tcPr>
        <w:tcBorders>
          <w:top w:val="single" w:color="F4B483" w:themeColor="accent2" w:themeTint="97" w:sz="4" w:space="0"/>
        </w:tcBorders>
      </w:tcPr>
    </w:tblStylePr>
    <w:tblStylePr w:type="firstCol">
      <w:rPr>
        <w:b/>
        <w:color w:val="F5B584" w:themeColor="accent2" w:themeTint="96"/>
        <w14:textFill>
          <w14:solidFill>
            <w14:schemeClr w14:val="accent2">
              <w14:lumMod w14:val="59000"/>
              <w14:lumOff w14:val="41000"/>
            </w14:schemeClr>
          </w14:solidFill>
        </w14:textFill>
      </w:rPr>
    </w:tblStylePr>
    <w:tblStylePr w:type="lastCol">
      <w:rPr>
        <w:b/>
        <w:color w:val="F5B584" w:themeColor="accent2" w:themeTint="96"/>
        <w14:textFill>
          <w14:solidFill>
            <w14:schemeClr w14:val="accent2">
              <w14:lumMod w14:val="59000"/>
              <w14:lumOff w14:val="41000"/>
            </w14:schemeClr>
          </w14:solidFill>
        </w14:textFill>
      </w:r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74">
    <w:name w:val="List Table 6 Colorful - Accent 3"/>
    <w:basedOn w:val="36"/>
    <w:qFormat/>
    <w:uiPriority w:val="99"/>
    <w:tblPr>
      <w:tblBorders>
        <w:top w:val="single" w:color="FDD961" w:themeColor="accent3" w:themeTint="98" w:sz="4" w:space="0"/>
        <w:bottom w:val="single" w:color="FDD961" w:themeColor="accent3" w:themeTint="98" w:sz="4" w:space="0"/>
      </w:tblBorders>
    </w:tblPr>
    <w:tblStylePr w:type="firstRow">
      <w:rPr>
        <w:b/>
        <w:color w:val="FED961" w:themeColor="accent3" w:themeTint="99"/>
        <w14:textFill>
          <w14:solidFill>
            <w14:schemeClr w14:val="accent3">
              <w14:lumMod w14:val="60000"/>
              <w14:lumOff w14:val="40000"/>
            </w14:schemeClr>
          </w14:solidFill>
        </w14:textFill>
      </w:rPr>
      <w:tcPr>
        <w:tcBorders>
          <w:bottom w:val="single" w:color="FDD961" w:themeColor="accent3" w:themeTint="98" w:sz="4" w:space="0"/>
        </w:tcBorders>
      </w:tcPr>
    </w:tblStylePr>
    <w:tblStylePr w:type="lastRow">
      <w:rPr>
        <w:b/>
        <w:color w:val="FED961" w:themeColor="accent3" w:themeTint="99"/>
        <w14:textFill>
          <w14:solidFill>
            <w14:schemeClr w14:val="accent3">
              <w14:lumMod w14:val="60000"/>
              <w14:lumOff w14:val="40000"/>
            </w14:schemeClr>
          </w14:solidFill>
        </w14:textFill>
      </w:rPr>
      <w:tcPr>
        <w:tcBorders>
          <w:top w:val="single" w:color="FDD961" w:themeColor="accent3" w:themeTint="98" w:sz="4" w:space="0"/>
        </w:tcBorders>
      </w:tcPr>
    </w:tblStylePr>
    <w:tblStylePr w:type="firstCol">
      <w:rPr>
        <w:b/>
        <w:color w:val="FED961" w:themeColor="accent3" w:themeTint="99"/>
        <w14:textFill>
          <w14:solidFill>
            <w14:schemeClr w14:val="accent3">
              <w14:lumMod w14:val="60000"/>
              <w14:lumOff w14:val="40000"/>
            </w14:schemeClr>
          </w14:solidFill>
        </w14:textFill>
      </w:rPr>
    </w:tblStylePr>
    <w:tblStylePr w:type="lastCol">
      <w:rPr>
        <w:b/>
        <w:color w:val="FED961" w:themeColor="accent3" w:themeTint="99"/>
        <w14:textFill>
          <w14:solidFill>
            <w14:schemeClr w14:val="accent3">
              <w14:lumMod w14:val="60000"/>
              <w14:lumOff w14:val="40000"/>
            </w14:schemeClr>
          </w14:solidFill>
        </w14:textFill>
      </w:r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75">
    <w:name w:val="List Table 6 Colorful - Accent 4"/>
    <w:basedOn w:val="36"/>
    <w:qFormat/>
    <w:uiPriority w:val="99"/>
    <w:tblPr>
      <w:tblBorders>
        <w:top w:val="single" w:color="ABD78C" w:themeColor="accent4" w:themeTint="9A" w:sz="4" w:space="0"/>
        <w:bottom w:val="single" w:color="ABD78C" w:themeColor="accent4" w:themeTint="9A" w:sz="4" w:space="0"/>
      </w:tblBorders>
    </w:tblPr>
    <w:tblStylePr w:type="firstRow">
      <w:rPr>
        <w:b/>
        <w:color w:val="ACD78E" w:themeColor="accent4" w:themeTint="99"/>
        <w14:textFill>
          <w14:solidFill>
            <w14:schemeClr w14:val="accent4">
              <w14:lumMod w14:val="60000"/>
              <w14:lumOff w14:val="40000"/>
            </w14:schemeClr>
          </w14:solidFill>
        </w14:textFill>
      </w:rPr>
      <w:tcPr>
        <w:tcBorders>
          <w:bottom w:val="single" w:color="ABD78C" w:themeColor="accent4" w:themeTint="9A" w:sz="4" w:space="0"/>
        </w:tcBorders>
      </w:tcPr>
    </w:tblStylePr>
    <w:tblStylePr w:type="lastRow">
      <w:rPr>
        <w:b/>
        <w:color w:val="ACD78E" w:themeColor="accent4" w:themeTint="99"/>
        <w14:textFill>
          <w14:solidFill>
            <w14:schemeClr w14:val="accent4">
              <w14:lumMod w14:val="60000"/>
              <w14:lumOff w14:val="40000"/>
            </w14:schemeClr>
          </w14:solidFill>
        </w14:textFill>
      </w:rPr>
      <w:tcPr>
        <w:tcBorders>
          <w:top w:val="single" w:color="ABD78C" w:themeColor="accent4" w:themeTint="9A" w:sz="4" w:space="0"/>
        </w:tcBorders>
      </w:tcPr>
    </w:tblStylePr>
    <w:tblStylePr w:type="firstCol">
      <w:rPr>
        <w:b/>
        <w:color w:val="ACD78E" w:themeColor="accent4" w:themeTint="99"/>
        <w14:textFill>
          <w14:solidFill>
            <w14:schemeClr w14:val="accent4">
              <w14:lumMod w14:val="60000"/>
              <w14:lumOff w14:val="40000"/>
            </w14:schemeClr>
          </w14:solidFill>
        </w14:textFill>
      </w:rPr>
    </w:tblStylePr>
    <w:tblStylePr w:type="lastCol">
      <w:rPr>
        <w:b/>
        <w:color w:val="ACD78E" w:themeColor="accent4" w:themeTint="99"/>
        <w14:textFill>
          <w14:solidFill>
            <w14:schemeClr w14:val="accent4">
              <w14:lumMod w14:val="60000"/>
              <w14:lumOff w14:val="40000"/>
            </w14:schemeClr>
          </w14:solidFill>
        </w14:textFill>
      </w:r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76">
    <w:name w:val="List Table 6 Colorful - Accent 5"/>
    <w:basedOn w:val="36"/>
    <w:qFormat/>
    <w:uiPriority w:val="99"/>
    <w:tblPr>
      <w:tblBorders>
        <w:top w:val="single" w:color="7CDED6" w:themeColor="accent5" w:themeTint="9A" w:sz="4" w:space="0"/>
        <w:bottom w:val="single" w:color="7CDED6" w:themeColor="accent5" w:themeTint="9A" w:sz="4" w:space="0"/>
      </w:tblBorders>
    </w:tblPr>
    <w:tblStylePr w:type="firstRow">
      <w:rPr>
        <w:b/>
        <w:color w:val="7DDFD7" w:themeColor="accent5" w:themeTint="99"/>
        <w14:textFill>
          <w14:solidFill>
            <w14:schemeClr w14:val="accent5">
              <w14:lumMod w14:val="60000"/>
              <w14:lumOff w14:val="40000"/>
            </w14:schemeClr>
          </w14:solidFill>
        </w14:textFill>
      </w:rPr>
      <w:tcPr>
        <w:tcBorders>
          <w:bottom w:val="single" w:color="7CDED6" w:themeColor="accent5" w:themeTint="9A" w:sz="4" w:space="0"/>
        </w:tcBorders>
      </w:tcPr>
    </w:tblStylePr>
    <w:tblStylePr w:type="lastRow">
      <w:rPr>
        <w:b/>
        <w:color w:val="7DDFD7" w:themeColor="accent5" w:themeTint="99"/>
        <w14:textFill>
          <w14:solidFill>
            <w14:schemeClr w14:val="accent5">
              <w14:lumMod w14:val="60000"/>
              <w14:lumOff w14:val="40000"/>
            </w14:schemeClr>
          </w14:solidFill>
        </w14:textFill>
      </w:rPr>
      <w:tcPr>
        <w:tcBorders>
          <w:top w:val="single" w:color="7CDED6" w:themeColor="accent5" w:themeTint="9A" w:sz="4" w:space="0"/>
        </w:tcBorders>
      </w:tcPr>
    </w:tblStylePr>
    <w:tblStylePr w:type="firstCol">
      <w:rPr>
        <w:b/>
        <w:color w:val="7DDFD7" w:themeColor="accent5" w:themeTint="99"/>
        <w14:textFill>
          <w14:solidFill>
            <w14:schemeClr w14:val="accent5">
              <w14:lumMod w14:val="60000"/>
              <w14:lumOff w14:val="40000"/>
            </w14:schemeClr>
          </w14:solidFill>
        </w14:textFill>
      </w:rPr>
    </w:tblStylePr>
    <w:tblStylePr w:type="lastCol">
      <w:rPr>
        <w:b/>
        <w:color w:val="7DDFD7" w:themeColor="accent5" w:themeTint="99"/>
        <w14:textFill>
          <w14:solidFill>
            <w14:schemeClr w14:val="accent5">
              <w14:lumMod w14:val="60000"/>
              <w14:lumOff w14:val="40000"/>
            </w14:schemeClr>
          </w14:solidFill>
        </w14:textFill>
      </w:r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77">
    <w:name w:val="List Table 6 Colorful - Accent 6"/>
    <w:basedOn w:val="36"/>
    <w:qFormat/>
    <w:uiPriority w:val="99"/>
    <w:tblPr>
      <w:tblBorders>
        <w:top w:val="single" w:color="EF949F" w:themeColor="accent6" w:themeTint="98" w:sz="4" w:space="0"/>
        <w:bottom w:val="single" w:color="EF949F" w:themeColor="accent6" w:themeTint="98" w:sz="4" w:space="0"/>
      </w:tblBorders>
    </w:tblPr>
    <w:tblStylePr w:type="firstRow">
      <w:rPr>
        <w:b/>
        <w:color w:val="EF949E" w:themeColor="accent6" w:themeTint="99"/>
        <w14:textFill>
          <w14:solidFill>
            <w14:schemeClr w14:val="accent6">
              <w14:lumMod w14:val="60000"/>
              <w14:lumOff w14:val="40000"/>
            </w14:schemeClr>
          </w14:solidFill>
        </w14:textFill>
      </w:rPr>
      <w:tcPr>
        <w:tcBorders>
          <w:bottom w:val="single" w:color="EF949F" w:themeColor="accent6" w:themeTint="98" w:sz="4" w:space="0"/>
        </w:tcBorders>
      </w:tcPr>
    </w:tblStylePr>
    <w:tblStylePr w:type="lastRow">
      <w:rPr>
        <w:b/>
        <w:color w:val="EF949E" w:themeColor="accent6" w:themeTint="99"/>
        <w14:textFill>
          <w14:solidFill>
            <w14:schemeClr w14:val="accent6">
              <w14:lumMod w14:val="60000"/>
              <w14:lumOff w14:val="40000"/>
            </w14:schemeClr>
          </w14:solidFill>
        </w14:textFill>
      </w:rPr>
      <w:tcPr>
        <w:tcBorders>
          <w:top w:val="single" w:color="EF949F" w:themeColor="accent6" w:themeTint="98" w:sz="4" w:space="0"/>
        </w:tcBorders>
      </w:tcPr>
    </w:tblStylePr>
    <w:tblStylePr w:type="firstCol">
      <w:rPr>
        <w:b/>
        <w:color w:val="EF949E" w:themeColor="accent6" w:themeTint="99"/>
        <w14:textFill>
          <w14:solidFill>
            <w14:schemeClr w14:val="accent6">
              <w14:lumMod w14:val="60000"/>
              <w14:lumOff w14:val="40000"/>
            </w14:schemeClr>
          </w14:solidFill>
        </w14:textFill>
      </w:rPr>
    </w:tblStylePr>
    <w:tblStylePr w:type="lastCol">
      <w:rPr>
        <w:b/>
        <w:color w:val="EF949E" w:themeColor="accent6" w:themeTint="99"/>
        <w14:textFill>
          <w14:solidFill>
            <w14:schemeClr w14:val="accent6">
              <w14:lumMod w14:val="60000"/>
              <w14:lumOff w14:val="40000"/>
            </w14:schemeClr>
          </w14:solidFill>
        </w14:textFill>
      </w:r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78">
    <w:name w:val="List Table 7 Colorful - Accent 1"/>
    <w:basedOn w:val="36"/>
    <w:qFormat/>
    <w:uiPriority w:val="99"/>
    <w:tblPr>
      <w:tblBorders>
        <w:right w:val="single" w:color="4874CB" w:themeColor="accent1" w:sz="4" w:space="0"/>
      </w:tblBorders>
    </w:tblPr>
    <w:tblStylePr w:type="firstRow">
      <w:rPr>
        <w:rFonts w:ascii="Arial" w:hAnsi="Arial"/>
        <w:i/>
        <w:color w:val="23417C" w:themeColor="accent1" w:themeShade="94"/>
        <w:sz w:val="22"/>
      </w:rPr>
      <w:tcPr>
        <w:tcBorders>
          <w:top w:val="nil"/>
          <w:left w:val="nil"/>
          <w:bottom w:val="single" w:color="4874CB" w:themeColor="accent1" w:sz="4" w:space="0"/>
          <w:right w:val="nil"/>
        </w:tcBorders>
        <w:shd w:val="clear" w:color="FFFFFF" w:themeColor="light1" w:fill="FFFFFF" w:themeFill="light1"/>
      </w:tcPr>
    </w:tblStylePr>
    <w:tblStylePr w:type="lastRow">
      <w:rPr>
        <w:rFonts w:ascii="Arial" w:hAnsi="Arial"/>
        <w:i/>
        <w:color w:val="23417C" w:themeColor="accent1" w:themeShade="94"/>
        <w:sz w:val="22"/>
      </w:rPr>
      <w:tcPr>
        <w:tcBorders>
          <w:top w:val="single" w:color="4874CB" w:themeColor="accent1" w:sz="4" w:space="0"/>
          <w:left w:val="nil"/>
          <w:bottom w:val="nil"/>
          <w:right w:val="nil"/>
        </w:tcBorders>
        <w:shd w:val="clear" w:color="FFFFFF" w:themeColor="light1" w:fill="FFFFFF" w:themeFill="light1"/>
      </w:tcPr>
    </w:tblStylePr>
    <w:tblStylePr w:type="firstCol">
      <w:pPr>
        <w:jc w:val="right"/>
      </w:pPr>
      <w:rPr>
        <w:rFonts w:ascii="Arial" w:hAnsi="Arial"/>
        <w:i/>
        <w:color w:val="23417C" w:themeColor="accent1" w:themeShade="94"/>
        <w:sz w:val="22"/>
      </w:rPr>
      <w:tcPr>
        <w:tcBorders>
          <w:top w:val="nil"/>
          <w:left w:val="nil"/>
          <w:bottom w:val="nil"/>
          <w:right w:val="single" w:color="4874CB" w:themeColor="accent1" w:sz="4" w:space="0"/>
        </w:tcBorders>
        <w:shd w:val="clear" w:color="FFFFFF" w:fill="auto"/>
      </w:tcPr>
    </w:tblStylePr>
    <w:tblStylePr w:type="lastCol">
      <w:rPr>
        <w:rFonts w:ascii="Arial" w:hAnsi="Arial"/>
        <w:i/>
        <w:color w:val="23417C" w:themeColor="accent1" w:themeShade="94"/>
        <w:sz w:val="22"/>
      </w:rPr>
      <w:tcPr>
        <w:tcBorders>
          <w:top w:val="nil"/>
          <w:left w:val="single" w:color="4874CB" w:themeColor="accent1" w:sz="4" w:space="0"/>
          <w:bottom w:val="nil"/>
          <w:right w:val="nil"/>
        </w:tcBorders>
        <w:shd w:val="clear" w:color="FFFFFF" w:fill="auto"/>
      </w:tcPr>
    </w:tblStylePr>
    <w:tblStylePr w:type="band1Vert">
      <w:tcPr>
        <w:shd w:val="clear" w:color="D1DCF1" w:themeColor="accent1" w:themeTint="40" w:fill="D1DCF1" w:themeFill="accent1" w:themeFillTint="40"/>
      </w:tcPr>
    </w:tblStylePr>
    <w:tblStylePr w:type="band1Horz">
      <w:rPr>
        <w:rFonts w:ascii="Arial" w:hAnsi="Arial"/>
        <w:color w:val="23417C" w:themeColor="accent1" w:themeShade="94"/>
        <w:sz w:val="22"/>
      </w:rPr>
      <w:tcPr>
        <w:shd w:val="clear" w:color="D1DCF1" w:themeColor="accent1" w:themeTint="40" w:fill="D1DCF1" w:themeFill="accent1" w:themeFillTint="40"/>
      </w:tcPr>
    </w:tblStylePr>
    <w:tblStylePr w:type="band2Horz">
      <w:rPr>
        <w:rFonts w:ascii="Arial" w:hAnsi="Arial"/>
        <w:color w:val="23417C" w:themeColor="accent1" w:themeShade="94"/>
        <w:sz w:val="22"/>
      </w:rPr>
    </w:tblStylePr>
  </w:style>
  <w:style w:type="table" w:customStyle="1" w:styleId="179">
    <w:name w:val="List Table 7 Colorful - Accent 2"/>
    <w:basedOn w:val="36"/>
    <w:qFormat/>
    <w:uiPriority w:val="99"/>
    <w:tblPr>
      <w:tblBorders>
        <w:right w:val="single" w:color="F4B483" w:themeColor="accent2" w:themeTint="97" w:sz="4" w:space="0"/>
      </w:tblBorders>
    </w:tblPr>
    <w:tblStylePr w:type="firstRow">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single" w:color="F4B483" w:themeColor="accent2" w:themeTint="97" w:sz="4" w:space="0"/>
          <w:right w:val="nil"/>
        </w:tcBorders>
        <w:shd w:val="clear" w:color="FFFFFF" w:themeColor="light1" w:fill="FFFFFF" w:themeFill="light1"/>
      </w:tcPr>
    </w:tblStylePr>
    <w:tblStylePr w:type="lastRow">
      <w:rPr>
        <w:rFonts w:ascii="Arial" w:hAnsi="Arial"/>
        <w:i/>
        <w:color w:val="F5B584" w:themeColor="accent2" w:themeTint="96"/>
        <w:sz w:val="22"/>
        <w14:textFill>
          <w14:solidFill>
            <w14:schemeClr w14:val="accent2">
              <w14:lumMod w14:val="59000"/>
              <w14:lumOff w14:val="41000"/>
            </w14:schemeClr>
          </w14:solidFill>
        </w14:textFill>
      </w:rPr>
      <w:tcPr>
        <w:tcBorders>
          <w:top w:val="single" w:color="F4B483" w:themeColor="accent2" w:themeTint="97" w:sz="4" w:space="0"/>
          <w:left w:val="nil"/>
          <w:bottom w:val="nil"/>
          <w:right w:val="nil"/>
        </w:tcBorders>
        <w:shd w:val="clear" w:color="FFFFFF" w:themeColor="light1" w:fill="FFFFFF" w:themeFill="light1"/>
      </w:tcPr>
    </w:tblStylePr>
    <w:tblStylePr w:type="firstCol">
      <w:pPr>
        <w:jc w:val="right"/>
      </w:pPr>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nil"/>
          <w:bottom w:val="nil"/>
          <w:right w:val="single" w:color="F4B483" w:themeColor="accent2" w:themeTint="97" w:sz="4" w:space="0"/>
        </w:tcBorders>
        <w:shd w:val="clear" w:color="FFFFFF" w:fill="auto"/>
      </w:tcPr>
    </w:tblStylePr>
    <w:tblStylePr w:type="lastCol">
      <w:rPr>
        <w:rFonts w:ascii="Arial" w:hAnsi="Arial"/>
        <w:i/>
        <w:color w:val="F5B584" w:themeColor="accent2" w:themeTint="96"/>
        <w:sz w:val="22"/>
        <w14:textFill>
          <w14:solidFill>
            <w14:schemeClr w14:val="accent2">
              <w14:lumMod w14:val="59000"/>
              <w14:lumOff w14:val="41000"/>
            </w14:schemeClr>
          </w14:solidFill>
        </w14:textFill>
      </w:rPr>
      <w:tcPr>
        <w:tcBorders>
          <w:top w:val="nil"/>
          <w:left w:val="single" w:color="F4B483" w:themeColor="accent2" w:themeTint="97" w:sz="4" w:space="0"/>
          <w:bottom w:val="nil"/>
          <w:right w:val="nil"/>
        </w:tcBorders>
        <w:shd w:val="clear" w:color="FFFFFF" w:fill="auto"/>
      </w:tcPr>
    </w:tblStylePr>
    <w:tblStylePr w:type="band1Vert">
      <w:tcPr>
        <w:shd w:val="clear" w:color="FADFCA" w:themeColor="accent2" w:themeTint="40" w:fill="FADFCA" w:themeFill="accent2" w:themeFillTint="40"/>
      </w:tcPr>
    </w:tblStylePr>
    <w:tblStylePr w:type="band1Horz">
      <w:rPr>
        <w:rFonts w:ascii="Arial" w:hAnsi="Arial"/>
        <w:color w:val="F5B584" w:themeColor="accent2" w:themeTint="96"/>
        <w:sz w:val="22"/>
        <w14:textFill>
          <w14:solidFill>
            <w14:schemeClr w14:val="accent2">
              <w14:lumMod w14:val="59000"/>
              <w14:lumOff w14:val="41000"/>
            </w14:schemeClr>
          </w14:solidFill>
        </w14:textFill>
      </w:rPr>
      <w:tcPr>
        <w:shd w:val="clear" w:color="FADFCA" w:themeColor="accent2" w:themeTint="40" w:fill="FADFCA" w:themeFill="accent2" w:themeFillTint="40"/>
      </w:tcPr>
    </w:tblStylePr>
    <w:tblStylePr w:type="band2Horz">
      <w:rPr>
        <w:rFonts w:ascii="Arial" w:hAnsi="Arial"/>
        <w:color w:val="F5B584" w:themeColor="accent2" w:themeTint="96"/>
        <w:sz w:val="22"/>
        <w14:textFill>
          <w14:solidFill>
            <w14:schemeClr w14:val="accent2">
              <w14:lumMod w14:val="59000"/>
              <w14:lumOff w14:val="41000"/>
            </w14:schemeClr>
          </w14:solidFill>
        </w14:textFill>
      </w:rPr>
    </w:tblStylePr>
  </w:style>
  <w:style w:type="table" w:customStyle="1" w:styleId="180">
    <w:name w:val="List Table 7 Colorful - Accent 3"/>
    <w:basedOn w:val="36"/>
    <w:qFormat/>
    <w:uiPriority w:val="99"/>
    <w:tblPr>
      <w:tblBorders>
        <w:right w:val="single" w:color="FDD961" w:themeColor="accent3" w:themeTint="98" w:sz="4" w:space="0"/>
      </w:tblBorders>
    </w:tblPr>
    <w:tblStylePr w:type="firstRow">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single" w:color="FDD961" w:themeColor="accent3" w:themeTint="98" w:sz="4" w:space="0"/>
          <w:right w:val="nil"/>
        </w:tcBorders>
        <w:shd w:val="clear" w:color="FFFFFF" w:themeColor="light1" w:fill="FFFFFF" w:themeFill="light1"/>
      </w:tcPr>
    </w:tblStylePr>
    <w:tblStylePr w:type="lastRow">
      <w:rPr>
        <w:rFonts w:ascii="Arial" w:hAnsi="Arial"/>
        <w:i/>
        <w:color w:val="FED961" w:themeColor="accent3" w:themeTint="99"/>
        <w:sz w:val="22"/>
        <w14:textFill>
          <w14:solidFill>
            <w14:schemeClr w14:val="accent3">
              <w14:lumMod w14:val="60000"/>
              <w14:lumOff w14:val="40000"/>
            </w14:schemeClr>
          </w14:solidFill>
        </w14:textFill>
      </w:rPr>
      <w:tcPr>
        <w:tcBorders>
          <w:top w:val="single" w:color="FDD961" w:themeColor="accent3" w:themeTint="98" w:sz="4" w:space="0"/>
          <w:left w:val="nil"/>
          <w:bottom w:val="nil"/>
          <w:right w:val="nil"/>
        </w:tcBorders>
        <w:shd w:val="clear" w:color="FFFFFF" w:themeColor="light1" w:fill="FFFFFF" w:themeFill="light1"/>
      </w:tcPr>
    </w:tblStylePr>
    <w:tblStylePr w:type="firstCol">
      <w:pPr>
        <w:jc w:val="right"/>
      </w:pPr>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nil"/>
          <w:bottom w:val="nil"/>
          <w:right w:val="single" w:color="FDD961" w:themeColor="accent3" w:themeTint="98" w:sz="4" w:space="0"/>
        </w:tcBorders>
        <w:shd w:val="clear" w:color="FFFFFF" w:fill="auto"/>
      </w:tcPr>
    </w:tblStylePr>
    <w:tblStylePr w:type="lastCol">
      <w:rPr>
        <w:rFonts w:ascii="Arial" w:hAnsi="Arial"/>
        <w:i/>
        <w:color w:val="FED961" w:themeColor="accent3" w:themeTint="99"/>
        <w:sz w:val="22"/>
        <w14:textFill>
          <w14:solidFill>
            <w14:schemeClr w14:val="accent3">
              <w14:lumMod w14:val="60000"/>
              <w14:lumOff w14:val="40000"/>
            </w14:schemeClr>
          </w14:solidFill>
        </w14:textFill>
      </w:rPr>
      <w:tcPr>
        <w:tcBorders>
          <w:top w:val="nil"/>
          <w:left w:val="single" w:color="FDD961" w:themeColor="accent3" w:themeTint="98" w:sz="4" w:space="0"/>
          <w:bottom w:val="nil"/>
          <w:right w:val="nil"/>
        </w:tcBorders>
        <w:shd w:val="clear" w:color="FFFFFF" w:fill="auto"/>
      </w:tcPr>
    </w:tblStylePr>
    <w:tblStylePr w:type="band1Vert">
      <w:tcPr>
        <w:shd w:val="clear" w:color="FEEFBC" w:themeColor="accent3" w:themeTint="40" w:fill="FEEFBC" w:themeFill="accent3" w:themeFillTint="40"/>
      </w:tcPr>
    </w:tblStylePr>
    <w:tblStylePr w:type="band1Horz">
      <w:rPr>
        <w:rFonts w:ascii="Arial" w:hAnsi="Arial"/>
        <w:color w:val="FED961" w:themeColor="accent3" w:themeTint="99"/>
        <w:sz w:val="22"/>
        <w14:textFill>
          <w14:solidFill>
            <w14:schemeClr w14:val="accent3">
              <w14:lumMod w14:val="60000"/>
              <w14:lumOff w14:val="40000"/>
            </w14:schemeClr>
          </w14:solidFill>
        </w14:textFill>
      </w:rPr>
      <w:tcPr>
        <w:shd w:val="clear" w:color="FEEFBC" w:themeColor="accent3" w:themeTint="40" w:fill="FEEFBC" w:themeFill="accent3" w:themeFillTint="40"/>
      </w:tcPr>
    </w:tblStylePr>
    <w:tblStylePr w:type="band2Horz">
      <w:rPr>
        <w:rFonts w:ascii="Arial" w:hAnsi="Arial"/>
        <w:color w:val="FED961" w:themeColor="accent3" w:themeTint="99"/>
        <w:sz w:val="22"/>
        <w14:textFill>
          <w14:solidFill>
            <w14:schemeClr w14:val="accent3">
              <w14:lumMod w14:val="60000"/>
              <w14:lumOff w14:val="40000"/>
            </w14:schemeClr>
          </w14:solidFill>
        </w14:textFill>
      </w:rPr>
    </w:tblStylePr>
  </w:style>
  <w:style w:type="table" w:customStyle="1" w:styleId="181">
    <w:name w:val="List Table 7 Colorful - Accent 4"/>
    <w:basedOn w:val="36"/>
    <w:qFormat/>
    <w:uiPriority w:val="99"/>
    <w:tblPr>
      <w:tblBorders>
        <w:right w:val="single" w:color="ABD78C" w:themeColor="accent4" w:themeTint="9A" w:sz="4" w:space="0"/>
      </w:tblBorders>
    </w:tblPr>
    <w:tblStylePr w:type="firstRow">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single" w:color="ABD78C" w:themeColor="accent4" w:themeTint="9A" w:sz="4" w:space="0"/>
          <w:right w:val="nil"/>
        </w:tcBorders>
        <w:shd w:val="clear" w:color="FFFFFF" w:themeColor="light1" w:fill="FFFFFF" w:themeFill="light1"/>
      </w:tcPr>
    </w:tblStylePr>
    <w:tblStylePr w:type="lastRow">
      <w:rPr>
        <w:rFonts w:ascii="Arial" w:hAnsi="Arial"/>
        <w:i/>
        <w:color w:val="ACD78E" w:themeColor="accent4" w:themeTint="99"/>
        <w:sz w:val="22"/>
        <w14:textFill>
          <w14:solidFill>
            <w14:schemeClr w14:val="accent4">
              <w14:lumMod w14:val="60000"/>
              <w14:lumOff w14:val="40000"/>
            </w14:schemeClr>
          </w14:solidFill>
        </w14:textFill>
      </w:rPr>
      <w:tcPr>
        <w:tcBorders>
          <w:top w:val="single" w:color="ABD78C" w:themeColor="accent4" w:themeTint="9A" w:sz="4" w:space="0"/>
          <w:left w:val="nil"/>
          <w:bottom w:val="nil"/>
          <w:right w:val="nil"/>
        </w:tcBorders>
        <w:shd w:val="clear" w:color="FFFFFF" w:themeColor="light1" w:fill="FFFFFF" w:themeFill="light1"/>
      </w:tcPr>
    </w:tblStylePr>
    <w:tblStylePr w:type="firstCol">
      <w:pPr>
        <w:jc w:val="right"/>
      </w:pPr>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nil"/>
          <w:bottom w:val="nil"/>
          <w:right w:val="single" w:color="ABD78C" w:themeColor="accent4" w:themeTint="9A" w:sz="4" w:space="0"/>
        </w:tcBorders>
        <w:shd w:val="clear" w:color="FFFFFF" w:fill="auto"/>
      </w:tcPr>
    </w:tblStylePr>
    <w:tblStylePr w:type="lastCol">
      <w:rPr>
        <w:rFonts w:ascii="Arial" w:hAnsi="Arial"/>
        <w:i/>
        <w:color w:val="ACD78E" w:themeColor="accent4" w:themeTint="99"/>
        <w:sz w:val="22"/>
        <w14:textFill>
          <w14:solidFill>
            <w14:schemeClr w14:val="accent4">
              <w14:lumMod w14:val="60000"/>
              <w14:lumOff w14:val="40000"/>
            </w14:schemeClr>
          </w14:solidFill>
        </w14:textFill>
      </w:rPr>
      <w:tcPr>
        <w:tcBorders>
          <w:top w:val="nil"/>
          <w:left w:val="single" w:color="ABD78C" w:themeColor="accent4" w:themeTint="9A" w:sz="4" w:space="0"/>
          <w:bottom w:val="nil"/>
          <w:right w:val="nil"/>
        </w:tcBorders>
        <w:shd w:val="clear" w:color="FFFFFF" w:fill="auto"/>
      </w:tcPr>
    </w:tblStylePr>
    <w:tblStylePr w:type="band1Vert">
      <w:tcPr>
        <w:shd w:val="clear" w:color="DCEECF" w:themeColor="accent4" w:themeTint="40" w:fill="DCEECF" w:themeFill="accent4" w:themeFillTint="40"/>
      </w:tcPr>
    </w:tblStylePr>
    <w:tblStylePr w:type="band1Horz">
      <w:rPr>
        <w:rFonts w:ascii="Arial" w:hAnsi="Arial"/>
        <w:color w:val="ACD78E" w:themeColor="accent4" w:themeTint="99"/>
        <w:sz w:val="22"/>
        <w14:textFill>
          <w14:solidFill>
            <w14:schemeClr w14:val="accent4">
              <w14:lumMod w14:val="60000"/>
              <w14:lumOff w14:val="40000"/>
            </w14:schemeClr>
          </w14:solidFill>
        </w14:textFill>
      </w:rPr>
      <w:tcPr>
        <w:shd w:val="clear" w:color="DCEECF" w:themeColor="accent4" w:themeTint="40" w:fill="DCEECF" w:themeFill="accent4" w:themeFillTint="40"/>
      </w:tcPr>
    </w:tblStylePr>
    <w:tblStylePr w:type="band2Horz">
      <w:rPr>
        <w:rFonts w:ascii="Arial" w:hAnsi="Arial"/>
        <w:color w:val="ACD78E" w:themeColor="accent4" w:themeTint="99"/>
        <w:sz w:val="22"/>
        <w14:textFill>
          <w14:solidFill>
            <w14:schemeClr w14:val="accent4">
              <w14:lumMod w14:val="60000"/>
              <w14:lumOff w14:val="40000"/>
            </w14:schemeClr>
          </w14:solidFill>
        </w14:textFill>
      </w:rPr>
    </w:tblStylePr>
  </w:style>
  <w:style w:type="table" w:customStyle="1" w:styleId="182">
    <w:name w:val="List Table 7 Colorful - Accent 5"/>
    <w:basedOn w:val="36"/>
    <w:qFormat/>
    <w:uiPriority w:val="99"/>
    <w:tblPr>
      <w:tblBorders>
        <w:right w:val="single" w:color="7CDED6" w:themeColor="accent5" w:themeTint="9A" w:sz="4" w:space="0"/>
      </w:tblBorders>
    </w:tblPr>
    <w:tblStylePr w:type="firstRow">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single" w:color="7CDED6" w:themeColor="accent5" w:themeTint="9A" w:sz="4" w:space="0"/>
          <w:right w:val="nil"/>
        </w:tcBorders>
        <w:shd w:val="clear" w:color="FFFFFF" w:themeColor="light1" w:fill="FFFFFF" w:themeFill="light1"/>
      </w:tcPr>
    </w:tblStylePr>
    <w:tblStylePr w:type="lastRow">
      <w:rPr>
        <w:rFonts w:ascii="Arial" w:hAnsi="Arial"/>
        <w:i/>
        <w:color w:val="7DDFD7" w:themeColor="accent5" w:themeTint="99"/>
        <w:sz w:val="22"/>
        <w14:textFill>
          <w14:solidFill>
            <w14:schemeClr w14:val="accent5">
              <w14:lumMod w14:val="60000"/>
              <w14:lumOff w14:val="40000"/>
            </w14:schemeClr>
          </w14:solidFill>
        </w14:textFill>
      </w:rPr>
      <w:tcPr>
        <w:tcBorders>
          <w:top w:val="single" w:color="7CDED6" w:themeColor="accent5" w:themeTint="9A" w:sz="4" w:space="0"/>
          <w:left w:val="nil"/>
          <w:bottom w:val="nil"/>
          <w:right w:val="nil"/>
        </w:tcBorders>
        <w:shd w:val="clear" w:color="FFFFFF" w:themeColor="light1" w:fill="FFFFFF" w:themeFill="light1"/>
      </w:tcPr>
    </w:tblStylePr>
    <w:tblStylePr w:type="firstCol">
      <w:pPr>
        <w:jc w:val="right"/>
      </w:pPr>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nil"/>
          <w:bottom w:val="nil"/>
          <w:right w:val="single" w:color="7CDED6" w:themeColor="accent5" w:themeTint="9A" w:sz="4" w:space="0"/>
        </w:tcBorders>
        <w:shd w:val="clear" w:color="FFFFFF" w:fill="auto"/>
      </w:tcPr>
    </w:tblStylePr>
    <w:tblStylePr w:type="lastCol">
      <w:rPr>
        <w:rFonts w:ascii="Arial" w:hAnsi="Arial"/>
        <w:i/>
        <w:color w:val="7DDFD7" w:themeColor="accent5" w:themeTint="99"/>
        <w:sz w:val="22"/>
        <w14:textFill>
          <w14:solidFill>
            <w14:schemeClr w14:val="accent5">
              <w14:lumMod w14:val="60000"/>
              <w14:lumOff w14:val="40000"/>
            </w14:schemeClr>
          </w14:solidFill>
        </w14:textFill>
      </w:rPr>
      <w:tcPr>
        <w:tcBorders>
          <w:top w:val="nil"/>
          <w:left w:val="single" w:color="7CDED6" w:themeColor="accent5" w:themeTint="9A" w:sz="4" w:space="0"/>
          <w:bottom w:val="nil"/>
          <w:right w:val="nil"/>
        </w:tcBorders>
        <w:shd w:val="clear" w:color="FFFFFF" w:fill="auto"/>
      </w:tcPr>
    </w:tblStylePr>
    <w:tblStylePr w:type="band1Vert">
      <w:tcPr>
        <w:shd w:val="clear" w:color="C8F1EE" w:themeColor="accent5" w:themeTint="40" w:fill="C8F1EE" w:themeFill="accent5" w:themeFillTint="40"/>
      </w:tcPr>
    </w:tblStylePr>
    <w:tblStylePr w:type="band1Horz">
      <w:rPr>
        <w:rFonts w:ascii="Arial" w:hAnsi="Arial"/>
        <w:color w:val="7DDFD7" w:themeColor="accent5" w:themeTint="99"/>
        <w:sz w:val="22"/>
        <w14:textFill>
          <w14:solidFill>
            <w14:schemeClr w14:val="accent5">
              <w14:lumMod w14:val="60000"/>
              <w14:lumOff w14:val="40000"/>
            </w14:schemeClr>
          </w14:solidFill>
        </w14:textFill>
      </w:rPr>
      <w:tcPr>
        <w:shd w:val="clear" w:color="C8F1EE" w:themeColor="accent5" w:themeTint="40" w:fill="C8F1EE" w:themeFill="accent5" w:themeFillTint="40"/>
      </w:tcPr>
    </w:tblStylePr>
    <w:tblStylePr w:type="band2Horz">
      <w:rPr>
        <w:rFonts w:ascii="Arial" w:hAnsi="Arial"/>
        <w:color w:val="7DDFD7" w:themeColor="accent5" w:themeTint="99"/>
        <w:sz w:val="22"/>
        <w14:textFill>
          <w14:solidFill>
            <w14:schemeClr w14:val="accent5">
              <w14:lumMod w14:val="60000"/>
              <w14:lumOff w14:val="40000"/>
            </w14:schemeClr>
          </w14:solidFill>
        </w14:textFill>
      </w:rPr>
    </w:tblStylePr>
  </w:style>
  <w:style w:type="table" w:customStyle="1" w:styleId="183">
    <w:name w:val="List Table 7 Colorful - Accent 6"/>
    <w:basedOn w:val="36"/>
    <w:qFormat/>
    <w:uiPriority w:val="99"/>
    <w:tblPr>
      <w:tblBorders>
        <w:right w:val="single" w:color="EF949F" w:themeColor="accent6" w:themeTint="98" w:sz="4" w:space="0"/>
      </w:tblBorders>
    </w:tblPr>
    <w:tblStylePr w:type="firstRow">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single" w:color="EF949F" w:themeColor="accent6" w:themeTint="98" w:sz="4" w:space="0"/>
          <w:right w:val="nil"/>
        </w:tcBorders>
        <w:shd w:val="clear" w:color="FFFFFF" w:themeColor="light1" w:fill="FFFFFF" w:themeFill="light1"/>
      </w:tcPr>
    </w:tblStylePr>
    <w:tblStylePr w:type="lastRow">
      <w:rPr>
        <w:rFonts w:ascii="Arial" w:hAnsi="Arial"/>
        <w:i/>
        <w:color w:val="EF949E" w:themeColor="accent6" w:themeTint="99"/>
        <w:sz w:val="22"/>
        <w14:textFill>
          <w14:solidFill>
            <w14:schemeClr w14:val="accent6">
              <w14:lumMod w14:val="60000"/>
              <w14:lumOff w14:val="40000"/>
            </w14:schemeClr>
          </w14:solidFill>
        </w14:textFill>
      </w:rPr>
      <w:tcPr>
        <w:tcBorders>
          <w:top w:val="single" w:color="EF949F" w:themeColor="accent6" w:themeTint="98" w:sz="4" w:space="0"/>
          <w:left w:val="nil"/>
          <w:bottom w:val="nil"/>
          <w:right w:val="nil"/>
        </w:tcBorders>
        <w:shd w:val="clear" w:color="FFFFFF" w:themeColor="light1" w:fill="FFFFFF" w:themeFill="light1"/>
      </w:tcPr>
    </w:tblStylePr>
    <w:tblStylePr w:type="firstCol">
      <w:pPr>
        <w:jc w:val="right"/>
      </w:pPr>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nil"/>
          <w:bottom w:val="nil"/>
          <w:right w:val="single" w:color="EF949F" w:themeColor="accent6" w:themeTint="98" w:sz="4" w:space="0"/>
        </w:tcBorders>
        <w:shd w:val="clear" w:color="FFFFFF" w:fill="auto"/>
      </w:tcPr>
    </w:tblStylePr>
    <w:tblStylePr w:type="lastCol">
      <w:rPr>
        <w:rFonts w:ascii="Arial" w:hAnsi="Arial"/>
        <w:i/>
        <w:color w:val="EF949E" w:themeColor="accent6" w:themeTint="99"/>
        <w:sz w:val="22"/>
        <w14:textFill>
          <w14:solidFill>
            <w14:schemeClr w14:val="accent6">
              <w14:lumMod w14:val="60000"/>
              <w14:lumOff w14:val="40000"/>
            </w14:schemeClr>
          </w14:solidFill>
        </w14:textFill>
      </w:rPr>
      <w:tcPr>
        <w:tcBorders>
          <w:top w:val="nil"/>
          <w:left w:val="single" w:color="EF949F" w:themeColor="accent6" w:themeTint="98" w:sz="4" w:space="0"/>
          <w:bottom w:val="nil"/>
          <w:right w:val="nil"/>
        </w:tcBorders>
        <w:shd w:val="clear" w:color="FFFFFF" w:fill="auto"/>
      </w:tcPr>
    </w:tblStylePr>
    <w:tblStylePr w:type="band1Vert">
      <w:tcPr>
        <w:shd w:val="clear" w:color="F8D2D6" w:themeColor="accent6" w:themeTint="40" w:fill="F8D2D6" w:themeFill="accent6" w:themeFillTint="40"/>
      </w:tcPr>
    </w:tblStylePr>
    <w:tblStylePr w:type="band1Horz">
      <w:rPr>
        <w:rFonts w:ascii="Arial" w:hAnsi="Arial"/>
        <w:color w:val="EF949E" w:themeColor="accent6" w:themeTint="99"/>
        <w:sz w:val="22"/>
        <w14:textFill>
          <w14:solidFill>
            <w14:schemeClr w14:val="accent6">
              <w14:lumMod w14:val="60000"/>
              <w14:lumOff w14:val="40000"/>
            </w14:schemeClr>
          </w14:solidFill>
        </w14:textFill>
      </w:rPr>
      <w:tcPr>
        <w:shd w:val="clear" w:color="F8D2D6" w:themeColor="accent6" w:themeTint="40" w:fill="F8D2D6" w:themeFill="accent6" w:themeFillTint="40"/>
      </w:tcPr>
    </w:tblStylePr>
    <w:tblStylePr w:type="band2Horz">
      <w:rPr>
        <w:rFonts w:ascii="Arial" w:hAnsi="Arial"/>
        <w:color w:val="EF949E" w:themeColor="accent6" w:themeTint="99"/>
        <w:sz w:val="22"/>
        <w14:textFill>
          <w14:solidFill>
            <w14:schemeClr w14:val="accent6">
              <w14:lumMod w14:val="60000"/>
              <w14:lumOff w14:val="40000"/>
            </w14:schemeClr>
          </w14:solidFill>
        </w14:textFill>
      </w:rPr>
    </w:tblStylePr>
  </w:style>
  <w:style w:type="table" w:customStyle="1" w:styleId="184">
    <w:name w:val="Lined - Accent"/>
    <w:basedOn w:val="36"/>
    <w:qFormat/>
    <w:uiPriority w:val="99"/>
    <w:rPr>
      <w:color w:val="404040"/>
    </w:r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85">
    <w:name w:val="Lined - Accent 1"/>
    <w:basedOn w:val="36"/>
    <w:qFormat/>
    <w:uiPriority w:val="99"/>
    <w:rPr>
      <w:color w:val="404040"/>
    </w:r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86">
    <w:name w:val="Lined - Accent 2"/>
    <w:basedOn w:val="36"/>
    <w:qFormat/>
    <w:uiPriority w:val="99"/>
    <w:rPr>
      <w:color w:val="404040"/>
    </w:r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87">
    <w:name w:val="Lined - Accent 3"/>
    <w:basedOn w:val="36"/>
    <w:qFormat/>
    <w:uiPriority w:val="99"/>
    <w:rPr>
      <w:color w:val="404040"/>
    </w:r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88">
    <w:name w:val="Lined - Accent 4"/>
    <w:basedOn w:val="36"/>
    <w:qFormat/>
    <w:uiPriority w:val="99"/>
    <w:rPr>
      <w:color w:val="404040"/>
    </w:r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89">
    <w:name w:val="Lined - Accent 5"/>
    <w:basedOn w:val="36"/>
    <w:qFormat/>
    <w:uiPriority w:val="99"/>
    <w:rPr>
      <w:color w:val="404040"/>
    </w:r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90">
    <w:name w:val="Lined - Accent 6"/>
    <w:basedOn w:val="36"/>
    <w:qFormat/>
    <w:uiPriority w:val="99"/>
    <w:rPr>
      <w:color w:val="404040"/>
    </w:r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91">
    <w:name w:val="Bordered &amp; Lined - Accent"/>
    <w:basedOn w:val="36"/>
    <w:qFormat/>
    <w:uiPriority w:val="99"/>
    <w:rPr>
      <w:color w:val="404040"/>
    </w:rPr>
    <w:tblPr>
      <w:tblBorders>
        <w:top w:val="single" w:color="585858" w:themeColor="text1" w:themeTint="A6" w:sz="4" w:space="0"/>
        <w:left w:val="single" w:color="585858" w:themeColor="text1" w:themeTint="A6" w:sz="4" w:space="0"/>
        <w:bottom w:val="single" w:color="585858" w:themeColor="text1" w:themeTint="A6" w:sz="4" w:space="0"/>
        <w:right w:val="single" w:color="585858" w:themeColor="text1" w:themeTint="A6" w:sz="4" w:space="0"/>
        <w:insideH w:val="single" w:color="585858" w:themeColor="text1" w:themeTint="A6" w:sz="4" w:space="0"/>
        <w:insideV w:val="single" w:color="585858" w:themeColor="text1" w:themeTint="A6" w:sz="4" w:space="0"/>
      </w:tblBorders>
    </w:tblPr>
    <w:tblStylePr w:type="firstRow">
      <w:rPr>
        <w:rFonts w:ascii="Arial" w:hAnsi="Arial"/>
        <w:color w:val="F2F2F2"/>
        <w:sz w:val="22"/>
      </w:rPr>
      <w:tcPr>
        <w:shd w:val="clear" w:color="7E7E7E" w:themeColor="text1" w:themeTint="80" w:fill="7E7E7E" w:themeFill="text1" w:themeFillTint="80"/>
      </w:tcPr>
    </w:tblStylePr>
    <w:tblStylePr w:type="lastRow">
      <w:rPr>
        <w:rFonts w:ascii="Arial" w:hAnsi="Arial"/>
        <w:color w:val="F2F2F2"/>
        <w:sz w:val="22"/>
      </w:rPr>
      <w:tcPr>
        <w:shd w:val="clear" w:color="7E7E7E" w:themeColor="text1" w:themeTint="80" w:fill="7E7E7E" w:themeFill="text1" w:themeFillTint="80"/>
      </w:tcPr>
    </w:tblStylePr>
    <w:tblStylePr w:type="firstCol">
      <w:rPr>
        <w:rFonts w:ascii="Arial" w:hAnsi="Arial"/>
        <w:color w:val="F2F2F2"/>
        <w:sz w:val="22"/>
      </w:rPr>
      <w:tcPr>
        <w:shd w:val="clear" w:color="7E7E7E" w:themeColor="text1" w:themeTint="80" w:fill="7E7E7E" w:themeFill="text1" w:themeFillTint="80"/>
      </w:tcPr>
    </w:tblStylePr>
    <w:tblStylePr w:type="lastCol">
      <w:rPr>
        <w:rFonts w:ascii="Arial" w:hAnsi="Arial"/>
        <w:color w:val="F2F2F2"/>
        <w:sz w:val="22"/>
      </w:rPr>
      <w:tcPr>
        <w:shd w:val="clear" w:color="7E7E7E" w:themeColor="text1" w:themeTint="80" w:fill="7E7E7E" w:themeFill="text1" w:themeFillTint="80"/>
      </w:tcPr>
    </w:tblStylePr>
    <w:tblStylePr w:type="band1Vert">
      <w:rPr>
        <w:rFonts w:ascii="Arial" w:hAnsi="Arial"/>
        <w:color w:val="404040"/>
        <w:sz w:val="22"/>
      </w:rPr>
    </w:tblStylePr>
    <w:tblStylePr w:type="band2Vert">
      <w:rPr>
        <w:rFonts w:ascii="Arial" w:hAnsi="Arial"/>
        <w:color w:val="404040"/>
        <w:sz w:val="22"/>
      </w:rPr>
      <w:tcPr>
        <w:shd w:val="clear" w:color="F1F1F1" w:themeColor="text1" w:themeTint="0D" w:fill="F1F1F1" w:themeFill="text1" w:themeFillTint="0D"/>
      </w:tcPr>
    </w:tblStylePr>
    <w:tblStylePr w:type="band1Horz">
      <w:rPr>
        <w:rFonts w:ascii="Arial" w:hAnsi="Arial"/>
        <w:color w:val="404040"/>
        <w:sz w:val="22"/>
      </w:rPr>
    </w:tblStylePr>
    <w:tblStylePr w:type="band2Horz">
      <w:rPr>
        <w:rFonts w:ascii="Arial" w:hAnsi="Arial"/>
        <w:color w:val="404040"/>
        <w:sz w:val="22"/>
      </w:rPr>
      <w:tcPr>
        <w:shd w:val="clear" w:color="F1F1F1" w:themeColor="text1" w:themeTint="0D" w:fill="F1F1F1" w:themeFill="text1" w:themeFillTint="0D"/>
      </w:tcPr>
    </w:tblStylePr>
  </w:style>
  <w:style w:type="table" w:customStyle="1" w:styleId="192">
    <w:name w:val="Bordered &amp; Lined - Accent 1"/>
    <w:basedOn w:val="36"/>
    <w:qFormat/>
    <w:uiPriority w:val="99"/>
    <w:rPr>
      <w:color w:val="404040"/>
    </w:rPr>
    <w:tblPr>
      <w:tblBorders>
        <w:top w:val="single" w:color="23417D" w:themeColor="accent1" w:themeShade="95" w:sz="4" w:space="0"/>
        <w:left w:val="single" w:color="23417D" w:themeColor="accent1" w:themeShade="95" w:sz="4" w:space="0"/>
        <w:bottom w:val="single" w:color="23417D" w:themeColor="accent1" w:themeShade="95" w:sz="4" w:space="0"/>
        <w:right w:val="single" w:color="23417D" w:themeColor="accent1" w:themeShade="95" w:sz="4" w:space="0"/>
        <w:insideH w:val="single" w:color="23417D" w:themeColor="accent1" w:themeShade="95" w:sz="4" w:space="0"/>
        <w:insideV w:val="single" w:color="23417D" w:themeColor="accent1" w:themeShade="95" w:sz="4" w:space="0"/>
      </w:tblBorders>
    </w:tblPr>
    <w:tblStylePr w:type="firstRow">
      <w:rPr>
        <w:rFonts w:ascii="Arial" w:hAnsi="Arial"/>
        <w:color w:val="F2F2F2"/>
        <w:sz w:val="22"/>
      </w:rPr>
      <w:tcPr>
        <w:shd w:val="clear" w:color="577FCF" w:themeColor="accent1" w:themeTint="EA" w:fill="577FCF" w:themeFill="accent1" w:themeFillTint="EA"/>
      </w:tcPr>
    </w:tblStylePr>
    <w:tblStylePr w:type="lastRow">
      <w:rPr>
        <w:rFonts w:ascii="Arial" w:hAnsi="Arial"/>
        <w:color w:val="F2F2F2"/>
        <w:sz w:val="22"/>
      </w:rPr>
      <w:tcPr>
        <w:shd w:val="clear" w:color="577FCF" w:themeColor="accent1" w:themeTint="EA" w:fill="577FCF" w:themeFill="accent1" w:themeFillTint="EA"/>
      </w:tcPr>
    </w:tblStylePr>
    <w:tblStylePr w:type="firstCol">
      <w:rPr>
        <w:rFonts w:ascii="Arial" w:hAnsi="Arial"/>
        <w:color w:val="F2F2F2"/>
        <w:sz w:val="22"/>
      </w:rPr>
      <w:tcPr>
        <w:shd w:val="clear" w:color="577FCF" w:themeColor="accent1" w:themeTint="EA" w:fill="577FCF" w:themeFill="accent1" w:themeFillTint="EA"/>
      </w:tcPr>
    </w:tblStylePr>
    <w:tblStylePr w:type="lastCol">
      <w:rPr>
        <w:rFonts w:ascii="Arial" w:hAnsi="Arial"/>
        <w:color w:val="F2F2F2"/>
        <w:sz w:val="22"/>
      </w:rPr>
      <w:tcPr>
        <w:shd w:val="clear" w:color="577FCF" w:themeColor="accent1" w:themeTint="EA" w:fill="577FCF" w:themeFill="accent1" w:themeFillTint="EA"/>
      </w:tcPr>
    </w:tblStylePr>
    <w:tblStylePr w:type="band1Vert">
      <w:rPr>
        <w:rFonts w:ascii="Arial" w:hAnsi="Arial"/>
        <w:color w:val="404040"/>
        <w:sz w:val="22"/>
      </w:rPr>
    </w:tblStylePr>
    <w:tblStylePr w:type="band2Vert">
      <w:rPr>
        <w:rFonts w:ascii="Arial" w:hAnsi="Arial"/>
        <w:color w:val="404040"/>
        <w:sz w:val="22"/>
      </w:rPr>
      <w:tcPr>
        <w:shd w:val="clear" w:color="C5D3EE" w:themeColor="accent1" w:themeTint="50" w:fill="C5D3EE" w:themeFill="accent1" w:themeFillTint="50"/>
      </w:tcPr>
    </w:tblStylePr>
    <w:tblStylePr w:type="band1Horz">
      <w:rPr>
        <w:rFonts w:ascii="Arial" w:hAnsi="Arial"/>
        <w:color w:val="404040"/>
        <w:sz w:val="22"/>
      </w:rPr>
    </w:tblStylePr>
    <w:tblStylePr w:type="band2Horz">
      <w:rPr>
        <w:rFonts w:ascii="Arial" w:hAnsi="Arial"/>
        <w:color w:val="404040"/>
        <w:sz w:val="22"/>
      </w:rPr>
      <w:tcPr>
        <w:shd w:val="clear" w:color="C5D3EE" w:themeColor="accent1" w:themeTint="50" w:fill="C5D3EE" w:themeFill="accent1" w:themeFillTint="50"/>
      </w:tcPr>
    </w:tblStylePr>
  </w:style>
  <w:style w:type="table" w:customStyle="1" w:styleId="193">
    <w:name w:val="Bordered &amp; Lined - Accent 2"/>
    <w:basedOn w:val="36"/>
    <w:qFormat/>
    <w:uiPriority w:val="99"/>
    <w:rPr>
      <w:color w:val="404040"/>
    </w:rPr>
    <w:tblPr>
      <w:tblBorders>
        <w:top w:val="single" w:color="994A0C" w:themeColor="accent2" w:themeShade="95" w:sz="4" w:space="0"/>
        <w:left w:val="single" w:color="994A0C" w:themeColor="accent2" w:themeShade="95" w:sz="4" w:space="0"/>
        <w:bottom w:val="single" w:color="994A0C" w:themeColor="accent2" w:themeShade="95" w:sz="4" w:space="0"/>
        <w:right w:val="single" w:color="994A0C" w:themeColor="accent2" w:themeShade="95" w:sz="4" w:space="0"/>
        <w:insideH w:val="single" w:color="994A0C" w:themeColor="accent2" w:themeShade="95" w:sz="4" w:space="0"/>
        <w:insideV w:val="single" w:color="994A0C" w:themeColor="accent2" w:themeShade="95" w:sz="4" w:space="0"/>
      </w:tblBorders>
    </w:tblPr>
    <w:tblStylePr w:type="firstRow">
      <w:rPr>
        <w:rFonts w:ascii="Arial" w:hAnsi="Arial"/>
        <w:color w:val="F2F2F2"/>
        <w:sz w:val="22"/>
      </w:rPr>
      <w:tcPr>
        <w:shd w:val="clear" w:color="F4B483" w:themeColor="accent2" w:themeTint="97" w:fill="F4B483" w:themeFill="accent2" w:themeFillTint="97"/>
      </w:tcPr>
    </w:tblStylePr>
    <w:tblStylePr w:type="lastRow">
      <w:rPr>
        <w:rFonts w:ascii="Arial" w:hAnsi="Arial"/>
        <w:color w:val="F2F2F2"/>
        <w:sz w:val="22"/>
      </w:rPr>
      <w:tcPr>
        <w:shd w:val="clear" w:color="F4B483" w:themeColor="accent2" w:themeTint="97" w:fill="F4B483" w:themeFill="accent2" w:themeFillTint="97"/>
      </w:tcPr>
    </w:tblStylePr>
    <w:tblStylePr w:type="firstCol">
      <w:rPr>
        <w:rFonts w:ascii="Arial" w:hAnsi="Arial"/>
        <w:color w:val="F2F2F2"/>
        <w:sz w:val="22"/>
      </w:rPr>
      <w:tcPr>
        <w:shd w:val="clear" w:color="F4B483" w:themeColor="accent2" w:themeTint="97" w:fill="F4B483" w:themeFill="accent2" w:themeFillTint="97"/>
      </w:tcPr>
    </w:tblStylePr>
    <w:tblStylePr w:type="lastCol">
      <w:rPr>
        <w:rFonts w:ascii="Arial" w:hAnsi="Arial"/>
        <w:color w:val="F2F2F2"/>
        <w:sz w:val="22"/>
      </w:rPr>
      <w:tcPr>
        <w:shd w:val="clear" w:color="F4B483" w:themeColor="accent2" w:themeTint="97" w:fill="F4B483" w:themeFill="accent2" w:themeFillTint="97"/>
      </w:tcPr>
    </w:tblStylePr>
    <w:tblStylePr w:type="band1Vert">
      <w:rPr>
        <w:rFonts w:ascii="Arial" w:hAnsi="Arial"/>
        <w:color w:val="404040"/>
        <w:sz w:val="22"/>
      </w:rPr>
    </w:tblStylePr>
    <w:tblStylePr w:type="band2Vert">
      <w:rPr>
        <w:rFonts w:ascii="Arial" w:hAnsi="Arial"/>
        <w:color w:val="404040"/>
        <w:sz w:val="22"/>
      </w:rPr>
      <w:tcPr>
        <w:shd w:val="clear" w:color="FBE6D6" w:themeColor="accent2" w:themeTint="32" w:fill="FBE6D6" w:themeFill="accent2" w:themeFillTint="32"/>
      </w:tcPr>
    </w:tblStylePr>
    <w:tblStylePr w:type="band1Horz">
      <w:rPr>
        <w:rFonts w:ascii="Arial" w:hAnsi="Arial"/>
        <w:color w:val="404040"/>
        <w:sz w:val="22"/>
      </w:rPr>
    </w:tblStylePr>
    <w:tblStylePr w:type="band2Horz">
      <w:rPr>
        <w:rFonts w:ascii="Arial" w:hAnsi="Arial"/>
        <w:color w:val="404040"/>
        <w:sz w:val="22"/>
      </w:rPr>
      <w:tcPr>
        <w:shd w:val="clear" w:color="FBE6D6" w:themeColor="accent2" w:themeTint="32" w:fill="FBE6D6" w:themeFill="accent2" w:themeFillTint="32"/>
      </w:tcPr>
    </w:tblStylePr>
  </w:style>
  <w:style w:type="table" w:customStyle="1" w:styleId="194">
    <w:name w:val="Bordered &amp; Lined - Accent 3"/>
    <w:basedOn w:val="36"/>
    <w:qFormat/>
    <w:uiPriority w:val="99"/>
    <w:rPr>
      <w:color w:val="404040"/>
    </w:rPr>
    <w:tblPr>
      <w:tblBorders>
        <w:top w:val="single" w:color="8D6C01" w:themeColor="accent3" w:themeShade="95" w:sz="4" w:space="0"/>
        <w:left w:val="single" w:color="8D6C01" w:themeColor="accent3" w:themeShade="95" w:sz="4" w:space="0"/>
        <w:bottom w:val="single" w:color="8D6C01" w:themeColor="accent3" w:themeShade="95" w:sz="4" w:space="0"/>
        <w:right w:val="single" w:color="8D6C01" w:themeColor="accent3" w:themeShade="95" w:sz="4" w:space="0"/>
        <w:insideH w:val="single" w:color="8D6C01" w:themeColor="accent3" w:themeShade="95" w:sz="4" w:space="0"/>
        <w:insideV w:val="single" w:color="8D6C01" w:themeColor="accent3" w:themeShade="95" w:sz="4" w:space="0"/>
      </w:tblBorders>
    </w:tblPr>
    <w:tblStylePr w:type="firstRow">
      <w:rPr>
        <w:rFonts w:ascii="Arial" w:hAnsi="Arial"/>
        <w:color w:val="F2F2F2"/>
        <w:sz w:val="22"/>
      </w:rPr>
      <w:tcPr>
        <w:shd w:val="clear" w:color="F3BA02" w:themeColor="accent3" w:themeTint="FE" w:fill="F3BA02" w:themeFill="accent3" w:themeFillTint="FE"/>
      </w:tcPr>
    </w:tblStylePr>
    <w:tblStylePr w:type="lastRow">
      <w:rPr>
        <w:rFonts w:ascii="Arial" w:hAnsi="Arial"/>
        <w:color w:val="F2F2F2"/>
        <w:sz w:val="22"/>
      </w:rPr>
      <w:tcPr>
        <w:shd w:val="clear" w:color="F3BA02" w:themeColor="accent3" w:themeTint="FE" w:fill="F3BA02" w:themeFill="accent3" w:themeFillTint="FE"/>
      </w:tcPr>
    </w:tblStylePr>
    <w:tblStylePr w:type="firstCol">
      <w:rPr>
        <w:rFonts w:ascii="Arial" w:hAnsi="Arial"/>
        <w:color w:val="F2F2F2"/>
        <w:sz w:val="22"/>
      </w:rPr>
      <w:tcPr>
        <w:shd w:val="clear" w:color="F3BA02" w:themeColor="accent3" w:themeTint="FE" w:fill="F3BA02" w:themeFill="accent3" w:themeFillTint="FE"/>
      </w:tcPr>
    </w:tblStylePr>
    <w:tblStylePr w:type="lastCol">
      <w:rPr>
        <w:rFonts w:ascii="Arial" w:hAnsi="Arial"/>
        <w:color w:val="F2F2F2"/>
        <w:sz w:val="22"/>
      </w:rPr>
      <w:tcPr>
        <w:shd w:val="clear" w:color="F3BA02" w:themeColor="accent3" w:themeTint="FE" w:fill="F3BA02" w:themeFill="accent3" w:themeFillTint="FE"/>
      </w:tcPr>
    </w:tblStylePr>
    <w:tblStylePr w:type="band1Vert">
      <w:rPr>
        <w:rFonts w:ascii="Arial" w:hAnsi="Arial"/>
        <w:color w:val="404040"/>
        <w:sz w:val="22"/>
      </w:rPr>
    </w:tblStylePr>
    <w:tblStylePr w:type="band2Vert">
      <w:rPr>
        <w:rFonts w:ascii="Arial" w:hAnsi="Arial"/>
        <w:color w:val="404040"/>
        <w:sz w:val="22"/>
      </w:rPr>
      <w:tcPr>
        <w:shd w:val="clear" w:color="FEF2C9" w:themeColor="accent3" w:themeTint="34" w:fill="FEF2C9" w:themeFill="accent3" w:themeFillTint="34"/>
      </w:tcPr>
    </w:tblStylePr>
    <w:tblStylePr w:type="band1Horz">
      <w:rPr>
        <w:rFonts w:ascii="Arial" w:hAnsi="Arial"/>
        <w:color w:val="404040"/>
        <w:sz w:val="22"/>
      </w:rPr>
    </w:tblStylePr>
    <w:tblStylePr w:type="band2Horz">
      <w:rPr>
        <w:rFonts w:ascii="Arial" w:hAnsi="Arial"/>
        <w:color w:val="404040"/>
        <w:sz w:val="22"/>
      </w:rPr>
      <w:tcPr>
        <w:shd w:val="clear" w:color="FEF2C9" w:themeColor="accent3" w:themeTint="34" w:fill="FEF2C9" w:themeFill="accent3" w:themeFillTint="34"/>
      </w:tcPr>
    </w:tblStylePr>
  </w:style>
  <w:style w:type="table" w:customStyle="1" w:styleId="195">
    <w:name w:val="Bordered &amp; Lined - Accent 4"/>
    <w:basedOn w:val="36"/>
    <w:qFormat/>
    <w:uiPriority w:val="99"/>
    <w:rPr>
      <w:color w:val="404040"/>
    </w:rPr>
    <w:tblPr>
      <w:tblBorders>
        <w:top w:val="single" w:color="446E26" w:themeColor="accent4" w:themeShade="95" w:sz="4" w:space="0"/>
        <w:left w:val="single" w:color="446E26" w:themeColor="accent4" w:themeShade="95" w:sz="4" w:space="0"/>
        <w:bottom w:val="single" w:color="446E26" w:themeColor="accent4" w:themeShade="95" w:sz="4" w:space="0"/>
        <w:right w:val="single" w:color="446E26" w:themeColor="accent4" w:themeShade="95" w:sz="4" w:space="0"/>
        <w:insideH w:val="single" w:color="446E26" w:themeColor="accent4" w:themeShade="95" w:sz="4" w:space="0"/>
        <w:insideV w:val="single" w:color="446E26" w:themeColor="accent4" w:themeShade="95" w:sz="4" w:space="0"/>
      </w:tblBorders>
    </w:tblPr>
    <w:tblStylePr w:type="firstRow">
      <w:rPr>
        <w:rFonts w:ascii="Arial" w:hAnsi="Arial"/>
        <w:color w:val="F2F2F2"/>
        <w:sz w:val="22"/>
      </w:rPr>
      <w:tcPr>
        <w:shd w:val="clear" w:color="ABD78C" w:themeColor="accent4" w:themeTint="9A" w:fill="ABD78C" w:themeFill="accent4" w:themeFillTint="9A"/>
      </w:tcPr>
    </w:tblStylePr>
    <w:tblStylePr w:type="lastRow">
      <w:rPr>
        <w:rFonts w:ascii="Arial" w:hAnsi="Arial"/>
        <w:color w:val="F2F2F2"/>
        <w:sz w:val="22"/>
      </w:rPr>
      <w:tcPr>
        <w:shd w:val="clear" w:color="ABD78C" w:themeColor="accent4" w:themeTint="9A" w:fill="ABD78C" w:themeFill="accent4" w:themeFillTint="9A"/>
      </w:tcPr>
    </w:tblStylePr>
    <w:tblStylePr w:type="firstCol">
      <w:rPr>
        <w:rFonts w:ascii="Arial" w:hAnsi="Arial"/>
        <w:color w:val="F2F2F2"/>
        <w:sz w:val="22"/>
      </w:rPr>
      <w:tcPr>
        <w:shd w:val="clear" w:color="ABD78C" w:themeColor="accent4" w:themeTint="9A" w:fill="ABD78C" w:themeFill="accent4" w:themeFillTint="9A"/>
      </w:tcPr>
    </w:tblStylePr>
    <w:tblStylePr w:type="lastCol">
      <w:rPr>
        <w:rFonts w:ascii="Arial" w:hAnsi="Arial"/>
        <w:color w:val="F2F2F2"/>
        <w:sz w:val="22"/>
      </w:rPr>
      <w:tcPr>
        <w:shd w:val="clear" w:color="ABD78C" w:themeColor="accent4" w:themeTint="9A" w:fill="ABD78C" w:themeFill="accent4" w:themeFillTint="9A"/>
      </w:tcPr>
    </w:tblStylePr>
    <w:tblStylePr w:type="band1Vert">
      <w:rPr>
        <w:rFonts w:ascii="Arial" w:hAnsi="Arial"/>
        <w:color w:val="404040"/>
        <w:sz w:val="22"/>
      </w:rPr>
    </w:tblStylePr>
    <w:tblStylePr w:type="band2Vert">
      <w:rPr>
        <w:rFonts w:ascii="Arial" w:hAnsi="Arial"/>
        <w:color w:val="404040"/>
        <w:sz w:val="22"/>
      </w:rPr>
      <w:tcPr>
        <w:shd w:val="clear" w:color="E2F1D8" w:themeColor="accent4" w:themeTint="34" w:fill="E2F1D8" w:themeFill="accent4" w:themeFillTint="34"/>
      </w:tcPr>
    </w:tblStylePr>
    <w:tblStylePr w:type="band1Horz">
      <w:rPr>
        <w:rFonts w:ascii="Arial" w:hAnsi="Arial"/>
        <w:color w:val="404040"/>
        <w:sz w:val="22"/>
      </w:rPr>
    </w:tblStylePr>
    <w:tblStylePr w:type="band2Horz">
      <w:rPr>
        <w:rFonts w:ascii="Arial" w:hAnsi="Arial"/>
        <w:color w:val="404040"/>
        <w:sz w:val="22"/>
      </w:rPr>
      <w:tcPr>
        <w:shd w:val="clear" w:color="E2F1D8" w:themeColor="accent4" w:themeTint="34" w:fill="E2F1D8" w:themeFill="accent4" w:themeFillTint="34"/>
      </w:tcPr>
    </w:tblStylePr>
  </w:style>
  <w:style w:type="table" w:customStyle="1" w:styleId="196">
    <w:name w:val="Bordered &amp; Lined - Accent 5"/>
    <w:basedOn w:val="36"/>
    <w:qFormat/>
    <w:uiPriority w:val="99"/>
    <w:rPr>
      <w:color w:val="404040"/>
    </w:rPr>
    <w:tblPr>
      <w:tblBorders>
        <w:top w:val="single" w:color="1C7069" w:themeColor="accent5" w:themeShade="95" w:sz="4" w:space="0"/>
        <w:left w:val="single" w:color="1C7069" w:themeColor="accent5" w:themeShade="95" w:sz="4" w:space="0"/>
        <w:bottom w:val="single" w:color="1C7069" w:themeColor="accent5" w:themeShade="95" w:sz="4" w:space="0"/>
        <w:right w:val="single" w:color="1C7069" w:themeColor="accent5" w:themeShade="95" w:sz="4" w:space="0"/>
        <w:insideH w:val="single" w:color="1C7069" w:themeColor="accent5" w:themeShade="95" w:sz="4" w:space="0"/>
        <w:insideV w:val="single" w:color="1C7069" w:themeColor="accent5" w:themeShade="95" w:sz="4" w:space="0"/>
      </w:tblBorders>
    </w:tblPr>
    <w:tblStylePr w:type="firstRow">
      <w:rPr>
        <w:rFonts w:ascii="Arial" w:hAnsi="Arial"/>
        <w:color w:val="F2F2F2"/>
        <w:sz w:val="22"/>
      </w:rPr>
      <w:tcPr>
        <w:shd w:val="clear" w:color="30C0B4" w:themeColor="accent5" w:fill="30C0B4" w:themeFill="accent5"/>
      </w:tcPr>
    </w:tblStylePr>
    <w:tblStylePr w:type="lastRow">
      <w:rPr>
        <w:rFonts w:ascii="Arial" w:hAnsi="Arial"/>
        <w:color w:val="F2F2F2"/>
        <w:sz w:val="22"/>
      </w:rPr>
      <w:tcPr>
        <w:shd w:val="clear" w:color="30C0B4" w:themeColor="accent5" w:fill="30C0B4" w:themeFill="accent5"/>
      </w:tcPr>
    </w:tblStylePr>
    <w:tblStylePr w:type="firstCol">
      <w:rPr>
        <w:rFonts w:ascii="Arial" w:hAnsi="Arial"/>
        <w:color w:val="F2F2F2"/>
        <w:sz w:val="22"/>
      </w:rPr>
      <w:tcPr>
        <w:shd w:val="clear" w:color="30C0B4" w:themeColor="accent5" w:fill="30C0B4" w:themeFill="accent5"/>
      </w:tcPr>
    </w:tblStylePr>
    <w:tblStylePr w:type="lastCol">
      <w:rPr>
        <w:rFonts w:ascii="Arial" w:hAnsi="Arial"/>
        <w:color w:val="F2F2F2"/>
        <w:sz w:val="22"/>
      </w:rPr>
      <w:tcPr>
        <w:shd w:val="clear" w:color="30C0B4" w:themeColor="accent5" w:fill="30C0B4" w:themeFill="accent5"/>
      </w:tcPr>
    </w:tblStylePr>
    <w:tblStylePr w:type="band1Vert">
      <w:rPr>
        <w:rFonts w:ascii="Arial" w:hAnsi="Arial"/>
        <w:color w:val="404040"/>
        <w:sz w:val="22"/>
      </w:rPr>
    </w:tblStylePr>
    <w:tblStylePr w:type="band2Vert">
      <w:rPr>
        <w:rFonts w:ascii="Arial" w:hAnsi="Arial"/>
        <w:color w:val="404040"/>
        <w:sz w:val="22"/>
      </w:rPr>
      <w:tcPr>
        <w:shd w:val="clear" w:color="D2F3F1" w:themeColor="accent5" w:themeTint="34" w:fill="D2F3F1" w:themeFill="accent5" w:themeFillTint="34"/>
      </w:tcPr>
    </w:tblStylePr>
    <w:tblStylePr w:type="band1Horz">
      <w:rPr>
        <w:rFonts w:ascii="Arial" w:hAnsi="Arial"/>
        <w:color w:val="404040"/>
        <w:sz w:val="22"/>
      </w:rPr>
    </w:tblStylePr>
    <w:tblStylePr w:type="band2Horz">
      <w:rPr>
        <w:rFonts w:ascii="Arial" w:hAnsi="Arial"/>
        <w:color w:val="404040"/>
        <w:sz w:val="22"/>
      </w:rPr>
      <w:tcPr>
        <w:shd w:val="clear" w:color="D2F3F1" w:themeColor="accent5" w:themeTint="34" w:fill="D2F3F1" w:themeFill="accent5" w:themeFillTint="34"/>
      </w:tcPr>
    </w:tblStylePr>
  </w:style>
  <w:style w:type="table" w:customStyle="1" w:styleId="197">
    <w:name w:val="Bordered &amp; Lined - Accent 6"/>
    <w:basedOn w:val="36"/>
    <w:qFormat/>
    <w:uiPriority w:val="99"/>
    <w:rPr>
      <w:color w:val="404040"/>
    </w:rPr>
    <w:tblPr>
      <w:tblBorders>
        <w:top w:val="single" w:color="9B1626" w:themeColor="accent6" w:themeShade="95" w:sz="4" w:space="0"/>
        <w:left w:val="single" w:color="9B1626" w:themeColor="accent6" w:themeShade="95" w:sz="4" w:space="0"/>
        <w:bottom w:val="single" w:color="9B1626" w:themeColor="accent6" w:themeShade="95" w:sz="4" w:space="0"/>
        <w:right w:val="single" w:color="9B1626" w:themeColor="accent6" w:themeShade="95" w:sz="4" w:space="0"/>
        <w:insideH w:val="single" w:color="9B1626" w:themeColor="accent6" w:themeShade="95" w:sz="4" w:space="0"/>
        <w:insideV w:val="single" w:color="9B1626" w:themeColor="accent6" w:themeShade="95" w:sz="4" w:space="0"/>
      </w:tblBorders>
    </w:tblPr>
    <w:tblStylePr w:type="firstRow">
      <w:rPr>
        <w:rFonts w:ascii="Arial" w:hAnsi="Arial"/>
        <w:color w:val="F2F2F2"/>
        <w:sz w:val="22"/>
      </w:rPr>
      <w:tcPr>
        <w:shd w:val="clear" w:color="E54C5E" w:themeColor="accent6" w:fill="E54C5E" w:themeFill="accent6"/>
      </w:tcPr>
    </w:tblStylePr>
    <w:tblStylePr w:type="lastRow">
      <w:rPr>
        <w:rFonts w:ascii="Arial" w:hAnsi="Arial"/>
        <w:color w:val="F2F2F2"/>
        <w:sz w:val="22"/>
      </w:rPr>
      <w:tcPr>
        <w:shd w:val="clear" w:color="E54C5E" w:themeColor="accent6" w:fill="E54C5E" w:themeFill="accent6"/>
      </w:tcPr>
    </w:tblStylePr>
    <w:tblStylePr w:type="firstCol">
      <w:rPr>
        <w:rFonts w:ascii="Arial" w:hAnsi="Arial"/>
        <w:color w:val="F2F2F2"/>
        <w:sz w:val="22"/>
      </w:rPr>
      <w:tcPr>
        <w:shd w:val="clear" w:color="E54C5E" w:themeColor="accent6" w:fill="E54C5E" w:themeFill="accent6"/>
      </w:tcPr>
    </w:tblStylePr>
    <w:tblStylePr w:type="lastCol">
      <w:rPr>
        <w:rFonts w:ascii="Arial" w:hAnsi="Arial"/>
        <w:color w:val="F2F2F2"/>
        <w:sz w:val="22"/>
      </w:rPr>
      <w:tcPr>
        <w:shd w:val="clear" w:color="E54C5E" w:themeColor="accent6" w:fill="E54C5E" w:themeFill="accent6"/>
      </w:tcPr>
    </w:tblStylePr>
    <w:tblStylePr w:type="band1Vert">
      <w:rPr>
        <w:rFonts w:ascii="Arial" w:hAnsi="Arial"/>
        <w:color w:val="404040"/>
        <w:sz w:val="22"/>
      </w:rPr>
    </w:tblStylePr>
    <w:tblStylePr w:type="band2Vert">
      <w:rPr>
        <w:rFonts w:ascii="Arial" w:hAnsi="Arial"/>
        <w:color w:val="404040"/>
        <w:sz w:val="22"/>
      </w:rPr>
      <w:tcPr>
        <w:shd w:val="clear" w:color="F9DADE" w:themeColor="accent6" w:themeTint="34" w:fill="F9DADE" w:themeFill="accent6" w:themeFillTint="34"/>
      </w:tcPr>
    </w:tblStylePr>
    <w:tblStylePr w:type="band1Horz">
      <w:rPr>
        <w:rFonts w:ascii="Arial" w:hAnsi="Arial"/>
        <w:color w:val="404040"/>
        <w:sz w:val="22"/>
      </w:rPr>
    </w:tblStylePr>
    <w:tblStylePr w:type="band2Horz">
      <w:rPr>
        <w:rFonts w:ascii="Arial" w:hAnsi="Arial"/>
        <w:color w:val="404040"/>
        <w:sz w:val="22"/>
      </w:rPr>
      <w:tcPr>
        <w:shd w:val="clear" w:color="F9DADE" w:themeColor="accent6" w:themeTint="34" w:fill="F9DADE" w:themeFill="accent6" w:themeFillTint="34"/>
      </w:tcPr>
    </w:tblStylePr>
  </w:style>
  <w:style w:type="table" w:customStyle="1" w:styleId="198">
    <w:name w:val="Bordered"/>
    <w:basedOn w:val="36"/>
    <w:qFormat/>
    <w:uiPriority w:val="99"/>
    <w:tblPr>
      <w:tbl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insideH w:val="single" w:color="D8D8D8" w:themeColor="text1" w:themeTint="26" w:sz="4" w:space="0"/>
        <w:insideV w:val="single" w:color="D8D8D8" w:themeColor="text1" w:themeTint="26" w:sz="4" w:space="0"/>
      </w:tblBorders>
    </w:tblPr>
    <w:tblStylePr w:type="firstRow">
      <w:rPr>
        <w:rFonts w:ascii="Arial" w:hAnsi="Arial"/>
        <w:color w:val="404040"/>
        <w:sz w:val="22"/>
      </w:rPr>
      <w:tcPr>
        <w:tcBorders>
          <w:bottom w:val="single" w:color="7E7E7E" w:themeColor="text1" w:themeTint="80" w:sz="12" w:space="0"/>
        </w:tcBorders>
      </w:tcPr>
    </w:tblStylePr>
    <w:tblStylePr w:type="lastRow">
      <w:rPr>
        <w:rFonts w:ascii="Arial" w:hAnsi="Arial"/>
        <w:color w:val="404040"/>
        <w:sz w:val="22"/>
      </w:rPr>
      <w:tcPr>
        <w:tcBorders>
          <w:top w:val="single" w:color="7E7E7E" w:themeColor="text1" w:themeTint="80"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E7E7E" w:themeColor="text1" w:themeTint="80" w:sz="12" w:space="0"/>
        </w:tcBorders>
      </w:tcPr>
    </w:tblStylePr>
    <w:tblStylePr w:type="band1Horz">
      <w:rPr>
        <w:rFonts w:ascii="Arial" w:hAnsi="Arial"/>
        <w:color w:val="404040"/>
        <w:sz w:val="22"/>
      </w:rPr>
      <w:tcPr>
        <w:tcBorders>
          <w:top w:val="single" w:color="D8D8D8" w:themeColor="text1" w:themeTint="26" w:sz="4" w:space="0"/>
          <w:left w:val="single" w:color="D8D8D8" w:themeColor="text1" w:themeTint="26" w:sz="4" w:space="0"/>
          <w:bottom w:val="single" w:color="D8D8D8" w:themeColor="text1" w:themeTint="26" w:sz="4" w:space="0"/>
          <w:right w:val="single" w:color="D8D8D8" w:themeColor="text1" w:themeTint="26" w:sz="4" w:space="0"/>
        </w:tcBorders>
      </w:tcPr>
    </w:tblStylePr>
  </w:style>
  <w:style w:type="table" w:customStyle="1" w:styleId="199">
    <w:name w:val="Bordered - Accent 1"/>
    <w:basedOn w:val="36"/>
    <w:qFormat/>
    <w:uiPriority w:val="99"/>
    <w:tblPr>
      <w:tbl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insideH w:val="single" w:color="B5C6E9" w:themeColor="accent1" w:themeTint="67" w:sz="4" w:space="0"/>
        <w:insideV w:val="single" w:color="B5C6E9" w:themeColor="accent1" w:themeTint="67" w:sz="4" w:space="0"/>
      </w:tblBorders>
    </w:tblPr>
    <w:tblStylePr w:type="firstRow">
      <w:rPr>
        <w:rFonts w:ascii="Arial" w:hAnsi="Arial"/>
        <w:color w:val="404040"/>
        <w:sz w:val="22"/>
      </w:rPr>
      <w:tcPr>
        <w:tcBorders>
          <w:bottom w:val="single" w:color="4874CB" w:themeColor="accent1" w:sz="12" w:space="0"/>
        </w:tcBorders>
      </w:tcPr>
    </w:tblStylePr>
    <w:tblStylePr w:type="lastRow">
      <w:rPr>
        <w:rFonts w:ascii="Arial" w:hAnsi="Arial"/>
        <w:color w:val="404040"/>
        <w:sz w:val="22"/>
      </w:rPr>
      <w:tcPr>
        <w:tcBorders>
          <w:top w:val="single" w:color="4874CB" w:themeColor="accent1"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4874CB" w:themeColor="accent1" w:sz="12" w:space="0"/>
        </w:tcBorders>
      </w:tcPr>
    </w:tblStylePr>
    <w:tblStylePr w:type="band1Horz">
      <w:rPr>
        <w:rFonts w:ascii="Arial" w:hAnsi="Arial"/>
        <w:color w:val="404040"/>
        <w:sz w:val="22"/>
      </w:rPr>
      <w:tcPr>
        <w:tcBorders>
          <w:top w:val="single" w:color="B5C6E9" w:themeColor="accent1" w:themeTint="67" w:sz="4" w:space="0"/>
          <w:left w:val="single" w:color="B5C6E9" w:themeColor="accent1" w:themeTint="67" w:sz="4" w:space="0"/>
          <w:bottom w:val="single" w:color="B5C6E9" w:themeColor="accent1" w:themeTint="67" w:sz="4" w:space="0"/>
          <w:right w:val="single" w:color="B5C6E9" w:themeColor="accent1" w:themeTint="67" w:sz="4" w:space="0"/>
        </w:tcBorders>
      </w:tcPr>
    </w:tblStylePr>
  </w:style>
  <w:style w:type="table" w:customStyle="1" w:styleId="200">
    <w:name w:val="Bordered - Accent 2"/>
    <w:basedOn w:val="36"/>
    <w:qFormat/>
    <w:uiPriority w:val="99"/>
    <w:tblPr>
      <w:tbl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insideH w:val="single" w:color="F8CCAA" w:themeColor="accent2" w:themeTint="67" w:sz="4" w:space="0"/>
        <w:insideV w:val="single" w:color="F8CCAA" w:themeColor="accent2" w:themeTint="67" w:sz="4" w:space="0"/>
      </w:tblBorders>
    </w:tblPr>
    <w:tblStylePr w:type="firstRow">
      <w:rPr>
        <w:rFonts w:ascii="Arial" w:hAnsi="Arial"/>
        <w:color w:val="404040"/>
        <w:sz w:val="22"/>
      </w:rPr>
      <w:tcPr>
        <w:tcBorders>
          <w:bottom w:val="single" w:color="F4B483" w:themeColor="accent2" w:themeTint="97" w:sz="12" w:space="0"/>
        </w:tcBorders>
      </w:tcPr>
    </w:tblStylePr>
    <w:tblStylePr w:type="lastRow">
      <w:rPr>
        <w:rFonts w:ascii="Arial" w:hAnsi="Arial"/>
        <w:color w:val="404040"/>
        <w:sz w:val="22"/>
      </w:rPr>
      <w:tcPr>
        <w:tcBorders>
          <w:top w:val="single" w:color="F4B483" w:themeColor="accent2" w:themeTint="97"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4B483" w:themeColor="accent2" w:themeTint="97" w:sz="12" w:space="0"/>
        </w:tcBorders>
      </w:tcPr>
    </w:tblStylePr>
    <w:tblStylePr w:type="band1Horz">
      <w:rPr>
        <w:rFonts w:ascii="Arial" w:hAnsi="Arial"/>
        <w:color w:val="404040"/>
        <w:sz w:val="22"/>
      </w:rPr>
      <w:tcPr>
        <w:tcBorders>
          <w:top w:val="single" w:color="F8CCAA" w:themeColor="accent2" w:themeTint="67" w:sz="4" w:space="0"/>
          <w:left w:val="single" w:color="F8CCAA" w:themeColor="accent2" w:themeTint="67" w:sz="4" w:space="0"/>
          <w:bottom w:val="single" w:color="F8CCAA" w:themeColor="accent2" w:themeTint="67" w:sz="4" w:space="0"/>
          <w:right w:val="single" w:color="F8CCAA" w:themeColor="accent2" w:themeTint="67" w:sz="4" w:space="0"/>
        </w:tcBorders>
      </w:tcPr>
    </w:tblStylePr>
  </w:style>
  <w:style w:type="table" w:customStyle="1" w:styleId="201">
    <w:name w:val="Bordered - Accent 3"/>
    <w:basedOn w:val="36"/>
    <w:qFormat/>
    <w:uiPriority w:val="99"/>
    <w:tblPr>
      <w:tbl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insideH w:val="single" w:color="FEE594" w:themeColor="accent3" w:themeTint="67" w:sz="4" w:space="0"/>
        <w:insideV w:val="single" w:color="FEE594" w:themeColor="accent3" w:themeTint="67" w:sz="4" w:space="0"/>
      </w:tblBorders>
    </w:tblPr>
    <w:tblStylePr w:type="firstRow">
      <w:rPr>
        <w:rFonts w:ascii="Arial" w:hAnsi="Arial"/>
        <w:color w:val="404040"/>
        <w:sz w:val="22"/>
      </w:rPr>
      <w:tcPr>
        <w:tcBorders>
          <w:bottom w:val="single" w:color="FDD961" w:themeColor="accent3" w:themeTint="98" w:sz="12" w:space="0"/>
        </w:tcBorders>
      </w:tcPr>
    </w:tblStylePr>
    <w:tblStylePr w:type="lastRow">
      <w:rPr>
        <w:rFonts w:ascii="Arial" w:hAnsi="Arial"/>
        <w:color w:val="404040"/>
        <w:sz w:val="22"/>
      </w:rPr>
      <w:tcPr>
        <w:tcBorders>
          <w:top w:val="single" w:color="FDD961" w:themeColor="accent3"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FDD961" w:themeColor="accent3" w:themeTint="98" w:sz="12" w:space="0"/>
        </w:tcBorders>
      </w:tcPr>
    </w:tblStylePr>
    <w:tblStylePr w:type="band1Horz">
      <w:rPr>
        <w:rFonts w:ascii="Arial" w:hAnsi="Arial"/>
        <w:color w:val="404040"/>
        <w:sz w:val="22"/>
      </w:rPr>
      <w:tcPr>
        <w:tcBorders>
          <w:top w:val="single" w:color="FEE594" w:themeColor="accent3" w:themeTint="67" w:sz="4" w:space="0"/>
          <w:left w:val="single" w:color="FEE594" w:themeColor="accent3" w:themeTint="67" w:sz="4" w:space="0"/>
          <w:bottom w:val="single" w:color="FEE594" w:themeColor="accent3" w:themeTint="67" w:sz="4" w:space="0"/>
          <w:right w:val="single" w:color="FEE594" w:themeColor="accent3" w:themeTint="67" w:sz="4" w:space="0"/>
        </w:tcBorders>
      </w:tcPr>
    </w:tblStylePr>
  </w:style>
  <w:style w:type="table" w:customStyle="1" w:styleId="202">
    <w:name w:val="Bordered - Accent 4"/>
    <w:basedOn w:val="36"/>
    <w:qFormat/>
    <w:uiPriority w:val="99"/>
    <w:tblPr>
      <w:tbl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insideH w:val="single" w:color="C7E4B2" w:themeColor="accent4" w:themeTint="67" w:sz="4" w:space="0"/>
        <w:insideV w:val="single" w:color="C7E4B2" w:themeColor="accent4" w:themeTint="67" w:sz="4" w:space="0"/>
      </w:tblBorders>
    </w:tblPr>
    <w:tblStylePr w:type="firstRow">
      <w:rPr>
        <w:rFonts w:ascii="Arial" w:hAnsi="Arial"/>
        <w:color w:val="404040"/>
        <w:sz w:val="22"/>
      </w:rPr>
      <w:tcPr>
        <w:tcBorders>
          <w:bottom w:val="single" w:color="ABD78C" w:themeColor="accent4" w:themeTint="9A" w:sz="12" w:space="0"/>
        </w:tcBorders>
      </w:tcPr>
    </w:tblStylePr>
    <w:tblStylePr w:type="lastRow">
      <w:rPr>
        <w:rFonts w:ascii="Arial" w:hAnsi="Arial"/>
        <w:color w:val="404040"/>
        <w:sz w:val="22"/>
      </w:rPr>
      <w:tcPr>
        <w:tcBorders>
          <w:top w:val="single" w:color="ABD78C" w:themeColor="accent4"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ABD78C" w:themeColor="accent4" w:themeTint="9A" w:sz="12" w:space="0"/>
        </w:tcBorders>
      </w:tcPr>
    </w:tblStylePr>
    <w:tblStylePr w:type="band1Horz">
      <w:rPr>
        <w:rFonts w:ascii="Arial" w:hAnsi="Arial"/>
        <w:color w:val="404040"/>
        <w:sz w:val="22"/>
      </w:rPr>
      <w:tcPr>
        <w:tcBorders>
          <w:top w:val="single" w:color="C7E4B2" w:themeColor="accent4" w:themeTint="67" w:sz="4" w:space="0"/>
          <w:left w:val="single" w:color="C7E4B2" w:themeColor="accent4" w:themeTint="67" w:sz="4" w:space="0"/>
          <w:bottom w:val="single" w:color="C7E4B2" w:themeColor="accent4" w:themeTint="67" w:sz="4" w:space="0"/>
          <w:right w:val="single" w:color="C7E4B2" w:themeColor="accent4" w:themeTint="67" w:sz="4" w:space="0"/>
        </w:tcBorders>
      </w:tcPr>
    </w:tblStylePr>
  </w:style>
  <w:style w:type="table" w:customStyle="1" w:styleId="203">
    <w:name w:val="Bordered - Accent 5"/>
    <w:basedOn w:val="36"/>
    <w:qFormat/>
    <w:uiPriority w:val="99"/>
    <w:tblPr>
      <w:tbl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insideH w:val="single" w:color="A7E9E3" w:themeColor="accent5" w:themeTint="67" w:sz="4" w:space="0"/>
        <w:insideV w:val="single" w:color="A7E9E3" w:themeColor="accent5" w:themeTint="67" w:sz="4" w:space="0"/>
      </w:tblBorders>
    </w:tblPr>
    <w:tblStylePr w:type="firstRow">
      <w:rPr>
        <w:rFonts w:ascii="Arial" w:hAnsi="Arial"/>
        <w:color w:val="404040"/>
        <w:sz w:val="22"/>
      </w:rPr>
      <w:tcPr>
        <w:tcBorders>
          <w:bottom w:val="single" w:color="7CDED6" w:themeColor="accent5" w:themeTint="9A" w:sz="12" w:space="0"/>
        </w:tcBorders>
      </w:tcPr>
    </w:tblStylePr>
    <w:tblStylePr w:type="lastRow">
      <w:rPr>
        <w:rFonts w:ascii="Arial" w:hAnsi="Arial"/>
        <w:color w:val="404040"/>
        <w:sz w:val="22"/>
      </w:rPr>
      <w:tcPr>
        <w:tcBorders>
          <w:top w:val="single" w:color="7CDED6" w:themeColor="accent5" w:themeTint="9A"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7CDED6" w:themeColor="accent5" w:themeTint="9A" w:sz="12" w:space="0"/>
        </w:tcBorders>
      </w:tcPr>
    </w:tblStylePr>
    <w:tblStylePr w:type="band1Horz">
      <w:rPr>
        <w:rFonts w:ascii="Arial" w:hAnsi="Arial"/>
        <w:color w:val="404040"/>
        <w:sz w:val="22"/>
      </w:rPr>
      <w:tcPr>
        <w:tcBorders>
          <w:top w:val="single" w:color="A7E9E3" w:themeColor="accent5" w:themeTint="67" w:sz="4" w:space="0"/>
          <w:left w:val="single" w:color="A7E9E3" w:themeColor="accent5" w:themeTint="67" w:sz="4" w:space="0"/>
          <w:bottom w:val="single" w:color="A7E9E3" w:themeColor="accent5" w:themeTint="67" w:sz="4" w:space="0"/>
          <w:right w:val="single" w:color="A7E9E3" w:themeColor="accent5" w:themeTint="67" w:sz="4" w:space="0"/>
        </w:tcBorders>
      </w:tcPr>
    </w:tblStylePr>
  </w:style>
  <w:style w:type="table" w:customStyle="1" w:styleId="204">
    <w:name w:val="Bordered - Accent 6"/>
    <w:basedOn w:val="36"/>
    <w:qFormat/>
    <w:uiPriority w:val="99"/>
    <w:tblPr>
      <w:tbl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insideH w:val="single" w:color="F4B6BD" w:themeColor="accent6" w:themeTint="67" w:sz="4" w:space="0"/>
        <w:insideV w:val="single" w:color="F4B6BD" w:themeColor="accent6" w:themeTint="67" w:sz="4" w:space="0"/>
      </w:tblBorders>
    </w:tblPr>
    <w:tblStylePr w:type="firstRow">
      <w:rPr>
        <w:rFonts w:ascii="Arial" w:hAnsi="Arial"/>
        <w:color w:val="404040"/>
        <w:sz w:val="22"/>
      </w:rPr>
      <w:tcPr>
        <w:tcBorders>
          <w:bottom w:val="single" w:color="EF949F" w:themeColor="accent6" w:themeTint="98" w:sz="12" w:space="0"/>
        </w:tcBorders>
      </w:tcPr>
    </w:tblStylePr>
    <w:tblStylePr w:type="lastRow">
      <w:rPr>
        <w:rFonts w:ascii="Arial" w:hAnsi="Arial"/>
        <w:color w:val="404040"/>
        <w:sz w:val="22"/>
      </w:rPr>
      <w:tcPr>
        <w:tcBorders>
          <w:top w:val="single" w:color="EF949F" w:themeColor="accent6" w:themeTint="98" w:sz="12" w:space="0"/>
        </w:tcBorders>
      </w:tcPr>
    </w:tblStylePr>
    <w:tblStylePr w:type="firstCol">
      <w:rPr>
        <w:rFonts w:ascii="Arial" w:hAnsi="Arial"/>
        <w:color w:val="404040"/>
        <w:sz w:val="22"/>
      </w:rPr>
    </w:tblStylePr>
    <w:tblStylePr w:type="lastCol">
      <w:rPr>
        <w:rFonts w:ascii="Arial" w:hAnsi="Arial"/>
        <w:color w:val="404040"/>
        <w:sz w:val="22"/>
      </w:rPr>
      <w:tcPr>
        <w:tcBorders>
          <w:left w:val="single" w:color="EF949F" w:themeColor="accent6" w:themeTint="98" w:sz="12" w:space="0"/>
        </w:tcBorders>
      </w:tcPr>
    </w:tblStylePr>
    <w:tblStylePr w:type="band1Horz">
      <w:rPr>
        <w:rFonts w:ascii="Arial" w:hAnsi="Arial"/>
        <w:color w:val="404040"/>
        <w:sz w:val="22"/>
      </w:rPr>
      <w:tcPr>
        <w:tcBorders>
          <w:top w:val="single" w:color="F4B6BD" w:themeColor="accent6" w:themeTint="67" w:sz="4" w:space="0"/>
          <w:left w:val="single" w:color="F4B6BD" w:themeColor="accent6" w:themeTint="67" w:sz="4" w:space="0"/>
          <w:bottom w:val="single" w:color="F4B6BD" w:themeColor="accent6" w:themeTint="67" w:sz="4" w:space="0"/>
          <w:right w:val="single" w:color="F4B6BD" w:themeColor="accent6" w:themeTint="67" w:sz="4" w:space="0"/>
        </w:tcBorders>
      </w:tcPr>
    </w:tblStylePr>
  </w:style>
  <w:style w:type="character" w:customStyle="1" w:styleId="205">
    <w:name w:val="脚注文本 字符"/>
    <w:link w:val="27"/>
    <w:qFormat/>
    <w:uiPriority w:val="99"/>
    <w:rPr>
      <w:sz w:val="18"/>
    </w:rPr>
  </w:style>
  <w:style w:type="character" w:customStyle="1" w:styleId="206">
    <w:name w:val="尾注文本 字符"/>
    <w:link w:val="21"/>
    <w:qFormat/>
    <w:uiPriority w:val="99"/>
    <w:rPr>
      <w:sz w:val="20"/>
    </w:rPr>
  </w:style>
  <w:style w:type="paragraph" w:customStyle="1" w:styleId="207">
    <w:name w:val="TOC 标题11"/>
    <w:unhideWhenUsed/>
    <w:qFormat/>
    <w:uiPriority w:val="39"/>
    <w:rPr>
      <w:rFonts w:asciiTheme="minorHAnsi" w:hAnsiTheme="minorHAnsi" w:eastAsiaTheme="minorEastAsia" w:cstheme="minorBidi"/>
      <w:lang w:val="en-US" w:eastAsia="zh-CN" w:bidi="ar-SA"/>
    </w:rPr>
  </w:style>
  <w:style w:type="paragraph" w:customStyle="1" w:styleId="208">
    <w:name w:val="普通正文"/>
    <w:basedOn w:val="1"/>
    <w:qFormat/>
    <w:uiPriority w:val="0"/>
    <w:pPr>
      <w:spacing w:before="120" w:after="120" w:line="360" w:lineRule="auto"/>
      <w:ind w:firstLine="480"/>
      <w:jc w:val="left"/>
    </w:pPr>
    <w:rPr>
      <w:rFonts w:ascii="Arial" w:hAnsi="Arial"/>
      <w:sz w:val="24"/>
      <w:szCs w:val="24"/>
    </w:rPr>
  </w:style>
  <w:style w:type="paragraph" w:styleId="209">
    <w:name w:val="No Spacing"/>
    <w:qFormat/>
    <w:uiPriority w:val="99"/>
    <w:pPr>
      <w:widowControl w:val="0"/>
      <w:jc w:val="both"/>
    </w:pPr>
    <w:rPr>
      <w:rFonts w:ascii="Times New Roman" w:hAnsi="Times New Roman" w:eastAsia="宋体" w:cs="Times New Roman"/>
      <w:sz w:val="21"/>
      <w:szCs w:val="21"/>
      <w:lang w:val="en-US" w:eastAsia="zh-CN" w:bidi="ar-SA"/>
    </w:rPr>
  </w:style>
  <w:style w:type="paragraph" w:customStyle="1" w:styleId="210">
    <w:name w:val="一级目录"/>
    <w:next w:val="1"/>
    <w:qFormat/>
    <w:uiPriority w:val="0"/>
    <w:pPr>
      <w:jc w:val="center"/>
      <w:outlineLvl w:val="0"/>
    </w:pPr>
    <w:rPr>
      <w:rFonts w:ascii="黑体" w:hAnsi="Times New Roman" w:eastAsia="黑体" w:cs="Times New Roman"/>
      <w:b/>
      <w:sz w:val="44"/>
      <w:szCs w:val="44"/>
      <w:lang w:val="en-US" w:eastAsia="zh-CN" w:bidi="ar-SA"/>
    </w:rPr>
  </w:style>
  <w:style w:type="paragraph" w:customStyle="1" w:styleId="211">
    <w:name w:val="二级目录"/>
    <w:next w:val="1"/>
    <w:qFormat/>
    <w:uiPriority w:val="0"/>
    <w:pPr>
      <w:numPr>
        <w:ilvl w:val="0"/>
        <w:numId w:val="1"/>
      </w:numPr>
      <w:tabs>
        <w:tab w:val="left" w:pos="1145"/>
      </w:tabs>
      <w:outlineLvl w:val="1"/>
    </w:pPr>
    <w:rPr>
      <w:rFonts w:ascii="Times New Roman" w:hAnsi="Times New Roman" w:eastAsia="宋体" w:cs="Times New Roman"/>
      <w:b/>
      <w:sz w:val="30"/>
      <w:szCs w:val="28"/>
      <w:lang w:val="en-US" w:eastAsia="zh-CN" w:bidi="ar-SA"/>
    </w:rPr>
  </w:style>
  <w:style w:type="paragraph" w:customStyle="1" w:styleId="212">
    <w:name w:val="Table Paragraph"/>
    <w:basedOn w:val="1"/>
    <w:qFormat/>
    <w:uiPriority w:val="1"/>
    <w:rPr>
      <w:rFonts w:ascii="宋体" w:hAnsi="宋体" w:cs="宋体"/>
      <w:lang w:val="zh-CN" w:bidi="zh-CN"/>
    </w:rPr>
  </w:style>
  <w:style w:type="paragraph" w:customStyle="1" w:styleId="213">
    <w:name w:val="Default"/>
    <w:qFormat/>
    <w:uiPriority w:val="0"/>
    <w:pPr>
      <w:widowControl w:val="0"/>
    </w:pPr>
    <w:rPr>
      <w:rFonts w:ascii="Times New Roman" w:hAnsi="Times New Roman" w:eastAsia="宋体" w:cs="Calibri"/>
      <w:color w:val="000000"/>
      <w:sz w:val="24"/>
      <w:szCs w:val="24"/>
      <w:lang w:val="en-US" w:eastAsia="zh-CN" w:bidi="ar-SA"/>
    </w:rPr>
  </w:style>
  <w:style w:type="paragraph" w:customStyle="1" w:styleId="214">
    <w:name w:val="正文文本11"/>
    <w:basedOn w:val="1"/>
    <w:next w:val="215"/>
    <w:qFormat/>
    <w:uiPriority w:val="0"/>
    <w:rPr>
      <w:rFonts w:ascii="楷体_GB2312" w:hAnsi="Arial" w:eastAsia="楷体_GB2312"/>
      <w:sz w:val="28"/>
      <w:szCs w:val="28"/>
    </w:rPr>
  </w:style>
  <w:style w:type="paragraph" w:customStyle="1" w:styleId="215">
    <w:name w:val="一级条标题"/>
    <w:basedOn w:val="216"/>
    <w:next w:val="217"/>
    <w:qFormat/>
    <w:uiPriority w:val="0"/>
    <w:pPr>
      <w:tabs>
        <w:tab w:val="left" w:pos="810"/>
        <w:tab w:val="left" w:pos="907"/>
        <w:tab w:val="left" w:pos="1265"/>
      </w:tabs>
      <w:spacing w:before="0" w:after="0"/>
      <w:ind w:left="907" w:hanging="907"/>
      <w:outlineLvl w:val="2"/>
    </w:pPr>
    <w:rPr>
      <w:rFonts w:hAnsi="宋体"/>
      <w:sz w:val="20"/>
      <w:szCs w:val="20"/>
    </w:rPr>
  </w:style>
  <w:style w:type="paragraph" w:customStyle="1" w:styleId="216">
    <w:name w:val="章标题"/>
    <w:next w:val="1"/>
    <w:qFormat/>
    <w:uiPriority w:val="0"/>
    <w:pPr>
      <w:tabs>
        <w:tab w:val="left" w:pos="810"/>
        <w:tab w:val="left" w:pos="1265"/>
      </w:tabs>
      <w:spacing w:before="50" w:after="50"/>
      <w:ind w:left="810" w:hanging="810"/>
      <w:jc w:val="both"/>
      <w:outlineLvl w:val="1"/>
    </w:pPr>
    <w:rPr>
      <w:rFonts w:ascii="黑体" w:hAnsi="Times New Roman" w:eastAsia="黑体" w:cs="Times New Roman"/>
      <w:sz w:val="21"/>
      <w:szCs w:val="22"/>
      <w:lang w:val="en-US" w:eastAsia="zh-CN" w:bidi="ar-SA"/>
    </w:rPr>
  </w:style>
  <w:style w:type="paragraph" w:customStyle="1" w:styleId="217">
    <w:name w:val="段"/>
    <w:next w:val="1"/>
    <w:qFormat/>
    <w:uiPriority w:val="0"/>
    <w:pPr>
      <w:widowControl w:val="0"/>
      <w:ind w:firstLine="200"/>
      <w:jc w:val="both"/>
    </w:pPr>
    <w:rPr>
      <w:rFonts w:ascii="宋体" w:hAnsi="宋体" w:eastAsia="宋体" w:cs="宋体"/>
      <w:color w:val="000000"/>
      <w:sz w:val="21"/>
      <w:szCs w:val="21"/>
      <w:lang w:val="en-US" w:eastAsia="zh-CN" w:bidi="ar-SA"/>
    </w:rPr>
  </w:style>
  <w:style w:type="character" w:customStyle="1" w:styleId="218">
    <w:name w:val="font51"/>
    <w:basedOn w:val="38"/>
    <w:qFormat/>
    <w:uiPriority w:val="0"/>
    <w:rPr>
      <w:rFonts w:hint="eastAsia" w:ascii="宋体" w:hAnsi="宋体" w:eastAsia="宋体" w:cs="宋体"/>
      <w:b/>
      <w:bCs/>
      <w:color w:val="000000"/>
      <w:sz w:val="40"/>
      <w:szCs w:val="40"/>
      <w:u w:val="none"/>
    </w:rPr>
  </w:style>
  <w:style w:type="paragraph" w:customStyle="1" w:styleId="219">
    <w:name w:val="正文缩进1"/>
    <w:basedOn w:val="1"/>
    <w:qFormat/>
    <w:uiPriority w:val="99"/>
    <w:pPr>
      <w:jc w:val="left"/>
    </w:pPr>
    <w:rPr>
      <w:sz w:val="24"/>
    </w:rPr>
  </w:style>
  <w:style w:type="paragraph" w:customStyle="1" w:styleId="220">
    <w:name w:val="BodyText"/>
    <w:basedOn w:val="1"/>
    <w:qFormat/>
    <w:uiPriority w:val="0"/>
    <w:pPr>
      <w:spacing w:after="60" w:line="360" w:lineRule="atLeast"/>
      <w:ind w:left="72" w:right="30"/>
      <w:jc w:val="center"/>
    </w:pPr>
  </w:style>
  <w:style w:type="table" w:customStyle="1" w:styleId="221">
    <w:name w:val="网格型1"/>
    <w:basedOn w:val="36"/>
    <w:qFormat/>
    <w:uiPriority w:val="39"/>
    <w:rPr>
      <w:rFonts w:ascii="等线" w:hAnsi="等线" w:eastAsia="等线"/>
      <w:sz w:val="21"/>
      <w:szCs w:val="22"/>
    </w:rPr>
    <w:tblPr>
      <w:tblBorders>
        <w:top w:val="single" w:color="000000" w:sz="4" w:space="0"/>
        <w:left w:val="single" w:color="000000" w:sz="4" w:space="0"/>
        <w:bottom w:val="single" w:color="000000" w:sz="4" w:space="0"/>
        <w:right w:val="single" w:color="000000" w:sz="4" w:space="0"/>
        <w:insideH w:val="single" w:color="000000" w:sz="4" w:space="0"/>
        <w:insideV w:val="single" w:color="000000" w:sz="4" w:space="0"/>
      </w:tblBorders>
    </w:tblPr>
  </w:style>
  <w:style w:type="character" w:customStyle="1" w:styleId="222">
    <w:name w:val="页脚 字符"/>
    <w:basedOn w:val="38"/>
    <w:link w:val="22"/>
    <w:qFormat/>
    <w:uiPriority w:val="99"/>
    <w:rPr>
      <w:rFonts w:ascii="Times New Roman" w:hAnsi="Times New Roman" w:eastAsia="宋体" w:cs="Times New Roman"/>
      <w:sz w:val="18"/>
      <w:szCs w:val="18"/>
    </w:rPr>
  </w:style>
  <w:style w:type="character" w:customStyle="1" w:styleId="223">
    <w:name w:val="font21"/>
    <w:basedOn w:val="38"/>
    <w:qFormat/>
    <w:uiPriority w:val="0"/>
    <w:rPr>
      <w:rFonts w:hint="eastAsia" w:ascii="宋体" w:hAnsi="宋体" w:eastAsia="宋体" w:cs="宋体"/>
      <w:color w:val="000000"/>
      <w:sz w:val="24"/>
      <w:szCs w:val="24"/>
      <w:u w:val="none"/>
    </w:rPr>
  </w:style>
  <w:style w:type="character" w:customStyle="1" w:styleId="224">
    <w:name w:val="active16"/>
    <w:basedOn w:val="38"/>
    <w:qFormat/>
    <w:uiPriority w:val="0"/>
    <w:rPr>
      <w:color w:val="FFFFFF"/>
      <w:bdr w:val="single" w:color="0F5BB9" w:sz="4" w:space="0"/>
      <w:shd w:val="clear" w:color="auto" w:fill="0F5BB9"/>
    </w:rPr>
  </w:style>
  <w:style w:type="paragraph" w:customStyle="1" w:styleId="225">
    <w:name w:val="正文1"/>
    <w:qFormat/>
    <w:uiPriority w:val="0"/>
    <w:pPr>
      <w:widowControl w:val="0"/>
      <w:autoSpaceDE w:val="0"/>
      <w:autoSpaceDN w:val="0"/>
      <w:adjustRightInd w:val="0"/>
      <w:spacing w:line="360" w:lineRule="atLeast"/>
      <w:ind w:left="425" w:hanging="425"/>
      <w:textAlignment w:val="bottom"/>
    </w:pPr>
    <w:rPr>
      <w:rFonts w:ascii="宋体" w:hAnsi="Times New Roman" w:eastAsia="宋体" w:cs="Times New Roman"/>
      <w:position w:val="-6"/>
      <w:sz w:val="32"/>
      <w:lang w:val="en-US" w:eastAsia="zh-CN" w:bidi="ar-SA"/>
    </w:rPr>
  </w:style>
  <w:style w:type="paragraph" w:customStyle="1" w:styleId="226">
    <w:name w:val="正文文本1"/>
    <w:basedOn w:val="1"/>
    <w:next w:val="215"/>
    <w:qFormat/>
    <w:uiPriority w:val="0"/>
    <w:rPr>
      <w:sz w:val="24"/>
      <w:szCs w:val="24"/>
    </w:rPr>
  </w:style>
  <w:style w:type="character" w:customStyle="1" w:styleId="227">
    <w:name w:val="font41"/>
    <w:basedOn w:val="38"/>
    <w:qFormat/>
    <w:uiPriority w:val="0"/>
    <w:rPr>
      <w:rFonts w:hint="eastAsia" w:ascii="宋体" w:hAnsi="宋体" w:eastAsia="宋体" w:cs="宋体"/>
      <w:color w:val="000000"/>
      <w:sz w:val="18"/>
      <w:szCs w:val="18"/>
      <w:u w:val="none"/>
    </w:rPr>
  </w:style>
  <w:style w:type="character" w:customStyle="1" w:styleId="228">
    <w:name w:val="font61"/>
    <w:basedOn w:val="38"/>
    <w:qFormat/>
    <w:uiPriority w:val="0"/>
    <w:rPr>
      <w:rFonts w:ascii="宋体" w:hAnsi="宋体" w:eastAsia="宋体" w:cs="宋体"/>
      <w:color w:val="000000"/>
      <w:sz w:val="18"/>
      <w:szCs w:val="18"/>
      <w:u w:val="none"/>
    </w:rPr>
  </w:style>
  <w:style w:type="character" w:customStyle="1" w:styleId="229">
    <w:name w:val="font71"/>
    <w:basedOn w:val="38"/>
    <w:qFormat/>
    <w:uiPriority w:val="0"/>
    <w:rPr>
      <w:rFonts w:hint="eastAsia" w:ascii="宋体" w:hAnsi="宋体" w:eastAsia="宋体" w:cs="宋体"/>
      <w:color w:val="FF0000"/>
      <w:sz w:val="18"/>
      <w:szCs w:val="18"/>
      <w:u w:val="none"/>
    </w:rPr>
  </w:style>
  <w:style w:type="paragraph" w:customStyle="1" w:styleId="230">
    <w:name w:val="纯文本11"/>
    <w:qFormat/>
    <w:uiPriority w:val="0"/>
    <w:pPr>
      <w:widowControl w:val="0"/>
      <w:jc w:val="both"/>
    </w:pPr>
    <w:rPr>
      <w:rFonts w:hint="eastAsia" w:ascii="宋体" w:hAnsi="宋体" w:eastAsia="楷体_GB2312" w:cs="Times New Roman"/>
      <w:kern w:val="1"/>
      <w:sz w:val="28"/>
      <w:lang w:val="en-US" w:eastAsia="zh-CN" w:bidi="ar-SA"/>
    </w:rPr>
  </w:style>
  <w:style w:type="character" w:customStyle="1" w:styleId="231">
    <w:name w:val="font11"/>
    <w:basedOn w:val="38"/>
    <w:qFormat/>
    <w:uiPriority w:val="0"/>
    <w:rPr>
      <w:rFonts w:hint="eastAsia" w:ascii="宋体" w:hAnsi="宋体" w:eastAsia="宋体" w:cs="宋体"/>
      <w:color w:val="000000"/>
      <w:sz w:val="20"/>
      <w:szCs w:val="20"/>
      <w:u w:val="none"/>
    </w:rPr>
  </w:style>
  <w:style w:type="character" w:customStyle="1" w:styleId="232">
    <w:name w:val="font81"/>
    <w:basedOn w:val="38"/>
    <w:qFormat/>
    <w:uiPriority w:val="0"/>
    <w:rPr>
      <w:rFonts w:hint="eastAsia" w:ascii="宋体" w:hAnsi="宋体" w:eastAsia="宋体" w:cs="宋体"/>
      <w:b/>
      <w:bCs/>
      <w:color w:val="000000"/>
      <w:sz w:val="20"/>
      <w:szCs w:val="20"/>
      <w:u w:val="none"/>
    </w:rPr>
  </w:style>
  <w:style w:type="character" w:customStyle="1" w:styleId="233">
    <w:name w:val="font91"/>
    <w:basedOn w:val="38"/>
    <w:qFormat/>
    <w:uiPriority w:val="0"/>
    <w:rPr>
      <w:rFonts w:hint="eastAsia" w:ascii="宋体" w:hAnsi="宋体" w:eastAsia="宋体" w:cs="宋体"/>
      <w:color w:val="FF0000"/>
      <w:sz w:val="18"/>
      <w:szCs w:val="18"/>
      <w:u w:val="none"/>
    </w:rPr>
  </w:style>
  <w:style w:type="character" w:customStyle="1" w:styleId="234">
    <w:name w:val="font31"/>
    <w:basedOn w:val="38"/>
    <w:qFormat/>
    <w:uiPriority w:val="0"/>
    <w:rPr>
      <w:rFonts w:hint="eastAsia" w:ascii="宋体" w:hAnsi="宋体" w:eastAsia="宋体" w:cs="宋体"/>
      <w:color w:val="FF0000"/>
      <w:sz w:val="18"/>
      <w:szCs w:val="18"/>
      <w:u w:val="none"/>
    </w:rPr>
  </w:style>
</w:styles>
</file>

<file path=word/_rels/document.xml.rels><?xml version="1.0" encoding="UTF-8" standalone="yes"?>
<Relationships xmlns="http://schemas.openxmlformats.org/package/2006/relationships"><Relationship Id="rId9" Type="http://schemas.openxmlformats.org/officeDocument/2006/relationships/fontTable" Target="fontTable.xml"/><Relationship Id="rId8" Type="http://schemas.openxmlformats.org/officeDocument/2006/relationships/numbering" Target="numbering.xml"/><Relationship Id="rId7"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oter" Target="footer3.xml"/><Relationship Id="rId4" Type="http://schemas.openxmlformats.org/officeDocument/2006/relationships/footer" Target="footer2.xml"/><Relationship Id="rId3" Type="http://schemas.openxmlformats.org/officeDocument/2006/relationships/footer" Target="footer1.xml"/><Relationship Id="rId2" Type="http://schemas.openxmlformats.org/officeDocument/2006/relationships/settings" Target="settings.xml"/><Relationship Id="rId1" Type="http://schemas.openxmlformats.org/officeDocument/2006/relationships/styles" Target="styles.xml"/></Relationships>
</file>

<file path=word/theme/theme1.xml><?xml version="1.0" encoding="utf-8"?>
<a:theme xmlns:a="http://schemas.openxmlformats.org/drawingml/2006/main" name="WPS">
  <a:themeElements>
    <a:clrScheme name="WPS">
      <a:dk1>
        <a:sysClr val="windowText" lastClr="000000"/>
      </a:dk1>
      <a:lt1>
        <a:sysClr val="window" lastClr="FFFFFF"/>
      </a:lt1>
      <a:dk2>
        <a:srgbClr val="44546A"/>
      </a:dk2>
      <a:lt2>
        <a:srgbClr val="E7E6E6"/>
      </a:lt2>
      <a:accent1>
        <a:srgbClr val="4874CB"/>
      </a:accent1>
      <a:accent2>
        <a:srgbClr val="EE822F"/>
      </a:accent2>
      <a:accent3>
        <a:srgbClr val="F2BA02"/>
      </a:accent3>
      <a:accent4>
        <a:srgbClr val="75BD42"/>
      </a:accent4>
      <a:accent5>
        <a:srgbClr val="30C0B4"/>
      </a:accent5>
      <a:accent6>
        <a:srgbClr val="E54C5E"/>
      </a:accent6>
      <a:hlink>
        <a:srgbClr val="0026E5"/>
      </a:hlink>
      <a:folHlink>
        <a:srgbClr val="7E1FAD"/>
      </a:folHlink>
    </a:clrScheme>
    <a:fontScheme name="WPS">
      <a:majorFont>
        <a:latin typeface="Calibri Light"/>
        <a:ea typeface="黑体"/>
        <a:cs typeface="Arial"/>
      </a:majorFont>
      <a:minorFont>
        <a:latin typeface="Calibri"/>
        <a:ea typeface="宋体"/>
        <a:cs typeface="Arial"/>
      </a:minorFont>
    </a:fontScheme>
    <a:fmtScheme name="WPS">
      <a:fillStyleLst>
        <a:solidFill>
          <a:schemeClr val="phClr"/>
        </a:solidFill>
        <a:gradFill>
          <a:gsLst>
            <a:gs pos="0">
              <a:schemeClr val="phClr">
                <a:lumOff val="17500"/>
              </a:schemeClr>
            </a:gs>
            <a:gs pos="100000">
              <a:schemeClr val="phClr"/>
            </a:gs>
          </a:gsLst>
          <a:lin ang="2700000" scaled="0"/>
        </a:gradFill>
        <a:gradFill>
          <a:gsLst>
            <a:gs pos="0">
              <a:schemeClr val="phClr">
                <a:hueOff val="-2520000"/>
              </a:schemeClr>
            </a:gs>
            <a:gs pos="100000">
              <a:schemeClr val="phClr"/>
            </a:gs>
          </a:gsLst>
          <a:lin ang="2700000" scaled="0"/>
        </a:gradFill>
      </a:fillStyleLst>
      <a:lnStyleLst>
        <a:ln w="12700" cap="flat" cmpd="sng" algn="ctr">
          <a:solidFill>
            <a:schemeClr val="phClr"/>
          </a:solidFill>
          <a:prstDash val="solid"/>
          <a:miter lim="800000"/>
        </a:ln>
        <a:ln w="12700" cap="flat" cmpd="sng" algn="ctr">
          <a:solidFill>
            <a:schemeClr val="phClr"/>
          </a:solidFill>
          <a:prstDash val="solid"/>
          <a:miter lim="800000"/>
        </a:ln>
        <a:ln w="12700" cap="flat" cmpd="sng" algn="ctr">
          <a:gradFill>
            <a:gsLst>
              <a:gs pos="0">
                <a:schemeClr val="phClr">
                  <a:hueOff val="-4200000"/>
                </a:schemeClr>
              </a:gs>
              <a:gs pos="100000">
                <a:schemeClr val="phClr"/>
              </a:gs>
            </a:gsLst>
            <a:lin ang="2700000" scaled="1"/>
          </a:gradFill>
          <a:prstDash val="solid"/>
          <a:miter lim="800000"/>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effectStyle>
      </a:effectStyleLst>
      <a:bgFillStyleLst>
        <a:solidFill>
          <a:schemeClr val="phClr"/>
        </a:solidFill>
        <a:solidFill>
          <a:schemeClr val="phClr">
            <a:tint val="95000"/>
            <a:satMod val="170000"/>
          </a:schemeClr>
        </a:solidFill>
        <a:gradFill>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s:customData xmlns="http://www.wps.cn/officeDocument/2013/wpsCustomData" xmlns:s="http://www.wps.cn/officeDocument/2013/wpsCustomData">
  <customSectProps>
    <customSectPr/>
    <customSectPr/>
    <customSectPr/>
    <customSectPr/>
  </customSectProps>
  <customShpExts>
    <customShpInfo spid="_x0000_s1026" textRotate="1"/>
  </customShpExts>
</s:customData>
</file>

<file path=customXml/itemProps1.xml><?xml version="1.0" encoding="utf-8"?>
<ds:datastoreItem xmlns:ds="http://schemas.openxmlformats.org/officeDocument/2006/customXml" ds:itemID="{B1977F7D-205B-4081-913C-38D41E755F92}">
  <ds:schemaRefs>
    <ds:schemaRef ds:uri="http://www.wps.cn/officeDocument/2013/wpsCustomData"/>
  </ds:schemaRefs>
</ds:datastoreItem>
</file>

<file path=docProps/app.xml><?xml version="1.0" encoding="utf-8"?>
<Properties xmlns="http://schemas.openxmlformats.org/officeDocument/2006/extended-properties" xmlns:vt="http://schemas.openxmlformats.org/officeDocument/2006/docPropsVTypes">
  <Template>Normal</Template>
  <Company>Microsoft</Company>
  <Pages>75</Pages>
  <Words>56</Words>
  <Characters>82</Characters>
  <Lines>1234</Lines>
  <Paragraphs>1117</Paragraphs>
  <TotalTime>6</TotalTime>
  <ScaleCrop>false</ScaleCrop>
  <LinksUpToDate>false</LinksUpToDate>
  <CharactersWithSpaces>90</CharactersWithSpaces>
  <Application>WPS Office_12.1.0.29161_F1E327BC-269C-435d-A152-05C5408002CA</Application>
  <DocSecurity>0</DocSecurity>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erms:created xsi:type="dcterms:W3CDTF">2014-10-30T04:08:00Z</dcterms:created>
  <dc:creator>user</dc:creator>
  <cp:lastModifiedBy>KomineC</cp:lastModifiedBy>
  <cp:lastPrinted>2026-09-03T07:02:00Z</cp:lastPrinted>
  <dcterms:modified xsi:type="dcterms:W3CDTF">2026-09-24T08:19:23Z</dcterms:modified>
  <cp:revision>45</cp:revision>
</cp:coreProperties>
</file>

<file path=docProps/custom.xml><?xml version="1.0" encoding="utf-8"?>
<Properties xmlns="http://schemas.openxmlformats.org/officeDocument/2006/custom-properties" xmlns:vt="http://schemas.openxmlformats.org/officeDocument/2006/docPropsVTypes">
  <property fmtid="{D5CDD505-2E9C-101B-9397-08002B2CF9AE}" pid="2" name="KSOProductBuildVer">
    <vt:lpwstr>2052-12.1.0.29161</vt:lpwstr>
  </property>
  <property fmtid="{D5CDD505-2E9C-101B-9397-08002B2CF9AE}" pid="3" name="ICV">
    <vt:lpwstr>D238252C7BDA4429AB222DF05F787082_13</vt:lpwstr>
  </property>
  <property fmtid="{D5CDD505-2E9C-101B-9397-08002B2CF9AE}" pid="4" name="KSOTemplateDocerSaveRecord">
    <vt:lpwstr>eyJoZGlkIjoiYWFlYTE5ODU3MGE0Y2Y4ZmQ0NWUyZTlmNWYwNTNlOWQiLCJ1c2VySWQiOiI0ODEyMDkyMTMifQ==</vt:lpwstr>
  </property>
</Properties>
</file>