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连云港市政府采购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竞争性谈判文件</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277"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项目名称：</w:t>
      </w:r>
      <w:r>
        <w:rPr>
          <w:rFonts w:ascii="SimSun" w:hAnsi="SimSun" w:eastAsia="SimSun" w:cs="SimSun"/>
          <w:b/>
          <w:color w:val="000000"/>
          <w:sz w:val="32"/>
        </w:rPr>
        <w:t xml:space="preserve">经开区富强路（曹浦河-黄山路）白改黑工程项目编号：JSZC-320722-JHHH-T2026-0002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采购人：江苏东海经济开发区管委会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采购代理机构：江苏疆泰工程项目管理有限公司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2026年09月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sz w:val="22"/>
          <w:szCs w:val="22"/>
        </w:rPr>
        <w:t xml:space="preserve">第一章 竞争性谈判采购公告……</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3</w:t>
      </w:r>
      <w:r>
        <w:rPr>
          <w:sz w:val="22"/>
          <w:szCs w:val="22"/>
        </w:rPr>
      </w:r>
    </w:p>
    <w:p>
      <w:pPr>
        <w:ind w:left="0" w:right="0" w:firstLine="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sz w:val="22"/>
          <w:szCs w:val="22"/>
        </w:rPr>
        <w:t xml:space="preserve">第二章 谈判须知</w:t>
        <w:tab/>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r>
      <w:r>
        <w:rPr>
          <w:sz w:val="22"/>
          <w:szCs w:val="22"/>
        </w:rPr>
        <w:t xml:space="preserve">…</w:t>
      </w:r>
      <w:r>
        <w:rPr>
          <w:sz w:val="22"/>
          <w:szCs w:val="22"/>
        </w:rPr>
        <w:t xml:space="preserve">7</w:t>
      </w:r>
      <w:r>
        <w:rPr>
          <w:sz w:val="22"/>
          <w:szCs w:val="22"/>
        </w:rPr>
      </w:r>
    </w:p>
    <w:p>
      <w:pPr>
        <w:ind w:left="0" w:right="0" w:firstLine="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sz w:val="22"/>
          <w:szCs w:val="22"/>
        </w:rPr>
        <w:t xml:space="preserve">第三章  政府采购合同格式</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 </w:t>
      </w:r>
      <w:r>
        <w:rPr>
          <w:sz w:val="22"/>
          <w:szCs w:val="22"/>
        </w:rPr>
        <w:t xml:space="preserve">20</w:t>
      </w:r>
      <w:r>
        <w:rPr>
          <w:sz w:val="22"/>
          <w:szCs w:val="22"/>
        </w:rPr>
      </w:r>
    </w:p>
    <w:p>
      <w:pPr>
        <w:ind w:left="0" w:right="0" w:firstLine="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sz w:val="22"/>
          <w:szCs w:val="22"/>
        </w:rPr>
        <w:t xml:space="preserve">第四章 采购需求</w:t>
        <w:tab/>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
        <w:rPr>
          <w:sz w:val="22"/>
          <w:szCs w:val="22"/>
        </w:rPr>
      </w:r>
      <w:r>
        <w:rPr>
          <w:sz w:val="22"/>
          <w:szCs w:val="22"/>
        </w:rPr>
        <w:t xml:space="preserve">60</w:t>
      </w:r>
      <w:r>
        <w:rPr>
          <w:sz w:val="22"/>
          <w:szCs w:val="22"/>
        </w:rPr>
      </w:r>
    </w:p>
    <w:p>
      <w:pPr>
        <w:ind w:left="0" w:right="0" w:firstLine="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sz w:val="22"/>
          <w:szCs w:val="22"/>
        </w:rPr>
        <w:t xml:space="preserve">第五章 工程量清单</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 62</w:t>
      </w:r>
      <w:r>
        <w:rPr>
          <w:sz w:val="22"/>
          <w:szCs w:val="22"/>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sz w:val="22"/>
          <w:szCs w:val="22"/>
        </w:rPr>
        <w:t xml:space="preserve">第六章 谈判响应文件格式</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w:t>
      </w:r>
      <w:r>
        <w:rPr>
          <w:sz w:val="22"/>
          <w:szCs w:val="22"/>
        </w:rPr>
        <w:t xml:space="preserve">63</w:t>
      </w:r>
      <w:r>
        <w:br w:type="page" w:clear="all"/>
      </w:r>
      <w:r/>
    </w:p>
    <w:p>
      <w:pPr>
        <w:ind w:left="0" w:right="0" w:firstLine="0"/>
        <w:jc w:val="center"/>
        <w:spacing w:before="5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第一章 竞争性谈判采购公告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经开区富强路（曹浦河-黄山路）白改黑工程 </w:t>
      </w:r>
      <w:r>
        <w:rPr>
          <w:rFonts w:ascii="SimSun" w:hAnsi="SimSun" w:eastAsia="SimSun" w:cs="SimSun"/>
          <w:color w:val="000000"/>
          <w:sz w:val="24"/>
          <w:highlight w:val="white"/>
        </w:rPr>
        <w:t xml:space="preserve">采购</w:t>
      </w:r>
      <w:r>
        <w:rPr>
          <w:rFonts w:ascii="SimSun" w:hAnsi="SimSun" w:eastAsia="SimSun" w:cs="SimSun"/>
          <w:color w:val="000000"/>
          <w:sz w:val="24"/>
        </w:rPr>
        <w:t xml:space="preserve">项目的潜在供应商应在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自行免费下载、获取采购文件，并于响应文件接收截止时间</w:t>
      </w:r>
      <w:r>
        <w:rPr>
          <w:rFonts w:ascii="SimSun" w:hAnsi="SimSun" w:eastAsia="SimSun" w:cs="SimSun"/>
          <w:b/>
          <w:color w:val="000000"/>
          <w:sz w:val="24"/>
          <w:u w:val="single"/>
        </w:rPr>
        <w:t xml:space="preserve">2026年09月09日09:00</w:t>
      </w:r>
      <w:r>
        <w:rPr>
          <w:rFonts w:ascii="SimSun" w:hAnsi="SimSun" w:eastAsia="SimSun" w:cs="SimSun"/>
          <w:color w:val="000000"/>
          <w:sz w:val="24"/>
        </w:rPr>
        <w:t xml:space="preserve">（北京时间）前</w:t>
      </w:r>
      <w:r>
        <w:rPr>
          <w:rFonts w:ascii="SimSun" w:hAnsi="SimSun" w:eastAsia="SimSun" w:cs="SimSun"/>
          <w:b/>
          <w:color w:val="000000"/>
          <w:sz w:val="24"/>
        </w:rPr>
        <w:t xml:space="preserve">递交响应文件</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项目编号：JSZC-320722-JHHH-T2026-0002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项目名称：经开区富强路（曹浦河-黄山路）白改黑工程；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预算金额：398.99万元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最高投标限价：393.311846万元</w:t>
      </w:r>
      <w:r>
        <w:rPr>
          <w:rFonts w:ascii="SimSun" w:hAnsi="SimSun" w:eastAsia="SimSun" w:cs="SimSun"/>
          <w:b/>
          <w:color w:val="000000"/>
          <w:sz w:val="24"/>
        </w:rPr>
        <w:t xml:space="preserve">；</w:t>
      </w:r>
      <w:r>
        <w:rPr>
          <w:rFonts w:ascii="SimSun" w:hAnsi="SimSun" w:eastAsia="SimSun" w:cs="SimSun"/>
          <w:color w:val="000000"/>
          <w:sz w:val="24"/>
        </w:rPr>
        <w:t xml:space="preserve">报价超出最高限价的作无效响应处理；</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none"/>
        </w:rPr>
        <w:t xml:space="preserve">经开区富强路（曹浦河-黄山路）白改黑工程施工</w:t>
      </w:r>
      <w:r>
        <w:rPr>
          <w:rFonts w:ascii="SimSun" w:hAnsi="SimSun" w:eastAsia="SimSun" w:cs="SimSun"/>
          <w:color w:val="000000"/>
          <w:sz w:val="24"/>
          <w:highlight w:val="white"/>
        </w:rPr>
        <w:t xml:space="preserve">，具体内容详见工程量清单。</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对本项目资格要求、采购需求、评审方法与评审标准等部分的询问、质疑请与采购人联系，由采购人负责答复。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建设地点：连云港市东海县经开区富强路（曹浦河-黄山路）；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合同履行期限：90日历天；（以实际开工日起计算）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（1）供应商具备建设行政主管部门核发的市政公用工程施工总承包叁级及以上资质且具备有效的企业安全生产许可证（在有效期内）；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（2）拟派项目负责人须具备建设行政主管部门核发的市政公用工程注册建造师贰级及以上注册建造师执业资格，并具备安全生产考核合格证B类证（有效的）；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谈判过程中各环节的活动。拟派项目负责人必须为供应商的员工，提供劳动合同和2026年05月（含）至今以来任意一个月由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连建发[2019]182号文，关于企业资质动态核查，由供应商在响应文件中作出书面承诺（格式自拟），若谈判有效期内企业资质核查不合格，将主动放弃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自采购公告发布之日起3个工作日。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2、地点：在“江苏政府采购网”自行免费下载采购文件。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3、方式：在“江苏政府采购网”自行免费下载谈判文件。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四、提交响应文件截止时间和地点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2026年09月09日上午09点00分（北京时间）</w:t>
      </w:r>
      <w:r>
        <w:rPr>
          <w:rFonts w:ascii="SimSun" w:hAnsi="SimSun" w:eastAsia="SimSun" w:cs="SimSun"/>
          <w:color w:val="000000"/>
          <w:sz w:val="24"/>
        </w:rPr>
        <w:t xml:space="preserve">。逾时，交易系统将拒绝接受上传响应文件电子文档。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各供应商请关注开标大厅交流区，在开标结束后，请勿离开开标大厅，待资格审查和符合性审查完毕，采购人或采购代理机构通知最后报价填报后，所有的响应供应商须在20分钟内填写并提交最后报价，</w:t>
      </w:r>
      <w:r>
        <w:rPr>
          <w:rFonts w:ascii="SimSun" w:hAnsi="SimSun" w:eastAsia="SimSun" w:cs="SimSun"/>
          <w:b/>
          <w:color w:val="000000"/>
          <w:sz w:val="24"/>
        </w:rPr>
        <w:t xml:space="preserve">未在谈判小组规定的时间内完成最后报价的视为放弃谈判，其响应按无效响应处理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2.线上开标地点：“苏采云”系统（网址：http://jszfcg.jsczt.cn/）“开标大厅”。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1.本次谈判采购不收取保证金。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i/>
          <w:color w:val="000000"/>
          <w:sz w:val="24"/>
          <w:u w:val="single"/>
        </w:rPr>
        <w:t xml:space="preserve">本谈判文件中斜体且有下划线部分为实质性要求和条件，由采购人根据实际情况设置，供应商须逐条明确作出满足实质性要求和条件的响应，否则将按无效响应处理。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w:t>
      </w:r>
      <w:r>
        <w:rPr>
          <w:rFonts w:ascii="SimSun" w:hAnsi="SimSun" w:eastAsia="SimSun" w:cs="SimSun"/>
          <w:color w:val="000000"/>
          <w:sz w:val="24"/>
        </w:rPr>
        <w:t xml:space="preserv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按照《操作手册》要求获取采购文件，制作、提交（上传）电子响应文件，参加开启，澄清、说明或者补正，参加谈判和提交最后报价。因供应商未按要求操作原因导致电子响应文件被拒绝、造成无效响应的，自行承担一切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单位名称：江苏东海经济开发区管理委员会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单位地址：东海县晶都大道1199号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联系人：周大伟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联系电话：0518-87296028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单位名称：江苏疆泰工程项目管理有限公司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单位地址：连云港市海州区朝阳东路22-2号海晟新寓AB号楼B座203室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联系方式：0518-85485990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联系电话：0518-85485990</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谈判须知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（参加竞争性谈判的供应商以下简称“谈判供应商”）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本次政府谈判活动采取竞争性谈判（以下简称谈判）方式，本谈判文件仅适用于谈判公告中所述项目。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2、合格的供应商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满足谈判公告中申请人的资格要求的规定。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满足本谈判文件全部实质性要求和条件的规定。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符合上述条件的供应商应承担参与谈判采购及履约过程应承担的全部责任与义务。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本次谈判采购及由此产生的合同受中华人民共和国有关的法律法规制约和保护。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4、谈判费用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4.2招标代理服务费：本项目招标代理费按《江苏省政府采购代理服务收费指导意见》苏政采协[2024]20号标准收取的70%收取，由采购人支付。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5、谈判文件的约束力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供应商一旦参与本项目谈判活动，即被认为接受了本谈判文件的规定和约束，并且视为已经知道或应当知道自身权益是否受到了损害。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二、谈判文件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6、谈判文件的构成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谈判文件由以下部分构成：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（1）谈判邀请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（5）响应文件格式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请仔细检查谈判文件是否齐全，如有缺漏请立即与代理机构联系解决。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7、谈判文件的澄清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7.1任何要求对采购文件进行澄清的供应商，应在提交首次响应文件截止之日前按采购公告中的通讯地址，以书面形式通知代理机构。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7.2在提交首次响应文件截止之日前，采购人、代理机构或者谈判小组可以对已发出的采购文件进行必要澄清和修改。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7.4采购文件的澄清或修改将在“江苏政府采购网”和“中国政府采购网”公布，澄清或修改的内容作为采购文件的组成部分，并对供应商具有约束力。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7.5供应商应在提交首次响应文件截止之日前关注原采购信息发布媒体上有关本采购项目有无变更公告。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8、谈判文件的修改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8.1在响应文件提交截止时间前，采购人和代理机构可以对谈判文件进行修改。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8.2采购人和代理机构有权按照法定的要求推迟提交响应文件截止时间和开启时间。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8.3谈判文件的修改将在江苏政府采购网公布，补充文件将作为谈判文件的组成部分，并对供应商具有约束力。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三、响应文件编制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9、响应文件编写注意事项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10、响应文件的语言及度量衡单位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10.2除技术性能另有规定外，响应文件所使用的度量衡单位，均须采用国家法定计量单位。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11、响应文件的构成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11.1供应商编写的响应文件应包括资格证明文件、符合性证明文件、分项报价表、商务要求响应及偏离表、其他证明文件、谈判响应函等部分。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11.2如响应文件制作工具中格式和内容与江苏政府采购网发布的谈判文件不一致，请以江苏政府采购网发布的谈判文件为准。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11.3特别提醒供应商，混乱的编排导致响应文件被误读或竞争性谈判小组（以下简称谈判小组）查找不到有效文件是供应商的风险。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12、证明供应商及响应标的符合谈判文件规定的文件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12.1供应商应按照谈判文件要求提交证明文件，证明其及响应标的符合谈判文件规定。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12.2谈判文件对证明文件无明确形式要求的，证明文件可以以文字资料、图纸和数据等形式提交。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12.3供应商委托代理时应当提交授权委托书，请按谈判文件第六章给定格式及要求填写并附法定代表人（单位负责人）与委托代理人身份证明。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13、分项报价表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13.1供应商应根据响应报价要求在分项报价表中列明各项单价、总价等，未全部列示的作无效响应处理。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13.2响应文件中的单价和总价无特殊规定的采用人民币报价，以元为单位标注。谈判文件中另有规定的按规定执行。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14、技术要求响应及偏离表、商务要求响应及偏离表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14.2供应商需按照谈判文件要求，在响应文件中提供与技术要求和商务要求相关的证明材料。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14.3供应商可在响应文件中提供认为需要的其他技术文件或说明。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15、谈判响应函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15.1供应商应按照谈判文件提供的格式完整、正确填写谈判响应函。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16、谈判有效期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w:t>
      </w:r>
      <w:r>
        <w:rPr>
          <w:rFonts w:ascii="SimSun" w:hAnsi="SimSun" w:eastAsia="SimSun" w:cs="SimSun"/>
          <w:b/>
          <w:color w:val="000000"/>
          <w:sz w:val="22"/>
        </w:rPr>
        <w:t xml:space="preserve">谈判有效期为谈判文件规定的开启之日后六十（60）天</w:t>
      </w:r>
      <w:r>
        <w:rPr>
          <w:rFonts w:ascii="SimSun" w:hAnsi="SimSun" w:eastAsia="SimSun" w:cs="SimSun"/>
          <w:color w:val="000000"/>
          <w:sz w:val="22"/>
        </w:rPr>
        <w:t xml:space="preserve">。谈判有效期比规定短的将被视为未实质性响应谈判文件而予以拒绝。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响应文件提交</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17、本项目执行财库〔2026〕2号文《财政部关于推动解决政府采购异常低价问题的通知》。政府采购评审中出现下列情形之一的，评审委员会应当启动异常低价投标（响应）审查程序：</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1.投标（响应）报价低于全部通过符合性审查供应商投标（响应）报价平均值65%的，即投标（响应）报价&lt;全部通过符合性审查供应商投标（响应）报价平均值×65%；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2.投标（响应）报价低于通过符合性审查的次低报价供应商投标（响应）报价65%的，即投标（响应）报价&lt;通过符合性审查的次低报价供应商投标（响应）报价×65%；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3.投标（响应）报价低于采购项目最高限价65%的，即投标（响应）报价&lt;采购项目最高限价×65%；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4.评审委员会基于专业判断，认为供应商报价过低，有可能影响产品质量或者不能诚信履约的其他情形。</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采购人可以结合具体项目实际情况，提高上述第1项至第3项中启动异常低价投标（响应）审查的数值标准，但是最高不得超过65%。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相关法律法规对供应商报价有规定的，从其规定。</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18、电子响应文件的提交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18.1线上提交与接收地点：供应商应当通过“苏采云”系统提交数据电文形式的响应文件（即电子投标），“苏采云”系统自动接收。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19、提交响应文件截止时间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19.1供应商提交（上传）电子响应文件的时间不得迟于谈判公告中规定的截止时间。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20、响应文件的拒收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20.1供应商未按规定加密的响应文件，“苏采云”系统应当拒收并提示。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20.2超过谈判文件规定的截止时间后提交（上传）的，“苏采云”系统会拒绝接收（上传）任何响应文件。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21、响应文件的撤回和修改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21.1供应商可在提交（上传）响应文件截止时间前，撤回其电子响应文件，具体操作方法见《操作手册》。供应商撤回电子响应文件的，则认为其不再参与本项目谈判活动。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21.3在提交（上传）响应文件截止时间至谈判文件规定的谈判有效期满之间的这段时间内，供应商不得撤回其电子响应文件。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五、响应文件开启（解密）与评审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22、响应文件开启（解密）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22.1代理机构将在谈判公告中规定的时间和地点组织响应文件开启。供应商应当按时参加，并在“苏采云”系统规定的时间内对其电子响应文件进行解密。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22.2供应商在开启（解密）过程中涉及的响应文件解密、开启结果确认等工作，应当按照《操作手册》规定执行。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22.5供应商未参加开启（解密）的，视同认可开启（解密）结果。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22.6供应商在开启（解密）、澄清、谈判、最后报价、评审全过程中应保持通讯畅通，及时登录“苏采云”系统查阅、答复相关信息，并安排专人与代理机构及谈判小组联系。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苏彩云系统平台发生故障，导致无法按时完成响应文件解密或开、评</w:t>
      </w:r>
      <w:r>
        <w:rPr>
          <w:rFonts w:ascii="SimSun" w:hAnsi="SimSun" w:eastAsia="SimSun" w:cs="SimSun"/>
          <w:b/>
          <w:color w:val="000000"/>
          <w:sz w:val="22"/>
        </w:rPr>
        <w:t xml:space="preserve">标工作无法进行的，可根据实际情况相应延迟解密时间或调整开、评标时间。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23、谈判小组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23.1响应文件开启（解密）后，代理机构将组织谈判小组进行评审。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23.2谈判小组由采购人代表和有关技术、经济等方面的评审专家组成，且人员构成符合政府采购有关规定。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23.3谈判小组按照谈判文件进行独立评审，负责评审所有响应文件并确定成交候选人。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24、评审过程的保密与公正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24.1凡是与审查、澄清、评价和比较有关的资料以及成交建议等，采购人、评审专家、代理机构均不得向供应商或与评审无关的其他人员透露。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24.2在评审过程中，供应商不得以任何行为影响评审过程，否则其响应文件将被作为无效响应文件。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24.3代理机构和谈判小组不向未成交的供应商解释未成交原因，也不公布评审过程中的相关细节。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25、响应文件的澄清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25.1评审期间，谈判小组对响应文件中含义不明确、同类问题表述不一致或者有明显文字和计算错误的内容，有权要求供应商作出必要的澄清、说明或者补正。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谈判小组并非对每个供应商都提出澄清、说明或者补正要求。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25.3接到谈判小组澄清、说明或者补正要求的供应商如未按规定要求响应，其风险由供应商自行承担。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26、对响应文件的审查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26.1响应文件审查分为资格审查和符合性审查。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资格审查：</w:t>
      </w:r>
      <w:r>
        <w:rPr>
          <w:rFonts w:ascii="SimSun" w:hAnsi="SimSun" w:eastAsia="SimSun" w:cs="SimSun"/>
          <w:color w:val="000000"/>
          <w:sz w:val="22"/>
        </w:rPr>
        <w:t xml:space="preserve">谈判小组依据法律法规和谈判文件的规定，对响应文件中的资格证明文件进行审查，以确定供应商是否具备参加谈判采购的资格。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b/>
          <w:color w:val="000000"/>
          <w:sz w:val="22"/>
        </w:rPr>
        <w:t xml:space="preserve">符合性审查</w:t>
      </w:r>
      <w:r>
        <w:rPr>
          <w:rFonts w:ascii="SimSun" w:hAnsi="SimSun" w:eastAsia="SimSun" w:cs="SimSun"/>
          <w:color w:val="000000"/>
          <w:sz w:val="22"/>
        </w:rPr>
        <w:t xml:space="preserve">：谈判小组依据谈判文件的规定，从响应文件的有效性、完整性和对谈判文件的响应程度进行审查，以确定其是否对谈判文件的全部实质性要求作出响应。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未通过资格审查或符合性审查的供应商，将通过“苏采云”系统告知其未通过的原因，评审结束后，将不再告知。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26.3如果响应文件实质上没有响应谈判文件的要求，谈判小组将予以拒绝，供应商不得通过修改或撤销不符合要求的偏离或保留而使其成为实质性响应。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27、谈判程序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27.1对于通过</w:t>
      </w:r>
      <w:r>
        <w:rPr>
          <w:rFonts w:ascii="SimSun" w:hAnsi="SimSun" w:eastAsia="SimSun" w:cs="SimSun"/>
          <w:b/>
          <w:color w:val="000000"/>
          <w:sz w:val="22"/>
        </w:rPr>
        <w:t xml:space="preserve">资格审查和符合性审查</w:t>
      </w:r>
      <w:r>
        <w:rPr>
          <w:rFonts w:ascii="SimSun" w:hAnsi="SimSun" w:eastAsia="SimSun" w:cs="SimSun"/>
          <w:color w:val="000000"/>
          <w:sz w:val="22"/>
        </w:rPr>
        <w:t xml:space="preserve">的供应商，谈判小组将集中与单一供应商分别进行谈判。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已提交响应文件的供应商，在提交最后报价之前，可以根据谈判情况退出谈判采购，应在“苏采云”系统中提交“退出谈判函”，并加盖CA电子公章。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谈判报价次数：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（1）本项目采用二轮报价，电子响应文件中的报价为首轮报价，第二轮报价通过系统在线报价。最后报价不得超过最高限价及首轮报价，否则作无效报价文件处理。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（2）本项目各分项最终结算价按照谈判首次报价与最后报价同比例变动。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28、未实质性响应谈判文件的情形和谈判活动终止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（1）供应商未按照谈判文件要求提交（上传）电子响应文件的。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（2）供应商在“苏采云”系统规定的时间内未成功解密电子响应文件的。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（3）供应商不具备谈判文件中规定的资格要求的。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（5）不符合谈判文件规定的实质性要求和条件的。（本谈判文件中斜体且有下划线部分为实质性要求和条件）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（7）供应商未通过符合性审查的。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（8）供应商未按照要求对谈判或者最后报价作出响应的。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（9）供应商提交两个（含两个）以上不同的最后报价的。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（10）供应商的最后报价超过了采购预算或者最高限价的。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（12）响应文件含有采购人不能接受的附加条件的。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（13）响应文件未按照谈判文件要求加盖公章（CA电子公章）的。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（14）其他法律、法规及本谈判文件规定的属于未实质性响应谈判文件的情形。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28.2有下列情形之一的，视为供应商串通，响应无效：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（1）不同供应商的响应文件由同一单位或者个人编制。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（2）不同供应商委托同一单位或者个人办理谈判事宜。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（3）不同供应商的响应文件载明的项目管理成员或者联系人员为同一人。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（4）不同供应商的响应文件异常一致或者最后报价呈规律性差异。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（5）不同供应商的响应文件相互混装。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28.3谈判活动终止的情形：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（1）因“苏采云”系统故障原因造成开启（解密）不成功的，或者至谈判文件规定的截止时间成功解密电子响应文件的供应商不足三家的。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（2）谈判小组认定谈判文件存在歧义、重大缺陷导致评审工作无法进行，或者谈判文件内容违反国家有关强制性规定的。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（3）符合专业条件的供应商或者对谈判文件作实质响应的供应商不足三家的。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（5）因重大变故，采购任务取消的。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29、确定成交单位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供应商的最后报价如相同，根据项目属性按如下顺序确定成交供应商：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环境标志产品是指列入财政部、环境保护部《</w:t>
      </w:r>
      <w:hyperlink r:id="rId13" w:tooltip="http://gks.mof.gov.cn/zhengfucaigouguanli/201903/P020190329702478575295.pdf" w:history="1">
        <w:r>
          <w:rPr>
            <w:rStyle w:val="874"/>
            <w:rFonts w:ascii="SimSun" w:hAnsi="SimSun" w:eastAsia="SimSun" w:cs="SimSun"/>
            <w:color w:val="0000ee"/>
            <w:sz w:val="22"/>
            <w:u w:val="single"/>
          </w:rPr>
          <w:t xml:space="preserve">环境标志产品政府采购品目清单</w:t>
        </w:r>
      </w:hyperlink>
      <w:r>
        <w:rPr>
          <w:rFonts w:ascii="SimSun" w:hAnsi="SimSun" w:eastAsia="SimSun" w:cs="SimSun"/>
          <w:color w:val="000000"/>
          <w:sz w:val="22"/>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项目属性为服务则直接采取抽签方式确定成交供应商。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w:t>
      </w:r>
      <w:r>
        <w:rPr>
          <w:rFonts w:ascii="SimSun" w:hAnsi="SimSun" w:eastAsia="SimSun" w:cs="SimSun"/>
          <w:b/>
          <w:color w:val="000000"/>
          <w:sz w:val="22"/>
        </w:rPr>
        <w:t xml:space="preserve">采购人从评审报告提出的成交候选供应商中，根据质量和服务均能满足采购文件实质性响应要求且最后报价最低的原则确定成交供应商。</w:t>
      </w:r>
      <w:r>
        <w:rPr>
          <w:rFonts w:ascii="SimSun" w:hAnsi="SimSun" w:eastAsia="SimSun" w:cs="SimSun"/>
          <w:color w:val="000000"/>
          <w:sz w:val="22"/>
        </w:rPr>
        <w:t xml:space="preserve">采购人确定成交供应商后，代理机构将在江苏政府采购网发布成交结果公告，公告期限为1个工作日。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30.3若有充分证据证明，成交供应商存在下列情形之一的，一经查实，将被取消成交资格：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（1）提供虚假材料谋取成交、成交的。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（2）采取不正当手段诋毁、排挤其他供应商的。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（3）与采购人、其他供应商或者代理机构恶意串通的。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（4）向采购人、代理机构行贿或者提供其他不正当利益的。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（5）属于本谈判文件规定的无效情形，但在评审过程中又未被谈判小组发现的。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（6）成交后无正当理由拒不与采购人签订政府采购合同或者未按照谈判文件确定的事项签订政府采购合同的。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（7）将政府采购合同转包的。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31.3成交供应商应在成交后七个工作日内，向采购人和代理机构各提供二份与电子响应文件一致的纸质打印胶装响应文件，封面、骑缝需加盖公章。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承包人是否提供履约保证金：是</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履约保证金的形式:现金或银行保函；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履约保证金的金额：合同价的10 %；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33.1成交供应商应当在成交通知书发出之日起三十日内，按照谈判文件和成交供应商响应文件的规定，与采购人签订政府采购合同。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33.2谈判文件、成交供应商的响应文件及谈判采购过程中有关澄清、承诺、谈判响应等文件均应作为合同附件。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34、合同标的的追加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八、询问与质疑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36、询问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37、质疑提出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37.1提出质疑的供应商应当是参与所质疑项目谈判活动的供应商。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37.2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未按照采购公告要求获取采购文件的供应商，视为未参与该项目谈判活动，不具备对该采购文件提出质疑的法定权利。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37.4质疑函的接收方式为供应商书面原件提交。联系部门、联系电话和通讯地址详见谈判文件第一章。质疑实行实名制，不得进行虚假、恶意质疑。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37.5质疑函应当使用范本，详见谈判文件第六章。供应商提出质疑应当提交质疑函和必要的证明材料，应当包括下列内容：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（1）供应商的姓名或者名称、地址、邮编、联系人及联系电话；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（7）必要的证明材料；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（8）营业执照复印件及授权委托书原件、法定代表人（单位负责人）身份证复印件、委托代理人身份证复印件。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供应商为自然人的，应当由本人签字；供应商为法人或者其他组织的，应当由法定代表人、主要负责人，或者其委托代理人签字或者盖章，并加盖单位公章。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38、质疑函的受理和答复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38.3对不符合质疑要求的，采购人、代理机构有权要求其补充必要的证明材料，质疑供应商未在法定时间内补充必要的证明材料的，视同放弃质疑。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38.4以下情形的质疑依法不予受理：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（1）内容不符合《政府采购质疑和投诉办法》第十二条规定的质疑。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（2）超出政府采购法定期限的质疑。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（3）以传真、电子邮件等方式提交的非原件形式的质疑。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（4）未参与谈判活动或在谈判活动中自身权益未受到损害的供应商提出的质疑。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（5）供应商组成联合体，联合体中任何一方或多方未按要求签字（盖章）、加盖公章的质疑。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38.5采购人、代理机构依法受理的质疑，将按照政府采购有关规定，在法定期限内作出答复。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39、质疑处理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39.1质疑供应商未按照法定程序进行质疑投诉的，视为一般失信行为。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39.2质疑供应商不配合或者采取不正当手段干扰政府采购质疑、投诉处理工作的，视为一般失信行为。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39.3质疑供应商投诉受理期间，就同一事项多头举报，干扰财政部门投诉处理的，视为一般失信行为。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39.4质疑供应商在全国范围12个月内三次以上质疑查无实据的，视为一般失信行为。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39.6质疑供应商在全国范围12个月内三次以上投诉查无实据的，视为严重失信行为。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39.7未尽事宜，依照有关法律、法规执行。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九、政府采购政策功能</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u w:val="none"/>
        </w:rPr>
        <w:t xml:space="preserve">1</w:t>
      </w:r>
      <w:r>
        <w:rPr>
          <w:rFonts w:ascii="SimSun" w:hAnsi="SimSun" w:eastAsia="SimSun" w:cs="SimSun"/>
          <w:b/>
          <w:color w:val="000000"/>
          <w:sz w:val="22"/>
          <w:u w:val="none"/>
        </w:rPr>
        <w:t xml:space="preserve">、本项目面向中小企业采购：</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本项目执行财政部、工业和信息化部关于印发《政府采购促进中小企业发展管理办法》的通知（财库〔</w:t>
      </w:r>
      <w:r>
        <w:rPr>
          <w:rFonts w:ascii="Calibri" w:hAnsi="Calibri" w:eastAsia="Calibri" w:cs="Calibri"/>
          <w:color w:val="000000"/>
          <w:sz w:val="22"/>
        </w:rPr>
        <w:t xml:space="preserve">2020</w:t>
      </w:r>
      <w:r>
        <w:rPr>
          <w:rFonts w:ascii="SimSun" w:hAnsi="SimSun" w:eastAsia="SimSun" w:cs="SimSun"/>
          <w:color w:val="000000"/>
          <w:sz w:val="22"/>
        </w:rPr>
        <w:t xml:space="preserve">〕</w:t>
      </w:r>
      <w:r>
        <w:rPr>
          <w:rFonts w:ascii="Calibri" w:hAnsi="Calibri" w:eastAsia="Calibri" w:cs="Calibri"/>
          <w:color w:val="000000"/>
          <w:sz w:val="22"/>
        </w:rPr>
        <w:t xml:space="preserve">46 </w:t>
      </w:r>
      <w:r>
        <w:rPr>
          <w:rFonts w:ascii="SimSun" w:hAnsi="SimSun" w:eastAsia="SimSun" w:cs="SimSun"/>
          <w:color w:val="000000"/>
          <w:sz w:val="22"/>
        </w:rPr>
        <w:t xml:space="preserve">号）、《关于印发中小企业划型标准规定的通知》（工信部联企业〔</w:t>
      </w:r>
      <w:r>
        <w:rPr>
          <w:rFonts w:ascii="Calibri" w:hAnsi="Calibri" w:eastAsia="Calibri" w:cs="Calibri"/>
          <w:color w:val="000000"/>
          <w:sz w:val="22"/>
        </w:rPr>
        <w:t xml:space="preserve">2011</w:t>
      </w:r>
      <w:r>
        <w:rPr>
          <w:rFonts w:ascii="SimSun" w:hAnsi="SimSun" w:eastAsia="SimSun" w:cs="SimSun"/>
          <w:color w:val="000000"/>
          <w:sz w:val="22"/>
        </w:rPr>
        <w:t xml:space="preserve">〕</w:t>
      </w:r>
      <w:r>
        <w:rPr>
          <w:rFonts w:ascii="Calibri" w:hAnsi="Calibri" w:eastAsia="Calibri" w:cs="Calibri"/>
          <w:color w:val="000000"/>
          <w:sz w:val="22"/>
        </w:rPr>
        <w:t xml:space="preserve">300 </w:t>
      </w:r>
      <w:r>
        <w:rPr>
          <w:rFonts w:ascii="SimSun" w:hAnsi="SimSun" w:eastAsia="SimSun" w:cs="SimSun"/>
          <w:color w:val="000000"/>
          <w:sz w:val="22"/>
        </w:rPr>
        <w:t xml:space="preserve">号）、《财政部 司法部关于政府采购支持监狱企业发展有关问题的通知》（财库〔</w:t>
      </w:r>
      <w:r>
        <w:rPr>
          <w:rFonts w:ascii="Calibri" w:hAnsi="Calibri" w:eastAsia="Calibri" w:cs="Calibri"/>
          <w:color w:val="000000"/>
          <w:sz w:val="22"/>
        </w:rPr>
        <w:t xml:space="preserve">2014</w:t>
      </w:r>
      <w:r>
        <w:rPr>
          <w:rFonts w:ascii="SimSun" w:hAnsi="SimSun" w:eastAsia="SimSun" w:cs="SimSun"/>
          <w:color w:val="000000"/>
          <w:sz w:val="22"/>
        </w:rPr>
        <w:t xml:space="preserve">〕</w:t>
      </w:r>
      <w:r>
        <w:rPr>
          <w:rFonts w:ascii="Calibri" w:hAnsi="Calibri" w:eastAsia="Calibri" w:cs="Calibri"/>
          <w:color w:val="000000"/>
          <w:sz w:val="22"/>
        </w:rPr>
        <w:t xml:space="preserve">68 </w:t>
      </w:r>
      <w:r>
        <w:rPr>
          <w:rFonts w:ascii="SimSun" w:hAnsi="SimSun" w:eastAsia="SimSun" w:cs="SimSun"/>
          <w:color w:val="000000"/>
          <w:sz w:val="22"/>
        </w:rPr>
        <w:t xml:space="preserve">号）、《关于促进残疾人就业政府采购政策的通知》（财库〔</w:t>
      </w:r>
      <w:r>
        <w:rPr>
          <w:rFonts w:ascii="Calibri" w:hAnsi="Calibri" w:eastAsia="Calibri" w:cs="Calibri"/>
          <w:color w:val="000000"/>
          <w:sz w:val="22"/>
        </w:rPr>
        <w:t xml:space="preserve">2017</w:t>
      </w:r>
      <w:r>
        <w:rPr>
          <w:rFonts w:ascii="SimSun" w:hAnsi="SimSun" w:eastAsia="SimSun" w:cs="SimSun"/>
          <w:color w:val="000000"/>
          <w:sz w:val="22"/>
        </w:rPr>
        <w:t xml:space="preserve">〕</w:t>
      </w:r>
      <w:r>
        <w:rPr>
          <w:rFonts w:ascii="Calibri" w:hAnsi="Calibri" w:eastAsia="Calibri" w:cs="Calibri"/>
          <w:color w:val="000000"/>
          <w:sz w:val="22"/>
        </w:rPr>
        <w:t xml:space="preserve">141 </w:t>
      </w:r>
      <w:r>
        <w:rPr>
          <w:rFonts w:ascii="SimSun" w:hAnsi="SimSun" w:eastAsia="SimSun" w:cs="SimSun"/>
          <w:color w:val="000000"/>
          <w:sz w:val="22"/>
        </w:rPr>
        <w:t xml:space="preserve">号）的规定。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rPr>
        <w:t xml:space="preserve">根据财政部、工业和信息化部关于印发《政府采购促进中小企业发展管理办法》 的通知（财库〔</w:t>
      </w:r>
      <w:r>
        <w:rPr>
          <w:rFonts w:ascii="Calibri" w:hAnsi="Calibri" w:eastAsia="Calibri" w:cs="Calibri"/>
          <w:color w:val="000000"/>
          <w:sz w:val="22"/>
        </w:rPr>
        <w:t xml:space="preserve">2020</w:t>
      </w:r>
      <w:r>
        <w:rPr>
          <w:rFonts w:ascii="SimSun" w:hAnsi="SimSun" w:eastAsia="SimSun" w:cs="SimSun"/>
          <w:color w:val="000000"/>
          <w:sz w:val="22"/>
        </w:rPr>
        <w:t xml:space="preserve">〕</w:t>
      </w:r>
      <w:r>
        <w:rPr>
          <w:rFonts w:ascii="Calibri" w:hAnsi="Calibri" w:eastAsia="Calibri" w:cs="Calibri"/>
          <w:color w:val="000000"/>
          <w:sz w:val="22"/>
        </w:rPr>
        <w:t xml:space="preserve">46 </w:t>
      </w:r>
      <w:r>
        <w:rPr>
          <w:rFonts w:ascii="SimSun" w:hAnsi="SimSun" w:eastAsia="SimSun" w:cs="SimSun"/>
          <w:color w:val="000000"/>
          <w:sz w:val="22"/>
        </w:rPr>
        <w:t xml:space="preserve">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中小企业参加政府采购活动，应当出具本办法规定的《中小企业声明函》，否则不得享受相关中小企业扶持政策。</w:t>
      </w:r>
      <w:r>
        <w:rPr>
          <w:rFonts w:ascii="SimSun" w:hAnsi="SimSun" w:eastAsia="SimSun" w:cs="SimSun"/>
          <w:color w:val="000000"/>
          <w:sz w:val="21"/>
        </w:rPr>
        <w:t xml:space="preserve">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w:t>
      </w:r>
      <w:r>
        <w:rPr>
          <w:rFonts w:ascii="SimSun" w:hAnsi="SimSun" w:eastAsia="SimSun" w:cs="SimSun"/>
          <w:color w:val="000000"/>
          <w:sz w:val="22"/>
        </w:rPr>
        <w:t xml:space="preserve">供应商为残疾人福利性单位且提供的货物全部由残疾人福利性单位制造的，符合财库〔</w:t>
      </w:r>
      <w:r>
        <w:rPr>
          <w:rFonts w:ascii="Calibri" w:hAnsi="Calibri" w:eastAsia="Calibri" w:cs="Calibri"/>
          <w:color w:val="000000"/>
          <w:sz w:val="22"/>
        </w:rPr>
        <w:t xml:space="preserve">2017</w:t>
      </w:r>
      <w:r>
        <w:rPr>
          <w:rFonts w:ascii="SimSun" w:hAnsi="SimSun" w:eastAsia="SimSun" w:cs="SimSun"/>
          <w:color w:val="000000"/>
          <w:sz w:val="22"/>
        </w:rPr>
        <w:t xml:space="preserve">〕</w:t>
      </w:r>
      <w:r>
        <w:rPr>
          <w:rFonts w:ascii="Calibri" w:hAnsi="Calibri" w:eastAsia="Calibri" w:cs="Calibri"/>
          <w:color w:val="000000"/>
          <w:sz w:val="22"/>
        </w:rPr>
        <w:t xml:space="preserve">141 </w:t>
      </w:r>
      <w:r>
        <w:rPr>
          <w:rFonts w:ascii="SimSun" w:hAnsi="SimSun" w:eastAsia="SimSun" w:cs="SimSun"/>
          <w:color w:val="000000"/>
          <w:sz w:val="22"/>
        </w:rPr>
        <w:t xml:space="preserve">号文件规定条件的残疾人福利性单位视同小型、微型企业，提供《残疾人福利性单位声明函》。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4.</w:t>
      </w:r>
      <w:r>
        <w:rPr>
          <w:rFonts w:ascii="SimSun" w:hAnsi="SimSun" w:eastAsia="SimSun" w:cs="SimSun"/>
          <w:color w:val="000000"/>
          <w:sz w:val="22"/>
        </w:rPr>
        <w:t xml:space="preserve">供应商为监狱企业或提供的货物由监狱企业制造的，提供省级以上监狱管理局、戒毒管理局（含新疆生产建设兵团）出具的属于监狱企业的证明文件。根据《财政部司法部关于政府采购支持监狱企业发展有关问题的通知》（财库〔</w:t>
      </w:r>
      <w:r>
        <w:rPr>
          <w:rFonts w:ascii="Calibri" w:hAnsi="Calibri" w:eastAsia="Calibri" w:cs="Calibri"/>
          <w:color w:val="000000"/>
          <w:sz w:val="22"/>
        </w:rPr>
        <w:t xml:space="preserve">2014</w:t>
      </w:r>
      <w:r>
        <w:rPr>
          <w:rFonts w:ascii="SimSun" w:hAnsi="SimSun" w:eastAsia="SimSun" w:cs="SimSun"/>
          <w:color w:val="000000"/>
          <w:sz w:val="22"/>
        </w:rPr>
        <w:t xml:space="preserve">〕</w:t>
      </w:r>
      <w:r>
        <w:rPr>
          <w:rFonts w:ascii="Calibri" w:hAnsi="Calibri" w:eastAsia="Calibri" w:cs="Calibri"/>
          <w:color w:val="000000"/>
          <w:sz w:val="22"/>
        </w:rPr>
        <w:t xml:space="preserve">68 </w:t>
      </w:r>
      <w:r>
        <w:rPr>
          <w:rFonts w:ascii="SimSun" w:hAnsi="SimSun" w:eastAsia="SimSun" w:cs="SimSun"/>
          <w:color w:val="000000"/>
          <w:sz w:val="22"/>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rFonts w:ascii="SimSun" w:hAnsi="SimSun" w:eastAsia="SimSun" w:cs="SimSun"/>
          <w:color w:val="000000"/>
          <w:sz w:val="21"/>
        </w:rPr>
        <w:t xml:space="preserve">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5.</w:t>
      </w:r>
      <w:r>
        <w:rPr>
          <w:rFonts w:ascii="SimSun" w:hAnsi="SimSun" w:eastAsia="SimSun" w:cs="SimSun"/>
          <w:color w:val="000000"/>
          <w:sz w:val="22"/>
        </w:rPr>
        <w:t xml:space="preserve">在政府采购活动中，供应商提供的货物、工程或者服务符合下列情形的，享受本办法规定的中小企业扶持政策：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（一）在货物采购项目中，货物由中小企业制造，即货物由中小企业生产且使用该中小企业商号或者注册商标；</w:t>
      </w:r>
      <w:r>
        <w:rPr>
          <w:rFonts w:ascii="SimSun" w:hAnsi="SimSun" w:eastAsia="SimSun" w:cs="SimSun"/>
          <w:color w:val="000000"/>
          <w:sz w:val="21"/>
        </w:rPr>
        <w:t xml:space="preserve">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（二）在工程采购项目中，工程由中小企业承建，即工程施工单位为中小企业；</w:t>
      </w:r>
      <w:r>
        <w:rPr>
          <w:rFonts w:ascii="SimSun" w:hAnsi="SimSun" w:eastAsia="SimSun" w:cs="SimSun"/>
          <w:color w:val="000000"/>
          <w:sz w:val="21"/>
        </w:rPr>
        <w:t xml:space="preserve">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（三）在服务采购项目中，服务由中小企业承接，即提供服务的人员为中小企业依照</w:t>
      </w:r>
      <w:r>
        <w:rPr>
          <w:rFonts w:ascii="SimSun" w:hAnsi="SimSun" w:eastAsia="SimSun" w:cs="SimSun"/>
          <w:color w:val="000000"/>
          <w:sz w:val="21"/>
        </w:rPr>
        <w:t xml:space="preserve"> </w:t>
      </w:r>
      <w:r>
        <w:rPr>
          <w:rFonts w:ascii="SimSun" w:hAnsi="SimSun" w:eastAsia="SimSun" w:cs="SimSun"/>
          <w:color w:val="000000"/>
          <w:sz w:val="22"/>
        </w:rPr>
        <w:t xml:space="preserve">《中华人民共和国劳动合同法》订立劳动合同的从业人员。</w:t>
      </w:r>
      <w:r>
        <w:rPr>
          <w:rFonts w:ascii="SimSun" w:hAnsi="SimSun" w:eastAsia="SimSun" w:cs="SimSun"/>
          <w:color w:val="000000"/>
          <w:sz w:val="21"/>
        </w:rPr>
        <w:t xml:space="preserve"> </w:t>
      </w:r>
      <w:r>
        <w:rPr>
          <w:rFonts w:ascii="SimSun" w:hAnsi="SimSun" w:eastAsia="SimSun" w:cs="SimSun"/>
          <w:color w:val="000000"/>
          <w:sz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SimSun" w:hAnsi="SimSun" w:eastAsia="SimSun" w:cs="SimSun"/>
          <w:color w:val="000000"/>
          <w:sz w:val="21"/>
        </w:rPr>
        <w:t xml:space="preserve">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以上规定未尽事项，按《政府采购促进中小企业发展管理办法》等有关制度规定执行。</w:t>
      </w:r>
      <w:r>
        <w:rPr>
          <w:rFonts w:ascii="SimSun" w:hAnsi="SimSun" w:eastAsia="SimSun" w:cs="SimSun"/>
          <w:color w:val="000000"/>
          <w:sz w:val="21"/>
        </w:rPr>
        <w:t xml:space="preserve">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6.</w:t>
      </w:r>
      <w:r>
        <w:rPr>
          <w:rFonts w:ascii="SimSun" w:hAnsi="SimSun" w:eastAsia="SimSun" w:cs="SimSun"/>
          <w:color w:val="000000"/>
          <w:sz w:val="22"/>
        </w:rPr>
        <w:t xml:space="preserve">《中小企业声明函》等相关资料应上传至电子投标文件中，否则不予认可。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7.</w:t>
      </w:r>
      <w:r>
        <w:rPr>
          <w:rFonts w:ascii="SimSun" w:hAnsi="SimSun" w:eastAsia="SimSun" w:cs="SimSun"/>
          <w:color w:val="000000"/>
          <w:sz w:val="22"/>
        </w:rPr>
        <w:t xml:space="preserve">本项目属性为工程类，采购标的对应的中小企业划分标准所属行业为建筑业。 </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2</w:t>
      </w:r>
      <w:r>
        <w:rPr>
          <w:rFonts w:ascii="SimSun" w:hAnsi="SimSun" w:eastAsia="SimSun" w:cs="SimSun"/>
          <w:b/>
          <w:color w:val="000000"/>
          <w:sz w:val="22"/>
        </w:rPr>
        <w:t xml:space="preserve">、支持绿色发展</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w:t>
      </w:r>
      <w:r>
        <w:rPr>
          <w:rFonts w:ascii="SimSun" w:hAnsi="SimSun" w:eastAsia="SimSun" w:cs="SimSun"/>
          <w:color w:val="000000"/>
          <w:sz w:val="22"/>
        </w:rPr>
        <w:t xml:space="preserve">本项目执行《关于印发环境标志产品政府采购品目清单的通知》（财库〔</w:t>
      </w:r>
      <w:r>
        <w:rPr>
          <w:rFonts w:ascii="Calibri" w:hAnsi="Calibri" w:eastAsia="Calibri" w:cs="Calibri"/>
          <w:color w:val="000000"/>
          <w:sz w:val="22"/>
        </w:rPr>
        <w:t xml:space="preserve">2019</w:t>
      </w:r>
      <w:r>
        <w:rPr>
          <w:rFonts w:ascii="SimSun" w:hAnsi="SimSun" w:eastAsia="SimSun" w:cs="SimSun"/>
          <w:color w:val="000000"/>
          <w:sz w:val="22"/>
        </w:rPr>
        <w:t xml:space="preserve">〕</w:t>
      </w:r>
      <w:r>
        <w:rPr>
          <w:rFonts w:ascii="Calibri" w:hAnsi="Calibri" w:eastAsia="Calibri" w:cs="Calibri"/>
          <w:color w:val="000000"/>
          <w:sz w:val="22"/>
        </w:rPr>
        <w:t xml:space="preserve">18 </w:t>
      </w:r>
      <w:r>
        <w:rPr>
          <w:rFonts w:ascii="SimSun" w:hAnsi="SimSun" w:eastAsia="SimSun" w:cs="SimSun"/>
          <w:color w:val="000000"/>
          <w:sz w:val="22"/>
        </w:rPr>
        <w:t xml:space="preserve">号）、《关于印发节能产品政府采购品目清单的通知》（财库〔</w:t>
      </w:r>
      <w:r>
        <w:rPr>
          <w:rFonts w:ascii="Calibri" w:hAnsi="Calibri" w:eastAsia="Calibri" w:cs="Calibri"/>
          <w:color w:val="000000"/>
          <w:sz w:val="22"/>
        </w:rPr>
        <w:t xml:space="preserve">2019</w:t>
      </w:r>
      <w:r>
        <w:rPr>
          <w:rFonts w:ascii="SimSun" w:hAnsi="SimSun" w:eastAsia="SimSun" w:cs="SimSun"/>
          <w:color w:val="000000"/>
          <w:sz w:val="22"/>
        </w:rPr>
        <w:t xml:space="preserve">〕</w:t>
      </w:r>
      <w:r>
        <w:rPr>
          <w:rFonts w:ascii="Calibri" w:hAnsi="Calibri" w:eastAsia="Calibri" w:cs="Calibri"/>
          <w:color w:val="000000"/>
          <w:sz w:val="22"/>
        </w:rPr>
        <w:t xml:space="preserve">19 </w:t>
      </w:r>
      <w:r>
        <w:rPr>
          <w:rFonts w:ascii="SimSun" w:hAnsi="SimSun" w:eastAsia="SimSun" w:cs="SimSun"/>
          <w:color w:val="000000"/>
          <w:sz w:val="22"/>
        </w:rPr>
        <w:t xml:space="preserve">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2.</w:t>
      </w:r>
      <w:r>
        <w:rPr>
          <w:rFonts w:ascii="SimSun" w:hAnsi="SimSun" w:eastAsia="SimSun" w:cs="SimSun"/>
          <w:color w:val="000000"/>
          <w:sz w:val="22"/>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w:t>
      </w:r>
      <w:r>
        <w:rPr>
          <w:rFonts w:ascii="SimSun" w:hAnsi="SimSun" w:eastAsia="SimSun" w:cs="SimSun"/>
          <w:color w:val="000000"/>
          <w:sz w:val="22"/>
        </w:rPr>
        <w:t xml:space="preserve">落实挥发性有机化合物（</w:t>
      </w:r>
      <w:r>
        <w:rPr>
          <w:rFonts w:ascii="Calibri" w:hAnsi="Calibri" w:eastAsia="Calibri" w:cs="Calibri"/>
          <w:color w:val="000000"/>
          <w:sz w:val="22"/>
        </w:rPr>
        <w:t xml:space="preserve">VOCs</w:t>
      </w:r>
      <w:r>
        <w:rPr>
          <w:rFonts w:ascii="SimSun" w:hAnsi="SimSun" w:eastAsia="SimSun" w:cs="SimSun"/>
          <w:color w:val="000000"/>
          <w:sz w:val="22"/>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2"/>
        </w:rPr>
        <w:t xml:space="preserve">VOCs</w:t>
      </w:r>
      <w:r>
        <w:rPr>
          <w:rFonts w:ascii="SimSun" w:hAnsi="SimSun" w:eastAsia="SimSun" w:cs="SimSun"/>
          <w:color w:val="000000"/>
          <w:sz w:val="22"/>
        </w:rPr>
        <w:t xml:space="preserve">含量限制标准；投标人优先使用低挥发性原辅材料，将使用低 </w:t>
      </w:r>
      <w:r>
        <w:rPr>
          <w:rFonts w:ascii="Calibri" w:hAnsi="Calibri" w:eastAsia="Calibri" w:cs="Calibri"/>
          <w:color w:val="000000"/>
          <w:sz w:val="22"/>
        </w:rPr>
        <w:t xml:space="preserve">VOCs </w:t>
      </w:r>
      <w:r>
        <w:rPr>
          <w:rFonts w:ascii="SimSun" w:hAnsi="SimSun" w:eastAsia="SimSun" w:cs="SimSun"/>
          <w:color w:val="000000"/>
          <w:sz w:val="22"/>
        </w:rPr>
        <w:t xml:space="preserve">含量的涂料、胶黏剂等纳入政府采购合同条款。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第三章政府采购合同格式</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0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连云港市政府采购合同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u w:val="single"/>
        </w:rPr>
        <w:t xml:space="preserve">                                </w:t>
      </w:r>
      <w:r>
        <w:rPr>
          <w:rFonts w:ascii="SimSun" w:hAnsi="SimSun" w:eastAsia="SimSun" w:cs="SimSun"/>
          <w:color w:val="000000"/>
          <w:sz w:val="44"/>
        </w:rPr>
        <w:t xml:space="preserve">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3058"/>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9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合同编号：</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采购人：</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17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成交供应商：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第一部分协议书格式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依照《中华人民共和国民法典》、《中华人民共和国政府采购法》及其他有关法律、行政法规，遵循平等、自愿、公平和诚实信用的原则，双方就本建设工程施工事项协商一致，订立本合同。</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二、工程承包范围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承包范围：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开工日期：2026年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日（具体开工日期以甲方开工通知书为准）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竣工日期：2026年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天（合同确定工期以自报工期为准）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工程质量标准：要求工程质量达到合格质量标准。质量标准的评定以国家或行业的现行质量检验评定标准为依据。</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组成本合同的文件包括：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3、明确双方权利、义务的纪要、协议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4、本合同通用条款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5、磋商文件、响应文件和成交通知书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6、施工图纸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7、标准、规范及有关技术文件、技术要求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8、工程预算书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双方有关工程的洽商、变更等书面协议或文件视为本合同的组成部分。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七、本协议书中有关词语含义与本合同第二部分《通用条款》中分别赋予它们的定义相同。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八、乙方向甲方承诺按照合同约定进行施工。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九、甲方向乙方承诺按照合同约定的期限和方式支付合同价款及其他应当支付的款项。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合同订立地点：________________________________________</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本合同双方约定____________________后生效。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委托代表人：委托代表人：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号：帐号：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6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36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第二部分通用条款</w:t>
      </w:r>
      <w:r/>
    </w:p>
    <w:p>
      <w:pPr>
        <w:ind w:left="36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此部分采用《建设工程施工合同》范本（GF-2017-0201）中《第二部分通用条款》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合同：</w:t>
      </w:r>
      <w:r>
        <w:rPr>
          <w:rFonts w:ascii="SimSun" w:hAnsi="SimSun" w:eastAsia="SimSun" w:cs="SimSun"/>
          <w:color w:val="000000"/>
          <w:sz w:val="24"/>
          <w:u w:val="single"/>
        </w:rPr>
        <w:t xml:space="preserve">合同协议书、中标通知书、响应文件、采购文件、专用合同条款及其附件、通用合同条款、技术标准和要求、图纸、已标价工程量清单或预算书以及其他合同文件。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（1）标准、规范及有关技术资料；（2）发包人、承包人有关工程的洽商、变更等书面协议或文件视为本合同的组成部分。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临时设施及永久占地</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红线范围内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项目部及生产生活用地等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中华人民共和国法律、行政法规、部门规章，以及工程所在地的地方法规、自治条例、单行条例和地方政府规章、行业规定建设单位相关规定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详见设计文件及相关规定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合同文件的顺序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顺序为：（1）中标通知书；（2）投标函及其附录；（3）招标文件；（4）专用合同条款及其附件；（5）通用合同条款；（6）技术标准和要求；（7）图纸；（8）已标价工程量清单或预算书；（9）其他合同文件。</w:t>
      </w:r>
      <w:r/>
    </w:p>
    <w:p>
      <w:pPr>
        <w:ind w:left="0" w:right="0" w:firstLine="5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在合同订立及履行过程中形成的与合同有关的文件均构成合同文件组成部分，并根据其性质确定优先解释顺序。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合同签订之后七天内或开工日期前14天内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肆套（含承包人向发包人提供的竣工图两套）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w:t>
      </w:r>
      <w:r>
        <w:rPr>
          <w:rFonts w:ascii="SimSun" w:hAnsi="SimSun" w:eastAsia="SimSun" w:cs="SimSun"/>
          <w:color w:val="000000"/>
          <w:sz w:val="24"/>
        </w:rPr>
        <w:t xml:space="preserve">要性产生争执，则以发包人的决定为准。因承包人用于或转让给第三方导致发包人的损失由承包人承担。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根据发包人及监理人要求执行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根据发包人及监理人要求执行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 书面形式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收到承包人文件后7工作日内</w:t>
      </w:r>
      <w:r>
        <w:rPr>
          <w:rFonts w:ascii="SimSun" w:hAnsi="SimSun" w:eastAsia="SimSun" w:cs="SimSun"/>
          <w:color w:val="000000"/>
          <w:sz w:val="24"/>
        </w:rPr>
        <w:t xml:space="preserve">，监理人对承包人文件有异议的，承包人应予以修改，并重新报送监理人。监理人的审查并不减轻或免除承包人根据合同约定应当承担的责任。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执行通用条款，即承包人应在施工现场另外保存一套完整的图纸和承包人文件，供发包人、监理人及有关人员进行工程检查时使用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3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发包人指定地点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发包人现场代表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双方协商确定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双方协商确定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双方协商确定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双方协商确定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根据现场已有状况，为满足施工需要的相关措施及费用已包含在合同总价中。承包人应遵守有关交通法规，严格按照道路和桥梁的限制荷载行驶，执行有关道路限速、限行、禁止超载的规定，并配合交通管理部门的监督和检查。因承包人原因造成上述道路或交通设施损坏的，承包人负责修复并承担由此增加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根据现场实际情况而定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发包人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发包人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已含在合同价中，结算时不予调整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1.13.1出现工程量清单错误时，是否调整合同价格：</w:t>
      </w:r>
      <w:r>
        <w:rPr>
          <w:rFonts w:ascii="SimSun" w:hAnsi="SimSun" w:eastAsia="SimSun" w:cs="SimSun"/>
          <w:color w:val="000000"/>
          <w:sz w:val="24"/>
          <w:u w:val="single"/>
        </w:rPr>
        <w:t xml:space="preserve">调整</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SimSun" w:hAnsi="SimSun" w:eastAsia="SimSun" w:cs="SimSun"/>
          <w:color w:val="000000"/>
          <w:sz w:val="24"/>
          <w:u w:val="single"/>
        </w:rPr>
        <w:t xml:space="preserve">工程量出现偏差，综合单价不调整</w:t>
      </w: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 开工前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（1）由投标人自行提供材料、设备等接水接电，并自备合格计量表计量，供水供电费用（含接水接电费用）由投标人支付并包含在投标报价中，不予调整。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（2）施工场地与公共道路的通道开通时间和要求：见现场实际条件，包含在合同价中。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承包人在履行合同过程中应遵守法律和工程建设标准规范，并履行以下义务：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（1）办理法律规定应由承包人办理的许可和批准，并将办理结果书面报送发包人留存；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（2）按法律规定和合同约定完成工程，并在保修期内承担保修义务；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（3）按法律规定和合同约定采取施工安全和环境保护措施，办理工伤保险，确保工程及人员、材料、设备和设施的安全；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（4）按合同约定的工作内容和施工进度要求，编制施工组织设计和施工措施计划，并对所有施工作业和施工方法的完备性和安全可靠性负责；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按照通用条款第6.3款〔环境保护〕约定负责施工场地及其周边环境与生态的保护工作；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（7）按通用条款第6.1款〔安全文明施工〕约定采取施工安全措施，确保工程及其人员、材料、设备和设施的安全，防止因工程施工造成的人身伤害和财产损失；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（8）将发包人按合同约定支付的各项价款专用于合同工程，且应及时支付其雇用人员工资，并及时向分包人支付合同价款；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（9）承包人提交的竣工资料的内容：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不少于两套竣工资料原件，四套复印件及电子文档二套，包含CAD图纸，WORD，EXCEL，PDF等各种工作或存档所需的格式文件）。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 由承包人承担，费用包含在合同价中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工程具备竣工验收条件后40天内。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书面文件和电子文件。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（10）承包人应履行的其他义务：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10.1）承担施工安全保卫工作及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承包人应提供照明、警卫、护栅、警告标志等安全防护措施。非施工人员不得进入现场。相关费用已包含在合同价中。安全事故，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（10.2）向发包人提供的办公和生活房屋及设施的要求：具体根据现场情况按发包人要求执行。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（10.3）需承包人办理的有关施工场地交通、环卫和施工噪音管理等手续。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（10.4）已完工程成品保护的特殊要求及费用承担：由承包人负责成品保护并承担费用。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10.5）施工场地周围地下管线和邻近建筑物、构筑物（含文物保护建筑）、古树名木的保护要求及费用承担：费用由承包人承担，费用包含在合同价中。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w:t>
      </w:r>
      <w:r>
        <w:rPr>
          <w:rFonts w:ascii="SimSun" w:hAnsi="SimSun" w:eastAsia="SimSun" w:cs="SimSun"/>
          <w:color w:val="000000"/>
          <w:sz w:val="24"/>
          <w:u w:val="single"/>
        </w:rPr>
        <w:t xml:space="preserve">预案（联络方式）。因承包人原因造成破坏的，承包人必须无条件及时修复，并承担由此发生的全部费用和责任。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（10.6）施工场地清洁卫生的要求：按标准化施工现场管理，保持现场清洁，符合环境要求；交工前清理现场，因施工产生的垃圾外运，费用由承包人自理。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（10.7）承包人有义务对本工程图纸详细审阅，并提出合理化建议，确保施工期间尽量少发生拆除变更等浪费现象。施工过程中因承包人与周围发生的纠纷由承包人自行协商解决，费用由施工单位自理。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10.8）施工作业面及施工便道的回填、处理、施工区域内既有管线的保护等采取的施工措施等〕，并根据现场实际情况结合自身施工经验，对发包人所列的措施项目进行增补及报足，综合考虑在投标报价中，结算时不因施工组织设计方案改变、现场情况投标认识不充分等各种理由再调整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中：关于施工便道：各供应商需自行查看现场交通情况，因施工需要而补充铺设及处理的临时便道（如地基处理、抛填土石料、原土改良处理和铺设钢板等）或采取的二次搬运措施所发生的费用及工期需各供应商自行考虑在投标报价中，不另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（10.9）双方约定承包人应做的其它工作：（包括但不限于）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c.严格按施工图纸、国家现行的施工及技术验收规范进行施工，做好自检工作，并按规定程序进行检测和报验，确保工程质量和工期。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d.严格按施工安全规范要求采取预防事故的措施，确保施工安全和第三者安全。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f.施工中承包人应做好施工原始记录，隐蔽工程记录，按照国家验收规范的要求，整理、检查、编制工程验收竣工资料。并在竣工时按规定移交发包人。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g.在施工中，由承包人自身原因造成的停工、返工、材料、物件的倒运、机械二次进场等损失，均由承包人承担。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h.承包人采购设备、材料前须得到发包人和监理工程师的认可，如发包人在招标时对设备、材料的品牌有规定，承包人必须按其规定执行，否则，发包人有权要求承包人按规定品牌更换，但承包人所报材料单价不做调整。如承包人所使用设备、材料的品牌高于发包人招标时的规定，但发包人要求使用招标时设备、材料的品牌，承包人应对所报设备、材料单价做调整。材料的规格、技术指标、质量等级详见施工图, 同时应满足相关技术规范要求。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i.其他1、竣工资料符合连云港市城建档案馆关于档案资料的要求；2、准时参加监理组织的每周工程例会和专题会议；3、应接受发包人的现场协调管理；4、其它事宜由双方协商另定。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承包人未能按要求履行以上各项义务，造成发包人损失的，承包人应赔偿发包人有关损失。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开工之日起到竣工结束，项目经理（包含项目技术负责人）每周至少5日，每天必须保证8小时以上在现场组织施工。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发包人按1万/次进行处罚，同时要求承包人更换项目经理，且更换后的项目经理资质等级、业绩不低于原项目经理，否则发包人将解除施工合同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发包人发现项目经理擅自离开施工现场的，承包人须向发包人按2000元/次支付违约金，如累计发现五次项目经理擅自离开施工现场，视为承包人擅自更换项目经理，按照3.2.3条款约定执行。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3.2.3承包人擅自更换项目负责人的违约责任：</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项目经理及项目总工只有在发生以下特殊情况方可更换：</w:t>
      </w:r>
      <w:r>
        <w:rPr>
          <w:rFonts w:ascii="SimSun" w:hAnsi="SimSun" w:eastAsia="SimSun" w:cs="SimSun"/>
          <w:color w:val="000000"/>
          <w:sz w:val="24"/>
          <w:u w:val="single"/>
        </w:rPr>
        <w:t xml:space="preserve">因故伤残或重大疾病丧失工作能力或死亡的、调离承包人单位的、被有关部门责令吊销执业资格的。</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除上述特殊情况发生项目负责人更换的，承包人应承担相应的违约责任：</w:t>
      </w:r>
      <w:r>
        <w:rPr>
          <w:rFonts w:ascii="SimSun" w:hAnsi="SimSun" w:eastAsia="SimSun" w:cs="SimSun"/>
          <w:color w:val="000000"/>
          <w:sz w:val="24"/>
          <w:u w:val="single"/>
        </w:rPr>
        <w:t xml:space="preserve">承包人须向发包人支付违约金1万元，违约金从工程竣工结算款中扣除。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3.2.4承包人无正当理由拒绝更换项目负责人的违约责任：</w:t>
      </w:r>
      <w:r>
        <w:rPr>
          <w:rFonts w:ascii="SimSun" w:hAnsi="SimSun" w:eastAsia="SimSun" w:cs="SimSun"/>
          <w:color w:val="000000"/>
          <w:sz w:val="24"/>
          <w:u w:val="single"/>
        </w:rPr>
        <w:t xml:space="preserve">发包人有权解除施工合同。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承包人提交项目管理机构及施工现场管理人员安排报告的期限：承包人应在合同签订后7日内，向发包人提交项目管理机构及施工现场人员安排报告，并经发包人书面同意确认后，方可办理合同备案手续。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大中型项目，开工前承包人应在施工现场安装生物识别网络管理系统，发包人依据合同约定条款对项目负责人及项目组成员加强履约管理。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承包人应在合同签订后7日内，向发包人提交项目管理机构及施工现场人员安排报告，并经发包人书面同意确认后，方可办理合同备案手续。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若承包人拒绝更换则发包人有权解除合同，同时追回已经支付的款项并索赔违约金1万元，并报招标办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合同签订后，项目班子主要成员不到位，则监理工程师有权不签发开工令，施工中项目管理部的主要成员离开工地应向建设单位代表请假，经过批准后方能离开。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承包人须按1万元/人﹒次向发包人支付违约金，同时要求承包人更换后的主要施工管理人员资质等级、业绩不低于原主要施工管理人员，费用从工程竣工结算款中扣除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项目经理部主要管理人员（项目负责人、项目技术负责人、施工员、安全员、质检员），未经批准擅自离开现场的，发包人按2000元/人·次对承包人进行处罚，费用从工程竣工结算款中扣除。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未经发包人同意，本工程不允许分包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根据法律、法规规定执行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按发包人规定执行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  自发包人向承包人移交施工现场之日起，承包人应负责照管工程及工程相关的材料、工程设备，直到颁发工程接收证书之日止</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履约保证金的形式:现金或银行保函；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履约保证金的金额：合同价的10%；</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对本工程施工及保修阶段的进度、质量、投资控制，安全、文明施工、合同、信息管理和组织协调</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需要取得发包人批准才能行使的职权：</w:t>
      </w:r>
      <w:r>
        <w:rPr>
          <w:rFonts w:ascii="SimSun" w:hAnsi="SimSun" w:eastAsia="SimSun" w:cs="SimSun"/>
          <w:color w:val="000000"/>
          <w:sz w:val="24"/>
          <w:u w:val="single"/>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提供1间办公室，配套办公家具，空调等；电脑由各相关单位自备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5.1 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特殊质量标准和要求：工程质量必须达到合格标准等级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 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 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 为保护本工程免遭损坏，或为现场附近和过往人群的安全与方便，在确有必要的时候和地方，当监理工程师或有关主管部门要求时，承包人应提供照明、警卫、护栅（施工全线设置黄色市政冲孔围挡，要求围挡样式统一、全新）、警告标志等安全防护措施，费用包含在合同总价中，非施工人员不得进入现场 。承包人应及时对其在施工场地的工作人员进行治安管理教育，制定相应管理制度，并对他们的安全负责。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保持场地整洁卫生，因为违纪行为发生的清理处罚费用由承包人承担，保证工完料清，并保证入园道路、工地以及周围环境整洁，同时遵守发包人的其他有关管理要求。如清理不及时管理处将委托园区保洁跟踪式清理。以上所有费用包含在合同总价中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承包人要制定生活和环境卫生管理制度，要搞好职工宿舍卫生和食堂的饮食卫生，并做好厕所保洁工作。临时搭建须经发包人批准，且应整齐美观，费用包含在合同总价中。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现场安全文明施工措施费按照《省住房和城乡建设厅关于实施安全文明施工措施费动态计价管理的公告》（〔2020〕第11号）、《省住房城乡建设厅关于调整建设工程按质论价等费用计取方法的公告》（〔2018〕第24号）等文件精神计取建设工程安全文明施工措施费执行，未经核定，不得计取</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6.1.7现场安全文明施工不符合要求，发包人及监理有权直接在安全文明措施费中直接扣除或使用保证现场安全设施的配套到位。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6.1.8 施工现场临时消防设施必须按国家规范要求配套到位，如发生火灾等安全事故，在赔偿价值基础上再进行双倍的罚款。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6.1.9 现场安全文明设置应达到标准化现场施工要求，因现场安全设置不到位被相关部门责令整改或者有市民投诉处理不及时的，每次给予伍千元罚款。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 具体根据发包人及监理人要求执行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合同签订后14日内且不得迟于开工前7天内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收到施工组织设计后7日内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提供后7日内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由发包人决定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 按发包人要求执行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 / </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SimSun" w:hAnsi="SimSun" w:eastAsia="SimSun" w:cs="SimSun"/>
          <w:color w:val="000000"/>
          <w:sz w:val="24"/>
          <w:u w:val="single"/>
        </w:rPr>
        <w:t xml:space="preserve">因承包人原因不能按照协议书约定的竣工日期或工程师同意顺延的工期竣工的，承包人承担违约责任。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不能按期竣工，视为承包人违约，承包人须按1000元/天向发包人支付违约金；对承包人不能按期竣工的，且拖延工期超过20日历天以上的，除支付约定违约金外，发包人有权解除合同，承包人应无条件退场，并承担发包人的实际损失。承包人支付逾期竣工违约金后，不免除承包人继续完成工程及修补缺陷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合同价10%，承包人支付逾期竣工违约金后，不免除承包人继续完成工程及修补缺陷的义务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rPr>
          <w:rFonts w:ascii="SimSun" w:hAnsi="SimSun" w:eastAsia="SimSun" w:cs="SimSun"/>
          <w:color w:val="000000"/>
          <w:sz w:val="24"/>
          <w:u w:val="single"/>
        </w:rPr>
        <w:t xml:space="preserve">承包人对该工程现场条件等，在投标和合同签订前已进行了充分的了解，同时已充分考虑了施工中各种不利因素，并且已有合理的措施保证在合同工期内完成施工任务</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rPr>
          <w:rFonts w:ascii="SimSun" w:hAnsi="SimSun" w:eastAsia="SimSun" w:cs="SimSun"/>
          <w:color w:val="000000"/>
          <w:sz w:val="24"/>
          <w:u w:val="single"/>
        </w:rPr>
        <w:t xml:space="preserve">按国家相关规定执行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甲供材料（如有）的下力及堆放和保管由承包人负责，材料运到现场后的保管及安装过程中的损耗由承包人负责，相关费用已包含在签约合同价中。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按业主需求确定，费用包含在签约合同价中</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由承包人承担，同时承包人负责施工临时设施、环保及环卫的相关手续办理及报批，并承担与之相关费用</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根据现场实际施工需求</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根据现场实际施工需求</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根据现场实际施工需求</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根据现场实际施工需求</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关于变更的范围的约定：按通用条款执行。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（1）已标价工程量清单或预算书有相同项目的，按照相同项目单价认定；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（2）已标价工程量清单或预算书中无相同项目，但有类似项目的，参照类似项目的单价认定；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承包人报价浮动率L=（1-中标价/招标控制价）*100%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收到承包人书面合理化建议后7工作日内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收到承包人书面合理化建议后7工作日内</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10.7.1 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对于依法必须招标的暂估价项目的确认和批准采取以下方式确定：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对于依法必须招标的暂估价项目，由发包人招标确定暂估价供应商或分包人，承包人应按照施工进度计划，在招标工作启动前14天通知发包人。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不属于依法必须招标的暂估价项目由承包人提出实施计划及价款，报监理、审计、发包人确认后实施。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暂列金额应按照发包人的要求使用</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不调整</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调整范围：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因市场价格波动调整合同价格，采用以下第</w:t>
      </w:r>
      <w:r>
        <w:rPr>
          <w:rFonts w:ascii="SimSun" w:hAnsi="SimSun" w:eastAsia="SimSun" w:cs="SimSun"/>
          <w:color w:val="000000"/>
          <w:sz w:val="24"/>
          <w:u w:val="single"/>
        </w:rPr>
        <w:t xml:space="preserve"> / </w:t>
      </w:r>
      <w:r>
        <w:rPr>
          <w:rFonts w:ascii="SimSun" w:hAnsi="SimSun" w:eastAsia="SimSun" w:cs="SimSun"/>
          <w:color w:val="000000"/>
          <w:sz w:val="24"/>
        </w:rPr>
        <w:t xml:space="preserve">种方式对合同价格进行调整：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第1种方式：采用价格指数进行价格调整。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关于各可调因子、定值和变值权重，以及基本价格指数及其来源的约定：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第2种方式：采用造价信息进行价格调整。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关于基准价格的约定：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%时，或材料单价跌幅以已标价工程量清单或预算书中载明材料单价为基础超过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%时，材料单价涨幅以已标价工程量清单或预算书中载明材料单价为基础超过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4"/>
          <w:u w:val="single"/>
        </w:rPr>
        <w:t xml:space="preserve"> / </w:t>
      </w:r>
      <w:r>
        <w:rPr>
          <w:rFonts w:ascii="SimSun" w:hAnsi="SimSun" w:eastAsia="SimSun" w:cs="SimSun"/>
          <w:color w:val="000000"/>
          <w:sz w:val="24"/>
        </w:rPr>
        <w:t xml:space="preserve">%时，其超过部分据实调整。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第3种方式：其他价格调整方式：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合同价格、计量与支付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承包人风险：除不可抗力、发包人风险以外的其他一切风险。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风险：1．国家法律、法规、规章和政策发生变化；2．省级或行业建设主管部门发布的人工费调整，但承包人对人工费或人工单价的报价高于发布的除外；3.合同专用条款11.1约定的市场物价波动风险；4.工程量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价办法、工程造价管理机构发布的信息价格和承包人报价浮动率，提出变更工程项目的单价，并报发包人确认后调整。承包人报价浮动率按下列公式计算：承包人报价浮动</w:t>
      </w:r>
      <w:r>
        <w:rPr>
          <w:rFonts w:ascii="SimSun" w:hAnsi="SimSun" w:eastAsia="SimSun" w:cs="SimSun"/>
          <w:color w:val="000000"/>
          <w:sz w:val="24"/>
          <w:u w:val="single"/>
        </w:rPr>
        <w:t xml:space="preserve">率=（1-中标价/招标控制价）*100%。其余按10.4.1执行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签约合同价（扣除合同价中暂列金额、暂估价项目）的10%。</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工程竣工验收合格后付款时扣除预付款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付款周期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（1）签订合同进场施工后付至合同价的10%作为预付款，工程完工并验收合格后付至合同价款的80%，审计结束支付至审定价款的97%，质保期满后付清余款（无息）。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（2）每次支付工程款时，承包人必须提供符合税法的正规发票，否则迟延付款的责任由承包人自行承担。</w:t>
        <w:br/>
        <w:t xml:space="preserve">    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  按资金到位情况拨付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不计取，违约金为零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不计取，违约金为零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承包人须按1000元/天向发包人支付违约金，违约金从工程竣工结算款中扣除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工程竣工验收后，施工单位的施工人员、材料、设备必须在7天内全部退出现场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0"/>
        <w:spacing w:before="0" w:after="0" w:line="85" w:lineRule="atLeast"/>
        <w:tabs>
          <w:tab w:val="left" w:pos="7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竣工结算申请单应包括的内容：</w:t>
      </w:r>
      <w:r>
        <w:rPr>
          <w:rFonts w:ascii="SimSun" w:hAnsi="SimSun" w:eastAsia="SimSun" w:cs="SimSun"/>
          <w:color w:val="000000"/>
          <w:sz w:val="24"/>
          <w:u w:val="single"/>
        </w:rPr>
        <w:t xml:space="preserve">按发包人要求执行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  具体实施按照发包人规定的工作流程及要求执行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具体实施按照发包人规定的工作流程及要求执行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按通用条款第20条“争议解决”的约定办理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按发包人要求执行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  缺陷责任期满后7天内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按发包人工作流程</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颁发最终结清证书后30天内完成</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24个月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不扣留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本工程保修期限为24个月</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 收到保修通知或口头通知24小时内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由承包人书面提出，并有监理工程师和发包人派驻现场工程师核实确认后，顺延工期，不补偿任何费用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由承包人书面提出，并有监理工程师和发包人派驻现场工程师核实确认后，顺延工期，不补偿任何费用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由承包人书面提出，并有监理工程师和发包人派驻现场工程师核实确认后，可酌情延长工期，不补偿任何费用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由承包人书面提出，并有监理工程师和发包人代表书面确认后，可酌情延长工期，不补偿任何费用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84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删除通用条款16.1.4，调整为：解除合同，解除履约担保，进行审计结算，合同解除后，按12.4.1条付款比例支付。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审计结算款包括：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（1）合同解除前所完成工作的价款；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（2）承包人为工程施工订购并已付款的材料、工程设备和其他物品的价款；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（3）承包人撤离施工现场以及遣散承包人人员的款项；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（4）按照合同约定在合同解除前应支付的违约金；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（5）按照合同约定应当支付给承包人的其他款项；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（6）按照合同约定应退还的质量保证金；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（7）因解除合同给承包人造成的损失。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因承包人安全文明措施不到位的或未按规定实施的;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若因承包人原因，导致周边住户和单位投诉或新闻媒体负面曝光;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承包人不能按规定上报竣工结算;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因承包人原因发生保险事故给发包人造成影响的;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招标文件和合同规定承包人其他违约情形。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（1）承包人违反合同约定进行转包或违法分包的：按合同价的10%进行处罚，并从工程款中直接扣除，经发包人要求仍未整改到位或情节严重的清除出场；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（2）承包人违反合同约定采购和使用不合格的材料和工程设备的：按发包人要求进行整改，并按材料和工程设备价款的20%进行处罚，并从工程款中直接扣除；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（3）因承包人原因导致工程质量不符合合同要求的：限期整改，工期不延长，同时按2万元/处对承包人进行处罚；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（4）承包人违反第8.9款〔材料与设备专用要求〕的约定，未经批准，私自将已按照合同约定进入施工现场的材料或设备撤离施工现场的：限期整改，工期不延长，每发现一次处罚1000元；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因承包人安全文明措施不到位的或未按规定实施的，在接发包人通知后3天内未按书面通知要求整改的，承包人须按1000元/次向发包人支付违约金，费用在承包人履约担保金中扣除。同时发包人有权另行安排他人完成，费用在承包人工程款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（8）若因承包人原因，导致周边住户和单位投诉或新闻媒体负面曝光的，承包人需承担由此产生的一切后果和费用。每曝光一次承包人需向发包人支付1万元的违约金。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（9）如因承包人原因发生保险事故给发包人造成影响的，承包人承担违约责任，需向发包人支付保险赔付金20%的违约金。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（10）对严重违约需清除出场的承包人，发包人将其情况书面报告当地及企业所在地建设行政主管部门，向承包人书面提出限期清场的要求并登报公示。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（11）招标文件和合同规定承包人其他违约责任：限期整改，工期不延长，同时按2万元/次对承包人进行处罚；如发包人认为违约行为严重、恶劣，可以加重处罚。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执行通用条款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发包人有权无偿使用。发包人继续使用的行为不免除或减轻承包人应承担的违约责任</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战争、动乱、空中飞行物体坠落以及洪水、地震、重大疫情等</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  28 </w:t>
      </w:r>
      <w:r>
        <w:rPr>
          <w:rFonts w:ascii="SimSun" w:hAnsi="SimSun" w:eastAsia="SimSun" w:cs="SimSun"/>
          <w:color w:val="000000"/>
          <w:sz w:val="24"/>
        </w:rPr>
        <w:t xml:space="preserve">天内完成款项的支付。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保险合同需经发包人审批。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保险事故发生时，承包人有责任尽力采取必要的措施，防止或者减少损失。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如发生保险事故时，承包人应负责向保险公司索赔及办理赔付事宜。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合同生效后，承包人必须在工程开工前办理保险，如承包人未办理保险的，发包人有权从工程进度款中扣除此工程保险费用,直接选择保险人</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  是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   执行通用条款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争议解决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w:t>
      </w:r>
      <w:r>
        <w:rPr>
          <w:rFonts w:ascii="SimSun" w:hAnsi="SimSun" w:eastAsia="SimSun" w:cs="SimSun"/>
          <w:color w:val="000000"/>
          <w:sz w:val="24"/>
        </w:rPr>
        <w:t xml:space="preserve">仲裁委员会申请仲裁；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    </w:t>
      </w:r>
      <w:r>
        <w:rPr>
          <w:rFonts w:ascii="SimSun" w:hAnsi="SimSun" w:eastAsia="SimSun" w:cs="SimSun"/>
          <w:color w:val="000000"/>
          <w:sz w:val="24"/>
        </w:rPr>
        <w:t xml:space="preserve">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21.6无论任何时期，发包人有权在本合同所属工程范围内根据整个项目的实际施工进度，将工程分阶段开工与竣工。承包人已被视为在报价中考虑此因素。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21.9本合同价中应包括防洪、防风、暴雨措施所需要的一切费用。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21.11施工期间承包人必须配合相关单位做好文明施工及安全的工作，否则发包人及总包方有权进行对其经济处罚。承包人应负责自己施工范围内的垃圾清运至总包方指定地点，由总包方统一外运处理。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21.12承包人负责本工程竣工资料的整理，保证资料符合要求，及时报送总包并配合总包整体工程竣工验收。因资料移交不及时及工程质量导致竣工验收或竣工备案延误的，按工期延误处理。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21.14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r/>
    </w:p>
    <w:p>
      <w:pPr>
        <w:ind w:left="7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21.15施工过程中周围发生的阻扰施工的各类民扰、矛盾及纠纷由承包人自行协商解决，费用由承包人自理，该费用应包含在合同价中。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21.20为切实保障农民工权益，本项目实行实名制管理、农民工工资实行专户支付，具体按连建管【2017】83号文、苏建建管【2016】707号文、苏政办发【2016】85号文、《建筑工人实名制管理办法（试行）》、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w:t>
      </w:r>
      <w:r>
        <w:rPr>
          <w:rFonts w:ascii="SimSun" w:hAnsi="SimSun" w:eastAsia="SimSun" w:cs="SimSun"/>
          <w:color w:val="000000"/>
          <w:sz w:val="24"/>
        </w:rPr>
        <w:t xml:space="preserve">的工资支付周期和具体支付日期足额支付工资。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21.21承包人应严格服从发包人工程管理制度规范施工，按照发包人要求的范围进行拆除等施工，否则造成的一切损失由承包人承担。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21.23、本合同正本一式六份，具有同等法律效力，甲乙双方、见证方各执两份，采购人报一份至政府采购监督管理部门。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SimSun" w:hAnsi="SimSun" w:eastAsia="SimSun" w:cs="SimSun"/>
          <w:color w:val="000000"/>
          <w:sz w:val="24"/>
        </w:rPr>
        <w:t xml:space="preserve">1</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承包人主要施工管理人员表</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3"/>
        <w:gridCol w:w="1311"/>
        <w:gridCol w:w="1052"/>
        <w:gridCol w:w="1052"/>
        <w:gridCol w:w="3903"/>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主要资历、经验及承担过的项目</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8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一、总部人员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vMerge w:val="restart"/>
            <w:textDirection w:val="lrTb"/>
            <w:noWrap w:val="false"/>
          </w:tcPr>
          <w:p>
            <w:pPr>
              <w:ind w:left="72" w:right="72" w:firstLine="0"/>
              <w:jc w:val="center"/>
              <w:spacing w:before="0" w:after="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8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二、现场人员</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763" w:type="dxa"/>
            <w:vAlign w:val="center"/>
            <w:vMerge w:val="restart"/>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11"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52"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3903" w:type="dxa"/>
            <w:vAlign w:val="center"/>
            <w:textDirection w:val="lrTb"/>
            <w:noWrap w:val="false"/>
          </w:tcPr>
          <w:p>
            <w:pPr>
              <w:ind w:left="72" w:right="7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中标人诚信承诺书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color w:val="000000"/>
          <w:sz w:val="24"/>
          <w:u w:val="single"/>
        </w:rPr>
        <w:t xml:space="preserve"> （中标人名称）</w:t>
      </w:r>
      <w:r>
        <w:rPr>
          <w:rFonts w:ascii="SimSun" w:hAnsi="SimSun" w:eastAsia="SimSun" w:cs="SimSun"/>
          <w:color w:val="000000"/>
          <w:sz w:val="24"/>
        </w:rPr>
        <w:t xml:space="preserve">作为</w:t>
      </w:r>
      <w:r>
        <w:rPr>
          <w:rFonts w:ascii="SimSun" w:hAnsi="SimSun" w:eastAsia="SimSun" w:cs="SimSun"/>
          <w:color w:val="000000"/>
          <w:sz w:val="24"/>
          <w:u w:val="single"/>
        </w:rPr>
        <w:t xml:space="preserve">（建设单位名称）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ascii="SimSun" w:hAnsi="SimSun" w:eastAsia="SimSun" w:cs="SimSun"/>
          <w:color w:val="000000"/>
          <w:sz w:val="24"/>
          <w:u w:val="single"/>
        </w:rPr>
        <w:t xml:space="preserve">（项目负责人姓名）</w:t>
      </w:r>
      <w:r>
        <w:rPr>
          <w:rFonts w:ascii="SimSun" w:hAnsi="SimSun" w:eastAsia="SimSun" w:cs="SimSun"/>
          <w:color w:val="000000"/>
          <w:sz w:val="24"/>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项目负责人签字：</w:t>
      </w:r>
      <w:r>
        <w:rPr>
          <w:rFonts w:ascii="SimSun" w:hAnsi="SimSun" w:eastAsia="SimSun" w:cs="SimSun"/>
          <w:color w:val="000000"/>
          <w:sz w:val="24"/>
          <w:u w:val="single"/>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中标人法人代表或授权委托人签字：</w:t>
      </w:r>
      <w:r>
        <w:rPr>
          <w:rFonts w:ascii="SimSun" w:hAnsi="SimSun" w:eastAsia="SimSun" w:cs="SimSun"/>
          <w:color w:val="000000"/>
          <w:sz w:val="24"/>
          <w:u w:val="single"/>
        </w:rPr>
        <w:t xml:space="preserve">                  </w:t>
      </w:r>
      <w:r/>
    </w:p>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 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根据有关工程建设、廉政建设的规定，为做好工程建设中的党风廉政建设，保证工程建设高效优质，保证建设资金的安全和有效使用以及投资效益，</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项目法人</w:t>
      </w:r>
      <w:r>
        <w:rPr>
          <w:rFonts w:ascii="SimSun" w:hAnsi="SimSun" w:eastAsia="SimSun" w:cs="SimSun"/>
          <w:color w:val="000000"/>
          <w:sz w:val="24"/>
          <w:u w:val="single"/>
        </w:rPr>
        <w:t xml:space="preserve">（发包人名称）</w:t>
      </w:r>
      <w:r>
        <w:rPr>
          <w:rFonts w:ascii="SimSun" w:hAnsi="SimSun" w:eastAsia="SimSun" w:cs="SimSun"/>
          <w:color w:val="000000"/>
          <w:sz w:val="24"/>
        </w:rPr>
        <w:t xml:space="preserve">与该项目的施工单位</w:t>
      </w:r>
      <w:r>
        <w:rPr>
          <w:rFonts w:ascii="SimSun" w:hAnsi="SimSun" w:eastAsia="SimSun" w:cs="SimSun"/>
          <w:color w:val="000000"/>
          <w:sz w:val="24"/>
          <w:u w:val="single"/>
        </w:rPr>
        <w:t xml:space="preserve">（承包人名称）</w:t>
      </w:r>
      <w:r>
        <w:rPr>
          <w:rFonts w:ascii="SimSun" w:hAnsi="SimSun" w:eastAsia="SimSun" w:cs="SimSun"/>
          <w:color w:val="000000"/>
          <w:sz w:val="24"/>
        </w:rPr>
        <w:t xml:space="preserve">，特订立如下合同。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1．发包人和承包人双方的权利和义务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（1）严格遵守党的政策规定和国家有关法律法规的有关规定。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标段施工合同文件，自觉按合同办事。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（3）双方的业务活动坚持公开、公正、诚信、透明的原则（法律认定的商业秘密和合同文件另有规定除外），不得损害国家和集体利益，不得违反工程建设管理规章制度。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（4）建立健全廉政制度，开展廉政教育，设立廉政告示牌，公布举报电话，监督并认真查处违法违纪行为。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（6）发现对方严重违反本合同义务条款的行为，有向其上级有关部门举报、建议给予处理并要求告知处理结果的权利。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（1）发包人及其工作人员不得索要或接受承包人的礼金、有价证券和贵重物品，不得让承包人报销任何应由发包人或发包人工作人员个人支付的费用等。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（2）发包人工作人员不得参加承包人安排的超标准宴请和娱乐活动；不得接受承包人提供的通讯工具、交通工具和高档办公用品等。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（3）发包人及其工作人员不利要求或者接受承包人为其住房装修、婚丧嫁娶活动、配偶子女的工作安排以及出国出境、旅游等提供方便等。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（4）发包人工作人员及其配偶、子女不得从事与发包人工作有关的材料设备供应、工程分包、劳务等经济活动等。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（5）发包人及期工作人员不得以任何理由向承包人推荐分包单位或推销材料，不得要求承包人购买合同规定外的材料和设备。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（6）发包人工作人员要秉公办事，不准营私舞弊，不准利用职权从事各种个人有偿中介活动和安排个人施工队伍。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（1）承包人不得以任何理由向发包人及其工作人员行贿或馈赠礼金、有价证券、贵重礼品。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（2）承包人不得以任何名义为发包人及其工作人员报销应由发包人单位或个人支付的任何费用。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（3）承包人不得以任何理由安排发包人工作人员参加超标准宴请及娱乐活动。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（4）承包人不得为发包人单位和个人购置或提供通讯工具、交通工具和高档办公用品等。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（1）发包人及其工作人员违反本合同第1、2条，按管理权限，依据有关规定给予党纪、政纪或组织处理；涉嫌犯罪的，移交司法机关追究刑事责任；给承包人单位造成经济损失的，应予以赔偿。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建设市场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6.本合同有效期为发包人和承包人签署之日起至该工程项目竣工验收后止。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7．本合同经双方签字盖章后立即生效。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法定代表人（签字或盖章）：法定代表人（签字或盖章）：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安全生产责任承诺书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（承包人名称）       </w:t>
      </w:r>
      <w:r>
        <w:rPr>
          <w:rFonts w:ascii="SimSun" w:hAnsi="SimSun" w:eastAsia="SimSun" w:cs="SimSun"/>
          <w:color w:val="000000"/>
          <w:sz w:val="24"/>
        </w:rPr>
        <w:t xml:space="preserve">：</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磋商中有幸成交，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Calibri" w:hAnsi="Calibri" w:eastAsia="Calibri" w:cs="Calibri"/>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（承包人法定代表人姓名）</w:t>
      </w:r>
      <w:r>
        <w:rPr>
          <w:rFonts w:ascii="SimSun" w:hAnsi="SimSun" w:eastAsia="SimSun" w:cs="SimSun"/>
          <w:color w:val="000000"/>
          <w:sz w:val="24"/>
        </w:rPr>
        <w:t xml:space="preserve">以</w:t>
      </w:r>
      <w:r>
        <w:rPr>
          <w:rFonts w:ascii="SimSun" w:hAnsi="SimSun" w:eastAsia="SimSun" w:cs="SimSun"/>
          <w:color w:val="000000"/>
          <w:sz w:val="24"/>
          <w:u w:val="single"/>
        </w:rPr>
        <w:t xml:space="preserve">（承包人全称）</w:t>
      </w:r>
      <w:r>
        <w:rPr>
          <w:rFonts w:ascii="SimSun" w:hAnsi="SimSun" w:eastAsia="SimSun" w:cs="SimSun"/>
          <w:color w:val="000000"/>
          <w:sz w:val="24"/>
        </w:rPr>
        <w:t xml:space="preserve">法定代表人的资格，郑重承诺：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本单位中标承建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需要使用农民工时，将保证做到：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1、按照《劳动法》规定雇用和使用农民工，工资将直接发给农民工本人，严禁发放给“包工头”。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3、严格遵守《保障农民工工资支付条例》，以及国家和地方关于农民工工资的其他有关规定。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4、如果发生违反规定拖欠或克扣农民工工资行为，造成农民工上访，本单位愿意无条件接受发包人采取的经济等处罚，同时愿意接受行政主管部门依照有关规定作出的其它处罚决定。</w:t>
      </w:r>
      <w:r/>
    </w:p>
    <w:p>
      <w:pPr>
        <w:ind w:left="-41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10" w:right="-33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10" w:right="23"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 </w:t>
      </w:r>
      <w:r/>
    </w:p>
    <w:p>
      <w:pPr>
        <w:ind w:left="410" w:right="23"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360" w:right="23"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磋商文件、成交供应商的响应文件及磋商采购过程中有关澄清、承诺文件均作为合同附件。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23"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1、说明：本项目采购方式为</w:t>
      </w:r>
      <w:r>
        <w:rPr>
          <w:rFonts w:ascii="SimSun" w:hAnsi="SimSun" w:eastAsia="SimSun" w:cs="SimSun"/>
          <w:color w:val="000000"/>
          <w:sz w:val="24"/>
          <w:u w:val="single"/>
        </w:rPr>
        <w:t xml:space="preserve"> 竞争性谈判 </w:t>
      </w:r>
      <w:r>
        <w:rPr>
          <w:rFonts w:ascii="SimSun" w:hAnsi="SimSun" w:eastAsia="SimSun" w:cs="SimSun"/>
          <w:color w:val="000000"/>
          <w:sz w:val="24"/>
        </w:rPr>
        <w:t xml:space="preserve">，项目属性为</w:t>
      </w:r>
      <w:r>
        <w:rPr>
          <w:rFonts w:ascii="SimSun" w:hAnsi="SimSun" w:eastAsia="SimSun" w:cs="SimSun"/>
          <w:color w:val="000000"/>
          <w:sz w:val="24"/>
          <w:u w:val="single"/>
        </w:rPr>
        <w:t xml:space="preserve">工程</w:t>
      </w:r>
      <w:r>
        <w:rPr>
          <w:rFonts w:ascii="SimSun" w:hAnsi="SimSun" w:eastAsia="SimSun" w:cs="SimSun"/>
          <w:color w:val="000000"/>
          <w:sz w:val="24"/>
        </w:rPr>
        <w:t xml:space="preserve">，采购标的对应的中小企业划分标准所属行业为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建筑业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中小企业划型标准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7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rPr>
        <w:t xml:space="preserve">、</w:t>
      </w:r>
      <w:r>
        <w:rPr>
          <w:rFonts w:ascii="SimSun" w:hAnsi="SimSun" w:eastAsia="SimSun" w:cs="SimSun"/>
          <w:b/>
          <w:color w:val="000000"/>
          <w:sz w:val="24"/>
        </w:rPr>
        <w:t xml:space="preserve">本项目文件中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二、技术标准和要求</w:t>
      </w:r>
      <w:hyperlink r:id="rId14" w:tooltip="《园林绿化工程施工及验收规范》DB11_T_212-2009" w:history="1">
        <w:r>
          <w:rPr>
            <w:rStyle w:val="874"/>
            <w:rFonts w:ascii="SimSun" w:hAnsi="SimSun" w:eastAsia="SimSun" w:cs="SimSun"/>
            <w:b/>
            <w:color w:val="0000ee"/>
            <w:sz w:val="24"/>
            <w:u w:val="single"/>
          </w:rPr>
          <w:t xml:space="preserve">详见本工程施工图说明以及国家有关的工程建设标准强制性条文。</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三、工程建设标准及技术规范：详见工程量清单</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1、付款方式：（1）签订合同进场施工后付至合同价的10%作为预付款，工程完工并验收合格后付至合同价款的80%，审计结束支付至审定价款的97%，质保期满后付清余款（无息）。</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（2）每次支付工程款时，承包人必须提供符合税法的正规发票，否则迟延付款的责任由承包人自行承担。</w:t>
        <w:br/>
        <w:t xml:space="preserve">    注：承包人必须保证施工期间的农民工工资发放，每次支付工程进度款时必须在上报已完工程量的报告中单列人工费，并办理已支付农民工工资相关确认手续。若出现拖欠农民工工资情况，发包人有权从工程进度款扣除拖欠的农民工工资。</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2、履约保证金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承包人是否提供履约保证金：是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履约保证金的形式:现金或银行保函；</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履约保证金的金额：合同价的10 %；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3、工期要求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90日历天（以实际开工日起计算）</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none"/>
        </w:rPr>
        <w:t xml:space="preserve">4、质量标准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合格</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5、保修期</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本工程保修期为二年</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6、签订合同后，成交供应商不得将成交工程或服务进行转包。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rPr>
          <w:rFonts w:ascii="SimSun" w:hAnsi="SimSun" w:eastAsia="SimSun" w:cs="SimSun"/>
          <w:color w:val="000000"/>
          <w:sz w:val="24"/>
        </w:rPr>
        <w:t xml:space="preserve">本项目采购人不统一组织考察现场，供应商可自行前往进行现场踏勘以充分了解工地位置、现场情况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w:t>
      </w:r>
      <w:r>
        <w:rPr>
          <w:rFonts w:ascii="SimSun" w:hAnsi="SimSun" w:eastAsia="SimSun" w:cs="SimSun"/>
          <w:color w:val="000000"/>
          <w:sz w:val="24"/>
        </w:rPr>
        <w:t xml:space="preserve">内可能对施工做出某些限制和配合要求引起工效降低和民抚费用等。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工程量清单</w:t>
      </w:r>
      <w:r/>
    </w:p>
    <w:p>
      <w:pPr>
        <w:numPr>
          <w:ilvl w:val="0"/>
          <w:numId w:val="11"/>
        </w:numPr>
        <w:jc w:val="both"/>
        <w:spacing w:before="159" w:after="200" w:line="360" w:lineRule="atLeast"/>
        <w:tabs>
          <w:tab w:val="left" w:pos="116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工程量清单说明</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本工程量清单应与招标文件中的投标人须知、通用合同条款、专用合同条款、技术标准和要求及图纸等一起阅读和理解。</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本工程量清单仅是投标报价的共同基础，实际工程计量和工程价款的支付应遵循合同条款的约定和第七章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技术标准和要求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的有关规定。</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补充子目工程量计算规则及子目工作内容说明：</w:t>
      </w:r>
      <w:r>
        <w:rPr>
          <w:rFonts w:ascii="Times New Roman" w:hAnsi="Times New Roman" w:eastAsia="Times New Roman" w:cs="Times New Roman"/>
          <w:color w:val="000000"/>
          <w:sz w:val="24"/>
          <w:u w:val="single"/>
        </w:rPr>
        <w:t xml:space="preserve"> </w:t>
        <w:tab/>
        <w:t xml:space="preserve">/</w:t>
        <w:tab/>
      </w:r>
      <w:r>
        <w:rPr>
          <w:rFonts w:ascii="SimSun" w:hAnsi="SimSun" w:eastAsia="SimSun" w:cs="SimSun"/>
          <w:color w:val="000000"/>
          <w:sz w:val="24"/>
        </w:rPr>
        <w:t xml:space="preserve">。</w:t>
      </w:r>
      <w:r/>
    </w:p>
    <w:p>
      <w:pPr>
        <w:numPr>
          <w:ilvl w:val="0"/>
          <w:numId w:val="11"/>
        </w:numPr>
        <w:jc w:val="both"/>
        <w:spacing w:before="159" w:after="200" w:line="360" w:lineRule="atLeast"/>
        <w:tabs>
          <w:tab w:val="left" w:pos="116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投标报价说明</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工程量清单中的每一子目须填入单价或价格，且只允许有一个报价。</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工程量清单中标价的单价或金额，应包括所需的人工费、材料和施工机具使用费和企业管理费、利润以及一定范围内的风险费用等。</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工程量清单中投标人没有填入单价或价格的子目，其费用视为已分摊在工程量清单中其他相关子目的单价或价格之中。</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暂列金额的数量及拟用子目的说明：详见工程量清单。</w:t>
      </w:r>
      <w:r/>
    </w:p>
    <w:p>
      <w:pPr>
        <w:numPr>
          <w:ilvl w:val="0"/>
          <w:numId w:val="11"/>
        </w:numPr>
        <w:jc w:val="both"/>
        <w:spacing w:before="160" w:after="200" w:line="360" w:lineRule="atLeast"/>
        <w:tabs>
          <w:tab w:val="left" w:pos="116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其他说明</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清单与图纸不一致处，以清单为准进行报价。</w:t>
      </w:r>
      <w:r/>
    </w:p>
    <w:p>
      <w:pPr>
        <w:numPr>
          <w:ilvl w:val="1"/>
          <w:numId w:val="11"/>
        </w:numPr>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通用措施项目安全生产费用单独列项，依据《企业安全生产费用提取和使用管理办法》（财资〔</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136 </w:t>
      </w:r>
      <w:r>
        <w:rPr>
          <w:rFonts w:ascii="SimSun" w:hAnsi="SimSun" w:eastAsia="SimSun" w:cs="SimSun"/>
          <w:color w:val="000000"/>
          <w:sz w:val="24"/>
        </w:rPr>
        <w:t xml:space="preserve">号）及有关文件规定足额计取。投标人报价不得下浮、删减，具体计取费率如下：</w:t>
      </w:r>
      <w:r>
        <w:rPr>
          <w:rFonts w:ascii="Times New Roman" w:hAnsi="Times New Roman" w:eastAsia="Times New Roman" w:cs="Times New Roman"/>
          <w:color w:val="0000ff"/>
          <w:sz w:val="24"/>
        </w:rPr>
        <w:t xml:space="preserve">1.1</w:t>
      </w:r>
      <w:r>
        <w:rPr>
          <w:rFonts w:ascii="SimSun" w:hAnsi="SimSun" w:eastAsia="SimSun" w:cs="SimSun"/>
          <w:color w:val="ff0000"/>
          <w:sz w:val="24"/>
        </w:rPr>
        <w:t xml:space="preserve">市政工程：一般计税费率</w:t>
      </w:r>
      <w:r>
        <w:rPr>
          <w:rFonts w:ascii="Times New Roman" w:hAnsi="Times New Roman" w:eastAsia="Times New Roman" w:cs="Times New Roman"/>
          <w:color w:val="ff0000"/>
          <w:sz w:val="24"/>
        </w:rPr>
        <w:t xml:space="preserve">1.9%</w:t>
      </w:r>
      <w:r>
        <w:rPr>
          <w:rFonts w:ascii="SimSun" w:hAnsi="SimSun" w:eastAsia="SimSun" w:cs="SimSun"/>
          <w:color w:val="ff0000"/>
          <w:sz w:val="24"/>
        </w:rPr>
        <w:t xml:space="preserve">；</w:t>
      </w:r>
      <w:r/>
    </w:p>
    <w:p>
      <w:pPr>
        <w:ind w:left="720" w:right="0" w:firstLine="0"/>
        <w:jc w:val="both"/>
        <w:spacing w:before="210" w:after="0" w:line="360" w:lineRule="atLeast"/>
        <w:tabs>
          <w:tab w:val="left" w:pos="163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0"/>
          <w:numId w:val="11"/>
        </w:numPr>
        <w:jc w:val="both"/>
        <w:spacing w:before="160" w:after="200" w:line="360" w:lineRule="atLeast"/>
        <w:tabs>
          <w:tab w:val="left" w:pos="1164"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工程量清单</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谈判响应文件格式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江 苏 省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SimSun" w:hAnsi="SimSun" w:eastAsia="SimSun" w:cs="SimSun"/>
          <w:b/>
          <w:color w:val="000000"/>
          <w:sz w:val="36"/>
          <w:u w:val="single"/>
        </w:rPr>
        <w:t xml:space="preserve">（加盖CA电子公章）</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七、授权委托书与法定代表人身份证明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八、谈判响应函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十一、谈判首次报价明细表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r>
      <w:r>
        <w:rPr>
          <w:rFonts w:ascii="SimSun" w:hAnsi="SimSun" w:eastAsia="SimSun" w:cs="SimSun"/>
          <w:color w:val="000000"/>
          <w:sz w:val="24"/>
        </w:rPr>
        <w:t xml:space="preserve">一、</w:t>
      </w:r>
      <w:r/>
      <w:r>
        <w:rPr>
          <w:rFonts w:ascii="SimSun" w:hAnsi="SimSun" w:eastAsia="SimSun" w:cs="SimSun"/>
          <w:i/>
          <w:color w:val="000000"/>
          <w:sz w:val="32"/>
          <w:u w:val="single"/>
        </w:rPr>
        <w:t xml:space="preserve">法人或者其他组织的营业执照等证明文件，自然人的身份证明</w:t>
      </w:r>
      <w:r/>
    </w:p>
    <w:p>
      <w:pPr>
        <w:ind w:left="0" w:right="0" w:firstLine="0"/>
        <w:jc w:val="both"/>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rPr>
      </w:r>
      <w:r>
        <w:rPr>
          <w:rFonts w:ascii="Calibri" w:hAnsi="Calibri" w:eastAsia="Calibri" w:cs="Calibri"/>
          <w:sz w:val="22"/>
        </w:rPr>
      </w:r>
    </w:p>
    <w:p>
      <w:pPr>
        <w:ind w:left="0" w:right="0" w:firstLine="0"/>
        <w:jc w:val="both"/>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Calibri" w:hAnsi="Calibri" w:eastAsia="Calibri" w:cs="Calibri"/>
          <w:sz w:val="22"/>
          <w:szCs w:val="22"/>
        </w:rPr>
      </w:r>
      <w:r>
        <w:rPr>
          <w:rFonts w:ascii="Calibri" w:hAnsi="Calibri" w:eastAsia="Calibri" w:cs="Calibri"/>
          <w:sz w:val="22"/>
          <w:szCs w:val="22"/>
        </w:rPr>
      </w:r>
    </w:p>
    <w:p>
      <w:pPr>
        <w:ind w:left="0" w:right="0" w:firstLine="0"/>
        <w:jc w:val="both"/>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
      <w:r>
        <w:rPr>
          <w:rFonts w:ascii="Calibri" w:hAnsi="Calibri" w:eastAsia="Calibri" w:cs="Calibri"/>
          <w:sz w:val="22"/>
        </w:rP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r>
      <w:r>
        <w:rPr>
          <w:rFonts w:ascii="SimSun" w:hAnsi="SimSun" w:eastAsia="SimSun" w:cs="SimSun"/>
          <w:color w:val="000000"/>
          <w:sz w:val="24"/>
        </w:rPr>
        <w:t xml:space="preserve">二、</w:t>
      </w:r>
      <w:r/>
      <w:r>
        <w:rPr>
          <w:rFonts w:ascii="SimSun" w:hAnsi="SimSun" w:eastAsia="SimSun" w:cs="SimSun"/>
          <w:i/>
          <w:color w:val="000000"/>
          <w:sz w:val="32"/>
          <w:u w:val="single"/>
        </w:rPr>
        <w:t xml:space="preserve">具有良好的商业信誉和健全的财务会计制度</w:t>
      </w:r>
      <w:r/>
    </w:p>
    <w:p>
      <w:pPr>
        <w:ind w:left="0" w:right="0" w:firstLine="0"/>
        <w:jc w:val="both"/>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none"/>
          <w:u w:val="single"/>
        </w:rPr>
      </w:r>
      <w:r>
        <w:rPr>
          <w:rFonts w:ascii="SimSun" w:hAnsi="SimSun" w:eastAsia="SimSun" w:cs="SimSun"/>
          <w:i/>
          <w:color w:val="000000"/>
          <w:sz w:val="32"/>
          <w:highlight w:val="none"/>
          <w:u w:val="single"/>
        </w:rPr>
      </w:r>
    </w:p>
    <w:p>
      <w:pPr>
        <w:ind w:left="0" w:right="0" w:firstLine="0"/>
        <w:jc w:val="both"/>
        <w:spacing w:before="0" w:after="0" w:line="85" w:lineRule="atLeast"/>
        <w:rPr>
          <w:rFonts w:ascii="SimSun" w:hAnsi="SimSun" w:eastAsia="SimSun" w:cs="SimSun"/>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none"/>
          <w:u w:val="single"/>
        </w:rPr>
      </w:r>
      <w:r>
        <w:rPr>
          <w:rFonts w:ascii="SimSun" w:hAnsi="SimSun" w:eastAsia="SimSun" w:cs="SimSun"/>
          <w:i/>
          <w:color w:val="000000"/>
          <w:sz w:val="32"/>
          <w:highlight w:val="none"/>
          <w:u w:val="single"/>
        </w:rPr>
      </w:r>
    </w:p>
    <w:p>
      <w:pPr>
        <w:ind w:left="0" w:right="0" w:firstLine="0"/>
        <w:jc w:val="both"/>
        <w:spacing w:before="0" w:after="0" w:line="85" w:lineRule="atLeast"/>
        <w:rPr>
          <w:rFonts w:ascii="SimSun" w:hAnsi="SimSun" w:eastAsia="SimSun" w:cs="SimSun"/>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highlight w:val="none"/>
          <w:u w:val="single"/>
        </w:rPr>
      </w:r>
      <w:r>
        <w:rPr>
          <w:rFonts w:ascii="SimSun" w:hAnsi="SimSun" w:eastAsia="SimSun" w:cs="SimSun"/>
          <w:i/>
          <w:color w:val="000000"/>
          <w:sz w:val="32"/>
          <w:highlight w:val="none"/>
          <w:u w:val="single"/>
        </w:rPr>
      </w:r>
    </w:p>
    <w:p>
      <w:pPr>
        <w:ind w:left="0" w:right="0" w:firstLine="0"/>
        <w:jc w:val="both"/>
        <w:spacing w:before="0" w:after="0" w:line="85" w:lineRule="atLeast"/>
        <w:rPr>
          <w:rFonts w:ascii="SimSun" w:hAnsi="SimSun" w:eastAsia="SimSun" w:cs="SimSun"/>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财务状况报告及税收、社会保障资金缴纳情况承诺函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1、主要设备证明材料：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2、主要专业技术能力证明材料：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供应商承诺书（格式）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工程项目的谈判，我单位郑重承诺：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2 </w:t>
      </w:r>
      <w:r>
        <w:rPr>
          <w:rFonts w:ascii="SimSun" w:hAnsi="SimSun" w:eastAsia="SimSun" w:cs="SimSun"/>
          <w:color w:val="000000"/>
          <w:sz w:val="24"/>
        </w:rPr>
        <w:t xml:space="preserve">年以来无建筑市场不良行为；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同志中标后不影响办理工程建设手续且能在岗履职；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5、我单位保证投标时（包括谈判有效期内）非建筑业企业资质动态监管不合格企业，否则我单位将主动放弃中标资格；其余执行连建发【2019】182 号文、江苏省住房和城乡建设厅公告【2018】6 号文等文件规定。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9、谈判全过程（含异议、投诉环节）出示的证明文件资料均是真实、有效的。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将委托授权项目负责人参与投标全过程（含开评标、异议、投诉环节）工作。开评标如非该委托授权代理人参与，则视为未实质响应谈判文件要求；后期如发生异议或投诉，也将授权投标项目负责人本人参与处理，本单位法定代表人将在异议或投诉书中真实署名并实际参与采购人或监管部门的质询，否则，异议或投诉不成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综上，我单位承诺如有虚假，愿意无条件接受被取消谈判或成交资格、谈判保证金不予退还、履约保证金不予退还、合同解除及清除出场，一切损失由我单位自行承担，同时愿意接受相关处罚，特此承诺！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七、授权委托书与法定代表人（单位负责人）身份证明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1、若供应商为事业单位或其他组织或分支机构（仅当谈判文件注明允许分支机构投标的），则法定代表人（单位负责人）处的签署人可为单位负责人。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ab/>
      </w:r>
      <w:r>
        <w:rPr>
          <w:rFonts w:ascii="SimSun" w:hAnsi="SimSun" w:eastAsia="SimSun" w:cs="SimSun"/>
          <w:color w:val="000000"/>
          <w:sz w:val="24"/>
        </w:rPr>
        <w:t xml:space="preserve">（供应商名称）的法定代表人（单位负责人）。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8"/>
        <w:gridCol w:w="4607"/>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8"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八、谈判响应函</w:t>
      </w:r>
      <w:r/>
    </w:p>
    <w:p>
      <w:pPr>
        <w:ind w:left="0" w:right="0" w:firstLine="48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谈判文件，正式授权下述签字人______（姓名）代表我方______________（供应商的名称），全权处理本次项目谈判的有关事宜。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九、中小企业声明函</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、请供应商如实填写，所填内容将作为评审的依据。如填写不完整，将不享受扶持政策。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、成交供应商的《中小企业声明函》随成交结果公开。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2"/>
        </w:rPr>
        <w:t xml:space="preserve">残疾人福利性单位声明函</w:t>
      </w:r>
      <w:r/>
      <w:r>
        <w:rPr>
          <w:rFonts w:ascii="Calibri" w:hAnsi="Calibri" w:eastAsia="Calibri" w:cs="Calibri"/>
          <w:sz w:val="22"/>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填报说明：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1、请供应商如实填写，所填内容将作为评审的依据。如填写不完整或不一致，将不享受扶持政策。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2、成交供应商的《残疾人福利性单位声明函》随成交结果公开。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十一、首次谈判报价明细表（按工程量清单报价）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已标价工程量清单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注：各分项最终结算价按照首次报价与最后报价作同比例变动。</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项目名称：项目编号：分包号：</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3157"/>
        <w:gridCol w:w="3157"/>
        <w:gridCol w:w="2155"/>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w:t>
      </w:r>
      <w:r>
        <w:rPr>
          <w:rFonts w:ascii="SimSun" w:hAnsi="SimSun" w:eastAsia="SimSun" w:cs="SimSun"/>
          <w:b/>
          <w:color w:val="000000"/>
          <w:sz w:val="24"/>
        </w:rPr>
        <w:t xml:space="preserve">逐条对应谈判文件</w:t>
      </w:r>
      <w:r>
        <w:rPr>
          <w:rFonts w:ascii="SimSun" w:hAnsi="SimSun" w:eastAsia="SimSun" w:cs="SimSun"/>
          <w:color w:val="000000"/>
          <w:sz w:val="24"/>
        </w:rPr>
        <w:t xml:space="preserve">“采购需求”中商务条款等内容要求的商务条件，填写该表。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注：1.“偏离说明”填写“正偏离”“负偏离”或“无偏离”。</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十三、开标一览表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6240" w:right="0" w:hanging="6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供应商认为有必要提供的材料</w:t>
      </w:r>
      <w:r>
        <w:rPr>
          <w:rFonts w:ascii="SimSun" w:hAnsi="SimSun" w:eastAsia="SimSun" w:cs="SimSun"/>
          <w:color w:val="000000"/>
          <w:sz w:val="28"/>
        </w:rPr>
        <w:t xml:space="preserve">。</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headerReference w:type="default" r:id="rId9"/>
      <w:footerReference w:type="default" r:id="rId10"/>
      <w:footerReference w:type="first" r:id="rId11"/>
      <w:footnotePr/>
      <w:endnotePr/>
      <w:type w:val="nextPage"/>
      <w:pgSz w:w="11906" w:h="16838" w:orient="portrait"/>
      <w:pgMar w:top="1134" w:right="850" w:bottom="1134" w:left="1701" w:header="851" w:footer="907" w:gutter="0"/>
      <w:cols w:num="1" w:sep="0" w:space="0"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瓶盖" w:date="2026-08-20T17:13:14Z">
    <w:p w14:paraId="00000001" w14:textId="00000001">
      <w:pPr>
        <w:spacing w:line="240" w:after="0" w:lineRule="auto" w:before="0"/>
        <w:ind w:firstLine="0" w:left="0" w:right="0"/>
        <w:jc w:val="left"/>
      </w:pPr>
      <w:r>
        <w:rPr>
          <w:rFonts w:eastAsia="Arial" w:ascii="Arial" w:hAnsi="Arial" w:cs="Arial"/>
          <w:sz w:val="22"/>
        </w:rPr>
        <w:t xml:space="preserve">增加一条“21.14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p>
  </w:comment>
  <w:comment w:id="1" w:author="瓶盖" w:date="2026-08-20T16:59:03Z">
    <w:p w14:paraId="00000002" w14:textId="00000002">
      <w:pPr>
        <w:spacing w:line="240" w:after="0" w:lineRule="auto" w:before="0"/>
        <w:ind w:firstLine="0" w:left="0" w:right="0"/>
        <w:jc w:val="left"/>
      </w:pPr>
      <w:r>
        <w:rPr>
          <w:rFonts w:eastAsia="Arial" w:ascii="Arial" w:hAnsi="Arial" w:cs="Arial"/>
          <w:sz w:val="22"/>
        </w:rPr>
        <w:t xml:space="preserve">1000元/天</w:t>
      </w:r>
    </w:p>
  </w:comment>
  <w:comment w:id="2" w:author="瓶盖" w:date="2026-08-20T15:39:59Z">
    <w:p w14:paraId="00000003" w14:textId="00000003">
      <w:pPr>
        <w:spacing w:line="240" w:after="0" w:lineRule="auto" w:before="0"/>
        <w:ind w:firstLine="0" w:left="0" w:right="0"/>
        <w:jc w:val="left"/>
      </w:pPr>
      <w:r>
        <w:rPr>
          <w:rFonts w:eastAsia="Arial" w:ascii="Arial" w:hAnsi="Arial" w:cs="Arial"/>
          <w:sz w:val="22"/>
        </w:rPr>
        <w:t xml:space="preserve">0518-87296028</w:t>
      </w:r>
    </w:p>
  </w:comment>
  <w:comment w:id="3" w:author="瓶盖" w:date="2026-08-20T16:12:00Z">
    <w:p w14:paraId="00000004" w14:textId="00000004">
      <w:pPr>
        <w:spacing w:line="240" w:after="0" w:lineRule="auto" w:before="0"/>
        <w:ind w:firstLine="0" w:left="0" w:right="0"/>
        <w:jc w:val="left"/>
      </w:pPr>
      <w:r>
        <w:rPr>
          <w:rFonts w:eastAsia="Arial" w:ascii="Arial" w:hAnsi="Arial" w:cs="Arial"/>
          <w:sz w:val="22"/>
        </w:rPr>
        <w:t xml:space="preserve">周大伟</w:t>
      </w:r>
    </w:p>
  </w:comment>
  <w:comment w:id="4" w:author="瓶盖" w:date="2026-08-20T15:39:22Z">
    <w:p w14:paraId="00000005" w14:textId="00000005">
      <w:pPr>
        <w:spacing w:line="240" w:after="0" w:lineRule="auto" w:before="0"/>
        <w:ind w:firstLine="0" w:left="0" w:right="0"/>
        <w:jc w:val="left"/>
      </w:pPr>
      <w:r>
        <w:rPr>
          <w:rFonts w:eastAsia="Arial" w:ascii="Arial" w:hAnsi="Arial" w:cs="Arial"/>
          <w:sz w:val="22"/>
        </w:rPr>
        <w:t xml:space="preserve">东海县晶都大道1199号</w:t>
      </w:r>
    </w:p>
  </w:comment>
  <w:comment w:id="5" w:author="瓶盖" w:date="2026-08-20T15:57:24Z">
    <w:p w14:paraId="00000006" w14:textId="00000006">
      <w:pPr>
        <w:spacing w:line="240" w:after="0" w:lineRule="auto" w:before="0"/>
        <w:ind w:firstLine="0" w:left="0" w:right="0"/>
        <w:jc w:val="left"/>
      </w:pPr>
      <w:r>
        <w:rPr>
          <w:rFonts w:eastAsia="Arial" w:ascii="Arial" w:hAnsi="Arial" w:cs="Arial"/>
          <w:sz w:val="22"/>
        </w:rPr>
        <w:t xml:space="preserve">删除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Ex w15:paraId="00000002" w15:done="1"/>
  <w15:commentEx w15:paraId="00000003" w15:done="1"/>
  <w15:commentEx w15:paraId="00000004" w15:done="1"/>
  <w15:commentEx w15:paraId="00000005" w15:done="1"/>
  <w15:commentEx w15:paraId="00000006" w15:done="1"/>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7DF3692A"/>
  <w16cid:commentId w16cid:paraId="00000002" w16cid:durableId="46B87A55"/>
  <w16cid:commentId w16cid:paraId="00000003" w16cid:durableId="59DCECC3"/>
  <w16cid:commentId w16cid:paraId="00000004" w16cid:durableId="1745A44F"/>
  <w16cid:commentId w16cid:paraId="00000005" w16cid:durableId="1B81053B"/>
  <w16cid:commentId w16cid:paraId="00000006" w16cid:durableId="1FE18DA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Wingdings">
    <w:panose1 w:val="05000000000000000000"/>
  </w:font>
  <w:font w:name="Symbol">
    <w:panose1 w:val="05050102010706020507"/>
  </w:font>
  <w:font w:name="新宋体">
    <w:panose1 w:val="02010609030101010101"/>
  </w:font>
  <w:font w:name="Cambria">
    <w:panose1 w:val="02040503050406030204"/>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835"/>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163" w:hanging="485"/>
      </w:pPr>
      <w:rPr>
        <w:rFonts w:ascii="SimSun" w:hAnsi="SimSun" w:eastAsia="SimSun" w:cs="SimSun"/>
        <w:b/>
        <w:spacing w:val="0"/>
        <w:sz w:val="32"/>
      </w:rPr>
    </w:lvl>
    <w:lvl w:ilvl="1">
      <w:start w:val="1"/>
      <w:numFmt w:val="decimal"/>
      <w:isLgl w:val="false"/>
      <w:suff w:val="tab"/>
      <w:lvlText w:val="%1.%2"/>
      <w:lvlJc w:val="left"/>
      <w:pPr>
        <w:ind w:left="678" w:hanging="480"/>
      </w:pPr>
      <w:rPr>
        <w:rFonts w:ascii="SimSun" w:hAnsi="SimSun" w:eastAsia="SimSun" w:cs="SimSun"/>
        <w:sz w:val="24"/>
      </w:rPr>
    </w:lvl>
    <w:lvl w:ilvl="2">
      <w:start w:val="1"/>
      <w:numFmt w:val="bullet"/>
      <w:isLgl w:val="false"/>
      <w:suff w:val="tab"/>
      <w:lvlText w:val="&quot;•&quot;"/>
      <w:lvlJc w:val="left"/>
      <w:pPr>
        <w:ind w:left="2142" w:hanging="480"/>
      </w:pPr>
      <w:rPr>
        <w:rFonts w:hint="default" w:ascii="Symbol" w:hAnsi="Symbol" w:eastAsia="Symbol" w:cs="Symbol"/>
      </w:rPr>
    </w:lvl>
    <w:lvl w:ilvl="3">
      <w:start w:val="1"/>
      <w:numFmt w:val="bullet"/>
      <w:isLgl w:val="false"/>
      <w:suff w:val="tab"/>
      <w:lvlText w:val="&quot;•&quot;"/>
      <w:lvlJc w:val="left"/>
      <w:pPr>
        <w:ind w:left="3125" w:hanging="480"/>
      </w:pPr>
      <w:rPr>
        <w:rFonts w:hint="default" w:ascii="Symbol" w:hAnsi="Symbol" w:eastAsia="Symbol" w:cs="Symbol"/>
      </w:rPr>
    </w:lvl>
    <w:lvl w:ilvl="4">
      <w:start w:val="1"/>
      <w:numFmt w:val="bullet"/>
      <w:isLgl w:val="false"/>
      <w:suff w:val="tab"/>
      <w:lvlText w:val="&quot;•&quot;"/>
      <w:lvlJc w:val="left"/>
      <w:pPr>
        <w:ind w:left="4108" w:hanging="480"/>
      </w:pPr>
      <w:rPr>
        <w:rFonts w:hint="default" w:ascii="Symbol" w:hAnsi="Symbol" w:eastAsia="Symbol" w:cs="Symbol"/>
      </w:rPr>
    </w:lvl>
    <w:lvl w:ilvl="5">
      <w:start w:val="1"/>
      <w:numFmt w:val="bullet"/>
      <w:isLgl w:val="false"/>
      <w:suff w:val="tab"/>
      <w:lvlText w:val="&quot;•&quot;"/>
      <w:lvlJc w:val="left"/>
      <w:pPr>
        <w:ind w:left="5091" w:hanging="480"/>
      </w:pPr>
      <w:rPr>
        <w:rFonts w:hint="default" w:ascii="Symbol" w:hAnsi="Symbol" w:eastAsia="Symbol" w:cs="Symbol"/>
      </w:rPr>
    </w:lvl>
    <w:lvl w:ilvl="6">
      <w:start w:val="1"/>
      <w:numFmt w:val="bullet"/>
      <w:isLgl w:val="false"/>
      <w:suff w:val="tab"/>
      <w:lvlText w:val="&quot;•&quot;"/>
      <w:lvlJc w:val="left"/>
      <w:pPr>
        <w:ind w:left="6074" w:hanging="480"/>
      </w:pPr>
      <w:rPr>
        <w:rFonts w:hint="default" w:ascii="Symbol" w:hAnsi="Symbol" w:eastAsia="Symbol" w:cs="Symbol"/>
      </w:rPr>
    </w:lvl>
    <w:lvl w:ilvl="7">
      <w:start w:val="1"/>
      <w:numFmt w:val="bullet"/>
      <w:isLgl w:val="false"/>
      <w:suff w:val="tab"/>
      <w:lvlText w:val="&quot;•&quot;"/>
      <w:lvlJc w:val="left"/>
      <w:pPr>
        <w:ind w:left="7057" w:hanging="480"/>
      </w:pPr>
      <w:rPr>
        <w:rFonts w:hint="default" w:ascii="Symbol" w:hAnsi="Symbol" w:eastAsia="Symbol" w:cs="Symbol"/>
      </w:rPr>
    </w:lvl>
    <w:lvl w:ilvl="8">
      <w:start w:val="1"/>
      <w:numFmt w:val="bullet"/>
      <w:isLgl w:val="false"/>
      <w:suff w:val="tab"/>
      <w:lvlText w:val="&quot;•&quot;"/>
      <w:lvlJc w:val="left"/>
      <w:pPr>
        <w:ind w:left="8040" w:hanging="480"/>
      </w:pPr>
      <w:rPr>
        <w:rFonts w:hint="default" w:ascii="Symbol" w:hAnsi="Symbol" w:eastAsia="Symbol" w:cs="Symbol"/>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163" w:hanging="485"/>
      </w:pPr>
      <w:rPr>
        <w:rFonts w:ascii="SimSun" w:hAnsi="SimSun" w:eastAsia="SimSun" w:cs="SimSun"/>
        <w:b/>
        <w:spacing w:val="0"/>
        <w:sz w:val="32"/>
      </w:rPr>
    </w:lvl>
    <w:lvl w:ilvl="1">
      <w:start w:val="1"/>
      <w:numFmt w:val="decimal"/>
      <w:isLgl w:val="false"/>
      <w:suff w:val="tab"/>
      <w:lvlText w:val="%1.%2"/>
      <w:lvlJc w:val="left"/>
      <w:pPr>
        <w:ind w:left="678" w:hanging="480"/>
      </w:pPr>
      <w:rPr>
        <w:rFonts w:ascii="SimSun" w:hAnsi="SimSun" w:eastAsia="SimSun" w:cs="SimSun"/>
        <w:sz w:val="24"/>
      </w:rPr>
    </w:lvl>
    <w:lvl w:ilvl="2">
      <w:start w:val="1"/>
      <w:numFmt w:val="bullet"/>
      <w:isLgl w:val="false"/>
      <w:suff w:val="tab"/>
      <w:lvlText w:val="&quot;•&quot;"/>
      <w:lvlJc w:val="left"/>
      <w:pPr>
        <w:ind w:left="2142" w:hanging="480"/>
      </w:pPr>
      <w:rPr>
        <w:rFonts w:hint="default" w:ascii="Symbol" w:hAnsi="Symbol" w:eastAsia="Symbol" w:cs="Symbol"/>
      </w:rPr>
    </w:lvl>
    <w:lvl w:ilvl="3">
      <w:start w:val="1"/>
      <w:numFmt w:val="bullet"/>
      <w:isLgl w:val="false"/>
      <w:suff w:val="tab"/>
      <w:lvlText w:val="&quot;•&quot;"/>
      <w:lvlJc w:val="left"/>
      <w:pPr>
        <w:ind w:left="3125" w:hanging="480"/>
      </w:pPr>
      <w:rPr>
        <w:rFonts w:hint="default" w:ascii="Symbol" w:hAnsi="Symbol" w:eastAsia="Symbol" w:cs="Symbol"/>
      </w:rPr>
    </w:lvl>
    <w:lvl w:ilvl="4">
      <w:start w:val="1"/>
      <w:numFmt w:val="bullet"/>
      <w:isLgl w:val="false"/>
      <w:suff w:val="tab"/>
      <w:lvlText w:val="&quot;•&quot;"/>
      <w:lvlJc w:val="left"/>
      <w:pPr>
        <w:ind w:left="4108" w:hanging="480"/>
      </w:pPr>
      <w:rPr>
        <w:rFonts w:hint="default" w:ascii="Symbol" w:hAnsi="Symbol" w:eastAsia="Symbol" w:cs="Symbol"/>
      </w:rPr>
    </w:lvl>
    <w:lvl w:ilvl="5">
      <w:start w:val="1"/>
      <w:numFmt w:val="bullet"/>
      <w:isLgl w:val="false"/>
      <w:suff w:val="tab"/>
      <w:lvlText w:val="&quot;•&quot;"/>
      <w:lvlJc w:val="left"/>
      <w:pPr>
        <w:ind w:left="5091" w:hanging="480"/>
      </w:pPr>
      <w:rPr>
        <w:rFonts w:hint="default" w:ascii="Symbol" w:hAnsi="Symbol" w:eastAsia="Symbol" w:cs="Symbol"/>
      </w:rPr>
    </w:lvl>
    <w:lvl w:ilvl="6">
      <w:start w:val="1"/>
      <w:numFmt w:val="bullet"/>
      <w:isLgl w:val="false"/>
      <w:suff w:val="tab"/>
      <w:lvlText w:val="&quot;•&quot;"/>
      <w:lvlJc w:val="left"/>
      <w:pPr>
        <w:ind w:left="6074" w:hanging="480"/>
      </w:pPr>
      <w:rPr>
        <w:rFonts w:hint="default" w:ascii="Symbol" w:hAnsi="Symbol" w:eastAsia="Symbol" w:cs="Symbol"/>
      </w:rPr>
    </w:lvl>
    <w:lvl w:ilvl="7">
      <w:start w:val="1"/>
      <w:numFmt w:val="bullet"/>
      <w:isLgl w:val="false"/>
      <w:suff w:val="tab"/>
      <w:lvlText w:val="&quot;•&quot;"/>
      <w:lvlJc w:val="left"/>
      <w:pPr>
        <w:ind w:left="7057" w:hanging="480"/>
      </w:pPr>
      <w:rPr>
        <w:rFonts w:hint="default" w:ascii="Symbol" w:hAnsi="Symbol" w:eastAsia="Symbol" w:cs="Symbol"/>
      </w:rPr>
    </w:lvl>
    <w:lvl w:ilvl="8">
      <w:start w:val="1"/>
      <w:numFmt w:val="bullet"/>
      <w:isLgl w:val="false"/>
      <w:suff w:val="tab"/>
      <w:lvlText w:val="&quot;•&quot;"/>
      <w:lvlJc w:val="left"/>
      <w:pPr>
        <w:ind w:left="8040" w:hanging="480"/>
      </w:pPr>
      <w:rPr>
        <w:rFonts w:hint="default" w:ascii="Symbol" w:hAnsi="Symbol" w:eastAsia="Symbol" w:cs="Symbol"/>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瓶盖">
    <w15:presenceInfo w15:providerId="WPS Office" w15:userId="32272763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uiPriority w:val="0"/>
    <w:qFormat/>
    <w:pPr>
      <w:jc w:val="both"/>
      <w:widowControl w:val="off"/>
    </w:pPr>
    <w:rPr>
      <w:rFonts w:hint="default" w:ascii="Calibri" w:hAnsi="Calibri" w:eastAsia="宋体" w:cs="Times New Roman"/>
      <w:sz w:val="21"/>
      <w:szCs w:val="22"/>
      <w:lang w:val="en-US" w:eastAsia="zh-CN" w:bidi="ar-SA"/>
    </w:rPr>
  </w:style>
  <w:style w:type="paragraph" w:styleId="835">
    <w:name w:val="Heading 1"/>
    <w:basedOn w:val="834"/>
    <w:next w:val="834"/>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836">
    <w:name w:val="Heading 2"/>
    <w:basedOn w:val="834"/>
    <w:next w:val="834"/>
    <w:link w:val="878"/>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9"/>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80"/>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81"/>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82"/>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84"/>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5"/>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0"/>
    <w:semiHidden/>
    <w:qFormat/>
  </w:style>
  <w:style w:type="table" w:styleId="845" w:default="1">
    <w:name w:val="Normal Table"/>
    <w:uiPriority w:val="0"/>
    <w:semiHidden/>
    <w:qFormat/>
    <w:tblPr>
      <w:tblCellMar>
        <w:left w:w="108" w:type="dxa"/>
        <w:top w:w="0" w:type="dxa"/>
        <w:right w:w="108" w:type="dxa"/>
        <w:bottom w:w="0" w:type="dxa"/>
      </w:tblCellMar>
    </w:tblPr>
  </w:style>
  <w:style w:type="paragraph" w:styleId="846">
    <w:name w:val="List Paragraph"/>
    <w:basedOn w:val="834"/>
    <w:uiPriority w:val="34"/>
    <w:qFormat/>
    <w:pPr>
      <w:contextualSpacing/>
      <w:ind w:left="720"/>
    </w:pPr>
  </w:style>
  <w:style w:type="paragraph" w:styleId="847">
    <w:name w:val="toc 7"/>
    <w:basedOn w:val="834"/>
    <w:next w:val="834"/>
    <w:uiPriority w:val="39"/>
    <w:unhideWhenUsed/>
    <w:qFormat/>
    <w:pPr>
      <w:ind w:left="1701" w:right="0" w:firstLine="0"/>
      <w:spacing w:after="57"/>
    </w:pPr>
  </w:style>
  <w:style w:type="paragraph" w:styleId="848">
    <w:name w:val="Normal Indent"/>
    <w:basedOn w:val="834"/>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849">
    <w:name w:val="Caption"/>
    <w:basedOn w:val="834"/>
    <w:next w:val="83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0">
    <w:name w:val="annotation text"/>
    <w:basedOn w:val="834"/>
    <w:uiPriority w:val="99"/>
    <w:semiHidden/>
    <w:unhideWhenUsed/>
    <w:qFormat/>
    <w:pPr>
      <w:jc w:val="left"/>
    </w:pPr>
  </w:style>
  <w:style w:type="paragraph" w:styleId="851">
    <w:name w:val="Body Text"/>
    <w:basedOn w:val="834"/>
    <w:uiPriority w:val="99"/>
    <w:unhideWhenUsed/>
    <w:qFormat/>
    <w:pPr>
      <w:spacing w:after="120"/>
    </w:pPr>
  </w:style>
  <w:style w:type="paragraph" w:styleId="852">
    <w:name w:val="toc 5"/>
    <w:basedOn w:val="834"/>
    <w:next w:val="834"/>
    <w:uiPriority w:val="39"/>
    <w:unhideWhenUsed/>
    <w:qFormat/>
    <w:pPr>
      <w:ind w:left="1134" w:right="0" w:firstLine="0"/>
      <w:spacing w:after="57"/>
    </w:pPr>
  </w:style>
  <w:style w:type="paragraph" w:styleId="853">
    <w:name w:val="toc 3"/>
    <w:basedOn w:val="834"/>
    <w:next w:val="834"/>
    <w:uiPriority w:val="39"/>
    <w:unhideWhenUsed/>
    <w:qFormat/>
    <w:pPr>
      <w:ind w:left="567" w:right="0" w:firstLine="0"/>
      <w:spacing w:after="57"/>
    </w:pPr>
  </w:style>
  <w:style w:type="paragraph" w:styleId="854">
    <w:name w:val="Plain Text"/>
    <w:basedOn w:val="834"/>
    <w:uiPriority w:val="0"/>
    <w:qFormat/>
    <w:pPr>
      <w:ind w:firstLine="922"/>
      <w:spacing w:line="360" w:lineRule="auto"/>
    </w:pPr>
    <w:rPr>
      <w:rFonts w:ascii="宋体" w:hAnsi="Courier New"/>
      <w:sz w:val="20"/>
      <w:szCs w:val="20"/>
    </w:rPr>
  </w:style>
  <w:style w:type="paragraph" w:styleId="855">
    <w:name w:val="toc 8"/>
    <w:basedOn w:val="834"/>
    <w:next w:val="834"/>
    <w:uiPriority w:val="39"/>
    <w:unhideWhenUsed/>
    <w:qFormat/>
    <w:pPr>
      <w:ind w:left="1984" w:right="0" w:firstLine="0"/>
      <w:spacing w:after="57"/>
    </w:pPr>
  </w:style>
  <w:style w:type="paragraph" w:styleId="856">
    <w:name w:val="endnote text"/>
    <w:basedOn w:val="834"/>
    <w:link w:val="1022"/>
    <w:uiPriority w:val="99"/>
    <w:semiHidden/>
    <w:unhideWhenUsed/>
    <w:qFormat/>
    <w:pPr>
      <w:spacing w:after="0" w:line="240" w:lineRule="auto"/>
    </w:pPr>
    <w:rPr>
      <w:sz w:val="20"/>
    </w:rPr>
  </w:style>
  <w:style w:type="paragraph" w:styleId="857">
    <w:name w:val="Footer"/>
    <w:basedOn w:val="834"/>
    <w:uiPriority w:val="0"/>
    <w:qFormat/>
    <w:pPr>
      <w:jc w:val="left"/>
      <w:tabs>
        <w:tab w:val="center" w:pos="4153" w:leader="none"/>
        <w:tab w:val="right" w:pos="8306" w:leader="none"/>
      </w:tabs>
    </w:pPr>
    <w:rPr>
      <w:rFonts w:ascii="Times New Roman" w:hAnsi="Times New Roman"/>
      <w:sz w:val="18"/>
      <w:szCs w:val="18"/>
    </w:rPr>
  </w:style>
  <w:style w:type="paragraph" w:styleId="858">
    <w:name w:val="Header"/>
    <w:basedOn w:val="83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9">
    <w:name w:val="toc 1"/>
    <w:basedOn w:val="834"/>
    <w:next w:val="834"/>
    <w:uiPriority w:val="39"/>
    <w:qFormat/>
    <w:pPr>
      <w:ind w:firstLine="922"/>
      <w:jc w:val="left"/>
      <w:spacing w:before="120" w:line="360" w:lineRule="auto"/>
    </w:pPr>
    <w:rPr>
      <w:rFonts w:ascii="Calibri" w:hAnsi="Calibri" w:eastAsia="宋体" w:cs="Times New Roman"/>
      <w:b/>
      <w:bCs/>
      <w:i/>
      <w:iCs/>
      <w:sz w:val="24"/>
      <w:szCs w:val="24"/>
    </w:rPr>
  </w:style>
  <w:style w:type="paragraph" w:styleId="860">
    <w:name w:val="toc 4"/>
    <w:basedOn w:val="834"/>
    <w:next w:val="834"/>
    <w:uiPriority w:val="39"/>
    <w:unhideWhenUsed/>
    <w:qFormat/>
    <w:pPr>
      <w:ind w:left="850" w:right="0" w:firstLine="0"/>
      <w:spacing w:after="57"/>
    </w:pPr>
  </w:style>
  <w:style w:type="paragraph" w:styleId="861">
    <w:name w:val="Subtitle"/>
    <w:basedOn w:val="834"/>
    <w:next w:val="834"/>
    <w:link w:val="888"/>
    <w:uiPriority w:val="11"/>
    <w:qFormat/>
    <w:pPr>
      <w:spacing w:before="200" w:after="200"/>
    </w:pPr>
    <w:rPr>
      <w:sz w:val="24"/>
      <w:szCs w:val="24"/>
    </w:rPr>
  </w:style>
  <w:style w:type="paragraph" w:styleId="862">
    <w:name w:val="footnote text"/>
    <w:basedOn w:val="834"/>
    <w:link w:val="1021"/>
    <w:uiPriority w:val="99"/>
    <w:semiHidden/>
    <w:unhideWhenUsed/>
    <w:qFormat/>
    <w:pPr>
      <w:spacing w:after="40" w:line="240" w:lineRule="auto"/>
    </w:pPr>
    <w:rPr>
      <w:sz w:val="18"/>
    </w:rPr>
  </w:style>
  <w:style w:type="paragraph" w:styleId="863">
    <w:name w:val="toc 6"/>
    <w:basedOn w:val="834"/>
    <w:next w:val="834"/>
    <w:uiPriority w:val="39"/>
    <w:unhideWhenUsed/>
    <w:qFormat/>
    <w:pPr>
      <w:ind w:left="1417" w:right="0" w:firstLine="0"/>
      <w:spacing w:after="57"/>
    </w:pPr>
  </w:style>
  <w:style w:type="paragraph" w:styleId="864">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865">
    <w:name w:val="table of figures"/>
    <w:basedOn w:val="834"/>
    <w:next w:val="834"/>
    <w:uiPriority w:val="99"/>
    <w:unhideWhenUsed/>
    <w:qFormat/>
    <w:pPr>
      <w:spacing w:after="0" w:afterAutospacing="0"/>
    </w:pPr>
  </w:style>
  <w:style w:type="paragraph" w:styleId="866">
    <w:name w:val="toc 2"/>
    <w:basedOn w:val="834"/>
    <w:next w:val="834"/>
    <w:uiPriority w:val="39"/>
    <w:unhideWhenUsed/>
    <w:qFormat/>
    <w:pPr>
      <w:ind w:left="283" w:right="0" w:firstLine="0"/>
      <w:spacing w:after="57"/>
    </w:pPr>
  </w:style>
  <w:style w:type="paragraph" w:styleId="867">
    <w:name w:val="toc 9"/>
    <w:basedOn w:val="834"/>
    <w:next w:val="834"/>
    <w:uiPriority w:val="39"/>
    <w:unhideWhenUsed/>
    <w:qFormat/>
    <w:pPr>
      <w:ind w:left="2268" w:right="0" w:firstLine="0"/>
      <w:spacing w:after="57"/>
    </w:pPr>
  </w:style>
  <w:style w:type="paragraph" w:styleId="868">
    <w:name w:val="Normal (Web)"/>
    <w:basedOn w:val="834"/>
    <w:uiPriority w:val="0"/>
    <w:unhideWhenUsed/>
    <w:qFormat/>
    <w:pPr>
      <w:jc w:val="left"/>
      <w:spacing w:before="100" w:beforeAutospacing="1" w:after="100" w:afterAutospacing="1"/>
      <w:widowControl/>
    </w:pPr>
    <w:rPr>
      <w:rFonts w:ascii="宋体" w:hAnsi="宋体" w:cs="宋体"/>
      <w:sz w:val="24"/>
    </w:rPr>
  </w:style>
  <w:style w:type="paragraph" w:styleId="869">
    <w:name w:val="Title"/>
    <w:basedOn w:val="834"/>
    <w:next w:val="834"/>
    <w:link w:val="887"/>
    <w:uiPriority w:val="10"/>
    <w:qFormat/>
    <w:pPr>
      <w:contextualSpacing/>
      <w:spacing w:before="300" w:after="200"/>
    </w:pPr>
    <w:rPr>
      <w:sz w:val="48"/>
      <w:szCs w:val="48"/>
    </w:rPr>
  </w:style>
  <w:style w:type="paragraph" w:styleId="870">
    <w:name w:val="Body Text First Indent"/>
    <w:basedOn w:val="851"/>
    <w:uiPriority w:val="99"/>
    <w:qFormat/>
    <w:pPr>
      <w:ind w:firstLine="420"/>
    </w:pPr>
  </w:style>
  <w:style w:type="table" w:styleId="871">
    <w:name w:val="Table Grid"/>
    <w:basedOn w:val="84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44"/>
    <w:uiPriority w:val="0"/>
    <w:qFormat/>
    <w:rPr>
      <w:b/>
      <w:bCs/>
    </w:rPr>
  </w:style>
  <w:style w:type="character" w:styleId="873">
    <w:name w:val="endnote reference"/>
    <w:basedOn w:val="844"/>
    <w:uiPriority w:val="99"/>
    <w:semiHidden/>
    <w:unhideWhenUsed/>
    <w:qFormat/>
    <w:rPr>
      <w:vertAlign w:val="superscript"/>
    </w:rPr>
  </w:style>
  <w:style w:type="character" w:styleId="874">
    <w:name w:val="Hyperlink"/>
    <w:uiPriority w:val="99"/>
    <w:unhideWhenUsed/>
    <w:qFormat/>
    <w:rPr>
      <w:color w:val="0026e5" w:themeColor="hyperlink"/>
      <w:u w:val="single"/>
      <w14:textFill>
        <w14:solidFill>
          <w14:schemeClr w14:val="hlink"/>
        </w14:solidFill>
      </w14:textFill>
    </w:rPr>
  </w:style>
  <w:style w:type="character" w:styleId="875">
    <w:name w:val="footnote reference"/>
    <w:basedOn w:val="844"/>
    <w:uiPriority w:val="99"/>
    <w:unhideWhenUsed/>
    <w:qFormat/>
    <w:rPr>
      <w:vertAlign w:val="superscript"/>
    </w:rPr>
  </w:style>
  <w:style w:type="paragraph" w:styleId="876" w:customStyle="1">
    <w:name w:val="Default"/>
    <w:uiPriority w:val="99"/>
    <w:qFormat/>
    <w:pPr>
      <w:widowControl w:val="off"/>
    </w:pPr>
    <w:rPr>
      <w:rFonts w:hint="default" w:ascii="MS Mincho" w:hAnsi="Calibri" w:eastAsia="MS Mincho" w:cs="Times New Roman"/>
      <w:color w:val="000000"/>
      <w:sz w:val="24"/>
      <w:szCs w:val="24"/>
    </w:rPr>
  </w:style>
  <w:style w:type="character" w:styleId="877" w:customStyle="1">
    <w:name w:val="Heading 1 Char"/>
    <w:basedOn w:val="844"/>
    <w:uiPriority w:val="9"/>
    <w:qFormat/>
    <w:rPr>
      <w:rFonts w:ascii="Arial" w:hAnsi="Arial" w:eastAsia="Arial" w:cs="Arial"/>
      <w:sz w:val="40"/>
      <w:szCs w:val="40"/>
    </w:rPr>
  </w:style>
  <w:style w:type="character" w:styleId="878" w:customStyle="1">
    <w:name w:val="Heading 2 Char"/>
    <w:basedOn w:val="844"/>
    <w:link w:val="836"/>
    <w:uiPriority w:val="9"/>
    <w:qFormat/>
    <w:rPr>
      <w:rFonts w:ascii="Arial" w:hAnsi="Arial" w:eastAsia="Arial" w:cs="Arial"/>
      <w:sz w:val="34"/>
    </w:rPr>
  </w:style>
  <w:style w:type="character" w:styleId="879" w:customStyle="1">
    <w:name w:val="Heading 3 Char"/>
    <w:basedOn w:val="844"/>
    <w:link w:val="837"/>
    <w:uiPriority w:val="9"/>
    <w:qFormat/>
    <w:rPr>
      <w:rFonts w:ascii="Arial" w:hAnsi="Arial" w:eastAsia="Arial" w:cs="Arial"/>
      <w:sz w:val="30"/>
      <w:szCs w:val="30"/>
    </w:rPr>
  </w:style>
  <w:style w:type="character" w:styleId="880" w:customStyle="1">
    <w:name w:val="Heading 4 Char"/>
    <w:basedOn w:val="844"/>
    <w:link w:val="838"/>
    <w:uiPriority w:val="9"/>
    <w:qFormat/>
    <w:rPr>
      <w:rFonts w:ascii="Arial" w:hAnsi="Arial" w:eastAsia="Arial" w:cs="Arial"/>
      <w:b/>
      <w:bCs/>
      <w:sz w:val="26"/>
      <w:szCs w:val="26"/>
    </w:rPr>
  </w:style>
  <w:style w:type="character" w:styleId="881" w:customStyle="1">
    <w:name w:val="Heading 5 Char"/>
    <w:basedOn w:val="844"/>
    <w:link w:val="839"/>
    <w:uiPriority w:val="9"/>
    <w:qFormat/>
    <w:rPr>
      <w:rFonts w:ascii="Arial" w:hAnsi="Arial" w:eastAsia="Arial" w:cs="Arial"/>
      <w:b/>
      <w:bCs/>
      <w:sz w:val="24"/>
      <w:szCs w:val="24"/>
    </w:rPr>
  </w:style>
  <w:style w:type="character" w:styleId="882" w:customStyle="1">
    <w:name w:val="Heading 6 Char"/>
    <w:basedOn w:val="844"/>
    <w:link w:val="840"/>
    <w:uiPriority w:val="9"/>
    <w:qFormat/>
    <w:rPr>
      <w:rFonts w:ascii="Arial" w:hAnsi="Arial" w:eastAsia="Arial" w:cs="Arial"/>
      <w:b/>
      <w:bCs/>
      <w:sz w:val="22"/>
      <w:szCs w:val="22"/>
    </w:rPr>
  </w:style>
  <w:style w:type="character" w:styleId="883" w:customStyle="1">
    <w:name w:val="Heading 7 Char"/>
    <w:basedOn w:val="844"/>
    <w:link w:val="841"/>
    <w:uiPriority w:val="9"/>
    <w:qFormat/>
    <w:rPr>
      <w:rFonts w:ascii="Arial" w:hAnsi="Arial" w:eastAsia="Arial" w:cs="Arial"/>
      <w:b/>
      <w:bCs/>
      <w:i/>
      <w:iCs/>
      <w:sz w:val="22"/>
      <w:szCs w:val="22"/>
    </w:rPr>
  </w:style>
  <w:style w:type="character" w:styleId="884" w:customStyle="1">
    <w:name w:val="Heading 8 Char"/>
    <w:basedOn w:val="844"/>
    <w:link w:val="842"/>
    <w:uiPriority w:val="9"/>
    <w:qFormat/>
    <w:rPr>
      <w:rFonts w:ascii="Arial" w:hAnsi="Arial" w:eastAsia="Arial" w:cs="Arial"/>
      <w:i/>
      <w:iCs/>
      <w:sz w:val="22"/>
      <w:szCs w:val="22"/>
    </w:rPr>
  </w:style>
  <w:style w:type="character" w:styleId="885" w:customStyle="1">
    <w:name w:val="Heading 9 Char"/>
    <w:basedOn w:val="844"/>
    <w:link w:val="843"/>
    <w:uiPriority w:val="9"/>
    <w:qFormat/>
    <w:rPr>
      <w:rFonts w:ascii="Arial" w:hAnsi="Arial" w:eastAsia="Arial" w:cs="Arial"/>
      <w:i/>
      <w:iCs/>
      <w:sz w:val="21"/>
      <w:szCs w:val="21"/>
    </w:rPr>
  </w:style>
  <w:style w:type="paragraph" w:styleId="886">
    <w:name w:val="No Spacing"/>
    <w:uiPriority w:val="1"/>
    <w:qFormat/>
    <w:pPr>
      <w:spacing w:before="0" w:after="0" w:line="240" w:lineRule="auto"/>
    </w:pPr>
    <w:rPr>
      <w:rFonts w:hint="default" w:asciiTheme="minorHAnsi" w:hAnsiTheme="minorHAnsi" w:eastAsiaTheme="minorEastAsia" w:cstheme="minorBidi"/>
    </w:rPr>
  </w:style>
  <w:style w:type="character" w:styleId="887" w:customStyle="1">
    <w:name w:val="Title Char"/>
    <w:basedOn w:val="844"/>
    <w:link w:val="869"/>
    <w:uiPriority w:val="10"/>
    <w:qFormat/>
    <w:rPr>
      <w:sz w:val="48"/>
      <w:szCs w:val="48"/>
    </w:rPr>
  </w:style>
  <w:style w:type="character" w:styleId="888" w:customStyle="1">
    <w:name w:val="Subtitle Char"/>
    <w:basedOn w:val="844"/>
    <w:link w:val="861"/>
    <w:uiPriority w:val="11"/>
    <w:qFormat/>
    <w:rPr>
      <w:sz w:val="24"/>
      <w:szCs w:val="24"/>
    </w:rPr>
  </w:style>
  <w:style w:type="paragraph" w:styleId="889">
    <w:name w:val="Quote"/>
    <w:basedOn w:val="834"/>
    <w:next w:val="834"/>
    <w:link w:val="890"/>
    <w:uiPriority w:val="29"/>
    <w:qFormat/>
    <w:pPr>
      <w:ind w:left="720" w:right="720"/>
    </w:pPr>
    <w:rPr>
      <w:i/>
    </w:rPr>
  </w:style>
  <w:style w:type="character" w:styleId="890" w:customStyle="1">
    <w:name w:val="Quote Char"/>
    <w:link w:val="889"/>
    <w:uiPriority w:val="29"/>
    <w:qFormat/>
    <w:rPr>
      <w:i/>
    </w:rPr>
  </w:style>
  <w:style w:type="paragraph" w:styleId="891">
    <w:name w:val="Intense Quote"/>
    <w:basedOn w:val="834"/>
    <w:next w:val="834"/>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Intense Quote Char"/>
    <w:link w:val="891"/>
    <w:uiPriority w:val="30"/>
    <w:qFormat/>
    <w:rPr>
      <w:i/>
    </w:rPr>
  </w:style>
  <w:style w:type="character" w:styleId="893" w:customStyle="1">
    <w:name w:val="Header Char"/>
    <w:basedOn w:val="844"/>
    <w:uiPriority w:val="99"/>
    <w:qFormat/>
  </w:style>
  <w:style w:type="character" w:styleId="894" w:customStyle="1">
    <w:name w:val="Footer Char"/>
    <w:basedOn w:val="844"/>
    <w:uiPriority w:val="99"/>
    <w:qFormat/>
  </w:style>
  <w:style w:type="character" w:styleId="895" w:customStyle="1">
    <w:name w:val="Caption Char"/>
    <w:uiPriority w:val="99"/>
    <w:qFormat/>
  </w:style>
  <w:style w:type="table" w:styleId="896" w:customStyle="1">
    <w:name w:val="Table Grid Light"/>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basedOn w:val="8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8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8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8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8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8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basedOn w:val="8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6"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basedOn w:val="8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basedOn w:val="8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basedOn w:val="8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basedOn w:val="8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basedOn w:val="8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basedOn w:val="8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basedOn w:val="84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5" w:customStyle="1">
    <w:name w:val="Grid Table 4 - Accent 2"/>
    <w:basedOn w:val="84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6" w:customStyle="1">
    <w:name w:val="Grid Table 4 - Accent 3"/>
    <w:basedOn w:val="84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7" w:customStyle="1">
    <w:name w:val="Grid Table 4 - Accent 4"/>
    <w:basedOn w:val="84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8" w:customStyle="1">
    <w:name w:val="Grid Table 4 - Accent 5"/>
    <w:basedOn w:val="84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9" w:customStyle="1">
    <w:name w:val="Grid Table 4 - Accent 6"/>
    <w:basedOn w:val="84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0"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2" w:customStyle="1">
    <w:name w:val="Grid Table 5 Dark - Accent 2"/>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3" w:customStyle="1">
    <w:name w:val="Grid Table 5 Dark - Accent 3"/>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4" w:customStyle="1">
    <w:name w:val="Grid Table 5 Dark- Accent 4"/>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5" w:customStyle="1">
    <w:name w:val="Grid Table 5 Dark - Accent 5"/>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6" w:customStyle="1">
    <w:name w:val="Grid Table 5 Dark - Accent 6"/>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7"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basedOn w:val="84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9" w:customStyle="1">
    <w:name w:val="Grid Table 6 Colorful - Accent 2"/>
    <w:basedOn w:val="8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0" w:customStyle="1">
    <w:name w:val="Grid Table 6 Colorful - Accent 3"/>
    <w:basedOn w:val="84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41" w:customStyle="1">
    <w:name w:val="Grid Table 6 Colorful - Accent 4"/>
    <w:basedOn w:val="8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2" w:customStyle="1">
    <w:name w:val="Grid Table 6 Colorful - Accent 5"/>
    <w:basedOn w:val="84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3" w:customStyle="1">
    <w:name w:val="Grid Table 6 Colorful - Accent 6"/>
    <w:basedOn w:val="84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4"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basedOn w:val="84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basedOn w:val="84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basedOn w:val="84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basedOn w:val="84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basedOn w:val="84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basedOn w:val="84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w:basedOn w:val="8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basedOn w:val="84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3" w:customStyle="1">
    <w:name w:val="List Table 1 Light - Accent 2"/>
    <w:basedOn w:val="84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4" w:customStyle="1">
    <w:name w:val="List Table 1 Light - Accent 3"/>
    <w:basedOn w:val="84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5" w:customStyle="1">
    <w:name w:val="List Table 1 Light - Accent 4"/>
    <w:basedOn w:val="84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basedOn w:val="84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7" w:customStyle="1">
    <w:name w:val="List Table 1 Light - Accent 6"/>
    <w:basedOn w:val="84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8"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basedOn w:val="84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0" w:customStyle="1">
    <w:name w:val="List Table 2 - Accent 2"/>
    <w:basedOn w:val="84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1" w:customStyle="1">
    <w:name w:val="List Table 2 - Accent 3"/>
    <w:basedOn w:val="84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2" w:customStyle="1">
    <w:name w:val="List Table 2 - Accent 4"/>
    <w:basedOn w:val="84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3" w:customStyle="1">
    <w:name w:val="List Table 2 - Accent 5"/>
    <w:basedOn w:val="84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4" w:customStyle="1">
    <w:name w:val="List Table 2 - Accent 6"/>
    <w:basedOn w:val="84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5"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basedOn w:val="84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7" w:customStyle="1">
    <w:name w:val="List Table 3 - Accent 2"/>
    <w:basedOn w:val="8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8" w:customStyle="1">
    <w:name w:val="List Table 3 - Accent 3"/>
    <w:basedOn w:val="84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9" w:customStyle="1">
    <w:name w:val="List Table 3 - Accent 4"/>
    <w:basedOn w:val="8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0" w:customStyle="1">
    <w:name w:val="List Table 3 - Accent 5"/>
    <w:basedOn w:val="84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1" w:customStyle="1">
    <w:name w:val="List Table 3 - Accent 6"/>
    <w:basedOn w:val="84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2" w:customStyle="1">
    <w:name w:val="List Table 4"/>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basedOn w:val="84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4" w:customStyle="1">
    <w:name w:val="List Table 4 - Accent 2"/>
    <w:basedOn w:val="84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5" w:customStyle="1">
    <w:name w:val="List Table 4 - Accent 3"/>
    <w:basedOn w:val="84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6" w:customStyle="1">
    <w:name w:val="List Table 4 - Accent 4"/>
    <w:basedOn w:val="84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7" w:customStyle="1">
    <w:name w:val="List Table 4 - Accent 5"/>
    <w:basedOn w:val="84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8" w:customStyle="1">
    <w:name w:val="List Table 4 - Accent 6"/>
    <w:basedOn w:val="84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9" w:customStyle="1">
    <w:name w:val="List Table 5 Dark"/>
    <w:basedOn w:val="8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basedOn w:val="84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basedOn w:val="84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basedOn w:val="84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basedOn w:val="84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basedOn w:val="84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basedOn w:val="84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basedOn w:val="84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8" w:customStyle="1">
    <w:name w:val="List Table 6 Colorful - Accent 2"/>
    <w:basedOn w:val="84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9" w:customStyle="1">
    <w:name w:val="List Table 6 Colorful - Accent 3"/>
    <w:basedOn w:val="84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0" w:customStyle="1">
    <w:name w:val="List Table 6 Colorful - Accent 4"/>
    <w:basedOn w:val="84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1" w:customStyle="1">
    <w:name w:val="List Table 6 Colorful - Accent 5"/>
    <w:basedOn w:val="84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2" w:customStyle="1">
    <w:name w:val="List Table 6 Colorful - Accent 6"/>
    <w:basedOn w:val="84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3" w:customStyle="1">
    <w:name w:val="List Table 7 Colorful"/>
    <w:basedOn w:val="8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basedOn w:val="84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basedOn w:val="84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basedOn w:val="84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basedOn w:val="84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basedOn w:val="84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basedOn w:val="84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0" w:customStyle="1">
    <w:name w:val="Lined - Accent"/>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2" w:customStyle="1">
    <w:name w:val="Lined - Accent 2"/>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3" w:customStyle="1">
    <w:name w:val="Lined - Accent 3"/>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4" w:customStyle="1">
    <w:name w:val="Lined - Accent 4"/>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5" w:customStyle="1">
    <w:name w:val="Lined - Accent 5"/>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6" w:customStyle="1">
    <w:name w:val="Lined - Accent 6"/>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7" w:customStyle="1">
    <w:name w:val="Bordered &amp; Lined - Accent"/>
    <w:basedOn w:val="8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basedOn w:val="84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9" w:customStyle="1">
    <w:name w:val="Bordered &amp; Lined - Accent 2"/>
    <w:basedOn w:val="84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0" w:customStyle="1">
    <w:name w:val="Bordered &amp; Lined - Accent 3"/>
    <w:basedOn w:val="84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1" w:customStyle="1">
    <w:name w:val="Bordered &amp; Lined - Accent 4"/>
    <w:basedOn w:val="84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2" w:customStyle="1">
    <w:name w:val="Bordered &amp; Lined - Accent 5"/>
    <w:basedOn w:val="84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3" w:customStyle="1">
    <w:name w:val="Bordered &amp; Lined - Accent 6"/>
    <w:basedOn w:val="84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4" w:customStyle="1">
    <w:name w:val="Bordered"/>
    <w:basedOn w:val="8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basedOn w:val="8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6" w:customStyle="1">
    <w:name w:val="Bordered - Accent 2"/>
    <w:basedOn w:val="8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7" w:customStyle="1">
    <w:name w:val="Bordered - Accent 3"/>
    <w:basedOn w:val="8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8" w:customStyle="1">
    <w:name w:val="Bordered - Accent 4"/>
    <w:basedOn w:val="8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9" w:customStyle="1">
    <w:name w:val="Bordered - Accent 5"/>
    <w:basedOn w:val="8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0" w:customStyle="1">
    <w:name w:val="Bordered - Accent 6"/>
    <w:basedOn w:val="8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1" w:customStyle="1">
    <w:name w:val="Footnote Text Char"/>
    <w:link w:val="862"/>
    <w:uiPriority w:val="99"/>
    <w:qFormat/>
    <w:rPr>
      <w:sz w:val="18"/>
    </w:rPr>
  </w:style>
  <w:style w:type="character" w:styleId="1022" w:customStyle="1">
    <w:name w:val="Endnote Text Char"/>
    <w:link w:val="856"/>
    <w:uiPriority w:val="99"/>
    <w:qFormat/>
    <w:rPr>
      <w:sz w:val="20"/>
    </w:rPr>
  </w:style>
  <w:style w:type="paragraph" w:styleId="1023" w:customStyle="1">
    <w:name w:val="TOC Heading"/>
    <w:uiPriority w:val="39"/>
    <w:unhideWhenUsed/>
    <w:qFormat/>
    <w:rPr>
      <w:rFonts w:hint="default" w:asciiTheme="minorHAnsi" w:hAnsiTheme="minorHAnsi" w:eastAsiaTheme="minorEastAsia" w:cstheme="minorBidi"/>
    </w:rPr>
  </w:style>
  <w:style w:type="paragraph" w:styleId="1024"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1025" w:customStyle="1">
    <w:name w:val="Char"/>
    <w:basedOn w:val="834"/>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26" w:customStyle="1">
    <w:name w:val="普通正文"/>
    <w:basedOn w:val="834"/>
    <w:uiPriority w:val="0"/>
    <w:qFormat/>
    <w:pPr>
      <w:ind w:firstLine="480"/>
      <w:jc w:val="left"/>
      <w:spacing w:before="120" w:after="120" w:line="360" w:lineRule="auto"/>
    </w:pPr>
    <w:rPr>
      <w:rFonts w:ascii="Arial" w:hAnsi="Arial"/>
      <w:sz w:val="24"/>
    </w:rPr>
  </w:style>
  <w:style w:type="paragraph" w:styleId="1027" w:customStyle="1">
    <w:name w:val="纯文本1"/>
    <w:basedOn w:val="834"/>
    <w:uiPriority w:val="0"/>
    <w:qFormat/>
    <w:rPr>
      <w:rFonts w:ascii="宋体" w:hAnsi="Courier New"/>
      <w:szCs w:val="20"/>
    </w:rPr>
  </w:style>
  <w:style w:type="paragraph" w:styleId="1028" w:customStyle="1">
    <w:name w:val="正文文本缩进 31"/>
    <w:basedOn w:val="834"/>
    <w:uiPriority w:val="0"/>
    <w:qFormat/>
    <w:pPr>
      <w:ind w:left="360"/>
      <w:spacing w:line="400" w:lineRule="exact"/>
    </w:pPr>
  </w:style>
  <w:style w:type="paragraph" w:styleId="1029" w:customStyle="1">
    <w:name w:val="标题 21"/>
    <w:basedOn w:val="834"/>
    <w:next w:val="834"/>
    <w:uiPriority w:val="0"/>
    <w:qFormat/>
    <w:pPr>
      <w:keepLines/>
      <w:keepNext/>
      <w:spacing w:line="360" w:lineRule="auto"/>
      <w:outlineLvl w:val="1"/>
    </w:pPr>
    <w:rPr>
      <w:b/>
      <w:bCs/>
      <w:szCs w:val="32"/>
    </w:rPr>
  </w:style>
  <w:style w:type="paragraph" w:styleId="1030" w:customStyle="1">
    <w:name w:val="标题 31"/>
    <w:basedOn w:val="834"/>
    <w:next w:val="834"/>
    <w:uiPriority w:val="0"/>
    <w:qFormat/>
    <w:pPr>
      <w:keepLines/>
      <w:keepNext/>
      <w:spacing w:before="260" w:after="260" w:line="416" w:lineRule="auto"/>
      <w:outlineLvl w:val="2"/>
    </w:pPr>
    <w:rPr>
      <w:b/>
      <w:bCs/>
      <w:sz w:val="32"/>
      <w:szCs w:val="32"/>
    </w:rPr>
  </w:style>
  <w:style w:type="paragraph" w:styleId="1031" w:customStyle="1">
    <w:name w:val="目录 31"/>
    <w:basedOn w:val="834"/>
    <w:next w:val="834"/>
    <w:uiPriority w:val="39"/>
    <w:unhideWhenUsed/>
    <w:qFormat/>
    <w:pPr>
      <w:ind w:left="210"/>
      <w:jc w:val="left"/>
    </w:pPr>
    <w:rPr>
      <w:rFonts w:ascii="Calibri" w:hAnsi="Calibri" w:cs="Calibri"/>
      <w:sz w:val="20"/>
      <w:szCs w:val="20"/>
    </w:rPr>
  </w:style>
  <w:style w:type="paragraph" w:styleId="1032" w:customStyle="1">
    <w:name w:val="正文文本缩进1"/>
    <w:basedOn w:val="834"/>
    <w:uiPriority w:val="0"/>
    <w:qFormat/>
    <w:pPr>
      <w:ind w:left="420" w:firstLine="200"/>
      <w:spacing w:before="100" w:beforeAutospacing="1" w:after="100" w:afterAutospacing="1"/>
    </w:pPr>
    <w:rPr>
      <w:rFonts w:ascii="Calibri" w:hAnsi="Calibri"/>
      <w:szCs w:val="22"/>
    </w:rPr>
  </w:style>
  <w:style w:type="paragraph" w:styleId="1033" w:customStyle="1">
    <w:name w:val="寄信人地址1"/>
    <w:basedOn w:val="834"/>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034" w:customStyle="1">
    <w:name w:val="正文文本1"/>
    <w:basedOn w:val="834"/>
    <w:next w:val="876"/>
    <w:uiPriority w:val="0"/>
    <w:qFormat/>
    <w:pPr>
      <w:jc w:val="center"/>
    </w:pPr>
  </w:style>
  <w:style w:type="paragraph" w:styleId="1035" w:customStyle="1">
    <w:name w:val="Blockquote"/>
    <w:basedOn w:val="834"/>
    <w:uiPriority w:val="99"/>
    <w:qFormat/>
    <w:pPr>
      <w:ind w:left="360" w:right="360"/>
      <w:spacing w:before="100" w:after="100"/>
    </w:pPr>
    <w:rPr>
      <w:szCs w:val="20"/>
    </w:rPr>
  </w:style>
  <w:style w:type="paragraph" w:styleId="1036" w:customStyle="1">
    <w:name w:val="首行缩进"/>
    <w:basedOn w:val="834"/>
    <w:uiPriority w:val="0"/>
    <w:qFormat/>
    <w:pPr>
      <w:ind w:firstLine="480"/>
    </w:pPr>
    <w:rPr>
      <w:lang w:val="zh-CN"/>
    </w:rPr>
  </w:style>
  <w:style w:type="paragraph" w:styleId="1037" w:customStyle="1">
    <w:name w:val="标题 11"/>
    <w:basedOn w:val="834"/>
    <w:next w:val="834"/>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038" w:customStyle="1">
    <w:name w:val="正文文字 6"/>
    <w:next w:val="834"/>
    <w:uiPriority w:val="99"/>
    <w:qFormat/>
    <w:pPr>
      <w:ind w:left="240"/>
      <w:jc w:val="both"/>
      <w:widowControl w:val="off"/>
    </w:pPr>
    <w:rPr>
      <w:rFonts w:hint="default" w:ascii="宋体" w:hAnsi="Times New Roman" w:eastAsia="宋体" w:cs="Times New Roman"/>
      <w:b/>
      <w:bCs/>
      <w:sz w:val="32"/>
      <w:szCs w:val="32"/>
    </w:rPr>
  </w:style>
  <w:style w:type="paragraph" w:styleId="1039" w:customStyle="1">
    <w:name w:val="正文文本缩进 311"/>
    <w:basedOn w:val="834"/>
    <w:uiPriority w:val="0"/>
    <w:qFormat/>
    <w:pPr>
      <w:ind w:left="360" w:firstLine="802"/>
      <w:spacing w:line="400" w:lineRule="exact"/>
    </w:pPr>
    <w:rPr>
      <w:sz w:val="24"/>
      <w:szCs w:val="24"/>
    </w:rPr>
  </w:style>
  <w:style w:type="paragraph" w:styleId="1040" w:customStyle="1">
    <w:name w:val="正文首行缩进 21"/>
    <w:basedOn w:val="1032"/>
    <w:uiPriority w:val="99"/>
    <w:qFormat/>
    <w:pPr>
      <w:ind w:left="420" w:firstLine="210"/>
      <w:spacing w:before="0" w:after="120"/>
    </w:pPr>
    <w:rPr>
      <w:rFonts w:hAnsi="Courier New"/>
      <w:spacing w:val="-4"/>
      <w:sz w:val="24"/>
      <w:szCs w:val="24"/>
    </w:rPr>
  </w:style>
  <w:style w:type="paragraph" w:styleId="1041" w:customStyle="1">
    <w:name w:val="正文1"/>
    <w:basedOn w:val="1042"/>
    <w:uiPriority w:val="0"/>
    <w:qFormat/>
    <w:pPr>
      <w:ind w:firstLine="0"/>
      <w:spacing w:line="500" w:lineRule="exact"/>
    </w:pPr>
    <w:rPr>
      <w:rFonts w:hAnsi="新宋体"/>
    </w:rPr>
  </w:style>
  <w:style w:type="paragraph" w:styleId="1042" w:customStyle="1">
    <w:name w:val="正文缩进1"/>
    <w:basedOn w:val="834"/>
    <w:uiPriority w:val="0"/>
    <w:qFormat/>
    <w:pPr>
      <w:ind w:firstLine="420"/>
      <w:spacing w:line="360" w:lineRule="atLeast"/>
    </w:pPr>
    <w:rPr>
      <w:szCs w:val="20"/>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gks.mof.gov.cn/zhengfucaigouguanli/201903/P020190329702478575295.pdf" TargetMode="External"/><Relationship Id="rId14" Type="http://schemas.openxmlformats.org/officeDocument/2006/relationships/hyperlink" Target="http://wenku.baidu.com/view/ee2ce4beb8f67c1cfbd6b81b.html" TargetMode="External"/><Relationship Id="rId15" Type="http://schemas.onlyoffice.com/commentsDocument" Target="commentsDocument.xml" /><Relationship Id="rId16" Type="http://schemas.onlyoffice.com/commentsExtendedDocument" Target="commentsExtendedDocument.xml" /><Relationship Id="rId17" Type="http://schemas.onlyoffice.com/commentsIdsDocument" Target="commentsIdsDocument.xml" /><Relationship Id="rId18"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王丽君</cp:lastModifiedBy>
  <cp:revision>11</cp:revision>
  <dcterms:created xsi:type="dcterms:W3CDTF">2025-12-17T06:46:00Z</dcterms:created>
  <dcterms:modified xsi:type="dcterms:W3CDTF">2026-09-01T10:26:38Z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A4E3C7B950254C059132435B79EF775A_13</vt:lpwstr>
  </property>
  <property fmtid="{D5CDD505-2E9C-101B-9397-08002B2CF9AE}" pid="4" name="KSOTemplateDocerSaveRecord">
    <vt:lpwstr>eyJoZGlkIjoiNDExZDdkMmQxOWRlZjlhZmQ1NWM2YzMwNDdjNmQ3ODkiLCJ1c2VySWQiOiIzNjA4MjA0OTcifQ==</vt:lpwstr>
  </property>
</Properties>
</file>