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962"/>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962"/>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常州市政府采购项目</w:t>
      </w:r>
      <w:r>
        <w:rPr>
          <w:rFonts w:hint="eastAsia" w:ascii="宋体" w:hAnsi="宋体" w:eastAsia="宋体" w:cs="宋体"/>
          <w:b/>
          <w:bCs/>
          <w:color w:val="000000"/>
          <w:sz w:val="60"/>
          <w:szCs w:val="60"/>
          <w:highlight w:val="none"/>
        </w:rPr>
      </w:r>
      <w:r/>
    </w:p>
    <w:p>
      <w:pPr>
        <w:pStyle w:val="962"/>
        <w:jc w:val="center"/>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962"/>
        <w:jc w:val="center"/>
        <w:rPr>
          <w:rFonts w:hint="eastAsia" w:ascii="宋体" w:hAnsi="宋体" w:eastAsia="宋体" w:cs="宋体"/>
          <w:color w:val="000000"/>
          <w:sz w:val="44"/>
          <w:szCs w:val="44"/>
          <w:highlight w:val="none"/>
        </w:rPr>
      </w:pPr>
      <w:r>
        <w:rPr>
          <w:rFonts w:hint="eastAsia" w:ascii="宋体" w:hAnsi="宋体" w:eastAsia="宋体" w:cs="宋体"/>
          <w:b/>
          <w:bCs/>
          <w:color w:val="000000"/>
          <w:sz w:val="60"/>
          <w:szCs w:val="60"/>
          <w:highlight w:val="none"/>
        </w:rPr>
        <w:t xml:space="preserve">公开招标文件</w:t>
      </w:r>
      <w:r>
        <w:rPr>
          <w:rFonts w:hint="eastAsia" w:ascii="宋体" w:hAnsi="宋体" w:eastAsia="宋体" w:cs="宋体"/>
          <w:color w:val="000000"/>
          <w:sz w:val="44"/>
          <w:szCs w:val="44"/>
          <w:highlight w:val="none"/>
        </w:rPr>
      </w:r>
      <w:r/>
    </w:p>
    <w:p>
      <w:pPr>
        <w:pStyle w:val="962"/>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962"/>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962"/>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（全流程电子化-服务类项目，适用苏采云系统，</w:t>
      </w:r>
      <w:r>
        <w:rPr>
          <w:rFonts w:hint="eastAsia" w:ascii="宋体" w:hAnsi="宋体" w:eastAsia="宋体" w:cs="宋体"/>
          <w:b/>
          <w:bCs/>
          <w:color w:val="000000"/>
          <w:sz w:val="30"/>
          <w:szCs w:val="30"/>
          <w:highlight w:val="none"/>
          <w:lang w:val="en-US" w:eastAsia="zh-CN"/>
        </w:rPr>
        <w:t xml:space="preserve">不</w:t>
      </w:r>
      <w:r>
        <w:rPr>
          <w:rFonts w:hint="eastAsia" w:ascii="宋体" w:hAnsi="宋体" w:eastAsia="宋体" w:cs="宋体"/>
          <w:b/>
          <w:bCs/>
          <w:color w:val="000000"/>
          <w:sz w:val="30"/>
          <w:szCs w:val="30"/>
          <w:highlight w:val="none"/>
        </w:rPr>
        <w:t xml:space="preserve">专门面向中小企业）</w:t>
      </w:r>
      <w:r>
        <w:rPr>
          <w:rFonts w:hint="eastAsia" w:ascii="宋体" w:hAnsi="宋体" w:eastAsia="宋体" w:cs="宋体"/>
          <w:b/>
          <w:bCs/>
          <w:color w:val="000000"/>
          <w:sz w:val="30"/>
          <w:szCs w:val="30"/>
          <w:highlight w:val="none"/>
        </w:rPr>
      </w:r>
      <w:r/>
    </w:p>
    <w:p>
      <w:pPr>
        <w:pStyle w:val="962"/>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62"/>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62"/>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tbl>
      <w:tblPr>
        <w:tblW w:w="90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2"/>
                <w:szCs w:val="32"/>
                <w:highlight w:val="none"/>
              </w:rPr>
            </w:pPr>
            <w:r/>
            <w:bookmarkStart w:id="0" w:name="_Hlk138827153"/>
            <w:r>
              <w:rPr>
                <w:rFonts w:hint="eastAsia" w:ascii="宋体" w:hAnsi="宋体" w:eastAsia="宋体" w:cs="宋体"/>
                <w:bCs/>
                <w:color w:val="000000"/>
                <w:sz w:val="32"/>
                <w:szCs w:val="32"/>
                <w:highlight w:val="none"/>
              </w:rPr>
              <w:t xml:space="preserve">项 目 名 称：</w:t>
            </w:r>
            <w:r>
              <w:rPr>
                <w:rFonts w:hint="eastAsia" w:ascii="宋体" w:hAnsi="宋体" w:eastAsia="宋体" w:cs="宋体"/>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6"/>
                <w:szCs w:val="36"/>
                <w:highlight w:val="none"/>
                <w:u w:val="single"/>
                <w:lang w:eastAsia="zh-CN"/>
              </w:rPr>
            </w:pPr>
            <w:r/>
            <w:bookmarkEnd w:id="0"/>
            <w:r>
              <w:rPr>
                <w:rFonts w:hint="eastAsia" w:ascii="宋体" w:hAnsi="宋体" w:eastAsia="宋体" w:cs="宋体"/>
                <w:b/>
                <w:color w:val="000000"/>
                <w:sz w:val="32"/>
                <w:szCs w:val="32"/>
                <w:highlight w:val="none"/>
                <w:u w:val="single"/>
                <w:lang w:eastAsia="zh-CN"/>
              </w:rPr>
              <w:t xml:space="preserve">排水泵站设备检查保养及维修</w:t>
            </w:r>
            <w:r>
              <w:rPr>
                <w:rFonts w:hint="eastAsia" w:ascii="宋体" w:hAnsi="宋体" w:eastAsia="宋体" w:cs="宋体"/>
                <w:bCs/>
                <w:color w:val="000000"/>
                <w:sz w:val="36"/>
                <w:szCs w:val="36"/>
                <w:highlight w:val="none"/>
                <w:u w:val="single"/>
                <w:lang w:eastAsia="zh-CN"/>
              </w:rPr>
            </w:r>
            <w:r/>
          </w:p>
        </w:tc>
      </w:tr>
      <w:tr>
        <w:trP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项 目 编 号：</w:t>
            </w:r>
            <w:r>
              <w:rPr>
                <w:rFonts w:hint="eastAsia" w:ascii="宋体" w:hAnsi="宋体" w:eastAsia="宋体" w:cs="宋体"/>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6"/>
                <w:szCs w:val="36"/>
                <w:highlight w:val="none"/>
                <w:u w:val="single"/>
                <w:lang w:eastAsia="zh-CN"/>
              </w:rPr>
            </w:pPr>
            <w:r>
              <w:rPr>
                <w:rFonts w:hint="eastAsia" w:ascii="宋体" w:hAnsi="宋体" w:eastAsia="宋体" w:cs="宋体"/>
                <w:b/>
                <w:color w:val="000000"/>
                <w:sz w:val="32"/>
                <w:szCs w:val="32"/>
                <w:highlight w:val="none"/>
                <w:u w:val="single"/>
                <w:lang w:eastAsia="zh-CN"/>
              </w:rPr>
              <w:t xml:space="preserve">JSZC-320400-JLJL-G2026-0001</w:t>
            </w:r>
            <w:r>
              <w:rPr>
                <w:rFonts w:hint="eastAsia" w:ascii="宋体" w:hAnsi="宋体" w:eastAsia="宋体" w:cs="宋体"/>
                <w:bCs/>
                <w:color w:val="000000"/>
                <w:sz w:val="36"/>
                <w:szCs w:val="36"/>
                <w:highlight w:val="none"/>
                <w:u w:val="single"/>
                <w:lang w:eastAsia="zh-CN"/>
              </w:rPr>
            </w:r>
            <w:r/>
          </w:p>
        </w:tc>
      </w:tr>
      <w:tr>
        <w:trP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采   购  人：</w:t>
            </w:r>
            <w:r>
              <w:rPr>
                <w:rFonts w:hint="eastAsia" w:ascii="宋体" w:hAnsi="宋体" w:eastAsia="宋体" w:cs="宋体"/>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6"/>
                <w:szCs w:val="36"/>
                <w:highlight w:val="none"/>
                <w:u w:val="single"/>
                <w:lang w:eastAsia="zh-CN"/>
              </w:rPr>
            </w:pPr>
            <w:r>
              <w:rPr>
                <w:rFonts w:hint="eastAsia" w:ascii="宋体" w:hAnsi="宋体" w:eastAsia="宋体" w:cs="宋体"/>
                <w:b/>
                <w:color w:val="000000"/>
                <w:sz w:val="32"/>
                <w:szCs w:val="32"/>
                <w:highlight w:val="none"/>
                <w:u w:val="single"/>
                <w:lang w:eastAsia="zh-CN"/>
              </w:rPr>
              <w:t xml:space="preserve">常州市排水管理处</w:t>
            </w:r>
            <w:r>
              <w:rPr>
                <w:rFonts w:hint="eastAsia" w:ascii="宋体" w:hAnsi="宋体" w:eastAsia="宋体" w:cs="宋体"/>
                <w:bCs/>
                <w:color w:val="000000"/>
                <w:sz w:val="36"/>
                <w:szCs w:val="36"/>
                <w:highlight w:val="none"/>
                <w:u w:val="single"/>
                <w:lang w:eastAsia="zh-CN"/>
              </w:rPr>
            </w:r>
            <w:r/>
          </w:p>
        </w:tc>
      </w:tr>
      <w:tr>
        <w:trP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采购代理机构：</w:t>
            </w:r>
            <w:r>
              <w:rPr>
                <w:rFonts w:hint="eastAsia" w:ascii="宋体" w:hAnsi="宋体" w:eastAsia="宋体" w:cs="宋体"/>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6"/>
                <w:szCs w:val="36"/>
                <w:highlight w:val="none"/>
                <w:u w:val="single"/>
                <w:lang w:eastAsia="zh-CN"/>
              </w:rPr>
            </w:pPr>
            <w:r>
              <w:rPr>
                <w:rFonts w:hint="eastAsia" w:ascii="宋体" w:hAnsi="宋体" w:eastAsia="宋体" w:cs="宋体"/>
                <w:b/>
                <w:color w:val="000000"/>
                <w:sz w:val="32"/>
                <w:szCs w:val="32"/>
                <w:highlight w:val="none"/>
                <w:u w:val="single"/>
                <w:lang w:eastAsia="zh-CN"/>
              </w:rPr>
              <w:t xml:space="preserve">江苏晋陵工程咨询有限公司</w:t>
            </w:r>
            <w:r>
              <w:rPr>
                <w:rFonts w:hint="eastAsia" w:ascii="宋体" w:hAnsi="宋体" w:eastAsia="宋体" w:cs="宋体"/>
                <w:bCs/>
                <w:color w:val="000000"/>
                <w:sz w:val="36"/>
                <w:szCs w:val="36"/>
                <w:highlight w:val="none"/>
                <w:u w:val="single"/>
                <w:lang w:eastAsia="zh-CN"/>
              </w:rPr>
            </w:r>
            <w:r/>
          </w:p>
        </w:tc>
      </w:tr>
    </w:tbl>
    <w:p>
      <w:pPr>
        <w:pStyle w:val="962"/>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62"/>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62"/>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二〇二六年</w:t>
      </w:r>
      <w:r>
        <w:rPr>
          <w:rFonts w:hint="eastAsia" w:ascii="宋体" w:hAnsi="宋体" w:eastAsia="宋体" w:cs="宋体"/>
          <w:b/>
          <w:color w:val="000000"/>
          <w:sz w:val="36"/>
          <w:szCs w:val="36"/>
          <w:highlight w:val="none"/>
          <w:lang w:val="en-US" w:eastAsia="zh-CN"/>
        </w:rPr>
        <w:t xml:space="preserve">九</w:t>
      </w:r>
      <w:r>
        <w:rPr>
          <w:rFonts w:hint="eastAsia" w:ascii="宋体" w:hAnsi="宋体" w:eastAsia="宋体" w:cs="宋体"/>
          <w:b/>
          <w:color w:val="000000"/>
          <w:sz w:val="36"/>
          <w:szCs w:val="36"/>
          <w:highlight w:val="none"/>
        </w:rPr>
        <w:t xml:space="preserve">月</w:t>
      </w:r>
      <w:r>
        <w:rPr>
          <w:rFonts w:hint="eastAsia" w:ascii="宋体" w:hAnsi="宋体" w:eastAsia="宋体" w:cs="宋体"/>
          <w:b/>
          <w:color w:val="000000"/>
          <w:sz w:val="36"/>
          <w:szCs w:val="36"/>
          <w:highlight w:val="none"/>
        </w:rPr>
      </w:r>
      <w:r/>
    </w:p>
    <w:p>
      <w:pPr>
        <w:pStyle w:val="962"/>
        <w:spacing w:line="360" w:lineRule="auto"/>
        <w:rPr>
          <w:rFonts w:hint="eastAsia" w:ascii="宋体" w:hAnsi="宋体" w:eastAsia="宋体" w:cs="宋体"/>
          <w:b/>
          <w:color w:val="000000"/>
          <w:sz w:val="72"/>
          <w:highlight w:val="none"/>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440" w:right="1080" w:bottom="1440" w:left="1080" w:header="851" w:footer="851" w:gutter="0"/>
          <w:pgNumType w:start="1"/>
          <w:cols w:num="1" w:sep="0" w:space="1701" w:equalWidth="1"/>
          <w:docGrid w:linePitch="360"/>
          <w:titlePg/>
        </w:sectPr>
      </w:pPr>
      <w:r>
        <w:rPr>
          <w:rFonts w:hint="eastAsia" w:ascii="宋体" w:hAnsi="宋体" w:eastAsia="宋体" w:cs="宋体"/>
          <w:b/>
          <w:color w:val="000000"/>
          <w:sz w:val="72"/>
          <w:highlight w:val="none"/>
        </w:rPr>
        <w:br w:type="page" w:clear="all"/>
      </w:r>
      <w:r/>
    </w:p>
    <w:p>
      <w:pPr>
        <w:pStyle w:val="962"/>
        <w:jc w:val="center"/>
        <w:spacing w:line="360" w:lineRule="auto"/>
        <w:rPr>
          <w:rFonts w:hint="eastAsia" w:ascii="宋体" w:hAnsi="宋体" w:eastAsia="宋体" w:cs="宋体"/>
          <w:b/>
          <w:color w:val="000000"/>
          <w:sz w:val="36"/>
          <w:szCs w:val="36"/>
          <w:highlight w:val="none"/>
        </w:rPr>
        <w:outlineLvl w:val="0"/>
      </w:pPr>
      <w:r/>
      <w:bookmarkStart w:id="1" w:name="_Toc108044427"/>
      <w:r/>
      <w:bookmarkStart w:id="2" w:name="_Toc99301418"/>
      <w:r>
        <w:rPr>
          <w:rFonts w:hint="eastAsia" w:ascii="宋体" w:hAnsi="宋体" w:eastAsia="宋体" w:cs="宋体"/>
          <w:b/>
          <w:color w:val="000000"/>
          <w:sz w:val="36"/>
          <w:szCs w:val="36"/>
          <w:highlight w:val="none"/>
        </w:rPr>
      </w:r>
      <w:r/>
    </w:p>
    <w:p>
      <w:pPr>
        <w:pStyle w:val="962"/>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目      录</w:t>
      </w:r>
      <w:bookmarkEnd w:id="1"/>
      <w:r/>
      <w:bookmarkEnd w:id="2"/>
      <w:r>
        <w:rPr>
          <w:rFonts w:hint="eastAsia" w:ascii="宋体" w:hAnsi="宋体" w:eastAsia="宋体" w:cs="宋体"/>
          <w:b/>
          <w:bCs/>
          <w:color w:val="000000"/>
          <w:sz w:val="44"/>
          <w:szCs w:val="44"/>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36"/>
        <w:spacing w:line="480" w:lineRule="auto"/>
        <w:tabs>
          <w:tab w:val="right" w:pos="9747"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TOC \o "1-1" \h \z \u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_Toc17427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第一章   投标邀请</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_Toc17427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36"/>
        <w:spacing w:line="480" w:lineRule="auto"/>
        <w:tabs>
          <w:tab w:val="right" w:pos="9747"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_Toc12010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第二章   供应商须知</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_Toc12010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4</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36"/>
        <w:spacing w:line="480" w:lineRule="auto"/>
        <w:tabs>
          <w:tab w:val="right" w:pos="9747"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_Toc27092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第三章   资格审查</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_Toc27092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16</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36"/>
        <w:spacing w:line="480" w:lineRule="auto"/>
        <w:tabs>
          <w:tab w:val="right" w:pos="9747"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_Toc19769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第四章   评标程序、评标方法和评标标准</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_Toc19769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18</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36"/>
        <w:spacing w:line="480" w:lineRule="auto"/>
        <w:tabs>
          <w:tab w:val="right" w:pos="9747"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_Toc4942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第五章   采购需求</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_Toc4942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27</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36"/>
        <w:spacing w:line="480" w:lineRule="auto"/>
        <w:tabs>
          <w:tab w:val="right" w:pos="9747"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_Toc27685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第六章   拟签订的合同文本</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_Toc27685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39</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036"/>
        <w:spacing w:line="480" w:lineRule="auto"/>
        <w:tabs>
          <w:tab w:val="right" w:pos="9747"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_Toc21295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第七章   投标文件格式</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_Toc21295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51</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1236"/>
        <w:spacing w:line="480" w:lineRule="auto"/>
        <w:tabs>
          <w:tab w:val="left" w:pos="1050" w:leader="none"/>
          <w:tab w:val="right" w:pos="8937" w:leader="dot"/>
        </w:tabs>
        <w:rPr>
          <w:rFonts w:hint="eastAsia" w:ascii="宋体" w:hAnsi="宋体" w:eastAsia="宋体" w:cs="宋体"/>
          <w:b w:val="0"/>
          <w:color w:val="000000"/>
          <w:sz w:val="28"/>
          <w:szCs w:val="28"/>
          <w:highlight w:val="none"/>
        </w:rPr>
      </w:pPr>
      <w:r>
        <w:rPr>
          <w:rFonts w:hint="eastAsia" w:ascii="宋体" w:hAnsi="宋体" w:eastAsia="宋体" w:cs="宋体"/>
          <w:b/>
          <w:bCs/>
          <w:color w:val="000000"/>
          <w:sz w:val="28"/>
          <w:szCs w:val="28"/>
          <w:highlight w:val="none"/>
        </w:rPr>
        <w:fldChar w:fldCharType="end"/>
      </w:r>
      <w:r>
        <w:rPr>
          <w:rFonts w:hint="eastAsia" w:ascii="宋体" w:hAnsi="宋体" w:eastAsia="宋体" w:cs="宋体"/>
          <w:b w:val="0"/>
          <w:color w:val="000000"/>
          <w:sz w:val="28"/>
          <w:szCs w:val="28"/>
          <w:highlight w:val="none"/>
        </w:rPr>
      </w:r>
      <w:r/>
    </w:p>
    <w:p>
      <w:pPr>
        <w:pStyle w:val="962"/>
        <w:contextualSpacing/>
        <w:ind w:firstLine="420"/>
        <w:jc w:val="center"/>
        <w:spacing w:line="360" w:lineRule="auto"/>
        <w:widowControl/>
        <w:rPr>
          <w:rStyle w:val="1186"/>
          <w:rFonts w:hint="eastAsia" w:ascii="宋体" w:hAnsi="宋体" w:eastAsia="宋体" w:cs="宋体"/>
          <w:color w:val="000000"/>
          <w:highlight w:val="none"/>
        </w:rPr>
        <w:sectPr>
          <w:headerReference w:type="default" r:id="rId11"/>
          <w:headerReference w:type="even" r:id="rId12"/>
          <w:headerReference w:type="first" r:id="rId13"/>
          <w:footerReference w:type="default" r:id="rId21"/>
          <w:footerReference w:type="even" r:id="rId22"/>
          <w:footerReference w:type="first" r:id="rId23"/>
          <w:footnotePr/>
          <w:endnotePr/>
          <w:type w:val="nextPage"/>
          <w:pgSz w:w="11907" w:h="16840" w:orient="portrait"/>
          <w:pgMar w:top="1440" w:right="1080" w:bottom="1440" w:left="1080" w:header="851" w:footer="851" w:gutter="0"/>
          <w:pgNumType w:start="1"/>
          <w:cols w:num="1" w:sep="0" w:space="1701" w:equalWidth="1"/>
          <w:docGrid w:linePitch="360"/>
        </w:sectPr>
      </w:pPr>
      <w:r/>
      <w:bookmarkStart w:id="3" w:name="_Toc17427"/>
      <w:r>
        <w:rPr>
          <w:rStyle w:val="1186"/>
          <w:rFonts w:hint="eastAsia" w:ascii="宋体" w:hAnsi="宋体" w:eastAsia="宋体" w:cs="宋体"/>
          <w:color w:val="000000"/>
          <w:highlight w:val="none"/>
        </w:rPr>
      </w:r>
      <w:r/>
    </w:p>
    <w:p>
      <w:pPr>
        <w:pStyle w:val="962"/>
        <w:contextualSpacing/>
        <w:ind w:firstLine="420"/>
        <w:jc w:val="center"/>
        <w:spacing w:line="360" w:lineRule="auto"/>
        <w:widowControl/>
        <w:rPr>
          <w:rStyle w:val="1186"/>
          <w:rFonts w:hint="eastAsia" w:ascii="宋体" w:hAnsi="宋体" w:eastAsia="宋体" w:cs="宋体"/>
          <w:color w:val="000000"/>
          <w:highlight w:val="none"/>
        </w:rPr>
      </w:pPr>
      <w:r>
        <w:rPr>
          <w:rStyle w:val="1186"/>
          <w:rFonts w:hint="eastAsia" w:ascii="宋体" w:hAnsi="宋体" w:eastAsia="宋体" w:cs="宋体"/>
          <w:color w:val="000000"/>
          <w:highlight w:val="none"/>
        </w:rPr>
        <w:t xml:space="preserve">第一章   投标邀请</w:t>
      </w:r>
      <w:bookmarkEnd w:id="3"/>
      <w:r>
        <w:rPr>
          <w:rStyle w:val="1186"/>
          <w:rFonts w:hint="eastAsia" w:ascii="宋体" w:hAnsi="宋体" w:eastAsia="宋体" w:cs="宋体"/>
          <w:color w:val="000000"/>
          <w:highlight w:val="none"/>
        </w:rPr>
      </w:r>
      <w:r/>
    </w:p>
    <w:p>
      <w:pPr>
        <w:pStyle w:val="1187"/>
        <w:jc w:val="left"/>
        <w:spacing w:before="0" w:line="360" w:lineRule="auto"/>
        <w:rPr>
          <w:rFonts w:hint="eastAsia" w:ascii="宋体" w:hAnsi="宋体" w:eastAsia="宋体" w:cs="宋体"/>
          <w:color w:val="000000"/>
          <w:sz w:val="21"/>
          <w:szCs w:val="21"/>
          <w:highlight w:val="none"/>
        </w:rPr>
      </w:pPr>
      <w:r/>
      <w:bookmarkStart w:id="4" w:name="_Toc35393621"/>
      <w:r/>
      <w:bookmarkStart w:id="5" w:name="_Toc28359079"/>
      <w:r/>
      <w:bookmarkStart w:id="6" w:name="_Toc28359002"/>
      <w:r/>
      <w:bookmarkStart w:id="7" w:name="_Toc35393790"/>
      <w:r/>
      <w:bookmarkStart w:id="8" w:name="_Hlk24379207"/>
      <w:r/>
      <w:bookmarkStart w:id="9" w:name="_Hlk139626825"/>
      <w:r/>
      <w:bookmarkStart w:id="10" w:name="_Hlk138939735"/>
      <w:r>
        <w:rPr>
          <w:rFonts w:hint="eastAsia" w:ascii="宋体" w:hAnsi="宋体" w:eastAsia="宋体" w:cs="宋体"/>
          <w:color w:val="000000"/>
          <w:sz w:val="21"/>
          <w:szCs w:val="21"/>
          <w:highlight w:val="none"/>
        </w:rPr>
        <w:t xml:space="preserve">一、项目基本情况</w:t>
      </w:r>
      <w:bookmarkEnd w:id="4"/>
      <w:r/>
      <w:bookmarkEnd w:id="5"/>
      <w:r/>
      <w:bookmarkEnd w:id="6"/>
      <w:r/>
      <w:bookmarkEnd w:id="7"/>
      <w:r>
        <w:rPr>
          <w:rFonts w:hint="eastAsia" w:ascii="宋体" w:hAnsi="宋体" w:eastAsia="宋体" w:cs="宋体"/>
          <w:color w:val="000000"/>
          <w:sz w:val="21"/>
          <w:szCs w:val="21"/>
          <w:highlight w:val="none"/>
        </w:rPr>
      </w:r>
      <w:r/>
    </w:p>
    <w:p>
      <w:pPr>
        <w:pStyle w:val="962"/>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1.项目编号/包号：</w:t>
      </w:r>
      <w:r>
        <w:rPr>
          <w:rFonts w:hint="eastAsia" w:ascii="宋体" w:hAnsi="宋体" w:eastAsia="宋体" w:cs="宋体"/>
          <w:color w:val="000000"/>
          <w:szCs w:val="21"/>
          <w:highlight w:val="none"/>
          <w:lang w:eastAsia="zh-CN"/>
        </w:rPr>
        <w:t xml:space="preserve">JSZC-320400-JLJL-G2026-0001</w:t>
      </w:r>
      <w:r>
        <w:rPr>
          <w:rFonts w:hint="eastAsia" w:ascii="宋体" w:hAnsi="宋体" w:eastAsia="宋体" w:cs="宋体"/>
          <w:color w:val="000000"/>
          <w:szCs w:val="21"/>
          <w:highlight w:val="none"/>
          <w:lang w:eastAsia="zh-CN"/>
        </w:rPr>
      </w:r>
      <w:r/>
    </w:p>
    <w:p>
      <w:pPr>
        <w:pStyle w:val="962"/>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2.项目名称：</w:t>
      </w:r>
      <w:bookmarkEnd w:id="8"/>
      <w:r>
        <w:rPr>
          <w:rFonts w:hint="eastAsia" w:ascii="宋体" w:hAnsi="宋体" w:eastAsia="宋体" w:cs="宋体"/>
          <w:color w:val="000000"/>
          <w:szCs w:val="21"/>
          <w:highlight w:val="none"/>
          <w:lang w:eastAsia="zh-CN"/>
        </w:rPr>
        <w:t xml:space="preserve">排水泵站设备检查保养及维修</w:t>
      </w:r>
      <w:r>
        <w:rPr>
          <w:rFonts w:hint="eastAsia" w:ascii="宋体" w:hAnsi="宋体" w:eastAsia="宋体" w:cs="宋体"/>
          <w:color w:val="000000"/>
          <w:szCs w:val="21"/>
          <w:highlight w:val="none"/>
          <w:lang w:eastAsia="zh-CN"/>
        </w:rPr>
      </w:r>
      <w:r/>
    </w:p>
    <w:p>
      <w:pPr>
        <w:pStyle w:val="962"/>
        <w:ind w:firstLine="422"/>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3.项目预算金额：</w:t>
      </w:r>
      <w:r>
        <w:rPr>
          <w:rFonts w:hint="eastAsia" w:ascii="宋体" w:hAnsi="宋体" w:eastAsia="宋体" w:cs="宋体"/>
          <w:b w:val="0"/>
          <w:bCs w:val="0"/>
          <w:color w:val="000000"/>
          <w:szCs w:val="21"/>
          <w:highlight w:val="none"/>
          <w:lang w:val="en-US" w:eastAsia="zh-CN"/>
        </w:rPr>
        <w:t xml:space="preserve">人民币298万元/年，596万元/两年</w:t>
      </w:r>
      <w:r>
        <w:rPr>
          <w:rFonts w:hint="eastAsia" w:ascii="宋体" w:hAnsi="宋体" w:eastAsia="宋体" w:cs="宋体"/>
          <w:b w:val="0"/>
          <w:bCs w:val="0"/>
          <w:color w:val="000000"/>
          <w:szCs w:val="21"/>
          <w:highlight w:val="none"/>
        </w:rPr>
      </w:r>
      <w:r/>
    </w:p>
    <w:p>
      <w:pPr>
        <w:pStyle w:val="962"/>
        <w:ind w:firstLine="422"/>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项目最高限价：</w:t>
      </w:r>
      <w:r>
        <w:rPr>
          <w:rFonts w:hint="eastAsia" w:ascii="宋体" w:hAnsi="宋体" w:eastAsia="宋体" w:cs="宋体"/>
          <w:b w:val="0"/>
          <w:bCs w:val="0"/>
          <w:color w:val="000000"/>
          <w:szCs w:val="21"/>
          <w:highlight w:val="none"/>
          <w:lang w:val="en-US" w:eastAsia="zh-CN"/>
        </w:rPr>
        <w:t xml:space="preserve">本项目采用优惠率报价方式，</w:t>
      </w:r>
      <w:r>
        <w:rPr>
          <w:rFonts w:hint="eastAsia" w:ascii="宋体" w:hAnsi="宋体" w:eastAsia="宋体" w:cs="宋体"/>
          <w:b w:val="0"/>
          <w:bCs w:val="0"/>
          <w:color w:val="000000"/>
          <w:szCs w:val="21"/>
          <w:highlight w:val="none"/>
          <w:lang w:val="en-US" w:eastAsia="zh-CN"/>
        </w:rPr>
        <w:t xml:space="preserve">优惠率应＞0%</w:t>
      </w:r>
      <w:r/>
      <w:r>
        <w:rPr>
          <w:rFonts w:hint="eastAsia" w:ascii="宋体" w:hAnsi="宋体" w:eastAsia="宋体" w:cs="宋体"/>
          <w:b w:val="0"/>
          <w:bCs w:val="0"/>
          <w:color w:val="000000"/>
          <w:szCs w:val="21"/>
          <w:highlight w:val="none"/>
          <w:lang w:val="en-US" w:eastAsia="zh-CN"/>
        </w:rPr>
        <w:t xml:space="preserve">，否则按无效投标处理。</w:t>
      </w:r>
      <w:r>
        <w:rPr>
          <w:rFonts w:hint="eastAsia" w:ascii="宋体" w:hAnsi="宋体" w:eastAsia="宋体" w:cs="宋体"/>
          <w:b w:val="0"/>
          <w:bCs w:val="0"/>
          <w:color w:val="000000"/>
          <w:szCs w:val="21"/>
          <w:highlight w:val="none"/>
        </w:rPr>
      </w:r>
      <w:r/>
    </w:p>
    <w:p>
      <w:pPr>
        <w:pStyle w:val="962"/>
        <w:ind w:firstLine="422"/>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注：供应商在“苏采云”系统中填报固定优惠率，则本项目结算（中标）费率为（1-优惠率），每项货物的结算单价=</w:t>
      </w:r>
      <w:r>
        <w:rPr>
          <w:rFonts w:hint="eastAsia" w:ascii="宋体" w:hAnsi="宋体" w:eastAsia="宋体" w:cs="宋体"/>
          <w:color w:val="000000"/>
          <w:szCs w:val="21"/>
          <w:highlight w:val="none"/>
        </w:rPr>
        <w:t xml:space="preserve">本项目</w:t>
      </w:r>
      <w:r>
        <w:rPr>
          <w:rFonts w:hint="eastAsia" w:ascii="宋体" w:hAnsi="宋体" w:eastAsia="宋体" w:cs="宋体"/>
          <w:color w:val="000000"/>
          <w:szCs w:val="21"/>
          <w:highlight w:val="none"/>
          <w:lang w:val="en-US" w:eastAsia="zh-CN"/>
        </w:rPr>
        <w:t xml:space="preserve">计价清单内各单项基准单价</w:t>
      </w:r>
      <w:r>
        <w:rPr>
          <w:rFonts w:hint="eastAsia" w:ascii="宋体" w:hAnsi="宋体" w:eastAsia="宋体" w:cs="宋体"/>
          <w:b w:val="0"/>
          <w:bCs w:val="0"/>
          <w:color w:val="000000"/>
          <w:szCs w:val="21"/>
          <w:highlight w:val="none"/>
          <w:lang w:val="en-US" w:eastAsia="zh-CN"/>
        </w:rPr>
        <w:t xml:space="preserve">*结算（中标）费率。</w:t>
      </w:r>
      <w:r>
        <w:rPr>
          <w:rFonts w:hint="eastAsia" w:ascii="宋体" w:hAnsi="宋体" w:eastAsia="宋体" w:cs="宋体"/>
          <w:b w:val="0"/>
          <w:bCs w:val="0"/>
          <w:color w:val="000000"/>
          <w:szCs w:val="21"/>
          <w:highlight w:val="none"/>
        </w:rPr>
      </w:r>
      <w:r/>
    </w:p>
    <w:p>
      <w:pPr>
        <w:pStyle w:val="96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4.采购需求（简介）：</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主要包含常州市排水管理处管辖范围内的一百多座雨污水泵站，五星、双桥浜等净水补水泵站及抽排泵站等所管辖泵站的设备检查、保养及维修服务。具体内容详见</w:t>
      </w:r>
      <w:r>
        <w:rPr>
          <w:rFonts w:hint="eastAsia" w:ascii="宋体" w:hAnsi="宋体" w:eastAsia="宋体" w:cs="宋体"/>
          <w:color w:val="000000"/>
          <w:sz w:val="21"/>
          <w:szCs w:val="21"/>
          <w:highlight w:val="none"/>
          <w:lang w:val="en-US" w:eastAsia="zh-CN"/>
        </w:rPr>
        <w:t xml:space="preserve">第五章</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5.合同履行期限：</w:t>
      </w:r>
      <w:r>
        <w:rPr>
          <w:rFonts w:hint="eastAsia" w:ascii="宋体" w:hAnsi="宋体" w:eastAsia="宋体" w:cs="宋体"/>
          <w:b w:val="0"/>
          <w:bCs w:val="0"/>
          <w:color w:val="000000"/>
          <w:sz w:val="21"/>
          <w:szCs w:val="21"/>
          <w:highlight w:val="none"/>
          <w:lang w:eastAsia="zh-CN"/>
        </w:rPr>
        <w:t xml:space="preserve">自合同签订生效之日起两年，合同一年一签，一年合同期满后可续签一次。</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6.本项目是否接受联合体投标：不接受。</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7.本项目是否接受进口产品投标：不接受。</w:t>
      </w:r>
      <w:r>
        <w:rPr>
          <w:rFonts w:hint="eastAsia" w:ascii="宋体" w:hAnsi="宋体" w:eastAsia="宋体" w:cs="宋体"/>
          <w:color w:val="000000"/>
          <w:szCs w:val="21"/>
          <w:highlight w:val="none"/>
        </w:rPr>
      </w:r>
      <w:r/>
    </w:p>
    <w:p>
      <w:pPr>
        <w:pStyle w:val="1187"/>
        <w:jc w:val="left"/>
        <w:spacing w:before="0" w:line="360" w:lineRule="auto"/>
        <w:rPr>
          <w:rFonts w:hint="eastAsia" w:ascii="宋体" w:hAnsi="宋体" w:eastAsia="宋体" w:cs="宋体"/>
          <w:color w:val="000000"/>
          <w:sz w:val="21"/>
          <w:szCs w:val="21"/>
          <w:highlight w:val="none"/>
        </w:rPr>
      </w:pPr>
      <w:r/>
      <w:bookmarkStart w:id="11" w:name="_Toc35393622"/>
      <w:r/>
      <w:bookmarkStart w:id="12" w:name="_Toc35393791"/>
      <w:r/>
      <w:bookmarkStart w:id="13" w:name="_Toc28359080"/>
      <w:r/>
      <w:bookmarkStart w:id="14" w:name="_Toc28359003"/>
      <w:r>
        <w:rPr>
          <w:rFonts w:hint="eastAsia" w:ascii="宋体" w:hAnsi="宋体" w:eastAsia="宋体" w:cs="宋体"/>
          <w:color w:val="000000"/>
          <w:sz w:val="21"/>
          <w:szCs w:val="21"/>
          <w:highlight w:val="none"/>
        </w:rPr>
        <w:t xml:space="preserve">二、申请人的资格要求（须同时满足）</w:t>
      </w:r>
      <w:bookmarkEnd w:id="11"/>
      <w:r/>
      <w:bookmarkEnd w:id="12"/>
      <w:r/>
      <w:bookmarkEnd w:id="13"/>
      <w:r/>
      <w:bookmarkEnd w:id="14"/>
      <w:r>
        <w:rPr>
          <w:rFonts w:hint="eastAsia" w:ascii="宋体" w:hAnsi="宋体" w:eastAsia="宋体" w:cs="宋体"/>
          <w:color w:val="000000"/>
          <w:sz w:val="21"/>
          <w:szCs w:val="21"/>
          <w:highlight w:val="none"/>
        </w:rPr>
      </w:r>
      <w:r/>
    </w:p>
    <w:p>
      <w:pPr>
        <w:pStyle w:val="96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1.满足《中华人民共和国政府采购法》第二十二条规定以及下列情形：</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color w:val="000000"/>
          <w:szCs w:val="21"/>
          <w:highlight w:val="none"/>
        </w:rPr>
      </w:pPr>
      <w:r/>
      <w:bookmarkStart w:id="15" w:name="_Toc28359004"/>
      <w:r/>
      <w:bookmarkStart w:id="16" w:name="_Toc28359081"/>
      <w:r>
        <w:rPr>
          <w:rFonts w:hint="eastAsia" w:ascii="宋体" w:hAnsi="宋体" w:eastAsia="宋体" w:cs="宋体"/>
          <w:color w:val="000000"/>
          <w:szCs w:val="21"/>
          <w:highlight w:val="none"/>
        </w:rPr>
        <w:t xml:space="preserve">2.落实政府采购政策需满足的资格要求：</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 中小企业政策（说明：中小企业包含中型、小型、微型企业，小微企业包含小型、微型企业）</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本项目</w:t>
      </w:r>
      <w:r>
        <w:rPr>
          <w:rFonts w:hint="eastAsia" w:ascii="宋体" w:hAnsi="宋体" w:eastAsia="宋体" w:cs="宋体"/>
          <w:b/>
          <w:bCs/>
          <w:color w:val="000000"/>
          <w:szCs w:val="21"/>
          <w:highlight w:val="none"/>
          <w:lang w:val="en-US" w:eastAsia="zh-CN"/>
        </w:rPr>
        <w:t xml:space="preserve">不</w:t>
      </w:r>
      <w:r>
        <w:rPr>
          <w:rFonts w:hint="eastAsia" w:ascii="宋体" w:hAnsi="宋体" w:eastAsia="宋体" w:cs="宋体"/>
          <w:b/>
          <w:bCs/>
          <w:color w:val="000000"/>
          <w:szCs w:val="21"/>
          <w:highlight w:val="none"/>
        </w:rPr>
        <w:t xml:space="preserve">专门面向中小</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小微企业采购。</w:t>
      </w:r>
      <w:r>
        <w:rPr>
          <w:rFonts w:hint="eastAsia" w:ascii="宋体" w:hAnsi="宋体" w:eastAsia="宋体" w:cs="宋体"/>
          <w:b/>
          <w:bCs/>
          <w:color w:val="000000"/>
          <w:szCs w:val="21"/>
          <w:highlight w:val="none"/>
        </w:rPr>
      </w:r>
      <w:r/>
    </w:p>
    <w:p>
      <w:pPr>
        <w:pStyle w:val="96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其它落实政府采购政策的资格要求（如有）：</w:t>
      </w:r>
      <w:r>
        <w:rPr>
          <w:rFonts w:hint="eastAsia" w:ascii="宋体" w:hAnsi="宋体" w:eastAsia="宋体" w:cs="宋体"/>
          <w:color w:val="000000"/>
          <w:szCs w:val="21"/>
          <w:highlight w:val="none"/>
          <w:lang w:val="en-US" w:eastAsia="zh-CN"/>
        </w:rPr>
        <w:t xml:space="preserve">详见招标文件约定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3.本项目的特定资格要求：</w:t>
      </w:r>
      <w:r>
        <w:rPr>
          <w:rFonts w:hint="eastAsia" w:ascii="宋体" w:hAnsi="宋体" w:eastAsia="宋体" w:cs="宋体"/>
          <w:i/>
          <w:iCs/>
          <w:color w:val="000000"/>
          <w:szCs w:val="21"/>
          <w:highlight w:val="none"/>
          <w:u w:val="single"/>
        </w:rPr>
      </w:r>
      <w:r/>
    </w:p>
    <w:p>
      <w:pPr>
        <w:pStyle w:val="962"/>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3.1本项目是否接受分支机构参与投标：否； </w:t>
      </w:r>
      <w:r>
        <w:rPr>
          <w:rFonts w:hint="eastAsia" w:ascii="宋体" w:hAnsi="宋体" w:eastAsia="宋体" w:cs="宋体"/>
          <w:color w:val="000000"/>
          <w:szCs w:val="21"/>
          <w:highlight w:val="none"/>
        </w:rPr>
      </w:r>
      <w:r/>
    </w:p>
    <w:p>
      <w:pPr>
        <w:pStyle w:val="962"/>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3.2本项目是否属于政府购买服务：否；</w:t>
      </w:r>
      <w:r>
        <w:rPr>
          <w:rFonts w:hint="eastAsia" w:ascii="宋体" w:hAnsi="宋体" w:eastAsia="宋体" w:cs="宋体"/>
          <w:color w:val="000000"/>
          <w:szCs w:val="21"/>
          <w:highlight w:val="none"/>
        </w:rPr>
      </w:r>
      <w:r/>
    </w:p>
    <w:p>
      <w:pPr>
        <w:pStyle w:val="962"/>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3.3其他特定资格要求：</w:t>
      </w:r>
      <w:bookmarkEnd w:id="15"/>
      <w:r/>
      <w:bookmarkEnd w:id="16"/>
      <w:r>
        <w:rPr>
          <w:rFonts w:hint="eastAsia" w:ascii="宋体" w:hAnsi="宋体" w:eastAsia="宋体" w:cs="宋体"/>
          <w:b/>
          <w:bCs/>
          <w:color w:val="000000"/>
          <w:sz w:val="21"/>
          <w:szCs w:val="21"/>
          <w:highlight w:val="none"/>
          <w:lang w:val="en-US" w:eastAsia="zh-CN"/>
        </w:rPr>
        <w:t xml:space="preserve">无</w:t>
      </w:r>
      <w:r>
        <w:rPr>
          <w:rFonts w:hint="eastAsia" w:ascii="宋体" w:hAnsi="宋体" w:eastAsia="宋体" w:cs="宋体"/>
          <w:b/>
          <w:bCs/>
          <w:color w:val="000000"/>
          <w:spacing w:val="-4"/>
          <w:szCs w:val="21"/>
          <w:highlight w:val="none"/>
          <w:lang w:val="en-US" w:eastAsia="zh-CN"/>
        </w:rPr>
        <w:t xml:space="preserve">。 </w:t>
      </w:r>
      <w:r>
        <w:rPr>
          <w:rFonts w:hint="eastAsia" w:ascii="宋体" w:hAnsi="宋体" w:eastAsia="宋体" w:cs="宋体"/>
          <w:b/>
          <w:bCs/>
          <w:color w:val="000000"/>
          <w:szCs w:val="21"/>
          <w:highlight w:val="none"/>
        </w:rPr>
      </w:r>
      <w:r/>
    </w:p>
    <w:p>
      <w:pPr>
        <w:pStyle w:val="1187"/>
        <w:jc w:val="left"/>
        <w:spacing w:before="0" w:line="360" w:lineRule="auto"/>
        <w:widowControl/>
        <w:rPr>
          <w:rFonts w:hint="eastAsia" w:ascii="宋体" w:hAnsi="宋体" w:eastAsia="宋体" w:cs="宋体"/>
          <w:color w:val="000000"/>
          <w:sz w:val="21"/>
          <w:szCs w:val="21"/>
          <w:highlight w:val="none"/>
        </w:rPr>
      </w:pPr>
      <w:r/>
      <w:bookmarkStart w:id="17" w:name="_Toc35393623"/>
      <w:r/>
      <w:bookmarkStart w:id="18" w:name="_Toc35393792"/>
      <w:r>
        <w:rPr>
          <w:rFonts w:hint="eastAsia" w:ascii="宋体" w:hAnsi="宋体" w:eastAsia="宋体" w:cs="宋体"/>
          <w:color w:val="000000"/>
          <w:sz w:val="21"/>
          <w:szCs w:val="21"/>
          <w:highlight w:val="none"/>
        </w:rPr>
        <w:t xml:space="preserve">三、获取招标文件</w:t>
      </w:r>
      <w:bookmarkEnd w:id="17"/>
      <w:r/>
      <w:bookmarkEnd w:id="18"/>
      <w:r>
        <w:rPr>
          <w:rFonts w:hint="eastAsia" w:ascii="宋体" w:hAnsi="宋体" w:eastAsia="宋体" w:cs="宋体"/>
          <w:color w:val="000000"/>
          <w:sz w:val="21"/>
          <w:szCs w:val="21"/>
          <w:highlight w:val="none"/>
        </w:rPr>
      </w:r>
      <w:r/>
    </w:p>
    <w:p>
      <w:pPr>
        <w:pStyle w:val="962"/>
        <w:ind w:firstLine="422"/>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000000"/>
          <w:szCs w:val="21"/>
          <w:highlight w:val="none"/>
          <w:lang w:val="en-US" w:eastAsia="zh-CN"/>
        </w:rPr>
      </w:pPr>
      <w:r/>
      <w:bookmarkStart w:id="19" w:name="_Toc35393627"/>
      <w:r/>
      <w:bookmarkStart w:id="20" w:name="_Toc35393796"/>
      <w:r/>
      <w:bookmarkStart w:id="21" w:name="_Toc28359085"/>
      <w:r/>
      <w:bookmarkStart w:id="22" w:name="_Toc28359008"/>
      <w:r>
        <w:rPr>
          <w:rFonts w:hint="eastAsia" w:ascii="宋体" w:hAnsi="宋体" w:eastAsia="宋体" w:cs="宋体"/>
          <w:b w:val="0"/>
          <w:bCs w:val="0"/>
          <w:color w:val="000000"/>
          <w:szCs w:val="21"/>
          <w:highlight w:val="none"/>
        </w:rPr>
        <w:t xml:space="preserve">1.时间：自招标文件公告发布之日起</w:t>
      </w:r>
      <w:r>
        <w:rPr>
          <w:rFonts w:hint="eastAsia" w:ascii="宋体" w:hAnsi="宋体" w:eastAsia="宋体" w:cs="宋体"/>
          <w:b w:val="0"/>
          <w:bCs w:val="0"/>
          <w:color w:val="000000"/>
          <w:szCs w:val="21"/>
          <w:highlight w:val="none"/>
          <w:lang w:val="en-US" w:eastAsia="zh-CN"/>
        </w:rPr>
        <w:t xml:space="preserve">5个工作日</w:t>
      </w:r>
      <w:r>
        <w:rPr>
          <w:rFonts w:hint="eastAsia" w:ascii="宋体" w:hAnsi="宋体" w:eastAsia="宋体" w:cs="宋体"/>
          <w:b w:val="0"/>
          <w:bCs w:val="0"/>
          <w:color w:val="000000"/>
          <w:szCs w:val="21"/>
          <w:highlight w:val="none"/>
          <w:lang w:val="en-US" w:eastAsia="zh-CN"/>
        </w:rPr>
      </w:r>
      <w:r/>
    </w:p>
    <w:p>
      <w:pPr>
        <w:pStyle w:val="962"/>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2.地点：“苏采云”政府采购一体化平台</w:t>
      </w:r>
      <w:r>
        <w:rPr>
          <w:rFonts w:hint="eastAsia" w:ascii="宋体" w:hAnsi="宋体" w:eastAsia="宋体" w:cs="宋体"/>
          <w:b w:val="0"/>
          <w:bCs w:val="0"/>
          <w:color w:val="000000"/>
          <w:szCs w:val="21"/>
          <w:highlight w:val="none"/>
        </w:rPr>
      </w:r>
      <w:r/>
    </w:p>
    <w:p>
      <w:pPr>
        <w:pStyle w:val="962"/>
        <w:ind w:firstLine="422"/>
        <w:jc w:val="left"/>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3.方式：“苏采云”政府采购一体化平台自行免费下载。</w:t>
      </w:r>
      <w:r>
        <w:rPr>
          <w:rFonts w:hint="eastAsia" w:ascii="宋体" w:hAnsi="宋体" w:eastAsia="宋体" w:cs="宋体"/>
          <w:b w:val="0"/>
          <w:bCs w:val="0"/>
          <w:color w:val="000000"/>
          <w:szCs w:val="21"/>
          <w:highlight w:val="none"/>
        </w:rPr>
      </w:r>
      <w:r/>
    </w:p>
    <w:p>
      <w:pPr>
        <w:pStyle w:val="962"/>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4.售价： 0 元。</w:t>
      </w:r>
      <w:r>
        <w:rPr>
          <w:rFonts w:hint="eastAsia" w:ascii="宋体" w:hAnsi="宋体" w:eastAsia="宋体" w:cs="宋体"/>
          <w:color w:val="000000"/>
          <w:szCs w:val="21"/>
          <w:highlight w:val="none"/>
        </w:rPr>
      </w:r>
      <w:r/>
    </w:p>
    <w:p>
      <w:pPr>
        <w:pStyle w:val="962"/>
        <w:spacing w:line="360" w:lineRule="auto"/>
        <w:tabs>
          <w:tab w:val="left" w:pos="900" w:leader="none"/>
          <w:tab w:val="left" w:pos="1134" w:leader="none"/>
          <w:tab w:val="left" w:pos="1589" w:leader="none"/>
          <w:tab w:val="left" w:pos="5521"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四、提交投标文件截止时间、开标时间和地点</w:t>
      </w:r>
      <w:r>
        <w:rPr>
          <w:rFonts w:hint="eastAsia" w:ascii="宋体" w:hAnsi="宋体" w:eastAsia="宋体" w:cs="宋体"/>
          <w:b/>
          <w:color w:val="000000"/>
          <w:szCs w:val="21"/>
          <w:highlight w:val="none"/>
        </w:rPr>
      </w:r>
      <w:r/>
    </w:p>
    <w:p>
      <w:pPr>
        <w:pStyle w:val="962"/>
        <w:ind w:firstLine="422"/>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投标截止时间、开标时间：2026年</w:t>
      </w:r>
      <w:r>
        <w:rPr>
          <w:rFonts w:hint="eastAsia" w:ascii="宋体" w:hAnsi="宋体" w:eastAsia="宋体" w:cs="宋体"/>
          <w:b w:val="0"/>
          <w:bCs w:val="0"/>
          <w:color w:val="000000"/>
          <w:szCs w:val="21"/>
          <w:highlight w:val="none"/>
          <w:lang w:val="en-US" w:eastAsia="zh-CN"/>
        </w:rPr>
        <w:t xml:space="preserve">10</w:t>
      </w:r>
      <w:r>
        <w:rPr>
          <w:rFonts w:hint="eastAsia" w:ascii="宋体" w:hAnsi="宋体" w:eastAsia="宋体" w:cs="宋体"/>
          <w:b w:val="0"/>
          <w:bCs w:val="0"/>
          <w:color w:val="000000"/>
          <w:szCs w:val="21"/>
          <w:highlight w:val="none"/>
        </w:rPr>
        <w:t xml:space="preserve">月</w:t>
      </w:r>
      <w:r>
        <w:rPr>
          <w:rFonts w:hint="eastAsia" w:ascii="宋体" w:hAnsi="宋体" w:eastAsia="宋体" w:cs="宋体"/>
          <w:b w:val="0"/>
          <w:bCs w:val="0"/>
          <w:color w:val="000000"/>
          <w:szCs w:val="21"/>
          <w:highlight w:val="none"/>
          <w:lang w:val="en-US" w:eastAsia="zh-CN"/>
        </w:rPr>
        <w:t xml:space="preserve">14</w:t>
      </w:r>
      <w:r>
        <w:rPr>
          <w:rFonts w:hint="eastAsia" w:ascii="宋体" w:hAnsi="宋体" w:eastAsia="宋体" w:cs="宋体"/>
          <w:b w:val="0"/>
          <w:bCs w:val="0"/>
          <w:color w:val="000000"/>
          <w:szCs w:val="21"/>
          <w:highlight w:val="none"/>
        </w:rPr>
        <w:t xml:space="preserve">日</w:t>
      </w:r>
      <w:r>
        <w:rPr>
          <w:rFonts w:hint="eastAsia" w:ascii="宋体" w:hAnsi="宋体" w:eastAsia="宋体" w:cs="宋体"/>
          <w:b w:val="0"/>
          <w:bCs w:val="0"/>
          <w:color w:val="000000"/>
          <w:szCs w:val="21"/>
          <w:highlight w:val="none"/>
          <w:lang w:val="en-US" w:eastAsia="zh-CN"/>
        </w:rPr>
        <w:t xml:space="preserve">14</w:t>
      </w:r>
      <w:r>
        <w:rPr>
          <w:rFonts w:hint="eastAsia" w:ascii="宋体" w:hAnsi="宋体" w:eastAsia="宋体" w:cs="宋体"/>
          <w:b w:val="0"/>
          <w:bCs w:val="0"/>
          <w:color w:val="000000"/>
          <w:szCs w:val="21"/>
          <w:highlight w:val="none"/>
        </w:rPr>
        <w:t xml:space="preserve">点</w:t>
      </w:r>
      <w:r>
        <w:rPr>
          <w:rFonts w:hint="eastAsia" w:ascii="宋体" w:hAnsi="宋体" w:eastAsia="宋体" w:cs="宋体"/>
          <w:b w:val="0"/>
          <w:bCs w:val="0"/>
          <w:color w:val="000000"/>
          <w:szCs w:val="21"/>
          <w:highlight w:val="none"/>
          <w:lang w:val="en-US" w:eastAsia="zh-CN"/>
        </w:rPr>
        <w:t xml:space="preserve">00</w:t>
      </w:r>
      <w:r>
        <w:rPr>
          <w:rFonts w:hint="eastAsia" w:ascii="宋体" w:hAnsi="宋体" w:eastAsia="宋体" w:cs="宋体"/>
          <w:b w:val="0"/>
          <w:bCs w:val="0"/>
          <w:color w:val="000000"/>
          <w:szCs w:val="21"/>
          <w:highlight w:val="none"/>
        </w:rPr>
        <w:t xml:space="preserve">分（北京时间）。</w:t>
      </w:r>
      <w:r>
        <w:rPr>
          <w:rFonts w:hint="eastAsia" w:ascii="宋体" w:hAnsi="宋体" w:eastAsia="宋体" w:cs="宋体"/>
          <w:b w:val="0"/>
          <w:bCs w:val="0"/>
          <w:color w:val="000000"/>
          <w:szCs w:val="21"/>
          <w:highlight w:val="none"/>
        </w:rPr>
      </w:r>
      <w:r/>
    </w:p>
    <w:p>
      <w:pPr>
        <w:pStyle w:val="962"/>
        <w:ind w:firstLine="422"/>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地点：“苏采云”政府采购一体化平台。</w:t>
      </w:r>
      <w:r>
        <w:rPr>
          <w:rFonts w:hint="eastAsia" w:ascii="宋体" w:hAnsi="宋体" w:eastAsia="宋体" w:cs="宋体"/>
          <w:b w:val="0"/>
          <w:bCs w:val="0"/>
          <w:color w:val="000000"/>
          <w:szCs w:val="21"/>
          <w:highlight w:val="none"/>
        </w:rPr>
      </w:r>
      <w:r/>
    </w:p>
    <w:p>
      <w:pPr>
        <w:pStyle w:val="962"/>
        <w:spacing w:line="360" w:lineRule="auto"/>
        <w:tabs>
          <w:tab w:val="left" w:pos="900" w:leader="none"/>
          <w:tab w:val="left" w:pos="1134" w:leader="none"/>
          <w:tab w:val="left" w:pos="1589" w:leader="none"/>
          <w:tab w:val="left" w:pos="5521"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五、公告期限</w:t>
      </w:r>
      <w:r>
        <w:rPr>
          <w:rFonts w:hint="eastAsia" w:ascii="宋体" w:hAnsi="宋体" w:eastAsia="宋体" w:cs="宋体"/>
          <w:b/>
          <w:color w:val="000000"/>
          <w:szCs w:val="21"/>
          <w:highlight w:val="none"/>
        </w:rPr>
      </w:r>
      <w:r/>
    </w:p>
    <w:p>
      <w:pPr>
        <w:pStyle w:val="962"/>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本公告发布之日起5个工作日。</w:t>
      </w:r>
      <w:r>
        <w:rPr>
          <w:rFonts w:hint="eastAsia" w:ascii="宋体" w:hAnsi="宋体" w:eastAsia="宋体" w:cs="宋体"/>
          <w:bCs/>
          <w:color w:val="000000"/>
          <w:szCs w:val="21"/>
          <w:highlight w:val="none"/>
        </w:rPr>
      </w:r>
      <w:r/>
    </w:p>
    <w:p>
      <w:pPr>
        <w:pStyle w:val="962"/>
        <w:spacing w:line="360" w:lineRule="auto"/>
        <w:tabs>
          <w:tab w:val="left" w:pos="900" w:leader="none"/>
          <w:tab w:val="left" w:pos="1134" w:leader="none"/>
          <w:tab w:val="left" w:pos="1589" w:leader="none"/>
          <w:tab w:val="left" w:pos="5521" w:leader="none"/>
        </w:tabs>
        <w:rPr>
          <w:rFonts w:hint="eastAsia" w:ascii="宋体" w:hAnsi="宋体" w:eastAsia="宋体" w:cs="宋体"/>
          <w:bCs/>
          <w:color w:val="000000"/>
          <w:szCs w:val="21"/>
          <w:highlight w:val="none"/>
        </w:rPr>
      </w:pPr>
      <w:r>
        <w:rPr>
          <w:rFonts w:hint="eastAsia" w:ascii="宋体" w:hAnsi="宋体" w:eastAsia="宋体" w:cs="宋体"/>
          <w:b/>
          <w:color w:val="000000"/>
          <w:szCs w:val="21"/>
          <w:highlight w:val="none"/>
        </w:rPr>
        <w:t xml:space="preserve">六、其他补充事宜</w:t>
      </w:r>
      <w:r>
        <w:rPr>
          <w:rFonts w:hint="eastAsia" w:ascii="宋体" w:hAnsi="宋体" w:eastAsia="宋体" w:cs="宋体"/>
          <w:bCs/>
          <w:color w:val="000000"/>
          <w:szCs w:val="21"/>
          <w:highlight w:val="none"/>
        </w:rPr>
      </w:r>
      <w:r/>
    </w:p>
    <w:p>
      <w:pPr>
        <w:pStyle w:val="962"/>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1.本项目需要落实的政府采购政策：</w:t>
      </w:r>
      <w:r>
        <w:rPr>
          <w:rFonts w:hint="eastAsia" w:ascii="宋体" w:hAnsi="宋体" w:eastAsia="宋体" w:cs="宋体"/>
          <w:color w:val="000000"/>
          <w:szCs w:val="21"/>
          <w:highlight w:val="none"/>
          <w:lang w:val="en-US" w:eastAsia="zh-CN"/>
        </w:rPr>
        <w:t xml:space="preserve">详见招标文件约定</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62"/>
        <w:ind w:firstLine="422"/>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hint="eastAsia" w:ascii="宋体" w:hAnsi="宋体" w:eastAsia="宋体" w:cs="宋体"/>
          <w:color w:val="000000"/>
          <w:sz w:val="24"/>
          <w:szCs w:val="24"/>
          <w:highlight w:val="none"/>
        </w:rPr>
        <w:t xml:space="preserve">https://zfcg.changzhou.gov.cn/html/ns/down/921135080660472.html</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962"/>
        <w:ind w:firstLine="422"/>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eastAsia="宋体" w:cs="宋体"/>
          <w:b/>
          <w:bCs/>
          <w:color w:val="000000"/>
          <w:szCs w:val="21"/>
          <w:highlight w:val="none"/>
        </w:rPr>
      </w:r>
      <w:r/>
    </w:p>
    <w:p>
      <w:pPr>
        <w:pStyle w:val="962"/>
        <w:ind w:firstLine="422"/>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技术支持服务热线    0519-85588210</w:t>
      </w:r>
      <w:r>
        <w:rPr>
          <w:rFonts w:hint="eastAsia" w:ascii="宋体" w:hAnsi="宋体" w:eastAsia="宋体" w:cs="宋体"/>
          <w:b/>
          <w:bCs/>
          <w:color w:val="000000"/>
          <w:szCs w:val="21"/>
          <w:highlight w:val="none"/>
        </w:rPr>
      </w:r>
      <w:r/>
    </w:p>
    <w:p>
      <w:pPr>
        <w:pStyle w:val="962"/>
        <w:ind w:firstLine="42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3.本项目不满3家投标报名，将重新组织采购。</w:t>
      </w:r>
      <w:r>
        <w:rPr>
          <w:rFonts w:hint="eastAsia" w:ascii="宋体" w:hAnsi="宋体" w:eastAsia="宋体" w:cs="宋体"/>
          <w:color w:val="000000"/>
          <w:szCs w:val="21"/>
          <w:highlight w:val="none"/>
          <w:lang w:val="zh-TW"/>
        </w:rPr>
      </w:r>
      <w:r/>
    </w:p>
    <w:p>
      <w:pPr>
        <w:pStyle w:val="962"/>
        <w:ind w:firstLine="42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4.关于常州市中小企业政府采购信用融资：</w:t>
      </w:r>
      <w:r>
        <w:rPr>
          <w:rFonts w:hint="eastAsia" w:ascii="宋体" w:hAnsi="宋体" w:eastAsia="宋体" w:cs="宋体"/>
          <w:color w:val="000000"/>
          <w:szCs w:val="21"/>
          <w:highlight w:val="none"/>
          <w:lang w:val="zh-TW"/>
        </w:rPr>
      </w:r>
      <w:r/>
    </w:p>
    <w:p>
      <w:pPr>
        <w:pStyle w:val="962"/>
        <w:ind w:firstLine="42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rPr>
          <w:rFonts w:hint="eastAsia" w:ascii="宋体" w:hAnsi="宋体" w:eastAsia="宋体" w:cs="宋体"/>
          <w:color w:val="000000"/>
          <w:szCs w:val="21"/>
          <w:highlight w:val="none"/>
          <w:lang w:val="zh-TW"/>
        </w:rPr>
      </w:r>
      <w:r/>
    </w:p>
    <w:p>
      <w:pPr>
        <w:pStyle w:val="962"/>
        <w:ind w:firstLine="42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TW"/>
        </w:rPr>
        <w:t xml:space="preserve">有关本次</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TW"/>
        </w:rPr>
        <w:t xml:space="preserve">的事项若存在变动或修改，敬请及时关注 “江苏政府采购网、常州市政府采购网”发布的更正公告。</w:t>
      </w:r>
      <w:r>
        <w:rPr>
          <w:rFonts w:hint="eastAsia" w:ascii="宋体" w:hAnsi="宋体" w:eastAsia="宋体" w:cs="宋体"/>
          <w:color w:val="000000"/>
          <w:szCs w:val="21"/>
          <w:highlight w:val="none"/>
          <w:lang w:val="zh-TW"/>
        </w:rPr>
      </w:r>
      <w:r/>
    </w:p>
    <w:p>
      <w:pPr>
        <w:pStyle w:val="962"/>
        <w:ind w:firstLine="42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6.特别说明：因工作需要，本次采购项目涉及的单位及个人相关信息已经取得机构或本人同意后对外公布。</w:t>
      </w:r>
      <w:r>
        <w:rPr>
          <w:rFonts w:hint="eastAsia" w:ascii="宋体" w:hAnsi="宋体" w:eastAsia="宋体" w:cs="宋体"/>
          <w:color w:val="000000"/>
          <w:szCs w:val="21"/>
          <w:highlight w:val="none"/>
          <w:lang w:val="zh-TW"/>
        </w:rPr>
      </w:r>
      <w:r/>
    </w:p>
    <w:p>
      <w:pPr>
        <w:pStyle w:val="962"/>
        <w:contextualSpacing/>
        <w:jc w:val="left"/>
        <w:spacing w:line="36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rPr>
        <w:t xml:space="preserve">七、对本次招标提出询问，请按以下方式联系。</w:t>
      </w:r>
      <w:bookmarkEnd w:id="9"/>
      <w:r/>
      <w:bookmarkEnd w:id="19"/>
      <w:r/>
      <w:bookmarkEnd w:id="20"/>
      <w:r/>
      <w:bookmarkEnd w:id="21"/>
      <w:r/>
      <w:bookmarkEnd w:id="22"/>
      <w:r>
        <w:rPr>
          <w:rFonts w:hint="eastAsia" w:ascii="宋体" w:hAnsi="宋体" w:eastAsia="宋体" w:cs="宋体"/>
          <w:b/>
          <w:bCs/>
          <w:color w:val="000000"/>
          <w:szCs w:val="21"/>
          <w:highlight w:val="none"/>
          <w:lang w:bidi="ar"/>
        </w:rPr>
      </w:r>
      <w:r/>
    </w:p>
    <w:p>
      <w:pPr>
        <w:pStyle w:val="962"/>
        <w:ind w:firstLine="420"/>
        <w:spacing w:line="360" w:lineRule="auto"/>
        <w:rPr>
          <w:rFonts w:hint="eastAsia" w:ascii="宋体" w:hAnsi="宋体" w:eastAsia="宋体" w:cs="宋体"/>
          <w:color w:val="000000"/>
          <w:szCs w:val="21"/>
          <w:highlight w:val="none"/>
        </w:rPr>
      </w:pPr>
      <w:r/>
      <w:bookmarkStart w:id="23" w:name="_Hlk118382401"/>
      <w:r/>
      <w:bookmarkStart w:id="24" w:name="_Toc512937850"/>
      <w:r/>
      <w:bookmarkStart w:id="25" w:name="_Toc195842950"/>
      <w:r/>
      <w:bookmarkStart w:id="26" w:name="_Toc353873938"/>
      <w:r/>
      <w:bookmarkStart w:id="27" w:name="_Toc150774783"/>
      <w:r/>
      <w:bookmarkStart w:id="28" w:name="_Toc127161488"/>
      <w:r/>
      <w:bookmarkStart w:id="29" w:name="_Toc265228423"/>
      <w:r/>
      <w:bookmarkStart w:id="30" w:name="_Toc353825548"/>
      <w:r/>
      <w:bookmarkStart w:id="31" w:name="_Toc226965856"/>
      <w:r/>
      <w:bookmarkStart w:id="32" w:name="_Toc264969275"/>
      <w:r/>
      <w:bookmarkStart w:id="33" w:name="_Toc305158928"/>
      <w:r/>
      <w:bookmarkStart w:id="34" w:name="_Toc127151777"/>
      <w:r/>
      <w:bookmarkStart w:id="35" w:name="_Toc305158854"/>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color w:val="000000"/>
          <w:szCs w:val="21"/>
          <w:highlight w:val="none"/>
          <w:lang w:val="zh-TW" w:eastAsia="zh-CN"/>
        </w:rPr>
      </w:pPr>
      <w:r/>
      <w:bookmarkEnd w:id="23"/>
      <w:r>
        <w:rPr>
          <w:rFonts w:hint="eastAsia" w:ascii="宋体" w:hAnsi="宋体" w:eastAsia="宋体" w:cs="宋体"/>
          <w:color w:val="000000"/>
          <w:szCs w:val="21"/>
          <w:highlight w:val="none"/>
          <w:lang w:val="zh-TW"/>
        </w:rPr>
        <w:t xml:space="preserve">名  称：</w:t>
      </w:r>
      <w:r>
        <w:rPr>
          <w:rFonts w:hint="eastAsia" w:ascii="宋体" w:hAnsi="宋体" w:eastAsia="宋体" w:cs="宋体"/>
          <w:color w:val="000000"/>
          <w:szCs w:val="21"/>
          <w:highlight w:val="none"/>
          <w:lang w:val="zh-TW" w:eastAsia="zh-CN"/>
        </w:rPr>
        <w:t xml:space="preserve">常州市排水管理处</w:t>
      </w:r>
      <w:r>
        <w:rPr>
          <w:rFonts w:hint="eastAsia" w:ascii="宋体" w:hAnsi="宋体" w:eastAsia="宋体" w:cs="宋体"/>
          <w:color w:val="000000"/>
          <w:szCs w:val="21"/>
          <w:highlight w:val="none"/>
          <w:lang w:val="zh-TW" w:eastAsia="zh-CN"/>
        </w:rPr>
      </w:r>
      <w:r/>
    </w:p>
    <w:p>
      <w:pPr>
        <w:pStyle w:val="962"/>
        <w:contextualSpacing/>
        <w:ind w:firstLine="420"/>
        <w:jc w:val="left"/>
        <w:spacing w:line="360" w:lineRule="auto"/>
        <w:widowControl/>
        <w:rPr>
          <w:rFonts w:hint="eastAsia" w:ascii="宋体" w:hAnsi="宋体" w:eastAsia="宋体" w:cs="宋体"/>
          <w:color w:val="000000"/>
          <w:szCs w:val="21"/>
          <w:highlight w:val="none"/>
          <w:lang w:val="zh-TW" w:bidi="ar"/>
        </w:rPr>
      </w:pPr>
      <w:r>
        <w:rPr>
          <w:rFonts w:hint="eastAsia" w:ascii="宋体" w:hAnsi="宋体" w:eastAsia="宋体" w:cs="宋体"/>
          <w:color w:val="000000"/>
          <w:szCs w:val="21"/>
          <w:highlight w:val="none"/>
          <w:lang w:val="zh-TW" w:bidi="ar"/>
        </w:rPr>
        <w:t xml:space="preserve">地    址：常州市天宁区飞龙东路116号</w:t>
      </w:r>
      <w:r>
        <w:rPr>
          <w:rFonts w:hint="eastAsia" w:ascii="宋体" w:hAnsi="宋体" w:eastAsia="宋体" w:cs="宋体"/>
          <w:color w:val="000000"/>
          <w:szCs w:val="21"/>
          <w:highlight w:val="none"/>
          <w:lang w:val="zh-TW" w:bidi="ar"/>
        </w:rPr>
      </w:r>
      <w:r/>
    </w:p>
    <w:p>
      <w:pPr>
        <w:pStyle w:val="962"/>
        <w:contextualSpacing/>
        <w:ind w:firstLine="420"/>
        <w:jc w:val="left"/>
        <w:spacing w:line="360" w:lineRule="auto"/>
        <w:widowControl/>
        <w:rPr>
          <w:rFonts w:hint="eastAsia" w:ascii="宋体" w:hAnsi="宋体" w:eastAsia="宋体" w:cs="宋体"/>
          <w:color w:val="000000"/>
          <w:szCs w:val="21"/>
          <w:highlight w:val="none"/>
          <w:lang w:val="zh-TW" w:bidi="ar"/>
        </w:rPr>
      </w:pPr>
      <w:r>
        <w:rPr>
          <w:rFonts w:hint="eastAsia" w:ascii="宋体" w:hAnsi="宋体" w:eastAsia="宋体" w:cs="宋体"/>
          <w:color w:val="000000"/>
          <w:szCs w:val="21"/>
          <w:highlight w:val="none"/>
          <w:lang w:val="zh-TW" w:bidi="ar"/>
        </w:rPr>
        <w:t xml:space="preserve">联系方式：0519-85570873</w:t>
      </w:r>
      <w:r>
        <w:rPr>
          <w:rFonts w:hint="eastAsia" w:ascii="宋体" w:hAnsi="宋体" w:eastAsia="宋体" w:cs="宋体"/>
          <w:color w:val="000000"/>
          <w:szCs w:val="21"/>
          <w:highlight w:val="none"/>
          <w:lang w:val="zh-TW" w:bidi="ar"/>
        </w:rPr>
      </w:r>
      <w:r/>
    </w:p>
    <w:p>
      <w:pPr>
        <w:pStyle w:val="962"/>
        <w:contextualSpacing/>
        <w:ind w:firstLine="420"/>
        <w:jc w:val="left"/>
        <w:spacing w:line="360" w:lineRule="auto"/>
        <w:widowControl/>
        <w:rPr>
          <w:rFonts w:hint="eastAsia" w:ascii="宋体" w:hAnsi="宋体" w:eastAsia="宋体" w:cs="宋体"/>
          <w:color w:val="000000"/>
          <w:szCs w:val="21"/>
          <w:highlight w:val="none"/>
          <w:lang w:val="zh-TW" w:bidi="ar"/>
        </w:rPr>
      </w:pPr>
      <w:r>
        <w:rPr>
          <w:rFonts w:hint="eastAsia" w:ascii="宋体" w:hAnsi="宋体" w:eastAsia="宋体" w:cs="宋体"/>
          <w:color w:val="000000"/>
          <w:szCs w:val="21"/>
          <w:highlight w:val="none"/>
          <w:lang w:val="zh-TW" w:bidi="ar"/>
        </w:rPr>
        <w:t xml:space="preserve">2.采购代理机构信息</w:t>
      </w:r>
      <w:r>
        <w:rPr>
          <w:rFonts w:hint="eastAsia" w:ascii="宋体" w:hAnsi="宋体" w:eastAsia="宋体" w:cs="宋体"/>
          <w:color w:val="000000"/>
          <w:szCs w:val="21"/>
          <w:highlight w:val="none"/>
          <w:lang w:val="zh-TW" w:bidi="ar"/>
        </w:rPr>
      </w:r>
      <w:r/>
    </w:p>
    <w:p>
      <w:pPr>
        <w:pStyle w:val="962"/>
        <w:ind w:firstLine="420"/>
        <w:spacing w:line="360" w:lineRule="auto"/>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rPr>
        <w:t xml:space="preserve">名  称：</w:t>
      </w:r>
      <w:r>
        <w:rPr>
          <w:rFonts w:hint="eastAsia" w:ascii="宋体" w:hAnsi="宋体" w:eastAsia="宋体" w:cs="宋体"/>
          <w:color w:val="000000"/>
          <w:szCs w:val="21"/>
          <w:highlight w:val="none"/>
          <w:lang w:val="zh-TW" w:eastAsia="zh-CN"/>
        </w:rPr>
        <w:t xml:space="preserve">江苏晋陵工程咨询有限公司</w:t>
      </w:r>
      <w:r>
        <w:rPr>
          <w:rFonts w:hint="eastAsia" w:ascii="宋体" w:hAnsi="宋体" w:eastAsia="宋体" w:cs="宋体"/>
          <w:color w:val="000000"/>
          <w:szCs w:val="21"/>
          <w:highlight w:val="none"/>
          <w:lang w:val="zh-TW" w:eastAsia="zh-CN"/>
        </w:rPr>
      </w:r>
      <w:r/>
    </w:p>
    <w:p>
      <w:pPr>
        <w:pStyle w:val="962"/>
        <w:ind w:firstLine="42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地　址：</w:t>
      </w:r>
      <w:r>
        <w:rPr>
          <w:rFonts w:hint="eastAsia" w:ascii="宋体" w:hAnsi="宋体" w:eastAsia="宋体" w:cs="宋体"/>
          <w:color w:val="000000"/>
          <w:sz w:val="21"/>
          <w:szCs w:val="21"/>
          <w:highlight w:val="none"/>
        </w:rPr>
        <w:t xml:space="preserve">常州市钟楼区泽仁路9号一楼</w:t>
      </w:r>
      <w:r>
        <w:rPr>
          <w:rFonts w:hint="eastAsia" w:ascii="宋体" w:hAnsi="宋体" w:eastAsia="宋体" w:cs="宋体"/>
          <w:color w:val="000000"/>
          <w:szCs w:val="21"/>
          <w:highlight w:val="none"/>
          <w:lang w:val="zh-TW"/>
        </w:rPr>
      </w:r>
      <w:r/>
    </w:p>
    <w:p>
      <w:pPr>
        <w:pStyle w:val="96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 w:val="21"/>
          <w:szCs w:val="21"/>
          <w:highlight w:val="none"/>
        </w:rPr>
        <w:t xml:space="preserve">0519-88132899/13861056707</w:t>
      </w:r>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color w:val="000000"/>
          <w:szCs w:val="21"/>
          <w:highlight w:val="none"/>
        </w:rPr>
      </w:pPr>
      <w:r/>
      <w:bookmarkStart w:id="36" w:name="_Toc45235156"/>
      <w:r/>
      <w:bookmarkStart w:id="37" w:name="_Toc63761646"/>
      <w:r/>
      <w:bookmarkStart w:id="38" w:name="_Toc63761585"/>
      <w:r/>
      <w:bookmarkStart w:id="39" w:name="_Toc35393808"/>
      <w:r/>
      <w:bookmarkStart w:id="40" w:name="_Toc28359021"/>
      <w:r/>
      <w:bookmarkStart w:id="41" w:name="_Toc45235310"/>
      <w:r/>
      <w:bookmarkStart w:id="42" w:name="_Toc35393639"/>
      <w:r/>
      <w:bookmarkStart w:id="43" w:name="_Toc28359098"/>
      <w:r>
        <w:rPr>
          <w:rFonts w:hint="eastAsia" w:ascii="宋体" w:hAnsi="宋体" w:eastAsia="宋体" w:cs="宋体"/>
          <w:color w:val="000000"/>
          <w:szCs w:val="21"/>
          <w:highlight w:val="none"/>
        </w:rPr>
        <w:t xml:space="preserve">3.项目联系方式</w:t>
      </w:r>
      <w:bookmarkEnd w:id="36"/>
      <w:r/>
      <w:bookmarkEnd w:id="37"/>
      <w:r/>
      <w:bookmarkEnd w:id="38"/>
      <w:r/>
      <w:bookmarkEnd w:id="39"/>
      <w:r/>
      <w:bookmarkEnd w:id="40"/>
      <w:r/>
      <w:bookmarkEnd w:id="41"/>
      <w:r/>
      <w:bookmarkEnd w:id="42"/>
      <w:r/>
      <w:bookmarkEnd w:id="43"/>
      <w:r>
        <w:rPr>
          <w:rFonts w:hint="eastAsia" w:ascii="宋体" w:hAnsi="宋体" w:eastAsia="宋体" w:cs="宋体"/>
          <w:color w:val="000000"/>
          <w:szCs w:val="21"/>
          <w:highlight w:val="none"/>
        </w:rPr>
      </w:r>
      <w:r/>
    </w:p>
    <w:p>
      <w:pPr>
        <w:pStyle w:val="962"/>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项目联系人：</w:t>
      </w:r>
      <w:r>
        <w:rPr>
          <w:rFonts w:hint="eastAsia" w:ascii="宋体" w:hAnsi="宋体" w:eastAsia="宋体" w:cs="宋体"/>
          <w:color w:val="000000"/>
          <w:szCs w:val="21"/>
          <w:highlight w:val="none"/>
          <w:lang w:val="en-US" w:eastAsia="zh-CN"/>
        </w:rPr>
        <w:t xml:space="preserve">干工</w:t>
      </w:r>
      <w:r>
        <w:rPr>
          <w:rFonts w:hint="eastAsia" w:ascii="宋体" w:hAnsi="宋体" w:eastAsia="宋体" w:cs="宋体"/>
          <w:color w:val="000000"/>
          <w:szCs w:val="21"/>
          <w:highlight w:val="none"/>
          <w:lang w:eastAsia="zh-CN"/>
        </w:rPr>
      </w:r>
      <w:r/>
    </w:p>
    <w:p>
      <w:pPr>
        <w:pStyle w:val="962"/>
        <w:ind w:firstLine="420"/>
        <w:spacing w:line="360" w:lineRule="auto"/>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 w:val="21"/>
          <w:szCs w:val="21"/>
          <w:highlight w:val="none"/>
        </w:rPr>
        <w:t xml:space="preserve">0519-88132899</w:t>
      </w:r>
      <w:r>
        <w:rPr>
          <w:rFonts w:hint="eastAsia" w:ascii="宋体" w:hAnsi="宋体" w:eastAsia="宋体" w:cs="宋体"/>
          <w:color w:val="000000"/>
          <w:szCs w:val="21"/>
          <w:highlight w:val="none"/>
          <w:lang w:val="zh-TW"/>
        </w:rPr>
      </w:r>
      <w:r/>
    </w:p>
    <w:p>
      <w:pPr>
        <w:pStyle w:val="962"/>
        <w:ind w:firstLine="420"/>
        <w:jc w:val="center"/>
        <w:spacing w:line="360" w:lineRule="auto"/>
        <w:rPr>
          <w:rStyle w:val="1186"/>
          <w:rFonts w:hint="eastAsia" w:ascii="宋体" w:hAnsi="宋体" w:eastAsia="宋体" w:cs="宋体"/>
          <w:color w:val="000000"/>
          <w:highlight w:val="none"/>
        </w:rPr>
      </w:pPr>
      <w:r>
        <w:rPr>
          <w:rFonts w:hint="eastAsia" w:ascii="宋体" w:hAnsi="宋体" w:eastAsia="宋体" w:cs="宋体"/>
          <w:color w:val="000000"/>
          <w:szCs w:val="21"/>
          <w:highlight w:val="none"/>
          <w:lang w:val="zh-TW"/>
        </w:rPr>
        <w:br w:type="page" w:clear="all"/>
      </w:r>
      <w:bookmarkEnd w:id="10"/>
      <w:r/>
      <w:bookmarkStart w:id="44" w:name="_Toc12010"/>
      <w:r>
        <w:rPr>
          <w:rStyle w:val="1186"/>
          <w:rFonts w:hint="eastAsia" w:ascii="宋体" w:hAnsi="宋体" w:eastAsia="宋体" w:cs="宋体"/>
          <w:color w:val="000000"/>
          <w:highlight w:val="none"/>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4"/>
      <w:r/>
      <w:bookmarkEnd w:id="35"/>
      <w:r>
        <w:rPr>
          <w:rStyle w:val="1186"/>
          <w:rFonts w:hint="eastAsia" w:ascii="宋体" w:hAnsi="宋体" w:eastAsia="宋体" w:cs="宋体"/>
          <w:color w:val="000000"/>
          <w:highlight w:val="none"/>
        </w:rPr>
      </w:r>
      <w:r/>
    </w:p>
    <w:p>
      <w:pPr>
        <w:pStyle w:val="1187"/>
        <w:spacing w:before="0" w:line="360" w:lineRule="auto"/>
        <w:tabs>
          <w:tab w:val="center" w:pos="4592" w:leader="none"/>
          <w:tab w:val="left" w:pos="7860" w:leader="none"/>
        </w:tabs>
        <w:rPr>
          <w:rFonts w:hint="eastAsia" w:ascii="宋体" w:hAnsi="宋体" w:eastAsia="宋体" w:cs="宋体"/>
          <w:color w:val="000000"/>
          <w:sz w:val="28"/>
          <w:highlight w:val="none"/>
        </w:rPr>
      </w:pPr>
      <w:r/>
      <w:bookmarkEnd w:id="44"/>
      <w:r/>
      <w:bookmarkStart w:id="45" w:name="_Toc142311021"/>
      <w:r/>
      <w:bookmarkStart w:id="46" w:name="_Toc164229360"/>
      <w:r/>
      <w:bookmarkStart w:id="47" w:name="_Toc226337215"/>
      <w:r/>
      <w:bookmarkStart w:id="48" w:name="_Toc127151720"/>
      <w:r/>
      <w:bookmarkStart w:id="49" w:name="_Toc195842884"/>
      <w:r/>
      <w:bookmarkStart w:id="50" w:name="_Toc151193907"/>
      <w:r/>
      <w:bookmarkStart w:id="51" w:name="_Toc520356144"/>
      <w:r/>
      <w:bookmarkStart w:id="52" w:name="_Toc226965709"/>
      <w:r/>
      <w:bookmarkStart w:id="53" w:name="_Toc151193617"/>
      <w:r/>
      <w:bookmarkStart w:id="54" w:name="_Toc164608633"/>
      <w:r/>
      <w:bookmarkStart w:id="55" w:name="_Toc127161433"/>
      <w:r/>
      <w:bookmarkStart w:id="56" w:name="_Toc164229214"/>
      <w:r/>
      <w:bookmarkStart w:id="57" w:name="_Toc150509270"/>
      <w:r/>
      <w:bookmarkStart w:id="58" w:name="_Toc150774619"/>
      <w:r/>
      <w:bookmarkStart w:id="59" w:name="_Toc149720812"/>
      <w:r/>
      <w:bookmarkStart w:id="60" w:name="_Toc226965792"/>
      <w:r/>
      <w:bookmarkStart w:id="61" w:name="_Toc151193833"/>
      <w:r/>
      <w:bookmarkStart w:id="62" w:name="_Toc127151519"/>
      <w:r/>
      <w:bookmarkStart w:id="63" w:name="_Toc151190146"/>
      <w:r/>
      <w:bookmarkStart w:id="64" w:name="_Toc150774724"/>
      <w:r/>
      <w:bookmarkStart w:id="65" w:name="_Toc164351613"/>
      <w:r/>
      <w:bookmarkStart w:id="66" w:name="_Toc150480757"/>
      <w:r/>
      <w:bookmarkStart w:id="67" w:name="_Toc151193761"/>
      <w:r/>
      <w:bookmarkStart w:id="68" w:name="_Toc226309763"/>
      <w:r/>
      <w:bookmarkStart w:id="69" w:name="_Toc164608788"/>
      <w:r/>
      <w:bookmarkStart w:id="70" w:name="_Toc151193689"/>
      <w:r>
        <w:rPr>
          <w:rFonts w:hint="eastAsia" w:ascii="宋体" w:hAnsi="宋体" w:eastAsia="宋体" w:cs="宋体"/>
          <w:color w:val="000000"/>
          <w:sz w:val="28"/>
          <w:highlight w:val="none"/>
        </w:rPr>
        <w:t xml:space="preserve">供应商须知资料表</w:t>
      </w:r>
      <w:r>
        <w:rPr>
          <w:rFonts w:hint="eastAsia" w:ascii="宋体" w:hAnsi="宋体" w:eastAsia="宋体" w:cs="宋体"/>
          <w:color w:val="000000"/>
          <w:sz w:val="28"/>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本表是对供应商须知的具体补充和修改，如有矛盾，均以本资料表为准。</w:t>
      </w:r>
      <w:r>
        <w:rPr>
          <w:rFonts w:hint="eastAsia" w:ascii="宋体" w:hAnsi="宋体" w:eastAsia="宋体" w:cs="宋体"/>
          <w:color w:val="000000"/>
          <w:szCs w:val="21"/>
          <w:highlight w:val="none"/>
        </w:rPr>
      </w:r>
      <w:r/>
    </w:p>
    <w:tbl>
      <w:tblPr>
        <w:tblW w:w="9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525"/>
        <w:gridCol w:w="6804"/>
      </w:tblGrid>
      <w:tr>
        <w:trPr>
          <w:trHeight w:val="594"/>
          <w:tblHeader/>
        </w:trPr>
        <w:tc>
          <w:tcPr>
            <w:tcW w:w="892"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条款号</w:t>
            </w:r>
            <w:r>
              <w:rPr>
                <w:rFonts w:hint="eastAsia" w:ascii="宋体" w:hAnsi="宋体" w:eastAsia="宋体" w:cs="宋体"/>
                <w:b/>
                <w:bCs/>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条  目</w:t>
            </w:r>
            <w:r>
              <w:rPr>
                <w:rFonts w:hint="eastAsia" w:ascii="宋体" w:hAnsi="宋体" w:eastAsia="宋体" w:cs="宋体"/>
                <w:b/>
                <w:bCs/>
                <w:color w:val="000000"/>
                <w:szCs w:val="21"/>
                <w:highlight w:val="none"/>
              </w:rPr>
            </w:r>
            <w:r/>
          </w:p>
        </w:tc>
        <w:tc>
          <w:tcPr>
            <w:tcW w:w="6804"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内     容</w:t>
            </w:r>
            <w:r>
              <w:rPr>
                <w:rFonts w:hint="eastAsia" w:ascii="宋体" w:hAnsi="宋体" w:eastAsia="宋体" w:cs="宋体"/>
                <w:b/>
                <w:bCs/>
                <w:color w:val="000000"/>
                <w:szCs w:val="21"/>
                <w:highlight w:val="none"/>
              </w:rPr>
            </w:r>
            <w:r/>
          </w:p>
        </w:tc>
      </w:tr>
      <w:tr>
        <w:trPr>
          <w:trHeight w:val="397"/>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项目属性</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项目属性：</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u w:val="single"/>
              </w:rPr>
            </w:r>
            <w:r/>
          </w:p>
        </w:tc>
      </w:tr>
      <w:tr>
        <w:trPr>
          <w:trHeight w:val="397"/>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科研仪器设备</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是否属于科研仪器设备采购项目：否</w:t>
            </w:r>
            <w:r>
              <w:rPr>
                <w:rFonts w:hint="eastAsia" w:ascii="宋体" w:hAnsi="宋体" w:eastAsia="宋体" w:cs="宋体"/>
                <w:color w:val="000000"/>
                <w:szCs w:val="21"/>
                <w:highlight w:val="none"/>
              </w:rPr>
            </w:r>
            <w:r/>
          </w:p>
        </w:tc>
      </w:tr>
      <w:tr>
        <w:trPr>
          <w:trHeight w:val="397"/>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核心产品</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tc>
      </w:tr>
      <w:tr>
        <w:trPr>
          <w:trHeight w:val="397"/>
        </w:trPr>
        <w:tc>
          <w:tcPr>
            <w:tcW w:w="892" w:type="dxa"/>
            <w:vAlign w:val="center"/>
            <w:vMerge w:val="restart"/>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现场考察</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不组织</w:t>
            </w:r>
            <w:r>
              <w:rPr>
                <w:rFonts w:hint="eastAsia" w:ascii="宋体" w:hAnsi="宋体" w:eastAsia="宋体" w:cs="宋体"/>
                <w:color w:val="000000"/>
                <w:szCs w:val="21"/>
                <w:highlight w:val="none"/>
              </w:rPr>
            </w:r>
            <w:r/>
          </w:p>
        </w:tc>
      </w:tr>
      <w:tr>
        <w:trPr>
          <w:trHeight w:val="397"/>
        </w:trPr>
        <w:tc>
          <w:tcPr>
            <w:tcW w:w="892" w:type="dxa"/>
            <w:vAlign w:val="center"/>
            <w:vMerge w:val="continue"/>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开标前答疑会</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不召开</w:t>
            </w:r>
            <w:r>
              <w:rPr>
                <w:rFonts w:hint="eastAsia" w:ascii="宋体" w:hAnsi="宋体" w:eastAsia="宋体" w:cs="宋体"/>
                <w:color w:val="000000"/>
                <w:szCs w:val="21"/>
                <w:highlight w:val="none"/>
              </w:rPr>
            </w:r>
            <w:r/>
          </w:p>
        </w:tc>
      </w:tr>
      <w:tr>
        <w:trPr>
          <w:trHeight w:val="397"/>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样品</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投标样品递交：不需要</w:t>
            </w:r>
            <w:r>
              <w:rPr>
                <w:rFonts w:hint="eastAsia" w:ascii="宋体" w:hAnsi="宋体" w:eastAsia="宋体" w:cs="宋体"/>
                <w:color w:val="000000"/>
                <w:szCs w:val="21"/>
                <w:highlight w:val="none"/>
              </w:rPr>
            </w:r>
            <w:r/>
          </w:p>
        </w:tc>
      </w:tr>
      <w:tr>
        <w:trPr>
          <w:trHeight w:val="397"/>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5.2.5</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标的所属行业</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本项目采购标的对应的中小企业划分标准所属行业：</w:t>
            </w:r>
            <w:r>
              <w:rPr>
                <w:rFonts w:hint="eastAsia" w:ascii="宋体" w:hAnsi="宋体" w:eastAsia="宋体" w:cs="宋体"/>
                <w:b/>
                <w:bCs/>
                <w:color w:val="000000"/>
                <w:szCs w:val="21"/>
                <w:highlight w:val="none"/>
                <w:u w:val="single"/>
                <w:lang w:val="en-US" w:eastAsia="zh-CN"/>
              </w:rPr>
              <w:t xml:space="preserve">其他未列明行业</w:t>
            </w:r>
            <w:r>
              <w:rPr>
                <w:rFonts w:hint="eastAsia" w:ascii="宋体" w:hAnsi="宋体" w:eastAsia="宋体" w:cs="宋体"/>
                <w:color w:val="000000"/>
                <w:szCs w:val="21"/>
                <w:highlight w:val="none"/>
                <w:lang w:eastAsia="zh-CN"/>
              </w:rPr>
            </w:r>
            <w:r/>
          </w:p>
        </w:tc>
      </w:tr>
      <w:tr>
        <w:trPr>
          <w:trHeight w:val="397"/>
        </w:trPr>
        <w:tc>
          <w:tcPr>
            <w:tcW w:w="892" w:type="dxa"/>
            <w:vAlign w:val="center"/>
            <w:textDirection w:val="lrTb"/>
            <w:noWrap w:val="false"/>
          </w:tcPr>
          <w:p>
            <w:pPr>
              <w:pStyle w:val="981"/>
              <w:jc w:val="center"/>
              <w:keepLines w:val="0"/>
              <w:keepNext w:val="0"/>
              <w:pageBreakBefore w:val="0"/>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5.9</w:t>
            </w:r>
            <w:r>
              <w:rPr>
                <w:rFonts w:hint="eastAsia" w:ascii="宋体" w:hAnsi="宋体" w:eastAsia="宋体" w:cs="宋体"/>
                <w:color w:val="000000"/>
                <w:sz w:val="21"/>
                <w:szCs w:val="21"/>
                <w:highlight w:val="none"/>
                <w:lang w:val="en-US" w:eastAsia="zh-CN" w:bidi="ar-SA"/>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本国产品政策支持</w:t>
            </w:r>
            <w:r>
              <w:rPr>
                <w:rFonts w:hint="eastAsia" w:ascii="宋体" w:hAnsi="宋体" w:eastAsia="宋体" w:cs="宋体"/>
                <w:color w:val="000000"/>
                <w:sz w:val="21"/>
                <w:szCs w:val="21"/>
                <w:highlight w:val="none"/>
                <w:lang w:val="en-US" w:eastAsia="zh-CN" w:bidi="ar-SA"/>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关于对采购本国产品给予政策支持，本项目：</w:t>
            </w:r>
            <w:r>
              <w:rPr>
                <w:rFonts w:hint="eastAsia" w:ascii="宋体" w:hAnsi="宋体" w:eastAsia="宋体" w:cs="宋体"/>
                <w:b/>
                <w:bCs/>
                <w:color w:val="000000"/>
                <w:sz w:val="21"/>
                <w:szCs w:val="21"/>
                <w:highlight w:val="none"/>
                <w:lang w:val="en-US" w:eastAsia="zh-CN"/>
              </w:rPr>
              <w:t xml:space="preserve">不</w:t>
            </w:r>
            <w:r>
              <w:rPr>
                <w:rFonts w:hint="eastAsia" w:ascii="宋体" w:hAnsi="宋体" w:eastAsia="宋体" w:cs="宋体"/>
                <w:b/>
                <w:bCs/>
                <w:color w:val="000000"/>
                <w:sz w:val="21"/>
                <w:szCs w:val="21"/>
                <w:highlight w:val="none"/>
              </w:rPr>
              <w:t xml:space="preserve">适用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jc w:val="left"/>
              <w:keepLines w:val="0"/>
              <w:keepNext w:val="0"/>
              <w:pageBreakBefore w:val="0"/>
              <w:spacing w:line="2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color w:val="000000"/>
                <w:sz w:val="21"/>
                <w:szCs w:val="21"/>
                <w:highlight w:val="none"/>
                <w:lang w:val="en-US" w:eastAsia="zh-CN" w:bidi="ar-SA"/>
              </w:rPr>
            </w:r>
            <w:r/>
          </w:p>
        </w:tc>
      </w:tr>
      <w:tr>
        <w:trPr>
          <w:trHeight w:val="397"/>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报价的特殊规定：</w:t>
            </w:r>
            <w:r>
              <w:rPr>
                <w:rFonts w:hint="eastAsia" w:ascii="宋体" w:hAnsi="宋体" w:eastAsia="宋体" w:cs="宋体"/>
                <w:color w:val="000000"/>
                <w:szCs w:val="21"/>
                <w:highlight w:val="none"/>
                <w:lang w:val="en-US" w:eastAsia="zh-CN"/>
              </w:rPr>
              <w:t xml:space="preserve">有</w:t>
            </w:r>
            <w:r>
              <w:rPr>
                <w:rFonts w:hint="eastAsia" w:ascii="宋体" w:hAnsi="宋体" w:eastAsia="宋体" w:cs="宋体"/>
                <w:color w:val="000000"/>
                <w:szCs w:val="21"/>
                <w:highlight w:val="none"/>
                <w:lang w:val="en-US" w:eastAsia="zh-CN"/>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具体情形：</w:t>
            </w:r>
            <w:r>
              <w:rPr>
                <w:rFonts w:hint="eastAsia" w:ascii="宋体" w:hAnsi="宋体" w:eastAsia="宋体" w:cs="宋体"/>
                <w:color w:val="000000"/>
                <w:szCs w:val="21"/>
                <w:highlight w:val="none"/>
                <w:lang w:val="en-US" w:eastAsia="zh-CN"/>
              </w:rPr>
              <w:t xml:space="preserve">本项目采用优惠率报价方式，</w:t>
            </w:r>
            <w:r>
              <w:rPr>
                <w:rFonts w:hint="eastAsia" w:ascii="宋体" w:hAnsi="宋体" w:eastAsia="宋体" w:cs="宋体"/>
                <w:b w:val="0"/>
                <w:bCs w:val="0"/>
                <w:color w:val="000000"/>
                <w:szCs w:val="21"/>
                <w:highlight w:val="none"/>
                <w:lang w:val="en-US" w:eastAsia="zh-CN"/>
              </w:rPr>
              <w:t xml:space="preserve">优惠率应＞0%</w:t>
            </w:r>
            <w:r/>
            <w:r>
              <w:rPr>
                <w:rFonts w:hint="eastAsia" w:ascii="宋体" w:hAnsi="宋体" w:eastAsia="宋体" w:cs="宋体"/>
                <w:color w:val="000000"/>
                <w:szCs w:val="21"/>
                <w:highlight w:val="none"/>
                <w:lang w:val="en-US" w:eastAsia="zh-CN"/>
              </w:rPr>
              <w:t xml:space="preserve">，否则按无效投标处理。</w:t>
            </w:r>
            <w:r>
              <w:rPr>
                <w:rFonts w:hint="eastAsia" w:ascii="宋体" w:hAnsi="宋体" w:eastAsia="宋体" w:cs="宋体"/>
                <w:color w:val="000000"/>
                <w:szCs w:val="21"/>
                <w:highlight w:val="none"/>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注：供应商在“苏采云”系统中填报固定优惠率，则本项目结算（中标）费率为（1-优惠率），每项货物的结算单价=</w:t>
            </w:r>
            <w:r>
              <w:rPr>
                <w:rFonts w:hint="eastAsia" w:ascii="宋体" w:hAnsi="宋体" w:eastAsia="宋体" w:cs="宋体"/>
                <w:color w:val="000000"/>
                <w:szCs w:val="21"/>
                <w:highlight w:val="none"/>
              </w:rPr>
              <w:t xml:space="preserve">本项目</w:t>
            </w:r>
            <w:r>
              <w:rPr>
                <w:rFonts w:hint="eastAsia" w:ascii="宋体" w:hAnsi="宋体" w:eastAsia="宋体" w:cs="宋体"/>
                <w:color w:val="000000"/>
                <w:szCs w:val="21"/>
                <w:highlight w:val="none"/>
                <w:lang w:val="en-US" w:eastAsia="zh-CN"/>
              </w:rPr>
              <w:t xml:space="preserve">计价清单内各单项基准单价*结算（中标）费率。</w:t>
            </w:r>
            <w:r>
              <w:rPr>
                <w:rFonts w:hint="eastAsia" w:ascii="宋体" w:hAnsi="宋体" w:eastAsia="宋体" w:cs="宋体"/>
                <w:color w:val="000000"/>
                <w:szCs w:val="21"/>
                <w:highlight w:val="none"/>
              </w:rPr>
            </w:r>
            <w:r/>
          </w:p>
          <w:p>
            <w:pPr>
              <w:pStyle w:val="962"/>
              <w:jc w:val="left"/>
              <w:keepLines w:val="0"/>
              <w:keepNext w:val="0"/>
              <w:pageBreakBefore w:val="0"/>
              <w:spacing w:line="280" w:lineRule="exact"/>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例如：投标人所报优惠率为10%，则</w:t>
            </w:r>
            <w:r>
              <w:rPr>
                <w:rFonts w:hint="eastAsia" w:ascii="宋体" w:hAnsi="宋体" w:eastAsia="宋体" w:cs="宋体"/>
                <w:color w:val="000000"/>
                <w:szCs w:val="21"/>
                <w:highlight w:val="none"/>
                <w:lang w:val="en-US" w:eastAsia="zh-CN"/>
              </w:rPr>
              <w:t xml:space="preserve">本项目结算（中标）费率为（1-10%）=90%，每项货物的结算单价</w:t>
            </w:r>
            <w:r>
              <w:rPr>
                <w:rFonts w:hint="eastAsia" w:ascii="宋体" w:hAnsi="宋体" w:eastAsia="宋体" w:cs="宋体"/>
                <w:color w:val="000000"/>
                <w:szCs w:val="21"/>
                <w:highlight w:val="none"/>
              </w:rPr>
              <w:t xml:space="preserve">=本项目</w:t>
            </w:r>
            <w:r>
              <w:rPr>
                <w:rFonts w:hint="eastAsia" w:ascii="宋体" w:hAnsi="宋体" w:eastAsia="宋体" w:cs="宋体"/>
                <w:color w:val="000000"/>
                <w:szCs w:val="21"/>
                <w:highlight w:val="none"/>
                <w:lang w:val="en-US" w:eastAsia="zh-CN"/>
              </w:rPr>
              <w:t xml:space="preserve">计价清单内各单项基准单价</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90%</w:t>
            </w:r>
            <w:r>
              <w:rPr>
                <w:rFonts w:hint="eastAsia" w:ascii="宋体" w:hAnsi="宋体" w:eastAsia="宋体" w:cs="宋体"/>
                <w:b/>
                <w:bCs/>
                <w:color w:val="000000"/>
                <w:szCs w:val="21"/>
                <w:highlight w:val="none"/>
              </w:rPr>
            </w:r>
            <w:r/>
          </w:p>
        </w:tc>
      </w:tr>
      <w:tr>
        <w:trPr>
          <w:trHeight w:val="397"/>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投标保证金</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免收</w:t>
            </w:r>
            <w:r>
              <w:rPr>
                <w:rFonts w:hint="eastAsia" w:ascii="宋体" w:hAnsi="宋体" w:eastAsia="宋体" w:cs="宋体"/>
                <w:color w:val="000000"/>
                <w:szCs w:val="21"/>
                <w:highlight w:val="none"/>
              </w:rPr>
            </w:r>
            <w:r/>
          </w:p>
        </w:tc>
      </w:tr>
      <w:tr>
        <w:trPr>
          <w:trHeight w:val="397"/>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投标有效期</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自提交投标文件的截止之日起算90日历天。</w:t>
            </w:r>
            <w:r>
              <w:rPr>
                <w:rFonts w:hint="eastAsia" w:ascii="宋体" w:hAnsi="宋体" w:eastAsia="宋体" w:cs="宋体"/>
                <w:color w:val="000000"/>
                <w:szCs w:val="21"/>
                <w:highlight w:val="none"/>
              </w:rPr>
            </w:r>
            <w:r/>
          </w:p>
        </w:tc>
      </w:tr>
      <w:tr>
        <w:trPr>
          <w:trHeight w:val="20"/>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投标文件份数</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本项目为“苏采云”政府采购一体化平台全流程线上招投标，投标时各供应商应按招标文件及”苏采云”政府采购一体化平台规定制作并提交电子版投标文件。</w:t>
            </w:r>
            <w:r>
              <w:rPr>
                <w:rFonts w:hint="eastAsia" w:ascii="宋体" w:hAnsi="宋体" w:eastAsia="宋体" w:cs="宋体"/>
                <w:b/>
                <w:bCs/>
                <w:color w:val="000000"/>
                <w:szCs w:val="21"/>
                <w:highlight w:val="none"/>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中标结果确定后中标单位应提交胶装并加盖公章的纸质版投标文件贰份，纸质投标文件应与“苏采云”政府采购一体化平台中的电子文件内容、格式一致。</w:t>
            </w:r>
            <w:r>
              <w:rPr>
                <w:rFonts w:hint="eastAsia" w:ascii="宋体" w:hAnsi="宋体" w:eastAsia="宋体" w:cs="宋体"/>
                <w:color w:val="000000"/>
                <w:szCs w:val="21"/>
                <w:highlight w:val="none"/>
              </w:rPr>
            </w:r>
            <w:r/>
          </w:p>
        </w:tc>
      </w:tr>
      <w:tr>
        <w:trPr>
          <w:trHeight w:val="325"/>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25.5</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分包</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none"/>
              </w:rPr>
              <w:t xml:space="preserve">本项目的非主体、非关键性工作是否允许分包：允许</w:t>
            </w:r>
            <w:r>
              <w:rPr>
                <w:rFonts w:hint="eastAsia" w:ascii="宋体" w:hAnsi="宋体" w:eastAsia="宋体" w:cs="宋体"/>
                <w:color w:val="000000"/>
                <w:szCs w:val="21"/>
                <w:highlight w:val="none"/>
                <w:u w:val="single"/>
              </w:rPr>
            </w:r>
            <w:r/>
          </w:p>
        </w:tc>
      </w:tr>
      <w:tr>
        <w:trPr>
          <w:trHeight w:val="20"/>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26.1</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询问</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询问送达形式：接收加盖单位公章的书面询问函</w:t>
            </w:r>
            <w:r>
              <w:rPr>
                <w:rFonts w:hint="eastAsia" w:ascii="宋体" w:hAnsi="宋体" w:eastAsia="宋体" w:cs="宋体"/>
                <w:color w:val="000000"/>
                <w:szCs w:val="21"/>
                <w:highlight w:val="none"/>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Cs w:val="21"/>
                <w:highlight w:val="none"/>
              </w:rPr>
            </w:r>
            <w:r/>
          </w:p>
        </w:tc>
      </w:tr>
      <w:tr>
        <w:trPr>
          <w:trHeight w:val="20"/>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26.2</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质疑送达形式：</w:t>
            </w:r>
            <w:r>
              <w:rPr>
                <w:rFonts w:hint="eastAsia" w:ascii="宋体" w:hAnsi="宋体" w:eastAsia="宋体" w:cs="宋体"/>
                <w:color w:val="000000"/>
                <w:szCs w:val="21"/>
                <w:highlight w:val="none"/>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一、供应商认为自己的权益受到损害的，可以在知道或者应知其权益受到损害之日起七个工作日内，向采购代理机构提出质疑。</w:t>
            </w:r>
            <w:r>
              <w:rPr>
                <w:rFonts w:hint="eastAsia" w:ascii="宋体" w:hAnsi="宋体" w:eastAsia="宋体" w:cs="宋体"/>
                <w:color w:val="000000"/>
                <w:szCs w:val="21"/>
                <w:highlight w:val="none"/>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1.接收质疑函的方式：接收加盖单位公章的书面质疑函</w:t>
            </w:r>
            <w:r>
              <w:rPr>
                <w:rFonts w:hint="eastAsia" w:ascii="宋体" w:hAnsi="宋体" w:eastAsia="宋体" w:cs="宋体"/>
                <w:color w:val="000000"/>
                <w:szCs w:val="21"/>
                <w:highlight w:val="none"/>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2.质疑函的内容、格式：应符合《政府采购质疑和投诉办法》相关规定和财政部门制定的《政府采购质疑函范本》格式。</w:t>
            </w:r>
            <w:r>
              <w:rPr>
                <w:rFonts w:hint="eastAsia" w:ascii="宋体" w:hAnsi="宋体" w:eastAsia="宋体" w:cs="宋体"/>
                <w:color w:val="000000"/>
                <w:szCs w:val="21"/>
                <w:highlight w:val="none"/>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二、供应商应在法定质疑期内一次性针对同一采购程序环节提出质疑，否则针对再次提出的质疑将不予接收。（采购程序环节分为：采购公告、招标文件、采购过程、成交结果）</w:t>
            </w:r>
            <w:r>
              <w:rPr>
                <w:rFonts w:hint="eastAsia" w:ascii="宋体" w:hAnsi="宋体" w:eastAsia="宋体" w:cs="宋体"/>
                <w:color w:val="000000"/>
                <w:szCs w:val="21"/>
                <w:highlight w:val="none"/>
              </w:rPr>
            </w:r>
            <w:r/>
          </w:p>
        </w:tc>
      </w:tr>
      <w:tr>
        <w:trPr>
          <w:trHeight w:val="20"/>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26.3</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接收询问和质疑的联系方式</w:t>
            </w:r>
            <w:r>
              <w:rPr>
                <w:rFonts w:hint="eastAsia" w:ascii="宋体" w:hAnsi="宋体" w:eastAsia="宋体" w:cs="宋体"/>
                <w:color w:val="000000"/>
                <w:szCs w:val="21"/>
                <w:highlight w:val="none"/>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联系单位：</w:t>
            </w:r>
            <w:r>
              <w:rPr>
                <w:rFonts w:hint="eastAsia" w:ascii="宋体" w:hAnsi="宋体" w:eastAsia="宋体" w:cs="宋体"/>
                <w:color w:val="000000"/>
                <w:szCs w:val="21"/>
                <w:highlight w:val="none"/>
                <w:lang w:eastAsia="zh-CN"/>
              </w:rPr>
              <w:t xml:space="preserve">江苏晋陵工程咨询有限公司</w:t>
            </w:r>
            <w:r>
              <w:rPr>
                <w:rFonts w:hint="eastAsia" w:ascii="宋体" w:hAnsi="宋体" w:eastAsia="宋体" w:cs="宋体"/>
                <w:color w:val="000000"/>
                <w:szCs w:val="21"/>
                <w:highlight w:val="none"/>
                <w:lang w:eastAsia="zh-CN"/>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lang w:val="en-US" w:eastAsia="zh-CN"/>
              </w:rPr>
              <w:t xml:space="preserve">干工</w:t>
            </w:r>
            <w:r>
              <w:rPr>
                <w:rFonts w:hint="eastAsia" w:ascii="宋体" w:hAnsi="宋体" w:eastAsia="宋体" w:cs="宋体"/>
                <w:color w:val="000000"/>
                <w:szCs w:val="21"/>
                <w:highlight w:val="none"/>
                <w:lang w:val="en-US" w:eastAsia="zh-CN"/>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lang w:val="zh-TW"/>
              </w:rPr>
            </w:pPr>
            <w:r>
              <w:rPr>
                <w:rFonts w:hint="eastAsia" w:ascii="宋体" w:hAnsi="宋体" w:eastAsia="宋体" w:cs="宋体"/>
                <w:color w:val="000000"/>
                <w:szCs w:val="21"/>
                <w:highlight w:val="none"/>
                <w:lang w:val="zh-TW"/>
              </w:rPr>
              <w:t xml:space="preserve">地　址：</w:t>
            </w:r>
            <w:r>
              <w:rPr>
                <w:rFonts w:hint="eastAsia" w:ascii="宋体" w:hAnsi="宋体" w:eastAsia="宋体" w:cs="宋体"/>
                <w:color w:val="000000"/>
                <w:szCs w:val="21"/>
                <w:highlight w:val="none"/>
              </w:rPr>
              <w:t xml:space="preserve">常州市钟楼区泽仁路9号一楼</w:t>
            </w:r>
            <w:r>
              <w:rPr>
                <w:rFonts w:hint="eastAsia" w:ascii="宋体" w:hAnsi="宋体" w:eastAsia="宋体" w:cs="宋体"/>
                <w:color w:val="000000"/>
                <w:szCs w:val="21"/>
                <w:highlight w:val="none"/>
                <w:lang w:val="zh-TW"/>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联系方式：0519-88132899/13861056707</w:t>
            </w:r>
            <w:r>
              <w:rPr>
                <w:rFonts w:hint="eastAsia" w:ascii="宋体" w:hAnsi="宋体" w:eastAsia="宋体" w:cs="宋体"/>
                <w:color w:val="000000"/>
                <w:szCs w:val="21"/>
                <w:highlight w:val="none"/>
              </w:rPr>
            </w:r>
            <w:r/>
          </w:p>
        </w:tc>
      </w:tr>
      <w:tr>
        <w:trPr>
          <w:trHeight w:val="1769"/>
        </w:trPr>
        <w:tc>
          <w:tcPr>
            <w:tcW w:w="892" w:type="dxa"/>
            <w:vAlign w:val="center"/>
            <w:textDirection w:val="lrTb"/>
            <w:noWrap w:val="false"/>
          </w:tcPr>
          <w:p>
            <w:pPr>
              <w:pStyle w:val="1223"/>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color w:val="000000"/>
                <w:szCs w:val="21"/>
                <w:highlight w:val="none"/>
              </w:rPr>
            </w:r>
            <w:r/>
          </w:p>
        </w:tc>
        <w:tc>
          <w:tcPr>
            <w:tcW w:w="1525" w:type="dxa"/>
            <w:vAlign w:val="center"/>
            <w:textDirection w:val="lrTb"/>
            <w:noWrap w:val="false"/>
          </w:tcPr>
          <w:p>
            <w:pPr>
              <w:pStyle w:val="962"/>
              <w:jc w:val="center"/>
              <w:keepLines w:val="0"/>
              <w:keepNext w:val="0"/>
              <w:pageBreakBefore w:val="0"/>
              <w:spacing w:line="28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代理费</w:t>
            </w:r>
            <w:r>
              <w:rPr>
                <w:rFonts w:hint="eastAsia" w:ascii="宋体" w:hAnsi="宋体" w:eastAsia="宋体" w:cs="宋体"/>
                <w:color w:val="000000"/>
                <w:szCs w:val="21"/>
                <w:highlight w:val="none"/>
              </w:rPr>
            </w:r>
            <w:r/>
          </w:p>
        </w:tc>
        <w:tc>
          <w:tcPr>
            <w:tcW w:w="6804" w:type="dxa"/>
            <w:vAlign w:val="center"/>
            <w:textDirection w:val="lrTb"/>
            <w:noWrap w:val="false"/>
          </w:tcPr>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rPr>
              <w:t xml:space="preserve">收费对象：</w:t>
            </w:r>
            <w:r>
              <w:rPr>
                <w:rFonts w:hint="eastAsia" w:ascii="宋体" w:hAnsi="宋体" w:eastAsia="宋体" w:cs="宋体"/>
                <w:color w:val="000000"/>
                <w:szCs w:val="21"/>
                <w:highlight w:val="none"/>
                <w:lang w:val="en-US" w:eastAsia="zh-CN"/>
              </w:rPr>
              <w:t xml:space="preserve">中标人</w:t>
            </w:r>
            <w:r>
              <w:rPr>
                <w:rFonts w:hint="eastAsia" w:ascii="宋体" w:hAnsi="宋体" w:eastAsia="宋体" w:cs="宋体"/>
                <w:color w:val="000000"/>
                <w:szCs w:val="21"/>
                <w:highlight w:val="none"/>
                <w:lang w:val="zh-TW" w:eastAsia="zh-CN"/>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TW"/>
              </w:rPr>
              <w:t xml:space="preserve">收费标准：</w:t>
            </w:r>
            <w:r>
              <w:rPr>
                <w:rFonts w:hint="eastAsia" w:ascii="宋体" w:hAnsi="宋体" w:eastAsia="宋体" w:cs="宋体"/>
                <w:color w:val="000000"/>
                <w:szCs w:val="21"/>
                <w:highlight w:val="none"/>
                <w:lang w:val="en-US" w:eastAsia="zh-CN"/>
              </w:rPr>
              <w:t xml:space="preserve">代理服务费由供应商在投标报价中综合考虑，</w:t>
            </w:r>
            <w:r>
              <w:rPr>
                <w:rFonts w:hint="eastAsia" w:ascii="宋体" w:hAnsi="宋体" w:eastAsia="宋体" w:cs="宋体"/>
                <w:color w:val="000000"/>
                <w:szCs w:val="21"/>
                <w:highlight w:val="none"/>
                <w:lang w:val="zh-TW" w:eastAsia="zh-CN"/>
              </w:rPr>
              <w:t xml:space="preserve">按每年中标金额的0.8%计算并支付，每签订一年服务合同，计取一次该年度招标代理服务费；若后续年度不予续签，则不再产生后续年度代理服务费。</w:t>
            </w:r>
            <w:r>
              <w:rPr>
                <w:rFonts w:hint="eastAsia" w:ascii="宋体" w:hAnsi="宋体" w:eastAsia="宋体" w:cs="宋体"/>
                <w:color w:val="000000"/>
                <w:szCs w:val="21"/>
                <w:highlight w:val="none"/>
                <w:lang w:val="en-US" w:eastAsia="zh-CN"/>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zh-TW" w:eastAsia="zh-CN"/>
              </w:rPr>
              <w:t xml:space="preserve">缴纳时间：领取</w:t>
            </w:r>
            <w:r>
              <w:rPr>
                <w:rFonts w:hint="eastAsia" w:ascii="宋体" w:hAnsi="宋体" w:eastAsia="宋体" w:cs="宋体"/>
                <w:color w:val="000000"/>
                <w:szCs w:val="21"/>
                <w:highlight w:val="none"/>
                <w:lang w:val="en-US" w:eastAsia="zh-CN"/>
              </w:rPr>
              <w:t xml:space="preserve">中标</w:t>
            </w:r>
            <w:r>
              <w:rPr>
                <w:rFonts w:hint="eastAsia" w:ascii="宋体" w:hAnsi="宋体" w:eastAsia="宋体" w:cs="宋体"/>
                <w:color w:val="000000"/>
                <w:szCs w:val="21"/>
                <w:highlight w:val="none"/>
                <w:lang w:val="zh-TW" w:eastAsia="zh-CN"/>
              </w:rPr>
              <w:t xml:space="preserve">通知书前一次性支付至代理机构指定账号</w:t>
            </w:r>
            <w:r>
              <w:rPr>
                <w:rFonts w:hint="eastAsia" w:ascii="宋体" w:hAnsi="宋体" w:eastAsia="宋体" w:cs="宋体"/>
                <w:color w:val="000000"/>
                <w:szCs w:val="21"/>
                <w:highlight w:val="none"/>
                <w:lang w:val="zh-TW" w:eastAsia="zh-CN"/>
              </w:rPr>
            </w:r>
            <w:r/>
          </w:p>
          <w:p>
            <w:pPr>
              <w:pStyle w:val="962"/>
              <w:jc w:val="left"/>
              <w:keepLines w:val="0"/>
              <w:keepNext w:val="0"/>
              <w:pageBreakBefore w:val="0"/>
              <w:spacing w:line="280" w:lineRule="exact"/>
              <w:widowControl w:val="off"/>
              <w:rPr>
                <w:rFonts w:hint="eastAsia" w:ascii="宋体" w:hAnsi="宋体" w:eastAsia="宋体" w:cs="宋体"/>
                <w:color w:val="000000"/>
                <w:szCs w:val="21"/>
                <w:highlight w:val="none"/>
                <w:lang w:val="zh-TW" w:eastAsia="zh-CN"/>
              </w:rPr>
            </w:pPr>
            <w:r/>
            <w:bookmarkStart w:id="71" w:name="_Toc4760"/>
            <w:r>
              <w:rPr>
                <w:rFonts w:hint="eastAsia" w:ascii="宋体" w:hAnsi="宋体" w:eastAsia="宋体" w:cs="宋体"/>
                <w:color w:val="000000"/>
                <w:szCs w:val="21"/>
                <w:highlight w:val="none"/>
                <w:lang w:val="zh-TW"/>
              </w:rPr>
              <w:t xml:space="preserve">收款单位：</w:t>
            </w:r>
            <w:bookmarkEnd w:id="71"/>
            <w:r>
              <w:rPr>
                <w:rFonts w:hint="eastAsia" w:ascii="宋体" w:hAnsi="宋体" w:eastAsia="宋体" w:cs="宋体"/>
                <w:color w:val="000000"/>
                <w:szCs w:val="21"/>
                <w:highlight w:val="none"/>
                <w:lang w:val="zh-TW" w:eastAsia="zh-CN"/>
              </w:rPr>
              <w:t xml:space="preserve">江苏晋陵工程咨询有限公司</w:t>
            </w:r>
            <w:r>
              <w:rPr>
                <w:rFonts w:hint="eastAsia" w:ascii="宋体" w:hAnsi="宋体" w:eastAsia="宋体" w:cs="宋体"/>
                <w:color w:val="000000"/>
                <w:szCs w:val="21"/>
                <w:highlight w:val="none"/>
                <w:lang w:val="zh-TW" w:eastAsia="zh-CN"/>
              </w:rPr>
            </w:r>
            <w:r/>
          </w:p>
          <w:p>
            <w:pPr>
              <w:pStyle w:val="962"/>
              <w:jc w:val="left"/>
              <w:keepLines w:val="0"/>
              <w:keepNext w:val="0"/>
              <w:pageBreakBefore w:val="0"/>
              <w:spacing w:line="280" w:lineRule="exact"/>
              <w:widowControl w:val="off"/>
              <w:rPr>
                <w:rFonts w:hint="eastAsia" w:ascii="宋体" w:hAnsi="宋体" w:eastAsia="宋体" w:cs="宋体"/>
                <w:color w:val="000000"/>
                <w:highlight w:val="none"/>
              </w:rPr>
            </w:pPr>
            <w:r/>
            <w:bookmarkStart w:id="72" w:name="_Toc58928459"/>
            <w:r/>
            <w:bookmarkEnd w:id="72"/>
            <w:r/>
            <w:bookmarkStart w:id="73" w:name="_Toc10855"/>
            <w:r/>
            <w:bookmarkEnd w:id="73"/>
            <w:r>
              <w:rPr>
                <w:rFonts w:hint="eastAsia" w:ascii="宋体" w:hAnsi="宋体" w:eastAsia="宋体" w:cs="宋体"/>
                <w:color w:val="000000"/>
                <w:highlight w:val="none"/>
              </w:rPr>
              <w:t xml:space="preserve">开户银行：交通银行股份有限公司常州新区支行</w:t>
            </w:r>
            <w:r>
              <w:rPr>
                <w:rFonts w:hint="eastAsia" w:ascii="宋体" w:hAnsi="宋体" w:eastAsia="宋体" w:cs="宋体"/>
                <w:color w:val="000000"/>
                <w:highlight w:val="none"/>
              </w:rPr>
            </w:r>
            <w:r/>
          </w:p>
          <w:p>
            <w:pPr>
              <w:pStyle w:val="962"/>
              <w:jc w:val="left"/>
              <w:keepLines w:val="0"/>
              <w:keepNext w:val="0"/>
              <w:pageBreakBefore w:val="0"/>
              <w:spacing w:line="2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账号：324006040012000680137</w:t>
            </w:r>
            <w:r>
              <w:rPr>
                <w:rFonts w:hint="eastAsia" w:ascii="宋体" w:hAnsi="宋体" w:eastAsia="宋体" w:cs="宋体"/>
                <w:color w:val="000000"/>
                <w:highlight w:val="none"/>
              </w:rPr>
            </w:r>
            <w:r/>
          </w:p>
        </w:tc>
      </w:tr>
    </w:tbl>
    <w:p>
      <w:pPr>
        <w:pStyle w:val="962"/>
        <w:jc w:val="center"/>
        <w:spacing w:before="240" w:after="240"/>
        <w:rPr>
          <w:rFonts w:hint="eastAsia" w:ascii="宋体" w:hAnsi="宋体" w:eastAsia="宋体" w:cs="宋体"/>
          <w:b/>
          <w:color w:val="000000"/>
          <w:sz w:val="28"/>
          <w:szCs w:val="28"/>
          <w:highlight w:val="none"/>
        </w:rPr>
      </w:pPr>
      <w:r/>
      <w:bookmarkStart w:id="74" w:name="_Toc226965790"/>
      <w:r/>
      <w:bookmarkStart w:id="75" w:name="_Toc353873932"/>
      <w:r/>
      <w:bookmarkStart w:id="76" w:name="_Toc353873662"/>
      <w:r/>
      <w:bookmarkStart w:id="77" w:name="_Toc353825542"/>
      <w:r/>
      <w:bookmarkStart w:id="78" w:name="_Toc226337213"/>
      <w:r/>
      <w:bookmarkStart w:id="79" w:name="_Toc142311019"/>
      <w:r/>
      <w:bookmarkStart w:id="80" w:name="_Toc264969207"/>
      <w:r/>
      <w:bookmarkStart w:id="81" w:name="_Toc265228355"/>
      <w:r/>
      <w:bookmarkStart w:id="82" w:name="_Toc150480755"/>
      <w:r/>
      <w:bookmarkStart w:id="83" w:name="_Toc305158859"/>
      <w:r/>
      <w:bookmarkStart w:id="84" w:name="_Toc127151517"/>
      <w:r/>
      <w:bookmarkStart w:id="85" w:name="_Toc150774722"/>
      <w:r/>
      <w:bookmarkStart w:id="86" w:name="_Toc195842882"/>
      <w:r/>
      <w:bookmarkStart w:id="87" w:name="_Toc305158785"/>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rPr>
        <w:t xml:space="preserve">供应商须知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b/>
          <w:color w:val="000000"/>
          <w:sz w:val="28"/>
          <w:szCs w:val="28"/>
          <w:highlight w:val="none"/>
        </w:rPr>
      </w:r>
      <w:r/>
    </w:p>
    <w:p>
      <w:pPr>
        <w:pStyle w:val="1187"/>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8" w:name="_Toc520356143"/>
      <w:r/>
      <w:bookmarkStart w:id="89" w:name="_Toc127151518"/>
      <w:r>
        <w:rPr>
          <w:rFonts w:hint="eastAsia" w:ascii="宋体" w:hAnsi="宋体" w:eastAsia="宋体" w:cs="宋体"/>
          <w:color w:val="000000"/>
          <w:sz w:val="28"/>
          <w:highlight w:val="none"/>
        </w:rPr>
        <w:tab/>
      </w:r>
      <w:bookmarkStart w:id="90" w:name="_Toc151190145"/>
      <w:r/>
      <w:bookmarkStart w:id="91" w:name="_Toc305158860"/>
      <w:r/>
      <w:bookmarkStart w:id="92" w:name="_Toc150774723"/>
      <w:r/>
      <w:bookmarkStart w:id="93" w:name="_Toc226337214"/>
      <w:r/>
      <w:bookmarkStart w:id="94" w:name="_Toc150509269"/>
      <w:r/>
      <w:bookmarkStart w:id="95" w:name="_Toc150774618"/>
      <w:r/>
      <w:bookmarkStart w:id="96" w:name="_Toc150480756"/>
      <w:r/>
      <w:bookmarkStart w:id="97" w:name="_Toc151193760"/>
      <w:r/>
      <w:bookmarkStart w:id="98" w:name="_Toc264969208"/>
      <w:r/>
      <w:bookmarkStart w:id="99" w:name="_Toc305158786"/>
      <w:r/>
      <w:bookmarkStart w:id="100" w:name="_Toc142311020"/>
      <w:r/>
      <w:bookmarkStart w:id="101" w:name="_Toc226965791"/>
      <w:r/>
      <w:bookmarkStart w:id="102" w:name="_Toc226965708"/>
      <w:r/>
      <w:bookmarkStart w:id="103" w:name="_Toc151193616"/>
      <w:r/>
      <w:bookmarkStart w:id="104" w:name="_Toc151193832"/>
      <w:r/>
      <w:bookmarkStart w:id="105" w:name="_Toc265228356"/>
      <w:r/>
      <w:bookmarkStart w:id="106" w:name="_Toc195842883"/>
      <w:r/>
      <w:bookmarkStart w:id="107" w:name="_Toc226309762"/>
      <w:r/>
      <w:bookmarkStart w:id="108" w:name="_Toc151193906"/>
      <w:r/>
      <w:bookmarkStart w:id="109" w:name="_Toc151193688"/>
      <w:r>
        <w:rPr>
          <w:rFonts w:hint="eastAsia" w:ascii="宋体" w:hAnsi="宋体" w:eastAsia="宋体" w:cs="宋体"/>
          <w:color w:val="000000"/>
          <w:sz w:val="28"/>
          <w:highlight w:val="none"/>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110" w:name="_Toc264969209"/>
      <w:r/>
      <w:bookmarkStart w:id="111" w:name="_Toc305158787"/>
      <w:r/>
      <w:bookmarkStart w:id="112" w:name="_Toc305158861"/>
      <w:r/>
      <w:bookmarkStart w:id="113" w:name="_Toc265228357"/>
      <w:r>
        <w:rPr>
          <w:rFonts w:hint="eastAsia" w:ascii="宋体" w:hAnsi="宋体" w:eastAsia="宋体" w:cs="宋体"/>
          <w:color w:val="000000"/>
          <w:sz w:val="21"/>
          <w:szCs w:val="21"/>
          <w:highlight w:val="none"/>
        </w:rPr>
        <w:t xml:space="preserve">1.采购人、采购代理机构、</w:t>
      </w:r>
      <w:bookmarkEnd w:id="110"/>
      <w:r/>
      <w:bookmarkEnd w:id="111"/>
      <w:r/>
      <w:bookmarkEnd w:id="112"/>
      <w:r/>
      <w:bookmarkEnd w:id="113"/>
      <w:r>
        <w:rPr>
          <w:rFonts w:hint="eastAsia" w:ascii="宋体" w:hAnsi="宋体" w:eastAsia="宋体" w:cs="宋体"/>
          <w:color w:val="000000"/>
          <w:sz w:val="21"/>
          <w:szCs w:val="21"/>
          <w:highlight w:val="none"/>
        </w:rPr>
        <w:t xml:space="preserve">供应商、联合体</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1.2供应商（也称“投标人”、“申请人”）：指向采购人提供货物、工程或者服务的法人、其他组织或者自然人。</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1.3联合体：指两个以上的自然人、法人或者其他组织组成一个联合体，以一个供应商的身份共同参加政府采购。</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114" w:name="_Toc151193834"/>
      <w:r/>
      <w:bookmarkStart w:id="115" w:name="_Toc150774725"/>
      <w:r/>
      <w:bookmarkStart w:id="116" w:name="_Toc164229361"/>
      <w:r/>
      <w:bookmarkStart w:id="117" w:name="_Toc127151721"/>
      <w:r/>
      <w:bookmarkStart w:id="118" w:name="_Toc150774620"/>
      <w:r/>
      <w:bookmarkStart w:id="119" w:name="_Toc164608789"/>
      <w:r/>
      <w:bookmarkStart w:id="120" w:name="_Toc142311022"/>
      <w:r/>
      <w:bookmarkStart w:id="121" w:name="_Toc226965793"/>
      <w:r/>
      <w:bookmarkStart w:id="122" w:name="_Toc264969210"/>
      <w:r/>
      <w:bookmarkStart w:id="123" w:name="_Toc150480758"/>
      <w:r/>
      <w:bookmarkStart w:id="124" w:name="_Toc195842885"/>
      <w:r/>
      <w:bookmarkStart w:id="125" w:name="_Toc150509271"/>
      <w:r/>
      <w:bookmarkStart w:id="126" w:name="_Toc151193762"/>
      <w:r/>
      <w:bookmarkStart w:id="127" w:name="_Toc164229215"/>
      <w:r/>
      <w:bookmarkStart w:id="128" w:name="_Toc151190147"/>
      <w:r/>
      <w:bookmarkStart w:id="129" w:name="_Toc164351614"/>
      <w:r/>
      <w:bookmarkStart w:id="130" w:name="_Toc305158788"/>
      <w:r/>
      <w:bookmarkStart w:id="131" w:name="_Toc127161434"/>
      <w:r/>
      <w:bookmarkStart w:id="132" w:name="_Toc164608634"/>
      <w:r/>
      <w:bookmarkStart w:id="133" w:name="_Toc151193618"/>
      <w:r/>
      <w:bookmarkStart w:id="134" w:name="_Toc151193908"/>
      <w:r/>
      <w:bookmarkStart w:id="135" w:name="_Toc226337216"/>
      <w:r/>
      <w:bookmarkStart w:id="136" w:name="_Toc305158862"/>
      <w:r/>
      <w:bookmarkStart w:id="137" w:name="_Toc149720813"/>
      <w:r/>
      <w:bookmarkStart w:id="138" w:name="_Toc127151520"/>
      <w:r/>
      <w:bookmarkStart w:id="139" w:name="_Toc226309764"/>
      <w:r/>
      <w:bookmarkStart w:id="140" w:name="_Toc226965710"/>
      <w:r/>
      <w:bookmarkStart w:id="141" w:name="_Toc151193690"/>
      <w:r/>
      <w:bookmarkStart w:id="142" w:name="_Toc265228358"/>
      <w:r>
        <w:rPr>
          <w:rFonts w:hint="eastAsia" w:ascii="宋体" w:hAnsi="宋体" w:eastAsia="宋体" w:cs="宋体"/>
          <w:color w:val="000000"/>
          <w:sz w:val="21"/>
          <w:szCs w:val="21"/>
          <w:highlight w:val="none"/>
        </w:rPr>
        <w:t xml:space="preserve">2.资金来源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ascii="宋体" w:hAnsi="宋体" w:eastAsia="宋体" w:cs="宋体"/>
          <w:color w:val="000000"/>
          <w:sz w:val="21"/>
          <w:szCs w:val="21"/>
          <w:highlight w:val="none"/>
        </w:rPr>
        <w:t xml:space="preserve">、项目属性、科研仪器设备采购、核心产品</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2.1资金来源为财政性资金和/或本项目采购中无法与财政性资金分割的非财政性资金。</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2.2项目属性见《供应商须知资料表》。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2.3是否属于科研仪器设备采购见《供应商须知资料表》。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2.4核心产品见《供应商须知资料表》。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3.现场考察、开标前答疑会</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3.1若《供应商须知资料表》中规定了组织现场考察、召开开标前答疑会，则供应商应按要求在规定的时间和地点参加。</w:t>
      </w:r>
      <w:bookmarkStart w:id="143" w:name="_Toc226965795"/>
      <w:r/>
      <w:bookmarkStart w:id="144" w:name="_Toc226337218"/>
      <w:r/>
      <w:bookmarkStart w:id="145" w:name="_Toc195842887"/>
      <w:r/>
      <w:bookmarkStart w:id="146" w:name="_Toc151193692"/>
      <w:r/>
      <w:bookmarkStart w:id="147" w:name="_Toc151193764"/>
      <w:r/>
      <w:bookmarkStart w:id="148" w:name="_Toc142311024"/>
      <w:r/>
      <w:bookmarkStart w:id="149" w:name="_Toc226309766"/>
      <w:r/>
      <w:bookmarkStart w:id="150" w:name="_Toc150480760"/>
      <w:r/>
      <w:bookmarkStart w:id="151" w:name="_Toc150774622"/>
      <w:r/>
      <w:bookmarkStart w:id="152" w:name="_Toc520356146"/>
      <w:r/>
      <w:bookmarkStart w:id="153" w:name="_Toc151193620"/>
      <w:r/>
      <w:bookmarkStart w:id="154" w:name="_Toc265228360"/>
      <w:r/>
      <w:bookmarkStart w:id="155" w:name="_Toc151193836"/>
      <w:r/>
      <w:bookmarkStart w:id="156" w:name="_Toc150509273"/>
      <w:r/>
      <w:bookmarkStart w:id="157" w:name="_Toc305158790"/>
      <w:r/>
      <w:bookmarkStart w:id="158" w:name="_Toc226965712"/>
      <w:r/>
      <w:bookmarkStart w:id="159" w:name="_Toc151190149"/>
      <w:r/>
      <w:bookmarkStart w:id="160" w:name="_Toc305158864"/>
      <w:r/>
      <w:bookmarkStart w:id="161" w:name="_Toc151193910"/>
      <w:r/>
      <w:bookmarkStart w:id="162" w:name="_Toc264969212"/>
      <w:r/>
      <w:bookmarkStart w:id="163" w:name="_Toc150774727"/>
      <w:r/>
      <w:bookmarkStart w:id="164" w:name="_Toc127151522"/>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3.2由于未参加现场考察或开标前答疑会而导致对项目实际情况不了解，影响投标文件编制、投标报价准确性、综合因素响应不全面等问题的，由供应商自行承担不利评审后果。</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4.样品</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4.1本项目是否要求供应商提供样品，以及样品制作的标准和要求、是否需要随样品提交相关检测报告、样品的递交与退还等要求见《供应商须知资料表》。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4.2样品的评审方法以及评审标准等内容见第四章《评标方法和评标标准》。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5.政府采购政策（包括但不限于下列具体政策要求）</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5.1进口产品</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5.2中小企业、监狱企业及残疾人福利性单位</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5.2.1中小企业定义：</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5.2.1.1中小企业是</w:t>
      </w:r>
      <w:r>
        <w:rPr>
          <w:rFonts w:hint="eastAsia" w:ascii="宋体" w:hAnsi="宋体" w:eastAsia="宋体" w:cs="宋体"/>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5.2.1.2供应商提供的货物、工程或者服务符合下列情形的，享受中小企业扶持政策：</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（2）在工程采购项目中，工程由中小企业承建，即工程施工单位为中小企业；</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5.2.1.3在货物采购项目中，供应商提供的货物既有中小企业制造货物，也有大型企业制造货物的，不享受中小企业扶持政策。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5.2.3残疾人福利单位定义：享受政府采购支持政策的残疾人福利性单位应当同时满足以下条件：</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5.2.3.1安置的残疾人占本单位在职职工人数的比例不低于25%（含25%），并且安置的残疾人人数不少于10 人（含10 人）；</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5.2.3.2依法与安置的每位残疾人签订了一年以上（含一年）的劳动合同或服务协议；</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5.2.3.3为安置的每位残疾人按月足额缴纳了基本养老保险、基本医疗保险、失业保险、工伤保险和生育保险等社会保险费；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5.2.4本项目是否专门面向中小企业预留采购份额见第一章《投标邀请》。</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5.2.5采购标的对应的中小企业划分标准所属行业见《供应商须知资料表》。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5.2.6小微企业价格评审优惠的政策调整：见第四章《评标方法和评标标准》。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5.3政府采购节能产品、环境标志产品</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5.3.3如本项目采购产品属于实施政府强制采购品目清单范围的节能产品，则供应商所报产品必须获得国家确定的认证机构出具的、处于有效期之内的节能产品认证证书，否则投标无效；</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5.4支持乡村产业振兴管理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5.5正版软件</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color w:val="000000"/>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5.6政府采购创新产品政策</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5.7绿色采购政策</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5.7.1  绿色数据中心政策 </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依据《绿色数据中心政府采购需求标准（试行）》（财办库〔2023〕7 号）文件精神，采购</w:t>
      </w:r>
      <w:r>
        <w:rPr>
          <w:rFonts w:hint="eastAsia" w:ascii="宋体" w:hAnsi="宋体" w:eastAsia="宋体" w:cs="宋体"/>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5.7.2 推广应用绿色建材</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5.7.3 优先使用低挥发性有机化合物产品</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5.8</w:t>
      </w:r>
      <w:r>
        <w:rPr>
          <w:rFonts w:hint="eastAsia" w:ascii="宋体" w:hAnsi="宋体" w:eastAsia="宋体" w:cs="宋体"/>
          <w:color w:val="000000"/>
          <w:sz w:val="21"/>
          <w:szCs w:val="21"/>
          <w:highlight w:val="none"/>
          <w:lang w:val="en-US" w:eastAsia="zh-CN"/>
        </w:rPr>
        <w:t xml:space="preserve">电子履约保函政策</w:t>
      </w:r>
      <w:r>
        <w:rPr>
          <w:rFonts w:hint="eastAsia" w:ascii="宋体" w:hAnsi="宋体" w:eastAsia="宋体" w:cs="宋体"/>
          <w:color w:val="000000"/>
          <w:sz w:val="21"/>
          <w:szCs w:val="21"/>
          <w:highlight w:val="none"/>
          <w:lang w:val="en-US" w:eastAsia="zh-CN"/>
        </w:rPr>
      </w:r>
      <w:r/>
    </w:p>
    <w:p>
      <w:pPr>
        <w:pStyle w:val="1253"/>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为进一步优化政府采购营商环境，规范我省政府采购履约保证金管理，持续降低供应商参与政府采购成</w:t>
      </w:r>
      <w:r>
        <w:rPr>
          <w:rFonts w:hint="eastAsia" w:ascii="宋体" w:hAnsi="宋体" w:eastAsia="宋体" w:cs="宋体"/>
          <w:color w:val="000000"/>
          <w:sz w:val="21"/>
          <w:szCs w:val="21"/>
          <w:highlight w:val="none"/>
          <w:lang w:val="en-US" w:eastAsia="zh-CN"/>
        </w:rPr>
        <w:t xml:space="preserve">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中标人履行合同义务的担保或保险。如中标、中标人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1"/>
          <w:szCs w:val="21"/>
          <w:highlight w:val="none"/>
          <w:lang w:val="en-US" w:eastAsia="zh-CN"/>
        </w:rPr>
      </w:r>
      <w:r/>
    </w:p>
    <w:p>
      <w:pPr>
        <w:pStyle w:val="1253"/>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5.9政府采购中实施本国产品标准及相关政策</w:t>
      </w:r>
      <w:r>
        <w:rPr>
          <w:rFonts w:hint="eastAsia" w:ascii="宋体" w:hAnsi="宋体" w:eastAsia="宋体" w:cs="宋体"/>
          <w:color w:val="000000"/>
          <w:sz w:val="21"/>
          <w:szCs w:val="21"/>
          <w:highlight w:val="none"/>
          <w:lang w:val="en-US" w:eastAsia="zh-CN"/>
        </w:rPr>
      </w:r>
      <w:r/>
    </w:p>
    <w:p>
      <w:pPr>
        <w:pStyle w:val="1253"/>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国产品标准适用于货物，包括政府采购货物项目和服务项目中涉及的货物。完成本服务项目中涉及的洗涤剂等货物均应使用本国产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lang w:val="en-US" w:eastAsia="zh-CN"/>
        </w:rPr>
      </w:r>
      <w:r/>
    </w:p>
    <w:p>
      <w:pPr>
        <w:pStyle w:val="1253"/>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响应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eastAsia="宋体" w:cs="宋体"/>
          <w:color w:val="000000"/>
          <w:sz w:val="21"/>
          <w:szCs w:val="21"/>
          <w:highlight w:val="none"/>
          <w:lang w:val="en-US" w:eastAsia="zh-CN"/>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6.投标费用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6.1供应商应自行承担所有与准备和参加投标有关的费用，无论投标的结果如何，</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6.2采购人或采购代理机构在任何情况下均无承担这些费用的义务和责任。</w:t>
      </w:r>
      <w:r>
        <w:rPr>
          <w:rFonts w:hint="eastAsia" w:ascii="宋体" w:hAnsi="宋体" w:eastAsia="宋体" w:cs="宋体"/>
          <w:color w:val="000000"/>
          <w:sz w:val="21"/>
          <w:szCs w:val="21"/>
          <w:highlight w:val="none"/>
        </w:rPr>
      </w:r>
      <w:r/>
    </w:p>
    <w:p>
      <w:pPr>
        <w:pStyle w:val="1187"/>
        <w:jc w:val="center"/>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165" w:name="_1.8_计量单位"/>
      <w:r/>
      <w:bookmarkEnd w:id="165"/>
      <w:r>
        <w:rPr>
          <w:rFonts w:hint="eastAsia" w:ascii="宋体" w:hAnsi="宋体" w:eastAsia="宋体" w:cs="宋体"/>
          <w:color w:val="000000"/>
          <w:sz w:val="28"/>
          <w:highlight w:val="none"/>
        </w:rPr>
      </w:r>
      <w:r/>
    </w:p>
    <w:p>
      <w:pPr>
        <w:pStyle w:val="1187"/>
        <w:jc w:val="center"/>
        <w:spacing w:before="0" w:line="360" w:lineRule="auto"/>
        <w:tabs>
          <w:tab w:val="center" w:pos="4592" w:leader="none"/>
          <w:tab w:val="left" w:pos="78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hAnsi="宋体" w:eastAsia="宋体" w:cs="宋体"/>
          <w:color w:val="000000"/>
          <w:sz w:val="28"/>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166" w:name="_Toc520356147"/>
      <w:r/>
      <w:bookmarkStart w:id="167" w:name="_Toc226965713"/>
      <w:r/>
      <w:bookmarkStart w:id="168" w:name="_Toc127151724"/>
      <w:r/>
      <w:bookmarkStart w:id="169" w:name="_Toc226965796"/>
      <w:r/>
      <w:bookmarkStart w:id="170" w:name="_Toc164229364"/>
      <w:r/>
      <w:bookmarkStart w:id="171" w:name="_Toc305158865"/>
      <w:r/>
      <w:bookmarkStart w:id="172" w:name="_Toc151193911"/>
      <w:r/>
      <w:bookmarkStart w:id="173" w:name="_Toc142311025"/>
      <w:r/>
      <w:bookmarkStart w:id="174" w:name="_Toc151193693"/>
      <w:r/>
      <w:bookmarkStart w:id="175" w:name="_Toc127161437"/>
      <w:r/>
      <w:bookmarkStart w:id="176" w:name="_Toc164351617"/>
      <w:r/>
      <w:bookmarkStart w:id="177" w:name="_Toc164229218"/>
      <w:r/>
      <w:bookmarkStart w:id="178" w:name="_Toc195842888"/>
      <w:r/>
      <w:bookmarkStart w:id="179" w:name="_Toc226309767"/>
      <w:r/>
      <w:bookmarkStart w:id="180" w:name="_Toc150774623"/>
      <w:r/>
      <w:bookmarkStart w:id="181" w:name="_Toc305158791"/>
      <w:r/>
      <w:bookmarkStart w:id="182" w:name="_Toc151190150"/>
      <w:r/>
      <w:bookmarkStart w:id="183" w:name="_Toc226337219"/>
      <w:r/>
      <w:bookmarkStart w:id="184" w:name="_Toc150480761"/>
      <w:r/>
      <w:bookmarkStart w:id="185" w:name="_Toc151193837"/>
      <w:r/>
      <w:bookmarkStart w:id="186" w:name="_Toc150774728"/>
      <w:r/>
      <w:bookmarkStart w:id="187" w:name="_Toc151193621"/>
      <w:r/>
      <w:bookmarkStart w:id="188" w:name="_Toc164608792"/>
      <w:r/>
      <w:bookmarkStart w:id="189" w:name="_Toc151193765"/>
      <w:r/>
      <w:bookmarkStart w:id="190" w:name="_Toc149720816"/>
      <w:r/>
      <w:bookmarkStart w:id="191" w:name="_Toc150509274"/>
      <w:r/>
      <w:bookmarkStart w:id="192" w:name="_Toc264969213"/>
      <w:r/>
      <w:bookmarkStart w:id="193" w:name="_Toc127151523"/>
      <w:r/>
      <w:bookmarkStart w:id="194" w:name="_Toc164608637"/>
      <w:r/>
      <w:bookmarkStart w:id="195" w:name="_Toc265228361"/>
      <w:r>
        <w:rPr>
          <w:rFonts w:hint="eastAsia" w:ascii="宋体" w:hAnsi="宋体" w:eastAsia="宋体" w:cs="宋体"/>
          <w:color w:val="000000"/>
          <w:sz w:val="21"/>
          <w:szCs w:val="21"/>
          <w:highlight w:val="none"/>
        </w:rPr>
        <w:t xml:space="preserve">7.招标文件构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eastAsia="宋体" w:cs="宋体"/>
          <w:color w:val="000000"/>
          <w:sz w:val="21"/>
          <w:szCs w:val="21"/>
          <w:highlight w:val="none"/>
        </w:rPr>
        <w:t xml:space="preserve">成</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7.1招标文件包括以下部分：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第一章 投标邀请</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第二章 供应商须知</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第三章 资格审查</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第四章 评标程序、评标方法和评标标准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第五章 采购需求</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第六章 拟签订的合同文本</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第七章 投标文件格式</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7.2供应商应认真阅读招标文件的全部内容。供应商应按照招标文件要求提交投标文件并保证所提供的全部资料的真实性，并对招标文件做出实质性响应，否则投标无效。</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8.对招标文件的澄清或修改</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8.1采购人或采购代理机构对已发出的招标文件进行必要澄清或者修改的，将在原公告发布媒体上以发布更正公告的形式通知所有获取招标文件的潜在供应商。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rPr>
          <w:rFonts w:hint="eastAsia" w:ascii="宋体" w:hAnsi="宋体" w:eastAsia="宋体" w:cs="宋体"/>
          <w:color w:val="000000"/>
          <w:sz w:val="21"/>
          <w:szCs w:val="21"/>
          <w:highlight w:val="none"/>
        </w:rPr>
      </w:r>
      <w:r/>
    </w:p>
    <w:p>
      <w:pPr>
        <w:pStyle w:val="1187"/>
        <w:jc w:val="center"/>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196" w:name="_Toc305158794"/>
      <w:r/>
      <w:bookmarkStart w:id="197" w:name="_Toc151193624"/>
      <w:r/>
      <w:bookmarkStart w:id="198" w:name="_Toc151190153"/>
      <w:r/>
      <w:bookmarkStart w:id="199" w:name="_Toc226965799"/>
      <w:r/>
      <w:bookmarkStart w:id="200" w:name="_Toc265228364"/>
      <w:r/>
      <w:bookmarkStart w:id="201" w:name="_Toc520356150"/>
      <w:r/>
      <w:bookmarkStart w:id="202" w:name="_Toc264969216"/>
      <w:r/>
      <w:bookmarkStart w:id="203" w:name="_Toc151193840"/>
      <w:r/>
      <w:bookmarkStart w:id="204" w:name="_Toc150509277"/>
      <w:r/>
      <w:bookmarkStart w:id="205" w:name="_Toc226965716"/>
      <w:r/>
      <w:bookmarkStart w:id="206" w:name="_Toc150774731"/>
      <w:r/>
      <w:bookmarkStart w:id="207" w:name="_Toc151193696"/>
      <w:r/>
      <w:bookmarkStart w:id="208" w:name="_Toc127151526"/>
      <w:r/>
      <w:bookmarkStart w:id="209" w:name="_Toc516367020"/>
      <w:r/>
      <w:bookmarkStart w:id="210" w:name="_Toc150774626"/>
      <w:r/>
      <w:bookmarkStart w:id="211" w:name="_Toc142311028"/>
      <w:r/>
      <w:bookmarkStart w:id="212" w:name="_Toc151193768"/>
      <w:r/>
      <w:bookmarkStart w:id="213" w:name="_Toc305158868"/>
      <w:r/>
      <w:bookmarkStart w:id="214" w:name="_Toc195842891"/>
      <w:r/>
      <w:bookmarkStart w:id="215" w:name="_Toc226337222"/>
      <w:r/>
      <w:bookmarkStart w:id="216" w:name="_Toc150480764"/>
      <w:r/>
      <w:bookmarkStart w:id="217" w:name="_Toc226309770"/>
      <w:r/>
      <w:bookmarkStart w:id="218" w:name="_Toc151193914"/>
      <w:r>
        <w:rPr>
          <w:rFonts w:hint="eastAsia" w:ascii="宋体" w:hAnsi="宋体" w:eastAsia="宋体" w:cs="宋体"/>
          <w:color w:val="000000"/>
          <w:sz w:val="28"/>
          <w:highlight w:val="none"/>
        </w:rPr>
      </w:r>
      <w:r/>
    </w:p>
    <w:p>
      <w:pPr>
        <w:pStyle w:val="1187"/>
        <w:jc w:val="center"/>
        <w:spacing w:before="0" w:line="360" w:lineRule="auto"/>
        <w:tabs>
          <w:tab w:val="center" w:pos="4592" w:leader="none"/>
          <w:tab w:val="left" w:pos="78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209"/>
      <w:r>
        <w:rPr>
          <w:rFonts w:hint="eastAsia" w:ascii="宋体" w:hAnsi="宋体" w:eastAsia="宋体" w:cs="宋体"/>
          <w:color w:val="000000"/>
          <w:sz w:val="28"/>
          <w:highlight w:val="none"/>
        </w:rPr>
        <w:t xml:space="preserve">的编制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10"/>
      <w:r/>
      <w:bookmarkEnd w:id="211"/>
      <w:r/>
      <w:bookmarkEnd w:id="212"/>
      <w:r/>
      <w:bookmarkEnd w:id="213"/>
      <w:r/>
      <w:bookmarkEnd w:id="214"/>
      <w:r/>
      <w:bookmarkEnd w:id="215"/>
      <w:r/>
      <w:bookmarkEnd w:id="216"/>
      <w:r/>
      <w:bookmarkEnd w:id="217"/>
      <w:r/>
      <w:bookmarkEnd w:id="218"/>
      <w:r>
        <w:rPr>
          <w:rFonts w:hint="eastAsia" w:ascii="宋体" w:hAnsi="宋体" w:eastAsia="宋体" w:cs="宋体"/>
          <w:color w:val="000000"/>
          <w:sz w:val="28"/>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219" w:name="_Toc226309771"/>
      <w:r/>
      <w:bookmarkStart w:id="220" w:name="_Toc305158869"/>
      <w:r/>
      <w:bookmarkStart w:id="221" w:name="_Toc151193697"/>
      <w:r/>
      <w:bookmarkStart w:id="222" w:name="_Toc264969217"/>
      <w:r/>
      <w:bookmarkStart w:id="223" w:name="_Toc127161441"/>
      <w:r/>
      <w:bookmarkStart w:id="224" w:name="_Toc151193915"/>
      <w:r/>
      <w:bookmarkStart w:id="225" w:name="_Toc151193769"/>
      <w:r/>
      <w:bookmarkStart w:id="226" w:name="_Toc150509278"/>
      <w:r/>
      <w:bookmarkStart w:id="227" w:name="_Toc226337223"/>
      <w:r/>
      <w:bookmarkStart w:id="228" w:name="_Toc149720820"/>
      <w:r/>
      <w:bookmarkStart w:id="229" w:name="_Toc151193841"/>
      <w:r/>
      <w:bookmarkStart w:id="230" w:name="_Toc151193625"/>
      <w:r/>
      <w:bookmarkStart w:id="231" w:name="_Toc150480765"/>
      <w:r/>
      <w:bookmarkStart w:id="232" w:name="_Toc127151728"/>
      <w:r/>
      <w:bookmarkStart w:id="233" w:name="_Toc226965717"/>
      <w:r/>
      <w:bookmarkStart w:id="234" w:name="_Toc516367021"/>
      <w:r/>
      <w:bookmarkStart w:id="235" w:name="_Toc265228365"/>
      <w:r/>
      <w:bookmarkStart w:id="236" w:name="_Toc164229222"/>
      <w:r/>
      <w:bookmarkStart w:id="237" w:name="_Toc151190154"/>
      <w:r/>
      <w:bookmarkStart w:id="238" w:name="_Toc305158795"/>
      <w:r/>
      <w:bookmarkStart w:id="239" w:name="_Toc164608796"/>
      <w:r/>
      <w:bookmarkStart w:id="240" w:name="_Toc142311029"/>
      <w:r/>
      <w:bookmarkStart w:id="241" w:name="_Toc520356151"/>
      <w:r/>
      <w:bookmarkStart w:id="242" w:name="_Toc127151527"/>
      <w:r/>
      <w:bookmarkStart w:id="243" w:name="_Toc150774627"/>
      <w:r/>
      <w:bookmarkStart w:id="244" w:name="_Toc195842892"/>
      <w:r/>
      <w:bookmarkStart w:id="245" w:name="_Toc150774732"/>
      <w:r/>
      <w:bookmarkStart w:id="246" w:name="_Toc164608641"/>
      <w:r/>
      <w:bookmarkStart w:id="247" w:name="_Toc164351621"/>
      <w:r/>
      <w:bookmarkStart w:id="248" w:name="_Toc164229368"/>
      <w:r/>
      <w:bookmarkStart w:id="249" w:name="_Toc226965800"/>
      <w:r>
        <w:rPr>
          <w:rFonts w:hint="eastAsia" w:ascii="宋体" w:hAnsi="宋体" w:eastAsia="宋体" w:cs="宋体"/>
          <w:color w:val="000000"/>
          <w:sz w:val="21"/>
          <w:szCs w:val="21"/>
          <w:highlight w:val="none"/>
        </w:rPr>
        <w:t xml:space="preserve">9.投标范围、投标文件中计量单位的使用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eastAsia="宋体" w:cs="宋体"/>
          <w:color w:val="000000"/>
          <w:sz w:val="21"/>
          <w:szCs w:val="21"/>
          <w:highlight w:val="none"/>
        </w:rPr>
        <w:t xml:space="preserve">及投标语言</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9.2除招标文件有特殊要求外，本项目投标所使用的计量单位，应采用中华人民共和国法定计量单位。</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250" w:name="_Toc305158796"/>
      <w:r/>
      <w:bookmarkStart w:id="251" w:name="_Toc226309772"/>
      <w:r/>
      <w:bookmarkStart w:id="252" w:name="_Toc520356152"/>
      <w:r/>
      <w:bookmarkStart w:id="253" w:name="_Toc151193916"/>
      <w:r/>
      <w:bookmarkStart w:id="254" w:name="_Toc164229223"/>
      <w:r/>
      <w:bookmarkStart w:id="255" w:name="_Toc150774628"/>
      <w:r/>
      <w:bookmarkStart w:id="256" w:name="_Toc150774733"/>
      <w:r/>
      <w:bookmarkStart w:id="257" w:name="_Ref467306195"/>
      <w:r/>
      <w:bookmarkStart w:id="258" w:name="_Toc516367022"/>
      <w:r/>
      <w:bookmarkStart w:id="259" w:name="_Ref467306676"/>
      <w:r/>
      <w:bookmarkStart w:id="260" w:name="_Toc151193770"/>
      <w:r/>
      <w:bookmarkStart w:id="261" w:name="_Toc127151528"/>
      <w:r/>
      <w:bookmarkStart w:id="262" w:name="_Toc151193698"/>
      <w:r/>
      <w:bookmarkStart w:id="263" w:name="_Toc127161442"/>
      <w:r/>
      <w:bookmarkStart w:id="264" w:name="_Toc305158870"/>
      <w:r/>
      <w:bookmarkStart w:id="265" w:name="_Toc195842893"/>
      <w:r/>
      <w:bookmarkStart w:id="266" w:name="_Toc150509279"/>
      <w:r/>
      <w:bookmarkStart w:id="267" w:name="_Toc265228366"/>
      <w:r/>
      <w:bookmarkStart w:id="268" w:name="_Toc226965718"/>
      <w:r/>
      <w:bookmarkStart w:id="269" w:name="_Toc164608642"/>
      <w:r/>
      <w:bookmarkStart w:id="270" w:name="_Toc226965801"/>
      <w:r/>
      <w:bookmarkStart w:id="271" w:name="_Toc151193842"/>
      <w:r/>
      <w:bookmarkStart w:id="272" w:name="_Toc150480766"/>
      <w:r/>
      <w:bookmarkStart w:id="273" w:name="_Toc264969218"/>
      <w:r/>
      <w:bookmarkStart w:id="274" w:name="_Toc226337224"/>
      <w:r/>
      <w:bookmarkStart w:id="275" w:name="_Toc164608797"/>
      <w:r/>
      <w:bookmarkStart w:id="276" w:name="_Toc164351622"/>
      <w:r/>
      <w:bookmarkStart w:id="277" w:name="_Toc151193626"/>
      <w:r/>
      <w:bookmarkStart w:id="278" w:name="_Toc149720821"/>
      <w:r/>
      <w:bookmarkStart w:id="279" w:name="_Toc151190155"/>
      <w:r/>
      <w:bookmarkStart w:id="280" w:name="_Toc142311030"/>
      <w:r/>
      <w:bookmarkStart w:id="281" w:name="_Toc127151729"/>
      <w:r/>
      <w:bookmarkStart w:id="282" w:name="_Toc164229369"/>
      <w:r>
        <w:rPr>
          <w:rFonts w:hint="eastAsia" w:ascii="宋体" w:hAnsi="宋体" w:eastAsia="宋体" w:cs="宋体"/>
          <w:color w:val="000000"/>
          <w:sz w:val="21"/>
          <w:szCs w:val="21"/>
          <w:highlight w:val="none"/>
        </w:rPr>
        <w:t xml:space="preserve">10.投标文件</w:t>
      </w:r>
      <w:bookmarkEnd w:id="257"/>
      <w:r/>
      <w:bookmarkEnd w:id="258"/>
      <w:r/>
      <w:bookmarkEnd w:id="259"/>
      <w:r>
        <w:rPr>
          <w:rFonts w:hint="eastAsia" w:ascii="宋体" w:hAnsi="宋体" w:eastAsia="宋体" w:cs="宋体"/>
          <w:color w:val="000000"/>
          <w:sz w:val="21"/>
          <w:szCs w:val="21"/>
          <w:highlight w:val="none"/>
        </w:rPr>
        <w:t xml:space="preserve">构成</w:t>
      </w:r>
      <w:bookmarkEnd w:id="250"/>
      <w:r/>
      <w:bookmarkEnd w:id="251"/>
      <w:r/>
      <w:bookmarkEnd w:id="252"/>
      <w:r/>
      <w:bookmarkEnd w:id="253"/>
      <w:r/>
      <w:bookmarkEnd w:id="254"/>
      <w:r/>
      <w:bookmarkEnd w:id="255"/>
      <w:r/>
      <w:bookmarkEnd w:id="256"/>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283" w:name="_Ref467052588"/>
      <w:r>
        <w:rPr>
          <w:rFonts w:hint="eastAsia" w:ascii="宋体" w:hAnsi="宋体" w:eastAsia="宋体" w:cs="宋体"/>
          <w:color w:val="000000"/>
          <w:sz w:val="21"/>
          <w:szCs w:val="21"/>
          <w:highlight w:val="none"/>
        </w:rPr>
        <w:t xml:space="preserve">10.1供应商应当按照招标文件的要求编制投标文件。投标文件应由《资格证明文件》、《商务技术文件》两部分构成。投标文件的部分格式要求，见第七章《投标文件格式》。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10.3第四章《评标程序、评标方法和评标标准》中涉及的证明文件。</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10.5供应商认为应附的其他材料。</w:t>
      </w:r>
      <w:bookmarkEnd w:id="283"/>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284" w:name="_Toc151193628"/>
      <w:r/>
      <w:bookmarkStart w:id="285" w:name="_Toc520356155"/>
      <w:r/>
      <w:bookmarkStart w:id="286" w:name="_Toc150774735"/>
      <w:r/>
      <w:bookmarkStart w:id="287" w:name="_Toc150509281"/>
      <w:r/>
      <w:bookmarkStart w:id="288" w:name="_Toc164229225"/>
      <w:r/>
      <w:bookmarkStart w:id="289" w:name="_Toc127161444"/>
      <w:r/>
      <w:bookmarkStart w:id="290" w:name="_Toc151193918"/>
      <w:r/>
      <w:bookmarkStart w:id="291" w:name="_Toc164608799"/>
      <w:r/>
      <w:bookmarkStart w:id="292" w:name="_Toc164351624"/>
      <w:r/>
      <w:bookmarkStart w:id="293" w:name="_Toc164229371"/>
      <w:r/>
      <w:bookmarkStart w:id="294" w:name="_Toc151190157"/>
      <w:r/>
      <w:bookmarkStart w:id="295" w:name="_Toc151193844"/>
      <w:r/>
      <w:bookmarkStart w:id="296" w:name="_Toc150480768"/>
      <w:r/>
      <w:bookmarkStart w:id="297" w:name="_Toc127151731"/>
      <w:r/>
      <w:bookmarkStart w:id="298" w:name="_Toc195842895"/>
      <w:r/>
      <w:bookmarkStart w:id="299" w:name="_Toc164608644"/>
      <w:r/>
      <w:bookmarkStart w:id="300" w:name="_Toc150774630"/>
      <w:r/>
      <w:bookmarkStart w:id="301" w:name="_Toc151193772"/>
      <w:r/>
      <w:bookmarkStart w:id="302" w:name="_Toc127151530"/>
      <w:r/>
      <w:bookmarkStart w:id="303" w:name="_Toc149720823"/>
      <w:r/>
      <w:bookmarkStart w:id="304" w:name="_Toc142311032"/>
      <w:r/>
      <w:bookmarkStart w:id="305" w:name="_Toc151193700"/>
      <w:r>
        <w:rPr>
          <w:rFonts w:hint="eastAsia" w:ascii="宋体" w:hAnsi="宋体" w:eastAsia="宋体" w:cs="宋体"/>
          <w:color w:val="000000"/>
          <w:sz w:val="21"/>
          <w:szCs w:val="21"/>
          <w:highlight w:val="none"/>
        </w:rPr>
        <w:t xml:space="preserve">11.投标报价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11.1所有投标均以人民币报价。</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11.2供应商的报价应包括为完成本项目所发生的一切费用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含代理服务费）</w:t>
      </w:r>
      <w:r>
        <w:rPr>
          <w:rFonts w:hint="eastAsia" w:ascii="宋体" w:hAnsi="宋体" w:eastAsia="宋体" w:cs="宋体"/>
          <w:color w:val="000000"/>
          <w:sz w:val="21"/>
          <w:szCs w:val="21"/>
          <w:highlight w:val="none"/>
        </w:rPr>
        <w:t xml:space="preserve">和税费，采购人将不再支付报价以外的任何费用。供应商的报价应包括但不限于下列内容，《供应商须知资料表》中有特殊规定的，从其规定。</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11.2.2按照招标文件要求完成本项目的全部相关服务费用。本项目</w:t>
      </w:r>
      <w:r>
        <w:rPr>
          <w:rFonts w:hint="eastAsia" w:ascii="宋体" w:hAnsi="宋体" w:eastAsia="宋体" w:cs="宋体"/>
          <w:color w:val="000000"/>
          <w:sz w:val="21"/>
          <w:szCs w:val="21"/>
          <w:highlight w:val="none"/>
        </w:rPr>
        <w:t xml:space="preserve">合同计价采用固定单价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固定单价</w:t>
      </w:r>
      <w:r>
        <w:rPr>
          <w:rFonts w:hint="eastAsia" w:ascii="宋体" w:hAnsi="宋体" w:eastAsia="宋体" w:cs="宋体"/>
          <w:color w:val="000000"/>
          <w:sz w:val="21"/>
          <w:szCs w:val="21"/>
          <w:highlight w:val="none"/>
        </w:rPr>
        <w:t xml:space="preserve">包括提供本服务所需的人工、材料、设备、运输、维修安装、管理费、利润、保险、规费、税金等全部费用</w:t>
      </w:r>
      <w:r>
        <w:rPr>
          <w:rFonts w:hint="eastAsia" w:ascii="宋体" w:hAnsi="宋体" w:eastAsia="宋体" w:cs="宋体"/>
          <w:color w:val="000000"/>
          <w:sz w:val="21"/>
          <w:szCs w:val="21"/>
          <w:highlight w:val="none"/>
        </w:rPr>
        <w:t xml:space="preserve">，无任何</w:t>
      </w:r>
      <w:r>
        <w:rPr>
          <w:rFonts w:hint="eastAsia" w:ascii="宋体" w:hAnsi="宋体" w:eastAsia="宋体" w:cs="宋体"/>
          <w:color w:val="000000"/>
          <w:sz w:val="21"/>
          <w:szCs w:val="21"/>
          <w:highlight w:val="none"/>
          <w:lang w:eastAsia="zh-CN"/>
        </w:rPr>
        <w:t xml:space="preserve">隐性</w:t>
      </w:r>
      <w:r>
        <w:rPr>
          <w:rFonts w:hint="eastAsia" w:ascii="宋体" w:hAnsi="宋体" w:eastAsia="宋体" w:cs="宋体"/>
          <w:color w:val="000000"/>
          <w:sz w:val="21"/>
          <w:szCs w:val="21"/>
          <w:highlight w:val="none"/>
        </w:rPr>
        <w:t xml:space="preserve">费用，采购人不再支付其他任何费用。同时，除非合同条款中另有规定，否则，</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所报价格在合同履行期间不因市场变化因素而变动。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11.3采购人不得向供应商索要或者接受其给予的赠品、回扣或者与采购无关的其他商品、服务。</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11.4供应商不能提供任何有选择性或可调整的报价，否则其投标无效。</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306" w:name="_Toc305158873"/>
      <w:r/>
      <w:bookmarkStart w:id="307" w:name="_Toc305158799"/>
      <w:r/>
      <w:bookmarkStart w:id="308" w:name="_Toc164351625"/>
      <w:r/>
      <w:bookmarkStart w:id="309" w:name="_Toc150509282"/>
      <w:r/>
      <w:bookmarkStart w:id="310" w:name="_Ref467306513"/>
      <w:r/>
      <w:bookmarkStart w:id="311" w:name="_Toc264969221"/>
      <w:r/>
      <w:bookmarkStart w:id="312" w:name="_Toc226965721"/>
      <w:r/>
      <w:bookmarkStart w:id="313" w:name="_Toc520356156"/>
      <w:r/>
      <w:bookmarkStart w:id="314" w:name="_Toc150480769"/>
      <w:r/>
      <w:bookmarkStart w:id="315" w:name="_Toc150774736"/>
      <w:r/>
      <w:bookmarkStart w:id="316" w:name="_Toc127151732"/>
      <w:r/>
      <w:bookmarkStart w:id="317" w:name="_Toc151193701"/>
      <w:r/>
      <w:bookmarkStart w:id="318" w:name="_Toc151190158"/>
      <w:r/>
      <w:bookmarkStart w:id="319" w:name="_Toc164608645"/>
      <w:r/>
      <w:bookmarkStart w:id="320" w:name="_Toc151193919"/>
      <w:r/>
      <w:bookmarkStart w:id="321" w:name="_Toc226965804"/>
      <w:r/>
      <w:bookmarkStart w:id="322" w:name="_Toc127151531"/>
      <w:r/>
      <w:bookmarkStart w:id="323" w:name="_Toc195842896"/>
      <w:r/>
      <w:bookmarkStart w:id="324" w:name="_Toc149720824"/>
      <w:r/>
      <w:bookmarkStart w:id="325" w:name="_Toc226309775"/>
      <w:r/>
      <w:bookmarkStart w:id="326" w:name="_Toc151193845"/>
      <w:r/>
      <w:bookmarkStart w:id="327" w:name="_Toc127161445"/>
      <w:r/>
      <w:bookmarkStart w:id="328" w:name="_Toc164229372"/>
      <w:r/>
      <w:bookmarkStart w:id="329" w:name="_Toc151193773"/>
      <w:r/>
      <w:bookmarkStart w:id="330" w:name="_Toc226337227"/>
      <w:r/>
      <w:bookmarkStart w:id="331" w:name="_Toc151193629"/>
      <w:r/>
      <w:bookmarkStart w:id="332" w:name="_Toc142311033"/>
      <w:r/>
      <w:bookmarkStart w:id="333" w:name="_Toc150774631"/>
      <w:r/>
      <w:bookmarkStart w:id="334" w:name="_Toc164608800"/>
      <w:r/>
      <w:bookmarkStart w:id="335" w:name="_Toc164229226"/>
      <w:r/>
      <w:bookmarkStart w:id="336" w:name="_Toc265228369"/>
      <w:r>
        <w:rPr>
          <w:rFonts w:hint="eastAsia" w:ascii="宋体" w:hAnsi="宋体" w:eastAsia="宋体" w:cs="宋体"/>
          <w:color w:val="000000"/>
          <w:sz w:val="21"/>
          <w:szCs w:val="21"/>
          <w:highlight w:val="none"/>
        </w:rPr>
        <w:t xml:space="preserve">12.投标保证金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12.1根据江苏省和常州市的相关文件规定，免收投标保证金。</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337" w:name="_Toc520356157"/>
      <w:r/>
      <w:bookmarkStart w:id="338" w:name="_Toc151193846"/>
      <w:r/>
      <w:bookmarkStart w:id="339" w:name="_Toc150480770"/>
      <w:r/>
      <w:bookmarkStart w:id="340" w:name="_Toc151190159"/>
      <w:r/>
      <w:bookmarkStart w:id="341" w:name="_Toc151193702"/>
      <w:r/>
      <w:bookmarkStart w:id="342" w:name="_Toc127151532"/>
      <w:r/>
      <w:bookmarkStart w:id="343" w:name="_Toc150774737"/>
      <w:r/>
      <w:bookmarkStart w:id="344" w:name="_Toc150774632"/>
      <w:r/>
      <w:bookmarkStart w:id="345" w:name="_Toc164608801"/>
      <w:r/>
      <w:bookmarkStart w:id="346" w:name="_Toc264969222"/>
      <w:r/>
      <w:bookmarkStart w:id="347" w:name="_Toc127161446"/>
      <w:r/>
      <w:bookmarkStart w:id="348" w:name="_Toc226309776"/>
      <w:r/>
      <w:bookmarkStart w:id="349" w:name="_Toc151193630"/>
      <w:r/>
      <w:bookmarkStart w:id="350" w:name="_Toc149720825"/>
      <w:r/>
      <w:bookmarkStart w:id="351" w:name="_Toc127151733"/>
      <w:r/>
      <w:bookmarkStart w:id="352" w:name="_Toc150509283"/>
      <w:r/>
      <w:bookmarkStart w:id="353" w:name="_Toc226965805"/>
      <w:r/>
      <w:bookmarkStart w:id="354" w:name="_Toc142311034"/>
      <w:r/>
      <w:bookmarkStart w:id="355" w:name="_Toc226965722"/>
      <w:r/>
      <w:bookmarkStart w:id="356" w:name="_Toc164608646"/>
      <w:r/>
      <w:bookmarkStart w:id="357" w:name="_Toc151193920"/>
      <w:r/>
      <w:bookmarkStart w:id="358" w:name="_Toc226337228"/>
      <w:r/>
      <w:bookmarkStart w:id="359" w:name="_Toc164351626"/>
      <w:r/>
      <w:bookmarkStart w:id="360" w:name="_Toc164229373"/>
      <w:r/>
      <w:bookmarkStart w:id="361" w:name="_Toc164229227"/>
      <w:r/>
      <w:bookmarkStart w:id="362" w:name="_Toc265228370"/>
      <w:r/>
      <w:bookmarkStart w:id="363" w:name="_Toc195842897"/>
      <w:r/>
      <w:bookmarkStart w:id="364" w:name="_Toc151193774"/>
      <w:r/>
      <w:bookmarkStart w:id="365" w:name="_Toc305158800"/>
      <w:r/>
      <w:bookmarkStart w:id="366" w:name="_Toc305158874"/>
      <w:r>
        <w:rPr>
          <w:rFonts w:hint="eastAsia" w:ascii="宋体" w:hAnsi="宋体" w:eastAsia="宋体" w:cs="宋体"/>
          <w:color w:val="000000"/>
          <w:sz w:val="21"/>
          <w:szCs w:val="21"/>
          <w:highlight w:val="none"/>
        </w:rPr>
        <w:t xml:space="preserve">13.投标有效期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13.1投标文件应在本招标文件《供应商须知资料表》中规定的投标有效期内保持有效，投标有效期少于招标文件规定期限的，其投标无效。</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367" w:name="_Toc264969223"/>
      <w:r/>
      <w:bookmarkStart w:id="368" w:name="_Toc195842898"/>
      <w:r/>
      <w:bookmarkStart w:id="369" w:name="_Toc150774738"/>
      <w:r/>
      <w:bookmarkStart w:id="370" w:name="_Toc164351627"/>
      <w:r/>
      <w:bookmarkStart w:id="371" w:name="_Toc151193921"/>
      <w:r/>
      <w:bookmarkStart w:id="372" w:name="_Toc151193847"/>
      <w:r/>
      <w:bookmarkStart w:id="373" w:name="_Toc150509284"/>
      <w:r/>
      <w:bookmarkStart w:id="374" w:name="_Toc520356158"/>
      <w:r/>
      <w:bookmarkStart w:id="375" w:name="_Toc151193631"/>
      <w:r/>
      <w:bookmarkStart w:id="376" w:name="_Toc149720826"/>
      <w:r/>
      <w:bookmarkStart w:id="377" w:name="_Toc164608647"/>
      <w:r/>
      <w:bookmarkStart w:id="378" w:name="_Toc150774633"/>
      <w:r/>
      <w:bookmarkStart w:id="379" w:name="_Toc226309777"/>
      <w:r/>
      <w:bookmarkStart w:id="380" w:name="_Toc226337229"/>
      <w:r/>
      <w:bookmarkStart w:id="381" w:name="_Toc226965806"/>
      <w:r/>
      <w:bookmarkStart w:id="382" w:name="_Toc127161447"/>
      <w:r/>
      <w:bookmarkStart w:id="383" w:name="_Toc164608802"/>
      <w:r/>
      <w:bookmarkStart w:id="384" w:name="_Toc305158801"/>
      <w:r/>
      <w:bookmarkStart w:id="385" w:name="_Toc164229374"/>
      <w:r/>
      <w:bookmarkStart w:id="386" w:name="_Toc127151533"/>
      <w:r/>
      <w:bookmarkStart w:id="387" w:name="_Toc150480771"/>
      <w:r/>
      <w:bookmarkStart w:id="388" w:name="_Toc164229228"/>
      <w:r/>
      <w:bookmarkStart w:id="389" w:name="_Toc226965723"/>
      <w:r/>
      <w:bookmarkStart w:id="390" w:name="_Toc142311035"/>
      <w:r/>
      <w:bookmarkStart w:id="391" w:name="_Toc305158875"/>
      <w:r/>
      <w:bookmarkStart w:id="392" w:name="_Toc151193703"/>
      <w:r/>
      <w:bookmarkStart w:id="393" w:name="_Toc127151734"/>
      <w:r/>
      <w:bookmarkStart w:id="394" w:name="_Toc265228371"/>
      <w:r/>
      <w:bookmarkStart w:id="395" w:name="_Toc151193775"/>
      <w:r/>
      <w:bookmarkStart w:id="396" w:name="_Toc151190160"/>
      <w:r>
        <w:rPr>
          <w:rFonts w:hint="eastAsia" w:ascii="宋体" w:hAnsi="宋体" w:eastAsia="宋体" w:cs="宋体"/>
          <w:color w:val="000000"/>
          <w:sz w:val="21"/>
          <w:szCs w:val="21"/>
          <w:highlight w:val="none"/>
        </w:rPr>
        <w:t xml:space="preserve">14.投标文件的签署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hint="eastAsia" w:ascii="宋体" w:hAnsi="宋体" w:eastAsia="宋体" w:cs="宋体"/>
          <w:color w:val="000000"/>
          <w:sz w:val="21"/>
          <w:szCs w:val="21"/>
          <w:highlight w:val="none"/>
        </w:rPr>
        <w:t xml:space="preserve">、加盖公章</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397" w:name="_Toc150774739"/>
      <w:r/>
      <w:bookmarkStart w:id="398" w:name="_Toc264969224"/>
      <w:r/>
      <w:bookmarkStart w:id="399" w:name="_Toc151193776"/>
      <w:r/>
      <w:bookmarkStart w:id="400" w:name="_Toc226965724"/>
      <w:r/>
      <w:bookmarkStart w:id="401" w:name="_Toc265228372"/>
      <w:r/>
      <w:bookmarkStart w:id="402" w:name="_Toc150480772"/>
      <w:r/>
      <w:bookmarkStart w:id="403" w:name="_Toc151193632"/>
      <w:r/>
      <w:bookmarkStart w:id="404" w:name="_Toc226965807"/>
      <w:r/>
      <w:bookmarkStart w:id="405" w:name="_Toc127151534"/>
      <w:r/>
      <w:bookmarkStart w:id="406" w:name="_Toc142311036"/>
      <w:r/>
      <w:bookmarkStart w:id="407" w:name="_Toc150509285"/>
      <w:r/>
      <w:bookmarkStart w:id="408" w:name="_Toc226337230"/>
      <w:r/>
      <w:bookmarkStart w:id="409" w:name="_Toc151193704"/>
      <w:r/>
      <w:bookmarkStart w:id="410" w:name="_Toc305158802"/>
      <w:r/>
      <w:bookmarkStart w:id="411" w:name="_Toc151193848"/>
      <w:r/>
      <w:bookmarkStart w:id="412" w:name="_Toc195842899"/>
      <w:r/>
      <w:bookmarkStart w:id="413" w:name="_Toc151190161"/>
      <w:r/>
      <w:bookmarkStart w:id="414" w:name="_Toc150774634"/>
      <w:r/>
      <w:bookmarkStart w:id="415" w:name="_Toc226309778"/>
      <w:r/>
      <w:bookmarkStart w:id="416" w:name="_Toc151193922"/>
      <w:r/>
      <w:bookmarkStart w:id="417" w:name="_Toc520356159"/>
      <w:r/>
      <w:bookmarkStart w:id="418" w:name="_Toc305158876"/>
      <w:r>
        <w:rPr>
          <w:rFonts w:hint="eastAsia" w:ascii="宋体" w:hAnsi="宋体" w:eastAsia="宋体" w:cs="宋体"/>
          <w:color w:val="000000"/>
          <w:sz w:val="21"/>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招标文件要求加盖公章的内容，一般通过投标文件编制工具加盖电子签章。</w:t>
      </w:r>
      <w:r>
        <w:rPr>
          <w:rFonts w:hint="eastAsia" w:ascii="宋体" w:hAnsi="宋体" w:eastAsia="宋体" w:cs="宋体"/>
          <w:color w:val="000000"/>
          <w:sz w:val="21"/>
          <w:szCs w:val="21"/>
          <w:highlight w:val="none"/>
        </w:rPr>
      </w:r>
      <w:r/>
    </w:p>
    <w:p>
      <w:pPr>
        <w:pStyle w:val="1187"/>
        <w:jc w:val="center"/>
        <w:spacing w:before="0" w:line="360" w:lineRule="auto"/>
        <w:tabs>
          <w:tab w:val="center" w:pos="4592" w:leader="none"/>
          <w:tab w:val="left" w:pos="78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hint="eastAsia" w:ascii="宋体" w:hAnsi="宋体" w:eastAsia="宋体" w:cs="宋体"/>
          <w:color w:val="000000"/>
          <w:sz w:val="28"/>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419" w:name="_Toc127151536"/>
      <w:r/>
      <w:bookmarkStart w:id="420" w:name="_Toc149720829"/>
      <w:r/>
      <w:bookmarkStart w:id="421" w:name="_Toc150774636"/>
      <w:r/>
      <w:bookmarkStart w:id="422" w:name="_Toc150480774"/>
      <w:r/>
      <w:bookmarkStart w:id="423" w:name="_Toc226965728"/>
      <w:r/>
      <w:bookmarkStart w:id="424" w:name="_Toc151193924"/>
      <w:r/>
      <w:bookmarkStart w:id="425" w:name="_Toc142311040"/>
      <w:r/>
      <w:bookmarkStart w:id="426" w:name="_Toc151193708"/>
      <w:r/>
      <w:bookmarkStart w:id="427" w:name="_Toc127151538"/>
      <w:r/>
      <w:bookmarkStart w:id="428" w:name="_Toc150774638"/>
      <w:r/>
      <w:bookmarkStart w:id="429" w:name="_Toc150480776"/>
      <w:r/>
      <w:bookmarkStart w:id="430" w:name="_Toc150774743"/>
      <w:r/>
      <w:bookmarkStart w:id="431" w:name="_Toc264969228"/>
      <w:r/>
      <w:bookmarkStart w:id="432" w:name="_Toc265228376"/>
      <w:r/>
      <w:bookmarkStart w:id="433" w:name="_Toc305158880"/>
      <w:r/>
      <w:bookmarkStart w:id="434" w:name="_Toc151193852"/>
      <w:r/>
      <w:bookmarkStart w:id="435" w:name="_Toc151193636"/>
      <w:r/>
      <w:bookmarkStart w:id="436" w:name="_Toc195842903"/>
      <w:r/>
      <w:bookmarkStart w:id="437" w:name="_Toc520356163"/>
      <w:r/>
      <w:bookmarkStart w:id="438" w:name="_Toc151193780"/>
      <w:r/>
      <w:bookmarkStart w:id="439" w:name="_Toc150509289"/>
      <w:r/>
      <w:bookmarkStart w:id="440" w:name="_Toc226309782"/>
      <w:r/>
      <w:bookmarkStart w:id="441" w:name="_Toc151190165"/>
      <w:r/>
      <w:bookmarkStart w:id="442" w:name="_Toc151193926"/>
      <w:r/>
      <w:bookmarkStart w:id="443" w:name="_Toc226337234"/>
      <w:r/>
      <w:bookmarkStart w:id="444" w:name="_Toc305158806"/>
      <w:r/>
      <w:bookmarkStart w:id="445" w:name="_Toc151193706"/>
      <w:r/>
      <w:bookmarkStart w:id="446" w:name="_Toc195842901"/>
      <w:r/>
      <w:bookmarkStart w:id="447" w:name="_Toc226965811"/>
      <w:r/>
      <w:bookmarkStart w:id="448" w:name="_Toc127161450"/>
      <w:r/>
      <w:bookmarkStart w:id="449" w:name="_Toc265228374"/>
      <w:r/>
      <w:bookmarkStart w:id="450" w:name="_Toc305158878"/>
      <w:r/>
      <w:bookmarkStart w:id="451" w:name="_Toc305158804"/>
      <w:r/>
      <w:bookmarkStart w:id="452" w:name="_Toc226965726"/>
      <w:r/>
      <w:bookmarkStart w:id="453" w:name="_Toc142311038"/>
      <w:r/>
      <w:bookmarkStart w:id="454" w:name="_Toc164608650"/>
      <w:r/>
      <w:bookmarkStart w:id="455" w:name="_Toc226965809"/>
      <w:r/>
      <w:bookmarkStart w:id="456" w:name="_Toc151190163"/>
      <w:r/>
      <w:bookmarkStart w:id="457" w:name="_Toc264969226"/>
      <w:r/>
      <w:bookmarkStart w:id="458" w:name="_Toc150509287"/>
      <w:r/>
      <w:bookmarkStart w:id="459" w:name="_Toc164229231"/>
      <w:r/>
      <w:bookmarkStart w:id="460" w:name="_Toc151193634"/>
      <w:r/>
      <w:bookmarkStart w:id="461" w:name="_Toc127151737"/>
      <w:r/>
      <w:bookmarkStart w:id="462" w:name="_Toc164229377"/>
      <w:r/>
      <w:bookmarkStart w:id="463" w:name="_Toc226309780"/>
      <w:r/>
      <w:bookmarkStart w:id="464" w:name="_Toc151193850"/>
      <w:r/>
      <w:bookmarkStart w:id="465" w:name="_Toc226337232"/>
      <w:r/>
      <w:bookmarkStart w:id="466" w:name="_Toc150774741"/>
      <w:r/>
      <w:bookmarkStart w:id="467" w:name="_Toc164351630"/>
      <w:r/>
      <w:bookmarkStart w:id="468" w:name="_Toc520356161"/>
      <w:r/>
      <w:bookmarkStart w:id="469" w:name="_Toc151193778"/>
      <w:r/>
      <w:bookmarkStart w:id="470" w:name="_Toc164608805"/>
      <w:r>
        <w:rPr>
          <w:rFonts w:hint="eastAsia" w:ascii="宋体" w:hAnsi="宋体" w:eastAsia="宋体" w:cs="宋体"/>
          <w:color w:val="000000"/>
          <w:sz w:val="21"/>
          <w:szCs w:val="21"/>
          <w:highlight w:val="none"/>
        </w:rPr>
        <w:t xml:space="preserve">15.1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本项目使用“苏采云”政府采购一体化平台。供应商根据招标文件及“苏采云”政府采购一体化平台供应商操作手册要求编制、生成并提交电子投标文件。</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采购人及采购代理机构拒绝接受通过“苏采云”政府采购一体化平台以外任何形式提交的投标文件。</w:t>
      </w:r>
      <w:bookmarkEnd w:id="419"/>
      <w:r/>
      <w:bookmarkEnd w:id="420"/>
      <w:r/>
      <w:bookmarkEnd w:id="421"/>
      <w:r/>
      <w:bookmarkEnd w:id="422"/>
      <w:r/>
      <w:bookmarkEnd w:id="424"/>
      <w:r/>
      <w:bookmarkEnd w:id="445"/>
      <w:r/>
      <w:bookmarkEnd w:id="446"/>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471" w:name="_Toc195842902"/>
      <w:r/>
      <w:bookmarkStart w:id="472" w:name="_Toc151193851"/>
      <w:r/>
      <w:bookmarkStart w:id="473" w:name="_Toc151193779"/>
      <w:r/>
      <w:bookmarkStart w:id="474" w:name="_Toc127151738"/>
      <w:r/>
      <w:bookmarkStart w:id="475" w:name="_Toc150509288"/>
      <w:r/>
      <w:bookmarkStart w:id="476" w:name="_Toc142311039"/>
      <w:r/>
      <w:bookmarkStart w:id="477" w:name="_Toc264969227"/>
      <w:r/>
      <w:bookmarkStart w:id="478" w:name="_Toc164608651"/>
      <w:r/>
      <w:bookmarkStart w:id="479" w:name="_Toc164229378"/>
      <w:r/>
      <w:bookmarkStart w:id="480" w:name="_Toc226965810"/>
      <w:r/>
      <w:bookmarkStart w:id="481" w:name="_Toc226309781"/>
      <w:r/>
      <w:bookmarkStart w:id="482" w:name="_Toc151193707"/>
      <w:r/>
      <w:bookmarkStart w:id="483" w:name="_Toc520356162"/>
      <w:r/>
      <w:bookmarkStart w:id="484" w:name="_Toc151190164"/>
      <w:r/>
      <w:bookmarkStart w:id="485" w:name="_Toc151193925"/>
      <w:r/>
      <w:bookmarkStart w:id="486" w:name="_Toc164608806"/>
      <w:r/>
      <w:bookmarkStart w:id="487" w:name="_Toc151193635"/>
      <w:r/>
      <w:bookmarkStart w:id="488" w:name="_Toc305158805"/>
      <w:r/>
      <w:bookmarkStart w:id="489" w:name="_Toc164229232"/>
      <w:r/>
      <w:bookmarkStart w:id="490" w:name="_Toc226337233"/>
      <w:r/>
      <w:bookmarkStart w:id="491" w:name="_Toc127161451"/>
      <w:r/>
      <w:bookmarkStart w:id="492" w:name="_Toc149720830"/>
      <w:r/>
      <w:bookmarkStart w:id="493" w:name="_Toc150480775"/>
      <w:r/>
      <w:bookmarkStart w:id="494" w:name="_Toc164351631"/>
      <w:r/>
      <w:bookmarkStart w:id="495" w:name="_Toc226965727"/>
      <w:r/>
      <w:bookmarkStart w:id="496" w:name="_Toc127151537"/>
      <w:r/>
      <w:bookmarkStart w:id="497" w:name="_Toc150774637"/>
      <w:r/>
      <w:bookmarkStart w:id="498" w:name="_Toc150774742"/>
      <w:r/>
      <w:bookmarkStart w:id="499" w:name="_Toc305158879"/>
      <w:r/>
      <w:bookmarkStart w:id="500" w:name="_Toc265228375"/>
      <w:r>
        <w:rPr>
          <w:rFonts w:hint="eastAsia" w:ascii="宋体" w:hAnsi="宋体" w:eastAsia="宋体" w:cs="宋体"/>
          <w:color w:val="000000"/>
          <w:sz w:val="21"/>
          <w:szCs w:val="21"/>
          <w:highlight w:val="none"/>
        </w:rPr>
        <w:t xml:space="preserve">16.投标截止时间</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供应商应在招标文件要求提交投标文件截止时间前，将电子投标文件提交至“苏采云”政府采购一体化平台。</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17.投标文件的修改与撤回</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17.1投标截止时间前，供应商可以通过“苏采云”政府采购一体化平台对所提交的投标文件进行补充、修改或者撤回。</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供应商对投标文件的补充、修改的内容应当按照招标文件要求签署、加盖公章，作为投标文件的组成部分。</w:t>
      </w:r>
      <w:r>
        <w:rPr>
          <w:rFonts w:hint="eastAsia" w:ascii="宋体" w:hAnsi="宋体" w:eastAsia="宋体" w:cs="宋体"/>
          <w:color w:val="000000"/>
          <w:sz w:val="21"/>
          <w:szCs w:val="21"/>
          <w:highlight w:val="none"/>
        </w:rPr>
      </w:r>
      <w:r/>
    </w:p>
    <w:p>
      <w:pPr>
        <w:pStyle w:val="1187"/>
        <w:jc w:val="center"/>
        <w:spacing w:before="0" w:line="360" w:lineRule="auto"/>
        <w:tabs>
          <w:tab w:val="center" w:pos="4592" w:leader="none"/>
          <w:tab w:val="left" w:pos="78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1187"/>
        <w:jc w:val="center"/>
        <w:spacing w:before="0" w:line="360" w:lineRule="auto"/>
        <w:tabs>
          <w:tab w:val="center" w:pos="4592" w:leader="none"/>
          <w:tab w:val="left" w:pos="78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五   开标、资格审查及评标</w:t>
      </w:r>
      <w:bookmarkEnd w:id="423"/>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7"/>
      <w:r>
        <w:rPr>
          <w:rFonts w:hint="eastAsia" w:ascii="宋体" w:hAnsi="宋体" w:eastAsia="宋体" w:cs="宋体"/>
          <w:color w:val="000000"/>
          <w:sz w:val="28"/>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501" w:name="_Toc226337235"/>
      <w:r/>
      <w:bookmarkStart w:id="502" w:name="_Toc164608653"/>
      <w:r/>
      <w:bookmarkStart w:id="503" w:name="_Toc151190166"/>
      <w:r/>
      <w:bookmarkStart w:id="504" w:name="_Toc142311041"/>
      <w:r/>
      <w:bookmarkStart w:id="505" w:name="_Toc150509296"/>
      <w:r/>
      <w:bookmarkStart w:id="506" w:name="_Toc226337241"/>
      <w:r/>
      <w:bookmarkStart w:id="507" w:name="_Toc150480783"/>
      <w:r/>
      <w:bookmarkStart w:id="508" w:name="_Toc264969235"/>
      <w:r/>
      <w:bookmarkStart w:id="509" w:name="_Toc226309789"/>
      <w:r/>
      <w:bookmarkStart w:id="510" w:name="_Toc305158881"/>
      <w:r/>
      <w:bookmarkStart w:id="511" w:name="_Toc264969229"/>
      <w:r/>
      <w:bookmarkStart w:id="512" w:name="_Toc195842904"/>
      <w:r/>
      <w:bookmarkStart w:id="513" w:name="_Toc265228377"/>
      <w:r/>
      <w:bookmarkStart w:id="514" w:name="_Toc164229234"/>
      <w:r/>
      <w:bookmarkStart w:id="515" w:name="_Toc149720832"/>
      <w:r/>
      <w:bookmarkStart w:id="516" w:name="_Toc150774744"/>
      <w:r/>
      <w:bookmarkStart w:id="517" w:name="_Toc127161453"/>
      <w:r/>
      <w:bookmarkStart w:id="518" w:name="_Toc226309783"/>
      <w:r/>
      <w:bookmarkStart w:id="519" w:name="_Toc142311047"/>
      <w:r/>
      <w:bookmarkStart w:id="520" w:name="_Toc520356164"/>
      <w:r/>
      <w:bookmarkStart w:id="521" w:name="_Toc305158807"/>
      <w:r/>
      <w:bookmarkStart w:id="522" w:name="_Toc164608808"/>
      <w:r/>
      <w:bookmarkStart w:id="523" w:name="_Toc127151539"/>
      <w:r/>
      <w:bookmarkStart w:id="524" w:name="_Toc150480777"/>
      <w:r/>
      <w:bookmarkStart w:id="525" w:name="_Toc151193709"/>
      <w:r/>
      <w:bookmarkStart w:id="526" w:name="_Toc150774639"/>
      <w:r/>
      <w:bookmarkStart w:id="527" w:name="_Toc164229380"/>
      <w:r/>
      <w:bookmarkStart w:id="528" w:name="_Toc151193927"/>
      <w:r/>
      <w:bookmarkStart w:id="529" w:name="_Toc150509290"/>
      <w:r/>
      <w:bookmarkStart w:id="530" w:name="_Toc151193853"/>
      <w:r/>
      <w:bookmarkStart w:id="531" w:name="_Toc151193781"/>
      <w:r/>
      <w:bookmarkStart w:id="532" w:name="_Toc151193637"/>
      <w:r/>
      <w:bookmarkStart w:id="533" w:name="_Toc127151740"/>
      <w:r/>
      <w:bookmarkStart w:id="534" w:name="_Toc226965729"/>
      <w:r/>
      <w:bookmarkStart w:id="535" w:name="_Toc226965812"/>
      <w:r/>
      <w:bookmarkStart w:id="536" w:name="_Toc520356169"/>
      <w:r/>
      <w:bookmarkStart w:id="537" w:name="_Toc164351633"/>
      <w:r/>
      <w:bookmarkStart w:id="538" w:name="_Toc151193933"/>
      <w:r/>
      <w:bookmarkStart w:id="539" w:name="_Toc151193643"/>
      <w:r/>
      <w:bookmarkStart w:id="540" w:name="_Toc226965818"/>
      <w:r/>
      <w:bookmarkStart w:id="541" w:name="_Toc226965735"/>
      <w:r/>
      <w:bookmarkStart w:id="542" w:name="_Toc150774750"/>
      <w:r/>
      <w:bookmarkStart w:id="543" w:name="_Toc151190172"/>
      <w:r/>
      <w:bookmarkStart w:id="544" w:name="_Toc265228383"/>
      <w:r/>
      <w:bookmarkStart w:id="545" w:name="_Toc151193715"/>
      <w:r/>
      <w:bookmarkStart w:id="546" w:name="_Toc150774645"/>
      <w:r/>
      <w:bookmarkStart w:id="547" w:name="_Toc151193787"/>
      <w:r/>
      <w:bookmarkStart w:id="548" w:name="_Toc151193859"/>
      <w:r/>
      <w:bookmarkStart w:id="549" w:name="_Toc305158887"/>
      <w:r/>
      <w:bookmarkStart w:id="550" w:name="_Toc127151545"/>
      <w:r/>
      <w:bookmarkStart w:id="551" w:name="_Toc305158813"/>
      <w:r/>
      <w:bookmarkStart w:id="552" w:name="_Toc195842910"/>
      <w:r>
        <w:rPr>
          <w:rFonts w:hint="eastAsia" w:ascii="宋体" w:hAnsi="宋体" w:eastAsia="宋体" w:cs="宋体"/>
          <w:color w:val="000000"/>
          <w:sz w:val="21"/>
          <w:szCs w:val="21"/>
          <w:highlight w:val="none"/>
        </w:rPr>
        <w:t xml:space="preserve">18.开标</w:t>
      </w:r>
      <w:bookmarkEnd w:id="501"/>
      <w:r/>
      <w:bookmarkEnd w:id="502"/>
      <w:r/>
      <w:bookmarkEnd w:id="503"/>
      <w:r/>
      <w:bookmarkEnd w:id="504"/>
      <w:r/>
      <w:bookmarkEnd w:id="510"/>
      <w:r/>
      <w:bookmarkEnd w:id="511"/>
      <w:r/>
      <w:bookmarkEnd w:id="512"/>
      <w:r/>
      <w:bookmarkEnd w:id="513"/>
      <w:r/>
      <w:bookmarkEnd w:id="514"/>
      <w:r/>
      <w:bookmarkEnd w:id="515"/>
      <w:r/>
      <w:bookmarkEnd w:id="516"/>
      <w:r/>
      <w:bookmarkEnd w:id="517"/>
      <w:r/>
      <w:bookmarkEnd w:id="518"/>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7"/>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553" w:name="_Toc520356165"/>
      <w:r>
        <w:rPr>
          <w:rFonts w:hint="eastAsia" w:ascii="宋体" w:hAnsi="宋体" w:eastAsia="宋体" w:cs="宋体"/>
          <w:color w:val="000000"/>
          <w:sz w:val="21"/>
          <w:szCs w:val="21"/>
          <w:highlight w:val="none"/>
        </w:rPr>
        <w:t xml:space="preserve">18.1</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采购人或采购代理机构将按招标文件的规定，在投标截止时间的同一时间和招标文件预先确定的地点组织开标。</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本项目开标采用不见面招投标模式，使用“苏采云”政府采购一体化平台在线进行开标。供应商应在规定的时间内对投标文件进行解密，因非系统原因导致的解密失败，视为投标无效。</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18.4</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供应商不足3家的，不予开标。</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18.7</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18.8</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1)平台系统发生故障而无法登录访问的；</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2)平台系统应用或数据库出现错误，不能进行正常操作的；</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3)平台系统发现严重安全漏洞，有潜在泄密危险的；</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4)病毒发作导致平台系统不能进行正常操作的；</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5)其他无法保证本次采购活动的公平、公正和安全的情况。</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19.资格审查</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19.1见第三章《资格审查》。</w:t>
      </w:r>
      <w:bookmarkEnd w:id="553"/>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554" w:name="_Toc150774640"/>
      <w:r/>
      <w:bookmarkStart w:id="555" w:name="_Toc164229235"/>
      <w:r/>
      <w:bookmarkStart w:id="556" w:name="_Toc127161454"/>
      <w:r/>
      <w:bookmarkStart w:id="557" w:name="_Toc151193854"/>
      <w:r/>
      <w:bookmarkStart w:id="558" w:name="_Toc150509291"/>
      <w:r/>
      <w:bookmarkStart w:id="559" w:name="_Toc195842905"/>
      <w:r/>
      <w:bookmarkStart w:id="560" w:name="_Toc164229381"/>
      <w:r/>
      <w:bookmarkStart w:id="561" w:name="_Toc305158882"/>
      <w:r/>
      <w:bookmarkStart w:id="562" w:name="_Toc150774745"/>
      <w:r/>
      <w:bookmarkStart w:id="563" w:name="_Toc151193710"/>
      <w:r/>
      <w:bookmarkStart w:id="564" w:name="_Toc305158808"/>
      <w:r/>
      <w:bookmarkStart w:id="565" w:name="_Toc226965730"/>
      <w:r/>
      <w:bookmarkStart w:id="566" w:name="_Toc142311042"/>
      <w:r/>
      <w:bookmarkStart w:id="567" w:name="_Toc226309784"/>
      <w:r/>
      <w:bookmarkStart w:id="568" w:name="_Toc226337236"/>
      <w:r/>
      <w:bookmarkStart w:id="569" w:name="_Toc127151741"/>
      <w:r/>
      <w:bookmarkStart w:id="570" w:name="_Toc265228378"/>
      <w:r/>
      <w:bookmarkStart w:id="571" w:name="_Toc164608654"/>
      <w:r/>
      <w:bookmarkStart w:id="572" w:name="_Toc264969230"/>
      <w:r/>
      <w:bookmarkStart w:id="573" w:name="_Toc149720833"/>
      <w:r/>
      <w:bookmarkStart w:id="574" w:name="_Toc151193928"/>
      <w:r/>
      <w:bookmarkStart w:id="575" w:name="_Toc151193782"/>
      <w:r/>
      <w:bookmarkStart w:id="576" w:name="_Toc150480778"/>
      <w:r/>
      <w:bookmarkStart w:id="577" w:name="_Toc164351634"/>
      <w:r/>
      <w:bookmarkStart w:id="578" w:name="_Toc127151540"/>
      <w:r/>
      <w:bookmarkStart w:id="579" w:name="_Toc151190167"/>
      <w:r/>
      <w:bookmarkStart w:id="580" w:name="_Toc226965813"/>
      <w:r/>
      <w:bookmarkStart w:id="581" w:name="_Toc151193638"/>
      <w:r/>
      <w:bookmarkStart w:id="582" w:name="_Toc164608809"/>
      <w:r>
        <w:rPr>
          <w:rFonts w:hint="eastAsia" w:ascii="宋体" w:hAnsi="宋体" w:eastAsia="宋体" w:cs="宋体"/>
          <w:color w:val="000000"/>
          <w:sz w:val="21"/>
          <w:szCs w:val="21"/>
          <w:highlight w:val="none"/>
        </w:rPr>
        <w:t xml:space="preserve">20.评标委员会</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20.1评标委员会根据政府采购有关规定和本次招标采购项目的特点进行组建，并负责具体评标事务，独立履行职责。</w:t>
      </w:r>
      <w:bookmarkStart w:id="583" w:name="_Toc520356166"/>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83"/>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21评标程序、评标方法和评标标准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21.1见第四章《评标程序、评标方法和评标标准》。</w:t>
      </w:r>
      <w:r>
        <w:rPr>
          <w:rFonts w:hint="eastAsia" w:ascii="宋体" w:hAnsi="宋体" w:eastAsia="宋体" w:cs="宋体"/>
          <w:color w:val="000000"/>
          <w:sz w:val="21"/>
          <w:szCs w:val="21"/>
          <w:highlight w:val="none"/>
        </w:rPr>
      </w:r>
      <w:r/>
    </w:p>
    <w:p>
      <w:pPr>
        <w:pStyle w:val="1187"/>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87"/>
        <w:jc w:val="center"/>
        <w:spacing w:before="0" w:line="360" w:lineRule="auto"/>
        <w:tabs>
          <w:tab w:val="center" w:pos="4592" w:leader="none"/>
          <w:tab w:val="left" w:pos="7860" w:leader="none"/>
        </w:tabs>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六   </w:t>
      </w:r>
      <w:bookmarkEnd w:id="536"/>
      <w:r>
        <w:rPr>
          <w:rFonts w:hint="eastAsia" w:ascii="宋体" w:hAnsi="宋体" w:eastAsia="宋体" w:cs="宋体"/>
          <w:color w:val="000000"/>
          <w:sz w:val="28"/>
          <w:highlight w:val="none"/>
        </w:rPr>
        <w:t xml:space="preserve">确定中标</w:t>
      </w:r>
      <w:bookmarkEnd w:id="505"/>
      <w:r/>
      <w:bookmarkEnd w:id="506"/>
      <w:r/>
      <w:bookmarkEnd w:id="507"/>
      <w:r/>
      <w:bookmarkEnd w:id="508"/>
      <w:r/>
      <w:bookmarkEnd w:id="509"/>
      <w:r/>
      <w:bookmarkEnd w:id="519"/>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Start w:id="584" w:name="_Toc226309791"/>
      <w:r/>
      <w:bookmarkEnd w:id="584"/>
      <w:r/>
      <w:bookmarkStart w:id="585" w:name="_Toc164608816"/>
      <w:r/>
      <w:bookmarkEnd w:id="585"/>
      <w:r/>
      <w:bookmarkStart w:id="586" w:name="_Toc265228385"/>
      <w:r/>
      <w:bookmarkEnd w:id="586"/>
      <w:r/>
      <w:bookmarkStart w:id="587" w:name="_Toc151193861"/>
      <w:r/>
      <w:bookmarkEnd w:id="587"/>
      <w:r/>
      <w:bookmarkStart w:id="588" w:name="_Toc195842912"/>
      <w:r/>
      <w:bookmarkEnd w:id="588"/>
      <w:r/>
      <w:bookmarkStart w:id="589" w:name="_Toc151193789"/>
      <w:r/>
      <w:bookmarkEnd w:id="589"/>
      <w:r/>
      <w:bookmarkStart w:id="590" w:name="_Toc164229242"/>
      <w:r/>
      <w:bookmarkEnd w:id="590"/>
      <w:r/>
      <w:bookmarkStart w:id="591" w:name="_Toc151193717"/>
      <w:r/>
      <w:bookmarkEnd w:id="591"/>
      <w:r/>
      <w:bookmarkStart w:id="592" w:name="_Toc150480785"/>
      <w:r/>
      <w:bookmarkEnd w:id="592"/>
      <w:r/>
      <w:bookmarkStart w:id="593" w:name="_Toc149720840"/>
      <w:r/>
      <w:bookmarkEnd w:id="593"/>
      <w:r/>
      <w:bookmarkStart w:id="594" w:name="_Toc164608661"/>
      <w:r/>
      <w:bookmarkEnd w:id="594"/>
      <w:r/>
      <w:bookmarkStart w:id="595" w:name="_Toc127151547"/>
      <w:r/>
      <w:bookmarkEnd w:id="595"/>
      <w:r/>
      <w:bookmarkStart w:id="596" w:name="_Toc164351641"/>
      <w:r/>
      <w:bookmarkEnd w:id="596"/>
      <w:r/>
      <w:bookmarkStart w:id="597" w:name="_Toc164229388"/>
      <w:r/>
      <w:bookmarkEnd w:id="597"/>
      <w:r/>
      <w:bookmarkStart w:id="598" w:name="_Toc127161461"/>
      <w:r/>
      <w:bookmarkEnd w:id="598"/>
      <w:r/>
      <w:bookmarkStart w:id="599" w:name="_Toc226965820"/>
      <w:r/>
      <w:bookmarkEnd w:id="599"/>
      <w:r/>
      <w:bookmarkStart w:id="600" w:name="_Toc142311049"/>
      <w:r/>
      <w:bookmarkEnd w:id="600"/>
      <w:r/>
      <w:bookmarkStart w:id="601" w:name="_Toc264969237"/>
      <w:r/>
      <w:bookmarkEnd w:id="601"/>
      <w:r/>
      <w:bookmarkStart w:id="602" w:name="_Toc150774647"/>
      <w:r/>
      <w:bookmarkEnd w:id="602"/>
      <w:r/>
      <w:bookmarkStart w:id="603" w:name="_Toc150509298"/>
      <w:r/>
      <w:bookmarkEnd w:id="603"/>
      <w:r/>
      <w:bookmarkStart w:id="604" w:name="_Toc305158889"/>
      <w:r/>
      <w:bookmarkEnd w:id="604"/>
      <w:r/>
      <w:bookmarkStart w:id="605" w:name="_Toc305158815"/>
      <w:r/>
      <w:bookmarkEnd w:id="605"/>
      <w:r/>
      <w:bookmarkStart w:id="606" w:name="_Toc226965737"/>
      <w:r/>
      <w:bookmarkEnd w:id="606"/>
      <w:r/>
      <w:bookmarkStart w:id="607" w:name="_Toc151193935"/>
      <w:r/>
      <w:bookmarkEnd w:id="607"/>
      <w:r/>
      <w:bookmarkStart w:id="608" w:name="_Toc226337243"/>
      <w:r/>
      <w:bookmarkEnd w:id="608"/>
      <w:r/>
      <w:bookmarkStart w:id="609" w:name="_Toc150774752"/>
      <w:r/>
      <w:bookmarkEnd w:id="609"/>
      <w:r/>
      <w:bookmarkStart w:id="610" w:name="_Toc151193645"/>
      <w:r/>
      <w:bookmarkEnd w:id="610"/>
      <w:r/>
      <w:bookmarkStart w:id="611" w:name="_Toc127151748"/>
      <w:r/>
      <w:bookmarkEnd w:id="611"/>
      <w:r/>
      <w:bookmarkStart w:id="612" w:name="_Toc151190174"/>
      <w:r/>
      <w:bookmarkEnd w:id="612"/>
      <w:r>
        <w:rPr>
          <w:rFonts w:hint="eastAsia" w:ascii="宋体" w:hAnsi="宋体" w:eastAsia="宋体" w:cs="宋体"/>
          <w:color w:val="000000"/>
          <w:sz w:val="28"/>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22.确定中标人</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613" w:name="_Toc127151549"/>
      <w:r/>
      <w:bookmarkStart w:id="614" w:name="_Toc164608818"/>
      <w:r/>
      <w:bookmarkStart w:id="615" w:name="_Toc164351643"/>
      <w:r/>
      <w:bookmarkStart w:id="616" w:name="_Toc151193937"/>
      <w:r/>
      <w:bookmarkStart w:id="617" w:name="_Toc151190176"/>
      <w:r/>
      <w:bookmarkStart w:id="618" w:name="_Toc195842914"/>
      <w:r/>
      <w:bookmarkStart w:id="619" w:name="_Toc151193719"/>
      <w:r/>
      <w:bookmarkStart w:id="620" w:name="_Toc226337245"/>
      <w:r/>
      <w:bookmarkStart w:id="621" w:name="_Toc520356176"/>
      <w:r/>
      <w:bookmarkStart w:id="622" w:name="_Ref467306425"/>
      <w:r/>
      <w:bookmarkStart w:id="623" w:name="_Ref467307090"/>
      <w:r/>
      <w:bookmarkStart w:id="624" w:name="_Toc142311051"/>
      <w:r/>
      <w:bookmarkStart w:id="625" w:name="_Toc226965822"/>
      <w:r/>
      <w:bookmarkStart w:id="626" w:name="_Toc150480787"/>
      <w:r/>
      <w:bookmarkStart w:id="627" w:name="_Toc150774754"/>
      <w:r/>
      <w:bookmarkStart w:id="628" w:name="_Toc226309793"/>
      <w:r/>
      <w:bookmarkStart w:id="629" w:name="_Toc164608663"/>
      <w:r/>
      <w:bookmarkStart w:id="630" w:name="_Toc127161463"/>
      <w:r/>
      <w:bookmarkStart w:id="631" w:name="_Toc151193791"/>
      <w:r/>
      <w:bookmarkStart w:id="632" w:name="_Toc305158891"/>
      <w:r/>
      <w:bookmarkStart w:id="633" w:name="_Toc305158817"/>
      <w:r/>
      <w:bookmarkStart w:id="634" w:name="_Toc264969239"/>
      <w:r/>
      <w:bookmarkStart w:id="635" w:name="_Toc150774649"/>
      <w:r/>
      <w:bookmarkStart w:id="636" w:name="_Toc150509300"/>
      <w:r/>
      <w:bookmarkStart w:id="637" w:name="_Toc164229244"/>
      <w:r/>
      <w:bookmarkStart w:id="638" w:name="_Toc151193647"/>
      <w:r/>
      <w:bookmarkStart w:id="639" w:name="_Toc164229390"/>
      <w:r/>
      <w:bookmarkStart w:id="640" w:name="_Toc149720842"/>
      <w:r/>
      <w:bookmarkStart w:id="641" w:name="_Toc226965739"/>
      <w:r/>
      <w:bookmarkStart w:id="642" w:name="_Toc265228387"/>
      <w:r/>
      <w:bookmarkStart w:id="643" w:name="_Toc151193863"/>
      <w:r/>
      <w:bookmarkStart w:id="644" w:name="_Toc127151750"/>
      <w:r>
        <w:rPr>
          <w:rFonts w:hint="eastAsia" w:ascii="宋体" w:hAnsi="宋体" w:eastAsia="宋体" w:cs="宋体"/>
          <w:color w:val="000000"/>
          <w:sz w:val="21"/>
          <w:szCs w:val="21"/>
          <w:highlight w:val="none"/>
        </w:rPr>
        <w:t xml:space="preserve">22.1采购人将在评标报告确定的中标候选人名单中按顺序确定中标人，中标候选人并列的，由采购人依法确定。</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23.中标公告与中标通知书</w:t>
      </w:r>
      <w:bookmarkEnd w:id="632"/>
      <w:r/>
      <w:bookmarkEnd w:id="633"/>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23.1采购人或采购代理机构自中标人确定之日起2个工作日内，在常州市政府采购网公告中标结果，同时向中标人发出中标通知书，中标公告期限为1个工作日。</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23.2中标通知书对采购人和中标人均具有法律效力。中标通知书发出后，采购人改变中标结果的，或者中标人放弃中标项目的，应当依法承担法律责任。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24.废标</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24.1在招标采购中，出现下列情形之一的，应予废标：</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24.1.1符合专业条件的供应商或者对招标文件作实质响应的供应商不足三家的；</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24.1.2出现影响采购公正的违法、违规行为的；</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24.1.3供应商的报价均超过了采购预算或最高限价（控制价），采购人不能支付的；</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25.1.4因重大变故，采购任务取消的。</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24.1.5</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平台系统出现序号18.8的所述情形，情况严重且影响采购活动公平、公正性的。</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24.2废标后，采购人将废标理由通知所有供应商。</w:t>
      </w:r>
      <w:bookmarkEnd w:id="613"/>
      <w:r/>
      <w:bookmarkEnd w:id="614"/>
      <w:r/>
      <w:bookmarkEnd w:id="615"/>
      <w:r/>
      <w:bookmarkEnd w:id="616"/>
      <w:r/>
      <w:bookmarkEnd w:id="617"/>
      <w:r/>
      <w:bookmarkEnd w:id="618"/>
      <w:r/>
      <w:bookmarkEnd w:id="619"/>
      <w:r/>
      <w:bookmarkEnd w:id="620"/>
      <w:r/>
      <w:bookmarkEnd w:id="624"/>
      <w:r/>
      <w:bookmarkEnd w:id="625"/>
      <w:r/>
      <w:bookmarkEnd w:id="626"/>
      <w:r/>
      <w:bookmarkEnd w:id="627"/>
      <w:r/>
      <w:bookmarkEnd w:id="628"/>
      <w:r/>
      <w:bookmarkEnd w:id="629"/>
      <w:r/>
      <w:bookmarkEnd w:id="630"/>
      <w:r/>
      <w:bookmarkEnd w:id="631"/>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645" w:name="_Toc151190177"/>
      <w:r/>
      <w:bookmarkStart w:id="646" w:name="_Toc164351644"/>
      <w:r/>
      <w:bookmarkStart w:id="647" w:name="_Toc164229391"/>
      <w:r/>
      <w:bookmarkStart w:id="648" w:name="_Ref467306978"/>
      <w:r/>
      <w:bookmarkStart w:id="649" w:name="_Ref467306377"/>
      <w:r/>
      <w:bookmarkStart w:id="650" w:name="_Toc226965740"/>
      <w:r/>
      <w:bookmarkStart w:id="651" w:name="_Toc150480788"/>
      <w:r/>
      <w:bookmarkStart w:id="652" w:name="_Toc127161464"/>
      <w:r/>
      <w:bookmarkStart w:id="653" w:name="_Toc520356175"/>
      <w:r/>
      <w:bookmarkStart w:id="654" w:name="_Toc226337246"/>
      <w:r/>
      <w:bookmarkStart w:id="655" w:name="_Toc127151550"/>
      <w:r/>
      <w:bookmarkStart w:id="656" w:name="_Toc264969240"/>
      <w:r/>
      <w:bookmarkStart w:id="657" w:name="_Toc151193938"/>
      <w:r/>
      <w:bookmarkStart w:id="658" w:name="_Toc151193864"/>
      <w:r/>
      <w:bookmarkStart w:id="659" w:name="_Ref467307204"/>
      <w:r/>
      <w:bookmarkStart w:id="660" w:name="_Toc226309794"/>
      <w:r/>
      <w:bookmarkStart w:id="661" w:name="_Toc150509301"/>
      <w:r/>
      <w:bookmarkStart w:id="662" w:name="_Toc195842915"/>
      <w:r/>
      <w:bookmarkStart w:id="663" w:name="_Toc305158892"/>
      <w:r/>
      <w:bookmarkStart w:id="664" w:name="_Toc265228388"/>
      <w:r/>
      <w:bookmarkStart w:id="665" w:name="_Toc150774650"/>
      <w:r/>
      <w:bookmarkStart w:id="666" w:name="_Toc127151751"/>
      <w:r/>
      <w:bookmarkStart w:id="667" w:name="_Toc149720843"/>
      <w:r/>
      <w:bookmarkStart w:id="668" w:name="_Toc164608664"/>
      <w:r/>
      <w:bookmarkStart w:id="669" w:name="_Toc226965823"/>
      <w:r/>
      <w:bookmarkStart w:id="670" w:name="_Toc151193720"/>
      <w:r/>
      <w:bookmarkStart w:id="671" w:name="_Toc151193648"/>
      <w:r/>
      <w:bookmarkStart w:id="672" w:name="_Toc164608819"/>
      <w:r/>
      <w:bookmarkStart w:id="673" w:name="_Toc164229245"/>
      <w:r/>
      <w:bookmarkStart w:id="674" w:name="_Toc150774755"/>
      <w:r/>
      <w:bookmarkStart w:id="675" w:name="_Toc151193792"/>
      <w:r/>
      <w:bookmarkStart w:id="676" w:name="_Toc142311052"/>
      <w:r/>
      <w:bookmarkStart w:id="677" w:name="_Toc305158818"/>
      <w:r/>
      <w:bookmarkStart w:id="678" w:name="_Ref467307062"/>
      <w:r>
        <w:rPr>
          <w:rFonts w:hint="eastAsia" w:ascii="宋体" w:hAnsi="宋体" w:eastAsia="宋体" w:cs="宋体"/>
          <w:color w:val="000000"/>
          <w:sz w:val="21"/>
          <w:szCs w:val="21"/>
          <w:highlight w:val="none"/>
        </w:rPr>
        <w:t xml:space="preserve">25.签订合同</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25.3联合体中标的，联合体各方应当共同与采购人签订合同，就中标项目向采购人承担连带责任。</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25.4政府采购合同不能转包。</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bookmarkEnd w:id="621"/>
      <w:r/>
      <w:bookmarkEnd w:id="622"/>
      <w:r/>
      <w:bookmarkEnd w:id="623"/>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26.询问与质疑</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26.1询问</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26.1.1供应商对政府采购活动事项有疑问的，可依法提出询问，并按《供应商须知资料表》载明的形式送达采购人或采购代理机构。</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26.1.2采购人或采购代理机构对供应商依法提出的询问，在3个工作日内作出答复，但答复的内容不得涉及商业秘密。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26.2质疑</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26.2.2</w:t>
      </w:r>
      <w:r>
        <w:rPr>
          <w:rFonts w:hint="eastAsia" w:ascii="宋体" w:hAnsi="宋体" w:eastAsia="宋体" w:cs="宋体"/>
          <w:b/>
          <w:bCs/>
          <w:color w:val="000000"/>
          <w:sz w:val="21"/>
          <w:szCs w:val="21"/>
          <w:highlight w:val="none"/>
        </w:rPr>
        <w:t xml:space="preserve">招标文件中采购需求以及相关部分（第四章、第五章以及供应商资格要求）由采购人负责制定和管理，对该部分内容有询问或者质疑的，供应商应当向采购人书面提出，由采购人负责接收和回复。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color w:val="000000"/>
          <w:sz w:val="21"/>
          <w:szCs w:val="21"/>
          <w:highlight w:val="none"/>
        </w:rPr>
      </w:r>
      <w:r/>
    </w:p>
    <w:p>
      <w:pPr>
        <w:pStyle w:val="125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26.2.3质疑函须使用财政部制定的范本文件。（下载网址：</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"http://gks.mof.gov.cn/ztztz/zhengfucaigouguanli/201802/t20180201_2804589.htm"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http</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//gk</w:t>
      </w:r>
      <w:bookmarkStart w:id="679" w:name="_Hlt100654014"/>
      <w:r>
        <w:rPr>
          <w:rFonts w:hint="eastAsia" w:ascii="宋体" w:hAnsi="宋体" w:eastAsia="宋体" w:cs="宋体"/>
          <w:color w:val="000000"/>
          <w:sz w:val="21"/>
          <w:szCs w:val="21"/>
          <w:highlight w:val="none"/>
        </w:rPr>
        <w:t xml:space="preserve">s</w:t>
      </w:r>
      <w:bookmarkEnd w:id="679"/>
      <w:r>
        <w:rPr>
          <w:rFonts w:hint="eastAsia" w:ascii="宋体" w:hAnsi="宋体" w:eastAsia="宋体" w:cs="宋体"/>
          <w:color w:val="000000"/>
          <w:sz w:val="21"/>
          <w:szCs w:val="21"/>
          <w:highlight w:val="none"/>
        </w:rPr>
        <w:t xml:space="preserve">.m</w:t>
      </w:r>
      <w:bookmarkStart w:id="680" w:name="_Hlt100653993"/>
      <w:r/>
      <w:bookmarkStart w:id="681" w:name="_Hlt100653994"/>
      <w:r>
        <w:rPr>
          <w:rFonts w:hint="eastAsia" w:ascii="宋体" w:hAnsi="宋体" w:eastAsia="宋体" w:cs="宋体"/>
          <w:color w:val="000000"/>
          <w:sz w:val="21"/>
          <w:szCs w:val="21"/>
          <w:highlight w:val="none"/>
        </w:rPr>
        <w:t xml:space="preserve">o</w:t>
      </w:r>
      <w:bookmarkEnd w:id="680"/>
      <w:r/>
      <w:bookmarkEnd w:id="681"/>
      <w:r>
        <w:rPr>
          <w:rFonts w:hint="eastAsia" w:ascii="宋体" w:hAnsi="宋体" w:eastAsia="宋体" w:cs="宋体"/>
          <w:color w:val="000000"/>
          <w:sz w:val="21"/>
          <w:szCs w:val="21"/>
          <w:highlight w:val="none"/>
        </w:rPr>
        <w:t xml:space="preserve">f.gov.cn/ztztz/zhengfucaigouguanli/201802/t20180201_2804589.htm</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26.2.4供应商为自然人的，应当由本人签字；供应商为法人或者其他组织的，应当由法定代表人、主要负责人，或者其授权代表签字或者加盖公章，并加盖公章。</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26.2.5供应商应在法定质疑期内一次性提出针对同一采购程序环节的质疑，法定质疑期内针对同一采购程序环节再次提出的质疑，采购人、采购代理机构有权不予答复。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26.3接收询问和质疑的联系部门、联系电话和通讯地址见《供应商须知资料表》。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27.代理费</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27.1收费对象、收费标准及缴纳时间见《供应商须知资料表》。</w:t>
      </w:r>
      <w:r>
        <w:rPr>
          <w:rFonts w:hint="eastAsia" w:ascii="宋体" w:hAnsi="宋体" w:eastAsia="宋体" w:cs="宋体"/>
          <w:b/>
          <w:bCs/>
          <w:color w:val="000000"/>
          <w:sz w:val="21"/>
          <w:szCs w:val="21"/>
          <w:highlight w:val="none"/>
        </w:rPr>
        <w:t xml:space="preserve">由中标人支付的，中标人在领取中标通知书前须一次性向采购代理机构缴纳代理费，投标报价应包含代理费用。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27.2代理服务收费标准：见《供应商须知资料表》</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27.3代理费收取账户信息：</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收款单位：</w:t>
      </w:r>
      <w:r>
        <w:rPr>
          <w:rFonts w:hint="eastAsia" w:ascii="宋体" w:hAnsi="宋体" w:eastAsia="宋体" w:cs="宋体"/>
          <w:color w:val="000000"/>
          <w:sz w:val="21"/>
          <w:szCs w:val="21"/>
          <w:highlight w:val="none"/>
          <w:lang w:eastAsia="zh-CN"/>
        </w:rPr>
        <w:t xml:space="preserve">江苏晋陵工程咨询有限公司</w:t>
      </w:r>
      <w:r>
        <w:rPr>
          <w:rFonts w:hint="eastAsia" w:ascii="宋体" w:hAnsi="宋体" w:eastAsia="宋体" w:cs="宋体"/>
          <w:color w:val="000000"/>
          <w:sz w:val="21"/>
          <w:szCs w:val="21"/>
          <w:highlight w:val="none"/>
          <w:lang w:eastAsia="zh-CN"/>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开户银行：江苏银行常州怀德支行 </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账号：81700188000089469</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spacing w:line="360" w:lineRule="auto"/>
        <w:tabs>
          <w:tab w:val="left" w:pos="900" w:leader="none"/>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62"/>
        <w:ind w:left="360"/>
        <w:spacing w:line="360" w:lineRule="auto"/>
        <w:tabs>
          <w:tab w:val="left" w:pos="36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jc w:val="center"/>
        <w:spacing w:line="360" w:lineRule="auto"/>
        <w:rPr>
          <w:rStyle w:val="1186"/>
          <w:rFonts w:hint="eastAsia" w:ascii="宋体" w:hAnsi="宋体" w:eastAsia="宋体" w:cs="宋体"/>
          <w:color w:val="000000"/>
          <w:highlight w:val="none"/>
        </w:rPr>
        <w:outlineLvl w:val="0"/>
      </w:pPr>
      <w:r/>
      <w:bookmarkStart w:id="682" w:name="_Toc264969244"/>
      <w:r/>
      <w:bookmarkStart w:id="683" w:name="_Toc226337250"/>
      <w:r/>
      <w:bookmarkStart w:id="684" w:name="_Toc265228392"/>
      <w:r/>
      <w:bookmarkStart w:id="685" w:name="_Toc353825544"/>
      <w:r/>
      <w:bookmarkStart w:id="686" w:name="_Toc142311056"/>
      <w:r/>
      <w:bookmarkStart w:id="687" w:name="_Toc353873664"/>
      <w:r/>
      <w:bookmarkStart w:id="688" w:name="_Toc305158822"/>
      <w:r/>
      <w:bookmarkStart w:id="689" w:name="_Toc226965827"/>
      <w:r/>
      <w:bookmarkStart w:id="690" w:name="_Toc150774759"/>
      <w:r/>
      <w:bookmarkStart w:id="691" w:name="_Toc127151554"/>
      <w:r/>
      <w:bookmarkStart w:id="692" w:name="_Toc305158896"/>
      <w:r/>
      <w:bookmarkStart w:id="693" w:name="_Toc150480792"/>
      <w:r/>
      <w:bookmarkStart w:id="694" w:name="_Toc353873934"/>
      <w:r>
        <w:rPr>
          <w:rFonts w:hint="eastAsia" w:ascii="宋体" w:hAnsi="宋体" w:eastAsia="宋体" w:cs="宋体"/>
          <w:color w:val="000000"/>
          <w:sz w:val="24"/>
          <w:highlight w:val="none"/>
        </w:rPr>
        <w:br w:type="page" w:clear="all"/>
      </w:r>
      <w:bookmarkStart w:id="695" w:name="_Toc27092"/>
      <w:r>
        <w:rPr>
          <w:rStyle w:val="1186"/>
          <w:rFonts w:hint="eastAsia" w:ascii="宋体" w:hAnsi="宋体" w:eastAsia="宋体" w:cs="宋体"/>
          <w:color w:val="000000"/>
          <w:highlight w:val="none"/>
        </w:rPr>
        <w:t xml:space="preserve">第三章   </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Pr>
          <w:rStyle w:val="1186"/>
          <w:rFonts w:hint="eastAsia" w:ascii="宋体" w:hAnsi="宋体" w:eastAsia="宋体" w:cs="宋体"/>
          <w:color w:val="000000"/>
          <w:highlight w:val="none"/>
        </w:rPr>
        <w:t xml:space="preserve">资格审查</w:t>
      </w:r>
      <w:bookmarkEnd w:id="695"/>
      <w:r/>
      <w:bookmarkStart w:id="696" w:name="_Toc487900382"/>
      <w:r>
        <w:rPr>
          <w:rStyle w:val="1186"/>
          <w:rFonts w:hint="eastAsia" w:ascii="宋体" w:hAnsi="宋体" w:eastAsia="宋体" w:cs="宋体"/>
          <w:color w:val="000000"/>
          <w:highlight w:val="none"/>
        </w:rPr>
      </w:r>
      <w:r/>
    </w:p>
    <w:p>
      <w:pPr>
        <w:pStyle w:val="962"/>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bookmarkStart w:id="697" w:name="_Toc99301422"/>
      <w:r>
        <w:rPr>
          <w:rFonts w:hint="eastAsia" w:ascii="宋体" w:hAnsi="宋体" w:eastAsia="宋体" w:cs="宋体"/>
          <w:b/>
          <w:color w:val="000000"/>
          <w:sz w:val="24"/>
          <w:highlight w:val="none"/>
        </w:rPr>
        <w:t xml:space="preserve">一、资格审查程序</w:t>
      </w:r>
      <w:bookmarkEnd w:id="697"/>
      <w:r>
        <w:rPr>
          <w:rFonts w:hint="eastAsia" w:ascii="宋体" w:hAnsi="宋体" w:eastAsia="宋体" w:cs="宋体"/>
          <w:b/>
          <w:color w:val="000000"/>
          <w:sz w:val="24"/>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1.开标结束后，采购人将根据《资格审查要求》中的规定，对供应商进行资格审查，并形成资格审查结果。</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2.《资格审查要求》中对格式有要求的，除招标文件另有规定外，均为“实质性格式”文件。</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3.供应商《资格证明文件》有任何一项不符合《资格审查要求》的，资格审查不合格，其投标无效。</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4.资格审查合格的供应商不足3家的，不进行评标。</w:t>
      </w:r>
      <w:r>
        <w:rPr>
          <w:rFonts w:hint="eastAsia" w:ascii="宋体" w:hAnsi="宋体" w:eastAsia="宋体" w:cs="宋体"/>
          <w:color w:val="000000"/>
          <w:sz w:val="21"/>
          <w:szCs w:val="21"/>
          <w:highlight w:val="none"/>
        </w:rPr>
      </w:r>
      <w:r/>
    </w:p>
    <w:p>
      <w:pPr>
        <w:pStyle w:val="962"/>
        <w:jc w:val="center"/>
        <w:spacing w:line="360" w:lineRule="auto"/>
        <w:tabs>
          <w:tab w:val="left" w:pos="360" w:leader="none"/>
          <w:tab w:val="left" w:pos="900" w:leader="none"/>
        </w:tabs>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二、资格审查要求</w:t>
      </w:r>
      <w:r>
        <w:rPr>
          <w:rFonts w:hint="eastAsia" w:ascii="宋体" w:hAnsi="宋体" w:eastAsia="宋体" w:cs="宋体"/>
          <w:b/>
          <w:color w:val="000000"/>
          <w:sz w:val="24"/>
          <w:szCs w:val="24"/>
          <w:highlight w:val="none"/>
        </w:rPr>
      </w:r>
      <w:r/>
    </w:p>
    <w:tbl>
      <w:tblPr>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642"/>
        <w:gridCol w:w="5213"/>
        <w:gridCol w:w="2202"/>
      </w:tblGrid>
      <w:tr>
        <w:trPr>
          <w:trHeight w:val="468"/>
          <w:tblHeader/>
        </w:trPr>
        <w:tc>
          <w:tcPr>
            <w:tcW w:w="454" w:type="dxa"/>
            <w:vAlign w:val="center"/>
            <w:textDirection w:val="lrTb"/>
            <w:noWrap w:val="false"/>
          </w:tcPr>
          <w:p>
            <w:pPr>
              <w:pStyle w:val="962"/>
              <w:jc w:val="center"/>
              <w:spacing w:line="240" w:lineRule="exact"/>
              <w:tabs>
                <w:tab w:val="left" w:pos="1080" w:leader="none"/>
              </w:tabs>
              <w:rPr>
                <w:rFonts w:hint="eastAsia" w:ascii="宋体" w:hAnsi="宋体" w:eastAsia="宋体" w:cs="宋体"/>
                <w:b/>
                <w:color w:val="000000"/>
                <w:szCs w:val="21"/>
                <w:highlight w:val="none"/>
              </w:rPr>
            </w:pPr>
            <w:r/>
            <w:bookmarkStart w:id="698" w:name="_Hlt487972895"/>
            <w:r/>
            <w:bookmarkEnd w:id="698"/>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824" w:type="dxa"/>
            <w:vAlign w:val="center"/>
            <w:textDirection w:val="lrTb"/>
            <w:noWrap w:val="false"/>
          </w:tcPr>
          <w:p>
            <w:pPr>
              <w:pStyle w:val="962"/>
              <w:jc w:val="center"/>
              <w:spacing w:line="240" w:lineRule="exact"/>
              <w:tabs>
                <w:tab w:val="left" w:pos="108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审查因素</w:t>
            </w:r>
            <w:r>
              <w:rPr>
                <w:rFonts w:hint="eastAsia" w:ascii="宋体" w:hAnsi="宋体" w:eastAsia="宋体" w:cs="宋体"/>
                <w:b/>
                <w:color w:val="000000"/>
                <w:szCs w:val="21"/>
                <w:highlight w:val="none"/>
              </w:rPr>
            </w:r>
            <w:r/>
          </w:p>
        </w:tc>
        <w:tc>
          <w:tcPr>
            <w:tcW w:w="2615" w:type="dxa"/>
            <w:vAlign w:val="center"/>
            <w:textDirection w:val="lrTb"/>
            <w:noWrap w:val="false"/>
          </w:tcPr>
          <w:p>
            <w:pPr>
              <w:pStyle w:val="962"/>
              <w:jc w:val="center"/>
              <w:spacing w:line="240" w:lineRule="exact"/>
              <w:tabs>
                <w:tab w:val="left" w:pos="108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审查内容</w:t>
            </w:r>
            <w:r>
              <w:rPr>
                <w:rFonts w:hint="eastAsia" w:ascii="宋体" w:hAnsi="宋体" w:eastAsia="宋体" w:cs="宋体"/>
                <w:b/>
                <w:color w:val="000000"/>
                <w:szCs w:val="21"/>
                <w:highlight w:val="none"/>
              </w:rPr>
            </w:r>
            <w:r/>
          </w:p>
        </w:tc>
        <w:tc>
          <w:tcPr>
            <w:tcW w:w="1105" w:type="dxa"/>
            <w:vAlign w:val="center"/>
            <w:textDirection w:val="lrTb"/>
            <w:noWrap w:val="false"/>
          </w:tcPr>
          <w:p>
            <w:pPr>
              <w:pStyle w:val="962"/>
              <w:jc w:val="center"/>
              <w:spacing w:line="240" w:lineRule="exact"/>
              <w:tabs>
                <w:tab w:val="left" w:pos="108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格式要求</w:t>
            </w:r>
            <w:r>
              <w:rPr>
                <w:rFonts w:hint="eastAsia" w:ascii="宋体" w:hAnsi="宋体" w:eastAsia="宋体" w:cs="宋体"/>
                <w:b/>
                <w:color w:val="000000"/>
                <w:szCs w:val="21"/>
                <w:highlight w:val="none"/>
              </w:rPr>
            </w:r>
            <w:r/>
          </w:p>
        </w:tc>
      </w:tr>
      <w:tr>
        <w:trPr>
          <w:trHeight w:val="468"/>
        </w:trPr>
        <w:tc>
          <w:tcPr>
            <w:tcW w:w="454" w:type="dxa"/>
            <w:vAlign w:val="center"/>
            <w:textDirection w:val="lrTb"/>
            <w:noWrap w:val="false"/>
          </w:tcPr>
          <w:p>
            <w:pPr>
              <w:pStyle w:val="962"/>
              <w:jc w:val="center"/>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824" w:type="dxa"/>
            <w:vAlign w:val="center"/>
            <w:textDirection w:val="lrTb"/>
            <w:noWrap w:val="false"/>
          </w:tcPr>
          <w:p>
            <w:pPr>
              <w:pStyle w:val="962"/>
              <w:jc w:val="left"/>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满足《中华人民共和国政府采购法》第二十二条规定及法律法规的其他规定</w:t>
            </w:r>
            <w:r>
              <w:rPr>
                <w:rFonts w:hint="eastAsia" w:ascii="宋体" w:hAnsi="宋体" w:eastAsia="宋体" w:cs="宋体"/>
                <w:color w:val="000000"/>
                <w:szCs w:val="21"/>
                <w:highlight w:val="none"/>
              </w:rPr>
            </w:r>
            <w:r/>
          </w:p>
        </w:tc>
        <w:tc>
          <w:tcPr>
            <w:tcW w:w="2615" w:type="dxa"/>
            <w:vAlign w:val="center"/>
            <w:textDirection w:val="lrTb"/>
            <w:noWrap w:val="false"/>
          </w:tcPr>
          <w:p>
            <w:pPr>
              <w:pStyle w:val="962"/>
              <w:jc w:val="both"/>
              <w:spacing w:line="240" w:lineRule="exact"/>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至少应提供：</w:t>
            </w:r>
            <w:r>
              <w:rPr>
                <w:rFonts w:hint="eastAsia" w:ascii="宋体" w:hAnsi="宋体" w:eastAsia="宋体" w:cs="宋体"/>
                <w:b/>
                <w:bCs/>
                <w:color w:val="000000"/>
                <w:szCs w:val="21"/>
                <w:highlight w:val="none"/>
                <w:lang w:val="en-US" w:eastAsia="zh-CN"/>
              </w:rPr>
            </w:r>
            <w:r/>
          </w:p>
          <w:p>
            <w:pPr>
              <w:pStyle w:val="962"/>
              <w:jc w:val="both"/>
              <w:spacing w:line="240" w:lineRule="exact"/>
              <w:tabs>
                <w:tab w:val="left" w:pos="1080" w:leader="none"/>
              </w:tabs>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提供营业执照副本扫描件</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962"/>
              <w:jc w:val="both"/>
              <w:spacing w:line="240" w:lineRule="exact"/>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上一</w:t>
            </w:r>
            <w:r>
              <w:rPr>
                <w:rFonts w:hint="eastAsia" w:ascii="宋体" w:hAnsi="宋体" w:eastAsia="宋体" w:cs="宋体"/>
                <w:b/>
                <w:bCs/>
                <w:color w:val="000000"/>
                <w:szCs w:val="21"/>
                <w:highlight w:val="none"/>
                <w:lang w:val="en-US" w:eastAsia="zh-CN"/>
              </w:rPr>
              <w:t xml:space="preserve">年度的财务状况报告（成立不满一年不需提供），财务状况报告至少应包含资产负债表、利润表、现金流量表；</w:t>
            </w:r>
            <w:r>
              <w:rPr>
                <w:rFonts w:hint="eastAsia" w:ascii="宋体" w:hAnsi="宋体" w:eastAsia="宋体" w:cs="宋体"/>
                <w:b/>
                <w:bCs/>
                <w:color w:val="000000"/>
                <w:szCs w:val="21"/>
                <w:highlight w:val="none"/>
                <w:lang w:val="en-US" w:eastAsia="zh-CN"/>
              </w:rPr>
            </w:r>
            <w:r/>
          </w:p>
          <w:p>
            <w:pPr>
              <w:pStyle w:val="962"/>
              <w:jc w:val="both"/>
              <w:spacing w:line="240" w:lineRule="exact"/>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依法缴纳税收和社会保障资金的相关材料（提供提交开标间前一年内至少一个月依法缴纳税收及缴纳社会保障资金的证明材料。供应商存在依法享受缓缴、免缴税收、社会保障资金的情形的，应提供证明材料）；</w:t>
            </w:r>
            <w:r>
              <w:rPr>
                <w:rFonts w:hint="eastAsia" w:ascii="宋体" w:hAnsi="宋体" w:eastAsia="宋体" w:cs="宋体"/>
                <w:b/>
                <w:bCs/>
                <w:color w:val="000000"/>
                <w:szCs w:val="21"/>
                <w:highlight w:val="none"/>
                <w:lang w:val="en-US" w:eastAsia="zh-CN"/>
              </w:rPr>
            </w:r>
            <w:r/>
          </w:p>
          <w:p>
            <w:pPr>
              <w:pStyle w:val="962"/>
              <w:jc w:val="both"/>
              <w:spacing w:line="240" w:lineRule="exac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Cs w:val="21"/>
                <w:highlight w:val="none"/>
                <w:lang w:val="en-US" w:eastAsia="zh-CN"/>
              </w:rPr>
              <w:t xml:space="preserve">未提供或未按要求提供的资格审查不通过。</w:t>
            </w:r>
            <w:r>
              <w:rPr>
                <w:rFonts w:hint="eastAsia" w:ascii="宋体" w:hAnsi="宋体" w:eastAsia="宋体" w:cs="宋体"/>
                <w:color w:val="000000"/>
                <w:sz w:val="21"/>
                <w:szCs w:val="21"/>
                <w:highlight w:val="none"/>
              </w:rPr>
            </w:r>
            <w:r/>
          </w:p>
        </w:tc>
        <w:tc>
          <w:tcPr>
            <w:tcW w:w="1105"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b/>
                <w:bCs/>
                <w:color w:val="000000"/>
                <w:highlight w:val="none"/>
                <w:lang w:val="en-US" w:eastAsia="zh-CN"/>
              </w:rPr>
              <w:t xml:space="preserve">按采购文件及“苏采云”系统明确的要求提供</w:t>
            </w:r>
            <w:r>
              <w:rPr>
                <w:rFonts w:hint="eastAsia" w:ascii="宋体" w:hAnsi="宋体" w:eastAsia="宋体" w:cs="宋体"/>
                <w:color w:val="000000"/>
                <w:szCs w:val="21"/>
                <w:highlight w:val="none"/>
              </w:rPr>
              <w:t xml:space="preserve">证明材料</w:t>
            </w:r>
            <w:r>
              <w:rPr>
                <w:rFonts w:hint="eastAsia" w:ascii="宋体" w:hAnsi="宋体" w:eastAsia="宋体" w:cs="宋体"/>
                <w:b/>
                <w:bCs/>
                <w:color w:val="000000"/>
                <w:highlight w:val="none"/>
                <w:lang w:val="en-US" w:eastAsia="zh-CN"/>
              </w:rPr>
              <w:t xml:space="preserve">并加盖公章</w:t>
            </w:r>
            <w:r>
              <w:rPr>
                <w:rFonts w:hint="eastAsia" w:ascii="宋体" w:hAnsi="宋体" w:eastAsia="宋体" w:cs="宋体"/>
                <w:color w:val="000000"/>
                <w:szCs w:val="21"/>
                <w:highlight w:val="none"/>
              </w:rPr>
            </w:r>
            <w:r/>
          </w:p>
        </w:tc>
      </w:tr>
      <w:tr>
        <w:trPr>
          <w:trHeight w:val="468"/>
        </w:trPr>
        <w:tc>
          <w:tcPr>
            <w:tcW w:w="454" w:type="dxa"/>
            <w:vAlign w:val="center"/>
            <w:textDirection w:val="lrTb"/>
            <w:noWrap w:val="false"/>
          </w:tcPr>
          <w:p>
            <w:pPr>
              <w:pStyle w:val="962"/>
              <w:jc w:val="center"/>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824" w:type="dxa"/>
            <w:vAlign w:val="center"/>
            <w:textDirection w:val="lrTb"/>
            <w:noWrap w:val="false"/>
          </w:tcPr>
          <w:p>
            <w:pPr>
              <w:pStyle w:val="962"/>
              <w:jc w:val="left"/>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供应商资格声明函</w:t>
            </w:r>
            <w:r>
              <w:rPr>
                <w:rFonts w:hint="eastAsia" w:ascii="宋体" w:hAnsi="宋体" w:eastAsia="宋体" w:cs="宋体"/>
                <w:color w:val="000000"/>
                <w:szCs w:val="21"/>
                <w:highlight w:val="none"/>
              </w:rPr>
            </w:r>
            <w:r/>
          </w:p>
        </w:tc>
        <w:tc>
          <w:tcPr>
            <w:tcW w:w="2615" w:type="dxa"/>
            <w:vAlign w:val="center"/>
            <w:textDirection w:val="lrTb"/>
            <w:noWrap w:val="false"/>
          </w:tcPr>
          <w:p>
            <w:pPr>
              <w:pStyle w:val="962"/>
              <w:jc w:val="both"/>
              <w:spacing w:line="240" w:lineRule="exact"/>
              <w:tabs>
                <w:tab w:val="left" w:pos="108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提供了符合招标文件要求的《供应商资格声明函》。</w:t>
            </w:r>
            <w:r>
              <w:rPr>
                <w:rFonts w:hint="eastAsia" w:ascii="宋体" w:hAnsi="宋体" w:eastAsia="宋体" w:cs="宋体"/>
                <w:b/>
                <w:bCs/>
                <w:color w:val="000000"/>
                <w:szCs w:val="21"/>
                <w:highlight w:val="none"/>
              </w:rPr>
            </w:r>
            <w:r/>
          </w:p>
        </w:tc>
        <w:tc>
          <w:tcPr>
            <w:tcW w:w="1105" w:type="dxa"/>
            <w:vAlign w:val="center"/>
            <w:textDirection w:val="lrTb"/>
            <w:noWrap w:val="false"/>
          </w:tcPr>
          <w:p>
            <w:pPr>
              <w:pStyle w:val="962"/>
              <w:spacing w:line="240" w:lineRule="exact"/>
              <w:tabs>
                <w:tab w:val="left" w:pos="108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格式见《投标文件格式》</w:t>
            </w:r>
            <w:r>
              <w:rPr>
                <w:rFonts w:hint="eastAsia" w:ascii="宋体" w:hAnsi="宋体" w:eastAsia="宋体" w:cs="宋体"/>
                <w:b/>
                <w:bCs/>
                <w:color w:val="000000"/>
                <w:szCs w:val="21"/>
                <w:highlight w:val="none"/>
              </w:rPr>
            </w:r>
            <w:r/>
          </w:p>
        </w:tc>
      </w:tr>
      <w:tr>
        <w:trPr>
          <w:trHeight w:val="76"/>
        </w:trPr>
        <w:tc>
          <w:tcPr>
            <w:tcW w:w="454" w:type="dxa"/>
            <w:vAlign w:val="center"/>
            <w:textDirection w:val="lrTb"/>
            <w:noWrap w:val="false"/>
          </w:tcPr>
          <w:p>
            <w:pPr>
              <w:pStyle w:val="962"/>
              <w:jc w:val="center"/>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824" w:type="dxa"/>
            <w:vAlign w:val="center"/>
            <w:textDirection w:val="lrTb"/>
            <w:noWrap w:val="false"/>
          </w:tcPr>
          <w:p>
            <w:pPr>
              <w:pStyle w:val="962"/>
              <w:jc w:val="left"/>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供应商信用记录</w:t>
            </w:r>
            <w:r>
              <w:rPr>
                <w:rFonts w:hint="eastAsia" w:ascii="宋体" w:hAnsi="宋体" w:eastAsia="宋体" w:cs="宋体"/>
                <w:color w:val="000000"/>
                <w:szCs w:val="21"/>
                <w:highlight w:val="none"/>
              </w:rPr>
            </w:r>
            <w:r/>
          </w:p>
        </w:tc>
        <w:tc>
          <w:tcPr>
            <w:tcW w:w="2615" w:type="dxa"/>
            <w:vAlign w:val="center"/>
            <w:textDirection w:val="lrTb"/>
            <w:noWrap w:val="false"/>
          </w:tcPr>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查询渠道：信用中国网站和中国政府采购网（www.creditchina.gov.cn、www.ccgp.gov.cn）；</w:t>
            </w:r>
            <w:r>
              <w:rPr>
                <w:rFonts w:hint="eastAsia" w:ascii="宋体" w:hAnsi="宋体" w:eastAsia="宋体" w:cs="宋体"/>
                <w:color w:val="000000"/>
                <w:szCs w:val="21"/>
                <w:highlight w:val="none"/>
              </w:rPr>
            </w:r>
            <w:r/>
          </w:p>
          <w:p>
            <w:pPr>
              <w:pStyle w:val="962"/>
              <w:jc w:val="both"/>
              <w:spacing w:line="240" w:lineRule="exact"/>
              <w:tabs>
                <w:tab w:val="left" w:pos="900" w:leader="none"/>
                <w:tab w:val="left" w:pos="19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截止时点：投标截止时间以后、资格审查阶段采购人或采购代理机构的实际查询时间；</w:t>
            </w:r>
            <w:r>
              <w:rPr>
                <w:rFonts w:hint="eastAsia" w:ascii="宋体" w:hAnsi="宋体" w:eastAsia="宋体" w:cs="宋体"/>
                <w:color w:val="000000"/>
                <w:szCs w:val="21"/>
                <w:highlight w:val="none"/>
              </w:rPr>
            </w:r>
            <w:r/>
          </w:p>
          <w:p>
            <w:pPr>
              <w:pStyle w:val="962"/>
              <w:jc w:val="both"/>
              <w:spacing w:line="240" w:lineRule="exact"/>
              <w:tabs>
                <w:tab w:val="left" w:pos="900" w:leader="none"/>
                <w:tab w:val="left" w:pos="19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信用信息查询记录和证据留存具体方式：查询结果网页打印页作为查询记录和证据，与其他招标文件一并保存；</w:t>
            </w:r>
            <w:r>
              <w:rPr>
                <w:rFonts w:hint="eastAsia" w:ascii="宋体" w:hAnsi="宋体" w:eastAsia="宋体" w:cs="宋体"/>
                <w:color w:val="000000"/>
                <w:szCs w:val="21"/>
                <w:highlight w:val="none"/>
              </w:rPr>
            </w:r>
            <w:r/>
          </w:p>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rPr>
                <w:rFonts w:hint="eastAsia" w:ascii="宋体" w:hAnsi="宋体" w:eastAsia="宋体" w:cs="宋体"/>
                <w:color w:val="000000"/>
                <w:szCs w:val="21"/>
                <w:highlight w:val="none"/>
              </w:rPr>
            </w:r>
            <w:r/>
          </w:p>
        </w:tc>
        <w:tc>
          <w:tcPr>
            <w:tcW w:w="1105"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无须供应商提供，由采购人查询。</w:t>
            </w:r>
            <w:r>
              <w:rPr>
                <w:rFonts w:hint="eastAsia" w:ascii="宋体" w:hAnsi="宋体" w:eastAsia="宋体" w:cs="宋体"/>
                <w:color w:val="000000"/>
                <w:szCs w:val="21"/>
                <w:highlight w:val="none"/>
              </w:rPr>
            </w:r>
            <w:r/>
          </w:p>
        </w:tc>
      </w:tr>
      <w:tr>
        <w:trPr>
          <w:trHeight w:val="933"/>
        </w:trPr>
        <w:tc>
          <w:tcPr>
            <w:tcW w:w="454" w:type="dxa"/>
            <w:vAlign w:val="center"/>
            <w:textDirection w:val="lrTb"/>
            <w:noWrap w:val="false"/>
          </w:tcPr>
          <w:p>
            <w:pPr>
              <w:pStyle w:val="962"/>
              <w:jc w:val="center"/>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824" w:type="dxa"/>
            <w:vAlign w:val="center"/>
            <w:textDirection w:val="lrTb"/>
            <w:noWrap w:val="false"/>
          </w:tcPr>
          <w:p>
            <w:pPr>
              <w:pStyle w:val="962"/>
              <w:jc w:val="left"/>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color w:val="000000"/>
                <w:szCs w:val="21"/>
                <w:highlight w:val="none"/>
              </w:rPr>
            </w:r>
            <w:r/>
          </w:p>
        </w:tc>
        <w:tc>
          <w:tcPr>
            <w:tcW w:w="2615" w:type="dxa"/>
            <w:vAlign w:val="center"/>
            <w:textDirection w:val="lrTb"/>
            <w:noWrap w:val="false"/>
          </w:tcPr>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具体要求见第一章《投标邀请》</w:t>
            </w:r>
            <w:r>
              <w:rPr>
                <w:rFonts w:hint="eastAsia" w:ascii="宋体" w:hAnsi="宋体" w:eastAsia="宋体" w:cs="宋体"/>
                <w:color w:val="000000"/>
                <w:szCs w:val="21"/>
                <w:highlight w:val="none"/>
              </w:rPr>
            </w:r>
            <w:r/>
          </w:p>
        </w:tc>
        <w:tc>
          <w:tcPr>
            <w:tcW w:w="1105"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17"/>
        </w:trPr>
        <w:tc>
          <w:tcPr>
            <w:tcW w:w="454" w:type="dxa"/>
            <w:vAlign w:val="center"/>
            <w:textDirection w:val="lrTb"/>
            <w:noWrap w:val="false"/>
          </w:tcPr>
          <w:p>
            <w:pPr>
              <w:pStyle w:val="962"/>
              <w:jc w:val="center"/>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824" w:type="dxa"/>
            <w:vAlign w:val="center"/>
            <w:textDirection w:val="lrTb"/>
            <w:noWrap w:val="false"/>
          </w:tcPr>
          <w:p>
            <w:pPr>
              <w:pStyle w:val="962"/>
              <w:jc w:val="left"/>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中小企业声明函</w:t>
            </w:r>
            <w:r>
              <w:rPr>
                <w:rFonts w:hint="eastAsia" w:ascii="宋体" w:hAnsi="宋体" w:eastAsia="宋体" w:cs="宋体"/>
                <w:color w:val="000000"/>
                <w:szCs w:val="21"/>
                <w:highlight w:val="none"/>
              </w:rPr>
            </w:r>
            <w:r/>
          </w:p>
        </w:tc>
        <w:tc>
          <w:tcPr>
            <w:tcW w:w="2615" w:type="dxa"/>
            <w:vAlign w:val="center"/>
            <w:textDirection w:val="lrTb"/>
            <w:noWrap w:val="false"/>
          </w:tcPr>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1.供应商单独投标的，应提供中小企业声明函；如为监狱企业或残疾人福利性单位，不必提供中小企业声明函，但须按注1或注2要求提供证明材料。</w:t>
            </w:r>
            <w:r>
              <w:rPr>
                <w:rFonts w:hint="eastAsia" w:ascii="宋体" w:hAnsi="宋体" w:eastAsia="宋体" w:cs="宋体"/>
                <w:color w:val="000000"/>
                <w:szCs w:val="21"/>
                <w:highlight w:val="none"/>
              </w:rPr>
            </w:r>
            <w:r/>
          </w:p>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color w:val="000000"/>
                <w:szCs w:val="21"/>
                <w:highlight w:val="none"/>
              </w:rPr>
            </w:r>
            <w:r/>
          </w:p>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color w:val="000000"/>
                <w:szCs w:val="21"/>
                <w:highlight w:val="none"/>
              </w:rPr>
            </w:r>
            <w:r/>
          </w:p>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注2：残疾人福利性单位须按招标文件要求提供《残疾人福利性单位声明函》。</w:t>
            </w:r>
            <w:r>
              <w:rPr>
                <w:rFonts w:hint="eastAsia" w:ascii="宋体" w:hAnsi="宋体" w:eastAsia="宋体" w:cs="宋体"/>
                <w:color w:val="000000"/>
                <w:szCs w:val="21"/>
                <w:highlight w:val="none"/>
              </w:rPr>
            </w:r>
            <w:r/>
          </w:p>
        </w:tc>
        <w:tc>
          <w:tcPr>
            <w:tcW w:w="1105" w:type="dxa"/>
            <w:vAlign w:val="center"/>
            <w:textDirection w:val="lrTb"/>
            <w:noWrap w:val="false"/>
          </w:tcPr>
          <w:p>
            <w:pPr>
              <w:pStyle w:val="962"/>
              <w:spacing w:line="240" w:lineRule="exact"/>
              <w:tabs>
                <w:tab w:val="left" w:pos="108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如本项目（包）是专门面向中小企业采购的，必须提供，格式见《投标文件格式》</w:t>
            </w:r>
            <w:r>
              <w:rPr>
                <w:rFonts w:hint="eastAsia" w:ascii="宋体" w:hAnsi="宋体" w:eastAsia="宋体" w:cs="宋体"/>
                <w:b/>
                <w:bCs/>
                <w:color w:val="000000"/>
                <w:szCs w:val="21"/>
                <w:highlight w:val="none"/>
              </w:rPr>
            </w:r>
            <w:r/>
          </w:p>
        </w:tc>
      </w:tr>
      <w:tr>
        <w:trPr>
          <w:trHeight w:val="1637"/>
        </w:trPr>
        <w:tc>
          <w:tcPr>
            <w:tcW w:w="454" w:type="dxa"/>
            <w:vAlign w:val="center"/>
            <w:textDirection w:val="lrTb"/>
            <w:noWrap w:val="false"/>
          </w:tcPr>
          <w:p>
            <w:pPr>
              <w:pStyle w:val="962"/>
              <w:jc w:val="center"/>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824"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拟分包情况说明及分包意向协议（类型二）</w:t>
            </w:r>
            <w:r>
              <w:rPr>
                <w:rFonts w:hint="eastAsia" w:ascii="宋体" w:hAnsi="宋体" w:eastAsia="宋体" w:cs="宋体"/>
                <w:color w:val="000000"/>
                <w:szCs w:val="21"/>
                <w:highlight w:val="none"/>
              </w:rPr>
            </w:r>
            <w:r/>
          </w:p>
        </w:tc>
        <w:tc>
          <w:tcPr>
            <w:tcW w:w="2615" w:type="dxa"/>
            <w:vAlign w:val="center"/>
            <w:textDirection w:val="lrTb"/>
            <w:noWrap w:val="false"/>
          </w:tcPr>
          <w:p>
            <w:pPr>
              <w:pStyle w:val="962"/>
              <w:jc w:val="both"/>
              <w:spacing w:line="240" w:lineRule="exact"/>
              <w:tabs>
                <w:tab w:val="left" w:pos="10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如本项目（包）要求通过分包措施预留部分采购份额面向中小企业采购、且供应商因落实政府采购政策拟进行分包的，必须提供；否则无须提供。</w:t>
            </w:r>
            <w:r>
              <w:rPr>
                <w:rFonts w:hint="eastAsia" w:ascii="宋体" w:hAnsi="宋体" w:eastAsia="宋体" w:cs="宋体"/>
                <w:color w:val="000000"/>
                <w:highlight w:val="none"/>
              </w:rPr>
            </w:r>
            <w:r/>
          </w:p>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对于预留份额专门面向中小企业采购的项目（包），组成联合体或者接受分包合同的中小企业与联合体内其他企业、分包企业之间不得存在直接控股、管理关系。</w:t>
            </w:r>
            <w:r>
              <w:rPr>
                <w:rFonts w:hint="eastAsia" w:ascii="宋体" w:hAnsi="宋体" w:eastAsia="宋体" w:cs="宋体"/>
                <w:color w:val="000000"/>
                <w:szCs w:val="21"/>
                <w:highlight w:val="none"/>
              </w:rPr>
            </w:r>
            <w:r/>
          </w:p>
        </w:tc>
        <w:tc>
          <w:tcPr>
            <w:tcW w:w="1105"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格式见《投标文件格式》</w:t>
            </w:r>
            <w:r>
              <w:rPr>
                <w:rFonts w:hint="eastAsia" w:ascii="宋体" w:hAnsi="宋体" w:eastAsia="宋体" w:cs="宋体"/>
                <w:color w:val="000000"/>
                <w:szCs w:val="21"/>
                <w:highlight w:val="none"/>
              </w:rPr>
            </w:r>
            <w:r/>
          </w:p>
        </w:tc>
      </w:tr>
      <w:tr>
        <w:trPr>
          <w:trHeight w:val="654"/>
        </w:trPr>
        <w:tc>
          <w:tcPr>
            <w:tcW w:w="454" w:type="dxa"/>
            <w:vAlign w:val="center"/>
            <w:textDirection w:val="lrTb"/>
            <w:noWrap w:val="false"/>
          </w:tcPr>
          <w:p>
            <w:pPr>
              <w:pStyle w:val="962"/>
              <w:jc w:val="center"/>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rPr>
            </w:r>
            <w:r/>
          </w:p>
        </w:tc>
        <w:tc>
          <w:tcPr>
            <w:tcW w:w="824"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其它落实政府采购政策的资格要求</w:t>
            </w:r>
            <w:r>
              <w:rPr>
                <w:rFonts w:hint="eastAsia" w:ascii="宋体" w:hAnsi="宋体" w:eastAsia="宋体" w:cs="宋体"/>
                <w:color w:val="000000"/>
                <w:szCs w:val="21"/>
                <w:highlight w:val="none"/>
              </w:rPr>
            </w:r>
            <w:r/>
          </w:p>
        </w:tc>
        <w:tc>
          <w:tcPr>
            <w:tcW w:w="2615" w:type="dxa"/>
            <w:vAlign w:val="center"/>
            <w:textDirection w:val="lrTb"/>
            <w:noWrap w:val="false"/>
          </w:tcPr>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如有，见第一章《投标邀请》</w:t>
            </w:r>
            <w:r>
              <w:rPr>
                <w:rFonts w:hint="eastAsia" w:ascii="宋体" w:hAnsi="宋体" w:eastAsia="宋体" w:cs="宋体"/>
                <w:color w:val="000000"/>
                <w:szCs w:val="21"/>
                <w:highlight w:val="none"/>
              </w:rPr>
            </w:r>
            <w:r/>
          </w:p>
        </w:tc>
        <w:tc>
          <w:tcPr>
            <w:tcW w:w="1105"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提供证明文件的扫描件加盖公章</w:t>
            </w:r>
            <w:r>
              <w:rPr>
                <w:rFonts w:hint="eastAsia" w:ascii="宋体" w:hAnsi="宋体" w:eastAsia="宋体" w:cs="宋体"/>
                <w:color w:val="000000"/>
                <w:szCs w:val="21"/>
                <w:highlight w:val="none"/>
              </w:rPr>
            </w:r>
            <w:r/>
          </w:p>
        </w:tc>
      </w:tr>
      <w:tr>
        <w:trPr>
          <w:trHeight w:val="438"/>
        </w:trPr>
        <w:tc>
          <w:tcPr>
            <w:tcW w:w="454" w:type="dxa"/>
            <w:vAlign w:val="center"/>
            <w:textDirection w:val="lrTb"/>
            <w:noWrap w:val="false"/>
          </w:tcPr>
          <w:p>
            <w:pPr>
              <w:pStyle w:val="962"/>
              <w:jc w:val="center"/>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824"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本项目的特定资格要求</w:t>
            </w:r>
            <w:r>
              <w:rPr>
                <w:rFonts w:hint="eastAsia" w:ascii="宋体" w:hAnsi="宋体" w:eastAsia="宋体" w:cs="宋体"/>
                <w:color w:val="000000"/>
                <w:szCs w:val="21"/>
                <w:highlight w:val="none"/>
              </w:rPr>
            </w:r>
            <w:r/>
          </w:p>
        </w:tc>
        <w:tc>
          <w:tcPr>
            <w:tcW w:w="2615" w:type="dxa"/>
            <w:vAlign w:val="center"/>
            <w:textDirection w:val="lrTb"/>
            <w:noWrap w:val="false"/>
          </w:tcPr>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如有，见第一章《投标邀请》</w:t>
            </w:r>
            <w:r>
              <w:rPr>
                <w:rFonts w:hint="eastAsia" w:ascii="宋体" w:hAnsi="宋体" w:eastAsia="宋体" w:cs="宋体"/>
                <w:color w:val="000000"/>
                <w:szCs w:val="21"/>
                <w:highlight w:val="none"/>
              </w:rPr>
            </w:r>
            <w:r/>
          </w:p>
        </w:tc>
        <w:tc>
          <w:tcPr>
            <w:tcW w:w="1105"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tcW w:w="454" w:type="dxa"/>
            <w:vAlign w:val="center"/>
            <w:textDirection w:val="lrTb"/>
            <w:noWrap w:val="false"/>
          </w:tcPr>
          <w:p>
            <w:pPr>
              <w:pStyle w:val="962"/>
              <w:jc w:val="center"/>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w:t>
            </w:r>
            <w:r>
              <w:rPr>
                <w:rFonts w:hint="eastAsia" w:ascii="宋体" w:hAnsi="宋体" w:eastAsia="宋体" w:cs="宋体"/>
                <w:color w:val="000000"/>
                <w:szCs w:val="21"/>
                <w:highlight w:val="none"/>
              </w:rPr>
            </w:r>
            <w:r/>
          </w:p>
        </w:tc>
        <w:tc>
          <w:tcPr>
            <w:tcW w:w="824"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是否接受联合体投标</w:t>
            </w:r>
            <w:r>
              <w:rPr>
                <w:rFonts w:hint="eastAsia" w:ascii="宋体" w:hAnsi="宋体" w:eastAsia="宋体" w:cs="宋体"/>
                <w:color w:val="000000"/>
                <w:szCs w:val="21"/>
                <w:highlight w:val="none"/>
              </w:rPr>
            </w:r>
            <w:r/>
          </w:p>
        </w:tc>
        <w:tc>
          <w:tcPr>
            <w:tcW w:w="2615" w:type="dxa"/>
            <w:vAlign w:val="center"/>
            <w:textDirection w:val="lrTb"/>
            <w:noWrap w:val="false"/>
          </w:tcPr>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宋体" w:hAnsi="宋体" w:eastAsia="宋体" w:cs="宋体"/>
                <w:color w:val="000000"/>
                <w:szCs w:val="21"/>
                <w:highlight w:val="none"/>
              </w:rPr>
            </w:r>
            <w:r/>
          </w:p>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2.联合体各成员单位均须提供本表中序号1-1.1-2的证明文件。</w:t>
            </w:r>
            <w:r>
              <w:rPr>
                <w:rFonts w:hint="eastAsia" w:ascii="宋体" w:hAnsi="宋体" w:eastAsia="宋体" w:cs="宋体"/>
                <w:color w:val="000000"/>
                <w:szCs w:val="21"/>
                <w:highlight w:val="none"/>
              </w:rPr>
            </w:r>
            <w:r/>
          </w:p>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3.本表序号3-2项规定的其他特定资格要求中的每一小项要求，联合体各方中至少应当有一方符合本表中其他资格要求并提供证明文件。</w:t>
            </w:r>
            <w:r>
              <w:rPr>
                <w:rFonts w:hint="eastAsia" w:ascii="宋体" w:hAnsi="宋体" w:eastAsia="宋体" w:cs="宋体"/>
                <w:color w:val="000000"/>
                <w:szCs w:val="21"/>
                <w:highlight w:val="none"/>
              </w:rPr>
            </w:r>
            <w:r/>
          </w:p>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4.联合体中有同类资质的供应商按照联合体分工承担相同工作的，应当按照资质等级较低的供应商确定资质等级。</w:t>
            </w:r>
            <w:r>
              <w:rPr>
                <w:rFonts w:hint="eastAsia" w:ascii="宋体" w:hAnsi="宋体" w:eastAsia="宋体" w:cs="宋体"/>
                <w:color w:val="000000"/>
                <w:szCs w:val="21"/>
                <w:highlight w:val="none"/>
              </w:rPr>
            </w:r>
            <w:r/>
          </w:p>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color w:val="000000"/>
                <w:szCs w:val="21"/>
                <w:highlight w:val="none"/>
              </w:rPr>
            </w:r>
            <w:r/>
          </w:p>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6.若联合体中任一成员单位中途退出，则该联合体的</w:t>
            </w:r>
            <w:r>
              <w:rPr>
                <w:rFonts w:hint="eastAsia" w:ascii="宋体" w:hAnsi="宋体" w:eastAsia="宋体" w:cs="宋体"/>
                <w:b/>
                <w:color w:val="000000"/>
                <w:szCs w:val="21"/>
                <w:highlight w:val="none"/>
              </w:rPr>
              <w:t xml:space="preserve">投标无效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7.本项目不接受联合体投标时，供应商不得为联合体。</w:t>
            </w:r>
            <w:r>
              <w:rPr>
                <w:rFonts w:hint="eastAsia" w:ascii="宋体" w:hAnsi="宋体" w:eastAsia="宋体" w:cs="宋体"/>
                <w:color w:val="000000"/>
                <w:szCs w:val="21"/>
                <w:highlight w:val="none"/>
              </w:rPr>
            </w:r>
            <w:r/>
          </w:p>
        </w:tc>
        <w:tc>
          <w:tcPr>
            <w:tcW w:w="1105"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提供《联合协议》原件的电子件</w:t>
            </w:r>
            <w:r>
              <w:rPr>
                <w:rFonts w:hint="eastAsia" w:ascii="宋体" w:hAnsi="宋体" w:eastAsia="宋体" w:cs="宋体"/>
                <w:color w:val="000000"/>
                <w:szCs w:val="21"/>
                <w:highlight w:val="none"/>
              </w:rPr>
            </w:r>
            <w:r/>
          </w:p>
          <w:p>
            <w:pPr>
              <w:pStyle w:val="1252"/>
              <w:ind w:left="0" w:firstLine="0"/>
              <w:jc w:val="left"/>
              <w:spacing w:after="0" w:line="240" w:lineRule="exac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格式见《投标文件格式》</w:t>
            </w:r>
            <w:r>
              <w:rPr>
                <w:rFonts w:hint="eastAsia" w:ascii="宋体" w:hAnsi="宋体" w:eastAsia="宋体" w:cs="宋体"/>
                <w:color w:val="000000"/>
                <w:szCs w:val="21"/>
                <w:highlight w:val="none"/>
              </w:rPr>
            </w:r>
            <w:r/>
          </w:p>
        </w:tc>
      </w:tr>
      <w:tr>
        <w:trPr>
          <w:trHeight w:val="460"/>
        </w:trPr>
        <w:tc>
          <w:tcPr>
            <w:tcW w:w="454" w:type="dxa"/>
            <w:vAlign w:val="center"/>
            <w:textDirection w:val="lrTb"/>
            <w:noWrap w:val="false"/>
          </w:tcPr>
          <w:p>
            <w:pPr>
              <w:pStyle w:val="962"/>
              <w:jc w:val="center"/>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rPr>
            </w:r>
            <w:r/>
          </w:p>
        </w:tc>
        <w:tc>
          <w:tcPr>
            <w:tcW w:w="824"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其他特定资格要求（如有）</w:t>
            </w:r>
            <w:r>
              <w:rPr>
                <w:rFonts w:hint="eastAsia" w:ascii="宋体" w:hAnsi="宋体" w:eastAsia="宋体" w:cs="宋体"/>
                <w:color w:val="000000"/>
                <w:szCs w:val="21"/>
                <w:highlight w:val="none"/>
              </w:rPr>
            </w:r>
            <w:r/>
          </w:p>
        </w:tc>
        <w:tc>
          <w:tcPr>
            <w:tcW w:w="2615" w:type="dxa"/>
            <w:vAlign w:val="center"/>
            <w:textDirection w:val="lrTb"/>
            <w:noWrap w:val="false"/>
          </w:tcPr>
          <w:p>
            <w:pPr>
              <w:pStyle w:val="962"/>
              <w:jc w:val="both"/>
              <w:spacing w:line="240" w:lineRule="exact"/>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见第一章《投标邀请》</w:t>
            </w:r>
            <w:r>
              <w:rPr>
                <w:rFonts w:hint="eastAsia" w:ascii="宋体" w:hAnsi="宋体" w:eastAsia="宋体" w:cs="宋体"/>
                <w:color w:val="000000"/>
                <w:szCs w:val="21"/>
                <w:highlight w:val="none"/>
              </w:rPr>
            </w:r>
            <w:r/>
          </w:p>
        </w:tc>
        <w:tc>
          <w:tcPr>
            <w:tcW w:w="1105" w:type="dxa"/>
            <w:vAlign w:val="center"/>
            <w:textDirection w:val="lrTb"/>
            <w:noWrap w:val="false"/>
          </w:tcPr>
          <w:p>
            <w:pPr>
              <w:pStyle w:val="962"/>
              <w:spacing w:line="240" w:lineRule="exact"/>
              <w:tabs>
                <w:tab w:val="left" w:pos="108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提供证明文件的电子件或电子证照</w:t>
            </w:r>
            <w:r>
              <w:rPr>
                <w:rFonts w:hint="eastAsia" w:ascii="宋体" w:hAnsi="宋体" w:eastAsia="宋体" w:cs="宋体"/>
                <w:color w:val="000000"/>
                <w:szCs w:val="21"/>
                <w:highlight w:val="none"/>
                <w:lang w:val="en-US" w:eastAsia="zh-CN"/>
              </w:rPr>
              <w:t xml:space="preserve">或扫描件</w:t>
            </w:r>
            <w:r>
              <w:rPr>
                <w:rFonts w:hint="eastAsia" w:ascii="宋体" w:hAnsi="宋体" w:eastAsia="宋体" w:cs="宋体"/>
                <w:color w:val="000000"/>
                <w:szCs w:val="21"/>
                <w:highlight w:val="none"/>
                <w:lang w:val="en-US" w:eastAsia="zh-CN"/>
              </w:rPr>
            </w:r>
            <w:r/>
          </w:p>
        </w:tc>
      </w:tr>
    </w:tbl>
    <w:p>
      <w:pPr>
        <w:pStyle w:val="1215"/>
        <w:tabs>
          <w:tab w:val="left" w:pos="567" w:leader="none"/>
        </w:tabs>
        <w:rPr>
          <w:rFonts w:hint="eastAsia" w:ascii="宋体" w:hAnsi="宋体" w:eastAsia="宋体" w:cs="宋体"/>
          <w:color w:val="000000"/>
          <w:highlight w:val="none"/>
        </w:rPr>
      </w:pPr>
      <w:r>
        <w:rPr>
          <w:rFonts w:hint="eastAsia" w:ascii="宋体" w:hAnsi="宋体" w:eastAsia="宋体" w:cs="宋体"/>
          <w:color w:val="000000"/>
          <w:szCs w:val="21"/>
          <w:highlight w:val="none"/>
        </w:rPr>
        <w:br w:type="page" w:clear="all"/>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696"/>
      <w:r>
        <w:rPr>
          <w:rFonts w:hint="eastAsia" w:ascii="宋体" w:hAnsi="宋体" w:eastAsia="宋体" w:cs="宋体"/>
          <w:color w:val="000000"/>
          <w:highlight w:val="none"/>
        </w:rPr>
      </w:r>
      <w:r/>
    </w:p>
    <w:p>
      <w:pPr>
        <w:pStyle w:val="962"/>
        <w:jc w:val="center"/>
        <w:spacing w:line="360" w:lineRule="auto"/>
        <w:rPr>
          <w:rStyle w:val="1186"/>
          <w:rFonts w:hint="eastAsia" w:ascii="宋体" w:hAnsi="宋体" w:eastAsia="宋体" w:cs="宋体"/>
          <w:color w:val="000000"/>
          <w:highlight w:val="none"/>
        </w:rPr>
        <w:outlineLvl w:val="0"/>
      </w:pPr>
      <w:r/>
      <w:bookmarkStart w:id="699" w:name="_Toc353873940"/>
      <w:r/>
      <w:bookmarkStart w:id="700" w:name="_Toc127161490"/>
      <w:r/>
      <w:bookmarkStart w:id="701" w:name="_Toc226965858"/>
      <w:r/>
      <w:bookmarkStart w:id="702" w:name="_Toc353825550"/>
      <w:r/>
      <w:bookmarkStart w:id="703" w:name="_Toc127151779"/>
      <w:r/>
      <w:bookmarkStart w:id="704" w:name="_Toc19769"/>
      <w:r>
        <w:rPr>
          <w:rStyle w:val="1186"/>
          <w:rFonts w:hint="eastAsia" w:ascii="宋体" w:hAnsi="宋体" w:eastAsia="宋体" w:cs="宋体"/>
          <w:color w:val="000000"/>
          <w:highlight w:val="none"/>
        </w:rPr>
        <w:t xml:space="preserve">第四章   </w:t>
      </w:r>
      <w:bookmarkEnd w:id="699"/>
      <w:r/>
      <w:bookmarkEnd w:id="700"/>
      <w:r/>
      <w:bookmarkEnd w:id="701"/>
      <w:r/>
      <w:bookmarkEnd w:id="702"/>
      <w:r/>
      <w:bookmarkEnd w:id="703"/>
      <w:r/>
      <w:bookmarkStart w:id="705" w:name="_Hlt164229061"/>
      <w:r/>
      <w:bookmarkEnd w:id="705"/>
      <w:r>
        <w:rPr>
          <w:rStyle w:val="1186"/>
          <w:rFonts w:hint="eastAsia" w:ascii="宋体" w:hAnsi="宋体" w:eastAsia="宋体" w:cs="宋体"/>
          <w:color w:val="000000"/>
          <w:highlight w:val="none"/>
        </w:rPr>
        <w:t xml:space="preserve">评标程序、评标方法和评标标准</w:t>
      </w:r>
      <w:bookmarkEnd w:id="704"/>
      <w:r>
        <w:rPr>
          <w:rStyle w:val="1186"/>
          <w:rFonts w:hint="eastAsia" w:ascii="宋体" w:hAnsi="宋体" w:eastAsia="宋体" w:cs="宋体"/>
          <w:color w:val="000000"/>
          <w:highlight w:val="none"/>
        </w:rPr>
      </w:r>
      <w:r/>
    </w:p>
    <w:p>
      <w:pPr>
        <w:pStyle w:val="962"/>
        <w:jc w:val="center"/>
        <w:spacing w:line="360" w:lineRule="auto"/>
        <w:tabs>
          <w:tab w:val="left" w:pos="360" w:leader="none"/>
          <w:tab w:val="left" w:pos="900" w:leader="none"/>
        </w:tabs>
        <w:rPr>
          <w:rFonts w:hint="eastAsia" w:ascii="宋体" w:hAnsi="宋体" w:eastAsia="宋体" w:cs="宋体"/>
          <w:b/>
          <w:color w:val="000000"/>
          <w:highlight w:val="none"/>
        </w:rPr>
        <w:outlineLvl w:val="1"/>
      </w:pPr>
      <w:r>
        <w:rPr>
          <w:rFonts w:hint="eastAsia" w:ascii="宋体" w:hAnsi="宋体" w:eastAsia="宋体" w:cs="宋体"/>
          <w:b/>
          <w:color w:val="000000"/>
          <w:sz w:val="24"/>
          <w:highlight w:val="none"/>
        </w:rPr>
        <w:t xml:space="preserve">一、评标程序</w:t>
      </w:r>
      <w:r>
        <w:rPr>
          <w:rFonts w:hint="eastAsia" w:ascii="宋体" w:hAnsi="宋体" w:eastAsia="宋体" w:cs="宋体"/>
          <w:b/>
          <w:color w:val="000000"/>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706" w:name="_Toc127151541"/>
      <w:r/>
      <w:bookmarkStart w:id="707" w:name="_Toc265228379"/>
      <w:r/>
      <w:bookmarkStart w:id="708" w:name="_Toc150774641"/>
      <w:r/>
      <w:bookmarkStart w:id="709" w:name="_Toc127151742"/>
      <w:r/>
      <w:bookmarkStart w:id="710" w:name="_Toc226965731"/>
      <w:r/>
      <w:bookmarkStart w:id="711" w:name="_Toc142311043"/>
      <w:r/>
      <w:bookmarkStart w:id="712" w:name="_Toc164608655"/>
      <w:r/>
      <w:bookmarkStart w:id="713" w:name="_Toc164229382"/>
      <w:r/>
      <w:bookmarkStart w:id="714" w:name="_Toc164608810"/>
      <w:r/>
      <w:bookmarkStart w:id="715" w:name="_Toc305158809"/>
      <w:r/>
      <w:bookmarkStart w:id="716" w:name="_Toc149720834"/>
      <w:r/>
      <w:bookmarkStart w:id="717" w:name="_Toc226309785"/>
      <w:r/>
      <w:bookmarkStart w:id="718" w:name="_Toc264969231"/>
      <w:r/>
      <w:bookmarkStart w:id="719" w:name="_Toc151193711"/>
      <w:r/>
      <w:bookmarkStart w:id="720" w:name="_Toc150480779"/>
      <w:r/>
      <w:bookmarkStart w:id="721" w:name="_Toc195842906"/>
      <w:r/>
      <w:bookmarkStart w:id="722" w:name="_Toc151190168"/>
      <w:r/>
      <w:bookmarkStart w:id="723" w:name="_Toc151193855"/>
      <w:r/>
      <w:bookmarkStart w:id="724" w:name="_Toc151193929"/>
      <w:r/>
      <w:bookmarkStart w:id="725" w:name="_Toc305158883"/>
      <w:r/>
      <w:bookmarkStart w:id="726" w:name="_Toc226965814"/>
      <w:r/>
      <w:bookmarkStart w:id="727" w:name="_Toc151193783"/>
      <w:r/>
      <w:bookmarkStart w:id="728" w:name="_Toc151193639"/>
      <w:r/>
      <w:bookmarkStart w:id="729" w:name="_Toc164229236"/>
      <w:r/>
      <w:bookmarkStart w:id="730" w:name="_Toc226337237"/>
      <w:r/>
      <w:bookmarkStart w:id="731" w:name="_Toc164351635"/>
      <w:r/>
      <w:bookmarkStart w:id="732" w:name="_Toc150509292"/>
      <w:r/>
      <w:bookmarkStart w:id="733" w:name="_Toc150774746"/>
      <w:r/>
      <w:bookmarkStart w:id="734" w:name="_Toc127161455"/>
      <w:r/>
      <w:bookmarkStart w:id="735" w:name="_Toc353825551"/>
      <w:r/>
      <w:bookmarkStart w:id="736" w:name="_Toc353873941"/>
      <w:r/>
      <w:bookmarkStart w:id="737" w:name="_Toc195842920"/>
      <w:r/>
      <w:bookmarkStart w:id="738" w:name="_Toc142311057"/>
      <w:r/>
      <w:bookmarkStart w:id="739" w:name="_Toc150480793"/>
      <w:r/>
      <w:bookmarkStart w:id="740" w:name="_Toc150774760"/>
      <w:r/>
      <w:bookmarkStart w:id="741" w:name="_Toc305158897"/>
      <w:r/>
      <w:bookmarkStart w:id="742" w:name="_Toc353825545"/>
      <w:r/>
      <w:bookmarkStart w:id="743" w:name="_Toc265228393"/>
      <w:r/>
      <w:bookmarkStart w:id="744" w:name="_Toc226965828"/>
      <w:r/>
      <w:bookmarkStart w:id="745" w:name="_Toc127151555"/>
      <w:r/>
      <w:bookmarkStart w:id="746" w:name="_Toc226337251"/>
      <w:r/>
      <w:bookmarkStart w:id="747" w:name="_Toc264969245"/>
      <w:r/>
      <w:bookmarkStart w:id="748" w:name="_Toc353873665"/>
      <w:r/>
      <w:bookmarkStart w:id="749" w:name="_Toc305158823"/>
      <w:r/>
      <w:bookmarkStart w:id="750" w:name="_Toc353873935"/>
      <w:r>
        <w:rPr>
          <w:rFonts w:hint="eastAsia" w:ascii="宋体" w:hAnsi="宋体" w:eastAsia="宋体" w:cs="宋体"/>
          <w:color w:val="000000"/>
          <w:sz w:val="21"/>
          <w:szCs w:val="21"/>
          <w:highlight w:val="none"/>
        </w:rPr>
        <w:t xml:space="preserve">1.投标文件的符合性审查</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1.1评标委员会对资格审查合格的供应商的投标文件进行符合性审查，以确定其是否满足招标文件的实质性要求。</w:t>
      </w:r>
      <w:bookmarkStart w:id="751" w:name="_Toc520356167"/>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51"/>
      <w:r>
        <w:rPr>
          <w:rFonts w:hint="eastAsia" w:ascii="宋体" w:hAnsi="宋体" w:eastAsia="宋体" w:cs="宋体"/>
          <w:color w:val="000000"/>
          <w:sz w:val="21"/>
          <w:szCs w:val="21"/>
          <w:highlight w:val="none"/>
        </w:rPr>
        <w:t xml:space="preserve">要求的，投标无效。</w:t>
      </w:r>
      <w:r>
        <w:rPr>
          <w:rFonts w:hint="eastAsia" w:ascii="宋体" w:hAnsi="宋体" w:eastAsia="宋体" w:cs="宋体"/>
          <w:color w:val="000000"/>
          <w:sz w:val="21"/>
          <w:szCs w:val="21"/>
          <w:highlight w:val="none"/>
        </w:rPr>
      </w:r>
      <w:r/>
    </w:p>
    <w:p>
      <w:pPr>
        <w:pStyle w:val="962"/>
        <w:ind w:hanging="357"/>
        <w:jc w:val="center"/>
        <w:spacing w:line="360" w:lineRule="auto"/>
        <w:tabs>
          <w:tab w:val="left" w:pos="900" w:leader="none"/>
          <w:tab w:val="left" w:pos="1080" w:leader="none"/>
          <w:tab w:val="left" w:pos="1589"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符合性审查要求</w:t>
      </w:r>
      <w:r>
        <w:rPr>
          <w:rFonts w:hint="eastAsia" w:ascii="宋体" w:hAnsi="宋体" w:eastAsia="宋体" w:cs="宋体"/>
          <w:b/>
          <w:color w:val="000000"/>
          <w:sz w:val="24"/>
          <w:highlight w:val="none"/>
        </w:rPr>
      </w:r>
      <w:r/>
    </w:p>
    <w:tbl>
      <w:tblPr>
        <w:tblW w:w="52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305"/>
        <w:gridCol w:w="7189"/>
      </w:tblGrid>
      <w:tr>
        <w:trPr>
          <w:trHeight w:val="489"/>
          <w:tblHeader/>
        </w:trPr>
        <w:tc>
          <w:tcPr>
            <w:tcW w:w="353" w:type="dxa"/>
            <w:vAlign w:val="center"/>
            <w:textDirection w:val="lrTb"/>
            <w:noWrap w:val="false"/>
          </w:tcPr>
          <w:p>
            <w:pPr>
              <w:pStyle w:val="962"/>
              <w:jc w:val="center"/>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1128" w:type="dxa"/>
            <w:vAlign w:val="center"/>
            <w:textDirection w:val="lrTb"/>
            <w:noWrap w:val="false"/>
          </w:tcPr>
          <w:p>
            <w:pPr>
              <w:pStyle w:val="962"/>
              <w:jc w:val="center"/>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审查因素</w:t>
            </w:r>
            <w:r>
              <w:rPr>
                <w:rFonts w:hint="eastAsia" w:ascii="宋体" w:hAnsi="宋体" w:eastAsia="宋体" w:cs="宋体"/>
                <w:b/>
                <w:color w:val="000000"/>
                <w:szCs w:val="21"/>
                <w:highlight w:val="none"/>
              </w:rPr>
            </w:r>
            <w:r/>
          </w:p>
        </w:tc>
        <w:tc>
          <w:tcPr>
            <w:tcW w:w="3518" w:type="dxa"/>
            <w:vAlign w:val="center"/>
            <w:textDirection w:val="lrTb"/>
            <w:noWrap w:val="false"/>
          </w:tcPr>
          <w:p>
            <w:pPr>
              <w:pStyle w:val="962"/>
              <w:jc w:val="center"/>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审查内容</w:t>
            </w:r>
            <w:r>
              <w:rPr>
                <w:rFonts w:hint="eastAsia" w:ascii="宋体" w:hAnsi="宋体" w:eastAsia="宋体" w:cs="宋体"/>
                <w:b/>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投标函、法定代表人资格证明书、法定代表人授权委托书（如有）和政府采购供应商信用承诺书</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按招标文件要求提供投标函、法定代表人资格证明书、法定代表人授权委托书（如有）和政府采购供应商信用承诺书；格式见《投标文件格式》</w:t>
            </w:r>
            <w:r>
              <w:rPr>
                <w:rFonts w:hint="eastAsia" w:ascii="宋体" w:hAnsi="宋体" w:eastAsia="宋体" w:cs="宋体"/>
                <w:b/>
                <w:bCs/>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投标完整性</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未将一个采购包中的内容拆开投标；（由评委审查，无需供应商提供材料）</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投标报价未超过招标文件中规定的项目/采购包预算金额或者项目/</w:t>
            </w:r>
            <w:r>
              <w:rPr>
                <w:rFonts w:hint="eastAsia" w:ascii="宋体" w:hAnsi="宋体" w:eastAsia="宋体" w:cs="宋体"/>
                <w:color w:val="000000"/>
                <w:szCs w:val="21"/>
                <w:highlight w:val="none"/>
                <w:lang w:val="en-US" w:eastAsia="zh-CN"/>
              </w:rPr>
              <w:t xml:space="preserve">优惠率应＞0</w:t>
            </w:r>
            <w:r>
              <w:rPr>
                <w:rFonts w:hint="eastAsia" w:ascii="宋体" w:hAnsi="宋体" w:eastAsia="宋体" w:cs="宋体"/>
                <w:color w:val="000000"/>
                <w:szCs w:val="21"/>
                <w:highlight w:val="none"/>
              </w:rPr>
              <w:t xml:space="preserve">；（由评委审查，无需供应商提供材料）</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报价唯一性</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投标文件未出现可选择性或可调整的报价（招标文件另有规定的除外）；提供《开标一览表》《投标分项报价表》，格式见《投标文件格式》</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投标有效期</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投标文件中承诺的投标有效期满足招标文件中载明的投标有效期的；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详见响应函）</w:t>
            </w:r>
            <w:r>
              <w:rPr>
                <w:rFonts w:hint="eastAsia" w:ascii="宋体" w:hAnsi="宋体" w:eastAsia="宋体" w:cs="宋体"/>
                <w:color w:val="000000"/>
                <w:szCs w:val="21"/>
                <w:highlight w:val="none"/>
                <w:lang w:val="en-US" w:eastAsia="zh-CN"/>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签署、加盖公章</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按照招标文件要求签署、加盖公章的；（由评委审查，无需供应商提供材料）</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实质性格式</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标记为“实质性格式”的文件均按招标文件要求提供；除前面已提供的实质性格式文件以外，</w:t>
            </w:r>
            <w:r>
              <w:rPr>
                <w:rFonts w:hint="eastAsia" w:ascii="宋体" w:hAnsi="宋体" w:eastAsia="宋体" w:cs="宋体"/>
                <w:b/>
                <w:color w:val="000000"/>
                <w:szCs w:val="21"/>
                <w:highlight w:val="none"/>
              </w:rPr>
              <w:t xml:space="preserve">还需提供：合同条款偏离表，采购需求偏离表</w:t>
            </w:r>
            <w:r>
              <w:rPr>
                <w:rFonts w:hint="eastAsia" w:ascii="宋体" w:hAnsi="宋体" w:eastAsia="宋体" w:cs="宋体"/>
                <w:color w:val="000000"/>
                <w:szCs w:val="21"/>
                <w:highlight w:val="none"/>
              </w:rPr>
              <w:t xml:space="preserve">；格式见《投标文件格式》</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★号条款响应</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投标文件满足招标文件第五章《采购需求》中★号条款要求的；</w:t>
            </w:r>
            <w:r>
              <w:rPr>
                <w:rFonts w:hint="eastAsia" w:ascii="宋体" w:hAnsi="宋体" w:eastAsia="宋体" w:cs="宋体"/>
                <w:b/>
                <w:color w:val="000000"/>
                <w:szCs w:val="21"/>
                <w:highlight w:val="none"/>
              </w:rPr>
              <w:t xml:space="preserve">如有的，根据列出的实质性条款，按照序号逐项提供相关证明材料；</w:t>
            </w:r>
            <w:r>
              <w:rPr>
                <w:rFonts w:hint="eastAsia" w:ascii="宋体" w:hAnsi="宋体" w:eastAsia="宋体" w:cs="宋体"/>
                <w:color w:val="000000"/>
                <w:szCs w:val="21"/>
                <w:highlight w:val="none"/>
              </w:rPr>
              <w:t xml:space="preserve">如没有，则无需供应商提供材料。</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分包承担主体资质（如有）</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分包承担主体具备《供应商须知资料表》载明的资质条件且提供了资质证书电子件（如有）；</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分包意向协议</w:t>
            </w:r>
            <w:r>
              <w:rPr>
                <w:rFonts w:hint="eastAsia" w:ascii="宋体" w:hAnsi="宋体" w:eastAsia="宋体" w:cs="宋体"/>
                <w:color w:val="000000"/>
                <w:szCs w:val="21"/>
                <w:highlight w:val="none"/>
              </w:rPr>
            </w:r>
            <w:r/>
          </w:p>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（如有）</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按招标文件规定签订并提供分包意向协议原件的电子件的；（如有）格式见《投标文件格式》</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报价的修正（如有）</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不涉及报价修正，或投标文件报价出现前后不一致时，供应商对修正后的报价予以确认；（如有）（由评委审查，无需供应商提供材料）</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报价合理性</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合理，或供应商的报价明显低于其他通过符合性审查供应商的报价，有可能影响产品质量或者不能诚信履约的，能够应评标委员会要求在规定时间内证明其报价合理性的；（由评委审查，无需供应商提供材料）</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进口产品</w:t>
            </w:r>
            <w:r>
              <w:rPr>
                <w:rFonts w:hint="eastAsia" w:ascii="宋体" w:hAnsi="宋体" w:eastAsia="宋体" w:cs="宋体"/>
                <w:color w:val="000000"/>
                <w:szCs w:val="21"/>
                <w:highlight w:val="none"/>
              </w:rPr>
            </w:r>
            <w:r/>
          </w:p>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（如有）</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招标文件不接受进口产品投标的内容时，供应商所投产品非进口产品的；（由评委审查，无需供应商提供材料）</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国家有关部门对供应商的投标产品有强制性规定或要求的</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国家有关部门对供应商的投标产品有强制性规定或要求的（如相应技术、安全、节能和环保等），供应商的投标产品应符合相应规定或要求，并提供证明文件电子件：</w:t>
            </w:r>
            <w:r>
              <w:rPr>
                <w:rFonts w:hint="eastAsia" w:ascii="宋体" w:hAnsi="宋体" w:eastAsia="宋体" w:cs="宋体"/>
                <w:color w:val="000000"/>
                <w:szCs w:val="21"/>
                <w:highlight w:val="none"/>
              </w:rPr>
            </w:r>
            <w:r/>
          </w:p>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Cs w:val="21"/>
                <w:highlight w:val="none"/>
              </w:rPr>
            </w:r>
            <w:r/>
          </w:p>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eastAsia="宋体" w:cs="宋体"/>
                <w:color w:val="000000"/>
                <w:szCs w:val="21"/>
                <w:highlight w:val="none"/>
              </w:rPr>
            </w:r>
            <w:r/>
          </w:p>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Cs w:val="21"/>
                <w:highlight w:val="none"/>
              </w:rPr>
            </w:r>
            <w:r/>
          </w:p>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绿色包装要求</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公平竞争</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供应商遵循公平竞争的原则，不存在恶意串通，妨碍其他供应商的竞争行为，不存在损害采购人或者其他供应商的合法权益情形的；（由评委审查，无需供应商提供材料）</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串通投标</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附加条件</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投标文件未含有采购人不能接受的附加条件的；（由评委审查，无需供应商提供材料）</w:t>
            </w:r>
            <w:r>
              <w:rPr>
                <w:rFonts w:hint="eastAsia" w:ascii="宋体" w:hAnsi="宋体" w:eastAsia="宋体" w:cs="宋体"/>
                <w:color w:val="000000"/>
                <w:szCs w:val="21"/>
                <w:highlight w:val="none"/>
              </w:rPr>
            </w:r>
            <w:r/>
          </w:p>
        </w:tc>
      </w:tr>
      <w:tr>
        <w:trPr>
          <w:trHeight w:val="685"/>
        </w:trPr>
        <w:tc>
          <w:tcPr>
            <w:tcW w:w="353" w:type="dxa"/>
            <w:vAlign w:val="center"/>
            <w:textDirection w:val="lrTb"/>
            <w:noWrap w:val="false"/>
          </w:tcPr>
          <w:p>
            <w:pPr>
              <w:pStyle w:val="962"/>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rPr>
            </w:r>
            <w:r/>
          </w:p>
        </w:tc>
        <w:tc>
          <w:tcPr>
            <w:tcW w:w="112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其他无效情形</w:t>
            </w:r>
            <w:r>
              <w:rPr>
                <w:rFonts w:hint="eastAsia" w:ascii="宋体" w:hAnsi="宋体" w:eastAsia="宋体" w:cs="宋体"/>
                <w:color w:val="000000"/>
                <w:szCs w:val="21"/>
                <w:highlight w:val="none"/>
              </w:rPr>
            </w:r>
            <w:r/>
          </w:p>
        </w:tc>
        <w:tc>
          <w:tcPr>
            <w:tcW w:w="3518" w:type="dxa"/>
            <w:vAlign w:val="center"/>
            <w:textDirection w:val="lrTb"/>
            <w:noWrap w:val="false"/>
          </w:tcPr>
          <w:p>
            <w:pPr>
              <w:pStyle w:val="962"/>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供应商、投标文件不存在不符合法律、法规和招标文件规定的其他无效情形。（由评委审查，无需供应商提供材料）</w:t>
            </w:r>
            <w:r>
              <w:rPr>
                <w:rFonts w:hint="eastAsia" w:ascii="宋体" w:hAnsi="宋体" w:eastAsia="宋体" w:cs="宋体"/>
                <w:color w:val="000000"/>
                <w:szCs w:val="21"/>
                <w:highlight w:val="none"/>
              </w:rPr>
            </w:r>
            <w:r/>
          </w:p>
        </w:tc>
      </w:tr>
    </w:tbl>
    <w:p>
      <w:pPr>
        <w:pStyle w:val="1215"/>
        <w:tabs>
          <w:tab w:val="left" w:pos="567" w:leader="none"/>
        </w:tabs>
        <w:rPr>
          <w:rFonts w:hint="eastAsia" w:ascii="宋体" w:hAnsi="宋体" w:eastAsia="宋体" w:cs="宋体"/>
          <w:color w:val="000000"/>
          <w:highlight w:val="none"/>
        </w:rPr>
        <w:sectPr>
          <w:footerReference w:type="default" r:id="rId24"/>
          <w:footnotePr/>
          <w:endnotePr/>
          <w:type w:val="nextPage"/>
          <w:pgSz w:w="11907" w:h="16840" w:orient="portrait"/>
          <w:pgMar w:top="1440" w:right="1080" w:bottom="1440" w:left="1080" w:header="851" w:footer="1077" w:gutter="0"/>
          <w:pgNumType w:start="1"/>
          <w:cols w:num="1" w:sep="0" w:space="1701" w:equalWidth="1"/>
          <w:docGrid w:linePitch="360"/>
        </w:sectPr>
      </w:pPr>
      <w:r>
        <w:rPr>
          <w:rFonts w:hint="eastAsia" w:ascii="宋体" w:hAnsi="宋体" w:eastAsia="宋体" w:cs="宋体"/>
          <w:color w:val="000000"/>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2.投标文件有关事项的澄清或者说明</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rPr>
          <w:rFonts w:hint="eastAsia" w:ascii="宋体" w:hAnsi="宋体" w:eastAsia="宋体" w:cs="宋体"/>
          <w:color w:val="000000"/>
          <w:sz w:val="21"/>
          <w:szCs w:val="21"/>
          <w:highlight w:val="none"/>
        </w:rPr>
      </w:r>
      <w:r/>
    </w:p>
    <w:p>
      <w:pPr>
        <w:pStyle w:val="1253"/>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★2.2异常低价投标(响应)审查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r>
      <w:r/>
    </w:p>
    <w:p>
      <w:pPr>
        <w:pStyle w:val="1253"/>
        <w:ind w:firstLine="422"/>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2.2.1评审过程中出现下列情形之一的，评标委员会应当启动异常低价投标(响应)审查程序</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125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（1）投标（响应）报价低于全部通过符合性审查的投标人投标（响应）报价平均值50%的，即投标（响应）报价&lt;全部通过符合性审查投标人投标（响应）报价平均值×50%；</w:t>
      </w:r>
      <w:r>
        <w:rPr>
          <w:rFonts w:hint="eastAsia" w:ascii="宋体" w:hAnsi="宋体" w:eastAsia="宋体" w:cs="宋体"/>
          <w:b/>
          <w:bCs/>
          <w:color w:val="000000"/>
          <w:sz w:val="21"/>
          <w:szCs w:val="21"/>
          <w:highlight w:val="none"/>
        </w:rPr>
      </w:r>
      <w:r/>
    </w:p>
    <w:p>
      <w:pPr>
        <w:pStyle w:val="125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（2）投标（响应）报价低于通过符合性审查的次低报价投标人投标（响应）报价50%的，即投标（响应）报价&lt;通过符合性审查的次低报价投标人投标（响应）报价×50%；</w:t>
      </w:r>
      <w:r>
        <w:rPr>
          <w:rFonts w:hint="eastAsia" w:ascii="宋体" w:hAnsi="宋体" w:eastAsia="宋体" w:cs="宋体"/>
          <w:b/>
          <w:bCs/>
          <w:color w:val="000000"/>
          <w:sz w:val="21"/>
          <w:szCs w:val="21"/>
          <w:highlight w:val="none"/>
        </w:rPr>
      </w:r>
      <w:r/>
    </w:p>
    <w:p>
      <w:pPr>
        <w:pStyle w:val="125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（3）投标（响应）报价低于采购项目最高限价45%的，即投标（响应）报价&lt;采购项目最高限价×45%；</w:t>
      </w:r>
      <w:r>
        <w:rPr>
          <w:rFonts w:hint="eastAsia" w:ascii="宋体" w:hAnsi="宋体" w:eastAsia="宋体" w:cs="宋体"/>
          <w:b/>
          <w:bCs/>
          <w:color w:val="000000"/>
          <w:sz w:val="21"/>
          <w:szCs w:val="21"/>
          <w:highlight w:val="none"/>
        </w:rPr>
      </w:r>
      <w:r/>
    </w:p>
    <w:p>
      <w:pPr>
        <w:pStyle w:val="125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（4）评标委员会基于专业判断，认为投标人报价过低，有可能影响产品质量或者不能诚信履约的其他情形。</w:t>
      </w:r>
      <w:r>
        <w:rPr>
          <w:rFonts w:hint="eastAsia" w:ascii="宋体" w:hAnsi="宋体" w:eastAsia="宋体" w:cs="宋体"/>
          <w:b/>
          <w:bCs/>
          <w:color w:val="000000"/>
          <w:sz w:val="21"/>
          <w:szCs w:val="21"/>
          <w:highlight w:val="none"/>
        </w:rPr>
      </w:r>
      <w:r/>
    </w:p>
    <w:p>
      <w:pPr>
        <w:pStyle w:val="125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2.2.2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b/>
          <w:bCs/>
          <w:color w:val="000000"/>
          <w:sz w:val="21"/>
          <w:szCs w:val="21"/>
          <w:highlight w:val="none"/>
        </w:rPr>
      </w:r>
      <w:r/>
    </w:p>
    <w:p>
      <w:pPr>
        <w:pStyle w:val="1253"/>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如涉嫌恶意竞争,扰乱市场秩序的，投标人自行承担由此而产生的任何法律责任。招标人、代理机构对此不承担任何责任。若投标人不能证明其报价合理性，评标委员会将其作为无效投标处理。</w:t>
      </w:r>
      <w:r>
        <w:rPr>
          <w:rFonts w:hint="eastAsia" w:ascii="宋体" w:hAnsi="宋体" w:eastAsia="宋体" w:cs="宋体"/>
          <w:b/>
          <w:bCs/>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投标报价须包含招标文件全部内容，如投标分项报价表有缺漏视为已含在其他各项报价中，将不对投标总价进行调整。评标委员会有权要求供应商在规定的时间内对此进行书面确认，供应商不确认的，视为将一个采购包中的内容拆开投标，其投标无效。</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2.4投标文件报价出现前后不一致的，按照下列规定修正：</w:t>
      </w:r>
      <w:r>
        <w:rPr>
          <w:rFonts w:hint="eastAsia" w:ascii="宋体" w:hAnsi="宋体" w:eastAsia="宋体" w:cs="宋体"/>
          <w:color w:val="000000"/>
          <w:sz w:val="21"/>
          <w:szCs w:val="21"/>
          <w:highlight w:val="none"/>
        </w:rPr>
      </w:r>
      <w:r/>
    </w:p>
    <w:p>
      <w:pPr>
        <w:pStyle w:val="1253"/>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2.4.1招标文件对于报价修正是否另有规定：无，按下述2.4.2-2.4.7项规定修正。</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2.4.2单独递交的开标一览表（报价表）与投标文件中开标一览表（报价表）内容不一致的，以单独递交的开标一览表（报价表）为准；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2.4.3投标文件中开标一览表（报价表）内容与投标文件中相应内容不一致的，以开标一览表（报价表）为准；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2.4.4大写金额和小写金额不一致的，以大写金额为准；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2.4.5单价金额小数点或者百分比有明显错位的，以开标一览表的总价为准，并修改单价；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2.4.6总价金额与按单价汇总金额不一致的，以单价金额计算结果为准。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2.4.7同时出现两种以上不一致的，按照前款规定的顺序修正。修正后的报价经供应商书面确认后产生约束力，供应商不确认的，其投标无效。</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2.5落实政府采购政策的价格调整：只有符合第二章《供应商须知》5.2条规定情形的，可以享受中小企业扶持政策，用扣除后的价格参加评审；</w:t>
      </w:r>
      <w:r>
        <w:rPr>
          <w:rFonts w:hint="eastAsia" w:ascii="宋体" w:hAnsi="宋体" w:eastAsia="宋体" w:cs="宋体"/>
          <w:b/>
          <w:bCs/>
          <w:color w:val="000000"/>
          <w:sz w:val="21"/>
          <w:szCs w:val="21"/>
          <w:highlight w:val="none"/>
        </w:rPr>
        <w:t xml:space="preserve">如为专门面向中小企业采购的项目，不再执行价格评审优惠的扶持政策，</w:t>
      </w:r>
      <w:r>
        <w:rPr>
          <w:rFonts w:hint="eastAsia" w:ascii="宋体" w:hAnsi="宋体" w:eastAsia="宋体" w:cs="宋体"/>
          <w:color w:val="000000"/>
          <w:sz w:val="21"/>
          <w:szCs w:val="21"/>
          <w:highlight w:val="none"/>
        </w:rPr>
        <w:t xml:space="preserve">评标时价格不予扣除。</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w:t>
      </w:r>
      <w:r>
        <w:rPr>
          <w:rFonts w:hint="eastAsia" w:ascii="宋体" w:hAnsi="宋体" w:eastAsia="宋体" w:cs="宋体"/>
          <w:b/>
          <w:bCs/>
          <w:color w:val="000000"/>
          <w:sz w:val="21"/>
          <w:szCs w:val="21"/>
          <w:highlight w:val="none"/>
        </w:rPr>
        <w:t xml:space="preserve">对于未预留份额专门面向中小企业采购的采购项目，以及预留份额项目中的非预留部分采购包，对小微企业报价给予20%的扣除</w:t>
      </w:r>
      <w:r>
        <w:rPr>
          <w:rFonts w:hint="eastAsia" w:ascii="宋体" w:hAnsi="宋体" w:eastAsia="宋体" w:cs="宋体"/>
          <w:color w:val="000000"/>
          <w:sz w:val="21"/>
          <w:szCs w:val="21"/>
          <w:highlight w:val="none"/>
        </w:rPr>
        <w:t xml:space="preserve">，用扣除后的价格参加评审。</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2.5.3组成联合体或者接受分包的小微企业与联合体内其他企业、分包企业之间存在直接控股、管理关系的，不享受价格扣除优惠政策。</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2.5.4价格扣除比例对小型企业和微型企业同等对待，不作区分。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2.5.5中小企业参加政府采购活动，应当按照招标文件给定的格式出具《中小企业声明函》，否则不得享受相关中小企业扶持政策。</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2.5.7残疾人福利性单位按招标文件要求提供了《残疾人福利性单位声明函》（见附件）的，视同小微企业。</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2.5.8若供应商同时属于小型或微型企业、监狱企业、残疾人福利性单位中的两种及以上，将不重复享受小微企业价格扣减的优惠政策。</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2.5.9采购本国产品的支持政策</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2.5.9.2当采购项目或者采购包中含有多种产品，供应商为该采购项目或者采购包提供的符合本国产品标准的产品成本之和占该供应商提供的全部产品成本之和的比例</w:t>
      </w:r>
      <w:r>
        <w:rPr>
          <w:rFonts w:hint="eastAsia" w:ascii="宋体" w:hAnsi="宋体" w:eastAsia="宋体" w:cs="宋体"/>
          <w:b/>
          <w:bCs/>
          <w:color w:val="000000"/>
          <w:sz w:val="21"/>
          <w:szCs w:val="21"/>
          <w:highlight w:val="none"/>
        </w:rPr>
        <w:t xml:space="preserve">达到80%</w:t>
      </w:r>
      <w:r>
        <w:rPr>
          <w:rFonts w:hint="eastAsia" w:ascii="宋体" w:hAnsi="宋体" w:eastAsia="宋体" w:cs="宋体"/>
          <w:color w:val="000000"/>
          <w:sz w:val="21"/>
          <w:szCs w:val="21"/>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w:t>
      </w:r>
      <w:r>
        <w:rPr>
          <w:rFonts w:hint="eastAsia" w:ascii="宋体" w:hAnsi="宋体" w:eastAsia="宋体" w:cs="宋体"/>
          <w:b/>
          <w:bCs/>
          <w:color w:val="000000"/>
          <w:sz w:val="21"/>
          <w:szCs w:val="21"/>
          <w:highlight w:val="none"/>
        </w:rPr>
        <w:t xml:space="preserve">未达到80%</w:t>
      </w:r>
      <w:r>
        <w:rPr>
          <w:rFonts w:hint="eastAsia" w:ascii="宋体" w:hAnsi="宋体" w:eastAsia="宋体" w:cs="宋体"/>
          <w:color w:val="000000"/>
          <w:sz w:val="21"/>
          <w:szCs w:val="21"/>
          <w:highlight w:val="none"/>
        </w:rPr>
        <w:t xml:space="preserve">的，将不享受本国产品价格评审优惠。</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2.5.9.3供应商需按照招标文件的要求提供《关于符合本国产品标准的声明函》（以下简称《声明函》），如不提供将不享受本国产品价格评审优惠。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3.投标文件的比较和评价</w:t>
      </w:r>
      <w:bookmarkEnd w:id="735"/>
      <w:r/>
      <w:bookmarkEnd w:id="736"/>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3.2评标方法和评标标准</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3.2.1本项目采用的评标方法为：</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□最低评标价法，指投标文件满足招标文件全部实质性要求，且投标报价最低的供应商为中标候选人的评标方法。</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bookmarkStart w:id="752" w:name="_Hlk107696993"/>
      <w:r>
        <w:rPr>
          <w:rFonts w:hint="eastAsia" w:ascii="宋体" w:hAnsi="宋体" w:eastAsia="宋体" w:cs="宋体"/>
          <w:color w:val="000000"/>
          <w:sz w:val="21"/>
          <w:szCs w:val="21"/>
          <w:highlight w:val="none"/>
        </w:rPr>
        <w:t xml:space="preserve">■随机抽取</w:t>
      </w:r>
      <w:bookmarkEnd w:id="752"/>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□其他方式，具体要求：_____</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000000"/>
          <w:sz w:val="21"/>
          <w:szCs w:val="21"/>
          <w:highlight w:val="none"/>
          <w:u w:val="single"/>
        </w:rPr>
        <w:t xml:space="preserve">见评标标准相关评分项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3.2.4关于无线局域网认证产品政府采购清单中的产品，优先采购的具体规定（如涉及）</w:t>
      </w:r>
      <w:r>
        <w:rPr>
          <w:rFonts w:hint="eastAsia" w:ascii="宋体" w:hAnsi="宋体" w:eastAsia="宋体" w:cs="宋体"/>
          <w:color w:val="000000"/>
          <w:sz w:val="21"/>
          <w:szCs w:val="21"/>
          <w:highlight w:val="none"/>
          <w:u w:val="single"/>
        </w:rPr>
        <w:t xml:space="preserve">见评标标准相关评分项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4.确定</w:t>
      </w:r>
      <w:bookmarkStart w:id="753" w:name="_Toc151193934"/>
      <w:r/>
      <w:bookmarkStart w:id="754" w:name="_Toc164351640"/>
      <w:r/>
      <w:bookmarkStart w:id="755" w:name="_Toc127161460"/>
      <w:r/>
      <w:bookmarkStart w:id="756" w:name="_Toc127151546"/>
      <w:r/>
      <w:bookmarkStart w:id="757" w:name="_Toc226965819"/>
      <w:r/>
      <w:bookmarkStart w:id="758" w:name="_Toc151193788"/>
      <w:r/>
      <w:bookmarkStart w:id="759" w:name="_Toc142311048"/>
      <w:r/>
      <w:bookmarkStart w:id="760" w:name="_Toc520356170"/>
      <w:r/>
      <w:bookmarkStart w:id="761" w:name="_Toc150480784"/>
      <w:r/>
      <w:bookmarkStart w:id="762" w:name="_Toc226309790"/>
      <w:r/>
      <w:bookmarkStart w:id="763" w:name="_Toc265228384"/>
      <w:r/>
      <w:bookmarkStart w:id="764" w:name="_Toc127151747"/>
      <w:r/>
      <w:bookmarkStart w:id="765" w:name="_Toc151193860"/>
      <w:r/>
      <w:bookmarkStart w:id="766" w:name="_Toc149720839"/>
      <w:r/>
      <w:bookmarkStart w:id="767" w:name="_Toc151193716"/>
      <w:r/>
      <w:bookmarkStart w:id="768" w:name="_Toc164608815"/>
      <w:r/>
      <w:bookmarkStart w:id="769" w:name="_Toc151190173"/>
      <w:r/>
      <w:bookmarkStart w:id="770" w:name="_Toc150774646"/>
      <w:r/>
      <w:bookmarkStart w:id="771" w:name="_Toc226337242"/>
      <w:r/>
      <w:bookmarkStart w:id="772" w:name="_Toc150774751"/>
      <w:r/>
      <w:bookmarkStart w:id="773" w:name="_Toc264969236"/>
      <w:r/>
      <w:bookmarkStart w:id="774" w:name="_Toc305158888"/>
      <w:r/>
      <w:bookmarkStart w:id="775" w:name="_Toc164229387"/>
      <w:r/>
      <w:bookmarkStart w:id="776" w:name="_Ref467307010"/>
      <w:r/>
      <w:bookmarkStart w:id="777" w:name="_Toc164608660"/>
      <w:r/>
      <w:bookmarkStart w:id="778" w:name="_Toc226965736"/>
      <w:r/>
      <w:bookmarkStart w:id="779" w:name="_Toc150509297"/>
      <w:r/>
      <w:bookmarkStart w:id="780" w:name="_Toc164229241"/>
      <w:r/>
      <w:bookmarkStart w:id="781" w:name="_Toc305158814"/>
      <w:r/>
      <w:bookmarkStart w:id="782" w:name="_Toc151193644"/>
      <w:r/>
      <w:bookmarkStart w:id="783" w:name="_Toc195842911"/>
      <w:r>
        <w:rPr>
          <w:rFonts w:hint="eastAsia" w:ascii="宋体" w:hAnsi="宋体" w:eastAsia="宋体" w:cs="宋体"/>
          <w:color w:val="000000"/>
          <w:sz w:val="21"/>
          <w:szCs w:val="21"/>
          <w:highlight w:val="none"/>
        </w:rPr>
        <w:t xml:space="preserve">中标候选人名单</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■随机抽取</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□其他方式，具体要求：_____</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4.4评标委员会要对评分汇总情况进行复核，特别是对排名第一的、报价最低的、投标或投标文件被认定为无效的情形进行重点复核。</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4.5评标委员会将根据各供应商的评标排序，依次推荐本项目（各采购包）的中标候选人，起草并签署评标报告。本项目（各采购包）评标委员会共（各）推荐不少于3名中标候选人。</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5.报告违法行为</w:t>
      </w:r>
      <w:r>
        <w:rPr>
          <w:rFonts w:hint="eastAsia" w:ascii="宋体" w:hAnsi="宋体" w:eastAsia="宋体" w:cs="宋体"/>
          <w:color w:val="000000"/>
          <w:sz w:val="21"/>
          <w:szCs w:val="21"/>
          <w:highlight w:val="none"/>
        </w:rPr>
      </w:r>
      <w:r/>
    </w:p>
    <w:p>
      <w:pPr>
        <w:pStyle w:val="125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5.1评标委员会在评标过程中发现供应商有行贿、提供虚假材料或者串通等违法行为时，有向采购人、采购代理机构或者有关部门报告的职责。</w:t>
      </w:r>
      <w:r>
        <w:rPr>
          <w:rFonts w:hint="eastAsia" w:ascii="宋体" w:hAnsi="宋体" w:eastAsia="宋体" w:cs="宋体"/>
          <w:color w:val="000000"/>
          <w:sz w:val="21"/>
          <w:szCs w:val="21"/>
          <w:highlight w:val="none"/>
        </w:rPr>
      </w:r>
      <w:r/>
    </w:p>
    <w:p>
      <w:pPr>
        <w:pStyle w:val="962"/>
        <w:jc w:val="center"/>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62"/>
        <w:numPr>
          <w:ilvl w:val="0"/>
          <w:numId w:val="8"/>
        </w:numPr>
        <w:jc w:val="center"/>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tbl>
      <w:tblPr>
        <w:tblW w:w="5179"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97"/>
        <w:gridCol w:w="1536"/>
        <w:gridCol w:w="4603"/>
        <w:gridCol w:w="854"/>
        <w:gridCol w:w="656"/>
        <w:gridCol w:w="785"/>
        <w:gridCol w:w="786"/>
      </w:tblGrid>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评分因素</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评分标准和评审材料</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最低分值</w:t>
            </w:r>
            <w:r>
              <w:rPr>
                <w:rFonts w:hint="eastAsia" w:ascii="宋体" w:hAnsi="宋体" w:eastAsia="宋体" w:cs="宋体"/>
                <w:b/>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最高分值</w:t>
            </w:r>
            <w:r>
              <w:rPr>
                <w:rFonts w:hint="eastAsia" w:ascii="宋体" w:hAnsi="宋体" w:eastAsia="宋体" w:cs="宋体"/>
                <w:b/>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是否暗标评审</w:t>
            </w:r>
            <w:r>
              <w:rPr>
                <w:rFonts w:hint="eastAsia" w:ascii="宋体" w:hAnsi="宋体" w:eastAsia="宋体" w:cs="宋体"/>
                <w:b/>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rPr>
              <w:t xml:space="preserve">是否客观分</w:t>
            </w:r>
            <w:r>
              <w:rPr>
                <w:rFonts w:hint="eastAsia" w:ascii="宋体" w:hAnsi="宋体" w:eastAsia="宋体" w:cs="宋体"/>
                <w:b/>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采用优惠最多优先法计算，即满足招标文件要求且优惠率最高的投标</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rPr>
              <w:t xml:space="preserve">为评标基准优惠率，其价格分为满分</w:t>
            </w:r>
            <w:r>
              <w:rPr>
                <w:rFonts w:hint="eastAsia" w:ascii="宋体" w:hAnsi="宋体" w:eastAsia="宋体" w:cs="宋体"/>
                <w:color w:val="000000"/>
                <w:sz w:val="21"/>
                <w:szCs w:val="21"/>
                <w:highlight w:val="none"/>
                <w:lang w:val="en-US" w:eastAsia="zh-CN"/>
              </w:rPr>
              <w:t xml:space="preserve">35分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的价格分统一按照下列公式计算</w:t>
            </w:r>
            <w:r>
              <w:rPr>
                <w:rFonts w:hint="eastAsia" w:ascii="宋体" w:hAnsi="宋体" w:eastAsia="宋体" w:cs="宋体"/>
                <w:color w:val="000000"/>
                <w:sz w:val="21"/>
                <w:szCs w:val="21"/>
                <w:highlight w:val="none"/>
                <w:lang w:val="en-US" w:eastAsia="zh-CN"/>
              </w:rPr>
              <w:t xml:space="preserve">（计算结果四舍五入保留两位小数）：</w:t>
            </w:r>
            <w:r>
              <w:rPr>
                <w:rFonts w:hint="eastAsia" w:ascii="宋体" w:hAnsi="宋体" w:eastAsia="宋体" w:cs="宋体"/>
                <w:color w:val="000000"/>
                <w:sz w:val="21"/>
                <w:szCs w:val="21"/>
                <w:highlight w:val="none"/>
                <w:lang w:val="en-US" w:eastAsia="zh-CN"/>
              </w:rPr>
            </w:r>
            <w:r/>
          </w:p>
          <w:p>
            <w:pPr>
              <w:pStyle w:val="962"/>
              <w:jc w:val="left"/>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投标报价得分=[（1-评标基准优惠率）/（1-投标优惠率）]×价格分分值。</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技术分</w:t>
            </w:r>
            <w:r>
              <w:rPr>
                <w:rFonts w:hint="eastAsia" w:ascii="宋体" w:hAnsi="宋体" w:eastAsia="宋体" w:cs="宋体"/>
                <w:b/>
                <w:bCs/>
                <w:color w:val="000000"/>
                <w:sz w:val="21"/>
                <w:szCs w:val="21"/>
                <w:highlight w:val="none"/>
              </w:rPr>
            </w:r>
            <w:r/>
          </w:p>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28</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2.1</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水泵维修方案</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针对本项目特点制定</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水泵维修方案进行技术评价，方案</w:t>
            </w:r>
            <w:r>
              <w:rPr>
                <w:rFonts w:hint="eastAsia" w:ascii="宋体" w:hAnsi="宋体" w:eastAsia="宋体" w:cs="宋体"/>
                <w:color w:val="000000"/>
                <w:sz w:val="21"/>
                <w:szCs w:val="21"/>
                <w:highlight w:val="none"/>
                <w:lang w:val="en-US" w:eastAsia="zh-CN"/>
              </w:rPr>
              <w:t xml:space="preserve">至少</w:t>
            </w:r>
            <w:r>
              <w:rPr>
                <w:rFonts w:hint="eastAsia" w:ascii="宋体" w:hAnsi="宋体" w:eastAsia="宋体" w:cs="宋体"/>
                <w:color w:val="000000"/>
                <w:sz w:val="21"/>
                <w:szCs w:val="21"/>
                <w:highlight w:val="none"/>
              </w:rPr>
              <w:t xml:space="preserve">需包含水泵拆解、维修、安装的全过程</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1.维修方案包含水泵拆解、维修、安装的所有零配件项目的维修步骤、细节描述清晰、且具有独到的关键质量控制方法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完全满足或优于采购需求</w:t>
            </w:r>
            <w:r>
              <w:rPr>
                <w:rFonts w:hint="eastAsia" w:ascii="宋体" w:hAnsi="宋体" w:eastAsia="宋体" w:cs="宋体"/>
                <w:color w:val="000000"/>
                <w:sz w:val="21"/>
                <w:szCs w:val="21"/>
                <w:highlight w:val="none"/>
              </w:rPr>
              <w:t xml:space="preserve">的得8分；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2.维修方案覆盖包含水泵拆解、维修、安装的绝大部分零配件项目维修步骤，但细节表述不够清晰、</w:t>
            </w:r>
            <w:r>
              <w:rPr>
                <w:rFonts w:hint="eastAsia" w:ascii="宋体" w:hAnsi="宋体" w:eastAsia="宋体" w:cs="宋体"/>
                <w:color w:val="000000"/>
                <w:sz w:val="21"/>
                <w:szCs w:val="21"/>
                <w:highlight w:val="none"/>
                <w:lang w:val="en-US" w:eastAsia="zh-CN"/>
              </w:rPr>
              <w:t xml:space="preserve">能满足采购需求但</w:t>
            </w:r>
            <w:r>
              <w:rPr>
                <w:rFonts w:hint="eastAsia" w:ascii="宋体" w:hAnsi="宋体" w:eastAsia="宋体" w:cs="宋体"/>
                <w:color w:val="000000"/>
                <w:sz w:val="21"/>
                <w:szCs w:val="21"/>
                <w:highlight w:val="none"/>
              </w:rPr>
              <w:t xml:space="preserve">无独特的关键质量控制方案的得6分；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3.维修方案覆盖</w:t>
            </w:r>
            <w:r>
              <w:rPr>
                <w:rFonts w:hint="eastAsia" w:ascii="宋体" w:hAnsi="宋体" w:eastAsia="宋体" w:cs="宋体"/>
                <w:color w:val="000000"/>
                <w:sz w:val="21"/>
                <w:szCs w:val="21"/>
                <w:highlight w:val="none"/>
                <w:lang w:val="en-US" w:eastAsia="zh-CN"/>
              </w:rPr>
              <w:t xml:space="preserve">水泵</w:t>
            </w:r>
            <w:r>
              <w:rPr>
                <w:rFonts w:hint="eastAsia" w:ascii="宋体" w:hAnsi="宋体" w:eastAsia="宋体" w:cs="宋体"/>
                <w:color w:val="000000"/>
                <w:sz w:val="21"/>
                <w:szCs w:val="21"/>
                <w:highlight w:val="none"/>
              </w:rPr>
              <w:t xml:space="preserve">较少零配件项目的维修步骤，</w:t>
            </w:r>
            <w:r>
              <w:rPr>
                <w:rFonts w:hint="eastAsia" w:ascii="宋体" w:hAnsi="宋体" w:eastAsia="宋体" w:cs="宋体"/>
                <w:color w:val="000000"/>
                <w:sz w:val="21"/>
                <w:szCs w:val="21"/>
                <w:highlight w:val="none"/>
                <w:lang w:val="en-US" w:eastAsia="zh-CN"/>
              </w:rPr>
              <w:t xml:space="preserve">只做笼统描述、</w:t>
            </w:r>
            <w:r>
              <w:rPr>
                <w:rFonts w:hint="eastAsia" w:ascii="宋体" w:hAnsi="宋体" w:eastAsia="宋体" w:cs="宋体"/>
                <w:color w:val="000000"/>
                <w:sz w:val="21"/>
                <w:szCs w:val="21"/>
                <w:highlight w:val="none"/>
              </w:rPr>
              <w:t xml:space="preserve">细节描述较少、且无独特的关键质量控制方案的得4分；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提供了</w:t>
            </w:r>
            <w:r>
              <w:rPr>
                <w:rFonts w:hint="eastAsia" w:ascii="宋体" w:hAnsi="宋体" w:eastAsia="宋体" w:cs="宋体"/>
                <w:color w:val="000000"/>
                <w:sz w:val="21"/>
                <w:szCs w:val="21"/>
                <w:highlight w:val="none"/>
              </w:rPr>
              <w:t xml:space="preserve">维修方案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但</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拆解、维修、安装</w:t>
            </w:r>
            <w:r>
              <w:rPr>
                <w:rFonts w:hint="eastAsia" w:ascii="宋体" w:hAnsi="宋体" w:eastAsia="宋体" w:cs="宋体"/>
                <w:color w:val="000000"/>
                <w:sz w:val="21"/>
                <w:szCs w:val="21"/>
                <w:highlight w:val="none"/>
                <w:lang w:val="en-US" w:eastAsia="zh-CN"/>
              </w:rPr>
              <w:t xml:space="preserve">等步骤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缺失较多</w:t>
            </w:r>
            <w:r>
              <w:rPr>
                <w:rFonts w:hint="eastAsia" w:ascii="宋体" w:hAnsi="宋体" w:eastAsia="宋体" w:cs="宋体"/>
                <w:color w:val="000000"/>
                <w:sz w:val="21"/>
                <w:szCs w:val="21"/>
                <w:highlight w:val="none"/>
              </w:rPr>
              <w:t xml:space="preserve">、操作性差的得2分；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未提供方案不得分。</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8</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2.2</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格栅维修方案</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针对本项目特点制定</w:t>
            </w:r>
            <w:r>
              <w:rPr>
                <w:rFonts w:hint="eastAsia" w:ascii="宋体" w:hAnsi="宋体" w:eastAsia="宋体" w:cs="宋体"/>
                <w:color w:val="000000"/>
                <w:sz w:val="21"/>
                <w:szCs w:val="21"/>
                <w:highlight w:val="none"/>
                <w:lang w:val="en-US" w:eastAsia="zh-CN"/>
              </w:rPr>
              <w:t xml:space="preserve">的格栅</w:t>
            </w:r>
            <w:r>
              <w:rPr>
                <w:rFonts w:hint="eastAsia" w:ascii="宋体" w:hAnsi="宋体" w:eastAsia="宋体" w:cs="宋体"/>
                <w:color w:val="000000"/>
                <w:sz w:val="21"/>
                <w:szCs w:val="21"/>
                <w:highlight w:val="none"/>
              </w:rPr>
              <w:t xml:space="preserve">维修方案进行技术评价，方案需包含格栅拆解、维修、安装的全过程</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1.维修方案包含格栅拆解、维修、安装的所有零配件项目</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维修步骤、细节描述清晰、且具有独到的关键质量控制方法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完全满足或优于采购需求</w:t>
            </w:r>
            <w:r>
              <w:rPr>
                <w:rFonts w:hint="eastAsia" w:ascii="宋体" w:hAnsi="宋体" w:eastAsia="宋体" w:cs="宋体"/>
                <w:color w:val="000000"/>
                <w:sz w:val="21"/>
                <w:szCs w:val="21"/>
                <w:highlight w:val="none"/>
              </w:rPr>
              <w:t xml:space="preserve">的得8分；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2.维修方案覆盖包含格栅拆解、维修、安装的绝大部分零配件项目维修步骤，但细节表述不够清晰、</w:t>
            </w:r>
            <w:r>
              <w:rPr>
                <w:rFonts w:hint="eastAsia" w:ascii="宋体" w:hAnsi="宋体" w:eastAsia="宋体" w:cs="宋体"/>
                <w:color w:val="000000"/>
                <w:sz w:val="21"/>
                <w:szCs w:val="21"/>
                <w:highlight w:val="none"/>
                <w:lang w:val="en-US" w:eastAsia="zh-CN"/>
              </w:rPr>
              <w:t xml:space="preserve">能满足采购需求但</w:t>
            </w:r>
            <w:r>
              <w:rPr>
                <w:rFonts w:hint="eastAsia" w:ascii="宋体" w:hAnsi="宋体" w:eastAsia="宋体" w:cs="宋体"/>
                <w:color w:val="000000"/>
                <w:sz w:val="21"/>
                <w:szCs w:val="21"/>
                <w:highlight w:val="none"/>
              </w:rPr>
              <w:t xml:space="preserve">无独特的关键质量控制方案的得6分；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3.维修方案覆盖格栅较少零配件项目的维修步骤，</w:t>
            </w:r>
            <w:r>
              <w:rPr>
                <w:rFonts w:hint="eastAsia" w:ascii="宋体" w:hAnsi="宋体" w:eastAsia="宋体" w:cs="宋体"/>
                <w:color w:val="000000"/>
                <w:sz w:val="21"/>
                <w:szCs w:val="21"/>
                <w:highlight w:val="none"/>
                <w:lang w:val="en-US" w:eastAsia="zh-CN"/>
              </w:rPr>
              <w:t xml:space="preserve">只做笼统描述、</w:t>
            </w:r>
            <w:r>
              <w:rPr>
                <w:rFonts w:hint="eastAsia" w:ascii="宋体" w:hAnsi="宋体" w:eastAsia="宋体" w:cs="宋体"/>
                <w:color w:val="000000"/>
                <w:sz w:val="21"/>
                <w:szCs w:val="21"/>
                <w:highlight w:val="none"/>
              </w:rPr>
              <w:t xml:space="preserve">细节描述较少、且无独特的关键质量控制方案的得4分；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提供了</w:t>
            </w:r>
            <w:r>
              <w:rPr>
                <w:rFonts w:hint="eastAsia" w:ascii="宋体" w:hAnsi="宋体" w:eastAsia="宋体" w:cs="宋体"/>
                <w:color w:val="000000"/>
                <w:sz w:val="21"/>
                <w:szCs w:val="21"/>
                <w:highlight w:val="none"/>
              </w:rPr>
              <w:t xml:space="preserve">维修方案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但</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拆解、维修、安装</w:t>
            </w:r>
            <w:r>
              <w:rPr>
                <w:rFonts w:hint="eastAsia" w:ascii="宋体" w:hAnsi="宋体" w:eastAsia="宋体" w:cs="宋体"/>
                <w:color w:val="000000"/>
                <w:sz w:val="21"/>
                <w:szCs w:val="21"/>
                <w:highlight w:val="none"/>
                <w:lang w:val="en-US" w:eastAsia="zh-CN"/>
              </w:rPr>
              <w:t xml:space="preserve">等步骤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缺失较多</w:t>
            </w:r>
            <w:r>
              <w:rPr>
                <w:rFonts w:hint="eastAsia" w:ascii="宋体" w:hAnsi="宋体" w:eastAsia="宋体" w:cs="宋体"/>
                <w:color w:val="000000"/>
                <w:sz w:val="21"/>
                <w:szCs w:val="21"/>
                <w:highlight w:val="none"/>
              </w:rPr>
              <w:t xml:space="preserve">、操作性差的得2分；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未提供方案不得分。</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安全作业能力</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jc w:val="left"/>
              <w:keepLines w:val="0"/>
              <w:keepNext w:val="0"/>
              <w:pageBreakBefore w:val="0"/>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针对本项目特点制定</w:t>
            </w:r>
            <w:r>
              <w:rPr>
                <w:rFonts w:hint="eastAsia" w:ascii="宋体" w:hAnsi="宋体" w:eastAsia="宋体" w:cs="宋体"/>
                <w:color w:val="000000"/>
                <w:sz w:val="21"/>
                <w:szCs w:val="21"/>
                <w:highlight w:val="none"/>
                <w:lang w:val="en-US" w:eastAsia="zh-CN"/>
              </w:rPr>
              <w:t xml:space="preserve">的有限空间作业、临时用电、动火作业、登高架设、起重吊装、金属焊接切割等安全作业能力及方案</w:t>
            </w:r>
            <w:r>
              <w:rPr>
                <w:rFonts w:hint="eastAsia" w:ascii="宋体" w:hAnsi="宋体" w:eastAsia="宋体" w:cs="宋体"/>
                <w:color w:val="000000"/>
                <w:sz w:val="21"/>
                <w:szCs w:val="21"/>
                <w:highlight w:val="none"/>
              </w:rPr>
              <w:t xml:space="preserve">进行技术评价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安全作业能力及方案全面</w:t>
            </w:r>
            <w:r>
              <w:rPr>
                <w:rFonts w:hint="eastAsia" w:ascii="宋体" w:hAnsi="宋体" w:eastAsia="宋体" w:cs="宋体"/>
                <w:color w:val="000000"/>
                <w:sz w:val="21"/>
                <w:szCs w:val="21"/>
                <w:highlight w:val="none"/>
              </w:rPr>
              <w:t xml:space="preserve">详实，</w:t>
            </w:r>
            <w:r>
              <w:rPr>
                <w:rFonts w:hint="eastAsia" w:ascii="宋体" w:hAnsi="宋体" w:eastAsia="宋体" w:cs="宋体"/>
                <w:color w:val="000000"/>
                <w:sz w:val="21"/>
                <w:szCs w:val="21"/>
                <w:highlight w:val="none"/>
                <w:lang w:val="en-US" w:eastAsia="zh-CN"/>
              </w:rPr>
              <w:t xml:space="preserve">作业步骤完整</w:t>
            </w:r>
            <w:r>
              <w:rPr>
                <w:rFonts w:hint="eastAsia" w:ascii="宋体" w:hAnsi="宋体" w:eastAsia="宋体" w:cs="宋体"/>
                <w:color w:val="000000"/>
                <w:sz w:val="21"/>
                <w:szCs w:val="21"/>
                <w:highlight w:val="none"/>
              </w:rPr>
              <w:t xml:space="preserve">清晰、合理可行，</w:t>
            </w:r>
            <w:r>
              <w:rPr>
                <w:rFonts w:hint="eastAsia" w:ascii="宋体" w:hAnsi="宋体" w:eastAsia="宋体" w:cs="宋体"/>
                <w:color w:val="000000"/>
                <w:sz w:val="21"/>
                <w:szCs w:val="21"/>
                <w:highlight w:val="none"/>
                <w:lang w:val="en-US" w:eastAsia="zh-CN"/>
              </w:rPr>
              <w:t xml:space="preserve">完全符合国家相关规定</w:t>
            </w:r>
            <w:r>
              <w:rPr>
                <w:rFonts w:hint="eastAsia" w:ascii="宋体" w:hAnsi="宋体" w:eastAsia="宋体" w:cs="宋体"/>
                <w:color w:val="000000"/>
                <w:sz w:val="21"/>
                <w:szCs w:val="21"/>
                <w:highlight w:val="none"/>
              </w:rPr>
              <w:t xml:space="preserve">且</w:t>
            </w:r>
            <w:r>
              <w:rPr>
                <w:rFonts w:hint="eastAsia" w:ascii="宋体" w:hAnsi="宋体" w:eastAsia="宋体" w:cs="宋体"/>
                <w:color w:val="000000"/>
                <w:sz w:val="21"/>
                <w:szCs w:val="21"/>
                <w:highlight w:val="none"/>
                <w:lang w:val="en-US" w:eastAsia="zh-CN"/>
              </w:rPr>
              <w:t xml:space="preserve">安全责任主体明确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完全满足或优于采购需求，能出具既往项目有限空间作业工作票等（需体现投标单位名称、作业任务、安全防护措施、负责人签字）的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安全作业能力及方案完整无缺漏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作业步骤具体</w:t>
            </w:r>
            <w:r>
              <w:rPr>
                <w:rFonts w:hint="eastAsia" w:ascii="宋体" w:hAnsi="宋体" w:eastAsia="宋体" w:cs="宋体"/>
                <w:color w:val="000000"/>
                <w:sz w:val="21"/>
                <w:szCs w:val="21"/>
                <w:highlight w:val="none"/>
              </w:rPr>
              <w:t xml:space="preserve">清晰、合理</w:t>
            </w:r>
            <w:r>
              <w:rPr>
                <w:rFonts w:hint="eastAsia" w:ascii="宋体" w:hAnsi="宋体" w:eastAsia="宋体" w:cs="宋体"/>
                <w:color w:val="000000"/>
                <w:sz w:val="21"/>
                <w:szCs w:val="21"/>
                <w:highlight w:val="none"/>
                <w:lang w:val="en-US" w:eastAsia="zh-CN"/>
              </w:rPr>
              <w:t xml:space="preserve">性较强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符合国家相关规定</w:t>
            </w:r>
            <w:r>
              <w:rPr>
                <w:rFonts w:hint="eastAsia" w:ascii="宋体" w:hAnsi="宋体" w:eastAsia="宋体" w:cs="宋体"/>
                <w:color w:val="000000"/>
                <w:sz w:val="21"/>
                <w:szCs w:val="21"/>
                <w:highlight w:val="none"/>
              </w:rPr>
              <w:t xml:space="preserve">且</w:t>
            </w:r>
            <w:r>
              <w:rPr>
                <w:rFonts w:hint="eastAsia" w:ascii="宋体" w:hAnsi="宋体" w:eastAsia="宋体" w:cs="宋体"/>
                <w:color w:val="000000"/>
                <w:sz w:val="21"/>
                <w:szCs w:val="21"/>
                <w:highlight w:val="none"/>
                <w:lang w:val="en-US" w:eastAsia="zh-CN"/>
              </w:rPr>
              <w:t xml:space="preserve">能落实安全责任主体</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满足采购需求，能出具既往项目有限空间作业工作票等的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安全作业能力及方案有部分缺漏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作业步骤</w:t>
            </w:r>
            <w:r>
              <w:rPr>
                <w:rFonts w:hint="eastAsia" w:ascii="宋体" w:hAnsi="宋体" w:eastAsia="宋体" w:cs="宋体"/>
                <w:color w:val="000000"/>
                <w:sz w:val="21"/>
                <w:szCs w:val="21"/>
                <w:highlight w:val="none"/>
              </w:rPr>
              <w:t xml:space="preserve">清晰、</w:t>
            </w:r>
            <w:r>
              <w:rPr>
                <w:rFonts w:hint="eastAsia" w:ascii="宋体" w:hAnsi="宋体" w:eastAsia="宋体" w:cs="宋体"/>
                <w:color w:val="000000"/>
                <w:sz w:val="21"/>
                <w:szCs w:val="21"/>
                <w:highlight w:val="none"/>
                <w:lang w:val="en-US" w:eastAsia="zh-CN"/>
              </w:rPr>
              <w:t xml:space="preserve">具备可行性</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体现了安全责任主体</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能出具既往项目有限空间作业工作票等的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安全作业能力及方案内容缺漏较多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有作业步骤但较为笼统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安全责任主体界限不清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未能出具既往项目有限空间作业工作票等的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未提供方案不得分。</w:t>
            </w:r>
            <w:r>
              <w:rPr>
                <w:rFonts w:hint="eastAsia" w:ascii="宋体" w:hAnsi="宋体" w:eastAsia="宋体" w:cs="宋体"/>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2.4</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应急响应方案</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jc w:val="left"/>
              <w:keepLines w:val="0"/>
              <w:keepNext w:val="0"/>
              <w:pageBreakBefore w:val="0"/>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评委根据</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针对本项目特点制定</w:t>
            </w:r>
            <w:r>
              <w:rPr>
                <w:rFonts w:hint="eastAsia" w:ascii="宋体" w:hAnsi="宋体" w:eastAsia="宋体" w:cs="宋体"/>
                <w:color w:val="000000"/>
                <w:sz w:val="21"/>
                <w:szCs w:val="21"/>
                <w:highlight w:val="none"/>
                <w:lang w:val="en-US" w:eastAsia="zh-CN"/>
              </w:rPr>
              <w:t xml:space="preserve">的地下泵站突发积水情况下的应急抽排、电气安全等方面的应急响应方案，遇到突发事件（如恶劣天气）或重大事件的应急预案及应对措施等</w:t>
            </w:r>
            <w:r>
              <w:rPr>
                <w:rFonts w:hint="eastAsia" w:ascii="宋体" w:hAnsi="宋体" w:eastAsia="宋体" w:cs="宋体"/>
                <w:color w:val="000000"/>
                <w:sz w:val="21"/>
                <w:szCs w:val="21"/>
                <w:highlight w:val="none"/>
              </w:rPr>
              <w:t xml:space="preserve">进行技术评价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方案全面</w:t>
            </w:r>
            <w:r>
              <w:rPr>
                <w:rFonts w:hint="eastAsia" w:ascii="宋体" w:hAnsi="宋体" w:eastAsia="宋体" w:cs="宋体"/>
                <w:color w:val="000000"/>
                <w:sz w:val="21"/>
                <w:szCs w:val="21"/>
                <w:highlight w:val="none"/>
              </w:rPr>
              <w:t xml:space="preserve">详实，</w:t>
            </w:r>
            <w:r>
              <w:rPr>
                <w:rFonts w:hint="eastAsia" w:ascii="宋体" w:hAnsi="宋体" w:eastAsia="宋体" w:cs="宋体"/>
                <w:color w:val="000000"/>
                <w:sz w:val="21"/>
                <w:szCs w:val="21"/>
                <w:highlight w:val="none"/>
                <w:lang w:val="en-US" w:eastAsia="zh-CN"/>
              </w:rPr>
              <w:t xml:space="preserve">各项应急响应措施完整</w:t>
            </w:r>
            <w:r>
              <w:rPr>
                <w:rFonts w:hint="eastAsia" w:ascii="宋体" w:hAnsi="宋体" w:eastAsia="宋体" w:cs="宋体"/>
                <w:color w:val="000000"/>
                <w:sz w:val="21"/>
                <w:szCs w:val="21"/>
                <w:highlight w:val="none"/>
              </w:rPr>
              <w:t xml:space="preserve">清晰、合理可行，</w:t>
            </w:r>
            <w:r>
              <w:rPr>
                <w:rFonts w:hint="eastAsia" w:ascii="宋体" w:hAnsi="宋体" w:eastAsia="宋体" w:cs="宋体"/>
                <w:color w:val="000000"/>
                <w:sz w:val="21"/>
                <w:szCs w:val="21"/>
                <w:highlight w:val="none"/>
                <w:lang w:val="en-US" w:eastAsia="zh-CN"/>
              </w:rPr>
              <w:t xml:space="preserve">安全保障高，完全满足或优于采购需求的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方案完整无缺漏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各项应急响应措施</w:t>
            </w:r>
            <w:r>
              <w:rPr>
                <w:rFonts w:hint="eastAsia" w:ascii="宋体" w:hAnsi="宋体" w:eastAsia="宋体" w:cs="宋体"/>
                <w:color w:val="000000"/>
                <w:sz w:val="21"/>
                <w:szCs w:val="21"/>
                <w:highlight w:val="none"/>
              </w:rPr>
              <w:t xml:space="preserve">合理</w:t>
            </w:r>
            <w:r>
              <w:rPr>
                <w:rFonts w:hint="eastAsia" w:ascii="宋体" w:hAnsi="宋体" w:eastAsia="宋体" w:cs="宋体"/>
                <w:color w:val="000000"/>
                <w:sz w:val="21"/>
                <w:szCs w:val="21"/>
                <w:highlight w:val="none"/>
                <w:lang w:val="en-US" w:eastAsia="zh-CN"/>
              </w:rPr>
              <w:t xml:space="preserve">性较强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安全保障措施考虑周到能满足采购需求的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方案有部分缺漏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各项应急响应措施具备可行性</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能考虑到本项目特点，安全保障合理的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方案内容缺漏较多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各项应急响应措施笼统缺少核心内容，未完全针对本项目制定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存在安全风险的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jc w:val="left"/>
              <w:keepLines w:val="0"/>
              <w:keepNext w:val="0"/>
              <w:pageBreakBefore w:val="0"/>
              <w:spacing w:line="2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未提供方案不得分。</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商务分</w:t>
            </w:r>
            <w:r>
              <w:rPr>
                <w:rFonts w:hint="eastAsia" w:ascii="宋体" w:hAnsi="宋体" w:eastAsia="宋体" w:cs="宋体"/>
                <w:b/>
                <w:bCs/>
                <w:color w:val="000000"/>
                <w:sz w:val="21"/>
                <w:szCs w:val="21"/>
                <w:highlight w:val="none"/>
              </w:rPr>
            </w:r>
            <w:r/>
          </w:p>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37</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3.1</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类似业绩</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jc w:val="left"/>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自202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月1日起（以合同签订时间为准）至本项目招标公告发布之日止承担过与本项目类似的</w:t>
            </w:r>
            <w:r>
              <w:rPr>
                <w:rFonts w:hint="eastAsia" w:ascii="宋体" w:hAnsi="宋体" w:eastAsia="宋体" w:cs="宋体"/>
                <w:color w:val="000000"/>
                <w:sz w:val="21"/>
                <w:szCs w:val="21"/>
                <w:highlight w:val="none"/>
                <w:lang w:val="en-US" w:eastAsia="zh-CN"/>
              </w:rPr>
              <w:t xml:space="preserve">业绩</w:t>
            </w:r>
            <w:r>
              <w:rPr>
                <w:rFonts w:hint="eastAsia" w:ascii="宋体" w:hAnsi="宋体" w:eastAsia="宋体" w:cs="宋体"/>
                <w:color w:val="000000"/>
                <w:sz w:val="21"/>
                <w:szCs w:val="21"/>
                <w:highlight w:val="none"/>
              </w:rPr>
              <w:t xml:space="preserve">，每提供一份有效业绩合同得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62"/>
              <w:jc w:val="left"/>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rPr>
            </w:r>
            <w:r/>
          </w:p>
          <w:p>
            <w:pPr>
              <w:pStyle w:val="962"/>
              <w:numPr>
                <w:ilvl w:val="0"/>
                <w:numId w:val="0"/>
              </w:numPr>
              <w:jc w:val="left"/>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rPr>
              <w:t xml:space="preserve">同一项目业绩仅认定一份，不重复计分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962"/>
              <w:numPr>
                <w:ilvl w:val="0"/>
                <w:numId w:val="0"/>
              </w:numPr>
              <w:jc w:val="left"/>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投标文件中提供</w:t>
            </w:r>
            <w:r>
              <w:rPr>
                <w:rFonts w:hint="eastAsia" w:ascii="宋体" w:hAnsi="宋体" w:eastAsia="宋体" w:cs="宋体"/>
                <w:b/>
                <w:bCs/>
                <w:color w:val="000000"/>
                <w:sz w:val="21"/>
                <w:szCs w:val="21"/>
                <w:highlight w:val="none"/>
                <w:lang w:val="en-US" w:eastAsia="zh-CN"/>
              </w:rPr>
              <w:t xml:space="preserve">中标通知书、</w:t>
            </w:r>
            <w:r>
              <w:rPr>
                <w:rFonts w:hint="eastAsia" w:ascii="宋体" w:hAnsi="宋体" w:eastAsia="宋体" w:cs="宋体"/>
                <w:b/>
                <w:bCs/>
                <w:color w:val="000000"/>
                <w:sz w:val="21"/>
                <w:szCs w:val="21"/>
                <w:highlight w:val="none"/>
              </w:rPr>
              <w:t xml:space="preserve">完整有效的业绩合同扫描件，加盖投标人公章，否则不得分。</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是</w:t>
            </w:r>
            <w:r>
              <w:rPr>
                <w:rFonts w:hint="eastAsia" w:ascii="宋体" w:hAnsi="宋体" w:eastAsia="宋体" w:cs="宋体"/>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3.2</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人员要求</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keepLines w:val="0"/>
              <w:keepNext w:val="0"/>
              <w:pageBreakBefore w:val="0"/>
              <w:spacing w:line="2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投标人每配有</w:t>
            </w:r>
            <w:r>
              <w:rPr>
                <w:rFonts w:hint="eastAsia" w:ascii="宋体" w:hAnsi="宋体" w:eastAsia="宋体" w:cs="宋体"/>
                <w:b w:val="0"/>
                <w:bCs w:val="0"/>
                <w:color w:val="000000"/>
                <w:sz w:val="21"/>
                <w:szCs w:val="21"/>
                <w:highlight w:val="none"/>
              </w:rPr>
              <w:t xml:space="preserve">一名具有电工证或焊接与热切割作业证或起重设备操作证的人员，得</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分。本项最高得</w:t>
            </w:r>
            <w:r>
              <w:rPr>
                <w:rFonts w:hint="eastAsia" w:ascii="宋体" w:hAnsi="宋体" w:eastAsia="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962"/>
              <w:jc w:val="left"/>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en-US" w:eastAsia="zh-CN"/>
              </w:rPr>
            </w:r>
            <w:r/>
          </w:p>
          <w:p>
            <w:pPr>
              <w:pStyle w:val="962"/>
              <w:numPr>
                <w:ilvl w:val="0"/>
                <w:numId w:val="0"/>
              </w:numPr>
              <w:jc w:val="left"/>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rPr>
              <w:t xml:space="preserve">同一</w:t>
            </w:r>
            <w:r>
              <w:rPr>
                <w:rFonts w:hint="eastAsia" w:ascii="宋体" w:hAnsi="宋体" w:eastAsia="宋体" w:cs="宋体"/>
                <w:b/>
                <w:bCs/>
                <w:color w:val="000000"/>
                <w:sz w:val="21"/>
                <w:szCs w:val="21"/>
                <w:highlight w:val="none"/>
                <w:lang w:val="en-US" w:eastAsia="zh-CN"/>
              </w:rPr>
              <w:t xml:space="preserve">人多个证书</w:t>
            </w:r>
            <w:r>
              <w:rPr>
                <w:rFonts w:hint="eastAsia" w:ascii="宋体" w:hAnsi="宋体" w:eastAsia="宋体" w:cs="宋体"/>
                <w:b/>
                <w:bCs/>
                <w:color w:val="000000"/>
                <w:sz w:val="21"/>
                <w:szCs w:val="21"/>
                <w:highlight w:val="none"/>
              </w:rPr>
              <w:t xml:space="preserve">仅认定一份，不重复计分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962"/>
              <w:numPr>
                <w:ilvl w:val="0"/>
                <w:numId w:val="0"/>
              </w:numPr>
              <w:jc w:val="left"/>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提供上述有效的证书、</w:t>
            </w:r>
            <w:r>
              <w:rPr>
                <w:rFonts w:hint="eastAsia" w:ascii="宋体" w:hAnsi="宋体" w:eastAsia="宋体" w:cs="宋体"/>
                <w:b/>
                <w:bCs/>
                <w:color w:val="000000"/>
                <w:sz w:val="21"/>
                <w:szCs w:val="21"/>
                <w:highlight w:val="none"/>
                <w:lang w:val="en-US" w:eastAsia="zh-CN"/>
              </w:rPr>
              <w:t xml:space="preserve">人员身份证正反面</w:t>
            </w:r>
            <w:r>
              <w:rPr>
                <w:rFonts w:hint="eastAsia" w:ascii="宋体" w:hAnsi="宋体" w:eastAsia="宋体" w:cs="宋体"/>
                <w:b/>
                <w:bCs/>
                <w:color w:val="000000"/>
                <w:sz w:val="21"/>
                <w:szCs w:val="21"/>
                <w:highlight w:val="none"/>
              </w:rPr>
              <w:t xml:space="preserve">扫描件以及投标人为其缴纳的202</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年</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月至</w:t>
            </w:r>
            <w:r>
              <w:rPr>
                <w:rFonts w:hint="eastAsia" w:ascii="宋体" w:hAnsi="宋体" w:eastAsia="宋体" w:cs="宋体"/>
                <w:b/>
                <w:bCs/>
                <w:color w:val="000000"/>
                <w:sz w:val="21"/>
                <w:szCs w:val="21"/>
                <w:highlight w:val="none"/>
                <w:lang w:val="en-US" w:eastAsia="zh-CN"/>
              </w:rPr>
              <w:t xml:space="preserve">2026年9</w:t>
            </w:r>
            <w:r>
              <w:rPr>
                <w:rFonts w:hint="eastAsia" w:ascii="宋体" w:hAnsi="宋体" w:eastAsia="宋体" w:cs="宋体"/>
                <w:b/>
                <w:bCs/>
                <w:color w:val="000000"/>
                <w:sz w:val="21"/>
                <w:szCs w:val="21"/>
                <w:highlight w:val="none"/>
              </w:rPr>
              <w:t xml:space="preserve">月</w:t>
            </w:r>
            <w:r>
              <w:rPr>
                <w:rFonts w:hint="eastAsia" w:ascii="宋体" w:hAnsi="宋体" w:eastAsia="宋体" w:cs="宋体"/>
                <w:b/>
                <w:bCs/>
                <w:color w:val="000000"/>
                <w:sz w:val="21"/>
                <w:szCs w:val="21"/>
                <w:highlight w:val="none"/>
                <w:lang w:val="en-US" w:eastAsia="zh-CN"/>
              </w:rPr>
              <w:t xml:space="preserve">中</w:t>
            </w:r>
            <w:r>
              <w:rPr>
                <w:rFonts w:hint="eastAsia" w:ascii="宋体" w:hAnsi="宋体" w:eastAsia="宋体" w:cs="宋体"/>
                <w:b/>
                <w:bCs/>
                <w:color w:val="000000"/>
                <w:sz w:val="21"/>
                <w:szCs w:val="21"/>
                <w:highlight w:val="none"/>
              </w:rPr>
              <w:t xml:space="preserve">任意一个月社保缴费证明材料（加盖社保部门签章或电子签章）并加盖投标人公章，否则不得分。</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是</w:t>
            </w:r>
            <w:r>
              <w:rPr>
                <w:rFonts w:hint="eastAsia" w:ascii="宋体" w:hAnsi="宋体" w:eastAsia="宋体" w:cs="宋体"/>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3.3</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rPr>
              <w:t xml:space="preserve">装备能力</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keepLines w:val="0"/>
              <w:keepNext w:val="0"/>
              <w:pageBreakBefore w:val="0"/>
              <w:spacing w:line="2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投标人</w:t>
            </w:r>
            <w:r>
              <w:rPr>
                <w:rFonts w:hint="eastAsia" w:ascii="宋体" w:hAnsi="宋体" w:eastAsia="宋体" w:cs="宋体"/>
                <w:b w:val="0"/>
                <w:bCs w:val="0"/>
                <w:color w:val="000000"/>
                <w:sz w:val="21"/>
                <w:szCs w:val="21"/>
                <w:highlight w:val="none"/>
              </w:rPr>
              <w:t xml:space="preserve">具备自有</w:t>
            </w:r>
            <w:r>
              <w:rPr>
                <w:rFonts w:hint="eastAsia" w:ascii="宋体" w:hAnsi="宋体" w:eastAsia="宋体" w:cs="宋体"/>
                <w:b w:val="0"/>
                <w:bCs w:val="0"/>
                <w:color w:val="000000"/>
                <w:sz w:val="21"/>
                <w:szCs w:val="21"/>
                <w:highlight w:val="none"/>
                <w:lang w:val="en-US" w:eastAsia="zh-CN"/>
              </w:rPr>
              <w:t xml:space="preserve">或租赁车辆：货</w:t>
            </w:r>
            <w:r>
              <w:rPr>
                <w:rFonts w:hint="eastAsia" w:ascii="宋体" w:hAnsi="宋体" w:eastAsia="宋体" w:cs="宋体"/>
                <w:b w:val="0"/>
                <w:bCs w:val="0"/>
                <w:color w:val="000000"/>
                <w:sz w:val="21"/>
                <w:szCs w:val="21"/>
                <w:highlight w:val="none"/>
              </w:rPr>
              <w:t xml:space="preserve">车2辆及以上的得2分；登高车得2分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移动电源车（发电车）得2分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本项最高得6分。</w:t>
            </w:r>
            <w:r>
              <w:rPr>
                <w:rFonts w:hint="eastAsia" w:ascii="宋体" w:hAnsi="宋体" w:eastAsia="宋体" w:cs="宋体"/>
                <w:b w:val="0"/>
                <w:bCs w:val="0"/>
                <w:color w:val="000000"/>
                <w:sz w:val="21"/>
                <w:szCs w:val="21"/>
                <w:highlight w:val="none"/>
              </w:rPr>
            </w:r>
            <w:r/>
          </w:p>
          <w:p>
            <w:pPr>
              <w:pStyle w:val="962"/>
              <w:keepLines w:val="0"/>
              <w:keepNext w:val="0"/>
              <w:pageBreakBefore w:val="0"/>
              <w:spacing w:line="2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w:t>
            </w:r>
            <w:r>
              <w:rPr>
                <w:rFonts w:hint="eastAsia" w:ascii="宋体" w:hAnsi="宋体" w:eastAsia="宋体" w:cs="宋体"/>
                <w:b w:val="0"/>
                <w:bCs w:val="0"/>
                <w:color w:val="000000"/>
                <w:sz w:val="21"/>
                <w:szCs w:val="21"/>
                <w:highlight w:val="none"/>
                <w:lang w:val="en-US" w:eastAsia="zh-CN"/>
              </w:rPr>
            </w:r>
            <w:r/>
          </w:p>
          <w:p>
            <w:pPr>
              <w:pStyle w:val="962"/>
              <w:jc w:val="left"/>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自有车辆须提供相关车辆行驶证；租赁车辆须提供相关车辆行驶证、有效期至少至2026年12月31日的租赁协议（出租人为车辆所有人）、租赁发票（或付款凭证）；须提供上述证明材料扫描件并加盖投标人公章，否则不得分。</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是</w:t>
            </w:r>
            <w:r>
              <w:rPr>
                <w:rFonts w:hint="eastAsia" w:ascii="宋体" w:hAnsi="宋体" w:eastAsia="宋体" w:cs="宋体"/>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3.4</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装备能力</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ind w:left="0" w:right="0" w:firstLine="0"/>
              <w:jc w:val="both"/>
              <w:keepLines w:val="0"/>
              <w:keepNext w:val="0"/>
              <w:pageBreakBefore w:val="0"/>
              <w:spacing w:before="0" w:after="0" w:line="24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具备自有</w:t>
            </w:r>
            <w:r>
              <w:rPr>
                <w:rFonts w:hint="eastAsia" w:ascii="宋体" w:hAnsi="宋体" w:eastAsia="宋体" w:cs="宋体"/>
                <w:color w:val="000000"/>
                <w:sz w:val="21"/>
                <w:szCs w:val="21"/>
                <w:highlight w:val="none"/>
                <w:lang w:val="en-US" w:eastAsia="zh-CN"/>
              </w:rPr>
              <w:t xml:space="preserve">或租赁维修设备：</w:t>
            </w:r>
            <w:r>
              <w:rPr>
                <w:rFonts w:hint="eastAsia" w:ascii="宋体" w:hAnsi="宋体" w:eastAsia="宋体" w:cs="宋体"/>
                <w:color w:val="000000"/>
                <w:sz w:val="21"/>
                <w:szCs w:val="21"/>
                <w:highlight w:val="none"/>
              </w:rPr>
              <w:t xml:space="preserve">机床、叶轮平衡机、电机烘干设备、电动起重设备等专用设备有1类得2分；本项最高得8分。</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62"/>
              <w:jc w:val="left"/>
              <w:keepLines w:val="0"/>
              <w:keepNext w:val="0"/>
              <w:pageBreakBefore w:val="0"/>
              <w:spacing w:line="24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注：</w:t>
            </w:r>
            <w:r>
              <w:rPr>
                <w:rFonts w:hint="eastAsia" w:ascii="宋体" w:hAnsi="宋体" w:eastAsia="宋体" w:cs="宋体"/>
                <w:b/>
                <w:color w:val="000000"/>
                <w:sz w:val="21"/>
                <w:szCs w:val="21"/>
                <w:highlight w:val="none"/>
                <w:lang w:val="en-US" w:eastAsia="zh-CN"/>
              </w:rPr>
            </w:r>
            <w:r/>
          </w:p>
          <w:p>
            <w:pPr>
              <w:pStyle w:val="962"/>
              <w:jc w:val="left"/>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val="en-US" w:eastAsia="zh-CN"/>
              </w:rPr>
              <w:t xml:space="preserve">自有设备</w:t>
            </w:r>
            <w:r>
              <w:rPr>
                <w:rFonts w:hint="eastAsia" w:ascii="宋体" w:hAnsi="宋体" w:eastAsia="宋体" w:cs="宋体"/>
                <w:b/>
                <w:color w:val="000000"/>
                <w:sz w:val="21"/>
                <w:szCs w:val="21"/>
                <w:highlight w:val="none"/>
              </w:rPr>
              <w:t xml:space="preserve">须提供</w:t>
            </w:r>
            <w:r>
              <w:rPr>
                <w:rFonts w:hint="eastAsia" w:ascii="宋体" w:hAnsi="宋体" w:eastAsia="宋体" w:cs="宋体"/>
                <w:b/>
                <w:color w:val="000000"/>
                <w:sz w:val="21"/>
                <w:szCs w:val="21"/>
                <w:highlight w:val="none"/>
                <w:lang w:val="en-US" w:eastAsia="zh-CN"/>
              </w:rPr>
              <w:t xml:space="preserve">购买人为</w:t>
            </w:r>
            <w:r>
              <w:rPr>
                <w:rFonts w:hint="eastAsia" w:ascii="宋体" w:hAnsi="宋体" w:eastAsia="宋体" w:cs="宋体"/>
                <w:b/>
                <w:color w:val="000000"/>
                <w:sz w:val="21"/>
                <w:szCs w:val="21"/>
                <w:highlight w:val="none"/>
              </w:rPr>
              <w:t xml:space="preserve">投标人</w:t>
            </w:r>
            <w:r>
              <w:rPr>
                <w:rFonts w:hint="eastAsia" w:ascii="宋体" w:hAnsi="宋体" w:eastAsia="宋体" w:cs="宋体"/>
                <w:b/>
                <w:color w:val="000000"/>
                <w:sz w:val="21"/>
                <w:szCs w:val="21"/>
                <w:highlight w:val="none"/>
                <w:lang w:val="en-US" w:eastAsia="zh-CN"/>
              </w:rPr>
              <w:t xml:space="preserve">的</w:t>
            </w:r>
            <w:r>
              <w:rPr>
                <w:rFonts w:hint="eastAsia" w:ascii="宋体" w:hAnsi="宋体" w:eastAsia="宋体" w:cs="宋体"/>
                <w:b/>
                <w:color w:val="000000"/>
                <w:sz w:val="21"/>
                <w:szCs w:val="21"/>
                <w:highlight w:val="none"/>
              </w:rPr>
              <w:t xml:space="preserve">相关设备采购发票</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租赁设备须</w:t>
            </w:r>
            <w:r>
              <w:rPr>
                <w:rFonts w:hint="eastAsia" w:ascii="宋体" w:hAnsi="宋体" w:eastAsia="宋体" w:cs="宋体"/>
                <w:b/>
                <w:bCs/>
                <w:color w:val="000000"/>
                <w:sz w:val="21"/>
                <w:szCs w:val="21"/>
                <w:highlight w:val="none"/>
                <w:lang w:val="en-US" w:eastAsia="zh-CN"/>
              </w:rPr>
              <w:t xml:space="preserve">提供有效期至少至2026年12月31日的</w:t>
            </w:r>
            <w:r>
              <w:rPr>
                <w:rFonts w:hint="eastAsia" w:ascii="宋体" w:hAnsi="宋体" w:eastAsia="宋体" w:cs="宋体"/>
                <w:b/>
                <w:color w:val="000000"/>
                <w:sz w:val="21"/>
                <w:szCs w:val="21"/>
                <w:highlight w:val="none"/>
                <w:lang w:val="en-US" w:eastAsia="zh-CN"/>
              </w:rPr>
              <w:t xml:space="preserve">租赁协议、租赁发票（或付款凭证）；</w:t>
            </w:r>
            <w:r>
              <w:rPr>
                <w:rFonts w:hint="eastAsia" w:ascii="宋体" w:hAnsi="宋体" w:eastAsia="宋体" w:cs="宋体"/>
                <w:b/>
                <w:bCs/>
                <w:color w:val="000000"/>
                <w:sz w:val="21"/>
                <w:szCs w:val="21"/>
                <w:highlight w:val="none"/>
                <w:lang w:val="en-US" w:eastAsia="zh-CN"/>
              </w:rPr>
              <w:t xml:space="preserve">须提供上述证明材料扫描件并加盖投标人公章，否则不得分。</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是</w:t>
            </w:r>
            <w:r>
              <w:rPr>
                <w:rFonts w:hint="eastAsia" w:ascii="宋体" w:hAnsi="宋体" w:eastAsia="宋体" w:cs="宋体"/>
                <w:b/>
                <w:bCs/>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场地</w:t>
            </w:r>
            <w:r>
              <w:rPr>
                <w:rFonts w:hint="eastAsia" w:ascii="宋体" w:hAnsi="宋体" w:eastAsia="宋体" w:cs="宋体"/>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jc w:val="left"/>
              <w:keepLines w:val="0"/>
              <w:keepNext w:val="0"/>
              <w:pageBreakBefore w:val="0"/>
              <w:spacing w:line="2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具备固定维修场地</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val="en-US" w:eastAsia="zh-CN"/>
              </w:rPr>
            </w:r>
            <w:r/>
          </w:p>
          <w:p>
            <w:pPr>
              <w:pStyle w:val="962"/>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自有场地</w:t>
            </w:r>
            <w:r>
              <w:rPr>
                <w:rFonts w:hint="eastAsia" w:ascii="宋体" w:hAnsi="宋体" w:eastAsia="宋体" w:cs="宋体"/>
                <w:b/>
                <w:bCs/>
                <w:color w:val="000000"/>
                <w:sz w:val="21"/>
                <w:szCs w:val="21"/>
                <w:highlight w:val="none"/>
              </w:rPr>
              <w:t xml:space="preserve">须提供</w:t>
            </w:r>
            <w:r>
              <w:rPr>
                <w:rFonts w:hint="eastAsia" w:ascii="宋体" w:hAnsi="宋体" w:eastAsia="宋体" w:cs="宋体"/>
                <w:b/>
                <w:bCs/>
                <w:color w:val="000000"/>
                <w:sz w:val="21"/>
                <w:szCs w:val="21"/>
                <w:highlight w:val="none"/>
                <w:lang w:val="en-US" w:eastAsia="zh-CN"/>
              </w:rPr>
              <w:t xml:space="preserve">产权人为投标人的所有权证书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租赁场地须</w:t>
            </w:r>
            <w:r>
              <w:rPr>
                <w:rFonts w:hint="eastAsia" w:ascii="宋体" w:hAnsi="宋体" w:eastAsia="宋体" w:cs="宋体"/>
                <w:b/>
                <w:bCs/>
                <w:color w:val="000000"/>
                <w:sz w:val="21"/>
                <w:szCs w:val="21"/>
                <w:highlight w:val="none"/>
                <w:lang w:val="en-US" w:eastAsia="zh-CN"/>
              </w:rPr>
              <w:t xml:space="preserve">提供有效期至少至2026年12月31日的</w:t>
            </w:r>
            <w:r>
              <w:rPr>
                <w:rFonts w:hint="eastAsia" w:ascii="宋体" w:hAnsi="宋体" w:eastAsia="宋体" w:cs="宋体"/>
                <w:b/>
                <w:bCs/>
                <w:color w:val="000000"/>
                <w:sz w:val="21"/>
                <w:szCs w:val="21"/>
                <w:highlight w:val="none"/>
              </w:rPr>
              <w:t xml:space="preserve">租赁</w:t>
            </w:r>
            <w:r>
              <w:rPr>
                <w:rFonts w:hint="eastAsia" w:ascii="宋体" w:hAnsi="宋体" w:eastAsia="宋体" w:cs="宋体"/>
                <w:b/>
                <w:bCs/>
                <w:color w:val="000000"/>
                <w:sz w:val="21"/>
                <w:szCs w:val="21"/>
                <w:highlight w:val="none"/>
                <w:lang w:val="en-US" w:eastAsia="zh-CN"/>
              </w:rPr>
              <w:t xml:space="preserve">协议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租赁发票（或付款凭证）；</w:t>
            </w:r>
            <w:r>
              <w:rPr>
                <w:rFonts w:hint="eastAsia" w:ascii="宋体" w:hAnsi="宋体" w:eastAsia="宋体" w:cs="宋体"/>
                <w:b/>
                <w:bCs/>
                <w:color w:val="000000"/>
                <w:sz w:val="21"/>
                <w:szCs w:val="21"/>
                <w:highlight w:val="none"/>
                <w:lang w:val="en-US" w:eastAsia="zh-CN"/>
              </w:rPr>
              <w:t xml:space="preserve">须提供上述证明材料扫描件并加盖投标人公章，否则不得分。</w:t>
            </w:r>
            <w:r>
              <w:rPr>
                <w:rFonts w:hint="eastAsia" w:ascii="宋体" w:hAnsi="宋体" w:eastAsia="宋体" w:cs="宋体"/>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否</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是</w:t>
            </w:r>
            <w:r>
              <w:rPr>
                <w:rFonts w:hint="eastAsia" w:ascii="宋体" w:hAnsi="宋体" w:eastAsia="宋体" w:cs="宋体"/>
                <w:b/>
                <w:bCs/>
                <w:color w:val="000000"/>
                <w:sz w:val="21"/>
                <w:szCs w:val="21"/>
                <w:highlight w:val="none"/>
              </w:rPr>
            </w:r>
            <w:r/>
          </w:p>
        </w:tc>
      </w:tr>
      <w:tr>
        <w:trPr>
          <w:trHeight w:val="420"/>
        </w:trPr>
        <w:tc>
          <w:tcPr>
            <w:gridSpan w:val="2"/>
            <w:tcBorders>
              <w:top w:val="single" w:color="000000" w:sz="8" w:space="0"/>
              <w:left w:val="single" w:color="000000" w:sz="8" w:space="0"/>
              <w:bottom w:val="single" w:color="000000" w:sz="8" w:space="0"/>
              <w:right w:val="single" w:color="000000" w:sz="8" w:space="0"/>
            </w:tcBorders>
            <w:tcW w:w="2433"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24"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100</w:t>
            </w:r>
            <w:r>
              <w:rPr>
                <w:rFonts w:hint="eastAsia" w:ascii="宋体" w:hAnsi="宋体" w:eastAsia="宋体" w:cs="宋体"/>
                <w:b/>
                <w:bCs/>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388" w:type="dxa"/>
            <w:vAlign w:val="center"/>
            <w:textDirection w:val="lrTb"/>
            <w:noWrap w:val="false"/>
          </w:tcPr>
          <w:p>
            <w:pPr>
              <w:pStyle w:val="962"/>
              <w:jc w:val="center"/>
              <w:keepLines w:val="0"/>
              <w:keepNext w:val="0"/>
              <w:pageBreakBefore w:val="0"/>
              <w:spacing w:line="24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962"/>
        <w:jc w:val="center"/>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62"/>
        <w:contextualSpacing/>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color w:val="000000"/>
          <w:szCs w:val="21"/>
          <w:highlight w:val="none"/>
        </w:rPr>
        <w:t xml:space="preserve">1.进场时，若有货物及相关服务参数未能满足招标文件要求而中标人未在偏离表中明确的情况，须无条件按采购人及招标文件要求整改，否则采购人有权解除合同同时追究因此造成的损失。</w:t>
      </w:r>
      <w:r>
        <w:rPr>
          <w:rFonts w:hint="eastAsia" w:ascii="宋体" w:hAnsi="宋体" w:eastAsia="宋体" w:cs="宋体"/>
          <w:color w:val="000000"/>
          <w:szCs w:val="21"/>
          <w:highlight w:val="none"/>
        </w:rPr>
      </w:r>
      <w:r/>
    </w:p>
    <w:p>
      <w:pPr>
        <w:pStyle w:val="962"/>
        <w:contextualSpacing/>
        <w:ind w:firstLine="422"/>
        <w:jc w:val="left"/>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评标标准中要求提供的证明文件及资料等按要求在投标文件中提供扫描件并加盖供应商公章；扫描件材料内容、印章必须完整、字迹清晰，确保文字（数字）内容无变形、清晰可辨且在有效期内。评标委员会成员半数以上认定模糊无法辨认的不得分。</w:t>
      </w:r>
      <w:r>
        <w:rPr>
          <w:rFonts w:hint="eastAsia" w:ascii="宋体" w:hAnsi="宋体" w:eastAsia="宋体" w:cs="宋体"/>
          <w:b/>
          <w:bCs/>
          <w:color w:val="000000"/>
          <w:szCs w:val="21"/>
          <w:highlight w:val="none"/>
        </w:rPr>
      </w:r>
      <w:r/>
    </w:p>
    <w:p>
      <w:pPr>
        <w:pStyle w:val="962"/>
        <w:contextualSpacing/>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3.评标时，未能按以上要求提供相应证明的，不作为评审依据，不得分。</w:t>
      </w:r>
      <w:r>
        <w:rPr>
          <w:rFonts w:hint="eastAsia" w:ascii="宋体" w:hAnsi="宋体" w:eastAsia="宋体" w:cs="宋体"/>
          <w:color w:val="000000"/>
          <w:szCs w:val="21"/>
          <w:highlight w:val="none"/>
        </w:rPr>
      </w:r>
      <w:r/>
    </w:p>
    <w:p>
      <w:pPr>
        <w:pStyle w:val="962"/>
        <w:contextualSpacing/>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4.采用电子证书或者网络截图，必须使用经过备案的政府官方网站截图，且必须是可供任何人查询的公开信息，截图必须包含网址和网站名称，保证他人能够通过网址再次查询到。</w:t>
      </w:r>
      <w:r>
        <w:rPr>
          <w:rFonts w:hint="eastAsia" w:ascii="宋体" w:hAnsi="宋体" w:eastAsia="宋体" w:cs="宋体"/>
          <w:color w:val="000000"/>
          <w:szCs w:val="21"/>
          <w:highlight w:val="none"/>
        </w:rPr>
      </w:r>
      <w:r/>
    </w:p>
    <w:p>
      <w:pPr>
        <w:pStyle w:val="962"/>
        <w:contextualSpacing/>
        <w:ind w:firstLine="420"/>
        <w:spacing w:line="360" w:lineRule="auto"/>
        <w:widowControl/>
        <w:rPr>
          <w:rFonts w:hint="eastAsia" w:ascii="宋体" w:hAnsi="宋体" w:eastAsia="宋体" w:cs="宋体"/>
          <w:color w:val="000000"/>
          <w:szCs w:val="21"/>
          <w:highlight w:val="none"/>
        </w:rPr>
        <w:sectPr>
          <w:headerReference w:type="default" r:id="rId14"/>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szCs w:val="21"/>
          <w:highlight w:val="none"/>
        </w:rPr>
        <w:t xml:space="preserve">5.供应商按评分细则所有得分项目均视为对本次招标的承诺，成交后均作为合同的组成部分。</w:t>
      </w:r>
      <w:bookmarkStart w:id="784" w:name="_Hlk138940374"/>
      <w:r/>
      <w:bookmarkStart w:id="785" w:name="_Hlk139629014"/>
      <w:r>
        <w:rPr>
          <w:rFonts w:hint="eastAsia" w:ascii="宋体" w:hAnsi="宋体" w:eastAsia="宋体" w:cs="宋体"/>
          <w:color w:val="000000"/>
          <w:szCs w:val="21"/>
          <w:highlight w:val="none"/>
        </w:rPr>
      </w:r>
      <w:r/>
    </w:p>
    <w:p>
      <w:pPr>
        <w:pStyle w:val="962"/>
        <w:contextualSpacing/>
        <w:ind w:firstLine="643"/>
        <w:jc w:val="center"/>
        <w:spacing w:line="360" w:lineRule="auto"/>
        <w:widowControl/>
        <w:rPr>
          <w:rStyle w:val="1186"/>
          <w:rFonts w:hint="eastAsia" w:ascii="宋体" w:hAnsi="宋体" w:eastAsia="宋体" w:cs="宋体"/>
          <w:color w:val="000000"/>
          <w:highlight w:val="none"/>
        </w:rPr>
      </w:pPr>
      <w:r/>
      <w:bookmarkStart w:id="786" w:name="_Toc4942"/>
      <w:r>
        <w:rPr>
          <w:rStyle w:val="1186"/>
          <w:rFonts w:hint="eastAsia" w:ascii="宋体" w:hAnsi="宋体" w:eastAsia="宋体" w:cs="宋体"/>
          <w:color w:val="000000"/>
          <w:highlight w:val="none"/>
        </w:rPr>
        <w:t xml:space="preserve">第五章   </w:t>
      </w:r>
      <w:bookmarkStart w:id="787" w:name="_Hlk119590621"/>
      <w:r>
        <w:rPr>
          <w:rStyle w:val="1186"/>
          <w:rFonts w:hint="eastAsia" w:ascii="宋体" w:hAnsi="宋体" w:eastAsia="宋体" w:cs="宋体"/>
          <w:color w:val="000000"/>
          <w:highlight w:val="none"/>
        </w:rPr>
        <w:t xml:space="preserve">采购需求</w:t>
      </w:r>
      <w:r>
        <w:rPr>
          <w:rStyle w:val="1186"/>
          <w:rFonts w:hint="eastAsia" w:ascii="宋体" w:hAnsi="宋体" w:eastAsia="宋体" w:cs="宋体"/>
          <w:color w:val="000000"/>
          <w:highlight w:val="none"/>
        </w:rPr>
      </w:r>
      <w:r/>
    </w:p>
    <w:p>
      <w:pPr>
        <w:pStyle w:val="962"/>
        <w:rPr>
          <w:rFonts w:hint="eastAsia" w:ascii="宋体" w:hAnsi="宋体" w:eastAsia="宋体" w:cs="宋体"/>
          <w:color w:val="000000"/>
          <w:highlight w:val="none"/>
        </w:rPr>
      </w:pPr>
      <w:r/>
      <w:bookmarkEnd w:id="786"/>
      <w:r>
        <w:rPr>
          <w:rFonts w:hint="eastAsia" w:ascii="宋体" w:hAnsi="宋体" w:eastAsia="宋体" w:cs="宋体"/>
          <w:color w:val="000000"/>
          <w:highlight w:val="none"/>
        </w:rPr>
      </w:r>
      <w:r/>
    </w:p>
    <w:p>
      <w:pPr>
        <w:pStyle w:val="962"/>
        <w:rPr>
          <w:rFonts w:hint="eastAsia" w:ascii="宋体" w:hAnsi="宋体" w:eastAsia="宋体" w:cs="宋体"/>
          <w:color w:val="000000"/>
          <w:highlight w:val="none"/>
        </w:rPr>
      </w:pPr>
      <w:r/>
      <w:bookmarkEnd w:id="784"/>
      <w:r/>
      <w:bookmarkEnd w:id="785"/>
      <w:r/>
      <w:bookmarkEnd w:id="787"/>
      <w:r>
        <w:rPr>
          <w:rFonts w:hint="eastAsia" w:ascii="宋体" w:hAnsi="宋体" w:eastAsia="宋体" w:cs="宋体"/>
          <w:color w:val="000000"/>
          <w:highlight w:val="none"/>
        </w:rPr>
      </w:r>
      <w:r/>
    </w:p>
    <w:p>
      <w:pPr>
        <w:pStyle w:val="962"/>
        <w:ind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排水泵站设备检查保养及维修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工作地点：招标人指定地点，主要包含常州市排水管理处管辖范围内的一百多座雨污水泵站，五星、双桥浜等净水补水泵站及抽排泵站等。</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eastAsia="zh-CN"/>
        </w:rPr>
        <w:t xml:space="preserve">自合同签订生效之日起两年，合同一年一签，一年合同期满后可续签一次。</w:t>
      </w:r>
      <w:r>
        <w:rPr>
          <w:rFonts w:hint="eastAsia" w:ascii="宋体" w:hAnsi="宋体" w:eastAsia="宋体" w:cs="宋体"/>
          <w:color w:val="000000"/>
          <w:sz w:val="21"/>
          <w:szCs w:val="21"/>
          <w:highlight w:val="none"/>
          <w:lang w:val="en-US" w:eastAsia="zh-CN"/>
        </w:rPr>
      </w:r>
      <w:r/>
    </w:p>
    <w:p>
      <w:pPr>
        <w:pStyle w:val="962"/>
        <w:ind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二、工作内容及要求</w:t>
      </w:r>
      <w:r>
        <w:rPr>
          <w:rFonts w:hint="eastAsia" w:ascii="宋体" w:hAnsi="宋体" w:eastAsia="宋体" w:cs="宋体"/>
          <w:b/>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工作范围为泵站所管辖泵站的设备检查、保养及维修服务，包括但不限于水泵机组、格栅、闸（阀）门、启闭机、除臭设备、电气等。工作内容</w:t>
      </w:r>
      <w:r>
        <w:rPr>
          <w:rFonts w:hint="eastAsia"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rPr>
        <w:t xml:space="preserve">：设备故障排除与维修、设备保养、维修材料供应</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2.1设备故障排除与维修</w:t>
      </w:r>
      <w:r>
        <w:rPr>
          <w:rFonts w:hint="eastAsia" w:ascii="宋体" w:hAnsi="宋体" w:eastAsia="宋体" w:cs="宋体"/>
          <w:b/>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2.1.1</w:t>
      </w:r>
      <w:r>
        <w:rPr>
          <w:rFonts w:hint="eastAsia" w:ascii="宋体" w:hAnsi="宋体" w:eastAsia="宋体" w:cs="宋体"/>
          <w:color w:val="000000"/>
          <w:sz w:val="21"/>
          <w:szCs w:val="21"/>
          <w:highlight w:val="none"/>
        </w:rPr>
        <w:t xml:space="preserve">工作概述</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中标人应根据招标人通知，对泵站内设备设施发生的故障进行现场检查、排除和修复，恢复设备正常运行功能。包括但不限于：</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水泵机组（含潜水泵、离心泵、轴流泵、混流泵等）；</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格栅、输送机、压榨机、粉碎格栅、人工格栅等拦污设备；</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闸门、启闭机、阀门、电动执行机构等启闭设备；</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超磁分离主机、磁鼓主机、搅拌机、曝气推流器等净水站及河道生态补水专用设备；</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行车等特种设备；</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除臭系统、通风系统及各类工艺管线等辅助设备。</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2.1.2工作内容及要求</w:t>
      </w:r>
      <w:r>
        <w:rPr>
          <w:rFonts w:hint="eastAsia" w:ascii="宋体" w:hAnsi="宋体" w:eastAsia="宋体" w:cs="宋体"/>
          <w:bCs/>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
          <w:color w:val="000000"/>
          <w:sz w:val="21"/>
          <w:szCs w:val="21"/>
          <w:highlight w:val="none"/>
        </w:rPr>
        <w:t xml:space="preserve">故障响应：</w:t>
      </w:r>
      <w:r>
        <w:rPr>
          <w:rFonts w:hint="eastAsia" w:ascii="宋体" w:hAnsi="宋体" w:eastAsia="宋体" w:cs="宋体"/>
          <w:bCs/>
          <w:color w:val="000000"/>
          <w:sz w:val="21"/>
          <w:szCs w:val="21"/>
          <w:highlight w:val="none"/>
        </w:rPr>
        <w:t xml:space="preserve">中标人接到招标人通知后，应在约定时间内到达现场，进行设备故障检查与排除。普通情况下到场时间不超过1小时；防汛应急响应时不超过40分钟。</w:t>
      </w:r>
      <w:r>
        <w:rPr>
          <w:rFonts w:hint="eastAsia" w:ascii="宋体" w:hAnsi="宋体" w:eastAsia="宋体" w:cs="宋体"/>
          <w:bCs/>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
          <w:color w:val="000000"/>
          <w:sz w:val="21"/>
          <w:szCs w:val="21"/>
          <w:highlight w:val="none"/>
        </w:rPr>
        <w:t xml:space="preserve">故障检查与排除：</w:t>
      </w:r>
      <w:r>
        <w:rPr>
          <w:rFonts w:hint="eastAsia" w:ascii="宋体" w:hAnsi="宋体" w:eastAsia="宋体" w:cs="宋体"/>
          <w:bCs/>
          <w:color w:val="000000"/>
          <w:sz w:val="21"/>
          <w:szCs w:val="21"/>
          <w:highlight w:val="none"/>
        </w:rPr>
        <w:t xml:space="preserve">中标人的技术人员应通过现场检查、仪器检测等方式进行检查，准确判断故障原因，并采取简单措施排除故障，使设备恢复正常运行。</w:t>
      </w:r>
      <w:r>
        <w:rPr>
          <w:rFonts w:hint="eastAsia" w:ascii="宋体" w:hAnsi="宋体" w:eastAsia="宋体" w:cs="宋体"/>
          <w:bCs/>
          <w:color w:val="000000"/>
          <w:sz w:val="21"/>
          <w:szCs w:val="21"/>
          <w:highlight w:val="none"/>
        </w:rPr>
      </w:r>
      <w:r/>
    </w:p>
    <w:p>
      <w:pPr>
        <w:pStyle w:val="962"/>
        <w:ind w:firstLine="422"/>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维修实施流程：</w:t>
      </w:r>
      <w:r>
        <w:rPr>
          <w:rFonts w:hint="eastAsia" w:ascii="宋体" w:hAnsi="宋体" w:eastAsia="宋体" w:cs="宋体"/>
          <w:bCs/>
          <w:color w:val="000000"/>
          <w:sz w:val="21"/>
          <w:szCs w:val="21"/>
          <w:highlight w:val="none"/>
        </w:rPr>
        <w:t xml:space="preserve">中标人</w:t>
      </w:r>
      <w:r>
        <w:rPr>
          <w:rFonts w:hint="eastAsia" w:ascii="宋体" w:hAnsi="宋体" w:eastAsia="宋体" w:cs="宋体"/>
          <w:color w:val="000000"/>
          <w:sz w:val="21"/>
          <w:szCs w:val="21"/>
          <w:highlight w:val="none"/>
        </w:rPr>
        <w:t xml:space="preserve">进行设备故障检查后，不能简单排除故障的，应在3个</w:t>
      </w:r>
      <w:r>
        <w:rPr>
          <w:rFonts w:hint="eastAsia" w:ascii="宋体" w:hAnsi="宋体" w:eastAsia="宋体" w:cs="宋体"/>
          <w:color w:val="000000"/>
          <w:sz w:val="21"/>
          <w:szCs w:val="21"/>
          <w:highlight w:val="none"/>
          <w:lang w:val="en-US" w:eastAsia="zh-CN"/>
        </w:rPr>
        <w:t xml:space="preserve">日历</w:t>
      </w:r>
      <w:r>
        <w:rPr>
          <w:rFonts w:hint="eastAsia" w:ascii="宋体" w:hAnsi="宋体" w:eastAsia="宋体" w:cs="宋体"/>
          <w:color w:val="000000"/>
          <w:sz w:val="21"/>
          <w:szCs w:val="21"/>
          <w:highlight w:val="none"/>
        </w:rPr>
        <w:t xml:space="preserve">日内及时开展维修工作。</w:t>
      </w:r>
      <w:r>
        <w:rPr>
          <w:rFonts w:hint="eastAsia" w:ascii="宋体" w:hAnsi="宋体" w:eastAsia="宋体" w:cs="宋体"/>
          <w:color w:val="000000"/>
          <w:sz w:val="21"/>
          <w:szCs w:val="21"/>
          <w:highlight w:val="none"/>
        </w:rPr>
        <w:t xml:space="preserve">维修工作应在7个日历日内完成，维修的时间自招标人发出维修通知之日起计算（以下达工单时间为准），等待维修零部件或其他招标人认可的情况除外。</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1）</w:t>
      </w:r>
      <w:r>
        <w:rPr>
          <w:rFonts w:hint="eastAsia" w:ascii="宋体" w:hAnsi="宋体" w:eastAsia="宋体" w:cs="宋体"/>
          <w:color w:val="000000"/>
          <w:sz w:val="21"/>
          <w:szCs w:val="21"/>
          <w:highlight w:val="none"/>
        </w:rPr>
        <w:t xml:space="preserve">不需要拆解且</w:t>
      </w:r>
      <w:r>
        <w:rPr>
          <w:rFonts w:hint="eastAsia" w:ascii="宋体" w:hAnsi="宋体" w:eastAsia="宋体" w:cs="宋体"/>
          <w:color w:val="000000"/>
          <w:sz w:val="21"/>
          <w:szCs w:val="21"/>
          <w:highlight w:val="none"/>
        </w:rPr>
        <w:t xml:space="preserve">具备现场维修条件的，</w:t>
      </w:r>
      <w:r>
        <w:rPr>
          <w:rFonts w:hint="eastAsia" w:ascii="宋体" w:hAnsi="宋体" w:eastAsia="宋体" w:cs="宋体"/>
          <w:color w:val="000000"/>
          <w:sz w:val="21"/>
          <w:szCs w:val="21"/>
          <w:highlight w:val="none"/>
        </w:rPr>
        <w:t xml:space="preserve">中标人直接修复；不需要拆解但暂时</w:t>
      </w:r>
      <w:r>
        <w:rPr>
          <w:rFonts w:hint="eastAsia" w:ascii="宋体" w:hAnsi="宋体" w:eastAsia="宋体" w:cs="宋体"/>
          <w:color w:val="000000"/>
          <w:sz w:val="21"/>
          <w:szCs w:val="21"/>
          <w:highlight w:val="none"/>
        </w:rPr>
        <w:t xml:space="preserve">不具备维修条件的，</w:t>
      </w:r>
      <w:r>
        <w:rPr>
          <w:rFonts w:hint="eastAsia" w:ascii="宋体" w:hAnsi="宋体" w:eastAsia="宋体" w:cs="宋体"/>
          <w:color w:val="000000"/>
          <w:sz w:val="21"/>
          <w:szCs w:val="21"/>
          <w:highlight w:val="none"/>
        </w:rPr>
        <w:t xml:space="preserve">中标人</w:t>
      </w:r>
      <w:r>
        <w:rPr>
          <w:rFonts w:hint="eastAsia" w:ascii="宋体" w:hAnsi="宋体" w:eastAsia="宋体" w:cs="宋体"/>
          <w:color w:val="000000"/>
          <w:sz w:val="21"/>
          <w:szCs w:val="21"/>
          <w:highlight w:val="none"/>
        </w:rPr>
        <w:t xml:space="preserve">应报</w:t>
      </w:r>
      <w:r>
        <w:rPr>
          <w:rFonts w:hint="eastAsia" w:ascii="宋体" w:hAnsi="宋体" w:eastAsia="宋体" w:cs="宋体"/>
          <w:bCs/>
          <w:color w:val="000000"/>
          <w:sz w:val="21"/>
          <w:szCs w:val="21"/>
          <w:highlight w:val="none"/>
        </w:rPr>
        <w:t xml:space="preserve">招标人</w:t>
      </w:r>
      <w:r>
        <w:rPr>
          <w:rFonts w:hint="eastAsia" w:ascii="宋体" w:hAnsi="宋体" w:eastAsia="宋体" w:cs="宋体"/>
          <w:color w:val="000000"/>
          <w:sz w:val="21"/>
          <w:szCs w:val="21"/>
          <w:highlight w:val="none"/>
        </w:rPr>
        <w:t xml:space="preserve">确认具体维修时间。</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2）需要拆解且</w:t>
      </w:r>
      <w:r>
        <w:rPr>
          <w:rFonts w:hint="eastAsia" w:ascii="宋体" w:hAnsi="宋体" w:eastAsia="宋体" w:cs="宋体"/>
          <w:color w:val="000000"/>
          <w:sz w:val="21"/>
          <w:szCs w:val="21"/>
          <w:highlight w:val="none"/>
        </w:rPr>
        <w:t xml:space="preserve">具备现场维修条件的，</w:t>
      </w:r>
      <w:r>
        <w:rPr>
          <w:rFonts w:hint="eastAsia" w:ascii="宋体" w:hAnsi="宋体" w:eastAsia="宋体" w:cs="宋体"/>
          <w:color w:val="000000"/>
          <w:sz w:val="21"/>
          <w:szCs w:val="21"/>
          <w:highlight w:val="none"/>
        </w:rPr>
        <w:t xml:space="preserve">中标人应在招标人见证的情况下进行现场解体、拆卸</w:t>
      </w:r>
      <w:r>
        <w:rPr>
          <w:rFonts w:hint="eastAsia" w:ascii="宋体" w:hAnsi="宋体" w:eastAsia="宋体" w:cs="宋体"/>
          <w:color w:val="000000"/>
          <w:sz w:val="21"/>
          <w:szCs w:val="21"/>
          <w:highlight w:val="none"/>
        </w:rPr>
        <w:t xml:space="preserve">；不具备现场维修条件的，</w:t>
      </w:r>
      <w:r>
        <w:rPr>
          <w:rFonts w:hint="eastAsia" w:ascii="宋体" w:hAnsi="宋体" w:eastAsia="宋体" w:cs="宋体"/>
          <w:color w:val="000000"/>
          <w:sz w:val="21"/>
          <w:szCs w:val="21"/>
          <w:highlight w:val="none"/>
        </w:rPr>
        <w:t xml:space="preserve">中标人</w:t>
      </w:r>
      <w:r>
        <w:rPr>
          <w:rFonts w:hint="eastAsia" w:ascii="宋体" w:hAnsi="宋体" w:eastAsia="宋体" w:cs="宋体"/>
          <w:color w:val="000000"/>
          <w:sz w:val="21"/>
          <w:szCs w:val="21"/>
          <w:highlight w:val="none"/>
        </w:rPr>
        <w:t xml:space="preserve">应上报招标人，经</w:t>
      </w:r>
      <w:r>
        <w:rPr>
          <w:rFonts w:hint="eastAsia" w:ascii="宋体" w:hAnsi="宋体" w:eastAsia="宋体" w:cs="宋体"/>
          <w:bCs/>
          <w:color w:val="000000"/>
          <w:sz w:val="21"/>
          <w:szCs w:val="21"/>
          <w:highlight w:val="none"/>
        </w:rPr>
        <w:t xml:space="preserve">招标人</w:t>
      </w:r>
      <w:r>
        <w:rPr>
          <w:rFonts w:hint="eastAsia" w:ascii="宋体" w:hAnsi="宋体" w:eastAsia="宋体" w:cs="宋体"/>
          <w:color w:val="000000"/>
          <w:sz w:val="21"/>
          <w:szCs w:val="21"/>
          <w:highlight w:val="none"/>
        </w:rPr>
        <w:t xml:space="preserve">确认后进行返厂拆解。拆解后，应由双方共同确定维修范围。</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3）维修完成后，中标人应通知招标人进行现场验收。验收不合格的，中标人须在招标人指定期限内返工，直至验收合格，返工费用由中标人承担。</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4）验收完成后，中标人按时提交维修记录并填写工单，由双方签字确认，并纳入维修时效性考核；维修后换下来的零配件及附属装置，由中标人统一收集后移交招标人统一处理。</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bCs/>
          <w:color w:val="000000"/>
          <w:sz w:val="21"/>
          <w:szCs w:val="21"/>
          <w:highlight w:val="none"/>
        </w:rPr>
        <w:t xml:space="preserve">中标人</w:t>
      </w:r>
      <w:r>
        <w:rPr>
          <w:rFonts w:hint="eastAsia" w:ascii="宋体" w:hAnsi="宋体" w:eastAsia="宋体" w:cs="宋体"/>
          <w:color w:val="000000"/>
          <w:sz w:val="21"/>
          <w:szCs w:val="21"/>
          <w:highlight w:val="none"/>
        </w:rPr>
        <w:t xml:space="preserve">对故障零部件进行维修更换外，还应对设备进行全面的检查，必要时进行相关维修。</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6）</w:t>
      </w:r>
      <w:r>
        <w:rPr>
          <w:rFonts w:hint="eastAsia" w:ascii="宋体" w:hAnsi="宋体" w:eastAsia="宋体" w:cs="宋体"/>
          <w:bCs/>
          <w:color w:val="000000"/>
          <w:sz w:val="21"/>
          <w:szCs w:val="21"/>
          <w:highlight w:val="none"/>
        </w:rPr>
        <w:t xml:space="preserve">复杂故障的维修管理：根据设备损坏程度、结合中标单价预估维修费用超过2万元或设备本体故障情况复杂的情况下，应由中标人编制设备维修方案、阐明维修重点和质量控制、安全保障措施，中标人项目负责人审核、签字并加盖单位公章，经招标人运行管理部门经办人核实费用后和使用部门经办人核实工作量，共同签字后方可实施，维修方案存档并作为签证资料的一部分。</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2.1.3 维修验收标准</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中标人应通知招标人进行现场验收。双方按照设备维保记录逐项核对，确认设备运行参数恢复正常后签字确认。</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验收内容包括但不限于：设备运行声响、振动、温升、电流值和其他信号是否正常，更换件规格型号是否与申报一致，现场是否清理到位。</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验收不合格的，中标人须在招标人指定期限内返工，直至验收合格，返工费用由中标人承担。</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2.1.4 维修质保期</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维修项目质保期为12个月，自招标人签证确认之日起计算。</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水泵维修中凡更换泵轴的，整台泵质保期延长为18个月。</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质保期内因维修质量问题或更换件质量问题导致故障的，中标人须无条件返修，不得收取任何费用。经双方确认非维修质量问题导致的故障除外，但中标人应提供有效证据；</w:t>
      </w:r>
      <w:r>
        <w:rPr>
          <w:rFonts w:hint="eastAsia" w:ascii="宋体" w:hAnsi="宋体" w:eastAsia="宋体" w:cs="宋体"/>
          <w:bCs/>
          <w:color w:val="000000"/>
          <w:sz w:val="21"/>
          <w:szCs w:val="21"/>
          <w:highlight w:val="none"/>
        </w:rPr>
        <w:t xml:space="preserve">同一部位在质保期内重复发生故障的，按2.1.5条约定执行。</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2.1.5 返修</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同一设备在维修质保期内，首次故障返修不另行扣费，但返修后该部位的质保期自返修验收合格之日起重新计算。</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首次返修后再次发生同一部位故障的，每次返修扣除该项维修费用的20%或2000元（以高者为准），并再次重新计算质保期。</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招标人使用部门或运行管理部门在对照往期维修历史后，有权直接依据上述标准进行考核扣罚。</w:t>
      </w:r>
      <w:r>
        <w:rPr>
          <w:rFonts w:hint="eastAsia" w:ascii="宋体" w:hAnsi="宋体" w:eastAsia="宋体" w:cs="宋体"/>
          <w:b/>
          <w:bCs/>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2.2设备保养</w:t>
      </w:r>
      <w:r>
        <w:rPr>
          <w:rFonts w:hint="eastAsia" w:ascii="宋体" w:hAnsi="宋体" w:eastAsia="宋体" w:cs="宋体"/>
          <w:b/>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中标人应根据年度预防性保养计划，对泵站设备进行定期、有计划的维护保养，以保持设备良好技术状态，降低故障率。保养分为月度保养、季度保养和年度保养。</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遇防汛、高温、极寒等特殊时期，招标人有权临时增加保养频次，费用按合同单价另行结算。</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中标人每次保养完成后，应详细记录保养内容、更换的油品及备件、测试数据、发现问题及处理情况</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并形成工作台账</w:t>
      </w:r>
      <w:r>
        <w:rPr>
          <w:rFonts w:hint="eastAsia" w:ascii="宋体" w:hAnsi="宋体" w:eastAsia="宋体" w:cs="宋体"/>
          <w:bCs/>
          <w:color w:val="000000"/>
          <w:sz w:val="21"/>
          <w:szCs w:val="21"/>
          <w:highlight w:val="none"/>
        </w:rPr>
        <w:t xml:space="preserve">由</w:t>
      </w:r>
      <w:r>
        <w:rPr>
          <w:rFonts w:hint="eastAsia" w:ascii="宋体" w:hAnsi="宋体" w:eastAsia="宋体" w:cs="宋体"/>
          <w:bCs/>
          <w:color w:val="000000"/>
          <w:sz w:val="21"/>
          <w:szCs w:val="21"/>
          <w:highlight w:val="none"/>
          <w:lang w:val="en-US" w:eastAsia="zh-CN"/>
        </w:rPr>
        <w:t xml:space="preserve">招标人</w:t>
      </w:r>
      <w:r>
        <w:rPr>
          <w:rFonts w:hint="eastAsia" w:ascii="宋体" w:hAnsi="宋体" w:eastAsia="宋体" w:cs="宋体"/>
          <w:bCs/>
          <w:color w:val="000000"/>
          <w:sz w:val="21"/>
          <w:szCs w:val="21"/>
          <w:highlight w:val="none"/>
        </w:rPr>
        <w:t xml:space="preserve">现场签字确认。</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招标人有权对保养质量进行抽查，发现漏项或未按标准执行的，有权要求</w:t>
      </w:r>
      <w:r>
        <w:rPr>
          <w:rFonts w:hint="eastAsia" w:ascii="宋体" w:hAnsi="宋体" w:eastAsia="宋体" w:cs="宋体"/>
          <w:bCs/>
          <w:color w:val="000000"/>
          <w:sz w:val="21"/>
          <w:szCs w:val="21"/>
          <w:highlight w:val="none"/>
          <w:lang w:eastAsia="zh-CN"/>
        </w:rPr>
        <w:t xml:space="preserve">中标人</w:t>
      </w:r>
      <w:r>
        <w:rPr>
          <w:rFonts w:hint="eastAsia" w:ascii="宋体" w:hAnsi="宋体" w:eastAsia="宋体" w:cs="宋体"/>
          <w:bCs/>
          <w:color w:val="000000"/>
          <w:sz w:val="21"/>
          <w:szCs w:val="21"/>
          <w:highlight w:val="none"/>
        </w:rPr>
        <w:t xml:space="preserve">返工，并视情节扣除相应保养费用。</w:t>
      </w:r>
      <w:r>
        <w:rPr>
          <w:rFonts w:hint="eastAsia" w:ascii="宋体" w:hAnsi="宋体" w:eastAsia="宋体" w:cs="宋体"/>
          <w:bCs/>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2.3维修材料供应</w:t>
      </w:r>
      <w:r>
        <w:rPr>
          <w:rFonts w:hint="eastAsia" w:ascii="宋体" w:hAnsi="宋体" w:eastAsia="宋体" w:cs="宋体"/>
          <w:b/>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维修过程中所需更换的维修材料、备品备件，由中标人负责供应。招标人保留对关键备件自行采购的权利。</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材料范围：包括但不限于轴承、机械密封、密封圈、叶轮、泵轴、闸门密封条、断路器、接触器、继电器、电缆、紧固件等维修常用材料。</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质量保证：中标人提供的所有材料应为合格正品，具备产品合格证或质量检验报告。招标人有权对材料进行抽检，不合格材料中标人应无条件更换并承担相应责任。</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价格管理：中标人应在投标文件《</w:t>
      </w:r>
      <w:r>
        <w:rPr>
          <w:rFonts w:hint="eastAsia" w:ascii="宋体" w:hAnsi="宋体" w:eastAsia="宋体" w:cs="宋体"/>
          <w:color w:val="000000"/>
          <w:sz w:val="21"/>
          <w:szCs w:val="21"/>
          <w:highlight w:val="none"/>
          <w:lang w:eastAsia="zh-CN"/>
        </w:rPr>
        <w:t xml:space="preserve">常州市排水管理处 排水泵站设备检查保养及维修 计价清单</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（见附件1）</w:t>
      </w:r>
      <w:r>
        <w:rPr>
          <w:rFonts w:hint="eastAsia" w:ascii="宋体" w:hAnsi="宋体" w:eastAsia="宋体" w:cs="宋体"/>
          <w:color w:val="000000"/>
          <w:sz w:val="21"/>
          <w:szCs w:val="21"/>
          <w:highlight w:val="none"/>
        </w:rPr>
        <w:t xml:space="preserve">中列明常用材料的品牌、规格、单价。材料单价应包含运输、装卸、税费等全部费用。</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color w:val="000000"/>
          <w:sz w:val="21"/>
          <w:szCs w:val="21"/>
          <w:highlight w:val="none"/>
          <w:lang w:eastAsia="zh-CN"/>
        </w:rPr>
        <w:outlineLvl w:val="2"/>
      </w:pPr>
      <w:r>
        <w:rPr>
          <w:rFonts w:hint="eastAsia" w:ascii="宋体" w:hAnsi="宋体" w:eastAsia="宋体" w:cs="宋体"/>
          <w:b/>
          <w:color w:val="000000"/>
          <w:sz w:val="21"/>
          <w:szCs w:val="21"/>
          <w:highlight w:val="none"/>
        </w:rPr>
        <w:t xml:space="preserve">2.4</w:t>
      </w:r>
      <w:r>
        <w:rPr>
          <w:rFonts w:hint="eastAsia" w:ascii="宋体" w:hAnsi="宋体" w:eastAsia="宋体" w:cs="宋体"/>
          <w:b/>
          <w:color w:val="000000"/>
          <w:sz w:val="21"/>
          <w:szCs w:val="21"/>
          <w:highlight w:val="none"/>
          <w:lang w:val="en-US" w:eastAsia="zh-CN"/>
        </w:rPr>
        <w:t xml:space="preserve">其他</w:t>
      </w:r>
      <w:r>
        <w:rPr>
          <w:rFonts w:hint="eastAsia" w:ascii="宋体" w:hAnsi="宋体" w:eastAsia="宋体" w:cs="宋体"/>
          <w:b/>
          <w:color w:val="000000"/>
          <w:sz w:val="21"/>
          <w:szCs w:val="21"/>
          <w:highlight w:val="none"/>
          <w:lang w:eastAsia="zh-CN"/>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其他</w:t>
      </w:r>
      <w:r>
        <w:rPr>
          <w:rFonts w:hint="eastAsia" w:ascii="宋体" w:hAnsi="宋体" w:eastAsia="宋体" w:cs="宋体"/>
          <w:color w:val="000000"/>
          <w:sz w:val="21"/>
          <w:szCs w:val="21"/>
          <w:highlight w:val="none"/>
        </w:rPr>
        <w:t xml:space="preserve">因不可预见或突发情况产生的、超出日常检查、维修保养范围的相关</w:t>
      </w:r>
      <w:r>
        <w:rPr>
          <w:rFonts w:hint="eastAsia" w:ascii="宋体" w:hAnsi="宋体" w:eastAsia="宋体" w:cs="宋体"/>
          <w:color w:val="000000"/>
          <w:sz w:val="21"/>
          <w:szCs w:val="21"/>
          <w:highlight w:val="none"/>
          <w:lang w:val="en-US" w:eastAsia="zh-CN"/>
        </w:rPr>
        <w:t xml:space="preserve">事项</w:t>
      </w:r>
      <w:r>
        <w:rPr>
          <w:rFonts w:hint="eastAsia" w:ascii="宋体" w:hAnsi="宋体" w:eastAsia="宋体" w:cs="宋体"/>
          <w:color w:val="000000"/>
          <w:sz w:val="21"/>
          <w:szCs w:val="21"/>
          <w:highlight w:val="none"/>
        </w:rPr>
        <w:t xml:space="preserve">。常见</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包括：</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1）防汛应急抢修，如紧急调用中标单位的车辆、动力泵进行紧急疏水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2）专项技术（如流量计校准等）。</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该费用单价已在《</w:t>
      </w:r>
      <w:r>
        <w:rPr>
          <w:rFonts w:hint="eastAsia" w:ascii="宋体" w:hAnsi="宋体" w:eastAsia="宋体" w:cs="宋体"/>
          <w:color w:val="000000"/>
          <w:sz w:val="21"/>
          <w:szCs w:val="21"/>
          <w:highlight w:val="none"/>
          <w:lang w:eastAsia="zh-CN"/>
        </w:rPr>
        <w:t xml:space="preserve">常州市排水管理处 排水泵站设备检查保养及维修 计价清单</w:t>
      </w:r>
      <w:r>
        <w:rPr>
          <w:rFonts w:hint="eastAsia" w:ascii="宋体" w:hAnsi="宋体" w:eastAsia="宋体" w:cs="宋体"/>
          <w:color w:val="000000"/>
          <w:sz w:val="21"/>
          <w:szCs w:val="21"/>
          <w:highlight w:val="none"/>
        </w:rPr>
        <w:t xml:space="preserve">》（见附件1）内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仅在实际发生且经招标人书面确认后方可结算。</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应</w:t>
      </w:r>
      <w:r>
        <w:rPr>
          <w:rFonts w:hint="eastAsia" w:ascii="宋体" w:hAnsi="宋体" w:eastAsia="宋体" w:cs="宋体"/>
          <w:color w:val="000000"/>
          <w:sz w:val="21"/>
          <w:szCs w:val="21"/>
          <w:highlight w:val="none"/>
          <w:lang w:val="en-US" w:eastAsia="zh-CN"/>
        </w:rPr>
        <w:t xml:space="preserve">书面告知需临时进行的工作内容</w:t>
      </w:r>
      <w:r>
        <w:rPr>
          <w:rFonts w:hint="eastAsia" w:ascii="宋体" w:hAnsi="宋体" w:eastAsia="宋体" w:cs="宋体"/>
          <w:color w:val="000000"/>
          <w:sz w:val="21"/>
          <w:szCs w:val="21"/>
          <w:highlight w:val="none"/>
        </w:rPr>
        <w:t xml:space="preserve">；工作完成后，双方共同填写验收单，作为结算依据。如遇防汛应急等紧急情况，</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可先行响应、事后补办手续，但须在事后48小时内向</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补齐书面确认材料，逾期未补的，</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有权不予结算。</w:t>
      </w:r>
      <w:r>
        <w:rPr>
          <w:rFonts w:hint="eastAsia" w:ascii="宋体" w:hAnsi="宋体" w:eastAsia="宋体" w:cs="宋体"/>
          <w:color w:val="000000"/>
          <w:sz w:val="21"/>
          <w:szCs w:val="21"/>
          <w:highlight w:val="none"/>
        </w:rPr>
        <w:t xml:space="preserve">招标人有权根据实际需要调整其他服务项目及数量，中标人不得以任何理由拒绝执行。</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中标人须对每次</w:t>
      </w:r>
      <w:r>
        <w:rPr>
          <w:rFonts w:hint="eastAsia" w:ascii="宋体" w:hAnsi="宋体" w:eastAsia="宋体" w:cs="宋体"/>
          <w:color w:val="000000"/>
          <w:sz w:val="21"/>
          <w:szCs w:val="21"/>
          <w:highlight w:val="none"/>
        </w:rPr>
        <w:t xml:space="preserve">设备检查、保养及维修服务</w:t>
      </w:r>
      <w:r>
        <w:rPr>
          <w:rFonts w:hint="eastAsia" w:ascii="宋体" w:hAnsi="宋体" w:eastAsia="宋体" w:cs="宋体"/>
          <w:color w:val="000000"/>
          <w:sz w:val="21"/>
          <w:szCs w:val="21"/>
          <w:highlight w:val="none"/>
          <w:lang w:val="en-US" w:eastAsia="zh-CN"/>
        </w:rPr>
        <w:t xml:space="preserve">进行记录并形成工作台账。</w:t>
      </w:r>
      <w:r>
        <w:rPr>
          <w:rFonts w:hint="eastAsia" w:ascii="宋体" w:hAnsi="宋体" w:eastAsia="宋体" w:cs="宋体"/>
          <w:color w:val="000000"/>
          <w:sz w:val="21"/>
          <w:szCs w:val="21"/>
          <w:highlight w:val="none"/>
          <w:lang w:val="en-US" w:eastAsia="zh-CN"/>
        </w:rPr>
      </w:r>
      <w:r/>
    </w:p>
    <w:p>
      <w:pPr>
        <w:pStyle w:val="962"/>
        <w:ind w:firstLine="422"/>
        <w:keepLines w:val="0"/>
        <w:keepNext w:val="0"/>
        <w:pageBreakBefore w:val="0"/>
        <w:spacing w:line="360" w:lineRule="auto"/>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t xml:space="preserve">2.5与运行管理的配合</w:t>
      </w:r>
      <w:r>
        <w:rPr>
          <w:rFonts w:hint="eastAsia" w:ascii="宋体" w:hAnsi="宋体" w:eastAsia="宋体" w:cs="宋体"/>
          <w:b/>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2.5.1</w:t>
      </w:r>
      <w:r>
        <w:rPr>
          <w:rFonts w:hint="eastAsia" w:ascii="宋体" w:hAnsi="宋体" w:eastAsia="宋体" w:cs="宋体"/>
          <w:color w:val="000000"/>
          <w:sz w:val="21"/>
          <w:szCs w:val="21"/>
          <w:highlight w:val="none"/>
        </w:rPr>
        <w:t xml:space="preserve">配合原则：本项目中标人（维修方）应与排水泵站设施管养及运行标的中标人（运行方）建立常态化协作机制，本着“分工明确、信息互通、协同高效”的原则，共同保障泵站设备安全稳定运行。</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2.5.2</w:t>
      </w:r>
      <w:r>
        <w:rPr>
          <w:rFonts w:hint="eastAsia" w:ascii="宋体" w:hAnsi="宋体" w:eastAsia="宋体" w:cs="宋体"/>
          <w:color w:val="000000"/>
          <w:sz w:val="21"/>
          <w:szCs w:val="21"/>
          <w:highlight w:val="none"/>
        </w:rPr>
        <w:t xml:space="preserve">信息共享与故障交接：</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运行方在日常巡检中发现设备异常，通知维修方后，维修方须及时响应，并将检查结论及处理结果同步反馈给运行方和招标人。</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维修方在维修过程中发现非本次报修范围但影响设备运行的隐患时，应书面告知招标人和运行方，由招标人决定后续处理方式。</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2.5.3</w:t>
      </w:r>
      <w:r>
        <w:rPr>
          <w:rFonts w:hint="eastAsia" w:ascii="宋体" w:hAnsi="宋体" w:eastAsia="宋体" w:cs="宋体"/>
          <w:color w:val="000000"/>
          <w:sz w:val="21"/>
          <w:szCs w:val="21"/>
          <w:highlight w:val="none"/>
        </w:rPr>
        <w:t xml:space="preserve">现场作业协调：</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维修方进场作业前，应主动与运行方沟通，了解泵站当前运行状态、水位情况等，避免维修作业影响泵站正常排水功能。防汛预警或暴雨期间，维修方应服从招标人统一调度，与运行方协同开展设备抢修和应急处置。</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2.6北市河真空排污系统的维保服务内容要求</w:t>
      </w:r>
      <w:r>
        <w:rPr>
          <w:rFonts w:hint="eastAsia" w:ascii="宋体" w:hAnsi="宋体" w:eastAsia="宋体" w:cs="宋体"/>
          <w:b/>
          <w:bCs/>
          <w:color w:val="000000"/>
          <w:sz w:val="21"/>
          <w:szCs w:val="21"/>
          <w:highlight w:val="none"/>
          <w:lang w:val="en-US" w:eastAsia="zh-CN"/>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2.6.1</w:t>
      </w:r>
      <w:r>
        <w:rPr>
          <w:rFonts w:hint="eastAsia" w:ascii="宋体" w:hAnsi="宋体" w:eastAsia="宋体" w:cs="宋体"/>
          <w:color w:val="000000"/>
          <w:sz w:val="21"/>
          <w:szCs w:val="21"/>
          <w:highlight w:val="none"/>
        </w:rPr>
        <w:t xml:space="preserve">服务范围：北市河真空污水泵站、四个真空污水提升站以及所有相关管路。</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2.6.2</w:t>
      </w:r>
      <w:r>
        <w:rPr>
          <w:rFonts w:hint="eastAsia" w:ascii="宋体" w:hAnsi="宋体" w:eastAsia="宋体" w:cs="宋体"/>
          <w:color w:val="000000"/>
          <w:sz w:val="21"/>
          <w:szCs w:val="21"/>
          <w:highlight w:val="none"/>
        </w:rPr>
        <w:t xml:space="preserve">服务方式：包工包料（不含大件：真空泵、排污泵、积污罐、汽水分离器、PLC、触摸屏等配件的更换）。</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2.6.3</w:t>
      </w: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每一合同年度内</w:t>
      </w:r>
      <w:r>
        <w:rPr>
          <w:rFonts w:hint="eastAsia" w:ascii="宋体" w:hAnsi="宋体" w:eastAsia="宋体" w:cs="宋体"/>
          <w:color w:val="000000"/>
          <w:sz w:val="21"/>
          <w:szCs w:val="21"/>
          <w:highlight w:val="none"/>
          <w:lang w:val="en-US" w:eastAsia="zh-CN"/>
        </w:rPr>
        <w:t xml:space="preserve">中标人按月为招标人提供十二次例行日常巡检保养工作（合同续签的，续签年度另行提供十二次）</w:t>
      </w:r>
      <w:r>
        <w:rPr>
          <w:rFonts w:hint="eastAsia" w:ascii="宋体" w:hAnsi="宋体" w:eastAsia="宋体" w:cs="宋体"/>
          <w:color w:val="000000"/>
          <w:sz w:val="21"/>
          <w:szCs w:val="21"/>
          <w:highlight w:val="none"/>
        </w:rPr>
        <w:t xml:space="preserve">，以及除此之外的故障排除工作。每次完成维保后由</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签证确认。</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通知</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赶到故障现场，同时将故障情况提前告之</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应针对所描述的设备故障情况做好必要的检测工具、更换所需配件、充足的人力等准备工作。</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免费提供技术咨询及建议。</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如果</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开发了升级系统，需对</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的系统进行免费的升级（不包括涉及的零部件费用）。</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涉及河道提升器维保的，需要使用船只由</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自行解决。</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按</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要求，合同到期前，针对年度维保工作及小改小革形成文字报告。</w:t>
      </w:r>
      <w:r>
        <w:rPr>
          <w:rFonts w:hint="eastAsia" w:ascii="宋体" w:hAnsi="宋体" w:eastAsia="宋体" w:cs="宋体"/>
          <w:b/>
          <w:bCs/>
          <w:color w:val="000000"/>
          <w:sz w:val="21"/>
          <w:szCs w:val="21"/>
          <w:highlight w:val="none"/>
          <w:lang w:val="en-US" w:eastAsia="zh-CN"/>
        </w:rPr>
      </w:r>
      <w:r/>
    </w:p>
    <w:p>
      <w:pPr>
        <w:pStyle w:val="962"/>
        <w:ind w:firstLine="422"/>
        <w:keepLines w:val="0"/>
        <w:keepNext w:val="0"/>
        <w:pageBreakBefore w:val="0"/>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三、人员及设备配置要求</w:t>
      </w:r>
      <w:r>
        <w:rPr>
          <w:rFonts w:hint="eastAsia" w:ascii="宋体" w:hAnsi="宋体" w:eastAsia="宋体" w:cs="宋体"/>
          <w:b/>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3.1</w:t>
      </w:r>
      <w:r>
        <w:rPr>
          <w:rFonts w:hint="eastAsia" w:ascii="宋体" w:hAnsi="宋体" w:eastAsia="宋体" w:cs="宋体"/>
          <w:b/>
          <w:color w:val="000000"/>
          <w:sz w:val="21"/>
          <w:szCs w:val="21"/>
          <w:highlight w:val="none"/>
        </w:rPr>
        <w:t xml:space="preserve">项目负责人资质和经验</w:t>
      </w:r>
      <w:r>
        <w:rPr>
          <w:rFonts w:hint="eastAsia" w:ascii="宋体" w:hAnsi="宋体" w:eastAsia="宋体" w:cs="宋体"/>
          <w:b/>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中标人应为本项目配备一名专职项目负责人，全面负责本项目的组织实施、人员调度、质量安全管理和与招标人的沟通协调。</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现场履职：项目负责人在合同期内须保持相对稳定，不得随意更换。确需更换的，中标人应提前15日向招标人提出书面申请，并提交拟更换人员的同等或更高资质证明，经招标人书面同意后方可更换。未经同意擅自更换的，按合同考核条款扣罚。</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到场要求：项目负责人应保证每月到现场巡查次数，及时掌握设备运行和维修进展。对于防汛应急、重大故障等，项目负责人应在接到通知后按约定时间到达现场指挥。</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3.2</w:t>
      </w:r>
      <w:r>
        <w:rPr>
          <w:rFonts w:hint="eastAsia" w:ascii="宋体" w:hAnsi="宋体" w:eastAsia="宋体" w:cs="宋体"/>
          <w:b/>
          <w:color w:val="000000"/>
          <w:sz w:val="21"/>
          <w:szCs w:val="21"/>
          <w:highlight w:val="none"/>
        </w:rPr>
        <w:t xml:space="preserve">关键工种持证要求</w:t>
      </w:r>
      <w:r>
        <w:rPr>
          <w:rFonts w:hint="eastAsia" w:ascii="宋体" w:hAnsi="宋体" w:eastAsia="宋体" w:cs="宋体"/>
          <w:b/>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本项目中，凡涉及电工作业、金属焊接切割作业、起重设备维修、登高架设作业、有限空间作业等特种作业或危险作业的，中标人必须派遣持有相应有效资格证书的人员持证上岗。</w:t>
      </w:r>
      <w:r>
        <w:rPr>
          <w:rFonts w:hint="eastAsia" w:ascii="宋体" w:hAnsi="宋体" w:eastAsia="宋体" w:cs="宋体"/>
          <w:color w:val="000000"/>
          <w:sz w:val="21"/>
          <w:szCs w:val="21"/>
          <w:highlight w:val="none"/>
          <w:lang w:val="en-US" w:eastAsia="zh-CN"/>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现场检查要求：招标人有权随时核验现场作业人员的持证情况。发现无证作业的，中标人须立即停止该人员作业并更换合格人员，同时按考核细则扣罚相应费用；造成后果的，由中标人承担全部责任。</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color w:val="000000"/>
          <w:sz w:val="21"/>
          <w:szCs w:val="21"/>
          <w:highlight w:val="none"/>
        </w:rPr>
        <w:outlineLvl w:val="2"/>
      </w:pPr>
      <w:r>
        <w:rPr>
          <w:rFonts w:hint="eastAsia" w:ascii="宋体" w:hAnsi="宋体" w:eastAsia="宋体" w:cs="宋体"/>
          <w:b/>
          <w:bCs/>
          <w:color w:val="000000"/>
          <w:sz w:val="21"/>
          <w:szCs w:val="21"/>
          <w:highlight w:val="none"/>
          <w:lang w:val="en-US" w:eastAsia="zh-CN"/>
        </w:rPr>
        <w:t xml:space="preserve">3.3</w:t>
      </w:r>
      <w:r>
        <w:rPr>
          <w:rFonts w:hint="eastAsia" w:ascii="宋体" w:hAnsi="宋体" w:eastAsia="宋体" w:cs="宋体"/>
          <w:b/>
          <w:color w:val="000000"/>
          <w:sz w:val="21"/>
          <w:szCs w:val="21"/>
          <w:highlight w:val="none"/>
        </w:rPr>
        <w:t xml:space="preserve">特种资质</w:t>
      </w:r>
      <w:r>
        <w:rPr>
          <w:rFonts w:hint="eastAsia" w:ascii="宋体" w:hAnsi="宋体" w:eastAsia="宋体" w:cs="宋体"/>
          <w:b/>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本项目涉及行车等起重设备的维修保养，中标人应按以下要求执行：</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3.3.1</w:t>
      </w:r>
      <w:r>
        <w:rPr>
          <w:rFonts w:hint="eastAsia" w:ascii="宋体" w:hAnsi="宋体" w:eastAsia="宋体" w:cs="宋体"/>
          <w:color w:val="000000"/>
          <w:sz w:val="21"/>
          <w:szCs w:val="21"/>
          <w:highlight w:val="none"/>
        </w:rPr>
        <w:t xml:space="preserve">中标人自身具备</w:t>
      </w:r>
      <w:r>
        <w:rPr>
          <w:rStyle w:val="997"/>
          <w:rFonts w:hint="eastAsia" w:ascii="宋体" w:hAnsi="宋体" w:eastAsia="宋体" w:cs="宋体"/>
          <w:b/>
          <w:bCs/>
          <w:i w:val="0"/>
          <w:iCs w:val="0"/>
          <w:caps w:val="0"/>
          <w:color w:val="000000"/>
          <w:spacing w:val="0"/>
          <w:sz w:val="21"/>
          <w:szCs w:val="21"/>
          <w:highlight w:val="none"/>
          <w:shd w:val="clear" w:color="auto" w:fill="ffffff"/>
        </w:rPr>
        <w:t xml:space="preserve">市场监管部门核发的</w:t>
      </w:r>
      <w:r>
        <w:rPr>
          <w:rStyle w:val="997"/>
          <w:rFonts w:hint="eastAsia" w:ascii="宋体" w:hAnsi="宋体" w:eastAsia="宋体" w:cs="宋体"/>
          <w:b/>
          <w:bCs/>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特种设备生产许可证（许可项目含起重机械安装或修理）</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，且许可参数范围覆盖本项目行车</w:t>
      </w:r>
      <w:r>
        <w:rPr>
          <w:rFonts w:hint="eastAsia" w:ascii="宋体" w:hAnsi="宋体" w:eastAsia="宋体" w:cs="宋体"/>
          <w:color w:val="000000"/>
          <w:sz w:val="21"/>
          <w:szCs w:val="21"/>
          <w:highlight w:val="none"/>
        </w:rPr>
        <w:t xml:space="preserve">的，可在</w:t>
      </w:r>
      <w:r>
        <w:rPr>
          <w:rFonts w:hint="eastAsia" w:ascii="宋体" w:hAnsi="宋体" w:eastAsia="宋体" w:cs="宋体"/>
          <w:color w:val="000000"/>
          <w:sz w:val="21"/>
          <w:szCs w:val="21"/>
          <w:highlight w:val="none"/>
          <w:lang w:val="en-US" w:eastAsia="zh-CN"/>
        </w:rPr>
        <w:t xml:space="preserve">许可</w:t>
      </w:r>
      <w:r>
        <w:rPr>
          <w:rFonts w:hint="eastAsia" w:ascii="宋体" w:hAnsi="宋体" w:eastAsia="宋体" w:cs="宋体"/>
          <w:color w:val="000000"/>
          <w:sz w:val="21"/>
          <w:szCs w:val="21"/>
          <w:highlight w:val="none"/>
        </w:rPr>
        <w:t xml:space="preserve">范围内自行承担行车维修工作，投标时须提供</w:t>
      </w:r>
      <w:r>
        <w:rPr>
          <w:rFonts w:hint="eastAsia" w:ascii="宋体" w:hAnsi="宋体" w:eastAsia="宋体" w:cs="宋体"/>
          <w:color w:val="000000"/>
          <w:sz w:val="21"/>
          <w:szCs w:val="21"/>
          <w:highlight w:val="none"/>
          <w:lang w:val="en-US" w:eastAsia="zh-CN"/>
        </w:rPr>
        <w:t xml:space="preserve">许可</w:t>
      </w:r>
      <w:r>
        <w:rPr>
          <w:rFonts w:hint="eastAsia" w:ascii="宋体" w:hAnsi="宋体" w:eastAsia="宋体" w:cs="宋体"/>
          <w:color w:val="000000"/>
          <w:sz w:val="21"/>
          <w:szCs w:val="21"/>
          <w:highlight w:val="none"/>
        </w:rPr>
        <w:t xml:space="preserve">证书复印件。</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3.3.2</w:t>
      </w:r>
      <w:r>
        <w:rPr>
          <w:rFonts w:hint="eastAsia" w:ascii="宋体" w:hAnsi="宋体" w:eastAsia="宋体" w:cs="宋体"/>
          <w:color w:val="000000"/>
          <w:sz w:val="21"/>
          <w:szCs w:val="21"/>
          <w:highlight w:val="none"/>
        </w:rPr>
        <w:t xml:space="preserve">中标人不具备上述</w:t>
      </w:r>
      <w:r>
        <w:rPr>
          <w:rFonts w:hint="eastAsia" w:ascii="宋体" w:hAnsi="宋体" w:eastAsia="宋体" w:cs="宋体"/>
          <w:color w:val="000000"/>
          <w:sz w:val="21"/>
          <w:szCs w:val="21"/>
          <w:highlight w:val="none"/>
          <w:lang w:val="en-US" w:eastAsia="zh-CN"/>
        </w:rPr>
        <w:t xml:space="preserve">许可</w:t>
      </w:r>
      <w:r>
        <w:rPr>
          <w:rFonts w:hint="eastAsia" w:ascii="宋体" w:hAnsi="宋体" w:eastAsia="宋体" w:cs="宋体"/>
          <w:color w:val="000000"/>
          <w:sz w:val="21"/>
          <w:szCs w:val="21"/>
          <w:highlight w:val="none"/>
        </w:rPr>
        <w:t xml:space="preserve">证书</w:t>
      </w:r>
      <w:r>
        <w:rPr>
          <w:rFonts w:hint="eastAsia" w:ascii="宋体" w:hAnsi="宋体" w:eastAsia="宋体" w:cs="宋体"/>
          <w:color w:val="000000"/>
          <w:sz w:val="21"/>
          <w:szCs w:val="21"/>
          <w:highlight w:val="none"/>
        </w:rPr>
        <w:t xml:space="preserve">的，应在合同签订后30日内确定具备相应</w:t>
      </w:r>
      <w:r>
        <w:rPr>
          <w:rFonts w:hint="eastAsia" w:ascii="宋体" w:hAnsi="宋体" w:eastAsia="宋体" w:cs="宋体"/>
          <w:color w:val="000000"/>
          <w:sz w:val="21"/>
          <w:szCs w:val="21"/>
          <w:highlight w:val="none"/>
          <w:lang w:val="en-US" w:eastAsia="zh-CN"/>
        </w:rPr>
        <w:t xml:space="preserve">许可</w:t>
      </w:r>
      <w:r>
        <w:rPr>
          <w:rFonts w:hint="eastAsia" w:ascii="宋体" w:hAnsi="宋体" w:eastAsia="宋体" w:cs="宋体"/>
          <w:color w:val="000000"/>
          <w:sz w:val="21"/>
          <w:szCs w:val="21"/>
          <w:highlight w:val="none"/>
        </w:rPr>
        <w:t xml:space="preserve">范围</w:t>
      </w:r>
      <w:r>
        <w:rPr>
          <w:rFonts w:hint="eastAsia" w:ascii="宋体" w:hAnsi="宋体" w:eastAsia="宋体" w:cs="宋体"/>
          <w:color w:val="000000"/>
          <w:sz w:val="21"/>
          <w:szCs w:val="21"/>
          <w:highlight w:val="none"/>
        </w:rPr>
        <w:t xml:space="preserve">的专业分包单位，并向招标人提供相关资料，经审核确认后方可实施：</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特种设备维修保养工作须严格按照相关安全技术规范执行，维修保养记录完整存档。中标人不得擅自将行车维修工作分包给无资质单位。</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3.4</w:t>
      </w:r>
      <w:r>
        <w:rPr>
          <w:rFonts w:hint="eastAsia" w:ascii="宋体" w:hAnsi="宋体" w:eastAsia="宋体" w:cs="宋体"/>
          <w:b/>
          <w:color w:val="000000"/>
          <w:sz w:val="21"/>
          <w:szCs w:val="21"/>
          <w:highlight w:val="none"/>
        </w:rPr>
        <w:t xml:space="preserve">人员稳定性</w:t>
      </w:r>
      <w:r>
        <w:rPr>
          <w:rFonts w:hint="eastAsia" w:ascii="宋体" w:hAnsi="宋体" w:eastAsia="宋体" w:cs="宋体"/>
          <w:b/>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中标人应保持维修队伍的相对稳定，为所有</w:t>
      </w:r>
      <w:r>
        <w:rPr>
          <w:rFonts w:hint="eastAsia" w:ascii="宋体" w:hAnsi="宋体" w:eastAsia="宋体" w:cs="宋体"/>
          <w:color w:val="000000"/>
          <w:sz w:val="21"/>
          <w:szCs w:val="21"/>
          <w:highlight w:val="none"/>
        </w:rPr>
        <w:t xml:space="preserve">现场作业人员购买不低于100万元保额的人身意外伤害保险或雇主责任险</w:t>
      </w:r>
      <w:r>
        <w:rPr>
          <w:rFonts w:hint="eastAsia" w:ascii="宋体" w:hAnsi="宋体" w:eastAsia="宋体" w:cs="宋体"/>
          <w:color w:val="000000"/>
          <w:sz w:val="21"/>
          <w:szCs w:val="21"/>
          <w:highlight w:val="none"/>
        </w:rPr>
        <w:t xml:space="preserve">，出现人员变动情况应及时填补空缺并书面汇报招标人，以保证招标人的维修进度。</w:t>
      </w:r>
      <w:r>
        <w:rPr>
          <w:rFonts w:hint="eastAsia" w:ascii="宋体" w:hAnsi="宋体" w:eastAsia="宋体" w:cs="宋体"/>
          <w:color w:val="000000"/>
          <w:sz w:val="21"/>
          <w:szCs w:val="21"/>
          <w:highlight w:val="none"/>
        </w:rPr>
        <w:t xml:space="preserve">在中标人维修进度或质量不能满足招标人要求时，招标人有权利要求中标人增加维修人员数量或进行人员调换。中标人</w:t>
      </w:r>
      <w:r>
        <w:rPr>
          <w:rFonts w:hint="eastAsia" w:ascii="宋体" w:hAnsi="宋体" w:eastAsia="宋体" w:cs="宋体"/>
          <w:color w:val="000000"/>
          <w:sz w:val="21"/>
          <w:szCs w:val="21"/>
          <w:highlight w:val="none"/>
        </w:rPr>
        <w:t xml:space="preserve">应对替代人员在参与作业前进行全面的作业培训，以保证维修质量和维修安全。</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lang w:val="en-US" w:eastAsia="zh-CN"/>
        </w:rPr>
        <w:t xml:space="preserve">3.5</w:t>
      </w:r>
      <w:r>
        <w:rPr>
          <w:rFonts w:hint="eastAsia" w:ascii="宋体" w:hAnsi="宋体" w:eastAsia="宋体" w:cs="宋体"/>
          <w:b/>
          <w:bCs/>
          <w:color w:val="000000"/>
          <w:sz w:val="21"/>
          <w:szCs w:val="21"/>
          <w:highlight w:val="none"/>
        </w:rPr>
        <w:t xml:space="preserve">维修检测设备配置</w:t>
      </w:r>
      <w:r>
        <w:rPr>
          <w:rFonts w:hint="eastAsia" w:ascii="宋体" w:hAnsi="宋体" w:eastAsia="宋体" w:cs="宋体"/>
          <w:b/>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中标人应自行配置满足本项目维修保养及应急抢修所需的车辆、检测仪器、维修工器具和劳动防护用品，确保设备状态良好、随用随到。</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四、安全文明施工管理要求</w:t>
      </w:r>
      <w:r>
        <w:rPr>
          <w:rFonts w:hint="eastAsia" w:ascii="宋体" w:hAnsi="宋体" w:eastAsia="宋体" w:cs="宋体"/>
          <w:b/>
          <w:bCs/>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4.1基本安全要求</w:t>
      </w:r>
      <w:r>
        <w:rPr>
          <w:rFonts w:hint="eastAsia" w:ascii="宋体" w:hAnsi="宋体" w:eastAsia="宋体" w:cs="宋体"/>
          <w:b/>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中标人在履行本合同过程中，必须严格遵守国家、省、市有关安全生产、环境保护的法律法规及招标人相关管理制度，落实安全生产主体责任，防止发生人身伤害事故和环境污染事件。</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中标人应在合同签订</w:t>
      </w:r>
      <w:r>
        <w:rPr>
          <w:rFonts w:hint="eastAsia" w:ascii="宋体" w:hAnsi="宋体" w:eastAsia="宋体" w:cs="宋体"/>
          <w:bCs/>
          <w:color w:val="000000"/>
          <w:sz w:val="21"/>
          <w:szCs w:val="21"/>
          <w:highlight w:val="none"/>
          <w:lang w:val="en-US" w:eastAsia="zh-CN"/>
        </w:rPr>
        <w:t xml:space="preserve">时同步</w:t>
      </w:r>
      <w:r>
        <w:rPr>
          <w:rFonts w:hint="eastAsia" w:ascii="宋体" w:hAnsi="宋体" w:eastAsia="宋体" w:cs="宋体"/>
          <w:bCs/>
          <w:color w:val="000000"/>
          <w:sz w:val="21"/>
          <w:szCs w:val="21"/>
          <w:highlight w:val="none"/>
        </w:rPr>
        <w:t xml:space="preserve">与招标人签订《安全生产协议》，明确双方安全责任、安全管理要求及中标人专职安全生产管理人员。未签订安全生产协议的，不得进场作业。</w:t>
      </w:r>
      <w:r>
        <w:rPr>
          <w:rFonts w:hint="eastAsia" w:ascii="宋体" w:hAnsi="宋体" w:eastAsia="宋体" w:cs="宋体"/>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中标人维修过程中涉及登高架设作业、起重吊装作业、有限空间作业等危险性较大的分部分项工程的，应严格执行相关安全生产法律法规</w:t>
      </w:r>
      <w:r>
        <w:rPr>
          <w:rFonts w:hint="eastAsia" w:ascii="宋体" w:hAnsi="宋体" w:eastAsia="宋体" w:cs="宋体"/>
          <w:bCs/>
          <w:color w:val="000000"/>
          <w:sz w:val="21"/>
          <w:szCs w:val="21"/>
          <w:highlight w:val="none"/>
          <w:lang w:val="en-US" w:eastAsia="zh-CN"/>
        </w:rPr>
        <w:t xml:space="preserve">和国家标准</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t xml:space="preserve">4.2有限空间作业等特殊作业安全要求</w:t>
      </w:r>
      <w:r>
        <w:rPr>
          <w:rFonts w:hint="eastAsia" w:ascii="宋体" w:hAnsi="宋体" w:eastAsia="宋体" w:cs="宋体"/>
          <w:b/>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维修过程中涉及的有限空间作业、临时用电、动火作业、登高架设、起重吊装、金属焊接切割等特殊作业，中标人必须提前办理内部审批手续，经中标人项目负责人和招标人现场管理人员确认后方可作业。</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t xml:space="preserve">4.3现场安全防护与警示标识</w:t>
      </w:r>
      <w:r>
        <w:rPr>
          <w:rFonts w:hint="eastAsia" w:ascii="宋体" w:hAnsi="宋体" w:eastAsia="宋体" w:cs="宋体"/>
          <w:b/>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维修作业区域必须设置明显的安全警示标识和围挡，夜间作业须增设警示灯，防止无关人员进入。涉及高处作业、吊装作业的，作业下方必须设置警戒区，悬挂警示标志，并安排专人监护。</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维修之前，应先进行有毒有害易燃易爆气体的检测，并做好防护；检测仪器须定期校验，合格后方可使用。</w:t>
      </w:r>
      <w:r>
        <w:rPr>
          <w:rFonts w:hint="eastAsia" w:ascii="宋体" w:hAnsi="宋体" w:eastAsia="宋体" w:cs="宋体"/>
          <w:color w:val="000000"/>
          <w:sz w:val="21"/>
          <w:szCs w:val="21"/>
          <w:highlight w:val="none"/>
        </w:rPr>
        <w:t xml:space="preserve">因现场防护不到位造成安全事故或环境污染事件的，按合同违约条款处理，并由中标人承担全部责任。</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施工和维修过程中现场必须严格遵守安全生产和环保规定，防止污染事故和人身安全事故的发生。</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t xml:space="preserve">4.4现场管理、垃圾、废油处置清运等</w:t>
      </w:r>
      <w:r>
        <w:rPr>
          <w:rFonts w:hint="eastAsia" w:ascii="宋体" w:hAnsi="宋体" w:eastAsia="宋体" w:cs="宋体"/>
          <w:b/>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旧件回收：维修更换下来的旧阀门、旧轴承等废弃</w:t>
      </w:r>
      <w:r>
        <w:rPr>
          <w:rFonts w:hint="eastAsia" w:ascii="宋体" w:hAnsi="宋体" w:eastAsia="宋体" w:cs="宋体"/>
          <w:color w:val="000000"/>
          <w:sz w:val="21"/>
          <w:szCs w:val="21"/>
          <w:highlight w:val="none"/>
        </w:rPr>
        <w:t xml:space="preserve">零配件及附属装置</w:t>
      </w:r>
      <w:r>
        <w:rPr>
          <w:rFonts w:hint="eastAsia" w:ascii="宋体" w:hAnsi="宋体" w:eastAsia="宋体" w:cs="宋体"/>
          <w:color w:val="000000"/>
          <w:sz w:val="21"/>
          <w:szCs w:val="21"/>
          <w:highlight w:val="none"/>
        </w:rPr>
        <w:t xml:space="preserve">，由中标人统一收集后，移交招标人统一处理，中标人不得擅自变卖或丢弃；</w:t>
      </w:r>
      <w:r>
        <w:rPr>
          <w:rFonts w:hint="eastAsia" w:ascii="宋体" w:hAnsi="宋体" w:eastAsia="宋体" w:cs="宋体"/>
          <w:color w:val="000000"/>
          <w:sz w:val="21"/>
          <w:szCs w:val="21"/>
          <w:highlight w:val="none"/>
        </w:rPr>
        <w:t xml:space="preserve">维修技术要求中明确折抵中标人的旧件除外（如电机线圈重绕时经破坏性处理后的旧漆包线）。</w:t>
      </w:r>
      <w:r>
        <w:rPr>
          <w:rFonts w:hint="eastAsia" w:ascii="宋体" w:hAnsi="宋体" w:eastAsia="宋体" w:cs="宋体"/>
          <w:color w:val="000000"/>
          <w:sz w:val="21"/>
          <w:szCs w:val="21"/>
          <w:highlight w:val="none"/>
          <w:lang w:eastAsia="zh-CN"/>
        </w:rPr>
        <w:t xml:space="preserve">（计价清单中的</w:t>
      </w:r>
      <w:r>
        <w:rPr>
          <w:rFonts w:hint="eastAsia" w:ascii="宋体" w:hAnsi="宋体" w:eastAsia="宋体" w:cs="宋体"/>
          <w:color w:val="000000"/>
          <w:sz w:val="21"/>
          <w:szCs w:val="21"/>
          <w:highlight w:val="none"/>
        </w:rPr>
        <w:t xml:space="preserve">电机线圈重绕</w:t>
      </w:r>
      <w:r>
        <w:rPr>
          <w:rFonts w:hint="eastAsia" w:ascii="宋体" w:hAnsi="宋体" w:eastAsia="宋体" w:cs="宋体"/>
          <w:color w:val="000000"/>
          <w:sz w:val="21"/>
          <w:szCs w:val="21"/>
          <w:highlight w:val="none"/>
          <w:lang w:val="en-US" w:eastAsia="zh-CN"/>
        </w:rPr>
        <w:t xml:space="preserve">维修价格</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已包含将</w:t>
      </w:r>
      <w:r>
        <w:rPr>
          <w:rFonts w:hint="eastAsia" w:ascii="宋体" w:hAnsi="宋体" w:eastAsia="宋体" w:cs="宋体"/>
          <w:color w:val="000000"/>
          <w:sz w:val="21"/>
          <w:szCs w:val="21"/>
          <w:highlight w:val="none"/>
        </w:rPr>
        <w:t xml:space="preserve">旧</w:t>
      </w:r>
      <w:r>
        <w:rPr>
          <w:rFonts w:hint="eastAsia" w:ascii="宋体" w:hAnsi="宋体" w:eastAsia="宋体" w:cs="宋体"/>
          <w:color w:val="000000"/>
          <w:sz w:val="21"/>
          <w:szCs w:val="21"/>
          <w:highlight w:val="none"/>
          <w:lang w:val="en-US" w:eastAsia="zh-CN"/>
        </w:rPr>
        <w:t xml:space="preserve">线圈拆除折抵给中标人，不再回收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0"/>
          <w:szCs w:val="20"/>
          <w:highlight w:val="none"/>
          <w:lang w:eastAsia="zh-CN"/>
        </w:rPr>
        <w:outlineLvl w:val="9"/>
      </w:pPr>
      <w:r>
        <w:rPr>
          <w:rFonts w:hint="eastAsia" w:ascii="宋体" w:hAnsi="宋体" w:eastAsia="宋体" w:cs="宋体"/>
          <w:color w:val="000000"/>
          <w:sz w:val="21"/>
          <w:szCs w:val="21"/>
          <w:highlight w:val="none"/>
        </w:rPr>
        <w:t xml:space="preserve">废油及废液：维修过程中产生的废机油、废润滑油、废液压油、含油棉纱等危险废物，</w:t>
      </w:r>
      <w:r>
        <w:rPr>
          <w:rFonts w:hint="eastAsia" w:ascii="宋体" w:hAnsi="宋体" w:eastAsia="宋体" w:cs="宋体"/>
          <w:color w:val="000000"/>
          <w:sz w:val="22"/>
          <w:szCs w:val="22"/>
          <w:highlight w:val="none"/>
        </w:rPr>
        <w:t xml:space="preserve">必须</w:t>
      </w:r>
      <w:r>
        <w:rPr>
          <w:rFonts w:hint="eastAsia" w:ascii="宋体" w:hAnsi="宋体" w:eastAsia="宋体" w:cs="宋体"/>
          <w:color w:val="000000"/>
          <w:sz w:val="22"/>
          <w:szCs w:val="22"/>
          <w:highlight w:val="none"/>
          <w:lang w:val="en-US" w:eastAsia="zh-CN"/>
        </w:rPr>
        <w:t xml:space="preserve">由中标人</w:t>
      </w:r>
      <w:r>
        <w:rPr>
          <w:rFonts w:hint="eastAsia" w:ascii="宋体" w:hAnsi="宋体" w:eastAsia="宋体" w:cs="宋体"/>
          <w:color w:val="000000"/>
          <w:sz w:val="22"/>
          <w:szCs w:val="22"/>
          <w:highlight w:val="none"/>
        </w:rPr>
        <w:t xml:space="preserve">按环保要求</w:t>
      </w:r>
      <w:r>
        <w:rPr>
          <w:rFonts w:hint="eastAsia" w:ascii="宋体" w:hAnsi="宋体" w:eastAsia="宋体" w:cs="宋体"/>
          <w:color w:val="000000"/>
          <w:sz w:val="22"/>
          <w:szCs w:val="22"/>
          <w:highlight w:val="none"/>
          <w:lang w:val="en-US" w:eastAsia="zh-CN"/>
        </w:rPr>
        <w:t xml:space="preserve">规范</w:t>
      </w:r>
      <w:r>
        <w:rPr>
          <w:rFonts w:hint="eastAsia" w:ascii="宋体" w:hAnsi="宋体" w:eastAsia="宋体" w:cs="宋体"/>
          <w:color w:val="000000"/>
          <w:sz w:val="22"/>
          <w:szCs w:val="22"/>
          <w:highlight w:val="none"/>
        </w:rPr>
        <w:t xml:space="preserve">处置</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lang w:eastAsia="zh-CN"/>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生活垃圾及一般废弃物：由中标人负责清运至合法合规的处置场所，不得随意倾倒在泵站内外。</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五、</w:t>
      </w:r>
      <w:r>
        <w:rPr>
          <w:rFonts w:hint="eastAsia" w:ascii="宋体" w:hAnsi="宋体" w:eastAsia="宋体" w:cs="宋体"/>
          <w:b/>
          <w:color w:val="000000"/>
          <w:sz w:val="21"/>
          <w:szCs w:val="21"/>
          <w:highlight w:val="none"/>
        </w:rPr>
        <w:t xml:space="preserve">考核管理</w:t>
      </w:r>
      <w:r>
        <w:rPr>
          <w:rFonts w:hint="eastAsia" w:ascii="宋体" w:hAnsi="宋体" w:eastAsia="宋体" w:cs="宋体"/>
          <w:b/>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招标人每月对中标人的履约情况进行月度考核综合评分（见附件</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《月度服务质量评价表（部门）》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，满分100分，考核内容涵盖响应及时性、保养维修质量、安全文明施工、资料报送、人员设备履约等。</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月度考核得分低于90分时，</w:t>
      </w:r>
      <w:r>
        <w:rPr>
          <w:rFonts w:hint="eastAsia" w:ascii="宋体" w:hAnsi="宋体" w:eastAsia="宋体" w:cs="宋体"/>
          <w:color w:val="000000"/>
          <w:sz w:val="21"/>
          <w:szCs w:val="21"/>
          <w:highlight w:val="none"/>
        </w:rPr>
        <w:t xml:space="preserve">每低一分扣除当月</w:t>
      </w:r>
      <w:r>
        <w:rPr>
          <w:rFonts w:hint="eastAsia" w:ascii="宋体" w:hAnsi="宋体" w:eastAsia="宋体" w:cs="宋体"/>
          <w:color w:val="000000"/>
          <w:sz w:val="21"/>
          <w:szCs w:val="21"/>
          <w:highlight w:val="none"/>
          <w:lang w:val="en-US" w:eastAsia="zh-CN"/>
        </w:rPr>
        <w:t xml:space="preserve">服务费</w:t>
      </w:r>
      <w:r>
        <w:rPr>
          <w:rFonts w:hint="eastAsia" w:ascii="宋体" w:hAnsi="宋体" w:eastAsia="宋体" w:cs="宋体"/>
          <w:color w:val="000000"/>
          <w:sz w:val="21"/>
          <w:szCs w:val="21"/>
          <w:highlight w:val="none"/>
        </w:rPr>
        <w:t xml:space="preserve">的1%。</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月度考核得分低于80分为不合格。连续2个月考核不合格或累计3个月考核不合格的，招标人有权终止合同。</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六、</w:t>
      </w:r>
      <w:r>
        <w:rPr>
          <w:rFonts w:hint="eastAsia" w:ascii="宋体" w:hAnsi="宋体" w:eastAsia="宋体" w:cs="宋体"/>
          <w:b/>
          <w:bCs/>
          <w:color w:val="000000"/>
          <w:sz w:val="21"/>
          <w:szCs w:val="21"/>
          <w:highlight w:val="none"/>
        </w:rPr>
        <w:t xml:space="preserve">违约管理</w:t>
      </w:r>
      <w:r>
        <w:rPr>
          <w:rFonts w:hint="eastAsia" w:ascii="宋体" w:hAnsi="宋体" w:eastAsia="宋体" w:cs="宋体"/>
          <w:b/>
          <w:bCs/>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6.1</w:t>
      </w:r>
      <w:r>
        <w:rPr>
          <w:rFonts w:hint="eastAsia" w:ascii="宋体" w:hAnsi="宋体" w:eastAsia="宋体" w:cs="宋体"/>
          <w:color w:val="000000"/>
          <w:sz w:val="21"/>
          <w:szCs w:val="21"/>
          <w:highlight w:val="none"/>
        </w:rPr>
        <w:t xml:space="preserve">中标人若遇到特殊情况不能在合同规定的时间内完成维修任务，应及时将拖延的原因、可能拖延的时间通知招标人，经招标人确认后可酌情延长维修时间。没有及时通知的，</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按照</w:t>
      </w:r>
      <w:r>
        <w:rPr>
          <w:rFonts w:hint="eastAsia" w:ascii="宋体" w:hAnsi="宋体" w:eastAsia="宋体" w:cs="宋体"/>
          <w:b/>
          <w:color w:val="000000"/>
          <w:sz w:val="21"/>
          <w:szCs w:val="21"/>
          <w:highlight w:val="none"/>
        </w:rPr>
        <w:t xml:space="preserve">《月度服务质量评价表》对应项目考核扣分。</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6.2</w:t>
      </w:r>
      <w:r>
        <w:rPr>
          <w:rFonts w:hint="eastAsia" w:ascii="宋体" w:hAnsi="宋体" w:eastAsia="宋体" w:cs="宋体"/>
          <w:color w:val="000000"/>
          <w:sz w:val="21"/>
          <w:szCs w:val="21"/>
          <w:highlight w:val="none"/>
        </w:rPr>
        <w:t xml:space="preserve">若中标人未能在合同签订后的一个月内提供</w:t>
      </w:r>
      <w:r>
        <w:rPr>
          <w:rFonts w:hint="eastAsia" w:ascii="宋体" w:hAnsi="宋体" w:eastAsia="宋体" w:cs="宋体"/>
          <w:color w:val="000000"/>
          <w:sz w:val="21"/>
          <w:szCs w:val="21"/>
          <w:highlight w:val="none"/>
        </w:rPr>
        <w:t xml:space="preserve">现场维修人员雇主责任险</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人身意外伤害保险</w:t>
      </w:r>
      <w:r>
        <w:rPr>
          <w:rFonts w:hint="eastAsia" w:ascii="宋体" w:hAnsi="宋体" w:eastAsia="宋体" w:cs="宋体"/>
          <w:color w:val="000000"/>
          <w:sz w:val="21"/>
          <w:szCs w:val="21"/>
          <w:highlight w:val="none"/>
        </w:rPr>
        <w:t xml:space="preserve">的，招标人有权终止合同。</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6.3</w:t>
      </w:r>
      <w:r>
        <w:rPr>
          <w:rFonts w:hint="eastAsia" w:ascii="宋体" w:hAnsi="宋体" w:eastAsia="宋体" w:cs="宋体"/>
          <w:color w:val="000000"/>
          <w:sz w:val="21"/>
          <w:szCs w:val="21"/>
          <w:highlight w:val="none"/>
        </w:rPr>
        <w:t xml:space="preserve">若中标人未能在合同签订后</w:t>
      </w:r>
      <w:r>
        <w:rPr>
          <w:rFonts w:hint="eastAsia" w:ascii="宋体" w:hAnsi="宋体" w:eastAsia="宋体" w:cs="宋体"/>
          <w:color w:val="000000"/>
          <w:sz w:val="21"/>
          <w:szCs w:val="21"/>
          <w:highlight w:val="none"/>
          <w:lang w:val="en-US" w:eastAsia="zh-CN"/>
        </w:rPr>
        <w:t xml:space="preserve">30日</w:t>
      </w:r>
      <w:r>
        <w:rPr>
          <w:rFonts w:hint="eastAsia" w:ascii="宋体" w:hAnsi="宋体" w:eastAsia="宋体" w:cs="宋体"/>
          <w:color w:val="000000"/>
          <w:sz w:val="21"/>
          <w:szCs w:val="21"/>
          <w:highlight w:val="none"/>
        </w:rPr>
        <w:t xml:space="preserve">内确定特种设备维修专业分包的，招标人有权终止合同。</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6.4</w:t>
      </w:r>
      <w:r>
        <w:rPr>
          <w:rFonts w:hint="eastAsia" w:ascii="宋体" w:hAnsi="宋体" w:eastAsia="宋体" w:cs="宋体"/>
          <w:color w:val="000000"/>
          <w:sz w:val="21"/>
          <w:szCs w:val="21"/>
          <w:highlight w:val="none"/>
        </w:rPr>
        <w:t xml:space="preserve">若因中标人原因未能按时完成维修工作，或因维修质量问题影响招标人正常运行并造成运行事故的，招标人除扣除该项维修工作全部维修费用外，</w:t>
      </w:r>
      <w:r>
        <w:rPr>
          <w:rFonts w:hint="eastAsia" w:ascii="宋体" w:hAnsi="宋体" w:eastAsia="宋体" w:cs="宋体"/>
          <w:color w:val="000000"/>
          <w:sz w:val="21"/>
          <w:szCs w:val="21"/>
          <w:highlight w:val="none"/>
        </w:rPr>
        <w:t xml:space="preserve">并要求中标人支付违约金人民币30000元（在支付违约金后，不再执行月度考核综合表中的扣分条款）。</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6.5</w:t>
      </w:r>
      <w:r>
        <w:rPr>
          <w:rFonts w:hint="eastAsia" w:ascii="宋体" w:hAnsi="宋体" w:eastAsia="宋体" w:cs="宋体"/>
          <w:color w:val="000000"/>
          <w:sz w:val="21"/>
          <w:szCs w:val="21"/>
          <w:highlight w:val="none"/>
        </w:rPr>
        <w:t xml:space="preserve">中标人违约造成招标人损失的，中标人除承担相应违约金外，还应赔偿招标人因此受到的直接和间接经济损失，</w:t>
      </w:r>
      <w:r>
        <w:rPr>
          <w:rFonts w:hint="eastAsia" w:ascii="宋体" w:hAnsi="宋体" w:eastAsia="宋体" w:cs="宋体"/>
          <w:color w:val="000000"/>
          <w:sz w:val="21"/>
          <w:szCs w:val="21"/>
          <w:highlight w:val="none"/>
        </w:rPr>
        <w:t xml:space="preserve">包括但不限于招标人的实际经济损失、</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承担的调查取证、交通等费用。</w:t>
      </w:r>
      <w:r>
        <w:rPr>
          <w:rFonts w:hint="eastAsia" w:ascii="宋体" w:hAnsi="宋体" w:eastAsia="宋体" w:cs="宋体"/>
          <w:color w:val="000000"/>
          <w:sz w:val="21"/>
          <w:szCs w:val="21"/>
          <w:highlight w:val="none"/>
        </w:rPr>
      </w:r>
      <w:r/>
    </w:p>
    <w:p>
      <w:pPr>
        <w:pStyle w:val="962"/>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6.6</w:t>
      </w:r>
      <w:r>
        <w:rPr>
          <w:rFonts w:hint="eastAsia" w:ascii="宋体" w:hAnsi="宋体" w:eastAsia="宋体" w:cs="宋体"/>
          <w:color w:val="000000"/>
          <w:sz w:val="21"/>
          <w:szCs w:val="21"/>
          <w:highlight w:val="none"/>
        </w:rPr>
        <w:t xml:space="preserve">本合同规定的违约金、损失赔偿金、</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应承担的费用招标人</w:t>
      </w:r>
      <w:r>
        <w:rPr>
          <w:rFonts w:hint="eastAsia" w:ascii="宋体" w:hAnsi="宋体" w:eastAsia="宋体" w:cs="宋体"/>
          <w:color w:val="000000"/>
          <w:sz w:val="21"/>
          <w:szCs w:val="21"/>
          <w:highlight w:val="none"/>
          <w:lang w:val="en-US" w:eastAsia="zh-CN"/>
        </w:rPr>
        <w:t xml:space="preserve">均</w:t>
      </w:r>
      <w:r>
        <w:rPr>
          <w:rFonts w:hint="eastAsia" w:ascii="宋体" w:hAnsi="宋体" w:eastAsia="宋体" w:cs="宋体"/>
          <w:color w:val="000000"/>
          <w:sz w:val="21"/>
          <w:szCs w:val="21"/>
          <w:highlight w:val="none"/>
        </w:rPr>
        <w:t xml:space="preserve">有权在履约保证金扣除或服务费中扣除，履约保证金金额及服务费</w:t>
      </w:r>
      <w:r>
        <w:rPr>
          <w:rFonts w:hint="eastAsia" w:ascii="宋体" w:hAnsi="宋体" w:eastAsia="宋体" w:cs="宋体"/>
          <w:color w:val="000000"/>
          <w:sz w:val="21"/>
          <w:szCs w:val="21"/>
          <w:highlight w:val="none"/>
        </w:rPr>
        <w:t xml:space="preserve">不足以扣除的，招标人有权向中标人做进一步的索赔。</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r>
      <w:r/>
    </w:p>
    <w:p>
      <w:pPr>
        <w:pStyle w:val="96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七、维修技术要求</w:t>
      </w:r>
      <w:r>
        <w:rPr>
          <w:rFonts w:hint="eastAsia" w:ascii="宋体" w:hAnsi="宋体" w:eastAsia="宋体" w:cs="宋体"/>
          <w:b/>
          <w:bCs/>
          <w:color w:val="000000"/>
          <w:sz w:val="21"/>
          <w:szCs w:val="21"/>
          <w:highlight w:val="none"/>
          <w:lang w:val="en-US" w:eastAsia="zh-CN" w:bidi="ar-SA"/>
        </w:rPr>
      </w:r>
      <w:r/>
    </w:p>
    <w:p>
      <w:pPr>
        <w:pStyle w:val="96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7.1水泵维修技术要求</w:t>
      </w:r>
      <w:r>
        <w:rPr>
          <w:rFonts w:hint="eastAsia" w:ascii="宋体" w:hAnsi="宋体" w:eastAsia="宋体" w:cs="宋体"/>
          <w:b/>
          <w:bCs/>
          <w:color w:val="000000"/>
          <w:sz w:val="21"/>
          <w:szCs w:val="21"/>
          <w:highlight w:val="none"/>
          <w:lang w:val="en-US" w:eastAsia="zh-CN" w:bidi="ar-SA"/>
        </w:rPr>
      </w:r>
      <w:r/>
    </w:p>
    <w:p>
      <w:pPr>
        <w:pStyle w:val="962"/>
        <w:numPr>
          <w:ilvl w:val="0"/>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叶轮：叶轮表面不应有裂纹、损伤及严重腐蚀，叶轮与轴联接不能有松动；校静平衡，最大外径处不平衡不能超过10g。对叶轮检查后由招标人确认后决定是否做动平衡或更换。</w:t>
      </w:r>
      <w:r>
        <w:rPr>
          <w:rFonts w:hint="eastAsia" w:ascii="宋体" w:hAnsi="宋体" w:eastAsia="宋体" w:cs="宋体"/>
          <w:color w:val="000000"/>
          <w:sz w:val="21"/>
          <w:szCs w:val="21"/>
          <w:highlight w:val="none"/>
        </w:rPr>
      </w:r>
      <w:r/>
    </w:p>
    <w:p>
      <w:pPr>
        <w:pStyle w:val="96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若进行叶轮动平衡，需提供动平衡前后叶轮去重打孔或切割的特写照片、动平衡重量达标的显示测量值照片、动平衡检测报告，签证资料三者必须齐全方可结算支付。</w:t>
      </w:r>
      <w:r>
        <w:rPr>
          <w:rFonts w:hint="eastAsia" w:ascii="宋体" w:hAnsi="宋体" w:eastAsia="宋体" w:cs="宋体"/>
          <w:b/>
          <w:bCs/>
          <w:color w:val="000000"/>
          <w:sz w:val="21"/>
          <w:szCs w:val="21"/>
          <w:highlight w:val="none"/>
          <w:lang w:val="en-US" w:eastAsia="zh-CN" w:bidi="ar-SA"/>
        </w:rPr>
      </w:r>
      <w:r/>
    </w:p>
    <w:p>
      <w:pPr>
        <w:pStyle w:val="96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2.凡更换泵轴的，旧泵轴需由招标人经办人员现场确认进行破坏性切割，并提供带日期水印的照片作为签证资料。</w:t>
      </w:r>
      <w:r>
        <w:rPr>
          <w:rFonts w:hint="eastAsia" w:ascii="宋体" w:hAnsi="宋体" w:eastAsia="宋体" w:cs="宋体"/>
          <w:b/>
          <w:bCs/>
          <w:color w:val="000000"/>
          <w:sz w:val="21"/>
          <w:szCs w:val="21"/>
          <w:highlight w:val="none"/>
          <w:lang w:val="en-US" w:eastAsia="zh-CN" w:bidi="ar-SA"/>
        </w:rPr>
      </w:r>
      <w:r/>
    </w:p>
    <w:p>
      <w:pPr>
        <w:pStyle w:val="962"/>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3.水泵维修更换配件品牌及型号要求</w:t>
      </w:r>
      <w:r>
        <w:rPr>
          <w:rFonts w:hint="eastAsia" w:ascii="宋体" w:hAnsi="宋体" w:eastAsia="宋体" w:cs="宋体"/>
          <w:b/>
          <w:bCs/>
          <w:color w:val="000000"/>
          <w:sz w:val="21"/>
          <w:szCs w:val="21"/>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5953"/>
      </w:tblGrid>
      <w:tr>
        <w:trPr>
          <w:trHeight w:val="465"/>
          <w:tblHeader/>
        </w:trPr>
        <w:tc>
          <w:tcPr>
            <w:tcW w:w="2536" w:type="dxa"/>
            <w:vAlign w:val="center"/>
            <w:textDirection w:val="lrTb"/>
            <w:noWrap w:val="false"/>
          </w:tcPr>
          <w:p>
            <w:pPr>
              <w:pStyle w:val="9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配件名称</w:t>
            </w:r>
            <w:r>
              <w:rPr>
                <w:rFonts w:hint="eastAsia" w:ascii="宋体" w:hAnsi="宋体" w:eastAsia="宋体" w:cs="宋体"/>
                <w:b/>
                <w:bCs/>
                <w:color w:val="000000"/>
                <w:sz w:val="21"/>
                <w:szCs w:val="21"/>
                <w:highlight w:val="none"/>
              </w:rPr>
            </w:r>
            <w:r/>
          </w:p>
        </w:tc>
        <w:tc>
          <w:tcPr>
            <w:tcW w:w="5953" w:type="dxa"/>
            <w:vAlign w:val="center"/>
            <w:textDirection w:val="lrTb"/>
            <w:noWrap w:val="false"/>
          </w:tcPr>
          <w:p>
            <w:pPr>
              <w:pStyle w:val="9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参考品质</w:t>
            </w:r>
            <w:r>
              <w:rPr>
                <w:rFonts w:hint="eastAsia" w:ascii="宋体" w:hAnsi="宋体" w:eastAsia="宋体" w:cs="宋体"/>
                <w:b/>
                <w:bCs/>
                <w:color w:val="000000"/>
                <w:sz w:val="21"/>
                <w:szCs w:val="21"/>
                <w:highlight w:val="none"/>
              </w:rPr>
            </w:r>
            <w:r/>
          </w:p>
        </w:tc>
      </w:tr>
      <w:tr>
        <w:trPr>
          <w:trHeight w:val="465"/>
        </w:trPr>
        <w:tc>
          <w:tcPr>
            <w:tcW w:w="2536" w:type="dxa"/>
            <w:vAlign w:val="center"/>
            <w:textDirection w:val="lrTb"/>
            <w:noWrap w:val="false"/>
          </w:tcPr>
          <w:p>
            <w:pPr>
              <w:pStyle w:val="962"/>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电机线圈</w:t>
            </w:r>
            <w:r>
              <w:rPr>
                <w:rFonts w:hint="eastAsia" w:ascii="宋体" w:hAnsi="宋体" w:eastAsia="宋体" w:cs="宋体"/>
                <w:color w:val="000000"/>
                <w:sz w:val="21"/>
                <w:szCs w:val="21"/>
                <w:highlight w:val="none"/>
                <w:lang w:val="en-US" w:eastAsia="zh-CN"/>
              </w:rPr>
            </w:r>
            <w:r/>
          </w:p>
        </w:tc>
        <w:tc>
          <w:tcPr>
            <w:tcW w:w="5953" w:type="dxa"/>
            <w:vAlign w:val="center"/>
            <w:textDirection w:val="lrTb"/>
            <w:noWrap w:val="false"/>
          </w:tcPr>
          <w:p>
            <w:pPr>
              <w:pStyle w:val="962"/>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QZY_2/180型的聚酰胺亚胺漆、厚漆膜、180度温升铜质漆包线</w:t>
            </w:r>
            <w:r>
              <w:rPr>
                <w:rFonts w:hint="eastAsia" w:ascii="宋体" w:hAnsi="宋体" w:eastAsia="宋体" w:cs="宋体"/>
                <w:color w:val="000000"/>
                <w:sz w:val="21"/>
                <w:szCs w:val="21"/>
                <w:highlight w:val="none"/>
                <w:lang w:val="en-US" w:eastAsia="zh-CN"/>
              </w:rPr>
            </w:r>
            <w:r/>
          </w:p>
        </w:tc>
      </w:tr>
      <w:tr>
        <w:trPr>
          <w:trHeight w:val="465"/>
        </w:trPr>
        <w:tc>
          <w:tcPr>
            <w:tcW w:w="2536"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机械密封</w:t>
            </w:r>
            <w:r>
              <w:rPr>
                <w:rFonts w:hint="eastAsia" w:ascii="宋体" w:hAnsi="宋体" w:eastAsia="宋体" w:cs="宋体"/>
                <w:color w:val="000000"/>
                <w:sz w:val="21"/>
                <w:szCs w:val="21"/>
                <w:highlight w:val="none"/>
              </w:rPr>
            </w:r>
            <w:r/>
          </w:p>
        </w:tc>
        <w:tc>
          <w:tcPr>
            <w:tcW w:w="5953" w:type="dxa"/>
            <w:vAlign w:val="center"/>
            <w:textDirection w:val="lrTb"/>
            <w:noWrap w:val="false"/>
          </w:tcPr>
          <w:p>
            <w:pPr>
              <w:pStyle w:val="962"/>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碳化硅、碳化钨、石墨等与维修设备原材质一致</w:t>
            </w:r>
            <w:r>
              <w:rPr>
                <w:rFonts w:hint="eastAsia" w:ascii="宋体" w:hAnsi="宋体" w:eastAsia="宋体" w:cs="宋体"/>
                <w:color w:val="000000"/>
                <w:sz w:val="21"/>
                <w:szCs w:val="21"/>
                <w:highlight w:val="none"/>
                <w:lang w:val="en-US" w:eastAsia="zh-CN"/>
              </w:rPr>
            </w:r>
            <w:r/>
          </w:p>
        </w:tc>
      </w:tr>
      <w:tr>
        <w:trPr>
          <w:trHeight w:val="465"/>
        </w:trPr>
        <w:tc>
          <w:tcPr>
            <w:tcW w:w="2536"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轴承</w:t>
            </w:r>
            <w:r>
              <w:rPr>
                <w:rFonts w:hint="eastAsia" w:ascii="宋体" w:hAnsi="宋体" w:eastAsia="宋体" w:cs="宋体"/>
                <w:color w:val="000000"/>
                <w:sz w:val="21"/>
                <w:szCs w:val="21"/>
                <w:highlight w:val="none"/>
              </w:rPr>
            </w:r>
            <w:r/>
          </w:p>
        </w:tc>
        <w:tc>
          <w:tcPr>
            <w:tcW w:w="5953" w:type="dxa"/>
            <w:vAlign w:val="center"/>
            <w:textDirection w:val="lrTb"/>
            <w:noWrap w:val="false"/>
          </w:tcPr>
          <w:p>
            <w:pPr>
              <w:pStyle w:val="962"/>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22KW及以下：哈/瓦/洛或同等</w:t>
            </w:r>
            <w:r>
              <w:rPr>
                <w:rFonts w:hint="eastAsia" w:ascii="宋体" w:hAnsi="宋体" w:eastAsia="宋体" w:cs="宋体"/>
                <w:color w:val="000000"/>
                <w:sz w:val="21"/>
                <w:szCs w:val="21"/>
                <w:highlight w:val="none"/>
                <w:lang w:val="en-US" w:eastAsia="zh-CN"/>
              </w:rPr>
              <w:t xml:space="preserve">品质</w:t>
            </w:r>
            <w:r>
              <w:rPr>
                <w:rFonts w:hint="eastAsia" w:ascii="宋体" w:hAnsi="宋体" w:eastAsia="宋体" w:cs="宋体"/>
                <w:color w:val="000000"/>
                <w:sz w:val="21"/>
                <w:szCs w:val="21"/>
                <w:highlight w:val="none"/>
                <w:lang w:eastAsia="zh-CN"/>
              </w:rPr>
            </w:r>
            <w:r/>
          </w:p>
          <w:p>
            <w:pPr>
              <w:pStyle w:val="962"/>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30KW以上及进口品牌水泵：SKF</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设备原厂使用品牌</w:t>
            </w:r>
            <w:r>
              <w:rPr>
                <w:rFonts w:hint="eastAsia" w:ascii="宋体" w:hAnsi="宋体" w:eastAsia="宋体" w:cs="宋体"/>
                <w:color w:val="000000"/>
                <w:sz w:val="21"/>
                <w:szCs w:val="21"/>
                <w:highlight w:val="none"/>
                <w:lang w:val="en-US" w:eastAsia="zh-CN"/>
              </w:rPr>
            </w:r>
            <w:r/>
          </w:p>
        </w:tc>
      </w:tr>
      <w:tr>
        <w:trPr>
          <w:trHeight w:val="465"/>
        </w:trPr>
        <w:tc>
          <w:tcPr>
            <w:tcW w:w="2536"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转子镶套维修材质</w:t>
            </w:r>
            <w:r>
              <w:rPr>
                <w:rFonts w:hint="eastAsia" w:ascii="宋体" w:hAnsi="宋体" w:eastAsia="宋体" w:cs="宋体"/>
                <w:color w:val="000000"/>
                <w:sz w:val="21"/>
                <w:szCs w:val="21"/>
                <w:highlight w:val="none"/>
              </w:rPr>
            </w:r>
            <w:r/>
          </w:p>
        </w:tc>
        <w:tc>
          <w:tcPr>
            <w:tcW w:w="5953"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原材质或2Cr13（择优）</w:t>
            </w:r>
            <w:r>
              <w:rPr>
                <w:rFonts w:hint="eastAsia" w:ascii="宋体" w:hAnsi="宋体" w:eastAsia="宋体" w:cs="宋体"/>
                <w:color w:val="000000"/>
                <w:sz w:val="21"/>
                <w:szCs w:val="21"/>
                <w:highlight w:val="none"/>
              </w:rPr>
            </w:r>
            <w:r/>
          </w:p>
        </w:tc>
      </w:tr>
      <w:tr>
        <w:trPr>
          <w:trHeight w:val="465"/>
        </w:trPr>
        <w:tc>
          <w:tcPr>
            <w:tcW w:w="2536"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泵轴材质</w:t>
            </w:r>
            <w:r>
              <w:rPr>
                <w:rFonts w:hint="eastAsia" w:ascii="宋体" w:hAnsi="宋体" w:eastAsia="宋体" w:cs="宋体"/>
                <w:color w:val="000000"/>
                <w:sz w:val="21"/>
                <w:szCs w:val="21"/>
                <w:highlight w:val="none"/>
              </w:rPr>
            </w:r>
            <w:r/>
          </w:p>
        </w:tc>
        <w:tc>
          <w:tcPr>
            <w:tcW w:w="5953"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原材质或2Cr13（择优）</w:t>
            </w:r>
            <w:r>
              <w:rPr>
                <w:rFonts w:hint="eastAsia" w:ascii="宋体" w:hAnsi="宋体" w:eastAsia="宋体" w:cs="宋体"/>
                <w:color w:val="000000"/>
                <w:sz w:val="21"/>
                <w:szCs w:val="21"/>
                <w:highlight w:val="none"/>
              </w:rPr>
            </w:r>
            <w:r/>
          </w:p>
        </w:tc>
      </w:tr>
      <w:tr>
        <w:trPr>
          <w:trHeight w:val="465"/>
        </w:trPr>
        <w:tc>
          <w:tcPr>
            <w:tcW w:w="2536"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油腔室油液</w:t>
            </w:r>
            <w:r>
              <w:rPr>
                <w:rFonts w:hint="eastAsia" w:ascii="宋体" w:hAnsi="宋体" w:eastAsia="宋体" w:cs="宋体"/>
                <w:color w:val="000000"/>
                <w:sz w:val="21"/>
                <w:szCs w:val="21"/>
                <w:highlight w:val="none"/>
              </w:rPr>
            </w:r>
            <w:r/>
          </w:p>
        </w:tc>
        <w:tc>
          <w:tcPr>
            <w:tcW w:w="5953"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32#机械油或原厂指定牌号</w:t>
            </w:r>
            <w:r>
              <w:rPr>
                <w:rFonts w:hint="eastAsia" w:ascii="宋体" w:hAnsi="宋体" w:eastAsia="宋体" w:cs="宋体"/>
                <w:color w:val="000000"/>
                <w:sz w:val="21"/>
                <w:szCs w:val="21"/>
                <w:highlight w:val="none"/>
              </w:rPr>
            </w:r>
            <w:r/>
          </w:p>
        </w:tc>
      </w:tr>
      <w:tr>
        <w:trPr>
          <w:trHeight w:val="465"/>
        </w:trPr>
        <w:tc>
          <w:tcPr>
            <w:tcW w:w="2536"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润滑脂</w:t>
            </w:r>
            <w:r>
              <w:rPr>
                <w:rFonts w:hint="eastAsia" w:ascii="宋体" w:hAnsi="宋体" w:eastAsia="宋体" w:cs="宋体"/>
                <w:color w:val="000000"/>
                <w:sz w:val="21"/>
                <w:szCs w:val="21"/>
                <w:highlight w:val="none"/>
              </w:rPr>
            </w:r>
            <w:r/>
          </w:p>
        </w:tc>
        <w:tc>
          <w:tcPr>
            <w:tcW w:w="5953"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7014-1</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原厂指定牌号</w:t>
            </w:r>
            <w:r>
              <w:rPr>
                <w:rFonts w:hint="eastAsia" w:ascii="宋体" w:hAnsi="宋体" w:eastAsia="宋体" w:cs="宋体"/>
                <w:color w:val="000000"/>
                <w:sz w:val="21"/>
                <w:szCs w:val="21"/>
                <w:highlight w:val="none"/>
              </w:rPr>
            </w:r>
            <w:r/>
          </w:p>
        </w:tc>
      </w:tr>
      <w:tr>
        <w:trPr>
          <w:trHeight w:val="465"/>
        </w:trPr>
        <w:tc>
          <w:tcPr>
            <w:tcW w:w="2536"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动力、控制电缆</w:t>
            </w:r>
            <w:r>
              <w:rPr>
                <w:rFonts w:hint="eastAsia" w:ascii="宋体" w:hAnsi="宋体" w:eastAsia="宋体" w:cs="宋体"/>
                <w:color w:val="000000"/>
                <w:sz w:val="21"/>
                <w:szCs w:val="21"/>
                <w:highlight w:val="none"/>
              </w:rPr>
            </w:r>
            <w:r/>
          </w:p>
        </w:tc>
        <w:tc>
          <w:tcPr>
            <w:tcW w:w="5953" w:type="dxa"/>
            <w:vAlign w:val="center"/>
            <w:textDirection w:val="lrTb"/>
            <w:noWrap w:val="false"/>
          </w:tcPr>
          <w:p>
            <w:pPr>
              <w:pStyle w:val="962"/>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上上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远东、宝胜</w:t>
            </w:r>
            <w:r>
              <w:rPr>
                <w:rFonts w:hint="eastAsia" w:ascii="宋体" w:hAnsi="宋体" w:eastAsia="宋体" w:cs="宋体"/>
                <w:color w:val="000000"/>
                <w:sz w:val="21"/>
                <w:szCs w:val="21"/>
                <w:highlight w:val="none"/>
              </w:rPr>
              <w:t xml:space="preserve">或同等</w:t>
            </w:r>
            <w:r>
              <w:rPr>
                <w:rFonts w:hint="eastAsia" w:ascii="宋体" w:hAnsi="宋体" w:eastAsia="宋体" w:cs="宋体"/>
                <w:color w:val="000000"/>
                <w:sz w:val="21"/>
                <w:szCs w:val="21"/>
                <w:highlight w:val="none"/>
                <w:lang w:val="en-US" w:eastAsia="zh-CN"/>
              </w:rPr>
              <w:t xml:space="preserve">品质</w:t>
            </w:r>
            <w:r>
              <w:rPr>
                <w:rFonts w:hint="eastAsia" w:ascii="宋体" w:hAnsi="宋体" w:eastAsia="宋体" w:cs="宋体"/>
                <w:color w:val="000000"/>
                <w:sz w:val="21"/>
                <w:szCs w:val="21"/>
                <w:highlight w:val="none"/>
                <w:lang w:val="en-US" w:eastAsia="zh-CN"/>
              </w:rPr>
            </w:r>
            <w:r/>
          </w:p>
        </w:tc>
      </w:tr>
    </w:tbl>
    <w:p>
      <w:pPr>
        <w:pStyle w:val="962"/>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4.其中关于轴承具体要求为：</w:t>
      </w:r>
      <w:r>
        <w:rPr>
          <w:rFonts w:hint="eastAsia" w:ascii="宋体" w:hAnsi="宋体" w:eastAsia="宋体" w:cs="宋体"/>
          <w:b/>
          <w:bCs/>
          <w:color w:val="000000"/>
          <w:sz w:val="21"/>
          <w:szCs w:val="21"/>
          <w:highlight w:val="none"/>
          <w:lang w:val="en-US" w:eastAsia="zh-CN" w:bidi="ar-SA"/>
        </w:rPr>
      </w:r>
      <w:r/>
    </w:p>
    <w:p>
      <w:pPr>
        <w:pStyle w:val="962"/>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（1）单列圆柱滚子轴承需为尼龙保持架形式（ECP）。</w:t>
      </w:r>
      <w:r>
        <w:rPr>
          <w:rFonts w:hint="eastAsia" w:ascii="宋体" w:hAnsi="宋体" w:eastAsia="宋体" w:cs="宋体"/>
          <w:b/>
          <w:bCs/>
          <w:color w:val="000000"/>
          <w:sz w:val="21"/>
          <w:szCs w:val="21"/>
          <w:highlight w:val="none"/>
          <w:lang w:val="en-US" w:eastAsia="zh-CN" w:bidi="ar-SA"/>
        </w:rPr>
      </w:r>
      <w:r/>
    </w:p>
    <w:p>
      <w:pPr>
        <w:pStyle w:val="962"/>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（2）成对安装的单列角接触轴承需为自由配对形式，优先使用尼龙保持架（BECBP），无尼龙保持架型号的选用铜保持架（BCBM）。</w:t>
      </w:r>
      <w:r>
        <w:rPr>
          <w:rFonts w:hint="eastAsia" w:ascii="宋体" w:hAnsi="宋体" w:eastAsia="宋体" w:cs="宋体"/>
          <w:b/>
          <w:bCs/>
          <w:color w:val="000000"/>
          <w:sz w:val="21"/>
          <w:szCs w:val="21"/>
          <w:highlight w:val="none"/>
          <w:lang w:val="en-US" w:eastAsia="zh-CN" w:bidi="ar-SA"/>
        </w:rPr>
      </w:r>
      <w:r/>
    </w:p>
    <w:p>
      <w:pPr>
        <w:pStyle w:val="962"/>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5.电机、电缆具体要求</w:t>
      </w:r>
      <w:r>
        <w:rPr>
          <w:rFonts w:hint="eastAsia" w:ascii="宋体" w:hAnsi="宋体" w:eastAsia="宋体" w:cs="宋体"/>
          <w:b/>
          <w:bCs/>
          <w:color w:val="000000"/>
          <w:sz w:val="21"/>
          <w:szCs w:val="21"/>
          <w:highlight w:val="none"/>
          <w:lang w:val="en-US" w:eastAsia="zh-CN" w:bidi="ar-SA"/>
        </w:rPr>
      </w:r>
      <w:r/>
    </w:p>
    <w:p>
      <w:pPr>
        <w:pStyle w:val="962"/>
        <w:ind w:firstLine="42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（1）进行电机线圈重绕工作时，拆除的旧漆包线经破坏性处理后折抵给</w:t>
      </w:r>
      <w:r>
        <w:rPr>
          <w:rFonts w:hint="eastAsia" w:ascii="宋体" w:hAnsi="宋体" w:eastAsia="宋体" w:cs="宋体"/>
          <w:color w:val="000000"/>
          <w:sz w:val="21"/>
          <w:szCs w:val="21"/>
          <w:highlight w:val="none"/>
          <w:lang w:val="en-US" w:eastAsia="zh-CN"/>
        </w:rPr>
        <w:t xml:space="preserve">中标单位</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962"/>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（2）电机绕组线圈必须为QZY_2/180型的聚酰胺亚胺漆、厚漆膜、180度温升铜质漆包线，完成漆包线绕组镶嵌之后进行浸漆烘干。</w:t>
      </w:r>
      <w:r>
        <w:rPr>
          <w:rFonts w:hint="eastAsia" w:ascii="宋体" w:hAnsi="宋体" w:eastAsia="宋体" w:cs="宋体"/>
          <w:b/>
          <w:color w:val="000000"/>
          <w:sz w:val="21"/>
          <w:szCs w:val="21"/>
          <w:highlight w:val="none"/>
        </w:rPr>
      </w:r>
      <w:r/>
    </w:p>
    <w:p>
      <w:pPr>
        <w:pStyle w:val="96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（3）更换的电缆必须为潜水型电缆，能承受15m水深压力。</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.其他要求</w:t>
      </w:r>
      <w:r>
        <w:rPr>
          <w:rFonts w:hint="eastAsia" w:ascii="宋体" w:hAnsi="宋体" w:eastAsia="宋体" w:cs="宋体"/>
          <w:b/>
          <w:color w:val="000000"/>
          <w:sz w:val="21"/>
          <w:szCs w:val="21"/>
          <w:highlight w:val="none"/>
        </w:rPr>
      </w:r>
      <w:r/>
    </w:p>
    <w:p>
      <w:pPr>
        <w:pStyle w:val="96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旋转运动</w:t>
      </w:r>
      <w:r>
        <w:rPr>
          <w:rFonts w:hint="eastAsia" w:ascii="宋体" w:hAnsi="宋体" w:eastAsia="宋体" w:cs="宋体"/>
          <w:color w:val="000000"/>
          <w:sz w:val="21"/>
          <w:szCs w:val="21"/>
          <w:highlight w:val="none"/>
        </w:rPr>
        <w:t xml:space="preserve">机械如潜水搅拌器、潜水推流器、螺杆泵、中开泵等设备的维修参照水泵维修的项目和费用执行。</w:t>
      </w:r>
      <w:r>
        <w:rPr>
          <w:rFonts w:hint="eastAsia" w:ascii="宋体" w:hAnsi="宋体" w:eastAsia="宋体" w:cs="宋体"/>
          <w:color w:val="000000"/>
          <w:sz w:val="21"/>
          <w:szCs w:val="21"/>
          <w:highlight w:val="none"/>
        </w:rPr>
      </w:r>
      <w:r/>
    </w:p>
    <w:p>
      <w:pPr>
        <w:pStyle w:val="962"/>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lang w:val="en-US" w:eastAsia="zh-CN"/>
        </w:rPr>
        <w:t xml:space="preserve">7.2</w:t>
      </w:r>
      <w:r>
        <w:rPr>
          <w:rFonts w:hint="eastAsia" w:ascii="宋体" w:hAnsi="宋体" w:eastAsia="宋体" w:cs="宋体"/>
          <w:b/>
          <w:color w:val="000000"/>
          <w:sz w:val="21"/>
          <w:szCs w:val="21"/>
          <w:highlight w:val="none"/>
        </w:rPr>
        <w:t xml:space="preserve">格栅压榨机、闸门启闭机维修技术要求</w:t>
      </w:r>
      <w:r>
        <w:rPr>
          <w:rFonts w:hint="eastAsia" w:ascii="宋体" w:hAnsi="宋体" w:eastAsia="宋体" w:cs="宋体"/>
          <w:b/>
          <w:color w:val="000000"/>
          <w:sz w:val="21"/>
          <w:szCs w:val="21"/>
          <w:highlight w:val="none"/>
        </w:rPr>
      </w:r>
      <w:r/>
    </w:p>
    <w:p>
      <w:pPr>
        <w:pStyle w:val="96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.格栅压榨机、闸门启闭机维修更换配件材质及型号要求</w:t>
      </w:r>
      <w:r>
        <w:rPr>
          <w:rFonts w:hint="eastAsia" w:ascii="宋体" w:hAnsi="宋体" w:eastAsia="宋体" w:cs="宋体"/>
          <w:b/>
          <w:bCs/>
          <w:color w:val="000000"/>
          <w:sz w:val="21"/>
          <w:szCs w:val="21"/>
          <w:highlight w:val="none"/>
        </w:rPr>
      </w:r>
      <w:r/>
    </w:p>
    <w:tbl>
      <w:tblPr>
        <w:tblW w:w="8400" w:type="dxa"/>
        <w:jc w:val="center"/>
        <w:tblInd w:w="-108"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5382"/>
        <w:gridCol w:w="2260"/>
      </w:tblGrid>
      <w:tr>
        <w:trPr>
          <w:trHeight w:val="465"/>
          <w:tblHeader/>
        </w:trPr>
        <w:tc>
          <w:tcPr>
            <w:tcW w:w="758" w:type="dxa"/>
            <w:vAlign w:val="center"/>
            <w:textDirection w:val="lrTb"/>
            <w:noWrap w:val="false"/>
          </w:tcPr>
          <w:p>
            <w:pPr>
              <w:pStyle w:val="9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5382" w:type="dxa"/>
            <w:vAlign w:val="center"/>
            <w:textDirection w:val="lrTb"/>
            <w:noWrap w:val="false"/>
          </w:tcPr>
          <w:p>
            <w:pPr>
              <w:pStyle w:val="9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配件名称</w:t>
            </w:r>
            <w:r>
              <w:rPr>
                <w:rFonts w:hint="eastAsia" w:ascii="宋体" w:hAnsi="宋体" w:eastAsia="宋体" w:cs="宋体"/>
                <w:b/>
                <w:bCs/>
                <w:color w:val="000000"/>
                <w:sz w:val="21"/>
                <w:szCs w:val="21"/>
                <w:highlight w:val="none"/>
              </w:rPr>
            </w:r>
            <w:r/>
          </w:p>
        </w:tc>
        <w:tc>
          <w:tcPr>
            <w:tcW w:w="2260" w:type="dxa"/>
            <w:vAlign w:val="center"/>
            <w:textDirection w:val="lrTb"/>
            <w:noWrap w:val="false"/>
          </w:tcPr>
          <w:p>
            <w:pPr>
              <w:pStyle w:val="96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材质及型号要求</w:t>
            </w:r>
            <w:r>
              <w:rPr>
                <w:rFonts w:hint="eastAsia" w:ascii="宋体" w:hAnsi="宋体" w:eastAsia="宋体" w:cs="宋体"/>
                <w:b/>
                <w:bCs/>
                <w:color w:val="000000"/>
                <w:sz w:val="21"/>
                <w:szCs w:val="21"/>
                <w:highlight w:val="none"/>
              </w:rPr>
            </w:r>
            <w:r/>
          </w:p>
        </w:tc>
      </w:tr>
      <w:tr>
        <w:trPr>
          <w:trHeight w:val="429"/>
        </w:trPr>
        <w:tc>
          <w:tcPr>
            <w:tcW w:w="758"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382"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格栅耙齿</w:t>
            </w: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尼龙1010</w:t>
            </w:r>
            <w:r>
              <w:rPr>
                <w:rFonts w:hint="eastAsia" w:ascii="宋体" w:hAnsi="宋体" w:eastAsia="宋体" w:cs="宋体"/>
                <w:color w:val="000000"/>
                <w:sz w:val="21"/>
                <w:szCs w:val="21"/>
                <w:highlight w:val="none"/>
              </w:rPr>
            </w:r>
            <w:r/>
          </w:p>
        </w:tc>
      </w:tr>
      <w:tr>
        <w:trPr>
          <w:trHeight w:val="534"/>
        </w:trPr>
        <w:tc>
          <w:tcPr>
            <w:tcW w:w="758"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382"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格栅主轴</w:t>
            </w: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45#钢调质 表面防锈处理</w:t>
            </w:r>
            <w:r>
              <w:rPr>
                <w:rFonts w:hint="eastAsia" w:ascii="宋体" w:hAnsi="宋体" w:eastAsia="宋体" w:cs="宋体"/>
                <w:color w:val="000000"/>
                <w:sz w:val="21"/>
                <w:szCs w:val="21"/>
                <w:highlight w:val="none"/>
              </w:rPr>
            </w:r>
            <w:r/>
          </w:p>
        </w:tc>
      </w:tr>
      <w:tr>
        <w:trPr>
          <w:trHeight w:val="1168"/>
        </w:trPr>
        <w:tc>
          <w:tcPr>
            <w:tcW w:w="758"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382"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格栅配件：耙齿轴、链板、鱼鳞挡渣片、槽导轮、回转轮、底部定位轴、耙齿轴滚动套、卡簧、垫片、开口销，钢丝绳、传动轮外壳、差动机构、运行偏心轮、固定栅条、机架等</w:t>
            </w: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不锈钢304</w:t>
            </w:r>
            <w:r>
              <w:rPr>
                <w:rFonts w:hint="eastAsia" w:ascii="宋体" w:hAnsi="宋体" w:eastAsia="宋体" w:cs="宋体"/>
                <w:color w:val="000000"/>
                <w:sz w:val="21"/>
                <w:szCs w:val="21"/>
                <w:highlight w:val="none"/>
              </w:rPr>
            </w:r>
            <w:r/>
          </w:p>
        </w:tc>
      </w:tr>
      <w:tr>
        <w:trPr>
          <w:trHeight w:val="645"/>
        </w:trPr>
        <w:tc>
          <w:tcPr>
            <w:tcW w:w="758"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382"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压榨机配件：螺旋输送机、螺杆压榨机筒体、叶片</w:t>
            </w: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不锈钢304</w:t>
            </w:r>
            <w:r>
              <w:rPr>
                <w:rFonts w:hint="eastAsia" w:ascii="宋体" w:hAnsi="宋体" w:eastAsia="宋体" w:cs="宋体"/>
                <w:color w:val="000000"/>
                <w:sz w:val="21"/>
                <w:szCs w:val="21"/>
                <w:highlight w:val="none"/>
              </w:rPr>
            </w:r>
            <w:r/>
          </w:p>
        </w:tc>
      </w:tr>
      <w:tr>
        <w:trPr>
          <w:trHeight w:val="443"/>
        </w:trPr>
        <w:tc>
          <w:tcPr>
            <w:tcW w:w="758"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5382"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丝杆</w:t>
            </w: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实心杆、不锈钢304</w:t>
            </w:r>
            <w:r>
              <w:rPr>
                <w:rFonts w:hint="eastAsia" w:ascii="宋体" w:hAnsi="宋体" w:eastAsia="宋体" w:cs="宋体"/>
                <w:color w:val="000000"/>
                <w:sz w:val="21"/>
                <w:szCs w:val="21"/>
                <w:highlight w:val="none"/>
              </w:rPr>
            </w:r>
            <w:r/>
          </w:p>
        </w:tc>
      </w:tr>
      <w:tr>
        <w:trPr>
          <w:trHeight w:val="423"/>
        </w:trPr>
        <w:tc>
          <w:tcPr>
            <w:tcW w:w="758"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5382"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启闭机、闸门门板、闸门门框、导轨等</w:t>
            </w: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球墨铸铁QT450</w:t>
            </w:r>
            <w:r>
              <w:rPr>
                <w:rFonts w:hint="eastAsia" w:ascii="宋体" w:hAnsi="宋体" w:eastAsia="宋体" w:cs="宋体"/>
                <w:color w:val="000000"/>
                <w:sz w:val="21"/>
                <w:szCs w:val="21"/>
                <w:highlight w:val="none"/>
              </w:rPr>
            </w:r>
            <w:r/>
          </w:p>
        </w:tc>
      </w:tr>
      <w:tr>
        <w:trPr>
          <w:trHeight w:val="426"/>
        </w:trPr>
        <w:tc>
          <w:tcPr>
            <w:tcW w:w="758"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5382"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启闭机内变速齿轮（蜗轮）副</w:t>
            </w: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45号钢调质处理</w:t>
            </w:r>
            <w:r>
              <w:rPr>
                <w:rFonts w:hint="eastAsia" w:ascii="宋体" w:hAnsi="宋体" w:eastAsia="宋体" w:cs="宋体"/>
                <w:color w:val="000000"/>
                <w:sz w:val="21"/>
                <w:szCs w:val="21"/>
                <w:highlight w:val="none"/>
              </w:rPr>
            </w:r>
            <w:r/>
          </w:p>
        </w:tc>
      </w:tr>
      <w:tr>
        <w:trPr>
          <w:trHeight w:val="518"/>
        </w:trPr>
        <w:tc>
          <w:tcPr>
            <w:tcW w:w="758"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5382"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所有紧固件</w:t>
            </w:r>
            <w:r>
              <w:rPr>
                <w:rFonts w:hint="eastAsia" w:ascii="宋体" w:hAnsi="宋体" w:eastAsia="宋体" w:cs="宋体"/>
                <w:color w:val="000000"/>
                <w:sz w:val="21"/>
                <w:szCs w:val="21"/>
                <w:highlight w:val="none"/>
              </w:rPr>
            </w:r>
            <w:r/>
          </w:p>
        </w:tc>
        <w:tc>
          <w:tcPr>
            <w:tcW w:w="2260" w:type="dxa"/>
            <w:vAlign w:val="center"/>
            <w:textDirection w:val="lrTb"/>
            <w:noWrap w:val="false"/>
          </w:tcPr>
          <w:p>
            <w:pPr>
              <w:pStyle w:val="9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不锈钢304</w:t>
            </w:r>
            <w:r>
              <w:rPr>
                <w:rFonts w:hint="eastAsia" w:ascii="宋体" w:hAnsi="宋体" w:eastAsia="宋体" w:cs="宋体"/>
                <w:color w:val="000000"/>
                <w:sz w:val="21"/>
                <w:szCs w:val="21"/>
                <w:highlight w:val="none"/>
              </w:rPr>
            </w:r>
            <w:r/>
          </w:p>
        </w:tc>
      </w:tr>
    </w:tbl>
    <w:p>
      <w:pPr>
        <w:pStyle w:val="962"/>
        <w:ind w:left="0"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.验收标准：</w:t>
      </w:r>
      <w:r>
        <w:rPr>
          <w:rFonts w:hint="eastAsia" w:ascii="宋体" w:hAnsi="宋体" w:eastAsia="宋体" w:cs="宋体"/>
          <w:b/>
          <w:bCs/>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）闸门启闭测试：具备启闭测试条件的须进行全行程启闭测试，涉及渗漏相关维修的进行打水测漏（需额外封堵及水下作业的视情况由招标人决定）</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）试运转应无卡滞、异响、振动，电机无过载，链轮链条传动正常无跳齿现象，闸门启闭机限位装置设置合理、工作可靠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ind w:left="0" w:firstLine="422"/>
        <w:jc w:val="left"/>
        <w:keepLines w:val="0"/>
        <w:keepNext w:val="0"/>
        <w:pageBreakBefore w:val="0"/>
        <w:spacing w:line="360" w:lineRule="auto"/>
        <w:rPr>
          <w:rFonts w:hint="eastAsia" w:ascii="宋体" w:hAnsi="宋体" w:eastAsia="宋体" w:cs="宋体"/>
          <w:b/>
          <w:strike w:val="0"/>
          <w:color w:val="000000"/>
          <w:sz w:val="21"/>
          <w:szCs w:val="21"/>
          <w:highlight w:val="none"/>
        </w:rPr>
        <w:outlineLvl w:val="9"/>
      </w:pPr>
      <w:r>
        <w:rPr>
          <w:rFonts w:hint="eastAsia" w:ascii="宋体" w:hAnsi="宋体" w:eastAsia="宋体" w:cs="宋体"/>
          <w:b/>
          <w:strike w:val="0"/>
          <w:color w:val="000000"/>
          <w:sz w:val="21"/>
          <w:szCs w:val="21"/>
          <w:highlight w:val="none"/>
          <w:lang w:val="en-US" w:eastAsia="zh-CN"/>
        </w:rPr>
        <w:t xml:space="preserve">7.3</w:t>
      </w:r>
      <w:r>
        <w:rPr>
          <w:rFonts w:hint="eastAsia" w:ascii="宋体" w:hAnsi="宋体" w:eastAsia="宋体" w:cs="宋体"/>
          <w:b/>
          <w:strike w:val="0"/>
          <w:color w:val="000000"/>
          <w:sz w:val="21"/>
          <w:szCs w:val="21"/>
          <w:highlight w:val="none"/>
        </w:rPr>
        <w:t xml:space="preserve">行车维保技术要求</w:t>
      </w:r>
      <w:r>
        <w:rPr>
          <w:rFonts w:hint="eastAsia" w:ascii="宋体" w:hAnsi="宋体" w:eastAsia="宋体" w:cs="宋体"/>
          <w:b/>
          <w:strike w:val="0"/>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b/>
          <w:bCs/>
          <w:strike w:val="0"/>
          <w:color w:val="000000"/>
          <w:sz w:val="21"/>
          <w:szCs w:val="21"/>
          <w:highlight w:val="none"/>
        </w:rPr>
        <w:outlineLvl w:val="9"/>
      </w:pPr>
      <w:r>
        <w:rPr>
          <w:rFonts w:hint="eastAsia" w:ascii="宋体" w:hAnsi="宋体" w:eastAsia="宋体" w:cs="宋体"/>
          <w:b/>
          <w:bCs/>
          <w:strike w:val="0"/>
          <w:color w:val="000000"/>
          <w:sz w:val="21"/>
          <w:szCs w:val="21"/>
          <w:highlight w:val="none"/>
        </w:rPr>
        <w:t xml:space="preserve">1.基本要求</w:t>
      </w:r>
      <w:r>
        <w:rPr>
          <w:rFonts w:hint="eastAsia" w:ascii="宋体" w:hAnsi="宋体" w:eastAsia="宋体" w:cs="宋体"/>
          <w:b/>
          <w:bCs/>
          <w:strike w:val="0"/>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当招标人提出需要对行车进行除锈上漆的，需将行车工字钢上的锈层完全清除，表面涂刷2道防锈底漆+1道黄色富锌漆。</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2.定期检查、保养的内容及要求</w:t>
      </w:r>
      <w:r>
        <w:rPr>
          <w:rFonts w:hint="eastAsia" w:ascii="宋体" w:hAnsi="宋体" w:eastAsia="宋体" w:cs="宋体"/>
          <w:b/>
          <w:bCs/>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根据2023年3月1日施行的《常州市起重机械安全管理办法》，主要有以下条款：</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（1）润滑系统维护</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定期检查</w:t>
      </w:r>
      <w:r>
        <w:rPr>
          <w:rFonts w:hint="eastAsia" w:ascii="宋体" w:hAnsi="宋体" w:eastAsia="宋体" w:cs="宋体"/>
          <w:color w:val="000000"/>
          <w:sz w:val="21"/>
          <w:szCs w:val="21"/>
          <w:highlight w:val="none"/>
        </w:rPr>
        <w:t xml:space="preserve">润滑系统，确保各润滑点油脂充足。避免设备摩擦损坏，延长使用寿命。</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定期更换</w:t>
      </w:r>
      <w:r>
        <w:rPr>
          <w:rFonts w:hint="eastAsia" w:ascii="宋体" w:hAnsi="宋体" w:eastAsia="宋体" w:cs="宋体"/>
          <w:color w:val="000000"/>
          <w:sz w:val="21"/>
          <w:szCs w:val="21"/>
          <w:highlight w:val="none"/>
        </w:rPr>
        <w:t xml:space="preserve">润滑油，根据制造商的建议周期进行操作，尤其注意使用高质量润滑油，以确保设备平稳运行。</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（2）电气系统检查</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定期</w:t>
      </w:r>
      <w:r>
        <w:rPr>
          <w:rFonts w:hint="eastAsia" w:ascii="宋体" w:hAnsi="宋体" w:eastAsia="宋体" w:cs="宋体"/>
          <w:b/>
          <w:bCs/>
          <w:color w:val="000000"/>
          <w:sz w:val="21"/>
          <w:szCs w:val="21"/>
          <w:highlight w:val="none"/>
        </w:rPr>
        <w:t xml:space="preserve">检查电气线路和接头</w:t>
      </w:r>
      <w:r>
        <w:rPr>
          <w:rFonts w:hint="eastAsia" w:ascii="宋体" w:hAnsi="宋体" w:eastAsia="宋体" w:cs="宋体"/>
          <w:color w:val="000000"/>
          <w:sz w:val="21"/>
          <w:szCs w:val="21"/>
          <w:highlight w:val="none"/>
        </w:rPr>
        <w:t xml:space="preserve">，确保所有连接紧固无松动，避免电气故障。</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检查电缆外皮</w:t>
      </w:r>
      <w:r>
        <w:rPr>
          <w:rFonts w:hint="eastAsia" w:ascii="宋体" w:hAnsi="宋体" w:eastAsia="宋体" w:cs="宋体"/>
          <w:color w:val="000000"/>
          <w:sz w:val="21"/>
          <w:szCs w:val="21"/>
          <w:highlight w:val="none"/>
        </w:rPr>
        <w:t xml:space="preserve">的完好性，发现磨损或老化应及时更换，避免漏电或短路。</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确保</w:t>
      </w:r>
      <w:r>
        <w:rPr>
          <w:rFonts w:hint="eastAsia" w:ascii="宋体" w:hAnsi="宋体" w:eastAsia="宋体" w:cs="宋体"/>
          <w:b/>
          <w:bCs/>
          <w:color w:val="000000"/>
          <w:sz w:val="21"/>
          <w:szCs w:val="21"/>
          <w:highlight w:val="none"/>
        </w:rPr>
        <w:t xml:space="preserve">控制箱干净无尘</w:t>
      </w:r>
      <w:r>
        <w:rPr>
          <w:rFonts w:hint="eastAsia" w:ascii="宋体" w:hAnsi="宋体" w:eastAsia="宋体" w:cs="宋体"/>
          <w:color w:val="000000"/>
          <w:sz w:val="21"/>
          <w:szCs w:val="21"/>
          <w:highlight w:val="none"/>
        </w:rPr>
        <w:t xml:space="preserve">，防止灰尘和潮湿环境对设备的影响。</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（3）结构和连接件检查</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定期</w:t>
      </w:r>
      <w:r>
        <w:rPr>
          <w:rFonts w:hint="eastAsia" w:ascii="宋体" w:hAnsi="宋体" w:eastAsia="宋体" w:cs="宋体"/>
          <w:b/>
          <w:bCs/>
          <w:color w:val="000000"/>
          <w:sz w:val="21"/>
          <w:szCs w:val="21"/>
          <w:highlight w:val="none"/>
        </w:rPr>
        <w:t xml:space="preserve">检查吊臂、钩、钢丝绳、滑轮</w:t>
      </w:r>
      <w:r>
        <w:rPr>
          <w:rFonts w:hint="eastAsia" w:ascii="宋体" w:hAnsi="宋体" w:eastAsia="宋体" w:cs="宋体"/>
          <w:color w:val="000000"/>
          <w:sz w:val="21"/>
          <w:szCs w:val="21"/>
          <w:highlight w:val="none"/>
        </w:rPr>
        <w:t xml:space="preserve">等结构件，确保没有裂纹、变形或磨损，发现问题及时修复。</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检查连接螺栓</w:t>
      </w:r>
      <w:r>
        <w:rPr>
          <w:rFonts w:hint="eastAsia" w:ascii="宋体" w:hAnsi="宋体" w:eastAsia="宋体" w:cs="宋体"/>
          <w:color w:val="000000"/>
          <w:sz w:val="21"/>
          <w:szCs w:val="21"/>
          <w:highlight w:val="none"/>
        </w:rPr>
        <w:t xml:space="preserve">是否紧固，如有松动及时拧紧，防止零部件脱落。</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（4）安全限位装置检查</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定期检查</w:t>
      </w:r>
      <w:r>
        <w:rPr>
          <w:rFonts w:hint="eastAsia" w:ascii="宋体" w:hAnsi="宋体" w:eastAsia="宋体" w:cs="宋体"/>
          <w:b/>
          <w:bCs/>
          <w:color w:val="000000"/>
          <w:sz w:val="21"/>
          <w:szCs w:val="21"/>
          <w:highlight w:val="none"/>
        </w:rPr>
        <w:t xml:space="preserve">安全限位装置</w:t>
      </w:r>
      <w:r>
        <w:rPr>
          <w:rFonts w:hint="eastAsia" w:ascii="宋体" w:hAnsi="宋体" w:eastAsia="宋体" w:cs="宋体"/>
          <w:color w:val="000000"/>
          <w:sz w:val="21"/>
          <w:szCs w:val="21"/>
          <w:highlight w:val="none"/>
        </w:rPr>
        <w:t xml:space="preserve">，确保其能在极限位置及时切断电源，避免危险操作。</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测试限位开关</w:t>
      </w:r>
      <w:r>
        <w:rPr>
          <w:rFonts w:hint="eastAsia" w:ascii="宋体" w:hAnsi="宋体" w:eastAsia="宋体" w:cs="宋体"/>
          <w:color w:val="000000"/>
          <w:sz w:val="21"/>
          <w:szCs w:val="21"/>
          <w:highlight w:val="none"/>
        </w:rPr>
        <w:t xml:space="preserve">，确保工作正常，减少潜在事故发生的可能。</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（5）制动系统检查</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检查制动器</w:t>
      </w:r>
      <w:r>
        <w:rPr>
          <w:rFonts w:hint="eastAsia" w:ascii="宋体" w:hAnsi="宋体" w:eastAsia="宋体" w:cs="宋体"/>
          <w:color w:val="000000"/>
          <w:sz w:val="21"/>
          <w:szCs w:val="21"/>
          <w:highlight w:val="none"/>
        </w:rPr>
        <w:t xml:space="preserve">性能，确保设备制动效果良好，防止制动失灵导致事故。</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清理制动器周边</w:t>
      </w:r>
      <w:r>
        <w:rPr>
          <w:rFonts w:hint="eastAsia" w:ascii="宋体" w:hAnsi="宋体" w:eastAsia="宋体" w:cs="宋体"/>
          <w:color w:val="000000"/>
          <w:sz w:val="21"/>
          <w:szCs w:val="21"/>
          <w:highlight w:val="none"/>
        </w:rPr>
        <w:t xml:space="preserve">区域的灰尘和油污，保持制动器清洁，确保其灵敏度。</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（6）电气设备维护</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定期检查</w:t>
      </w:r>
      <w:r>
        <w:rPr>
          <w:rFonts w:hint="eastAsia" w:ascii="宋体" w:hAnsi="宋体" w:eastAsia="宋体" w:cs="宋体"/>
          <w:b/>
          <w:bCs/>
          <w:color w:val="000000"/>
          <w:sz w:val="21"/>
          <w:szCs w:val="21"/>
          <w:highlight w:val="none"/>
        </w:rPr>
        <w:t xml:space="preserve">电机、电缆和控制器</w:t>
      </w:r>
      <w:r>
        <w:rPr>
          <w:rFonts w:hint="eastAsia" w:ascii="宋体" w:hAnsi="宋体" w:eastAsia="宋体" w:cs="宋体"/>
          <w:color w:val="000000"/>
          <w:sz w:val="21"/>
          <w:szCs w:val="21"/>
          <w:highlight w:val="none"/>
        </w:rPr>
        <w:t xml:space="preserve">，确保其正常运转，及时更换损坏部件。</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清理设备周围尘埃</w:t>
      </w:r>
      <w:r>
        <w:rPr>
          <w:rFonts w:hint="eastAsia" w:ascii="宋体" w:hAnsi="宋体" w:eastAsia="宋体" w:cs="宋体"/>
          <w:color w:val="000000"/>
          <w:sz w:val="21"/>
          <w:szCs w:val="21"/>
          <w:highlight w:val="none"/>
        </w:rPr>
        <w:t xml:space="preserve">，防止过多积尘影响电气设备散热，延长电机寿命。</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（7）安全防护装置检查</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检查限位器、重载保护器</w:t>
      </w:r>
      <w:r>
        <w:rPr>
          <w:rFonts w:hint="eastAsia" w:ascii="宋体" w:hAnsi="宋体" w:eastAsia="宋体" w:cs="宋体"/>
          <w:color w:val="000000"/>
          <w:sz w:val="21"/>
          <w:szCs w:val="21"/>
          <w:highlight w:val="none"/>
        </w:rPr>
        <w:t xml:space="preserve">等安全装置，确保其正常运行，防止设备过载。</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测试急停按钮</w:t>
      </w:r>
      <w:r>
        <w:rPr>
          <w:rFonts w:hint="eastAsia" w:ascii="宋体" w:hAnsi="宋体" w:eastAsia="宋体" w:cs="宋体"/>
          <w:color w:val="000000"/>
          <w:sz w:val="21"/>
          <w:szCs w:val="21"/>
          <w:highlight w:val="none"/>
        </w:rPr>
        <w:t xml:space="preserve">，确保其在紧急情况下能够迅速切断电源，避免更大损失。</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（8）遥控系统检查</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对于配备遥控系统的起重机，定期</w:t>
      </w:r>
      <w:r>
        <w:rPr>
          <w:rFonts w:hint="eastAsia" w:ascii="宋体" w:hAnsi="宋体" w:eastAsia="宋体" w:cs="宋体"/>
          <w:b/>
          <w:bCs/>
          <w:color w:val="000000"/>
          <w:sz w:val="21"/>
          <w:szCs w:val="21"/>
          <w:highlight w:val="none"/>
        </w:rPr>
        <w:t xml:space="preserve">检查遥控器电池和连接线</w:t>
      </w:r>
      <w:r>
        <w:rPr>
          <w:rFonts w:hint="eastAsia" w:ascii="宋体" w:hAnsi="宋体" w:eastAsia="宋体" w:cs="宋体"/>
          <w:color w:val="000000"/>
          <w:sz w:val="21"/>
          <w:szCs w:val="21"/>
          <w:highlight w:val="none"/>
        </w:rPr>
        <w:t xml:space="preserve">，确保设备正常使用。</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进行功能测试</w:t>
      </w:r>
      <w:r>
        <w:rPr>
          <w:rFonts w:hint="eastAsia" w:ascii="宋体" w:hAnsi="宋体" w:eastAsia="宋体" w:cs="宋体"/>
          <w:color w:val="000000"/>
          <w:sz w:val="21"/>
          <w:szCs w:val="21"/>
          <w:highlight w:val="none"/>
        </w:rPr>
        <w:t xml:space="preserve">，确保遥控系统的操作灵敏可靠，及时处理遥控失灵问题。</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（9）记录和文件管理</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详细记录</w:t>
      </w:r>
      <w:r>
        <w:rPr>
          <w:rFonts w:hint="eastAsia" w:ascii="宋体" w:hAnsi="宋体" w:eastAsia="宋体" w:cs="宋体"/>
          <w:b/>
          <w:bCs/>
          <w:color w:val="000000"/>
          <w:sz w:val="21"/>
          <w:szCs w:val="21"/>
          <w:highlight w:val="none"/>
        </w:rPr>
        <w:t xml:space="preserve">维护保养时间、内容和人员</w:t>
      </w:r>
      <w:r>
        <w:rPr>
          <w:rFonts w:hint="eastAsia" w:ascii="宋体" w:hAnsi="宋体" w:eastAsia="宋体" w:cs="宋体"/>
          <w:color w:val="000000"/>
          <w:sz w:val="21"/>
          <w:szCs w:val="21"/>
          <w:highlight w:val="none"/>
        </w:rPr>
        <w:t xml:space="preserve">，建立完整的维护档案，以备查阅。</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保留设备维护手册</w:t>
      </w:r>
      <w:r>
        <w:rPr>
          <w:rFonts w:hint="eastAsia" w:ascii="宋体" w:hAnsi="宋体" w:eastAsia="宋体" w:cs="宋体"/>
          <w:color w:val="000000"/>
          <w:sz w:val="21"/>
          <w:szCs w:val="21"/>
          <w:highlight w:val="none"/>
        </w:rPr>
        <w:t xml:space="preserve">，按照手册建议进行设备的日常维护，避免违规操作。</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（10）操作人员培训和安全意识提升</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定期对</w:t>
      </w:r>
      <w:r>
        <w:rPr>
          <w:rFonts w:hint="eastAsia" w:ascii="宋体" w:hAnsi="宋体" w:eastAsia="宋体" w:cs="宋体"/>
          <w:b/>
          <w:bCs/>
          <w:color w:val="000000"/>
          <w:sz w:val="21"/>
          <w:szCs w:val="21"/>
          <w:highlight w:val="none"/>
        </w:rPr>
        <w:t xml:space="preserve">操作人员进行安全培训</w:t>
      </w:r>
      <w:r>
        <w:rPr>
          <w:rFonts w:hint="eastAsia" w:ascii="宋体" w:hAnsi="宋体" w:eastAsia="宋体" w:cs="宋体"/>
          <w:color w:val="000000"/>
          <w:sz w:val="21"/>
          <w:szCs w:val="21"/>
          <w:highlight w:val="none"/>
        </w:rPr>
        <w:t xml:space="preserve">，增强其设备操作的安全意识，确保规范操作。</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鼓励操作人员</w:t>
      </w:r>
      <w:r>
        <w:rPr>
          <w:rFonts w:hint="eastAsia" w:ascii="宋体" w:hAnsi="宋体" w:eastAsia="宋体" w:cs="宋体"/>
          <w:b/>
          <w:bCs/>
          <w:color w:val="000000"/>
          <w:sz w:val="21"/>
          <w:szCs w:val="21"/>
          <w:highlight w:val="none"/>
        </w:rPr>
        <w:t xml:space="preserve">主动报告设备异常</w:t>
      </w:r>
      <w:r>
        <w:rPr>
          <w:rFonts w:hint="eastAsia" w:ascii="宋体" w:hAnsi="宋体" w:eastAsia="宋体" w:cs="宋体"/>
          <w:color w:val="000000"/>
          <w:sz w:val="21"/>
          <w:szCs w:val="21"/>
          <w:highlight w:val="none"/>
        </w:rPr>
        <w:t xml:space="preserve">，形成良好的沟通和反馈机制，及时发现问题。</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规定维护保养周期</w:t>
      </w:r>
      <w:r>
        <w:rPr>
          <w:rFonts w:hint="eastAsia" w:ascii="宋体" w:hAnsi="宋体" w:eastAsia="宋体" w:cs="宋体"/>
          <w:color w:val="000000"/>
          <w:sz w:val="21"/>
          <w:szCs w:val="21"/>
          <w:highlight w:val="none"/>
        </w:rPr>
        <w:t xml:space="preserve">：结合设备使用频次和环境因素，明确保养计划。</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专业化维护保养要求</w:t>
      </w:r>
      <w:r>
        <w:rPr>
          <w:rFonts w:hint="eastAsia" w:ascii="宋体" w:hAnsi="宋体" w:eastAsia="宋体" w:cs="宋体"/>
          <w:color w:val="000000"/>
          <w:sz w:val="21"/>
          <w:szCs w:val="21"/>
          <w:highlight w:val="none"/>
        </w:rPr>
        <w:t xml:space="preserve">：鼓励委托取得许可的专业维护保养单位进行设备维护，确保保养质量和专业性。</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建立安全技术档案</w:t>
      </w:r>
      <w:r>
        <w:rPr>
          <w:rFonts w:hint="eastAsia" w:ascii="宋体" w:hAnsi="宋体" w:eastAsia="宋体" w:cs="宋体"/>
          <w:color w:val="000000"/>
          <w:sz w:val="21"/>
          <w:szCs w:val="21"/>
          <w:highlight w:val="none"/>
        </w:rPr>
        <w:t xml:space="preserve">：明确设备保养记录的保存时间，至少保持两个定期检验周期内的记录。</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事故应急预案</w:t>
      </w:r>
      <w:r>
        <w:rPr>
          <w:rFonts w:hint="eastAsia" w:ascii="宋体" w:hAnsi="宋体" w:eastAsia="宋体" w:cs="宋体"/>
          <w:color w:val="000000"/>
          <w:sz w:val="21"/>
          <w:szCs w:val="21"/>
          <w:highlight w:val="none"/>
        </w:rPr>
        <w:t xml:space="preserve">：要求保养单位制定详细的事故应急预案，并定期组织应急演练，提升事故处置能力。</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3.故障维修或招标人专项维修的工作内容及要求</w:t>
      </w:r>
      <w:r>
        <w:rPr>
          <w:rFonts w:hint="eastAsia" w:ascii="宋体" w:hAnsi="宋体" w:eastAsia="宋体" w:cs="宋体"/>
          <w:b/>
          <w:bCs/>
          <w:color w:val="000000"/>
          <w:sz w:val="21"/>
          <w:szCs w:val="21"/>
          <w:highlight w:val="none"/>
        </w:rPr>
      </w:r>
      <w:r/>
    </w:p>
    <w:p>
      <w:pPr>
        <w:pStyle w:val="96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（1）针对故障进行排查，确诊故障原因。</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（2）对于需要更换的配件，由双方共同确认方可更换。</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（3）对于普通维修及常规泵站工字钢除锈上漆需要搭设固定脚手架的，按计价清单中脚手架费用分次列支。</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（4）在惠家塘泵站圆弧形轨道、江边厂进水泵房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二次提升泵房</w:t>
      </w:r>
      <w:r>
        <w:rPr>
          <w:rFonts w:hint="eastAsia" w:ascii="宋体" w:hAnsi="宋体" w:eastAsia="宋体" w:cs="宋体"/>
          <w:color w:val="000000"/>
          <w:sz w:val="21"/>
          <w:szCs w:val="21"/>
          <w:highlight w:val="none"/>
        </w:rPr>
        <w:t xml:space="preserve">或其他层高超过10m的场所进行除锈上漆工作或特殊维修工作，需使用登高车作业以确保安全。</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7.4</w:t>
      </w:r>
      <w:r>
        <w:rPr>
          <w:rFonts w:hint="eastAsia" w:ascii="宋体" w:hAnsi="宋体" w:eastAsia="宋体" w:cs="宋体"/>
          <w:b/>
          <w:color w:val="000000"/>
          <w:sz w:val="21"/>
          <w:szCs w:val="21"/>
          <w:highlight w:val="none"/>
        </w:rPr>
        <w:t xml:space="preserve">电动执行机构维修技术要求</w:t>
      </w:r>
      <w:r>
        <w:rPr>
          <w:rFonts w:hint="eastAsia" w:ascii="宋体" w:hAnsi="宋体" w:eastAsia="宋体" w:cs="宋体"/>
          <w:b/>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strike/>
          <w:color w:val="000000"/>
          <w:sz w:val="21"/>
          <w:szCs w:val="21"/>
          <w:highlight w:val="none"/>
        </w:rPr>
        <w:outlineLvl w:val="9"/>
      </w:pPr>
      <w:r>
        <w:rPr>
          <w:rFonts w:hint="eastAsia" w:ascii="宋体" w:hAnsi="宋体" w:eastAsia="宋体" w:cs="宋体"/>
          <w:b/>
          <w:color w:val="000000"/>
          <w:sz w:val="21"/>
          <w:szCs w:val="21"/>
          <w:highlight w:val="none"/>
        </w:rPr>
        <w:t xml:space="preserve">验收要求</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引用《GB/T 24923-2010普通型阀门电动装置技术条件》，《GB/T 28270-2012智能型阀门电动装置》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《GB/T 15479-1995工业自动化仪表绝缘电阻、绝缘强度</w:t>
      </w:r>
      <w:r>
        <w:rPr>
          <w:rFonts w:hint="eastAsia" w:ascii="宋体" w:hAnsi="宋体" w:eastAsia="宋体" w:cs="宋体"/>
          <w:strike/>
          <w:color w:val="000000"/>
          <w:sz w:val="21"/>
          <w:szCs w:val="21"/>
          <w:highlight w:val="none"/>
        </w:rPr>
      </w:r>
      <w:r/>
    </w:p>
    <w:p>
      <w:pPr>
        <w:pStyle w:val="962"/>
        <w:numPr>
          <w:ilvl w:val="0"/>
          <w:numId w:val="0"/>
        </w:numPr>
        <w:ind w:left="0"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bidi="ar-SA"/>
        </w:rPr>
        <w:t xml:space="preserve">7.5</w:t>
      </w:r>
      <w:r>
        <w:rPr>
          <w:rFonts w:hint="eastAsia" w:ascii="宋体" w:hAnsi="宋体" w:eastAsia="宋体" w:cs="宋体"/>
          <w:b/>
          <w:color w:val="000000"/>
          <w:sz w:val="21"/>
          <w:szCs w:val="21"/>
          <w:highlight w:val="none"/>
        </w:rPr>
        <w:t xml:space="preserve">粉碎格栅维修技术要求</w:t>
      </w:r>
      <w:r>
        <w:rPr>
          <w:rFonts w:hint="eastAsia" w:ascii="宋体" w:hAnsi="宋体" w:eastAsia="宋体" w:cs="宋体"/>
          <w:b/>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粉碎性格栅刀片采用CR13并进行热处理；粉碎性格栅机械密封与转鼓机械密封的接触面均采用碳化钨；粉碎性格栅主轴/从动轴采用2Cr13材质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ind w:left="0"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八、付款方式与质保说明</w:t>
      </w:r>
      <w:r>
        <w:rPr>
          <w:rFonts w:hint="eastAsia" w:ascii="宋体" w:hAnsi="宋体" w:eastAsia="宋体" w:cs="宋体"/>
          <w:b/>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8.1</w:t>
      </w:r>
      <w:r>
        <w:rPr>
          <w:rFonts w:hint="eastAsia" w:ascii="宋体" w:hAnsi="宋体" w:eastAsia="宋体" w:cs="宋体"/>
          <w:color w:val="000000"/>
          <w:sz w:val="21"/>
          <w:szCs w:val="21"/>
          <w:highlight w:val="none"/>
        </w:rPr>
        <w:t xml:space="preserve">各项单价按中标人中标单价执行。</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8.2</w:t>
      </w:r>
      <w:r>
        <w:rPr>
          <w:rFonts w:hint="eastAsia" w:ascii="宋体" w:hAnsi="宋体" w:eastAsia="宋体" w:cs="宋体"/>
          <w:color w:val="000000"/>
          <w:sz w:val="21"/>
          <w:szCs w:val="21"/>
          <w:highlight w:val="none"/>
        </w:rPr>
        <w:t xml:space="preserve">招标人及中标人双方按照实际工作量的签证，对照中标单价计算得出结算价格。</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8.3</w:t>
      </w:r>
      <w:r>
        <w:rPr>
          <w:rFonts w:hint="eastAsia" w:ascii="宋体" w:hAnsi="宋体" w:eastAsia="宋体" w:cs="宋体"/>
          <w:color w:val="000000"/>
          <w:sz w:val="21"/>
          <w:szCs w:val="21"/>
          <w:highlight w:val="none"/>
        </w:rPr>
        <w:t xml:space="preserve">签证：中标人按规定格式对维修及服务签证资料进行汇总申报。</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8.4</w:t>
      </w:r>
      <w:r>
        <w:rPr>
          <w:rFonts w:hint="eastAsia" w:ascii="宋体" w:hAnsi="宋体" w:eastAsia="宋体" w:cs="宋体"/>
          <w:color w:val="000000"/>
          <w:sz w:val="21"/>
          <w:szCs w:val="21"/>
          <w:highlight w:val="none"/>
        </w:rPr>
        <w:t xml:space="preserve">付款方式：</w:t>
      </w: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rPr>
        <w:t xml:space="preserve">无预付款，每月</w:t>
      </w:r>
      <w:r>
        <w:rPr>
          <w:rFonts w:hint="eastAsia" w:ascii="宋体" w:hAnsi="宋体" w:eastAsia="宋体" w:cs="宋体"/>
          <w:color w:val="000000"/>
          <w:sz w:val="21"/>
          <w:szCs w:val="21"/>
          <w:highlight w:val="none"/>
          <w:lang w:val="en-US" w:eastAsia="zh-CN"/>
        </w:rPr>
        <w:t xml:space="preserve">应付</w:t>
      </w:r>
      <w:r>
        <w:rPr>
          <w:rFonts w:hint="eastAsia" w:ascii="宋体" w:hAnsi="宋体" w:eastAsia="宋体" w:cs="宋体"/>
          <w:color w:val="000000"/>
          <w:sz w:val="21"/>
          <w:szCs w:val="21"/>
          <w:highlight w:val="none"/>
        </w:rPr>
        <w:t xml:space="preserve">价款根据单价和签证量进行计算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每月实际支付总额依据其对应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月度服务质量评价表（部门）》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附件2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中考核分数</w:t>
      </w:r>
      <w:r>
        <w:rPr>
          <w:rFonts w:hint="eastAsia" w:ascii="宋体" w:hAnsi="宋体" w:eastAsia="宋体" w:cs="宋体"/>
          <w:color w:val="000000"/>
          <w:sz w:val="21"/>
          <w:szCs w:val="21"/>
          <w:highlight w:val="none"/>
          <w:lang w:val="en-US" w:eastAsia="zh-CN"/>
        </w:rPr>
        <w:t xml:space="preserve">进行调整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支付周期不超过60天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九、计价与结算方式</w:t>
      </w:r>
      <w:r>
        <w:rPr>
          <w:rFonts w:hint="eastAsia" w:ascii="宋体" w:hAnsi="宋体" w:eastAsia="宋体" w:cs="宋体"/>
          <w:b/>
          <w:bCs/>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9.1</w:t>
      </w:r>
      <w:r>
        <w:rPr>
          <w:rFonts w:hint="eastAsia" w:ascii="宋体" w:hAnsi="宋体" w:eastAsia="宋体" w:cs="宋体"/>
          <w:color w:val="000000"/>
          <w:sz w:val="21"/>
          <w:szCs w:val="21"/>
          <w:highlight w:val="none"/>
        </w:rPr>
        <w:t xml:space="preserve">本项目报价清单中维修保养内容均为固定单价，合同执行过程中按实际工作量签证计量结算。中标人所报单价应已充分考虑合同期（含续签期）内材料、人工等价格波动风险，执行期内不作调整。</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9.2</w:t>
      </w:r>
      <w:r>
        <w:rPr>
          <w:rFonts w:hint="eastAsia" w:ascii="宋体" w:hAnsi="宋体" w:eastAsia="宋体" w:cs="宋体"/>
          <w:color w:val="000000"/>
          <w:sz w:val="21"/>
          <w:szCs w:val="21"/>
          <w:highlight w:val="none"/>
        </w:rPr>
        <w:t xml:space="preserve">本项目中标人应承担抵达维修现场后为维修开展的一切事宜及责任，清单中的维修费包括设备拆机、起吊（包括联系吊车的费用）、运输、装卸、保管、到场安装、调试、验收、检测、培训及相关服务等；</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9.3</w:t>
      </w:r>
      <w:r>
        <w:rPr>
          <w:rFonts w:hint="eastAsia" w:ascii="宋体" w:hAnsi="宋体" w:eastAsia="宋体" w:cs="宋体"/>
          <w:color w:val="000000"/>
          <w:sz w:val="21"/>
          <w:szCs w:val="21"/>
          <w:highlight w:val="none"/>
        </w:rPr>
        <w:t xml:space="preserve">关于非清单维修内容的规定：招标清单中未列出而实际必须发生的配件及维修事项由招标人另行组织采购，应急抢修的除外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9.4</w:t>
      </w:r>
      <w:r>
        <w:rPr>
          <w:rFonts w:hint="eastAsia" w:ascii="宋体" w:hAnsi="宋体" w:eastAsia="宋体" w:cs="宋体"/>
          <w:color w:val="000000"/>
          <w:sz w:val="21"/>
          <w:szCs w:val="21"/>
          <w:highlight w:val="none"/>
        </w:rPr>
        <w:t xml:space="preserve">报价清单详见附件1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《常州市排水管理处 </w:t>
      </w:r>
      <w:r>
        <w:rPr>
          <w:rFonts w:hint="eastAsia" w:ascii="宋体" w:hAnsi="宋体" w:eastAsia="宋体" w:cs="宋体"/>
          <w:color w:val="000000"/>
          <w:sz w:val="21"/>
          <w:szCs w:val="21"/>
          <w:highlight w:val="none"/>
          <w:lang w:eastAsia="zh-CN"/>
        </w:rPr>
        <w:t xml:space="preserve">排水泵站设备检查保养及维修</w:t>
      </w:r>
      <w:r>
        <w:rPr>
          <w:rFonts w:hint="eastAsia" w:ascii="宋体" w:hAnsi="宋体" w:eastAsia="宋体" w:cs="宋体"/>
          <w:color w:val="000000"/>
          <w:sz w:val="21"/>
          <w:szCs w:val="21"/>
          <w:highlight w:val="none"/>
        </w:rPr>
        <w:t xml:space="preserve"> 计价清单》</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rPr>
        <w:t xml:space="preserve">中标人的中标不代表其获得招标人所有设备的唯一维修资格，为保证城市排水设施的安全稳定运行,对于中标人不具备对应维修能力的设备、发生超过上述第3款金额上限的非合同内容高值维修，招标人可经合法合规流程委托第三方进行维修。</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十、其他要求</w:t>
      </w:r>
      <w:r>
        <w:rPr>
          <w:rFonts w:hint="eastAsia" w:ascii="宋体" w:hAnsi="宋体" w:eastAsia="宋体" w:cs="宋体"/>
          <w:b/>
          <w:bCs/>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10.1</w:t>
      </w:r>
      <w:r>
        <w:rPr>
          <w:rFonts w:hint="eastAsia" w:ascii="宋体" w:hAnsi="宋体" w:eastAsia="宋体" w:cs="宋体"/>
          <w:b/>
          <w:bCs/>
          <w:color w:val="000000"/>
          <w:sz w:val="21"/>
          <w:szCs w:val="21"/>
          <w:highlight w:val="none"/>
        </w:rPr>
        <w:t xml:space="preserve">技术资料归档与移交</w:t>
      </w:r>
      <w:r>
        <w:rPr>
          <w:rFonts w:hint="eastAsia" w:ascii="宋体" w:hAnsi="宋体" w:eastAsia="宋体" w:cs="宋体"/>
          <w:b/>
          <w:bCs/>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中标人在检查、保养和维修过程中形成的所有技术资料，包括技术文件、检验报告、安装和维修记录等，应按招标人要求进行整理和归档，确保可长期查阅。</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10.2</w:t>
      </w:r>
      <w:r>
        <w:rPr>
          <w:rFonts w:hint="eastAsia" w:ascii="宋体" w:hAnsi="宋体" w:eastAsia="宋体" w:cs="宋体"/>
          <w:b/>
          <w:bCs/>
          <w:color w:val="000000"/>
          <w:sz w:val="21"/>
          <w:szCs w:val="21"/>
          <w:highlight w:val="none"/>
        </w:rPr>
        <w:t xml:space="preserve">数据保密要求</w:t>
      </w:r>
      <w:r>
        <w:rPr>
          <w:rFonts w:hint="eastAsia" w:ascii="宋体" w:hAnsi="宋体" w:eastAsia="宋体" w:cs="宋体"/>
          <w:b/>
          <w:bCs/>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除非依照法律规定或者对方当事人的书面同意，任何一方均应保证不向任何第三方提供或披露有关合同的或者履行合同过程中知悉的对方当事人任何未公开的信息和资料，包括但不限于技术资料、商业秘密和商业信息等。</w:t>
      </w:r>
      <w:r>
        <w:rPr>
          <w:rFonts w:hint="eastAsia" w:ascii="宋体" w:hAnsi="宋体" w:eastAsia="宋体" w:cs="宋体"/>
          <w:color w:val="000000"/>
          <w:sz w:val="21"/>
          <w:szCs w:val="21"/>
          <w:highlight w:val="none"/>
        </w:rPr>
      </w:r>
      <w:r/>
    </w:p>
    <w:p>
      <w:pPr>
        <w:pStyle w:val="962"/>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未经另一方的同意披露本合同保密信息的，由此产生的责任由披露方承担，造成对方损失的，由披露方予以赔偿。</w:t>
      </w:r>
      <w:r>
        <w:rPr>
          <w:rFonts w:hint="eastAsia" w:ascii="宋体" w:hAnsi="宋体" w:eastAsia="宋体" w:cs="宋体"/>
          <w:color w:val="000000"/>
          <w:sz w:val="21"/>
          <w:szCs w:val="21"/>
          <w:highlight w:val="none"/>
        </w:rPr>
      </w:r>
      <w:r/>
    </w:p>
    <w:p>
      <w:pPr>
        <w:pStyle w:val="962"/>
        <w:ind w:left="0" w:firstLine="422"/>
        <w:jc w:val="left"/>
        <w:keepLines w:val="0"/>
        <w:keepNext w:val="0"/>
        <w:pageBreakBefore w:val="0"/>
        <w:spacing w:line="360" w:lineRule="auto"/>
        <w:widowControl/>
        <w:rPr>
          <w:rFonts w:hint="eastAsia" w:ascii="宋体" w:hAnsi="宋体" w:eastAsia="宋体" w:cs="宋体"/>
          <w:strike/>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十一、履约保证金</w:t>
      </w:r>
      <w:r>
        <w:rPr>
          <w:rFonts w:hint="eastAsia" w:ascii="宋体" w:hAnsi="宋体" w:eastAsia="宋体" w:cs="宋体"/>
          <w:strike/>
          <w:color w:val="000000"/>
          <w:sz w:val="21"/>
          <w:szCs w:val="21"/>
          <w:highlight w:val="none"/>
          <w:lang w:val="en-US" w:eastAsia="zh-CN"/>
        </w:rPr>
      </w:r>
      <w:r/>
    </w:p>
    <w:p>
      <w:pPr>
        <w:pStyle w:val="975"/>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履约保证金金额为项目合同预估总价的10%，中标人应在中标通知书发出之日起15个日历日内、合同签订前向</w:t>
      </w:r>
      <w:r>
        <w:rPr>
          <w:rFonts w:hint="eastAsia" w:ascii="宋体" w:hAnsi="宋体" w:eastAsia="宋体" w:cs="宋体"/>
          <w:bCs/>
          <w:color w:val="000000"/>
          <w:sz w:val="21"/>
          <w:szCs w:val="21"/>
          <w:highlight w:val="none"/>
        </w:rPr>
        <w:t xml:space="preserve">招标人</w:t>
      </w:r>
      <w:r>
        <w:rPr>
          <w:rFonts w:hint="eastAsia" w:ascii="宋体" w:hAnsi="宋体" w:eastAsia="宋体" w:cs="宋体"/>
          <w:color w:val="000000"/>
          <w:sz w:val="21"/>
          <w:szCs w:val="21"/>
          <w:highlight w:val="none"/>
        </w:rPr>
        <w:t xml:space="preserve">提交履约保证金或履约保函，否则视为中标人放弃中标资格。招标人可以按照评标委员会提出的中标候选人名单排序依次确定其他中标候选人为中标人，也可以重新招标。</w:t>
      </w:r>
      <w:r>
        <w:rPr>
          <w:rFonts w:hint="eastAsia" w:ascii="宋体" w:hAnsi="宋体" w:eastAsia="宋体" w:cs="宋体"/>
          <w:color w:val="000000"/>
          <w:sz w:val="21"/>
          <w:szCs w:val="21"/>
          <w:highlight w:val="none"/>
        </w:rPr>
      </w:r>
      <w:r/>
    </w:p>
    <w:p>
      <w:pPr>
        <w:pStyle w:val="975"/>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11.2</w:t>
      </w:r>
      <w:r>
        <w:rPr>
          <w:rFonts w:hint="eastAsia" w:ascii="宋体" w:hAnsi="宋体" w:eastAsia="宋体" w:cs="宋体"/>
          <w:color w:val="000000"/>
          <w:sz w:val="21"/>
          <w:szCs w:val="21"/>
          <w:highlight w:val="none"/>
        </w:rPr>
        <w:t xml:space="preserve">履约保函应为不可撤销、不可转让的见索即付独立保函，格式详见附件。</w:t>
      </w:r>
      <w:r>
        <w:rPr>
          <w:rFonts w:hint="eastAsia" w:ascii="宋体" w:hAnsi="宋体" w:eastAsia="宋体" w:cs="宋体"/>
          <w:color w:val="000000"/>
          <w:sz w:val="21"/>
          <w:szCs w:val="21"/>
          <w:highlight w:val="none"/>
        </w:rPr>
      </w:r>
      <w:r/>
    </w:p>
    <w:p>
      <w:pPr>
        <w:pStyle w:val="962"/>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附件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履约保函格式</w:t>
      </w:r>
      <w:r>
        <w:rPr>
          <w:rFonts w:hint="eastAsia" w:ascii="宋体" w:hAnsi="宋体" w:eastAsia="宋体" w:cs="宋体"/>
          <w:color w:val="000000"/>
          <w:sz w:val="24"/>
          <w:highlight w:val="none"/>
        </w:rPr>
      </w:r>
      <w:r/>
    </w:p>
    <w:p>
      <w:pPr>
        <w:pStyle w:val="962"/>
        <w:jc w:val="center"/>
        <w:spacing w:line="5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见索即付履约保函（独立保函）模板 （仅供参考）</w:t>
      </w:r>
      <w:r>
        <w:rPr>
          <w:rFonts w:hint="eastAsia" w:ascii="宋体" w:hAnsi="宋体" w:eastAsia="宋体" w:cs="宋体"/>
          <w:b/>
          <w:bCs/>
          <w:color w:val="000000"/>
          <w:sz w:val="28"/>
          <w:szCs w:val="28"/>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申请人： </w:t>
      </w: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受益人：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开立人： </w:t>
      </w: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鉴于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（以下简称“受益人”）已确定</w:t>
      </w:r>
      <w:r>
        <w:rPr>
          <w:rFonts w:hint="eastAsia" w:ascii="宋体" w:hAnsi="宋体" w:eastAsia="宋体" w:cs="宋体"/>
          <w:color w:val="000000"/>
          <w:sz w:val="21"/>
          <w:szCs w:val="21"/>
          <w:highlight w:val="none"/>
          <w:u w:val="single"/>
        </w:rPr>
        <w:t xml:space="preserve">XXXX</w:t>
      </w:r>
      <w:r>
        <w:rPr>
          <w:rFonts w:hint="eastAsia" w:ascii="宋体" w:hAnsi="宋体" w:eastAsia="宋体" w:cs="宋体"/>
          <w:color w:val="000000"/>
          <w:sz w:val="21"/>
          <w:szCs w:val="21"/>
          <w:highlight w:val="none"/>
        </w:rPr>
        <w:t xml:space="preserve">公司，地址：</w:t>
      </w:r>
      <w:r>
        <w:rPr>
          <w:rFonts w:hint="eastAsia" w:ascii="宋体" w:hAnsi="宋体" w:eastAsia="宋体" w:cs="宋体"/>
          <w:color w:val="000000"/>
          <w:sz w:val="21"/>
          <w:szCs w:val="21"/>
          <w:highlight w:val="none"/>
          <w:u w:val="single"/>
        </w:rPr>
        <w:t xml:space="preserve">XXXX</w:t>
      </w:r>
      <w:r>
        <w:rPr>
          <w:rFonts w:hint="eastAsia" w:ascii="宋体" w:hAnsi="宋体" w:eastAsia="宋体" w:cs="宋体"/>
          <w:color w:val="000000"/>
          <w:sz w:val="21"/>
          <w:szCs w:val="21"/>
          <w:highlight w:val="none"/>
        </w:rPr>
        <w:t xml:space="preserve"> （以下简称“申请人”）于XXXX年XX月XX日为</w:t>
      </w:r>
      <w:r>
        <w:rPr>
          <w:rFonts w:hint="eastAsia" w:ascii="宋体" w:hAnsi="宋体" w:eastAsia="宋体" w:cs="宋体"/>
          <w:color w:val="000000"/>
          <w:sz w:val="21"/>
          <w:szCs w:val="21"/>
          <w:highlight w:val="none"/>
          <w:u w:val="single"/>
        </w:rPr>
        <w:t xml:space="preserve">XXXX</w:t>
      </w:r>
      <w:r>
        <w:rPr>
          <w:rFonts w:hint="eastAsia" w:ascii="宋体" w:hAnsi="宋体" w:eastAsia="宋体" w:cs="宋体"/>
          <w:color w:val="000000"/>
          <w:sz w:val="21"/>
          <w:szCs w:val="21"/>
          <w:highlight w:val="none"/>
        </w:rPr>
        <w:t xml:space="preserve">项目（以下简称“本项目”） 中标人，我方（即“开立人”）应申请人的申请，同意就申请人履行与贵方签订的基础合同项下的义务，向贵方提供不可撤销、不可转让的见索即付独立保函（以下简称“本保函”）。 </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本保函担保范围：无论基础合同存在任何争议、申请人提出任何抗辩，只要受益人提交的付款通知符合本保函第四条约定的形式要件，开立人均需承担担保责任，范围包括但不限于申请人未按照基础合同的约定履行义务，应当向贵方承担的违约责任和赔偿因此造成的损失、利息、律师费、诉讼费用、仲裁费用等实现债权的费用。</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二、本保函担保金额最高不超过人民币（大写）XXXX元整（CNY XXXX）。受益人累计索赔金额不超过前述最高担保金额的，开立人均应足额支付，不得无故扣减任何款项。</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rPr>
          <w:rFonts w:hint="eastAsia" w:ascii="宋体" w:hAnsi="宋体" w:eastAsia="宋体" w:cs="宋体"/>
          <w:color w:val="000000"/>
          <w:sz w:val="21"/>
          <w:szCs w:val="21"/>
          <w:highlight w:val="none"/>
        </w:rPr>
        <w:t xml:space="preserve">本保函自出具之日起生效，有效期至基础合同有效期届满（含续签期）之日后60天；基础合同提前终止的，至终止之日后60天。</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我方承诺在收到受益人发来的书面付款通知纸质原件、加盖受益人公章的电子扫描件，或通过公证送达、数据电文（包括但不限于电子邮件、可信电子函证系统）等能够有效记录并证明通知已送达的方式后的7个工作日内无条件向受益人支付，前述书面付款通知即为付款要求之单据，且应满足以下要求：</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（1）付款通知到达的日期在本保函的有效期内；</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（2）载明要求支付的金额；</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（3）载明申请人违反合同义务的条款和内容；</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（4）附受益人声明，声明申请人违反合同义务的具体情况。上述付款通知送达我方的地址为：XXXX。</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与本保函有关的基础合同不成立、不生效、无效、被撤销、被解除，不影响本保函的独立有效。开立人承诺放弃基于与申请人之间的委托合同关系产生的全部抗辩权，不得以此拒绝承担本保函项下的付款义务。</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六、本保函应受国际商会制定的《见索即付保函统一规则》（第七百五十八号出版物）的约束。</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七、本保函适用中华人民共和国法律。在本保函履行期间，如发生争议，任何一方可向常州仲裁委员会申请仲裁，仲裁裁决是终局的，对各方均具有约束力。</w:t>
      </w:r>
      <w:r>
        <w:rPr>
          <w:rFonts w:hint="eastAsia" w:ascii="宋体" w:hAnsi="宋体" w:eastAsia="宋体" w:cs="宋体"/>
          <w:color w:val="000000"/>
          <w:sz w:val="21"/>
          <w:szCs w:val="21"/>
          <w:highlight w:val="none"/>
        </w:rPr>
      </w:r>
      <w:r/>
    </w:p>
    <w:p>
      <w:pPr>
        <w:pStyle w:val="962"/>
        <w:ind w:firstLine="420"/>
        <w:keepLines w:val="0"/>
        <w:keepNext w:val="0"/>
        <w:pageBreakBefore w:val="0"/>
        <w:spacing w:line="5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八、发生下列情形之一的，本保函终止：（1）有效期届满；（2）受益人向开立人退还本保函正本；（3）本保函项下应付金额全部付清。</w:t>
      </w:r>
      <w:r>
        <w:rPr>
          <w:rFonts w:hint="eastAsia" w:ascii="宋体" w:hAnsi="宋体" w:eastAsia="宋体" w:cs="宋体"/>
          <w:color w:val="000000"/>
          <w:sz w:val="21"/>
          <w:szCs w:val="21"/>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jc w:val="righ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保函开立人名称（盖章）：</w:t>
      </w:r>
      <w:r>
        <w:rPr>
          <w:rFonts w:hint="eastAsia" w:ascii="宋体" w:hAnsi="宋体" w:eastAsia="宋体" w:cs="宋体"/>
          <w:color w:val="000000"/>
          <w:sz w:val="21"/>
          <w:szCs w:val="21"/>
          <w:highlight w:val="none"/>
        </w:rPr>
      </w:r>
      <w:r/>
    </w:p>
    <w:p>
      <w:pPr>
        <w:pStyle w:val="962"/>
        <w:ind w:firstLine="480"/>
        <w:jc w:val="left"/>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ind w:firstLine="420"/>
        <w:jc w:val="left"/>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本保函一式三份，申请人、受益人、开立人各执一份，具有同等法律效力。</w:t>
      </w:r>
      <w:r>
        <w:rPr>
          <w:rFonts w:hint="eastAsia" w:ascii="宋体" w:hAnsi="宋体" w:eastAsia="宋体" w:cs="宋体"/>
          <w:color w:val="000000"/>
          <w:sz w:val="21"/>
          <w:szCs w:val="21"/>
          <w:highlight w:val="none"/>
        </w:rPr>
      </w:r>
      <w:r/>
    </w:p>
    <w:p>
      <w:pPr>
        <w:pStyle w:val="962"/>
        <w:ind w:firstLine="420"/>
        <w:jc w:val="left"/>
        <w:spacing w:line="5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未经受益人书面同意，开立人不得单方变更、解除本保函</w:t>
      </w:r>
      <w:r>
        <w:rPr>
          <w:rFonts w:hint="eastAsia" w:ascii="宋体" w:hAnsi="宋体" w:eastAsia="宋体" w:cs="宋体"/>
          <w:color w:val="000000"/>
          <w:sz w:val="21"/>
          <w:szCs w:val="21"/>
          <w:highlight w:val="none"/>
          <w:lang w:eastAsia="zh-CN"/>
        </w:rPr>
      </w:r>
      <w:r/>
    </w:p>
    <w:p>
      <w:pPr>
        <w:pStyle w:val="962"/>
        <w:jc w:val="left"/>
        <w:spacing w:line="56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r>
      <w:r/>
    </w:p>
    <w:p>
      <w:pPr>
        <w:pStyle w:val="97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85"/>
        <w:rPr>
          <w:rStyle w:val="1186"/>
          <w:rFonts w:hint="eastAsia" w:ascii="宋体" w:hAnsi="宋体" w:eastAsia="宋体" w:cs="宋体"/>
          <w:b w:val="0"/>
          <w:color w:val="000000"/>
          <w:highlight w:val="none"/>
        </w:rPr>
      </w:pPr>
      <w:r/>
      <w:bookmarkStart w:id="788" w:name="_Hlk139628515"/>
      <w:r>
        <w:rPr>
          <w:rFonts w:hint="eastAsia" w:ascii="宋体" w:hAnsi="宋体" w:eastAsia="宋体" w:cs="宋体"/>
          <w:color w:val="000000"/>
          <w:sz w:val="28"/>
          <w:szCs w:val="28"/>
          <w:highlight w:val="none"/>
        </w:rPr>
        <w:br w:type="page" w:clear="all"/>
      </w:r>
      <w:bookmarkStart w:id="789" w:name="_Toc27685"/>
      <w:r>
        <w:rPr>
          <w:rStyle w:val="1186"/>
          <w:rFonts w:hint="eastAsia" w:ascii="宋体" w:hAnsi="宋体" w:eastAsia="宋体" w:cs="宋体"/>
          <w:b/>
          <w:bCs/>
          <w:color w:val="000000"/>
          <w:highlight w:val="none"/>
        </w:rPr>
        <w:t xml:space="preserve">第六章  </w:t>
      </w:r>
      <w:bookmarkStart w:id="790" w:name="_Hlk138941606"/>
      <w:r>
        <w:rPr>
          <w:rStyle w:val="1186"/>
          <w:rFonts w:hint="eastAsia" w:ascii="宋体" w:hAnsi="宋体" w:eastAsia="宋体" w:cs="宋体"/>
          <w:b/>
          <w:bCs/>
          <w:color w:val="000000"/>
          <w:highlight w:val="none"/>
        </w:rPr>
        <w:t xml:space="preserve"> </w:t>
      </w:r>
      <w:bookmarkStart w:id="791" w:name="_Hlk119591849"/>
      <w:r>
        <w:rPr>
          <w:rStyle w:val="1186"/>
          <w:rFonts w:hint="eastAsia" w:ascii="宋体" w:hAnsi="宋体" w:eastAsia="宋体" w:cs="宋体"/>
          <w:b/>
          <w:bCs/>
          <w:color w:val="000000"/>
          <w:highlight w:val="none"/>
        </w:rPr>
        <w:t xml:space="preserve">拟签订的合同文本</w:t>
      </w:r>
      <w:bookmarkEnd w:id="789"/>
      <w:r/>
      <w:bookmarkEnd w:id="790"/>
      <w:r/>
      <w:bookmarkEnd w:id="791"/>
      <w:r>
        <w:rPr>
          <w:rStyle w:val="1186"/>
          <w:rFonts w:hint="eastAsia" w:ascii="宋体" w:hAnsi="宋体" w:eastAsia="宋体" w:cs="宋体"/>
          <w:b w:val="0"/>
          <w:color w:val="000000"/>
          <w:highlight w:val="none"/>
        </w:rPr>
      </w:r>
      <w:r/>
    </w:p>
    <w:p>
      <w:pPr>
        <w:pStyle w:val="1185"/>
        <w:contextualSpacing/>
        <w:ind w:firstLine="422"/>
        <w:spacing w:before="0" w:after="0" w:line="360" w:lineRule="auto"/>
        <w:rPr>
          <w:rFonts w:hint="eastAsia" w:ascii="宋体" w:hAnsi="宋体" w:eastAsia="宋体" w:cs="宋体"/>
          <w:color w:val="000000"/>
          <w:sz w:val="21"/>
          <w:szCs w:val="21"/>
          <w:highlight w:val="none"/>
        </w:rPr>
      </w:pPr>
      <w:r/>
      <w:bookmarkEnd w:id="788"/>
      <w:r/>
      <w:bookmarkStart w:id="792" w:name="_Hlk132754170"/>
      <w:r/>
      <w:bookmarkEnd w:id="792"/>
      <w:r>
        <w:rPr>
          <w:rFonts w:hint="eastAsia" w:ascii="宋体" w:hAnsi="宋体" w:eastAsia="宋体" w:cs="宋体"/>
          <w:color w:val="000000"/>
          <w:sz w:val="21"/>
          <w:szCs w:val="21"/>
          <w:highlight w:val="none"/>
        </w:rPr>
      </w:r>
      <w:r/>
    </w:p>
    <w:p>
      <w:pPr>
        <w:pStyle w:val="9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jc w:val="left"/>
        <w:keepLines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甲方：</w:t>
      </w:r>
      <w:r>
        <w:rPr>
          <w:rFonts w:hint="eastAsia" w:ascii="宋体" w:hAnsi="宋体" w:eastAsia="宋体" w:cs="宋体"/>
          <w:color w:val="000000"/>
          <w:sz w:val="21"/>
          <w:szCs w:val="21"/>
          <w:highlight w:val="none"/>
          <w:u w:val="single"/>
          <w:lang w:val="en-US" w:eastAsia="zh-CN"/>
        </w:rPr>
        <w:t xml:space="preserve">常州市排水管理处</w:t>
      </w:r>
      <w:r>
        <w:rPr>
          <w:rFonts w:hint="eastAsia" w:ascii="宋体" w:hAnsi="宋体" w:eastAsia="宋体" w:cs="宋体"/>
          <w:color w:val="000000"/>
          <w:sz w:val="21"/>
          <w:szCs w:val="21"/>
          <w:highlight w:val="none"/>
          <w:lang w:val="en-US" w:eastAsia="zh-CN"/>
        </w:rPr>
      </w:r>
      <w:r/>
    </w:p>
    <w:p>
      <w:pPr>
        <w:pStyle w:val="962"/>
        <w:jc w:val="left"/>
        <w:keepLines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住所地：常州市飞龙东路116号</w:t>
      </w:r>
      <w:r>
        <w:rPr>
          <w:rFonts w:hint="eastAsia" w:ascii="宋体" w:hAnsi="宋体" w:eastAsia="宋体" w:cs="宋体"/>
          <w:color w:val="000000"/>
          <w:sz w:val="21"/>
          <w:szCs w:val="21"/>
          <w:highlight w:val="none"/>
          <w:lang w:val="zh-CN"/>
        </w:rPr>
      </w:r>
      <w:r/>
    </w:p>
    <w:p>
      <w:pPr>
        <w:pStyle w:val="962"/>
        <w:jc w:val="left"/>
        <w:keepLines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w:t>
      </w:r>
      <w:r>
        <w:rPr>
          <w:rFonts w:hint="eastAsia" w:ascii="宋体" w:hAnsi="宋体" w:eastAsia="宋体" w:cs="宋体"/>
          <w:color w:val="000000"/>
          <w:sz w:val="21"/>
          <w:szCs w:val="21"/>
          <w:highlight w:val="none"/>
          <w:lang w:val="zh-CN"/>
        </w:rPr>
      </w:r>
      <w:r/>
    </w:p>
    <w:p>
      <w:pPr>
        <w:pStyle w:val="962"/>
        <w:jc w:val="left"/>
        <w:keepLines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统一社会信用代码：</w:t>
      </w:r>
      <w:r>
        <w:rPr>
          <w:rFonts w:hint="eastAsia" w:ascii="宋体" w:hAnsi="宋体" w:eastAsia="宋体" w:cs="宋体"/>
          <w:color w:val="000000"/>
          <w:sz w:val="21"/>
          <w:szCs w:val="21"/>
          <w:highlight w:val="none"/>
          <w:lang w:val="zh-CN"/>
        </w:rPr>
      </w:r>
      <w:r/>
    </w:p>
    <w:p>
      <w:pPr>
        <w:pStyle w:val="962"/>
        <w:jc w:val="left"/>
        <w:keepLines w:val="0"/>
        <w:spacing w:line="48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962"/>
        <w:jc w:val="left"/>
        <w:keepLines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w:t>
      </w:r>
      <w:r>
        <w:rPr>
          <w:rFonts w:hint="eastAsia" w:ascii="宋体" w:hAnsi="宋体" w:eastAsia="宋体" w:cs="宋体"/>
          <w:color w:val="000000"/>
          <w:sz w:val="21"/>
          <w:szCs w:val="21"/>
          <w:highlight w:val="none"/>
          <w:lang w:val="zh-CN"/>
        </w:rPr>
      </w:r>
      <w:r/>
    </w:p>
    <w:p>
      <w:pPr>
        <w:pStyle w:val="962"/>
        <w:jc w:val="left"/>
        <w:keepLines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zh-CN"/>
        </w:rPr>
        <w:t xml:space="preserve">住所地：</w:t>
      </w:r>
      <w:r>
        <w:rPr>
          <w:rFonts w:hint="eastAsia" w:ascii="宋体" w:hAnsi="宋体" w:eastAsia="宋体" w:cs="宋体"/>
          <w:color w:val="000000"/>
          <w:sz w:val="21"/>
          <w:szCs w:val="21"/>
          <w:highlight w:val="none"/>
          <w:u w:val="single"/>
        </w:rPr>
      </w:r>
      <w:r/>
    </w:p>
    <w:p>
      <w:pPr>
        <w:pStyle w:val="962"/>
        <w:jc w:val="left"/>
        <w:keepLines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w:t>
      </w:r>
      <w:r>
        <w:rPr>
          <w:rFonts w:hint="eastAsia" w:ascii="宋体" w:hAnsi="宋体" w:eastAsia="宋体" w:cs="宋体"/>
          <w:color w:val="000000"/>
          <w:sz w:val="21"/>
          <w:szCs w:val="21"/>
          <w:highlight w:val="none"/>
          <w:lang w:val="zh-CN"/>
        </w:rPr>
      </w:r>
      <w:r/>
    </w:p>
    <w:p>
      <w:pPr>
        <w:pStyle w:val="962"/>
        <w:jc w:val="left"/>
        <w:keepLines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统一社会信用代码：</w:t>
      </w:r>
      <w:r>
        <w:rPr>
          <w:rFonts w:hint="eastAsia" w:ascii="宋体" w:hAnsi="宋体" w:eastAsia="宋体" w:cs="宋体"/>
          <w:color w:val="000000"/>
          <w:sz w:val="21"/>
          <w:szCs w:val="21"/>
          <w:highlight w:val="none"/>
          <w:lang w:val="zh-CN"/>
        </w:rPr>
      </w:r>
      <w:r/>
    </w:p>
    <w:p>
      <w:pPr>
        <w:pStyle w:val="962"/>
        <w:ind w:firstLine="140"/>
        <w:jc w:val="right"/>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根据《中华人民共和国政府采购法》、《中华人民共和国民法典》等法律法规的规定，甲乙双方按照公开招标的采购结果（招标编号：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），签订本合同。</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第一条  </w:t>
      </w:r>
      <w:r>
        <w:rPr>
          <w:rFonts w:hint="eastAsia" w:ascii="宋体" w:hAnsi="宋体" w:eastAsia="宋体" w:cs="宋体"/>
          <w:b/>
          <w:color w:val="000000"/>
          <w:sz w:val="21"/>
          <w:szCs w:val="21"/>
          <w:highlight w:val="none"/>
        </w:rPr>
        <w:t xml:space="preserve">项目概况</w:t>
      </w:r>
      <w:r>
        <w:rPr>
          <w:rFonts w:hint="eastAsia" w:ascii="宋体" w:hAnsi="宋体" w:eastAsia="宋体" w:cs="宋体"/>
          <w:b/>
          <w:color w:val="000000"/>
          <w:sz w:val="21"/>
          <w:szCs w:val="21"/>
          <w:highlight w:val="none"/>
        </w:rPr>
      </w:r>
      <w:r/>
    </w:p>
    <w:p>
      <w:pPr>
        <w:pStyle w:val="962"/>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lang w:val="en-US" w:eastAsia="zh-CN"/>
        </w:rPr>
        <w:t xml:space="preserve">项目编号：</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（二）</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排水泵站设备检查保养及维修</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rPr>
        <w:t xml:space="preserve">指定地点，主要包含常州市排水管理处管辖范围内的一百多座雨污水泵站，五星、双桥浜等净水补水泵站及抽排泵站等。 </w:t>
      </w:r>
      <w:r>
        <w:rPr>
          <w:rFonts w:hint="eastAsia" w:ascii="宋体" w:hAnsi="宋体" w:eastAsia="宋体" w:cs="宋体"/>
          <w:color w:val="000000"/>
          <w:sz w:val="21"/>
          <w:szCs w:val="21"/>
          <w:highlight w:val="none"/>
          <w:u w:val="single"/>
        </w:rPr>
      </w:r>
      <w:r/>
    </w:p>
    <w:p>
      <w:pPr>
        <w:pStyle w:val="962"/>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lang w:val="en-US" w:eastAsia="zh-CN" w:bidi="ar-SA"/>
        </w:rPr>
        <w:t xml:space="preserve">（四）</w:t>
      </w:r>
      <w:r>
        <w:rPr>
          <w:rFonts w:hint="eastAsia" w:ascii="宋体" w:hAnsi="宋体" w:eastAsia="宋体" w:cs="宋体"/>
          <w:color w:val="000000"/>
          <w:sz w:val="21"/>
          <w:szCs w:val="21"/>
          <w:highlight w:val="none"/>
        </w:rPr>
        <w:t xml:space="preserve">乙方资质：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62"/>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（五）</w:t>
      </w:r>
      <w:r>
        <w:rPr>
          <w:rFonts w:hint="eastAsia" w:ascii="宋体" w:hAnsi="宋体" w:eastAsia="宋体" w:cs="宋体"/>
          <w:color w:val="000000"/>
          <w:sz w:val="21"/>
          <w:szCs w:val="21"/>
          <w:highlight w:val="none"/>
        </w:rPr>
        <w:t xml:space="preserve">维修范围：</w:t>
      </w:r>
      <w:r>
        <w:rPr>
          <w:rFonts w:hint="eastAsia" w:ascii="宋体" w:hAnsi="宋体" w:eastAsia="宋体" w:cs="宋体"/>
          <w:color w:val="000000"/>
          <w:sz w:val="21"/>
          <w:szCs w:val="21"/>
          <w:highlight w:val="none"/>
          <w:u w:val="single"/>
        </w:rPr>
        <w:t xml:space="preserve">甲方管辖范围内的各类</w:t>
      </w:r>
      <w:r>
        <w:rPr>
          <w:rFonts w:hint="eastAsia" w:ascii="宋体" w:hAnsi="宋体" w:eastAsia="宋体" w:cs="宋体"/>
          <w:color w:val="000000"/>
          <w:sz w:val="21"/>
          <w:szCs w:val="21"/>
          <w:highlight w:val="none"/>
          <w:u w:val="single"/>
          <w:lang w:val="en-US" w:eastAsia="zh-CN"/>
        </w:rPr>
        <w:t xml:space="preserve">设备检查保养、问题诊断及</w:t>
      </w:r>
      <w:r>
        <w:rPr>
          <w:rFonts w:hint="eastAsia" w:ascii="宋体" w:hAnsi="宋体" w:eastAsia="宋体" w:cs="宋体"/>
          <w:color w:val="000000"/>
          <w:sz w:val="21"/>
          <w:szCs w:val="21"/>
          <w:highlight w:val="none"/>
          <w:u w:val="single"/>
        </w:rPr>
        <w:t xml:space="preserve">故障排除、设备维修及相关工作</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（六）</w:t>
      </w:r>
      <w:r>
        <w:rPr>
          <w:rFonts w:hint="eastAsia" w:ascii="宋体" w:hAnsi="宋体" w:eastAsia="宋体" w:cs="宋体"/>
          <w:color w:val="000000"/>
          <w:sz w:val="21"/>
          <w:szCs w:val="21"/>
          <w:highlight w:val="none"/>
        </w:rPr>
        <w:t xml:space="preserve">服务期限：自</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日起至</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日止。</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（七）</w:t>
      </w:r>
      <w:r>
        <w:rPr>
          <w:rFonts w:hint="eastAsia" w:ascii="宋体" w:hAnsi="宋体" w:eastAsia="宋体" w:cs="宋体"/>
          <w:color w:val="000000"/>
          <w:sz w:val="21"/>
          <w:szCs w:val="21"/>
          <w:highlight w:val="none"/>
        </w:rPr>
        <w:t xml:space="preserve">计价清单：见附件1。</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第二条  </w:t>
      </w:r>
      <w:r>
        <w:rPr>
          <w:rFonts w:hint="eastAsia" w:ascii="宋体" w:hAnsi="宋体" w:eastAsia="宋体" w:cs="宋体"/>
          <w:b/>
          <w:color w:val="000000"/>
          <w:sz w:val="21"/>
          <w:szCs w:val="21"/>
          <w:highlight w:val="none"/>
          <w:lang w:val="en-US" w:eastAsia="zh-CN"/>
        </w:rPr>
        <w:t xml:space="preserve">服务内容</w:t>
      </w:r>
      <w:r>
        <w:rPr>
          <w:rFonts w:hint="eastAsia" w:ascii="宋体" w:hAnsi="宋体" w:eastAsia="宋体" w:cs="宋体"/>
          <w:b/>
          <w:color w:val="000000"/>
          <w:sz w:val="21"/>
          <w:szCs w:val="21"/>
          <w:highlight w:val="none"/>
        </w:rPr>
      </w:r>
      <w:r/>
    </w:p>
    <w:p>
      <w:pPr>
        <w:pStyle w:val="962"/>
        <w:ind w:firstLine="422"/>
        <w:jc w:val="left"/>
        <w:keepLines w:val="0"/>
        <w:keepNext w:val="0"/>
        <w:pageBreakBefore w:val="0"/>
        <w:spacing w:line="360" w:lineRule="auto"/>
        <w:widowControl/>
        <w:tabs>
          <w:tab w:val="left" w:pos="0" w:leader="none"/>
        </w:tabs>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本</w:t>
      </w:r>
      <w:r>
        <w:rPr>
          <w:rFonts w:hint="eastAsia" w:ascii="宋体" w:hAnsi="宋体" w:eastAsia="宋体" w:cs="宋体"/>
          <w:b/>
          <w:color w:val="000000"/>
          <w:sz w:val="21"/>
          <w:szCs w:val="21"/>
          <w:highlight w:val="none"/>
          <w:lang w:val="en-US" w:eastAsia="zh-CN"/>
        </w:rPr>
        <w:t xml:space="preserve">项目</w:t>
      </w:r>
      <w:r>
        <w:rPr>
          <w:rFonts w:hint="eastAsia" w:ascii="宋体" w:hAnsi="宋体" w:eastAsia="宋体" w:cs="宋体"/>
          <w:b/>
          <w:color w:val="000000"/>
          <w:sz w:val="21"/>
          <w:szCs w:val="21"/>
          <w:highlight w:val="none"/>
        </w:rPr>
        <w:t xml:space="preserve">工作范围为泵站所管辖泵站的设备检查、保养及维修服务，包括但不限于水泵机组、格栅、闸（阀）门、启闭机、除臭设备、电气等。工作内容包括：设备故障排除与维修、设备保养、维修材料供应等。</w:t>
      </w:r>
      <w:r>
        <w:rPr>
          <w:rFonts w:hint="eastAsia" w:ascii="宋体" w:hAnsi="宋体" w:eastAsia="宋体" w:cs="宋体"/>
          <w:b/>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第三条  </w:t>
      </w:r>
      <w:r>
        <w:rPr>
          <w:rFonts w:hint="eastAsia" w:ascii="宋体" w:hAnsi="宋体" w:eastAsia="宋体" w:cs="宋体"/>
          <w:b/>
          <w:color w:val="000000"/>
          <w:sz w:val="21"/>
          <w:szCs w:val="21"/>
          <w:highlight w:val="none"/>
        </w:rPr>
        <w:t xml:space="preserve">合同文件组成</w:t>
      </w:r>
      <w:r>
        <w:rPr>
          <w:rFonts w:hint="eastAsia" w:ascii="宋体" w:hAnsi="宋体" w:eastAsia="宋体" w:cs="宋体"/>
          <w:b/>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合同文件</w:t>
      </w:r>
      <w:r>
        <w:rPr>
          <w:rFonts w:hint="eastAsia" w:ascii="宋体" w:hAnsi="宋体" w:eastAsia="宋体" w:cs="宋体"/>
          <w:color w:val="000000"/>
          <w:sz w:val="21"/>
          <w:szCs w:val="21"/>
          <w:highlight w:val="none"/>
          <w:lang w:val="en-US" w:eastAsia="zh-CN"/>
        </w:rPr>
        <w:t xml:space="preserve">构</w:t>
      </w:r>
      <w:r>
        <w:rPr>
          <w:rFonts w:hint="eastAsia" w:ascii="宋体" w:hAnsi="宋体" w:eastAsia="宋体" w:cs="宋体"/>
          <w:color w:val="000000"/>
          <w:sz w:val="21"/>
          <w:szCs w:val="21"/>
          <w:highlight w:val="none"/>
        </w:rPr>
        <w:t xml:space="preserve">成如下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rPr>
        <w:t xml:space="preserve">合同相关的补充协议；</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（二）</w:t>
      </w:r>
      <w:r>
        <w:rPr>
          <w:rFonts w:hint="eastAsia" w:ascii="宋体" w:hAnsi="宋体" w:eastAsia="宋体" w:cs="宋体"/>
          <w:color w:val="000000"/>
          <w:sz w:val="21"/>
          <w:szCs w:val="21"/>
          <w:highlight w:val="none"/>
        </w:rPr>
        <w:t xml:space="preserve">本合同协议书；</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（四）</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文件及相关说明；</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（五）</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文件及相关说明；</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（六）</w:t>
      </w:r>
      <w:r>
        <w:rPr>
          <w:rFonts w:hint="eastAsia" w:ascii="宋体" w:hAnsi="宋体" w:eastAsia="宋体" w:cs="宋体"/>
          <w:color w:val="000000"/>
          <w:sz w:val="21"/>
          <w:szCs w:val="21"/>
          <w:highlight w:val="none"/>
        </w:rPr>
        <w:t xml:space="preserve">乙方在招投标过程中所作的其它承诺、声明、书面澄清等。</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当合同文件出现含糊不清或不相一致，按以上优先顺序进行解释。</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第四条  </w:t>
      </w:r>
      <w:r>
        <w:rPr>
          <w:rFonts w:hint="eastAsia" w:ascii="宋体" w:hAnsi="宋体" w:eastAsia="宋体" w:cs="宋体"/>
          <w:b/>
          <w:color w:val="000000"/>
          <w:sz w:val="21"/>
          <w:szCs w:val="21"/>
          <w:highlight w:val="none"/>
        </w:rPr>
        <w:t xml:space="preserve">履约保证金</w:t>
      </w:r>
      <w:r>
        <w:rPr>
          <w:rFonts w:hint="eastAsia" w:ascii="宋体" w:hAnsi="宋体" w:eastAsia="宋体" w:cs="宋体"/>
          <w:b/>
          <w:color w:val="000000"/>
          <w:sz w:val="21"/>
          <w:szCs w:val="21"/>
          <w:highlight w:val="none"/>
        </w:rPr>
      </w:r>
      <w:r/>
    </w:p>
    <w:p>
      <w:pPr>
        <w:pStyle w:val="962"/>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（一）乙方应在收到中标通知书后15日</w:t>
      </w:r>
      <w:r>
        <w:rPr>
          <w:rFonts w:hint="eastAsia" w:ascii="宋体" w:hAnsi="宋体" w:eastAsia="宋体" w:cs="宋体"/>
          <w:color w:val="000000"/>
          <w:sz w:val="21"/>
          <w:szCs w:val="21"/>
          <w:highlight w:val="none"/>
          <w:lang w:val="en-US" w:eastAsia="zh-CN"/>
        </w:rPr>
        <w:t xml:space="preserve">历日</w:t>
      </w:r>
      <w:r>
        <w:rPr>
          <w:rFonts w:hint="eastAsia" w:ascii="宋体" w:hAnsi="宋体" w:eastAsia="宋体" w:cs="宋体"/>
          <w:color w:val="000000"/>
          <w:sz w:val="21"/>
          <w:szCs w:val="21"/>
          <w:highlight w:val="none"/>
        </w:rPr>
        <w:t xml:space="preserve">内、签订合同前，向甲方提交履约保证金（合同预估总价的10%）_________元（大写）。</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（二）履约保证金以向甲方银行账户转账或提交银行履约保函的形式提交。若履约保证金以向甲方银行账户转账的形式提交，甲方账户如下：</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账户名：常州市财政局，开户银行：建行常州分行营业部，账号：32001629101052500075。</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（三）若乙方未能履行合同规定的义务，甲方有权直接从履约保证金中扣除相当于乙方应支付之违约金及赔偿金的数额，不足部分由乙方另行补足。</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（四）</w:t>
      </w:r>
      <w:r>
        <w:rPr>
          <w:rFonts w:hint="eastAsia" w:ascii="宋体" w:hAnsi="宋体" w:eastAsia="宋体" w:cs="宋体"/>
          <w:color w:val="000000"/>
          <w:sz w:val="21"/>
          <w:szCs w:val="21"/>
          <w:highlight w:val="none"/>
        </w:rPr>
        <w:t xml:space="preserve">合同期满或提前终止，且甲方确认乙方已按约定完成交接，无任何未结清的违约金、赔偿金及其他款项后，甲方应在15个工作日内将履约保证金（如有余额）无息退还乙方。</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第五条  </w:t>
      </w:r>
      <w:r>
        <w:rPr>
          <w:rFonts w:hint="eastAsia" w:ascii="宋体" w:hAnsi="宋体" w:eastAsia="宋体" w:cs="宋体"/>
          <w:b/>
          <w:color w:val="000000"/>
          <w:sz w:val="21"/>
          <w:szCs w:val="21"/>
          <w:highlight w:val="none"/>
        </w:rPr>
        <w:t xml:space="preserve">合同价格与支付</w:t>
      </w:r>
      <w:r>
        <w:rPr>
          <w:rFonts w:hint="eastAsia" w:ascii="宋体" w:hAnsi="宋体" w:eastAsia="宋体" w:cs="宋体"/>
          <w:b/>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bidi="ar-SA"/>
        </w:rPr>
        <w:t xml:space="preserve">（一）</w:t>
      </w:r>
      <w:r>
        <w:rPr>
          <w:rFonts w:hint="eastAsia" w:ascii="宋体" w:hAnsi="宋体" w:eastAsia="宋体" w:cs="宋体"/>
          <w:b/>
          <w:color w:val="000000"/>
          <w:sz w:val="21"/>
          <w:szCs w:val="21"/>
          <w:highlight w:val="none"/>
        </w:rPr>
        <w:t xml:space="preserve">合同价格</w:t>
      </w:r>
      <w:r>
        <w:rPr>
          <w:rFonts w:hint="eastAsia" w:ascii="宋体" w:hAnsi="宋体" w:eastAsia="宋体" w:cs="宋体"/>
          <w:b/>
          <w:color w:val="000000"/>
          <w:sz w:val="21"/>
          <w:szCs w:val="21"/>
          <w:highlight w:val="none"/>
        </w:rPr>
      </w:r>
      <w:r/>
    </w:p>
    <w:p>
      <w:pPr>
        <w:pStyle w:val="962"/>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本合同预估总价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本合同计价采用固定单价</w:t>
      </w:r>
      <w:r>
        <w:rPr>
          <w:rFonts w:hint="eastAsia" w:ascii="宋体" w:hAnsi="宋体" w:eastAsia="宋体" w:cs="宋体"/>
          <w:color w:val="000000"/>
          <w:sz w:val="21"/>
          <w:szCs w:val="21"/>
          <w:highlight w:val="none"/>
          <w:lang w:eastAsia="zh-CN"/>
        </w:rPr>
        <w:t xml:space="preserve">，固定单价按招标基准单价</w:t>
      </w:r>
      <w:r>
        <w:rPr>
          <w:rFonts w:hint="eastAsia" w:ascii="宋体" w:hAnsi="宋体" w:eastAsia="宋体" w:cs="宋体"/>
          <w:color w:val="000000"/>
          <w:sz w:val="21"/>
          <w:szCs w:val="21"/>
          <w:highlight w:val="none"/>
          <w:lang w:val="en-US" w:eastAsia="zh-CN"/>
        </w:rPr>
        <w:t xml:space="preserve">*（1-中标优惠率）</w:t>
      </w:r>
      <w:r>
        <w:rPr>
          <w:rFonts w:hint="eastAsia" w:ascii="宋体" w:hAnsi="宋体" w:eastAsia="宋体" w:cs="宋体"/>
          <w:color w:val="000000"/>
          <w:sz w:val="21"/>
          <w:szCs w:val="21"/>
          <w:highlight w:val="none"/>
        </w:rPr>
        <w:t xml:space="preserve">方式</w:t>
      </w:r>
      <w:r>
        <w:rPr>
          <w:rFonts w:hint="eastAsia" w:ascii="宋体" w:hAnsi="宋体" w:eastAsia="宋体" w:cs="宋体"/>
          <w:color w:val="000000"/>
          <w:sz w:val="21"/>
          <w:szCs w:val="21"/>
          <w:highlight w:val="none"/>
          <w:lang w:eastAsia="zh-CN"/>
        </w:rPr>
        <w:t xml:space="preserve">确定，本合同中标优惠率</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具体单价详见附件1《常州市排水管理处 </w:t>
      </w:r>
      <w:r>
        <w:rPr>
          <w:rFonts w:hint="eastAsia" w:ascii="宋体" w:hAnsi="宋体" w:eastAsia="宋体" w:cs="宋体"/>
          <w:color w:val="000000"/>
          <w:sz w:val="21"/>
          <w:szCs w:val="21"/>
          <w:highlight w:val="none"/>
          <w:lang w:eastAsia="zh-CN"/>
        </w:rPr>
        <w:t xml:space="preserve">排水泵站设备检查保养及维修</w:t>
      </w:r>
      <w:r>
        <w:rPr>
          <w:rFonts w:hint="eastAsia" w:ascii="宋体" w:hAnsi="宋体" w:eastAsia="宋体" w:cs="宋体"/>
          <w:color w:val="000000"/>
          <w:sz w:val="21"/>
          <w:szCs w:val="21"/>
          <w:highlight w:val="none"/>
        </w:rPr>
        <w:t xml:space="preserve"> 计价清单》。</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本合同价款包括提供本服务所需的人工、材料、设备、运输、维修安装、管理费、利润、保险、规费、税金等全部费用。合同有效期内不作调整。</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如果在履行合同过程中适用的税收政策发生变化不再对合同单价进行调整。本合同涉及的发票，均应按付款时的增值税税率开具，该税费已包含在合同价款中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关于非清单维修内容的规定：招标清单中未列出而实际必须发生的配件及维修事项由招标人另行组织采购，应急抢修的除外。</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价款支付</w:t>
      </w:r>
      <w:r>
        <w:rPr>
          <w:rFonts w:hint="eastAsia" w:ascii="宋体" w:hAnsi="宋体" w:eastAsia="宋体" w:cs="宋体"/>
          <w:b/>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本合同无预付款，每月</w:t>
      </w:r>
      <w:r>
        <w:rPr>
          <w:rFonts w:hint="eastAsia" w:ascii="宋体" w:hAnsi="宋体" w:eastAsia="宋体" w:cs="宋体"/>
          <w:color w:val="000000"/>
          <w:sz w:val="21"/>
          <w:szCs w:val="21"/>
          <w:highlight w:val="none"/>
          <w:lang w:val="en-US" w:eastAsia="zh-CN"/>
        </w:rPr>
        <w:t xml:space="preserve">应付</w:t>
      </w:r>
      <w:r>
        <w:rPr>
          <w:rFonts w:hint="eastAsia" w:ascii="宋体" w:hAnsi="宋体" w:eastAsia="宋体" w:cs="宋体"/>
          <w:color w:val="000000"/>
          <w:sz w:val="21"/>
          <w:szCs w:val="21"/>
          <w:highlight w:val="none"/>
        </w:rPr>
        <w:t xml:space="preserve">价款根据单价和签证量进行计算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每月实际支付总额依据其对应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月度服务质量评价表（部门）》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附件2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中考核分数</w:t>
      </w:r>
      <w:r>
        <w:rPr>
          <w:rFonts w:hint="eastAsia" w:ascii="宋体" w:hAnsi="宋体" w:eastAsia="宋体" w:cs="宋体"/>
          <w:color w:val="000000"/>
          <w:sz w:val="21"/>
          <w:szCs w:val="21"/>
          <w:highlight w:val="none"/>
          <w:lang w:val="en-US" w:eastAsia="zh-CN"/>
        </w:rPr>
        <w:t xml:space="preserve">进行调整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支付周期不超过60日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甲方应将服务费汇入以下乙方账户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户名：</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962"/>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b w:val="0"/>
          <w:bCs/>
          <w:color w:val="000000"/>
          <w:sz w:val="21"/>
          <w:szCs w:val="21"/>
          <w:highlight w:val="none"/>
          <w:u w:val="single"/>
          <w:lang w:eastAsia="zh-CN"/>
        </w:rPr>
        <w:outlineLvl w:val="9"/>
      </w:pPr>
      <w:r>
        <w:rPr>
          <w:rFonts w:hint="eastAsia" w:ascii="宋体" w:hAnsi="宋体" w:eastAsia="宋体" w:cs="宋体"/>
          <w:b w:val="0"/>
          <w:bCs/>
          <w:color w:val="000000"/>
          <w:sz w:val="21"/>
          <w:szCs w:val="21"/>
          <w:highlight w:val="none"/>
        </w:rPr>
        <w:t xml:space="preserve">开户行：</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u w:val="none"/>
          <w:lang w:eastAsia="zh-CN"/>
        </w:rPr>
        <w:t xml:space="preserve">；</w:t>
      </w:r>
      <w:r>
        <w:rPr>
          <w:rFonts w:hint="eastAsia" w:ascii="宋体" w:hAnsi="宋体" w:eastAsia="宋体" w:cs="宋体"/>
          <w:b w:val="0"/>
          <w:bCs/>
          <w:color w:val="000000"/>
          <w:sz w:val="21"/>
          <w:szCs w:val="21"/>
          <w:highlight w:val="none"/>
          <w:u w:val="single"/>
          <w:lang w:eastAsia="zh-CN"/>
        </w:rPr>
      </w:r>
      <w:r/>
    </w:p>
    <w:p>
      <w:pPr>
        <w:pStyle w:val="962"/>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b w:val="0"/>
          <w:bCs/>
          <w:color w:val="000000"/>
          <w:sz w:val="21"/>
          <w:szCs w:val="21"/>
          <w:highlight w:val="none"/>
          <w:u w:val="single"/>
        </w:rPr>
        <w:outlineLvl w:val="9"/>
      </w:pPr>
      <w:r>
        <w:rPr>
          <w:rFonts w:hint="eastAsia" w:ascii="宋体" w:hAnsi="宋体" w:eastAsia="宋体" w:cs="宋体"/>
          <w:b w:val="0"/>
          <w:bCs/>
          <w:color w:val="000000"/>
          <w:sz w:val="21"/>
          <w:szCs w:val="21"/>
          <w:highlight w:val="none"/>
        </w:rPr>
        <w:t xml:space="preserve">帐号：</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u w:val="none"/>
          <w:lang w:eastAsia="zh-CN"/>
        </w:rPr>
        <w:t xml:space="preserve">。</w:t>
      </w:r>
      <w:r>
        <w:rPr>
          <w:rFonts w:hint="eastAsia" w:ascii="宋体" w:hAnsi="宋体" w:eastAsia="宋体" w:cs="宋体"/>
          <w:b w:val="0"/>
          <w:bCs/>
          <w:color w:val="000000"/>
          <w:sz w:val="21"/>
          <w:szCs w:val="21"/>
          <w:highlight w:val="none"/>
          <w:u w:val="single"/>
        </w:rPr>
      </w:r>
      <w:r/>
    </w:p>
    <w:p>
      <w:pPr>
        <w:pStyle w:val="962"/>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b w:val="0"/>
          <w:bCs w:val="0"/>
          <w:color w:val="000000"/>
          <w:sz w:val="21"/>
          <w:szCs w:val="21"/>
          <w:highlight w:val="none"/>
        </w:rPr>
        <w:outlineLvl w:val="9"/>
      </w:pPr>
      <w:r>
        <w:rPr>
          <w:rFonts w:hint="eastAsia" w:ascii="宋体" w:hAnsi="宋体" w:eastAsia="宋体" w:cs="宋体"/>
          <w:color w:val="000000"/>
          <w:sz w:val="21"/>
          <w:szCs w:val="21"/>
          <w:highlight w:val="none"/>
        </w:rPr>
        <w:t xml:space="preserve">如乙方的账户信息错误或发生变更，须书面通知甲方，否则一切后果由乙方承担。</w:t>
      </w:r>
      <w:r>
        <w:rPr>
          <w:rFonts w:hint="eastAsia" w:ascii="宋体" w:hAnsi="宋体" w:eastAsia="宋体" w:cs="宋体"/>
          <w:b w:val="0"/>
          <w:bCs w:val="0"/>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第六条  </w:t>
      </w:r>
      <w:r>
        <w:rPr>
          <w:rFonts w:hint="eastAsia" w:ascii="宋体" w:hAnsi="宋体" w:eastAsia="宋体" w:cs="宋体"/>
          <w:b/>
          <w:bCs/>
          <w:color w:val="000000"/>
          <w:sz w:val="21"/>
          <w:szCs w:val="21"/>
          <w:highlight w:val="none"/>
        </w:rPr>
        <w:t xml:space="preserve">甲方权利与义务</w:t>
      </w:r>
      <w:r>
        <w:rPr>
          <w:rFonts w:hint="eastAsia" w:ascii="宋体" w:hAnsi="宋体" w:eastAsia="宋体" w:cs="宋体"/>
          <w:b/>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rPr>
        <w:t xml:space="preserve">甲方权利</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检查监督乙方本合同的执行情况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numPr>
          <w:ilvl w:val="0"/>
          <w:numId w:val="0"/>
        </w:numPr>
        <w:ind w:firstLine="420"/>
        <w:jc w:val="left"/>
        <w:keepLines w:val="0"/>
        <w:keepNext w:val="0"/>
        <w:pageBreakBefore w:val="0"/>
        <w:spacing w:line="360" w:lineRule="auto"/>
        <w:tabs>
          <w:tab w:val="left" w:pos="0" w:leader="none"/>
        </w:tabs>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为保证城市排水设施的安全稳定运行,对于甲方财政预算条目中其他的设备、乙方不具备对应维修能力的设备、发生超过合同第</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lang w:val="en-US" w:eastAsia="zh-CN"/>
        </w:rPr>
        <w:t xml:space="preserve">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款金额</w:t>
      </w:r>
      <w:r>
        <w:rPr>
          <w:rFonts w:hint="eastAsia" w:ascii="宋体" w:hAnsi="宋体" w:eastAsia="宋体" w:cs="宋体"/>
          <w:color w:val="000000"/>
          <w:sz w:val="21"/>
          <w:szCs w:val="21"/>
          <w:highlight w:val="none"/>
        </w:rPr>
        <w:t xml:space="preserve">上限的非合同内容高值维修，甲方</w:t>
      </w:r>
      <w:r>
        <w:rPr>
          <w:rFonts w:hint="eastAsia" w:ascii="宋体" w:hAnsi="宋体" w:eastAsia="宋体" w:cs="宋体"/>
          <w:color w:val="000000"/>
          <w:sz w:val="21"/>
          <w:szCs w:val="21"/>
          <w:highlight w:val="none"/>
          <w:lang w:val="en-US" w:eastAsia="zh-CN"/>
        </w:rPr>
        <w:t xml:space="preserve">有权</w:t>
      </w:r>
      <w:r>
        <w:rPr>
          <w:rFonts w:hint="eastAsia" w:ascii="宋体" w:hAnsi="宋体" w:eastAsia="宋体" w:cs="宋体"/>
          <w:color w:val="000000"/>
          <w:sz w:val="21"/>
          <w:szCs w:val="21"/>
          <w:highlight w:val="none"/>
        </w:rPr>
        <w:t xml:space="preserve">经合法合规流程委托第三方进行维修。</w:t>
      </w:r>
      <w:r>
        <w:rPr>
          <w:rFonts w:hint="eastAsia" w:ascii="宋体" w:hAnsi="宋体" w:eastAsia="宋体" w:cs="宋体"/>
          <w:b w:val="0"/>
          <w:bCs w:val="0"/>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乙方维修进度或质量不能满足甲方要求时，甲方有权利要求乙方增加维修人员数量或进行人员调换，乙方应予配合并采取相应措施保证维修进度。</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乙方未</w:t>
      </w:r>
      <w:r>
        <w:rPr>
          <w:rFonts w:hint="eastAsia" w:ascii="宋体" w:hAnsi="宋体" w:eastAsia="宋体" w:cs="宋体"/>
          <w:color w:val="000000"/>
          <w:sz w:val="21"/>
          <w:szCs w:val="21"/>
          <w:highlight w:val="none"/>
          <w:lang w:val="en-US" w:eastAsia="zh-CN"/>
        </w:rPr>
        <w:t xml:space="preserve">将</w:t>
      </w:r>
      <w:r>
        <w:rPr>
          <w:rFonts w:hint="eastAsia" w:ascii="宋体" w:hAnsi="宋体" w:eastAsia="宋体" w:cs="宋体"/>
          <w:color w:val="000000"/>
          <w:sz w:val="21"/>
          <w:szCs w:val="21"/>
          <w:highlight w:val="none"/>
        </w:rPr>
        <w:t xml:space="preserve">更换下来的零部件等（重绕电机的废旧线圈除外）交由甲方而自行处置的，甲方有权不予支付相关零部件的维修费用。</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乙方未按要求进行设备解体及组装，甲方有权要求乙方重新解体并组装，由此造成的一切损失（包括因此延误时间对甲方造成的损失）均由乙方承担。</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（二）</w:t>
      </w:r>
      <w:r>
        <w:rPr>
          <w:rFonts w:hint="eastAsia" w:ascii="宋体" w:hAnsi="宋体" w:eastAsia="宋体" w:cs="宋体"/>
          <w:color w:val="000000"/>
          <w:sz w:val="21"/>
          <w:szCs w:val="21"/>
          <w:highlight w:val="none"/>
        </w:rPr>
        <w:t xml:space="preserve">甲方义务</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合同生效后，甲方应在10个工作日内将泵站地点分布情况等有关事项告知乙方。</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维修前甲方负责将维修内容、维修地点及时告知乙方。</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甲方帮助协调乙方服务过程中遇到的突发情况。</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法规、政策规定由甲方承担的其他责任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第七条  </w:t>
      </w:r>
      <w:r>
        <w:rPr>
          <w:rFonts w:hint="eastAsia" w:ascii="宋体" w:hAnsi="宋体" w:eastAsia="宋体" w:cs="宋体"/>
          <w:b/>
          <w:bCs/>
          <w:color w:val="000000"/>
          <w:sz w:val="21"/>
          <w:szCs w:val="21"/>
          <w:highlight w:val="none"/>
          <w:lang w:val="en-US" w:eastAsia="zh-CN"/>
        </w:rPr>
        <w:t xml:space="preserve">乙</w:t>
      </w:r>
      <w:r>
        <w:rPr>
          <w:rFonts w:hint="eastAsia" w:ascii="宋体" w:hAnsi="宋体" w:eastAsia="宋体" w:cs="宋体"/>
          <w:b/>
          <w:bCs/>
          <w:color w:val="000000"/>
          <w:sz w:val="21"/>
          <w:szCs w:val="21"/>
          <w:highlight w:val="none"/>
        </w:rPr>
        <w:t xml:space="preserve">方权利与义务</w:t>
      </w:r>
      <w:r>
        <w:rPr>
          <w:rFonts w:hint="eastAsia" w:ascii="宋体" w:hAnsi="宋体" w:eastAsia="宋体" w:cs="宋体"/>
          <w:b/>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rPr>
        <w:t xml:space="preserve">乙方权利</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根据有关法律、法规和本合同的规定，向甲方收取服务费用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（二）</w:t>
      </w:r>
      <w:r>
        <w:rPr>
          <w:rFonts w:hint="eastAsia" w:ascii="宋体" w:hAnsi="宋体" w:eastAsia="宋体" w:cs="宋体"/>
          <w:color w:val="000000"/>
          <w:sz w:val="21"/>
          <w:szCs w:val="21"/>
          <w:highlight w:val="none"/>
        </w:rPr>
        <w:t xml:space="preserve">乙方义务</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按照甲方要求开展各项</w:t>
      </w:r>
      <w:r>
        <w:rPr>
          <w:rFonts w:hint="eastAsia" w:ascii="宋体" w:hAnsi="宋体" w:eastAsia="宋体" w:cs="宋体"/>
          <w:color w:val="000000"/>
          <w:sz w:val="21"/>
          <w:szCs w:val="21"/>
          <w:highlight w:val="none"/>
          <w:lang w:val="en-US" w:eastAsia="zh-CN"/>
        </w:rPr>
        <w:t xml:space="preserve">检查保养及维修</w:t>
      </w:r>
      <w:r>
        <w:rPr>
          <w:rFonts w:hint="eastAsia" w:ascii="宋体" w:hAnsi="宋体" w:eastAsia="宋体" w:cs="宋体"/>
          <w:color w:val="000000"/>
          <w:sz w:val="21"/>
          <w:szCs w:val="21"/>
          <w:highlight w:val="none"/>
        </w:rPr>
        <w:t xml:space="preserve">活动，但不得侵害甲方及他人的合法权益，不得利用提供维护保养服务的便利获取不当利益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乙方应在接收到甲方使用部门的维修内容后，在规定期限内完成维修工作，出现需要甲方购买配件或其他特殊情况时应书面汇报甲方，以保证甲方的维修进度。</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rPr>
        <w:t xml:space="preserve">设</w:t>
      </w:r>
      <w:r>
        <w:rPr>
          <w:rFonts w:hint="eastAsia" w:ascii="宋体" w:hAnsi="宋体" w:eastAsia="宋体" w:cs="宋体"/>
          <w:color w:val="000000"/>
          <w:sz w:val="21"/>
          <w:szCs w:val="21"/>
          <w:highlight w:val="none"/>
        </w:rPr>
        <w:t xml:space="preserve">备的解体、组装或隐蔽工程必须在甲方使用部门在场或许可的情况下进行（如：通过视频、拍照等）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rPr>
        <w:t xml:space="preserve">乙方应做好故障零部件的登记工作，对拆解的部件合理放置并妥善保管，接受甲方的检查和确认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并将</w:t>
      </w:r>
      <w:r>
        <w:rPr>
          <w:rFonts w:hint="eastAsia" w:ascii="宋体" w:hAnsi="宋体" w:eastAsia="宋体" w:cs="宋体"/>
          <w:color w:val="000000"/>
          <w:sz w:val="21"/>
          <w:szCs w:val="21"/>
          <w:highlight w:val="none"/>
        </w:rPr>
        <w:t xml:space="preserve">更换下来的零部件等（重绕电机的废旧线圈除外）交由甲方处置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rPr>
        <w:t xml:space="preserve">复杂事项的维修施工方案管理：根据设备损坏程度、结合中标单价预估维修费用超过2万元或设备本体故障情况复杂，</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由乙方编制设备维修方案、阐明维修重点和质量控制、安全保障措施，乙方项目负责人审核、签字并加盖单位公章，经甲方运行管理部门经办人核实费用后和使用部门经办人核实工作量，共同签字后方可实施，维修方案存档并作为签证资料的一部分。</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第八条  </w:t>
      </w:r>
      <w:r>
        <w:rPr>
          <w:rFonts w:hint="eastAsia" w:ascii="宋体" w:hAnsi="宋体" w:eastAsia="宋体" w:cs="宋体"/>
          <w:b/>
          <w:bCs/>
          <w:color w:val="000000"/>
          <w:sz w:val="21"/>
          <w:szCs w:val="21"/>
          <w:highlight w:val="none"/>
        </w:rPr>
        <w:t xml:space="preserve">服务要求</w:t>
      </w:r>
      <w:r>
        <w:rPr>
          <w:rFonts w:hint="eastAsia" w:ascii="宋体" w:hAnsi="宋体" w:eastAsia="宋体" w:cs="宋体"/>
          <w:b/>
          <w:bCs/>
          <w:color w:val="000000"/>
          <w:sz w:val="21"/>
          <w:szCs w:val="21"/>
          <w:highlight w:val="none"/>
        </w:rPr>
      </w:r>
      <w:r/>
    </w:p>
    <w:p>
      <w:pPr>
        <w:pStyle w:val="962"/>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（一）设备故障排除与维修要求</w:t>
      </w:r>
      <w:r>
        <w:rPr>
          <w:rFonts w:hint="eastAsia" w:ascii="宋体" w:hAnsi="宋体" w:eastAsia="宋体" w:cs="宋体"/>
          <w:b/>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1.乙方应根据甲方通知，对泵站内设备设施发生的故障进行现场检查、排除和修复，恢复设备正常运行功能。包括但不限于：</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（1）水泵机组（含潜水泵、离心泵、轴流泵、混流泵等）；</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（2）格栅、输送机、压榨机等拦污设备；</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（3）闸门、启闭机、阀门、电动执行机构等启闭设备；</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（4）超磁分离主机、磁鼓主机、搅拌机、曝气推流器等净水站及河道生态补水专用设备；</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（5）行车等特种设备；</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（6）除臭系统、通风系统等辅助设备。</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2.工作内容及要求</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故障响应：乙方接到甲方通知后，应在约定时间内到达现场，进行故障检查与排除。普通情况下到场时间不超过1小时；防汛应急响应时不超过40分钟。</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故障检查与排除：乙方的技术人员应通过现场检查、仪器检测等方式，准确判断故障原因，并采取简单措施排除故障，使设备恢复正常运行。</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维修实施流程：乙方进行故障检查后，不能简单排除故障的，应在3个</w:t>
      </w:r>
      <w:r>
        <w:rPr>
          <w:rFonts w:hint="eastAsia" w:ascii="宋体" w:hAnsi="宋体" w:eastAsia="宋体" w:cs="宋体"/>
          <w:color w:val="000000"/>
          <w:sz w:val="21"/>
          <w:szCs w:val="21"/>
          <w:highlight w:val="none"/>
          <w:lang w:val="en-US" w:eastAsia="zh-CN"/>
        </w:rPr>
        <w:t xml:space="preserve">日历日</w:t>
      </w:r>
      <w:r>
        <w:rPr>
          <w:rFonts w:hint="eastAsia" w:ascii="宋体" w:hAnsi="宋体" w:eastAsia="宋体" w:cs="宋体"/>
          <w:color w:val="000000"/>
          <w:sz w:val="21"/>
          <w:szCs w:val="21"/>
          <w:highlight w:val="none"/>
        </w:rPr>
        <w:t xml:space="preserve">内及时开展维修工作。维修工作应在7个日历日内完成，维修的时间自甲方发出维修通知之日起计算（以下达工单时间为准），等待维修零部件或其他甲方认可的情况除外。</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1）</w:t>
      </w:r>
      <w:r>
        <w:rPr>
          <w:rFonts w:hint="eastAsia" w:ascii="宋体" w:hAnsi="宋体" w:eastAsia="宋体" w:cs="宋体"/>
          <w:color w:val="000000"/>
          <w:sz w:val="21"/>
          <w:szCs w:val="21"/>
          <w:highlight w:val="none"/>
        </w:rPr>
        <w:t xml:space="preserve">不需要拆解且具备现场维修条件的，乙方直接修复；不需要拆解但暂时不具备维修条件的，乙方应报甲方确认具体维修时间。</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需要拆解且具备现场维修条件的，乙方应在甲方见证的情况下进行现场解体、拆卸；不具备现场维修条件的，乙方应上报甲方，经甲方确认后进行返厂拆解。拆解后，应由双方共同确定维修范围。</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维修完成后，乙方应通知甲方进行现场验收。验收不合格的，乙方须在甲方指定期限内返工，直至验收合格，返工费用由乙方承担。</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4）验收完成后，</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按时提交维修记录并填写工单，由双方签字确认，并纳入维修时效性考核；维修后换下来的零配件及附属装置，由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统一收集后移交</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统一处理。</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乙方对故障零部件进行维修更换外，还应对设备进行全面的检查，必要时进行相关维修。</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6）复杂故障的维修管理：根据设备损坏程度、结合中标单价预估维修费用超过2万元或设备本体故障情况复杂的情况下，应由乙方编制设备维修方案、阐明维修重点和质量控制、安全保障措施，乙方项目负责人审核、签字并加盖单位公章，经甲方运行管理部门经办人核实费用后和使用部门经办人核实工作量，共同签字后方可实施，维修方案存档并作为签证资料的一部分。</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3.维修验收标准</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（1）乙方应通知甲方进行现场验收。</w:t>
      </w:r>
      <w:r>
        <w:rPr>
          <w:rFonts w:hint="eastAsia" w:ascii="宋体" w:hAnsi="宋体" w:eastAsia="宋体" w:cs="宋体"/>
          <w:bCs/>
          <w:color w:val="000000"/>
          <w:sz w:val="21"/>
          <w:szCs w:val="21"/>
          <w:highlight w:val="none"/>
        </w:rPr>
        <w:t xml:space="preserve">双方按照设备维保记录逐项核对，确认设备运行参数恢复正常后签字确认。</w:t>
      </w:r>
      <w:r>
        <w:rPr>
          <w:rFonts w:hint="eastAsia" w:ascii="宋体" w:hAnsi="宋体" w:eastAsia="宋体" w:cs="宋体"/>
          <w:bCs/>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（2）验收内容包括但不限于：设备运行声响、振动、温升、电流值和其他信号是否正常，更换件规格型号是否与申报一致，现场是否清理到位。</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（3）验收不合格的，乙方须在甲方指定期限内返工，直至验收合格，返工费用由乙方承担。</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4.维修质保期</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（1）维修项目质保期为12个月，自甲方签证确认之日起计算。</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（2）水泵维修中凡更换泵轴的，整台泵质保期延长为18个月。</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（3）质保期内因维修质量问题或更换件质量问题导致故障的，乙方须无条件返修，不得收取任何费用。经双方确认非维修质量问题导致的故障除外，但乙方应提供有效证据。</w:t>
      </w:r>
      <w:r>
        <w:rPr>
          <w:rFonts w:hint="eastAsia" w:ascii="宋体" w:hAnsi="宋体" w:eastAsia="宋体" w:cs="宋体"/>
          <w:bCs/>
          <w:color w:val="000000"/>
          <w:sz w:val="21"/>
          <w:szCs w:val="21"/>
          <w:highlight w:val="none"/>
        </w:rPr>
        <w:t xml:space="preserve">同一部位在质保期内重复发生故障的，按</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5.返修”</w:t>
      </w:r>
      <w:r>
        <w:rPr>
          <w:rFonts w:hint="eastAsia" w:ascii="宋体" w:hAnsi="宋体" w:eastAsia="宋体" w:cs="宋体"/>
          <w:bCs/>
          <w:color w:val="000000"/>
          <w:sz w:val="21"/>
          <w:szCs w:val="21"/>
          <w:highlight w:val="none"/>
        </w:rPr>
        <w:t xml:space="preserve">约定执行。</w:t>
      </w:r>
      <w:r>
        <w:rPr>
          <w:rFonts w:hint="eastAsia" w:ascii="宋体" w:hAnsi="宋体" w:eastAsia="宋体" w:cs="宋体"/>
          <w:bCs/>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5.返修</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（1）同一设备在维修质保期内，首次故障返修不另行扣费，但返修后该部位的质保期自返修验收合格之日起重新计算。</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（2）首次返修后再次发生同一部位故障的，每次返修扣除该项维修费用的20%或2000元（以高者为准），并再次重新计算质保期。</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（3）甲方使用部门或运行管理部门在对照往期维修历史后，有权直接依据上述标准进行考核扣罚。</w:t>
      </w:r>
      <w:r>
        <w:rPr>
          <w:rFonts w:hint="eastAsia" w:ascii="宋体" w:hAnsi="宋体" w:eastAsia="宋体" w:cs="宋体"/>
          <w:color w:val="000000"/>
          <w:sz w:val="21"/>
          <w:szCs w:val="21"/>
          <w:highlight w:val="none"/>
        </w:rPr>
      </w:r>
      <w:r/>
    </w:p>
    <w:p>
      <w:pPr>
        <w:pStyle w:val="962"/>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（二）</w:t>
      </w:r>
      <w:r>
        <w:rPr>
          <w:rFonts w:hint="eastAsia" w:ascii="宋体" w:hAnsi="宋体" w:eastAsia="宋体" w:cs="宋体"/>
          <w:b/>
          <w:bCs/>
          <w:color w:val="000000"/>
          <w:sz w:val="21"/>
          <w:szCs w:val="21"/>
          <w:highlight w:val="none"/>
        </w:rPr>
        <w:t xml:space="preserve">设备保养</w:t>
      </w:r>
      <w:r>
        <w:rPr>
          <w:rFonts w:hint="eastAsia" w:ascii="宋体" w:hAnsi="宋体" w:eastAsia="宋体" w:cs="宋体"/>
          <w:b/>
          <w:color w:val="000000"/>
          <w:sz w:val="21"/>
          <w:szCs w:val="21"/>
          <w:highlight w:val="none"/>
        </w:rPr>
        <w:t xml:space="preserve">要求</w:t>
      </w:r>
      <w:r>
        <w:rPr>
          <w:rFonts w:hint="eastAsia" w:ascii="宋体" w:hAnsi="宋体" w:eastAsia="宋体" w:cs="宋体"/>
          <w:b/>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1.乙方应根据年度预防性保养计划，对泵站设备进行定期、有计划的维护保养，以保持设备良好技术状态，降低故障率。保养分为月度保养、季度保养和年度保养。</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2.遇防汛、高温、极寒等特殊时期，甲方有权临时增加保养频次，费用按合同单价另行结算。</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3.乙方每次保养完成后，应填写</w:t>
      </w:r>
      <w:r>
        <w:rPr>
          <w:rFonts w:hint="eastAsia" w:ascii="宋体" w:hAnsi="宋体" w:eastAsia="宋体" w:cs="宋体"/>
          <w:color w:val="000000"/>
          <w:sz w:val="21"/>
          <w:szCs w:val="21"/>
          <w:highlight w:val="none"/>
          <w:lang w:val="en-US" w:eastAsia="zh-CN"/>
        </w:rPr>
        <w:t xml:space="preserve">完善</w:t>
      </w:r>
      <w:r>
        <w:rPr>
          <w:rFonts w:hint="eastAsia" w:ascii="宋体" w:hAnsi="宋体" w:eastAsia="宋体" w:cs="宋体"/>
          <w:color w:val="000000"/>
          <w:sz w:val="21"/>
          <w:szCs w:val="21"/>
          <w:highlight w:val="none"/>
        </w:rPr>
        <w:t xml:space="preserve">设备保养记录</w:t>
      </w:r>
      <w:r>
        <w:rPr>
          <w:rFonts w:hint="eastAsia" w:ascii="宋体" w:hAnsi="宋体" w:eastAsia="宋体" w:cs="宋体"/>
          <w:color w:val="000000"/>
          <w:sz w:val="21"/>
          <w:szCs w:val="21"/>
          <w:highlight w:val="none"/>
          <w:lang w:val="en-US" w:eastAsia="zh-CN"/>
        </w:rPr>
        <w:t xml:space="preserve">台账</w:t>
      </w:r>
      <w:r>
        <w:rPr>
          <w:rFonts w:hint="eastAsia" w:ascii="宋体" w:hAnsi="宋体" w:eastAsia="宋体" w:cs="宋体"/>
          <w:color w:val="000000"/>
          <w:sz w:val="21"/>
          <w:szCs w:val="21"/>
          <w:highlight w:val="none"/>
        </w:rPr>
        <w:t xml:space="preserve">，详细记录保养内容、更换的油品及备件、测试数据、发现问题及处理情况，并由甲方现场签字确认。</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4.甲方有权对保养质量进行抽查，发现漏项或未按标准执行的，有权要求乙方返工，并视情节扣除相应保养费用。</w:t>
      </w:r>
      <w:r>
        <w:rPr>
          <w:rFonts w:hint="eastAsia" w:ascii="宋体" w:hAnsi="宋体" w:eastAsia="宋体" w:cs="宋体"/>
          <w:color w:val="000000"/>
          <w:sz w:val="21"/>
          <w:szCs w:val="21"/>
          <w:highlight w:val="none"/>
        </w:rPr>
      </w:r>
      <w:r/>
    </w:p>
    <w:p>
      <w:pPr>
        <w:pStyle w:val="962"/>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（三）</w:t>
      </w:r>
      <w:r>
        <w:rPr>
          <w:rFonts w:hint="eastAsia" w:ascii="宋体" w:hAnsi="宋体" w:eastAsia="宋体" w:cs="宋体"/>
          <w:b/>
          <w:bCs/>
          <w:color w:val="000000"/>
          <w:sz w:val="21"/>
          <w:szCs w:val="21"/>
          <w:highlight w:val="none"/>
        </w:rPr>
        <w:t xml:space="preserve">维修材料供应</w:t>
      </w:r>
      <w:r>
        <w:rPr>
          <w:rFonts w:hint="eastAsia" w:ascii="宋体" w:hAnsi="宋体" w:eastAsia="宋体" w:cs="宋体"/>
          <w:b/>
          <w:color w:val="000000"/>
          <w:sz w:val="21"/>
          <w:szCs w:val="21"/>
          <w:highlight w:val="none"/>
        </w:rPr>
        <w:t xml:space="preserve">要求</w:t>
      </w:r>
      <w:r>
        <w:rPr>
          <w:rFonts w:hint="eastAsia" w:ascii="宋体" w:hAnsi="宋体" w:eastAsia="宋体" w:cs="宋体"/>
          <w:b/>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1.维修过程中所需更换的维修材料、备品备件，由乙方负责供应。甲方保留对关键备件自行采购的权利。</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2.材料范围：包括但不限于轴承、机械密封、密封圈、叶轮、泵轴、闸门密封条、接触器、继电器、变频器元件、电缆、紧固件等维修常用材料。</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3.质量保证：乙方提供的所有材料应为合格正品，具备产品合格证或质量检验报告。甲方有权对材料进行抽检，不合格材料乙方应无条件更换并承担相应责任。</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4.价格管理：乙方应在投标文件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常州市排水管理处 排水泵站设备检查保养及维修 计价清单</w:t>
      </w:r>
      <w:r>
        <w:rPr>
          <w:rFonts w:hint="eastAsia" w:ascii="宋体" w:hAnsi="宋体" w:eastAsia="宋体" w:cs="宋体"/>
          <w:color w:val="000000"/>
          <w:sz w:val="21"/>
          <w:szCs w:val="21"/>
          <w:highlight w:val="none"/>
        </w:rPr>
        <w:t xml:space="preserve">》（见附件1）</w:t>
      </w:r>
      <w:r>
        <w:rPr>
          <w:rFonts w:hint="eastAsia" w:ascii="宋体" w:hAnsi="宋体" w:eastAsia="宋体" w:cs="宋体"/>
          <w:color w:val="000000"/>
          <w:sz w:val="21"/>
          <w:szCs w:val="21"/>
          <w:highlight w:val="none"/>
        </w:rPr>
        <w:t xml:space="preserve">中列明常用材料的品牌、规格、单价。材料单价应包含运输、装卸、税费等全部费用。</w:t>
      </w:r>
      <w:r>
        <w:rPr>
          <w:rFonts w:hint="eastAsia" w:ascii="宋体" w:hAnsi="宋体" w:eastAsia="宋体" w:cs="宋体"/>
          <w:color w:val="000000"/>
          <w:sz w:val="21"/>
          <w:szCs w:val="21"/>
          <w:highlight w:val="none"/>
        </w:rPr>
      </w:r>
      <w:r/>
    </w:p>
    <w:p>
      <w:pPr>
        <w:pStyle w:val="962"/>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highlight w:val="none"/>
          <w:lang w:eastAsia="zh-CN"/>
        </w:rPr>
        <w:outlineLvl w:val="9"/>
      </w:pPr>
      <w:r>
        <w:rPr>
          <w:rFonts w:hint="eastAsia" w:ascii="宋体" w:hAnsi="宋体" w:eastAsia="宋体" w:cs="宋体"/>
          <w:b/>
          <w:color w:val="000000"/>
          <w:sz w:val="21"/>
          <w:szCs w:val="21"/>
          <w:highlight w:val="none"/>
        </w:rPr>
        <w:t xml:space="preserve">（四）</w:t>
      </w:r>
      <w:r>
        <w:rPr>
          <w:rFonts w:hint="eastAsia" w:ascii="宋体" w:hAnsi="宋体" w:eastAsia="宋体" w:cs="宋体"/>
          <w:b/>
          <w:color w:val="000000"/>
          <w:sz w:val="21"/>
          <w:szCs w:val="21"/>
          <w:highlight w:val="none"/>
          <w:lang w:val="en-US" w:eastAsia="zh-CN"/>
        </w:rPr>
        <w:t xml:space="preserve">其他</w:t>
      </w:r>
      <w:r>
        <w:rPr>
          <w:rFonts w:hint="eastAsia" w:ascii="宋体" w:hAnsi="宋体" w:eastAsia="宋体" w:cs="宋体"/>
          <w:b/>
          <w:color w:val="000000"/>
          <w:sz w:val="21"/>
          <w:szCs w:val="21"/>
          <w:highlight w:val="none"/>
          <w:lang w:eastAsia="zh-CN"/>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其他</w:t>
      </w:r>
      <w:r>
        <w:rPr>
          <w:rFonts w:hint="eastAsia" w:ascii="宋体" w:hAnsi="宋体" w:eastAsia="宋体" w:cs="宋体"/>
          <w:color w:val="000000"/>
          <w:sz w:val="21"/>
          <w:szCs w:val="21"/>
          <w:highlight w:val="none"/>
        </w:rPr>
        <w:t xml:space="preserve">因不可预见或突发情况产生的、超出日常检查、维修保养范围的相关</w:t>
      </w:r>
      <w:r>
        <w:rPr>
          <w:rFonts w:hint="eastAsia" w:ascii="宋体" w:hAnsi="宋体" w:eastAsia="宋体" w:cs="宋体"/>
          <w:color w:val="000000"/>
          <w:sz w:val="21"/>
          <w:szCs w:val="21"/>
          <w:highlight w:val="none"/>
          <w:lang w:val="en-US" w:eastAsia="zh-CN"/>
        </w:rPr>
        <w:t xml:space="preserve">事项</w:t>
      </w:r>
      <w:r>
        <w:rPr>
          <w:rFonts w:hint="eastAsia" w:ascii="宋体" w:hAnsi="宋体" w:eastAsia="宋体" w:cs="宋体"/>
          <w:color w:val="000000"/>
          <w:sz w:val="21"/>
          <w:szCs w:val="21"/>
          <w:highlight w:val="none"/>
        </w:rPr>
        <w:t xml:space="preserve">。常见</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rPr>
        <w:t xml:space="preserve">包括：</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（1）防汛应急抢修，如紧急调用中标单位的车辆、动力泵进行紧急疏水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（2）专项技术（如流量计校准等）。</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2.该费用单价已在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常州市排水管理处 排水泵站设备检查保养及维修 计价清单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（见附件1）内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仅在实际发生且经甲方书面确认后方可结算。</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3.甲方应</w:t>
      </w:r>
      <w:r>
        <w:rPr>
          <w:rFonts w:hint="eastAsia" w:ascii="宋体" w:hAnsi="宋体" w:eastAsia="宋体" w:cs="宋体"/>
          <w:color w:val="000000"/>
          <w:sz w:val="21"/>
          <w:szCs w:val="21"/>
          <w:highlight w:val="none"/>
          <w:lang w:val="en-US" w:eastAsia="zh-CN"/>
        </w:rPr>
        <w:t xml:space="preserve">书面告知需临时进行的工作内容</w:t>
      </w:r>
      <w:r>
        <w:rPr>
          <w:rFonts w:hint="eastAsia" w:ascii="宋体" w:hAnsi="宋体" w:eastAsia="宋体" w:cs="宋体"/>
          <w:color w:val="000000"/>
          <w:sz w:val="21"/>
          <w:szCs w:val="21"/>
          <w:highlight w:val="none"/>
        </w:rPr>
        <w:t xml:space="preserve">；工作完成后，双方共同填写验收单，作为结算依据。如遇防汛应急等紧急情况，乙方可先行响应、事后补办手续，但须在事后48小时内向甲方补齐书面确认材料，逾期未补的，甲方有权不予结算。</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4.甲方有权根据实际需要调整其他服务项目及数量，乙方不得以任何理由拒绝执行。</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5.乙方须对每次</w:t>
      </w:r>
      <w:r>
        <w:rPr>
          <w:rFonts w:hint="eastAsia" w:ascii="宋体" w:hAnsi="宋体" w:eastAsia="宋体" w:cs="宋体"/>
          <w:color w:val="000000"/>
          <w:sz w:val="21"/>
          <w:szCs w:val="21"/>
          <w:highlight w:val="none"/>
        </w:rPr>
        <w:t xml:space="preserve">设备检查、保养及维修服务</w:t>
      </w:r>
      <w:r>
        <w:rPr>
          <w:rFonts w:hint="eastAsia" w:ascii="宋体" w:hAnsi="宋体" w:eastAsia="宋体" w:cs="宋体"/>
          <w:color w:val="000000"/>
          <w:sz w:val="21"/>
          <w:szCs w:val="21"/>
          <w:highlight w:val="none"/>
          <w:lang w:val="en-US" w:eastAsia="zh-CN"/>
        </w:rPr>
        <w:t xml:space="preserve">进行记录并形成工作台账。</w:t>
      </w:r>
      <w:r>
        <w:rPr>
          <w:rFonts w:hint="eastAsia" w:ascii="宋体" w:hAnsi="宋体" w:eastAsia="宋体" w:cs="宋体"/>
          <w:color w:val="000000"/>
          <w:sz w:val="21"/>
          <w:szCs w:val="21"/>
          <w:highlight w:val="none"/>
        </w:rPr>
      </w:r>
      <w:r/>
    </w:p>
    <w:p>
      <w:pPr>
        <w:pStyle w:val="962"/>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（五）</w:t>
      </w:r>
      <w:r>
        <w:rPr>
          <w:rFonts w:hint="eastAsia" w:ascii="宋体" w:hAnsi="宋体" w:eastAsia="宋体" w:cs="宋体"/>
          <w:b/>
          <w:color w:val="000000"/>
          <w:sz w:val="21"/>
          <w:szCs w:val="21"/>
          <w:highlight w:val="none"/>
        </w:rPr>
        <w:t xml:space="preserve">与运行管理的配合</w:t>
      </w:r>
      <w:r>
        <w:rPr>
          <w:rFonts w:hint="eastAsia" w:ascii="宋体" w:hAnsi="宋体" w:eastAsia="宋体" w:cs="宋体"/>
          <w:b/>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配合原则：</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应与排水泵站设施管养及运行标的中标人（运行方）建立常态化协作机制，本着“分工明确、信息互通、协同高效”的原则，共同保障泵站设备安全稳定运行。</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信息共享与故障交接：</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运行方在日常巡检中发现设备异常，通知</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须及时响应，并将检查结论及处理结果同步反馈给运行方和</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在维修过程中发现非本次报修范围但影响设备运行的隐患时，应书面告知</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和运行方，由</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决定后续处理方式。</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现场作业协调：</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进场作业前，应主动与运行方沟通，了解泵站当前运行状态、水位情况等，避免维修作业影响泵站正常排水功能。防汛预警或暴雨期间，</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应服从</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统一调度，与运行方协同开展设备抢修和应急处置。</w:t>
      </w:r>
      <w:r>
        <w:rPr>
          <w:rFonts w:hint="eastAsia" w:ascii="宋体" w:hAnsi="宋体" w:eastAsia="宋体" w:cs="宋体"/>
          <w:b/>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（六）北市河真空排污系统的维保服务内容要求</w:t>
      </w:r>
      <w:r>
        <w:rPr>
          <w:rFonts w:hint="eastAsia" w:ascii="宋体" w:hAnsi="宋体" w:eastAsia="宋体" w:cs="宋体"/>
          <w:color w:val="000000"/>
          <w:sz w:val="21"/>
          <w:szCs w:val="21"/>
          <w:highlight w:val="none"/>
          <w:lang w:val="en-US" w:eastAsia="zh-CN"/>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1.服务范围：北市河真空污水泵站、四个真空污水提升站以及所有相关管路。</w:t>
      </w:r>
      <w:r>
        <w:rPr>
          <w:rFonts w:hint="eastAsia" w:ascii="宋体" w:hAnsi="宋体" w:eastAsia="宋体" w:cs="宋体"/>
          <w:color w:val="000000"/>
          <w:sz w:val="21"/>
          <w:szCs w:val="21"/>
          <w:highlight w:val="none"/>
          <w:lang w:val="en-US" w:eastAsia="zh-CN"/>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2.服务方式：包工包料（不含大件：真空泵、排污泵、积污罐、汽水分离器、PLC、触摸屏等配件的更换）。</w:t>
      </w:r>
      <w:r>
        <w:rPr>
          <w:rFonts w:hint="eastAsia" w:ascii="宋体" w:hAnsi="宋体" w:eastAsia="宋体" w:cs="宋体"/>
          <w:color w:val="000000"/>
          <w:sz w:val="21"/>
          <w:szCs w:val="21"/>
          <w:highlight w:val="none"/>
          <w:lang w:val="en-US" w:eastAsia="zh-CN"/>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3.服务内容：</w:t>
      </w:r>
      <w:r>
        <w:rPr>
          <w:rFonts w:hint="eastAsia" w:ascii="宋体" w:hAnsi="宋体" w:eastAsia="宋体" w:cs="宋体"/>
          <w:color w:val="000000"/>
          <w:sz w:val="21"/>
          <w:szCs w:val="21"/>
          <w:highlight w:val="none"/>
          <w:lang w:val="en-US" w:eastAsia="zh-CN"/>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（1）每一合同年度内乙方按月为甲方提供十二次例行日常巡检保养工作（合同续签的，续签年度另行提供十二次），以及除此之外的故障排除工作。每次完成维保后由甲方签证确认。</w:t>
      </w:r>
      <w:r>
        <w:rPr>
          <w:rFonts w:hint="eastAsia" w:ascii="宋体" w:hAnsi="宋体" w:eastAsia="宋体" w:cs="宋体"/>
          <w:color w:val="000000"/>
          <w:sz w:val="21"/>
          <w:szCs w:val="21"/>
          <w:highlight w:val="none"/>
          <w:lang w:val="en-US" w:eastAsia="zh-CN"/>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（2）甲方通知乙方赶到故障现场，同时将故障情况提前告之乙方，乙方应针对所描述的设备故障情况做好必要的检测工具、更换所需配件、充足的人力等准备工作。</w:t>
      </w:r>
      <w:r>
        <w:rPr>
          <w:rFonts w:hint="eastAsia" w:ascii="宋体" w:hAnsi="宋体" w:eastAsia="宋体" w:cs="宋体"/>
          <w:color w:val="000000"/>
          <w:sz w:val="21"/>
          <w:szCs w:val="21"/>
          <w:highlight w:val="none"/>
          <w:lang w:val="en-US" w:eastAsia="zh-CN"/>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（3）免费提供技术咨询及建议。</w:t>
      </w:r>
      <w:r>
        <w:rPr>
          <w:rFonts w:hint="eastAsia" w:ascii="宋体" w:hAnsi="宋体" w:eastAsia="宋体" w:cs="宋体"/>
          <w:color w:val="000000"/>
          <w:sz w:val="21"/>
          <w:szCs w:val="21"/>
          <w:highlight w:val="none"/>
          <w:lang w:val="en-US" w:eastAsia="zh-CN"/>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（4）如果乙方开发了升级系统，需对甲方的系统进行免费的升级（不包括涉及的零部件费用）。</w:t>
      </w:r>
      <w:r>
        <w:rPr>
          <w:rFonts w:hint="eastAsia" w:ascii="宋体" w:hAnsi="宋体" w:eastAsia="宋体" w:cs="宋体"/>
          <w:color w:val="000000"/>
          <w:sz w:val="21"/>
          <w:szCs w:val="21"/>
          <w:highlight w:val="none"/>
          <w:lang w:val="en-US" w:eastAsia="zh-CN"/>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（5）涉及河道提升器维保的，需要使用船只由乙方自行解决。</w:t>
      </w:r>
      <w:r>
        <w:rPr>
          <w:rFonts w:hint="eastAsia" w:ascii="宋体" w:hAnsi="宋体" w:eastAsia="宋体" w:cs="宋体"/>
          <w:color w:val="000000"/>
          <w:sz w:val="21"/>
          <w:szCs w:val="21"/>
          <w:highlight w:val="none"/>
          <w:lang w:val="en-US" w:eastAsia="zh-CN"/>
        </w:rPr>
      </w:r>
      <w:r/>
    </w:p>
    <w:p>
      <w:pPr>
        <w:pStyle w:val="962"/>
        <w:ind w:firstLine="420"/>
        <w:jc w:val="left"/>
        <w:keepLines w:val="0"/>
        <w:keepNext w:val="0"/>
        <w:pageBreakBefore w:val="0"/>
        <w:spacing w:line="360" w:lineRule="auto"/>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（6）按甲方要求，合同到期前，针对年度维保工作及小改小革形成文字报告。</w:t>
      </w:r>
      <w:r>
        <w:rPr>
          <w:rFonts w:hint="eastAsia" w:ascii="宋体" w:hAnsi="宋体" w:eastAsia="宋体" w:cs="宋体"/>
          <w:b/>
          <w:color w:val="000000"/>
          <w:sz w:val="21"/>
          <w:szCs w:val="21"/>
          <w:highlight w:val="none"/>
          <w:lang w:val="en-US" w:eastAsia="zh-CN"/>
        </w:rPr>
      </w:r>
      <w:r/>
    </w:p>
    <w:p>
      <w:pPr>
        <w:pStyle w:val="962"/>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人员及设备配置要求</w:t>
      </w:r>
      <w:r>
        <w:rPr>
          <w:rFonts w:hint="eastAsia" w:ascii="宋体" w:hAnsi="宋体" w:eastAsia="宋体" w:cs="宋体"/>
          <w:b/>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1.项目负责人资质和经验</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（1）乙方应为本项目配备一名专职项目负责人，全面负责本项目的组织实施、人员调度、质量安全管理和与甲方的沟通协调。</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现场履职：项目负责人在合同期内须保持相对稳定，不得随意更换。确需更换的，乙方应提前15日向甲方提出书面申请，并提交拟更换人员的同等或更高资质证明，经甲方书面同意后方可更换。未经同意擅自更换的，按合同考核条款扣罚。</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（3）到场要求：项目负责人应保证每月到现场巡查次数，及时掌握设备运行和维修进展。对于防汛应急、重大故障等，项目负责人应在接到通知后按约定时间到达现场指挥。</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2.关键工种持证要求</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本项目中，凡涉及电工作业、金属焊接切割作业、起重设备维修、登高架设作业、有限空间作业等特种作业或危险作业的，乙方必须派遣持有相应有效资格证书的人员持证上岗。</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现场检查要求：甲方有权随时核验现场作业人员的持证情况。发现无证作业的，乙方须立即停止该人员作业并更换合格人员，同时按考核细则扣罚相应费用；造成后果的，由乙方承担全部责任。</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3.特种资质</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本项目涉及行车等起重设备的维修保养，乙方应按以下要求执行：</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乙方自身具备市场监管部门核发的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特种设备生产许可证（许可项目含起重机械安装或修理）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，且许可参数范围覆盖本项目行车的，可在</w:t>
      </w:r>
      <w:r>
        <w:rPr>
          <w:rFonts w:hint="eastAsia" w:ascii="宋体" w:hAnsi="宋体" w:eastAsia="宋体" w:cs="宋体"/>
          <w:color w:val="000000"/>
          <w:sz w:val="21"/>
          <w:szCs w:val="21"/>
          <w:highlight w:val="none"/>
          <w:lang w:val="en-US" w:eastAsia="zh-CN"/>
        </w:rPr>
        <w:t xml:space="preserve">许可</w:t>
      </w:r>
      <w:r>
        <w:rPr>
          <w:rFonts w:hint="eastAsia" w:ascii="宋体" w:hAnsi="宋体" w:eastAsia="宋体" w:cs="宋体"/>
          <w:color w:val="000000"/>
          <w:sz w:val="21"/>
          <w:szCs w:val="21"/>
          <w:highlight w:val="none"/>
        </w:rPr>
        <w:t xml:space="preserve">范围内自行承担行车维修工作，</w:t>
      </w:r>
      <w:r>
        <w:rPr>
          <w:rFonts w:hint="eastAsia" w:ascii="宋体" w:hAnsi="宋体" w:eastAsia="宋体" w:cs="宋体"/>
          <w:color w:val="000000"/>
          <w:sz w:val="21"/>
          <w:szCs w:val="21"/>
          <w:highlight w:val="none"/>
          <w:lang w:val="en-US" w:eastAsia="zh-CN"/>
        </w:rPr>
        <w:t xml:space="preserve">合同签订前向甲方</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许可</w:t>
      </w:r>
      <w:r>
        <w:rPr>
          <w:rFonts w:hint="eastAsia" w:ascii="宋体" w:hAnsi="宋体" w:eastAsia="宋体" w:cs="宋体"/>
          <w:color w:val="000000"/>
          <w:sz w:val="21"/>
          <w:szCs w:val="21"/>
          <w:highlight w:val="none"/>
        </w:rPr>
        <w:t xml:space="preserve">证书复印件。</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（2）乙方不具备上述</w:t>
      </w:r>
      <w:r>
        <w:rPr>
          <w:rFonts w:hint="eastAsia" w:ascii="宋体" w:hAnsi="宋体" w:eastAsia="宋体" w:cs="宋体"/>
          <w:color w:val="000000"/>
          <w:sz w:val="21"/>
          <w:szCs w:val="21"/>
          <w:highlight w:val="none"/>
          <w:lang w:val="en-US" w:eastAsia="zh-CN"/>
        </w:rPr>
        <w:t xml:space="preserve">许可证书</w:t>
      </w:r>
      <w:r>
        <w:rPr>
          <w:rFonts w:hint="eastAsia" w:ascii="宋体" w:hAnsi="宋体" w:eastAsia="宋体" w:cs="宋体"/>
          <w:color w:val="000000"/>
          <w:sz w:val="21"/>
          <w:szCs w:val="21"/>
          <w:highlight w:val="none"/>
        </w:rPr>
        <w:t xml:space="preserve">的，应在合同签订后30日内确定具备相应</w:t>
      </w:r>
      <w:r>
        <w:rPr>
          <w:rFonts w:hint="eastAsia" w:ascii="宋体" w:hAnsi="宋体" w:eastAsia="宋体" w:cs="宋体"/>
          <w:color w:val="000000"/>
          <w:sz w:val="21"/>
          <w:szCs w:val="21"/>
          <w:highlight w:val="none"/>
          <w:lang w:val="en-US" w:eastAsia="zh-CN"/>
        </w:rPr>
        <w:t xml:space="preserve">许可</w:t>
      </w:r>
      <w:r>
        <w:rPr>
          <w:rFonts w:hint="eastAsia" w:ascii="宋体" w:hAnsi="宋体" w:eastAsia="宋体" w:cs="宋体"/>
          <w:color w:val="000000"/>
          <w:sz w:val="21"/>
          <w:szCs w:val="21"/>
          <w:highlight w:val="none"/>
        </w:rPr>
        <w:t xml:space="preserve">范围</w:t>
      </w:r>
      <w:r>
        <w:rPr>
          <w:rFonts w:hint="eastAsia" w:ascii="宋体" w:hAnsi="宋体" w:eastAsia="宋体" w:cs="宋体"/>
          <w:color w:val="000000"/>
          <w:sz w:val="21"/>
          <w:szCs w:val="21"/>
          <w:highlight w:val="none"/>
        </w:rPr>
        <w:t xml:space="preserve">的专业分包单位，并向甲方提供相关资料，经审核确认后方可实施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特种设备维修保养工作须严格按照相关安全技术规范执行，维修保养记录完整存档。未经甲方同意，乙方不得擅自将行车维修工作转包或分包给无资质单位。</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4.人员稳定性</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应保持维修队伍的相对稳定，为所有现场作业人员购买不低于100万元保额的人身意外伤害保险或雇主责任险，出现人员变动情况应及时填补空缺并书面汇报甲方，以保证甲方的维修进度。在乙方维修进度或质量不能满足甲方要求时，甲方有权利要求乙方增加维修人员数量或进行人员调换。乙方应对替代人员在参与作业前进行全面的作业培训，以保证维修质量和维修安全。</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5.维修检测设备配置</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乙方应自行配置满足本项目维修保养及应急抢修所需的车辆、检测仪器、维修工器具和劳动防护用品，确保设备状态良好、随用随到。</w:t>
      </w:r>
      <w:r>
        <w:rPr>
          <w:rFonts w:hint="eastAsia" w:ascii="宋体" w:hAnsi="宋体" w:eastAsia="宋体" w:cs="宋体"/>
          <w:color w:val="000000"/>
          <w:sz w:val="21"/>
          <w:szCs w:val="21"/>
          <w:highlight w:val="none"/>
        </w:rPr>
      </w:r>
      <w:r/>
    </w:p>
    <w:p>
      <w:pPr>
        <w:pStyle w:val="962"/>
        <w:ind w:firstLine="422"/>
        <w:jc w:val="left"/>
        <w:keepLines w:val="0"/>
        <w:keepNext w:val="0"/>
        <w:pageBreakBefore w:val="0"/>
        <w:spacing w:line="360" w:lineRule="auto"/>
        <w:tabs>
          <w:tab w:val="left" w:pos="0" w:leader="none"/>
        </w:tabs>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w:t>
      </w:r>
      <w:r>
        <w:rPr>
          <w:rFonts w:hint="eastAsia" w:ascii="宋体" w:hAnsi="宋体" w:eastAsia="宋体" w:cs="宋体"/>
          <w:b/>
          <w:bCs/>
          <w:color w:val="000000"/>
          <w:sz w:val="21"/>
          <w:szCs w:val="21"/>
          <w:highlight w:val="none"/>
        </w:rPr>
        <w:t xml:space="preserve">安全文明施工管理</w:t>
      </w:r>
      <w:r>
        <w:rPr>
          <w:rFonts w:hint="eastAsia" w:ascii="宋体" w:hAnsi="宋体" w:eastAsia="宋体" w:cs="宋体"/>
          <w:b/>
          <w:color w:val="000000"/>
          <w:sz w:val="21"/>
          <w:szCs w:val="21"/>
          <w:highlight w:val="none"/>
        </w:rPr>
        <w:t xml:space="preserve">要求</w:t>
      </w:r>
      <w:r>
        <w:rPr>
          <w:rFonts w:hint="eastAsia" w:ascii="宋体" w:hAnsi="宋体" w:eastAsia="宋体" w:cs="宋体"/>
          <w:b/>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1.基本安全要求</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（1）乙方在履行本合同过程中，必须严格遵守国家、省、市有关安全生产、环境保护的法律法规及甲方相关管理制度，落实安全生产主体责任，防止发生人身伤害事故和环境污染事件。</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（2）乙方应在合同签订时同步与甲方签订《安全生产协议》，明确双方安全责任、安全管理要求及乙方专职安全生产管理人员。未签订安全生产协议的，不得进场作业。</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（3）乙方维修过程中涉及登高架设作业、起重吊装作业、有限空间作业等危险性较大的分部分项工程的，应严格执行相关安全生产法律法规和国家标准。</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2.有限空间作业等特殊作业安全要求</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维修过程中涉及的有限空间作业、临时用电、动火作业、登高架设、起重吊装、金属焊接切割等特殊作业，乙方必须提前办理内部审批手续，填写相应作业票（如《有限空间作业审批表》《动火作业票》《临时用电审批表》等），经乙方项目负责人和甲方现场管理人员确认后方可作业。</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3.现场安全防护与警示标识</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（1）维修作业区域必须设置明显的安全警示标识和围挡，夜间作业须增设警示灯，防止无关人员进入。涉及高处作业、吊装作业的，作业下方必须设置警戒区，悬挂警示标志，并安排专人监护。</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维修之前，应先进行有毒有害易燃易爆气体的检测，并做好防护；检测仪器须定期校验，合格后方可使用。因现场防护不到位造成安全事故或环境污染事件的，按合同违约条款处理，并由乙方承担全部责任。</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（3）施工和维修过程中现场必须严格遵守安全生产和环保规定，防止污染事故和人身安全事故的发生。</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4.现场管理、垃圾、废油处置清运等</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旧件回收：维修更换下来的旧阀门、旧轴承等废弃零配件及附属装置，由乙方统一收集后，移交甲方统一处理。乙方不得擅自变卖或丢弃；</w:t>
      </w:r>
      <w:r>
        <w:rPr>
          <w:rFonts w:hint="eastAsia" w:ascii="宋体" w:hAnsi="宋体" w:eastAsia="宋体" w:cs="宋体"/>
          <w:color w:val="000000"/>
          <w:sz w:val="21"/>
          <w:szCs w:val="21"/>
          <w:highlight w:val="none"/>
        </w:rPr>
        <w:t xml:space="preserve">维修技术要求中明确折抵</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的旧件除外（如电机线圈重绕时经破坏性处理后的旧漆包线）。</w:t>
      </w:r>
      <w:r>
        <w:rPr>
          <w:rFonts w:hint="eastAsia" w:ascii="宋体" w:hAnsi="宋体" w:eastAsia="宋体" w:cs="宋体"/>
          <w:color w:val="000000"/>
          <w:sz w:val="21"/>
          <w:szCs w:val="21"/>
          <w:highlight w:val="none"/>
          <w:lang w:eastAsia="zh-CN"/>
        </w:rPr>
        <w:t xml:space="preserve">（计价清单中的</w:t>
      </w:r>
      <w:r>
        <w:rPr>
          <w:rFonts w:hint="eastAsia" w:ascii="宋体" w:hAnsi="宋体" w:eastAsia="宋体" w:cs="宋体"/>
          <w:color w:val="000000"/>
          <w:sz w:val="21"/>
          <w:szCs w:val="21"/>
          <w:highlight w:val="none"/>
        </w:rPr>
        <w:t xml:space="preserve">电机线圈重绕</w:t>
      </w:r>
      <w:r>
        <w:rPr>
          <w:rFonts w:hint="eastAsia" w:ascii="宋体" w:hAnsi="宋体" w:eastAsia="宋体" w:cs="宋体"/>
          <w:color w:val="000000"/>
          <w:sz w:val="21"/>
          <w:szCs w:val="21"/>
          <w:highlight w:val="none"/>
          <w:lang w:val="en-US" w:eastAsia="zh-CN"/>
        </w:rPr>
        <w:t xml:space="preserve">维修价格</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已包含将</w:t>
      </w:r>
      <w:r>
        <w:rPr>
          <w:rFonts w:hint="eastAsia" w:ascii="宋体" w:hAnsi="宋体" w:eastAsia="宋体" w:cs="宋体"/>
          <w:color w:val="000000"/>
          <w:sz w:val="21"/>
          <w:szCs w:val="21"/>
          <w:highlight w:val="none"/>
        </w:rPr>
        <w:t xml:space="preserve">旧</w:t>
      </w:r>
      <w:r>
        <w:rPr>
          <w:rFonts w:hint="eastAsia" w:ascii="宋体" w:hAnsi="宋体" w:eastAsia="宋体" w:cs="宋体"/>
          <w:color w:val="000000"/>
          <w:sz w:val="21"/>
          <w:szCs w:val="21"/>
          <w:highlight w:val="none"/>
          <w:lang w:val="en-US" w:eastAsia="zh-CN"/>
        </w:rPr>
        <w:t xml:space="preserve">线圈拆除折抵给乙方，不再回收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废油及废液：维修过程中产生的废机油、废润滑油、废液压油、含油棉纱等危险废物，</w:t>
      </w:r>
      <w:r>
        <w:rPr>
          <w:rFonts w:hint="eastAsia" w:ascii="宋体" w:hAnsi="宋体" w:eastAsia="宋体" w:cs="宋体"/>
          <w:color w:val="000000"/>
          <w:sz w:val="21"/>
          <w:szCs w:val="21"/>
          <w:highlight w:val="none"/>
        </w:rPr>
        <w:t xml:space="preserve">必须</w:t>
      </w:r>
      <w:r>
        <w:rPr>
          <w:rFonts w:hint="eastAsia" w:ascii="宋体" w:hAnsi="宋体" w:eastAsia="宋体" w:cs="宋体"/>
          <w:color w:val="000000"/>
          <w:sz w:val="21"/>
          <w:szCs w:val="21"/>
          <w:highlight w:val="none"/>
          <w:lang w:val="en-US" w:eastAsia="zh-CN"/>
        </w:rPr>
        <w:t xml:space="preserve">由乙方</w:t>
      </w:r>
      <w:r>
        <w:rPr>
          <w:rFonts w:hint="eastAsia" w:ascii="宋体" w:hAnsi="宋体" w:eastAsia="宋体" w:cs="宋体"/>
          <w:color w:val="000000"/>
          <w:sz w:val="21"/>
          <w:szCs w:val="21"/>
          <w:highlight w:val="none"/>
        </w:rPr>
        <w:t xml:space="preserve">按环保要求</w:t>
      </w:r>
      <w:r>
        <w:rPr>
          <w:rFonts w:hint="eastAsia" w:ascii="宋体" w:hAnsi="宋体" w:eastAsia="宋体" w:cs="宋体"/>
          <w:color w:val="000000"/>
          <w:sz w:val="22"/>
          <w:szCs w:val="22"/>
          <w:highlight w:val="none"/>
          <w:lang w:val="en-US" w:eastAsia="zh-CN"/>
        </w:rPr>
        <w:t xml:space="preserve">规范</w:t>
      </w:r>
      <w:r>
        <w:rPr>
          <w:rFonts w:hint="eastAsia" w:ascii="宋体" w:hAnsi="宋体" w:eastAsia="宋体" w:cs="宋体"/>
          <w:color w:val="000000"/>
          <w:sz w:val="22"/>
          <w:szCs w:val="22"/>
          <w:highlight w:val="none"/>
        </w:rPr>
        <w:t xml:space="preserve">处置</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1"/>
          <w:szCs w:val="21"/>
          <w:highlight w:val="none"/>
          <w:lang w:eastAsia="zh-CN"/>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生活垃圾及一般废弃物：由乙方负责清运至合法合规的处置场所，不得随意倾倒在泵站内外。</w:t>
      </w:r>
      <w:r>
        <w:rPr>
          <w:rFonts w:hint="eastAsia" w:ascii="宋体" w:hAnsi="宋体" w:eastAsia="宋体" w:cs="宋体"/>
          <w:color w:val="000000"/>
          <w:sz w:val="21"/>
          <w:szCs w:val="21"/>
          <w:highlight w:val="none"/>
        </w:rPr>
      </w:r>
      <w:r/>
    </w:p>
    <w:p>
      <w:pPr>
        <w:pStyle w:val="962"/>
        <w:ind w:firstLine="422"/>
        <w:jc w:val="left"/>
        <w:keepLines w:val="0"/>
        <w:keepNext w:val="0"/>
        <w:pageBreakBefore w:val="0"/>
        <w:spacing w:line="360" w:lineRule="auto"/>
        <w:tabs>
          <w:tab w:val="left" w:pos="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）考核要求</w:t>
      </w:r>
      <w:r>
        <w:rPr>
          <w:rFonts w:hint="eastAsia" w:ascii="宋体" w:hAnsi="宋体" w:eastAsia="宋体" w:cs="宋体"/>
          <w:b/>
          <w:bCs/>
          <w:color w:val="000000"/>
          <w:sz w:val="21"/>
          <w:szCs w:val="21"/>
          <w:highlight w:val="none"/>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1.甲方每月对乙方的履约情况进行月度考核综合评分（见附件</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《月度服务质量评价表（部门）》</w:t>
      </w:r>
      <w:r>
        <w:rPr>
          <w:rFonts w:hint="eastAsia" w:ascii="宋体" w:hAnsi="宋体" w:eastAsia="宋体" w:cs="宋体"/>
          <w:color w:val="000000"/>
          <w:sz w:val="21"/>
          <w:szCs w:val="21"/>
          <w:highlight w:val="none"/>
        </w:rPr>
        <w:t xml:space="preserve">），满分100分，考核内容涵盖响应及时性、保养维修质量、安全文明施工、资料报送、人员设备履约等。</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2.月度考核得分低于90分时，每低一分扣除当月</w:t>
      </w:r>
      <w:r>
        <w:rPr>
          <w:rFonts w:hint="eastAsia" w:ascii="宋体" w:hAnsi="宋体" w:eastAsia="宋体" w:cs="宋体"/>
          <w:color w:val="000000"/>
          <w:sz w:val="21"/>
          <w:szCs w:val="21"/>
          <w:highlight w:val="none"/>
          <w:lang w:val="en-US" w:eastAsia="zh-CN"/>
        </w:rPr>
        <w:t xml:space="preserve">服务费</w:t>
      </w:r>
      <w:r>
        <w:rPr>
          <w:rFonts w:hint="eastAsia" w:ascii="宋体" w:hAnsi="宋体" w:eastAsia="宋体" w:cs="宋体"/>
          <w:color w:val="000000"/>
          <w:sz w:val="21"/>
          <w:szCs w:val="21"/>
          <w:highlight w:val="none"/>
        </w:rPr>
        <w:t xml:space="preserve">的1%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3.月度考核得分低于80分为不合格。连续2个月考核不合格或累计3个月考核不合格的，甲方有权约谈乙方、扣罚服务费用，情节严重的可终止合同。</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第九条  </w:t>
      </w: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rPr>
        <w:t xml:space="preserve">乙方遇到特殊情况不能在合同规定的时间内完成维修任务时，应及时将拖延的事实、可能拖延的时间和原因通知甲方，经甲方确认后可酌情延长作业时间，没有及时通知的，</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按照《月度服务质量评价表》对应项目考核扣分。</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（二）</w:t>
      </w:r>
      <w:r>
        <w:rPr>
          <w:rFonts w:hint="eastAsia" w:ascii="宋体" w:hAnsi="宋体" w:eastAsia="宋体" w:cs="宋体"/>
          <w:color w:val="000000"/>
          <w:sz w:val="21"/>
          <w:szCs w:val="21"/>
          <w:highlight w:val="none"/>
        </w:rPr>
        <w:t xml:space="preserve">若乙方未能在合同签订后一个月内提供现场维修人员人身意外险或雇主险的，按违约终止合同。</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rPr>
        <w:t xml:space="preserve">若乙方未能在合同签订后</w:t>
      </w:r>
      <w:r>
        <w:rPr>
          <w:rFonts w:hint="eastAsia" w:ascii="宋体" w:hAnsi="宋体" w:eastAsia="宋体" w:cs="宋体"/>
          <w:color w:val="000000"/>
          <w:sz w:val="21"/>
          <w:szCs w:val="21"/>
          <w:highlight w:val="none"/>
          <w:lang w:val="en-US" w:eastAsia="zh-CN"/>
        </w:rPr>
        <w:t xml:space="preserve">30日</w:t>
      </w:r>
      <w:r>
        <w:rPr>
          <w:rFonts w:hint="eastAsia" w:ascii="宋体" w:hAnsi="宋体" w:eastAsia="宋体" w:cs="宋体"/>
          <w:color w:val="000000"/>
          <w:sz w:val="21"/>
          <w:szCs w:val="21"/>
          <w:highlight w:val="none"/>
        </w:rPr>
        <w:t xml:space="preserve">内确定特种设备维修专业分包的，按违约终止合同。</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（四）</w:t>
      </w:r>
      <w:r>
        <w:rPr>
          <w:rFonts w:hint="eastAsia" w:ascii="宋体" w:hAnsi="宋体" w:eastAsia="宋体" w:cs="宋体"/>
          <w:color w:val="000000"/>
          <w:sz w:val="21"/>
          <w:szCs w:val="21"/>
          <w:highlight w:val="none"/>
        </w:rPr>
        <w:t xml:space="preserve">因乙方未能按时完成维修工作，或因维修质量问题影响甲方正常运行并造成运行事故的，除扣除该项维修工作全部维修费用外，并要求</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支付违约金人民币30000元（在支付违约金后，不再执行月度考核综合表中的扣分条款）。</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（五）</w:t>
      </w:r>
      <w:r>
        <w:rPr>
          <w:rFonts w:hint="eastAsia" w:ascii="宋体" w:hAnsi="宋体" w:eastAsia="宋体" w:cs="宋体"/>
          <w:color w:val="000000"/>
          <w:sz w:val="21"/>
          <w:szCs w:val="21"/>
          <w:highlight w:val="none"/>
        </w:rPr>
        <w:t xml:space="preserve">因乙方违约造成甲方损失的，除承担相应违约金外，乙方还应赔偿甲方因此受到的直接和间接经济损失，</w:t>
      </w:r>
      <w:r>
        <w:rPr>
          <w:rFonts w:hint="eastAsia" w:ascii="宋体" w:hAnsi="宋体" w:eastAsia="宋体" w:cs="宋体"/>
          <w:color w:val="000000"/>
          <w:sz w:val="21"/>
          <w:szCs w:val="21"/>
          <w:highlight w:val="none"/>
        </w:rPr>
        <w:t xml:space="preserve">包括但不限于招标人的实际经济损失、</w:t>
      </w:r>
      <w:r>
        <w:rPr>
          <w:rFonts w:hint="eastAsia" w:ascii="宋体" w:hAnsi="宋体" w:eastAsia="宋体" w:cs="宋体"/>
          <w:color w:val="000000"/>
          <w:sz w:val="21"/>
          <w:szCs w:val="21"/>
          <w:highlight w:val="none"/>
          <w:lang w:eastAsia="zh-CN"/>
        </w:rPr>
        <w:t xml:space="preserve">招标人</w:t>
      </w:r>
      <w:r>
        <w:rPr>
          <w:rFonts w:hint="eastAsia" w:ascii="宋体" w:hAnsi="宋体" w:eastAsia="宋体" w:cs="宋体"/>
          <w:color w:val="000000"/>
          <w:sz w:val="21"/>
          <w:szCs w:val="21"/>
          <w:highlight w:val="none"/>
        </w:rPr>
        <w:t xml:space="preserve">承担的调查取证、交通等费用。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bCs w:val="0"/>
          <w:color w:val="000000"/>
          <w:sz w:val="21"/>
          <w:szCs w:val="21"/>
          <w:highlight w:val="none"/>
        </w:rPr>
        <w:outlineLvl w:val="9"/>
      </w:pPr>
      <w:r>
        <w:rPr>
          <w:rFonts w:hint="eastAsia" w:ascii="宋体" w:hAnsi="宋体" w:eastAsia="宋体" w:cs="宋体"/>
          <w:bCs w:val="0"/>
          <w:color w:val="000000"/>
          <w:sz w:val="21"/>
          <w:szCs w:val="21"/>
          <w:highlight w:val="none"/>
          <w:lang w:val="en-US" w:eastAsia="zh-CN" w:bidi="ar-SA"/>
        </w:rPr>
        <w:t xml:space="preserve">（六）</w:t>
      </w:r>
      <w:r>
        <w:rPr>
          <w:rFonts w:hint="eastAsia" w:ascii="宋体" w:hAnsi="宋体" w:eastAsia="宋体" w:cs="宋体"/>
          <w:color w:val="000000"/>
          <w:sz w:val="21"/>
          <w:szCs w:val="21"/>
          <w:highlight w:val="none"/>
        </w:rPr>
        <w:t xml:space="preserve">本合同规定的违约金、损失赔偿金、乙方应承担的费用甲方均有权在履约保证金或服务费中扣除，履约保证金金额及服务费不足时，甲方有权向乙方进行进一步的索赔。</w:t>
      </w:r>
      <w:r>
        <w:rPr>
          <w:rFonts w:hint="eastAsia" w:ascii="宋体" w:hAnsi="宋体" w:eastAsia="宋体" w:cs="宋体"/>
          <w:bCs w:val="0"/>
          <w:color w:val="000000"/>
          <w:sz w:val="21"/>
          <w:szCs w:val="21"/>
          <w:highlight w:val="none"/>
        </w:rPr>
        <w:tab/>
      </w:r>
      <w:r>
        <w:rPr>
          <w:rFonts w:hint="eastAsia" w:ascii="宋体" w:hAnsi="宋体" w:eastAsia="宋体" w:cs="宋体"/>
          <w:bCs w:val="0"/>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bCs w:val="0"/>
          <w:color w:val="000000"/>
          <w:sz w:val="21"/>
          <w:szCs w:val="21"/>
          <w:highlight w:val="none"/>
        </w:rPr>
        <w:outlineLvl w:val="9"/>
      </w:pPr>
      <w:r>
        <w:rPr>
          <w:rFonts w:hint="eastAsia" w:ascii="宋体" w:hAnsi="宋体" w:eastAsia="宋体" w:cs="宋体"/>
          <w:bCs w:val="0"/>
          <w:color w:val="000000"/>
          <w:sz w:val="21"/>
          <w:szCs w:val="21"/>
          <w:highlight w:val="none"/>
          <w:lang w:val="en-US" w:eastAsia="zh-CN" w:bidi="ar-SA"/>
        </w:rPr>
        <w:t xml:space="preserve">（七）</w:t>
      </w:r>
      <w:r>
        <w:rPr>
          <w:rFonts w:hint="eastAsia" w:ascii="宋体" w:hAnsi="宋体" w:eastAsia="宋体" w:cs="宋体"/>
          <w:bCs w:val="0"/>
          <w:color w:val="000000"/>
          <w:sz w:val="21"/>
          <w:szCs w:val="21"/>
          <w:highlight w:val="none"/>
        </w:rPr>
        <w:t xml:space="preserve">本合同规定的违约金均为惩罚性违约金，其目的不仅包括事先确定违约后的赔偿金额，更是为了督促对方守约而约定的违约金。</w:t>
      </w:r>
      <w:r>
        <w:rPr>
          <w:rFonts w:hint="eastAsia" w:ascii="宋体" w:hAnsi="宋体" w:eastAsia="宋体" w:cs="宋体"/>
          <w:bCs w:val="0"/>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bCs/>
          <w:iCs w:val="0"/>
          <w:color w:val="000000"/>
          <w:sz w:val="21"/>
          <w:szCs w:val="21"/>
          <w:highlight w:val="none"/>
        </w:rPr>
        <w:outlineLvl w:val="9"/>
      </w:pPr>
      <w:r>
        <w:rPr>
          <w:rFonts w:hint="eastAsia" w:ascii="宋体" w:hAnsi="宋体" w:eastAsia="宋体" w:cs="宋体"/>
          <w:b/>
          <w:bCs/>
          <w:iCs w:val="0"/>
          <w:color w:val="000000"/>
          <w:sz w:val="21"/>
          <w:szCs w:val="21"/>
          <w:highlight w:val="none"/>
          <w:lang w:val="en-US" w:eastAsia="zh-CN" w:bidi="ar-SA"/>
        </w:rPr>
        <w:t xml:space="preserve">第十条  </w:t>
      </w:r>
      <w:r>
        <w:rPr>
          <w:rFonts w:hint="eastAsia" w:ascii="宋体" w:hAnsi="宋体" w:eastAsia="宋体" w:cs="宋体"/>
          <w:b/>
          <w:bCs/>
          <w:iCs w:val="0"/>
          <w:color w:val="000000"/>
          <w:sz w:val="21"/>
          <w:szCs w:val="21"/>
          <w:highlight w:val="none"/>
        </w:rPr>
        <w:t xml:space="preserve">合同变更及终止</w:t>
      </w:r>
      <w:r>
        <w:rPr>
          <w:rFonts w:hint="eastAsia" w:ascii="宋体" w:hAnsi="宋体" w:eastAsia="宋体" w:cs="宋体"/>
          <w:b/>
          <w:bCs/>
          <w:iCs w:val="0"/>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（一）</w:t>
      </w:r>
      <w:r>
        <w:rPr>
          <w:rFonts w:hint="eastAsia" w:ascii="宋体" w:hAnsi="宋体" w:eastAsia="宋体" w:cs="宋体"/>
          <w:bCs w:val="0"/>
          <w:color w:val="000000"/>
          <w:sz w:val="21"/>
          <w:szCs w:val="21"/>
          <w:highlight w:val="none"/>
        </w:rPr>
        <w:t xml:space="preserve">本合同内容如需</w:t>
      </w:r>
      <w:r>
        <w:rPr>
          <w:rFonts w:hint="eastAsia" w:ascii="宋体" w:hAnsi="宋体" w:eastAsia="宋体" w:cs="宋体"/>
          <w:color w:val="000000"/>
          <w:sz w:val="21"/>
          <w:szCs w:val="21"/>
          <w:highlight w:val="none"/>
        </w:rPr>
        <w:t xml:space="preserve">变更或补充，应经甲乙双方协商，共同签署书面补充协议。</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（二）</w:t>
      </w:r>
      <w:r>
        <w:rPr>
          <w:rFonts w:hint="eastAsia" w:ascii="宋体" w:hAnsi="宋体" w:eastAsia="宋体" w:cs="宋体"/>
          <w:color w:val="000000"/>
          <w:sz w:val="21"/>
          <w:szCs w:val="21"/>
          <w:highlight w:val="none"/>
          <w:lang w:val="en-US" w:eastAsia="zh-CN"/>
        </w:rPr>
        <w:t xml:space="preserve">合同解除</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除《政府采购法》第49条、第50条第二款及本合同规定的有关情形外，本合同双方均不得擅自变更、中止或者终止合同。当本合同继续履行将损害国家利益和社会公共利益的，双方应当协商一致，变更、中止或者终止合同，并按照相关法律法规的规定及合同约定承担相应的责任。</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除前款约定的情形外，如因国家政策调整、法律变更等不可归责于任何一方的原因导致合同目的无法实现的，双方可协商一致解除本合同，并应妥善处理善后事宜。</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乙方在履约过程中，有下列违约情形之一的，除支付相应违约金外，甲方有权解除合同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未能在合同签订后一个月内确定特种设备维修专业分包的；</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未能在合同签订后一个月内提供现场维修人员人身意外险或雇主险的；</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在一个月内3次以上未能在规定时间内响应维修任务；</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超出规定时间仍未完成维修任务并导致</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发生运行事故；</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lang w:val="en-US" w:eastAsia="zh-CN"/>
        </w:rPr>
        <w:t xml:space="preserve">连续2个月或累计</w:t>
      </w:r>
      <w:r>
        <w:rPr>
          <w:rFonts w:hint="eastAsia" w:ascii="宋体" w:hAnsi="宋体" w:eastAsia="宋体" w:cs="宋体"/>
          <w:color w:val="000000"/>
          <w:sz w:val="21"/>
          <w:szCs w:val="21"/>
          <w:highlight w:val="none"/>
        </w:rPr>
        <w:t xml:space="preserve">3个月考核得分小于80分的；</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未履行投标时服务承诺的；</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（7）其他违反本合同的情况。</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bCs w:val="0"/>
          <w:color w:val="000000"/>
          <w:sz w:val="21"/>
          <w:szCs w:val="21"/>
          <w:highlight w:val="none"/>
        </w:rPr>
        <w:t xml:space="preserve">因乙方违约、甲方选择解除合同的，应在合理期间内提前向乙方发出《合同解除通知书》。乙方对解除合同有争议的，应于15日内向常州仲裁委员会申请仲裁；乙方对解除合同没有争议的，应在《合同解除通知书》要求的时间内，按本合同规定做好交接和善后工作，合同解除的具体时间以《合同解除通知书》中载明的时间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lang w:val="en-US" w:eastAsia="zh-CN"/>
        </w:rPr>
        <w:t xml:space="preserve">合同终止</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本合同终止时，乙方应移交本项目服务管理权，撤出本项目，并协助甲方作好服务管理事项的交接和善后工作，移交或配合甲方移交服务管理用房和服务管理的全部档案资料等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服务期满或合同终止后，在新的服务单位接管本项目前，除甲方要求乙方提前撤离外，新老服务单位的交接过渡期最长为1个月，在此期间乙方应继续做好过渡期服务工作，过渡期服务内容、标准和费用标准不变，费用由乙方收取；1个月过渡期满后，必须按规定进行交接、撤离。</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如乙方决定合同期满后不与甲方续签合同的，应至少提前60日书面通知甲方。</w:t>
      </w:r>
      <w:r>
        <w:rPr>
          <w:rFonts w:hint="eastAsia" w:ascii="宋体" w:hAnsi="宋体" w:eastAsia="宋体" w:cs="宋体"/>
          <w:b/>
          <w:bCs/>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第十一条  </w:t>
      </w:r>
      <w:r>
        <w:rPr>
          <w:rFonts w:hint="eastAsia" w:ascii="宋体" w:hAnsi="宋体" w:eastAsia="宋体" w:cs="宋体"/>
          <w:b/>
          <w:bCs/>
          <w:color w:val="000000"/>
          <w:sz w:val="21"/>
          <w:szCs w:val="21"/>
          <w:highlight w:val="none"/>
        </w:rPr>
        <w:t xml:space="preserve">诚实信用</w:t>
      </w:r>
      <w:r>
        <w:rPr>
          <w:rFonts w:hint="eastAsia" w:ascii="宋体" w:hAnsi="宋体" w:eastAsia="宋体" w:cs="宋体"/>
          <w:b/>
          <w:bCs/>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乙方应诚实守信，不向甲方进行商业贿赂或者提供不正当利益。</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第十二条  </w:t>
      </w:r>
      <w:r>
        <w:rPr>
          <w:rFonts w:hint="eastAsia" w:ascii="宋体" w:hAnsi="宋体" w:eastAsia="宋体" w:cs="宋体"/>
          <w:b/>
          <w:bCs/>
          <w:color w:val="000000"/>
          <w:sz w:val="21"/>
          <w:szCs w:val="21"/>
          <w:highlight w:val="none"/>
        </w:rPr>
        <w:t xml:space="preserve">保密</w:t>
      </w:r>
      <w:r>
        <w:rPr>
          <w:rFonts w:hint="eastAsia" w:ascii="宋体" w:hAnsi="宋体" w:eastAsia="宋体" w:cs="宋体"/>
          <w:b/>
          <w:bCs/>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如未征得对方的书面同意，任何一方不得向任何第三方提供或披露有关合同执行的相关信息和资料，包括但不限于技术资料、商业秘密和商业信息等</w:t>
      </w:r>
      <w:r>
        <w:rPr>
          <w:rFonts w:hint="eastAsia" w:ascii="宋体" w:hAnsi="宋体" w:eastAsia="宋体" w:cs="宋体"/>
          <w:b/>
          <w:bCs/>
          <w:color w:val="000000"/>
          <w:sz w:val="21"/>
          <w:szCs w:val="21"/>
          <w:highlight w:val="none"/>
        </w:rPr>
        <w:t xml:space="preserve">（政府及其他主管部门要求提供的除外）</w:t>
      </w:r>
      <w:r>
        <w:rPr>
          <w:rFonts w:hint="eastAsia" w:ascii="宋体" w:hAnsi="宋体" w:eastAsia="宋体" w:cs="宋体"/>
          <w:color w:val="000000"/>
          <w:sz w:val="21"/>
          <w:szCs w:val="21"/>
          <w:highlight w:val="none"/>
        </w:rPr>
        <w:t xml:space="preserve">。否则，由此产生的责任由披露方承担，造成对方损失的，由披露方予以赔偿。本保密义务不因本合同的终止而终止，在本合同终止后仍长期有效。</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第十三条  </w:t>
      </w:r>
      <w:r>
        <w:rPr>
          <w:rFonts w:hint="eastAsia" w:ascii="宋体" w:hAnsi="宋体" w:eastAsia="宋体" w:cs="宋体"/>
          <w:b/>
          <w:bCs/>
          <w:color w:val="000000"/>
          <w:sz w:val="21"/>
          <w:szCs w:val="21"/>
          <w:highlight w:val="none"/>
        </w:rPr>
        <w:t xml:space="preserve">通知和送达</w:t>
      </w:r>
      <w:r>
        <w:rPr>
          <w:rFonts w:hint="eastAsia" w:ascii="宋体" w:hAnsi="宋体" w:eastAsia="宋体" w:cs="宋体"/>
          <w:b/>
          <w:bCs/>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合同履行过程中的联络及相关文件的签署，均应通过双方指定的联系人和联系方式进行。</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甲方受送达人：</w:t>
      </w:r>
      <w:r>
        <w:rPr>
          <w:rFonts w:hint="eastAsia" w:ascii="宋体" w:hAnsi="宋体" w:eastAsia="宋体" w:cs="宋体"/>
          <w:color w:val="000000"/>
          <w:sz w:val="21"/>
          <w:szCs w:val="21"/>
          <w:highlight w:val="none"/>
          <w:u w:val="single"/>
          <w:lang w:val="en-US" w:eastAsia="zh-CN"/>
        </w:rPr>
        <w:t xml:space="preserve">翟慧慧</w:t>
      </w:r>
      <w:r>
        <w:rPr>
          <w:rFonts w:hint="eastAsia" w:ascii="宋体" w:hAnsi="宋体" w:eastAsia="宋体" w:cs="宋体"/>
          <w:color w:val="000000"/>
          <w:sz w:val="21"/>
          <w:szCs w:val="21"/>
          <w:highlight w:val="none"/>
          <w:lang w:val="en-US" w:eastAsia="zh-CN"/>
        </w:rPr>
        <w:t xml:space="preserve">，电话：</w:t>
      </w:r>
      <w:r>
        <w:rPr>
          <w:rFonts w:hint="eastAsia" w:ascii="宋体" w:hAnsi="宋体" w:eastAsia="宋体" w:cs="宋体"/>
          <w:color w:val="000000"/>
          <w:sz w:val="21"/>
          <w:szCs w:val="21"/>
          <w:highlight w:val="none"/>
          <w:u w:val="single"/>
          <w:lang w:val="en-US" w:eastAsia="zh-CN"/>
        </w:rPr>
        <w:t xml:space="preserve">0519-85570873</w:t>
      </w:r>
      <w:r>
        <w:rPr>
          <w:rFonts w:hint="eastAsia" w:ascii="宋体" w:hAnsi="宋体" w:eastAsia="宋体" w:cs="宋体"/>
          <w:color w:val="000000"/>
          <w:sz w:val="21"/>
          <w:szCs w:val="21"/>
          <w:highlight w:val="none"/>
          <w:lang w:val="en-US" w:eastAsia="zh-CN"/>
        </w:rPr>
        <w:t xml:space="preserve">，联系邮箱：</w:t>
      </w:r>
      <w:r>
        <w:rPr>
          <w:rFonts w:hint="eastAsia" w:ascii="宋体" w:hAnsi="宋体" w:eastAsia="宋体" w:cs="宋体"/>
          <w:color w:val="000000"/>
          <w:sz w:val="21"/>
          <w:szCs w:val="21"/>
          <w:highlight w:val="none"/>
          <w:u w:val="single"/>
          <w:lang w:val="en-US" w:eastAsia="zh-CN"/>
        </w:rPr>
        <w:t xml:space="preserve">253136477@qq.com</w:t>
      </w:r>
      <w:r>
        <w:rPr>
          <w:rFonts w:hint="eastAsia" w:ascii="宋体" w:hAnsi="宋体" w:eastAsia="宋体" w:cs="宋体"/>
          <w:color w:val="000000"/>
          <w:sz w:val="21"/>
          <w:szCs w:val="21"/>
          <w:highlight w:val="none"/>
          <w:lang w:val="en-US" w:eastAsia="zh-CN"/>
        </w:rPr>
        <w:t xml:space="preserve">，地址：</w:t>
      </w:r>
      <w:r>
        <w:rPr>
          <w:rFonts w:hint="eastAsia" w:ascii="宋体" w:hAnsi="宋体" w:eastAsia="宋体" w:cs="宋体"/>
          <w:color w:val="000000"/>
          <w:sz w:val="21"/>
          <w:szCs w:val="21"/>
          <w:highlight w:val="none"/>
          <w:u w:val="single"/>
          <w:lang w:val="en-US" w:eastAsia="zh-CN"/>
        </w:rPr>
        <w:t xml:space="preserve">常州市飞龙东路116号</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w:t>
      </w:r>
      <w:r>
        <w:rPr>
          <w:rFonts w:hint="eastAsia" w:ascii="宋体" w:hAnsi="宋体" w:eastAsia="宋体" w:cs="宋体"/>
          <w:color w:val="000000"/>
          <w:sz w:val="21"/>
          <w:szCs w:val="21"/>
          <w:highlight w:val="none"/>
          <w:lang w:val="en-US" w:eastAsia="zh-CN"/>
        </w:rPr>
        <w:t xml:space="preserve">受送达</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，联系邮箱：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合同履行中的相关联络，送达上述指定的联系人即视为送达。</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合同履行中若产生争议，当需要提交司法裁决时，上述地址及联系人均作为司法文书的接收地址和接收人。</w:t>
      </w:r>
      <w:r>
        <w:rPr>
          <w:rFonts w:hint="eastAsia" w:ascii="宋体" w:hAnsi="宋体" w:eastAsia="宋体" w:cs="宋体"/>
          <w:b/>
          <w:bCs/>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第十四条  </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rPr>
        <w:t xml:space="preserve">不可抗力指下列事件：战争、动乱、瘟疫、严重火灾、洪水、地震、风暴或其他自然灾害，以及本合同各方不可预见、不可防止并不能避免或克服的一切其他事件。</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（二）</w:t>
      </w:r>
      <w:r>
        <w:rPr>
          <w:rFonts w:hint="eastAsia" w:ascii="宋体" w:hAnsi="宋体" w:eastAsia="宋体" w:cs="宋体"/>
          <w:color w:val="000000"/>
          <w:sz w:val="21"/>
          <w:szCs w:val="21"/>
          <w:highlight w:val="none"/>
        </w:rPr>
        <w:t xml:space="preserve">若不可抗力发生使合同执行受阻，则合同执行时间根据受影响的时间相应延长，但合同价格不得调整。</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（三）</w:t>
      </w:r>
      <w:r>
        <w:rPr>
          <w:rFonts w:hint="eastAsia" w:ascii="宋体" w:hAnsi="宋体" w:eastAsia="宋体" w:cs="宋体"/>
          <w:color w:val="000000"/>
          <w:sz w:val="21"/>
          <w:szCs w:val="21"/>
          <w:highlight w:val="none"/>
        </w:rPr>
        <w:t xml:space="preserve">任何一方因不可抗力不能履行本合同规定的全部或部分义务，该方应尽快通知对方，并须在不可抗力发生后3个日历日内以书面形式向对方提供详细情况报告及不可抗力对履行本合同的影响程度的说明。</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（四）</w:t>
      </w:r>
      <w:r>
        <w:rPr>
          <w:rFonts w:hint="eastAsia" w:ascii="宋体" w:hAnsi="宋体" w:eastAsia="宋体" w:cs="宋体"/>
          <w:color w:val="000000"/>
          <w:sz w:val="21"/>
          <w:szCs w:val="21"/>
          <w:highlight w:val="none"/>
        </w:rPr>
        <w:t xml:space="preserve">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（五）</w:t>
      </w:r>
      <w:r>
        <w:rPr>
          <w:rFonts w:hint="eastAsia" w:ascii="宋体" w:hAnsi="宋体" w:eastAsia="宋体" w:cs="宋体"/>
          <w:color w:val="000000"/>
          <w:sz w:val="21"/>
          <w:szCs w:val="21"/>
          <w:highlight w:val="none"/>
        </w:rPr>
        <w:t xml:space="preserve">合同双方应根据不可抗力对本合同履行的影响程度，协商确定是否终止本合同，或继续履行本合同。</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第十五条  </w:t>
      </w:r>
      <w:r>
        <w:rPr>
          <w:rFonts w:hint="eastAsia" w:ascii="宋体" w:hAnsi="宋体" w:eastAsia="宋体" w:cs="宋体"/>
          <w:b/>
          <w:bCs/>
          <w:color w:val="000000"/>
          <w:sz w:val="21"/>
          <w:szCs w:val="21"/>
          <w:highlight w:val="none"/>
        </w:rPr>
        <w:t xml:space="preserve">争议的解决</w:t>
      </w:r>
      <w:r>
        <w:rPr>
          <w:rFonts w:hint="eastAsia" w:ascii="宋体" w:hAnsi="宋体" w:eastAsia="宋体" w:cs="宋体"/>
          <w:b/>
          <w:bCs/>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rPr>
        <w:t xml:space="preserve">与本合同有关的任何争议，双方应通过友好协商解决。双方确认争议解决方式为向常州仲裁委员会申请仲裁。</w:t>
      </w:r>
      <w:r>
        <w:rPr>
          <w:rFonts w:hint="eastAsia" w:ascii="宋体" w:hAnsi="宋体" w:eastAsia="宋体" w:cs="宋体"/>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（二）</w:t>
      </w:r>
      <w:r>
        <w:rPr>
          <w:rFonts w:hint="eastAsia" w:ascii="宋体" w:hAnsi="宋体" w:eastAsia="宋体" w:cs="宋体"/>
          <w:color w:val="000000"/>
          <w:sz w:val="21"/>
          <w:szCs w:val="21"/>
          <w:highlight w:val="none"/>
        </w:rPr>
        <w:t xml:space="preserve">在争议及仲裁期间，乙方应继续履行本合同，不得以解决争议为由影响甲方的正常运行。</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第十六条  </w:t>
      </w:r>
      <w:r>
        <w:rPr>
          <w:rFonts w:hint="eastAsia" w:ascii="宋体" w:hAnsi="宋体" w:eastAsia="宋体" w:cs="宋体"/>
          <w:b/>
          <w:bCs/>
          <w:color w:val="000000"/>
          <w:sz w:val="21"/>
          <w:szCs w:val="21"/>
          <w:highlight w:val="none"/>
        </w:rPr>
        <w:t xml:space="preserve">合同生效及其它</w:t>
      </w:r>
      <w:r>
        <w:rPr>
          <w:rFonts w:hint="eastAsia" w:ascii="宋体" w:hAnsi="宋体" w:eastAsia="宋体" w:cs="宋体"/>
          <w:b/>
          <w:bCs/>
          <w:color w:val="000000"/>
          <w:sz w:val="21"/>
          <w:szCs w:val="21"/>
          <w:highlight w:val="none"/>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rPr>
        <w:t xml:space="preserve">本合同</w:t>
      </w:r>
      <w:r>
        <w:rPr>
          <w:rFonts w:hint="eastAsia" w:ascii="宋体" w:hAnsi="宋体" w:eastAsia="宋体" w:cs="宋体"/>
          <w:color w:val="000000"/>
          <w:sz w:val="21"/>
          <w:szCs w:val="21"/>
          <w:highlight w:val="none"/>
          <w:lang w:val="en-US" w:eastAsia="zh-CN"/>
        </w:rPr>
        <w:t xml:space="preserve">自签订之日起生效。</w:t>
      </w:r>
      <w:r>
        <w:rPr>
          <w:rFonts w:hint="eastAsia" w:ascii="宋体" w:hAnsi="宋体" w:eastAsia="宋体" w:cs="宋体"/>
          <w:color w:val="000000"/>
          <w:sz w:val="21"/>
          <w:szCs w:val="21"/>
          <w:highlight w:val="none"/>
          <w:lang w:val="en-US" w:eastAsia="zh-CN"/>
        </w:rPr>
      </w:r>
      <w:r/>
    </w:p>
    <w:p>
      <w:pPr>
        <w:pStyle w:val="962"/>
        <w:numPr>
          <w:ilvl w:val="0"/>
          <w:numId w:val="0"/>
        </w:numPr>
        <w:ind w:left="0"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（二）</w:t>
      </w:r>
      <w:r>
        <w:rPr>
          <w:rFonts w:hint="eastAsia" w:ascii="宋体" w:hAnsi="宋体" w:eastAsia="宋体" w:cs="宋体"/>
          <w:color w:val="000000"/>
          <w:sz w:val="21"/>
          <w:szCs w:val="21"/>
          <w:highlight w:val="none"/>
          <w:lang w:val="zh-CN"/>
        </w:rPr>
        <w:t xml:space="preserve">本合同一式柒份，甲方执肆份、乙方执贰份、采购代理机构执壹份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2"/>
        <w:numPr>
          <w:ilvl w:val="0"/>
          <w:numId w:val="0"/>
        </w:numPr>
        <w:ind w:firstLine="422"/>
        <w:jc w:val="left"/>
        <w:keepLines w:val="0"/>
        <w:keepNext w:val="0"/>
        <w:pageBreakBefore w:val="0"/>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第十七条  </w:t>
      </w:r>
      <w:r>
        <w:rPr>
          <w:rFonts w:hint="eastAsia" w:ascii="宋体" w:hAnsi="宋体" w:eastAsia="宋体" w:cs="宋体"/>
          <w:b/>
          <w:bCs/>
          <w:color w:val="000000"/>
          <w:sz w:val="21"/>
          <w:szCs w:val="21"/>
          <w:highlight w:val="none"/>
        </w:rPr>
        <w:t xml:space="preserve">合同附件</w:t>
      </w:r>
      <w:r>
        <w:rPr>
          <w:rFonts w:hint="eastAsia" w:ascii="宋体" w:hAnsi="宋体" w:eastAsia="宋体" w:cs="宋体"/>
          <w:b/>
          <w:bCs/>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1.本合同包括</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2</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rPr>
        <w:t xml:space="preserve">个附件。</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after="0"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附件1《常州市排水管理处 排水泵站设备检查保养及维修 计价清单》</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after="0"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《月度服务质量评价表》</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after="0" w:line="360" w:lineRule="auto"/>
        <w:widowControl/>
        <w:tabs>
          <w:tab w:val="left" w:pos="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附件3：《</w:t>
      </w:r>
      <w:r>
        <w:rPr>
          <w:rFonts w:hint="eastAsia" w:ascii="宋体" w:hAnsi="宋体" w:eastAsia="宋体" w:cs="宋体"/>
          <w:color w:val="000000"/>
          <w:sz w:val="21"/>
          <w:szCs w:val="21"/>
          <w:highlight w:val="none"/>
        </w:rPr>
        <w:t xml:space="preserve">安全生产协议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2"/>
        <w:numPr>
          <w:ilvl w:val="0"/>
          <w:numId w:val="0"/>
        </w:numPr>
        <w:ind w:firstLine="420"/>
        <w:jc w:val="left"/>
        <w:keepLines w:val="0"/>
        <w:keepNext w:val="0"/>
        <w:pageBreakBefore w:val="0"/>
        <w:spacing w:after="0"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2.上述附件是本合同的组成部分，与本合同具有同等法律效力。</w:t>
      </w:r>
      <w:r>
        <w:rPr>
          <w:rFonts w:hint="eastAsia" w:ascii="宋体" w:hAnsi="宋体" w:eastAsia="宋体" w:cs="宋体"/>
          <w:color w:val="000000"/>
          <w:sz w:val="21"/>
          <w:szCs w:val="21"/>
          <w:highlight w:val="none"/>
        </w:rPr>
      </w:r>
      <w:r/>
    </w:p>
    <w:p>
      <w:pPr>
        <w:pStyle w:val="962"/>
        <w:numPr>
          <w:ilvl w:val="0"/>
          <w:numId w:val="0"/>
        </w:numPr>
        <w:ind w:firstLine="420"/>
        <w:jc w:val="left"/>
        <w:keepLines w:val="0"/>
        <w:keepNext w:val="0"/>
        <w:pageBreakBefore w:val="0"/>
        <w:spacing w:line="360" w:lineRule="auto"/>
        <w:widowControl/>
        <w:tabs>
          <w:tab w:val="left" w:pos="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（以下为附件及签署页，无正文）</w:t>
      </w:r>
      <w:r>
        <w:rPr>
          <w:rFonts w:hint="eastAsia" w:ascii="宋体" w:hAnsi="宋体" w:eastAsia="宋体" w:cs="宋体"/>
          <w:color w:val="000000"/>
          <w:sz w:val="21"/>
          <w:szCs w:val="21"/>
          <w:highlight w:val="none"/>
        </w:rPr>
      </w:r>
      <w:r/>
    </w:p>
    <w:p>
      <w:pPr>
        <w:pStyle w:val="962"/>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sectPr>
          <w:footnotePr/>
          <w:endnotePr/>
          <w:type w:val="nextPage"/>
          <w:pgSz w:w="11907" w:h="16840" w:orient="portrait"/>
          <w:pgMar w:top="1440" w:right="1080" w:bottom="1440" w:left="1080" w:header="851" w:footer="851" w:gutter="0"/>
          <w:cols w:num="1" w:sep="0" w:space="1701" w:equalWidth="1"/>
          <w:docGrid w:linePitch="360"/>
        </w:sectPr>
        <w:outlineLvl w:val="9"/>
      </w:pPr>
      <w:r>
        <w:rPr>
          <w:rFonts w:hint="eastAsia" w:ascii="宋体" w:hAnsi="宋体" w:eastAsia="宋体" w:cs="宋体"/>
          <w:color w:val="000000"/>
          <w:sz w:val="21"/>
          <w:szCs w:val="21"/>
          <w:highlight w:val="none"/>
        </w:rPr>
      </w:r>
      <w:r/>
    </w:p>
    <w:p>
      <w:pPr>
        <w:pStyle w:val="962"/>
        <w:keepLines w:val="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（签章页）</w:t>
      </w:r>
      <w:r>
        <w:rPr>
          <w:rFonts w:hint="eastAsia" w:ascii="宋体" w:hAnsi="宋体" w:eastAsia="宋体" w:cs="宋体"/>
          <w:color w:val="000000"/>
          <w:sz w:val="21"/>
          <w:szCs w:val="21"/>
          <w:highlight w:val="none"/>
        </w:rPr>
      </w:r>
      <w:r/>
    </w:p>
    <w:p>
      <w:pPr>
        <w:pStyle w:val="962"/>
        <w:keepLines w:val="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    方：</w:t>
      </w:r>
      <w:r>
        <w:rPr>
          <w:rFonts w:hint="eastAsia" w:ascii="宋体" w:hAnsi="宋体" w:eastAsia="宋体" w:cs="宋体"/>
          <w:color w:val="000000"/>
          <w:sz w:val="21"/>
          <w:szCs w:val="21"/>
          <w:highlight w:val="none"/>
        </w:rPr>
      </w:r>
      <w:r/>
    </w:p>
    <w:p>
      <w:pPr>
        <w:pStyle w:val="962"/>
        <w:keepLines w:val="0"/>
        <w:spacing w:line="480" w:lineRule="exact"/>
        <w:rPr>
          <w:rFonts w:hint="eastAsia"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rPr>
        <w:t xml:space="preserve">单位名称</w:t>
      </w:r>
      <w:r>
        <w:rPr>
          <w:rFonts w:hint="eastAsia" w:ascii="宋体" w:hAnsi="宋体" w:eastAsia="宋体" w:cs="宋体"/>
          <w:color w:val="000000"/>
          <w:sz w:val="21"/>
          <w:szCs w:val="21"/>
          <w:highlight w:val="none"/>
          <w:lang w:eastAsia="zh-CN"/>
        </w:rPr>
        <w:t xml:space="preserve">（公</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u w:val="single"/>
          <w:lang w:val="en-US" w:eastAsia="zh-CN"/>
        </w:rPr>
        <w:t xml:space="preserve">常州市排水管理处</w:t>
      </w:r>
      <w:r>
        <w:rPr>
          <w:rFonts w:hint="eastAsia" w:ascii="宋体" w:hAnsi="宋体" w:eastAsia="宋体" w:cs="宋体"/>
          <w:color w:val="000000"/>
          <w:sz w:val="21"/>
          <w:szCs w:val="21"/>
          <w:highlight w:val="none"/>
          <w:u w:val="single"/>
          <w:lang w:val="en-US"/>
        </w:rPr>
      </w:r>
      <w:r/>
    </w:p>
    <w:p>
      <w:pPr>
        <w:pStyle w:val="962"/>
        <w:keepLines w:val="0"/>
        <w:spacing w:line="48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常州市天宁区飞龙东路116号</w:t>
      </w:r>
      <w:r>
        <w:rPr>
          <w:rFonts w:hint="eastAsia" w:ascii="宋体" w:hAnsi="宋体" w:eastAsia="宋体" w:cs="宋体"/>
          <w:color w:val="000000"/>
          <w:sz w:val="21"/>
          <w:szCs w:val="21"/>
          <w:highlight w:val="none"/>
          <w:u w:val="single"/>
        </w:rPr>
      </w:r>
      <w:r/>
    </w:p>
    <w:p>
      <w:pPr>
        <w:pStyle w:val="962"/>
        <w:keepLines w:val="0"/>
        <w:spacing w:line="4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val="en-US" w:eastAsia="zh-CN"/>
        </w:rPr>
      </w:r>
      <w:r/>
    </w:p>
    <w:p>
      <w:pPr>
        <w:pStyle w:val="962"/>
        <w:keepLines w:val="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联系电话：0519-85570873</w:t>
      </w:r>
      <w:r>
        <w:rPr>
          <w:rFonts w:hint="eastAsia" w:ascii="宋体" w:hAnsi="宋体" w:eastAsia="宋体" w:cs="宋体"/>
          <w:color w:val="000000"/>
          <w:sz w:val="21"/>
          <w:szCs w:val="21"/>
          <w:highlight w:val="none"/>
        </w:rPr>
      </w:r>
      <w:r/>
    </w:p>
    <w:p>
      <w:pPr>
        <w:pStyle w:val="962"/>
        <w:keepLines w:val="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keepLines w:val="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keepLines w:val="0"/>
        <w:spacing w:line="4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    方：</w:t>
      </w:r>
      <w:r>
        <w:rPr>
          <w:rFonts w:hint="eastAsia" w:ascii="宋体" w:hAnsi="宋体" w:eastAsia="宋体" w:cs="宋体"/>
          <w:color w:val="000000"/>
          <w:sz w:val="21"/>
          <w:szCs w:val="21"/>
          <w:highlight w:val="none"/>
        </w:rPr>
      </w:r>
      <w:r/>
    </w:p>
    <w:p>
      <w:pPr>
        <w:pStyle w:val="962"/>
        <w:keepLines w:val="0"/>
        <w:spacing w:line="480" w:lineRule="exact"/>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单位名称</w:t>
      </w:r>
      <w:r>
        <w:rPr>
          <w:rFonts w:hint="eastAsia" w:ascii="宋体" w:hAnsi="宋体" w:eastAsia="宋体" w:cs="宋体"/>
          <w:color w:val="000000"/>
          <w:sz w:val="21"/>
          <w:szCs w:val="21"/>
          <w:highlight w:val="none"/>
          <w:lang w:eastAsia="zh-CN"/>
        </w:rPr>
        <w:t xml:space="preserve">（公</w:t>
      </w:r>
      <w:r>
        <w:rPr>
          <w:rFonts w:hint="eastAsia" w:ascii="宋体" w:hAnsi="宋体" w:eastAsia="宋体" w:cs="宋体"/>
          <w:color w:val="000000"/>
          <w:sz w:val="21"/>
          <w:szCs w:val="21"/>
          <w:highlight w:val="none"/>
        </w:rPr>
        <w:t xml:space="preserve">章）：</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962"/>
        <w:keepLines w:val="0"/>
        <w:spacing w:line="4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962"/>
        <w:keepLines w:val="0"/>
        <w:spacing w:line="4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962"/>
        <w:keepLines w:val="0"/>
        <w:spacing w:line="4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962"/>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ind w:firstLine="420"/>
        <w:spacing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本合同由甲乙双方于本合同正文首页载明的时间于</w:t>
      </w:r>
      <w:r>
        <w:rPr>
          <w:rFonts w:hint="eastAsia" w:ascii="宋体" w:hAnsi="宋体" w:eastAsia="宋体" w:cs="宋体"/>
          <w:color w:val="000000"/>
          <w:sz w:val="21"/>
          <w:szCs w:val="21"/>
          <w:highlight w:val="none"/>
          <w:u w:val="single"/>
        </w:rPr>
        <w:t xml:space="preserve">常州市天宁区</w:t>
      </w:r>
      <w:r>
        <w:rPr>
          <w:rFonts w:hint="eastAsia" w:ascii="宋体" w:hAnsi="宋体" w:eastAsia="宋体" w:cs="宋体"/>
          <w:color w:val="000000"/>
          <w:sz w:val="21"/>
          <w:szCs w:val="21"/>
          <w:highlight w:val="none"/>
        </w:rPr>
        <w:t xml:space="preserve">签订。</w:t>
      </w:r>
      <w:r>
        <w:rPr>
          <w:rFonts w:hint="eastAsia" w:ascii="宋体" w:hAnsi="宋体" w:eastAsia="宋体" w:cs="宋体"/>
          <w:color w:val="000000"/>
          <w:sz w:val="21"/>
          <w:szCs w:val="21"/>
          <w:highlight w:val="none"/>
        </w:rPr>
      </w:r>
      <w:r/>
    </w:p>
    <w:p>
      <w:pPr>
        <w:pStyle w:val="962"/>
        <w:ind w:firstLine="422"/>
        <w:jc w:val="center"/>
        <w:spacing w:line="4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以上格式仅供参考，合同条款最终以双方签定为准。</w:t>
      </w:r>
      <w:r>
        <w:rPr>
          <w:rFonts w:hint="eastAsia" w:ascii="宋体" w:hAnsi="宋体" w:eastAsia="宋体" w:cs="宋体"/>
          <w:color w:val="000000"/>
          <w:sz w:val="21"/>
          <w:szCs w:val="21"/>
          <w:highlight w:val="none"/>
        </w:rPr>
      </w:r>
      <w:r/>
    </w:p>
    <w:p>
      <w:pPr>
        <w:pStyle w:val="9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45"/>
        <w:contextualSpacing/>
        <w:jc w:val="center"/>
        <w:spacing w:before="0" w:beforeAutospacing="0" w:after="0" w:afterAutospacing="0" w:line="360" w:lineRule="auto"/>
        <w:rPr>
          <w:rStyle w:val="1186"/>
          <w:rFonts w:hint="eastAsia" w:ascii="宋体" w:hAnsi="宋体" w:eastAsia="宋体" w:cs="宋体"/>
          <w:color w:val="000000"/>
          <w:highlight w:val="none"/>
        </w:rPr>
      </w:pPr>
      <w:r>
        <w:rPr>
          <w:rStyle w:val="1186"/>
          <w:rFonts w:hint="eastAsia" w:ascii="宋体" w:hAnsi="宋体" w:eastAsia="宋体" w:cs="宋体"/>
          <w:color w:val="000000"/>
          <w:sz w:val="36"/>
          <w:szCs w:val="36"/>
          <w:highlight w:val="none"/>
        </w:rPr>
        <w:br w:type="page" w:clear="all"/>
      </w:r>
      <w:bookmarkStart w:id="793" w:name="_Toc21295"/>
      <w:r>
        <w:rPr>
          <w:rStyle w:val="1186"/>
          <w:rFonts w:hint="eastAsia" w:ascii="宋体" w:hAnsi="宋体" w:eastAsia="宋体" w:cs="宋体"/>
          <w:color w:val="000000"/>
          <w:highlight w:val="none"/>
        </w:rPr>
        <w:t xml:space="preserve">第七章   投标文件格式</w:t>
      </w:r>
      <w:r>
        <w:rPr>
          <w:rStyle w:val="1186"/>
          <w:rFonts w:hint="eastAsia" w:ascii="宋体" w:hAnsi="宋体" w:eastAsia="宋体" w:cs="宋体"/>
          <w:color w:val="000000"/>
          <w:highlight w:val="none"/>
        </w:rPr>
      </w:r>
      <w:r/>
    </w:p>
    <w:p>
      <w:pPr>
        <w:pStyle w:val="962"/>
        <w:ind w:left="142"/>
        <w:jc w:val="center"/>
        <w:spacing w:line="360" w:lineRule="auto"/>
        <w:tabs>
          <w:tab w:val="left" w:pos="900" w:leader="none"/>
          <w:tab w:val="left" w:pos="1980" w:leader="none"/>
        </w:tabs>
        <w:rPr>
          <w:rFonts w:hint="eastAsia" w:ascii="宋体" w:hAnsi="宋体" w:eastAsia="宋体" w:cs="宋体"/>
          <w:b/>
          <w:color w:val="000000"/>
          <w:sz w:val="24"/>
          <w:highlight w:val="none"/>
        </w:rPr>
      </w:pPr>
      <w:r/>
      <w:bookmarkEnd w:id="793"/>
      <w:r>
        <w:rPr>
          <w:rFonts w:hint="eastAsia" w:ascii="宋体" w:hAnsi="宋体" w:eastAsia="宋体" w:cs="宋体"/>
          <w:b/>
          <w:color w:val="000000"/>
          <w:sz w:val="24"/>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ind w:left="142"/>
        <w:jc w:val="center"/>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color w:val="000000"/>
          <w:sz w:val="24"/>
          <w:highlight w:val="none"/>
        </w:rPr>
        <w:t xml:space="preserve">供应商编制文件须知</w:t>
      </w:r>
      <w:r>
        <w:rPr>
          <w:rFonts w:hint="eastAsia" w:ascii="宋体" w:hAnsi="宋体" w:eastAsia="宋体" w:cs="宋体"/>
          <w:b/>
          <w:color w:val="000000"/>
          <w:sz w:val="24"/>
          <w:highlight w:val="none"/>
        </w:rPr>
      </w:r>
      <w:r/>
    </w:p>
    <w:p>
      <w:pPr>
        <w:pStyle w:val="962"/>
        <w:ind w:left="142"/>
        <w:jc w:val="center"/>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ind w:left="142" w:firstLine="420"/>
        <w:spacing w:line="480" w:lineRule="auto"/>
        <w:tabs>
          <w:tab w:val="left" w:pos="900" w:leader="none"/>
          <w:tab w:val="left" w:pos="19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1.供应商按照本部分的顺序编制投标文件（资格证明文件）、投标文件（商务技术文件），编制中涉及格式资料的，应按照本部分提供的内容和格式（所有表格的格式可扩展）填写提交。</w:t>
      </w:r>
      <w:r>
        <w:rPr>
          <w:rFonts w:hint="eastAsia" w:ascii="宋体" w:hAnsi="宋体" w:eastAsia="宋体" w:cs="宋体"/>
          <w:color w:val="000000"/>
          <w:szCs w:val="21"/>
          <w:highlight w:val="none"/>
        </w:rPr>
      </w:r>
      <w:r/>
    </w:p>
    <w:p>
      <w:pPr>
        <w:pStyle w:val="962"/>
        <w:ind w:left="142" w:firstLine="420"/>
        <w:spacing w:line="480" w:lineRule="auto"/>
        <w:tabs>
          <w:tab w:val="left" w:pos="900" w:leader="none"/>
          <w:tab w:val="left" w:pos="19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Cs w:val="21"/>
          <w:highlight w:val="none"/>
        </w:rPr>
        <w:t xml:space="preserve">投标无效</w:t>
      </w:r>
      <w:r>
        <w:rPr>
          <w:rFonts w:hint="eastAsia" w:ascii="宋体" w:hAnsi="宋体" w:eastAsia="宋体" w:cs="宋体"/>
          <w:color w:val="000000"/>
          <w:szCs w:val="21"/>
          <w:highlight w:val="none"/>
        </w:rPr>
        <w:t xml:space="preserve">。未标记“实质性格式”的文件和招标文件未提供格式的内容，可由供应商自行编写。</w:t>
      </w:r>
      <w:r>
        <w:rPr>
          <w:rFonts w:hint="eastAsia" w:ascii="宋体" w:hAnsi="宋体" w:eastAsia="宋体" w:cs="宋体"/>
          <w:color w:val="000000"/>
          <w:szCs w:val="21"/>
          <w:highlight w:val="none"/>
        </w:rPr>
      </w:r>
      <w:r/>
    </w:p>
    <w:p>
      <w:pPr>
        <w:pStyle w:val="962"/>
        <w:ind w:left="142" w:firstLine="420"/>
        <w:spacing w:line="480" w:lineRule="auto"/>
        <w:tabs>
          <w:tab w:val="left" w:pos="900" w:leader="none"/>
          <w:tab w:val="left" w:pos="19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3.全部声明和问题的回答及所附材料必须是真实的、准确的和完整的。</w:t>
      </w:r>
      <w:r>
        <w:rPr>
          <w:rFonts w:hint="eastAsia" w:ascii="宋体" w:hAnsi="宋体" w:eastAsia="宋体" w:cs="宋体"/>
          <w:color w:val="000000"/>
          <w:szCs w:val="21"/>
          <w:highlight w:val="none"/>
        </w:rPr>
      </w:r>
      <w:r/>
    </w:p>
    <w:p>
      <w:pPr>
        <w:pStyle w:val="962"/>
        <w:ind w:left="142" w:firstLine="420"/>
        <w:spacing w:line="480" w:lineRule="auto"/>
        <w:tabs>
          <w:tab w:val="left" w:pos="900" w:leader="none"/>
          <w:tab w:val="left" w:pos="19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eastAsia="宋体" w:cs="宋体"/>
          <w:color w:val="000000"/>
          <w:szCs w:val="21"/>
          <w:highlight w:val="none"/>
        </w:rPr>
      </w:r>
      <w:r/>
    </w:p>
    <w:p>
      <w:pPr>
        <w:pStyle w:val="962"/>
        <w:ind w:left="142" w:firstLine="420"/>
        <w:spacing w:line="480" w:lineRule="auto"/>
        <w:tabs>
          <w:tab w:val="left" w:pos="900" w:leader="none"/>
          <w:tab w:val="left" w:pos="19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2"/>
        <w:jc w:val="left"/>
        <w:widowControl/>
        <w:rPr>
          <w:rFonts w:hint="eastAsia" w:ascii="宋体" w:hAnsi="宋体" w:eastAsia="宋体" w:cs="宋体"/>
          <w:b/>
          <w:color w:val="000000"/>
          <w:sz w:val="30"/>
          <w:szCs w:val="20"/>
          <w:highlight w:val="none"/>
        </w:rPr>
      </w:pPr>
      <w:r>
        <w:rPr>
          <w:rFonts w:hint="eastAsia" w:ascii="宋体" w:hAnsi="宋体" w:eastAsia="宋体" w:cs="宋体"/>
          <w:color w:val="000000"/>
          <w:sz w:val="24"/>
          <w:highlight w:val="none"/>
        </w:rPr>
        <w:br w:type="page" w:clear="all"/>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Pr>
          <w:rFonts w:hint="eastAsia" w:ascii="宋体" w:hAnsi="宋体" w:eastAsia="宋体" w:cs="宋体"/>
          <w:b/>
          <w:color w:val="000000"/>
          <w:spacing w:val="20"/>
          <w:sz w:val="24"/>
          <w:highlight w:val="none"/>
        </w:rPr>
        <w:t xml:space="preserve">一、资格证明文件格式</w:t>
      </w:r>
      <w:r>
        <w:rPr>
          <w:rFonts w:hint="eastAsia" w:ascii="宋体" w:hAnsi="宋体" w:eastAsia="宋体" w:cs="宋体"/>
          <w:b/>
          <w:color w:val="000000"/>
          <w:sz w:val="30"/>
          <w:szCs w:val="20"/>
          <w:highlight w:val="none"/>
        </w:rPr>
      </w:r>
      <w:r/>
    </w:p>
    <w:p>
      <w:pPr>
        <w:pStyle w:val="962"/>
        <w:rPr>
          <w:rFonts w:hint="eastAsia" w:ascii="宋体" w:hAnsi="宋体" w:eastAsia="宋体" w:cs="宋体"/>
          <w:b/>
          <w:color w:val="000000"/>
          <w:spacing w:val="20"/>
          <w:szCs w:val="21"/>
          <w:highlight w:val="none"/>
        </w:rPr>
      </w:pPr>
      <w:r>
        <w:rPr>
          <w:rFonts w:hint="eastAsia" w:ascii="宋体" w:hAnsi="宋体" w:eastAsia="宋体" w:cs="宋体"/>
          <w:b/>
          <w:color w:val="000000"/>
          <w:spacing w:val="20"/>
          <w:szCs w:val="21"/>
          <w:highlight w:val="none"/>
        </w:rPr>
      </w:r>
      <w:r/>
    </w:p>
    <w:p>
      <w:pPr>
        <w:pStyle w:val="962"/>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t xml:space="preserve">投标文件</w:t>
      </w:r>
      <w:r>
        <w:rPr>
          <w:rFonts w:hint="eastAsia" w:ascii="宋体" w:hAnsi="宋体" w:eastAsia="宋体" w:cs="宋体"/>
          <w:b/>
          <w:color w:val="000000"/>
          <w:sz w:val="24"/>
          <w:highlight w:val="none"/>
        </w:rPr>
        <w:t xml:space="preserve">封面（非实质性格式）</w:t>
      </w:r>
      <w:r>
        <w:rPr>
          <w:rFonts w:hint="eastAsia" w:ascii="宋体" w:hAnsi="宋体" w:eastAsia="宋体" w:cs="宋体"/>
          <w:b/>
          <w:color w:val="000000"/>
          <w:sz w:val="24"/>
          <w:highlight w:val="none"/>
        </w:rPr>
      </w:r>
      <w:r/>
    </w:p>
    <w:p>
      <w:pPr>
        <w:pStyle w:val="96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2"/>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pStyle w:val="962"/>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pStyle w:val="962"/>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投 标 文 件</w:t>
      </w:r>
      <w:r>
        <w:rPr>
          <w:rFonts w:hint="eastAsia" w:ascii="宋体" w:hAnsi="宋体" w:eastAsia="宋体" w:cs="宋体"/>
          <w:b/>
          <w:color w:val="000000"/>
          <w:spacing w:val="60"/>
          <w:sz w:val="84"/>
          <w:szCs w:val="84"/>
          <w:highlight w:val="none"/>
        </w:rPr>
      </w:r>
      <w:r/>
    </w:p>
    <w:p>
      <w:pPr>
        <w:pStyle w:val="962"/>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962"/>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962"/>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962"/>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tbl>
      <w:tblPr>
        <w:tblW w:w="90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962"/>
              <w:jc w:val="left"/>
              <w:spacing w:line="360" w:lineRule="auto"/>
              <w:tabs>
                <w:tab w:val="left" w:pos="5609" w:leader="none"/>
              </w:tabs>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项 目 名 称：</w:t>
            </w:r>
            <w:r>
              <w:rPr>
                <w:rFonts w:hint="eastAsia" w:ascii="宋体" w:hAnsi="宋体" w:eastAsia="宋体" w:cs="宋体"/>
                <w:b/>
                <w:bCs w:val="0"/>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6"/>
                <w:szCs w:val="36"/>
                <w:highlight w:val="none"/>
                <w:u w:val="single"/>
                <w:lang w:eastAsia="zh-CN"/>
              </w:rPr>
            </w:pPr>
            <w:r>
              <w:rPr>
                <w:rFonts w:hint="eastAsia" w:ascii="宋体" w:hAnsi="宋体" w:eastAsia="宋体" w:cs="宋体"/>
                <w:b/>
                <w:color w:val="000000"/>
                <w:sz w:val="32"/>
                <w:szCs w:val="32"/>
                <w:highlight w:val="none"/>
                <w:u w:val="single"/>
                <w:lang w:eastAsia="zh-CN"/>
              </w:rPr>
              <w:t xml:space="preserve">排水泵站设备检查保养及维修</w:t>
            </w:r>
            <w:r>
              <w:rPr>
                <w:rFonts w:hint="eastAsia" w:ascii="宋体" w:hAnsi="宋体" w:eastAsia="宋体" w:cs="宋体"/>
                <w:bCs/>
                <w:color w:val="000000"/>
                <w:sz w:val="36"/>
                <w:szCs w:val="36"/>
                <w:highlight w:val="none"/>
                <w:u w:val="single"/>
                <w:lang w:eastAsia="zh-CN"/>
              </w:rPr>
            </w:r>
            <w:r/>
          </w:p>
        </w:tc>
      </w:tr>
      <w:tr>
        <w:trP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962"/>
              <w:jc w:val="left"/>
              <w:spacing w:line="360" w:lineRule="auto"/>
              <w:tabs>
                <w:tab w:val="left" w:pos="5609" w:leader="none"/>
              </w:tabs>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项 目 编 号：</w:t>
            </w:r>
            <w:r>
              <w:rPr>
                <w:rFonts w:hint="eastAsia" w:ascii="宋体" w:hAnsi="宋体" w:eastAsia="宋体" w:cs="宋体"/>
                <w:b/>
                <w:bCs w:val="0"/>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6"/>
                <w:szCs w:val="36"/>
                <w:highlight w:val="none"/>
                <w:u w:val="single"/>
              </w:rPr>
            </w:pPr>
            <w:r>
              <w:rPr>
                <w:rFonts w:hint="eastAsia" w:ascii="宋体" w:hAnsi="宋体" w:eastAsia="宋体" w:cs="宋体"/>
                <w:b/>
                <w:color w:val="000000"/>
                <w:sz w:val="32"/>
                <w:szCs w:val="32"/>
                <w:highlight w:val="none"/>
                <w:u w:val="single"/>
                <w:lang w:eastAsia="zh-CN"/>
              </w:rPr>
              <w:t xml:space="preserve">JSZC-320400-JLJL-G2026-0001</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Cs/>
                <w:color w:val="000000"/>
                <w:sz w:val="36"/>
                <w:szCs w:val="36"/>
                <w:highlight w:val="none"/>
                <w:u w:val="single"/>
              </w:rPr>
            </w:r>
            <w:r/>
          </w:p>
        </w:tc>
      </w:tr>
      <w:tr>
        <w:trP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962"/>
              <w:jc w:val="left"/>
              <w:spacing w:line="360" w:lineRule="auto"/>
              <w:tabs>
                <w:tab w:val="left" w:pos="5609" w:leader="none"/>
              </w:tabs>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投   标  人：</w:t>
            </w:r>
            <w:r>
              <w:rPr>
                <w:rFonts w:hint="eastAsia" w:ascii="宋体" w:hAnsi="宋体" w:eastAsia="宋体" w:cs="宋体"/>
                <w:b/>
                <w:bCs w:val="0"/>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6"/>
                <w:szCs w:val="36"/>
                <w:highlight w:val="none"/>
                <w:lang w:val="en-US" w:eastAsia="zh-CN"/>
              </w:rPr>
            </w:pPr>
            <w:r>
              <w:rPr>
                <w:rFonts w:hint="eastAsia" w:ascii="宋体" w:hAnsi="宋体" w:eastAsia="宋体" w:cs="宋体"/>
                <w:bCs/>
                <w:color w:val="000000"/>
                <w:sz w:val="36"/>
                <w:szCs w:val="36"/>
                <w:highlight w:val="none"/>
                <w:u w:val="single"/>
                <w:lang w:val="en-US" w:eastAsia="zh-CN"/>
              </w:rPr>
              <w:t xml:space="preserve">                         </w:t>
            </w:r>
            <w:r>
              <w:rPr>
                <w:rFonts w:hint="eastAsia" w:ascii="宋体" w:hAnsi="宋体" w:eastAsia="宋体" w:cs="宋体"/>
                <w:bCs/>
                <w:color w:val="000000"/>
                <w:sz w:val="36"/>
                <w:szCs w:val="36"/>
                <w:highlight w:val="none"/>
                <w:lang w:val="en-US" w:eastAsia="zh-CN"/>
              </w:rPr>
            </w:r>
            <w:r/>
          </w:p>
        </w:tc>
      </w:tr>
      <w:tr>
        <w:trP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962"/>
              <w:jc w:val="left"/>
              <w:spacing w:line="360" w:lineRule="auto"/>
              <w:tabs>
                <w:tab w:val="left" w:pos="5609" w:leader="none"/>
              </w:tabs>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日       期：</w:t>
            </w:r>
            <w:r>
              <w:rPr>
                <w:rFonts w:hint="eastAsia" w:ascii="宋体" w:hAnsi="宋体" w:eastAsia="宋体" w:cs="宋体"/>
                <w:b/>
                <w:bCs w:val="0"/>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962"/>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eastAsia="宋体" w:cs="宋体"/>
                <w:bCs/>
                <w:color w:val="000000"/>
                <w:sz w:val="36"/>
                <w:szCs w:val="36"/>
                <w:highlight w:val="none"/>
                <w:u w:val="single"/>
                <w:lang w:val="en-US" w:eastAsia="zh-CN"/>
              </w:rPr>
              <w:t xml:space="preserve">                         </w:t>
            </w:r>
            <w:r>
              <w:rPr>
                <w:rFonts w:hint="eastAsia" w:ascii="宋体" w:hAnsi="宋体" w:eastAsia="宋体" w:cs="宋体"/>
                <w:bCs/>
                <w:color w:val="000000"/>
                <w:sz w:val="36"/>
                <w:szCs w:val="36"/>
                <w:highlight w:val="none"/>
                <w:u w:val="single"/>
                <w:lang w:val="en-US" w:eastAsia="zh-CN"/>
              </w:rPr>
            </w:r>
            <w:r/>
          </w:p>
        </w:tc>
      </w:tr>
    </w:tbl>
    <w:p>
      <w:pPr>
        <w:pStyle w:val="962"/>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62"/>
        <w:jc w:val="center"/>
        <w:rPr>
          <w:rFonts w:hint="eastAsia" w:ascii="宋体" w:hAnsi="宋体" w:eastAsia="宋体" w:cs="宋体"/>
          <w:b/>
          <w:color w:val="000000"/>
          <w:sz w:val="32"/>
          <w:szCs w:val="32"/>
          <w:highlight w:val="none"/>
        </w:rPr>
      </w:pPr>
      <w:r>
        <w:rPr>
          <w:rFonts w:hint="eastAsia" w:ascii="宋体" w:hAnsi="宋体" w:eastAsia="宋体" w:cs="宋体"/>
          <w:b/>
          <w:color w:val="000000"/>
          <w:spacing w:val="20"/>
          <w:sz w:val="32"/>
          <w:szCs w:val="32"/>
          <w:highlight w:val="none"/>
        </w:rPr>
        <w:br w:type="page" w:clear="all"/>
      </w:r>
      <w:r>
        <w:rPr>
          <w:rFonts w:hint="eastAsia" w:ascii="宋体" w:hAnsi="宋体" w:eastAsia="宋体" w:cs="宋体"/>
          <w:b/>
          <w:color w:val="000000"/>
          <w:sz w:val="32"/>
          <w:szCs w:val="32"/>
          <w:highlight w:val="none"/>
        </w:rPr>
        <w:t xml:space="preserve">一、资格证明文件</w:t>
      </w:r>
      <w:r>
        <w:rPr>
          <w:rFonts w:hint="eastAsia" w:ascii="宋体" w:hAnsi="宋体" w:eastAsia="宋体" w:cs="宋体"/>
          <w:b/>
          <w:color w:val="000000"/>
          <w:sz w:val="32"/>
          <w:szCs w:val="32"/>
          <w:highlight w:val="none"/>
        </w:rPr>
      </w:r>
      <w:r/>
    </w:p>
    <w:p>
      <w:pPr>
        <w:pStyle w:val="96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62"/>
        <w:pageBreakBefore w:val="0"/>
        <w:spacing w:line="360" w:lineRule="auto"/>
        <w:widowControl w:val="off"/>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 </w:t>
      </w:r>
      <w:r>
        <w:rPr>
          <w:rFonts w:hint="eastAsia" w:ascii="宋体" w:hAnsi="宋体" w:eastAsia="宋体" w:cs="宋体"/>
          <w:color w:val="000000"/>
          <w:sz w:val="24"/>
          <w:highlight w:val="none"/>
        </w:rPr>
        <w:t xml:space="preserve">满足《中华人民共和国政府采购法》第二十二条规定及法律法规的其他规定</w:t>
      </w:r>
      <w:r>
        <w:rPr>
          <w:rFonts w:hint="eastAsia" w:ascii="宋体" w:hAnsi="宋体" w:eastAsia="宋体" w:cs="宋体"/>
          <w:color w:val="000000"/>
          <w:sz w:val="24"/>
          <w:szCs w:val="20"/>
          <w:highlight w:val="none"/>
        </w:rPr>
      </w:r>
      <w:r/>
    </w:p>
    <w:p>
      <w:pPr>
        <w:pStyle w:val="1189"/>
        <w:keepLines/>
        <w:keepNext/>
        <w:pageBreakBefore w:val="0"/>
        <w:spacing w:before="120"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Cs/>
          <w:color w:val="000000"/>
          <w:highlight w:val="none"/>
          <w:u w:val="none"/>
        </w:rPr>
        <w:t xml:space="preserve">1-1 供应商资格声明函（实质性格式）</w:t>
      </w:r>
      <w:r>
        <w:rPr>
          <w:rFonts w:hint="eastAsia" w:ascii="宋体" w:hAnsi="宋体" w:eastAsia="宋体" w:cs="宋体"/>
          <w:b/>
          <w:color w:val="000000"/>
          <w:sz w:val="28"/>
          <w:szCs w:val="28"/>
          <w:highlight w:val="none"/>
        </w:rPr>
      </w:r>
      <w:r/>
    </w:p>
    <w:p>
      <w:pPr>
        <w:pStyle w:val="962"/>
        <w:jc w:val="center"/>
        <w:spacing w:before="120" w:line="360" w:lineRule="auto"/>
        <w:widowControl/>
        <w:rPr>
          <w:rFonts w:hint="eastAsia" w:ascii="宋体" w:hAnsi="宋体" w:eastAsia="宋体" w:cs="宋体"/>
          <w:color w:val="000000"/>
          <w:szCs w:val="21"/>
          <w:highlight w:val="none"/>
        </w:rPr>
      </w:pPr>
      <w:r>
        <w:rPr>
          <w:rFonts w:hint="eastAsia" w:ascii="宋体" w:hAnsi="宋体" w:eastAsia="宋体" w:cs="宋体"/>
          <w:b/>
          <w:color w:val="000000"/>
          <w:sz w:val="28"/>
          <w:szCs w:val="28"/>
          <w:highlight w:val="none"/>
        </w:rPr>
        <w:t xml:space="preserve">供应商资格声明函</w:t>
      </w:r>
      <w:r>
        <w:rPr>
          <w:rFonts w:hint="eastAsia" w:ascii="宋体" w:hAnsi="宋体" w:eastAsia="宋体" w:cs="宋体"/>
          <w:color w:val="000000"/>
          <w:szCs w:val="21"/>
          <w:highlight w:val="none"/>
        </w:rPr>
      </w:r>
      <w:r/>
    </w:p>
    <w:p>
      <w:pPr>
        <w:pStyle w:val="1282"/>
        <w:ind w:left="0" w:firstLine="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lang w:eastAsia="zh-CN"/>
        </w:rPr>
        <w:t xml:space="preserve">常州市排水管理处</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江苏晋陵工程咨询有限公司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8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8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按照《中华人民共和国政府采购法》第二十二条和招标文件的规定，我单位郑重声明如下：</w:t>
      </w:r>
      <w:r>
        <w:rPr>
          <w:rFonts w:hint="eastAsia" w:ascii="宋体" w:hAnsi="宋体" w:eastAsia="宋体" w:cs="宋体"/>
          <w:color w:val="000000"/>
          <w:sz w:val="21"/>
          <w:szCs w:val="21"/>
          <w:highlight w:val="none"/>
        </w:rPr>
      </w:r>
      <w:r/>
    </w:p>
    <w:p>
      <w:pPr>
        <w:pStyle w:val="128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一、我单位是按照中华人民共和国法律规定登记注册的，注册地点为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，全称为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，统一社会信用代码为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，法定代表人（单位负责人）为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，具有独立承担民事责任的能力。</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二、我单位具有良好的商业信誉（指供应商经营状况良好，无本资格声明第九条情形）和健全的财务会计制度。</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三、我单位依法进行纳税和社会保险申报并实际履行了义务。</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82"/>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282"/>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六、我单位具备法律、行政法规规定的其他条件。</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七、与我单位存在“单位负责人为同一人或者存在直接控股、管理关系”的其他单位信息如下（如无此情形的，填写“无”）：</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1、与我单位的法定代表人（单位负责人）为同一人的其他单位如下：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282"/>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2、我单位直接控股的其他单位如下：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282"/>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3、与我单位存在管理关系的其他单位如下：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八、我单位不属于为本项目提供整体设计、规范编制或者项目管理、监理、检测等服务的投标人。</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九、我单位无以下不良信用记录情形：</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1.在“信用中国”网站被列入失信被执行人和重大税收违法案件当事人名单；</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2.在“中国政府采购网”网站被列入政府采购严重违法失信行为记录名单；</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3.我单位未被“国家企业信用信息系统”列入经营异常名录或者严重违法企业名单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不符合《政府采购法》第二十二条规定的条件。</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我单位保证上述声明的事项都是真实的，如有虚假，我单位愿意承担相应的法律责任，并承担因此所造成的一切损失。</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供应商：（加盖公章）</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法定代表人（或单位负责人）签字或盖章：</w:t>
      </w:r>
      <w:r>
        <w:rPr>
          <w:rFonts w:hint="eastAsia" w:ascii="宋体" w:hAnsi="宋体" w:eastAsia="宋体" w:cs="宋体"/>
          <w:color w:val="000000"/>
          <w:sz w:val="21"/>
          <w:szCs w:val="21"/>
          <w:highlight w:val="none"/>
        </w:rPr>
      </w:r>
      <w:r/>
    </w:p>
    <w:p>
      <w:pPr>
        <w:pStyle w:val="128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    年    月    日</w:t>
      </w: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8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82"/>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说明：供应商承诺不实的，依据《政府采购法》第七十七条“提供虚假材料谋取中标、成交的”有关规定予以处理。</w:t>
      </w:r>
      <w:r>
        <w:rPr>
          <w:rFonts w:hint="eastAsia" w:ascii="宋体" w:hAnsi="宋体" w:eastAsia="宋体" w:cs="宋体"/>
          <w:color w:val="000000"/>
          <w:sz w:val="21"/>
          <w:szCs w:val="21"/>
          <w:highlight w:val="none"/>
        </w:rPr>
      </w:r>
      <w:r/>
    </w:p>
    <w:p>
      <w:pPr>
        <w:pStyle w:val="962"/>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color w:val="000000"/>
          <w:sz w:val="24"/>
          <w:szCs w:val="20"/>
          <w:highlight w:val="none"/>
        </w:rPr>
        <w:t xml:space="preserve">2 落实政府采购政策需满足的资格要求</w:t>
      </w: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b/>
          <w:bCs/>
          <w:color w:val="000000"/>
          <w:sz w:val="24"/>
          <w:szCs w:val="20"/>
          <w:highlight w:val="none"/>
        </w:rPr>
        <w:outlineLvl w:val="2"/>
      </w:pPr>
      <w:r>
        <w:rPr>
          <w:rFonts w:hint="eastAsia" w:ascii="宋体" w:hAnsi="宋体" w:eastAsia="宋体" w:cs="宋体"/>
          <w:b/>
          <w:bCs/>
          <w:color w:val="000000"/>
          <w:szCs w:val="21"/>
          <w:highlight w:val="none"/>
        </w:rPr>
        <w:t xml:space="preserve">中小企业声明函</w:t>
      </w:r>
      <w:r>
        <w:rPr>
          <w:rFonts w:hint="eastAsia" w:ascii="宋体" w:hAnsi="宋体" w:eastAsia="宋体" w:cs="宋体"/>
          <w:b/>
          <w:bCs/>
          <w:color w:val="000000"/>
          <w:sz w:val="24"/>
          <w:szCs w:val="20"/>
          <w:highlight w:val="none"/>
        </w:rPr>
      </w:r>
      <w:r/>
    </w:p>
    <w:p>
      <w:pPr>
        <w:pStyle w:val="962"/>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hint="eastAsia" w:ascii="宋体" w:hAnsi="宋体" w:eastAsia="宋体" w:cs="宋体"/>
          <w:color w:val="000000"/>
          <w:szCs w:val="21"/>
          <w:highlight w:val="none"/>
        </w:rPr>
      </w:r>
      <w:r/>
    </w:p>
    <w:p>
      <w:pPr>
        <w:pStyle w:val="962"/>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rPr>
          <w:rFonts w:hint="eastAsia" w:ascii="宋体" w:hAnsi="宋体" w:eastAsia="宋体" w:cs="宋体"/>
          <w:color w:val="000000"/>
          <w:szCs w:val="21"/>
          <w:highlight w:val="none"/>
        </w:rPr>
      </w:r>
      <w:r/>
    </w:p>
    <w:p>
      <w:pPr>
        <w:pStyle w:val="962"/>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2）对于联合体中由中小企业承担的部分，或者分包给中小企业的部分，必须全部由中小企业制造、承建或者承接。供应商应当在声明函“项目名称”部分标明联合体</w:t>
      </w:r>
      <w:r>
        <w:rPr>
          <w:rFonts w:hint="eastAsia" w:ascii="宋体" w:hAnsi="宋体" w:eastAsia="宋体" w:cs="宋体"/>
          <w:color w:val="000000"/>
          <w:szCs w:val="21"/>
          <w:highlight w:val="none"/>
          <w:lang w:eastAsia="zh-CN"/>
        </w:rPr>
        <w:t xml:space="preserve">中</w:t>
      </w:r>
      <w:r>
        <w:rPr>
          <w:rFonts w:hint="eastAsia" w:ascii="宋体" w:hAnsi="宋体" w:eastAsia="宋体" w:cs="宋体"/>
          <w:color w:val="000000"/>
          <w:szCs w:val="21"/>
          <w:highlight w:val="none"/>
        </w:rPr>
        <w:t xml:space="preserve">小企业承担的具体内容或者中小企业的具体分包内容。</w:t>
      </w:r>
      <w:r>
        <w:rPr>
          <w:rFonts w:hint="eastAsia" w:ascii="宋体" w:hAnsi="宋体" w:eastAsia="宋体" w:cs="宋体"/>
          <w:color w:val="000000"/>
          <w:szCs w:val="21"/>
          <w:highlight w:val="none"/>
        </w:rPr>
      </w:r>
      <w:r/>
    </w:p>
    <w:p>
      <w:pPr>
        <w:pStyle w:val="962"/>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3）对于多标的的采购项目，供应商应充分、准确地了解所投产品制造企业信息。对相关情况了解不清楚的，不建议填报本声明函。</w:t>
      </w:r>
      <w:r>
        <w:rPr>
          <w:rFonts w:hint="eastAsia" w:ascii="宋体" w:hAnsi="宋体" w:eastAsia="宋体" w:cs="宋体"/>
          <w:color w:val="000000"/>
          <w:szCs w:val="21"/>
          <w:highlight w:val="none"/>
        </w:rPr>
      </w:r>
      <w:r/>
    </w:p>
    <w:p>
      <w:pPr>
        <w:pStyle w:val="962"/>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4）中小企业认定标准以《关于印发中小企业划型标准规定的通知》（工信部联企业〔2011〕300号）文件规定为准。</w:t>
      </w:r>
      <w:r>
        <w:rPr>
          <w:rFonts w:hint="eastAsia" w:ascii="宋体" w:hAnsi="宋体" w:eastAsia="宋体" w:cs="宋体"/>
          <w:color w:val="000000"/>
          <w:szCs w:val="21"/>
          <w:highlight w:val="none"/>
        </w:rPr>
      </w:r>
      <w:r/>
    </w:p>
    <w:p>
      <w:pPr>
        <w:pStyle w:val="962"/>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"http://202.106.120.146/baosong/appweb/orgScale.html" </w:instrText>
      </w:r>
      <w:r>
        <w:rPr>
          <w:rFonts w:hint="eastAsia" w:ascii="宋体" w:hAnsi="宋体" w:eastAsia="宋体" w:cs="宋体"/>
          <w:color w:val="000000"/>
          <w:szCs w:val="21"/>
          <w:highlight w:val="none"/>
        </w:rPr>
        <w:fldChar w:fldCharType="separate"/>
      </w:r>
      <w:r>
        <w:rPr>
          <w:rStyle w:val="1266"/>
          <w:rFonts w:hint="eastAsia" w:ascii="宋体" w:hAnsi="宋体" w:eastAsia="宋体" w:cs="宋体"/>
          <w:color w:val="000000"/>
          <w:szCs w:val="21"/>
          <w:highlight w:val="none"/>
        </w:rPr>
        <w:t xml:space="preserve">http</w:t>
      </w:r>
      <w:r>
        <w:rPr>
          <w:rStyle w:val="1266"/>
          <w:rFonts w:hint="eastAsia" w:ascii="宋体" w:hAnsi="宋体" w:eastAsia="宋体" w:cs="宋体"/>
          <w:color w:val="000000"/>
          <w:szCs w:val="21"/>
          <w:highlight w:val="none"/>
          <w:lang w:eastAsia="zh-CN"/>
        </w:rPr>
        <w:t xml:space="preserve">：</w:t>
      </w:r>
      <w:r>
        <w:rPr>
          <w:rStyle w:val="1266"/>
          <w:rFonts w:hint="eastAsia" w:ascii="宋体" w:hAnsi="宋体" w:eastAsia="宋体" w:cs="宋体"/>
          <w:color w:val="000000"/>
          <w:szCs w:val="21"/>
          <w:highlight w:val="none"/>
        </w:rPr>
        <w:t xml:space="preserve">//202.106.120.146/baosong/appweb/orgScale.html</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62"/>
        <w:spacing w:line="360" w:lineRule="auto"/>
        <w:tabs>
          <w:tab w:val="left" w:pos="5580" w:leader="none"/>
        </w:tabs>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b/>
          <w:color w:val="000000"/>
          <w:szCs w:val="21"/>
          <w:highlight w:val="none"/>
        </w:rPr>
        <w:t xml:space="preserve">在货物采购项目中，供应商提供的货物既有中型企业制造货物，也有小微企业制造货物的，不享受小微企业扶持政策，不予价格扣除。</w:t>
      </w:r>
      <w:r>
        <w:rPr>
          <w:rFonts w:hint="eastAsia" w:ascii="宋体" w:hAnsi="宋体" w:eastAsia="宋体" w:cs="宋体"/>
          <w:b/>
          <w:color w:val="000000"/>
          <w:szCs w:val="21"/>
          <w:highlight w:val="none"/>
        </w:rPr>
      </w:r>
      <w:r/>
    </w:p>
    <w:p>
      <w:pPr>
        <w:pStyle w:val="962"/>
        <w:spacing w:line="360" w:lineRule="auto"/>
        <w:tabs>
          <w:tab w:val="left" w:pos="558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7）小微企业未提供声明函的，价格分评审将不予价格扣除。</w:t>
      </w:r>
      <w:r>
        <w:rPr>
          <w:rFonts w:hint="eastAsia" w:ascii="宋体" w:hAnsi="宋体" w:eastAsia="宋体" w:cs="宋体"/>
          <w:b/>
          <w:color w:val="000000"/>
          <w:szCs w:val="21"/>
          <w:highlight w:val="none"/>
        </w:rPr>
      </w:r>
      <w:r/>
    </w:p>
    <w:p>
      <w:pPr>
        <w:pStyle w:val="962"/>
        <w:ind w:firstLine="422"/>
        <w:spacing w:line="360" w:lineRule="auto"/>
        <w:tabs>
          <w:tab w:val="left" w:pos="5580" w:leader="none"/>
        </w:tabs>
        <w:rPr>
          <w:rStyle w:val="1412"/>
          <w:rFonts w:hint="eastAsia" w:ascii="宋体" w:hAnsi="宋体" w:eastAsia="宋体" w:cs="宋体"/>
          <w:b/>
          <w:bCs/>
          <w:color w:val="000000"/>
          <w:sz w:val="21"/>
          <w:szCs w:val="21"/>
          <w:highlight w:val="none"/>
        </w:rPr>
      </w:pPr>
      <w:r>
        <w:rPr>
          <w:rStyle w:val="1412"/>
          <w:rFonts w:hint="eastAsia" w:ascii="宋体" w:hAnsi="宋体" w:eastAsia="宋体" w:cs="宋体"/>
          <w:b/>
          <w:bCs/>
          <w:color w:val="000000"/>
          <w:sz w:val="21"/>
          <w:szCs w:val="21"/>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Style w:val="1412"/>
          <w:rFonts w:hint="eastAsia" w:ascii="宋体" w:hAnsi="宋体" w:eastAsia="宋体" w:cs="宋体"/>
          <w:b/>
          <w:bCs/>
          <w:color w:val="000000"/>
          <w:sz w:val="21"/>
          <w:szCs w:val="21"/>
          <w:highlight w:val="none"/>
        </w:rPr>
      </w:r>
      <w:r/>
    </w:p>
    <w:p>
      <w:pPr>
        <w:pStyle w:val="962"/>
        <w:ind w:firstLine="422"/>
        <w:spacing w:line="360" w:lineRule="auto"/>
        <w:tabs>
          <w:tab w:val="left" w:pos="5580" w:leader="none"/>
        </w:tabs>
        <w:rPr>
          <w:rStyle w:val="1412"/>
          <w:rFonts w:hint="eastAsia" w:ascii="宋体" w:hAnsi="宋体" w:eastAsia="宋体" w:cs="宋体"/>
          <w:b/>
          <w:bCs/>
          <w:color w:val="000000"/>
          <w:sz w:val="21"/>
          <w:szCs w:val="21"/>
          <w:highlight w:val="none"/>
        </w:rPr>
      </w:pPr>
      <w:r>
        <w:rPr>
          <w:rStyle w:val="1412"/>
          <w:rFonts w:hint="eastAsia" w:ascii="宋体" w:hAnsi="宋体" w:eastAsia="宋体" w:cs="宋体"/>
          <w:b/>
          <w:bCs/>
          <w:color w:val="000000"/>
          <w:sz w:val="21"/>
          <w:szCs w:val="21"/>
          <w:highlight w:val="none"/>
        </w:rPr>
      </w:r>
      <w:r/>
    </w:p>
    <w:p>
      <w:pPr>
        <w:pStyle w:val="962"/>
        <w:jc w:val="center"/>
        <w:spacing w:before="312" w:after="312"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）格式</w:t>
      </w:r>
      <w:r>
        <w:rPr>
          <w:rFonts w:hint="eastAsia" w:ascii="宋体" w:hAnsi="宋体" w:eastAsia="宋体" w:cs="宋体"/>
          <w:b/>
          <w:bCs/>
          <w:color w:val="000000"/>
          <w:sz w:val="21"/>
          <w:szCs w:val="21"/>
          <w:highlight w:val="none"/>
        </w:rPr>
      </w:r>
      <w:r/>
    </w:p>
    <w:p>
      <w:pPr>
        <w:pStyle w:val="962"/>
        <w:ind w:firstLine="504"/>
        <w:jc w:val="left"/>
        <w:spacing w:line="360" w:lineRule="auto"/>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pacing w:val="6"/>
          <w:sz w:val="21"/>
          <w:szCs w:val="21"/>
          <w:highlight w:val="none"/>
          <w:u w:val="single"/>
        </w:rPr>
        <w:t xml:space="preserve">（</w:t>
      </w:r>
      <w:r>
        <w:rPr>
          <w:rFonts w:hint="eastAsia" w:ascii="宋体" w:hAnsi="宋体" w:eastAsia="宋体" w:cs="宋体"/>
          <w:color w:val="000000"/>
          <w:spacing w:val="6"/>
          <w:sz w:val="21"/>
          <w:szCs w:val="21"/>
          <w:highlight w:val="none"/>
          <w:u w:val="single"/>
          <w:lang w:val="en-US" w:eastAsia="zh-CN"/>
        </w:rPr>
        <w:t xml:space="preserve">采购</w:t>
      </w:r>
      <w:r>
        <w:rPr>
          <w:rFonts w:hint="eastAsia" w:ascii="宋体" w:hAnsi="宋体" w:eastAsia="宋体" w:cs="宋体"/>
          <w:color w:val="000000"/>
          <w:spacing w:val="6"/>
          <w:sz w:val="21"/>
          <w:szCs w:val="21"/>
          <w:highlight w:val="none"/>
          <w:u w:val="single"/>
        </w:rPr>
        <w:t xml:space="preserve">单位名称）</w:t>
      </w:r>
      <w:r>
        <w:rPr>
          <w:rFonts w:hint="eastAsia" w:ascii="宋体" w:hAnsi="宋体" w:eastAsia="宋体" w:cs="宋体"/>
          <w:color w:val="000000"/>
          <w:spacing w:val="6"/>
          <w:sz w:val="21"/>
          <w:szCs w:val="21"/>
          <w:highlight w:val="none"/>
        </w:rPr>
        <w:t xml:space="preserve">的</w:t>
      </w:r>
      <w:r>
        <w:rPr>
          <w:rFonts w:hint="eastAsia" w:ascii="宋体" w:hAnsi="宋体" w:eastAsia="宋体" w:cs="宋体"/>
          <w:color w:val="000000"/>
          <w:spacing w:val="6"/>
          <w:sz w:val="21"/>
          <w:szCs w:val="21"/>
          <w:highlight w:val="none"/>
          <w:u w:val="single"/>
        </w:rPr>
        <w:t xml:space="preserve">（项目名称）</w:t>
      </w:r>
      <w:r>
        <w:rPr>
          <w:rFonts w:hint="eastAsia" w:ascii="宋体" w:hAnsi="宋体" w:eastAsia="宋体" w:cs="宋体"/>
          <w:color w:val="000000"/>
          <w:spacing w:val="6"/>
          <w:sz w:val="21"/>
          <w:szCs w:val="21"/>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pacing w:val="6"/>
          <w:sz w:val="21"/>
          <w:szCs w:val="21"/>
          <w:highlight w:val="none"/>
        </w:rPr>
      </w:r>
      <w:r/>
    </w:p>
    <w:p>
      <w:pPr>
        <w:pStyle w:val="962"/>
        <w:ind w:firstLine="504"/>
        <w:jc w:val="left"/>
        <w:spacing w:line="360" w:lineRule="auto"/>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6"/>
          <w:sz w:val="21"/>
          <w:szCs w:val="21"/>
          <w:highlight w:val="none"/>
          <w:u w:val="single"/>
        </w:rPr>
        <w:t xml:space="preserve">（标的名称）</w:t>
      </w:r>
      <w:r>
        <w:rPr>
          <w:rFonts w:hint="eastAsia" w:ascii="宋体" w:hAnsi="宋体" w:eastAsia="宋体" w:cs="宋体"/>
          <w:color w:val="000000"/>
          <w:spacing w:val="6"/>
          <w:sz w:val="21"/>
          <w:szCs w:val="21"/>
          <w:highlight w:val="none"/>
        </w:rPr>
        <w:t xml:space="preserve">，属于</w:t>
      </w:r>
      <w:r>
        <w:rPr>
          <w:rFonts w:hint="eastAsia" w:ascii="宋体" w:hAnsi="宋体" w:eastAsia="宋体" w:cs="宋体"/>
          <w:color w:val="000000"/>
          <w:spacing w:val="6"/>
          <w:sz w:val="21"/>
          <w:szCs w:val="21"/>
          <w:highlight w:val="none"/>
          <w:u w:val="single"/>
        </w:rPr>
        <w:t xml:space="preserve">（采购文件中明确的所属行业）</w:t>
      </w:r>
      <w:r>
        <w:rPr>
          <w:rFonts w:hint="eastAsia" w:ascii="宋体" w:hAnsi="宋体" w:eastAsia="宋体" w:cs="宋体"/>
          <w:color w:val="000000"/>
          <w:spacing w:val="6"/>
          <w:sz w:val="21"/>
          <w:szCs w:val="21"/>
          <w:highlight w:val="none"/>
        </w:rPr>
        <w:t xml:space="preserve">行业；承建（承接）企业为</w:t>
      </w:r>
      <w:r>
        <w:rPr>
          <w:rFonts w:hint="eastAsia" w:ascii="宋体" w:hAnsi="宋体" w:eastAsia="宋体" w:cs="宋体"/>
          <w:color w:val="000000"/>
          <w:spacing w:val="6"/>
          <w:sz w:val="21"/>
          <w:szCs w:val="21"/>
          <w:highlight w:val="none"/>
          <w:u w:val="single"/>
        </w:rPr>
        <w:t xml:space="preserve">（企业名称）</w:t>
      </w:r>
      <w:r>
        <w:rPr>
          <w:rFonts w:hint="eastAsia" w:ascii="宋体" w:hAnsi="宋体" w:eastAsia="宋体" w:cs="宋体"/>
          <w:color w:val="000000"/>
          <w:spacing w:val="6"/>
          <w:sz w:val="21"/>
          <w:szCs w:val="21"/>
          <w:highlight w:val="none"/>
        </w:rPr>
        <w:t xml:space="preserve">，从业人员______人，营业收入为______万元，资产总额为______万元</w:t>
      </w:r>
      <w:r>
        <w:rPr>
          <w:rFonts w:hint="eastAsia" w:ascii="宋体" w:hAnsi="宋体" w:eastAsia="宋体" w:cs="宋体"/>
          <w:color w:val="000000"/>
          <w:spacing w:val="6"/>
          <w:sz w:val="21"/>
          <w:szCs w:val="21"/>
          <w:highlight w:val="none"/>
          <w:vertAlign w:val="superscript"/>
        </w:rPr>
        <w:t xml:space="preserve">1</w:t>
      </w:r>
      <w:r>
        <w:rPr>
          <w:rFonts w:hint="eastAsia" w:ascii="宋体" w:hAnsi="宋体" w:eastAsia="宋体" w:cs="宋体"/>
          <w:color w:val="000000"/>
          <w:spacing w:val="6"/>
          <w:sz w:val="21"/>
          <w:szCs w:val="21"/>
          <w:highlight w:val="none"/>
        </w:rPr>
        <w:t xml:space="preserve">，属于（中型企业、小型企业、微型企业）；</w:t>
      </w:r>
      <w:r>
        <w:rPr>
          <w:rFonts w:hint="eastAsia" w:ascii="宋体" w:hAnsi="宋体" w:eastAsia="宋体" w:cs="宋体"/>
          <w:color w:val="000000"/>
          <w:spacing w:val="6"/>
          <w:sz w:val="21"/>
          <w:szCs w:val="21"/>
          <w:highlight w:val="none"/>
        </w:rPr>
      </w:r>
      <w:r/>
    </w:p>
    <w:p>
      <w:pPr>
        <w:pStyle w:val="962"/>
        <w:ind w:firstLine="504"/>
        <w:jc w:val="left"/>
        <w:spacing w:line="360" w:lineRule="auto"/>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2.</w:t>
      </w:r>
      <w:r>
        <w:rPr>
          <w:rFonts w:hint="eastAsia" w:ascii="宋体" w:hAnsi="宋体" w:eastAsia="宋体" w:cs="宋体"/>
          <w:color w:val="000000"/>
          <w:spacing w:val="6"/>
          <w:sz w:val="21"/>
          <w:szCs w:val="21"/>
          <w:highlight w:val="none"/>
          <w:u w:val="single"/>
        </w:rPr>
        <w:t xml:space="preserve">（标的名称）</w:t>
      </w:r>
      <w:r>
        <w:rPr>
          <w:rFonts w:hint="eastAsia" w:ascii="宋体" w:hAnsi="宋体" w:eastAsia="宋体" w:cs="宋体"/>
          <w:color w:val="000000"/>
          <w:spacing w:val="6"/>
          <w:sz w:val="21"/>
          <w:szCs w:val="21"/>
          <w:highlight w:val="none"/>
        </w:rPr>
        <w:t xml:space="preserve">，属于</w:t>
      </w:r>
      <w:r>
        <w:rPr>
          <w:rFonts w:hint="eastAsia" w:ascii="宋体" w:hAnsi="宋体" w:eastAsia="宋体" w:cs="宋体"/>
          <w:color w:val="000000"/>
          <w:spacing w:val="6"/>
          <w:sz w:val="21"/>
          <w:szCs w:val="21"/>
          <w:highlight w:val="none"/>
          <w:u w:val="single"/>
        </w:rPr>
        <w:t xml:space="preserve">（采购文件中明确的所属行业）</w:t>
      </w:r>
      <w:r>
        <w:rPr>
          <w:rFonts w:hint="eastAsia" w:ascii="宋体" w:hAnsi="宋体" w:eastAsia="宋体" w:cs="宋体"/>
          <w:color w:val="000000"/>
          <w:spacing w:val="6"/>
          <w:sz w:val="21"/>
          <w:szCs w:val="21"/>
          <w:highlight w:val="none"/>
        </w:rPr>
        <w:t xml:space="preserve">行业；承建（承接）企业为</w:t>
      </w:r>
      <w:r>
        <w:rPr>
          <w:rFonts w:hint="eastAsia" w:ascii="宋体" w:hAnsi="宋体" w:eastAsia="宋体" w:cs="宋体"/>
          <w:color w:val="000000"/>
          <w:spacing w:val="6"/>
          <w:sz w:val="21"/>
          <w:szCs w:val="21"/>
          <w:highlight w:val="none"/>
          <w:u w:val="single"/>
        </w:rPr>
        <w:t xml:space="preserve">（企业名称）</w:t>
      </w:r>
      <w:r>
        <w:rPr>
          <w:rFonts w:hint="eastAsia" w:ascii="宋体" w:hAnsi="宋体" w:eastAsia="宋体" w:cs="宋体"/>
          <w:color w:val="000000"/>
          <w:spacing w:val="6"/>
          <w:sz w:val="21"/>
          <w:szCs w:val="21"/>
          <w:highlight w:val="none"/>
        </w:rPr>
        <w:t xml:space="preserve">，从业人员______人，营业收入为______万元，资产总额为______万元，属于</w:t>
      </w:r>
      <w:r>
        <w:rPr>
          <w:rFonts w:hint="eastAsia" w:ascii="宋体" w:hAnsi="宋体" w:eastAsia="宋体" w:cs="宋体"/>
          <w:color w:val="000000"/>
          <w:spacing w:val="6"/>
          <w:sz w:val="21"/>
          <w:szCs w:val="21"/>
          <w:highlight w:val="none"/>
          <w:u w:val="single"/>
        </w:rPr>
        <w:t xml:space="preserve">（中型企业、小型企业、微型企业）</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rPr>
      </w:r>
      <w:r/>
    </w:p>
    <w:p>
      <w:pPr>
        <w:pStyle w:val="962"/>
        <w:ind w:firstLine="504"/>
        <w:jc w:val="left"/>
        <w:spacing w:line="360" w:lineRule="auto"/>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962"/>
        <w:ind w:firstLine="504"/>
        <w:jc w:val="left"/>
        <w:spacing w:line="360" w:lineRule="auto"/>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rPr>
      </w:r>
      <w:r/>
    </w:p>
    <w:p>
      <w:pPr>
        <w:pStyle w:val="962"/>
        <w:ind w:firstLine="504"/>
        <w:jc w:val="left"/>
        <w:spacing w:line="360" w:lineRule="auto"/>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6"/>
          <w:sz w:val="21"/>
          <w:szCs w:val="21"/>
          <w:highlight w:val="none"/>
        </w:rPr>
      </w:r>
      <w:r/>
    </w:p>
    <w:p>
      <w:pPr>
        <w:pStyle w:val="962"/>
        <w:ind w:firstLine="504"/>
        <w:jc w:val="left"/>
        <w:spacing w:line="360" w:lineRule="auto"/>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本企业对上述声明内容的真实性负责。如有虚假，将依法承担相应责任。</w:t>
      </w:r>
      <w:r>
        <w:rPr>
          <w:rFonts w:hint="eastAsia" w:ascii="宋体" w:hAnsi="宋体" w:eastAsia="宋体" w:cs="宋体"/>
          <w:color w:val="000000"/>
          <w:spacing w:val="6"/>
          <w:sz w:val="21"/>
          <w:szCs w:val="21"/>
          <w:highlight w:val="none"/>
        </w:rPr>
      </w:r>
      <w:r/>
    </w:p>
    <w:p>
      <w:pPr>
        <w:pStyle w:val="962"/>
        <w:ind w:right="360" w:firstLine="48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ind w:right="360" w:firstLine="480"/>
        <w:jc w:val="righ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企业名称（加盖公章）：________</w:t>
      </w:r>
      <w:r>
        <w:rPr>
          <w:rFonts w:hint="eastAsia" w:ascii="宋体" w:hAnsi="宋体" w:eastAsia="宋体" w:cs="宋体"/>
          <w:color w:val="000000"/>
          <w:sz w:val="21"/>
          <w:szCs w:val="21"/>
          <w:highlight w:val="none"/>
        </w:rPr>
      </w:r>
      <w:r/>
    </w:p>
    <w:p>
      <w:pPr>
        <w:pStyle w:val="962"/>
        <w:ind w:right="360" w:firstLine="480"/>
        <w:jc w:val="righ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期：________</w:t>
      </w:r>
      <w:r>
        <w:rPr>
          <w:rFonts w:hint="eastAsia" w:ascii="宋体" w:hAnsi="宋体" w:eastAsia="宋体" w:cs="宋体"/>
          <w:color w:val="000000"/>
          <w:sz w:val="21"/>
          <w:szCs w:val="21"/>
          <w:highlight w:val="none"/>
        </w:rPr>
      </w:r>
      <w:r/>
    </w:p>
    <w:p>
      <w:pPr>
        <w:pStyle w:val="962"/>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62"/>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rPr>
            </w:r>
            <w:r/>
          </w:p>
        </w:tc>
      </w:tr>
    </w:tbl>
    <w:p>
      <w:pPr>
        <w:pStyle w:val="1185"/>
        <w:ind w:firstLine="482"/>
        <w:jc w:val="left"/>
        <w:spacing w:before="0" w:after="0" w:line="360" w:lineRule="auto"/>
        <w:shd w:val="clear" w:color="auto" w:fill="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p>
      <w:pPr>
        <w:pStyle w:val="962"/>
        <w:jc w:val="center"/>
        <w:keepLines w:val="0"/>
        <w:keepNext w:val="0"/>
        <w:pageBreakBefore w:val="0"/>
        <w:spacing w:before="181"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rPr>
        <w:t xml:space="preserve">残疾人福利性单位声明函格式</w:t>
      </w:r>
      <w:r>
        <w:rPr>
          <w:rFonts w:hint="eastAsia" w:ascii="宋体" w:hAnsi="宋体" w:eastAsia="宋体" w:cs="宋体"/>
          <w:b/>
          <w:color w:val="000000"/>
          <w:sz w:val="36"/>
          <w:szCs w:val="36"/>
          <w:highlight w:val="none"/>
        </w:rPr>
      </w:r>
      <w:r/>
    </w:p>
    <w:p>
      <w:pPr>
        <w:pStyle w:val="962"/>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w:t>
      </w:r>
      <w:r>
        <w:rPr>
          <w:rFonts w:hint="eastAsia" w:ascii="宋体" w:hAnsi="宋体" w:eastAsia="宋体" w:cs="宋体"/>
          <w:b/>
          <w:color w:val="000000"/>
          <w:sz w:val="24"/>
          <w:highlight w:val="none"/>
        </w:rPr>
        <w:t xml:space="preserve">（请进行勾选）</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62"/>
        <w:ind w:firstLine="482"/>
        <w:spacing w:line="588" w:lineRule="exact"/>
        <w:rPr>
          <w:rFonts w:hint="eastAsia" w:ascii="宋体" w:hAnsi="宋体" w:eastAsia="宋体" w:cs="宋体"/>
          <w:b/>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p>
    <w:p>
      <w:pPr>
        <w:pStyle w:val="962"/>
        <w:ind w:firstLine="482"/>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962"/>
        <w:ind w:firstLine="506"/>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962"/>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2"/>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2"/>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单位名称（加盖公章）：</w:t>
      </w:r>
      <w:r>
        <w:rPr>
          <w:rFonts w:hint="eastAsia" w:ascii="宋体" w:hAnsi="宋体" w:eastAsia="宋体" w:cs="宋体"/>
          <w:color w:val="000000"/>
          <w:spacing w:val="6"/>
          <w:sz w:val="24"/>
          <w:highlight w:val="none"/>
        </w:rPr>
      </w:r>
      <w:r/>
    </w:p>
    <w:p>
      <w:pPr>
        <w:pStyle w:val="962"/>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日  期：</w:t>
      </w:r>
      <w:r>
        <w:rPr>
          <w:rFonts w:hint="eastAsia" w:ascii="宋体" w:hAnsi="宋体" w:eastAsia="宋体" w:cs="宋体"/>
          <w:color w:val="000000"/>
          <w:spacing w:val="6"/>
          <w:sz w:val="24"/>
          <w:highlight w:val="none"/>
        </w:rPr>
      </w:r>
      <w:r/>
    </w:p>
    <w:p>
      <w:pPr>
        <w:pStyle w:val="962"/>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2"/>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2"/>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2"/>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62"/>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highlight w:val="none"/>
        </w:rPr>
        <w:t xml:space="preserve">2-3其它落实政府采购政策的资格要求</w:t>
      </w:r>
      <w:r>
        <w:rPr>
          <w:rFonts w:hint="eastAsia" w:ascii="宋体" w:hAnsi="宋体" w:eastAsia="宋体" w:cs="宋体"/>
          <w:color w:val="000000"/>
          <w:sz w:val="24"/>
          <w:szCs w:val="20"/>
          <w:highlight w:val="none"/>
        </w:rPr>
        <w:t xml:space="preserve">（如有）</w:t>
      </w:r>
      <w:r>
        <w:rPr>
          <w:rFonts w:hint="eastAsia" w:ascii="宋体" w:hAnsi="宋体" w:eastAsia="宋体" w:cs="宋体"/>
          <w:color w:val="000000"/>
          <w:sz w:val="24"/>
          <w:szCs w:val="20"/>
          <w:highlight w:val="none"/>
        </w:rPr>
      </w:r>
      <w:r/>
    </w:p>
    <w:p>
      <w:pPr>
        <w:pStyle w:val="96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jc w:val="center"/>
        <w:spacing w:after="120"/>
        <w:shd w:val="clear" w:color="auto" w:fill="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关于符合本国产品标准的声明函</w:t>
      </w:r>
      <w:r>
        <w:rPr>
          <w:rFonts w:hint="eastAsia" w:ascii="宋体" w:hAnsi="宋体" w:eastAsia="宋体" w:cs="宋体"/>
          <w:b/>
          <w:color w:val="000000"/>
          <w:sz w:val="32"/>
          <w:szCs w:val="32"/>
          <w:highlight w:val="none"/>
        </w:rPr>
      </w:r>
      <w:r/>
    </w:p>
    <w:p>
      <w:pPr>
        <w:pStyle w:val="962"/>
        <w:ind w:right="0" w:firstLine="42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962"/>
        <w:ind w:right="0" w:firstLine="42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-118109</wp:posOffset>
                </wp:positionH>
                <wp:positionV relativeFrom="paragraph">
                  <wp:posOffset>795020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9.3pt;mso-position-horizontal:absolute;mso-position-vertical-relative:text;margin-top:62.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549275</wp:posOffset>
                </wp:positionH>
                <wp:positionV relativeFrom="paragraph">
                  <wp:posOffset>790575</wp:posOffset>
                </wp:positionV>
                <wp:extent cx="805180" cy="13652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43.2pt;mso-position-horizontal:absolute;mso-position-vertical-relative:text;margin-top:62.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3582670</wp:posOffset>
                </wp:positionH>
                <wp:positionV relativeFrom="paragraph">
                  <wp:posOffset>429895</wp:posOffset>
                </wp:positionV>
                <wp:extent cx="603250" cy="1504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82.1pt;mso-position-horizontal:absolute;mso-position-vertical-relative:text;margin-top:33.9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2480945</wp:posOffset>
                </wp:positionH>
                <wp:positionV relativeFrom="paragraph">
                  <wp:posOffset>457200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95.3pt;mso-position-horizontal:absolute;mso-position-vertical-relative:text;margin-top:36.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1433195</wp:posOffset>
                </wp:positionH>
                <wp:positionV relativeFrom="paragraph">
                  <wp:posOffset>495300</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112.8pt;mso-position-horizontal:absolute;mso-position-vertical-relative:text;margin-top:39.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4311650</wp:posOffset>
                </wp:positionH>
                <wp:positionV relativeFrom="paragraph">
                  <wp:posOffset>130175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339.5pt;mso-position-horizontal:absolute;mso-position-vertical-relative:text;margin-top:10.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lang w:val="en-US" w:eastAsia="zh-CN" w:bidi="ar-SA"/>
        </w:rPr>
        <w:t xml:space="preserve">1.</w:t>
      </w:r>
      <w:r>
        <w:rPr>
          <w:rFonts w:hint="eastAsia" w:ascii="宋体" w:hAnsi="宋体" w:eastAsia="宋体" w:cs="宋体"/>
          <w:i w:val="0"/>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1</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962"/>
        <w:ind w:right="0" w:firstLine="42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-212724</wp:posOffset>
                </wp:positionH>
                <wp:positionV relativeFrom="paragraph">
                  <wp:posOffset>769620</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6.7pt;mso-position-horizontal:absolute;mso-position-vertical-relative:text;margin-top:60.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4734560</wp:posOffset>
                </wp:positionH>
                <wp:positionV relativeFrom="paragraph">
                  <wp:posOffset>419100</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72.8pt;mso-position-horizontal:absolute;mso-position-vertical-relative:text;margin-top:33.0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3270885</wp:posOffset>
                </wp:positionH>
                <wp:positionV relativeFrom="paragraph">
                  <wp:posOffset>412750</wp:posOffset>
                </wp:positionV>
                <wp:extent cx="666750" cy="1905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57.6pt;mso-position-horizontal:absolute;mso-position-vertical-relative:text;margin-top:32.5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2148840</wp:posOffset>
                </wp:positionH>
                <wp:positionV relativeFrom="paragraph">
                  <wp:posOffset>443230</wp:posOffset>
                </wp:positionV>
                <wp:extent cx="842645" cy="1524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169.2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1162685</wp:posOffset>
                </wp:positionH>
                <wp:positionV relativeFrom="paragraph">
                  <wp:posOffset>426085</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91.5pt;mso-position-horizontal:absolute;mso-position-vertical-relative:text;margin-top:33.5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4030345</wp:posOffset>
                </wp:positionH>
                <wp:positionV relativeFrom="paragraph">
                  <wp:posOffset>132080</wp:posOffset>
                </wp:positionV>
                <wp:extent cx="807720" cy="1905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val 21600"/>
                            <a:gd name="gd6" fmla="val 2160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17.3pt;mso-position-horizontal:absolute;mso-position-vertical-relative:text;margin-top:10.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lang w:val="en-US" w:eastAsia="zh-CN" w:bidi="ar-SA"/>
        </w:rPr>
        <w:t xml:space="preserve">2.</w:t>
      </w:r>
      <w:r>
        <w:rPr>
          <w:rFonts w:hint="eastAsia" w:ascii="宋体" w:hAnsi="宋体" w:eastAsia="宋体" w:cs="宋体"/>
          <w:i w:val="0"/>
          <w:color w:val="000000"/>
          <w:sz w:val="21"/>
          <w:szCs w:val="21"/>
          <w:highlight w:val="none"/>
          <w:u w:val="single"/>
          <w:shd w:val="clear" w:color="auto" w:fill="ffffff"/>
          <w:lang w:val="en-US" w:eastAsia="zh-CN" w:bidi="ar-SA"/>
        </w:rPr>
        <w:t xml:space="preserve">（产品名称2）</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color w:val="000000"/>
          <w:sz w:val="21"/>
          <w:szCs w:val="21"/>
          <w:highlight w:val="none"/>
          <w:u w:val="single"/>
          <w:shd w:val="clear" w:color="auto" w:fill="ffffff"/>
          <w:lang w:val="en-US" w:eastAsia="zh-CN" w:bidi="ar-SA"/>
        </w:rPr>
        <w:t xml:space="preserve">（产品名称2）</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color w:val="000000"/>
          <w:sz w:val="21"/>
          <w:szCs w:val="21"/>
          <w:highlight w:val="none"/>
          <w:u w:val="single"/>
          <w:shd w:val="clear" w:color="auto" w:fill="ffffff"/>
          <w:lang w:val="en-US" w:eastAsia="zh-CN" w:bidi="ar-SA"/>
        </w:rPr>
        <w:t xml:space="preserve">（产品名称2）</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962"/>
        <w:ind w:right="0" w:firstLine="42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62"/>
        <w:ind w:right="0" w:firstLine="42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highlight w:val="none"/>
          <w:lang w:val="en-US" w:eastAsia="zh-CN" w:bidi="ar-SA"/>
        </w:rPr>
      </w:r>
      <w:r/>
    </w:p>
    <w:p>
      <w:pPr>
        <w:pStyle w:val="962"/>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62"/>
        <w:ind w:right="0" w:firstLine="3465"/>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962"/>
        <w:ind w:right="0"/>
        <w:jc w:val="center"/>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                                日期：　   年　  月　  日         </w:t>
      </w:r>
      <w:r>
        <w:rPr>
          <w:rFonts w:hint="eastAsia" w:ascii="宋体" w:hAnsi="宋体" w:eastAsia="宋体" w:cs="宋体"/>
          <w:color w:val="000000"/>
          <w:sz w:val="21"/>
          <w:szCs w:val="21"/>
          <w:highlight w:val="none"/>
          <w:lang w:val="en-US" w:eastAsia="zh-CN" w:bidi="ar-SA"/>
        </w:rPr>
      </w:r>
      <w:r/>
    </w:p>
    <w:p>
      <w:pPr>
        <w:pStyle w:val="962"/>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__________________</w:t>
      </w:r>
      <w:r>
        <w:rPr>
          <w:rFonts w:hint="eastAsia" w:ascii="宋体" w:hAnsi="宋体" w:eastAsia="宋体" w:cs="宋体"/>
          <w:color w:val="000000"/>
          <w:sz w:val="21"/>
          <w:szCs w:val="21"/>
          <w:highlight w:val="none"/>
          <w:lang w:val="en-US" w:eastAsia="zh-CN" w:bidi="ar-SA"/>
        </w:rPr>
      </w:r>
      <w:r/>
    </w:p>
    <w:p>
      <w:pPr>
        <w:pStyle w:val="962"/>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1"/>
          <w:szCs w:val="21"/>
          <w:highlight w:val="none"/>
          <w:lang w:val="en-US" w:eastAsia="zh-CN" w:bidi="ar-SA"/>
        </w:rPr>
      </w:r>
      <w:r/>
    </w:p>
    <w:p>
      <w:pPr>
        <w:pStyle w:val="962"/>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1"/>
          <w:szCs w:val="21"/>
          <w:highlight w:val="none"/>
          <w:lang w:val="en-US" w:eastAsia="zh-CN" w:bidi="ar-SA"/>
        </w:rPr>
      </w:r>
      <w:r/>
    </w:p>
    <w:p>
      <w:pPr>
        <w:pStyle w:val="962"/>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1"/>
          <w:szCs w:val="21"/>
          <w:highlight w:val="none"/>
          <w:lang w:val="en-US" w:eastAsia="zh-CN" w:bidi="ar-SA"/>
        </w:rPr>
      </w:r>
      <w:r/>
    </w:p>
    <w:p>
      <w:pPr>
        <w:pStyle w:val="962"/>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1"/>
          <w:szCs w:val="21"/>
          <w:highlight w:val="none"/>
          <w:lang w:val="en-US" w:eastAsia="zh-CN" w:bidi="ar-SA"/>
        </w:rPr>
      </w:r>
      <w:r/>
    </w:p>
    <w:p>
      <w:pPr>
        <w:pStyle w:val="962"/>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1"/>
          <w:szCs w:val="21"/>
          <w:highlight w:val="none"/>
          <w:shd w:val="clear" w:color="auto" w:fill="ffffff"/>
          <w:lang w:val="en-US" w:eastAsia="zh-CN" w:bidi="ar-SA"/>
        </w:rPr>
      </w:r>
      <w:r/>
    </w:p>
    <w:p>
      <w:pPr>
        <w:pStyle w:val="962"/>
        <w:ind w:right="0"/>
        <w:jc w:val="left"/>
        <w:keepLines w:val="0"/>
        <w:keepNext w:val="0"/>
        <w:pageBreakBefore w:val="0"/>
        <w:spacing w:before="0" w:beforeAutospacing="0" w:after="0" w:afterAutospacing="0" w:line="500" w:lineRule="exact"/>
        <w:shd w:val="clear" w:color="auto" w:fill="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6.用斜线划除的地方无需填写。</w:t>
      </w:r>
      <w:r>
        <w:rPr>
          <w:rFonts w:hint="eastAsia" w:ascii="宋体" w:hAnsi="宋体" w:eastAsia="宋体" w:cs="宋体"/>
          <w:color w:val="000000"/>
          <w:sz w:val="21"/>
          <w:szCs w:val="21"/>
          <w:highlight w:val="none"/>
          <w:shd w:val="clear" w:color="auto" w:fill="ffffff"/>
          <w:lang w:val="en-US" w:eastAsia="zh-CN" w:bidi="ar-SA"/>
        </w:rPr>
      </w:r>
      <w:r/>
    </w:p>
    <w:p>
      <w:pPr>
        <w:pStyle w:val="962"/>
        <w:jc w:val="left"/>
        <w:spacing w:line="360" w:lineRule="auto"/>
        <w:shd w:val="clear" w:color="auto" w:fill="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szCs w:val="20"/>
          <w:highlight w:val="none"/>
        </w:rPr>
        <w:t xml:space="preserve">3 </w:t>
      </w:r>
      <w:r>
        <w:rPr>
          <w:rFonts w:hint="eastAsia" w:ascii="宋体" w:hAnsi="宋体" w:eastAsia="宋体" w:cs="宋体"/>
          <w:b/>
          <w:bCs/>
          <w:color w:val="000000"/>
          <w:sz w:val="24"/>
          <w:highlight w:val="none"/>
        </w:rPr>
        <w:t xml:space="preserve">本项目的特定资格要求</w:t>
      </w: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3-2其他特定资格要求</w:t>
      </w:r>
      <w:r>
        <w:rPr>
          <w:rFonts w:hint="eastAsia" w:ascii="宋体" w:hAnsi="宋体" w:eastAsia="宋体" w:cs="宋体"/>
          <w:color w:val="000000"/>
          <w:sz w:val="24"/>
          <w:szCs w:val="20"/>
          <w:highlight w:val="none"/>
        </w:rPr>
      </w:r>
      <w:r/>
    </w:p>
    <w:p>
      <w:pPr>
        <w:pStyle w:val="962"/>
        <w:ind w:left="690" w:hanging="211"/>
        <w:spacing w:line="360" w:lineRule="auto"/>
        <w:rPr>
          <w:rFonts w:hint="eastAsia" w:ascii="宋体" w:hAnsi="宋体" w:eastAsia="宋体" w:cs="宋体"/>
          <w:color w:val="000000"/>
          <w:sz w:val="24"/>
          <w:szCs w:val="20"/>
          <w:highlight w:val="none"/>
        </w:rPr>
      </w:pPr>
      <w:r>
        <w:rPr>
          <w:rFonts w:hint="eastAsia" w:ascii="宋体" w:hAnsi="宋体" w:eastAsia="宋体" w:cs="宋体"/>
          <w:b/>
          <w:bCs/>
          <w:color w:val="000000"/>
          <w:szCs w:val="21"/>
          <w:highlight w:val="none"/>
        </w:rPr>
        <w:t xml:space="preserve">详见采购公告要求</w:t>
      </w: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719" w:hanging="24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二、商务技术文件格式</w:t>
      </w:r>
      <w:bookmarkStart w:id="794" w:name="_Toc226337252"/>
      <w:r/>
      <w:bookmarkStart w:id="795" w:name="_Toc142311058"/>
      <w:r/>
      <w:bookmarkStart w:id="796" w:name="_Toc150480794"/>
      <w:r/>
      <w:bookmarkStart w:id="797" w:name="_Toc127151556"/>
      <w:r/>
      <w:bookmarkStart w:id="798" w:name="_Ref467988698"/>
      <w:r/>
      <w:bookmarkStart w:id="799" w:name="_Toc150774761"/>
      <w:r/>
      <w:bookmarkStart w:id="800" w:name="_Toc226309800"/>
      <w:r/>
      <w:bookmarkStart w:id="801" w:name="_Toc195842921"/>
      <w:r/>
      <w:bookmarkStart w:id="802" w:name="_Toc480942349"/>
      <w:r/>
      <w:bookmarkStart w:id="803" w:name="_Toc520356217"/>
      <w:r/>
      <w:bookmarkStart w:id="804" w:name="_Toc226965746"/>
      <w:r/>
      <w:bookmarkStart w:id="805" w:name="_Toc226965829"/>
      <w:r>
        <w:rPr>
          <w:rFonts w:hint="eastAsia" w:ascii="宋体" w:hAnsi="宋体" w:eastAsia="宋体" w:cs="宋体"/>
          <w:b/>
          <w:color w:val="000000"/>
          <w:sz w:val="32"/>
          <w:szCs w:val="32"/>
          <w:highlight w:val="none"/>
        </w:rPr>
      </w:r>
      <w:r/>
    </w:p>
    <w:p>
      <w:pPr>
        <w:pStyle w:val="962"/>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62"/>
        <w:spacing w:line="360" w:lineRule="auto"/>
        <w:rPr>
          <w:rFonts w:hint="eastAsia" w:ascii="宋体" w:hAnsi="宋体" w:eastAsia="宋体" w:cs="宋体"/>
          <w:b/>
          <w:bCs/>
          <w:color w:val="000000"/>
          <w:sz w:val="24"/>
          <w:szCs w:val="20"/>
          <w:highlight w:val="none"/>
        </w:rPr>
        <w:outlineLvl w:val="2"/>
      </w:pPr>
      <w:r>
        <w:rPr>
          <w:rFonts w:hint="eastAsia" w:ascii="宋体" w:hAnsi="宋体" w:eastAsia="宋体" w:cs="宋体"/>
          <w:b/>
          <w:bCs/>
          <w:color w:val="000000"/>
          <w:sz w:val="24"/>
          <w:highlight w:val="none"/>
        </w:rPr>
        <w:t xml:space="preserve">1投标</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rPr>
          <w:rFonts w:hint="eastAsia" w:ascii="宋体" w:hAnsi="宋体" w:eastAsia="宋体" w:cs="宋体"/>
          <w:b/>
          <w:bCs/>
          <w:color w:val="000000"/>
          <w:sz w:val="24"/>
          <w:highlight w:val="none"/>
        </w:rPr>
        <w:t xml:space="preserve">函</w:t>
      </w:r>
      <w:r>
        <w:rPr>
          <w:rFonts w:hint="eastAsia" w:ascii="宋体" w:hAnsi="宋体" w:eastAsia="宋体" w:cs="宋体"/>
          <w:b/>
          <w:bCs/>
          <w:color w:val="000000"/>
          <w:sz w:val="24"/>
          <w:szCs w:val="20"/>
          <w:highlight w:val="none"/>
        </w:rPr>
        <w:t xml:space="preserve">（实质性格式）</w:t>
      </w:r>
      <w:r>
        <w:rPr>
          <w:rFonts w:hint="eastAsia" w:ascii="宋体" w:hAnsi="宋体" w:eastAsia="宋体" w:cs="宋体"/>
          <w:b/>
          <w:bCs/>
          <w:color w:val="000000"/>
          <w:sz w:val="24"/>
          <w:szCs w:val="20"/>
          <w:highlight w:val="none"/>
        </w:rPr>
      </w:r>
      <w:r/>
    </w:p>
    <w:p>
      <w:pPr>
        <w:pStyle w:val="962"/>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rPr>
          <w:rFonts w:hint="eastAsia" w:ascii="宋体" w:hAnsi="宋体" w:eastAsia="宋体" w:cs="宋体"/>
          <w:b/>
          <w:color w:val="000000"/>
          <w:sz w:val="36"/>
          <w:szCs w:val="36"/>
          <w:highlight w:val="none"/>
        </w:rPr>
      </w:r>
      <w:r/>
    </w:p>
    <w:p>
      <w:pPr>
        <w:pStyle w:val="962"/>
        <w:spacing w:line="360" w:lineRule="auto"/>
        <w:tabs>
          <w:tab w:val="left" w:pos="55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致：</w:t>
      </w:r>
      <w:r>
        <w:rPr>
          <w:rFonts w:hint="eastAsia" w:ascii="宋体" w:hAnsi="宋体" w:eastAsia="宋体" w:cs="宋体"/>
          <w:color w:val="000000"/>
          <w:szCs w:val="21"/>
          <w:highlight w:val="none"/>
          <w:u w:val="single"/>
          <w:lang w:eastAsia="zh-CN"/>
        </w:rPr>
        <w:t xml:space="preserve">常州市排水管理处</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lang w:eastAsia="zh-CN"/>
        </w:rPr>
        <w:t xml:space="preserve">江苏晋陵工程咨询有限公司</w:t>
      </w:r>
      <w:r>
        <w:rPr>
          <w:rFonts w:hint="eastAsia" w:ascii="宋体" w:hAnsi="宋体" w:eastAsia="宋体" w:cs="宋体"/>
          <w:color w:val="000000"/>
          <w:sz w:val="24"/>
          <w:highlight w:val="none"/>
          <w:lang w:eastAsia="zh-CN"/>
        </w:rPr>
      </w:r>
      <w:r/>
    </w:p>
    <w:p>
      <w:pPr>
        <w:pStyle w:val="962"/>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我方参加你方就</w:t>
      </w:r>
      <w:r>
        <w:rPr>
          <w:rFonts w:hint="eastAsia" w:ascii="宋体" w:hAnsi="宋体" w:eastAsia="宋体" w:cs="宋体"/>
          <w:b/>
          <w:bCs/>
          <w:color w:val="000000"/>
          <w:sz w:val="21"/>
          <w:szCs w:val="21"/>
          <w:highlight w:val="none"/>
          <w:u w:val="single"/>
          <w:lang w:eastAsia="zh-CN"/>
        </w:rPr>
        <w:t xml:space="preserve">排水泵站设备检查保养及维修JSZC-320400-JLJL-G2026-0001</w:t>
      </w:r>
      <w:r>
        <w:rPr>
          <w:rFonts w:hint="eastAsia" w:ascii="宋体" w:hAnsi="宋体" w:eastAsia="宋体" w:cs="宋体"/>
          <w:color w:val="000000"/>
          <w:sz w:val="21"/>
          <w:szCs w:val="21"/>
          <w:highlight w:val="none"/>
        </w:rPr>
        <w:t xml:space="preserve">组织的招标活动，并对此项目进行投标。</w:t>
      </w:r>
      <w:r>
        <w:rPr>
          <w:rFonts w:hint="eastAsia" w:ascii="宋体" w:hAnsi="宋体" w:eastAsia="宋体" w:cs="宋体"/>
          <w:color w:val="000000"/>
          <w:sz w:val="21"/>
          <w:szCs w:val="21"/>
          <w:highlight w:val="none"/>
        </w:rPr>
      </w:r>
      <w:r/>
    </w:p>
    <w:p>
      <w:pPr>
        <w:pStyle w:val="962"/>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我方已详细审查全部招标文件，自愿参与投标并承诺如下：</w:t>
      </w:r>
      <w:r>
        <w:rPr>
          <w:rFonts w:hint="eastAsia" w:ascii="宋体" w:hAnsi="宋体" w:eastAsia="宋体" w:cs="宋体"/>
          <w:color w:val="000000"/>
          <w:sz w:val="21"/>
          <w:szCs w:val="21"/>
          <w:highlight w:val="none"/>
        </w:rPr>
      </w:r>
      <w:r/>
    </w:p>
    <w:p>
      <w:pPr>
        <w:pStyle w:val="962"/>
        <w:ind w:left="360" w:firstLine="72"/>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（1）本投标有效期为自提交投标文件的截止之日起90个日历天。</w:t>
      </w:r>
      <w:r>
        <w:rPr>
          <w:rFonts w:hint="eastAsia" w:ascii="宋体" w:hAnsi="宋体" w:eastAsia="宋体" w:cs="宋体"/>
          <w:color w:val="000000"/>
          <w:sz w:val="21"/>
          <w:szCs w:val="21"/>
          <w:highlight w:val="none"/>
        </w:rPr>
      </w:r>
      <w:r/>
    </w:p>
    <w:p>
      <w:pPr>
        <w:pStyle w:val="962"/>
        <w:ind w:left="360" w:firstLine="72"/>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（2）除合同条款及采购需求偏离表列出的偏离外，我方响应招标文件的全部要求。</w:t>
      </w:r>
      <w:r>
        <w:rPr>
          <w:rFonts w:hint="eastAsia" w:ascii="宋体" w:hAnsi="宋体" w:eastAsia="宋体" w:cs="宋体"/>
          <w:color w:val="000000"/>
          <w:sz w:val="21"/>
          <w:szCs w:val="21"/>
          <w:highlight w:val="none"/>
        </w:rPr>
      </w:r>
      <w:r/>
    </w:p>
    <w:p>
      <w:pPr>
        <w:pStyle w:val="962"/>
        <w:ind w:firstLine="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（3）我方已提供的全部文件资料是真实、准确的，并对此承担一切法律后果。</w:t>
      </w:r>
      <w:r>
        <w:rPr>
          <w:rFonts w:hint="eastAsia" w:ascii="宋体" w:hAnsi="宋体" w:eastAsia="宋体" w:cs="宋体"/>
          <w:color w:val="000000"/>
          <w:sz w:val="21"/>
          <w:szCs w:val="21"/>
          <w:highlight w:val="none"/>
        </w:rPr>
      </w:r>
      <w:r/>
    </w:p>
    <w:p>
      <w:pPr>
        <w:pStyle w:val="962"/>
        <w:ind w:firstLine="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 w:val="21"/>
          <w:szCs w:val="21"/>
          <w:highlight w:val="none"/>
        </w:rPr>
      </w:r>
      <w:r/>
    </w:p>
    <w:p>
      <w:pPr>
        <w:pStyle w:val="962"/>
        <w:ind w:lef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其他补充条款（如有）：___________。</w:t>
      </w:r>
      <w:r>
        <w:rPr>
          <w:rFonts w:hint="eastAsia" w:ascii="宋体" w:hAnsi="宋体" w:eastAsia="宋体" w:cs="宋体"/>
          <w:color w:val="000000"/>
          <w:sz w:val="21"/>
          <w:szCs w:val="21"/>
          <w:highlight w:val="none"/>
        </w:rPr>
      </w:r>
      <w:r/>
    </w:p>
    <w:p>
      <w:pPr>
        <w:pStyle w:val="962"/>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与本投标有关的一切正式往来信函请寄：</w:t>
      </w:r>
      <w:r>
        <w:rPr>
          <w:rFonts w:hint="eastAsia" w:ascii="宋体" w:hAnsi="宋体" w:eastAsia="宋体" w:cs="宋体"/>
          <w:color w:val="000000"/>
          <w:sz w:val="21"/>
          <w:szCs w:val="21"/>
          <w:highlight w:val="none"/>
        </w:rPr>
      </w:r>
      <w:r/>
    </w:p>
    <w:p>
      <w:pPr>
        <w:pStyle w:val="962"/>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rPr>
          <w:rFonts w:hint="eastAsia" w:ascii="宋体" w:hAnsi="宋体" w:eastAsia="宋体" w:cs="宋体"/>
          <w:color w:val="000000"/>
          <w:sz w:val="24"/>
          <w:szCs w:val="20"/>
          <w:highlight w:val="none"/>
        </w:rPr>
      </w:r>
      <w:r/>
    </w:p>
    <w:p>
      <w:pPr>
        <w:pStyle w:val="962"/>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电子邮箱________________________</w:t>
      </w:r>
      <w:r>
        <w:rPr>
          <w:rFonts w:hint="eastAsia" w:ascii="宋体" w:hAnsi="宋体" w:eastAsia="宋体" w:cs="宋体"/>
          <w:color w:val="000000"/>
          <w:sz w:val="24"/>
          <w:szCs w:val="20"/>
          <w:highlight w:val="none"/>
        </w:rPr>
      </w:r>
      <w:r/>
    </w:p>
    <w:p>
      <w:pPr>
        <w:pStyle w:val="962"/>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供应商：（加盖公章）</w:t>
      </w: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szCs w:val="20"/>
          <w:highlight w:val="none"/>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2"/>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62"/>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p>
      <w:pPr>
        <w:pStyle w:val="962"/>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pStyle w:val="962"/>
        <w:jc w:val="left"/>
        <w:widowControl/>
        <w:rPr>
          <w:rFonts w:hint="eastAsia" w:ascii="宋体" w:hAnsi="宋体" w:eastAsia="宋体" w:cs="宋体"/>
          <w:b/>
          <w:bCs/>
          <w:color w:val="000000"/>
          <w:sz w:val="24"/>
          <w:highlight w:val="none"/>
        </w:rPr>
      </w:pPr>
      <w:r/>
      <w:bookmarkStart w:id="806" w:name="_Hlt520356243"/>
      <w:r/>
      <w:bookmarkEnd w:id="806"/>
      <w:r/>
      <w:bookmarkStart w:id="807" w:name="_Hlt520355938"/>
      <w:r/>
      <w:bookmarkEnd w:id="807"/>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2  法定代表人资格证明书</w:t>
      </w:r>
      <w:r>
        <w:rPr>
          <w:rFonts w:hint="eastAsia" w:ascii="宋体" w:hAnsi="宋体" w:eastAsia="宋体" w:cs="宋体"/>
          <w:b/>
          <w:bCs/>
          <w:color w:val="000000"/>
          <w:sz w:val="24"/>
          <w:szCs w:val="20"/>
          <w:highlight w:val="none"/>
        </w:rPr>
        <w:t xml:space="preserve">（实质性格式）</w:t>
      </w:r>
      <w:r>
        <w:rPr>
          <w:rFonts w:hint="eastAsia" w:ascii="宋体" w:hAnsi="宋体" w:eastAsia="宋体" w:cs="宋体"/>
          <w:b/>
          <w:bCs/>
          <w:color w:val="000000"/>
          <w:sz w:val="24"/>
          <w:highlight w:val="none"/>
        </w:rPr>
      </w:r>
      <w:r/>
    </w:p>
    <w:p>
      <w:pPr>
        <w:pStyle w:val="962"/>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62"/>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法定代表人资格证明书</w:t>
      </w:r>
      <w:r>
        <w:rPr>
          <w:rFonts w:hint="eastAsia" w:ascii="宋体" w:hAnsi="宋体" w:eastAsia="宋体" w:cs="宋体"/>
          <w:b/>
          <w:color w:val="000000"/>
          <w:sz w:val="32"/>
          <w:szCs w:val="32"/>
          <w:highlight w:val="none"/>
        </w:rPr>
      </w:r>
      <w:r/>
    </w:p>
    <w:p>
      <w:pPr>
        <w:pStyle w:val="962"/>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62"/>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62"/>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年龄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职务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（投标单位名称）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b/>
          <w:bCs/>
          <w:color w:val="000000"/>
          <w:sz w:val="24"/>
          <w:highlight w:val="none"/>
          <w:u w:val="single"/>
          <w:lang w:eastAsia="zh-CN"/>
        </w:rPr>
        <w:t xml:space="preserve">排水泵站设备检查保养及维修</w:t>
      </w:r>
      <w:r>
        <w:rPr>
          <w:rFonts w:hint="eastAsia" w:ascii="宋体" w:hAnsi="宋体" w:eastAsia="宋体" w:cs="宋体"/>
          <w:b/>
          <w:bCs/>
          <w:color w:val="000000"/>
          <w:sz w:val="24"/>
          <w:highlight w:val="none"/>
          <w:u w:val="single"/>
        </w:rPr>
        <w:t xml:space="preserve"> </w:t>
      </w:r>
      <w:r>
        <w:rPr>
          <w:rFonts w:hint="eastAsia" w:ascii="宋体" w:hAnsi="宋体" w:eastAsia="宋体" w:cs="宋体"/>
          <w:b/>
          <w:bCs/>
          <w:color w:val="000000"/>
          <w:sz w:val="24"/>
          <w:highlight w:val="none"/>
          <w:u w:val="single"/>
          <w:lang w:eastAsia="zh-CN"/>
        </w:rPr>
        <w:t xml:space="preserve">JSZC-320400-JLJL-G2026-0001</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上述项目的投标文件、进行合同谈判、签署合同和处理与之有关的一切事务。</w:t>
      </w: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15"/>
        <w:ind w:right="-46"/>
        <w:spacing w:line="583" w:lineRule="auto"/>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）有效期内的身份证正反面扫描件加盖公章。</w:t>
      </w:r>
      <w:r>
        <w:rPr>
          <w:rFonts w:hint="eastAsia" w:ascii="宋体" w:hAnsi="宋体" w:eastAsia="宋体" w:cs="宋体"/>
          <w:color w:val="000000"/>
          <w:spacing w:val="-3"/>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6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bookmarkStart w:id="808" w:name="_Hlk107701949"/>
      <w:r>
        <w:rPr>
          <w:rFonts w:hint="eastAsia" w:ascii="宋体" w:hAnsi="宋体" w:eastAsia="宋体" w:cs="宋体"/>
          <w:color w:val="000000"/>
          <w:sz w:val="24"/>
          <w:highlight w:val="none"/>
        </w:rPr>
        <w:t xml:space="preserve"> 供应商：（加盖公章）</w:t>
      </w:r>
      <w:r>
        <w:rPr>
          <w:rFonts w:hint="eastAsia" w:ascii="宋体" w:hAnsi="宋体" w:eastAsia="宋体" w:cs="宋体"/>
          <w:color w:val="000000"/>
          <w:sz w:val="24"/>
          <w:highlight w:val="none"/>
        </w:rPr>
      </w:r>
      <w:r/>
    </w:p>
    <w:p>
      <w:pPr>
        <w:pStyle w:val="962"/>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0"/>
          <w:highlight w:val="none"/>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2"/>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bookmarkEnd w:id="808"/>
      <w:r>
        <w:rPr>
          <w:rFonts w:hint="eastAsia" w:ascii="宋体" w:hAnsi="宋体" w:eastAsia="宋体" w:cs="宋体"/>
          <w:color w:val="000000"/>
          <w:sz w:val="24"/>
          <w:highlight w:val="none"/>
        </w:rPr>
      </w:r>
      <w:r/>
    </w:p>
    <w:p>
      <w:pPr>
        <w:pStyle w:val="96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962"/>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highlight w:val="none"/>
        </w:rPr>
      </w:r>
      <w:r/>
    </w:p>
    <w:p>
      <w:pPr>
        <w:pStyle w:val="962"/>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2.供应商为自然人的情形，可不提供本《授权委托书》。</w:t>
      </w:r>
      <w:r>
        <w:rPr>
          <w:rFonts w:hint="eastAsia" w:ascii="宋体" w:hAnsi="宋体" w:eastAsia="宋体" w:cs="宋体"/>
          <w:i/>
          <w:color w:val="000000"/>
          <w:sz w:val="24"/>
          <w:szCs w:val="20"/>
          <w:highlight w:val="none"/>
          <w:u w:val="single"/>
        </w:rPr>
      </w:r>
      <w:r/>
    </w:p>
    <w:p>
      <w:pPr>
        <w:pStyle w:val="96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jc w:val="center"/>
        <w:spacing w:before="240" w:after="240"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rPr>
          <w:rFonts w:hint="eastAsia" w:ascii="宋体" w:hAnsi="宋体" w:eastAsia="宋体" w:cs="宋体"/>
          <w:b/>
          <w:bCs/>
          <w:color w:val="000000"/>
          <w:sz w:val="32"/>
          <w:szCs w:val="32"/>
          <w:highlight w:val="none"/>
        </w:rPr>
        <w:t xml:space="preserve">法定代表人授权委托书</w:t>
      </w:r>
      <w:r>
        <w:rPr>
          <w:rFonts w:hint="eastAsia" w:ascii="宋体" w:hAnsi="宋体" w:eastAsia="宋体" w:cs="宋体"/>
          <w:b/>
          <w:bCs/>
          <w:color w:val="000000"/>
          <w:sz w:val="28"/>
          <w:szCs w:val="28"/>
          <w:highlight w:val="none"/>
        </w:rPr>
      </w:r>
      <w:r/>
    </w:p>
    <w:p>
      <w:pPr>
        <w:pStyle w:val="9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法定代表人（或非法人组织负责人）姓名：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住所地：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授权委托人姓名：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工作单位：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住址：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现委托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就</w:t>
      </w:r>
      <w:r>
        <w:rPr>
          <w:rFonts w:hint="eastAsia" w:ascii="宋体" w:hAnsi="宋体" w:eastAsia="宋体" w:cs="宋体"/>
          <w:b/>
          <w:bCs/>
          <w:color w:val="000000"/>
          <w:sz w:val="24"/>
          <w:highlight w:val="none"/>
          <w:u w:val="single"/>
          <w:lang w:eastAsia="zh-CN"/>
        </w:rPr>
        <w:t xml:space="preserve">排水泵站设备检查保养及维修JSZC-320400-JLJL-G2026-0001</w:t>
      </w:r>
      <w:r>
        <w:rPr>
          <w:rFonts w:hint="eastAsia" w:ascii="宋体" w:hAnsi="宋体" w:eastAsia="宋体" w:cs="宋体"/>
          <w:color w:val="000000"/>
          <w:sz w:val="24"/>
          <w:highlight w:val="none"/>
        </w:rPr>
        <w:t xml:space="preserve">采购活动，以我单位名义处理一切与之有关的事务。</w:t>
      </w:r>
      <w:r>
        <w:rPr>
          <w:rFonts w:hint="eastAsia" w:ascii="宋体" w:hAnsi="宋体" w:eastAsia="宋体" w:cs="宋体"/>
          <w:color w:val="000000"/>
          <w:sz w:val="24"/>
          <w:highlight w:val="none"/>
        </w:rPr>
      </w:r>
      <w:r/>
    </w:p>
    <w:p>
      <w:pPr>
        <w:pStyle w:val="9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日签字或盖章</w:t>
      </w:r>
      <w:r>
        <w:rPr>
          <w:rFonts w:hint="eastAsia" w:ascii="宋体" w:hAnsi="宋体" w:eastAsia="宋体" w:cs="宋体"/>
          <w:b/>
          <w:color w:val="000000"/>
          <w:sz w:val="24"/>
          <w:highlight w:val="none"/>
        </w:rPr>
        <w:t xml:space="preserve">生效，无转委托，</w:t>
      </w:r>
      <w:r>
        <w:rPr>
          <w:rFonts w:hint="eastAsia" w:ascii="宋体" w:hAnsi="宋体" w:eastAsia="宋体" w:cs="宋体"/>
          <w:color w:val="000000"/>
          <w:sz w:val="24"/>
          <w:highlight w:val="none"/>
        </w:rPr>
        <w:t xml:space="preserve">特此声明。</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962"/>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w:t>
            </w:r>
            <w:r>
              <w:rPr>
                <w:rFonts w:hint="eastAsia" w:ascii="宋体" w:hAnsi="宋体" w:eastAsia="宋体" w:cs="宋体"/>
                <w:color w:val="000000"/>
                <w:sz w:val="24"/>
                <w:highlight w:val="none"/>
                <w:lang w:val="en-US" w:eastAsia="zh-CN"/>
              </w:rPr>
              <w:t xml:space="preserve">有效的</w:t>
            </w:r>
            <w:r>
              <w:rPr>
                <w:rFonts w:hint="eastAsia" w:ascii="宋体" w:hAnsi="宋体" w:eastAsia="宋体" w:cs="宋体"/>
                <w:color w:val="000000"/>
                <w:sz w:val="24"/>
                <w:highlight w:val="none"/>
              </w:rPr>
              <w:t xml:space="preserve">身份证正、反面扫描件※）</w:t>
            </w:r>
            <w:r>
              <w:rPr>
                <w:rFonts w:hint="eastAsia" w:ascii="宋体" w:hAnsi="宋体" w:eastAsia="宋体" w:cs="宋体"/>
                <w:color w:val="000000"/>
                <w:sz w:val="24"/>
                <w:highlight w:val="none"/>
              </w:rPr>
            </w:r>
            <w:r/>
          </w:p>
        </w:tc>
      </w:tr>
    </w:tbl>
    <w:p>
      <w:pPr>
        <w:pStyle w:val="9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委托人（加盖单位公章）：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9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法定代表人（或非法人组织负责人）（签字或盖章）：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9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授权委托人：（签字或盖章）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详细通讯地址：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邮政编码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9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62"/>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96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3政府采购供应商信用承诺书</w:t>
      </w:r>
      <w:r>
        <w:rPr>
          <w:rFonts w:hint="eastAsia" w:ascii="宋体" w:hAnsi="宋体" w:eastAsia="宋体" w:cs="宋体"/>
          <w:b/>
          <w:bCs/>
          <w:color w:val="000000"/>
          <w:sz w:val="24"/>
          <w:szCs w:val="20"/>
          <w:highlight w:val="none"/>
        </w:rPr>
        <w:t xml:space="preserve">（实质性格式）</w:t>
      </w:r>
      <w:r>
        <w:rPr>
          <w:rFonts w:hint="eastAsia" w:ascii="宋体" w:hAnsi="宋体" w:eastAsia="宋体" w:cs="宋体"/>
          <w:color w:val="000000"/>
          <w:sz w:val="24"/>
          <w:highlight w:val="none"/>
        </w:rPr>
      </w:r>
      <w:r/>
    </w:p>
    <w:p>
      <w:pPr>
        <w:pStyle w:val="962"/>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政府采购供应商信用承诺书</w:t>
      </w:r>
      <w:r>
        <w:rPr>
          <w:rFonts w:hint="eastAsia" w:ascii="宋体" w:hAnsi="宋体" w:eastAsia="宋体" w:cs="宋体"/>
          <w:b/>
          <w:color w:val="000000"/>
          <w:sz w:val="32"/>
          <w:szCs w:val="32"/>
          <w:highlight w:val="none"/>
        </w:rPr>
      </w:r>
      <w:r/>
    </w:p>
    <w:p>
      <w:pPr>
        <w:pStyle w:val="962"/>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color w:val="000000"/>
          <w:szCs w:val="21"/>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Cs w:val="21"/>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Cs w:val="21"/>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Cs w:val="21"/>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五、承诺本单位自觉接受行政管理部门、行业组织、社会公众、新闻舆论的监督。 </w:t>
      </w:r>
      <w:r>
        <w:rPr>
          <w:rFonts w:hint="eastAsia" w:ascii="宋体" w:hAnsi="宋体" w:eastAsia="宋体" w:cs="宋体"/>
          <w:color w:val="000000"/>
          <w:szCs w:val="21"/>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Cs w:val="21"/>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七、承诺本单位在信用中国（江苏）网站中无违法违规、较重或严重失信记录。 </w:t>
      </w:r>
      <w:r>
        <w:rPr>
          <w:rFonts w:hint="eastAsia" w:ascii="宋体" w:hAnsi="宋体" w:eastAsia="宋体" w:cs="宋体"/>
          <w:color w:val="000000"/>
          <w:szCs w:val="21"/>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八、承诺本单位提出政府采购质疑和投诉坚持依法依规、诚实信用原则。</w:t>
      </w:r>
      <w:r>
        <w:rPr>
          <w:rFonts w:hint="eastAsia" w:ascii="宋体" w:hAnsi="宋体" w:eastAsia="宋体" w:cs="宋体"/>
          <w:color w:val="000000"/>
          <w:szCs w:val="21"/>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九、根据政府采购相关法律法规的规定需要作出的其他承诺。 </w:t>
      </w:r>
      <w:r>
        <w:rPr>
          <w:rFonts w:hint="eastAsia" w:ascii="宋体" w:hAnsi="宋体" w:eastAsia="宋体" w:cs="宋体"/>
          <w:color w:val="000000"/>
          <w:szCs w:val="21"/>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Cs w:val="21"/>
          <w:highlight w:val="none"/>
        </w:rPr>
      </w:r>
      <w:r/>
    </w:p>
    <w:p>
      <w:pPr>
        <w:pStyle w:val="9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Cs w:val="21"/>
          <w:highlight w:val="none"/>
        </w:rPr>
      </w:r>
      <w:r/>
    </w:p>
    <w:p>
      <w:pPr>
        <w:pStyle w:val="1440"/>
        <w:ind w:right="1050" w:firstLine="25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2"/>
        <w:ind w:firstLine="4830"/>
        <w:spacing w:line="360" w:lineRule="auto"/>
        <w:rPr>
          <w:rFonts w:hint="eastAsia" w:ascii="宋体" w:hAnsi="宋体" w:eastAsia="宋体" w:cs="宋体"/>
          <w:color w:val="000000"/>
          <w:szCs w:val="21"/>
          <w:highlight w:val="none"/>
        </w:rPr>
      </w:pPr>
      <w:r/>
      <w:bookmarkStart w:id="809" w:name="_Hlt520274407"/>
      <w:r/>
      <w:bookmarkEnd w:id="809"/>
      <w:r/>
      <w:bookmarkStart w:id="810" w:name="_Hlt520343000"/>
      <w:r/>
      <w:bookmarkEnd w:id="810"/>
      <w:r/>
      <w:bookmarkStart w:id="811" w:name="_Hlt520274393"/>
      <w:r/>
      <w:bookmarkEnd w:id="811"/>
      <w:r/>
      <w:bookmarkStart w:id="812" w:name="_Hlt520350918"/>
      <w:r/>
      <w:bookmarkEnd w:id="812"/>
      <w:r/>
      <w:bookmarkStart w:id="813" w:name="_Hlt520343392"/>
      <w:r/>
      <w:bookmarkEnd w:id="813"/>
      <w:r/>
      <w:bookmarkStart w:id="814" w:name="_Hlt520274121"/>
      <w:r/>
      <w:bookmarkEnd w:id="814"/>
      <w:r/>
      <w:bookmarkStart w:id="815" w:name="_Hlt520274065"/>
      <w:r/>
      <w:bookmarkEnd w:id="815"/>
      <w:r/>
      <w:bookmarkStart w:id="816" w:name="_Hlt520273711"/>
      <w:r/>
      <w:bookmarkEnd w:id="816"/>
      <w:r/>
      <w:bookmarkStart w:id="817" w:name="_Hlt520271212"/>
      <w:r/>
      <w:bookmarkEnd w:id="817"/>
      <w:r/>
      <w:bookmarkStart w:id="818" w:name="_Hlt520355504"/>
      <w:r/>
      <w:bookmarkEnd w:id="818"/>
      <w:r/>
      <w:bookmarkStart w:id="819" w:name="_Hlk107701995"/>
      <w:r/>
      <w:bookmarkStart w:id="820" w:name="_Toc127151557"/>
      <w:r/>
      <w:bookmarkStart w:id="821" w:name="_Toc480942350"/>
      <w:r/>
      <w:bookmarkStart w:id="822" w:name="_Toc264969247"/>
      <w:r/>
      <w:bookmarkStart w:id="823" w:name="_Toc226965747"/>
      <w:r/>
      <w:bookmarkStart w:id="824" w:name="_Toc305158825"/>
      <w:r/>
      <w:bookmarkStart w:id="825" w:name="_Ref467988705"/>
      <w:r/>
      <w:bookmarkStart w:id="826" w:name="_Toc520356218"/>
      <w:r/>
      <w:bookmarkStart w:id="827" w:name="_Toc195842922"/>
      <w:r/>
      <w:bookmarkStart w:id="828" w:name="_Toc150774762"/>
      <w:r/>
      <w:bookmarkStart w:id="829" w:name="_Toc226337253"/>
      <w:r/>
      <w:bookmarkStart w:id="830" w:name="_Toc265228395"/>
      <w:r/>
      <w:bookmarkStart w:id="831" w:name="_Toc150480795"/>
      <w:r/>
      <w:bookmarkStart w:id="832" w:name="_Toc305158899"/>
      <w:r/>
      <w:bookmarkStart w:id="833" w:name="_Toc226965830"/>
      <w:r/>
      <w:bookmarkStart w:id="834" w:name="_Toc226309801"/>
      <w:r/>
      <w:bookmarkStart w:id="835" w:name="_Toc142311059"/>
      <w:r>
        <w:rPr>
          <w:rFonts w:hint="eastAsia" w:ascii="宋体" w:hAnsi="宋体" w:eastAsia="宋体" w:cs="宋体"/>
          <w:color w:val="000000"/>
          <w:szCs w:val="21"/>
          <w:highlight w:val="none"/>
        </w:rPr>
        <w:t xml:space="preserve">供应商：（加盖公章）</w:t>
      </w:r>
      <w:r>
        <w:rPr>
          <w:rFonts w:hint="eastAsia" w:ascii="宋体" w:hAnsi="宋体" w:eastAsia="宋体" w:cs="宋体"/>
          <w:color w:val="000000"/>
          <w:szCs w:val="21"/>
          <w:highlight w:val="none"/>
        </w:rPr>
      </w:r>
      <w:r/>
    </w:p>
    <w:p>
      <w:pPr>
        <w:pStyle w:val="962"/>
        <w:ind w:firstLine="48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szCs w:val="20"/>
          <w:highlight w:val="none"/>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2"/>
        <w:ind w:firstLine="48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62"/>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bookmarkEnd w:id="819"/>
      <w:r>
        <w:rPr>
          <w:rFonts w:hint="eastAsia" w:ascii="宋体" w:hAnsi="宋体" w:eastAsia="宋体" w:cs="宋体"/>
          <w:b/>
          <w:bCs/>
          <w:color w:val="000000"/>
          <w:sz w:val="24"/>
          <w:szCs w:val="20"/>
          <w:highlight w:val="none"/>
        </w:rPr>
        <w:t xml:space="preserve">4  开标一览表</w:t>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ascii="宋体" w:hAnsi="宋体" w:eastAsia="宋体" w:cs="宋体"/>
          <w:b/>
          <w:bCs/>
          <w:color w:val="000000"/>
          <w:sz w:val="24"/>
          <w:szCs w:val="20"/>
          <w:highlight w:val="none"/>
        </w:rPr>
        <w:t xml:space="preserve">（实质性格式）</w:t>
      </w:r>
      <w:r>
        <w:rPr>
          <w:rFonts w:hint="eastAsia" w:ascii="宋体" w:hAnsi="宋体" w:eastAsia="宋体" w:cs="宋体"/>
          <w:color w:val="000000"/>
          <w:sz w:val="24"/>
          <w:szCs w:val="20"/>
          <w:highlight w:val="none"/>
        </w:rPr>
      </w:r>
      <w:r/>
    </w:p>
    <w:p>
      <w:pPr>
        <w:pStyle w:val="962"/>
        <w:jc w:val="center"/>
        <w:spacing w:line="360" w:lineRule="exact"/>
        <w:rPr>
          <w:rFonts w:hint="eastAsia" w:ascii="宋体" w:hAnsi="宋体" w:eastAsia="宋体" w:cs="宋体"/>
          <w:b/>
          <w:color w:val="000000"/>
          <w:sz w:val="36"/>
          <w:szCs w:val="36"/>
          <w:highlight w:val="none"/>
        </w:rPr>
      </w:pPr>
      <w:r/>
      <w:bookmarkStart w:id="836" w:name="_Toc264969248"/>
      <w:r/>
      <w:bookmarkStart w:id="837" w:name="_Toc226337254"/>
      <w:r/>
      <w:bookmarkStart w:id="838" w:name="_Toc226309802"/>
      <w:r/>
      <w:bookmarkStart w:id="839" w:name="_Toc305158900"/>
      <w:r/>
      <w:bookmarkStart w:id="840" w:name="_Toc265228396"/>
      <w:r/>
      <w:bookmarkStart w:id="841" w:name="_Toc226965748"/>
      <w:r/>
      <w:bookmarkStart w:id="842" w:name="_Toc305158826"/>
      <w:r/>
      <w:bookmarkStart w:id="843" w:name="_Toc164608672"/>
      <w:r/>
      <w:bookmarkStart w:id="844" w:name="_Toc164608827"/>
      <w:r/>
      <w:bookmarkStart w:id="845" w:name="_Toc226965831"/>
      <w:r/>
      <w:bookmarkStart w:id="846" w:name="_Toc195842923"/>
      <w:r>
        <w:rPr>
          <w:rFonts w:hint="eastAsia" w:ascii="宋体" w:hAnsi="宋体" w:eastAsia="宋体" w:cs="宋体"/>
          <w:b/>
          <w:color w:val="000000"/>
          <w:sz w:val="36"/>
          <w:szCs w:val="36"/>
          <w:highlight w:val="none"/>
        </w:rPr>
      </w:r>
      <w:r/>
    </w:p>
    <w:p>
      <w:pPr>
        <w:pStyle w:val="962"/>
        <w:jc w:val="center"/>
        <w:spacing w:line="36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开标一览表</w:t>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ascii="宋体" w:hAnsi="宋体" w:eastAsia="宋体" w:cs="宋体"/>
          <w:b/>
          <w:color w:val="000000"/>
          <w:sz w:val="36"/>
          <w:szCs w:val="36"/>
          <w:highlight w:val="none"/>
        </w:rPr>
      </w:r>
      <w:r/>
    </w:p>
    <w:p>
      <w:pPr>
        <w:pStyle w:val="962"/>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jc w:val="left"/>
        <w:spacing w:line="360" w:lineRule="auto"/>
        <w:tabs>
          <w:tab w:val="left" w:pos="1800" w:leader="none"/>
          <w:tab w:val="left" w:pos="5580" w:leader="none"/>
        </w:tabs>
        <w:rPr>
          <w:rFonts w:hint="eastAsia" w:ascii="宋体" w:hAnsi="宋体" w:eastAsia="宋体" w:cs="宋体"/>
          <w:b/>
          <w:bCs/>
          <w:color w:val="000000"/>
          <w:sz w:val="24"/>
          <w:highlight w:val="none"/>
          <w:u w:val="single"/>
          <w:lang w:eastAsia="zh-CN"/>
        </w:rPr>
      </w:pPr>
      <w:r>
        <w:rPr>
          <w:rFonts w:hint="eastAsia" w:ascii="宋体" w:hAnsi="宋体" w:eastAsia="宋体" w:cs="宋体"/>
          <w:b/>
          <w:bCs/>
          <w:color w:val="000000"/>
          <w:sz w:val="24"/>
          <w:highlight w:val="none"/>
        </w:rPr>
        <w:t xml:space="preserve">项目编号：</w:t>
      </w:r>
      <w:r>
        <w:rPr>
          <w:rFonts w:hint="eastAsia" w:ascii="宋体" w:hAnsi="宋体" w:eastAsia="宋体" w:cs="宋体"/>
          <w:b/>
          <w:bCs/>
          <w:color w:val="000000"/>
          <w:sz w:val="24"/>
          <w:highlight w:val="none"/>
          <w:u w:val="single"/>
          <w:lang w:eastAsia="zh-CN"/>
        </w:rPr>
        <w:t xml:space="preserve">JSZC-320400-JLJL-G2026-0001</w:t>
      </w:r>
      <w:r>
        <w:rPr>
          <w:rFonts w:hint="eastAsia" w:ascii="宋体" w:hAnsi="宋体" w:eastAsia="宋体" w:cs="宋体"/>
          <w:b/>
          <w:bCs/>
          <w:color w:val="000000"/>
          <w:sz w:val="24"/>
          <w:highlight w:val="none"/>
          <w:u w:val="single"/>
          <w:lang w:eastAsia="zh-CN"/>
        </w:rPr>
      </w:r>
      <w:r/>
    </w:p>
    <w:p>
      <w:pPr>
        <w:pStyle w:val="962"/>
        <w:jc w:val="left"/>
        <w:spacing w:line="360" w:lineRule="auto"/>
        <w:tabs>
          <w:tab w:val="left" w:pos="1800" w:leader="none"/>
          <w:tab w:val="left" w:pos="5580" w:leader="none"/>
        </w:tabs>
        <w:rPr>
          <w:rFonts w:hint="eastAsia" w:ascii="宋体" w:hAnsi="宋体" w:eastAsia="宋体" w:cs="宋体"/>
          <w:b/>
          <w:bCs/>
          <w:color w:val="000000"/>
          <w:sz w:val="24"/>
          <w:highlight w:val="none"/>
          <w:u w:val="single"/>
          <w:lang w:eastAsia="zh-CN"/>
        </w:rPr>
      </w:pPr>
      <w:r>
        <w:rPr>
          <w:rFonts w:hint="eastAsia" w:ascii="宋体" w:hAnsi="宋体" w:eastAsia="宋体" w:cs="宋体"/>
          <w:b/>
          <w:bCs/>
          <w:color w:val="000000"/>
          <w:sz w:val="24"/>
          <w:highlight w:val="none"/>
        </w:rPr>
        <w:t xml:space="preserve">项目名称：</w:t>
      </w:r>
      <w:r>
        <w:rPr>
          <w:rFonts w:hint="eastAsia" w:ascii="宋体" w:hAnsi="宋体" w:eastAsia="宋体" w:cs="宋体"/>
          <w:b/>
          <w:bCs/>
          <w:color w:val="000000"/>
          <w:sz w:val="24"/>
          <w:highlight w:val="none"/>
          <w:u w:val="single"/>
          <w:lang w:eastAsia="zh-CN"/>
        </w:rPr>
        <w:t xml:space="preserve">排水泵站设备检查保养及维修</w:t>
      </w:r>
      <w:r>
        <w:rPr>
          <w:rFonts w:hint="eastAsia" w:ascii="宋体" w:hAnsi="宋体" w:eastAsia="宋体" w:cs="宋体"/>
          <w:b/>
          <w:bCs/>
          <w:color w:val="000000"/>
          <w:sz w:val="24"/>
          <w:highlight w:val="none"/>
          <w:u w:val="single"/>
          <w:lang w:eastAsia="zh-CN"/>
        </w:rPr>
      </w:r>
      <w:r/>
    </w:p>
    <w:tbl>
      <w:tblPr>
        <w:tblW w:w="500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3"/>
        <w:gridCol w:w="3039"/>
        <w:gridCol w:w="2903"/>
        <w:gridCol w:w="2930"/>
      </w:tblGrid>
      <w:tr>
        <w:trPr>
          <w:trHeight w:val="680"/>
        </w:trPr>
        <w:tc>
          <w:tcPr>
            <w:tcW w:w="457" w:type="dxa"/>
            <w:vAlign w:val="center"/>
            <w:vMerge w:val="restart"/>
            <w:textDirection w:val="lrTb"/>
            <w:noWrap w:val="false"/>
          </w:tcPr>
          <w:p>
            <w:pPr>
              <w:pStyle w:val="962"/>
              <w:jc w:val="center"/>
              <w:rPr>
                <w:rFonts w:hint="eastAsia"/>
              </w:rPr>
            </w:pPr>
            <w:r>
              <w:rPr>
                <w:rFonts w:hint="eastAsia"/>
              </w:rPr>
              <w:t xml:space="preserve">序号</w:t>
            </w:r>
            <w:r>
              <w:rPr>
                <w:rFonts w:hint="eastAsia"/>
              </w:rPr>
            </w:r>
            <w:r/>
          </w:p>
        </w:tc>
        <w:tc>
          <w:tcPr>
            <w:tcW w:w="1556" w:type="dxa"/>
            <w:vAlign w:val="center"/>
            <w:vMerge w:val="restart"/>
            <w:textDirection w:val="lrTb"/>
            <w:noWrap w:val="false"/>
          </w:tcPr>
          <w:p>
            <w:pPr>
              <w:pStyle w:val="962"/>
              <w:jc w:val="center"/>
              <w:rPr>
                <w:rFonts w:hint="eastAsia"/>
              </w:rPr>
            </w:pPr>
            <w:r>
              <w:rPr>
                <w:rFonts w:hint="eastAsia"/>
                <w:lang w:val="en-US" w:eastAsia="zh-CN"/>
              </w:rPr>
              <w:t xml:space="preserve">服务</w:t>
            </w:r>
            <w:r>
              <w:rPr>
                <w:rFonts w:hint="eastAsia"/>
              </w:rPr>
              <w:t xml:space="preserve">名称</w:t>
            </w:r>
            <w:r>
              <w:rPr>
                <w:rFonts w:hint="eastAsia"/>
              </w:rPr>
            </w:r>
            <w:r/>
          </w:p>
        </w:tc>
        <w:tc>
          <w:tcPr>
            <w:gridSpan w:val="2"/>
            <w:tcW w:w="5833" w:type="dxa"/>
            <w:vAlign w:val="center"/>
            <w:textDirection w:val="lrTb"/>
            <w:noWrap w:val="false"/>
          </w:tcPr>
          <w:p>
            <w:pPr>
              <w:pStyle w:val="962"/>
              <w:jc w:val="center"/>
              <w:rPr>
                <w:rFonts w:hint="eastAsia"/>
                <w:lang w:val="en-US" w:eastAsia="zh-CN"/>
              </w:rPr>
            </w:pPr>
            <w:r>
              <w:rPr>
                <w:rFonts w:hint="eastAsia"/>
                <w:lang w:val="en-US" w:eastAsia="zh-CN"/>
              </w:rPr>
              <w:t xml:space="preserve">投标报价（优惠率）</w:t>
            </w:r>
            <w:r>
              <w:rPr>
                <w:rFonts w:hint="eastAsia"/>
                <w:lang w:val="en-US" w:eastAsia="zh-CN"/>
              </w:rPr>
            </w:r>
            <w:r/>
          </w:p>
        </w:tc>
      </w:tr>
      <w:tr>
        <w:trPr>
          <w:trHeight w:val="680"/>
        </w:trPr>
        <w:tc>
          <w:tcPr>
            <w:tcW w:w="457" w:type="dxa"/>
            <w:vAlign w:val="center"/>
            <w:vMerge w:val="continue"/>
            <w:textDirection w:val="lrTb"/>
            <w:noWrap w:val="false"/>
          </w:tcPr>
          <w:p>
            <w:pPr>
              <w:pStyle w:val="962"/>
              <w:jc w:val="center"/>
              <w:rPr>
                <w:rFonts w:hint="eastAsia"/>
              </w:rPr>
            </w:pPr>
            <w:r>
              <w:rPr>
                <w:rFonts w:hint="eastAsia"/>
              </w:rPr>
            </w:r>
            <w:r/>
          </w:p>
        </w:tc>
        <w:tc>
          <w:tcPr>
            <w:tcW w:w="1556" w:type="dxa"/>
            <w:vAlign w:val="center"/>
            <w:vMerge w:val="continue"/>
            <w:textDirection w:val="lrTb"/>
            <w:noWrap w:val="false"/>
          </w:tcPr>
          <w:p>
            <w:pPr>
              <w:pStyle w:val="962"/>
              <w:jc w:val="center"/>
              <w:rPr>
                <w:rFonts w:hint="eastAsia"/>
              </w:rPr>
            </w:pPr>
            <w:r>
              <w:rPr>
                <w:rFonts w:hint="eastAsia"/>
              </w:rPr>
            </w:r>
            <w:r/>
          </w:p>
        </w:tc>
        <w:tc>
          <w:tcPr>
            <w:tcW w:w="1486" w:type="dxa"/>
            <w:vAlign w:val="center"/>
            <w:textDirection w:val="lrTb"/>
            <w:noWrap w:val="false"/>
          </w:tcPr>
          <w:p>
            <w:pPr>
              <w:pStyle w:val="962"/>
              <w:jc w:val="center"/>
              <w:rPr>
                <w:rFonts w:hint="eastAsia"/>
              </w:rPr>
            </w:pPr>
            <w:r>
              <w:rPr>
                <w:rFonts w:hint="eastAsia"/>
              </w:rPr>
              <w:t xml:space="preserve">大写</w:t>
            </w:r>
            <w:r>
              <w:rPr>
                <w:rFonts w:hint="eastAsia"/>
              </w:rPr>
            </w:r>
            <w:r/>
          </w:p>
        </w:tc>
        <w:tc>
          <w:tcPr>
            <w:tcW w:w="1499" w:type="dxa"/>
            <w:vAlign w:val="center"/>
            <w:textDirection w:val="lrTb"/>
            <w:noWrap w:val="false"/>
          </w:tcPr>
          <w:p>
            <w:pPr>
              <w:pStyle w:val="962"/>
              <w:jc w:val="center"/>
              <w:rPr>
                <w:rFonts w:hint="eastAsia"/>
              </w:rPr>
            </w:pPr>
            <w:r>
              <w:rPr>
                <w:rFonts w:hint="eastAsia"/>
              </w:rPr>
              <w:t xml:space="preserve">小写</w:t>
            </w:r>
            <w:r>
              <w:rPr>
                <w:rFonts w:hint="eastAsia"/>
              </w:rPr>
            </w:r>
            <w:r/>
          </w:p>
        </w:tc>
      </w:tr>
      <w:tr>
        <w:trPr>
          <w:trHeight w:val="1291"/>
        </w:trPr>
        <w:tc>
          <w:tcPr>
            <w:tcW w:w="457" w:type="dxa"/>
            <w:vAlign w:val="center"/>
            <w:textDirection w:val="lrTb"/>
            <w:noWrap w:val="false"/>
          </w:tcPr>
          <w:p>
            <w:pPr>
              <w:pStyle w:val="962"/>
              <w:jc w:val="center"/>
              <w:rPr>
                <w:rFonts w:hint="eastAsia"/>
                <w:lang w:val="en-US" w:eastAsia="zh-CN"/>
              </w:rPr>
            </w:pPr>
            <w:r>
              <w:rPr>
                <w:rFonts w:hint="eastAsia"/>
                <w:lang w:val="en-US" w:eastAsia="zh-CN"/>
              </w:rPr>
              <w:t xml:space="preserve">1</w:t>
            </w:r>
            <w:r>
              <w:rPr>
                <w:rFonts w:hint="eastAsia"/>
                <w:lang w:val="en-US" w:eastAsia="zh-CN"/>
              </w:rPr>
            </w:r>
            <w:r/>
          </w:p>
        </w:tc>
        <w:tc>
          <w:tcPr>
            <w:tcW w:w="1556" w:type="dxa"/>
            <w:vAlign w:val="center"/>
            <w:textDirection w:val="lrTb"/>
            <w:noWrap w:val="false"/>
          </w:tcPr>
          <w:p>
            <w:pPr>
              <w:pStyle w:val="962"/>
              <w:jc w:val="center"/>
              <w:rPr>
                <w:rFonts w:hint="eastAsia"/>
              </w:rPr>
            </w:pPr>
            <w:r>
              <w:rPr>
                <w:rFonts w:hint="eastAsia"/>
                <w:lang w:eastAsia="zh-CN"/>
              </w:rPr>
              <w:t xml:space="preserve">排水泵站设备检查保养及维修</w:t>
            </w:r>
            <w:r>
              <w:rPr>
                <w:rFonts w:hint="eastAsia"/>
              </w:rPr>
            </w:r>
            <w:r/>
          </w:p>
        </w:tc>
        <w:tc>
          <w:tcPr>
            <w:tcW w:w="1486" w:type="dxa"/>
            <w:vAlign w:val="center"/>
            <w:textDirection w:val="lrTb"/>
            <w:noWrap w:val="false"/>
          </w:tcPr>
          <w:p>
            <w:pPr>
              <w:pStyle w:val="962"/>
              <w:jc w:val="center"/>
              <w:rPr>
                <w:lang w:val="en-US" w:eastAsia="zh-CN"/>
              </w:rPr>
            </w:pPr>
            <w:r>
              <w:rPr>
                <w:rFonts w:hint="eastAsia"/>
                <w:lang w:val="en-US" w:eastAsia="zh-CN"/>
              </w:rPr>
              <w:t xml:space="preserve">百分之</w:t>
            </w:r>
            <w:r>
              <w:rPr>
                <w:rFonts w:hint="eastAsia"/>
                <w:u w:val="single"/>
                <w:lang w:val="en-US" w:eastAsia="zh-CN"/>
              </w:rPr>
              <w:t xml:space="preserve">         </w:t>
            </w:r>
            <w:r>
              <w:rPr>
                <w:lang w:val="en-US" w:eastAsia="zh-CN"/>
              </w:rPr>
            </w:r>
            <w:r/>
          </w:p>
        </w:tc>
        <w:tc>
          <w:tcPr>
            <w:tcW w:w="1499" w:type="dxa"/>
            <w:vAlign w:val="center"/>
            <w:textDirection w:val="lrTb"/>
            <w:noWrap w:val="false"/>
          </w:tcPr>
          <w:p>
            <w:pPr>
              <w:pStyle w:val="962"/>
              <w:jc w:val="center"/>
              <w:rPr>
                <w:rFonts w:hint="eastAsia"/>
                <w:lang w:val="en-US" w:eastAsia="zh-CN"/>
              </w:rPr>
            </w:pPr>
            <w:r>
              <w:rPr>
                <w:rFonts w:hint="eastAsia"/>
                <w:u w:val="single"/>
                <w:lang w:val="en-US" w:eastAsia="zh-CN"/>
              </w:rPr>
              <w:t xml:space="preserve">         </w:t>
            </w:r>
            <w:r>
              <w:rPr>
                <w:rFonts w:hint="eastAsia"/>
                <w:lang w:val="en-US" w:eastAsia="zh-CN"/>
              </w:rPr>
              <w:t xml:space="preserve"> %</w:t>
            </w:r>
            <w:r>
              <w:rPr>
                <w:rFonts w:hint="eastAsia"/>
                <w:lang w:val="en-US" w:eastAsia="zh-CN"/>
              </w:rPr>
            </w:r>
            <w:r/>
          </w:p>
        </w:tc>
      </w:tr>
      <w:tr>
        <w:trPr>
          <w:trHeight w:val="1118"/>
        </w:trPr>
        <w:tc>
          <w:tcPr>
            <w:gridSpan w:val="2"/>
            <w:tcW w:w="3932" w:type="dxa"/>
            <w:vAlign w:val="center"/>
            <w:textDirection w:val="lrTb"/>
            <w:noWrap w:val="false"/>
          </w:tcPr>
          <w:p>
            <w:pPr>
              <w:pStyle w:val="962"/>
              <w:jc w:val="center"/>
              <w:rPr>
                <w:rFonts w:hint="eastAsia"/>
                <w:lang w:eastAsia="zh-CN"/>
              </w:rPr>
            </w:pPr>
            <w:r>
              <w:rPr>
                <w:rFonts w:hint="eastAsia"/>
                <w:lang w:val="en-US" w:eastAsia="zh-CN"/>
              </w:rPr>
              <w:t xml:space="preserve">项目负责人</w:t>
            </w:r>
            <w:r>
              <w:rPr>
                <w:rFonts w:hint="eastAsia"/>
                <w:lang w:eastAsia="zh-CN"/>
              </w:rPr>
            </w:r>
            <w:r/>
          </w:p>
        </w:tc>
        <w:tc>
          <w:tcPr>
            <w:gridSpan w:val="2"/>
            <w:tcW w:w="5833" w:type="dxa"/>
            <w:vAlign w:val="center"/>
            <w:textDirection w:val="lrTb"/>
            <w:noWrap w:val="false"/>
          </w:tcPr>
          <w:p>
            <w:pPr>
              <w:pStyle w:val="962"/>
              <w:jc w:val="left"/>
              <w:rPr>
                <w:rFonts w:hint="eastAsia"/>
                <w:lang w:val="en-US" w:eastAsia="zh-CN"/>
              </w:rPr>
            </w:pPr>
            <w:r>
              <w:rPr>
                <w:rFonts w:hint="eastAsia"/>
                <w:lang w:val="en-US" w:eastAsia="zh-CN"/>
              </w:rPr>
              <w:t xml:space="preserve">姓名：</w:t>
            </w:r>
            <w:r>
              <w:rPr>
                <w:rFonts w:hint="eastAsia"/>
                <w:lang w:val="en-US" w:eastAsia="zh-CN"/>
              </w:rPr>
            </w:r>
            <w:r/>
          </w:p>
          <w:p>
            <w:pPr>
              <w:pStyle w:val="962"/>
              <w:jc w:val="left"/>
              <w:rPr>
                <w:rFonts w:hint="eastAsia"/>
                <w:lang w:val="en-US" w:eastAsia="zh-CN"/>
              </w:rPr>
            </w:pPr>
            <w:r>
              <w:rPr>
                <w:rFonts w:hint="eastAsia"/>
                <w:lang w:val="en-US" w:eastAsia="zh-CN"/>
              </w:rPr>
            </w:r>
            <w:r/>
          </w:p>
          <w:p>
            <w:pPr>
              <w:pStyle w:val="962"/>
              <w:jc w:val="left"/>
              <w:rPr>
                <w:rFonts w:hint="eastAsia"/>
              </w:rPr>
            </w:pPr>
            <w:r>
              <w:rPr>
                <w:rFonts w:hint="eastAsia"/>
                <w:lang w:val="en-US" w:eastAsia="zh-CN"/>
              </w:rPr>
              <w:t xml:space="preserve">联系方式：</w:t>
            </w:r>
            <w:r>
              <w:rPr>
                <w:rFonts w:hint="eastAsia"/>
              </w:rPr>
            </w:r>
            <w:r/>
          </w:p>
        </w:tc>
      </w:tr>
      <w:tr>
        <w:trPr>
          <w:trHeight w:val="1508"/>
        </w:trPr>
        <w:tc>
          <w:tcPr>
            <w:gridSpan w:val="2"/>
            <w:tcW w:w="3932" w:type="dxa"/>
            <w:vAlign w:val="center"/>
            <w:textDirection w:val="lrTb"/>
            <w:noWrap w:val="false"/>
          </w:tcPr>
          <w:p>
            <w:pPr>
              <w:pStyle w:val="962"/>
              <w:jc w:val="center"/>
              <w:rPr>
                <w:rFonts w:hint="eastAsia"/>
              </w:rPr>
            </w:pPr>
            <w:r>
              <w:rPr>
                <w:rFonts w:hint="eastAsia"/>
                <w:lang w:val="en-US" w:eastAsia="zh-CN"/>
              </w:rPr>
              <w:t xml:space="preserve">备注</w:t>
            </w:r>
            <w:r>
              <w:rPr>
                <w:rFonts w:hint="eastAsia"/>
              </w:rPr>
            </w:r>
            <w:r/>
          </w:p>
        </w:tc>
        <w:tc>
          <w:tcPr>
            <w:gridSpan w:val="2"/>
            <w:tcW w:w="5833" w:type="dxa"/>
            <w:vAlign w:val="center"/>
            <w:textDirection w:val="lrTb"/>
            <w:noWrap w:val="false"/>
          </w:tcPr>
          <w:p>
            <w:pPr>
              <w:pStyle w:val="962"/>
              <w:numPr>
                <w:ilvl w:val="0"/>
                <w:numId w:val="0"/>
              </w:numPr>
              <w:jc w:val="left"/>
              <w:rPr>
                <w:rFonts w:hint="eastAsia"/>
                <w:lang w:val="zh-CN" w:eastAsia="zh-CN"/>
              </w:rPr>
            </w:pPr>
            <w:r>
              <w:rPr>
                <w:rFonts w:hint="eastAsia" w:ascii="Times New Roman" w:hAnsi="Times New Roman" w:eastAsia="宋体" w:cs="Times New Roman"/>
                <w:sz w:val="21"/>
                <w:szCs w:val="24"/>
                <w:lang w:val="zh-CN" w:eastAsia="zh-CN" w:bidi="ar-SA"/>
              </w:rPr>
              <w:t xml:space="preserve">1.</w:t>
            </w:r>
            <w:r>
              <w:rPr>
                <w:rFonts w:hint="eastAsia"/>
                <w:lang w:val="zh-CN" w:eastAsia="zh-CN"/>
              </w:rPr>
              <w:t xml:space="preserve">本项目采用优惠率报价方式，</w:t>
            </w:r>
            <w:r>
              <w:rPr>
                <w:rFonts w:hint="eastAsia" w:ascii="宋体" w:hAnsi="宋体" w:eastAsia="宋体" w:cs="宋体"/>
                <w:b w:val="0"/>
                <w:bCs w:val="0"/>
                <w:color w:val="000000"/>
                <w:szCs w:val="21"/>
                <w:highlight w:val="none"/>
                <w:lang w:val="en-US" w:eastAsia="zh-CN"/>
              </w:rPr>
              <w:t xml:space="preserve">优惠率应＞0%</w:t>
            </w:r>
            <w:r/>
            <w:r>
              <w:rPr>
                <w:rFonts w:hint="eastAsia"/>
                <w:lang w:val="zh-CN" w:eastAsia="zh-CN"/>
              </w:rPr>
              <w:t xml:space="preserve">，否则按无效投标处理。</w:t>
            </w:r>
            <w:r>
              <w:rPr>
                <w:rFonts w:hint="eastAsia"/>
                <w:lang w:val="zh-CN" w:eastAsia="zh-CN"/>
              </w:rPr>
            </w:r>
            <w:r/>
          </w:p>
          <w:p>
            <w:pPr>
              <w:pStyle w:val="962"/>
              <w:numPr>
                <w:ilvl w:val="0"/>
                <w:numId w:val="0"/>
              </w:numPr>
              <w:jc w:val="left"/>
              <w:rPr>
                <w:rFonts w:hint="eastAsia"/>
                <w:lang w:val="en-US" w:eastAsia="zh-CN"/>
              </w:rPr>
            </w:pPr>
            <w:r>
              <w:rPr>
                <w:rFonts w:hint="eastAsia" w:ascii="Times New Roman" w:hAnsi="Times New Roman" w:eastAsia="宋体" w:cs="Times New Roman"/>
                <w:sz w:val="21"/>
                <w:szCs w:val="24"/>
                <w:lang w:val="en-US" w:eastAsia="zh-CN" w:bidi="ar-SA"/>
              </w:rPr>
              <w:t xml:space="preserve">2.</w:t>
            </w:r>
            <w:r>
              <w:rPr>
                <w:rFonts w:hint="eastAsia"/>
                <w:lang w:val="en-US" w:eastAsia="zh-CN"/>
              </w:rPr>
              <w:t xml:space="preserve">优惠率报价可为整数或保留两位小数。</w:t>
            </w:r>
            <w:r>
              <w:rPr>
                <w:rFonts w:hint="eastAsia"/>
                <w:lang w:val="en-US" w:eastAsia="zh-CN"/>
              </w:rPr>
            </w:r>
            <w:r/>
          </w:p>
        </w:tc>
      </w:tr>
    </w:tbl>
    <w:p>
      <w:pPr>
        <w:pStyle w:val="962"/>
        <w:jc w:val="left"/>
        <w:spacing w:line="360" w:lineRule="auto"/>
        <w:tabs>
          <w:tab w:val="left" w:pos="1800" w:leader="none"/>
          <w:tab w:val="left" w:pos="5580" w:leader="none"/>
        </w:tabs>
        <w:rPr>
          <w:rFonts w:hint="eastAsia" w:ascii="宋体" w:hAnsi="宋体" w:eastAsia="宋体" w:cs="宋体"/>
          <w:b/>
          <w:bCs/>
          <w:color w:val="000000"/>
          <w:sz w:val="24"/>
          <w:highlight w:val="none"/>
          <w:u w:val="single"/>
        </w:rPr>
      </w:pPr>
      <w:r>
        <w:rPr>
          <w:rFonts w:hint="eastAsia" w:ascii="宋体" w:hAnsi="宋体" w:eastAsia="宋体" w:cs="宋体"/>
          <w:b/>
          <w:bCs/>
          <w:color w:val="000000"/>
          <w:sz w:val="24"/>
          <w:highlight w:val="none"/>
          <w:u w:val="single"/>
        </w:rPr>
      </w:r>
      <w:r/>
    </w:p>
    <w:p>
      <w:pPr>
        <w:pStyle w:val="962"/>
        <w:spacing w:before="25" w:after="25" w:line="360" w:lineRule="auto"/>
        <w:rPr>
          <w:rFonts w:hint="eastAsia" w:ascii="宋体" w:hAnsi="宋体" w:eastAsia="宋体" w:cs="宋体"/>
          <w:b/>
          <w:bCs/>
          <w:color w:val="000000"/>
          <w:sz w:val="24"/>
          <w:highlight w:val="none"/>
          <w:lang w:val="zh-CN" w:eastAsia="zh-CN"/>
        </w:rPr>
      </w:pPr>
      <w:r>
        <w:rPr>
          <w:rFonts w:hint="eastAsia" w:ascii="宋体" w:hAnsi="宋体" w:eastAsia="宋体" w:cs="宋体"/>
          <w:b/>
          <w:bCs/>
          <w:color w:val="000000"/>
          <w:sz w:val="24"/>
          <w:highlight w:val="none"/>
          <w:lang w:val="zh-CN" w:eastAsia="zh-CN"/>
        </w:rPr>
        <w:t xml:space="preserve">注：供应商在“苏采云”系统中填报固定优惠率，</w:t>
      </w:r>
      <w:r>
        <w:rPr>
          <w:rFonts w:hint="eastAsia" w:ascii="宋体" w:hAnsi="宋体" w:eastAsia="宋体" w:cs="宋体"/>
          <w:b/>
          <w:bCs/>
          <w:color w:val="000000"/>
          <w:sz w:val="24"/>
          <w:highlight w:val="none"/>
          <w:lang w:val="zh-CN" w:eastAsia="zh-CN"/>
        </w:rPr>
      </w:r>
      <w:r/>
    </w:p>
    <w:p>
      <w:pPr>
        <w:pStyle w:val="962"/>
        <w:spacing w:before="25" w:after="25" w:line="360" w:lineRule="auto"/>
        <w:rPr>
          <w:rFonts w:hint="eastAsia" w:ascii="宋体" w:hAnsi="宋体" w:eastAsia="宋体" w:cs="宋体"/>
          <w:b/>
          <w:bCs/>
          <w:color w:val="000000"/>
          <w:sz w:val="24"/>
          <w:highlight w:val="none"/>
          <w:lang w:val="zh-CN" w:eastAsia="zh-CN"/>
        </w:rPr>
      </w:pPr>
      <w:r>
        <w:rPr>
          <w:rFonts w:hint="eastAsia" w:ascii="宋体" w:hAnsi="宋体" w:eastAsia="宋体" w:cs="宋体"/>
          <w:b/>
          <w:bCs/>
          <w:color w:val="000000"/>
          <w:sz w:val="24"/>
          <w:highlight w:val="none"/>
          <w:lang w:val="zh-CN" w:eastAsia="zh-CN"/>
        </w:rPr>
        <w:t xml:space="preserve">则本项目结算（中标）费率为（1-优惠率）</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zh-CN" w:eastAsia="zh-CN"/>
        </w:rPr>
      </w:r>
      <w:r/>
    </w:p>
    <w:p>
      <w:pPr>
        <w:pStyle w:val="962"/>
        <w:spacing w:before="25" w:after="25" w:line="360" w:lineRule="auto"/>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eastAsia="zh-CN"/>
        </w:rPr>
        <w:t xml:space="preserve">每项货物的结算单价=</w:t>
      </w:r>
      <w:r>
        <w:rPr>
          <w:rFonts w:hint="eastAsia" w:ascii="宋体" w:hAnsi="宋体" w:eastAsia="宋体" w:cs="宋体"/>
          <w:b/>
          <w:bCs/>
          <w:color w:val="000000"/>
          <w:sz w:val="24"/>
          <w:highlight w:val="none"/>
          <w:lang w:val="zh-CN"/>
        </w:rPr>
        <w:t xml:space="preserve">本项目</w:t>
      </w:r>
      <w:r>
        <w:rPr>
          <w:rFonts w:hint="eastAsia" w:ascii="宋体" w:hAnsi="宋体" w:eastAsia="宋体" w:cs="宋体"/>
          <w:b/>
          <w:bCs/>
          <w:color w:val="000000"/>
          <w:sz w:val="24"/>
          <w:highlight w:val="none"/>
          <w:lang w:val="zh-CN" w:eastAsia="zh-CN"/>
        </w:rPr>
        <w:t xml:space="preserve">计价清单内各单项基准单价*结算（中标）费率。</w:t>
      </w:r>
      <w:r>
        <w:rPr>
          <w:rFonts w:hint="eastAsia" w:ascii="宋体" w:hAnsi="宋体" w:eastAsia="宋体" w:cs="宋体"/>
          <w:b/>
          <w:bCs/>
          <w:color w:val="000000"/>
          <w:sz w:val="24"/>
          <w:highlight w:val="none"/>
          <w:lang w:val="zh-CN"/>
        </w:rPr>
      </w:r>
      <w:r/>
    </w:p>
    <w:p>
      <w:pPr>
        <w:pStyle w:val="962"/>
        <w:spacing w:before="25" w:after="25"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zh-CN"/>
        </w:rPr>
        <w:t xml:space="preserve">例如：投标人所报优惠率为10%，则</w:t>
      </w:r>
      <w:r>
        <w:rPr>
          <w:rFonts w:hint="eastAsia" w:ascii="宋体" w:hAnsi="宋体" w:eastAsia="宋体" w:cs="宋体"/>
          <w:b/>
          <w:bCs/>
          <w:color w:val="000000"/>
          <w:sz w:val="24"/>
          <w:highlight w:val="none"/>
          <w:lang w:val="zh-CN" w:eastAsia="zh-CN"/>
        </w:rPr>
        <w:t xml:space="preserve">本项目结算（中标）费率为（1-10%）=90%</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962"/>
        <w:spacing w:before="25" w:after="25" w:line="360" w:lineRule="auto"/>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eastAsia="zh-CN"/>
        </w:rPr>
        <w:t xml:space="preserve">每项货物的结算单价</w:t>
      </w:r>
      <w:r>
        <w:rPr>
          <w:rFonts w:hint="eastAsia" w:ascii="宋体" w:hAnsi="宋体" w:eastAsia="宋体" w:cs="宋体"/>
          <w:b/>
          <w:bCs/>
          <w:color w:val="000000"/>
          <w:sz w:val="24"/>
          <w:highlight w:val="none"/>
          <w:lang w:val="zh-CN"/>
        </w:rPr>
        <w:t xml:space="preserve">=本项目</w:t>
      </w:r>
      <w:r>
        <w:rPr>
          <w:rFonts w:hint="eastAsia" w:ascii="宋体" w:hAnsi="宋体" w:eastAsia="宋体" w:cs="宋体"/>
          <w:b/>
          <w:bCs/>
          <w:color w:val="000000"/>
          <w:sz w:val="24"/>
          <w:highlight w:val="none"/>
          <w:lang w:val="zh-CN" w:eastAsia="zh-CN"/>
        </w:rPr>
        <w:t xml:space="preserve">计价清单内各单项基准单价</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zh-CN" w:eastAsia="zh-CN"/>
        </w:rPr>
        <w:t xml:space="preserve">90%</w:t>
      </w:r>
      <w:r>
        <w:rPr>
          <w:rFonts w:hint="eastAsia" w:ascii="宋体" w:hAnsi="宋体" w:eastAsia="宋体" w:cs="宋体"/>
          <w:b/>
          <w:bCs/>
          <w:color w:val="000000"/>
          <w:sz w:val="24"/>
          <w:highlight w:val="none"/>
          <w:lang w:val="zh-CN"/>
        </w:rPr>
        <w:t xml:space="preserve">      </w:t>
      </w:r>
      <w:r>
        <w:rPr>
          <w:rFonts w:hint="eastAsia" w:ascii="宋体" w:hAnsi="宋体" w:eastAsia="宋体" w:cs="宋体"/>
          <w:b/>
          <w:bCs/>
          <w:color w:val="000000"/>
          <w:sz w:val="24"/>
          <w:highlight w:val="none"/>
          <w:lang w:val="zh-CN"/>
        </w:rPr>
      </w:r>
      <w:r/>
    </w:p>
    <w:p>
      <w:pPr>
        <w:pStyle w:val="962"/>
        <w:jc w:val="left"/>
        <w:spacing w:line="480" w:lineRule="auto"/>
        <w:widowControl/>
        <w:rPr>
          <w:rFonts w:hint="eastAsia" w:ascii="宋体" w:hAnsi="宋体" w:eastAsia="宋体" w:cs="宋体"/>
          <w:color w:val="000000"/>
          <w:sz w:val="24"/>
          <w:highlight w:val="none"/>
        </w:rPr>
      </w:pPr>
      <w:r/>
      <w:bookmarkStart w:id="847" w:name="_Toc265228397"/>
      <w:r/>
      <w:bookmarkStart w:id="848" w:name="_Toc305158827"/>
      <w:r/>
      <w:bookmarkStart w:id="849" w:name="_Toc226965832"/>
      <w:r/>
      <w:bookmarkStart w:id="850" w:name="_Toc226337255"/>
      <w:r/>
      <w:bookmarkStart w:id="851" w:name="_Toc127151558"/>
      <w:r/>
      <w:bookmarkStart w:id="852" w:name="_Toc142311060"/>
      <w:r/>
      <w:bookmarkStart w:id="853" w:name="_Toc264969249"/>
      <w:r/>
      <w:bookmarkStart w:id="854" w:name="_Toc226309803"/>
      <w:r/>
      <w:bookmarkStart w:id="855" w:name="_Toc305158901"/>
      <w:r/>
      <w:bookmarkStart w:id="856" w:name="_Toc150480796"/>
      <w:r/>
      <w:bookmarkStart w:id="857" w:name="_Toc195842924"/>
      <w:r/>
      <w:bookmarkStart w:id="858" w:name="_Toc150774763"/>
      <w:r/>
      <w:bookmarkStart w:id="859" w:name="_Toc226965749"/>
      <w:r>
        <w:rPr>
          <w:rFonts w:hint="eastAsia" w:ascii="宋体" w:hAnsi="宋体" w:eastAsia="宋体" w:cs="宋体"/>
          <w:color w:val="000000"/>
          <w:sz w:val="24"/>
          <w:highlight w:val="none"/>
        </w:rPr>
        <w:t xml:space="preserve">供应商：（加盖公章）</w:t>
      </w:r>
      <w:r>
        <w:rPr>
          <w:rFonts w:hint="eastAsia" w:ascii="宋体" w:hAnsi="宋体" w:eastAsia="宋体" w:cs="宋体"/>
          <w:color w:val="000000"/>
          <w:sz w:val="24"/>
          <w:highlight w:val="none"/>
        </w:rPr>
      </w:r>
      <w:r/>
    </w:p>
    <w:p>
      <w:pPr>
        <w:pStyle w:val="962"/>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szCs w:val="20"/>
          <w:highlight w:val="none"/>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2"/>
        <w:jc w:val="left"/>
        <w:spacing w:line="48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215"/>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5"/>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24"/>
          <w:szCs w:val="20"/>
          <w:highlight w:val="none"/>
        </w:rPr>
        <w:t xml:space="preserve">5</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Start w:id="860" w:name="_Toc305158830"/>
      <w:r/>
      <w:bookmarkStart w:id="861" w:name="_Toc226337258"/>
      <w:r/>
      <w:bookmarkStart w:id="862" w:name="_Toc264969252"/>
      <w:r/>
      <w:bookmarkStart w:id="863" w:name="_Toc265228400"/>
      <w:r/>
      <w:bookmarkStart w:id="864" w:name="_Toc195842927"/>
      <w:r/>
      <w:bookmarkStart w:id="865" w:name="_Toc150774765"/>
      <w:r/>
      <w:bookmarkStart w:id="866" w:name="_Toc226965752"/>
      <w:r/>
      <w:bookmarkStart w:id="867" w:name="_Toc127151562"/>
      <w:r/>
      <w:bookmarkStart w:id="868" w:name="_Toc305158904"/>
      <w:r/>
      <w:bookmarkStart w:id="869" w:name="_Toc142311062"/>
      <w:r/>
      <w:bookmarkStart w:id="870" w:name="_Toc226309806"/>
      <w:r/>
      <w:bookmarkStart w:id="871" w:name="_Toc150480798"/>
      <w:r/>
      <w:bookmarkStart w:id="872" w:name="_Toc226965835"/>
      <w:r/>
      <w:bookmarkStart w:id="873" w:name="_Toc195842926"/>
      <w:r/>
      <w:bookmarkStart w:id="874" w:name="_Toc226965751"/>
      <w:r/>
      <w:bookmarkStart w:id="875" w:name="_Toc226337257"/>
      <w:r/>
      <w:bookmarkStart w:id="876" w:name="_Toc150480797"/>
      <w:r/>
      <w:bookmarkStart w:id="877" w:name="_Toc127151561"/>
      <w:r/>
      <w:bookmarkStart w:id="878" w:name="_Toc265228399"/>
      <w:r/>
      <w:bookmarkStart w:id="879" w:name="_Toc305158903"/>
      <w:r/>
      <w:bookmarkStart w:id="880" w:name="_Toc142311061"/>
      <w:r/>
      <w:bookmarkStart w:id="881" w:name="_Toc226309805"/>
      <w:r/>
      <w:bookmarkStart w:id="882" w:name="_Toc226965834"/>
      <w:r/>
      <w:bookmarkStart w:id="883" w:name="_Toc264969251"/>
      <w:r/>
      <w:bookmarkStart w:id="884" w:name="_Toc150774764"/>
      <w:r/>
      <w:bookmarkStart w:id="885" w:name="_Toc305158829"/>
      <w:r>
        <w:rPr>
          <w:rFonts w:hint="eastAsia" w:ascii="宋体" w:hAnsi="宋体" w:eastAsia="宋体" w:cs="宋体"/>
          <w:b/>
          <w:bCs/>
          <w:color w:val="000000"/>
          <w:sz w:val="24"/>
          <w:szCs w:val="20"/>
          <w:highlight w:val="none"/>
        </w:rPr>
        <w:t xml:space="preserve">合同条款偏离表</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rFonts w:hint="eastAsia" w:ascii="宋体" w:hAnsi="宋体" w:eastAsia="宋体" w:cs="宋体"/>
          <w:b/>
          <w:bCs/>
          <w:color w:val="000000"/>
          <w:sz w:val="24"/>
          <w:szCs w:val="20"/>
          <w:highlight w:val="none"/>
        </w:rPr>
        <w:t xml:space="preserve">（实质性格式）</w:t>
      </w:r>
      <w:r>
        <w:rPr>
          <w:rFonts w:hint="eastAsia" w:ascii="宋体" w:hAnsi="宋体" w:eastAsia="宋体" w:cs="宋体"/>
          <w:color w:val="000000"/>
          <w:sz w:val="24"/>
          <w:szCs w:val="20"/>
          <w:highlight w:val="none"/>
        </w:rPr>
      </w:r>
      <w:r/>
    </w:p>
    <w:p>
      <w:pPr>
        <w:pStyle w:val="962"/>
        <w:jc w:val="center"/>
        <w:spacing w:line="360" w:lineRule="auto"/>
        <w:tabs>
          <w:tab w:val="left" w:pos="2775" w:leader="none"/>
          <w:tab w:val="center" w:pos="4153"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合同条款偏离表</w:t>
      </w:r>
      <w:r>
        <w:rPr>
          <w:rFonts w:hint="eastAsia" w:ascii="宋体" w:hAnsi="宋体" w:eastAsia="宋体" w:cs="宋体"/>
          <w:b/>
          <w:color w:val="000000"/>
          <w:sz w:val="36"/>
          <w:szCs w:val="36"/>
          <w:highlight w:val="none"/>
        </w:rPr>
      </w:r>
      <w:r/>
    </w:p>
    <w:p>
      <w:pPr>
        <w:pStyle w:val="962"/>
        <w:jc w:val="left"/>
        <w:spacing w:line="360" w:lineRule="auto"/>
        <w:tabs>
          <w:tab w:val="left" w:pos="1800" w:leader="none"/>
          <w:tab w:val="left" w:pos="5580" w:leader="none"/>
        </w:tabs>
        <w:rPr>
          <w:rFonts w:hint="eastAsia" w:ascii="宋体" w:hAnsi="宋体" w:eastAsia="宋体" w:cs="宋体"/>
          <w:b/>
          <w:bCs/>
          <w:color w:val="000000"/>
          <w:sz w:val="24"/>
          <w:highlight w:val="none"/>
          <w:u w:val="single"/>
          <w:lang w:eastAsia="zh-CN"/>
        </w:rPr>
      </w:pPr>
      <w:r>
        <w:rPr>
          <w:rFonts w:hint="eastAsia" w:ascii="宋体" w:hAnsi="宋体" w:eastAsia="宋体" w:cs="宋体"/>
          <w:b/>
          <w:bCs/>
          <w:color w:val="000000"/>
          <w:sz w:val="24"/>
          <w:highlight w:val="none"/>
        </w:rPr>
        <w:t xml:space="preserve">项目编号：</w:t>
      </w:r>
      <w:r>
        <w:rPr>
          <w:rFonts w:hint="eastAsia" w:ascii="宋体" w:hAnsi="宋体" w:eastAsia="宋体" w:cs="宋体"/>
          <w:b/>
          <w:bCs/>
          <w:color w:val="000000"/>
          <w:sz w:val="24"/>
          <w:highlight w:val="none"/>
          <w:u w:val="single"/>
          <w:lang w:eastAsia="zh-CN"/>
        </w:rPr>
        <w:t xml:space="preserve">JSZC-320400-JLJL-G2026-0001</w:t>
      </w:r>
      <w:r>
        <w:rPr>
          <w:rFonts w:hint="eastAsia" w:ascii="宋体" w:hAnsi="宋体" w:eastAsia="宋体" w:cs="宋体"/>
          <w:b/>
          <w:bCs/>
          <w:color w:val="000000"/>
          <w:sz w:val="24"/>
          <w:highlight w:val="none"/>
          <w:u w:val="single"/>
          <w:lang w:eastAsia="zh-CN"/>
        </w:rPr>
      </w:r>
      <w:r/>
    </w:p>
    <w:p>
      <w:pPr>
        <w:pStyle w:val="962"/>
        <w:jc w:val="left"/>
        <w:spacing w:line="360" w:lineRule="auto"/>
        <w:tabs>
          <w:tab w:val="left" w:pos="1800" w:leader="none"/>
          <w:tab w:val="left" w:pos="5580" w:leader="none"/>
        </w:tabs>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项目名称：</w:t>
      </w:r>
      <w:r>
        <w:rPr>
          <w:rFonts w:hint="eastAsia" w:ascii="宋体" w:hAnsi="宋体" w:eastAsia="宋体" w:cs="宋体"/>
          <w:b/>
          <w:bCs/>
          <w:color w:val="000000"/>
          <w:sz w:val="24"/>
          <w:highlight w:val="none"/>
          <w:u w:val="single"/>
          <w:lang w:eastAsia="zh-CN"/>
        </w:rPr>
        <w:t xml:space="preserve">排水泵站设备检查保养及维修</w:t>
      </w:r>
      <w:r>
        <w:rPr>
          <w:rFonts w:hint="eastAsia" w:ascii="宋体" w:hAnsi="宋体" w:eastAsia="宋体" w:cs="宋体"/>
          <w:color w:val="000000"/>
          <w:sz w:val="24"/>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1379"/>
        <w:gridCol w:w="2126"/>
        <w:gridCol w:w="2128"/>
        <w:gridCol w:w="2604"/>
        <w:gridCol w:w="843"/>
      </w:tblGrid>
      <w:tr>
        <w:trPr>
          <w:trHeight w:val="930"/>
        </w:trPr>
        <w:tc>
          <w:tcPr>
            <w:gridSpan w:val="6"/>
            <w:tcW w:w="9963" w:type="dxa"/>
            <w:vAlign w:val="center"/>
            <w:textDirection w:val="lrTb"/>
            <w:noWrap w:val="false"/>
          </w:tcPr>
          <w:p>
            <w:pPr>
              <w:pStyle w:val="962"/>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对本项目合同条款的偏离情况（请进行勾选）：</w:t>
            </w:r>
            <w:r>
              <w:rPr>
                <w:rFonts w:hint="eastAsia" w:ascii="宋体" w:hAnsi="宋体" w:eastAsia="宋体" w:cs="宋体"/>
                <w:b/>
                <w:color w:val="000000"/>
                <w:sz w:val="24"/>
                <w:highlight w:val="none"/>
              </w:rPr>
            </w:r>
            <w:r/>
          </w:p>
          <w:p>
            <w:pPr>
              <w:pStyle w:val="962"/>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r>
            <w:r/>
          </w:p>
          <w:p>
            <w:pPr>
              <w:pStyle w:val="962"/>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rPr>
                <w:rFonts w:hint="eastAsia" w:ascii="宋体" w:hAnsi="宋体" w:eastAsia="宋体" w:cs="宋体"/>
                <w:color w:val="000000"/>
                <w:sz w:val="24"/>
                <w:highlight w:val="none"/>
              </w:rPr>
            </w:r>
            <w:r/>
          </w:p>
        </w:tc>
      </w:tr>
      <w:tr>
        <w:trPr>
          <w:trHeight w:val="930"/>
        </w:trPr>
        <w:tc>
          <w:tcPr>
            <w:tcW w:w="443"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69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条目号（页码）</w:t>
            </w:r>
            <w:r>
              <w:rPr>
                <w:rFonts w:hint="eastAsia" w:ascii="宋体" w:hAnsi="宋体" w:eastAsia="宋体" w:cs="宋体"/>
                <w:color w:val="000000"/>
                <w:sz w:val="24"/>
                <w:highlight w:val="none"/>
              </w:rPr>
            </w:r>
            <w:r/>
          </w:p>
        </w:tc>
        <w:tc>
          <w:tcPr>
            <w:tcW w:w="1067"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rPr>
            </w:r>
            <w:r/>
          </w:p>
        </w:tc>
        <w:tc>
          <w:tcPr>
            <w:tcW w:w="1068"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w:t>
            </w:r>
            <w:r>
              <w:rPr>
                <w:rFonts w:hint="eastAsia" w:ascii="宋体" w:hAnsi="宋体" w:eastAsia="宋体" w:cs="宋体"/>
                <w:color w:val="000000"/>
                <w:sz w:val="24"/>
                <w:highlight w:val="none"/>
              </w:rPr>
            </w:r>
            <w:r/>
          </w:p>
        </w:tc>
        <w:tc>
          <w:tcPr>
            <w:tcW w:w="1307"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420"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930"/>
        </w:trPr>
        <w:tc>
          <w:tcPr>
            <w:tcW w:w="443"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9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7"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8"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7"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0"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443"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9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7"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8"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7"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0"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443"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9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7"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8"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7"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0"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443"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69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7"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68"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7"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0"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62"/>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962"/>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对合同条款中的所有要求，除本表所列明的所有偏离外，均视作供应商已对之理解和响应。</w:t>
      </w:r>
      <w:r>
        <w:rPr>
          <w:rFonts w:hint="eastAsia" w:ascii="宋体" w:hAnsi="宋体" w:eastAsia="宋体" w:cs="宋体"/>
          <w:color w:val="000000"/>
          <w:sz w:val="24"/>
          <w:highlight w:val="none"/>
        </w:rPr>
      </w:r>
      <w:r/>
    </w:p>
    <w:p>
      <w:pPr>
        <w:pStyle w:val="962"/>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“偏离情况”列应据实填写“正偏离”或“负偏离”。</w:t>
      </w:r>
      <w:r>
        <w:rPr>
          <w:rFonts w:hint="eastAsia" w:ascii="宋体" w:hAnsi="宋体" w:eastAsia="宋体" w:cs="宋体"/>
          <w:color w:val="000000"/>
          <w:sz w:val="24"/>
          <w:highlight w:val="none"/>
        </w:rPr>
      </w:r>
      <w:r/>
    </w:p>
    <w:p>
      <w:pPr>
        <w:pStyle w:val="962"/>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62"/>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962"/>
        <w:jc w:val="left"/>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供应商：（加盖公章）</w:t>
      </w:r>
      <w:r>
        <w:rPr>
          <w:rFonts w:hint="eastAsia" w:ascii="宋体" w:hAnsi="宋体" w:eastAsia="宋体" w:cs="宋体"/>
          <w:color w:val="000000"/>
          <w:sz w:val="24"/>
          <w:highlight w:val="none"/>
        </w:rPr>
      </w:r>
      <w:r/>
    </w:p>
    <w:p>
      <w:pPr>
        <w:pStyle w:val="962"/>
        <w:jc w:val="left"/>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szCs w:val="20"/>
          <w:highlight w:val="none"/>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2"/>
        <w:jc w:val="left"/>
        <w:spacing w:before="240" w:after="240"/>
        <w:rPr>
          <w:rFonts w:hint="eastAsia" w:ascii="宋体" w:hAnsi="宋体" w:eastAsia="宋体" w:cs="宋体"/>
          <w:b/>
          <w:i/>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b/>
          <w:i/>
          <w:color w:val="000000"/>
          <w:sz w:val="24"/>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b/>
          <w:bCs/>
          <w:color w:val="000000"/>
          <w:sz w:val="24"/>
          <w:szCs w:val="20"/>
          <w:highlight w:val="none"/>
        </w:rPr>
        <w:t xml:space="preserve">6</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hint="eastAsia" w:ascii="宋体" w:hAnsi="宋体" w:eastAsia="宋体" w:cs="宋体"/>
          <w:b/>
          <w:bCs/>
          <w:color w:val="000000"/>
          <w:sz w:val="24"/>
          <w:szCs w:val="20"/>
          <w:highlight w:val="none"/>
        </w:rPr>
        <w:t xml:space="preserve">采购需求偏离表（实质性格式）</w:t>
      </w:r>
      <w:r>
        <w:rPr>
          <w:rFonts w:hint="eastAsia" w:ascii="宋体" w:hAnsi="宋体" w:eastAsia="宋体" w:cs="宋体"/>
          <w:color w:val="000000"/>
          <w:sz w:val="24"/>
          <w:szCs w:val="20"/>
          <w:highlight w:val="none"/>
        </w:rPr>
      </w:r>
      <w:r/>
    </w:p>
    <w:p>
      <w:pPr>
        <w:pStyle w:val="962"/>
        <w:ind w:firstLine="361"/>
        <w:jc w:val="center"/>
        <w:spacing w:line="360" w:lineRule="auto"/>
        <w:tabs>
          <w:tab w:val="left" w:pos="1800" w:leader="none"/>
          <w:tab w:val="left" w:pos="5580"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采购需求偏离表</w:t>
      </w:r>
      <w:r>
        <w:rPr>
          <w:rFonts w:hint="eastAsia" w:ascii="宋体" w:hAnsi="宋体" w:eastAsia="宋体" w:cs="宋体"/>
          <w:b/>
          <w:color w:val="000000"/>
          <w:sz w:val="36"/>
          <w:szCs w:val="36"/>
          <w:highlight w:val="none"/>
        </w:rPr>
      </w:r>
      <w:r/>
    </w:p>
    <w:p>
      <w:pPr>
        <w:pStyle w:val="962"/>
        <w:jc w:val="left"/>
        <w:spacing w:line="360" w:lineRule="auto"/>
        <w:tabs>
          <w:tab w:val="left" w:pos="1800" w:leader="none"/>
          <w:tab w:val="left" w:pos="5580" w:leader="none"/>
        </w:tabs>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项目编号：</w:t>
      </w:r>
      <w:r>
        <w:rPr>
          <w:rFonts w:hint="eastAsia" w:ascii="宋体" w:hAnsi="宋体" w:eastAsia="宋体" w:cs="宋体"/>
          <w:b/>
          <w:bCs/>
          <w:color w:val="000000"/>
          <w:sz w:val="24"/>
          <w:highlight w:val="none"/>
          <w:u w:val="single"/>
          <w:lang w:eastAsia="zh-CN"/>
        </w:rPr>
        <w:t xml:space="preserve">JSZC-320400-JLJL-G2026-0001</w:t>
      </w:r>
      <w:r>
        <w:rPr>
          <w:rFonts w:hint="eastAsia" w:ascii="宋体" w:hAnsi="宋体" w:eastAsia="宋体" w:cs="宋体"/>
          <w:color w:val="000000"/>
          <w:sz w:val="24"/>
          <w:highlight w:val="none"/>
          <w:lang w:eastAsia="zh-CN"/>
        </w:rPr>
      </w:r>
      <w:r/>
    </w:p>
    <w:p>
      <w:pPr>
        <w:pStyle w:val="962"/>
        <w:jc w:val="left"/>
        <w:spacing w:line="360" w:lineRule="auto"/>
        <w:tabs>
          <w:tab w:val="left" w:pos="1800" w:leader="none"/>
          <w:tab w:val="left" w:pos="5580" w:leader="none"/>
        </w:tabs>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项目名称：</w:t>
      </w:r>
      <w:r>
        <w:rPr>
          <w:rFonts w:hint="eastAsia" w:ascii="宋体" w:hAnsi="宋体" w:eastAsia="宋体" w:cs="宋体"/>
          <w:b/>
          <w:bCs/>
          <w:color w:val="000000"/>
          <w:sz w:val="24"/>
          <w:highlight w:val="none"/>
          <w:u w:val="single"/>
          <w:lang w:eastAsia="zh-CN"/>
        </w:rPr>
        <w:t xml:space="preserve">排水泵站设备检查保养及维修</w:t>
      </w:r>
      <w:r>
        <w:rPr>
          <w:rFonts w:hint="eastAsia" w:ascii="宋体" w:hAnsi="宋体" w:eastAsia="宋体" w:cs="宋体"/>
          <w:color w:val="000000"/>
          <w:sz w:val="24"/>
          <w:highlight w:val="non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48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招标文件条目号(页码)</w:t>
            </w:r>
            <w:r>
              <w:rPr>
                <w:rFonts w:hint="eastAsia" w:ascii="宋体" w:hAnsi="宋体" w:eastAsia="宋体" w:cs="宋体"/>
                <w:color w:val="000000"/>
                <w:sz w:val="24"/>
                <w:highlight w:val="none"/>
              </w:rPr>
            </w:r>
            <w:r/>
          </w:p>
        </w:tc>
        <w:tc>
          <w:tcPr>
            <w:tcW w:w="2384"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126"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投标响应内容</w:t>
            </w:r>
            <w:r>
              <w:rPr>
                <w:rFonts w:hint="eastAsia" w:ascii="宋体" w:hAnsi="宋体" w:eastAsia="宋体" w:cs="宋体"/>
                <w:color w:val="000000"/>
                <w:sz w:val="24"/>
                <w:highlight w:val="none"/>
              </w:rPr>
            </w:r>
            <w:r/>
          </w:p>
        </w:tc>
        <w:tc>
          <w:tcPr>
            <w:tcW w:w="18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1009"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482"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62"/>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62"/>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962"/>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r>
      <w:r/>
    </w:p>
    <w:p>
      <w:pPr>
        <w:pStyle w:val="962"/>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rPr>
          <w:rFonts w:hint="eastAsia" w:ascii="宋体" w:hAnsi="宋体" w:eastAsia="宋体" w:cs="宋体"/>
          <w:color w:val="000000"/>
          <w:sz w:val="24"/>
          <w:highlight w:val="none"/>
        </w:rPr>
      </w:r>
      <w:r/>
    </w:p>
    <w:p>
      <w:pPr>
        <w:pStyle w:val="962"/>
        <w:jc w:val="left"/>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供应商：（加盖公章）</w:t>
      </w:r>
      <w:r>
        <w:rPr>
          <w:rFonts w:hint="eastAsia" w:ascii="宋体" w:hAnsi="宋体" w:eastAsia="宋体" w:cs="宋体"/>
          <w:color w:val="000000"/>
          <w:sz w:val="24"/>
          <w:highlight w:val="none"/>
        </w:rPr>
      </w:r>
      <w:r/>
    </w:p>
    <w:p>
      <w:pPr>
        <w:pStyle w:val="962"/>
        <w:jc w:val="left"/>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szCs w:val="20"/>
          <w:highlight w:val="none"/>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2"/>
        <w:jc w:val="left"/>
        <w:spacing w:before="240" w:after="240"/>
        <w:rPr>
          <w:rFonts w:hint="eastAsia" w:ascii="宋体" w:hAnsi="宋体" w:eastAsia="宋体" w:cs="宋体"/>
          <w:b/>
          <w:i/>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b/>
          <w:i/>
          <w:color w:val="000000"/>
          <w:sz w:val="24"/>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7 项目实施方案等，包括但不限于如下方面以及本招标文件要求的方案文件：</w:t>
      </w: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水泵维修方案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6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格栅维修方案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62"/>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安全作业能力</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6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应急响应方案；</w:t>
      </w:r>
      <w:r>
        <w:rPr>
          <w:rFonts w:hint="eastAsia" w:ascii="宋体" w:hAnsi="宋体" w:eastAsia="宋体" w:cs="宋体"/>
          <w:color w:val="000000"/>
          <w:highlight w:val="none"/>
        </w:rPr>
      </w:r>
      <w:r/>
    </w:p>
    <w:p>
      <w:pPr>
        <w:pStyle w:val="96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其他。</w:t>
      </w:r>
      <w:r>
        <w:rPr>
          <w:rFonts w:hint="eastAsia" w:ascii="宋体" w:hAnsi="宋体" w:eastAsia="宋体" w:cs="宋体"/>
          <w:color w:val="00000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b/>
          <w:bCs/>
          <w:color w:val="000000"/>
          <w:sz w:val="24"/>
          <w:szCs w:val="20"/>
          <w:highlight w:val="none"/>
        </w:rPr>
        <w:t xml:space="preserve">8拟派团队人员一览表</w:t>
      </w:r>
      <w:r>
        <w:rPr>
          <w:rFonts w:hint="eastAsia" w:ascii="宋体" w:hAnsi="宋体" w:eastAsia="宋体" w:cs="宋体"/>
          <w:color w:val="000000"/>
          <w:sz w:val="24"/>
          <w:szCs w:val="20"/>
          <w:highlight w:val="none"/>
        </w:rPr>
      </w:r>
      <w:r/>
    </w:p>
    <w:p>
      <w:pPr>
        <w:pStyle w:val="96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62"/>
        <w:jc w:val="center"/>
        <w:spacing w:line="48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拟派团队人员一览表</w:t>
      </w:r>
      <w:r>
        <w:rPr>
          <w:rFonts w:hint="eastAsia" w:ascii="宋体" w:hAnsi="宋体" w:eastAsia="宋体" w:cs="宋体"/>
          <w:b/>
          <w:color w:val="000000"/>
          <w:sz w:val="32"/>
          <w:szCs w:val="32"/>
          <w:highlight w:val="none"/>
        </w:rPr>
      </w:r>
      <w:r/>
    </w:p>
    <w:p>
      <w:pPr>
        <w:pStyle w:val="962"/>
        <w:jc w:val="left"/>
        <w:spacing w:line="360" w:lineRule="auto"/>
        <w:tabs>
          <w:tab w:val="left" w:pos="1800" w:leader="none"/>
          <w:tab w:val="left" w:pos="5580" w:leader="none"/>
        </w:tabs>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项目编号：</w:t>
      </w:r>
      <w:r>
        <w:rPr>
          <w:rFonts w:hint="eastAsia" w:ascii="宋体" w:hAnsi="宋体" w:eastAsia="宋体" w:cs="宋体"/>
          <w:b/>
          <w:bCs/>
          <w:color w:val="000000"/>
          <w:sz w:val="24"/>
          <w:highlight w:val="none"/>
          <w:u w:val="single"/>
          <w:lang w:eastAsia="zh-CN"/>
        </w:rPr>
        <w:t xml:space="preserve">JSZC-320400-JLJL-G2026-0001</w:t>
      </w:r>
      <w:r>
        <w:rPr>
          <w:rFonts w:hint="eastAsia" w:ascii="宋体" w:hAnsi="宋体" w:eastAsia="宋体" w:cs="宋体"/>
          <w:color w:val="000000"/>
          <w:sz w:val="24"/>
          <w:highlight w:val="none"/>
          <w:lang w:eastAsia="zh-CN"/>
        </w:rPr>
      </w:r>
      <w:r/>
    </w:p>
    <w:p>
      <w:pPr>
        <w:pStyle w:val="962"/>
        <w:jc w:val="left"/>
        <w:spacing w:line="360" w:lineRule="auto"/>
        <w:tabs>
          <w:tab w:val="left" w:pos="1800" w:leader="none"/>
          <w:tab w:val="left" w:pos="5580" w:leader="none"/>
        </w:tabs>
        <w:rPr>
          <w:rFonts w:hint="eastAsia" w:ascii="宋体" w:hAnsi="宋体" w:eastAsia="宋体" w:cs="宋体"/>
          <w:b/>
          <w:color w:val="000000"/>
          <w:sz w:val="24"/>
          <w:highlight w:val="none"/>
          <w:lang w:val="zh-CN"/>
        </w:rPr>
      </w:pPr>
      <w:r>
        <w:rPr>
          <w:rFonts w:hint="eastAsia" w:ascii="宋体" w:hAnsi="宋体" w:eastAsia="宋体" w:cs="宋体"/>
          <w:b/>
          <w:bCs/>
          <w:color w:val="000000"/>
          <w:sz w:val="24"/>
          <w:highlight w:val="none"/>
        </w:rPr>
        <w:t xml:space="preserve">项目名称：</w:t>
      </w:r>
      <w:r>
        <w:rPr>
          <w:rFonts w:hint="eastAsia" w:ascii="宋体" w:hAnsi="宋体" w:eastAsia="宋体" w:cs="宋体"/>
          <w:b/>
          <w:bCs/>
          <w:color w:val="000000"/>
          <w:sz w:val="24"/>
          <w:highlight w:val="none"/>
          <w:u w:val="single"/>
          <w:lang w:eastAsia="zh-CN"/>
        </w:rPr>
        <w:t xml:space="preserve">排水泵站设备检查保养及维修</w:t>
      </w:r>
      <w:r>
        <w:rPr>
          <w:rFonts w:hint="eastAsia" w:ascii="宋体" w:hAnsi="宋体" w:eastAsia="宋体" w:cs="宋体"/>
          <w:b/>
          <w:color w:val="000000"/>
          <w:sz w:val="24"/>
          <w:highlight w:val="none"/>
          <w:lang w:val="zh-CN"/>
        </w:rPr>
      </w:r>
      <w:r/>
    </w:p>
    <w:tbl>
      <w:tblPr>
        <w:tblW w:w="87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1113"/>
        <w:gridCol w:w="915"/>
        <w:gridCol w:w="1955"/>
      </w:tblGrid>
      <w:tr>
        <w:trPr/>
        <w:tc>
          <w:tcPr>
            <w:tcW w:w="945" w:type="dxa"/>
            <w:vAlign w:val="center"/>
            <w:textDirection w:val="lrTb"/>
            <w:noWrap w:val="false"/>
          </w:tcPr>
          <w:p>
            <w:pPr>
              <w:pStyle w:val="962"/>
              <w:jc w:val="center"/>
              <w:spacing w:line="240" w:lineRule="auto"/>
              <w:rPr>
                <w:rFonts w:hint="eastAsia" w:ascii="宋体" w:hAnsi="宋体" w:eastAsia="宋体" w:cs="宋体"/>
                <w:color w:val="000000"/>
                <w:sz w:val="21"/>
                <w:szCs w:val="21"/>
                <w:highlight w:val="none"/>
              </w:rPr>
            </w:pPr>
            <w:r/>
            <w:bookmarkStart w:id="886" w:name="_Hlk171312946"/>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962"/>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962"/>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962"/>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962"/>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1113" w:type="dxa"/>
            <w:vAlign w:val="center"/>
            <w:textDirection w:val="lrTb"/>
            <w:noWrap w:val="false"/>
          </w:tcPr>
          <w:p>
            <w:pPr>
              <w:pStyle w:val="962"/>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专业培训</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证书</w:t>
            </w:r>
            <w:r>
              <w:rPr>
                <w:rFonts w:hint="eastAsia" w:ascii="宋体" w:hAnsi="宋体" w:eastAsia="宋体" w:cs="宋体"/>
                <w:color w:val="000000"/>
                <w:sz w:val="21"/>
                <w:szCs w:val="21"/>
                <w:highlight w:val="none"/>
              </w:rPr>
            </w:r>
            <w:r/>
          </w:p>
        </w:tc>
        <w:tc>
          <w:tcPr>
            <w:tcW w:w="915" w:type="dxa"/>
            <w:vAlign w:val="center"/>
            <w:textDirection w:val="lrTb"/>
            <w:noWrap w:val="false"/>
          </w:tcPr>
          <w:p>
            <w:pPr>
              <w:pStyle w:val="962"/>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责任</w:t>
            </w:r>
            <w:r>
              <w:rPr>
                <w:rFonts w:hint="eastAsia" w:ascii="宋体" w:hAnsi="宋体" w:eastAsia="宋体" w:cs="宋体"/>
                <w:color w:val="000000"/>
                <w:sz w:val="21"/>
                <w:szCs w:val="21"/>
                <w:highlight w:val="none"/>
              </w:rPr>
            </w:r>
            <w:r/>
          </w:p>
          <w:p>
            <w:pPr>
              <w:pStyle w:val="962"/>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或分工</w:t>
            </w:r>
            <w:r>
              <w:rPr>
                <w:rFonts w:hint="eastAsia" w:ascii="宋体" w:hAnsi="宋体" w:eastAsia="宋体" w:cs="宋体"/>
                <w:color w:val="000000"/>
                <w:sz w:val="21"/>
                <w:szCs w:val="21"/>
                <w:highlight w:val="none"/>
              </w:rPr>
            </w:r>
            <w:r/>
          </w:p>
        </w:tc>
        <w:tc>
          <w:tcPr>
            <w:tcW w:w="1955" w:type="dxa"/>
            <w:vAlign w:val="center"/>
            <w:textDirection w:val="lrTb"/>
            <w:noWrap w:val="false"/>
          </w:tcPr>
          <w:p>
            <w:pPr>
              <w:pStyle w:val="962"/>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项目经历或主要工作业绩</w:t>
            </w:r>
            <w:r>
              <w:rPr>
                <w:rFonts w:hint="eastAsia" w:ascii="宋体" w:hAnsi="宋体" w:eastAsia="宋体" w:cs="宋体"/>
                <w:color w:val="000000"/>
                <w:sz w:val="21"/>
                <w:szCs w:val="21"/>
                <w:highlight w:val="none"/>
              </w:rPr>
            </w:r>
            <w:r/>
          </w:p>
        </w:tc>
      </w:tr>
      <w:tr>
        <w:trPr>
          <w:trHeight w:val="441"/>
        </w:trPr>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113"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1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95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411"/>
        </w:trPr>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113"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1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95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457"/>
        </w:trPr>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3"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87"/>
        </w:trPr>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3"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7"/>
        </w:trPr>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13"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5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113"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1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955" w:type="dxa"/>
            <w:vAlign w:val="top"/>
            <w:textDirection w:val="lrTb"/>
            <w:noWrap w:val="false"/>
          </w:tcPr>
          <w:p>
            <w:pPr>
              <w:pStyle w:val="962"/>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962"/>
        <w:tabs>
          <w:tab w:val="left" w:pos="9765" w:leader="none"/>
        </w:tabs>
        <w:rPr>
          <w:rFonts w:hint="eastAsia" w:ascii="宋体" w:hAnsi="宋体" w:eastAsia="宋体" w:cs="宋体"/>
          <w:b/>
          <w:color w:val="000000"/>
          <w:sz w:val="24"/>
          <w:highlight w:val="none"/>
          <w:lang w:val="zh-CN"/>
        </w:rPr>
      </w:pPr>
      <w:r/>
      <w:bookmarkEnd w:id="886"/>
      <w:r>
        <w:rPr>
          <w:rFonts w:hint="eastAsia" w:ascii="宋体" w:hAnsi="宋体" w:eastAsia="宋体" w:cs="宋体"/>
          <w:b/>
          <w:color w:val="000000"/>
          <w:sz w:val="24"/>
          <w:highlight w:val="none"/>
          <w:lang w:val="zh-CN"/>
        </w:rPr>
      </w:r>
      <w:r/>
    </w:p>
    <w:p>
      <w:pPr>
        <w:pStyle w:val="962"/>
        <w:spacing w:line="360" w:lineRule="auto"/>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w:t>
      </w:r>
      <w:r>
        <w:rPr>
          <w:rFonts w:hint="eastAsia" w:ascii="宋体" w:hAnsi="宋体" w:eastAsia="宋体" w:cs="宋体"/>
          <w:b/>
          <w:color w:val="000000"/>
          <w:sz w:val="24"/>
          <w:highlight w:val="none"/>
          <w:lang w:val="zh-CN"/>
        </w:rPr>
      </w:r>
      <w:r/>
    </w:p>
    <w:p>
      <w:pPr>
        <w:pStyle w:val="962"/>
        <w:ind w:firstLine="482"/>
        <w:spacing w:line="360" w:lineRule="auto"/>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投标文件中提供有效的证书、</w:t>
      </w:r>
      <w:r>
        <w:rPr>
          <w:rFonts w:hint="eastAsia" w:ascii="宋体" w:hAnsi="宋体" w:eastAsia="宋体" w:cs="宋体"/>
          <w:b/>
          <w:color w:val="000000"/>
          <w:sz w:val="24"/>
          <w:highlight w:val="none"/>
          <w:lang w:val="zh-CN" w:eastAsia="zh-CN"/>
        </w:rPr>
        <w:t xml:space="preserve">人员身份证正反面</w:t>
      </w:r>
      <w:r>
        <w:rPr>
          <w:rFonts w:hint="eastAsia" w:ascii="宋体" w:hAnsi="宋体" w:eastAsia="宋体" w:cs="宋体"/>
          <w:b/>
          <w:color w:val="000000"/>
          <w:sz w:val="24"/>
          <w:highlight w:val="none"/>
          <w:lang w:val="zh-CN"/>
        </w:rPr>
        <w:t xml:space="preserve">扫描件以及投标人为其缴纳的202</w:t>
      </w:r>
      <w:r>
        <w:rPr>
          <w:rFonts w:hint="eastAsia" w:ascii="宋体" w:hAnsi="宋体" w:eastAsia="宋体" w:cs="宋体"/>
          <w:b/>
          <w:color w:val="000000"/>
          <w:sz w:val="24"/>
          <w:highlight w:val="none"/>
          <w:lang w:val="zh-CN" w:eastAsia="zh-CN"/>
        </w:rPr>
        <w:t xml:space="preserve">6</w:t>
      </w:r>
      <w:r>
        <w:rPr>
          <w:rFonts w:hint="eastAsia" w:ascii="宋体" w:hAnsi="宋体" w:eastAsia="宋体" w:cs="宋体"/>
          <w:b/>
          <w:color w:val="000000"/>
          <w:sz w:val="24"/>
          <w:highlight w:val="none"/>
          <w:lang w:val="zh-CN"/>
        </w:rPr>
        <w:t xml:space="preserve">年</w:t>
      </w:r>
      <w:r>
        <w:rPr>
          <w:rFonts w:hint="eastAsia" w:ascii="宋体" w:hAnsi="宋体" w:eastAsia="宋体" w:cs="宋体"/>
          <w:b/>
          <w:color w:val="000000"/>
          <w:sz w:val="24"/>
          <w:highlight w:val="none"/>
          <w:lang w:val="zh-CN" w:eastAsia="zh-CN"/>
        </w:rPr>
        <w:t xml:space="preserve">7</w:t>
      </w:r>
      <w:r>
        <w:rPr>
          <w:rFonts w:hint="eastAsia" w:ascii="宋体" w:hAnsi="宋体" w:eastAsia="宋体" w:cs="宋体"/>
          <w:b/>
          <w:color w:val="000000"/>
          <w:sz w:val="24"/>
          <w:highlight w:val="none"/>
          <w:lang w:val="zh-CN"/>
        </w:rPr>
        <w:t xml:space="preserve">月至</w:t>
      </w:r>
      <w:r>
        <w:rPr>
          <w:rFonts w:hint="eastAsia" w:ascii="宋体" w:hAnsi="宋体" w:eastAsia="宋体" w:cs="宋体"/>
          <w:b/>
          <w:color w:val="000000"/>
          <w:sz w:val="24"/>
          <w:highlight w:val="none"/>
          <w:lang w:val="zh-CN" w:eastAsia="zh-CN"/>
        </w:rPr>
        <w:t xml:space="preserve">2026年9</w:t>
      </w:r>
      <w:r>
        <w:rPr>
          <w:rFonts w:hint="eastAsia" w:ascii="宋体" w:hAnsi="宋体" w:eastAsia="宋体" w:cs="宋体"/>
          <w:b/>
          <w:color w:val="000000"/>
          <w:sz w:val="24"/>
          <w:highlight w:val="none"/>
          <w:lang w:val="zh-CN"/>
        </w:rPr>
        <w:t xml:space="preserve">月</w:t>
      </w:r>
      <w:r>
        <w:rPr>
          <w:rFonts w:hint="eastAsia" w:ascii="宋体" w:hAnsi="宋体" w:eastAsia="宋体" w:cs="宋体"/>
          <w:b/>
          <w:color w:val="000000"/>
          <w:sz w:val="24"/>
          <w:highlight w:val="none"/>
          <w:lang w:val="zh-CN" w:eastAsia="zh-CN"/>
        </w:rPr>
        <w:t xml:space="preserve">中</w:t>
      </w:r>
      <w:r>
        <w:rPr>
          <w:rFonts w:hint="eastAsia" w:ascii="宋体" w:hAnsi="宋体" w:eastAsia="宋体" w:cs="宋体"/>
          <w:b/>
          <w:color w:val="000000"/>
          <w:sz w:val="24"/>
          <w:highlight w:val="none"/>
          <w:lang w:val="zh-CN"/>
        </w:rPr>
        <w:t xml:space="preserve">任意一个月社保缴费证明材料（加盖社保部门签章或电子签章）并加盖投标人公章</w:t>
      </w:r>
      <w:r>
        <w:rPr>
          <w:rFonts w:hint="eastAsia" w:ascii="宋体" w:hAnsi="宋体" w:eastAsia="宋体" w:cs="宋体"/>
          <w:b/>
          <w:color w:val="000000"/>
          <w:sz w:val="24"/>
          <w:highlight w:val="none"/>
          <w:lang w:val="zh-CN"/>
        </w:rPr>
      </w:r>
      <w:r/>
    </w:p>
    <w:p>
      <w:pPr>
        <w:pStyle w:val="962"/>
        <w:jc w:val="left"/>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供应商：（加盖公章）</w:t>
      </w:r>
      <w:r>
        <w:rPr>
          <w:rFonts w:hint="eastAsia" w:ascii="宋体" w:hAnsi="宋体" w:eastAsia="宋体" w:cs="宋体"/>
          <w:color w:val="000000"/>
          <w:sz w:val="24"/>
          <w:highlight w:val="none"/>
        </w:rPr>
      </w:r>
      <w:r/>
    </w:p>
    <w:p>
      <w:pPr>
        <w:pStyle w:val="962"/>
        <w:jc w:val="left"/>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szCs w:val="20"/>
          <w:highlight w:val="none"/>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2"/>
        <w:jc w:val="left"/>
        <w:spacing w:before="240" w:after="240"/>
        <w:rPr>
          <w:rFonts w:hint="eastAsia" w:ascii="宋体" w:hAnsi="宋体" w:eastAsia="宋体" w:cs="宋体"/>
          <w:b/>
          <w:i/>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b/>
          <w:i/>
          <w:color w:val="000000"/>
          <w:sz w:val="24"/>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2"/>
          <w:highlight w:val="none"/>
        </w:rPr>
        <w:br w:type="page" w:clear="all"/>
      </w:r>
      <w:bookmarkStart w:id="887" w:name="_Toc288738397"/>
      <w:r/>
      <w:bookmarkStart w:id="888" w:name="_Toc288738839"/>
      <w:r>
        <w:rPr>
          <w:rFonts w:hint="eastAsia" w:ascii="宋体" w:hAnsi="宋体" w:eastAsia="宋体" w:cs="宋体"/>
          <w:b/>
          <w:bCs/>
          <w:color w:val="000000"/>
          <w:sz w:val="24"/>
          <w:szCs w:val="20"/>
          <w:highlight w:val="none"/>
        </w:rPr>
        <w:t xml:space="preserve">9相关业绩案例一览表</w:t>
      </w:r>
      <w:r>
        <w:rPr>
          <w:rFonts w:hint="eastAsia" w:ascii="宋体" w:hAnsi="宋体" w:eastAsia="宋体" w:cs="宋体"/>
          <w:color w:val="000000"/>
          <w:sz w:val="24"/>
          <w:szCs w:val="20"/>
          <w:highlight w:val="none"/>
        </w:rPr>
      </w:r>
      <w:r/>
    </w:p>
    <w:p>
      <w:pPr>
        <w:pStyle w:val="962"/>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相关业绩案例一览表</w:t>
      </w:r>
      <w:bookmarkEnd w:id="887"/>
      <w:r/>
      <w:bookmarkEnd w:id="888"/>
      <w:r>
        <w:rPr>
          <w:rFonts w:hint="eastAsia" w:ascii="宋体" w:hAnsi="宋体" w:eastAsia="宋体" w:cs="宋体"/>
          <w:b/>
          <w:color w:val="000000"/>
          <w:sz w:val="32"/>
          <w:szCs w:val="32"/>
          <w:highlight w:val="none"/>
        </w:rPr>
      </w:r>
      <w:r/>
    </w:p>
    <w:p>
      <w:pPr>
        <w:pStyle w:val="962"/>
        <w:jc w:val="left"/>
        <w:spacing w:line="360" w:lineRule="auto"/>
        <w:tabs>
          <w:tab w:val="left" w:pos="1800" w:leader="none"/>
          <w:tab w:val="left" w:pos="5580" w:leader="none"/>
        </w:tabs>
        <w:rPr>
          <w:rFonts w:hint="eastAsia" w:ascii="宋体" w:hAnsi="宋体" w:eastAsia="宋体" w:cs="宋体"/>
          <w:b/>
          <w:bCs/>
          <w:color w:val="000000"/>
          <w:sz w:val="24"/>
          <w:highlight w:val="none"/>
          <w:u w:val="single"/>
          <w:lang w:eastAsia="zh-CN"/>
        </w:rPr>
      </w:pPr>
      <w:r>
        <w:rPr>
          <w:rFonts w:hint="eastAsia" w:ascii="宋体" w:hAnsi="宋体" w:eastAsia="宋体" w:cs="宋体"/>
          <w:b/>
          <w:bCs/>
          <w:color w:val="000000"/>
          <w:sz w:val="24"/>
          <w:highlight w:val="none"/>
        </w:rPr>
        <w:t xml:space="preserve">项目编号：</w:t>
      </w:r>
      <w:r>
        <w:rPr>
          <w:rFonts w:hint="eastAsia" w:ascii="宋体" w:hAnsi="宋体" w:eastAsia="宋体" w:cs="宋体"/>
          <w:b/>
          <w:bCs/>
          <w:color w:val="000000"/>
          <w:sz w:val="24"/>
          <w:highlight w:val="none"/>
          <w:u w:val="single"/>
          <w:lang w:eastAsia="zh-CN"/>
        </w:rPr>
        <w:t xml:space="preserve">JSZC-320400-JLJL-G2026-0001</w:t>
      </w:r>
      <w:r>
        <w:rPr>
          <w:rFonts w:hint="eastAsia" w:ascii="宋体" w:hAnsi="宋体" w:eastAsia="宋体" w:cs="宋体"/>
          <w:b/>
          <w:bCs/>
          <w:color w:val="000000"/>
          <w:sz w:val="24"/>
          <w:highlight w:val="none"/>
          <w:u w:val="single"/>
          <w:lang w:eastAsia="zh-CN"/>
        </w:rPr>
      </w:r>
      <w:r/>
    </w:p>
    <w:p>
      <w:pPr>
        <w:pStyle w:val="962"/>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项目名称：</w:t>
      </w:r>
      <w:r>
        <w:rPr>
          <w:rFonts w:hint="eastAsia" w:ascii="宋体" w:hAnsi="宋体" w:eastAsia="宋体" w:cs="宋体"/>
          <w:b/>
          <w:bCs/>
          <w:color w:val="000000"/>
          <w:sz w:val="24"/>
          <w:highlight w:val="none"/>
          <w:u w:val="single"/>
          <w:lang w:eastAsia="zh-CN"/>
        </w:rPr>
        <w:t xml:space="preserve">排水泵站设备检查保养及维修</w:t>
      </w:r>
      <w:r>
        <w:rPr>
          <w:rFonts w:hint="eastAsia" w:ascii="宋体" w:hAnsi="宋体" w:eastAsia="宋体" w:cs="宋体"/>
          <w:color w:val="000000"/>
          <w:sz w:val="24"/>
          <w:highlight w:val="none"/>
        </w:rPr>
      </w:r>
      <w:r/>
    </w:p>
    <w:tbl>
      <w:tblPr>
        <w:tblW w:w="498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69"/>
        <w:gridCol w:w="1720"/>
        <w:gridCol w:w="1446"/>
        <w:gridCol w:w="2448"/>
        <w:gridCol w:w="1630"/>
        <w:gridCol w:w="910"/>
      </w:tblGrid>
      <w:tr>
        <w:trPr>
          <w:trHeight w:val="498"/>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962"/>
              <w:jc w:val="center"/>
              <w:spacing w:line="24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合同签订</w:t>
            </w:r>
            <w:r>
              <w:rPr>
                <w:rFonts w:hint="eastAsia" w:ascii="宋体" w:hAnsi="宋体" w:eastAsia="宋体" w:cs="宋体"/>
                <w:color w:val="000000"/>
                <w:sz w:val="21"/>
                <w:szCs w:val="21"/>
                <w:highlight w:val="none"/>
                <w:lang w:val="zh-CN"/>
              </w:rPr>
              <w:t xml:space="preserve">时间</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962"/>
              <w:jc w:val="center"/>
              <w:spacing w:line="24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项目甲方单位</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962"/>
              <w:jc w:val="center"/>
              <w:spacing w:line="24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962"/>
              <w:jc w:val="center"/>
              <w:spacing w:line="24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合同金额（</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962"/>
              <w:jc w:val="center"/>
              <w:spacing w:line="240" w:lineRule="auto"/>
              <w:tabs>
                <w:tab w:val="left" w:pos="976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合同履行期限</w:t>
            </w:r>
            <w:r>
              <w:rPr>
                <w:rFonts w:hint="eastAsia"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962"/>
              <w:jc w:val="center"/>
              <w:spacing w:line="24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备注</w:t>
            </w:r>
            <w:r>
              <w:rPr>
                <w:rFonts w:hint="eastAsia" w:ascii="宋体" w:hAnsi="宋体" w:eastAsia="宋体" w:cs="宋体"/>
                <w:color w:val="000000"/>
                <w:sz w:val="21"/>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962"/>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962"/>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962"/>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962"/>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962"/>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962"/>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962"/>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62"/>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2"/>
        <w:jc w:val="left"/>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供应商：（加盖公章）</w:t>
      </w:r>
      <w:r>
        <w:rPr>
          <w:rFonts w:hint="eastAsia" w:ascii="宋体" w:hAnsi="宋体" w:eastAsia="宋体" w:cs="宋体"/>
          <w:color w:val="000000"/>
          <w:sz w:val="24"/>
          <w:highlight w:val="none"/>
        </w:rPr>
      </w:r>
      <w:r/>
    </w:p>
    <w:p>
      <w:pPr>
        <w:pStyle w:val="962"/>
        <w:jc w:val="left"/>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szCs w:val="20"/>
          <w:highlight w:val="none"/>
        </w:rPr>
        <w:t xml:space="preserve">签字或签章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2"/>
        <w:jc w:val="left"/>
        <w:spacing w:before="240" w:after="240"/>
        <w:rPr>
          <w:rFonts w:hint="eastAsia" w:ascii="宋体" w:hAnsi="宋体" w:eastAsia="宋体" w:cs="宋体"/>
          <w:b/>
          <w:i/>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b/>
          <w:i/>
          <w:color w:val="000000"/>
          <w:sz w:val="24"/>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62"/>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b w:val="0"/>
          <w:bCs w:val="0"/>
          <w:color w:val="000000"/>
          <w:sz w:val="24"/>
          <w:szCs w:val="20"/>
          <w:highlight w:val="none"/>
        </w:rPr>
        <w:t xml:space="preserve">1</w:t>
      </w:r>
      <w:r>
        <w:rPr>
          <w:rFonts w:hint="eastAsia" w:ascii="宋体" w:hAnsi="宋体" w:eastAsia="宋体" w:cs="宋体"/>
          <w:b w:val="0"/>
          <w:bCs w:val="0"/>
          <w:color w:val="000000"/>
          <w:sz w:val="24"/>
          <w:szCs w:val="20"/>
          <w:highlight w:val="none"/>
          <w:lang w:val="en-US" w:eastAsia="zh-CN"/>
        </w:rPr>
        <w:t xml:space="preserve">0</w:t>
      </w:r>
      <w:r>
        <w:rPr>
          <w:rFonts w:hint="eastAsia" w:ascii="宋体" w:hAnsi="宋体" w:eastAsia="宋体" w:cs="宋体"/>
          <w:b w:val="0"/>
          <w:bCs w:val="0"/>
          <w:color w:val="000000"/>
          <w:sz w:val="24"/>
          <w:szCs w:val="20"/>
          <w:highlight w:val="none"/>
        </w:rPr>
        <w:t xml:space="preserve">招标文件要求提供或供应商认为应附的其他材料</w:t>
      </w:r>
      <w:r>
        <w:rPr>
          <w:rFonts w:hint="eastAsia" w:ascii="宋体" w:hAnsi="宋体" w:eastAsia="宋体" w:cs="宋体"/>
          <w:color w:val="000000"/>
          <w:sz w:val="24"/>
          <w:szCs w:val="20"/>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2"/>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252"/>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52"/>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sectPr>
      <w:headerReference w:type="default" r:id="rId15"/>
      <w:headerReference w:type="even" r:id="rId16"/>
      <w:headerReference w:type="first" r:id="rId17"/>
      <w:footerReference w:type="default" r:id="rId25"/>
      <w:footerReference w:type="even" r:id="rId26"/>
      <w:footerReference w:type="first" r:id="rId27"/>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PingFang SC">
    <w:panose1 w:val="020B0503020202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right="360"/>
      <w:tabs>
        <w:tab w:val="center" w:pos="4153" w:leader="none"/>
        <w:tab w:val="right" w:pos="8306" w:leader="none"/>
      </w:tabs>
      <w:rPr>
        <w:rStyle w:val="1259"/>
      </w:rPr>
    </w:pPr>
    <w:r>
      <w:rPr>
        <w:rStyle w:val="1259"/>
      </w:rPr>
    </w:r>
    <w:r/>
  </w:p>
  <w:p>
    <w:pPr>
      <w:pStyle w:val="123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tabs>
        <w:tab w:val="center" w:pos="4153" w:leader="none"/>
        <w:tab w:val="right" w:pos="8306" w:leader="none"/>
      </w:tabs>
      <w:rPr>
        <w:rStyle w:val="1259"/>
      </w:rPr>
      <w:framePr w:wrap="around" w:vAnchor="text" w:hAnchor="margin" w:xAlign="center" w:y="1"/>
    </w:pPr>
    <w:r>
      <w:fldChar w:fldCharType="begin"/>
    </w:r>
    <w:r>
      <w:rPr>
        <w:rStyle w:val="1259"/>
      </w:rPr>
      <w:instrText xml:space="preserve">PAGE  </w:instrText>
    </w:r>
    <w:r>
      <w:fldChar w:fldCharType="end"/>
    </w:r>
    <w:r>
      <w:rPr>
        <w:rStyle w:val="1259"/>
      </w:rPr>
    </w:r>
    <w:r/>
  </w:p>
  <w:p>
    <w:pPr>
      <w:pStyle w:val="123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2"/>
                          </w:pPr>
                          <w:r/>
                          <w:r/>
                        </w:p>
                        <w:p>
                          <w:pPr>
                            <w:pStyle w:val="962"/>
                          </w:pPr>
                          <w:r/>
                          <w:r/>
                        </w:p>
                        <w:p>
                          <w:pPr>
                            <w:pStyle w:val="96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2"/>
                    </w:pPr>
                    <w:r/>
                    <w:r/>
                  </w:p>
                  <w:p>
                    <w:pPr>
                      <w:pStyle w:val="962"/>
                    </w:pPr>
                    <w:r/>
                    <w:r/>
                  </w:p>
                  <w:p>
                    <w:pPr>
                      <w:pStyle w:val="96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tabs>
        <w:tab w:val="center" w:pos="4153" w:leader="none"/>
        <w:tab w:val="right" w:pos="8306" w:leader="none"/>
      </w:tabs>
      <w:rPr>
        <w:rStyle w:val="1259"/>
      </w:rPr>
      <w:framePr w:wrap="around" w:vAnchor="text" w:hAnchor="margin" w:xAlign="right" w:y="1"/>
    </w:pPr>
    <w:r>
      <w:rPr>
        <w:rStyle w:val="1259"/>
      </w:rPr>
      <w:fldChar w:fldCharType="begin"/>
    </w:r>
    <w:r>
      <w:rPr>
        <w:rStyle w:val="1259"/>
      </w:rPr>
      <w:instrText xml:space="preserve">PAGE  </w:instrText>
    </w:r>
    <w:r>
      <w:rPr>
        <w:rStyle w:val="1259"/>
      </w:rPr>
      <w:fldChar w:fldCharType="end"/>
    </w:r>
    <w:r>
      <w:rPr>
        <w:rStyle w:val="1259"/>
      </w:rPr>
    </w:r>
    <w:r/>
  </w:p>
  <w:p>
    <w:pPr>
      <w:pStyle w:val="123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2"/>
                          </w:pPr>
                          <w:r/>
                          <w:r/>
                        </w:p>
                        <w:p>
                          <w:pPr>
                            <w:pStyle w:val="962"/>
                          </w:pPr>
                          <w:r/>
                          <w:r/>
                        </w:p>
                        <w:p>
                          <w:pPr>
                            <w:pStyle w:val="962"/>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2"/>
                    </w:pPr>
                    <w:r/>
                    <w:r/>
                  </w:p>
                  <w:p>
                    <w:pPr>
                      <w:pStyle w:val="962"/>
                    </w:pPr>
                    <w:r/>
                    <w:r/>
                  </w:p>
                  <w:p>
                    <w:pPr>
                      <w:pStyle w:val="962"/>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2"/>
                          </w:pPr>
                          <w:r/>
                          <w:r/>
                        </w:p>
                        <w:p>
                          <w:pPr>
                            <w:pStyle w:val="962"/>
                          </w:pPr>
                          <w:r/>
                          <w:r/>
                        </w:p>
                        <w:p>
                          <w:pPr>
                            <w:pStyle w:val="962"/>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62"/>
                    </w:pPr>
                    <w:r/>
                    <w:r/>
                  </w:p>
                  <w:p>
                    <w:pPr>
                      <w:pStyle w:val="962"/>
                    </w:pPr>
                    <w:r/>
                    <w:r/>
                  </w:p>
                  <w:p>
                    <w:pPr>
                      <w:pStyle w:val="96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tabs>
        <w:tab w:val="center" w:pos="4153" w:leader="none"/>
        <w:tab w:val="right" w:pos="8306" w:leader="none"/>
      </w:tabs>
      <w:rPr>
        <w:rStyle w:val="1259"/>
      </w:rPr>
      <w:framePr w:wrap="around" w:vAnchor="text" w:hAnchor="margin" w:xAlign="right" w:y="1"/>
    </w:pPr>
    <w:r>
      <w:rPr>
        <w:rStyle w:val="1259"/>
      </w:rPr>
      <w:fldChar w:fldCharType="begin"/>
    </w:r>
    <w:r>
      <w:rPr>
        <w:rStyle w:val="1259"/>
      </w:rPr>
      <w:instrText xml:space="preserve">PAGE  </w:instrText>
    </w:r>
    <w:r>
      <w:rPr>
        <w:rStyle w:val="1259"/>
      </w:rPr>
      <w:fldChar w:fldCharType="end"/>
    </w:r>
    <w:r>
      <w:rPr>
        <w:rStyle w:val="1259"/>
      </w:rPr>
    </w:r>
    <w:r/>
  </w:p>
  <w:p>
    <w:pPr>
      <w:pStyle w:val="1232"/>
      <w:ind w:right="360"/>
      <w:tabs>
        <w:tab w:val="center" w:pos="4153" w:leader="none"/>
        <w:tab w:val="right" w:pos="8306" w:leader="none"/>
      </w:tabs>
    </w:pPr>
    <w:r/>
    <w:r/>
  </w:p>
  <w:p>
    <w:pPr>
      <w:pStyle w:val="96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2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tabs>
        <w:tab w:val="center" w:pos="4153" w:leader="none"/>
        <w:tab w:val="right" w:pos="8306" w:leader="none"/>
      </w:tabs>
      <w:rPr>
        <w:rFonts w:hint="eastAsia"/>
      </w:rPr>
    </w:pPr>
    <w:r>
      <w:rPr>
        <w:rFonts w:hint="eastAsia" w:ascii="仿宋" w:hAnsi="仿宋" w:eastAsia="仿宋"/>
        <w:sz w:val="21"/>
        <w:szCs w:val="21"/>
      </w:rPr>
      <w:t xml:space="preserve">公开招标文件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tabs>
        <w:tab w:val="center" w:pos="4153" w:leader="none"/>
        <w:tab w:val="right" w:pos="8306" w:leader="none"/>
      </w:tabs>
      <w:rPr>
        <w:rFonts w:hint="eastAsia" w:ascii="宋体" w:hAnsi="宋体" w:eastAsia="宋体" w:cs="宋体"/>
        <w:sz w:val="21"/>
        <w:szCs w:val="21"/>
      </w:rPr>
    </w:pPr>
    <w:r>
      <w:rPr>
        <w:rFonts w:hint="eastAsia" w:ascii="宋体" w:hAnsi="宋体" w:eastAsia="宋体" w:cs="宋体"/>
        <w:sz w:val="21"/>
        <w:szCs w:val="21"/>
      </w:rPr>
      <w:t xml:space="preserve">公开招标文件</w:t>
    </w:r>
    <w:r>
      <w:rPr>
        <w:rFonts w:hint="eastAsia" w:ascii="宋体" w:hAnsi="宋体" w:eastAsia="宋体" w:cs="宋体"/>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tabs>
        <w:tab w:val="center" w:pos="4153" w:leader="none"/>
        <w:tab w:val="right" w:pos="8306" w:leader="none"/>
      </w:tabs>
      <w:rPr>
        <w:rFonts w:hint="eastAsia" w:ascii="宋体" w:hAnsi="宋体" w:eastAsia="宋体" w:cs="宋体"/>
        <w:sz w:val="21"/>
        <w:szCs w:val="21"/>
      </w:rPr>
    </w:pPr>
    <w:r>
      <w:rPr>
        <w:rFonts w:hint="eastAsia" w:ascii="宋体" w:hAnsi="宋体" w:eastAsia="宋体" w:cs="宋体"/>
        <w:sz w:val="21"/>
        <w:szCs w:val="21"/>
      </w:rPr>
      <w:t xml:space="preserve">公开招标文件</w:t>
    </w:r>
    <w:r>
      <w:rPr>
        <w:rFonts w:hint="eastAsia" w:ascii="宋体" w:hAnsi="宋体" w:eastAsia="宋体" w:cs="宋体"/>
        <w:sz w:val="21"/>
        <w:szCs w:val="21"/>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center"/>
      <w:tabs>
        <w:tab w:val="center" w:pos="4153" w:leader="none"/>
        <w:tab w:val="right" w:pos="8306" w:leader="none"/>
      </w:tabs>
      <w:rPr>
        <w:rFonts w:hint="eastAsia" w:ascii="宋体" w:hAnsi="宋体" w:eastAsia="宋体" w:cs="宋体"/>
        <w:sz w:val="21"/>
        <w:szCs w:val="21"/>
      </w:rPr>
    </w:pPr>
    <w:r>
      <w:rPr>
        <w:rFonts w:hint="eastAsia" w:ascii="宋体" w:hAnsi="宋体" w:eastAsia="宋体" w:cs="宋体"/>
        <w:sz w:val="21"/>
        <w:szCs w:val="21"/>
      </w:rPr>
      <w:t xml:space="preserve">公开招标文件</w:t>
    </w:r>
    <w:r>
      <w:rPr>
        <w:rFonts w:hint="eastAsia" w:ascii="宋体" w:hAnsi="宋体" w:eastAsia="宋体" w:cs="宋体"/>
        <w:sz w:val="21"/>
        <w:szCs w:val="21"/>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tabs>
        <w:tab w:val="center" w:pos="4153" w:leader="none"/>
        <w:tab w:val="right" w:pos="8306" w:leader="none"/>
      </w:tabs>
    </w:pPr>
    <w:r/>
    <w:r/>
  </w:p>
  <w:p>
    <w:pPr>
      <w:pStyle w:val="962"/>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6"/>
      <w:isLgl w:val="false"/>
      <w:suff w:val="tab"/>
      <w:lvlText w:val="%1."/>
      <w:lvlJc w:val="left"/>
      <w:pPr>
        <w:pStyle w:val="962"/>
        <w:ind w:left="360" w:hanging="360"/>
        <w:tabs>
          <w:tab w:val="num" w:pos="360" w:leader="none"/>
        </w:tabs>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2"/>
        <w:ind w:left="768" w:hanging="360"/>
        <w:tabs>
          <w:tab w:val="num" w:pos="768" w:leader="none"/>
        </w:tabs>
      </w:pPr>
      <w:rPr>
        <w:rFonts w:hint="eastAsia"/>
      </w:rPr>
    </w:lvl>
    <w:lvl w:ilvl="1">
      <w:start w:val="1"/>
      <w:numFmt w:val="decimal"/>
      <w:pStyle w:val="1333"/>
      <w:isLgl w:val="false"/>
      <w:suff w:val="tab"/>
      <w:lvlText w:val="%2、"/>
      <w:lvlJc w:val="left"/>
      <w:pPr>
        <w:pStyle w:val="962"/>
        <w:ind w:left="1188" w:hanging="360"/>
        <w:tabs>
          <w:tab w:val="num" w:pos="1188" w:leader="none"/>
        </w:tabs>
      </w:pPr>
      <w:rPr>
        <w:rFonts w:hint="eastAsia"/>
      </w:rPr>
    </w:lvl>
    <w:lvl w:ilvl="2">
      <w:start w:val="1"/>
      <w:numFmt w:val="decimal"/>
      <w:isLgl w:val="false"/>
      <w:suff w:val="tab"/>
      <w:lvlText w:val="（%3）"/>
      <w:lvlJc w:val="left"/>
      <w:pPr>
        <w:pStyle w:val="962"/>
        <w:ind w:left="1968" w:hanging="720"/>
        <w:tabs>
          <w:tab w:val="num" w:pos="1968" w:leader="none"/>
        </w:tabs>
      </w:pPr>
      <w:rPr>
        <w:rFonts w:hint="eastAsia"/>
        <w:u w:val="none"/>
      </w:rPr>
    </w:lvl>
    <w:lvl w:ilvl="3">
      <w:start w:val="1"/>
      <w:numFmt w:val="decimal"/>
      <w:isLgl w:val="false"/>
      <w:suff w:val="tab"/>
      <w:lvlText w:val="%4."/>
      <w:lvlJc w:val="left"/>
      <w:pPr>
        <w:pStyle w:val="962"/>
        <w:ind w:left="2088" w:hanging="420"/>
        <w:tabs>
          <w:tab w:val="num" w:pos="2088" w:leader="none"/>
        </w:tabs>
      </w:pPr>
    </w:lvl>
    <w:lvl w:ilvl="4">
      <w:start w:val="1"/>
      <w:numFmt w:val="lowerLetter"/>
      <w:isLgl w:val="false"/>
      <w:suff w:val="tab"/>
      <w:lvlText w:val="%5)"/>
      <w:lvlJc w:val="left"/>
      <w:pPr>
        <w:pStyle w:val="962"/>
        <w:ind w:left="2508" w:hanging="420"/>
        <w:tabs>
          <w:tab w:val="num" w:pos="2508" w:leader="none"/>
        </w:tabs>
      </w:pPr>
    </w:lvl>
    <w:lvl w:ilvl="5">
      <w:start w:val="1"/>
      <w:numFmt w:val="lowerRoman"/>
      <w:isLgl w:val="false"/>
      <w:suff w:val="tab"/>
      <w:lvlText w:val="%6."/>
      <w:lvlJc w:val="right"/>
      <w:pPr>
        <w:pStyle w:val="962"/>
        <w:ind w:left="2928" w:hanging="420"/>
        <w:tabs>
          <w:tab w:val="num" w:pos="2928" w:leader="none"/>
        </w:tabs>
      </w:pPr>
    </w:lvl>
    <w:lvl w:ilvl="6">
      <w:start w:val="1"/>
      <w:numFmt w:val="decimal"/>
      <w:isLgl w:val="false"/>
      <w:suff w:val="tab"/>
      <w:lvlText w:val="%7."/>
      <w:lvlJc w:val="left"/>
      <w:pPr>
        <w:pStyle w:val="962"/>
        <w:ind w:left="3348" w:hanging="420"/>
        <w:tabs>
          <w:tab w:val="num" w:pos="3348" w:leader="none"/>
        </w:tabs>
      </w:pPr>
    </w:lvl>
    <w:lvl w:ilvl="7">
      <w:start w:val="1"/>
      <w:numFmt w:val="lowerLetter"/>
      <w:isLgl w:val="false"/>
      <w:suff w:val="tab"/>
      <w:lvlText w:val="%8)"/>
      <w:lvlJc w:val="left"/>
      <w:pPr>
        <w:pStyle w:val="962"/>
        <w:ind w:left="3768" w:hanging="420"/>
        <w:tabs>
          <w:tab w:val="num" w:pos="3768" w:leader="none"/>
        </w:tabs>
      </w:pPr>
    </w:lvl>
    <w:lvl w:ilvl="8">
      <w:start w:val="1"/>
      <w:numFmt w:val="lowerRoman"/>
      <w:isLgl w:val="false"/>
      <w:suff w:val="tab"/>
      <w:lvlText w:val="%9."/>
      <w:lvlJc w:val="right"/>
      <w:pPr>
        <w:pStyle w:val="962"/>
        <w:ind w:left="4188" w:hanging="420"/>
        <w:tabs>
          <w:tab w:val="num" w:pos="4188" w:leader="none"/>
        </w:tabs>
      </w:pPr>
    </w:lvl>
  </w:abstractNum>
  <w:abstractNum w:abstractNumId="2">
    <w:multiLevelType w:val="hybridMultilevel"/>
    <w:lvl w:ilvl="0">
      <w:start w:val="1"/>
      <w:numFmt w:val="decimal"/>
      <w:pStyle w:val="1300"/>
      <w:isLgl w:val="false"/>
      <w:suff w:val="tab"/>
      <w:lvlText w:val="%1)"/>
      <w:lvlJc w:val="left"/>
      <w:pPr>
        <w:pStyle w:val="962"/>
        <w:ind w:left="420" w:hanging="420"/>
      </w:pPr>
    </w:lvl>
    <w:lvl w:ilvl="1">
      <w:start w:val="1"/>
      <w:numFmt w:val="lowerLetter"/>
      <w:isLgl w:val="false"/>
      <w:suff w:val="tab"/>
      <w:lvlText w:val="%2)"/>
      <w:lvlJc w:val="left"/>
      <w:pPr>
        <w:pStyle w:val="962"/>
        <w:ind w:left="840" w:hanging="420"/>
      </w:p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3">
    <w:multiLevelType w:val="hybridMultilevel"/>
    <w:lvl w:ilvl="0">
      <w:start w:val="1"/>
      <w:numFmt w:val="decimal"/>
      <w:pStyle w:val="1295"/>
      <w:isLgl w:val="false"/>
      <w:suff w:val="nothing"/>
      <w:lvlText w:val="%1　"/>
      <w:lvlJc w:val="left"/>
      <w:pPr>
        <w:pStyle w:val="96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2"/>
        <w:ind w:left="-25" w:firstLine="0"/>
      </w:pPr>
      <w:rPr>
        <w:rFonts w:ascii="Times New Roman" w:hAnsi="Times New Roman" w:eastAsia="黑体"/>
        <w:b/>
        <w:i w:val="0"/>
        <w:sz w:val="28"/>
      </w:rPr>
    </w:lvl>
    <w:lvl w:ilvl="3">
      <w:start w:val="1"/>
      <w:numFmt w:val="decimal"/>
      <w:pStyle w:val="1331"/>
      <w:isLgl w:val="false"/>
      <w:suff w:val="nothing"/>
      <w:lvlText w:val="%1.%2.%3.%4　"/>
      <w:lvlJc w:val="left"/>
      <w:pPr>
        <w:pStyle w:val="96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2"/>
        <w:ind w:left="-25" w:firstLine="0"/>
      </w:pPr>
      <w:rPr>
        <w:rFonts w:ascii="Times New Roman" w:hAnsi="Times New Roman" w:eastAsia="宋体"/>
        <w:b/>
        <w:i w:val="0"/>
        <w:sz w:val="28"/>
      </w:rPr>
    </w:lvl>
    <w:lvl w:ilvl="6">
      <w:start w:val="1"/>
      <w:numFmt w:val="lowerLetter"/>
      <w:pStyle w:val="1352"/>
      <w:isLgl w:val="false"/>
      <w:suff w:val="tab"/>
      <w:lvlText w:val="%7) "/>
      <w:lvlJc w:val="left"/>
      <w:pPr>
        <w:pStyle w:val="962"/>
        <w:ind w:left="-125" w:firstLine="400"/>
        <w:tabs>
          <w:tab w:val="num" w:pos="635" w:leader="none"/>
        </w:tabs>
      </w:pPr>
      <w:rPr>
        <w:rFonts w:ascii="Times New Roman" w:hAnsi="Times New Roman" w:eastAsia="宋体"/>
        <w:b/>
        <w:i w:val="0"/>
        <w:color w:val="000000"/>
        <w:sz w:val="28"/>
        <w:u w:val="none"/>
      </w:rPr>
    </w:lvl>
    <w:lvl w:ilvl="7">
      <w:start w:val="1"/>
      <w:numFmt w:val="decimal"/>
      <w:pStyle w:val="1315"/>
      <w:isLgl w:val="false"/>
      <w:suff w:val="tab"/>
      <w:lvlText w:val="%8) "/>
      <w:lvlJc w:val="left"/>
      <w:pPr>
        <w:pStyle w:val="96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2"/>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376"/>
      <w:isLgl w:val="false"/>
      <w:suff w:val="tab"/>
      <w:lvlText w:val="%1)"/>
      <w:lvlJc w:val="left"/>
      <w:pPr>
        <w:pStyle w:val="962"/>
        <w:ind w:left="902" w:hanging="420"/>
      </w:pPr>
      <w:rPr>
        <w:color w:val="000000"/>
      </w:rPr>
    </w:lvl>
    <w:lvl w:ilvl="1">
      <w:start w:val="1"/>
      <w:numFmt w:val="lowerLetter"/>
      <w:isLgl w:val="false"/>
      <w:suff w:val="tab"/>
      <w:lvlText w:val="%2)"/>
      <w:lvlJc w:val="left"/>
      <w:pPr>
        <w:pStyle w:val="962"/>
        <w:ind w:left="1322" w:hanging="420"/>
      </w:pPr>
    </w:lvl>
    <w:lvl w:ilvl="2">
      <w:start w:val="1"/>
      <w:numFmt w:val="lowerRoman"/>
      <w:isLgl w:val="false"/>
      <w:suff w:val="tab"/>
      <w:lvlText w:val="%3."/>
      <w:lvlJc w:val="right"/>
      <w:pPr>
        <w:pStyle w:val="962"/>
        <w:ind w:left="1742" w:hanging="420"/>
      </w:pPr>
    </w:lvl>
    <w:lvl w:ilvl="3">
      <w:start w:val="1"/>
      <w:numFmt w:val="decimal"/>
      <w:isLgl w:val="false"/>
      <w:suff w:val="tab"/>
      <w:lvlText w:val="%4."/>
      <w:lvlJc w:val="left"/>
      <w:pPr>
        <w:pStyle w:val="962"/>
        <w:ind w:left="2162" w:hanging="420"/>
      </w:pPr>
    </w:lvl>
    <w:lvl w:ilvl="4">
      <w:start w:val="1"/>
      <w:numFmt w:val="lowerLetter"/>
      <w:isLgl w:val="false"/>
      <w:suff w:val="tab"/>
      <w:lvlText w:val="%5)"/>
      <w:lvlJc w:val="left"/>
      <w:pPr>
        <w:pStyle w:val="962"/>
        <w:ind w:left="2582" w:hanging="420"/>
      </w:pPr>
    </w:lvl>
    <w:lvl w:ilvl="5">
      <w:start w:val="1"/>
      <w:numFmt w:val="lowerRoman"/>
      <w:isLgl w:val="false"/>
      <w:suff w:val="tab"/>
      <w:lvlText w:val="%6."/>
      <w:lvlJc w:val="right"/>
      <w:pPr>
        <w:pStyle w:val="962"/>
        <w:ind w:left="3002" w:hanging="420"/>
      </w:pPr>
    </w:lvl>
    <w:lvl w:ilvl="6">
      <w:start w:val="1"/>
      <w:numFmt w:val="decimal"/>
      <w:isLgl w:val="false"/>
      <w:suff w:val="tab"/>
      <w:lvlText w:val="%7."/>
      <w:lvlJc w:val="left"/>
      <w:pPr>
        <w:pStyle w:val="962"/>
        <w:ind w:left="3422" w:hanging="420"/>
      </w:pPr>
    </w:lvl>
    <w:lvl w:ilvl="7">
      <w:start w:val="1"/>
      <w:numFmt w:val="lowerLetter"/>
      <w:isLgl w:val="false"/>
      <w:suff w:val="tab"/>
      <w:lvlText w:val="%8)"/>
      <w:lvlJc w:val="left"/>
      <w:pPr>
        <w:pStyle w:val="962"/>
        <w:ind w:left="3842" w:hanging="420"/>
      </w:pPr>
    </w:lvl>
    <w:lvl w:ilvl="8">
      <w:start w:val="1"/>
      <w:numFmt w:val="lowerRoman"/>
      <w:isLgl w:val="false"/>
      <w:suff w:val="tab"/>
      <w:lvlText w:val="%9."/>
      <w:lvlJc w:val="right"/>
      <w:pPr>
        <w:pStyle w:val="962"/>
        <w:ind w:left="4262" w:hanging="420"/>
      </w:pPr>
    </w:lvl>
  </w:abstractNum>
  <w:abstractNum w:abstractNumId="5">
    <w:multiLevelType w:val="hybridMultilevel"/>
    <w:lvl w:ilvl="0">
      <w:start w:val="1"/>
      <w:numFmt w:val="decimal"/>
      <w:pStyle w:val="1401"/>
      <w:isLgl w:val="false"/>
      <w:suff w:val="tab"/>
      <w:lvlText w:val="%1"/>
      <w:lvlJc w:val="left"/>
      <w:pPr>
        <w:pStyle w:val="962"/>
        <w:ind w:left="680" w:hanging="680"/>
      </w:pPr>
      <w:rPr>
        <w:rFonts w:hint="eastAsia" w:ascii="宋体" w:hAnsi="宋体" w:eastAsia="宋体"/>
      </w:rPr>
    </w:lvl>
    <w:lvl w:ilvl="1">
      <w:start w:val="1"/>
      <w:numFmt w:val="decimal"/>
      <w:pStyle w:val="1402"/>
      <w:isLgl w:val="false"/>
      <w:suff w:val="tab"/>
      <w:lvlText w:val="%1.%2"/>
      <w:lvlJc w:val="left"/>
      <w:pPr>
        <w:pStyle w:val="962"/>
        <w:ind w:left="851" w:hanging="851"/>
      </w:pPr>
      <w:rPr>
        <w:rFonts w:hint="eastAsia" w:ascii="宋体" w:hAnsi="宋体" w:eastAsia="宋体"/>
        <w:color w:val="000000"/>
      </w:rPr>
    </w:lvl>
    <w:lvl w:ilvl="2">
      <w:start w:val="1"/>
      <w:numFmt w:val="decimal"/>
      <w:pStyle w:val="1403"/>
      <w:isLgl w:val="false"/>
      <w:suff w:val="tab"/>
      <w:lvlText w:val="%1.%2.%3"/>
      <w:lvlJc w:val="left"/>
      <w:pPr>
        <w:pStyle w:val="962"/>
        <w:ind w:left="851" w:hanging="851"/>
      </w:pPr>
      <w:rPr>
        <w:rFonts w:hint="eastAsia"/>
      </w:rPr>
    </w:lvl>
    <w:lvl w:ilvl="3">
      <w:start w:val="1"/>
      <w:numFmt w:val="decimal"/>
      <w:isLgl w:val="false"/>
      <w:suff w:val="tab"/>
      <w:lvlText w:val="%1.%2.%3.%4"/>
      <w:lvlJc w:val="left"/>
      <w:pPr>
        <w:pStyle w:val="962"/>
        <w:ind w:left="680" w:hanging="680"/>
      </w:pPr>
      <w:rPr>
        <w:rFonts w:hint="eastAsia"/>
      </w:rPr>
    </w:lvl>
    <w:lvl w:ilvl="4">
      <w:start w:val="1"/>
      <w:numFmt w:val="decimal"/>
      <w:isLgl w:val="false"/>
      <w:suff w:val="tab"/>
      <w:lvlText w:val="%1.%2.%3.%4.%5"/>
      <w:lvlJc w:val="left"/>
      <w:pPr>
        <w:pStyle w:val="962"/>
        <w:ind w:left="680" w:hanging="680"/>
      </w:pPr>
      <w:rPr>
        <w:rFonts w:hint="eastAsia"/>
      </w:rPr>
    </w:lvl>
    <w:lvl w:ilvl="5">
      <w:start w:val="1"/>
      <w:numFmt w:val="decimal"/>
      <w:isLgl w:val="false"/>
      <w:suff w:val="tab"/>
      <w:lvlText w:val="%1.%2.%3.%4.%5.%6"/>
      <w:lvlJc w:val="left"/>
      <w:pPr>
        <w:pStyle w:val="962"/>
        <w:ind w:left="680" w:hanging="680"/>
      </w:pPr>
      <w:rPr>
        <w:rFonts w:hint="eastAsia"/>
      </w:rPr>
    </w:lvl>
    <w:lvl w:ilvl="6">
      <w:start w:val="1"/>
      <w:numFmt w:val="decimal"/>
      <w:isLgl w:val="false"/>
      <w:suff w:val="tab"/>
      <w:lvlText w:val="%1.%2.%3.%4.%5.%6.%7"/>
      <w:lvlJc w:val="left"/>
      <w:pPr>
        <w:pStyle w:val="962"/>
        <w:ind w:left="680" w:hanging="680"/>
      </w:pPr>
      <w:rPr>
        <w:rFonts w:hint="eastAsia"/>
      </w:rPr>
    </w:lvl>
    <w:lvl w:ilvl="7">
      <w:start w:val="1"/>
      <w:numFmt w:val="decimal"/>
      <w:isLgl w:val="false"/>
      <w:suff w:val="tab"/>
      <w:lvlText w:val="%1.%2.%3.%4.%5.%6.%7.%8"/>
      <w:lvlJc w:val="left"/>
      <w:pPr>
        <w:pStyle w:val="962"/>
        <w:ind w:left="680" w:hanging="680"/>
      </w:pPr>
      <w:rPr>
        <w:rFonts w:hint="eastAsia"/>
      </w:rPr>
    </w:lvl>
    <w:lvl w:ilvl="8">
      <w:start w:val="1"/>
      <w:numFmt w:val="decimal"/>
      <w:isLgl w:val="false"/>
      <w:suff w:val="tab"/>
      <w:lvlText w:val="%1.%2.%3.%4.%5.%6.%7.%8.%9"/>
      <w:lvlJc w:val="left"/>
      <w:pPr>
        <w:pStyle w:val="962"/>
        <w:ind w:left="680" w:hanging="680"/>
      </w:pPr>
      <w:rPr>
        <w:rFonts w:hint="eastAsia"/>
      </w:rPr>
    </w:lvl>
  </w:abstractNum>
  <w:abstractNum w:abstractNumId="6">
    <w:multiLevelType w:val="hybridMultilevel"/>
    <w:lvl w:ilvl="0">
      <w:start w:val="1"/>
      <w:numFmt w:val="decimal"/>
      <w:pStyle w:val="1301"/>
      <w:isLgl w:val="false"/>
      <w:suff w:val="tab"/>
      <w:lvlText w:val="%1."/>
      <w:lvlJc w:val="left"/>
      <w:pPr>
        <w:pStyle w:val="962"/>
        <w:ind w:left="420" w:hanging="420"/>
      </w:pPr>
    </w:lvl>
    <w:lvl w:ilvl="1">
      <w:start w:val="1"/>
      <w:numFmt w:val="decimal"/>
      <w:isLgl w:val="false"/>
      <w:suff w:val="tab"/>
      <w:lvlText w:val="（%2）"/>
      <w:lvlJc w:val="left"/>
      <w:pPr>
        <w:pStyle w:val="962"/>
        <w:ind w:left="1140" w:hanging="720"/>
        <w:tabs>
          <w:tab w:val="num" w:pos="1140" w:leader="none"/>
        </w:tabs>
      </w:pPr>
      <w:rPr>
        <w:rFonts w:hint="eastAsia"/>
      </w:r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7">
    <w:multiLevelType w:val="hybridMultilevel"/>
    <w:lvl w:ilvl="0">
      <w:start w:val="2"/>
      <w:numFmt w:val="chineseCounting"/>
      <w:isLgl w:val="false"/>
      <w:suff w:val="nothing"/>
      <w:lvlText w:val="%1、"/>
      <w:lvlJc w:val="left"/>
      <w:pPr>
        <w:pStyle w:val="9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62"/>
    <w:next w:val="962"/>
    <w:link w:val="1003"/>
    <w:uiPriority w:val="9"/>
    <w:qFormat/>
    <w:pPr>
      <w:keepLines/>
      <w:keepNext/>
      <w:spacing w:before="480" w:after="200"/>
      <w:outlineLvl w:val="0"/>
    </w:pPr>
    <w:rPr>
      <w:rFonts w:ascii="Arial" w:hAnsi="Arial" w:eastAsia="Arial" w:cs="Arial"/>
      <w:sz w:val="40"/>
      <w:szCs w:val="40"/>
    </w:rPr>
  </w:style>
  <w:style w:type="paragraph" w:styleId="14">
    <w:name w:val="Heading 2"/>
    <w:basedOn w:val="962"/>
    <w:next w:val="962"/>
    <w:link w:val="1005"/>
    <w:uiPriority w:val="9"/>
    <w:unhideWhenUsed/>
    <w:qFormat/>
    <w:pPr>
      <w:keepLines/>
      <w:keepNext/>
      <w:spacing w:before="360" w:after="200"/>
      <w:outlineLvl w:val="1"/>
    </w:pPr>
    <w:rPr>
      <w:rFonts w:ascii="Arial" w:hAnsi="Arial" w:eastAsia="Arial" w:cs="Arial"/>
      <w:sz w:val="34"/>
    </w:rPr>
  </w:style>
  <w:style w:type="paragraph" w:styleId="16">
    <w:name w:val="Heading 3"/>
    <w:basedOn w:val="962"/>
    <w:next w:val="962"/>
    <w:link w:val="100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62"/>
    <w:next w:val="962"/>
    <w:link w:val="100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62"/>
    <w:next w:val="962"/>
    <w:link w:val="101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62"/>
    <w:next w:val="962"/>
    <w:link w:val="101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62"/>
    <w:next w:val="962"/>
    <w:link w:val="101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62"/>
    <w:next w:val="962"/>
    <w:link w:val="101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62"/>
    <w:next w:val="962"/>
    <w:link w:val="1019"/>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962"/>
    <w:next w:val="962"/>
    <w:link w:val="1047"/>
    <w:uiPriority w:val="10"/>
    <w:qFormat/>
    <w:pPr>
      <w:contextualSpacing/>
      <w:spacing w:before="300" w:after="200"/>
    </w:pPr>
    <w:rPr>
      <w:sz w:val="48"/>
      <w:szCs w:val="48"/>
    </w:rPr>
  </w:style>
  <w:style w:type="paragraph" w:styleId="35">
    <w:name w:val="Subtitle"/>
    <w:basedOn w:val="962"/>
    <w:next w:val="962"/>
    <w:link w:val="1039"/>
    <w:uiPriority w:val="11"/>
    <w:qFormat/>
    <w:pPr>
      <w:spacing w:before="200" w:after="200"/>
    </w:pPr>
    <w:rPr>
      <w:sz w:val="24"/>
      <w:szCs w:val="24"/>
    </w:rPr>
  </w:style>
  <w:style w:type="paragraph" w:styleId="41">
    <w:name w:val="Header"/>
    <w:basedOn w:val="962"/>
    <w:link w:val="1035"/>
    <w:uiPriority w:val="99"/>
    <w:unhideWhenUsed/>
    <w:pPr>
      <w:spacing w:after="0" w:line="240" w:lineRule="auto"/>
      <w:tabs>
        <w:tab w:val="center" w:pos="7143" w:leader="none"/>
        <w:tab w:val="right" w:pos="14287" w:leader="none"/>
      </w:tabs>
    </w:pPr>
  </w:style>
  <w:style w:type="paragraph" w:styleId="43">
    <w:name w:val="Footer"/>
    <w:basedOn w:val="962"/>
    <w:link w:val="1032"/>
    <w:uiPriority w:val="99"/>
    <w:unhideWhenUsed/>
    <w:pPr>
      <w:spacing w:after="0" w:line="240" w:lineRule="auto"/>
      <w:tabs>
        <w:tab w:val="center" w:pos="7143" w:leader="none"/>
        <w:tab w:val="right" w:pos="14287" w:leader="none"/>
      </w:tabs>
    </w:pPr>
  </w:style>
  <w:style w:type="paragraph" w:styleId="45">
    <w:name w:val="Caption"/>
    <w:basedOn w:val="962"/>
    <w:next w:val="96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962"/>
    <w:link w:val="104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62"/>
    <w:link w:val="103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962"/>
    <w:next w:val="962"/>
    <w:uiPriority w:val="39"/>
    <w:unhideWhenUsed/>
    <w:pPr>
      <w:ind w:left="0" w:right="0" w:firstLine="0"/>
      <w:spacing w:after="57"/>
    </w:pPr>
  </w:style>
  <w:style w:type="paragraph" w:styleId="181">
    <w:name w:val="toc 2"/>
    <w:basedOn w:val="962"/>
    <w:next w:val="962"/>
    <w:uiPriority w:val="39"/>
    <w:unhideWhenUsed/>
    <w:pPr>
      <w:ind w:left="283" w:right="0" w:firstLine="0"/>
      <w:spacing w:after="57"/>
    </w:pPr>
  </w:style>
  <w:style w:type="paragraph" w:styleId="182">
    <w:name w:val="toc 3"/>
    <w:basedOn w:val="962"/>
    <w:next w:val="962"/>
    <w:uiPriority w:val="39"/>
    <w:unhideWhenUsed/>
    <w:pPr>
      <w:ind w:left="567" w:right="0" w:firstLine="0"/>
      <w:spacing w:after="57"/>
    </w:pPr>
  </w:style>
  <w:style w:type="paragraph" w:styleId="183">
    <w:name w:val="toc 4"/>
    <w:basedOn w:val="962"/>
    <w:next w:val="962"/>
    <w:uiPriority w:val="39"/>
    <w:unhideWhenUsed/>
    <w:pPr>
      <w:ind w:left="850" w:right="0" w:firstLine="0"/>
      <w:spacing w:after="57"/>
    </w:pPr>
  </w:style>
  <w:style w:type="paragraph" w:styleId="184">
    <w:name w:val="toc 5"/>
    <w:basedOn w:val="962"/>
    <w:next w:val="962"/>
    <w:uiPriority w:val="39"/>
    <w:unhideWhenUsed/>
    <w:pPr>
      <w:ind w:left="1134" w:right="0" w:firstLine="0"/>
      <w:spacing w:after="57"/>
    </w:pPr>
  </w:style>
  <w:style w:type="paragraph" w:styleId="185">
    <w:name w:val="toc 6"/>
    <w:basedOn w:val="962"/>
    <w:next w:val="962"/>
    <w:uiPriority w:val="39"/>
    <w:unhideWhenUsed/>
    <w:pPr>
      <w:ind w:left="1417" w:right="0" w:firstLine="0"/>
      <w:spacing w:after="57"/>
    </w:pPr>
  </w:style>
  <w:style w:type="paragraph" w:styleId="186">
    <w:name w:val="toc 7"/>
    <w:basedOn w:val="962"/>
    <w:next w:val="962"/>
    <w:uiPriority w:val="39"/>
    <w:unhideWhenUsed/>
    <w:pPr>
      <w:ind w:left="1701" w:right="0" w:firstLine="0"/>
      <w:spacing w:after="57"/>
    </w:pPr>
  </w:style>
  <w:style w:type="paragraph" w:styleId="187">
    <w:name w:val="toc 8"/>
    <w:basedOn w:val="962"/>
    <w:next w:val="962"/>
    <w:uiPriority w:val="39"/>
    <w:unhideWhenUsed/>
    <w:pPr>
      <w:ind w:left="1984" w:right="0" w:firstLine="0"/>
      <w:spacing w:after="57"/>
    </w:pPr>
  </w:style>
  <w:style w:type="paragraph" w:styleId="188">
    <w:name w:val="toc 9"/>
    <w:basedOn w:val="962"/>
    <w:next w:val="962"/>
    <w:uiPriority w:val="39"/>
    <w:unhideWhenUsed/>
    <w:pPr>
      <w:ind w:left="2268" w:right="0" w:firstLine="0"/>
      <w:spacing w:after="57"/>
    </w:pPr>
  </w:style>
  <w:style w:type="paragraph" w:styleId="190">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rFonts w:ascii="Times New Roman" w:hAnsi="Times New Roman" w:eastAsia="宋体" w:cs="Times New Roman"/>
      <w:sz w:val="21"/>
      <w:szCs w:val="24"/>
      <w:lang w:val="en-US" w:eastAsia="zh-CN" w:bidi="ar-SA"/>
    </w:rPr>
  </w:style>
  <w:style w:type="paragraph" w:styleId="963">
    <w:name w:val="标题 1"/>
    <w:basedOn w:val="962"/>
    <w:next w:val="962"/>
    <w:link w:val="962"/>
    <w:uiPriority w:val="9"/>
    <w:qFormat/>
    <w:pPr>
      <w:keepLines/>
      <w:keepNext/>
      <w:spacing w:before="480" w:after="200"/>
      <w:outlineLvl w:val="0"/>
    </w:pPr>
    <w:rPr>
      <w:rFonts w:ascii="Arial" w:hAnsi="Arial" w:eastAsia="Arial" w:cs="Arial"/>
      <w:sz w:val="40"/>
      <w:szCs w:val="40"/>
    </w:rPr>
  </w:style>
  <w:style w:type="paragraph" w:styleId="964">
    <w:name w:val="标题 2"/>
    <w:basedOn w:val="962"/>
    <w:next w:val="962"/>
    <w:link w:val="962"/>
    <w:uiPriority w:val="9"/>
    <w:unhideWhenUsed/>
    <w:qFormat/>
    <w:pPr>
      <w:keepLines/>
      <w:keepNext/>
      <w:spacing w:before="360" w:after="200"/>
      <w:outlineLvl w:val="1"/>
    </w:pPr>
    <w:rPr>
      <w:rFonts w:ascii="Arial" w:hAnsi="Arial" w:eastAsia="Arial" w:cs="Arial"/>
      <w:sz w:val="34"/>
    </w:rPr>
  </w:style>
  <w:style w:type="paragraph" w:styleId="965">
    <w:name w:val="标题 3"/>
    <w:basedOn w:val="962"/>
    <w:next w:val="962"/>
    <w:link w:val="962"/>
    <w:uiPriority w:val="9"/>
    <w:unhideWhenUsed/>
    <w:qFormat/>
    <w:pPr>
      <w:keepLines/>
      <w:keepNext/>
      <w:spacing w:before="320" w:after="200"/>
      <w:outlineLvl w:val="2"/>
    </w:pPr>
    <w:rPr>
      <w:rFonts w:ascii="Arial" w:hAnsi="Arial" w:eastAsia="Arial" w:cs="Arial"/>
      <w:sz w:val="30"/>
      <w:szCs w:val="30"/>
    </w:rPr>
  </w:style>
  <w:style w:type="paragraph" w:styleId="966">
    <w:name w:val="标题 4"/>
    <w:basedOn w:val="962"/>
    <w:next w:val="962"/>
    <w:link w:val="962"/>
    <w:uiPriority w:val="9"/>
    <w:unhideWhenUsed/>
    <w:qFormat/>
    <w:pPr>
      <w:keepLines/>
      <w:keepNext/>
      <w:spacing w:before="320" w:after="200"/>
      <w:outlineLvl w:val="3"/>
    </w:pPr>
    <w:rPr>
      <w:rFonts w:ascii="Arial" w:hAnsi="Arial" w:eastAsia="Arial" w:cs="Arial"/>
      <w:b/>
      <w:bCs/>
      <w:sz w:val="26"/>
      <w:szCs w:val="26"/>
    </w:rPr>
  </w:style>
  <w:style w:type="paragraph" w:styleId="967">
    <w:name w:val="标题 5"/>
    <w:basedOn w:val="962"/>
    <w:next w:val="962"/>
    <w:link w:val="962"/>
    <w:uiPriority w:val="9"/>
    <w:unhideWhenUsed/>
    <w:qFormat/>
    <w:pPr>
      <w:keepLines/>
      <w:keepNext/>
      <w:spacing w:before="320" w:after="200"/>
      <w:outlineLvl w:val="4"/>
    </w:pPr>
    <w:rPr>
      <w:rFonts w:ascii="Arial" w:hAnsi="Arial" w:eastAsia="Arial" w:cs="Arial"/>
      <w:b/>
      <w:bCs/>
      <w:sz w:val="24"/>
      <w:szCs w:val="24"/>
    </w:rPr>
  </w:style>
  <w:style w:type="paragraph" w:styleId="968">
    <w:name w:val="标题 6"/>
    <w:basedOn w:val="962"/>
    <w:next w:val="962"/>
    <w:link w:val="962"/>
    <w:uiPriority w:val="9"/>
    <w:unhideWhenUsed/>
    <w:qFormat/>
    <w:pPr>
      <w:keepLines/>
      <w:keepNext/>
      <w:spacing w:before="320" w:after="200"/>
      <w:outlineLvl w:val="5"/>
    </w:pPr>
    <w:rPr>
      <w:rFonts w:ascii="Arial" w:hAnsi="Arial" w:eastAsia="Arial" w:cs="Arial"/>
      <w:b/>
      <w:bCs/>
      <w:sz w:val="22"/>
      <w:szCs w:val="22"/>
    </w:rPr>
  </w:style>
  <w:style w:type="paragraph" w:styleId="969">
    <w:name w:val="标题 7"/>
    <w:basedOn w:val="962"/>
    <w:next w:val="962"/>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970">
    <w:name w:val="标题 8"/>
    <w:basedOn w:val="962"/>
    <w:next w:val="962"/>
    <w:link w:val="962"/>
    <w:uiPriority w:val="9"/>
    <w:unhideWhenUsed/>
    <w:qFormat/>
    <w:pPr>
      <w:keepLines/>
      <w:keepNext/>
      <w:spacing w:before="320" w:after="200"/>
      <w:outlineLvl w:val="7"/>
    </w:pPr>
    <w:rPr>
      <w:rFonts w:ascii="Arial" w:hAnsi="Arial" w:eastAsia="Arial" w:cs="Arial"/>
      <w:i/>
      <w:iCs/>
      <w:sz w:val="22"/>
      <w:szCs w:val="22"/>
    </w:rPr>
  </w:style>
  <w:style w:type="paragraph" w:styleId="971">
    <w:name w:val="标题 9"/>
    <w:basedOn w:val="962"/>
    <w:next w:val="962"/>
    <w:link w:val="962"/>
    <w:uiPriority w:val="9"/>
    <w:unhideWhenUsed/>
    <w:qFormat/>
    <w:pPr>
      <w:keepLines/>
      <w:keepNext/>
      <w:spacing w:before="320" w:after="200"/>
      <w:outlineLvl w:val="8"/>
    </w:pPr>
    <w:rPr>
      <w:rFonts w:ascii="Arial" w:hAnsi="Arial" w:eastAsia="Arial" w:cs="Arial"/>
      <w:i/>
      <w:iCs/>
      <w:sz w:val="21"/>
      <w:szCs w:val="21"/>
    </w:rPr>
  </w:style>
  <w:style w:type="character" w:styleId="972">
    <w:name w:val="默认段落字体"/>
    <w:next w:val="972"/>
    <w:link w:val="962"/>
    <w:uiPriority w:val="1"/>
    <w:unhideWhenUsed/>
    <w:qFormat/>
  </w:style>
  <w:style w:type="table" w:styleId="973">
    <w:name w:val="普通表格"/>
    <w:next w:val="973"/>
    <w:link w:val="962"/>
    <w:uiPriority w:val="99"/>
    <w:unhideWhenUsed/>
    <w:qFormat/>
    <w:tblPr/>
  </w:style>
  <w:style w:type="paragraph" w:styleId="974">
    <w:name w:val="目录 7"/>
    <w:basedOn w:val="962"/>
    <w:next w:val="962"/>
    <w:link w:val="962"/>
    <w:uiPriority w:val="39"/>
    <w:unhideWhenUsed/>
    <w:qFormat/>
    <w:pPr>
      <w:ind w:left="1701" w:right="0" w:firstLine="0"/>
      <w:spacing w:after="57"/>
    </w:pPr>
  </w:style>
  <w:style w:type="paragraph" w:styleId="975">
    <w:name w:val="正文缩进"/>
    <w:basedOn w:val="962"/>
    <w:next w:val="975"/>
    <w:link w:val="962"/>
    <w:qFormat/>
    <w:pPr>
      <w:ind w:firstLine="420"/>
      <w:jc w:val="left"/>
    </w:pPr>
    <w:rPr>
      <w:rFonts w:ascii="宋体"/>
      <w:sz w:val="24"/>
    </w:rPr>
  </w:style>
  <w:style w:type="paragraph" w:styleId="976">
    <w:name w:val="题注"/>
    <w:basedOn w:val="962"/>
    <w:next w:val="962"/>
    <w:link w:val="962"/>
    <w:uiPriority w:val="35"/>
    <w:unhideWhenUsed/>
    <w:qFormat/>
    <w:pPr>
      <w:spacing w:line="276" w:lineRule="auto"/>
    </w:pPr>
    <w:rPr>
      <w:b/>
      <w:bCs/>
      <w:color w:val="4f81bd"/>
      <w:sz w:val="18"/>
      <w:szCs w:val="18"/>
    </w:rPr>
  </w:style>
  <w:style w:type="paragraph" w:styleId="977">
    <w:name w:val="批注文字"/>
    <w:basedOn w:val="962"/>
    <w:next w:val="977"/>
    <w:link w:val="962"/>
    <w:uiPriority w:val="99"/>
    <w:unhideWhenUsed/>
    <w:qFormat/>
    <w:pPr>
      <w:jc w:val="left"/>
    </w:pPr>
  </w:style>
  <w:style w:type="paragraph" w:styleId="978">
    <w:name w:val="正文文本"/>
    <w:basedOn w:val="962"/>
    <w:next w:val="978"/>
    <w:link w:val="962"/>
    <w:qFormat/>
    <w:pPr>
      <w:spacing w:before="120" w:line="22" w:lineRule="atLeast"/>
      <w:tabs>
        <w:tab w:val="left" w:pos="567" w:leader="none"/>
      </w:tabs>
    </w:pPr>
    <w:rPr>
      <w:rFonts w:ascii="宋体" w:hAnsi="宋体"/>
      <w:sz w:val="24"/>
    </w:rPr>
  </w:style>
  <w:style w:type="paragraph" w:styleId="979">
    <w:name w:val="目录 5"/>
    <w:basedOn w:val="962"/>
    <w:next w:val="962"/>
    <w:link w:val="962"/>
    <w:uiPriority w:val="39"/>
    <w:unhideWhenUsed/>
    <w:qFormat/>
    <w:pPr>
      <w:ind w:left="1134" w:right="0" w:firstLine="0"/>
      <w:spacing w:after="57"/>
    </w:pPr>
  </w:style>
  <w:style w:type="paragraph" w:styleId="980">
    <w:name w:val="目录 3"/>
    <w:basedOn w:val="962"/>
    <w:next w:val="962"/>
    <w:link w:val="962"/>
    <w:uiPriority w:val="39"/>
    <w:unhideWhenUsed/>
    <w:qFormat/>
    <w:pPr>
      <w:ind w:left="567" w:right="0" w:firstLine="0"/>
      <w:spacing w:after="57"/>
    </w:pPr>
  </w:style>
  <w:style w:type="paragraph" w:styleId="981">
    <w:name w:val="纯文本"/>
    <w:basedOn w:val="962"/>
    <w:next w:val="981"/>
    <w:link w:val="962"/>
    <w:qFormat/>
    <w:rPr>
      <w:rFonts w:ascii="宋体" w:hAnsi="Courier New" w:cs="Courier New"/>
      <w:szCs w:val="21"/>
    </w:rPr>
  </w:style>
  <w:style w:type="paragraph" w:styleId="982">
    <w:name w:val="目录 8"/>
    <w:basedOn w:val="962"/>
    <w:next w:val="962"/>
    <w:link w:val="962"/>
    <w:uiPriority w:val="39"/>
    <w:unhideWhenUsed/>
    <w:qFormat/>
    <w:pPr>
      <w:ind w:left="1984" w:right="0" w:firstLine="0"/>
      <w:spacing w:after="57"/>
    </w:pPr>
  </w:style>
  <w:style w:type="paragraph" w:styleId="983">
    <w:name w:val="尾注文本"/>
    <w:basedOn w:val="962"/>
    <w:next w:val="983"/>
    <w:link w:val="962"/>
    <w:uiPriority w:val="99"/>
    <w:unhideWhenUsed/>
    <w:qFormat/>
    <w:pPr>
      <w:spacing w:after="0" w:line="240" w:lineRule="auto"/>
    </w:pPr>
    <w:rPr>
      <w:sz w:val="20"/>
    </w:rPr>
  </w:style>
  <w:style w:type="paragraph" w:styleId="984">
    <w:name w:val="页脚"/>
    <w:basedOn w:val="962"/>
    <w:next w:val="984"/>
    <w:link w:val="962"/>
    <w:uiPriority w:val="99"/>
    <w:unhideWhenUsed/>
    <w:qFormat/>
    <w:pPr>
      <w:spacing w:after="0" w:line="240" w:lineRule="auto"/>
      <w:tabs>
        <w:tab w:val="center" w:pos="7143" w:leader="none"/>
        <w:tab w:val="right" w:pos="14287" w:leader="none"/>
      </w:tabs>
    </w:pPr>
  </w:style>
  <w:style w:type="paragraph" w:styleId="985">
    <w:name w:val="页眉"/>
    <w:basedOn w:val="962"/>
    <w:next w:val="985"/>
    <w:link w:val="962"/>
    <w:uiPriority w:val="99"/>
    <w:unhideWhenUsed/>
    <w:qFormat/>
    <w:pPr>
      <w:spacing w:after="0" w:line="240" w:lineRule="auto"/>
      <w:tabs>
        <w:tab w:val="center" w:pos="7143" w:leader="none"/>
        <w:tab w:val="right" w:pos="14287" w:leader="none"/>
      </w:tabs>
    </w:pPr>
  </w:style>
  <w:style w:type="paragraph" w:styleId="986">
    <w:name w:val="目录 1"/>
    <w:basedOn w:val="962"/>
    <w:next w:val="962"/>
    <w:link w:val="962"/>
    <w:uiPriority w:val="39"/>
    <w:unhideWhenUsed/>
    <w:qFormat/>
    <w:pPr>
      <w:ind w:left="0" w:right="0" w:firstLine="0"/>
      <w:spacing w:after="57"/>
    </w:pPr>
  </w:style>
  <w:style w:type="paragraph" w:styleId="987">
    <w:name w:val="目录 4"/>
    <w:basedOn w:val="962"/>
    <w:next w:val="962"/>
    <w:link w:val="962"/>
    <w:uiPriority w:val="39"/>
    <w:unhideWhenUsed/>
    <w:qFormat/>
    <w:pPr>
      <w:ind w:left="850" w:right="0" w:firstLine="0"/>
      <w:spacing w:after="57"/>
    </w:pPr>
  </w:style>
  <w:style w:type="paragraph" w:styleId="988">
    <w:name w:val="副标题"/>
    <w:basedOn w:val="962"/>
    <w:next w:val="962"/>
    <w:link w:val="962"/>
    <w:uiPriority w:val="11"/>
    <w:qFormat/>
    <w:pPr>
      <w:spacing w:before="200" w:after="200"/>
    </w:pPr>
    <w:rPr>
      <w:sz w:val="24"/>
      <w:szCs w:val="24"/>
    </w:rPr>
  </w:style>
  <w:style w:type="paragraph" w:styleId="989">
    <w:name w:val="脚注文本"/>
    <w:basedOn w:val="962"/>
    <w:next w:val="989"/>
    <w:link w:val="962"/>
    <w:uiPriority w:val="99"/>
    <w:unhideWhenUsed/>
    <w:qFormat/>
    <w:pPr>
      <w:spacing w:after="40" w:line="240" w:lineRule="auto"/>
    </w:pPr>
    <w:rPr>
      <w:sz w:val="18"/>
    </w:rPr>
  </w:style>
  <w:style w:type="paragraph" w:styleId="990">
    <w:name w:val="目录 6"/>
    <w:basedOn w:val="962"/>
    <w:next w:val="962"/>
    <w:link w:val="962"/>
    <w:uiPriority w:val="39"/>
    <w:unhideWhenUsed/>
    <w:qFormat/>
    <w:pPr>
      <w:ind w:left="1417" w:right="0" w:firstLine="0"/>
      <w:spacing w:after="57"/>
    </w:pPr>
  </w:style>
  <w:style w:type="paragraph" w:styleId="991">
    <w:name w:val="图表目录"/>
    <w:basedOn w:val="962"/>
    <w:next w:val="962"/>
    <w:link w:val="962"/>
    <w:uiPriority w:val="99"/>
    <w:unhideWhenUsed/>
    <w:qFormat/>
    <w:pPr>
      <w:spacing w:after="0" w:afterAutospacing="0"/>
    </w:pPr>
  </w:style>
  <w:style w:type="paragraph" w:styleId="992">
    <w:name w:val="目录 2"/>
    <w:basedOn w:val="962"/>
    <w:next w:val="962"/>
    <w:link w:val="962"/>
    <w:uiPriority w:val="39"/>
    <w:unhideWhenUsed/>
    <w:qFormat/>
    <w:pPr>
      <w:ind w:left="283" w:right="0" w:firstLine="0"/>
      <w:spacing w:after="57"/>
    </w:pPr>
  </w:style>
  <w:style w:type="paragraph" w:styleId="993">
    <w:name w:val="目录 9"/>
    <w:basedOn w:val="962"/>
    <w:next w:val="962"/>
    <w:link w:val="962"/>
    <w:uiPriority w:val="39"/>
    <w:unhideWhenUsed/>
    <w:qFormat/>
    <w:pPr>
      <w:ind w:left="2268" w:right="0" w:firstLine="0"/>
      <w:spacing w:after="57"/>
    </w:pPr>
  </w:style>
  <w:style w:type="paragraph" w:styleId="994">
    <w:name w:val="普通(网站)"/>
    <w:basedOn w:val="962"/>
    <w:next w:val="994"/>
    <w:link w:val="962"/>
    <w:uiPriority w:val="99"/>
    <w:unhideWhenUsed/>
    <w:pPr>
      <w:ind w:left="0" w:right="0"/>
      <w:jc w:val="left"/>
      <w:spacing w:before="100" w:beforeAutospacing="1" w:after="100" w:afterAutospacing="1"/>
    </w:pPr>
    <w:rPr>
      <w:sz w:val="24"/>
      <w:lang w:val="en-US" w:eastAsia="zh-CN" w:bidi="ar"/>
    </w:rPr>
  </w:style>
  <w:style w:type="paragraph" w:styleId="995">
    <w:name w:val="标题"/>
    <w:basedOn w:val="962"/>
    <w:next w:val="962"/>
    <w:link w:val="962"/>
    <w:uiPriority w:val="10"/>
    <w:qFormat/>
    <w:pPr>
      <w:contextualSpacing/>
      <w:spacing w:before="300" w:after="200"/>
    </w:pPr>
    <w:rPr>
      <w:sz w:val="48"/>
      <w:szCs w:val="48"/>
    </w:rPr>
  </w:style>
  <w:style w:type="table" w:styleId="996">
    <w:name w:val="网格型"/>
    <w:next w:val="996"/>
    <w:link w:val="962"/>
    <w:uiPriority w:val="59"/>
    <w:qFormat/>
    <w:pPr>
      <w:spacing w:after="0" w:line="240" w:lineRule="auto"/>
    </w:pPr>
    <w:tblPr/>
  </w:style>
  <w:style w:type="character" w:styleId="997">
    <w:name w:val="要点"/>
    <w:basedOn w:val="972"/>
    <w:next w:val="997"/>
    <w:link w:val="962"/>
    <w:qFormat/>
    <w:rPr>
      <w:b/>
    </w:rPr>
  </w:style>
  <w:style w:type="character" w:styleId="998">
    <w:name w:val="尾注引用"/>
    <w:next w:val="998"/>
    <w:link w:val="962"/>
    <w:uiPriority w:val="99"/>
    <w:unhideWhenUsed/>
    <w:qFormat/>
    <w:rPr>
      <w:vertAlign w:val="superscript"/>
    </w:rPr>
  </w:style>
  <w:style w:type="character" w:styleId="999">
    <w:name w:val="超链接"/>
    <w:next w:val="999"/>
    <w:link w:val="962"/>
    <w:uiPriority w:val="99"/>
    <w:unhideWhenUsed/>
    <w:qFormat/>
    <w:rPr>
      <w:color w:val="0000ff"/>
      <w:u w:val="single"/>
    </w:rPr>
  </w:style>
  <w:style w:type="character" w:styleId="1000">
    <w:name w:val="脚注引用"/>
    <w:next w:val="1000"/>
    <w:link w:val="962"/>
    <w:uiPriority w:val="99"/>
    <w:unhideWhenUsed/>
    <w:qFormat/>
    <w:rPr>
      <w:vertAlign w:val="superscript"/>
    </w:rPr>
  </w:style>
  <w:style w:type="character" w:styleId="1001">
    <w:name w:val="font112"/>
    <w:next w:val="1001"/>
    <w:link w:val="962"/>
    <w:qFormat/>
    <w:rPr>
      <w:rFonts w:ascii="Arial" w:hAnsi="Arial" w:cs="Arial"/>
      <w:color w:val="000000"/>
      <w:sz w:val="22"/>
      <w:szCs w:val="22"/>
      <w:u w:val="none"/>
    </w:rPr>
  </w:style>
  <w:style w:type="paragraph" w:styleId="1002">
    <w:name w:val="标题 111"/>
    <w:basedOn w:val="962"/>
    <w:next w:val="962"/>
    <w:link w:val="1003"/>
    <w:uiPriority w:val="9"/>
    <w:qFormat/>
    <w:pPr>
      <w:keepLines/>
      <w:keepNext/>
      <w:spacing w:before="480" w:after="200"/>
      <w:outlineLvl w:val="0"/>
    </w:pPr>
    <w:rPr>
      <w:rFonts w:ascii="Arial" w:hAnsi="Arial" w:eastAsia="Arial" w:cs="Arial"/>
      <w:sz w:val="40"/>
      <w:szCs w:val="40"/>
    </w:rPr>
  </w:style>
  <w:style w:type="character" w:styleId="1003">
    <w:name w:val="Heading 1 Char"/>
    <w:next w:val="1003"/>
    <w:link w:val="1002"/>
    <w:uiPriority w:val="9"/>
    <w:qFormat/>
    <w:rPr>
      <w:rFonts w:ascii="Arial" w:hAnsi="Arial" w:eastAsia="Arial" w:cs="Arial"/>
      <w:sz w:val="40"/>
      <w:szCs w:val="40"/>
    </w:rPr>
  </w:style>
  <w:style w:type="paragraph" w:styleId="1004">
    <w:name w:val="标题 211"/>
    <w:basedOn w:val="962"/>
    <w:next w:val="962"/>
    <w:link w:val="1005"/>
    <w:uiPriority w:val="9"/>
    <w:unhideWhenUsed/>
    <w:qFormat/>
    <w:pPr>
      <w:keepLines/>
      <w:keepNext/>
      <w:spacing w:before="360" w:after="200"/>
      <w:outlineLvl w:val="1"/>
    </w:pPr>
    <w:rPr>
      <w:rFonts w:ascii="Arial" w:hAnsi="Arial" w:eastAsia="Arial" w:cs="Arial"/>
      <w:sz w:val="34"/>
    </w:rPr>
  </w:style>
  <w:style w:type="character" w:styleId="1005">
    <w:name w:val="Heading 2 Char"/>
    <w:next w:val="1005"/>
    <w:link w:val="1004"/>
    <w:uiPriority w:val="9"/>
    <w:qFormat/>
    <w:rPr>
      <w:rFonts w:ascii="Arial" w:hAnsi="Arial" w:eastAsia="Arial" w:cs="Arial"/>
      <w:sz w:val="34"/>
    </w:rPr>
  </w:style>
  <w:style w:type="paragraph" w:styleId="1006">
    <w:name w:val="标题 311"/>
    <w:basedOn w:val="962"/>
    <w:next w:val="962"/>
    <w:link w:val="1007"/>
    <w:uiPriority w:val="9"/>
    <w:unhideWhenUsed/>
    <w:qFormat/>
    <w:pPr>
      <w:keepLines/>
      <w:keepNext/>
      <w:spacing w:before="320" w:after="200"/>
      <w:outlineLvl w:val="2"/>
    </w:pPr>
    <w:rPr>
      <w:rFonts w:ascii="Arial" w:hAnsi="Arial" w:eastAsia="Arial" w:cs="Arial"/>
      <w:sz w:val="30"/>
      <w:szCs w:val="30"/>
    </w:rPr>
  </w:style>
  <w:style w:type="character" w:styleId="1007">
    <w:name w:val="Heading 3 Char"/>
    <w:next w:val="1007"/>
    <w:link w:val="1006"/>
    <w:uiPriority w:val="9"/>
    <w:qFormat/>
    <w:rPr>
      <w:rFonts w:ascii="Arial" w:hAnsi="Arial" w:eastAsia="Arial" w:cs="Arial"/>
      <w:sz w:val="30"/>
      <w:szCs w:val="30"/>
    </w:rPr>
  </w:style>
  <w:style w:type="paragraph" w:styleId="1008">
    <w:name w:val="标题 411"/>
    <w:basedOn w:val="962"/>
    <w:next w:val="962"/>
    <w:link w:val="1009"/>
    <w:uiPriority w:val="9"/>
    <w:unhideWhenUsed/>
    <w:qFormat/>
    <w:pPr>
      <w:keepLines/>
      <w:keepNext/>
      <w:spacing w:before="320" w:after="200"/>
      <w:outlineLvl w:val="3"/>
    </w:pPr>
    <w:rPr>
      <w:rFonts w:ascii="Arial" w:hAnsi="Arial" w:eastAsia="Arial" w:cs="Arial"/>
      <w:b/>
      <w:bCs/>
      <w:sz w:val="26"/>
      <w:szCs w:val="26"/>
    </w:rPr>
  </w:style>
  <w:style w:type="character" w:styleId="1009">
    <w:name w:val="Heading 4 Char"/>
    <w:next w:val="1009"/>
    <w:link w:val="1008"/>
    <w:uiPriority w:val="9"/>
    <w:qFormat/>
    <w:rPr>
      <w:rFonts w:ascii="Arial" w:hAnsi="Arial" w:eastAsia="Arial" w:cs="Arial"/>
      <w:b/>
      <w:bCs/>
      <w:sz w:val="26"/>
      <w:szCs w:val="26"/>
    </w:rPr>
  </w:style>
  <w:style w:type="paragraph" w:styleId="1010">
    <w:name w:val="标题 511"/>
    <w:basedOn w:val="962"/>
    <w:next w:val="962"/>
    <w:link w:val="1011"/>
    <w:uiPriority w:val="9"/>
    <w:unhideWhenUsed/>
    <w:qFormat/>
    <w:pPr>
      <w:keepLines/>
      <w:keepNext/>
      <w:spacing w:before="320" w:after="200"/>
      <w:outlineLvl w:val="4"/>
    </w:pPr>
    <w:rPr>
      <w:rFonts w:ascii="Arial" w:hAnsi="Arial" w:eastAsia="Arial" w:cs="Arial"/>
      <w:b/>
      <w:bCs/>
      <w:sz w:val="24"/>
      <w:szCs w:val="24"/>
    </w:rPr>
  </w:style>
  <w:style w:type="character" w:styleId="1011">
    <w:name w:val="Heading 5 Char"/>
    <w:next w:val="1011"/>
    <w:link w:val="1010"/>
    <w:uiPriority w:val="9"/>
    <w:qFormat/>
    <w:rPr>
      <w:rFonts w:ascii="Arial" w:hAnsi="Arial" w:eastAsia="Arial" w:cs="Arial"/>
      <w:b/>
      <w:bCs/>
      <w:sz w:val="24"/>
      <w:szCs w:val="24"/>
    </w:rPr>
  </w:style>
  <w:style w:type="paragraph" w:styleId="1012">
    <w:name w:val="标题 611"/>
    <w:basedOn w:val="962"/>
    <w:next w:val="962"/>
    <w:link w:val="1013"/>
    <w:uiPriority w:val="9"/>
    <w:unhideWhenUsed/>
    <w:qFormat/>
    <w:pPr>
      <w:keepLines/>
      <w:keepNext/>
      <w:spacing w:before="320" w:after="200"/>
      <w:outlineLvl w:val="5"/>
    </w:pPr>
    <w:rPr>
      <w:rFonts w:ascii="Arial" w:hAnsi="Arial" w:eastAsia="Arial" w:cs="Arial"/>
      <w:b/>
      <w:bCs/>
      <w:sz w:val="22"/>
      <w:szCs w:val="22"/>
    </w:rPr>
  </w:style>
  <w:style w:type="character" w:styleId="1013">
    <w:name w:val="Heading 6 Char"/>
    <w:next w:val="1013"/>
    <w:link w:val="1012"/>
    <w:uiPriority w:val="9"/>
    <w:qFormat/>
    <w:rPr>
      <w:rFonts w:ascii="Arial" w:hAnsi="Arial" w:eastAsia="Arial" w:cs="Arial"/>
      <w:b/>
      <w:bCs/>
      <w:sz w:val="22"/>
      <w:szCs w:val="22"/>
    </w:rPr>
  </w:style>
  <w:style w:type="paragraph" w:styleId="1014">
    <w:name w:val="标题 711"/>
    <w:basedOn w:val="962"/>
    <w:next w:val="962"/>
    <w:link w:val="1015"/>
    <w:uiPriority w:val="9"/>
    <w:unhideWhenUsed/>
    <w:qFormat/>
    <w:pPr>
      <w:keepLines/>
      <w:keepNext/>
      <w:spacing w:before="320" w:after="200"/>
      <w:outlineLvl w:val="6"/>
    </w:pPr>
    <w:rPr>
      <w:rFonts w:ascii="Arial" w:hAnsi="Arial" w:eastAsia="Arial" w:cs="Arial"/>
      <w:b/>
      <w:bCs/>
      <w:i/>
      <w:iCs/>
      <w:sz w:val="22"/>
      <w:szCs w:val="22"/>
    </w:rPr>
  </w:style>
  <w:style w:type="character" w:styleId="1015">
    <w:name w:val="Heading 7 Char"/>
    <w:next w:val="1015"/>
    <w:link w:val="1014"/>
    <w:uiPriority w:val="9"/>
    <w:qFormat/>
    <w:rPr>
      <w:rFonts w:ascii="Arial" w:hAnsi="Arial" w:eastAsia="Arial" w:cs="Arial"/>
      <w:b/>
      <w:bCs/>
      <w:i/>
      <w:iCs/>
      <w:sz w:val="22"/>
      <w:szCs w:val="22"/>
    </w:rPr>
  </w:style>
  <w:style w:type="paragraph" w:styleId="1016">
    <w:name w:val="标题 811"/>
    <w:basedOn w:val="962"/>
    <w:next w:val="962"/>
    <w:link w:val="1017"/>
    <w:uiPriority w:val="9"/>
    <w:unhideWhenUsed/>
    <w:qFormat/>
    <w:pPr>
      <w:keepLines/>
      <w:keepNext/>
      <w:spacing w:before="320" w:after="200"/>
      <w:outlineLvl w:val="7"/>
    </w:pPr>
    <w:rPr>
      <w:rFonts w:ascii="Arial" w:hAnsi="Arial" w:eastAsia="Arial" w:cs="Arial"/>
      <w:i/>
      <w:iCs/>
      <w:sz w:val="22"/>
      <w:szCs w:val="22"/>
    </w:rPr>
  </w:style>
  <w:style w:type="character" w:styleId="1017">
    <w:name w:val="Heading 8 Char"/>
    <w:next w:val="1017"/>
    <w:link w:val="1016"/>
    <w:uiPriority w:val="9"/>
    <w:qFormat/>
    <w:rPr>
      <w:rFonts w:ascii="Arial" w:hAnsi="Arial" w:eastAsia="Arial" w:cs="Arial"/>
      <w:i/>
      <w:iCs/>
      <w:sz w:val="22"/>
      <w:szCs w:val="22"/>
    </w:rPr>
  </w:style>
  <w:style w:type="paragraph" w:styleId="1018">
    <w:name w:val="标题 911"/>
    <w:basedOn w:val="962"/>
    <w:next w:val="962"/>
    <w:link w:val="1019"/>
    <w:uiPriority w:val="9"/>
    <w:unhideWhenUsed/>
    <w:qFormat/>
    <w:pPr>
      <w:keepLines/>
      <w:keepNext/>
      <w:spacing w:before="320" w:after="200"/>
      <w:outlineLvl w:val="8"/>
    </w:pPr>
    <w:rPr>
      <w:rFonts w:ascii="Arial" w:hAnsi="Arial" w:eastAsia="Arial" w:cs="Arial"/>
      <w:i/>
      <w:iCs/>
      <w:sz w:val="21"/>
      <w:szCs w:val="21"/>
    </w:rPr>
  </w:style>
  <w:style w:type="character" w:styleId="1019">
    <w:name w:val="Heading 9 Char"/>
    <w:next w:val="1019"/>
    <w:link w:val="1018"/>
    <w:uiPriority w:val="9"/>
    <w:qFormat/>
    <w:rPr>
      <w:rFonts w:ascii="Arial" w:hAnsi="Arial" w:eastAsia="Arial" w:cs="Arial"/>
      <w:i/>
      <w:iCs/>
      <w:sz w:val="21"/>
      <w:szCs w:val="21"/>
    </w:rPr>
  </w:style>
  <w:style w:type="character" w:styleId="1020">
    <w:name w:val="默认段落字体11"/>
    <w:next w:val="1020"/>
    <w:link w:val="962"/>
    <w:uiPriority w:val="1"/>
    <w:unhideWhenUsed/>
    <w:qFormat/>
  </w:style>
  <w:style w:type="table" w:styleId="1021">
    <w:name w:val="普通表格11"/>
    <w:next w:val="1021"/>
    <w:link w:val="962"/>
    <w:uiPriority w:val="99"/>
    <w:unhideWhenUsed/>
    <w:qFormat/>
    <w:tblPr/>
  </w:style>
  <w:style w:type="paragraph" w:styleId="1022">
    <w:name w:val="目录 711"/>
    <w:basedOn w:val="962"/>
    <w:next w:val="962"/>
    <w:link w:val="962"/>
    <w:uiPriority w:val="39"/>
    <w:unhideWhenUsed/>
    <w:qFormat/>
    <w:pPr>
      <w:ind w:left="1701" w:right="0" w:firstLine="0"/>
      <w:spacing w:after="57"/>
    </w:pPr>
  </w:style>
  <w:style w:type="paragraph" w:styleId="1023">
    <w:name w:val="正文缩进112"/>
    <w:basedOn w:val="962"/>
    <w:next w:val="962"/>
    <w:link w:val="962"/>
    <w:qFormat/>
    <w:pPr>
      <w:ind w:firstLine="420"/>
      <w:jc w:val="left"/>
    </w:pPr>
    <w:rPr>
      <w:rFonts w:ascii="宋体"/>
      <w:sz w:val="24"/>
    </w:rPr>
  </w:style>
  <w:style w:type="paragraph" w:styleId="1024">
    <w:name w:val="题注11"/>
    <w:basedOn w:val="962"/>
    <w:next w:val="962"/>
    <w:link w:val="962"/>
    <w:uiPriority w:val="35"/>
    <w:unhideWhenUsed/>
    <w:qFormat/>
    <w:pPr>
      <w:spacing w:line="276" w:lineRule="auto"/>
    </w:pPr>
    <w:rPr>
      <w:b/>
      <w:bCs/>
      <w:color w:val="4f81bd"/>
      <w:sz w:val="18"/>
      <w:szCs w:val="18"/>
    </w:rPr>
  </w:style>
  <w:style w:type="paragraph" w:styleId="1025">
    <w:name w:val="目录 511"/>
    <w:basedOn w:val="962"/>
    <w:next w:val="962"/>
    <w:link w:val="962"/>
    <w:uiPriority w:val="39"/>
    <w:unhideWhenUsed/>
    <w:qFormat/>
    <w:pPr>
      <w:ind w:left="1134" w:right="0" w:firstLine="0"/>
      <w:spacing w:after="57"/>
    </w:pPr>
  </w:style>
  <w:style w:type="paragraph" w:styleId="1026">
    <w:name w:val="目录 311"/>
    <w:basedOn w:val="962"/>
    <w:next w:val="962"/>
    <w:link w:val="962"/>
    <w:uiPriority w:val="39"/>
    <w:unhideWhenUsed/>
    <w:qFormat/>
    <w:pPr>
      <w:ind w:left="567" w:right="0" w:firstLine="0"/>
      <w:spacing w:after="57"/>
    </w:pPr>
  </w:style>
  <w:style w:type="paragraph" w:styleId="1027">
    <w:name w:val="纯文本12"/>
    <w:basedOn w:val="962"/>
    <w:next w:val="1027"/>
    <w:link w:val="962"/>
    <w:qFormat/>
    <w:rPr>
      <w:rFonts w:hint="eastAsia" w:ascii="宋体" w:hAnsi="Courier New"/>
      <w:szCs w:val="20"/>
    </w:rPr>
  </w:style>
  <w:style w:type="paragraph" w:styleId="1028">
    <w:name w:val="目录 811"/>
    <w:basedOn w:val="962"/>
    <w:next w:val="962"/>
    <w:link w:val="962"/>
    <w:uiPriority w:val="39"/>
    <w:unhideWhenUsed/>
    <w:qFormat/>
    <w:pPr>
      <w:ind w:left="1984" w:right="0" w:firstLine="0"/>
      <w:spacing w:after="57"/>
    </w:pPr>
  </w:style>
  <w:style w:type="paragraph" w:styleId="1029">
    <w:name w:val="尾注文本1"/>
    <w:basedOn w:val="962"/>
    <w:next w:val="1029"/>
    <w:link w:val="1030"/>
    <w:uiPriority w:val="99"/>
    <w:unhideWhenUsed/>
    <w:qFormat/>
    <w:pPr>
      <w:spacing w:after="0" w:line="240" w:lineRule="auto"/>
    </w:pPr>
    <w:rPr>
      <w:sz w:val="20"/>
    </w:rPr>
  </w:style>
  <w:style w:type="character" w:styleId="1030">
    <w:name w:val="Endnote Text Char"/>
    <w:next w:val="1030"/>
    <w:link w:val="1029"/>
    <w:uiPriority w:val="99"/>
    <w:qFormat/>
    <w:rPr>
      <w:sz w:val="20"/>
    </w:rPr>
  </w:style>
  <w:style w:type="paragraph" w:styleId="1031">
    <w:name w:val="页脚11"/>
    <w:basedOn w:val="962"/>
    <w:next w:val="1031"/>
    <w:link w:val="1032"/>
    <w:uiPriority w:val="99"/>
    <w:unhideWhenUsed/>
    <w:qFormat/>
    <w:pPr>
      <w:spacing w:after="0" w:line="240" w:lineRule="auto"/>
      <w:tabs>
        <w:tab w:val="center" w:pos="7143" w:leader="none"/>
        <w:tab w:val="right" w:pos="14287" w:leader="none"/>
      </w:tabs>
    </w:pPr>
  </w:style>
  <w:style w:type="character" w:styleId="1032">
    <w:name w:val="Caption Char"/>
    <w:next w:val="1032"/>
    <w:link w:val="1031"/>
    <w:uiPriority w:val="99"/>
    <w:qFormat/>
  </w:style>
  <w:style w:type="character" w:styleId="1033">
    <w:name w:val="Footer Char"/>
    <w:next w:val="1033"/>
    <w:link w:val="1031"/>
    <w:uiPriority w:val="99"/>
    <w:qFormat/>
  </w:style>
  <w:style w:type="paragraph" w:styleId="1034">
    <w:name w:val="页眉11"/>
    <w:basedOn w:val="962"/>
    <w:next w:val="1034"/>
    <w:link w:val="1035"/>
    <w:uiPriority w:val="99"/>
    <w:unhideWhenUsed/>
    <w:qFormat/>
    <w:pPr>
      <w:spacing w:after="0" w:line="240" w:lineRule="auto"/>
      <w:tabs>
        <w:tab w:val="center" w:pos="7143" w:leader="none"/>
        <w:tab w:val="right" w:pos="14287" w:leader="none"/>
      </w:tabs>
    </w:pPr>
  </w:style>
  <w:style w:type="character" w:styleId="1035">
    <w:name w:val="Header Char"/>
    <w:next w:val="1035"/>
    <w:link w:val="1034"/>
    <w:uiPriority w:val="99"/>
    <w:qFormat/>
  </w:style>
  <w:style w:type="paragraph" w:styleId="1036">
    <w:name w:val="目录 111"/>
    <w:basedOn w:val="962"/>
    <w:next w:val="962"/>
    <w:link w:val="962"/>
    <w:uiPriority w:val="39"/>
    <w:unhideWhenUsed/>
    <w:qFormat/>
    <w:pPr>
      <w:ind w:left="0" w:right="0" w:firstLine="0"/>
      <w:spacing w:after="57"/>
    </w:pPr>
  </w:style>
  <w:style w:type="paragraph" w:styleId="1037">
    <w:name w:val="目录 411"/>
    <w:basedOn w:val="962"/>
    <w:next w:val="962"/>
    <w:link w:val="962"/>
    <w:uiPriority w:val="39"/>
    <w:unhideWhenUsed/>
    <w:qFormat/>
    <w:pPr>
      <w:ind w:left="850" w:right="0" w:firstLine="0"/>
      <w:spacing w:after="57"/>
    </w:pPr>
  </w:style>
  <w:style w:type="paragraph" w:styleId="1038">
    <w:name w:val="副标题1"/>
    <w:basedOn w:val="962"/>
    <w:next w:val="962"/>
    <w:link w:val="1039"/>
    <w:uiPriority w:val="11"/>
    <w:qFormat/>
    <w:pPr>
      <w:spacing w:before="200" w:after="200"/>
    </w:pPr>
    <w:rPr>
      <w:sz w:val="24"/>
      <w:szCs w:val="24"/>
    </w:rPr>
  </w:style>
  <w:style w:type="character" w:styleId="1039">
    <w:name w:val="Subtitle Char"/>
    <w:next w:val="1039"/>
    <w:link w:val="1038"/>
    <w:uiPriority w:val="11"/>
    <w:qFormat/>
    <w:rPr>
      <w:sz w:val="24"/>
      <w:szCs w:val="24"/>
    </w:rPr>
  </w:style>
  <w:style w:type="paragraph" w:styleId="1040">
    <w:name w:val="脚注文本1"/>
    <w:basedOn w:val="962"/>
    <w:next w:val="1040"/>
    <w:link w:val="1041"/>
    <w:uiPriority w:val="99"/>
    <w:unhideWhenUsed/>
    <w:qFormat/>
    <w:pPr>
      <w:spacing w:after="40" w:line="240" w:lineRule="auto"/>
    </w:pPr>
    <w:rPr>
      <w:sz w:val="18"/>
    </w:rPr>
  </w:style>
  <w:style w:type="character" w:styleId="1041">
    <w:name w:val="Footnote Text Char"/>
    <w:next w:val="1041"/>
    <w:link w:val="1040"/>
    <w:uiPriority w:val="99"/>
    <w:qFormat/>
    <w:rPr>
      <w:sz w:val="18"/>
    </w:rPr>
  </w:style>
  <w:style w:type="paragraph" w:styleId="1042">
    <w:name w:val="目录 611"/>
    <w:basedOn w:val="962"/>
    <w:next w:val="962"/>
    <w:link w:val="962"/>
    <w:uiPriority w:val="39"/>
    <w:unhideWhenUsed/>
    <w:qFormat/>
    <w:pPr>
      <w:ind w:left="1417" w:right="0" w:firstLine="0"/>
      <w:spacing w:after="57"/>
    </w:pPr>
  </w:style>
  <w:style w:type="paragraph" w:styleId="1043">
    <w:name w:val="图表目录1"/>
    <w:basedOn w:val="962"/>
    <w:next w:val="962"/>
    <w:link w:val="962"/>
    <w:uiPriority w:val="99"/>
    <w:unhideWhenUsed/>
    <w:qFormat/>
    <w:pPr>
      <w:spacing w:after="0" w:afterAutospacing="0"/>
    </w:pPr>
  </w:style>
  <w:style w:type="paragraph" w:styleId="1044">
    <w:name w:val="目录 211"/>
    <w:basedOn w:val="962"/>
    <w:next w:val="962"/>
    <w:link w:val="962"/>
    <w:uiPriority w:val="39"/>
    <w:unhideWhenUsed/>
    <w:qFormat/>
    <w:pPr>
      <w:ind w:left="283" w:right="0" w:firstLine="0"/>
      <w:spacing w:after="57"/>
    </w:pPr>
  </w:style>
  <w:style w:type="paragraph" w:styleId="1045">
    <w:name w:val="目录 911"/>
    <w:basedOn w:val="962"/>
    <w:next w:val="962"/>
    <w:link w:val="962"/>
    <w:uiPriority w:val="39"/>
    <w:unhideWhenUsed/>
    <w:qFormat/>
    <w:pPr>
      <w:ind w:left="2268" w:right="0" w:firstLine="0"/>
      <w:spacing w:after="57"/>
    </w:pPr>
  </w:style>
  <w:style w:type="paragraph" w:styleId="1046">
    <w:name w:val="标题11"/>
    <w:basedOn w:val="962"/>
    <w:next w:val="962"/>
    <w:link w:val="1047"/>
    <w:uiPriority w:val="10"/>
    <w:qFormat/>
    <w:pPr>
      <w:contextualSpacing/>
      <w:spacing w:before="300" w:after="200"/>
    </w:pPr>
    <w:rPr>
      <w:sz w:val="48"/>
      <w:szCs w:val="48"/>
    </w:rPr>
  </w:style>
  <w:style w:type="character" w:styleId="1047">
    <w:name w:val="Title Char"/>
    <w:next w:val="1047"/>
    <w:link w:val="1046"/>
    <w:uiPriority w:val="10"/>
    <w:qFormat/>
    <w:rPr>
      <w:sz w:val="48"/>
      <w:szCs w:val="48"/>
    </w:rPr>
  </w:style>
  <w:style w:type="table" w:styleId="1048">
    <w:name w:val="网格型12"/>
    <w:next w:val="1048"/>
    <w:link w:val="962"/>
    <w:uiPriority w:val="59"/>
    <w:qFormat/>
    <w:pPr>
      <w:spacing w:after="0" w:line="240" w:lineRule="auto"/>
    </w:pPr>
    <w:tblPr/>
  </w:style>
  <w:style w:type="character" w:styleId="1049">
    <w:name w:val="尾注引用1"/>
    <w:next w:val="1049"/>
    <w:link w:val="962"/>
    <w:uiPriority w:val="99"/>
    <w:unhideWhenUsed/>
    <w:qFormat/>
    <w:rPr>
      <w:vertAlign w:val="superscript"/>
    </w:rPr>
  </w:style>
  <w:style w:type="character" w:styleId="1050">
    <w:name w:val="超链接11"/>
    <w:next w:val="1050"/>
    <w:link w:val="962"/>
    <w:uiPriority w:val="99"/>
    <w:unhideWhenUsed/>
    <w:qFormat/>
    <w:rPr>
      <w:color w:val="0000ff"/>
      <w:u w:val="single"/>
    </w:rPr>
  </w:style>
  <w:style w:type="character" w:styleId="1051">
    <w:name w:val="脚注引用1"/>
    <w:next w:val="1051"/>
    <w:link w:val="962"/>
    <w:uiPriority w:val="99"/>
    <w:unhideWhenUsed/>
    <w:qFormat/>
    <w:rPr>
      <w:vertAlign w:val="superscript"/>
    </w:rPr>
  </w:style>
  <w:style w:type="character" w:styleId="1052">
    <w:name w:val="font121"/>
    <w:next w:val="1052"/>
    <w:link w:val="962"/>
    <w:qFormat/>
    <w:rPr>
      <w:rFonts w:ascii="PingFang SC" w:hAnsi="PingFang SC" w:eastAsia="PingFang SC" w:cs="PingFang SC"/>
      <w:color w:val="000000"/>
      <w:sz w:val="24"/>
      <w:szCs w:val="24"/>
      <w:u w:val="none"/>
    </w:rPr>
  </w:style>
  <w:style w:type="paragraph" w:styleId="1053">
    <w:name w:val="List Paragraph"/>
    <w:basedOn w:val="962"/>
    <w:next w:val="1053"/>
    <w:link w:val="962"/>
    <w:uiPriority w:val="34"/>
    <w:qFormat/>
    <w:pPr>
      <w:contextualSpacing/>
      <w:ind w:left="720"/>
    </w:pPr>
  </w:style>
  <w:style w:type="paragraph" w:styleId="1054">
    <w:name w:val="No Spacing"/>
    <w:next w:val="1054"/>
    <w:link w:val="962"/>
    <w:uiPriority w:val="1"/>
    <w:qFormat/>
    <w:pPr>
      <w:spacing w:before="0" w:after="0" w:line="240" w:lineRule="auto"/>
    </w:pPr>
    <w:rPr>
      <w:rFonts w:ascii="Times New Roman" w:hAnsi="Times New Roman" w:eastAsia="宋体" w:cs="Times New Roman"/>
    </w:rPr>
  </w:style>
  <w:style w:type="paragraph" w:styleId="1055">
    <w:name w:val="Quote"/>
    <w:basedOn w:val="962"/>
    <w:next w:val="962"/>
    <w:link w:val="1056"/>
    <w:uiPriority w:val="29"/>
    <w:qFormat/>
    <w:pPr>
      <w:ind w:left="720" w:right="720"/>
    </w:pPr>
    <w:rPr>
      <w:i/>
    </w:rPr>
  </w:style>
  <w:style w:type="character" w:styleId="1056">
    <w:name w:val="Quote Char"/>
    <w:next w:val="1056"/>
    <w:link w:val="1055"/>
    <w:uiPriority w:val="29"/>
    <w:qFormat/>
    <w:rPr>
      <w:i/>
    </w:rPr>
  </w:style>
  <w:style w:type="paragraph" w:styleId="1057">
    <w:name w:val="Intense Quote"/>
    <w:basedOn w:val="962"/>
    <w:next w:val="962"/>
    <w:link w:val="10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8">
    <w:name w:val="Intense Quote Char"/>
    <w:next w:val="1058"/>
    <w:link w:val="1057"/>
    <w:uiPriority w:val="30"/>
    <w:qFormat/>
    <w:rPr>
      <w:i/>
    </w:rPr>
  </w:style>
  <w:style w:type="table" w:styleId="1059">
    <w:name w:val="Table Grid Light"/>
    <w:next w:val="1059"/>
    <w:link w:val="962"/>
    <w:uiPriority w:val="59"/>
    <w:qFormat/>
    <w:pPr>
      <w:spacing w:after="0" w:line="240" w:lineRule="auto"/>
    </w:pPr>
    <w:tblPr/>
  </w:style>
  <w:style w:type="table" w:styleId="1060">
    <w:name w:val="Plain Table 1"/>
    <w:next w:val="1060"/>
    <w:link w:val="962"/>
    <w:uiPriority w:val="59"/>
    <w:qFormat/>
    <w:pPr>
      <w:spacing w:after="0" w:line="240" w:lineRule="auto"/>
    </w:pPr>
    <w:tblPr/>
  </w:style>
  <w:style w:type="table" w:styleId="1061">
    <w:name w:val="Plain Table 2"/>
    <w:next w:val="1061"/>
    <w:link w:val="962"/>
    <w:uiPriority w:val="59"/>
    <w:qFormat/>
    <w:pPr>
      <w:spacing w:after="0" w:line="240" w:lineRule="auto"/>
    </w:pPr>
    <w:tblPr/>
  </w:style>
  <w:style w:type="table" w:styleId="1062">
    <w:name w:val="Plain Table 3"/>
    <w:next w:val="1062"/>
    <w:link w:val="962"/>
    <w:uiPriority w:val="99"/>
    <w:qFormat/>
    <w:pPr>
      <w:spacing w:after="0" w:line="240" w:lineRule="auto"/>
    </w:pPr>
    <w:tblPr/>
  </w:style>
  <w:style w:type="table" w:styleId="1063">
    <w:name w:val="Plain Table 4"/>
    <w:next w:val="1063"/>
    <w:link w:val="962"/>
    <w:uiPriority w:val="99"/>
    <w:qFormat/>
    <w:pPr>
      <w:spacing w:after="0" w:line="240" w:lineRule="auto"/>
    </w:pPr>
    <w:tblPr/>
  </w:style>
  <w:style w:type="table" w:styleId="1064">
    <w:name w:val="Plain Table 5"/>
    <w:next w:val="1064"/>
    <w:link w:val="962"/>
    <w:uiPriority w:val="99"/>
    <w:qFormat/>
    <w:pPr>
      <w:spacing w:after="0" w:line="240" w:lineRule="auto"/>
    </w:pPr>
    <w:tblPr/>
  </w:style>
  <w:style w:type="table" w:styleId="1065">
    <w:name w:val="Grid Table 1 Light"/>
    <w:next w:val="1065"/>
    <w:link w:val="962"/>
    <w:uiPriority w:val="99"/>
    <w:qFormat/>
    <w:pPr>
      <w:spacing w:after="0" w:line="240" w:lineRule="auto"/>
    </w:pPr>
    <w:tblPr/>
  </w:style>
  <w:style w:type="table" w:styleId="1066">
    <w:name w:val="Grid Table 1 Light - Accent 1"/>
    <w:next w:val="1066"/>
    <w:link w:val="962"/>
    <w:uiPriority w:val="99"/>
    <w:qFormat/>
    <w:pPr>
      <w:spacing w:after="0" w:line="240" w:lineRule="auto"/>
    </w:pPr>
    <w:tblPr/>
  </w:style>
  <w:style w:type="table" w:styleId="1067">
    <w:name w:val="Grid Table 1 Light - Accent 2"/>
    <w:next w:val="1067"/>
    <w:link w:val="962"/>
    <w:uiPriority w:val="99"/>
    <w:qFormat/>
    <w:pPr>
      <w:spacing w:after="0" w:line="240" w:lineRule="auto"/>
    </w:pPr>
    <w:tblPr/>
  </w:style>
  <w:style w:type="table" w:styleId="1068">
    <w:name w:val="Grid Table 1 Light - Accent 3"/>
    <w:next w:val="1068"/>
    <w:link w:val="962"/>
    <w:uiPriority w:val="99"/>
    <w:qFormat/>
    <w:pPr>
      <w:spacing w:after="0" w:line="240" w:lineRule="auto"/>
    </w:pPr>
    <w:tblPr/>
  </w:style>
  <w:style w:type="table" w:styleId="1069">
    <w:name w:val="Grid Table 1 Light - Accent 4"/>
    <w:next w:val="1069"/>
    <w:link w:val="962"/>
    <w:uiPriority w:val="99"/>
    <w:qFormat/>
    <w:pPr>
      <w:spacing w:after="0" w:line="240" w:lineRule="auto"/>
    </w:pPr>
    <w:tblPr/>
  </w:style>
  <w:style w:type="table" w:styleId="1070">
    <w:name w:val="Grid Table 1 Light - Accent 5"/>
    <w:next w:val="1070"/>
    <w:link w:val="962"/>
    <w:uiPriority w:val="99"/>
    <w:qFormat/>
    <w:pPr>
      <w:spacing w:after="0" w:line="240" w:lineRule="auto"/>
    </w:pPr>
    <w:tblPr/>
  </w:style>
  <w:style w:type="table" w:styleId="1071">
    <w:name w:val="Grid Table 1 Light - Accent 6"/>
    <w:next w:val="1071"/>
    <w:link w:val="962"/>
    <w:uiPriority w:val="99"/>
    <w:qFormat/>
    <w:pPr>
      <w:spacing w:after="0" w:line="240" w:lineRule="auto"/>
    </w:pPr>
    <w:tblPr/>
  </w:style>
  <w:style w:type="table" w:styleId="1072">
    <w:name w:val="Grid Table 2"/>
    <w:next w:val="1072"/>
    <w:link w:val="962"/>
    <w:uiPriority w:val="99"/>
    <w:qFormat/>
    <w:pPr>
      <w:spacing w:after="0" w:line="240" w:lineRule="auto"/>
    </w:pPr>
    <w:tblPr/>
  </w:style>
  <w:style w:type="table" w:styleId="1073">
    <w:name w:val="Grid Table 2 - Accent 1"/>
    <w:next w:val="1073"/>
    <w:link w:val="962"/>
    <w:uiPriority w:val="99"/>
    <w:qFormat/>
    <w:pPr>
      <w:spacing w:after="0" w:line="240" w:lineRule="auto"/>
    </w:pPr>
    <w:tblPr/>
  </w:style>
  <w:style w:type="table" w:styleId="1074">
    <w:name w:val="Grid Table 2 - Accent 2"/>
    <w:next w:val="1074"/>
    <w:link w:val="962"/>
    <w:uiPriority w:val="99"/>
    <w:qFormat/>
    <w:pPr>
      <w:spacing w:after="0" w:line="240" w:lineRule="auto"/>
    </w:pPr>
    <w:tblPr/>
  </w:style>
  <w:style w:type="table" w:styleId="1075">
    <w:name w:val="Grid Table 2 - Accent 3"/>
    <w:next w:val="1075"/>
    <w:link w:val="962"/>
    <w:uiPriority w:val="99"/>
    <w:qFormat/>
    <w:pPr>
      <w:spacing w:after="0" w:line="240" w:lineRule="auto"/>
    </w:pPr>
    <w:tblPr/>
  </w:style>
  <w:style w:type="table" w:styleId="1076">
    <w:name w:val="Grid Table 2 - Accent 4"/>
    <w:next w:val="1076"/>
    <w:link w:val="962"/>
    <w:uiPriority w:val="99"/>
    <w:qFormat/>
    <w:pPr>
      <w:spacing w:after="0" w:line="240" w:lineRule="auto"/>
    </w:pPr>
    <w:tblPr/>
  </w:style>
  <w:style w:type="table" w:styleId="1077">
    <w:name w:val="Grid Table 2 - Accent 5"/>
    <w:next w:val="1077"/>
    <w:link w:val="962"/>
    <w:uiPriority w:val="99"/>
    <w:qFormat/>
    <w:pPr>
      <w:spacing w:after="0" w:line="240" w:lineRule="auto"/>
    </w:pPr>
    <w:tblPr/>
  </w:style>
  <w:style w:type="table" w:styleId="1078">
    <w:name w:val="Grid Table 2 - Accent 6"/>
    <w:next w:val="1078"/>
    <w:link w:val="962"/>
    <w:uiPriority w:val="99"/>
    <w:qFormat/>
    <w:pPr>
      <w:spacing w:after="0" w:line="240" w:lineRule="auto"/>
    </w:pPr>
    <w:tblPr/>
  </w:style>
  <w:style w:type="table" w:styleId="1079">
    <w:name w:val="Grid Table 3"/>
    <w:next w:val="1079"/>
    <w:link w:val="962"/>
    <w:uiPriority w:val="99"/>
    <w:qFormat/>
    <w:pPr>
      <w:spacing w:after="0" w:line="240" w:lineRule="auto"/>
    </w:pPr>
    <w:tblPr/>
  </w:style>
  <w:style w:type="table" w:styleId="1080">
    <w:name w:val="Grid Table 3 - Accent 1"/>
    <w:next w:val="1080"/>
    <w:link w:val="962"/>
    <w:uiPriority w:val="99"/>
    <w:qFormat/>
    <w:pPr>
      <w:spacing w:after="0" w:line="240" w:lineRule="auto"/>
    </w:pPr>
    <w:tblPr/>
  </w:style>
  <w:style w:type="table" w:styleId="1081">
    <w:name w:val="Grid Table 3 - Accent 2"/>
    <w:next w:val="1081"/>
    <w:link w:val="962"/>
    <w:uiPriority w:val="99"/>
    <w:qFormat/>
    <w:pPr>
      <w:spacing w:after="0" w:line="240" w:lineRule="auto"/>
    </w:pPr>
    <w:tblPr/>
  </w:style>
  <w:style w:type="table" w:styleId="1082">
    <w:name w:val="Grid Table 3 - Accent 3"/>
    <w:next w:val="1082"/>
    <w:link w:val="962"/>
    <w:uiPriority w:val="99"/>
    <w:qFormat/>
    <w:pPr>
      <w:spacing w:after="0" w:line="240" w:lineRule="auto"/>
    </w:pPr>
    <w:tblPr/>
  </w:style>
  <w:style w:type="table" w:styleId="1083">
    <w:name w:val="Grid Table 3 - Accent 4"/>
    <w:next w:val="1083"/>
    <w:link w:val="962"/>
    <w:uiPriority w:val="99"/>
    <w:qFormat/>
    <w:pPr>
      <w:spacing w:after="0" w:line="240" w:lineRule="auto"/>
    </w:pPr>
    <w:tblPr/>
  </w:style>
  <w:style w:type="table" w:styleId="1084">
    <w:name w:val="Grid Table 3 - Accent 5"/>
    <w:next w:val="1084"/>
    <w:link w:val="962"/>
    <w:uiPriority w:val="99"/>
    <w:qFormat/>
    <w:pPr>
      <w:spacing w:after="0" w:line="240" w:lineRule="auto"/>
    </w:pPr>
    <w:tblPr/>
  </w:style>
  <w:style w:type="table" w:styleId="1085">
    <w:name w:val="Grid Table 3 - Accent 6"/>
    <w:next w:val="1085"/>
    <w:link w:val="962"/>
    <w:uiPriority w:val="99"/>
    <w:qFormat/>
    <w:pPr>
      <w:spacing w:after="0" w:line="240" w:lineRule="auto"/>
    </w:pPr>
    <w:tblPr/>
  </w:style>
  <w:style w:type="table" w:styleId="1086">
    <w:name w:val="Grid Table 4"/>
    <w:next w:val="1086"/>
    <w:link w:val="962"/>
    <w:uiPriority w:val="59"/>
    <w:qFormat/>
    <w:pPr>
      <w:spacing w:after="0" w:line="240" w:lineRule="auto"/>
    </w:pPr>
    <w:tblPr/>
  </w:style>
  <w:style w:type="table" w:styleId="1087">
    <w:name w:val="Grid Table 4 - Accent 1"/>
    <w:next w:val="1087"/>
    <w:link w:val="962"/>
    <w:uiPriority w:val="59"/>
    <w:qFormat/>
    <w:pPr>
      <w:spacing w:after="0" w:line="240" w:lineRule="auto"/>
    </w:pPr>
    <w:tblPr/>
  </w:style>
  <w:style w:type="table" w:styleId="1088">
    <w:name w:val="Grid Table 4 - Accent 2"/>
    <w:next w:val="1088"/>
    <w:link w:val="962"/>
    <w:uiPriority w:val="59"/>
    <w:qFormat/>
    <w:pPr>
      <w:spacing w:after="0" w:line="240" w:lineRule="auto"/>
    </w:pPr>
    <w:tblPr/>
  </w:style>
  <w:style w:type="table" w:styleId="1089">
    <w:name w:val="Grid Table 4 - Accent 3"/>
    <w:next w:val="1089"/>
    <w:link w:val="962"/>
    <w:uiPriority w:val="59"/>
    <w:qFormat/>
    <w:pPr>
      <w:spacing w:after="0" w:line="240" w:lineRule="auto"/>
    </w:pPr>
    <w:tblPr/>
  </w:style>
  <w:style w:type="table" w:styleId="1090">
    <w:name w:val="Grid Table 4 - Accent 4"/>
    <w:next w:val="1090"/>
    <w:link w:val="962"/>
    <w:uiPriority w:val="59"/>
    <w:qFormat/>
    <w:pPr>
      <w:spacing w:after="0" w:line="240" w:lineRule="auto"/>
    </w:pPr>
    <w:tblPr/>
  </w:style>
  <w:style w:type="table" w:styleId="1091">
    <w:name w:val="Grid Table 4 - Accent 5"/>
    <w:next w:val="1091"/>
    <w:link w:val="962"/>
    <w:uiPriority w:val="59"/>
    <w:qFormat/>
    <w:pPr>
      <w:spacing w:after="0" w:line="240" w:lineRule="auto"/>
    </w:pPr>
    <w:tblPr/>
  </w:style>
  <w:style w:type="table" w:styleId="1092">
    <w:name w:val="Grid Table 4 - Accent 6"/>
    <w:next w:val="1092"/>
    <w:link w:val="962"/>
    <w:uiPriority w:val="59"/>
    <w:qFormat/>
    <w:pPr>
      <w:spacing w:after="0" w:line="240" w:lineRule="auto"/>
    </w:pPr>
    <w:tblPr/>
  </w:style>
  <w:style w:type="table" w:styleId="1093">
    <w:name w:val="Grid Table 5 Dark"/>
    <w:next w:val="1093"/>
    <w:link w:val="962"/>
    <w:uiPriority w:val="99"/>
    <w:qFormat/>
    <w:pPr>
      <w:spacing w:after="0" w:line="240" w:lineRule="auto"/>
    </w:pPr>
    <w:tblPr/>
  </w:style>
  <w:style w:type="table" w:styleId="1094">
    <w:name w:val="Grid Table 5 Dark- Accent 1"/>
    <w:next w:val="1094"/>
    <w:link w:val="962"/>
    <w:uiPriority w:val="99"/>
    <w:qFormat/>
    <w:pPr>
      <w:spacing w:after="0" w:line="240" w:lineRule="auto"/>
    </w:pPr>
    <w:tblPr/>
  </w:style>
  <w:style w:type="table" w:styleId="1095">
    <w:name w:val="Grid Table 5 Dark - Accent 2"/>
    <w:next w:val="1095"/>
    <w:link w:val="962"/>
    <w:uiPriority w:val="99"/>
    <w:qFormat/>
    <w:pPr>
      <w:spacing w:after="0" w:line="240" w:lineRule="auto"/>
    </w:pPr>
    <w:tblPr/>
  </w:style>
  <w:style w:type="table" w:styleId="1096">
    <w:name w:val="Grid Table 5 Dark - Accent 3"/>
    <w:next w:val="1096"/>
    <w:link w:val="962"/>
    <w:uiPriority w:val="99"/>
    <w:qFormat/>
    <w:pPr>
      <w:spacing w:after="0" w:line="240" w:lineRule="auto"/>
    </w:pPr>
    <w:tblPr/>
  </w:style>
  <w:style w:type="table" w:styleId="1097">
    <w:name w:val="Grid Table 5 Dark- Accent 4"/>
    <w:next w:val="1097"/>
    <w:link w:val="962"/>
    <w:uiPriority w:val="99"/>
    <w:qFormat/>
    <w:pPr>
      <w:spacing w:after="0" w:line="240" w:lineRule="auto"/>
    </w:pPr>
    <w:tblPr/>
  </w:style>
  <w:style w:type="table" w:styleId="1098">
    <w:name w:val="Grid Table 5 Dark - Accent 5"/>
    <w:next w:val="1098"/>
    <w:link w:val="962"/>
    <w:uiPriority w:val="99"/>
    <w:qFormat/>
    <w:pPr>
      <w:spacing w:after="0" w:line="240" w:lineRule="auto"/>
    </w:pPr>
    <w:tblPr/>
  </w:style>
  <w:style w:type="table" w:styleId="1099">
    <w:name w:val="Grid Table 5 Dark - Accent 6"/>
    <w:next w:val="1099"/>
    <w:link w:val="962"/>
    <w:uiPriority w:val="99"/>
    <w:qFormat/>
    <w:pPr>
      <w:spacing w:after="0" w:line="240" w:lineRule="auto"/>
    </w:pPr>
    <w:tblPr/>
  </w:style>
  <w:style w:type="table" w:styleId="1100">
    <w:name w:val="Grid Table 6 Colorful"/>
    <w:next w:val="1100"/>
    <w:link w:val="962"/>
    <w:uiPriority w:val="99"/>
    <w:qFormat/>
    <w:pPr>
      <w:spacing w:after="0" w:line="240" w:lineRule="auto"/>
    </w:pPr>
    <w:tblPr/>
  </w:style>
  <w:style w:type="table" w:styleId="1101">
    <w:name w:val="Grid Table 6 Colorful - Accent 1"/>
    <w:next w:val="1101"/>
    <w:link w:val="962"/>
    <w:uiPriority w:val="99"/>
    <w:qFormat/>
    <w:pPr>
      <w:spacing w:after="0" w:line="240" w:lineRule="auto"/>
    </w:pPr>
    <w:tblPr/>
  </w:style>
  <w:style w:type="table" w:styleId="1102">
    <w:name w:val="Grid Table 6 Colorful - Accent 2"/>
    <w:next w:val="1102"/>
    <w:link w:val="962"/>
    <w:uiPriority w:val="99"/>
    <w:qFormat/>
    <w:pPr>
      <w:spacing w:after="0" w:line="240" w:lineRule="auto"/>
    </w:pPr>
    <w:tblPr/>
  </w:style>
  <w:style w:type="table" w:styleId="1103">
    <w:name w:val="Grid Table 6 Colorful - Accent 3"/>
    <w:next w:val="1103"/>
    <w:link w:val="962"/>
    <w:uiPriority w:val="99"/>
    <w:qFormat/>
    <w:pPr>
      <w:spacing w:after="0" w:line="240" w:lineRule="auto"/>
    </w:pPr>
    <w:tblPr/>
  </w:style>
  <w:style w:type="table" w:styleId="1104">
    <w:name w:val="Grid Table 6 Colorful - Accent 4"/>
    <w:next w:val="1104"/>
    <w:link w:val="962"/>
    <w:uiPriority w:val="99"/>
    <w:qFormat/>
    <w:pPr>
      <w:spacing w:after="0" w:line="240" w:lineRule="auto"/>
    </w:pPr>
    <w:tblPr/>
  </w:style>
  <w:style w:type="table" w:styleId="1105">
    <w:name w:val="Grid Table 6 Colorful - Accent 5"/>
    <w:next w:val="1105"/>
    <w:link w:val="962"/>
    <w:uiPriority w:val="99"/>
    <w:qFormat/>
    <w:pPr>
      <w:spacing w:after="0" w:line="240" w:lineRule="auto"/>
    </w:pPr>
    <w:tblPr/>
  </w:style>
  <w:style w:type="table" w:styleId="1106">
    <w:name w:val="Grid Table 6 Colorful - Accent 6"/>
    <w:next w:val="1106"/>
    <w:link w:val="962"/>
    <w:uiPriority w:val="99"/>
    <w:qFormat/>
    <w:pPr>
      <w:spacing w:after="0" w:line="240" w:lineRule="auto"/>
    </w:pPr>
    <w:tblPr/>
  </w:style>
  <w:style w:type="table" w:styleId="1107">
    <w:name w:val="Grid Table 7 Colorful"/>
    <w:next w:val="1107"/>
    <w:link w:val="962"/>
    <w:uiPriority w:val="99"/>
    <w:qFormat/>
    <w:pPr>
      <w:spacing w:after="0" w:line="240" w:lineRule="auto"/>
    </w:pPr>
    <w:tblPr/>
  </w:style>
  <w:style w:type="table" w:styleId="1108">
    <w:name w:val="Grid Table 7 Colorful - Accent 1"/>
    <w:next w:val="1108"/>
    <w:link w:val="962"/>
    <w:uiPriority w:val="99"/>
    <w:qFormat/>
    <w:pPr>
      <w:spacing w:after="0" w:line="240" w:lineRule="auto"/>
    </w:pPr>
    <w:tblPr/>
  </w:style>
  <w:style w:type="table" w:styleId="1109">
    <w:name w:val="Grid Table 7 Colorful - Accent 2"/>
    <w:next w:val="1109"/>
    <w:link w:val="962"/>
    <w:uiPriority w:val="99"/>
    <w:qFormat/>
    <w:pPr>
      <w:spacing w:after="0" w:line="240" w:lineRule="auto"/>
    </w:pPr>
    <w:tblPr/>
  </w:style>
  <w:style w:type="table" w:styleId="1110">
    <w:name w:val="Grid Table 7 Colorful - Accent 3"/>
    <w:next w:val="1110"/>
    <w:link w:val="962"/>
    <w:uiPriority w:val="99"/>
    <w:qFormat/>
    <w:pPr>
      <w:spacing w:after="0" w:line="240" w:lineRule="auto"/>
    </w:pPr>
    <w:tblPr/>
  </w:style>
  <w:style w:type="table" w:styleId="1111">
    <w:name w:val="Grid Table 7 Colorful - Accent 4"/>
    <w:next w:val="1111"/>
    <w:link w:val="962"/>
    <w:uiPriority w:val="99"/>
    <w:qFormat/>
    <w:pPr>
      <w:spacing w:after="0" w:line="240" w:lineRule="auto"/>
    </w:pPr>
    <w:tblPr/>
  </w:style>
  <w:style w:type="table" w:styleId="1112">
    <w:name w:val="Grid Table 7 Colorful - Accent 5"/>
    <w:next w:val="1112"/>
    <w:link w:val="962"/>
    <w:uiPriority w:val="99"/>
    <w:qFormat/>
    <w:pPr>
      <w:spacing w:after="0" w:line="240" w:lineRule="auto"/>
    </w:pPr>
    <w:tblPr/>
  </w:style>
  <w:style w:type="table" w:styleId="1113">
    <w:name w:val="Grid Table 7 Colorful - Accent 6"/>
    <w:next w:val="1113"/>
    <w:link w:val="962"/>
    <w:uiPriority w:val="99"/>
    <w:qFormat/>
    <w:pPr>
      <w:spacing w:after="0" w:line="240" w:lineRule="auto"/>
    </w:pPr>
    <w:tblPr/>
  </w:style>
  <w:style w:type="table" w:styleId="1114">
    <w:name w:val="List Table 1 Light"/>
    <w:next w:val="1114"/>
    <w:link w:val="962"/>
    <w:uiPriority w:val="99"/>
    <w:qFormat/>
    <w:pPr>
      <w:spacing w:after="0" w:line="240" w:lineRule="auto"/>
    </w:pPr>
    <w:tblPr/>
  </w:style>
  <w:style w:type="table" w:styleId="1115">
    <w:name w:val="List Table 1 Light - Accent 1"/>
    <w:next w:val="1115"/>
    <w:link w:val="962"/>
    <w:uiPriority w:val="99"/>
    <w:qFormat/>
    <w:pPr>
      <w:spacing w:after="0" w:line="240" w:lineRule="auto"/>
    </w:pPr>
    <w:tblPr/>
  </w:style>
  <w:style w:type="table" w:styleId="1116">
    <w:name w:val="List Table 1 Light - Accent 2"/>
    <w:next w:val="1116"/>
    <w:link w:val="962"/>
    <w:uiPriority w:val="99"/>
    <w:qFormat/>
    <w:pPr>
      <w:spacing w:after="0" w:line="240" w:lineRule="auto"/>
    </w:pPr>
    <w:tblPr/>
  </w:style>
  <w:style w:type="table" w:styleId="1117">
    <w:name w:val="List Table 1 Light - Accent 3"/>
    <w:next w:val="1117"/>
    <w:link w:val="962"/>
    <w:uiPriority w:val="99"/>
    <w:qFormat/>
    <w:pPr>
      <w:spacing w:after="0" w:line="240" w:lineRule="auto"/>
    </w:pPr>
    <w:tblPr/>
  </w:style>
  <w:style w:type="table" w:styleId="1118">
    <w:name w:val="List Table 1 Light - Accent 4"/>
    <w:next w:val="1118"/>
    <w:link w:val="962"/>
    <w:uiPriority w:val="99"/>
    <w:qFormat/>
    <w:pPr>
      <w:spacing w:after="0" w:line="240" w:lineRule="auto"/>
    </w:pPr>
    <w:tblPr/>
  </w:style>
  <w:style w:type="table" w:styleId="1119">
    <w:name w:val="List Table 1 Light - Accent 5"/>
    <w:next w:val="1119"/>
    <w:link w:val="962"/>
    <w:uiPriority w:val="99"/>
    <w:qFormat/>
    <w:pPr>
      <w:spacing w:after="0" w:line="240" w:lineRule="auto"/>
    </w:pPr>
    <w:tblPr/>
  </w:style>
  <w:style w:type="table" w:styleId="1120">
    <w:name w:val="List Table 1 Light - Accent 6"/>
    <w:next w:val="1120"/>
    <w:link w:val="962"/>
    <w:uiPriority w:val="99"/>
    <w:qFormat/>
    <w:pPr>
      <w:spacing w:after="0" w:line="240" w:lineRule="auto"/>
    </w:pPr>
    <w:tblPr/>
  </w:style>
  <w:style w:type="table" w:styleId="1121">
    <w:name w:val="List Table 2"/>
    <w:next w:val="1121"/>
    <w:link w:val="962"/>
    <w:uiPriority w:val="99"/>
    <w:qFormat/>
    <w:pPr>
      <w:spacing w:after="0" w:line="240" w:lineRule="auto"/>
    </w:pPr>
    <w:tblPr/>
  </w:style>
  <w:style w:type="table" w:styleId="1122">
    <w:name w:val="List Table 2 - Accent 1"/>
    <w:next w:val="1122"/>
    <w:link w:val="962"/>
    <w:uiPriority w:val="99"/>
    <w:qFormat/>
    <w:pPr>
      <w:spacing w:after="0" w:line="240" w:lineRule="auto"/>
    </w:pPr>
    <w:tblPr/>
  </w:style>
  <w:style w:type="table" w:styleId="1123">
    <w:name w:val="List Table 2 - Accent 2"/>
    <w:next w:val="1123"/>
    <w:link w:val="962"/>
    <w:uiPriority w:val="99"/>
    <w:qFormat/>
    <w:pPr>
      <w:spacing w:after="0" w:line="240" w:lineRule="auto"/>
    </w:pPr>
    <w:tblPr/>
  </w:style>
  <w:style w:type="table" w:styleId="1124">
    <w:name w:val="List Table 2 - Accent 3"/>
    <w:next w:val="1124"/>
    <w:link w:val="962"/>
    <w:uiPriority w:val="99"/>
    <w:qFormat/>
    <w:pPr>
      <w:spacing w:after="0" w:line="240" w:lineRule="auto"/>
    </w:pPr>
    <w:tblPr/>
  </w:style>
  <w:style w:type="table" w:styleId="1125">
    <w:name w:val="List Table 2 - Accent 4"/>
    <w:next w:val="1125"/>
    <w:link w:val="962"/>
    <w:uiPriority w:val="99"/>
    <w:qFormat/>
    <w:pPr>
      <w:spacing w:after="0" w:line="240" w:lineRule="auto"/>
    </w:pPr>
    <w:tblPr/>
  </w:style>
  <w:style w:type="table" w:styleId="1126">
    <w:name w:val="List Table 2 - Accent 5"/>
    <w:next w:val="1126"/>
    <w:link w:val="962"/>
    <w:uiPriority w:val="99"/>
    <w:qFormat/>
    <w:pPr>
      <w:spacing w:after="0" w:line="240" w:lineRule="auto"/>
    </w:pPr>
    <w:tblPr/>
  </w:style>
  <w:style w:type="table" w:styleId="1127">
    <w:name w:val="List Table 2 - Accent 6"/>
    <w:next w:val="1127"/>
    <w:link w:val="962"/>
    <w:uiPriority w:val="99"/>
    <w:qFormat/>
    <w:pPr>
      <w:spacing w:after="0" w:line="240" w:lineRule="auto"/>
    </w:pPr>
    <w:tblPr/>
  </w:style>
  <w:style w:type="table" w:styleId="1128">
    <w:name w:val="List Table 3"/>
    <w:next w:val="1128"/>
    <w:link w:val="962"/>
    <w:uiPriority w:val="99"/>
    <w:qFormat/>
    <w:pPr>
      <w:spacing w:after="0" w:line="240" w:lineRule="auto"/>
    </w:pPr>
    <w:tblPr/>
  </w:style>
  <w:style w:type="table" w:styleId="1129">
    <w:name w:val="List Table 3 - Accent 1"/>
    <w:next w:val="1129"/>
    <w:link w:val="962"/>
    <w:uiPriority w:val="99"/>
    <w:qFormat/>
    <w:pPr>
      <w:spacing w:after="0" w:line="240" w:lineRule="auto"/>
    </w:pPr>
    <w:tblPr/>
  </w:style>
  <w:style w:type="table" w:styleId="1130">
    <w:name w:val="List Table 3 - Accent 2"/>
    <w:next w:val="1130"/>
    <w:link w:val="962"/>
    <w:uiPriority w:val="99"/>
    <w:qFormat/>
    <w:pPr>
      <w:spacing w:after="0" w:line="240" w:lineRule="auto"/>
    </w:pPr>
    <w:tblPr/>
  </w:style>
  <w:style w:type="table" w:styleId="1131">
    <w:name w:val="List Table 3 - Accent 3"/>
    <w:next w:val="1131"/>
    <w:link w:val="962"/>
    <w:uiPriority w:val="99"/>
    <w:qFormat/>
    <w:pPr>
      <w:spacing w:after="0" w:line="240" w:lineRule="auto"/>
    </w:pPr>
    <w:tblPr/>
  </w:style>
  <w:style w:type="table" w:styleId="1132">
    <w:name w:val="List Table 3 - Accent 4"/>
    <w:next w:val="1132"/>
    <w:link w:val="962"/>
    <w:uiPriority w:val="99"/>
    <w:qFormat/>
    <w:pPr>
      <w:spacing w:after="0" w:line="240" w:lineRule="auto"/>
    </w:pPr>
    <w:tblPr/>
  </w:style>
  <w:style w:type="table" w:styleId="1133">
    <w:name w:val="List Table 3 - Accent 5"/>
    <w:next w:val="1133"/>
    <w:link w:val="962"/>
    <w:uiPriority w:val="99"/>
    <w:qFormat/>
    <w:pPr>
      <w:spacing w:after="0" w:line="240" w:lineRule="auto"/>
    </w:pPr>
    <w:tblPr/>
  </w:style>
  <w:style w:type="table" w:styleId="1134">
    <w:name w:val="List Table 3 - Accent 6"/>
    <w:next w:val="1134"/>
    <w:link w:val="962"/>
    <w:uiPriority w:val="99"/>
    <w:qFormat/>
    <w:pPr>
      <w:spacing w:after="0" w:line="240" w:lineRule="auto"/>
    </w:pPr>
    <w:tblPr/>
  </w:style>
  <w:style w:type="table" w:styleId="1135">
    <w:name w:val="List Table 4"/>
    <w:next w:val="1135"/>
    <w:link w:val="962"/>
    <w:uiPriority w:val="99"/>
    <w:qFormat/>
    <w:pPr>
      <w:spacing w:after="0" w:line="240" w:lineRule="auto"/>
    </w:pPr>
    <w:tblPr/>
  </w:style>
  <w:style w:type="table" w:styleId="1136">
    <w:name w:val="List Table 4 - Accent 1"/>
    <w:next w:val="1136"/>
    <w:link w:val="962"/>
    <w:uiPriority w:val="99"/>
    <w:qFormat/>
    <w:pPr>
      <w:spacing w:after="0" w:line="240" w:lineRule="auto"/>
    </w:pPr>
    <w:tblPr/>
  </w:style>
  <w:style w:type="table" w:styleId="1137">
    <w:name w:val="List Table 4 - Accent 2"/>
    <w:next w:val="1137"/>
    <w:link w:val="962"/>
    <w:uiPriority w:val="99"/>
    <w:qFormat/>
    <w:pPr>
      <w:spacing w:after="0" w:line="240" w:lineRule="auto"/>
    </w:pPr>
    <w:tblPr/>
  </w:style>
  <w:style w:type="table" w:styleId="1138">
    <w:name w:val="List Table 4 - Accent 3"/>
    <w:next w:val="1138"/>
    <w:link w:val="962"/>
    <w:uiPriority w:val="99"/>
    <w:qFormat/>
    <w:pPr>
      <w:spacing w:after="0" w:line="240" w:lineRule="auto"/>
    </w:pPr>
    <w:tblPr/>
  </w:style>
  <w:style w:type="table" w:styleId="1139">
    <w:name w:val="List Table 4 - Accent 4"/>
    <w:next w:val="1139"/>
    <w:link w:val="962"/>
    <w:uiPriority w:val="99"/>
    <w:qFormat/>
    <w:pPr>
      <w:spacing w:after="0" w:line="240" w:lineRule="auto"/>
    </w:pPr>
    <w:tblPr/>
  </w:style>
  <w:style w:type="table" w:styleId="1140">
    <w:name w:val="List Table 4 - Accent 5"/>
    <w:next w:val="1140"/>
    <w:link w:val="962"/>
    <w:uiPriority w:val="99"/>
    <w:qFormat/>
    <w:pPr>
      <w:spacing w:after="0" w:line="240" w:lineRule="auto"/>
    </w:pPr>
    <w:tblPr/>
  </w:style>
  <w:style w:type="table" w:styleId="1141">
    <w:name w:val="List Table 4 - Accent 6"/>
    <w:next w:val="1141"/>
    <w:link w:val="962"/>
    <w:uiPriority w:val="99"/>
    <w:qFormat/>
    <w:pPr>
      <w:spacing w:after="0" w:line="240" w:lineRule="auto"/>
    </w:pPr>
    <w:tblPr/>
  </w:style>
  <w:style w:type="table" w:styleId="1142">
    <w:name w:val="List Table 5 Dark"/>
    <w:next w:val="1142"/>
    <w:link w:val="962"/>
    <w:uiPriority w:val="99"/>
    <w:qFormat/>
    <w:pPr>
      <w:spacing w:after="0" w:line="240" w:lineRule="auto"/>
    </w:pPr>
    <w:tblPr/>
  </w:style>
  <w:style w:type="table" w:styleId="1143">
    <w:name w:val="List Table 5 Dark - Accent 1"/>
    <w:next w:val="1143"/>
    <w:link w:val="962"/>
    <w:uiPriority w:val="99"/>
    <w:qFormat/>
    <w:pPr>
      <w:spacing w:after="0" w:line="240" w:lineRule="auto"/>
    </w:pPr>
    <w:tblPr/>
  </w:style>
  <w:style w:type="table" w:styleId="1144">
    <w:name w:val="List Table 5 Dark - Accent 2"/>
    <w:next w:val="1144"/>
    <w:link w:val="962"/>
    <w:uiPriority w:val="99"/>
    <w:qFormat/>
    <w:pPr>
      <w:spacing w:after="0" w:line="240" w:lineRule="auto"/>
    </w:pPr>
    <w:tblPr/>
  </w:style>
  <w:style w:type="table" w:styleId="1145">
    <w:name w:val="List Table 5 Dark - Accent 3"/>
    <w:next w:val="1145"/>
    <w:link w:val="962"/>
    <w:uiPriority w:val="99"/>
    <w:qFormat/>
    <w:pPr>
      <w:spacing w:after="0" w:line="240" w:lineRule="auto"/>
    </w:pPr>
    <w:tblPr/>
  </w:style>
  <w:style w:type="table" w:styleId="1146">
    <w:name w:val="List Table 5 Dark - Accent 4"/>
    <w:next w:val="1146"/>
    <w:link w:val="962"/>
    <w:uiPriority w:val="99"/>
    <w:qFormat/>
    <w:pPr>
      <w:spacing w:after="0" w:line="240" w:lineRule="auto"/>
    </w:pPr>
    <w:tblPr/>
  </w:style>
  <w:style w:type="table" w:styleId="1147">
    <w:name w:val="List Table 5 Dark - Accent 5"/>
    <w:next w:val="1147"/>
    <w:link w:val="962"/>
    <w:uiPriority w:val="99"/>
    <w:qFormat/>
    <w:pPr>
      <w:spacing w:after="0" w:line="240" w:lineRule="auto"/>
    </w:pPr>
    <w:tblPr/>
  </w:style>
  <w:style w:type="table" w:styleId="1148">
    <w:name w:val="List Table 5 Dark - Accent 6"/>
    <w:next w:val="1148"/>
    <w:link w:val="962"/>
    <w:uiPriority w:val="99"/>
    <w:qFormat/>
    <w:pPr>
      <w:spacing w:after="0" w:line="240" w:lineRule="auto"/>
    </w:pPr>
    <w:tblPr/>
  </w:style>
  <w:style w:type="table" w:styleId="1149">
    <w:name w:val="List Table 6 Colorful"/>
    <w:next w:val="1149"/>
    <w:link w:val="962"/>
    <w:uiPriority w:val="99"/>
    <w:qFormat/>
    <w:pPr>
      <w:spacing w:after="0" w:line="240" w:lineRule="auto"/>
    </w:pPr>
    <w:tblPr/>
  </w:style>
  <w:style w:type="table" w:styleId="1150">
    <w:name w:val="List Table 6 Colorful - Accent 1"/>
    <w:next w:val="1150"/>
    <w:link w:val="962"/>
    <w:uiPriority w:val="99"/>
    <w:qFormat/>
    <w:pPr>
      <w:spacing w:after="0" w:line="240" w:lineRule="auto"/>
    </w:pPr>
    <w:tblPr/>
  </w:style>
  <w:style w:type="table" w:styleId="1151">
    <w:name w:val="List Table 6 Colorful - Accent 2"/>
    <w:next w:val="1151"/>
    <w:link w:val="962"/>
    <w:uiPriority w:val="99"/>
    <w:qFormat/>
    <w:pPr>
      <w:spacing w:after="0" w:line="240" w:lineRule="auto"/>
    </w:pPr>
    <w:tblPr/>
  </w:style>
  <w:style w:type="table" w:styleId="1152">
    <w:name w:val="List Table 6 Colorful - Accent 3"/>
    <w:next w:val="1152"/>
    <w:link w:val="962"/>
    <w:uiPriority w:val="99"/>
    <w:qFormat/>
    <w:pPr>
      <w:spacing w:after="0" w:line="240" w:lineRule="auto"/>
    </w:pPr>
    <w:tblPr/>
  </w:style>
  <w:style w:type="table" w:styleId="1153">
    <w:name w:val="List Table 6 Colorful - Accent 4"/>
    <w:next w:val="1153"/>
    <w:link w:val="962"/>
    <w:uiPriority w:val="99"/>
    <w:qFormat/>
    <w:pPr>
      <w:spacing w:after="0" w:line="240" w:lineRule="auto"/>
    </w:pPr>
    <w:tblPr/>
  </w:style>
  <w:style w:type="table" w:styleId="1154">
    <w:name w:val="List Table 6 Colorful - Accent 5"/>
    <w:next w:val="1154"/>
    <w:link w:val="962"/>
    <w:uiPriority w:val="99"/>
    <w:qFormat/>
    <w:pPr>
      <w:spacing w:after="0" w:line="240" w:lineRule="auto"/>
    </w:pPr>
    <w:tblPr/>
  </w:style>
  <w:style w:type="table" w:styleId="1155">
    <w:name w:val="List Table 6 Colorful - Accent 6"/>
    <w:next w:val="1155"/>
    <w:link w:val="962"/>
    <w:uiPriority w:val="99"/>
    <w:qFormat/>
    <w:pPr>
      <w:spacing w:after="0" w:line="240" w:lineRule="auto"/>
    </w:pPr>
    <w:tblPr/>
  </w:style>
  <w:style w:type="table" w:styleId="1156">
    <w:name w:val="List Table 7 Colorful"/>
    <w:next w:val="1156"/>
    <w:link w:val="962"/>
    <w:uiPriority w:val="99"/>
    <w:qFormat/>
    <w:pPr>
      <w:spacing w:after="0" w:line="240" w:lineRule="auto"/>
    </w:pPr>
    <w:tblPr/>
  </w:style>
  <w:style w:type="table" w:styleId="1157">
    <w:name w:val="List Table 7 Colorful - Accent 1"/>
    <w:next w:val="1157"/>
    <w:link w:val="962"/>
    <w:uiPriority w:val="99"/>
    <w:qFormat/>
    <w:pPr>
      <w:spacing w:after="0" w:line="240" w:lineRule="auto"/>
    </w:pPr>
    <w:tblPr/>
  </w:style>
  <w:style w:type="table" w:styleId="1158">
    <w:name w:val="List Table 7 Colorful - Accent 2"/>
    <w:next w:val="1158"/>
    <w:link w:val="962"/>
    <w:uiPriority w:val="99"/>
    <w:qFormat/>
    <w:pPr>
      <w:spacing w:after="0" w:line="240" w:lineRule="auto"/>
    </w:pPr>
    <w:tblPr/>
  </w:style>
  <w:style w:type="table" w:styleId="1159">
    <w:name w:val="List Table 7 Colorful - Accent 3"/>
    <w:next w:val="1159"/>
    <w:link w:val="962"/>
    <w:uiPriority w:val="99"/>
    <w:qFormat/>
    <w:pPr>
      <w:spacing w:after="0" w:line="240" w:lineRule="auto"/>
    </w:pPr>
    <w:tblPr/>
  </w:style>
  <w:style w:type="table" w:styleId="1160">
    <w:name w:val="List Table 7 Colorful - Accent 4"/>
    <w:next w:val="1160"/>
    <w:link w:val="962"/>
    <w:uiPriority w:val="99"/>
    <w:qFormat/>
    <w:pPr>
      <w:spacing w:after="0" w:line="240" w:lineRule="auto"/>
    </w:pPr>
    <w:tblPr/>
  </w:style>
  <w:style w:type="table" w:styleId="1161">
    <w:name w:val="List Table 7 Colorful - Accent 5"/>
    <w:next w:val="1161"/>
    <w:link w:val="962"/>
    <w:uiPriority w:val="99"/>
    <w:qFormat/>
    <w:pPr>
      <w:spacing w:after="0" w:line="240" w:lineRule="auto"/>
    </w:pPr>
    <w:tblPr/>
  </w:style>
  <w:style w:type="table" w:styleId="1162">
    <w:name w:val="List Table 7 Colorful - Accent 6"/>
    <w:next w:val="1162"/>
    <w:link w:val="962"/>
    <w:uiPriority w:val="99"/>
    <w:qFormat/>
    <w:pPr>
      <w:spacing w:after="0" w:line="240" w:lineRule="auto"/>
    </w:pPr>
    <w:tblPr/>
  </w:style>
  <w:style w:type="table" w:styleId="1163">
    <w:name w:val="Lined - Accent"/>
    <w:next w:val="1163"/>
    <w:link w:val="962"/>
    <w:uiPriority w:val="99"/>
    <w:qFormat/>
    <w:pPr>
      <w:spacing w:after="0" w:line="240" w:lineRule="auto"/>
    </w:pPr>
    <w:rPr>
      <w:color w:val="404040"/>
    </w:rPr>
    <w:tblPr/>
  </w:style>
  <w:style w:type="table" w:styleId="1164">
    <w:name w:val="Lined - Accent 1"/>
    <w:next w:val="1164"/>
    <w:link w:val="962"/>
    <w:uiPriority w:val="99"/>
    <w:qFormat/>
    <w:pPr>
      <w:spacing w:after="0" w:line="240" w:lineRule="auto"/>
    </w:pPr>
    <w:rPr>
      <w:color w:val="404040"/>
    </w:rPr>
    <w:tblPr/>
  </w:style>
  <w:style w:type="table" w:styleId="1165">
    <w:name w:val="Lined - Accent 2"/>
    <w:next w:val="1165"/>
    <w:link w:val="962"/>
    <w:uiPriority w:val="99"/>
    <w:qFormat/>
    <w:pPr>
      <w:spacing w:after="0" w:line="240" w:lineRule="auto"/>
    </w:pPr>
    <w:rPr>
      <w:color w:val="404040"/>
    </w:rPr>
    <w:tblPr/>
  </w:style>
  <w:style w:type="table" w:styleId="1166">
    <w:name w:val="Lined - Accent 3"/>
    <w:next w:val="1166"/>
    <w:link w:val="962"/>
    <w:uiPriority w:val="99"/>
    <w:qFormat/>
    <w:pPr>
      <w:spacing w:after="0" w:line="240" w:lineRule="auto"/>
    </w:pPr>
    <w:rPr>
      <w:color w:val="404040"/>
    </w:rPr>
    <w:tblPr/>
  </w:style>
  <w:style w:type="table" w:styleId="1167">
    <w:name w:val="Lined - Accent 4"/>
    <w:next w:val="1167"/>
    <w:link w:val="962"/>
    <w:uiPriority w:val="99"/>
    <w:qFormat/>
    <w:pPr>
      <w:spacing w:after="0" w:line="240" w:lineRule="auto"/>
    </w:pPr>
    <w:rPr>
      <w:color w:val="404040"/>
    </w:rPr>
    <w:tblPr/>
  </w:style>
  <w:style w:type="table" w:styleId="1168">
    <w:name w:val="Lined - Accent 5"/>
    <w:next w:val="1168"/>
    <w:link w:val="962"/>
    <w:uiPriority w:val="99"/>
    <w:qFormat/>
    <w:pPr>
      <w:spacing w:after="0" w:line="240" w:lineRule="auto"/>
    </w:pPr>
    <w:rPr>
      <w:color w:val="404040"/>
    </w:rPr>
    <w:tblPr/>
  </w:style>
  <w:style w:type="table" w:styleId="1169">
    <w:name w:val="Lined - Accent 6"/>
    <w:next w:val="1169"/>
    <w:link w:val="962"/>
    <w:uiPriority w:val="99"/>
    <w:qFormat/>
    <w:pPr>
      <w:spacing w:after="0" w:line="240" w:lineRule="auto"/>
    </w:pPr>
    <w:rPr>
      <w:color w:val="404040"/>
    </w:rPr>
    <w:tblPr/>
  </w:style>
  <w:style w:type="table" w:styleId="1170">
    <w:name w:val="Bordered &amp; Lined - Accent"/>
    <w:next w:val="1170"/>
    <w:link w:val="962"/>
    <w:uiPriority w:val="99"/>
    <w:qFormat/>
    <w:pPr>
      <w:spacing w:after="0" w:line="240" w:lineRule="auto"/>
    </w:pPr>
    <w:rPr>
      <w:color w:val="404040"/>
    </w:rPr>
    <w:tblPr/>
  </w:style>
  <w:style w:type="table" w:styleId="1171">
    <w:name w:val="Bordered &amp; Lined - Accent 1"/>
    <w:next w:val="1171"/>
    <w:link w:val="962"/>
    <w:uiPriority w:val="99"/>
    <w:qFormat/>
    <w:pPr>
      <w:spacing w:after="0" w:line="240" w:lineRule="auto"/>
    </w:pPr>
    <w:rPr>
      <w:color w:val="404040"/>
    </w:rPr>
    <w:tblPr/>
  </w:style>
  <w:style w:type="table" w:styleId="1172">
    <w:name w:val="Bordered &amp; Lined - Accent 2"/>
    <w:next w:val="1172"/>
    <w:link w:val="962"/>
    <w:uiPriority w:val="99"/>
    <w:qFormat/>
    <w:pPr>
      <w:spacing w:after="0" w:line="240" w:lineRule="auto"/>
    </w:pPr>
    <w:rPr>
      <w:color w:val="404040"/>
    </w:rPr>
    <w:tblPr/>
  </w:style>
  <w:style w:type="table" w:styleId="1173">
    <w:name w:val="Bordered &amp; Lined - Accent 3"/>
    <w:next w:val="1173"/>
    <w:link w:val="962"/>
    <w:uiPriority w:val="99"/>
    <w:qFormat/>
    <w:pPr>
      <w:spacing w:after="0" w:line="240" w:lineRule="auto"/>
    </w:pPr>
    <w:rPr>
      <w:color w:val="404040"/>
    </w:rPr>
    <w:tblPr/>
  </w:style>
  <w:style w:type="table" w:styleId="1174">
    <w:name w:val="Bordered &amp; Lined - Accent 4"/>
    <w:next w:val="1174"/>
    <w:link w:val="962"/>
    <w:uiPriority w:val="99"/>
    <w:qFormat/>
    <w:pPr>
      <w:spacing w:after="0" w:line="240" w:lineRule="auto"/>
    </w:pPr>
    <w:rPr>
      <w:color w:val="404040"/>
    </w:rPr>
    <w:tblPr/>
  </w:style>
  <w:style w:type="table" w:styleId="1175">
    <w:name w:val="Bordered &amp; Lined - Accent 5"/>
    <w:next w:val="1175"/>
    <w:link w:val="962"/>
    <w:uiPriority w:val="99"/>
    <w:qFormat/>
    <w:pPr>
      <w:spacing w:after="0" w:line="240" w:lineRule="auto"/>
    </w:pPr>
    <w:rPr>
      <w:color w:val="404040"/>
    </w:rPr>
    <w:tblPr/>
  </w:style>
  <w:style w:type="table" w:styleId="1176">
    <w:name w:val="Bordered &amp; Lined - Accent 6"/>
    <w:next w:val="1176"/>
    <w:link w:val="962"/>
    <w:uiPriority w:val="99"/>
    <w:qFormat/>
    <w:pPr>
      <w:spacing w:after="0" w:line="240" w:lineRule="auto"/>
    </w:pPr>
    <w:rPr>
      <w:color w:val="404040"/>
    </w:rPr>
    <w:tblPr/>
  </w:style>
  <w:style w:type="table" w:styleId="1177">
    <w:name w:val="Bordered"/>
    <w:next w:val="1177"/>
    <w:link w:val="962"/>
    <w:uiPriority w:val="99"/>
    <w:qFormat/>
    <w:pPr>
      <w:spacing w:after="0" w:line="240" w:lineRule="auto"/>
    </w:pPr>
    <w:tblPr/>
  </w:style>
  <w:style w:type="table" w:styleId="1178">
    <w:name w:val="Bordered - Accent 1"/>
    <w:next w:val="1178"/>
    <w:link w:val="962"/>
    <w:uiPriority w:val="99"/>
    <w:qFormat/>
    <w:pPr>
      <w:spacing w:after="0" w:line="240" w:lineRule="auto"/>
    </w:pPr>
    <w:tblPr/>
  </w:style>
  <w:style w:type="table" w:styleId="1179">
    <w:name w:val="Bordered - Accent 2"/>
    <w:next w:val="1179"/>
    <w:link w:val="962"/>
    <w:uiPriority w:val="99"/>
    <w:qFormat/>
    <w:pPr>
      <w:spacing w:after="0" w:line="240" w:lineRule="auto"/>
    </w:pPr>
    <w:tblPr/>
  </w:style>
  <w:style w:type="table" w:styleId="1180">
    <w:name w:val="Bordered - Accent 3"/>
    <w:next w:val="1180"/>
    <w:link w:val="962"/>
    <w:uiPriority w:val="99"/>
    <w:qFormat/>
    <w:pPr>
      <w:spacing w:after="0" w:line="240" w:lineRule="auto"/>
    </w:pPr>
    <w:tblPr/>
  </w:style>
  <w:style w:type="table" w:styleId="1181">
    <w:name w:val="Bordered - Accent 4"/>
    <w:next w:val="1181"/>
    <w:link w:val="962"/>
    <w:uiPriority w:val="99"/>
    <w:qFormat/>
    <w:pPr>
      <w:spacing w:after="0" w:line="240" w:lineRule="auto"/>
    </w:pPr>
    <w:tblPr/>
  </w:style>
  <w:style w:type="table" w:styleId="1182">
    <w:name w:val="Bordered - Accent 5"/>
    <w:next w:val="1182"/>
    <w:link w:val="962"/>
    <w:uiPriority w:val="99"/>
    <w:qFormat/>
    <w:pPr>
      <w:spacing w:after="0" w:line="240" w:lineRule="auto"/>
    </w:pPr>
    <w:tblPr/>
  </w:style>
  <w:style w:type="table" w:styleId="1183">
    <w:name w:val="Bordered - Accent 6"/>
    <w:next w:val="1183"/>
    <w:link w:val="962"/>
    <w:uiPriority w:val="99"/>
    <w:qFormat/>
    <w:pPr>
      <w:spacing w:after="0" w:line="240" w:lineRule="auto"/>
    </w:pPr>
    <w:tblPr/>
  </w:style>
  <w:style w:type="paragraph" w:styleId="1184">
    <w:name w:val="TOC Heading"/>
    <w:next w:val="1184"/>
    <w:link w:val="962"/>
    <w:uiPriority w:val="39"/>
    <w:unhideWhenUsed/>
    <w:qFormat/>
    <w:rPr>
      <w:rFonts w:ascii="Times New Roman" w:hAnsi="Times New Roman" w:eastAsia="宋体" w:cs="Times New Roman"/>
    </w:rPr>
  </w:style>
  <w:style w:type="paragraph" w:styleId="1185">
    <w:name w:val="标题 11"/>
    <w:basedOn w:val="962"/>
    <w:next w:val="962"/>
    <w:link w:val="1186"/>
    <w:qFormat/>
    <w:pPr>
      <w:jc w:val="center"/>
      <w:keepLines/>
      <w:keepNext/>
      <w:spacing w:before="240" w:after="120" w:line="300" w:lineRule="auto"/>
      <w:outlineLvl w:val="0"/>
    </w:pPr>
    <w:rPr>
      <w:rFonts w:ascii="宋体"/>
      <w:b/>
      <w:sz w:val="32"/>
      <w:szCs w:val="20"/>
    </w:rPr>
  </w:style>
  <w:style w:type="character" w:styleId="1186">
    <w:name w:val="标题 1 字符"/>
    <w:next w:val="1186"/>
    <w:link w:val="1185"/>
    <w:qFormat/>
    <w:rPr>
      <w:rFonts w:ascii="宋体"/>
      <w:b/>
      <w:sz w:val="32"/>
    </w:rPr>
  </w:style>
  <w:style w:type="paragraph" w:styleId="1187">
    <w:name w:val="标题 21"/>
    <w:basedOn w:val="962"/>
    <w:next w:val="962"/>
    <w:link w:val="1188"/>
    <w:qFormat/>
    <w:pPr>
      <w:jc w:val="center"/>
      <w:keepLines/>
      <w:keepNext/>
      <w:spacing w:before="120" w:line="300" w:lineRule="auto"/>
      <w:outlineLvl w:val="1"/>
    </w:pPr>
    <w:rPr>
      <w:rFonts w:ascii="Arial" w:hAnsi="Arial" w:eastAsia="黑体"/>
      <w:b/>
      <w:sz w:val="30"/>
      <w:szCs w:val="20"/>
    </w:rPr>
  </w:style>
  <w:style w:type="character" w:styleId="1188">
    <w:name w:val="标题 2 字符"/>
    <w:next w:val="1188"/>
    <w:link w:val="1187"/>
    <w:qFormat/>
    <w:rPr>
      <w:rFonts w:ascii="Arial" w:hAnsi="Arial" w:eastAsia="黑体"/>
      <w:b/>
      <w:sz w:val="30"/>
      <w:lang w:val="en-US" w:eastAsia="zh-CN" w:bidi="ar-SA"/>
    </w:rPr>
  </w:style>
  <w:style w:type="paragraph" w:styleId="1189">
    <w:name w:val="标题 31"/>
    <w:basedOn w:val="962"/>
    <w:next w:val="962"/>
    <w:link w:val="1190"/>
    <w:qFormat/>
    <w:pPr>
      <w:jc w:val="left"/>
      <w:keepLines/>
      <w:keepNext/>
      <w:spacing w:before="360" w:after="120"/>
      <w:outlineLvl w:val="2"/>
    </w:pPr>
    <w:rPr>
      <w:rFonts w:ascii="宋体"/>
      <w:b/>
      <w:sz w:val="24"/>
      <w:szCs w:val="20"/>
      <w:u w:val="single"/>
    </w:rPr>
  </w:style>
  <w:style w:type="character" w:styleId="1190">
    <w:name w:val="标题 3 字符"/>
    <w:next w:val="1190"/>
    <w:link w:val="1189"/>
    <w:qFormat/>
    <w:rPr>
      <w:rFonts w:ascii="宋体" w:eastAsia="宋体"/>
      <w:b/>
      <w:sz w:val="24"/>
      <w:u w:val="single"/>
      <w:lang w:val="en-US" w:eastAsia="zh-CN" w:bidi="ar-SA"/>
    </w:rPr>
  </w:style>
  <w:style w:type="paragraph" w:styleId="1191">
    <w:name w:val="标题 41"/>
    <w:basedOn w:val="962"/>
    <w:next w:val="962"/>
    <w:link w:val="1192"/>
    <w:qFormat/>
    <w:pPr>
      <w:keepLines/>
      <w:keepNext/>
      <w:spacing w:before="280" w:after="290" w:line="376" w:lineRule="atLeast"/>
      <w:outlineLvl w:val="3"/>
    </w:pPr>
    <w:rPr>
      <w:rFonts w:ascii="Arial" w:hAnsi="Arial" w:eastAsia="黑体"/>
      <w:b/>
      <w:sz w:val="28"/>
      <w:szCs w:val="20"/>
    </w:rPr>
  </w:style>
  <w:style w:type="character" w:styleId="1192">
    <w:name w:val="标题 4 字符"/>
    <w:next w:val="1192"/>
    <w:link w:val="1191"/>
    <w:qFormat/>
    <w:rPr>
      <w:rFonts w:ascii="Arial" w:hAnsi="Arial" w:eastAsia="黑体"/>
      <w:b/>
      <w:sz w:val="28"/>
    </w:rPr>
  </w:style>
  <w:style w:type="paragraph" w:styleId="1193">
    <w:name w:val="标题 51"/>
    <w:basedOn w:val="962"/>
    <w:next w:val="962"/>
    <w:link w:val="1194"/>
    <w:qFormat/>
    <w:pPr>
      <w:keepLines/>
      <w:keepNext/>
      <w:spacing w:before="280" w:after="290" w:line="376" w:lineRule="atLeast"/>
      <w:outlineLvl w:val="4"/>
    </w:pPr>
    <w:rPr>
      <w:b/>
      <w:sz w:val="28"/>
      <w:szCs w:val="20"/>
    </w:rPr>
  </w:style>
  <w:style w:type="character" w:styleId="1194">
    <w:name w:val="标题 5 字符"/>
    <w:next w:val="1194"/>
    <w:link w:val="1193"/>
    <w:qFormat/>
    <w:rPr>
      <w:b/>
      <w:sz w:val="28"/>
    </w:rPr>
  </w:style>
  <w:style w:type="paragraph" w:styleId="1195">
    <w:name w:val="标题 61"/>
    <w:basedOn w:val="962"/>
    <w:next w:val="962"/>
    <w:link w:val="1196"/>
    <w:qFormat/>
    <w:pPr>
      <w:keepLines/>
      <w:keepNext/>
      <w:spacing w:before="240" w:after="64" w:line="320" w:lineRule="atLeast"/>
      <w:outlineLvl w:val="5"/>
    </w:pPr>
    <w:rPr>
      <w:rFonts w:ascii="Arial" w:hAnsi="Arial" w:eastAsia="黑体"/>
      <w:b/>
      <w:sz w:val="24"/>
      <w:szCs w:val="20"/>
    </w:rPr>
  </w:style>
  <w:style w:type="character" w:styleId="1196">
    <w:name w:val="标题 6 字符"/>
    <w:next w:val="1196"/>
    <w:link w:val="1195"/>
    <w:qFormat/>
    <w:rPr>
      <w:rFonts w:ascii="Arial" w:hAnsi="Arial" w:eastAsia="黑体"/>
      <w:b/>
      <w:sz w:val="24"/>
    </w:rPr>
  </w:style>
  <w:style w:type="paragraph" w:styleId="1197">
    <w:name w:val="标题 71"/>
    <w:basedOn w:val="962"/>
    <w:next w:val="962"/>
    <w:link w:val="1198"/>
    <w:qFormat/>
    <w:pPr>
      <w:keepLines/>
      <w:keepNext/>
      <w:spacing w:before="240" w:after="64" w:line="320" w:lineRule="atLeast"/>
      <w:outlineLvl w:val="6"/>
    </w:pPr>
    <w:rPr>
      <w:b/>
      <w:sz w:val="24"/>
      <w:szCs w:val="20"/>
    </w:rPr>
  </w:style>
  <w:style w:type="character" w:styleId="1198">
    <w:name w:val="标题 7 字符"/>
    <w:next w:val="1198"/>
    <w:link w:val="1197"/>
    <w:qFormat/>
    <w:rPr>
      <w:b/>
      <w:sz w:val="24"/>
    </w:rPr>
  </w:style>
  <w:style w:type="paragraph" w:styleId="1199">
    <w:name w:val="标题 81"/>
    <w:basedOn w:val="962"/>
    <w:next w:val="962"/>
    <w:link w:val="1200"/>
    <w:qFormat/>
    <w:pPr>
      <w:keepLines/>
      <w:keepNext/>
      <w:spacing w:before="240" w:after="64" w:line="320" w:lineRule="atLeast"/>
      <w:outlineLvl w:val="7"/>
    </w:pPr>
    <w:rPr>
      <w:rFonts w:ascii="Arial" w:hAnsi="Arial" w:eastAsia="黑体"/>
      <w:sz w:val="24"/>
      <w:szCs w:val="20"/>
    </w:rPr>
  </w:style>
  <w:style w:type="character" w:styleId="1200">
    <w:name w:val="标题 8 字符"/>
    <w:next w:val="1200"/>
    <w:link w:val="1199"/>
    <w:qFormat/>
    <w:rPr>
      <w:rFonts w:ascii="Arial" w:hAnsi="Arial" w:eastAsia="黑体"/>
      <w:sz w:val="24"/>
    </w:rPr>
  </w:style>
  <w:style w:type="paragraph" w:styleId="1201">
    <w:name w:val="标题 91"/>
    <w:basedOn w:val="962"/>
    <w:next w:val="962"/>
    <w:link w:val="1202"/>
    <w:qFormat/>
    <w:pPr>
      <w:keepLines/>
      <w:keepNext/>
      <w:spacing w:before="240" w:after="64" w:line="320" w:lineRule="atLeast"/>
      <w:outlineLvl w:val="8"/>
    </w:pPr>
    <w:rPr>
      <w:rFonts w:ascii="Arial" w:hAnsi="Arial" w:eastAsia="黑体"/>
      <w:szCs w:val="20"/>
    </w:rPr>
  </w:style>
  <w:style w:type="character" w:styleId="1202">
    <w:name w:val="标题 9 字符"/>
    <w:next w:val="1202"/>
    <w:link w:val="1201"/>
    <w:qFormat/>
    <w:rPr>
      <w:rFonts w:ascii="Arial" w:hAnsi="Arial" w:eastAsia="黑体"/>
      <w:sz w:val="21"/>
    </w:rPr>
  </w:style>
  <w:style w:type="character" w:styleId="1203">
    <w:name w:val="默认段落字体1"/>
    <w:next w:val="1203"/>
    <w:link w:val="962"/>
    <w:uiPriority w:val="1"/>
    <w:unhideWhenUsed/>
    <w:qFormat/>
  </w:style>
  <w:style w:type="table" w:styleId="1204">
    <w:name w:val="普通表格1"/>
    <w:next w:val="1204"/>
    <w:link w:val="962"/>
    <w:uiPriority w:val="99"/>
    <w:unhideWhenUsed/>
    <w:qFormat/>
    <w:tblPr/>
  </w:style>
  <w:style w:type="paragraph" w:styleId="1205">
    <w:name w:val="目录 71"/>
    <w:basedOn w:val="962"/>
    <w:next w:val="962"/>
    <w:link w:val="962"/>
    <w:qFormat/>
    <w:pPr>
      <w:ind w:left="2520"/>
    </w:pPr>
  </w:style>
  <w:style w:type="paragraph" w:styleId="1206">
    <w:name w:val="正文缩进111"/>
    <w:basedOn w:val="962"/>
    <w:next w:val="1206"/>
    <w:link w:val="1207"/>
    <w:qFormat/>
    <w:pPr>
      <w:ind w:firstLine="420"/>
      <w:jc w:val="left"/>
    </w:pPr>
    <w:rPr>
      <w:rFonts w:ascii="宋体"/>
      <w:sz w:val="24"/>
    </w:rPr>
  </w:style>
  <w:style w:type="character" w:styleId="1207">
    <w:name w:val="正文缩进 字符"/>
    <w:next w:val="1207"/>
    <w:link w:val="1206"/>
    <w:qFormat/>
    <w:rPr>
      <w:rFonts w:ascii="宋体" w:eastAsia="宋体"/>
      <w:sz w:val="24"/>
      <w:szCs w:val="24"/>
      <w:lang w:val="en-US" w:eastAsia="zh-CN" w:bidi="ar-SA"/>
    </w:rPr>
  </w:style>
  <w:style w:type="paragraph" w:styleId="1208">
    <w:name w:val="题注1"/>
    <w:basedOn w:val="962"/>
    <w:next w:val="962"/>
    <w:link w:val="962"/>
    <w:qFormat/>
    <w:pPr>
      <w:spacing w:line="480" w:lineRule="auto"/>
    </w:pPr>
    <w:rPr>
      <w:rFonts w:ascii="华文中宋" w:hAnsi="华文中宋" w:eastAsia="华文中宋"/>
      <w:sz w:val="36"/>
      <w:szCs w:val="20"/>
    </w:rPr>
  </w:style>
  <w:style w:type="paragraph" w:styleId="1209">
    <w:name w:val="文档结构图1"/>
    <w:basedOn w:val="962"/>
    <w:next w:val="1209"/>
    <w:link w:val="1210"/>
    <w:qFormat/>
    <w:pPr>
      <w:shd w:val="clear" w:color="auto" w:fill="000080"/>
    </w:pPr>
  </w:style>
  <w:style w:type="character" w:styleId="1210">
    <w:name w:val="文档结构图 字符"/>
    <w:next w:val="1210"/>
    <w:link w:val="1209"/>
    <w:qFormat/>
    <w:rPr>
      <w:sz w:val="21"/>
      <w:szCs w:val="24"/>
      <w:shd w:val="clear" w:color="auto" w:fill="000080"/>
    </w:rPr>
  </w:style>
  <w:style w:type="paragraph" w:styleId="1211">
    <w:name w:val="批注文字1"/>
    <w:basedOn w:val="962"/>
    <w:next w:val="1211"/>
    <w:link w:val="1212"/>
    <w:qFormat/>
    <w:pPr>
      <w:jc w:val="left"/>
    </w:pPr>
  </w:style>
  <w:style w:type="character" w:styleId="1212">
    <w:name w:val="批注文字 字符1"/>
    <w:next w:val="1212"/>
    <w:link w:val="1211"/>
    <w:uiPriority w:val="99"/>
    <w:qFormat/>
    <w:rPr>
      <w:sz w:val="21"/>
      <w:szCs w:val="24"/>
    </w:rPr>
  </w:style>
  <w:style w:type="paragraph" w:styleId="1213">
    <w:name w:val="正文文本 31"/>
    <w:basedOn w:val="962"/>
    <w:next w:val="1213"/>
    <w:link w:val="1214"/>
    <w:qFormat/>
    <w:pPr>
      <w:spacing w:after="120"/>
    </w:pPr>
    <w:rPr>
      <w:sz w:val="16"/>
      <w:szCs w:val="16"/>
    </w:rPr>
  </w:style>
  <w:style w:type="character" w:styleId="1214">
    <w:name w:val="正文文本 3 字符"/>
    <w:next w:val="1214"/>
    <w:link w:val="1213"/>
    <w:qFormat/>
    <w:rPr>
      <w:sz w:val="16"/>
      <w:szCs w:val="16"/>
    </w:rPr>
  </w:style>
  <w:style w:type="paragraph" w:styleId="1215">
    <w:name w:val="正文文本11"/>
    <w:basedOn w:val="962"/>
    <w:next w:val="962"/>
    <w:link w:val="1216"/>
    <w:qFormat/>
    <w:pPr>
      <w:spacing w:before="120" w:line="22" w:lineRule="atLeast"/>
      <w:tabs>
        <w:tab w:val="left" w:pos="567" w:leader="none"/>
      </w:tabs>
    </w:pPr>
    <w:rPr>
      <w:rFonts w:ascii="宋体" w:hAnsi="宋体"/>
      <w:sz w:val="24"/>
    </w:rPr>
  </w:style>
  <w:style w:type="character" w:styleId="1216">
    <w:name w:val="正文文本 字符"/>
    <w:next w:val="1216"/>
    <w:link w:val="1215"/>
    <w:qFormat/>
    <w:rPr>
      <w:rFonts w:ascii="宋体" w:hAnsi="宋体"/>
      <w:sz w:val="24"/>
      <w:szCs w:val="24"/>
    </w:rPr>
  </w:style>
  <w:style w:type="paragraph" w:styleId="1217">
    <w:name w:val="正文文本缩进11"/>
    <w:basedOn w:val="962"/>
    <w:next w:val="1217"/>
    <w:link w:val="1218"/>
    <w:uiPriority w:val="99"/>
    <w:qFormat/>
    <w:pPr>
      <w:ind w:firstLine="570"/>
      <w:spacing w:line="360" w:lineRule="auto"/>
    </w:pPr>
    <w:rPr>
      <w:sz w:val="24"/>
    </w:rPr>
  </w:style>
  <w:style w:type="character" w:styleId="1218">
    <w:name w:val="正文文本缩进 字符"/>
    <w:next w:val="1218"/>
    <w:link w:val="1217"/>
    <w:uiPriority w:val="99"/>
    <w:qFormat/>
    <w:rPr>
      <w:rFonts w:eastAsia="宋体"/>
      <w:sz w:val="24"/>
      <w:szCs w:val="24"/>
      <w:lang w:val="en-US" w:eastAsia="zh-CN" w:bidi="ar-SA"/>
    </w:rPr>
  </w:style>
  <w:style w:type="paragraph" w:styleId="1219">
    <w:name w:val="列表 21"/>
    <w:basedOn w:val="962"/>
    <w:next w:val="1219"/>
    <w:link w:val="962"/>
    <w:qFormat/>
    <w:pPr>
      <w:ind w:left="100" w:hanging="200"/>
    </w:pPr>
  </w:style>
  <w:style w:type="paragraph" w:styleId="1220">
    <w:name w:val="文本块1"/>
    <w:basedOn w:val="962"/>
    <w:next w:val="1220"/>
    <w:link w:val="962"/>
    <w:qFormat/>
    <w:pPr>
      <w:ind w:left="480" w:right="-341" w:firstLine="513"/>
      <w:widowControl/>
    </w:pPr>
    <w:rPr>
      <w:sz w:val="24"/>
      <w:szCs w:val="20"/>
    </w:rPr>
  </w:style>
  <w:style w:type="paragraph" w:styleId="1221">
    <w:name w:val="目录 51"/>
    <w:basedOn w:val="962"/>
    <w:next w:val="962"/>
    <w:link w:val="962"/>
    <w:qFormat/>
    <w:pPr>
      <w:ind w:left="1680"/>
    </w:pPr>
  </w:style>
  <w:style w:type="paragraph" w:styleId="1222">
    <w:name w:val="目录 31"/>
    <w:basedOn w:val="962"/>
    <w:next w:val="962"/>
    <w:link w:val="962"/>
    <w:uiPriority w:val="39"/>
    <w:qFormat/>
    <w:pPr>
      <w:ind w:left="840"/>
    </w:pPr>
  </w:style>
  <w:style w:type="paragraph" w:styleId="1223">
    <w:name w:val="纯文本11"/>
    <w:basedOn w:val="962"/>
    <w:next w:val="1223"/>
    <w:link w:val="1224"/>
    <w:uiPriority w:val="99"/>
    <w:qFormat/>
    <w:rPr>
      <w:rFonts w:hint="eastAsia" w:ascii="宋体" w:hAnsi="Courier New"/>
      <w:szCs w:val="20"/>
    </w:rPr>
  </w:style>
  <w:style w:type="character" w:styleId="1224">
    <w:name w:val="纯文本 字符2"/>
    <w:next w:val="1224"/>
    <w:link w:val="1223"/>
    <w:qFormat/>
    <w:rPr>
      <w:rFonts w:hint="eastAsia" w:ascii="宋体" w:hAnsi="Courier New" w:eastAsia="宋体" w:cs="宋体"/>
      <w:sz w:val="21"/>
    </w:rPr>
  </w:style>
  <w:style w:type="paragraph" w:styleId="1225">
    <w:name w:val="目录 81"/>
    <w:basedOn w:val="962"/>
    <w:next w:val="962"/>
    <w:link w:val="962"/>
    <w:qFormat/>
    <w:pPr>
      <w:ind w:left="2940"/>
    </w:pPr>
  </w:style>
  <w:style w:type="paragraph" w:styleId="1226">
    <w:name w:val="日期1"/>
    <w:basedOn w:val="962"/>
    <w:next w:val="962"/>
    <w:link w:val="1227"/>
    <w:qFormat/>
    <w:pPr>
      <w:ind w:left="100"/>
    </w:pPr>
    <w:rPr>
      <w:rFonts w:ascii="仿宋_GB2312" w:hAnsi="宋体" w:eastAsia="仿宋_GB2312"/>
      <w:color w:val="000000"/>
      <w:sz w:val="24"/>
    </w:rPr>
  </w:style>
  <w:style w:type="character" w:styleId="1227">
    <w:name w:val="日期 字符"/>
    <w:next w:val="1227"/>
    <w:link w:val="1226"/>
    <w:qFormat/>
    <w:rPr>
      <w:rFonts w:ascii="仿宋_GB2312" w:hAnsi="宋体" w:eastAsia="仿宋_GB2312"/>
      <w:color w:val="000000"/>
      <w:sz w:val="24"/>
      <w:szCs w:val="24"/>
    </w:rPr>
  </w:style>
  <w:style w:type="paragraph" w:styleId="1228">
    <w:name w:val="正文文本缩进 21"/>
    <w:basedOn w:val="962"/>
    <w:next w:val="1228"/>
    <w:link w:val="1229"/>
    <w:qFormat/>
    <w:pPr>
      <w:ind w:firstLine="480"/>
    </w:pPr>
    <w:rPr>
      <w:rFonts w:ascii="仿宋_GB2312" w:eastAsia="仿宋_GB2312"/>
      <w:sz w:val="24"/>
    </w:rPr>
  </w:style>
  <w:style w:type="character" w:styleId="1229">
    <w:name w:val="正文文本缩进 2 字符"/>
    <w:next w:val="1229"/>
    <w:link w:val="1228"/>
    <w:qFormat/>
    <w:rPr>
      <w:rFonts w:ascii="仿宋_GB2312" w:eastAsia="仿宋_GB2312"/>
      <w:sz w:val="24"/>
      <w:szCs w:val="24"/>
    </w:rPr>
  </w:style>
  <w:style w:type="paragraph" w:styleId="1230">
    <w:name w:val="批注框文本1"/>
    <w:basedOn w:val="962"/>
    <w:next w:val="1230"/>
    <w:link w:val="1231"/>
    <w:qFormat/>
    <w:rPr>
      <w:sz w:val="18"/>
      <w:szCs w:val="18"/>
    </w:rPr>
  </w:style>
  <w:style w:type="character" w:styleId="1231">
    <w:name w:val="批注框文本 字符"/>
    <w:next w:val="1231"/>
    <w:link w:val="1230"/>
    <w:qFormat/>
    <w:rPr>
      <w:sz w:val="18"/>
      <w:szCs w:val="18"/>
    </w:rPr>
  </w:style>
  <w:style w:type="paragraph" w:styleId="1232">
    <w:name w:val="页脚1"/>
    <w:basedOn w:val="962"/>
    <w:next w:val="1232"/>
    <w:link w:val="1233"/>
    <w:uiPriority w:val="99"/>
    <w:qFormat/>
    <w:pPr>
      <w:jc w:val="left"/>
      <w:tabs>
        <w:tab w:val="center" w:pos="4153" w:leader="none"/>
        <w:tab w:val="right" w:pos="8306" w:leader="none"/>
      </w:tabs>
    </w:pPr>
    <w:rPr>
      <w:rFonts w:ascii="宋体"/>
      <w:sz w:val="18"/>
      <w:szCs w:val="20"/>
    </w:rPr>
  </w:style>
  <w:style w:type="character" w:styleId="1233">
    <w:name w:val="页脚 字符1"/>
    <w:next w:val="1233"/>
    <w:link w:val="1232"/>
    <w:uiPriority w:val="99"/>
    <w:qFormat/>
    <w:rPr>
      <w:rFonts w:ascii="宋体" w:eastAsia="宋体"/>
      <w:sz w:val="18"/>
      <w:lang w:val="en-US" w:eastAsia="zh-CN" w:bidi="ar-SA"/>
    </w:rPr>
  </w:style>
  <w:style w:type="paragraph" w:styleId="1234">
    <w:name w:val="页眉1"/>
    <w:basedOn w:val="962"/>
    <w:next w:val="1234"/>
    <w:link w:val="1235"/>
    <w:qFormat/>
    <w:pPr>
      <w:jc w:val="center"/>
      <w:tabs>
        <w:tab w:val="center" w:pos="4153" w:leader="none"/>
        <w:tab w:val="right" w:pos="8306" w:leader="none"/>
      </w:tabs>
      <w:pBdr>
        <w:bottom w:val="single" w:color="000000" w:sz="6" w:space="1"/>
      </w:pBdr>
    </w:pPr>
    <w:rPr>
      <w:sz w:val="18"/>
      <w:szCs w:val="18"/>
    </w:rPr>
  </w:style>
  <w:style w:type="character" w:styleId="1235">
    <w:name w:val="页眉 字符"/>
    <w:next w:val="1235"/>
    <w:link w:val="1234"/>
    <w:qFormat/>
    <w:rPr>
      <w:rFonts w:eastAsia="宋体"/>
      <w:sz w:val="18"/>
      <w:szCs w:val="18"/>
      <w:lang w:val="en-US" w:eastAsia="zh-CN" w:bidi="ar-SA"/>
    </w:rPr>
  </w:style>
  <w:style w:type="paragraph" w:styleId="1236">
    <w:name w:val="目录 11"/>
    <w:basedOn w:val="962"/>
    <w:next w:val="962"/>
    <w:link w:val="962"/>
    <w:uiPriority w:val="39"/>
    <w:qFormat/>
    <w:pPr>
      <w:spacing w:line="300" w:lineRule="auto"/>
      <w:tabs>
        <w:tab w:val="left" w:pos="1050" w:leader="none"/>
        <w:tab w:val="right" w:pos="8937" w:leader="dot"/>
      </w:tabs>
    </w:pPr>
    <w:rPr>
      <w:rFonts w:ascii="宋体" w:hAnsi="宋体"/>
      <w:b/>
      <w:sz w:val="24"/>
    </w:rPr>
  </w:style>
  <w:style w:type="paragraph" w:styleId="1237">
    <w:name w:val="目录 41"/>
    <w:basedOn w:val="962"/>
    <w:next w:val="962"/>
    <w:link w:val="962"/>
    <w:qFormat/>
    <w:pPr>
      <w:ind w:left="1260"/>
    </w:pPr>
  </w:style>
  <w:style w:type="paragraph" w:styleId="1238">
    <w:name w:val="目录 61"/>
    <w:basedOn w:val="962"/>
    <w:next w:val="962"/>
    <w:link w:val="962"/>
    <w:qFormat/>
    <w:pPr>
      <w:ind w:left="2100"/>
    </w:pPr>
  </w:style>
  <w:style w:type="paragraph" w:styleId="1239">
    <w:name w:val="正文文本缩进 31"/>
    <w:basedOn w:val="962"/>
    <w:next w:val="1239"/>
    <w:link w:val="1240"/>
    <w:qFormat/>
    <w:pPr>
      <w:ind w:left="720" w:firstLine="480"/>
      <w:jc w:val="left"/>
      <w:spacing w:before="120" w:line="22" w:lineRule="atLeast"/>
    </w:pPr>
    <w:rPr>
      <w:rFonts w:ascii="宋体"/>
      <w:sz w:val="24"/>
      <w:szCs w:val="20"/>
    </w:rPr>
  </w:style>
  <w:style w:type="character" w:styleId="1240">
    <w:name w:val="正文文本缩进 3 字符"/>
    <w:next w:val="1240"/>
    <w:link w:val="1239"/>
    <w:qFormat/>
    <w:rPr>
      <w:rFonts w:ascii="宋体"/>
      <w:sz w:val="24"/>
    </w:rPr>
  </w:style>
  <w:style w:type="paragraph" w:styleId="1241">
    <w:name w:val="目录 21"/>
    <w:basedOn w:val="962"/>
    <w:next w:val="962"/>
    <w:link w:val="962"/>
    <w:uiPriority w:val="39"/>
    <w:qFormat/>
    <w:pPr>
      <w:ind w:left="420"/>
      <w:spacing w:line="312" w:lineRule="auto"/>
      <w:tabs>
        <w:tab w:val="right" w:pos="8937" w:leader="dot"/>
      </w:tabs>
    </w:pPr>
  </w:style>
  <w:style w:type="paragraph" w:styleId="1242">
    <w:name w:val="目录 91"/>
    <w:basedOn w:val="962"/>
    <w:next w:val="962"/>
    <w:link w:val="962"/>
    <w:qFormat/>
    <w:pPr>
      <w:ind w:left="3360"/>
    </w:pPr>
  </w:style>
  <w:style w:type="paragraph" w:styleId="1243">
    <w:name w:val="HTML 预设格式1"/>
    <w:basedOn w:val="962"/>
    <w:next w:val="1243"/>
    <w:link w:val="12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44">
    <w:name w:val="HTML 预设格式 字符"/>
    <w:next w:val="1244"/>
    <w:link w:val="1243"/>
    <w:qFormat/>
    <w:rPr>
      <w:rFonts w:ascii="宋体" w:hAnsi="宋体" w:cs="宋体"/>
      <w:sz w:val="24"/>
      <w:szCs w:val="24"/>
    </w:rPr>
  </w:style>
  <w:style w:type="paragraph" w:styleId="1245">
    <w:name w:val="普通(网站)1"/>
    <w:basedOn w:val="962"/>
    <w:next w:val="1245"/>
    <w:link w:val="1246"/>
    <w:uiPriority w:val="99"/>
    <w:unhideWhenUsed/>
    <w:qFormat/>
    <w:pPr>
      <w:jc w:val="left"/>
      <w:spacing w:before="100" w:beforeAutospacing="1" w:after="100" w:afterAutospacing="1"/>
      <w:widowControl/>
    </w:pPr>
    <w:rPr>
      <w:rFonts w:ascii="宋体" w:hAnsi="宋体"/>
      <w:sz w:val="24"/>
    </w:rPr>
  </w:style>
  <w:style w:type="character" w:styleId="1246">
    <w:name w:val="普通(网站) 字符"/>
    <w:next w:val="1246"/>
    <w:link w:val="1245"/>
    <w:uiPriority w:val="99"/>
    <w:qFormat/>
    <w:rPr>
      <w:rFonts w:ascii="宋体" w:hAnsi="宋体" w:cs="宋体"/>
      <w:sz w:val="24"/>
      <w:szCs w:val="24"/>
    </w:rPr>
  </w:style>
  <w:style w:type="paragraph" w:styleId="1247">
    <w:name w:val="索引 11"/>
    <w:basedOn w:val="962"/>
    <w:next w:val="962"/>
    <w:link w:val="962"/>
    <w:qFormat/>
    <w:rPr>
      <w:szCs w:val="20"/>
    </w:rPr>
  </w:style>
  <w:style w:type="paragraph" w:styleId="1248">
    <w:name w:val="标题1"/>
    <w:basedOn w:val="962"/>
    <w:next w:val="1248"/>
    <w:link w:val="1249"/>
    <w:qFormat/>
    <w:pPr>
      <w:jc w:val="center"/>
      <w:outlineLvl w:val="0"/>
    </w:pPr>
    <w:rPr>
      <w:b/>
      <w:sz w:val="32"/>
      <w:szCs w:val="20"/>
    </w:rPr>
  </w:style>
  <w:style w:type="character" w:styleId="1249">
    <w:name w:val="标题 字符"/>
    <w:next w:val="1249"/>
    <w:link w:val="1248"/>
    <w:qFormat/>
    <w:rPr>
      <w:b/>
      <w:sz w:val="32"/>
    </w:rPr>
  </w:style>
  <w:style w:type="paragraph" w:styleId="1250">
    <w:name w:val="批注主题1"/>
    <w:basedOn w:val="1211"/>
    <w:next w:val="1211"/>
    <w:link w:val="1251"/>
    <w:qFormat/>
    <w:rPr>
      <w:b/>
      <w:bCs/>
      <w:lang w:val="en-US" w:eastAsia="zh-CN"/>
    </w:rPr>
  </w:style>
  <w:style w:type="character" w:styleId="1251">
    <w:name w:val="批注主题 字符"/>
    <w:next w:val="1251"/>
    <w:link w:val="1250"/>
    <w:qFormat/>
    <w:rPr>
      <w:rFonts w:ascii="Times New Roman" w:hAnsi="Times New Roman" w:eastAsia="宋体" w:cs="Times New Roman"/>
      <w:b/>
      <w:bCs/>
      <w:sz w:val="21"/>
      <w:szCs w:val="24"/>
      <w:lang w:val="en-US" w:eastAsia="zh-CN" w:bidi="ar-SA"/>
    </w:rPr>
  </w:style>
  <w:style w:type="paragraph" w:styleId="1252">
    <w:name w:val="正文首行缩进 21"/>
    <w:basedOn w:val="1253"/>
    <w:next w:val="962"/>
    <w:link w:val="1255"/>
    <w:qFormat/>
    <w:pPr>
      <w:ind w:left="420" w:firstLine="420"/>
      <w:spacing w:after="120" w:line="480" w:lineRule="exact"/>
    </w:pPr>
  </w:style>
  <w:style w:type="paragraph" w:styleId="1253">
    <w:name w:val="正文文本缩进1"/>
    <w:basedOn w:val="962"/>
    <w:next w:val="962"/>
    <w:link w:val="1254"/>
    <w:qFormat/>
    <w:pPr>
      <w:ind w:firstLine="480"/>
      <w:spacing w:line="480" w:lineRule="exact"/>
    </w:pPr>
    <w:rPr>
      <w:rFonts w:ascii="宋体" w:hAnsi="宋体"/>
      <w:sz w:val="24"/>
    </w:rPr>
  </w:style>
  <w:style w:type="character" w:styleId="1254">
    <w:name w:val="正文文本缩进 Char1"/>
    <w:next w:val="1254"/>
    <w:link w:val="1253"/>
    <w:qFormat/>
    <w:rPr>
      <w:rFonts w:ascii="宋体" w:hAnsi="宋体" w:eastAsia="宋体"/>
      <w:sz w:val="24"/>
      <w:szCs w:val="24"/>
      <w:lang w:bidi="ar-SA"/>
    </w:rPr>
  </w:style>
  <w:style w:type="character" w:styleId="1255">
    <w:name w:val="正文文本首行缩进 2 字符"/>
    <w:next w:val="1255"/>
    <w:link w:val="1252"/>
    <w:qFormat/>
    <w:rPr>
      <w:rFonts w:eastAsia="宋体"/>
      <w:sz w:val="24"/>
      <w:szCs w:val="24"/>
      <w:lang w:val="en-US" w:eastAsia="zh-CN" w:bidi="ar-SA"/>
    </w:rPr>
  </w:style>
  <w:style w:type="table" w:styleId="1256">
    <w:name w:val="网格型11"/>
    <w:basedOn w:val="1204"/>
    <w:next w:val="1256"/>
    <w:link w:val="962"/>
    <w:uiPriority w:val="39"/>
    <w:qFormat/>
    <w:tblPr/>
  </w:style>
  <w:style w:type="table" w:styleId="1257">
    <w:name w:val="中等深浅网格 1 - 强调文字颜色 21"/>
    <w:basedOn w:val="1204"/>
    <w:next w:val="1257"/>
    <w:link w:val="962"/>
    <w:qFormat/>
    <w:rPr>
      <w:sz w:val="21"/>
      <w:szCs w:val="24"/>
    </w:rPr>
    <w:tblPr/>
  </w:style>
  <w:style w:type="character" w:styleId="1258">
    <w:name w:val="要点1"/>
    <w:next w:val="1258"/>
    <w:link w:val="962"/>
    <w:qFormat/>
    <w:rPr>
      <w:b/>
      <w:bCs/>
    </w:rPr>
  </w:style>
  <w:style w:type="character" w:styleId="1259">
    <w:name w:val="页码1"/>
    <w:next w:val="1259"/>
    <w:link w:val="962"/>
    <w:qFormat/>
  </w:style>
  <w:style w:type="character" w:styleId="1260">
    <w:name w:val="已访问的超链接1"/>
    <w:next w:val="1260"/>
    <w:link w:val="962"/>
    <w:qFormat/>
    <w:rPr>
      <w:color w:val="000000"/>
      <w:u w:val="none"/>
    </w:rPr>
  </w:style>
  <w:style w:type="character" w:styleId="1261">
    <w:name w:val="强调1"/>
    <w:next w:val="1261"/>
    <w:link w:val="962"/>
    <w:qFormat/>
    <w:rPr>
      <w:color w:val="cc0033"/>
    </w:rPr>
  </w:style>
  <w:style w:type="character" w:styleId="1262">
    <w:name w:val="HTML 定义1"/>
    <w:next w:val="1262"/>
    <w:link w:val="962"/>
    <w:qFormat/>
  </w:style>
  <w:style w:type="character" w:styleId="1263">
    <w:name w:val="HTML 打字机1"/>
    <w:next w:val="1263"/>
    <w:link w:val="962"/>
    <w:qFormat/>
    <w:rPr>
      <w:rFonts w:ascii="monospace" w:hAnsi="monospace" w:eastAsia="monospace" w:cs="monospace"/>
      <w:sz w:val="20"/>
    </w:rPr>
  </w:style>
  <w:style w:type="character" w:styleId="1264">
    <w:name w:val="HTML 缩写1"/>
    <w:next w:val="1264"/>
    <w:link w:val="962"/>
    <w:qFormat/>
  </w:style>
  <w:style w:type="character" w:styleId="1265">
    <w:name w:val="HTML 变量1"/>
    <w:next w:val="1265"/>
    <w:link w:val="962"/>
    <w:qFormat/>
  </w:style>
  <w:style w:type="character" w:styleId="1266">
    <w:name w:val="超链接1"/>
    <w:next w:val="1266"/>
    <w:link w:val="962"/>
    <w:uiPriority w:val="99"/>
    <w:qFormat/>
    <w:rPr>
      <w:color w:val="000000"/>
      <w:u w:val="none"/>
    </w:rPr>
  </w:style>
  <w:style w:type="character" w:styleId="1267">
    <w:name w:val="HTML 代码1"/>
    <w:next w:val="1267"/>
    <w:link w:val="962"/>
    <w:qFormat/>
    <w:rPr>
      <w:rFonts w:ascii="monospace" w:hAnsi="monospace" w:eastAsia="monospace" w:cs="monospace"/>
      <w:sz w:val="20"/>
    </w:rPr>
  </w:style>
  <w:style w:type="character" w:styleId="1268">
    <w:name w:val="批注引用1"/>
    <w:next w:val="1268"/>
    <w:link w:val="962"/>
    <w:uiPriority w:val="99"/>
    <w:qFormat/>
    <w:rPr>
      <w:sz w:val="21"/>
      <w:szCs w:val="21"/>
    </w:rPr>
  </w:style>
  <w:style w:type="character" w:styleId="1269">
    <w:name w:val="HTML 引文1"/>
    <w:next w:val="1269"/>
    <w:link w:val="962"/>
    <w:qFormat/>
    <w:rPr>
      <w:i/>
      <w:iCs/>
    </w:rPr>
  </w:style>
  <w:style w:type="character" w:styleId="1270">
    <w:name w:val="HTML 键盘1"/>
    <w:next w:val="1270"/>
    <w:link w:val="962"/>
    <w:qFormat/>
    <w:rPr>
      <w:rFonts w:ascii="monospace" w:hAnsi="monospace" w:eastAsia="monospace" w:cs="monospace"/>
      <w:sz w:val="20"/>
    </w:rPr>
  </w:style>
  <w:style w:type="character" w:styleId="1271">
    <w:name w:val="HTML 样本1"/>
    <w:next w:val="1271"/>
    <w:link w:val="962"/>
    <w:qFormat/>
    <w:rPr>
      <w:rFonts w:ascii="monospace" w:hAnsi="monospace" w:eastAsia="monospace" w:cs="monospace"/>
    </w:rPr>
  </w:style>
  <w:style w:type="character" w:styleId="1272">
    <w:name w:val="批注文字 字符"/>
    <w:next w:val="1272"/>
    <w:link w:val="962"/>
    <w:qFormat/>
    <w:rPr>
      <w:rFonts w:ascii="Times New Roman" w:hAnsi="Times New Roman" w:eastAsia="宋体" w:cs="Times New Roman"/>
      <w:sz w:val="24"/>
      <w:lang w:val="en-US" w:eastAsia="zh-CN" w:bidi="ar-SA"/>
    </w:rPr>
  </w:style>
  <w:style w:type="character" w:styleId="1273">
    <w:name w:val="c21"/>
    <w:next w:val="1273"/>
    <w:link w:val="962"/>
    <w:qFormat/>
    <w:rPr>
      <w:rFonts w:ascii="ˎ̥" w:hAnsi="ˎ̥"/>
      <w:color w:val="000000"/>
      <w:sz w:val="20"/>
      <w:szCs w:val="20"/>
      <w:u w:val="none"/>
    </w:rPr>
  </w:style>
  <w:style w:type="character" w:styleId="1274">
    <w:name w:val="title4"/>
    <w:next w:val="1274"/>
    <w:link w:val="962"/>
    <w:qFormat/>
    <w:rPr>
      <w:b/>
      <w:bCs/>
      <w:color w:val="1d87b3"/>
      <w:sz w:val="15"/>
      <w:szCs w:val="15"/>
    </w:rPr>
  </w:style>
  <w:style w:type="character" w:styleId="1275">
    <w:name w:val="标题 2 Char Char"/>
    <w:next w:val="1275"/>
    <w:link w:val="962"/>
    <w:qFormat/>
    <w:rPr>
      <w:rFonts w:ascii="Arial" w:hAnsi="Arial" w:eastAsia="黑体"/>
      <w:b/>
      <w:bCs/>
      <w:sz w:val="32"/>
      <w:szCs w:val="32"/>
      <w:lang w:val="en-US" w:eastAsia="zh-CN" w:bidi="ar-SA"/>
    </w:rPr>
  </w:style>
  <w:style w:type="character" w:styleId="1276">
    <w:name w:val="black1"/>
    <w:next w:val="1276"/>
    <w:link w:val="962"/>
    <w:qFormat/>
    <w:rPr>
      <w:color w:val="000000"/>
    </w:rPr>
  </w:style>
  <w:style w:type="character" w:styleId="1277">
    <w:name w:val="street-address"/>
    <w:next w:val="1277"/>
    <w:link w:val="962"/>
    <w:qFormat/>
  </w:style>
  <w:style w:type="character" w:styleId="1278">
    <w:name w:val="locality"/>
    <w:next w:val="1278"/>
    <w:link w:val="962"/>
    <w:qFormat/>
  </w:style>
  <w:style w:type="character" w:styleId="1279">
    <w:name w:val="Char Char11"/>
    <w:next w:val="1279"/>
    <w:link w:val="962"/>
    <w:qFormat/>
    <w:rPr>
      <w:rFonts w:ascii="宋体" w:eastAsia="宋体"/>
      <w:b/>
      <w:sz w:val="24"/>
      <w:u w:val="single"/>
      <w:lang w:val="en-US" w:eastAsia="zh-CN" w:bidi="ar-SA"/>
    </w:rPr>
  </w:style>
  <w:style w:type="character" w:styleId="1280">
    <w:name w:val="txt"/>
    <w:next w:val="1280"/>
    <w:link w:val="962"/>
    <w:qFormat/>
  </w:style>
  <w:style w:type="character" w:styleId="1281">
    <w:name w:val="正文缩进 Char Char"/>
    <w:next w:val="1281"/>
    <w:link w:val="1282"/>
    <w:qFormat/>
    <w:rPr>
      <w:rFonts w:ascii="宋体" w:eastAsia="宋体"/>
      <w:color w:val="000000"/>
      <w:sz w:val="28"/>
      <w:lang w:bidi="ar-SA"/>
    </w:rPr>
  </w:style>
  <w:style w:type="paragraph" w:styleId="1282">
    <w:name w:val="正文缩进1"/>
    <w:basedOn w:val="962"/>
    <w:next w:val="1282"/>
    <w:link w:val="1281"/>
    <w:qFormat/>
    <w:pPr>
      <w:ind w:firstLine="567"/>
      <w:spacing w:line="480" w:lineRule="exact"/>
      <w:widowControl/>
    </w:pPr>
    <w:rPr>
      <w:rFonts w:ascii="宋体"/>
      <w:color w:val="000000"/>
      <w:sz w:val="28"/>
      <w:szCs w:val="20"/>
    </w:rPr>
  </w:style>
  <w:style w:type="character" w:styleId="1283">
    <w:name w:val="普通文字1 Char1"/>
    <w:next w:val="1283"/>
    <w:link w:val="962"/>
    <w:qFormat/>
    <w:rPr>
      <w:rFonts w:ascii="宋体" w:hAnsi="Courier New" w:eastAsia="宋体"/>
      <w:sz w:val="21"/>
      <w:lang w:val="en-US" w:eastAsia="zh-CN" w:bidi="ar-SA"/>
    </w:rPr>
  </w:style>
  <w:style w:type="character" w:styleId="1284">
    <w:name w:val="chanpin1"/>
    <w:next w:val="1284"/>
    <w:link w:val="962"/>
    <w:qFormat/>
    <w:rPr>
      <w:rFonts w:ascii="ˎ̥" w:hAnsi="ˎ̥"/>
      <w:color w:val="000000"/>
      <w:sz w:val="20"/>
      <w:szCs w:val="20"/>
      <w:u w:val="none"/>
    </w:rPr>
  </w:style>
  <w:style w:type="character" w:styleId="1285">
    <w:name w:val="列表段落 字符"/>
    <w:next w:val="1285"/>
    <w:link w:val="1286"/>
    <w:uiPriority w:val="34"/>
    <w:qFormat/>
    <w:rPr>
      <w:rFonts w:ascii="Calibri" w:hAnsi="Calibri" w:eastAsia="宋体"/>
      <w:sz w:val="21"/>
      <w:szCs w:val="22"/>
      <w:lang w:val="en-US" w:eastAsia="zh-CN" w:bidi="ar-SA"/>
    </w:rPr>
  </w:style>
  <w:style w:type="paragraph" w:styleId="1286">
    <w:name w:val="列表段落"/>
    <w:basedOn w:val="962"/>
    <w:next w:val="1286"/>
    <w:link w:val="1285"/>
    <w:uiPriority w:val="34"/>
    <w:qFormat/>
    <w:pPr>
      <w:ind w:firstLine="420"/>
    </w:pPr>
    <w:rPr>
      <w:rFonts w:ascii="Calibri" w:hAnsi="Calibri"/>
      <w:szCs w:val="22"/>
    </w:rPr>
  </w:style>
  <w:style w:type="character" w:styleId="1287">
    <w:name w:val="标题 3 Char Char"/>
    <w:next w:val="1287"/>
    <w:link w:val="962"/>
    <w:qFormat/>
    <w:rPr>
      <w:rFonts w:eastAsia="宋体"/>
      <w:b/>
      <w:bCs/>
      <w:sz w:val="32"/>
      <w:szCs w:val="32"/>
      <w:lang w:val="en-US" w:eastAsia="zh-CN" w:bidi="ar-SA"/>
    </w:rPr>
  </w:style>
  <w:style w:type="character" w:styleId="1288">
    <w:name w:val="段1 Char"/>
    <w:next w:val="1288"/>
    <w:link w:val="962"/>
    <w:qFormat/>
    <w:rPr>
      <w:rFonts w:ascii="宋体" w:eastAsia="宋体"/>
      <w:sz w:val="24"/>
      <w:lang w:val="en-US" w:eastAsia="zh-CN" w:bidi="ar-SA"/>
    </w:rPr>
  </w:style>
  <w:style w:type="character" w:styleId="1289">
    <w:name w:val="chanpin拷贝"/>
    <w:next w:val="1289"/>
    <w:link w:val="962"/>
    <w:qFormat/>
  </w:style>
  <w:style w:type="character" w:styleId="1290">
    <w:name w:val="纯文本 Char1"/>
    <w:next w:val="1290"/>
    <w:link w:val="1291"/>
    <w:qFormat/>
    <w:rPr>
      <w:rFonts w:ascii="宋体" w:hAnsi="Courier New" w:eastAsia="宋体"/>
      <w:sz w:val="21"/>
      <w:lang w:val="en-US" w:eastAsia="zh-CN" w:bidi="ar-SA"/>
    </w:rPr>
  </w:style>
  <w:style w:type="paragraph" w:styleId="1291">
    <w:name w:val="纯文本1"/>
    <w:basedOn w:val="962"/>
    <w:next w:val="1291"/>
    <w:link w:val="1290"/>
    <w:qFormat/>
    <w:rPr>
      <w:rFonts w:ascii="宋体" w:hAnsi="Courier New"/>
      <w:szCs w:val="20"/>
    </w:rPr>
  </w:style>
  <w:style w:type="character" w:styleId="1292">
    <w:name w:val="apple-style-span"/>
    <w:next w:val="1292"/>
    <w:link w:val="962"/>
    <w:qFormat/>
    <w:rPr>
      <w:rFonts w:cs="Times New Roman"/>
    </w:rPr>
  </w:style>
  <w:style w:type="paragraph" w:styleId="1293">
    <w:name w:val="二级条标题"/>
    <w:basedOn w:val="1294"/>
    <w:next w:val="962"/>
    <w:link w:val="962"/>
    <w:qFormat/>
    <w:pPr>
      <w:numPr>
        <w:ilvl w:val="0"/>
        <w:numId w:val="0"/>
      </w:numPr>
      <w:ind w:hanging="840"/>
      <w:tabs>
        <w:tab w:val="left" w:pos="360" w:leader="none"/>
        <w:tab w:val="left" w:pos="840" w:leader="none"/>
      </w:tabs>
      <w:outlineLvl w:val="2"/>
    </w:pPr>
    <w:rPr>
      <w:rFonts w:ascii="宋体" w:eastAsia="宋体"/>
      <w:b w:val="0"/>
    </w:rPr>
  </w:style>
  <w:style w:type="paragraph" w:styleId="1294">
    <w:name w:val="一级条标题"/>
    <w:basedOn w:val="1295"/>
    <w:next w:val="962"/>
    <w:link w:val="962"/>
    <w:qFormat/>
    <w:pPr>
      <w:numPr>
        <w:ilvl w:val="1"/>
      </w:numPr>
      <w:ind w:left="0" w:hanging="840"/>
      <w:tabs>
        <w:tab w:val="left" w:pos="360" w:leader="none"/>
        <w:tab w:val="left" w:pos="840" w:leader="none"/>
      </w:tabs>
      <w:outlineLvl w:val="1"/>
    </w:pPr>
  </w:style>
  <w:style w:type="paragraph" w:styleId="1295">
    <w:name w:val="章标题"/>
    <w:next w:val="962"/>
    <w:link w:val="962"/>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96">
    <w:name w:val="font7"/>
    <w:basedOn w:val="962"/>
    <w:next w:val="1296"/>
    <w:link w:val="962"/>
    <w:qFormat/>
    <w:pPr>
      <w:jc w:val="left"/>
      <w:spacing w:before="100" w:beforeAutospacing="1" w:after="100" w:afterAutospacing="1"/>
      <w:widowControl/>
    </w:pPr>
    <w:rPr>
      <w:rFonts w:eastAsia="Arial Unicode MS"/>
      <w:b/>
      <w:bCs/>
      <w:color w:val="000000"/>
      <w:sz w:val="20"/>
      <w:szCs w:val="20"/>
    </w:rPr>
  </w:style>
  <w:style w:type="paragraph" w:styleId="1297">
    <w:name w:val="字元 字元"/>
    <w:basedOn w:val="962"/>
    <w:next w:val="1297"/>
    <w:link w:val="962"/>
    <w:qFormat/>
    <w:rPr>
      <w:rFonts w:ascii="Tahoma" w:hAnsi="Tahoma"/>
      <w:sz w:val="24"/>
      <w:szCs w:val="20"/>
    </w:rPr>
  </w:style>
  <w:style w:type="paragraph" w:styleId="1298">
    <w:name w:val="Char3 Char Char Char"/>
    <w:basedOn w:val="962"/>
    <w:next w:val="1298"/>
    <w:link w:val="962"/>
    <w:qFormat/>
    <w:rPr>
      <w:rFonts w:ascii="Tahoma" w:hAnsi="Tahoma"/>
      <w:sz w:val="24"/>
      <w:szCs w:val="20"/>
    </w:rPr>
  </w:style>
  <w:style w:type="paragraph" w:styleId="1299">
    <w:name w:val="font6"/>
    <w:basedOn w:val="962"/>
    <w:next w:val="1299"/>
    <w:link w:val="962"/>
    <w:qFormat/>
    <w:pPr>
      <w:jc w:val="left"/>
      <w:spacing w:before="100" w:beforeAutospacing="1" w:after="100" w:afterAutospacing="1"/>
      <w:widowControl/>
    </w:pPr>
    <w:rPr>
      <w:rFonts w:ascii="宋体" w:hAnsi="宋体" w:cs="宋体"/>
      <w:sz w:val="20"/>
      <w:szCs w:val="20"/>
    </w:rPr>
  </w:style>
  <w:style w:type="paragraph" w:styleId="1300">
    <w:name w:val="项目编号2"/>
    <w:basedOn w:val="1301"/>
    <w:next w:val="1300"/>
    <w:link w:val="962"/>
    <w:qFormat/>
    <w:pPr>
      <w:numPr>
        <w:numId w:val="3"/>
      </w:numPr>
    </w:pPr>
  </w:style>
  <w:style w:type="paragraph" w:styleId="1301">
    <w:name w:val="项目编号1"/>
    <w:basedOn w:val="962"/>
    <w:next w:val="1301"/>
    <w:link w:val="962"/>
    <w:qFormat/>
    <w:pPr>
      <w:numPr>
        <w:ilvl w:val="0"/>
        <w:numId w:val="2"/>
      </w:numPr>
      <w:spacing w:before="100" w:beforeAutospacing="1" w:after="100" w:afterAutospacing="1" w:line="360" w:lineRule="auto"/>
    </w:pPr>
    <w:rPr>
      <w:sz w:val="24"/>
    </w:rPr>
  </w:style>
  <w:style w:type="paragraph" w:styleId="1302">
    <w:name w:val="图中文字"/>
    <w:basedOn w:val="962"/>
    <w:next w:val="1302"/>
    <w:link w:val="962"/>
    <w:qFormat/>
    <w:pPr>
      <w:jc w:val="center"/>
      <w:spacing w:line="0" w:lineRule="atLeast"/>
    </w:pPr>
    <w:rPr>
      <w:sz w:val="24"/>
      <w:szCs w:val="20"/>
    </w:rPr>
  </w:style>
  <w:style w:type="paragraph" w:styleId="1303">
    <w:name w:val="xl46"/>
    <w:basedOn w:val="962"/>
    <w:next w:val="1303"/>
    <w:link w:val="96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4">
    <w:name w:val="xl25"/>
    <w:basedOn w:val="962"/>
    <w:next w:val="1304"/>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5">
    <w:name w:val="Char2"/>
    <w:basedOn w:val="962"/>
    <w:next w:val="1305"/>
    <w:link w:val="962"/>
    <w:qFormat/>
    <w:rPr>
      <w:rFonts w:ascii="Tahoma" w:hAnsi="Tahoma"/>
      <w:sz w:val="24"/>
      <w:szCs w:val="20"/>
    </w:rPr>
  </w:style>
  <w:style w:type="paragraph" w:styleId="1306">
    <w:name w:val="xl35"/>
    <w:basedOn w:val="962"/>
    <w:next w:val="1306"/>
    <w:link w:val="96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7">
    <w:name w:val="xl40"/>
    <w:basedOn w:val="962"/>
    <w:next w:val="1307"/>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8">
    <w:name w:val="xl52"/>
    <w:basedOn w:val="962"/>
    <w:next w:val="1308"/>
    <w:link w:val="9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09">
    <w:name w:val="xl43"/>
    <w:basedOn w:val="962"/>
    <w:next w:val="1309"/>
    <w:link w:val="96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0">
    <w:name w:val="background1"/>
    <w:basedOn w:val="962"/>
    <w:next w:val="1310"/>
    <w:link w:val="962"/>
    <w:qFormat/>
    <w:pPr>
      <w:jc w:val="left"/>
      <w:spacing w:before="100" w:beforeAutospacing="1" w:after="100" w:afterAutospacing="1"/>
      <w:widowControl/>
    </w:pPr>
    <w:rPr>
      <w:rFonts w:ascii="宋体" w:hAnsi="宋体" w:cs="宋体"/>
      <w:sz w:val="24"/>
    </w:rPr>
  </w:style>
  <w:style w:type="paragraph" w:styleId="1311">
    <w:name w:val="Char Char Char Char Char Char Char"/>
    <w:basedOn w:val="962"/>
    <w:next w:val="1311"/>
    <w:link w:val="962"/>
    <w:qFormat/>
    <w:pPr>
      <w:ind w:firstLine="200"/>
      <w:spacing w:line="360" w:lineRule="auto"/>
    </w:pPr>
    <w:rPr>
      <w:rFonts w:eastAsia="仿宋_GB2312"/>
      <w:sz w:val="24"/>
    </w:rPr>
  </w:style>
  <w:style w:type="paragraph" w:styleId="1312">
    <w:name w:val="xl38"/>
    <w:basedOn w:val="962"/>
    <w:next w:val="1312"/>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13">
    <w:name w:val="xl36"/>
    <w:basedOn w:val="962"/>
    <w:next w:val="1313"/>
    <w:link w:val="96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4">
    <w:name w:val="正文 + 宋体"/>
    <w:basedOn w:val="962"/>
    <w:next w:val="1314"/>
    <w:link w:val="962"/>
    <w:qFormat/>
    <w:pPr>
      <w:ind w:left="360" w:hanging="360"/>
      <w:jc w:val="left"/>
      <w:widowControl/>
    </w:pPr>
    <w:rPr>
      <w:rFonts w:ascii="宋体" w:hAnsi="宋体" w:cs="宋体"/>
      <w:b/>
      <w:bCs/>
      <w:color w:val="000000"/>
      <w:sz w:val="18"/>
      <w:szCs w:val="18"/>
    </w:rPr>
  </w:style>
  <w:style w:type="paragraph" w:styleId="1315">
    <w:name w:val="正文列项_数字"/>
    <w:basedOn w:val="962"/>
    <w:next w:val="1315"/>
    <w:link w:val="962"/>
    <w:qFormat/>
    <w:pPr>
      <w:numPr>
        <w:ilvl w:val="7"/>
        <w:numId w:val="1"/>
      </w:numPr>
      <w:ind w:left="680" w:hanging="150"/>
      <w:spacing w:line="460" w:lineRule="exact"/>
      <w:tabs>
        <w:tab w:val="clear" w:pos="860" w:leader="none"/>
      </w:tabs>
      <w:outlineLvl w:val="7"/>
    </w:pPr>
    <w:rPr>
      <w:rFonts w:ascii="宋体"/>
      <w:sz w:val="28"/>
      <w:szCs w:val="20"/>
    </w:rPr>
  </w:style>
  <w:style w:type="paragraph" w:styleId="1316">
    <w:name w:val="xl39"/>
    <w:basedOn w:val="962"/>
    <w:next w:val="1316"/>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7">
    <w:name w:val="xl37"/>
    <w:basedOn w:val="962"/>
    <w:next w:val="1317"/>
    <w:link w:val="96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8">
    <w:name w:val="xl32"/>
    <w:basedOn w:val="962"/>
    <w:next w:val="1318"/>
    <w:link w:val="9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9">
    <w:name w:val="font8"/>
    <w:basedOn w:val="962"/>
    <w:next w:val="1319"/>
    <w:link w:val="962"/>
    <w:qFormat/>
    <w:pPr>
      <w:jc w:val="left"/>
      <w:spacing w:before="100" w:beforeAutospacing="1" w:after="100" w:afterAutospacing="1"/>
      <w:widowControl/>
    </w:pPr>
    <w:rPr>
      <w:sz w:val="36"/>
      <w:szCs w:val="36"/>
    </w:rPr>
  </w:style>
  <w:style w:type="paragraph" w:styleId="1320">
    <w:name w:val="Char"/>
    <w:basedOn w:val="962"/>
    <w:next w:val="1320"/>
    <w:link w:val="962"/>
    <w:qFormat/>
    <w:pPr>
      <w:tabs>
        <w:tab w:val="left" w:pos="360" w:leader="none"/>
      </w:tabs>
    </w:pPr>
    <w:rPr>
      <w:sz w:val="24"/>
    </w:rPr>
  </w:style>
  <w:style w:type="paragraph" w:styleId="1321">
    <w:name w:val="Char Char Char Char Char Char Char Char Char Char Char Char Char Char Char Char"/>
    <w:basedOn w:val="962"/>
    <w:next w:val="1321"/>
    <w:link w:val="962"/>
    <w:qFormat/>
    <w:pPr>
      <w:jc w:val="center"/>
      <w:spacing w:after="160" w:line="240" w:lineRule="exact"/>
      <w:widowControl/>
    </w:pPr>
    <w:rPr>
      <w:rFonts w:ascii="宋体" w:hAnsi="宋体"/>
      <w:b/>
      <w:sz w:val="30"/>
      <w:szCs w:val="30"/>
      <w:lang w:eastAsia="en-US"/>
    </w:rPr>
  </w:style>
  <w:style w:type="paragraph" w:styleId="1322">
    <w:name w:val="xl45"/>
    <w:basedOn w:val="962"/>
    <w:next w:val="1322"/>
    <w:link w:val="96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3">
    <w:name w:val="Char Char1 Char Char Char Char Char Char"/>
    <w:basedOn w:val="962"/>
    <w:next w:val="1323"/>
    <w:link w:val="962"/>
    <w:qFormat/>
    <w:pPr>
      <w:jc w:val="left"/>
      <w:spacing w:after="160" w:line="240" w:lineRule="exact"/>
      <w:widowControl/>
    </w:pPr>
    <w:rPr>
      <w:rFonts w:ascii="Verdana" w:hAnsi="Verdana" w:eastAsia="仿宋_GB2312"/>
      <w:sz w:val="24"/>
      <w:szCs w:val="20"/>
      <w:lang w:eastAsia="en-US"/>
    </w:rPr>
  </w:style>
  <w:style w:type="paragraph" w:styleId="1324">
    <w:name w:val="Char Char1"/>
    <w:basedOn w:val="1209"/>
    <w:next w:val="1324"/>
    <w:link w:val="962"/>
    <w:qFormat/>
    <w:rPr>
      <w:rFonts w:ascii="Tahoma" w:hAnsi="Tahoma"/>
      <w:sz w:val="24"/>
    </w:rPr>
  </w:style>
  <w:style w:type="paragraph" w:styleId="1325">
    <w:name w:val="xl26"/>
    <w:basedOn w:val="962"/>
    <w:next w:val="1325"/>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26">
    <w:name w:val="xl30"/>
    <w:basedOn w:val="962"/>
    <w:next w:val="1326"/>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7">
    <w:name w:val="xl41"/>
    <w:basedOn w:val="962"/>
    <w:next w:val="1327"/>
    <w:link w:val="96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8">
    <w:name w:val="样式 宋体 五号 行距: 单倍行距"/>
    <w:basedOn w:val="962"/>
    <w:next w:val="1328"/>
    <w:link w:val="962"/>
    <w:qFormat/>
    <w:pPr>
      <w:jc w:val="left"/>
    </w:pPr>
    <w:rPr>
      <w:rFonts w:ascii="宋体" w:hAnsi="宋体"/>
      <w:szCs w:val="20"/>
    </w:rPr>
  </w:style>
  <w:style w:type="paragraph" w:styleId="1329">
    <w:name w:val="Char1 Char Char Char1"/>
    <w:basedOn w:val="962"/>
    <w:next w:val="1329"/>
    <w:link w:val="962"/>
    <w:qFormat/>
    <w:rPr>
      <w:rFonts w:ascii="Tahoma" w:hAnsi="Tahoma" w:cs="仿宋_GB2312"/>
      <w:sz w:val="24"/>
      <w:szCs w:val="28"/>
    </w:rPr>
  </w:style>
  <w:style w:type="paragraph" w:styleId="1330">
    <w:name w:val="四级条标题"/>
    <w:basedOn w:val="1331"/>
    <w:next w:val="962"/>
    <w:link w:val="962"/>
    <w:qFormat/>
    <w:pPr>
      <w:numPr>
        <w:ilvl w:val="4"/>
      </w:numPr>
      <w:ind w:left="0" w:hanging="840"/>
      <w:tabs>
        <w:tab w:val="left" w:pos="360" w:leader="none"/>
        <w:tab w:val="left" w:pos="840" w:leader="none"/>
      </w:tabs>
      <w:outlineLvl w:val="4"/>
    </w:pPr>
  </w:style>
  <w:style w:type="paragraph" w:styleId="1331">
    <w:name w:val="三级条标题"/>
    <w:basedOn w:val="1293"/>
    <w:next w:val="962"/>
    <w:link w:val="962"/>
    <w:qFormat/>
    <w:pPr>
      <w:numPr>
        <w:ilvl w:val="3"/>
        <w:numId w:val="1"/>
      </w:numPr>
      <w:ind w:left="0" w:hanging="840"/>
      <w:tabs>
        <w:tab w:val="left" w:pos="360" w:leader="none"/>
        <w:tab w:val="left" w:pos="840" w:leader="none"/>
      </w:tabs>
      <w:outlineLvl w:val="3"/>
    </w:pPr>
  </w:style>
  <w:style w:type="paragraph" w:styleId="1332">
    <w:name w:val="??"/>
    <w:next w:val="1332"/>
    <w:link w:val="962"/>
    <w:qFormat/>
    <w:pPr>
      <w:jc w:val="both"/>
      <w:widowControl w:val="off"/>
    </w:pPr>
    <w:rPr>
      <w:rFonts w:ascii="Times New Roman" w:hAnsi="Times New Roman" w:eastAsia="宋体" w:cs="Times New Roman"/>
      <w:sz w:val="21"/>
      <w:lang w:val="en-US" w:eastAsia="en-US" w:bidi="ar-SA"/>
    </w:rPr>
  </w:style>
  <w:style w:type="paragraph" w:styleId="1333">
    <w:name w:val="样式 标题 2 + 宋体 五号 行距: 单倍行距"/>
    <w:basedOn w:val="1187"/>
    <w:next w:val="1333"/>
    <w:link w:val="96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34">
    <w:name w:val="List Paragraph1"/>
    <w:basedOn w:val="962"/>
    <w:next w:val="1334"/>
    <w:link w:val="962"/>
    <w:qFormat/>
    <w:pPr>
      <w:ind w:firstLine="420"/>
    </w:pPr>
    <w:rPr>
      <w:rFonts w:ascii="Calibri" w:hAnsi="Calibri"/>
      <w:szCs w:val="22"/>
    </w:rPr>
  </w:style>
  <w:style w:type="paragraph" w:styleId="1335">
    <w:name w:val="项目符号1"/>
    <w:basedOn w:val="1336"/>
    <w:next w:val="1335"/>
    <w:link w:val="962"/>
    <w:qFormat/>
    <w:pPr>
      <w:ind w:left="-25" w:firstLine="0"/>
    </w:pPr>
  </w:style>
  <w:style w:type="paragraph" w:styleId="1336">
    <w:name w:val="正文文本样式"/>
    <w:basedOn w:val="962"/>
    <w:next w:val="1336"/>
    <w:link w:val="962"/>
    <w:qFormat/>
    <w:pPr>
      <w:ind w:firstLine="482"/>
      <w:spacing w:line="360" w:lineRule="auto"/>
    </w:pPr>
    <w:rPr>
      <w:rFonts w:cs="宋体"/>
      <w:sz w:val="24"/>
      <w:szCs w:val="20"/>
    </w:rPr>
  </w:style>
  <w:style w:type="paragraph" w:styleId="1337">
    <w:name w:val="xl27"/>
    <w:basedOn w:val="962"/>
    <w:next w:val="1337"/>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8">
    <w:name w:val="font5"/>
    <w:basedOn w:val="962"/>
    <w:next w:val="1338"/>
    <w:link w:val="962"/>
    <w:qFormat/>
    <w:pPr>
      <w:jc w:val="left"/>
      <w:spacing w:before="100" w:beforeAutospacing="1" w:after="100" w:afterAutospacing="1"/>
      <w:widowControl/>
    </w:pPr>
    <w:rPr>
      <w:rFonts w:ascii="宋体" w:hAnsi="宋体" w:cs="宋体"/>
      <w:sz w:val="18"/>
      <w:szCs w:val="18"/>
    </w:rPr>
  </w:style>
  <w:style w:type="paragraph" w:styleId="1339">
    <w:name w:val="五级条标题"/>
    <w:basedOn w:val="1330"/>
    <w:next w:val="962"/>
    <w:link w:val="962"/>
    <w:qFormat/>
    <w:pPr>
      <w:numPr>
        <w:ilvl w:val="5"/>
      </w:numPr>
      <w:ind w:left="0" w:hanging="840"/>
      <w:tabs>
        <w:tab w:val="left" w:pos="360" w:leader="none"/>
        <w:tab w:val="left" w:pos="840" w:leader="none"/>
      </w:tabs>
      <w:outlineLvl w:val="5"/>
    </w:pPr>
  </w:style>
  <w:style w:type="paragraph" w:styleId="1340">
    <w:name w:val="xl49"/>
    <w:basedOn w:val="962"/>
    <w:next w:val="1340"/>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41">
    <w:name w:val="文档正文"/>
    <w:basedOn w:val="962"/>
    <w:next w:val="1341"/>
    <w:link w:val="962"/>
    <w:qFormat/>
    <w:pPr>
      <w:spacing w:before="120" w:after="120" w:line="180" w:lineRule="auto"/>
    </w:pPr>
    <w:rPr>
      <w:rFonts w:ascii="Arial" w:hAnsi="Arial"/>
      <w:szCs w:val="20"/>
    </w:rPr>
  </w:style>
  <w:style w:type="paragraph" w:styleId="1342">
    <w:name w:val="xl33"/>
    <w:basedOn w:val="962"/>
    <w:next w:val="1342"/>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3">
    <w:name w:val="xl42"/>
    <w:basedOn w:val="962"/>
    <w:next w:val="1343"/>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4">
    <w:name w:val="Char Char Char1 Char"/>
    <w:basedOn w:val="962"/>
    <w:next w:val="1344"/>
    <w:link w:val="962"/>
    <w:qFormat/>
    <w:rPr>
      <w:rFonts w:ascii="Tahoma" w:hAnsi="Tahoma"/>
      <w:sz w:val="24"/>
      <w:szCs w:val="20"/>
    </w:rPr>
  </w:style>
  <w:style w:type="paragraph" w:styleId="1345">
    <w:name w:val="xl44"/>
    <w:basedOn w:val="962"/>
    <w:next w:val="1345"/>
    <w:link w:val="9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46">
    <w:name w:val="1名"/>
    <w:basedOn w:val="962"/>
    <w:next w:val="1346"/>
    <w:link w:val="962"/>
    <w:qFormat/>
    <w:pPr>
      <w:numPr>
        <w:ilvl w:val="0"/>
        <w:numId w:val="5"/>
      </w:numPr>
      <w:spacing w:before="120"/>
      <w:tabs>
        <w:tab w:val="left" w:pos="360" w:leader="none"/>
      </w:tabs>
    </w:pPr>
    <w:rPr>
      <w:rFonts w:ascii="宋体"/>
      <w:sz w:val="28"/>
      <w:szCs w:val="20"/>
    </w:rPr>
  </w:style>
  <w:style w:type="paragraph" w:styleId="1347">
    <w:name w:val="font9"/>
    <w:basedOn w:val="962"/>
    <w:next w:val="1347"/>
    <w:link w:val="962"/>
    <w:qFormat/>
    <w:pPr>
      <w:jc w:val="left"/>
      <w:spacing w:before="100" w:beforeAutospacing="1" w:after="100" w:afterAutospacing="1"/>
      <w:widowControl/>
    </w:pPr>
    <w:rPr>
      <w:rFonts w:hint="eastAsia" w:ascii="宋体" w:hAnsi="宋体" w:cs="Arial Unicode MS"/>
      <w:color w:val="000000"/>
      <w:sz w:val="20"/>
      <w:szCs w:val="20"/>
    </w:rPr>
  </w:style>
  <w:style w:type="paragraph" w:styleId="1348">
    <w:name w:val="Char Char Char1 Char1"/>
    <w:basedOn w:val="962"/>
    <w:next w:val="1348"/>
    <w:link w:val="962"/>
    <w:qFormat/>
    <w:rPr>
      <w:rFonts w:ascii="Tahoma" w:hAnsi="Tahoma"/>
      <w:sz w:val="24"/>
      <w:szCs w:val="20"/>
    </w:rPr>
  </w:style>
  <w:style w:type="paragraph" w:styleId="1349">
    <w:name w:val="Char Char Char Char Char Char Char Char Char Char"/>
    <w:basedOn w:val="962"/>
    <w:next w:val="1349"/>
    <w:link w:val="962"/>
    <w:qFormat/>
  </w:style>
  <w:style w:type="paragraph" w:styleId="1350">
    <w:name w:val="Char Char1 Char Char Char Char Char Char Char Char"/>
    <w:basedOn w:val="962"/>
    <w:next w:val="1350"/>
    <w:link w:val="962"/>
    <w:qFormat/>
    <w:pPr>
      <w:jc w:val="left"/>
      <w:spacing w:after="160" w:line="240" w:lineRule="exact"/>
      <w:widowControl/>
    </w:pPr>
    <w:rPr>
      <w:rFonts w:ascii="Verdana" w:hAnsi="Verdana"/>
      <w:sz w:val="20"/>
      <w:szCs w:val="20"/>
      <w:lang w:eastAsia="en-US"/>
    </w:rPr>
  </w:style>
  <w:style w:type="paragraph" w:styleId="1351">
    <w:name w:val="Char1"/>
    <w:basedOn w:val="962"/>
    <w:next w:val="1351"/>
    <w:link w:val="962"/>
    <w:qFormat/>
    <w:pPr>
      <w:tabs>
        <w:tab w:val="left" w:pos="360" w:leader="none"/>
      </w:tabs>
    </w:pPr>
    <w:rPr>
      <w:sz w:val="24"/>
    </w:rPr>
  </w:style>
  <w:style w:type="paragraph" w:styleId="1352">
    <w:name w:val="正文列项_字母"/>
    <w:basedOn w:val="962"/>
    <w:next w:val="1352"/>
    <w:link w:val="962"/>
    <w:qFormat/>
    <w:pPr>
      <w:numPr>
        <w:ilvl w:val="6"/>
        <w:numId w:val="1"/>
      </w:numPr>
      <w:ind w:left="480" w:hanging="180"/>
      <w:spacing w:line="460" w:lineRule="exact"/>
      <w:tabs>
        <w:tab w:val="clear" w:pos="635" w:leader="none"/>
      </w:tabs>
      <w:outlineLvl w:val="6"/>
    </w:pPr>
    <w:rPr>
      <w:rFonts w:ascii="宋体"/>
      <w:sz w:val="28"/>
      <w:szCs w:val="20"/>
    </w:rPr>
  </w:style>
  <w:style w:type="paragraph" w:styleId="1353">
    <w:name w:val="xl28"/>
    <w:basedOn w:val="962"/>
    <w:next w:val="1353"/>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4">
    <w:name w:val="xl47"/>
    <w:basedOn w:val="962"/>
    <w:next w:val="1354"/>
    <w:link w:val="9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5">
    <w:name w:val="默认段落字体 Para Char Char Char Char"/>
    <w:basedOn w:val="962"/>
    <w:next w:val="1355"/>
    <w:link w:val="962"/>
    <w:qFormat/>
    <w:rPr>
      <w:rFonts w:ascii="Arial" w:hAnsi="Arial" w:cs="Arial"/>
      <w:szCs w:val="21"/>
    </w:rPr>
  </w:style>
  <w:style w:type="paragraph" w:styleId="1356">
    <w:name w:val="xl48"/>
    <w:basedOn w:val="962"/>
    <w:next w:val="1356"/>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7">
    <w:name w:val="xl31"/>
    <w:basedOn w:val="962"/>
    <w:next w:val="1357"/>
    <w:link w:val="9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8">
    <w:name w:val="xl53"/>
    <w:basedOn w:val="962"/>
    <w:next w:val="1358"/>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9">
    <w:name w:val="Char Char Char"/>
    <w:basedOn w:val="962"/>
    <w:next w:val="1359"/>
    <w:link w:val="962"/>
    <w:qFormat/>
    <w:rPr>
      <w:rFonts w:ascii="Tahoma" w:hAnsi="Tahoma"/>
      <w:sz w:val="24"/>
      <w:szCs w:val="20"/>
    </w:rPr>
  </w:style>
  <w:style w:type="paragraph" w:styleId="1360">
    <w:name w:val="xl50"/>
    <w:basedOn w:val="962"/>
    <w:next w:val="1360"/>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61">
    <w:name w:val="缺省文本"/>
    <w:basedOn w:val="962"/>
    <w:next w:val="1361"/>
    <w:link w:val="962"/>
    <w:qFormat/>
    <w:pPr>
      <w:jc w:val="left"/>
    </w:pPr>
    <w:rPr>
      <w:sz w:val="24"/>
    </w:rPr>
  </w:style>
  <w:style w:type="paragraph" w:styleId="1362">
    <w:name w:val="Char Char Char1"/>
    <w:basedOn w:val="962"/>
    <w:next w:val="1362"/>
    <w:link w:val="962"/>
    <w:qFormat/>
    <w:rPr>
      <w:rFonts w:ascii="Tahoma" w:hAnsi="Tahoma"/>
      <w:sz w:val="24"/>
      <w:szCs w:val="20"/>
    </w:rPr>
  </w:style>
  <w:style w:type="paragraph" w:styleId="1363">
    <w:name w:val="Char Char Char Char Char Char Char1"/>
    <w:basedOn w:val="962"/>
    <w:next w:val="1363"/>
    <w:link w:val="962"/>
    <w:qFormat/>
    <w:pPr>
      <w:ind w:firstLine="200"/>
      <w:spacing w:line="360" w:lineRule="auto"/>
    </w:pPr>
    <w:rPr>
      <w:rFonts w:eastAsia="仿宋_GB2312"/>
      <w:sz w:val="24"/>
    </w:rPr>
  </w:style>
  <w:style w:type="paragraph" w:styleId="1364">
    <w:name w:val="xl51"/>
    <w:basedOn w:val="962"/>
    <w:next w:val="1364"/>
    <w:link w:val="9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5">
    <w:name w:val="样式2"/>
    <w:basedOn w:val="1247"/>
    <w:next w:val="1365"/>
    <w:link w:val="962"/>
    <w:qFormat/>
    <w:pPr>
      <w:jc w:val="center"/>
      <w:spacing w:line="360" w:lineRule="auto"/>
    </w:pPr>
    <w:rPr>
      <w:sz w:val="24"/>
    </w:rPr>
  </w:style>
  <w:style w:type="paragraph" w:styleId="1366">
    <w:name w:val="xl24"/>
    <w:basedOn w:val="962"/>
    <w:next w:val="1366"/>
    <w:link w:val="9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7">
    <w:name w:val="xl29"/>
    <w:basedOn w:val="962"/>
    <w:next w:val="1367"/>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68">
    <w:name w:val="正文 + 楷体_GB2312"/>
    <w:basedOn w:val="962"/>
    <w:next w:val="1368"/>
    <w:link w:val="962"/>
    <w:qFormat/>
    <w:pPr>
      <w:jc w:val="left"/>
      <w:widowControl/>
    </w:pPr>
    <w:rPr>
      <w:rFonts w:ascii="楷体_GB2312" w:eastAsia="楷体_GB2312" w:cs="Arial"/>
      <w:sz w:val="24"/>
    </w:rPr>
  </w:style>
  <w:style w:type="paragraph" w:styleId="1369">
    <w:name w:val="xl34"/>
    <w:basedOn w:val="962"/>
    <w:next w:val="1369"/>
    <w:link w:val="9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70">
    <w:name w:val="1 Char Char Char Char"/>
    <w:basedOn w:val="962"/>
    <w:next w:val="1370"/>
    <w:link w:val="962"/>
    <w:qFormat/>
    <w:rPr>
      <w:rFonts w:ascii="Tahoma" w:hAnsi="Tahoma"/>
      <w:sz w:val="24"/>
      <w:szCs w:val="20"/>
    </w:rPr>
  </w:style>
  <w:style w:type="paragraph" w:styleId="1371">
    <w:name w:val="Default"/>
    <w:next w:val="962"/>
    <w:link w:val="962"/>
    <w:qFormat/>
    <w:pPr>
      <w:widowControl w:val="off"/>
    </w:pPr>
    <w:rPr>
      <w:rFonts w:ascii="Symbol" w:hAnsi="Symbol" w:eastAsia="宋体" w:cs="Symbol"/>
      <w:color w:val="000000"/>
      <w:sz w:val="24"/>
      <w:szCs w:val="24"/>
      <w:lang w:val="en-US" w:eastAsia="zh-CN" w:bidi="ar-SA"/>
    </w:rPr>
  </w:style>
  <w:style w:type="paragraph" w:styleId="1372">
    <w:name w:val="列出段落1"/>
    <w:basedOn w:val="962"/>
    <w:next w:val="1372"/>
    <w:link w:val="962"/>
    <w:qFormat/>
    <w:pPr>
      <w:ind w:firstLine="420"/>
    </w:pPr>
    <w:rPr>
      <w:rFonts w:ascii="Calibri" w:hAnsi="Calibri"/>
      <w:szCs w:val="22"/>
    </w:rPr>
  </w:style>
  <w:style w:type="paragraph" w:styleId="1373">
    <w:name w:val="default"/>
    <w:basedOn w:val="962"/>
    <w:next w:val="1373"/>
    <w:link w:val="962"/>
    <w:qFormat/>
    <w:pPr>
      <w:jc w:val="left"/>
      <w:spacing w:before="100" w:beforeAutospacing="1" w:after="100" w:afterAutospacing="1"/>
      <w:widowControl/>
    </w:pPr>
    <w:rPr>
      <w:rFonts w:ascii="宋体" w:hAnsi="宋体" w:cs="宋体"/>
      <w:sz w:val="24"/>
    </w:rPr>
  </w:style>
  <w:style w:type="paragraph" w:styleId="1374">
    <w:name w:val="字元 字元1"/>
    <w:basedOn w:val="962"/>
    <w:next w:val="1374"/>
    <w:link w:val="962"/>
    <w:qFormat/>
    <w:rPr>
      <w:rFonts w:ascii="Tahoma" w:hAnsi="Tahoma"/>
      <w:sz w:val="24"/>
      <w:szCs w:val="20"/>
    </w:rPr>
  </w:style>
  <w:style w:type="paragraph" w:styleId="1375">
    <w:name w:val="_Style 160"/>
    <w:next w:val="1375"/>
    <w:link w:val="962"/>
    <w:qFormat/>
    <w:rPr>
      <w:rFonts w:ascii="Times New Roman" w:hAnsi="Times New Roman" w:eastAsia="宋体" w:cs="Times New Roman"/>
      <w:sz w:val="21"/>
      <w:szCs w:val="24"/>
      <w:lang w:val="en-US" w:eastAsia="zh-CN" w:bidi="ar-SA"/>
    </w:rPr>
  </w:style>
  <w:style w:type="paragraph" w:styleId="1376">
    <w:name w:val="项目编号3"/>
    <w:basedOn w:val="1336"/>
    <w:next w:val="1376"/>
    <w:link w:val="962"/>
    <w:qFormat/>
    <w:pPr>
      <w:numPr>
        <w:ilvl w:val="0"/>
        <w:numId w:val="6"/>
      </w:numPr>
    </w:pPr>
  </w:style>
  <w:style w:type="paragraph" w:styleId="1377">
    <w:name w:val="Char21"/>
    <w:basedOn w:val="962"/>
    <w:next w:val="1377"/>
    <w:link w:val="962"/>
    <w:qFormat/>
    <w:rPr>
      <w:rFonts w:ascii="Tahoma" w:hAnsi="Tahoma"/>
      <w:sz w:val="24"/>
      <w:szCs w:val="20"/>
    </w:rPr>
  </w:style>
  <w:style w:type="paragraph" w:styleId="1378">
    <w:name w:val="表格文字"/>
    <w:basedOn w:val="1217"/>
    <w:next w:val="1378"/>
    <w:link w:val="962"/>
    <w:qFormat/>
    <w:pPr>
      <w:ind w:firstLine="0"/>
      <w:spacing w:before="20" w:after="20" w:line="240" w:lineRule="auto"/>
    </w:pPr>
    <w:rPr>
      <w:rFonts w:ascii="Century Gothic" w:hAnsi="Century Gothic"/>
      <w:sz w:val="20"/>
      <w:szCs w:val="20"/>
    </w:rPr>
  </w:style>
  <w:style w:type="paragraph" w:styleId="1379">
    <w:name w:val="Char Char Char Char Char Char Char Char Char Char1"/>
    <w:basedOn w:val="962"/>
    <w:next w:val="1379"/>
    <w:link w:val="962"/>
    <w:qFormat/>
    <w:rPr>
      <w:rFonts w:ascii="宋体" w:hAnsi="宋体" w:cs="Courier New"/>
      <w:sz w:val="32"/>
      <w:szCs w:val="32"/>
    </w:rPr>
  </w:style>
  <w:style w:type="paragraph" w:styleId="1380">
    <w:name w:val="正文文本样式 加粗"/>
    <w:basedOn w:val="1336"/>
    <w:next w:val="1380"/>
    <w:link w:val="962"/>
    <w:qFormat/>
    <w:rPr>
      <w:b/>
    </w:rPr>
  </w:style>
  <w:style w:type="paragraph" w:styleId="1381">
    <w:name w:val="Char2 Char Char Char Char Char Char"/>
    <w:basedOn w:val="962"/>
    <w:next w:val="1381"/>
    <w:link w:val="962"/>
    <w:qFormat/>
    <w:pPr>
      <w:jc w:val="center"/>
      <w:spacing w:line="400" w:lineRule="exact"/>
      <w:widowControl/>
    </w:pPr>
  </w:style>
  <w:style w:type="paragraph" w:styleId="1382">
    <w:name w:val="Char Char4"/>
    <w:basedOn w:val="962"/>
    <w:next w:val="1382"/>
    <w:link w:val="962"/>
    <w:qFormat/>
    <w:pPr>
      <w:jc w:val="center"/>
      <w:spacing w:line="400" w:lineRule="exact"/>
      <w:widowControl/>
    </w:pPr>
  </w:style>
  <w:style w:type="paragraph" w:styleId="1383">
    <w:name w:val="Char3 Char Char Char1"/>
    <w:basedOn w:val="962"/>
    <w:next w:val="1383"/>
    <w:link w:val="962"/>
    <w:qFormat/>
    <w:rPr>
      <w:rFonts w:ascii="Tahoma" w:hAnsi="Tahoma"/>
      <w:sz w:val="24"/>
      <w:szCs w:val="20"/>
    </w:rPr>
  </w:style>
  <w:style w:type="paragraph" w:styleId="1384">
    <w:name w:val="无间隔"/>
    <w:next w:val="1384"/>
    <w:link w:val="962"/>
    <w:qFormat/>
    <w:pPr>
      <w:jc w:val="both"/>
      <w:widowControl w:val="off"/>
    </w:pPr>
    <w:rPr>
      <w:rFonts w:ascii="Times New Roman" w:hAnsi="Times New Roman" w:eastAsia="宋体" w:cs="Times New Roman"/>
      <w:sz w:val="21"/>
      <w:szCs w:val="24"/>
      <w:lang w:val="en-US" w:eastAsia="zh-CN" w:bidi="ar-SA"/>
    </w:rPr>
  </w:style>
  <w:style w:type="paragraph" w:styleId="1385">
    <w:name w:val="22222222222222"/>
    <w:basedOn w:val="962"/>
    <w:next w:val="1385"/>
    <w:link w:val="962"/>
    <w:qFormat/>
    <w:pPr>
      <w:ind w:firstLine="480"/>
      <w:jc w:val="left"/>
      <w:spacing w:line="360" w:lineRule="auto"/>
      <w:widowControl/>
    </w:pPr>
    <w:rPr>
      <w:color w:val="ff0000"/>
      <w:sz w:val="24"/>
      <w:szCs w:val="20"/>
    </w:rPr>
  </w:style>
  <w:style w:type="character" w:styleId="1386">
    <w:name w:val="中等深浅网格 1 - 强调文字颜色 2 Char"/>
    <w:next w:val="1386"/>
    <w:link w:val="1387"/>
    <w:qFormat/>
    <w:rPr>
      <w:sz w:val="21"/>
      <w:szCs w:val="24"/>
      <w:lang w:val="zh-CN" w:eastAsia="zh-CN" w:bidi="ar-SA"/>
    </w:rPr>
  </w:style>
  <w:style w:type="paragraph" w:styleId="1387">
    <w:name w:val="1"/>
    <w:next w:val="1387"/>
    <w:link w:val="1386"/>
    <w:uiPriority w:val="34"/>
    <w:qFormat/>
    <w:rPr>
      <w:rFonts w:ascii="Times New Roman" w:hAnsi="Times New Roman" w:eastAsia="宋体" w:cs="Times New Roman"/>
      <w:sz w:val="21"/>
      <w:szCs w:val="24"/>
      <w:lang w:val="zh-CN" w:eastAsia="zh-CN" w:bidi="ar-SA"/>
    </w:rPr>
  </w:style>
  <w:style w:type="paragraph" w:styleId="1388">
    <w:name w:val="图文"/>
    <w:basedOn w:val="962"/>
    <w:next w:val="1388"/>
    <w:link w:val="962"/>
    <w:qFormat/>
    <w:pPr>
      <w:spacing w:after="50" w:line="360" w:lineRule="auto"/>
    </w:pPr>
    <w:rPr>
      <w:sz w:val="24"/>
    </w:rPr>
  </w:style>
  <w:style w:type="paragraph" w:styleId="1389">
    <w:name w:val="xl23"/>
    <w:basedOn w:val="962"/>
    <w:next w:val="1389"/>
    <w:link w:val="962"/>
    <w:qFormat/>
    <w:pPr>
      <w:spacing w:before="100" w:beforeAutospacing="1" w:after="100" w:afterAutospacing="1" w:line="360" w:lineRule="auto"/>
      <w:widowControl/>
    </w:pPr>
    <w:rPr>
      <w:sz w:val="24"/>
      <w:szCs w:val="20"/>
    </w:rPr>
  </w:style>
  <w:style w:type="paragraph" w:styleId="1390">
    <w:name w:val="正文表格"/>
    <w:basedOn w:val="962"/>
    <w:next w:val="1390"/>
    <w:link w:val="1391"/>
    <w:qFormat/>
    <w:pPr>
      <w:jc w:val="left"/>
    </w:pPr>
    <w:rPr>
      <w:rFonts w:ascii="宋体" w:hAnsi="宋体"/>
      <w:color w:val="000000"/>
      <w:szCs w:val="21"/>
    </w:rPr>
  </w:style>
  <w:style w:type="character" w:styleId="1391">
    <w:name w:val="正文表格 Char"/>
    <w:next w:val="1391"/>
    <w:link w:val="1390"/>
    <w:qFormat/>
    <w:rPr>
      <w:rFonts w:ascii="宋体" w:hAnsi="宋体"/>
      <w:color w:val="000000"/>
      <w:sz w:val="21"/>
      <w:szCs w:val="21"/>
    </w:rPr>
  </w:style>
  <w:style w:type="paragraph" w:styleId="1392">
    <w:name w:val="正文重点"/>
    <w:basedOn w:val="962"/>
    <w:next w:val="1392"/>
    <w:link w:val="1393"/>
    <w:qFormat/>
    <w:pPr>
      <w:ind w:firstLine="482"/>
      <w:jc w:val="left"/>
      <w:spacing w:line="360" w:lineRule="auto"/>
    </w:pPr>
    <w:rPr>
      <w:b/>
      <w:sz w:val="24"/>
      <w:szCs w:val="20"/>
    </w:rPr>
  </w:style>
  <w:style w:type="character" w:styleId="1393">
    <w:name w:val="正文重点 Char"/>
    <w:next w:val="1393"/>
    <w:link w:val="1392"/>
    <w:qFormat/>
    <w:rPr>
      <w:b/>
      <w:sz w:val="24"/>
    </w:rPr>
  </w:style>
  <w:style w:type="paragraph" w:styleId="1394">
    <w:name w:val="标题1-附件"/>
    <w:basedOn w:val="1185"/>
    <w:next w:val="1394"/>
    <w:link w:val="962"/>
    <w:qFormat/>
    <w:pPr>
      <w:jc w:val="left"/>
    </w:pPr>
    <w:rPr>
      <w:sz w:val="24"/>
      <w:szCs w:val="24"/>
    </w:rPr>
  </w:style>
  <w:style w:type="paragraph" w:styleId="1395">
    <w:name w:val="正文小标题"/>
    <w:basedOn w:val="962"/>
    <w:next w:val="1206"/>
    <w:link w:val="1396"/>
    <w:qFormat/>
    <w:pPr>
      <w:ind w:firstLine="482"/>
      <w:jc w:val="left"/>
      <w:spacing w:before="312" w:after="312"/>
    </w:pPr>
    <w:rPr>
      <w:rFonts w:ascii="宋体" w:hAnsi="宋体"/>
      <w:b/>
      <w:i/>
      <w:color w:val="ff0000"/>
      <w:sz w:val="24"/>
      <w:szCs w:val="20"/>
    </w:rPr>
  </w:style>
  <w:style w:type="character" w:styleId="1396">
    <w:name w:val="正文小标题 Char"/>
    <w:next w:val="1396"/>
    <w:link w:val="1395"/>
    <w:qFormat/>
    <w:rPr>
      <w:rFonts w:ascii="宋体" w:hAnsi="宋体"/>
      <w:b/>
      <w:i/>
      <w:color w:val="ff0000"/>
      <w:sz w:val="24"/>
    </w:rPr>
  </w:style>
  <w:style w:type="paragraph" w:styleId="1397">
    <w:name w:val="正文大标题"/>
    <w:basedOn w:val="1395"/>
    <w:next w:val="1206"/>
    <w:link w:val="1398"/>
    <w:qFormat/>
    <w:pPr>
      <w:jc w:val="center"/>
    </w:pPr>
    <w:rPr>
      <w:i w:val="0"/>
      <w:color w:val="000000"/>
      <w:sz w:val="28"/>
      <w:szCs w:val="21"/>
    </w:rPr>
  </w:style>
  <w:style w:type="character" w:styleId="1398">
    <w:name w:val="正文大标题 Char"/>
    <w:next w:val="1398"/>
    <w:link w:val="1397"/>
    <w:qFormat/>
    <w:rPr>
      <w:rFonts w:ascii="宋体" w:hAnsi="宋体"/>
      <w:b/>
      <w:color w:val="000000"/>
      <w:sz w:val="28"/>
      <w:szCs w:val="21"/>
    </w:rPr>
  </w:style>
  <w:style w:type="paragraph" w:styleId="1399">
    <w:name w:val="注释"/>
    <w:basedOn w:val="962"/>
    <w:next w:val="1399"/>
    <w:link w:val="1400"/>
    <w:qFormat/>
    <w:pPr>
      <w:ind w:left="420" w:hanging="420"/>
      <w:jc w:val="left"/>
    </w:pPr>
    <w:rPr>
      <w:rFonts w:ascii="宋体" w:hAnsi="宋体"/>
      <w:szCs w:val="21"/>
    </w:rPr>
  </w:style>
  <w:style w:type="character" w:styleId="1400">
    <w:name w:val="注释 Char"/>
    <w:next w:val="1400"/>
    <w:link w:val="1399"/>
    <w:qFormat/>
    <w:rPr>
      <w:rFonts w:ascii="宋体" w:hAnsi="宋体"/>
      <w:sz w:val="21"/>
      <w:szCs w:val="21"/>
    </w:rPr>
  </w:style>
  <w:style w:type="paragraph" w:styleId="1401">
    <w:name w:val="正文须知-1级"/>
    <w:basedOn w:val="962"/>
    <w:next w:val="962"/>
    <w:link w:val="962"/>
    <w:qFormat/>
    <w:pPr>
      <w:numPr>
        <w:ilvl w:val="0"/>
        <w:numId w:val="7"/>
      </w:numPr>
      <w:spacing w:line="300" w:lineRule="auto"/>
    </w:pPr>
    <w:rPr>
      <w:rFonts w:ascii="宋体" w:hAnsi="Calibri"/>
      <w:sz w:val="24"/>
      <w:szCs w:val="21"/>
    </w:rPr>
  </w:style>
  <w:style w:type="paragraph" w:styleId="1402">
    <w:name w:val="正文须知-2级"/>
    <w:basedOn w:val="962"/>
    <w:next w:val="1402"/>
    <w:link w:val="962"/>
    <w:qFormat/>
    <w:pPr>
      <w:numPr>
        <w:ilvl w:val="1"/>
        <w:numId w:val="7"/>
      </w:numPr>
      <w:spacing w:line="300" w:lineRule="auto"/>
    </w:pPr>
    <w:rPr>
      <w:rFonts w:ascii="宋体" w:hAnsi="Calibri"/>
      <w:sz w:val="24"/>
      <w:szCs w:val="21"/>
    </w:rPr>
  </w:style>
  <w:style w:type="paragraph" w:styleId="1403">
    <w:name w:val="正文须知-3级"/>
    <w:basedOn w:val="962"/>
    <w:next w:val="1403"/>
    <w:link w:val="962"/>
    <w:qFormat/>
    <w:pPr>
      <w:numPr>
        <w:ilvl w:val="2"/>
        <w:numId w:val="7"/>
      </w:numPr>
      <w:ind w:hanging="355"/>
      <w:spacing w:line="300" w:lineRule="auto"/>
    </w:pPr>
    <w:rPr>
      <w:rFonts w:ascii="宋体" w:hAnsi="Calibri"/>
      <w:sz w:val="24"/>
      <w:szCs w:val="21"/>
    </w:rPr>
  </w:style>
  <w:style w:type="character" w:styleId="1404">
    <w:name w:val="纯文本 字符"/>
    <w:next w:val="1404"/>
    <w:link w:val="962"/>
    <w:uiPriority w:val="99"/>
    <w:qFormat/>
    <w:rPr>
      <w:rFonts w:ascii="宋体" w:hAnsi="Courier New" w:eastAsia="宋体" w:cs="Times New Roman"/>
      <w:sz w:val="21"/>
      <w:szCs w:val="21"/>
      <w:lang w:val="en-US" w:eastAsia="zh-CN" w:bidi="ar-SA"/>
    </w:rPr>
  </w:style>
  <w:style w:type="paragraph" w:styleId="1405">
    <w:name w:val="表格1"/>
    <w:basedOn w:val="962"/>
    <w:next w:val="1405"/>
    <w:link w:val="962"/>
    <w:qFormat/>
    <w:pPr>
      <w:ind w:firstLine="480"/>
      <w:jc w:val="center"/>
    </w:pPr>
    <w:rPr>
      <w:sz w:val="24"/>
      <w:szCs w:val="20"/>
    </w:rPr>
  </w:style>
  <w:style w:type="character" w:styleId="1406">
    <w:name w:val="纯文本 字符1"/>
    <w:next w:val="1406"/>
    <w:link w:val="962"/>
    <w:qFormat/>
    <w:rPr>
      <w:rFonts w:ascii="宋体" w:hAnsi="Courier New"/>
    </w:rPr>
  </w:style>
  <w:style w:type="character" w:styleId="1407">
    <w:name w:val="bjh-p"/>
    <w:next w:val="1407"/>
    <w:link w:val="962"/>
    <w:qFormat/>
  </w:style>
  <w:style w:type="paragraph" w:styleId="1408">
    <w:name w:val="无标题条"/>
    <w:next w:val="962"/>
    <w:link w:val="962"/>
    <w:qFormat/>
    <w:pPr>
      <w:jc w:val="both"/>
    </w:pPr>
    <w:rPr>
      <w:rFonts w:ascii="Times New Roman" w:hAnsi="Times New Roman" w:eastAsia="宋体" w:cs="Times New Roman"/>
      <w:sz w:val="21"/>
      <w:lang w:val="en-US" w:eastAsia="zh-CN" w:bidi="ar-SA"/>
    </w:rPr>
  </w:style>
  <w:style w:type="character" w:styleId="1409">
    <w:name w:val="正文格式 Char"/>
    <w:next w:val="1409"/>
    <w:link w:val="1410"/>
    <w:qFormat/>
    <w:rPr>
      <w:rFonts w:ascii="宋体" w:hAnsi="宋体"/>
      <w:sz w:val="24"/>
      <w:szCs w:val="24"/>
      <w:lang w:val="en-GB"/>
    </w:rPr>
  </w:style>
  <w:style w:type="paragraph" w:styleId="1410">
    <w:name w:val="正文格式"/>
    <w:basedOn w:val="962"/>
    <w:next w:val="1410"/>
    <w:link w:val="1409"/>
    <w:qFormat/>
    <w:pPr>
      <w:ind w:firstLine="480"/>
      <w:spacing w:line="360" w:lineRule="auto"/>
    </w:pPr>
    <w:rPr>
      <w:rFonts w:ascii="宋体" w:hAnsi="宋体"/>
      <w:sz w:val="24"/>
      <w:lang w:val="en-GB"/>
    </w:rPr>
  </w:style>
  <w:style w:type="character" w:styleId="1411">
    <w:name w:val="标题 3 Char"/>
    <w:next w:val="1411"/>
    <w:link w:val="962"/>
    <w:qFormat/>
    <w:rPr>
      <w:rFonts w:ascii="宋体" w:eastAsia="宋体"/>
      <w:b/>
      <w:sz w:val="24"/>
      <w:u w:val="single"/>
      <w:lang w:val="en-US" w:eastAsia="zh-CN" w:bidi="ar-SA"/>
    </w:rPr>
  </w:style>
  <w:style w:type="character" w:styleId="1412">
    <w:name w:val="正文缩进 Char"/>
    <w:next w:val="1412"/>
    <w:link w:val="962"/>
    <w:qFormat/>
    <w:rPr>
      <w:rFonts w:ascii="宋体" w:eastAsia="宋体"/>
      <w:sz w:val="24"/>
      <w:szCs w:val="24"/>
      <w:lang w:val="en-US" w:eastAsia="zh-CN" w:bidi="ar-SA"/>
    </w:rPr>
  </w:style>
  <w:style w:type="character" w:styleId="1413">
    <w:name w:val="Char Char111"/>
    <w:next w:val="1413"/>
    <w:link w:val="962"/>
    <w:qFormat/>
    <w:rPr>
      <w:rFonts w:ascii="宋体" w:eastAsia="宋体"/>
      <w:b/>
      <w:sz w:val="24"/>
      <w:u w:val="single"/>
      <w:lang w:val="en-US" w:eastAsia="zh-CN" w:bidi="ar-SA"/>
    </w:rPr>
  </w:style>
  <w:style w:type="character" w:styleId="1414">
    <w:name w:val="正文文本缩进 Char"/>
    <w:next w:val="1414"/>
    <w:link w:val="962"/>
    <w:qFormat/>
    <w:rPr>
      <w:rFonts w:eastAsia="宋体"/>
      <w:sz w:val="24"/>
      <w:szCs w:val="24"/>
      <w:lang w:val="en-US" w:eastAsia="zh-CN" w:bidi="ar-SA"/>
    </w:rPr>
  </w:style>
  <w:style w:type="character" w:styleId="1415">
    <w:name w:val="列出段落 Char"/>
    <w:next w:val="1415"/>
    <w:link w:val="962"/>
    <w:qFormat/>
    <w:rPr>
      <w:rFonts w:ascii="Calibri" w:hAnsi="Calibri" w:eastAsia="宋体"/>
      <w:sz w:val="21"/>
      <w:szCs w:val="22"/>
      <w:lang w:val="en-US" w:eastAsia="zh-CN" w:bidi="ar-SA"/>
    </w:rPr>
  </w:style>
  <w:style w:type="character" w:styleId="1416">
    <w:name w:val="页眉 Char"/>
    <w:next w:val="1416"/>
    <w:link w:val="962"/>
    <w:qFormat/>
    <w:rPr>
      <w:rFonts w:eastAsia="宋体"/>
      <w:sz w:val="18"/>
      <w:szCs w:val="18"/>
      <w:lang w:val="en-US" w:eastAsia="zh-CN" w:bidi="ar-SA"/>
    </w:rPr>
  </w:style>
  <w:style w:type="character" w:styleId="1417">
    <w:name w:val="标题 2 Char"/>
    <w:next w:val="1417"/>
    <w:link w:val="962"/>
    <w:qFormat/>
    <w:rPr>
      <w:rFonts w:ascii="Arial" w:hAnsi="Arial" w:eastAsia="黑体"/>
      <w:b/>
      <w:sz w:val="30"/>
      <w:lang w:val="en-US" w:eastAsia="zh-CN" w:bidi="ar-SA"/>
    </w:rPr>
  </w:style>
  <w:style w:type="paragraph" w:styleId="1418">
    <w:name w:val="字元 字元2"/>
    <w:basedOn w:val="962"/>
    <w:next w:val="1418"/>
    <w:link w:val="962"/>
    <w:qFormat/>
    <w:rPr>
      <w:rFonts w:ascii="Tahoma" w:hAnsi="Tahoma"/>
      <w:sz w:val="24"/>
      <w:szCs w:val="20"/>
    </w:rPr>
  </w:style>
  <w:style w:type="paragraph" w:styleId="1419">
    <w:name w:val="Char3 Char Char Char2"/>
    <w:basedOn w:val="962"/>
    <w:next w:val="1419"/>
    <w:link w:val="962"/>
    <w:qFormat/>
    <w:rPr>
      <w:rFonts w:ascii="Tahoma" w:hAnsi="Tahoma"/>
      <w:sz w:val="24"/>
      <w:szCs w:val="20"/>
    </w:rPr>
  </w:style>
  <w:style w:type="paragraph" w:styleId="1420">
    <w:name w:val="正文文本缩进2"/>
    <w:basedOn w:val="962"/>
    <w:next w:val="1420"/>
    <w:link w:val="962"/>
    <w:qFormat/>
    <w:pPr>
      <w:ind w:firstLine="480"/>
      <w:spacing w:line="480" w:lineRule="exact"/>
    </w:pPr>
    <w:rPr>
      <w:rFonts w:ascii="宋体" w:hAnsi="宋体"/>
      <w:sz w:val="24"/>
      <w:lang w:val="zh-CN" w:eastAsia="zh-CN"/>
    </w:rPr>
  </w:style>
  <w:style w:type="paragraph" w:styleId="1421">
    <w:name w:val="Char3"/>
    <w:basedOn w:val="962"/>
    <w:next w:val="1421"/>
    <w:link w:val="962"/>
    <w:qFormat/>
    <w:pPr>
      <w:tabs>
        <w:tab w:val="left" w:pos="360" w:leader="none"/>
      </w:tabs>
    </w:pPr>
    <w:rPr>
      <w:sz w:val="24"/>
    </w:rPr>
  </w:style>
  <w:style w:type="paragraph" w:styleId="1422">
    <w:name w:val="Char Char Char Char Char Char Char Char Char Char Char Char Char Char Char Char1"/>
    <w:basedOn w:val="962"/>
    <w:next w:val="1422"/>
    <w:link w:val="962"/>
    <w:qFormat/>
    <w:pPr>
      <w:jc w:val="center"/>
      <w:spacing w:after="160" w:line="240" w:lineRule="exact"/>
      <w:widowControl/>
    </w:pPr>
    <w:rPr>
      <w:rFonts w:ascii="宋体" w:hAnsi="宋体"/>
      <w:b/>
      <w:sz w:val="30"/>
      <w:szCs w:val="30"/>
      <w:lang w:eastAsia="en-US"/>
    </w:rPr>
  </w:style>
  <w:style w:type="paragraph" w:styleId="1423">
    <w:name w:val="Char Char1 Char Char Char Char Char Char1"/>
    <w:basedOn w:val="962"/>
    <w:next w:val="1423"/>
    <w:link w:val="962"/>
    <w:qFormat/>
    <w:pPr>
      <w:jc w:val="left"/>
      <w:spacing w:after="160" w:line="240" w:lineRule="exact"/>
      <w:widowControl/>
    </w:pPr>
    <w:rPr>
      <w:rFonts w:ascii="Verdana" w:hAnsi="Verdana" w:eastAsia="仿宋_GB2312"/>
      <w:sz w:val="24"/>
      <w:szCs w:val="20"/>
      <w:lang w:eastAsia="en-US"/>
    </w:rPr>
  </w:style>
  <w:style w:type="paragraph" w:styleId="1424">
    <w:name w:val="列出段落2"/>
    <w:basedOn w:val="962"/>
    <w:next w:val="1424"/>
    <w:link w:val="962"/>
    <w:qFormat/>
    <w:pPr>
      <w:ind w:firstLine="420"/>
    </w:pPr>
    <w:rPr>
      <w:rFonts w:ascii="Calibri" w:hAnsi="Calibri"/>
      <w:szCs w:val="22"/>
    </w:rPr>
  </w:style>
  <w:style w:type="paragraph" w:styleId="1425">
    <w:name w:val="Char Char Char1 Char2"/>
    <w:basedOn w:val="962"/>
    <w:next w:val="1425"/>
    <w:link w:val="962"/>
    <w:qFormat/>
    <w:rPr>
      <w:rFonts w:ascii="Tahoma" w:hAnsi="Tahoma"/>
      <w:sz w:val="24"/>
      <w:szCs w:val="20"/>
    </w:rPr>
  </w:style>
  <w:style w:type="paragraph" w:styleId="1426">
    <w:name w:val="Char Char Char2"/>
    <w:basedOn w:val="962"/>
    <w:next w:val="1426"/>
    <w:link w:val="962"/>
    <w:qFormat/>
    <w:rPr>
      <w:rFonts w:ascii="Tahoma" w:hAnsi="Tahoma"/>
      <w:sz w:val="24"/>
      <w:szCs w:val="20"/>
    </w:rPr>
  </w:style>
  <w:style w:type="paragraph" w:styleId="1427">
    <w:name w:val="Char Char Char Char Char Char Char2"/>
    <w:basedOn w:val="962"/>
    <w:next w:val="1427"/>
    <w:link w:val="962"/>
    <w:qFormat/>
    <w:pPr>
      <w:ind w:firstLine="200"/>
      <w:spacing w:line="360" w:lineRule="auto"/>
    </w:pPr>
    <w:rPr>
      <w:rFonts w:eastAsia="仿宋_GB2312"/>
      <w:sz w:val="24"/>
    </w:rPr>
  </w:style>
  <w:style w:type="paragraph" w:styleId="1428">
    <w:name w:val="正文缩进2"/>
    <w:basedOn w:val="962"/>
    <w:next w:val="1428"/>
    <w:link w:val="962"/>
    <w:qFormat/>
    <w:pPr>
      <w:ind w:firstLine="567"/>
      <w:spacing w:line="480" w:lineRule="exact"/>
      <w:widowControl/>
    </w:pPr>
    <w:rPr>
      <w:rFonts w:ascii="宋体"/>
      <w:color w:val="000000"/>
      <w:sz w:val="28"/>
      <w:szCs w:val="20"/>
      <w:lang w:val="zh-CN" w:eastAsia="zh-CN"/>
    </w:rPr>
  </w:style>
  <w:style w:type="paragraph" w:styleId="1429">
    <w:name w:val="Revision"/>
    <w:next w:val="1429"/>
    <w:link w:val="962"/>
    <w:qFormat/>
    <w:rPr>
      <w:rFonts w:ascii="Times New Roman" w:hAnsi="Times New Roman" w:eastAsia="宋体" w:cs="Times New Roman"/>
      <w:sz w:val="21"/>
      <w:szCs w:val="24"/>
      <w:lang w:val="en-US" w:eastAsia="zh-CN" w:bidi="ar-SA"/>
    </w:rPr>
  </w:style>
  <w:style w:type="paragraph" w:styleId="1430">
    <w:name w:val="Char22"/>
    <w:basedOn w:val="962"/>
    <w:next w:val="1430"/>
    <w:link w:val="962"/>
    <w:qFormat/>
    <w:rPr>
      <w:rFonts w:ascii="Tahoma" w:hAnsi="Tahoma"/>
      <w:sz w:val="24"/>
      <w:szCs w:val="20"/>
    </w:rPr>
  </w:style>
  <w:style w:type="paragraph" w:styleId="1431">
    <w:name w:val="Char Char Char Char Char Char Char Char Char Char2"/>
    <w:basedOn w:val="962"/>
    <w:next w:val="1431"/>
    <w:link w:val="962"/>
    <w:qFormat/>
    <w:rPr>
      <w:rFonts w:ascii="宋体" w:hAnsi="宋体" w:cs="Courier New"/>
      <w:sz w:val="32"/>
      <w:szCs w:val="32"/>
    </w:rPr>
  </w:style>
  <w:style w:type="paragraph" w:styleId="1432">
    <w:name w:val="Char2 Char Char Char Char Char Char1"/>
    <w:basedOn w:val="962"/>
    <w:next w:val="1432"/>
    <w:link w:val="962"/>
    <w:qFormat/>
    <w:pPr>
      <w:jc w:val="center"/>
      <w:spacing w:line="400" w:lineRule="exact"/>
      <w:widowControl/>
    </w:pPr>
  </w:style>
  <w:style w:type="character" w:styleId="1433">
    <w:name w:val="页脚 Char"/>
    <w:next w:val="1433"/>
    <w:link w:val="962"/>
    <w:qFormat/>
    <w:rPr>
      <w:rFonts w:ascii="宋体" w:eastAsia="宋体"/>
      <w:sz w:val="18"/>
      <w:lang w:val="en-US" w:eastAsia="zh-CN" w:bidi="ar-SA"/>
    </w:rPr>
  </w:style>
  <w:style w:type="paragraph" w:styleId="1434">
    <w:name w:val="Char Char41"/>
    <w:basedOn w:val="962"/>
    <w:next w:val="1434"/>
    <w:link w:val="962"/>
    <w:qFormat/>
    <w:pPr>
      <w:jc w:val="center"/>
      <w:spacing w:line="400" w:lineRule="exact"/>
      <w:widowControl/>
    </w:pPr>
  </w:style>
  <w:style w:type="character" w:styleId="1435">
    <w:name w:val="批注文字 Char"/>
    <w:next w:val="1435"/>
    <w:link w:val="962"/>
    <w:uiPriority w:val="99"/>
    <w:qFormat/>
    <w:rPr>
      <w:sz w:val="21"/>
      <w:szCs w:val="24"/>
    </w:rPr>
  </w:style>
  <w:style w:type="character" w:styleId="1436">
    <w:name w:val="标题 Char"/>
    <w:next w:val="1436"/>
    <w:link w:val="962"/>
    <w:qFormat/>
    <w:rPr>
      <w:b/>
      <w:sz w:val="32"/>
    </w:rPr>
  </w:style>
  <w:style w:type="paragraph" w:styleId="1437">
    <w:name w:val="图例"/>
    <w:basedOn w:val="962"/>
    <w:next w:val="1437"/>
    <w:link w:val="962"/>
    <w:qFormat/>
    <w:pPr>
      <w:jc w:val="center"/>
      <w:spacing w:before="120" w:after="120" w:line="360" w:lineRule="auto"/>
    </w:pPr>
    <w:rPr>
      <w:rFonts w:eastAsia="仿宋_GB2312"/>
      <w:b/>
      <w:sz w:val="24"/>
      <w:szCs w:val="20"/>
    </w:rPr>
  </w:style>
  <w:style w:type="table" w:styleId="1438">
    <w:name w:val="Table Normal"/>
    <w:next w:val="1438"/>
    <w:link w:val="962"/>
    <w:uiPriority w:val="2"/>
    <w:unhideWhenUsed/>
    <w:qFormat/>
    <w:pPr>
      <w:widowControl w:val="off"/>
    </w:pPr>
    <w:rPr>
      <w:rFonts w:ascii="Calibri" w:hAnsi="Calibri"/>
      <w:sz w:val="22"/>
      <w:szCs w:val="22"/>
      <w:lang w:val="en-US" w:eastAsia="en-US" w:bidi="ar-SA"/>
    </w:rPr>
    <w:tblPr/>
  </w:style>
  <w:style w:type="paragraph" w:styleId="1439">
    <w:name w:val="Table Paragraph"/>
    <w:basedOn w:val="962"/>
    <w:next w:val="1439"/>
    <w:link w:val="962"/>
    <w:uiPriority w:val="1"/>
    <w:qFormat/>
    <w:pPr>
      <w:jc w:val="left"/>
    </w:pPr>
    <w:rPr>
      <w:rFonts w:ascii="宋体" w:hAnsi="宋体" w:cs="宋体"/>
      <w:sz w:val="22"/>
      <w:szCs w:val="22"/>
      <w:lang w:eastAsia="en-US"/>
    </w:rPr>
  </w:style>
  <w:style w:type="paragraph" w:styleId="1440">
    <w:name w:val="成文日期"/>
    <w:basedOn w:val="962"/>
    <w:next w:val="1440"/>
    <w:link w:val="1441"/>
    <w:qFormat/>
    <w:pPr>
      <w:ind w:right="400" w:firstLine="200"/>
      <w:jc w:val="right"/>
      <w:spacing w:line="570" w:lineRule="exact"/>
    </w:pPr>
    <w:rPr>
      <w:rFonts w:ascii="仿宋_GB2312" w:eastAsia="仿宋_GB2312"/>
      <w:sz w:val="32"/>
      <w:szCs w:val="20"/>
    </w:rPr>
  </w:style>
  <w:style w:type="character" w:styleId="1441">
    <w:name w:val="成文日期 Char"/>
    <w:next w:val="1441"/>
    <w:link w:val="1440"/>
    <w:qFormat/>
    <w:rPr>
      <w:rFonts w:ascii="仿宋_GB2312" w:eastAsia="仿宋_GB2312"/>
      <w:sz w:val="32"/>
    </w:rPr>
  </w:style>
  <w:style w:type="paragraph" w:styleId="1442">
    <w:name w:val="修订"/>
    <w:next w:val="1442"/>
    <w:link w:val="962"/>
    <w:uiPriority w:val="99"/>
    <w:unhideWhenUsed/>
    <w:qFormat/>
    <w:rPr>
      <w:rFonts w:ascii="Times New Roman" w:hAnsi="Times New Roman" w:eastAsia="宋体" w:cs="Times New Roman"/>
      <w:sz w:val="21"/>
      <w:szCs w:val="24"/>
      <w:lang w:val="en-US" w:eastAsia="zh-CN" w:bidi="ar-SA"/>
    </w:rPr>
  </w:style>
  <w:style w:type="character" w:styleId="1443">
    <w:name w:val="页脚 字符"/>
    <w:next w:val="1443"/>
    <w:link w:val="962"/>
    <w:uiPriority w:val="99"/>
    <w:qFormat/>
  </w:style>
  <w:style w:type="character" w:styleId="1444">
    <w:name w:val="标题 2 字符1"/>
    <w:next w:val="1444"/>
    <w:link w:val="962"/>
    <w:semiHidden/>
    <w:qFormat/>
    <w:rPr>
      <w:rFonts w:ascii="Arial" w:hAnsi="Arial" w:eastAsia="黑体" w:cs="Times New Roman"/>
      <w:b/>
      <w:sz w:val="30"/>
      <w:szCs w:val="20"/>
    </w:rPr>
  </w:style>
  <w:style w:type="paragraph" w:styleId="1445">
    <w:name w:val="列出段落11"/>
    <w:basedOn w:val="962"/>
    <w:next w:val="1445"/>
    <w:link w:val="962"/>
    <w:uiPriority w:val="34"/>
    <w:qFormat/>
    <w:pPr>
      <w:ind w:firstLine="420"/>
    </w:pPr>
    <w:rPr>
      <w:szCs w:val="20"/>
    </w:rPr>
  </w:style>
  <w:style w:type="paragraph" w:styleId="1446">
    <w:name w:val="列表段落1"/>
    <w:basedOn w:val="962"/>
    <w:next w:val="1446"/>
    <w:link w:val="962"/>
    <w:uiPriority w:val="34"/>
    <w:qFormat/>
    <w:pPr>
      <w:ind w:firstLine="420"/>
    </w:pPr>
    <w:rPr>
      <w:rFonts w:eastAsia="等线"/>
      <w:szCs w:val="22"/>
    </w:rPr>
  </w:style>
  <w:style w:type="character" w:styleId="1447">
    <w:name w:val="正文文本 Char"/>
    <w:next w:val="1447"/>
    <w:link w:val="962"/>
    <w:qFormat/>
    <w:rPr>
      <w:rFonts w:ascii="宋体" w:hAnsi="宋体"/>
      <w:sz w:val="24"/>
      <w:szCs w:val="24"/>
    </w:rPr>
  </w:style>
  <w:style w:type="character" w:styleId="1448">
    <w:name w:val="页脚 Char1"/>
    <w:next w:val="1448"/>
    <w:link w:val="962"/>
    <w:uiPriority w:val="99"/>
    <w:qFormat/>
    <w:rPr>
      <w:rFonts w:ascii="宋体" w:eastAsia="宋体"/>
      <w:sz w:val="18"/>
      <w:lang w:val="en-US" w:eastAsia="zh-CN" w:bidi="ar-SA"/>
    </w:rPr>
  </w:style>
  <w:style w:type="character" w:styleId="1449">
    <w:name w:val="页眉 Char1"/>
    <w:next w:val="1449"/>
    <w:link w:val="962"/>
    <w:qFormat/>
    <w:rPr>
      <w:rFonts w:eastAsia="宋体"/>
      <w:sz w:val="18"/>
      <w:szCs w:val="18"/>
      <w:lang w:val="en-US" w:eastAsia="zh-CN" w:bidi="ar-SA"/>
    </w:rPr>
  </w:style>
  <w:style w:type="character" w:styleId="1450">
    <w:name w:val="NormalCharacter1"/>
    <w:next w:val="1450"/>
    <w:link w:val="962"/>
    <w:semiHidden/>
    <w:qFormat/>
  </w:style>
  <w:style w:type="paragraph" w:styleId="1451">
    <w:name w:val="段"/>
    <w:next w:val="962"/>
    <w:link w:val="962"/>
    <w:qFormat/>
    <w:pPr>
      <w:ind w:firstLine="200"/>
      <w:jc w:val="both"/>
    </w:pPr>
    <w:rPr>
      <w:rFonts w:ascii="宋体" w:hAnsi="Calibri" w:eastAsia="宋体" w:cs="Times New Roman"/>
      <w:sz w:val="21"/>
      <w:lang w:val="en-US" w:eastAsia="zh-CN" w:bidi="ar-SA"/>
    </w:rPr>
  </w:style>
  <w:style w:type="character" w:styleId="1452">
    <w:name w:val="正文缩进 字符1"/>
    <w:next w:val="1452"/>
    <w:link w:val="962"/>
    <w:qFormat/>
    <w:rPr>
      <w:rFonts w:ascii="宋体"/>
      <w:sz w:val="24"/>
      <w:szCs w:val="24"/>
    </w:rPr>
  </w:style>
  <w:style w:type="paragraph" w:styleId="1453">
    <w:name w:val="样式 正文缩进文2ALT+Z表正文正文非缩进特点段1标题4特点 Char Char特点 Char Char C..."/>
    <w:basedOn w:val="1206"/>
    <w:next w:val="1453"/>
    <w:link w:val="962"/>
    <w:qFormat/>
    <w:pPr>
      <w:ind w:firstLine="480"/>
      <w:jc w:val="both"/>
      <w:spacing w:line="360" w:lineRule="auto"/>
    </w:pPr>
    <w:rPr>
      <w:rFonts w:ascii="Times New Roman" w:hAnsi="Calibri" w:eastAsia="仿宋_GB2312" w:cs="宋体"/>
      <w:szCs w:val="20"/>
    </w:rPr>
  </w:style>
  <w:style w:type="table" w:styleId="1454">
    <w:name w:val="网格型1"/>
    <w:basedOn w:val="1204"/>
    <w:next w:val="1454"/>
    <w:link w:val="962"/>
    <w:qFormat/>
    <w:pPr>
      <w:jc w:val="both"/>
      <w:widowControl w:val="off"/>
    </w:pPr>
    <w:tblPr/>
  </w:style>
  <w:style w:type="table" w:styleId="1455">
    <w:name w:val="网格型2"/>
    <w:basedOn w:val="1204"/>
    <w:next w:val="1455"/>
    <w:link w:val="962"/>
    <w:qFormat/>
    <w:pPr>
      <w:jc w:val="both"/>
      <w:widowControl w:val="off"/>
    </w:pPr>
    <w:tblPr/>
  </w:style>
  <w:style w:type="character" w:styleId="1456">
    <w:name w:val="标题 字符1"/>
    <w:next w:val="1456"/>
    <w:link w:val="962"/>
    <w:qFormat/>
    <w:rPr>
      <w:rFonts w:ascii="Cambria" w:hAnsi="Cambria"/>
      <w:b/>
      <w:bCs/>
      <w:sz w:val="32"/>
      <w:szCs w:val="32"/>
    </w:rPr>
  </w:style>
  <w:style w:type="paragraph" w:styleId="1457">
    <w:name w:val="纯文本2"/>
    <w:next w:val="1237"/>
    <w:link w:val="962"/>
    <w:qFormat/>
    <w:pPr>
      <w:jc w:val="both"/>
      <w:spacing w:line="360" w:lineRule="auto"/>
      <w:widowControl w:val="off"/>
    </w:pPr>
    <w:rPr>
      <w:rFonts w:ascii="宋体" w:hAnsi="宋体" w:eastAsia="仿宋" w:cs="Times New Roman"/>
      <w:sz w:val="26"/>
      <w:szCs w:val="21"/>
      <w:lang w:val="en-US" w:eastAsia="zh-CN" w:bidi="ar-SA"/>
    </w:rPr>
  </w:style>
  <w:style w:type="character" w:styleId="1458">
    <w:name w:val="正文文本_"/>
    <w:basedOn w:val="1203"/>
    <w:next w:val="1458"/>
    <w:link w:val="1459"/>
    <w:uiPriority w:val="99"/>
    <w:unhideWhenUsed/>
    <w:qFormat/>
    <w:rPr>
      <w:rFonts w:ascii="MingLiU" w:hAnsi="MingLiU" w:eastAsia="MingLiU"/>
      <w:spacing w:val="10"/>
      <w:sz w:val="23"/>
      <w:shd w:val="clear" w:color="auto" w:fill="ffffff"/>
    </w:rPr>
  </w:style>
  <w:style w:type="paragraph" w:styleId="1459">
    <w:name w:val="正文文本1"/>
    <w:basedOn w:val="962"/>
    <w:next w:val="1459"/>
    <w:link w:val="1458"/>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460">
    <w:name w:val="font21"/>
    <w:next w:val="1460"/>
    <w:link w:val="962"/>
    <w:qFormat/>
    <w:rPr>
      <w:rFonts w:hint="eastAsia" w:ascii="宋体" w:hAnsi="宋体" w:eastAsia="宋体" w:cs="宋体"/>
      <w:color w:val="000000"/>
      <w:sz w:val="21"/>
      <w:szCs w:val="21"/>
      <w:u w:val="none"/>
    </w:rPr>
  </w:style>
  <w:style w:type="character" w:styleId="1461">
    <w:name w:val="font01"/>
    <w:next w:val="1461"/>
    <w:link w:val="962"/>
    <w:qFormat/>
    <w:rPr>
      <w:rFonts w:hint="eastAsia" w:ascii="宋体" w:hAnsi="宋体" w:eastAsia="宋体" w:cs="宋体"/>
      <w:b/>
      <w:color w:val="000000"/>
      <w:sz w:val="22"/>
      <w:szCs w:val="22"/>
      <w:u w:val="none"/>
    </w:rPr>
  </w:style>
  <w:style w:type="paragraph" w:styleId="1462">
    <w:name w:val="p0"/>
    <w:basedOn w:val="962"/>
    <w:next w:val="1462"/>
    <w:link w:val="962"/>
    <w:qFormat/>
    <w:pPr>
      <w:widowControl/>
    </w:pPr>
    <w:rPr>
      <w:rFonts w:ascii="Calibri" w:hAnsi="Calibri"/>
      <w:szCs w:val="21"/>
    </w:rPr>
  </w:style>
  <w:style w:type="paragraph" w:styleId="1463">
    <w:name w:val="be358f00-9758-446e-aec5-cde8345aeef3"/>
    <w:basedOn w:val="1215"/>
    <w:next w:val="1463"/>
    <w:link w:val="1464"/>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464">
    <w:name w:val="be358f00-9758-446e-aec5-cde8345aeef3 字符"/>
    <w:next w:val="1464"/>
    <w:link w:val="1463"/>
    <w:qFormat/>
    <w:rPr>
      <w:rFonts w:ascii="微软雅黑" w:hAnsi="微软雅黑" w:eastAsia="微软雅黑"/>
      <w:color w:val="000000"/>
      <w:sz w:val="22"/>
      <w:szCs w:val="24"/>
    </w:rPr>
  </w:style>
  <w:style w:type="character" w:styleId="1465">
    <w:name w:val="font61"/>
    <w:next w:val="1465"/>
    <w:link w:val="962"/>
    <w:qFormat/>
    <w:rPr>
      <w:rFonts w:hint="eastAsia" w:ascii="宋体" w:hAnsi="宋体" w:eastAsia="宋体" w:cs="宋体"/>
      <w:color w:val="000000"/>
      <w:sz w:val="21"/>
      <w:szCs w:val="21"/>
      <w:u w:val="none"/>
    </w:rPr>
  </w:style>
  <w:style w:type="character" w:styleId="1466">
    <w:name w:val="font71"/>
    <w:next w:val="1466"/>
    <w:link w:val="962"/>
    <w:qFormat/>
    <w:rPr>
      <w:rFonts w:hint="eastAsia" w:ascii="宋体" w:hAnsi="宋体" w:eastAsia="宋体" w:cs="宋体"/>
      <w:color w:val="000000"/>
      <w:sz w:val="22"/>
      <w:szCs w:val="22"/>
      <w:u w:val="none"/>
    </w:rPr>
  </w:style>
  <w:style w:type="character" w:styleId="1467">
    <w:name w:val="font31"/>
    <w:next w:val="1467"/>
    <w:link w:val="962"/>
    <w:qFormat/>
    <w:rPr>
      <w:rFonts w:ascii="Arial Unicode MS" w:hAnsi="Arial Unicode MS" w:eastAsia="Arial Unicode MS" w:cs="Arial Unicode MS"/>
      <w:color w:val="000000"/>
      <w:sz w:val="22"/>
      <w:szCs w:val="22"/>
      <w:u w:val="none"/>
    </w:rPr>
  </w:style>
  <w:style w:type="character" w:styleId="1468">
    <w:name w:val="font41"/>
    <w:next w:val="1468"/>
    <w:link w:val="962"/>
    <w:qFormat/>
    <w:rPr>
      <w:rFonts w:ascii="宋体" w:hAnsi="宋体" w:eastAsia="宋体" w:cs="宋体"/>
      <w:color w:val="000000"/>
      <w:sz w:val="22"/>
      <w:szCs w:val="22"/>
      <w:u w:val="none"/>
    </w:rPr>
  </w:style>
  <w:style w:type="character" w:styleId="1469">
    <w:name w:val="font11"/>
    <w:next w:val="1469"/>
    <w:link w:val="962"/>
    <w:qFormat/>
    <w:rPr>
      <w:rFonts w:hint="eastAsia" w:ascii="宋体" w:hAnsi="宋体" w:eastAsia="宋体" w:cs="宋体"/>
      <w:b/>
      <w:bCs/>
      <w:color w:val="000000"/>
      <w:sz w:val="21"/>
      <w:szCs w:val="21"/>
      <w:u w:val="none"/>
    </w:rPr>
  </w:style>
  <w:style w:type="character" w:styleId="1470">
    <w:name w:val="font51"/>
    <w:next w:val="1470"/>
    <w:link w:val="962"/>
    <w:qFormat/>
    <w:rPr>
      <w:rFonts w:ascii="Times New Roman" w:hAnsi="Times New Roman" w:cs="Times New Roman"/>
      <w:color w:val="000000"/>
      <w:sz w:val="21"/>
      <w:szCs w:val="21"/>
      <w:u w:val="none"/>
    </w:rPr>
  </w:style>
  <w:style w:type="character" w:styleId="1471">
    <w:name w:val="font81"/>
    <w:next w:val="1471"/>
    <w:link w:val="962"/>
    <w:qFormat/>
    <w:rPr>
      <w:rFonts w:ascii="Times New Roman" w:hAnsi="Times New Roman" w:cs="Times New Roman"/>
      <w:color w:val="000000"/>
      <w:sz w:val="21"/>
      <w:szCs w:val="21"/>
      <w:u w:val="none"/>
      <w:vertAlign w:val="superscript"/>
    </w:rPr>
  </w:style>
  <w:style w:type="paragraph" w:styleId="1472">
    <w:name w:val="正文缩进11"/>
    <w:basedOn w:val="962"/>
    <w:next w:val="1472"/>
    <w:link w:val="962"/>
    <w:qFormat/>
    <w:pPr>
      <w:ind w:firstLine="420"/>
      <w:jc w:val="left"/>
    </w:pPr>
    <w:rPr>
      <w:rFonts w:ascii="宋体"/>
      <w:sz w:val="24"/>
    </w:rPr>
  </w:style>
  <w:style w:type="paragraph" w:styleId="1473">
    <w:name w:val="一、"/>
    <w:basedOn w:val="962"/>
    <w:next w:val="1473"/>
    <w:link w:val="962"/>
    <w:qFormat/>
    <w:pPr>
      <w:ind w:firstLine="640"/>
    </w:pPr>
    <w:rPr>
      <w:rFonts w:eastAsia="黑体"/>
      <w:szCs w:val="32"/>
    </w:rPr>
  </w:style>
  <w:style w:type="paragraph" w:styleId="1474">
    <w:name w:val="附件标题"/>
    <w:next w:val="1474"/>
    <w:link w:val="962"/>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475">
    <w:name w:val="第一章"/>
    <w:basedOn w:val="1473"/>
    <w:next w:val="1475"/>
    <w:link w:val="962"/>
    <w:qFormat/>
    <w:pPr>
      <w:ind w:firstLine="0"/>
      <w:jc w:val="center"/>
    </w:pPr>
  </w:style>
  <w:style w:type="paragraph" w:styleId="1476">
    <w:name w:val="AONormal"/>
    <w:next w:val="1476"/>
    <w:link w:val="962"/>
    <w:qFormat/>
    <w:pPr>
      <w:ind w:firstLine="440"/>
      <w:spacing w:line="400" w:lineRule="exact"/>
    </w:pPr>
    <w:rPr>
      <w:rFonts w:ascii="华文楷体" w:hAnsi="华文楷体" w:eastAsia="华文楷体" w:cs="华文楷体"/>
      <w:sz w:val="22"/>
      <w:szCs w:val="21"/>
      <w:lang w:val="en-US" w:eastAsia="zh-CN" w:bidi="ar-SA"/>
    </w:rPr>
  </w:style>
  <w:style w:type="paragraph" w:styleId="1477">
    <w:name w:val="正文首行缩进1"/>
    <w:basedOn w:val="1459"/>
    <w:next w:val="1477"/>
    <w:link w:val="962"/>
    <w:qFormat/>
    <w:pPr>
      <w:ind w:firstLine="200"/>
      <w:spacing w:line="360" w:lineRule="auto"/>
    </w:pPr>
    <w:rPr>
      <w:rFonts w:ascii="仿宋_GB2312" w:eastAsia="仿宋_GB2312"/>
      <w:sz w:val="30"/>
      <w:szCs w:val="30"/>
    </w:rPr>
  </w:style>
  <w:style w:type="paragraph" w:styleId="1478">
    <w:name w:val="正文1"/>
    <w:basedOn w:val="962"/>
    <w:next w:val="962"/>
    <w:link w:val="962"/>
    <w:qFormat/>
    <w:pPr>
      <w:ind w:left="420" w:firstLine="527"/>
      <w:spacing w:before="120" w:line="360" w:lineRule="auto"/>
    </w:pPr>
    <w:rPr>
      <w:rFonts w:ascii="宋体" w:hAnsi="宋体"/>
    </w:rPr>
  </w:style>
  <w:style w:type="character" w:styleId="18533" w:default="1">
    <w:name w:val="Default Paragraph Font"/>
    <w:uiPriority w:val="1"/>
    <w:semiHidden/>
    <w:unhideWhenUsed/>
  </w:style>
  <w:style w:type="numbering" w:styleId="18534" w:default="1">
    <w:name w:val="No List"/>
    <w:uiPriority w:val="99"/>
    <w:semiHidden/>
    <w:unhideWhenUsed/>
  </w:style>
  <w:style w:type="table" w:styleId="185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庄璐</cp:lastModifiedBy>
  <cp:revision>2</cp:revision>
  <dcterms:created xsi:type="dcterms:W3CDTF">2026-03-16T02:21:00Z</dcterms:created>
  <dcterms:modified xsi:type="dcterms:W3CDTF">2026-09-23T05:39:35Z</dcterms:modified>
</cp:coreProperties>
</file>