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765A4D">
      <w:pPr>
        <w:jc w:val="right"/>
        <w:rPr>
          <w:rFonts w:ascii="宋体" w:hAnsi="宋体"/>
          <w:color w:val="auto"/>
          <w:sz w:val="36"/>
          <w:highlight w:val="none"/>
        </w:rPr>
      </w:pPr>
    </w:p>
    <w:p w14:paraId="3A26E81C">
      <w:pPr>
        <w:jc w:val="right"/>
        <w:rPr>
          <w:rFonts w:hint="default" w:ascii="宋体" w:hAnsi="宋体" w:eastAsia="宋体"/>
          <w:color w:val="auto"/>
          <w:sz w:val="36"/>
          <w:highlight w:val="none"/>
          <w:lang w:val="en-US" w:eastAsia="zh-CN"/>
        </w:rPr>
      </w:pPr>
      <w:r>
        <w:rPr>
          <w:rFonts w:hint="eastAsia" w:ascii="宋体" w:hAnsi="宋体"/>
          <w:color w:val="auto"/>
          <w:sz w:val="36"/>
          <w:highlight w:val="none"/>
        </w:rPr>
        <w:t>编号：JSZC-321012-JSYS-G2026-0009</w:t>
      </w:r>
    </w:p>
    <w:p w14:paraId="3AD2FB8A">
      <w:pPr>
        <w:jc w:val="right"/>
        <w:rPr>
          <w:rFonts w:ascii="宋体" w:hAnsi="宋体"/>
          <w:color w:val="auto"/>
          <w:sz w:val="36"/>
          <w:highlight w:val="none"/>
        </w:rPr>
      </w:pPr>
    </w:p>
    <w:p w14:paraId="3A082368">
      <w:pPr>
        <w:jc w:val="center"/>
        <w:rPr>
          <w:rFonts w:hint="eastAsia" w:ascii="宋体" w:hAnsi="宋体" w:eastAsia="宋体"/>
          <w:color w:val="auto"/>
          <w:sz w:val="36"/>
          <w:highlight w:val="none"/>
          <w:lang w:eastAsia="zh-CN"/>
        </w:rPr>
      </w:pPr>
      <w:r>
        <w:rPr>
          <w:rFonts w:hint="eastAsia" w:ascii="宋体" w:hAnsi="宋体"/>
          <w:color w:val="auto"/>
          <w:sz w:val="36"/>
          <w:highlight w:val="none"/>
          <w:lang w:val="en-US" w:eastAsia="zh-CN"/>
        </w:rPr>
        <w:t>江都城区污水处理设施特许经营项目</w:t>
      </w:r>
    </w:p>
    <w:p w14:paraId="00FAFD6F">
      <w:pPr>
        <w:jc w:val="center"/>
        <w:rPr>
          <w:rFonts w:ascii="宋体" w:hAnsi="宋体"/>
          <w:color w:val="auto"/>
          <w:sz w:val="36"/>
          <w:highlight w:val="none"/>
        </w:rPr>
      </w:pPr>
      <w:r>
        <w:rPr>
          <w:rFonts w:hint="eastAsia" w:ascii="宋体" w:hAnsi="宋体"/>
          <w:color w:val="auto"/>
          <w:sz w:val="36"/>
          <w:highlight w:val="none"/>
        </w:rPr>
        <w:t>公开招标文件</w:t>
      </w:r>
    </w:p>
    <w:p w14:paraId="35CB20A6">
      <w:pPr>
        <w:jc w:val="center"/>
        <w:rPr>
          <w:rFonts w:ascii="宋体" w:hAnsi="宋体"/>
          <w:color w:val="auto"/>
          <w:sz w:val="36"/>
          <w:highlight w:val="none"/>
        </w:rPr>
      </w:pPr>
    </w:p>
    <w:p w14:paraId="0E591986">
      <w:pPr>
        <w:pStyle w:val="5"/>
        <w:rPr>
          <w:color w:val="auto"/>
          <w:highlight w:val="none"/>
        </w:rPr>
      </w:pPr>
      <w:r>
        <w:rPr>
          <w:color w:val="auto"/>
          <w:highlight w:val="none"/>
        </w:rPr>
        <w:object>
          <v:shape id="_x0000_i1025" o:spt="75" type="#_x0000_t75" style="height:288pt;width:391.5pt;" o:ole="t" filled="f" stroked="f" coordsize="21600,21600">
            <v:path/>
            <v:fill on="f" focussize="0,0"/>
            <v:stroke on="f"/>
            <v:imagedata r:id="rId35" o:title=""/>
            <o:lock v:ext="edit" aspectratio="t"/>
            <w10:wrap type="none"/>
            <w10:anchorlock/>
          </v:shape>
          <o:OLEObject Type="Embed" ProgID="StaticMetafile" ShapeID="_x0000_i1025" DrawAspect="Content" ObjectID="_1468075725" r:id="rId34">
            <o:LockedField>false</o:LockedField>
          </o:OLEObject>
        </w:object>
      </w:r>
    </w:p>
    <w:p w14:paraId="5B76440B">
      <w:pPr>
        <w:rPr>
          <w:color w:val="auto"/>
          <w:highlight w:val="none"/>
        </w:rPr>
      </w:pPr>
    </w:p>
    <w:p w14:paraId="7E726929">
      <w:pPr>
        <w:pStyle w:val="5"/>
        <w:rPr>
          <w:color w:val="auto"/>
          <w:highlight w:val="none"/>
        </w:rPr>
      </w:pPr>
    </w:p>
    <w:p w14:paraId="52D0B901">
      <w:pPr>
        <w:jc w:val="center"/>
        <w:rPr>
          <w:rFonts w:hint="eastAsia" w:ascii="宋体" w:hAnsi="宋体" w:eastAsia="宋体"/>
          <w:color w:val="auto"/>
          <w:sz w:val="36"/>
          <w:highlight w:val="none"/>
          <w:lang w:eastAsia="zh-CN"/>
        </w:rPr>
      </w:pPr>
      <w:r>
        <w:rPr>
          <w:rFonts w:hint="eastAsia" w:ascii="宋体" w:hAnsi="宋体"/>
          <w:color w:val="auto"/>
          <w:sz w:val="36"/>
          <w:highlight w:val="none"/>
          <w:lang w:eastAsia="zh-CN"/>
        </w:rPr>
        <w:t>江苏誉森建设项目管理有限公司</w:t>
      </w:r>
    </w:p>
    <w:p w14:paraId="593E2C5C">
      <w:pPr>
        <w:jc w:val="center"/>
        <w:rPr>
          <w:color w:val="auto"/>
          <w:highlight w:val="none"/>
        </w:rPr>
      </w:pPr>
      <w:r>
        <w:rPr>
          <w:rFonts w:hint="eastAsia" w:ascii="宋体" w:hAnsi="宋体"/>
          <w:color w:val="auto"/>
          <w:sz w:val="36"/>
          <w:highlight w:val="none"/>
        </w:rPr>
        <w:t>202</w:t>
      </w:r>
      <w:r>
        <w:rPr>
          <w:rFonts w:hint="eastAsia" w:ascii="宋体" w:hAnsi="宋体"/>
          <w:color w:val="auto"/>
          <w:sz w:val="36"/>
          <w:highlight w:val="none"/>
          <w:lang w:val="en-US" w:eastAsia="zh-CN"/>
        </w:rPr>
        <w:t>6</w:t>
      </w:r>
      <w:r>
        <w:rPr>
          <w:rFonts w:hint="eastAsia" w:ascii="宋体" w:hAnsi="宋体"/>
          <w:color w:val="auto"/>
          <w:sz w:val="36"/>
          <w:highlight w:val="none"/>
        </w:rPr>
        <w:t>年</w:t>
      </w:r>
      <w:r>
        <w:rPr>
          <w:rFonts w:hint="eastAsia" w:ascii="宋体" w:hAnsi="宋体"/>
          <w:color w:val="auto"/>
          <w:sz w:val="36"/>
          <w:highlight w:val="none"/>
          <w:lang w:val="en-US" w:eastAsia="zh-CN"/>
        </w:rPr>
        <w:t>9</w:t>
      </w:r>
      <w:r>
        <w:rPr>
          <w:rFonts w:hint="eastAsia" w:ascii="宋体" w:hAnsi="宋体"/>
          <w:color w:val="auto"/>
          <w:sz w:val="36"/>
          <w:highlight w:val="none"/>
        </w:rPr>
        <w:t>月</w:t>
      </w:r>
      <w:r>
        <w:rPr>
          <w:color w:val="auto"/>
          <w:highlight w:val="none"/>
        </w:rPr>
        <w:br w:type="page" w:clear="all"/>
      </w:r>
    </w:p>
    <w:p w14:paraId="78DA1C0C">
      <w:pPr>
        <w:jc w:val="center"/>
        <w:rPr>
          <w:rFonts w:ascii="宋体" w:hAnsi="宋体"/>
          <w:color w:val="auto"/>
          <w:sz w:val="32"/>
          <w:highlight w:val="none"/>
        </w:rPr>
      </w:pPr>
      <w:r>
        <w:rPr>
          <w:rFonts w:hint="eastAsia" w:ascii="宋体" w:hAnsi="宋体"/>
          <w:color w:val="auto"/>
          <w:sz w:val="32"/>
          <w:highlight w:val="none"/>
        </w:rPr>
        <w:t>目 录</w:t>
      </w:r>
    </w:p>
    <w:p w14:paraId="5124672A">
      <w:pPr>
        <w:pStyle w:val="26"/>
        <w:tabs>
          <w:tab w:val="right" w:leader="dot" w:pos="8296"/>
        </w:tabs>
        <w:rPr>
          <w:color w:val="auto"/>
          <w:highlight w:val="none"/>
        </w:rPr>
      </w:pPr>
      <w:r>
        <w:rPr>
          <w:rFonts w:hint="eastAsia" w:ascii="宋体" w:hAnsi="宋体"/>
          <w:color w:val="auto"/>
          <w:sz w:val="28"/>
          <w:highlight w:val="none"/>
        </w:rPr>
        <w:fldChar w:fldCharType="begin"/>
      </w:r>
      <w:r>
        <w:rPr>
          <w:rFonts w:hint="eastAsia" w:ascii="宋体" w:hAnsi="宋体"/>
          <w:color w:val="auto"/>
          <w:sz w:val="28"/>
          <w:highlight w:val="none"/>
        </w:rPr>
        <w:instrText xml:space="preserve"> TOC \o "1-3" \f </w:instrText>
      </w:r>
      <w:r>
        <w:rPr>
          <w:rFonts w:hint="eastAsia" w:ascii="宋体" w:hAnsi="宋体"/>
          <w:color w:val="auto"/>
          <w:sz w:val="28"/>
          <w:highlight w:val="none"/>
        </w:rPr>
        <w:fldChar w:fldCharType="separate"/>
      </w:r>
      <w:r>
        <w:rPr>
          <w:rFonts w:hint="eastAsia" w:ascii="宋体" w:hAnsi="宋体"/>
          <w:color w:val="auto"/>
          <w:highlight w:val="none"/>
        </w:rPr>
        <w:t>第一章 招标公告</w:t>
      </w:r>
      <w:r>
        <w:rPr>
          <w:rFonts w:hint="eastAsia"/>
          <w:color w:val="auto"/>
          <w:highlight w:val="none"/>
        </w:rPr>
        <w:tab/>
      </w:r>
      <w:r>
        <w:rPr>
          <w:rFonts w:hint="eastAsia"/>
          <w:color w:val="auto"/>
          <w:highlight w:val="none"/>
        </w:rPr>
        <w:t>3</w:t>
      </w:r>
    </w:p>
    <w:p w14:paraId="27E6B57F">
      <w:pPr>
        <w:pStyle w:val="26"/>
        <w:tabs>
          <w:tab w:val="right" w:leader="dot" w:pos="8296"/>
        </w:tabs>
        <w:rPr>
          <w:color w:val="auto"/>
          <w:highlight w:val="none"/>
        </w:rPr>
      </w:pPr>
      <w:r>
        <w:rPr>
          <w:rFonts w:hint="eastAsia" w:ascii="宋体" w:hAnsi="宋体"/>
          <w:color w:val="auto"/>
          <w:highlight w:val="none"/>
        </w:rPr>
        <w:t>第二章 投标人须知</w:t>
      </w:r>
      <w:r>
        <w:rPr>
          <w:rFonts w:hint="eastAsia"/>
          <w:color w:val="auto"/>
          <w:highlight w:val="none"/>
        </w:rPr>
        <w:tab/>
      </w:r>
      <w:r>
        <w:rPr>
          <w:rFonts w:hint="eastAsia"/>
          <w:color w:val="auto"/>
          <w:highlight w:val="none"/>
        </w:rPr>
        <w:t>7</w:t>
      </w:r>
    </w:p>
    <w:p w14:paraId="692A2F92">
      <w:pPr>
        <w:pStyle w:val="26"/>
        <w:tabs>
          <w:tab w:val="right" w:leader="dot" w:pos="8296"/>
        </w:tabs>
        <w:rPr>
          <w:rFonts w:hint="default" w:eastAsia="宋体"/>
          <w:color w:val="auto"/>
          <w:highlight w:val="none"/>
          <w:lang w:val="en-US" w:eastAsia="zh-CN"/>
        </w:rPr>
      </w:pPr>
      <w:r>
        <w:rPr>
          <w:rFonts w:hint="eastAsia" w:ascii="宋体" w:hAnsi="宋体"/>
          <w:color w:val="auto"/>
          <w:highlight w:val="none"/>
        </w:rPr>
        <w:t>第三章 合同条款及格式</w:t>
      </w:r>
      <w:r>
        <w:rPr>
          <w:rFonts w:hint="eastAsia"/>
          <w:color w:val="auto"/>
          <w:highlight w:val="none"/>
        </w:rPr>
        <w:tab/>
      </w:r>
      <w:r>
        <w:rPr>
          <w:rFonts w:hint="eastAsia"/>
          <w:color w:val="auto"/>
          <w:highlight w:val="none"/>
          <w:lang w:val="en-US" w:eastAsia="zh-CN"/>
        </w:rPr>
        <w:t>20</w:t>
      </w:r>
    </w:p>
    <w:p w14:paraId="6DC15329">
      <w:pPr>
        <w:pStyle w:val="26"/>
        <w:tabs>
          <w:tab w:val="right" w:leader="dot" w:pos="8296"/>
        </w:tabs>
        <w:rPr>
          <w:rFonts w:hint="default" w:eastAsia="宋体"/>
          <w:color w:val="auto"/>
          <w:highlight w:val="none"/>
          <w:lang w:val="en-US" w:eastAsia="zh-CN"/>
        </w:rPr>
      </w:pPr>
      <w:r>
        <w:rPr>
          <w:rFonts w:hint="eastAsia"/>
          <w:color w:val="auto"/>
          <w:highlight w:val="none"/>
        </w:rPr>
        <w:t>第四章 项目需求</w:t>
      </w:r>
      <w:r>
        <w:rPr>
          <w:rFonts w:hint="eastAsia"/>
          <w:color w:val="auto"/>
          <w:highlight w:val="none"/>
        </w:rPr>
        <w:tab/>
      </w:r>
      <w:r>
        <w:rPr>
          <w:rFonts w:hint="eastAsia"/>
          <w:color w:val="auto"/>
          <w:highlight w:val="none"/>
          <w:lang w:val="en-US" w:eastAsia="zh-CN"/>
        </w:rPr>
        <w:t>27</w:t>
      </w:r>
    </w:p>
    <w:p w14:paraId="72B673E9">
      <w:pPr>
        <w:pStyle w:val="26"/>
        <w:tabs>
          <w:tab w:val="right" w:leader="dot" w:pos="8296"/>
        </w:tabs>
        <w:rPr>
          <w:rFonts w:hint="default" w:eastAsia="宋体"/>
          <w:color w:val="auto"/>
          <w:highlight w:val="none"/>
          <w:lang w:val="en-US" w:eastAsia="zh-CN"/>
        </w:rPr>
      </w:pPr>
      <w:r>
        <w:rPr>
          <w:rFonts w:hint="eastAsia" w:ascii="宋体" w:hAnsi="宋体"/>
          <w:color w:val="auto"/>
          <w:highlight w:val="none"/>
        </w:rPr>
        <w:t>第五章 评标方法及评标标准</w:t>
      </w:r>
      <w:r>
        <w:rPr>
          <w:rFonts w:hint="eastAsia"/>
          <w:color w:val="auto"/>
          <w:highlight w:val="none"/>
        </w:rPr>
        <w:tab/>
      </w:r>
      <w:r>
        <w:rPr>
          <w:rFonts w:hint="eastAsia"/>
          <w:color w:val="auto"/>
          <w:highlight w:val="none"/>
          <w:lang w:val="en-US" w:eastAsia="zh-CN"/>
        </w:rPr>
        <w:t>34</w:t>
      </w:r>
    </w:p>
    <w:p w14:paraId="2FAEEBAE">
      <w:pPr>
        <w:pStyle w:val="26"/>
        <w:tabs>
          <w:tab w:val="right" w:leader="dot" w:pos="8296"/>
        </w:tabs>
        <w:rPr>
          <w:rFonts w:hint="default" w:eastAsia="宋体"/>
          <w:color w:val="auto"/>
          <w:highlight w:val="none"/>
          <w:lang w:val="en-US" w:eastAsia="zh-CN"/>
        </w:rPr>
      </w:pPr>
      <w:r>
        <w:rPr>
          <w:rFonts w:hint="eastAsia" w:ascii="宋体" w:hAnsi="宋体"/>
          <w:color w:val="auto"/>
          <w:highlight w:val="none"/>
        </w:rPr>
        <w:t>第六章 投标文件格式</w:t>
      </w:r>
      <w:r>
        <w:rPr>
          <w:rFonts w:hint="eastAsia"/>
          <w:color w:val="auto"/>
          <w:highlight w:val="none"/>
        </w:rPr>
        <w:tab/>
      </w:r>
      <w:r>
        <w:rPr>
          <w:rFonts w:hint="eastAsia"/>
          <w:color w:val="auto"/>
          <w:highlight w:val="none"/>
          <w:lang w:val="en-US" w:eastAsia="zh-CN"/>
        </w:rPr>
        <w:t>38</w:t>
      </w:r>
    </w:p>
    <w:p w14:paraId="1AE5EDF5">
      <w:pPr>
        <w:rPr>
          <w:rFonts w:ascii="宋体" w:hAnsi="宋体"/>
          <w:color w:val="auto"/>
          <w:sz w:val="28"/>
          <w:highlight w:val="none"/>
        </w:rPr>
      </w:pPr>
      <w:r>
        <w:rPr>
          <w:rFonts w:hint="eastAsia" w:ascii="宋体" w:hAnsi="宋体"/>
          <w:color w:val="auto"/>
          <w:sz w:val="28"/>
          <w:highlight w:val="none"/>
        </w:rPr>
        <w:fldChar w:fldCharType="end"/>
      </w:r>
    </w:p>
    <w:p w14:paraId="76427A50">
      <w:pPr>
        <w:pStyle w:val="2"/>
        <w:spacing w:line="240" w:lineRule="auto"/>
        <w:jc w:val="center"/>
        <w:rPr>
          <w:rFonts w:hint="eastAsia" w:ascii="宋体" w:hAnsi="宋体" w:eastAsia="宋体" w:cs="Times New Roman"/>
          <w:color w:val="auto"/>
          <w:szCs w:val="36"/>
          <w:highlight w:val="none"/>
          <w:lang w:val="en-US" w:eastAsia="zh-CN"/>
        </w:rPr>
        <w:sectPr>
          <w:footerReference r:id="rId6" w:type="first"/>
          <w:headerReference r:id="rId3" w:type="default"/>
          <w:footerReference r:id="rId4" w:type="default"/>
          <w:footerReference r:id="rId5" w:type="even"/>
          <w:pgSz w:w="11906" w:h="16838"/>
          <w:pgMar w:top="1440" w:right="1797" w:bottom="1440" w:left="1797" w:header="851" w:footer="992" w:gutter="0"/>
          <w:cols w:space="720" w:num="1"/>
          <w:docGrid w:linePitch="360" w:charSpace="0"/>
        </w:sectPr>
      </w:pPr>
      <w:bookmarkStart w:id="0" w:name="_Toc55204177"/>
    </w:p>
    <w:p w14:paraId="2189F12A">
      <w:pPr>
        <w:pStyle w:val="2"/>
        <w:spacing w:line="240" w:lineRule="auto"/>
        <w:jc w:val="center"/>
        <w:rPr>
          <w:rFonts w:hint="eastAsia" w:ascii="宋体" w:hAnsi="宋体" w:eastAsia="宋体"/>
          <w:color w:val="auto"/>
          <w:sz w:val="44"/>
          <w:szCs w:val="44"/>
          <w:highlight w:val="none"/>
          <w:lang w:eastAsia="zh-CN"/>
        </w:rPr>
      </w:pPr>
      <w:r>
        <w:rPr>
          <w:rFonts w:hint="eastAsia" w:ascii="宋体" w:hAnsi="宋体" w:eastAsia="宋体" w:cs="Times New Roman"/>
          <w:color w:val="auto"/>
          <w:szCs w:val="36"/>
          <w:highlight w:val="none"/>
          <w:lang w:val="en-US" w:eastAsia="zh-CN"/>
        </w:rPr>
        <w:t xml:space="preserve">第一章 </w:t>
      </w:r>
      <w:r>
        <w:rPr>
          <w:rFonts w:hint="eastAsia" w:ascii="宋体" w:hAnsi="宋体" w:cs="Times New Roman"/>
          <w:color w:val="auto"/>
          <w:szCs w:val="36"/>
          <w:highlight w:val="none"/>
          <w:lang w:val="en-US" w:eastAsia="zh-CN"/>
        </w:rPr>
        <w:t>江都城区污水处理设施特许经营项目</w:t>
      </w:r>
      <w:r>
        <w:rPr>
          <w:rFonts w:hint="eastAsia" w:ascii="宋体" w:hAnsi="宋体" w:eastAsia="宋体" w:cs="Times New Roman"/>
          <w:color w:val="auto"/>
          <w:szCs w:val="36"/>
          <w:highlight w:val="none"/>
        </w:rPr>
        <w:t>招标公告</w:t>
      </w:r>
      <w:bookmarkEnd w:id="0"/>
      <w:r>
        <w:rPr>
          <w:rFonts w:hint="eastAsia"/>
          <w:b/>
          <w:bCs/>
          <w:color w:val="auto"/>
          <w:sz w:val="44"/>
          <w:szCs w:val="44"/>
          <w:highlight w:val="none"/>
          <w:lang w:eastAsia="zh-CN"/>
        </w:rPr>
        <w:tab/>
      </w:r>
    </w:p>
    <w:p w14:paraId="7F9CA56F">
      <w:pPr>
        <w:tabs>
          <w:tab w:val="left" w:pos="266"/>
        </w:tabs>
        <w:spacing w:line="360" w:lineRule="auto"/>
        <w:ind w:firstLine="420"/>
        <w:rPr>
          <w:rFonts w:ascii="宋体" w:hAnsi="宋体" w:cs="宋体"/>
          <w:color w:val="auto"/>
          <w:szCs w:val="21"/>
          <w:highlight w:val="none"/>
        </w:rPr>
      </w:pPr>
      <w:r>
        <w:rPr>
          <w:rFonts w:hint="eastAsia" w:ascii="宋体" w:hAnsi="宋体" w:cs="宋体"/>
          <w:color w:val="auto"/>
          <w:highlight w:val="none"/>
        </w:rPr>
        <w:t>受</w:t>
      </w:r>
      <w:r>
        <w:rPr>
          <w:rFonts w:hint="eastAsia" w:ascii="宋体" w:hAnsi="宋体" w:cs="宋体"/>
          <w:color w:val="auto"/>
          <w:highlight w:val="none"/>
          <w:lang w:eastAsia="zh-CN"/>
        </w:rPr>
        <w:t>扬州市江都区住房和城乡建设局</w:t>
      </w:r>
      <w:r>
        <w:rPr>
          <w:rFonts w:hint="eastAsia" w:ascii="宋体" w:hAnsi="宋体" w:cs="宋体"/>
          <w:color w:val="auto"/>
          <w:highlight w:val="none"/>
        </w:rPr>
        <w:t>的委托，</w:t>
      </w:r>
      <w:r>
        <w:rPr>
          <w:rFonts w:hint="eastAsia" w:ascii="宋体" w:hAnsi="宋体" w:cs="宋体"/>
          <w:color w:val="auto"/>
          <w:highlight w:val="none"/>
          <w:lang w:eastAsia="zh-CN"/>
        </w:rPr>
        <w:t>江苏誉森建设项目管理有限公司</w:t>
      </w:r>
      <w:r>
        <w:rPr>
          <w:rFonts w:hint="eastAsia" w:ascii="宋体" w:hAnsi="宋体" w:cs="宋体"/>
          <w:color w:val="auto"/>
          <w:highlight w:val="none"/>
        </w:rPr>
        <w:t>就</w:t>
      </w:r>
      <w:r>
        <w:rPr>
          <w:rFonts w:hint="eastAsia" w:ascii="宋体" w:hAnsi="宋体" w:cs="宋体"/>
          <w:color w:val="auto"/>
          <w:highlight w:val="none"/>
          <w:lang w:val="en-US" w:eastAsia="zh-CN"/>
        </w:rPr>
        <w:t>江都城区污水处理设施特许经营项目</w:t>
      </w:r>
      <w:r>
        <w:rPr>
          <w:rFonts w:hint="eastAsia" w:ascii="宋体" w:hAnsi="宋体" w:cs="宋体"/>
          <w:color w:val="auto"/>
          <w:highlight w:val="none"/>
        </w:rPr>
        <w:t>（JSZC-321012-JSYS-G2026-0009)进行公开招标采购，欢迎符合条件的供应商投标。</w:t>
      </w:r>
    </w:p>
    <w:p w14:paraId="35B31D7D">
      <w:pPr>
        <w:pBdr>
          <w:top w:val="single" w:color="auto" w:sz="4" w:space="1"/>
          <w:left w:val="single" w:color="auto" w:sz="4" w:space="4"/>
          <w:bottom w:val="single" w:color="auto" w:sz="4" w:space="1"/>
          <w:right w:val="single" w:color="auto" w:sz="4" w:space="4"/>
        </w:pBdr>
        <w:spacing w:line="360" w:lineRule="auto"/>
        <w:ind w:firstLine="422"/>
        <w:rPr>
          <w:rFonts w:ascii="宋体" w:hAnsi="宋体" w:cs="宋体"/>
          <w:b/>
          <w:bCs/>
          <w:color w:val="auto"/>
          <w:highlight w:val="none"/>
        </w:rPr>
      </w:pPr>
      <w:r>
        <w:rPr>
          <w:rFonts w:hint="eastAsia" w:ascii="宋体" w:hAnsi="宋体" w:cs="宋体"/>
          <w:b/>
          <w:bCs/>
          <w:color w:val="auto"/>
          <w:highlight w:val="none"/>
        </w:rPr>
        <w:t>项目概况</w:t>
      </w:r>
    </w:p>
    <w:p w14:paraId="4454F1C2">
      <w:pPr>
        <w:pBdr>
          <w:top w:val="single" w:color="auto" w:sz="4" w:space="1"/>
          <w:left w:val="single" w:color="auto" w:sz="4" w:space="4"/>
          <w:bottom w:val="single" w:color="auto" w:sz="4" w:space="1"/>
          <w:right w:val="single" w:color="auto" w:sz="4" w:space="4"/>
        </w:pBdr>
        <w:spacing w:line="360" w:lineRule="auto"/>
        <w:ind w:firstLine="420"/>
        <w:rPr>
          <w:rFonts w:ascii="宋体" w:hAnsi="宋体" w:cs="宋体"/>
          <w:color w:val="auto"/>
          <w:highlight w:val="none"/>
        </w:rPr>
      </w:pPr>
      <w:r>
        <w:rPr>
          <w:rFonts w:hint="eastAsia" w:ascii="宋体" w:hAnsi="宋体" w:cs="宋体"/>
          <w:color w:val="auto"/>
          <w:highlight w:val="none"/>
          <w:u w:val="single"/>
          <w:lang w:val="en-US" w:eastAsia="zh-CN"/>
        </w:rPr>
        <w:t>江都城区污水处理设施特许经营项目</w:t>
      </w:r>
      <w:r>
        <w:rPr>
          <w:rFonts w:hint="eastAsia" w:ascii="宋体" w:hAnsi="宋体" w:cs="宋体"/>
          <w:color w:val="auto"/>
          <w:highlight w:val="none"/>
          <w:lang w:val="en-US" w:eastAsia="zh-CN"/>
        </w:rPr>
        <w:t>采购</w:t>
      </w:r>
      <w:r>
        <w:rPr>
          <w:rFonts w:hint="eastAsia" w:ascii="宋体" w:hAnsi="宋体" w:cs="宋体"/>
          <w:color w:val="auto"/>
          <w:highlight w:val="none"/>
        </w:rPr>
        <w:t>项目的潜在投标人可在</w:t>
      </w:r>
      <w:r>
        <w:rPr>
          <w:rFonts w:hint="eastAsia" w:ascii="宋体" w:hAnsi="宋体" w:cs="宋体"/>
          <w:color w:val="auto"/>
          <w:highlight w:val="none"/>
          <w:u w:val="single"/>
        </w:rPr>
        <w:t xml:space="preserve"> “扬州市政府采购网”、“江苏政府采购网”、“中国政府采购网”自行免费下载</w:t>
      </w:r>
      <w:r>
        <w:rPr>
          <w:rFonts w:hint="eastAsia" w:ascii="宋体" w:hAnsi="宋体" w:cs="宋体"/>
          <w:color w:val="auto"/>
          <w:highlight w:val="none"/>
        </w:rPr>
        <w:t>招标文件，并于</w:t>
      </w:r>
      <w:bookmarkStart w:id="1" w:name="XMTBJSR_1"/>
      <w:r>
        <w:rPr>
          <w:rFonts w:ascii="宋体" w:hAnsi="宋体" w:cs="宋体"/>
          <w:bCs/>
          <w:color w:val="auto"/>
          <w:highlight w:val="none"/>
          <w:u w:val="single"/>
        </w:rPr>
        <w:t>202</w:t>
      </w:r>
      <w:r>
        <w:rPr>
          <w:rFonts w:hint="eastAsia" w:ascii="宋体" w:hAnsi="宋体" w:cs="宋体"/>
          <w:bCs/>
          <w:color w:val="auto"/>
          <w:highlight w:val="none"/>
          <w:u w:val="single"/>
          <w:lang w:val="en-US" w:eastAsia="zh-CN"/>
        </w:rPr>
        <w:t>6</w:t>
      </w:r>
      <w:r>
        <w:rPr>
          <w:rFonts w:ascii="宋体" w:hAnsi="宋体" w:cs="宋体"/>
          <w:bCs/>
          <w:color w:val="auto"/>
          <w:highlight w:val="none"/>
          <w:u w:val="single"/>
        </w:rPr>
        <w:t>年</w:t>
      </w:r>
      <w:r>
        <w:rPr>
          <w:rFonts w:hint="eastAsia" w:ascii="宋体" w:hAnsi="宋体" w:cs="宋体"/>
          <w:bCs/>
          <w:color w:val="auto"/>
          <w:highlight w:val="none"/>
          <w:u w:val="single"/>
          <w:lang w:val="en-US" w:eastAsia="zh-CN"/>
        </w:rPr>
        <w:t>10</w:t>
      </w:r>
      <w:r>
        <w:rPr>
          <w:rFonts w:ascii="宋体" w:hAnsi="宋体" w:cs="宋体"/>
          <w:bCs/>
          <w:color w:val="auto"/>
          <w:highlight w:val="none"/>
          <w:u w:val="single"/>
        </w:rPr>
        <w:t>月</w:t>
      </w:r>
      <w:r>
        <w:rPr>
          <w:rFonts w:hint="eastAsia" w:ascii="宋体" w:hAnsi="宋体" w:cs="宋体"/>
          <w:bCs/>
          <w:color w:val="auto"/>
          <w:highlight w:val="none"/>
          <w:u w:val="single"/>
          <w:lang w:val="en-US" w:eastAsia="zh-CN"/>
        </w:rPr>
        <w:t>28</w:t>
      </w:r>
      <w:r>
        <w:rPr>
          <w:rFonts w:ascii="宋体" w:hAnsi="宋体" w:cs="宋体"/>
          <w:bCs/>
          <w:color w:val="auto"/>
          <w:highlight w:val="none"/>
          <w:u w:val="single"/>
        </w:rPr>
        <w:t xml:space="preserve">日 </w:t>
      </w:r>
      <w:bookmarkEnd w:id="1"/>
      <w:r>
        <w:rPr>
          <w:rFonts w:hint="eastAsia" w:ascii="宋体" w:hAnsi="宋体" w:cs="宋体"/>
          <w:bCs/>
          <w:color w:val="auto"/>
          <w:highlight w:val="none"/>
          <w:u w:val="single"/>
          <w:lang w:val="en-US" w:eastAsia="zh-CN"/>
        </w:rPr>
        <w:t>9</w:t>
      </w:r>
      <w:r>
        <w:rPr>
          <w:rFonts w:hint="eastAsia" w:ascii="宋体" w:hAnsi="宋体" w:cs="宋体"/>
          <w:bCs/>
          <w:color w:val="auto"/>
          <w:highlight w:val="none"/>
          <w:u w:val="single"/>
        </w:rPr>
        <w:t>点</w:t>
      </w:r>
      <w:r>
        <w:rPr>
          <w:rFonts w:hint="eastAsia" w:ascii="宋体" w:hAnsi="宋体" w:cs="宋体"/>
          <w:bCs/>
          <w:color w:val="auto"/>
          <w:highlight w:val="none"/>
          <w:u w:val="single"/>
          <w:lang w:val="en-US" w:eastAsia="zh-CN"/>
        </w:rPr>
        <w:t>30</w:t>
      </w:r>
      <w:r>
        <w:rPr>
          <w:rFonts w:hint="eastAsia" w:ascii="宋体" w:hAnsi="宋体" w:cs="宋体"/>
          <w:bCs/>
          <w:color w:val="auto"/>
          <w:highlight w:val="none"/>
          <w:u w:val="single"/>
        </w:rPr>
        <w:t>分</w:t>
      </w:r>
      <w:r>
        <w:rPr>
          <w:rFonts w:hint="eastAsia" w:ascii="宋体" w:hAnsi="宋体" w:cs="宋体"/>
          <w:bCs/>
          <w:color w:val="auto"/>
          <w:highlight w:val="none"/>
          <w:u w:val="single"/>
        </w:rPr>
        <w:t>（</w:t>
      </w:r>
      <w:r>
        <w:rPr>
          <w:rFonts w:hint="eastAsia" w:ascii="宋体" w:hAnsi="宋体" w:cs="宋体"/>
          <w:bCs/>
          <w:color w:val="auto"/>
          <w:highlight w:val="none"/>
        </w:rPr>
        <w:t>北京时间）前递交投标文件</w:t>
      </w:r>
      <w:r>
        <w:rPr>
          <w:rFonts w:hint="eastAsia" w:ascii="宋体" w:hAnsi="宋体" w:cs="宋体"/>
          <w:color w:val="auto"/>
          <w:highlight w:val="none"/>
        </w:rPr>
        <w:t>。</w:t>
      </w:r>
    </w:p>
    <w:p w14:paraId="21894AF3">
      <w:pPr>
        <w:tabs>
          <w:tab w:val="left" w:pos="266"/>
        </w:tabs>
        <w:spacing w:line="360" w:lineRule="auto"/>
        <w:rPr>
          <w:rFonts w:ascii="宋体" w:hAnsi="宋体" w:cs="宋体"/>
          <w:b/>
          <w:bCs/>
          <w:color w:val="auto"/>
          <w:highlight w:val="none"/>
        </w:rPr>
      </w:pPr>
      <w:bookmarkStart w:id="2" w:name="_Toc38985263"/>
      <w:bookmarkStart w:id="3" w:name="_Toc35393790"/>
      <w:bookmarkStart w:id="4" w:name="_Toc28359079"/>
      <w:bookmarkStart w:id="5" w:name="_Toc28359002"/>
      <w:bookmarkStart w:id="6" w:name="_Toc35393621"/>
      <w:bookmarkStart w:id="7" w:name="_Hlk24379207"/>
      <w:r>
        <w:rPr>
          <w:rFonts w:hint="eastAsia" w:ascii="宋体" w:hAnsi="宋体" w:cs="宋体"/>
          <w:b/>
          <w:bCs/>
          <w:color w:val="auto"/>
          <w:highlight w:val="none"/>
        </w:rPr>
        <w:t>一、项目基本情况</w:t>
      </w:r>
      <w:bookmarkEnd w:id="2"/>
      <w:bookmarkEnd w:id="3"/>
      <w:bookmarkEnd w:id="4"/>
      <w:bookmarkEnd w:id="5"/>
      <w:bookmarkEnd w:id="6"/>
    </w:p>
    <w:p w14:paraId="63487CC1">
      <w:pPr>
        <w:spacing w:line="360" w:lineRule="auto"/>
        <w:ind w:firstLine="420"/>
        <w:rPr>
          <w:rFonts w:hint="default" w:ascii="宋体" w:hAnsi="宋体" w:eastAsia="宋体" w:cs="宋体"/>
          <w:color w:val="auto"/>
          <w:szCs w:val="21"/>
          <w:highlight w:val="none"/>
          <w:lang w:val="en-US" w:eastAsia="zh-CN"/>
        </w:rPr>
      </w:pPr>
      <w:r>
        <w:rPr>
          <w:rFonts w:hint="eastAsia" w:ascii="宋体" w:hAnsi="宋体" w:cs="宋体"/>
          <w:color w:val="auto"/>
          <w:highlight w:val="none"/>
        </w:rPr>
        <w:t>1.项目编号：JSZC-321012-JSYS-G2026-0009</w:t>
      </w:r>
    </w:p>
    <w:p w14:paraId="7F0BB894">
      <w:pPr>
        <w:spacing w:line="360" w:lineRule="auto"/>
        <w:ind w:firstLine="420"/>
        <w:rPr>
          <w:rFonts w:hint="eastAsia" w:ascii="宋体" w:hAnsi="宋体" w:eastAsia="宋体" w:cs="宋体"/>
          <w:color w:val="auto"/>
          <w:highlight w:val="none"/>
          <w:lang w:eastAsia="zh-CN"/>
        </w:rPr>
      </w:pPr>
      <w:r>
        <w:rPr>
          <w:rFonts w:hint="eastAsia" w:ascii="宋体" w:hAnsi="宋体" w:cs="宋体"/>
          <w:color w:val="auto"/>
          <w:highlight w:val="none"/>
        </w:rPr>
        <w:t>2.项目名称：</w:t>
      </w:r>
      <w:bookmarkEnd w:id="7"/>
      <w:r>
        <w:rPr>
          <w:rFonts w:hint="eastAsia" w:ascii="宋体" w:hAnsi="宋体" w:cs="宋体"/>
          <w:color w:val="auto"/>
          <w:highlight w:val="none"/>
          <w:lang w:eastAsia="zh-CN"/>
        </w:rPr>
        <w:t>江都城区污水处理设施特许经营项目</w:t>
      </w:r>
    </w:p>
    <w:p w14:paraId="2C89AA01">
      <w:pPr>
        <w:spacing w:line="360" w:lineRule="auto"/>
        <w:ind w:firstLine="420"/>
        <w:rPr>
          <w:rFonts w:hint="default" w:ascii="宋体" w:hAnsi="宋体" w:cs="宋体"/>
          <w:color w:val="auto"/>
          <w:highlight w:val="none"/>
          <w:lang w:val="en-US" w:eastAsia="zh-CN"/>
        </w:rPr>
      </w:pPr>
      <w:r>
        <w:rPr>
          <w:rFonts w:hint="eastAsia" w:ascii="宋体" w:hAnsi="宋体" w:cs="宋体"/>
          <w:color w:val="auto"/>
          <w:highlight w:val="none"/>
        </w:rPr>
        <w:t>3.预算金额：</w:t>
      </w:r>
      <w:r>
        <w:rPr>
          <w:rFonts w:hint="eastAsia" w:ascii="宋体" w:hAnsi="宋体" w:cs="宋体"/>
          <w:color w:val="auto"/>
          <w:highlight w:val="none"/>
          <w:lang w:val="en-US" w:eastAsia="zh-CN"/>
        </w:rPr>
        <w:t>3872.88万元</w:t>
      </w:r>
    </w:p>
    <w:p w14:paraId="034B5138">
      <w:pPr>
        <w:spacing w:line="360" w:lineRule="auto"/>
        <w:ind w:firstLine="420"/>
        <w:rPr>
          <w:rFonts w:hint="default" w:ascii="宋体" w:hAnsi="宋体" w:cs="宋体"/>
          <w:color w:val="auto"/>
          <w:highlight w:val="none"/>
          <w:lang w:val="en-US"/>
        </w:rPr>
      </w:pPr>
      <w:r>
        <w:rPr>
          <w:rFonts w:hint="eastAsia" w:ascii="宋体" w:hAnsi="宋体" w:cs="宋体"/>
          <w:color w:val="auto"/>
          <w:highlight w:val="none"/>
        </w:rPr>
        <w:t>4.</w:t>
      </w:r>
      <w:r>
        <w:rPr>
          <w:rFonts w:hint="eastAsia" w:ascii="宋体" w:hAnsi="宋体" w:cs="宋体"/>
          <w:color w:val="auto"/>
          <w:highlight w:val="none"/>
          <w:lang w:val="en-US" w:eastAsia="zh-CN"/>
        </w:rPr>
        <w:t>最高限价：本项目报价以投标优惠率的方式，投标报价不得超过限价（即优惠率不得小于0%），否则按无效投标处理</w:t>
      </w:r>
      <w:r>
        <w:rPr>
          <w:rFonts w:hint="eastAsia" w:ascii="宋体" w:hAnsi="宋体" w:cs="宋体"/>
          <w:color w:val="auto"/>
          <w:highlight w:val="none"/>
        </w:rPr>
        <w:t xml:space="preserve">。 </w:t>
      </w:r>
    </w:p>
    <w:p w14:paraId="05806B80">
      <w:pPr>
        <w:numPr>
          <w:ilvl w:val="0"/>
          <w:numId w:val="0"/>
        </w:numPr>
        <w:spacing w:line="360" w:lineRule="auto"/>
        <w:ind w:firstLine="420"/>
        <w:rPr>
          <w:rFonts w:hint="eastAsia" w:ascii="宋体" w:hAnsi="宋体" w:eastAsia="宋体" w:cs="宋体"/>
          <w:color w:val="auto"/>
          <w:highlight w:val="none"/>
          <w:u w:val="single"/>
          <w:lang w:val="en-US" w:eastAsia="zh-CN"/>
        </w:rPr>
      </w:pPr>
      <w:r>
        <w:rPr>
          <w:rFonts w:hint="eastAsia" w:ascii="宋体" w:hAnsi="宋体" w:eastAsia="宋体" w:cs="宋体"/>
          <w:color w:val="auto"/>
          <w:sz w:val="21"/>
          <w:szCs w:val="22"/>
          <w:highlight w:val="none"/>
          <w:lang w:val="en-US" w:eastAsia="zh-CN" w:bidi="ar-SA"/>
        </w:rPr>
        <w:t>5.</w:t>
      </w:r>
      <w:r>
        <w:rPr>
          <w:rFonts w:hint="eastAsia" w:ascii="宋体" w:hAnsi="宋体" w:cs="宋体"/>
          <w:color w:val="auto"/>
          <w:highlight w:val="none"/>
        </w:rPr>
        <w:t>采购需求：</w:t>
      </w:r>
      <w:r>
        <w:rPr>
          <w:rFonts w:hint="eastAsia" w:ascii="Times New Roman" w:hAnsi="Times New Roman"/>
          <w:color w:val="auto"/>
          <w:szCs w:val="21"/>
          <w:highlight w:val="none"/>
          <w:lang w:val="en-US" w:eastAsia="zh-CN"/>
        </w:rPr>
        <w:t>具体内容</w:t>
      </w:r>
      <w:r>
        <w:rPr>
          <w:rFonts w:hint="eastAsia" w:ascii="宋体" w:hAnsi="宋体" w:cs="宋体"/>
          <w:color w:val="auto"/>
          <w:highlight w:val="none"/>
        </w:rPr>
        <w:t>见招标文件第四章</w:t>
      </w:r>
      <w:r>
        <w:rPr>
          <w:rFonts w:hint="eastAsia" w:ascii="宋体" w:hAnsi="宋体" w:cs="宋体"/>
          <w:color w:val="auto"/>
          <w:highlight w:val="none"/>
          <w:lang w:eastAsia="zh-CN"/>
        </w:rPr>
        <w:t>。</w:t>
      </w:r>
    </w:p>
    <w:p w14:paraId="7D7BF746">
      <w:pPr>
        <w:spacing w:line="360" w:lineRule="auto"/>
        <w:ind w:firstLine="420"/>
        <w:rPr>
          <w:rFonts w:hint="eastAsia" w:ascii="宋体" w:hAnsi="宋体" w:eastAsia="宋体" w:cs="宋体"/>
          <w:color w:val="auto"/>
          <w:highlight w:val="none"/>
          <w:lang w:eastAsia="zh-CN"/>
        </w:rPr>
      </w:pPr>
      <w:r>
        <w:rPr>
          <w:rFonts w:hint="eastAsia" w:ascii="宋体" w:hAnsi="宋体" w:cs="宋体"/>
          <w:color w:val="auto"/>
          <w:highlight w:val="none"/>
        </w:rPr>
        <w:t>6.合同履行期限：</w:t>
      </w:r>
      <w:r>
        <w:rPr>
          <w:rFonts w:hint="eastAsia" w:hAnsi="宋体" w:cs="仿宋_GB2312"/>
          <w:color w:val="auto"/>
          <w:highlight w:val="none"/>
          <w:lang w:val="en-US" w:eastAsia="zh-CN"/>
        </w:rPr>
        <w:t>本项目特许经营期限为30年</w:t>
      </w:r>
      <w:r>
        <w:rPr>
          <w:rFonts w:hint="eastAsia" w:ascii="宋体" w:hAnsi="宋体" w:cs="宋体"/>
          <w:color w:val="auto"/>
          <w:highlight w:val="none"/>
          <w:lang w:eastAsia="zh-CN"/>
        </w:rPr>
        <w:t>。</w:t>
      </w:r>
    </w:p>
    <w:p w14:paraId="65493AC9">
      <w:pPr>
        <w:spacing w:line="360" w:lineRule="auto"/>
        <w:ind w:firstLine="420"/>
        <w:rPr>
          <w:rFonts w:ascii="宋体" w:hAnsi="宋体" w:cs="宋体"/>
          <w:color w:val="auto"/>
          <w:highlight w:val="none"/>
        </w:rPr>
      </w:pPr>
      <w:r>
        <w:rPr>
          <w:rFonts w:hint="eastAsia" w:ascii="宋体" w:hAnsi="宋体" w:cs="宋体"/>
          <w:color w:val="auto"/>
          <w:highlight w:val="none"/>
        </w:rPr>
        <w:t>7.本项目</w:t>
      </w:r>
      <w:r>
        <w:rPr>
          <w:rFonts w:hint="eastAsia" w:ascii="宋体" w:hAnsi="宋体" w:cs="宋体"/>
          <w:color w:val="auto"/>
          <w:highlight w:val="none"/>
          <w:u w:val="single"/>
        </w:rPr>
        <w:t>接受</w:t>
      </w:r>
      <w:r>
        <w:rPr>
          <w:rFonts w:hint="eastAsia" w:ascii="宋体" w:hAnsi="宋体" w:cs="宋体"/>
          <w:color w:val="auto"/>
          <w:highlight w:val="none"/>
        </w:rPr>
        <w:t>联合体投标。</w:t>
      </w:r>
    </w:p>
    <w:p w14:paraId="16E47948">
      <w:pPr>
        <w:spacing w:line="360" w:lineRule="auto"/>
        <w:ind w:firstLine="420"/>
        <w:rPr>
          <w:color w:val="auto"/>
          <w:highlight w:val="none"/>
        </w:rPr>
      </w:pPr>
      <w:r>
        <w:rPr>
          <w:rFonts w:hint="eastAsia" w:ascii="宋体" w:hAnsi="宋体" w:cs="宋体"/>
          <w:color w:val="auto"/>
          <w:highlight w:val="none"/>
        </w:rPr>
        <w:t>8.本项目</w:t>
      </w:r>
      <w:r>
        <w:rPr>
          <w:rFonts w:hint="eastAsia" w:ascii="宋体" w:hAnsi="宋体" w:cs="宋体"/>
          <w:color w:val="auto"/>
          <w:highlight w:val="none"/>
          <w:u w:val="single"/>
        </w:rPr>
        <w:t>不接受</w:t>
      </w:r>
      <w:r>
        <w:rPr>
          <w:rFonts w:hint="eastAsia" w:ascii="宋体" w:hAnsi="宋体" w:cs="宋体"/>
          <w:color w:val="auto"/>
          <w:highlight w:val="none"/>
        </w:rPr>
        <w:t>进口产品投标。</w:t>
      </w:r>
    </w:p>
    <w:p w14:paraId="523EA1A9">
      <w:pPr>
        <w:tabs>
          <w:tab w:val="left" w:pos="266"/>
        </w:tabs>
        <w:spacing w:line="360" w:lineRule="auto"/>
        <w:rPr>
          <w:rFonts w:ascii="宋体" w:hAnsi="宋体" w:cs="宋体"/>
          <w:b/>
          <w:bCs/>
          <w:color w:val="auto"/>
          <w:highlight w:val="none"/>
        </w:rPr>
      </w:pPr>
      <w:bookmarkStart w:id="8" w:name="_Toc28359003"/>
      <w:bookmarkStart w:id="9" w:name="_Toc35393791"/>
      <w:bookmarkStart w:id="10" w:name="_Toc35393622"/>
      <w:bookmarkStart w:id="11" w:name="_Toc38985264"/>
      <w:bookmarkStart w:id="12" w:name="_Toc28359080"/>
      <w:r>
        <w:rPr>
          <w:rFonts w:hint="eastAsia" w:ascii="宋体" w:hAnsi="宋体" w:cs="宋体"/>
          <w:b/>
          <w:bCs/>
          <w:color w:val="auto"/>
          <w:highlight w:val="none"/>
        </w:rPr>
        <w:t>二、申请人的资格要求：</w:t>
      </w:r>
      <w:bookmarkEnd w:id="8"/>
      <w:bookmarkEnd w:id="9"/>
      <w:bookmarkEnd w:id="10"/>
      <w:bookmarkEnd w:id="11"/>
      <w:bookmarkEnd w:id="12"/>
    </w:p>
    <w:p w14:paraId="3E81E609">
      <w:pPr>
        <w:spacing w:line="360" w:lineRule="auto"/>
        <w:ind w:firstLine="420"/>
        <w:rPr>
          <w:rFonts w:ascii="宋体" w:hAnsi="宋体" w:cs="宋体"/>
          <w:color w:val="auto"/>
          <w:szCs w:val="21"/>
          <w:highlight w:val="none"/>
        </w:rPr>
      </w:pPr>
      <w:bookmarkStart w:id="13" w:name="_Toc35393623"/>
      <w:bookmarkStart w:id="14" w:name="_Toc38985265"/>
      <w:bookmarkStart w:id="15" w:name="_Toc28359004"/>
      <w:bookmarkStart w:id="16" w:name="_Toc35393792"/>
      <w:bookmarkStart w:id="17" w:name="_Toc28359081"/>
      <w:r>
        <w:rPr>
          <w:rFonts w:hint="eastAsia" w:ascii="宋体" w:hAnsi="宋体" w:cs="宋体"/>
          <w:color w:val="auto"/>
          <w:szCs w:val="21"/>
          <w:highlight w:val="none"/>
        </w:rPr>
        <w:t>1.满足《中华人民共和国政府采购法》第二十二条规定，并提供下列材料：</w:t>
      </w:r>
    </w:p>
    <w:p w14:paraId="48CA6E8C">
      <w:pPr>
        <w:spacing w:line="360" w:lineRule="auto"/>
        <w:ind w:firstLine="420"/>
        <w:rPr>
          <w:rFonts w:ascii="宋体" w:hAnsi="宋体" w:cs="宋体"/>
          <w:i/>
          <w:iCs/>
          <w:color w:val="auto"/>
          <w:szCs w:val="21"/>
          <w:highlight w:val="none"/>
          <w:u w:val="single"/>
        </w:rPr>
      </w:pPr>
      <w:r>
        <w:rPr>
          <w:rFonts w:hint="eastAsia" w:ascii="宋体" w:hAnsi="宋体"/>
          <w:i/>
          <w:color w:val="auto"/>
          <w:highlight w:val="none"/>
          <w:u w:val="single"/>
        </w:rPr>
        <w:t>1.1</w:t>
      </w:r>
      <w:r>
        <w:rPr>
          <w:rFonts w:hint="eastAsia" w:ascii="宋体" w:hAnsi="宋体" w:cs="宋体"/>
          <w:i/>
          <w:iCs/>
          <w:color w:val="auto"/>
          <w:szCs w:val="21"/>
          <w:highlight w:val="none"/>
          <w:u w:val="single"/>
        </w:rPr>
        <w:t>法人或者其他组织的营业执照等证明文件，自然人的身份证明（身份证为正、反面）</w:t>
      </w:r>
    </w:p>
    <w:p w14:paraId="17087787">
      <w:pPr>
        <w:spacing w:line="360" w:lineRule="auto"/>
        <w:ind w:firstLine="420"/>
        <w:rPr>
          <w:rFonts w:ascii="宋体" w:hAnsi="宋体" w:cs="宋体"/>
          <w:i/>
          <w:iCs/>
          <w:color w:val="auto"/>
          <w:szCs w:val="21"/>
          <w:highlight w:val="none"/>
          <w:u w:val="single"/>
        </w:rPr>
      </w:pPr>
      <w:r>
        <w:rPr>
          <w:rFonts w:hint="eastAsia" w:ascii="宋体" w:hAnsi="宋体" w:cs="宋体"/>
          <w:i/>
          <w:iCs/>
          <w:color w:val="auto"/>
          <w:szCs w:val="21"/>
          <w:highlight w:val="none"/>
          <w:u w:val="single"/>
        </w:rPr>
        <w:t>1.2依法缴纳职工社会保障资金的证明材料</w:t>
      </w:r>
      <w:r>
        <w:rPr>
          <w:rFonts w:hint="eastAsia" w:ascii="宋体" w:hAnsi="宋体" w:cs="宋体"/>
          <w:b/>
          <w:bCs/>
          <w:i/>
          <w:iCs/>
          <w:color w:val="auto"/>
          <w:szCs w:val="21"/>
          <w:highlight w:val="none"/>
          <w:u w:val="single"/>
        </w:rPr>
        <w:t>（可提供“基本资格条件承诺函”）</w:t>
      </w:r>
    </w:p>
    <w:p w14:paraId="105D6F28">
      <w:pPr>
        <w:spacing w:line="360" w:lineRule="auto"/>
        <w:ind w:firstLine="420"/>
        <w:rPr>
          <w:rFonts w:hint="eastAsia" w:ascii="宋体" w:hAnsi="宋体" w:cs="宋体"/>
          <w:i/>
          <w:iCs/>
          <w:color w:val="auto"/>
          <w:szCs w:val="21"/>
          <w:highlight w:val="none"/>
          <w:u w:val="single"/>
        </w:rPr>
      </w:pPr>
      <w:r>
        <w:rPr>
          <w:rFonts w:hint="eastAsia" w:ascii="宋体" w:hAnsi="宋体" w:cs="宋体"/>
          <w:i/>
          <w:iCs/>
          <w:color w:val="auto"/>
          <w:szCs w:val="21"/>
          <w:highlight w:val="none"/>
          <w:u w:val="single"/>
        </w:rPr>
        <w:t>1.3</w:t>
      </w:r>
      <w:r>
        <w:rPr>
          <w:rFonts w:hint="eastAsia" w:ascii="宋体" w:hAnsi="宋体" w:cs="宋体"/>
          <w:i/>
          <w:iCs/>
          <w:color w:val="auto"/>
          <w:szCs w:val="21"/>
          <w:highlight w:val="none"/>
          <w:u w:val="single"/>
          <w:lang w:eastAsia="zh-CN"/>
        </w:rPr>
        <w:t>供应商</w:t>
      </w:r>
      <w:r>
        <w:rPr>
          <w:rFonts w:hint="eastAsia" w:ascii="宋体" w:hAnsi="宋体" w:cs="宋体"/>
          <w:i/>
          <w:iCs/>
          <w:color w:val="auto"/>
          <w:szCs w:val="21"/>
          <w:highlight w:val="none"/>
          <w:u w:val="single"/>
        </w:rPr>
        <w:t>依法纳税的缴款凭证</w:t>
      </w:r>
      <w:r>
        <w:rPr>
          <w:rFonts w:hint="eastAsia" w:ascii="宋体" w:hAnsi="宋体" w:cs="宋体"/>
          <w:b/>
          <w:bCs/>
          <w:i/>
          <w:iCs/>
          <w:color w:val="auto"/>
          <w:szCs w:val="21"/>
          <w:highlight w:val="none"/>
          <w:u w:val="single"/>
        </w:rPr>
        <w:t>（可提供“基本资格条件承诺函”）</w:t>
      </w:r>
    </w:p>
    <w:p w14:paraId="1965F66A">
      <w:pPr>
        <w:spacing w:line="360" w:lineRule="auto"/>
        <w:ind w:firstLine="420"/>
        <w:rPr>
          <w:rFonts w:ascii="宋体" w:hAnsi="宋体" w:cs="宋体"/>
          <w:b/>
          <w:bCs/>
          <w:i/>
          <w:iCs/>
          <w:color w:val="auto"/>
          <w:szCs w:val="21"/>
          <w:highlight w:val="none"/>
          <w:u w:val="single"/>
        </w:rPr>
      </w:pPr>
      <w:r>
        <w:rPr>
          <w:rFonts w:hint="eastAsia" w:ascii="宋体" w:hAnsi="宋体" w:cs="宋体"/>
          <w:i/>
          <w:iCs/>
          <w:color w:val="auto"/>
          <w:szCs w:val="21"/>
          <w:highlight w:val="none"/>
          <w:u w:val="single"/>
        </w:rPr>
        <w:t>1.4 上一年度的财务报告情况</w:t>
      </w:r>
      <w:r>
        <w:rPr>
          <w:rFonts w:hint="eastAsia" w:ascii="宋体" w:hAnsi="宋体" w:cs="宋体"/>
          <w:i/>
          <w:iCs/>
          <w:color w:val="auto"/>
          <w:szCs w:val="21"/>
          <w:highlight w:val="none"/>
          <w:u w:val="single"/>
          <w:lang w:val="en-US" w:eastAsia="zh-CN"/>
        </w:rPr>
        <w:t>(成立不满一年无需提供)</w:t>
      </w:r>
      <w:r>
        <w:rPr>
          <w:rFonts w:hint="eastAsia" w:ascii="宋体" w:hAnsi="宋体" w:cs="宋体"/>
          <w:b/>
          <w:bCs/>
          <w:i/>
          <w:iCs/>
          <w:color w:val="auto"/>
          <w:szCs w:val="21"/>
          <w:highlight w:val="none"/>
          <w:u w:val="single"/>
        </w:rPr>
        <w:t>（可提供“基本资格条件承诺函”）</w:t>
      </w:r>
    </w:p>
    <w:p w14:paraId="235BE0C7">
      <w:pPr>
        <w:spacing w:line="360" w:lineRule="auto"/>
        <w:ind w:firstLine="420"/>
        <w:rPr>
          <w:color w:val="auto"/>
          <w:highlight w:val="none"/>
        </w:rPr>
      </w:pPr>
      <w:r>
        <w:rPr>
          <w:rFonts w:hint="eastAsia" w:ascii="宋体" w:hAnsi="宋体" w:cs="宋体"/>
          <w:i/>
          <w:iCs/>
          <w:color w:val="auto"/>
          <w:szCs w:val="21"/>
          <w:highlight w:val="none"/>
          <w:u w:val="single"/>
        </w:rPr>
        <w:t>1.5 具备履行合同所必需的设备和专业技术能力的证明材料</w:t>
      </w:r>
      <w:r>
        <w:rPr>
          <w:rFonts w:hint="eastAsia" w:ascii="宋体" w:hAnsi="宋体" w:cs="宋体"/>
          <w:b/>
          <w:bCs/>
          <w:i/>
          <w:iCs/>
          <w:color w:val="auto"/>
          <w:szCs w:val="21"/>
          <w:highlight w:val="none"/>
          <w:u w:val="single"/>
        </w:rPr>
        <w:t>（可提供“基本资格条件承诺函”）</w:t>
      </w:r>
    </w:p>
    <w:p w14:paraId="20963B89">
      <w:pPr>
        <w:spacing w:line="360" w:lineRule="auto"/>
        <w:ind w:firstLine="420"/>
        <w:rPr>
          <w:rFonts w:ascii="宋体" w:hAnsi="宋体"/>
          <w:b/>
          <w:bCs/>
          <w:i/>
          <w:color w:val="auto"/>
          <w:highlight w:val="none"/>
          <w:u w:val="single"/>
        </w:rPr>
      </w:pPr>
      <w:r>
        <w:rPr>
          <w:rFonts w:hint="eastAsia" w:ascii="宋体" w:hAnsi="宋体" w:cs="宋体"/>
          <w:i/>
          <w:iCs/>
          <w:color w:val="auto"/>
          <w:szCs w:val="21"/>
          <w:highlight w:val="none"/>
          <w:u w:val="single"/>
        </w:rPr>
        <w:t xml:space="preserve">1.6 </w:t>
      </w:r>
      <w:r>
        <w:rPr>
          <w:rFonts w:hint="eastAsia" w:ascii="宋体" w:hAnsi="宋体"/>
          <w:i/>
          <w:color w:val="auto"/>
          <w:highlight w:val="none"/>
          <w:u w:val="single"/>
        </w:rPr>
        <w:t>投标人参加本次政府采购活动前3年内在经营活动中没有重大违法记录的书面声明</w:t>
      </w:r>
      <w:r>
        <w:rPr>
          <w:rFonts w:hint="eastAsia" w:ascii="宋体" w:hAnsi="宋体" w:cs="宋体"/>
          <w:b/>
          <w:bCs/>
          <w:i/>
          <w:iCs/>
          <w:color w:val="auto"/>
          <w:szCs w:val="21"/>
          <w:highlight w:val="none"/>
          <w:u w:val="single"/>
        </w:rPr>
        <w:t>（可提供“基本资格条件承诺函”）</w:t>
      </w:r>
    </w:p>
    <w:p w14:paraId="1899DC65">
      <w:pPr>
        <w:spacing w:line="360" w:lineRule="auto"/>
        <w:ind w:firstLine="420"/>
        <w:rPr>
          <w:rFonts w:ascii="宋体" w:hAnsi="宋体" w:cs="宋体"/>
          <w:b/>
          <w:bCs/>
          <w:i/>
          <w:iCs/>
          <w:color w:val="auto"/>
          <w:szCs w:val="21"/>
          <w:highlight w:val="none"/>
          <w:u w:val="single"/>
        </w:rPr>
      </w:pPr>
      <w:r>
        <w:rPr>
          <w:rFonts w:hint="eastAsia" w:ascii="宋体" w:hAnsi="宋体"/>
          <w:i/>
          <w:color w:val="auto"/>
          <w:highlight w:val="none"/>
          <w:u w:val="single"/>
        </w:rPr>
        <w:t>1.7</w:t>
      </w:r>
      <w:r>
        <w:rPr>
          <w:rFonts w:hint="eastAsia" w:ascii="宋体" w:hAnsi="宋体" w:cs="宋体"/>
          <w:i/>
          <w:iCs/>
          <w:color w:val="auto"/>
          <w:szCs w:val="21"/>
          <w:highlight w:val="none"/>
          <w:u w:val="single"/>
        </w:rPr>
        <w:t>未被“信用中国”网站、“中国政府采购网”列入失信被执行人、重大税收违法案件当事人名单、政府采购严重违法失信行为记录名单</w:t>
      </w:r>
      <w:r>
        <w:rPr>
          <w:rFonts w:hint="eastAsia" w:ascii="宋体" w:hAnsi="宋体" w:cs="宋体"/>
          <w:b/>
          <w:bCs/>
          <w:i/>
          <w:iCs/>
          <w:color w:val="auto"/>
          <w:szCs w:val="21"/>
          <w:highlight w:val="none"/>
          <w:u w:val="single"/>
        </w:rPr>
        <w:t>（可提供“基本资格条件承诺函”）</w:t>
      </w:r>
    </w:p>
    <w:p w14:paraId="4AFBE917">
      <w:pPr>
        <w:spacing w:line="360" w:lineRule="auto"/>
        <w:ind w:firstLine="420"/>
        <w:rPr>
          <w:color w:val="auto"/>
          <w:highlight w:val="none"/>
        </w:rPr>
      </w:pPr>
      <w:r>
        <w:rPr>
          <w:rFonts w:hint="eastAsia" w:ascii="宋体" w:hAnsi="宋体" w:cs="宋体"/>
          <w:i/>
          <w:iCs/>
          <w:color w:val="auto"/>
          <w:szCs w:val="21"/>
          <w:highlight w:val="none"/>
          <w:u w:val="single"/>
        </w:rPr>
        <w:t>1.8</w:t>
      </w:r>
      <w:r>
        <w:rPr>
          <w:rFonts w:hint="eastAsia" w:ascii="宋体" w:hAnsi="宋体"/>
          <w:bCs/>
          <w:i/>
          <w:color w:val="auto"/>
          <w:highlight w:val="none"/>
          <w:u w:val="single"/>
        </w:rPr>
        <w:t>供应商信用承诺函</w:t>
      </w:r>
    </w:p>
    <w:p w14:paraId="65ACA153">
      <w:pPr>
        <w:pStyle w:val="3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jc w:val="both"/>
      </w:pPr>
      <w:r>
        <w:rPr>
          <w:rFonts w:hint="eastAsia" w:ascii="宋体" w:hAnsi="宋体" w:eastAsia="宋体" w:cs="宋体"/>
          <w:i/>
          <w:iCs/>
          <w:color w:val="000000"/>
          <w:sz w:val="21"/>
          <w:szCs w:val="21"/>
          <w:u w:val="single"/>
        </w:rPr>
        <w:t>1.9投标函</w:t>
      </w:r>
    </w:p>
    <w:p w14:paraId="0882DA48">
      <w:pPr>
        <w:pStyle w:val="3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jc w:val="both"/>
      </w:pPr>
      <w:r>
        <w:rPr>
          <w:rFonts w:hint="eastAsia" w:ascii="宋体" w:hAnsi="宋体" w:eastAsia="宋体" w:cs="宋体"/>
          <w:i/>
          <w:iCs/>
          <w:color w:val="000000"/>
          <w:sz w:val="21"/>
          <w:szCs w:val="21"/>
          <w:u w:val="single"/>
        </w:rPr>
        <w:t>1.10法人授权书</w:t>
      </w:r>
    </w:p>
    <w:p w14:paraId="11392927">
      <w:pPr>
        <w:spacing w:line="360" w:lineRule="auto"/>
        <w:ind w:firstLine="420"/>
        <w:rPr>
          <w:rFonts w:hint="default" w:ascii="宋体" w:hAnsi="宋体"/>
          <w:bCs/>
          <w:i/>
          <w:color w:val="auto"/>
          <w:highlight w:val="none"/>
          <w:u w:val="single"/>
          <w:lang w:val="en-US" w:eastAsia="zh-CN"/>
        </w:rPr>
      </w:pPr>
      <w:r>
        <w:rPr>
          <w:rFonts w:hint="eastAsia" w:ascii="宋体" w:hAnsi="宋体" w:eastAsia="宋体" w:cs="宋体"/>
          <w:i/>
          <w:iCs/>
          <w:color w:val="000000"/>
          <w:sz w:val="21"/>
          <w:szCs w:val="21"/>
          <w:u w:val="single"/>
        </w:rPr>
        <w:t>1.11联合体协议书（如有）</w:t>
      </w:r>
      <w:bookmarkStart w:id="686" w:name="_GoBack"/>
      <w:bookmarkEnd w:id="686"/>
    </w:p>
    <w:p w14:paraId="34229607">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2.落实政府采购政策需满足的资格要求：</w:t>
      </w:r>
      <w:r>
        <w:rPr>
          <w:rFonts w:hint="eastAsia" w:ascii="宋体" w:hAnsi="宋体" w:cs="宋体"/>
          <w:b w:val="0"/>
          <w:bCs/>
          <w:i/>
          <w:iCs/>
          <w:color w:val="auto"/>
          <w:sz w:val="21"/>
          <w:szCs w:val="21"/>
          <w:highlight w:val="none"/>
          <w:u w:val="single"/>
          <w:lang w:val="en-US" w:eastAsia="zh-CN" w:bidi="ar-SA"/>
        </w:rPr>
        <w:t>无</w:t>
      </w:r>
    </w:p>
    <w:p w14:paraId="69E69CE9">
      <w:pPr>
        <w:spacing w:line="360" w:lineRule="auto"/>
        <w:ind w:firstLine="420"/>
        <w:rPr>
          <w:rFonts w:hint="default" w:ascii="宋体" w:hAnsi="宋体" w:eastAsia="宋体" w:cs="宋体"/>
          <w:i/>
          <w:color w:val="auto"/>
          <w:szCs w:val="21"/>
          <w:highlight w:val="none"/>
          <w:u w:val="single"/>
          <w:lang w:val="en-US" w:eastAsia="zh-CN"/>
        </w:rPr>
      </w:pPr>
      <w:r>
        <w:rPr>
          <w:rFonts w:hint="eastAsia" w:ascii="宋体" w:hAnsi="宋体" w:cs="宋体"/>
          <w:color w:val="auto"/>
          <w:szCs w:val="21"/>
          <w:highlight w:val="none"/>
        </w:rPr>
        <w:t>3.本项目的特定资格要求：</w:t>
      </w:r>
      <w:r>
        <w:rPr>
          <w:rFonts w:hint="eastAsia" w:ascii="宋体" w:hAnsi="宋体" w:cs="宋体"/>
          <w:b w:val="0"/>
          <w:bCs/>
          <w:i/>
          <w:iCs/>
          <w:color w:val="auto"/>
          <w:sz w:val="21"/>
          <w:szCs w:val="21"/>
          <w:highlight w:val="none"/>
          <w:u w:val="single"/>
          <w:lang w:val="en-US" w:eastAsia="zh-CN" w:bidi="ar-SA"/>
        </w:rPr>
        <w:t>无</w:t>
      </w:r>
      <w:r>
        <w:rPr>
          <w:rFonts w:hint="eastAsia" w:ascii="宋体" w:hAnsi="宋体" w:eastAsia="宋体" w:cs="宋体"/>
          <w:b w:val="0"/>
          <w:bCs/>
          <w:i/>
          <w:iCs/>
          <w:color w:val="auto"/>
          <w:sz w:val="21"/>
          <w:szCs w:val="21"/>
          <w:highlight w:val="none"/>
          <w:u w:val="single"/>
          <w:lang w:val="en-US" w:eastAsia="zh-CN" w:bidi="ar-SA"/>
        </w:rPr>
        <w:t>。</w:t>
      </w:r>
    </w:p>
    <w:p w14:paraId="38490242">
      <w:pPr>
        <w:tabs>
          <w:tab w:val="left" w:pos="266"/>
        </w:tabs>
        <w:spacing w:line="360" w:lineRule="auto"/>
        <w:rPr>
          <w:rFonts w:ascii="宋体" w:hAnsi="宋体" w:cs="宋体"/>
          <w:b/>
          <w:bCs/>
          <w:color w:val="auto"/>
          <w:highlight w:val="none"/>
        </w:rPr>
      </w:pPr>
      <w:r>
        <w:rPr>
          <w:rFonts w:hint="eastAsia" w:ascii="宋体" w:hAnsi="宋体" w:cs="宋体"/>
          <w:b/>
          <w:bCs/>
          <w:color w:val="auto"/>
          <w:highlight w:val="none"/>
        </w:rPr>
        <w:t>三、获取招标文件</w:t>
      </w:r>
      <w:bookmarkEnd w:id="13"/>
      <w:bookmarkEnd w:id="14"/>
      <w:bookmarkEnd w:id="15"/>
      <w:bookmarkEnd w:id="16"/>
      <w:bookmarkEnd w:id="17"/>
    </w:p>
    <w:p w14:paraId="68705863">
      <w:pPr>
        <w:pBdr>
          <w:top w:val="none" w:color="000000" w:sz="0" w:space="0"/>
          <w:left w:val="none" w:color="000000" w:sz="0" w:space="0"/>
          <w:bottom w:val="none" w:color="000000" w:sz="0" w:space="0"/>
          <w:right w:val="none" w:color="000000" w:sz="0" w:space="0"/>
        </w:pBdr>
        <w:spacing w:line="360" w:lineRule="auto"/>
        <w:ind w:firstLine="600"/>
        <w:rPr>
          <w:rFonts w:hint="eastAsia" w:ascii="宋体" w:hAnsi="宋体" w:eastAsia="宋体" w:cs="宋体"/>
          <w:color w:val="auto"/>
          <w:sz w:val="21"/>
          <w:szCs w:val="21"/>
          <w:highlight w:val="none"/>
        </w:rPr>
      </w:pPr>
      <w:bookmarkStart w:id="18" w:name="_Toc28359082"/>
      <w:bookmarkStart w:id="19" w:name="_Toc28359005"/>
      <w:bookmarkStart w:id="20" w:name="_Toc38985266"/>
      <w:bookmarkStart w:id="21" w:name="_Toc35393793"/>
      <w:bookmarkStart w:id="22" w:name="_Toc35393624"/>
      <w:r>
        <w:rPr>
          <w:rFonts w:hint="eastAsia" w:ascii="宋体" w:hAnsi="宋体" w:eastAsia="宋体" w:cs="宋体"/>
          <w:color w:val="auto"/>
          <w:sz w:val="21"/>
          <w:szCs w:val="21"/>
          <w:highlight w:val="none"/>
        </w:rPr>
        <w:t>时间：自招标文件公告发布之日起5个工作日。5个工作日后仍可下载招标文件，但不作为供应商权益受到损害的证明材料和依据。</w:t>
      </w:r>
    </w:p>
    <w:p w14:paraId="7016B9C7">
      <w:pPr>
        <w:pBdr>
          <w:top w:val="none" w:color="000000" w:sz="0" w:space="0"/>
          <w:left w:val="none" w:color="000000" w:sz="0" w:space="0"/>
          <w:bottom w:val="none" w:color="000000" w:sz="0" w:space="0"/>
          <w:right w:val="none" w:color="000000" w:sz="0" w:space="0"/>
        </w:pBdr>
        <w:spacing w:line="360" w:lineRule="auto"/>
        <w:ind w:firstLine="6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地点：“扬州市政府采购网”、“江苏政府采购网”、“中国政府采购网”</w:t>
      </w:r>
    </w:p>
    <w:p w14:paraId="163552C0">
      <w:pPr>
        <w:pBdr>
          <w:top w:val="none" w:color="000000" w:sz="0" w:space="0"/>
          <w:left w:val="none" w:color="000000" w:sz="0" w:space="0"/>
          <w:bottom w:val="none" w:color="000000" w:sz="0" w:space="0"/>
          <w:right w:val="none" w:color="000000" w:sz="0" w:space="0"/>
        </w:pBdr>
        <w:spacing w:line="360" w:lineRule="auto"/>
        <w:ind w:firstLine="6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方式：本项目采用网上注册登记方式 </w:t>
      </w:r>
    </w:p>
    <w:p w14:paraId="342382DB">
      <w:pPr>
        <w:pBdr>
          <w:top w:val="none" w:color="000000" w:sz="0" w:space="0"/>
          <w:left w:val="none" w:color="000000" w:sz="0" w:space="0"/>
          <w:bottom w:val="none" w:color="000000" w:sz="0" w:space="0"/>
          <w:right w:val="none" w:color="000000" w:sz="0" w:space="0"/>
        </w:pBdr>
        <w:spacing w:line="360" w:lineRule="auto"/>
        <w:ind w:firstLine="6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售价：0.00元 </w:t>
      </w:r>
    </w:p>
    <w:p w14:paraId="2ADB20B6">
      <w:pPr>
        <w:tabs>
          <w:tab w:val="left" w:pos="266"/>
        </w:tabs>
        <w:spacing w:line="360" w:lineRule="auto"/>
        <w:rPr>
          <w:rFonts w:ascii="宋体" w:hAnsi="宋体" w:cs="宋体"/>
          <w:b/>
          <w:bCs/>
          <w:color w:val="auto"/>
          <w:highlight w:val="none"/>
        </w:rPr>
      </w:pPr>
      <w:r>
        <w:rPr>
          <w:rFonts w:hint="eastAsia" w:ascii="宋体" w:hAnsi="宋体" w:cs="宋体"/>
          <w:b/>
          <w:bCs/>
          <w:color w:val="auto"/>
          <w:highlight w:val="none"/>
        </w:rPr>
        <w:t>四、提交投标文件</w:t>
      </w:r>
      <w:bookmarkEnd w:id="18"/>
      <w:bookmarkEnd w:id="19"/>
      <w:r>
        <w:rPr>
          <w:rFonts w:hint="eastAsia" w:ascii="宋体" w:hAnsi="宋体" w:cs="宋体"/>
          <w:b/>
          <w:bCs/>
          <w:color w:val="auto"/>
          <w:highlight w:val="none"/>
        </w:rPr>
        <w:t>截止时间、开标时间和地点</w:t>
      </w:r>
      <w:bookmarkEnd w:id="20"/>
      <w:bookmarkEnd w:id="21"/>
      <w:bookmarkEnd w:id="22"/>
    </w:p>
    <w:p w14:paraId="359CB8DB">
      <w:pPr>
        <w:spacing w:line="360" w:lineRule="auto"/>
        <w:ind w:firstLine="420"/>
        <w:rPr>
          <w:rFonts w:ascii="宋体" w:hAnsi="宋体" w:cs="宋体"/>
          <w:bCs/>
          <w:color w:val="auto"/>
          <w:szCs w:val="21"/>
          <w:highlight w:val="none"/>
          <w:u w:val="single"/>
        </w:rPr>
      </w:pPr>
      <w:r>
        <w:rPr>
          <w:rFonts w:hint="eastAsia" w:ascii="宋体" w:hAnsi="宋体" w:cs="宋体"/>
          <w:color w:val="auto"/>
          <w:highlight w:val="none"/>
        </w:rPr>
        <w:t>1.时间：</w:t>
      </w:r>
      <w:r>
        <w:rPr>
          <w:rFonts w:hint="eastAsia" w:ascii="宋体" w:hAnsi="宋体" w:cs="宋体"/>
          <w:bCs/>
          <w:color w:val="auto"/>
          <w:highlight w:val="none"/>
          <w:u w:val="single"/>
          <w:lang w:eastAsia="zh-CN"/>
        </w:rPr>
        <w:t>2026年</w:t>
      </w:r>
      <w:r>
        <w:rPr>
          <w:rFonts w:hint="eastAsia" w:ascii="宋体" w:hAnsi="宋体" w:cs="宋体"/>
          <w:bCs/>
          <w:color w:val="auto"/>
          <w:highlight w:val="none"/>
          <w:u w:val="single"/>
          <w:lang w:val="en-US" w:eastAsia="zh-CN"/>
        </w:rPr>
        <w:t>10</w:t>
      </w:r>
      <w:r>
        <w:rPr>
          <w:rFonts w:hint="eastAsia" w:ascii="宋体" w:hAnsi="宋体" w:cs="宋体"/>
          <w:bCs/>
          <w:color w:val="auto"/>
          <w:highlight w:val="none"/>
          <w:u w:val="single"/>
          <w:lang w:eastAsia="zh-CN"/>
        </w:rPr>
        <w:t>月</w:t>
      </w:r>
      <w:r>
        <w:rPr>
          <w:rFonts w:hint="eastAsia" w:ascii="宋体" w:hAnsi="宋体" w:cs="宋体"/>
          <w:bCs/>
          <w:color w:val="auto"/>
          <w:highlight w:val="none"/>
          <w:u w:val="single"/>
          <w:lang w:val="en-US" w:eastAsia="zh-CN"/>
        </w:rPr>
        <w:t>28</w:t>
      </w:r>
      <w:r>
        <w:rPr>
          <w:rFonts w:hint="eastAsia" w:ascii="宋体" w:hAnsi="宋体" w:cs="宋体"/>
          <w:bCs/>
          <w:color w:val="auto"/>
          <w:highlight w:val="none"/>
          <w:u w:val="single"/>
          <w:lang w:eastAsia="zh-CN"/>
        </w:rPr>
        <w:t>日</w:t>
      </w:r>
      <w:r>
        <w:rPr>
          <w:rFonts w:ascii="宋体" w:hAnsi="宋体" w:cs="宋体"/>
          <w:bCs/>
          <w:color w:val="auto"/>
          <w:highlight w:val="none"/>
          <w:u w:val="single"/>
        </w:rPr>
        <w:t xml:space="preserve"> </w:t>
      </w:r>
      <w:r>
        <w:rPr>
          <w:rFonts w:hint="eastAsia" w:ascii="宋体" w:hAnsi="宋体" w:cs="宋体"/>
          <w:bCs/>
          <w:color w:val="auto"/>
          <w:highlight w:val="none"/>
          <w:u w:val="single"/>
          <w:lang w:val="en-US" w:eastAsia="zh-CN"/>
        </w:rPr>
        <w:t>9</w:t>
      </w:r>
      <w:r>
        <w:rPr>
          <w:rFonts w:hint="eastAsia" w:ascii="宋体" w:hAnsi="宋体" w:cs="宋体"/>
          <w:bCs/>
          <w:color w:val="auto"/>
          <w:highlight w:val="none"/>
          <w:u w:val="single"/>
        </w:rPr>
        <w:t>点</w:t>
      </w:r>
      <w:r>
        <w:rPr>
          <w:rFonts w:hint="eastAsia" w:ascii="宋体" w:hAnsi="宋体" w:cs="宋体"/>
          <w:bCs/>
          <w:color w:val="auto"/>
          <w:highlight w:val="none"/>
          <w:u w:val="single"/>
          <w:lang w:val="en-US" w:eastAsia="zh-CN"/>
        </w:rPr>
        <w:t>30</w:t>
      </w:r>
      <w:r>
        <w:rPr>
          <w:rFonts w:hint="eastAsia" w:ascii="宋体" w:hAnsi="宋体" w:cs="宋体"/>
          <w:bCs/>
          <w:color w:val="auto"/>
          <w:highlight w:val="none"/>
          <w:u w:val="single"/>
        </w:rPr>
        <w:t>分</w:t>
      </w:r>
      <w:r>
        <w:rPr>
          <w:rFonts w:hint="eastAsia" w:ascii="宋体" w:hAnsi="宋体"/>
          <w:color w:val="auto"/>
          <w:highlight w:val="none"/>
        </w:rPr>
        <w:t>（北京时间）</w:t>
      </w:r>
    </w:p>
    <w:p w14:paraId="3A6B104B">
      <w:pPr>
        <w:spacing w:line="360" w:lineRule="auto"/>
        <w:ind w:firstLine="420"/>
        <w:rPr>
          <w:rFonts w:ascii="宋体" w:hAnsi="宋体" w:cs="宋体"/>
          <w:bCs/>
          <w:color w:val="auto"/>
          <w:highlight w:val="none"/>
          <w:u w:val="single"/>
        </w:rPr>
      </w:pPr>
      <w:r>
        <w:rPr>
          <w:rFonts w:hint="eastAsia" w:ascii="宋体" w:hAnsi="宋体" w:cs="宋体"/>
          <w:color w:val="auto"/>
          <w:highlight w:val="none"/>
        </w:rPr>
        <w:t>2.开标地点：</w:t>
      </w:r>
      <w:r>
        <w:rPr>
          <w:rFonts w:hint="eastAsia" w:ascii="宋体" w:hAnsi="宋体"/>
          <w:b/>
          <w:color w:val="auto"/>
          <w:szCs w:val="21"/>
          <w:highlight w:val="none"/>
        </w:rPr>
        <w:t>“苏采云”系统（网址：</w:t>
      </w:r>
      <w:r>
        <w:rPr>
          <w:rFonts w:hint="eastAsia" w:ascii="宋体" w:hAnsi="宋体"/>
          <w:b/>
          <w:color w:val="auto"/>
          <w:szCs w:val="21"/>
          <w:highlight w:val="none"/>
        </w:rPr>
        <w:fldChar w:fldCharType="begin"/>
      </w:r>
      <w:r>
        <w:rPr>
          <w:rFonts w:hint="eastAsia" w:ascii="宋体" w:hAnsi="宋体"/>
          <w:b/>
          <w:color w:val="auto"/>
          <w:szCs w:val="21"/>
          <w:highlight w:val="none"/>
        </w:rPr>
        <w:instrText xml:space="preserve">HYPERLINK "http://jszfcg.jsczt.cn/）"</w:instrText>
      </w:r>
      <w:r>
        <w:rPr>
          <w:rFonts w:hint="eastAsia" w:ascii="宋体" w:hAnsi="宋体"/>
          <w:b/>
          <w:color w:val="auto"/>
          <w:szCs w:val="21"/>
          <w:highlight w:val="none"/>
        </w:rPr>
        <w:fldChar w:fldCharType="separate"/>
      </w:r>
      <w:r>
        <w:rPr>
          <w:rFonts w:hint="eastAsia" w:ascii="宋体" w:hAnsi="宋体"/>
          <w:b/>
          <w:color w:val="auto"/>
          <w:szCs w:val="21"/>
          <w:highlight w:val="none"/>
        </w:rPr>
        <w:fldChar w:fldCharType="begin"/>
      </w:r>
      <w:r>
        <w:rPr>
          <w:rFonts w:hint="eastAsia" w:ascii="宋体" w:hAnsi="宋体"/>
          <w:b/>
          <w:color w:val="auto"/>
          <w:szCs w:val="21"/>
          <w:highlight w:val="none"/>
        </w:rPr>
        <w:instrText xml:space="preserve"> HYPERLINK "https://jszfcg.jsczt.cn/" \t "https://jszfcg.jsczt.cn/jszc/_blank" </w:instrText>
      </w:r>
      <w:r>
        <w:rPr>
          <w:rFonts w:hint="eastAsia" w:ascii="宋体" w:hAnsi="宋体"/>
          <w:b/>
          <w:color w:val="auto"/>
          <w:szCs w:val="21"/>
          <w:highlight w:val="none"/>
        </w:rPr>
        <w:fldChar w:fldCharType="separate"/>
      </w:r>
      <w:r>
        <w:rPr>
          <w:rFonts w:hint="eastAsia" w:ascii="宋体" w:hAnsi="宋体"/>
          <w:b/>
          <w:color w:val="auto"/>
          <w:szCs w:val="21"/>
          <w:highlight w:val="none"/>
        </w:rPr>
        <w:t>https://jszfcg.jsczt.cn</w:t>
      </w:r>
      <w:r>
        <w:rPr>
          <w:rFonts w:hint="eastAsia" w:ascii="宋体" w:hAnsi="宋体"/>
          <w:b/>
          <w:color w:val="auto"/>
          <w:szCs w:val="21"/>
          <w:highlight w:val="none"/>
        </w:rPr>
        <w:fldChar w:fldCharType="end"/>
      </w:r>
      <w:r>
        <w:rPr>
          <w:rFonts w:hint="eastAsia" w:ascii="宋体" w:hAnsi="宋体"/>
          <w:b/>
          <w:color w:val="auto"/>
          <w:szCs w:val="21"/>
          <w:highlight w:val="none"/>
        </w:rPr>
        <w:t>）“开标大厅”</w:t>
      </w:r>
      <w:r>
        <w:rPr>
          <w:rFonts w:hint="eastAsia" w:ascii="宋体" w:hAnsi="宋体"/>
          <w:b/>
          <w:color w:val="auto"/>
          <w:szCs w:val="21"/>
          <w:highlight w:val="none"/>
        </w:rPr>
        <w:fldChar w:fldCharType="end"/>
      </w:r>
    </w:p>
    <w:p w14:paraId="7385D6B4">
      <w:pPr>
        <w:tabs>
          <w:tab w:val="left" w:pos="266"/>
        </w:tabs>
        <w:spacing w:line="360" w:lineRule="auto"/>
        <w:rPr>
          <w:rFonts w:ascii="宋体" w:hAnsi="宋体" w:cs="宋体"/>
          <w:b/>
          <w:bCs/>
          <w:color w:val="auto"/>
          <w:highlight w:val="none"/>
        </w:rPr>
      </w:pPr>
      <w:bookmarkStart w:id="23" w:name="_Toc28359007"/>
      <w:bookmarkStart w:id="24" w:name="_Toc28359084"/>
      <w:bookmarkStart w:id="25" w:name="_Toc38985267"/>
      <w:bookmarkStart w:id="26" w:name="_Toc35393794"/>
      <w:bookmarkStart w:id="27" w:name="_Toc35393625"/>
      <w:r>
        <w:rPr>
          <w:rFonts w:hint="eastAsia" w:ascii="宋体" w:hAnsi="宋体" w:cs="宋体"/>
          <w:b/>
          <w:bCs/>
          <w:color w:val="auto"/>
          <w:highlight w:val="none"/>
        </w:rPr>
        <w:t>五、公告期限</w:t>
      </w:r>
      <w:bookmarkEnd w:id="23"/>
      <w:bookmarkEnd w:id="24"/>
      <w:bookmarkEnd w:id="25"/>
      <w:bookmarkEnd w:id="26"/>
      <w:bookmarkEnd w:id="27"/>
    </w:p>
    <w:p w14:paraId="2DB8FF5F">
      <w:pPr>
        <w:spacing w:line="360" w:lineRule="auto"/>
        <w:ind w:firstLine="420"/>
        <w:rPr>
          <w:rFonts w:ascii="宋体" w:hAnsi="宋体" w:cs="宋体"/>
          <w:color w:val="auto"/>
          <w:highlight w:val="none"/>
        </w:rPr>
      </w:pPr>
      <w:bookmarkStart w:id="28" w:name="_Toc35393626"/>
      <w:bookmarkStart w:id="29" w:name="_Toc35393795"/>
      <w:bookmarkStart w:id="30" w:name="_Toc38985268"/>
      <w:r>
        <w:rPr>
          <w:rFonts w:hint="eastAsia" w:ascii="宋体" w:hAnsi="宋体" w:cs="宋体"/>
          <w:color w:val="auto"/>
          <w:highlight w:val="none"/>
        </w:rPr>
        <w:t>自本公告发布之日起5个工作日。</w:t>
      </w:r>
    </w:p>
    <w:p w14:paraId="44759D7E">
      <w:pPr>
        <w:numPr>
          <w:ilvl w:val="0"/>
          <w:numId w:val="0"/>
        </w:numPr>
        <w:tabs>
          <w:tab w:val="left" w:pos="266"/>
        </w:tabs>
        <w:spacing w:line="360" w:lineRule="auto"/>
        <w:rPr>
          <w:color w:val="auto"/>
          <w:highlight w:val="none"/>
        </w:rPr>
      </w:pPr>
      <w:r>
        <w:rPr>
          <w:rFonts w:hint="eastAsia" w:ascii="Calibri" w:hAnsi="Calibri" w:eastAsia="宋体" w:cs="Times New Roman"/>
          <w:b/>
          <w:bCs/>
          <w:color w:val="auto"/>
          <w:sz w:val="21"/>
          <w:szCs w:val="22"/>
          <w:highlight w:val="none"/>
          <w:lang w:val="en-US" w:eastAsia="zh-CN" w:bidi="ar-SA"/>
        </w:rPr>
        <w:t>六、</w:t>
      </w:r>
      <w:r>
        <w:rPr>
          <w:rFonts w:hint="eastAsia" w:ascii="宋体" w:hAnsi="宋体" w:cs="宋体"/>
          <w:b/>
          <w:bCs/>
          <w:color w:val="auto"/>
          <w:highlight w:val="none"/>
        </w:rPr>
        <w:t>其他补充事宜</w:t>
      </w:r>
      <w:bookmarkEnd w:id="28"/>
      <w:bookmarkEnd w:id="29"/>
      <w:bookmarkEnd w:id="30"/>
    </w:p>
    <w:p w14:paraId="31EE4025">
      <w:pPr>
        <w:spacing w:line="360" w:lineRule="auto"/>
        <w:ind w:firstLine="420"/>
        <w:rPr>
          <w:rFonts w:hint="eastAsia" w:ascii="宋体" w:hAnsi="宋体"/>
          <w:b/>
          <w:bCs/>
          <w:color w:val="auto"/>
          <w:highlight w:val="none"/>
        </w:rPr>
      </w:pPr>
      <w:r>
        <w:rPr>
          <w:rFonts w:hint="eastAsia" w:ascii="宋体" w:hAnsi="宋体"/>
          <w:b/>
          <w:bCs/>
          <w:color w:val="auto"/>
          <w:highlight w:val="none"/>
        </w:rPr>
        <w:t>（一）获取采购文件</w:t>
      </w:r>
    </w:p>
    <w:p w14:paraId="4785BA84">
      <w:pPr>
        <w:spacing w:line="360" w:lineRule="auto"/>
        <w:ind w:firstLine="420"/>
        <w:rPr>
          <w:rFonts w:hint="eastAsia" w:ascii="宋体" w:hAnsi="宋体"/>
          <w:b/>
          <w:bCs/>
          <w:color w:val="auto"/>
          <w:highlight w:val="none"/>
        </w:rPr>
      </w:pPr>
      <w:r>
        <w:rPr>
          <w:rFonts w:hint="eastAsia" w:ascii="宋体" w:hAnsi="宋体"/>
          <w:b/>
          <w:bCs/>
          <w:color w:val="auto"/>
          <w:highlight w:val="none"/>
        </w:rPr>
        <w:t>1.时间：自招标文件公告发布之日起5个工作日。5个工作日后仍可下载招标文件，但不作为供应商权益受到损害的证明材料和依据。</w:t>
      </w:r>
    </w:p>
    <w:p w14:paraId="112A929A">
      <w:pPr>
        <w:spacing w:line="360" w:lineRule="auto"/>
        <w:ind w:firstLine="420"/>
        <w:rPr>
          <w:rFonts w:hint="eastAsia" w:ascii="宋体" w:hAnsi="宋体"/>
          <w:b/>
          <w:bCs/>
          <w:color w:val="auto"/>
          <w:highlight w:val="none"/>
        </w:rPr>
      </w:pPr>
      <w:r>
        <w:rPr>
          <w:rFonts w:hint="eastAsia" w:ascii="宋体" w:hAnsi="宋体"/>
          <w:b/>
          <w:bCs/>
          <w:color w:val="auto"/>
          <w:highlight w:val="none"/>
        </w:rPr>
        <w:t>2.获取方式：本项目采用网上注册登记方式。</w:t>
      </w:r>
    </w:p>
    <w:p w14:paraId="18487F4B">
      <w:pPr>
        <w:spacing w:line="360" w:lineRule="auto"/>
        <w:ind w:firstLine="420"/>
        <w:rPr>
          <w:rFonts w:hint="eastAsia" w:ascii="宋体" w:hAnsi="宋体"/>
          <w:b/>
          <w:bCs/>
          <w:color w:val="auto"/>
          <w:highlight w:val="none"/>
        </w:rPr>
      </w:pPr>
      <w:r>
        <w:rPr>
          <w:rFonts w:hint="eastAsia" w:ascii="宋体" w:hAnsi="宋体"/>
          <w:b/>
          <w:bCs/>
          <w:color w:val="auto"/>
          <w:highlight w:val="none"/>
        </w:rPr>
        <w:t>3.潜在供应商访问政府采购管理交易系统（苏采云）的网络地址和方法：</w:t>
      </w:r>
    </w:p>
    <w:p w14:paraId="4B9162EF">
      <w:pPr>
        <w:spacing w:line="360" w:lineRule="auto"/>
        <w:ind w:firstLine="420"/>
        <w:rPr>
          <w:rFonts w:hint="eastAsia" w:ascii="宋体" w:hAnsi="宋体"/>
          <w:b/>
          <w:bCs/>
          <w:color w:val="auto"/>
          <w:highlight w:val="none"/>
        </w:rPr>
      </w:pPr>
      <w:r>
        <w:rPr>
          <w:rFonts w:hint="eastAsia" w:ascii="宋体" w:hAnsi="宋体"/>
          <w:b/>
          <w:bCs/>
          <w:color w:val="auto"/>
          <w:highlight w:val="none"/>
        </w:rPr>
        <w:t>（1）潜在供应商访问政府采购管理交易系统（苏采云）的方法：“苏采云”系统用户注册--获取“CA数字证书”--CA绑定与登录--网上报名--下载采购文件（后缀名为“.kedt”）--将后缀名为“.kedt”的采购文件导入政府采购客户端工具--制作投标文件--导出加密的投标文件（后缀名为zip）--通过“苏采云”系统上传投标文件。</w:t>
      </w:r>
    </w:p>
    <w:p w14:paraId="27E51D32">
      <w:pPr>
        <w:spacing w:line="360" w:lineRule="auto"/>
        <w:ind w:firstLine="420"/>
        <w:rPr>
          <w:rFonts w:hint="eastAsia" w:ascii="宋体" w:hAnsi="宋体"/>
          <w:b/>
          <w:bCs/>
          <w:color w:val="auto"/>
          <w:highlight w:val="none"/>
        </w:rPr>
      </w:pPr>
      <w:r>
        <w:rPr>
          <w:rFonts w:hint="eastAsia" w:ascii="宋体" w:hAnsi="宋体"/>
          <w:b/>
          <w:bCs/>
          <w:color w:val="auto"/>
          <w:highlight w:val="none"/>
        </w:rPr>
        <w:t>（2）“CA数字证书”的获取：供应商需办理CA锁，“苏采云”系统目前仅支持“苏采云”系统下的政务CA，省内各地区办理的“苏采云”系统下的政务CA全省通用。</w:t>
      </w:r>
    </w:p>
    <w:p w14:paraId="6F45E6C3">
      <w:pPr>
        <w:spacing w:line="360" w:lineRule="auto"/>
        <w:ind w:firstLine="420"/>
        <w:rPr>
          <w:rFonts w:hint="eastAsia" w:ascii="宋体" w:hAnsi="宋体"/>
          <w:b/>
          <w:bCs/>
          <w:color w:val="auto"/>
          <w:highlight w:val="none"/>
        </w:rPr>
      </w:pPr>
      <w:r>
        <w:rPr>
          <w:rFonts w:hint="eastAsia" w:ascii="宋体" w:hAnsi="宋体"/>
          <w:b/>
          <w:bCs/>
          <w:color w:val="auto"/>
          <w:highlight w:val="none"/>
        </w:rPr>
        <w:t>（3）“CA数字证书”的办理材料以及供应商操作手册详见：</w:t>
      </w:r>
    </w:p>
    <w:p w14:paraId="6D3F28A5">
      <w:pPr>
        <w:spacing w:line="360" w:lineRule="auto"/>
        <w:ind w:firstLine="420"/>
        <w:rPr>
          <w:rFonts w:hint="eastAsia" w:ascii="宋体" w:hAnsi="宋体"/>
          <w:b/>
          <w:bCs/>
          <w:color w:val="auto"/>
          <w:highlight w:val="none"/>
        </w:rPr>
      </w:pPr>
      <w:r>
        <w:rPr>
          <w:rFonts w:hint="eastAsia" w:ascii="宋体" w:hAnsi="宋体" w:eastAsia="宋体" w:cs="宋体"/>
          <w:b/>
          <w:color w:val="auto"/>
          <w:sz w:val="21"/>
          <w:szCs w:val="21"/>
          <w:highlight w:val="none"/>
          <w:lang w:val="en-US" w:eastAsia="zh-CN"/>
        </w:rPr>
        <w:t>http://zfcg.yangzhou.gov.cn/xzzx/art/2023/art_4d7de1f7865f4a2894fc22bc452f94d8.html</w:t>
      </w:r>
      <w:r>
        <w:rPr>
          <w:rFonts w:hint="eastAsia" w:ascii="宋体" w:hAnsi="宋体"/>
          <w:b/>
          <w:bCs/>
          <w:color w:val="auto"/>
          <w:highlight w:val="none"/>
        </w:rPr>
        <w:t>。</w:t>
      </w:r>
    </w:p>
    <w:p w14:paraId="539F287C">
      <w:pPr>
        <w:spacing w:line="360" w:lineRule="auto"/>
        <w:ind w:firstLine="420"/>
        <w:rPr>
          <w:rFonts w:hint="eastAsia" w:ascii="宋体" w:hAnsi="宋体"/>
          <w:b/>
          <w:bCs/>
          <w:color w:val="auto"/>
          <w:highlight w:val="none"/>
        </w:rPr>
      </w:pPr>
      <w:r>
        <w:rPr>
          <w:rFonts w:hint="eastAsia" w:ascii="宋体" w:hAnsi="宋体"/>
          <w:b/>
          <w:bCs/>
          <w:color w:val="auto"/>
          <w:highlight w:val="none"/>
        </w:rPr>
        <w:t>（4）潜在供应商访问“苏采云”系统的网络地址和方法：“苏采云”系统的网址：</w:t>
      </w:r>
      <w:r>
        <w:rPr>
          <w:rFonts w:hint="eastAsia" w:ascii="宋体" w:hAnsi="宋体" w:eastAsia="宋体" w:cs="宋体"/>
          <w:b/>
          <w:color w:val="auto"/>
          <w:sz w:val="21"/>
          <w:szCs w:val="21"/>
          <w:highlight w:val="none"/>
          <w:lang w:val="en-US" w:eastAsia="zh-CN"/>
        </w:rPr>
        <w:fldChar w:fldCharType="begin"/>
      </w:r>
      <w:r>
        <w:rPr>
          <w:rFonts w:hint="eastAsia" w:ascii="宋体" w:hAnsi="宋体" w:eastAsia="宋体" w:cs="宋体"/>
          <w:b/>
          <w:color w:val="auto"/>
          <w:sz w:val="21"/>
          <w:szCs w:val="21"/>
          <w:highlight w:val="none"/>
          <w:lang w:val="en-US" w:eastAsia="zh-CN"/>
        </w:rPr>
        <w:instrText xml:space="preserve"> HYPERLINK "https://jszfcg.jsczt.cn/" \t "https://jszfcg.jsczt.cn/jszc/_blank" </w:instrText>
      </w:r>
      <w:r>
        <w:rPr>
          <w:rFonts w:hint="eastAsia" w:ascii="宋体" w:hAnsi="宋体" w:eastAsia="宋体" w:cs="宋体"/>
          <w:b/>
          <w:color w:val="auto"/>
          <w:sz w:val="21"/>
          <w:szCs w:val="21"/>
          <w:highlight w:val="none"/>
          <w:lang w:val="en-US" w:eastAsia="zh-CN"/>
        </w:rPr>
        <w:fldChar w:fldCharType="separate"/>
      </w:r>
      <w:r>
        <w:rPr>
          <w:rFonts w:hint="eastAsia" w:ascii="宋体" w:hAnsi="宋体" w:eastAsia="宋体" w:cs="宋体"/>
          <w:b/>
          <w:color w:val="auto"/>
          <w:sz w:val="21"/>
          <w:szCs w:val="21"/>
          <w:highlight w:val="none"/>
          <w:lang w:val="en-US" w:eastAsia="zh-CN"/>
        </w:rPr>
        <w:t>https://jszfcg.jsczt.cn</w:t>
      </w:r>
      <w:r>
        <w:rPr>
          <w:rFonts w:hint="eastAsia" w:ascii="宋体" w:hAnsi="宋体" w:eastAsia="宋体" w:cs="宋体"/>
          <w:b/>
          <w:color w:val="auto"/>
          <w:sz w:val="21"/>
          <w:szCs w:val="21"/>
          <w:highlight w:val="none"/>
          <w:lang w:val="en-US" w:eastAsia="zh-CN"/>
        </w:rPr>
        <w:fldChar w:fldCharType="end"/>
      </w:r>
      <w:r>
        <w:rPr>
          <w:rFonts w:hint="eastAsia" w:ascii="宋体" w:hAnsi="宋体"/>
          <w:b/>
          <w:bCs/>
          <w:color w:val="auto"/>
          <w:highlight w:val="none"/>
        </w:rPr>
        <w:t>。</w:t>
      </w:r>
    </w:p>
    <w:p w14:paraId="0223355C">
      <w:pPr>
        <w:spacing w:line="360" w:lineRule="auto"/>
        <w:ind w:firstLine="420"/>
        <w:rPr>
          <w:rFonts w:hint="eastAsia" w:ascii="宋体" w:hAnsi="宋体"/>
          <w:b/>
          <w:bCs/>
          <w:color w:val="auto"/>
          <w:highlight w:val="none"/>
        </w:rPr>
      </w:pPr>
      <w:r>
        <w:rPr>
          <w:rFonts w:hint="eastAsia" w:ascii="宋体" w:hAnsi="宋体"/>
          <w:b/>
          <w:bCs/>
          <w:color w:val="auto"/>
          <w:highlight w:val="none"/>
        </w:rPr>
        <w:t>（5）采购文件（后缀名为“.kedt”）、供应商操作手册及政府采购客户端工具也可通过“苏采云”系统--已报名项目--报名详情页面内相应链接进行下载。</w:t>
      </w:r>
    </w:p>
    <w:p w14:paraId="6AAEB333">
      <w:pPr>
        <w:spacing w:line="360" w:lineRule="auto"/>
        <w:ind w:firstLine="420"/>
        <w:rPr>
          <w:rFonts w:hint="eastAsia" w:ascii="宋体" w:hAnsi="宋体"/>
          <w:b/>
          <w:bCs/>
          <w:color w:val="auto"/>
          <w:highlight w:val="none"/>
        </w:rPr>
      </w:pPr>
      <w:r>
        <w:rPr>
          <w:rFonts w:hint="eastAsia" w:ascii="宋体" w:hAnsi="宋体"/>
          <w:b/>
          <w:bCs/>
          <w:color w:val="auto"/>
          <w:highlight w:val="none"/>
        </w:rPr>
        <w:t>（6）招标代理机构（采购代理机构）将数据电文形式的采购文件加载至“苏采云”系统，供潜在供应商下载或者查阅。     </w:t>
      </w:r>
    </w:p>
    <w:p w14:paraId="692B2780">
      <w:pPr>
        <w:spacing w:line="360" w:lineRule="auto"/>
        <w:ind w:firstLine="420"/>
        <w:rPr>
          <w:rFonts w:hint="eastAsia" w:ascii="宋体" w:hAnsi="宋体"/>
          <w:b/>
          <w:bCs/>
          <w:color w:val="auto"/>
          <w:highlight w:val="none"/>
        </w:rPr>
      </w:pPr>
      <w:r>
        <w:rPr>
          <w:rFonts w:hint="eastAsia" w:ascii="宋体" w:hAnsi="宋体"/>
          <w:b/>
          <w:bCs/>
          <w:color w:val="auto"/>
          <w:highlight w:val="none"/>
        </w:rPr>
        <w:t>（7）苏采云系统使用谷歌浏览器参与不见面开标。</w:t>
      </w:r>
    </w:p>
    <w:p w14:paraId="518DE860">
      <w:pPr>
        <w:spacing w:line="360" w:lineRule="auto"/>
        <w:ind w:firstLine="420"/>
        <w:rPr>
          <w:rFonts w:hint="eastAsia" w:ascii="宋体" w:hAnsi="宋体"/>
          <w:b/>
          <w:bCs/>
          <w:color w:val="auto"/>
          <w:highlight w:val="none"/>
        </w:rPr>
      </w:pPr>
      <w:r>
        <w:rPr>
          <w:rFonts w:hint="eastAsia" w:ascii="宋体" w:hAnsi="宋体"/>
          <w:b/>
          <w:bCs/>
          <w:color w:val="auto"/>
          <w:highlight w:val="none"/>
        </w:rPr>
        <w:t>（二）</w:t>
      </w:r>
      <w:bookmarkStart w:id="31" w:name="OLE_LINK18"/>
      <w:r>
        <w:rPr>
          <w:rFonts w:hint="eastAsia" w:ascii="宋体" w:hAnsi="宋体"/>
          <w:b/>
          <w:bCs/>
          <w:color w:val="auto"/>
          <w:highlight w:val="none"/>
        </w:rPr>
        <w:t>为提升政府采购供应商的融资可得性，解决中小企业融资难问题，中国人民银行、市财政局、市公共资源交易中心推出了政府采购线上应收账款融资模式。各供应商如果有融资需求，可以凭借政府采购中标（成交）通知书或政府采购合同，通过中国人民银行征信中心“中征应收账款融资服务平台（</w:t>
      </w:r>
      <w:r>
        <w:rPr>
          <w:rFonts w:hint="eastAsia" w:hAnsi="宋体" w:cs="宋体"/>
          <w:b/>
          <w:color w:val="auto"/>
          <w:sz w:val="21"/>
          <w:szCs w:val="21"/>
          <w:highlight w:val="none"/>
        </w:rPr>
        <w:t>https://www.crcrfsp.org.cn/</w:t>
      </w:r>
      <w:r>
        <w:rPr>
          <w:rFonts w:hint="eastAsia" w:ascii="宋体" w:hAnsi="宋体"/>
          <w:b/>
          <w:bCs/>
          <w:color w:val="auto"/>
          <w:highlight w:val="none"/>
        </w:rPr>
        <w:t>）”向参与政府采购融资业务的金融机构申请线上融资，相关事宜可向市人民银行咨询，联系电话：0514-87936653。</w:t>
      </w:r>
      <w:bookmarkEnd w:id="31"/>
    </w:p>
    <w:p w14:paraId="0E92A9B2">
      <w:pPr>
        <w:spacing w:line="360" w:lineRule="auto"/>
        <w:ind w:firstLine="420"/>
        <w:rPr>
          <w:rFonts w:hint="eastAsia" w:ascii="宋体" w:hAnsi="宋体"/>
          <w:b/>
          <w:bCs/>
          <w:color w:val="auto"/>
          <w:highlight w:val="none"/>
        </w:rPr>
      </w:pPr>
      <w:r>
        <w:rPr>
          <w:rFonts w:hint="eastAsia" w:ascii="宋体" w:hAnsi="宋体"/>
          <w:b/>
          <w:bCs/>
          <w:color w:val="auto"/>
          <w:highlight w:val="none"/>
        </w:rPr>
        <w:t>（三）其他</w:t>
      </w:r>
    </w:p>
    <w:p w14:paraId="41E838D3">
      <w:pPr>
        <w:spacing w:line="360" w:lineRule="auto"/>
        <w:ind w:firstLine="420"/>
        <w:rPr>
          <w:rFonts w:hint="eastAsia" w:ascii="宋体" w:hAnsi="宋体"/>
          <w:b/>
          <w:bCs/>
          <w:color w:val="auto"/>
          <w:highlight w:val="none"/>
        </w:rPr>
      </w:pPr>
      <w:r>
        <w:rPr>
          <w:rFonts w:hint="eastAsia" w:ascii="宋体" w:hAnsi="宋体"/>
          <w:b/>
          <w:bCs/>
          <w:color w:val="auto"/>
          <w:highlight w:val="none"/>
        </w:rPr>
        <w:t>1.本次采购采用“政府采购管理交易系统（苏采云）”，招标、投标、评标和中标结果发布全程电子化，开标方式为不见面开标。供应商应当按照《“苏采云”系统供应商操作手册》参加投标活动。如供应商未按要求操作，由此所产生的风险由供应商自行承担。</w:t>
      </w:r>
    </w:p>
    <w:p w14:paraId="1466E25D">
      <w:pPr>
        <w:spacing w:line="360" w:lineRule="auto"/>
        <w:ind w:firstLine="420"/>
        <w:rPr>
          <w:rFonts w:hint="eastAsia" w:ascii="宋体" w:hAnsi="宋体"/>
          <w:b/>
          <w:bCs/>
          <w:color w:val="auto"/>
          <w:highlight w:val="none"/>
        </w:rPr>
      </w:pPr>
      <w:r>
        <w:rPr>
          <w:rFonts w:hint="eastAsia" w:ascii="宋体" w:hAnsi="宋体"/>
          <w:b/>
          <w:bCs/>
          <w:color w:val="auto"/>
          <w:highlight w:val="none"/>
        </w:rPr>
        <w:t>2.供应商如确定参加投标，可自行下载采购文件及有关资料，按照《操作手册》进行注册，领取CA和办理电子签章，并按《操作手册》要求制作、上传电子投标文件，技术支持联系方式：13813140731。</w:t>
      </w:r>
    </w:p>
    <w:p w14:paraId="2A428F5E">
      <w:pPr>
        <w:spacing w:line="360" w:lineRule="auto"/>
        <w:ind w:firstLine="420"/>
        <w:rPr>
          <w:rFonts w:hint="eastAsia" w:ascii="宋体" w:hAnsi="宋体"/>
          <w:b/>
          <w:bCs/>
          <w:color w:val="auto"/>
          <w:highlight w:val="none"/>
        </w:rPr>
      </w:pPr>
      <w:r>
        <w:rPr>
          <w:rFonts w:hint="eastAsia" w:ascii="宋体" w:hAnsi="宋体"/>
          <w:b/>
          <w:bCs/>
          <w:color w:val="auto"/>
          <w:highlight w:val="none"/>
        </w:rPr>
        <w:t>3.供应商对于投标产品的包装应按照“财办库〔2020〕123号《关于印发《商品包装政府采购需求标准（试行）》、《快递包装政府采购需求标准（试行）》的通知》”执行。</w:t>
      </w:r>
    </w:p>
    <w:p w14:paraId="7D6C5D10">
      <w:pPr>
        <w:spacing w:line="360" w:lineRule="auto"/>
        <w:ind w:firstLine="420"/>
        <w:rPr>
          <w:rFonts w:hint="eastAsia" w:ascii="宋体" w:hAnsi="宋体"/>
          <w:b/>
          <w:bCs/>
          <w:color w:val="auto"/>
          <w:highlight w:val="none"/>
        </w:rPr>
      </w:pPr>
      <w:r>
        <w:rPr>
          <w:rFonts w:hint="eastAsia" w:ascii="宋体" w:hAnsi="宋体"/>
          <w:b/>
          <w:bCs/>
          <w:color w:val="auto"/>
          <w:highlight w:val="none"/>
        </w:rPr>
        <w:t>4.落实好政府采购履约资金扶持政策。中标/成交供应商可凭政府采购合同办理融资贷款，详见江苏政府采购网“政采贷”专栏。</w:t>
      </w:r>
    </w:p>
    <w:p w14:paraId="777AA304">
      <w:pPr>
        <w:spacing w:line="360" w:lineRule="auto"/>
        <w:ind w:firstLine="420"/>
        <w:rPr>
          <w:rFonts w:hint="eastAsia" w:ascii="宋体" w:hAnsi="宋体"/>
          <w:b/>
          <w:bCs/>
          <w:color w:val="auto"/>
          <w:highlight w:val="none"/>
        </w:rPr>
      </w:pPr>
      <w:r>
        <w:rPr>
          <w:rFonts w:hint="eastAsia" w:ascii="宋体" w:hAnsi="宋体"/>
          <w:b/>
          <w:bCs/>
          <w:color w:val="auto"/>
          <w:highlight w:val="none"/>
        </w:rPr>
        <w:t>5.严格执行政府采购关于支持节能产品、环境标志产品的相关政策规定。如本次采购的产品属于财政部、国家发展改革委、生态环境部、市场监管总局等部门发布的节能产品、环境标志产品品目清单政府强制采购范围的，供应商必须在响应文件中提供所投产品的相关证书(由国家确定的认证机构出具的、处于有效期之内的节能产品、环境标志产品认证证书)。节能产品、环境标志产品品目清单以递交响应文件截止时已正式公布的最近一期信息为准，如属政府强制采购产品未提供认证证书的或认证证书提供不全的将视为未实质性响应采购要求。其他条件相同情况下，应当优先采购节能产品、环境标志产品。</w:t>
      </w:r>
    </w:p>
    <w:p w14:paraId="6B4C65D9">
      <w:pPr>
        <w:spacing w:line="360" w:lineRule="auto"/>
        <w:ind w:firstLine="420"/>
        <w:rPr>
          <w:rFonts w:hint="eastAsia" w:ascii="宋体" w:hAnsi="宋体"/>
          <w:b/>
          <w:bCs/>
          <w:color w:val="auto"/>
          <w:highlight w:val="none"/>
        </w:rPr>
      </w:pPr>
      <w:r>
        <w:rPr>
          <w:rFonts w:hint="eastAsia" w:ascii="宋体" w:hAnsi="宋体"/>
          <w:b/>
          <w:bCs/>
          <w:color w:val="auto"/>
          <w:highlight w:val="none"/>
        </w:rPr>
        <w:t>6.潜在供应商对采购文件项目需求部分的询问、质疑请向采购人提出，由采购人负责答复。</w:t>
      </w:r>
    </w:p>
    <w:p w14:paraId="018F875F">
      <w:pPr>
        <w:spacing w:line="360" w:lineRule="auto"/>
        <w:ind w:firstLine="420"/>
        <w:rPr>
          <w:rFonts w:hint="eastAsia" w:ascii="宋体" w:hAnsi="宋体"/>
          <w:b/>
          <w:bCs/>
          <w:color w:val="auto"/>
          <w:highlight w:val="none"/>
        </w:rPr>
      </w:pPr>
      <w:r>
        <w:rPr>
          <w:rFonts w:hint="eastAsia" w:ascii="宋体" w:hAnsi="宋体"/>
          <w:b/>
          <w:bCs/>
          <w:color w:val="auto"/>
          <w:highlight w:val="none"/>
        </w:rPr>
        <w:t>7.本次采购不收取</w:t>
      </w:r>
      <w:r>
        <w:rPr>
          <w:rFonts w:hint="eastAsia" w:ascii="宋体" w:hAnsi="宋体"/>
          <w:b/>
          <w:bCs/>
          <w:color w:val="auto"/>
          <w:highlight w:val="none"/>
          <w:lang w:eastAsia="zh-CN"/>
        </w:rPr>
        <w:t>投标</w:t>
      </w:r>
      <w:r>
        <w:rPr>
          <w:rFonts w:hint="eastAsia" w:ascii="宋体" w:hAnsi="宋体"/>
          <w:b/>
          <w:bCs/>
          <w:color w:val="auto"/>
          <w:highlight w:val="none"/>
        </w:rPr>
        <w:t>保证金。</w:t>
      </w:r>
    </w:p>
    <w:p w14:paraId="335F8C1E">
      <w:pPr>
        <w:spacing w:line="360" w:lineRule="auto"/>
        <w:ind w:firstLine="420"/>
        <w:rPr>
          <w:rFonts w:hint="eastAsia" w:ascii="宋体" w:hAnsi="宋体"/>
          <w:b/>
          <w:bCs/>
          <w:color w:val="auto"/>
          <w:highlight w:val="none"/>
        </w:rPr>
      </w:pPr>
      <w:r>
        <w:rPr>
          <w:rFonts w:hint="eastAsia" w:ascii="宋体" w:hAnsi="宋体"/>
          <w:b/>
          <w:bCs/>
          <w:color w:val="auto"/>
          <w:highlight w:val="none"/>
        </w:rPr>
        <w:t>8.有关本次采购的事项若存在变动或修改，敬请及时关注“扬州市政府采购网”、“江苏政府采购网”、“中国政府采购网”发布的信息。</w:t>
      </w:r>
    </w:p>
    <w:p w14:paraId="76FF21C8">
      <w:pPr>
        <w:spacing w:line="360" w:lineRule="auto"/>
        <w:ind w:firstLine="420"/>
        <w:rPr>
          <w:rFonts w:ascii="宋体" w:hAnsi="宋体" w:cs="宋体"/>
          <w:i/>
          <w:iCs/>
          <w:color w:val="auto"/>
          <w:highlight w:val="none"/>
          <w:u w:val="single"/>
        </w:rPr>
      </w:pPr>
      <w:r>
        <w:rPr>
          <w:rFonts w:hint="eastAsia" w:ascii="宋体" w:hAnsi="宋体"/>
          <w:b/>
          <w:bCs/>
          <w:i/>
          <w:iCs/>
          <w:color w:val="auto"/>
          <w:highlight w:val="none"/>
          <w:u w:val="single"/>
        </w:rPr>
        <w:t>9.本项目采购文件中所有斜体下划线部分为实质性条款，如不满足，则为无效响应。</w:t>
      </w:r>
    </w:p>
    <w:p w14:paraId="3772902D">
      <w:pPr>
        <w:tabs>
          <w:tab w:val="left" w:pos="266"/>
        </w:tabs>
        <w:spacing w:line="360" w:lineRule="auto"/>
        <w:rPr>
          <w:rFonts w:ascii="宋体" w:hAnsi="宋体" w:cs="宋体"/>
          <w:b/>
          <w:bCs/>
          <w:color w:val="auto"/>
          <w:highlight w:val="none"/>
        </w:rPr>
      </w:pPr>
      <w:bookmarkStart w:id="32" w:name="_Toc28359085"/>
      <w:bookmarkStart w:id="33" w:name="_Toc35393627"/>
      <w:bookmarkStart w:id="34" w:name="_Toc38985269"/>
      <w:bookmarkStart w:id="35" w:name="_Toc35393796"/>
      <w:bookmarkStart w:id="36" w:name="_Toc28359008"/>
      <w:r>
        <w:rPr>
          <w:rFonts w:hint="eastAsia" w:ascii="宋体" w:hAnsi="宋体" w:cs="宋体"/>
          <w:b/>
          <w:bCs/>
          <w:color w:val="auto"/>
          <w:highlight w:val="none"/>
        </w:rPr>
        <w:t>七、本次招标联系方式</w:t>
      </w:r>
      <w:bookmarkEnd w:id="32"/>
      <w:bookmarkEnd w:id="33"/>
      <w:bookmarkEnd w:id="34"/>
      <w:bookmarkEnd w:id="35"/>
      <w:bookmarkEnd w:id="36"/>
    </w:p>
    <w:p w14:paraId="557AED6E">
      <w:pPr>
        <w:widowControl/>
        <w:spacing w:line="360" w:lineRule="auto"/>
        <w:ind w:firstLine="420"/>
        <w:jc w:val="left"/>
        <w:rPr>
          <w:rFonts w:ascii="宋体" w:hAnsi="宋体" w:cs="宋体"/>
          <w:color w:val="auto"/>
          <w:szCs w:val="21"/>
          <w:highlight w:val="none"/>
        </w:rPr>
      </w:pPr>
      <w:r>
        <w:rPr>
          <w:rFonts w:hint="eastAsia" w:ascii="宋体" w:hAnsi="宋体" w:cs="宋体"/>
          <w:color w:val="auto"/>
          <w:highlight w:val="none"/>
        </w:rPr>
        <w:t>1.采购人信息</w:t>
      </w:r>
    </w:p>
    <w:p w14:paraId="1C02DC5E">
      <w:pPr>
        <w:spacing w:line="360" w:lineRule="auto"/>
        <w:ind w:firstLine="420"/>
        <w:jc w:val="lef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名 称：</w:t>
      </w:r>
      <w:r>
        <w:rPr>
          <w:rFonts w:hint="eastAsia" w:ascii="宋体" w:hAnsi="宋体" w:cs="宋体"/>
          <w:color w:val="auto"/>
          <w:highlight w:val="none"/>
          <w:lang w:val="en-US" w:eastAsia="zh-CN"/>
        </w:rPr>
        <w:t>扬州市江都区住房和城乡建设局</w:t>
      </w:r>
      <w:r>
        <w:rPr>
          <w:rFonts w:hint="eastAsia" w:ascii="宋体" w:hAnsi="宋体" w:eastAsia="宋体" w:cs="宋体"/>
          <w:color w:val="auto"/>
          <w:highlight w:val="none"/>
          <w:lang w:val="en-US" w:eastAsia="zh-CN"/>
        </w:rPr>
        <w:t xml:space="preserve"> </w:t>
      </w:r>
    </w:p>
    <w:p w14:paraId="0F47DE74">
      <w:pPr>
        <w:spacing w:line="360" w:lineRule="auto"/>
        <w:ind w:firstLine="420"/>
        <w:jc w:val="left"/>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地 址：</w:t>
      </w:r>
      <w:r>
        <w:rPr>
          <w:rFonts w:hint="eastAsia" w:ascii="宋体" w:hAnsi="宋体" w:cs="宋体"/>
          <w:color w:val="auto"/>
          <w:highlight w:val="none"/>
          <w:lang w:val="en-US" w:eastAsia="zh-CN"/>
        </w:rPr>
        <w:t>扬州市江都区仙女镇龙川北路70号</w:t>
      </w:r>
    </w:p>
    <w:p w14:paraId="65D932B1">
      <w:pPr>
        <w:spacing w:line="360" w:lineRule="auto"/>
        <w:ind w:firstLine="420"/>
        <w:jc w:val="left"/>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联系人：</w:t>
      </w:r>
      <w:r>
        <w:rPr>
          <w:rFonts w:hint="eastAsia" w:ascii="宋体" w:hAnsi="宋体" w:cs="宋体"/>
          <w:color w:val="auto"/>
          <w:highlight w:val="none"/>
          <w:lang w:val="en-US" w:eastAsia="zh-CN"/>
        </w:rPr>
        <w:t>张先生</w:t>
      </w:r>
    </w:p>
    <w:p w14:paraId="41E68F27">
      <w:pPr>
        <w:spacing w:line="360" w:lineRule="auto"/>
        <w:ind w:firstLine="420"/>
        <w:jc w:val="left"/>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联系方式：</w:t>
      </w:r>
      <w:r>
        <w:rPr>
          <w:rFonts w:hint="eastAsia" w:ascii="宋体" w:hAnsi="宋体" w:cs="宋体"/>
          <w:color w:val="auto"/>
          <w:highlight w:val="none"/>
          <w:lang w:val="en-US" w:eastAsia="zh-CN"/>
        </w:rPr>
        <w:t>0514-80808517</w:t>
      </w:r>
    </w:p>
    <w:p w14:paraId="2C18BBF1">
      <w:pPr>
        <w:widowControl/>
        <w:spacing w:line="360" w:lineRule="auto"/>
        <w:ind w:firstLine="420"/>
        <w:jc w:val="left"/>
        <w:rPr>
          <w:rFonts w:hint="eastAsia" w:ascii="宋体" w:hAnsi="宋体" w:cs="宋体"/>
          <w:color w:val="auto"/>
          <w:highlight w:val="none"/>
        </w:rPr>
      </w:pPr>
      <w:bookmarkStart w:id="37" w:name="_Toc28359009"/>
      <w:bookmarkStart w:id="38" w:name="_Toc28359086"/>
      <w:r>
        <w:rPr>
          <w:rFonts w:hint="eastAsia" w:ascii="宋体" w:hAnsi="宋体" w:cs="宋体"/>
          <w:color w:val="auto"/>
          <w:highlight w:val="none"/>
          <w:lang w:val="en-US" w:eastAsia="zh-CN"/>
        </w:rPr>
        <w:t>2.</w:t>
      </w:r>
      <w:r>
        <w:rPr>
          <w:rFonts w:hint="eastAsia" w:ascii="宋体" w:hAnsi="宋体" w:cs="宋体"/>
          <w:color w:val="auto"/>
          <w:highlight w:val="none"/>
        </w:rPr>
        <w:t>代理机构信息</w:t>
      </w:r>
      <w:bookmarkEnd w:id="37"/>
      <w:bookmarkEnd w:id="38"/>
    </w:p>
    <w:p w14:paraId="7C7543C8">
      <w:pPr>
        <w:pStyle w:val="218"/>
        <w:ind w:firstLine="0"/>
        <w:rPr>
          <w:rFonts w:hint="eastAsia" w:eastAsia="宋体"/>
          <w:color w:val="auto"/>
          <w:highlight w:val="none"/>
          <w:lang w:eastAsia="zh-CN"/>
        </w:rPr>
      </w:pPr>
      <w:r>
        <w:rPr>
          <w:rFonts w:hint="eastAsia"/>
          <w:color w:val="auto"/>
          <w:highlight w:val="none"/>
        </w:rPr>
        <w:t xml:space="preserve">    名  称：</w:t>
      </w:r>
      <w:r>
        <w:rPr>
          <w:rFonts w:hint="eastAsia"/>
          <w:color w:val="auto"/>
          <w:highlight w:val="none"/>
          <w:lang w:eastAsia="zh-CN"/>
        </w:rPr>
        <w:t>江苏誉森建设项目管理有限公司</w:t>
      </w:r>
    </w:p>
    <w:p w14:paraId="279518A5">
      <w:pPr>
        <w:spacing w:line="360" w:lineRule="auto"/>
        <w:ind w:firstLine="420"/>
        <w:rPr>
          <w:rFonts w:hint="default" w:ascii="宋体" w:hAnsi="宋体" w:eastAsia="宋体" w:cs="宋体"/>
          <w:color w:val="auto"/>
          <w:highlight w:val="none"/>
          <w:lang w:val="en-US" w:eastAsia="zh-CN"/>
        </w:rPr>
      </w:pPr>
      <w:r>
        <w:rPr>
          <w:rFonts w:hint="eastAsia" w:ascii="宋体" w:hAnsi="宋体" w:cs="宋体"/>
          <w:color w:val="auto"/>
          <w:highlight w:val="none"/>
        </w:rPr>
        <w:t>地　址：</w:t>
      </w:r>
      <w:r>
        <w:rPr>
          <w:rFonts w:hint="eastAsia" w:ascii="宋体" w:hAnsi="宋体" w:cs="宋体"/>
          <w:color w:val="auto"/>
          <w:highlight w:val="none"/>
          <w:lang w:val="en-US" w:eastAsia="zh-CN"/>
        </w:rPr>
        <w:t>扬州市江都区文昌东路1175号佳源银座7楼706室</w:t>
      </w:r>
    </w:p>
    <w:p w14:paraId="263BE89B">
      <w:pPr>
        <w:spacing w:line="360" w:lineRule="auto"/>
        <w:ind w:firstLine="420"/>
        <w:rPr>
          <w:rFonts w:ascii="宋体" w:hAnsi="宋体" w:cs="宋体"/>
          <w:color w:val="auto"/>
          <w:highlight w:val="none"/>
        </w:rPr>
      </w:pPr>
      <w:r>
        <w:rPr>
          <w:rFonts w:hint="eastAsia" w:ascii="宋体" w:hAnsi="宋体" w:cs="宋体"/>
          <w:color w:val="auto"/>
          <w:highlight w:val="none"/>
        </w:rPr>
        <w:t>联系人：</w:t>
      </w:r>
      <w:r>
        <w:rPr>
          <w:rFonts w:hint="eastAsia" w:ascii="宋体" w:hAnsi="宋体" w:cs="宋体"/>
          <w:color w:val="auto"/>
          <w:highlight w:val="none"/>
          <w:lang w:eastAsia="zh-CN"/>
        </w:rPr>
        <w:t>徐</w:t>
      </w:r>
      <w:r>
        <w:rPr>
          <w:rFonts w:hint="eastAsia" w:ascii="宋体" w:hAnsi="宋体" w:cs="宋体"/>
          <w:color w:val="auto"/>
          <w:highlight w:val="none"/>
        </w:rPr>
        <w:t>女士</w:t>
      </w:r>
    </w:p>
    <w:p w14:paraId="6C53C056">
      <w:pPr>
        <w:spacing w:line="360" w:lineRule="auto"/>
        <w:ind w:firstLine="420"/>
        <w:rPr>
          <w:rFonts w:hint="default" w:ascii="宋体" w:hAnsi="宋体" w:eastAsia="宋体" w:cs="宋体"/>
          <w:color w:val="auto"/>
          <w:highlight w:val="none"/>
          <w:lang w:val="en-US" w:eastAsia="zh-CN"/>
        </w:rPr>
      </w:pPr>
      <w:r>
        <w:rPr>
          <w:rFonts w:hint="eastAsia" w:ascii="宋体" w:hAnsi="宋体" w:cs="宋体"/>
          <w:color w:val="auto"/>
          <w:highlight w:val="none"/>
        </w:rPr>
        <w:t>联系方式：0514-86</w:t>
      </w:r>
      <w:r>
        <w:rPr>
          <w:rFonts w:hint="eastAsia" w:ascii="宋体" w:hAnsi="宋体" w:cs="宋体"/>
          <w:color w:val="auto"/>
          <w:highlight w:val="none"/>
          <w:lang w:val="en-US" w:eastAsia="zh-CN"/>
        </w:rPr>
        <w:t>356366</w:t>
      </w:r>
    </w:p>
    <w:p w14:paraId="0384D652">
      <w:pPr>
        <w:tabs>
          <w:tab w:val="left" w:pos="266"/>
        </w:tabs>
        <w:spacing w:line="360" w:lineRule="auto"/>
        <w:rPr>
          <w:rFonts w:hint="eastAsia" w:ascii="宋体" w:hAnsi="宋体" w:cs="宋体"/>
          <w:b/>
          <w:bCs/>
          <w:color w:val="auto"/>
          <w:highlight w:val="none"/>
        </w:rPr>
      </w:pPr>
    </w:p>
    <w:p w14:paraId="1EEF78E1">
      <w:pPr>
        <w:rPr>
          <w:color w:val="auto"/>
          <w:highlight w:val="none"/>
        </w:rPr>
      </w:pPr>
      <w:r>
        <w:rPr>
          <w:color w:val="auto"/>
          <w:highlight w:val="none"/>
        </w:rPr>
        <w:br w:type="page" w:clear="all"/>
      </w:r>
    </w:p>
    <w:p w14:paraId="34465512">
      <w:pPr>
        <w:pStyle w:val="2"/>
        <w:spacing w:line="240" w:lineRule="auto"/>
        <w:jc w:val="center"/>
        <w:rPr>
          <w:rFonts w:ascii="宋体" w:hAnsi="宋体"/>
          <w:color w:val="auto"/>
          <w:szCs w:val="36"/>
          <w:highlight w:val="none"/>
        </w:rPr>
      </w:pPr>
      <w:bookmarkStart w:id="39" w:name="_Toc55204178"/>
      <w:r>
        <w:rPr>
          <w:rFonts w:hint="eastAsia" w:ascii="宋体" w:hAnsi="宋体"/>
          <w:color w:val="auto"/>
          <w:szCs w:val="36"/>
          <w:highlight w:val="none"/>
        </w:rPr>
        <w:t>第二章 投标人须知</w:t>
      </w:r>
      <w:bookmarkEnd w:id="39"/>
    </w:p>
    <w:p w14:paraId="581568EB">
      <w:pPr>
        <w:spacing w:line="24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1、招标方式</w:t>
      </w:r>
    </w:p>
    <w:p w14:paraId="277FD343">
      <w:pPr>
        <w:spacing w:line="440" w:lineRule="exact"/>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1.1 本次招标采取公开招标方式，本招标文件仅适用于JSZC-321012-JSYS-G2026-0009号项目。</w:t>
      </w:r>
    </w:p>
    <w:p w14:paraId="12FA39D3">
      <w:pPr>
        <w:spacing w:line="440" w:lineRule="exact"/>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2、投标人</w:t>
      </w:r>
    </w:p>
    <w:p w14:paraId="44E8BDE1">
      <w:pPr>
        <w:spacing w:line="440" w:lineRule="exact"/>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2.1 本招标文件中“供应商”，即“投标人”，是指参加投标竞争，并符合招标文件规定资格条件的法人、其他组织或者自然人。</w:t>
      </w:r>
    </w:p>
    <w:p w14:paraId="152C3846">
      <w:pPr>
        <w:spacing w:line="440" w:lineRule="exact"/>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2.2合格的投标人</w:t>
      </w:r>
    </w:p>
    <w:p w14:paraId="5AABD0CB">
      <w:pPr>
        <w:spacing w:line="440" w:lineRule="exact"/>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2.2.1 满足招标公告中供应商的资格条件要求的规定。</w:t>
      </w:r>
    </w:p>
    <w:p w14:paraId="2342C174">
      <w:pPr>
        <w:spacing w:line="440" w:lineRule="exact"/>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2.2.2 满足本文件实质性条款的规定。</w:t>
      </w:r>
    </w:p>
    <w:p w14:paraId="5B8D6E3B">
      <w:pPr>
        <w:spacing w:line="440" w:lineRule="exact"/>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3、适用法律</w:t>
      </w:r>
    </w:p>
    <w:p w14:paraId="6379EA1F">
      <w:pPr>
        <w:spacing w:line="440" w:lineRule="exact"/>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3.1 本次招标及由此产生的合同受中华人民共和国有关的法律法规制约和保护。</w:t>
      </w:r>
    </w:p>
    <w:p w14:paraId="08385F27">
      <w:pPr>
        <w:spacing w:line="440" w:lineRule="exact"/>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4、投标费用</w:t>
      </w:r>
    </w:p>
    <w:p w14:paraId="2CD196D8">
      <w:pPr>
        <w:spacing w:line="440" w:lineRule="exact"/>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4.1 投标人应自行承担所有与参加投标有关的费用，无论投标过程中的做法和结果如 何，代理机构在任何情况下均无义务和责任承担这些费用。 </w:t>
      </w:r>
    </w:p>
    <w:p w14:paraId="3A9405F5">
      <w:pPr>
        <w:spacing w:line="440" w:lineRule="exact"/>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 xml:space="preserve">4.2 </w:t>
      </w:r>
      <w:r>
        <w:rPr>
          <w:rFonts w:hint="eastAsia" w:ascii="宋体" w:hAnsi="宋体" w:eastAsia="宋体" w:cs="宋体"/>
          <w:color w:val="auto"/>
          <w:sz w:val="21"/>
          <w:highlight w:val="none"/>
        </w:rPr>
        <w:t>招标代理费：本</w:t>
      </w:r>
      <w:r>
        <w:rPr>
          <w:rFonts w:hint="eastAsia" w:ascii="宋体" w:hAnsi="宋体" w:cs="宋体"/>
          <w:color w:val="auto"/>
          <w:sz w:val="21"/>
          <w:highlight w:val="none"/>
          <w:lang w:eastAsia="zh-CN"/>
        </w:rPr>
        <w:t>项目</w:t>
      </w:r>
      <w:r>
        <w:rPr>
          <w:rFonts w:hint="eastAsia" w:ascii="宋体" w:hAnsi="宋体" w:eastAsia="宋体" w:cs="宋体"/>
          <w:color w:val="auto"/>
          <w:sz w:val="21"/>
          <w:highlight w:val="none"/>
        </w:rPr>
        <w:t>招标代理费由</w:t>
      </w:r>
      <w:r>
        <w:rPr>
          <w:rFonts w:hint="eastAsia" w:ascii="宋体" w:hAnsi="宋体" w:cs="宋体"/>
          <w:color w:val="auto"/>
          <w:sz w:val="21"/>
          <w:highlight w:val="none"/>
          <w:lang w:val="en-US" w:eastAsia="zh-CN"/>
        </w:rPr>
        <w:t>采购人按照签订的招标代理协议中约定的代理酬金</w:t>
      </w:r>
      <w:r>
        <w:rPr>
          <w:rFonts w:hint="eastAsia" w:ascii="宋体" w:hAnsi="宋体" w:eastAsia="宋体" w:cs="宋体"/>
          <w:color w:val="auto"/>
          <w:sz w:val="21"/>
          <w:highlight w:val="none"/>
        </w:rPr>
        <w:t>向招标代理机构</w:t>
      </w:r>
      <w:r>
        <w:rPr>
          <w:rFonts w:hint="eastAsia" w:ascii="宋体" w:hAnsi="宋体" w:cs="宋体"/>
          <w:color w:val="auto"/>
          <w:sz w:val="21"/>
          <w:highlight w:val="none"/>
          <w:lang w:eastAsia="zh-CN"/>
        </w:rPr>
        <w:t>支付</w:t>
      </w:r>
      <w:r>
        <w:rPr>
          <w:rFonts w:hint="eastAsia" w:ascii="宋体" w:hAnsi="宋体" w:eastAsia="宋体" w:cs="宋体"/>
          <w:color w:val="auto"/>
          <w:sz w:val="21"/>
          <w:highlight w:val="none"/>
        </w:rPr>
        <w:t>。</w:t>
      </w:r>
    </w:p>
    <w:p w14:paraId="20A51609">
      <w:pPr>
        <w:spacing w:line="440" w:lineRule="exact"/>
        <w:ind w:firstLine="422"/>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4.3专家评审费按扬财购〔2020〕40 号文《关于进一步规范扬州市政府采购专家评审费标准的通知》执行。</w:t>
      </w:r>
    </w:p>
    <w:p w14:paraId="2B8449DD">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5、招标文件的约束力</w:t>
      </w:r>
    </w:p>
    <w:p w14:paraId="77A9DB20">
      <w:pPr>
        <w:keepNext w:val="0"/>
        <w:keepLines w:val="0"/>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highlight w:val="none"/>
        </w:rPr>
        <w:t>5.1 投标人一旦参加本项目采购活动，即被认为接受了本招标文件的规定和约束。</w:t>
      </w:r>
    </w:p>
    <w:p w14:paraId="0D675334">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6、招标文件构成</w:t>
      </w:r>
    </w:p>
    <w:p w14:paraId="368A977F">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6.1 招标文件有以下部分组成：</w:t>
      </w:r>
    </w:p>
    <w:p w14:paraId="072DE08D">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（1）招标公告</w:t>
      </w:r>
    </w:p>
    <w:p w14:paraId="2C3EF4F6">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（2）投标人须知</w:t>
      </w:r>
      <w:r>
        <w:rPr>
          <w:rFonts w:hint="eastAsia" w:ascii="宋体" w:hAnsi="宋体" w:eastAsia="宋体" w:cs="宋体"/>
          <w:bCs/>
          <w:color w:val="auto"/>
          <w:szCs w:val="21"/>
          <w:highlight w:val="none"/>
        </w:rPr>
        <w:tab/>
      </w:r>
    </w:p>
    <w:p w14:paraId="338B59BB">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（3）合同条款及格式</w:t>
      </w:r>
    </w:p>
    <w:p w14:paraId="3506FAF9">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（4）项目需求</w:t>
      </w:r>
    </w:p>
    <w:p w14:paraId="45C47734">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（5）评标方法与评标标准</w:t>
      </w:r>
    </w:p>
    <w:p w14:paraId="7FF6D100">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（6）投标文件格式</w:t>
      </w:r>
    </w:p>
    <w:p w14:paraId="388A9041">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请仔细检查招标文件是否齐全，如有缺漏请立即与代理机构联系解决。</w:t>
      </w:r>
    </w:p>
    <w:p w14:paraId="51421468">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6.2 招标的最小单位是包。招标服务数量及技术要求中未分包的，供应商对要求提供的服务不得部分投标；招标服务数量及技术要求中已经分包的，应当以包为单位投标。</w:t>
      </w:r>
    </w:p>
    <w:p w14:paraId="50D07E5B">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6.3 招标文件如果要求供应商提交备选投标方案的，供应商可以提交备选方案；否则，备选方案将被拒绝。</w:t>
      </w:r>
    </w:p>
    <w:p w14:paraId="52316628">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6.4 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14:paraId="3B08D457">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7、招标文件的澄清</w:t>
      </w:r>
    </w:p>
    <w:p w14:paraId="2314691D">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7.1 任何要求对招标文件进行澄清的投标人，应在投标截止日期的十日前按招标公告中的通讯地址，以书面形式通知代理机构。</w:t>
      </w:r>
    </w:p>
    <w:p w14:paraId="452E71B1">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8、招标文件的修改</w:t>
      </w:r>
    </w:p>
    <w:p w14:paraId="7987809A">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8.1 在投标截止时间前，代理机构可以对招标文件进行修改。</w:t>
      </w:r>
    </w:p>
    <w:p w14:paraId="2B1A5722">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8.2代理机构在招标文件要求提交投标文件截止时间前，有权按照法定要求推迟投标截止时间和开标时间。</w:t>
      </w:r>
    </w:p>
    <w:p w14:paraId="63EAB0E6">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8.3招标文件的修改将在“扬州市政府采购网”、“江苏政府采购网”、“中国政府采购网”公布，补充文件将作为招标文件的组成部分，并对投标人具有约束力。</w:t>
      </w:r>
    </w:p>
    <w:p w14:paraId="4C841FEE">
      <w:pPr>
        <w:keepNext w:val="0"/>
        <w:keepLines w:val="0"/>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szCs w:val="21"/>
          <w:highlight w:val="none"/>
        </w:rPr>
        <w:t>8.4投标人应在投标截止时间前关注原采购信息发布媒体上有关本招标项目有无变更公告。</w:t>
      </w:r>
    </w:p>
    <w:p w14:paraId="18FF1247">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9、投标文件的语言、度量衡单位、货币</w:t>
      </w:r>
    </w:p>
    <w:p w14:paraId="04C1BC70">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9.1投标人提交的投标文件以及投标人与代理机构就有关投标的所有来往通知、函件和文件均应使用简体中文。</w:t>
      </w:r>
    </w:p>
    <w:p w14:paraId="51D3A36E">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9.2 除技术性能另有规定外，投标文件所使用的度量衡单位，均须采用国家法定计量单位。</w:t>
      </w:r>
    </w:p>
    <w:p w14:paraId="40841154">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9.3投标人应使用人民币报价。</w:t>
      </w:r>
    </w:p>
    <w:p w14:paraId="462F9254">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9.4投标文件应字迹清楚、内容齐全、不得涂改。如有修改，修改处须有投标人加盖公章和法定代表人或其授权代表签字。</w:t>
      </w:r>
    </w:p>
    <w:p w14:paraId="6C4AB8A5">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10、投标文件构成</w:t>
      </w:r>
    </w:p>
    <w:p w14:paraId="36CA13A5">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10.1投标文件由以下部分组成</w:t>
      </w:r>
    </w:p>
    <w:p w14:paraId="6BAA3668">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（1）资格审查响应对照表</w:t>
      </w:r>
    </w:p>
    <w:p w14:paraId="3EE08365">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（2）符合性审查响应对照表</w:t>
      </w:r>
    </w:p>
    <w:p w14:paraId="3869B2B8">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w:t>
      </w:r>
      <w:r>
        <w:rPr>
          <w:rFonts w:hint="eastAsia" w:ascii="宋体" w:hAnsi="宋体" w:eastAsia="宋体" w:cs="宋体"/>
          <w:bCs/>
          <w:color w:val="auto"/>
          <w:szCs w:val="21"/>
          <w:highlight w:val="none"/>
          <w:lang w:val="en-US" w:eastAsia="zh-CN"/>
        </w:rPr>
        <w:t>3</w:t>
      </w:r>
      <w:r>
        <w:rPr>
          <w:rFonts w:hint="eastAsia" w:ascii="宋体" w:hAnsi="宋体" w:eastAsia="宋体" w:cs="宋体"/>
          <w:bCs/>
          <w:color w:val="auto"/>
          <w:szCs w:val="21"/>
          <w:highlight w:val="none"/>
        </w:rPr>
        <w:t xml:space="preserve">）开标一览表 </w:t>
      </w:r>
    </w:p>
    <w:p w14:paraId="04548BDD">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w:t>
      </w:r>
      <w:r>
        <w:rPr>
          <w:rFonts w:hint="eastAsia" w:ascii="宋体" w:hAnsi="宋体" w:eastAsia="宋体" w:cs="宋体"/>
          <w:bCs/>
          <w:color w:val="auto"/>
          <w:szCs w:val="21"/>
          <w:highlight w:val="none"/>
          <w:lang w:val="en-US" w:eastAsia="zh-CN"/>
        </w:rPr>
        <w:t>4</w:t>
      </w:r>
      <w:r>
        <w:rPr>
          <w:rFonts w:hint="eastAsia" w:ascii="宋体" w:hAnsi="宋体" w:eastAsia="宋体" w:cs="宋体"/>
          <w:bCs/>
          <w:color w:val="auto"/>
          <w:szCs w:val="21"/>
          <w:highlight w:val="none"/>
        </w:rPr>
        <w:t xml:space="preserve">）分项报价表 </w:t>
      </w:r>
    </w:p>
    <w:p w14:paraId="5B4A05C9">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w:t>
      </w:r>
      <w:r>
        <w:rPr>
          <w:rFonts w:hint="eastAsia" w:ascii="宋体" w:hAnsi="宋体" w:eastAsia="宋体" w:cs="宋体"/>
          <w:bCs/>
          <w:color w:val="auto"/>
          <w:szCs w:val="21"/>
          <w:highlight w:val="none"/>
          <w:lang w:val="en-US" w:eastAsia="zh-CN"/>
        </w:rPr>
        <w:t>5</w:t>
      </w:r>
      <w:r>
        <w:rPr>
          <w:rFonts w:hint="eastAsia" w:ascii="宋体" w:hAnsi="宋体" w:eastAsia="宋体" w:cs="宋体"/>
          <w:bCs/>
          <w:color w:val="auto"/>
          <w:szCs w:val="21"/>
          <w:highlight w:val="none"/>
        </w:rPr>
        <w:t>）拟投入</w:t>
      </w:r>
      <w:r>
        <w:rPr>
          <w:rFonts w:hint="eastAsia" w:ascii="宋体" w:hAnsi="宋体" w:eastAsia="宋体" w:cs="宋体"/>
          <w:bCs/>
          <w:color w:val="auto"/>
          <w:szCs w:val="21"/>
          <w:highlight w:val="none"/>
          <w:lang w:val="en-US" w:eastAsia="zh-CN"/>
        </w:rPr>
        <w:t>本项目</w:t>
      </w:r>
      <w:r>
        <w:rPr>
          <w:rFonts w:hint="eastAsia" w:ascii="宋体" w:hAnsi="宋体" w:eastAsia="宋体" w:cs="宋体"/>
          <w:bCs/>
          <w:color w:val="auto"/>
          <w:szCs w:val="21"/>
          <w:highlight w:val="none"/>
        </w:rPr>
        <w:t xml:space="preserve">人员一览表 </w:t>
      </w:r>
    </w:p>
    <w:p w14:paraId="097CC644">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w:t>
      </w:r>
      <w:r>
        <w:rPr>
          <w:rFonts w:hint="eastAsia" w:ascii="宋体" w:hAnsi="宋体" w:eastAsia="宋体" w:cs="宋体"/>
          <w:bCs/>
          <w:color w:val="auto"/>
          <w:szCs w:val="21"/>
          <w:highlight w:val="none"/>
          <w:lang w:val="en-US" w:eastAsia="zh-CN"/>
        </w:rPr>
        <w:t>6</w:t>
      </w:r>
      <w:r>
        <w:rPr>
          <w:rFonts w:hint="eastAsia" w:ascii="宋体" w:hAnsi="宋体" w:eastAsia="宋体" w:cs="宋体"/>
          <w:bCs/>
          <w:color w:val="auto"/>
          <w:szCs w:val="21"/>
          <w:highlight w:val="none"/>
        </w:rPr>
        <w:t xml:space="preserve">）商务条款响应及偏离表 </w:t>
      </w:r>
    </w:p>
    <w:p w14:paraId="504CEC33">
      <w:pPr>
        <w:keepNext w:val="0"/>
        <w:keepLines w:val="0"/>
        <w:pageBreakBefore w:val="0"/>
        <w:widowControl w:val="0"/>
        <w:spacing w:line="360" w:lineRule="auto"/>
        <w:ind w:left="0" w:firstLine="420"/>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rPr>
        <w:t>（</w:t>
      </w:r>
      <w:r>
        <w:rPr>
          <w:rFonts w:hint="eastAsia" w:ascii="宋体" w:hAnsi="宋体" w:eastAsia="宋体" w:cs="宋体"/>
          <w:bCs/>
          <w:color w:val="auto"/>
          <w:szCs w:val="21"/>
          <w:highlight w:val="none"/>
          <w:lang w:val="en-US" w:eastAsia="zh-CN"/>
        </w:rPr>
        <w:t>7</w:t>
      </w:r>
      <w:r>
        <w:rPr>
          <w:rFonts w:hint="eastAsia" w:ascii="宋体" w:hAnsi="宋体" w:eastAsia="宋体" w:cs="宋体"/>
          <w:bCs/>
          <w:color w:val="auto"/>
          <w:szCs w:val="21"/>
          <w:highlight w:val="none"/>
        </w:rPr>
        <w:t>）</w:t>
      </w:r>
      <w:r>
        <w:rPr>
          <w:rFonts w:hint="eastAsia" w:ascii="宋体" w:hAnsi="宋体" w:eastAsia="宋体" w:cs="宋体"/>
          <w:bCs/>
          <w:color w:val="auto"/>
          <w:szCs w:val="21"/>
          <w:highlight w:val="none"/>
          <w:lang w:val="en-US" w:eastAsia="zh-CN"/>
        </w:rPr>
        <w:t>主要标的信息</w:t>
      </w:r>
    </w:p>
    <w:p w14:paraId="7BBBFF5C">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lang w:val="en-US" w:eastAsia="zh-CN"/>
        </w:rPr>
        <w:t>8</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其他（投标人认为有必要提供的声明和文件，如有自拟并自行添加）</w:t>
      </w:r>
    </w:p>
    <w:p w14:paraId="6EDD9105">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10.2投标人应当根据招标文件要求编制投标文件，投标文件应对招标文件提出的要求和条件作出响应，并在相应的投标文件中逐条标明满足与否。</w:t>
      </w:r>
    </w:p>
    <w:p w14:paraId="3B2CF97E">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11、证明投标人资格及符合招标文件规定的文件</w:t>
      </w:r>
    </w:p>
    <w:p w14:paraId="380678EA">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11.1投标人应按要求提交资格证明文件及符合招标文件规定的文件。</w:t>
      </w:r>
    </w:p>
    <w:p w14:paraId="6A31D5F8">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11.2投标人应提交证明其有资格参加投标和中标后有能力独立履行合同的文件。</w:t>
      </w:r>
    </w:p>
    <w:p w14:paraId="31A592A6">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11.3投标人除必须具有履行合同所需提供的产品或服务的能力外，还必须具备相应的财务、技术方面的能力。</w:t>
      </w:r>
    </w:p>
    <w:p w14:paraId="4A141FF6">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11.4投标人应提交根据合同要求提供的证明服务质量合格以及符合招标文件规定的证明文件。</w:t>
      </w:r>
    </w:p>
    <w:p w14:paraId="050811E9">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11.5证明投标人所提供服务与招标文件的要求相一致的文件可以是手册、图纸、文字资料和数据。</w:t>
      </w:r>
    </w:p>
    <w:p w14:paraId="14179B74">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12、</w:t>
      </w:r>
      <w:r>
        <w:rPr>
          <w:rFonts w:hint="eastAsia" w:ascii="宋体" w:hAnsi="宋体" w:eastAsia="宋体" w:cs="宋体"/>
          <w:b/>
          <w:bCs/>
          <w:color w:val="auto"/>
          <w:highlight w:val="none"/>
        </w:rPr>
        <w:t>分项报价表</w:t>
      </w:r>
    </w:p>
    <w:p w14:paraId="16551213">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12.1 </w:t>
      </w:r>
      <w:r>
        <w:rPr>
          <w:rFonts w:hint="eastAsia" w:ascii="宋体" w:hAnsi="宋体" w:eastAsia="宋体" w:cs="宋体"/>
          <w:color w:val="auto"/>
          <w:highlight w:val="none"/>
        </w:rPr>
        <w:t>投标人应按照招标文件规定格式填报分项报价表，每项服务只允许有一个报价，任何有选择的报价将不予接受。</w:t>
      </w:r>
    </w:p>
    <w:p w14:paraId="6AB8214F">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12.2 标的物</w:t>
      </w:r>
    </w:p>
    <w:p w14:paraId="45BA9AF0">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采购人需求的服务供应、安装，调试及有关技术服务等。</w:t>
      </w:r>
    </w:p>
    <w:p w14:paraId="5A3F3B7A">
      <w:pPr>
        <w:keepNext w:val="0"/>
        <w:keepLines w:val="0"/>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highlight w:val="none"/>
        </w:rPr>
        <w:t>12.3其它费用处理</w:t>
      </w:r>
    </w:p>
    <w:p w14:paraId="6440B39B">
      <w:pPr>
        <w:keepNext w:val="0"/>
        <w:keepLines w:val="0"/>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highlight w:val="none"/>
        </w:rPr>
        <w:t>招标文件未列明，而投标人认为必需的费用也需列入报价。</w:t>
      </w:r>
    </w:p>
    <w:p w14:paraId="1B1DDD75">
      <w:pPr>
        <w:keepNext w:val="0"/>
        <w:keepLines w:val="0"/>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highlight w:val="none"/>
        </w:rPr>
        <w:t>12.4投标货币</w:t>
      </w:r>
    </w:p>
    <w:p w14:paraId="51749919">
      <w:pPr>
        <w:keepNext w:val="0"/>
        <w:keepLines w:val="0"/>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highlight w:val="none"/>
        </w:rPr>
        <w:t>投标文件中的服务单价和总价无特殊规定的采用人民币报价，以元为单位标注。招标文件中另有规定的按规定执行。</w:t>
      </w:r>
    </w:p>
    <w:p w14:paraId="5C3E583A">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13、技术参数响应及偏离表、商务条款响应及偏离表及投标货物说明</w:t>
      </w:r>
    </w:p>
    <w:p w14:paraId="46A9C4F9">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13.1 对招标文件中的技术与商务条款要求逐项作出响应或偏离，并说明原因；</w:t>
      </w:r>
    </w:p>
    <w:p w14:paraId="4CBED3AA">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13.2 提供参加本项目类似案例简介；</w:t>
      </w:r>
    </w:p>
    <w:p w14:paraId="7C78A944">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13.3 详细阐述所投服务的主要组成部分、功能设计、实现思路及关键技术；</w:t>
      </w:r>
    </w:p>
    <w:p w14:paraId="6AC61724">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13.4 投标人认为需要的其他技术文件或说明。</w:t>
      </w:r>
    </w:p>
    <w:p w14:paraId="28778C4E">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14、服务承诺及售后服务机构、人员的情况介绍</w:t>
      </w:r>
    </w:p>
    <w:p w14:paraId="49FC4111">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14.1投标人的服务承诺应按不低于招标文件中商务要求的标准。</w:t>
      </w:r>
    </w:p>
    <w:p w14:paraId="4037C96C">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14.2提供投标人有关售后服务的管理制度、售后服务机构的分布情况、售后服务人员的数量、素质、技术水平及售后服务的反应能力。</w:t>
      </w:r>
    </w:p>
    <w:p w14:paraId="5F780F2E">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15、投标函和开标一览表</w:t>
      </w:r>
    </w:p>
    <w:p w14:paraId="0C5A2C3C">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15.1 投标人应按照招标文件中提供的格式完整、正确填写投标函、开标一览表。</w:t>
      </w:r>
    </w:p>
    <w:p w14:paraId="1DE00847">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15.2 开标一览表中的价格应与投标文件中分项报价表中的价格一致，如不一致，不作为无效投标处理，但评标时按开标一览表中价格为准。</w:t>
      </w:r>
    </w:p>
    <w:p w14:paraId="5F440765">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16、投标有效期</w:t>
      </w:r>
    </w:p>
    <w:p w14:paraId="5AD1701C">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16.1 投标有效期为开标之日起六十（60）天。投标有效期比规定短的将被视为非响应性投标而予以拒绝。</w:t>
      </w:r>
    </w:p>
    <w:p w14:paraId="41333B90">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16.2 在特殊情况下，代理机构于原投标有效期满之前，可向投标人提出延长投标有效期的要求。这种要求与答复均应采用书面形式。投标人可以拒绝代理机构的这一要求而放弃投标；同意延长投标有效期的投标人既不能要求也不允许修改其投标文件。本招标文件受投标有效期约束的所有权利与义务均延长至新的有效期。</w:t>
      </w:r>
    </w:p>
    <w:p w14:paraId="5CBAB037">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bookmarkStart w:id="40" w:name="_Toc513029225"/>
      <w:bookmarkStart w:id="41" w:name="_Toc462564084"/>
      <w:bookmarkStart w:id="42" w:name="_Toc16938541"/>
      <w:bookmarkStart w:id="43" w:name="_Toc20823297"/>
      <w:r>
        <w:rPr>
          <w:rFonts w:hint="eastAsia" w:ascii="宋体" w:hAnsi="宋体" w:eastAsia="宋体" w:cs="宋体"/>
          <w:b/>
          <w:color w:val="auto"/>
          <w:szCs w:val="21"/>
          <w:highlight w:val="none"/>
        </w:rPr>
        <w:t>17、投标文件</w:t>
      </w:r>
      <w:bookmarkEnd w:id="40"/>
      <w:bookmarkEnd w:id="41"/>
      <w:bookmarkEnd w:id="42"/>
      <w:bookmarkEnd w:id="43"/>
      <w:r>
        <w:rPr>
          <w:rFonts w:hint="eastAsia" w:ascii="宋体" w:hAnsi="宋体" w:eastAsia="宋体" w:cs="宋体"/>
          <w:b/>
          <w:color w:val="auto"/>
          <w:szCs w:val="21"/>
          <w:highlight w:val="none"/>
        </w:rPr>
        <w:t>的递交</w:t>
      </w:r>
    </w:p>
    <w:p w14:paraId="50772EFB">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17.1 电子投标文件的递交投标人应当按照《操作手册》规定，在投标截止时间前制作并上传电子投标文件。</w:t>
      </w:r>
      <w:bookmarkStart w:id="44" w:name="_Toc513029226"/>
      <w:bookmarkStart w:id="45" w:name="_Toc16938542"/>
      <w:bookmarkStart w:id="46" w:name="_Toc20823298"/>
    </w:p>
    <w:p w14:paraId="6D733B15">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17.2</w:t>
      </w:r>
      <w:r>
        <w:rPr>
          <w:rFonts w:hint="eastAsia" w:ascii="宋体" w:hAnsi="宋体" w:eastAsia="宋体" w:cs="宋体"/>
          <w:b/>
          <w:bCs/>
          <w:color w:val="auto"/>
          <w:szCs w:val="21"/>
          <w:highlight w:val="none"/>
        </w:rPr>
        <w:t>政府采购管理交易系统（苏采云）</w:t>
      </w:r>
      <w:r>
        <w:rPr>
          <w:rFonts w:hint="eastAsia" w:ascii="宋体" w:hAnsi="宋体" w:eastAsia="宋体" w:cs="宋体"/>
          <w:b/>
          <w:color w:val="auto"/>
          <w:szCs w:val="21"/>
          <w:highlight w:val="none"/>
        </w:rPr>
        <w:t>相关要求是本招标文件的组成部分。</w:t>
      </w:r>
    </w:p>
    <w:p w14:paraId="4B986127">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17.3投标人应对 CA 证书妥善保管，如被他人盗用投标，因此带来的结果均由投标人自行承担。</w:t>
      </w:r>
    </w:p>
    <w:p w14:paraId="40CAE039">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17.4投标人应当对招标文件提出的要求和条件作出实质性响应，并在电子投标系统逐条应答。</w:t>
      </w:r>
    </w:p>
    <w:p w14:paraId="0385AAFF">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17.5投标人应对要求提供的资格证明文件（如资质证书、资格证书）、技术资料（如白皮书、彩页、手册、检测报告等）扫描上传至投标系统。</w:t>
      </w:r>
    </w:p>
    <w:p w14:paraId="604B7163">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17.6投标人应当在招标文件要求提交投标文件的截止时间前，将投标文件提交至“苏采云”系统，逾期提交的投标文件，“苏采云”系统将自动拒收。</w:t>
      </w:r>
    </w:p>
    <w:p w14:paraId="5E759C83">
      <w:pPr>
        <w:keepNext w:val="0"/>
        <w:keepLines w:val="0"/>
        <w:pageBreakBefore w:val="0"/>
        <w:widowControl w:val="0"/>
        <w:spacing w:line="360" w:lineRule="auto"/>
        <w:ind w:left="0" w:firstLine="422"/>
        <w:rPr>
          <w:rFonts w:hint="eastAsia" w:ascii="宋体" w:hAnsi="宋体" w:eastAsia="宋体" w:cs="宋体"/>
          <w:color w:val="auto"/>
          <w:highlight w:val="none"/>
        </w:rPr>
      </w:pPr>
      <w:r>
        <w:rPr>
          <w:rFonts w:hint="eastAsia" w:ascii="宋体" w:hAnsi="宋体" w:eastAsia="宋体" w:cs="宋体"/>
          <w:b/>
          <w:color w:val="auto"/>
          <w:szCs w:val="21"/>
          <w:highlight w:val="none"/>
        </w:rPr>
        <w:t>17.7各投标人应在规定时间内凭CA证书进行网上解密。</w:t>
      </w:r>
    </w:p>
    <w:p w14:paraId="4B2F4975">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18、投标截止日期</w:t>
      </w:r>
      <w:bookmarkEnd w:id="44"/>
      <w:bookmarkEnd w:id="45"/>
      <w:bookmarkEnd w:id="46"/>
    </w:p>
    <w:p w14:paraId="4BAC5C41">
      <w:pPr>
        <w:keepNext w:val="0"/>
        <w:keepLines w:val="0"/>
        <w:pageBreakBefore w:val="0"/>
        <w:widowControl w:val="0"/>
        <w:spacing w:line="360" w:lineRule="auto"/>
        <w:ind w:left="0" w:firstLine="420"/>
        <w:rPr>
          <w:rFonts w:hint="eastAsia" w:ascii="宋体" w:hAnsi="宋体" w:eastAsia="宋体" w:cs="宋体"/>
          <w:bCs/>
          <w:i/>
          <w:iCs/>
          <w:color w:val="auto"/>
          <w:szCs w:val="21"/>
          <w:highlight w:val="none"/>
          <w:u w:val="single"/>
        </w:rPr>
      </w:pPr>
      <w:r>
        <w:rPr>
          <w:rFonts w:hint="eastAsia" w:ascii="宋体" w:hAnsi="宋体" w:eastAsia="宋体" w:cs="宋体"/>
          <w:bCs/>
          <w:i/>
          <w:iCs/>
          <w:color w:val="auto"/>
          <w:szCs w:val="21"/>
          <w:highlight w:val="none"/>
          <w:u w:val="single"/>
        </w:rPr>
        <w:t>18.1 投标人上传电子投标文件的时间不得迟于招标公告中规定的投标截止时间。</w:t>
      </w:r>
    </w:p>
    <w:p w14:paraId="353F6714">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投标人应充分考虑到网络环境、网络带宽等风险因素，如因投标人自身原因造成的电子投标文件上传不成功由投标人自行承担全部责任。</w:t>
      </w:r>
    </w:p>
    <w:p w14:paraId="2FEA1E87">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18.2 代理机构可以按照规定，通过修改招标文件延长投标截止日期，在此情况下，投标人的所有权利和义务以及投标人受制的截止日期均应以延长后新的截止日期为准。</w:t>
      </w:r>
    </w:p>
    <w:p w14:paraId="768DB558">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bookmarkStart w:id="47" w:name="_Toc20823299"/>
      <w:bookmarkStart w:id="48" w:name="_Toc16938543"/>
      <w:bookmarkStart w:id="49" w:name="_Toc513029227"/>
      <w:r>
        <w:rPr>
          <w:rFonts w:hint="eastAsia" w:ascii="宋体" w:hAnsi="宋体" w:eastAsia="宋体" w:cs="宋体"/>
          <w:b/>
          <w:color w:val="auto"/>
          <w:szCs w:val="21"/>
          <w:highlight w:val="none"/>
        </w:rPr>
        <w:t>19、投标文件</w:t>
      </w:r>
      <w:bookmarkEnd w:id="47"/>
      <w:bookmarkEnd w:id="48"/>
      <w:bookmarkEnd w:id="49"/>
      <w:r>
        <w:rPr>
          <w:rFonts w:hint="eastAsia" w:ascii="宋体" w:hAnsi="宋体" w:eastAsia="宋体" w:cs="宋体"/>
          <w:b/>
          <w:color w:val="auto"/>
          <w:szCs w:val="21"/>
          <w:highlight w:val="none"/>
        </w:rPr>
        <w:t>的拒收</w:t>
      </w:r>
    </w:p>
    <w:p w14:paraId="1BE31354">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19.1代理机构拒绝接收在其规定的投标截止时间后上传的任何投标文件。</w:t>
      </w:r>
    </w:p>
    <w:p w14:paraId="3FA6E7EB">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bookmarkStart w:id="50" w:name="_Toc16938544"/>
      <w:bookmarkStart w:id="51" w:name="_Toc20823300"/>
      <w:bookmarkStart w:id="52" w:name="_Toc513029228"/>
      <w:r>
        <w:rPr>
          <w:rFonts w:hint="eastAsia" w:ascii="宋体" w:hAnsi="宋体" w:eastAsia="宋体" w:cs="宋体"/>
          <w:b/>
          <w:color w:val="auto"/>
          <w:szCs w:val="21"/>
          <w:highlight w:val="none"/>
        </w:rPr>
        <w:t>20、投标文件的撤回和修改</w:t>
      </w:r>
      <w:bookmarkEnd w:id="50"/>
      <w:bookmarkEnd w:id="51"/>
      <w:bookmarkEnd w:id="52"/>
    </w:p>
    <w:p w14:paraId="30E59AE7">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20.1 投标文件的撤回</w:t>
      </w:r>
    </w:p>
    <w:p w14:paraId="58EB4A95">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20.1.1 电子投标文件的撤回</w:t>
      </w:r>
    </w:p>
    <w:p w14:paraId="2D55166B">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投标人可在投标截止时间前，撤回其电子投标文件，具体操作方法见《操作手册》。</w:t>
      </w:r>
    </w:p>
    <w:p w14:paraId="5A5F0748">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20.1.2 投标人撤回电子投标文件，则认为其不再参与本项目投标活动。</w:t>
      </w:r>
    </w:p>
    <w:p w14:paraId="57724D15">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20.2 投标文件的修改</w:t>
      </w:r>
    </w:p>
    <w:p w14:paraId="65BB30F7">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投标人可在投标截止时间前，对其电子投标文件进行修改，具体操作方法见《操作手册》。</w:t>
      </w:r>
    </w:p>
    <w:p w14:paraId="0187064C">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20.3 在投标截止时间之后，投标人不得对其电子投标文件作任何修改。</w:t>
      </w:r>
    </w:p>
    <w:p w14:paraId="68A871F5">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20.4 在投标截止时间至招标文件中规定的投标有效期满之间的这段时间内，投标人不得撤回其投标。</w:t>
      </w:r>
    </w:p>
    <w:p w14:paraId="427C5EA0">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21、开标</w:t>
      </w:r>
    </w:p>
    <w:p w14:paraId="16E46216">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21.1 代理机构将在招标公告中规定的时间和地点组织公开开标。投标人应当按照《操作手册》规定，参加开标活动。投标人未参加开标的，视同认可开标结果。</w:t>
      </w:r>
    </w:p>
    <w:p w14:paraId="2195B847">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21.2投标人不足3家的，不得开标。</w:t>
      </w:r>
    </w:p>
    <w:p w14:paraId="7D7C7918">
      <w:pPr>
        <w:keepNext w:val="0"/>
        <w:keepLines w:val="0"/>
        <w:pageBreakBefore w:val="0"/>
        <w:widowControl w:val="0"/>
        <w:spacing w:line="360" w:lineRule="auto"/>
        <w:ind w:left="0" w:firstLine="422"/>
        <w:rPr>
          <w:rFonts w:hint="eastAsia" w:ascii="宋体" w:hAnsi="宋体" w:eastAsia="宋体" w:cs="宋体"/>
          <w:bCs/>
          <w:color w:val="auto"/>
          <w:szCs w:val="21"/>
          <w:highlight w:val="none"/>
        </w:rPr>
      </w:pPr>
      <w:r>
        <w:rPr>
          <w:rFonts w:hint="eastAsia" w:ascii="宋体" w:hAnsi="宋体" w:eastAsia="宋体" w:cs="宋体"/>
          <w:b/>
          <w:color w:val="auto"/>
          <w:szCs w:val="21"/>
          <w:highlight w:val="none"/>
        </w:rPr>
        <w:t>21.3开标仪式由代理机构主持。“政府采购管理交易系统（苏采云）”将自动对项目进行开标，并宣读各投标人的《开标一览表》。</w:t>
      </w:r>
    </w:p>
    <w:p w14:paraId="00FED5C1">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21.4投标人在开标过程中涉及到的投标文件解密、开标结果确认等工作，应按照《操作手册》规定执行。</w:t>
      </w:r>
    </w:p>
    <w:p w14:paraId="6E13AD45">
      <w:pPr>
        <w:keepNext w:val="0"/>
        <w:keepLines w:val="0"/>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highlight w:val="none"/>
        </w:rPr>
        <w:t>21.5投标人如果对开标过程和开标记录有疑义，应当根据《操作手册》规定提出， “</w:t>
      </w:r>
      <w:r>
        <w:rPr>
          <w:rFonts w:hint="eastAsia" w:ascii="宋体" w:hAnsi="宋体" w:eastAsia="宋体" w:cs="宋体"/>
          <w:color w:val="auto"/>
          <w:szCs w:val="21"/>
          <w:highlight w:val="none"/>
        </w:rPr>
        <w:t>政府采购交易管理系统（苏采云）</w:t>
      </w:r>
      <w:r>
        <w:rPr>
          <w:rFonts w:hint="eastAsia" w:ascii="宋体" w:hAnsi="宋体" w:eastAsia="宋体" w:cs="宋体"/>
          <w:color w:val="auto"/>
          <w:highlight w:val="none"/>
        </w:rPr>
        <w:t>”中《开标记录表》宣布后5分钟内未提出的，视同认可开标结果。</w:t>
      </w:r>
    </w:p>
    <w:p w14:paraId="71323A5D">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22、评标委员会</w:t>
      </w:r>
    </w:p>
    <w:p w14:paraId="2D5D25BB">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22.1 开标后，代理机构将立即组织评标委员会（以下简称评委会）进行评标。</w:t>
      </w:r>
    </w:p>
    <w:p w14:paraId="42E89EF6">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22.2 评委会由采购人代表和有关技术、经济等方面的专家组成，且人员构成符合政府采购有关规定。</w:t>
      </w:r>
    </w:p>
    <w:p w14:paraId="3544677E">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22.3评委会独立工作，负责评审所有投标文件并确定中标候选人。</w:t>
      </w:r>
    </w:p>
    <w:p w14:paraId="0B8E599F">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23、评标过程的保密与公正</w:t>
      </w:r>
    </w:p>
    <w:p w14:paraId="3EA8D9E2">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23.1公开开标后，直至签订合同之日止，凡是与审查、澄清、评价和比较投标的有关资料以及授标建议等，采购人、评委、代理机构工作人员均不得向投标人或与评标无关的其他人员透露。</w:t>
      </w:r>
    </w:p>
    <w:p w14:paraId="19711B7C">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23.2在评标过程中，投标人不得以任何行为影响评标过程，否则其投标文件将被作为无效投标文件。</w:t>
      </w:r>
    </w:p>
    <w:p w14:paraId="4B7CFB08">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23.3 在评标期间，代理机构将设专门工作人员与投标人联系。</w:t>
      </w:r>
    </w:p>
    <w:p w14:paraId="6CBD39D2">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23.4 代理机构和评委会不向未中标的投标人解释未中标原因，也不公布评标过程中的相关细节。</w:t>
      </w:r>
    </w:p>
    <w:p w14:paraId="4830C905">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23.5 采用综合评分法的项目，未中标的投标人可于中标结果公告期限届满之日起通过“政府采购管理交易系统（苏采云）”查看自己的评审得分及排序情况。</w:t>
      </w:r>
    </w:p>
    <w:p w14:paraId="114707C6">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24、投标的澄清</w:t>
      </w:r>
    </w:p>
    <w:p w14:paraId="7B165848">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24.1评标期间，为有助于对投标文件的审查、评价和比较，评委会有权以电子函件形式要求投标人对其投标文件进行澄清，但并非对每个投标人都作澄清要求。</w:t>
      </w:r>
    </w:p>
    <w:p w14:paraId="76986545">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24.2接到评委会澄清要求的投标人应派人按评委会规定的时间和格式在“政府采购管理交易系统（苏采云）”中</w:t>
      </w:r>
      <w:r>
        <w:rPr>
          <w:rFonts w:hint="eastAsia" w:ascii="宋体" w:hAnsi="宋体" w:eastAsia="宋体" w:cs="宋体"/>
          <w:bCs/>
          <w:color w:val="auto"/>
          <w:szCs w:val="21"/>
          <w:highlight w:val="none"/>
          <w:lang w:eastAsia="zh-CN"/>
        </w:rPr>
        <w:t>作出</w:t>
      </w:r>
      <w:r>
        <w:rPr>
          <w:rFonts w:hint="eastAsia" w:ascii="宋体" w:hAnsi="宋体" w:eastAsia="宋体" w:cs="宋体"/>
          <w:bCs/>
          <w:color w:val="auto"/>
          <w:szCs w:val="21"/>
          <w:highlight w:val="none"/>
        </w:rPr>
        <w:t>澄清，澄清的内容作为投标文件的补充部分，但投标的价格和实质性的内容不得做任何更改。具体操作方式见《操作手册》。</w:t>
      </w:r>
    </w:p>
    <w:p w14:paraId="4CA9ADA6">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24.3 接到评委会澄清要求的投标人如未按规定</w:t>
      </w:r>
      <w:r>
        <w:rPr>
          <w:rFonts w:hint="eastAsia" w:ascii="宋体" w:hAnsi="宋体" w:eastAsia="宋体" w:cs="宋体"/>
          <w:bCs/>
          <w:color w:val="auto"/>
          <w:szCs w:val="21"/>
          <w:highlight w:val="none"/>
          <w:lang w:eastAsia="zh-CN"/>
        </w:rPr>
        <w:t>作出</w:t>
      </w:r>
      <w:r>
        <w:rPr>
          <w:rFonts w:hint="eastAsia" w:ascii="宋体" w:hAnsi="宋体" w:eastAsia="宋体" w:cs="宋体"/>
          <w:bCs/>
          <w:color w:val="auto"/>
          <w:szCs w:val="21"/>
          <w:highlight w:val="none"/>
        </w:rPr>
        <w:t>澄清，其风险由投标人自行承担。</w:t>
      </w:r>
    </w:p>
    <w:p w14:paraId="31274572">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25、对投标文件的初审</w:t>
      </w:r>
    </w:p>
    <w:p w14:paraId="57B83D26">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25.1投标文件初审分为资格审查和符合性审查。</w:t>
      </w:r>
    </w:p>
    <w:p w14:paraId="0634F52D">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25.1.1资格审查：依据法律法规和招标文件的规定，由采购人对投标文件中的资格证明文件进行审查。并将审查结论以书面形式向评委会反馈。</w:t>
      </w:r>
    </w:p>
    <w:p w14:paraId="794857C9">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采购人在进行资格性审查的同时，将在“信用中国”网站（</w:t>
      </w:r>
      <w:r>
        <w:rPr>
          <w:rFonts w:hint="eastAsia" w:ascii="宋体" w:hAnsi="宋体" w:eastAsia="宋体" w:cs="宋体"/>
          <w:bCs/>
          <w:color w:val="auto"/>
          <w:szCs w:val="21"/>
          <w:highlight w:val="none"/>
          <w:lang w:val="en-US" w:eastAsia="zh-CN"/>
        </w:rPr>
        <w:t>http://</w:t>
      </w:r>
      <w:r>
        <w:rPr>
          <w:rFonts w:hint="eastAsia" w:ascii="宋体" w:hAnsi="宋体" w:eastAsia="宋体" w:cs="宋体"/>
          <w:bCs/>
          <w:color w:val="auto"/>
          <w:szCs w:val="21"/>
          <w:highlight w:val="none"/>
        </w:rPr>
        <w:t>www.creditchina.gov.cn）、“中国政府采购网"(</w:t>
      </w:r>
      <w:r>
        <w:rPr>
          <w:rFonts w:hint="eastAsia" w:ascii="宋体" w:hAnsi="宋体" w:eastAsia="宋体" w:cs="宋体"/>
          <w:bCs/>
          <w:color w:val="auto"/>
          <w:szCs w:val="21"/>
          <w:highlight w:val="none"/>
          <w:lang w:val="en-US" w:eastAsia="zh-CN"/>
        </w:rPr>
        <w:t>http://</w:t>
      </w:r>
      <w:r>
        <w:rPr>
          <w:rFonts w:hint="eastAsia" w:ascii="宋体" w:hAnsi="宋体" w:eastAsia="宋体" w:cs="宋体"/>
          <w:bCs/>
          <w:color w:val="auto"/>
          <w:szCs w:val="21"/>
          <w:highlight w:val="none"/>
        </w:rPr>
        <w:t>www.ccgp.gov.cn)对投标人是否被列入失信被执行人、重大税收违法案件当事人名单、政府采购严重失信行为记录名单情况进行查询，以确定投标人是否具备投标资格。查询结果将以网页打印的形式留存并归档。</w:t>
      </w:r>
    </w:p>
    <w:p w14:paraId="06868C97">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若接受联合体投标的项目，两个以上的自然人、法人或者其他组织组成一个联合体，以一个供应商的身份共同参加政府采购活动的,联合体成员存在不良信用记录的，视同联合体存在不良信用记录。</w:t>
      </w:r>
    </w:p>
    <w:p w14:paraId="6F1A7CA5">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25.1.2符合性检查：依据招标文件的规定，由评委会从投标文件的有效性、完整性和对招标文件的响应程度进行审查，以确定是否对招标文件的实质性要求作出响应。</w:t>
      </w:r>
    </w:p>
    <w:p w14:paraId="66327605">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25.1.3 未通过资格审查或符合性审查的投标人，代理机构将在“政府采购管理交易系统（苏采云）”中告知未通过资格审查或符合性审查的原因，评审结束后，代理机构将不再告知未通过资格审查或符合性审查的原因。</w:t>
      </w:r>
    </w:p>
    <w:p w14:paraId="222406CF">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25.2在详细评标之前，评委会将首先审查每份投标文件是否实质性响应了招标文件的要求。实质性响应的投标应该是与招标文件要求的全部条款、条件和规格相符，没有重大偏离或保留的投标。</w:t>
      </w:r>
    </w:p>
    <w:p w14:paraId="4DAA20F0">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所谓重大偏离或保留是指与招标文件规定的实质性要求存在负偏离，或者在实质上与招标文件不一致，而且限制了合同中买方（采购人）和见证方（代理机构）的权利或投标人的义务，纠正这些偏离或保留将会对其他实质性响应要求的投标人的竞争地位产生不公正的影响。是否属于重大偏离由评委会按照少数服从多数的原则作出结论。评委决定投标文件的响应性只根据投标文件本身的内容，而不寻求外部的证据。</w:t>
      </w:r>
    </w:p>
    <w:p w14:paraId="00FB8A89">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25.3如果投标文件实质上没有响应招标文件的要求，评委会将予以拒绝，投标人不得通过修改或撤销不合要求的偏离或保留而使其投标成为实质性响应的投标。</w:t>
      </w:r>
    </w:p>
    <w:p w14:paraId="333ED014">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25.4评委会将对确定为实质性响应的投标进行进一步审核，看其是否有计算上或累加上的算术错误，修正错误的原则如下：</w:t>
      </w:r>
    </w:p>
    <w:p w14:paraId="549C1799">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（1）投标文件中开标一览表内容与投标文件中相应内容不一致的，以开标一览表为准。</w:t>
      </w:r>
    </w:p>
    <w:p w14:paraId="290ED660">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（2）大写金额与小写金额不一致的，以大写金额为准。</w:t>
      </w:r>
    </w:p>
    <w:p w14:paraId="659FA84D">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（3）单价金额小数点或者百分比有明显错位的，以开标一览表的总价为准，并修改单价。</w:t>
      </w:r>
    </w:p>
    <w:p w14:paraId="44D95CB6">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（4）总价金额与按单价汇总金额不一致的，以单价金额计算结果为准。</w:t>
      </w:r>
    </w:p>
    <w:p w14:paraId="18ED9428">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同时出现两种以上错误的，按照前款规定的顺序修正。对不同文字文本投标文件的解释发生异议的，以中文文本为准。</w:t>
      </w:r>
    </w:p>
    <w:p w14:paraId="100EC60F">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25.5评委会将按上述修正错误的方法调整投标文件中的投标报价，并通过“政府采购管理交易系统（苏采云）”告知投标人，调整后的价格应对投标人具有约束力。如果投标人不接受修正后的价格，则其投标将被拒绝。</w:t>
      </w:r>
    </w:p>
    <w:p w14:paraId="16436779">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25.6评委会将允许修正投标文件中不构成重大偏离的、微小的、非正规的、不一致的或不规则的地方，但这些修改不能影响任何投标人相应的名次排列。</w:t>
      </w:r>
    </w:p>
    <w:p w14:paraId="0235D234">
      <w:pPr>
        <w:keepNext w:val="0"/>
        <w:keepLines w:val="0"/>
        <w:pageBreakBefore w:val="0"/>
        <w:widowControl w:val="0"/>
        <w:spacing w:line="360" w:lineRule="auto"/>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25.7采用最低评标价法的采购项目，提供相同品牌产品的不同投标人参加同一合同项下投标的，以其中通过资格审查、符合性审查且报价最低的参加评标；报价相同的，由评标委员会按照招标文件规定的方式确定招标文件未规定的通过随机抽取的方式确定一个参加评标的投标人，其他投标无效。</w:t>
      </w:r>
    </w:p>
    <w:p w14:paraId="1EF2173B">
      <w:pPr>
        <w:keepNext w:val="0"/>
        <w:keepLines w:val="0"/>
        <w:pageBreakBefore w:val="0"/>
        <w:widowControl w:val="0"/>
        <w:spacing w:line="360" w:lineRule="auto"/>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使用综合评分法的采购项目，提供相同品牌产品且通过资格审查、符合性审查的不同投标人参加同一合同项下投标的，按一家投标人计算，评审后得分最高的同品牌投标人获得中标人推荐资格；评审得分相同的，由评标委员会根据招标文件规定的方式确定，招标文件未规定的采取随机抽取的方式确定一个中标候选人，其他同品牌投标人不作为中标候选人。</w:t>
      </w:r>
    </w:p>
    <w:p w14:paraId="2590A444">
      <w:pPr>
        <w:keepNext w:val="0"/>
        <w:keepLines w:val="0"/>
        <w:pageBreakBefore w:val="0"/>
        <w:widowControl w:val="0"/>
        <w:spacing w:line="360" w:lineRule="auto"/>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非单一产品采购项目，招标文件中将载明其中的核心产品。多家投标人提供的核心产品品牌相同的，按前两款规定处理。</w:t>
      </w:r>
    </w:p>
    <w:p w14:paraId="4C5225DF">
      <w:pPr>
        <w:keepNext w:val="0"/>
        <w:keepLines w:val="0"/>
        <w:pageBreakBefore w:val="0"/>
        <w:widowControl w:val="0"/>
        <w:spacing w:line="360" w:lineRule="auto"/>
        <w:ind w:left="0" w:firstLine="420"/>
        <w:jc w:val="left"/>
        <w:rPr>
          <w:rFonts w:hint="eastAsia" w:ascii="宋体" w:hAnsi="宋体" w:eastAsia="宋体" w:cs="宋体"/>
          <w:color w:val="auto"/>
          <w:highlight w:val="none"/>
        </w:rPr>
      </w:pPr>
      <w:r>
        <w:rPr>
          <w:rFonts w:hint="eastAsia" w:ascii="宋体" w:hAnsi="宋体" w:eastAsia="宋体" w:cs="宋体"/>
          <w:color w:val="auto"/>
          <w:highlight w:val="none"/>
        </w:rPr>
        <w:t>25.8 投标人在开、评标全过程中应保持通讯畅通，并安排专人与代理机构及评委会联系。</w:t>
      </w:r>
    </w:p>
    <w:p w14:paraId="08F79BBF">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26、无效投标、废标及投标人不足三家的处理</w:t>
      </w:r>
    </w:p>
    <w:p w14:paraId="1DB53C3C">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26.1无效投标条款</w:t>
      </w:r>
    </w:p>
    <w:p w14:paraId="4C771ADA">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26.1.1 投标人未成功解密电子投标文件的。</w:t>
      </w:r>
    </w:p>
    <w:p w14:paraId="78AD55E2">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26.1.2 投标人未按照招标文件要求上传电子投标文件的。</w:t>
      </w:r>
    </w:p>
    <w:p w14:paraId="634FD326">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26.1.3投标人在报价时采用选择性报价的。</w:t>
      </w:r>
    </w:p>
    <w:p w14:paraId="5714E61F">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26.1.4投标人不具备招标文件中规定资格要求的。</w:t>
      </w:r>
    </w:p>
    <w:p w14:paraId="500AEFAC">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26.1.5投标人的报价超过了采购预算或最高限价的。</w:t>
      </w:r>
    </w:p>
    <w:p w14:paraId="59A14467">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26.1.6未通过符合性审查的。</w:t>
      </w:r>
    </w:p>
    <w:p w14:paraId="22C3DAE5">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26.1.7不符合招标文件中规定的其他实质性要求和条件的（</w:t>
      </w:r>
      <w:r>
        <w:rPr>
          <w:rFonts w:hint="eastAsia" w:ascii="宋体" w:hAnsi="宋体" w:eastAsia="宋体" w:cs="宋体"/>
          <w:b/>
          <w:i/>
          <w:iCs/>
          <w:color w:val="auto"/>
          <w:szCs w:val="21"/>
          <w:highlight w:val="none"/>
          <w:u w:val="single"/>
        </w:rPr>
        <w:t>本招标文件中斜体且有下划线部分为实质性要求和条件</w:t>
      </w:r>
      <w:r>
        <w:rPr>
          <w:rFonts w:hint="eastAsia" w:ascii="宋体" w:hAnsi="宋体" w:eastAsia="宋体" w:cs="宋体"/>
          <w:bCs/>
          <w:color w:val="auto"/>
          <w:szCs w:val="21"/>
          <w:highlight w:val="none"/>
        </w:rPr>
        <w:t>）。</w:t>
      </w:r>
    </w:p>
    <w:p w14:paraId="4CB90129">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26.1.8 投标人被 “信用中国”网站（</w:t>
      </w:r>
      <w:r>
        <w:rPr>
          <w:rFonts w:hint="eastAsia" w:ascii="宋体" w:hAnsi="宋体" w:eastAsia="宋体" w:cs="宋体"/>
          <w:bCs/>
          <w:color w:val="auto"/>
          <w:szCs w:val="21"/>
          <w:highlight w:val="none"/>
          <w:lang w:val="en-US" w:eastAsia="zh-CN"/>
        </w:rPr>
        <w:t>http://</w:t>
      </w:r>
      <w:r>
        <w:rPr>
          <w:rFonts w:hint="eastAsia" w:ascii="宋体" w:hAnsi="宋体" w:eastAsia="宋体" w:cs="宋体"/>
          <w:bCs/>
          <w:color w:val="auto"/>
          <w:szCs w:val="21"/>
          <w:highlight w:val="none"/>
        </w:rPr>
        <w:t>www.creditchina.gov.cn）、“中国政府采购网”(</w:t>
      </w:r>
      <w:r>
        <w:rPr>
          <w:rFonts w:hint="eastAsia" w:ascii="宋体" w:hAnsi="宋体" w:eastAsia="宋体" w:cs="宋体"/>
          <w:bCs/>
          <w:color w:val="auto"/>
          <w:szCs w:val="21"/>
          <w:highlight w:val="none"/>
          <w:lang w:val="en-US" w:eastAsia="zh-CN"/>
        </w:rPr>
        <w:t>http://</w:t>
      </w:r>
      <w:r>
        <w:rPr>
          <w:rFonts w:hint="eastAsia" w:ascii="宋体" w:hAnsi="宋体" w:eastAsia="宋体" w:cs="宋体"/>
          <w:bCs/>
          <w:color w:val="auto"/>
          <w:szCs w:val="21"/>
          <w:highlight w:val="none"/>
        </w:rPr>
        <w:t>www.ccgp.gov.cn)列入失信被执行人或重大税收违法案件当事人名单或政府采购严重失信行为记录名单。若接受联合体的项目，两个以上的自然人、法人或者其他组织组成一个联合体，以一个供应商的身份共同参加政府采购活动的，联合体成员存在不良信用记录的，视同联合体存在不良应用记录。</w:t>
      </w:r>
    </w:p>
    <w:p w14:paraId="2437D8C9">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26.1.9  投标文件含有采购人不能接受的附加条件的。</w:t>
      </w:r>
    </w:p>
    <w:p w14:paraId="0CAFF2C1">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w:t>
      </w:r>
      <w:r>
        <w:rPr>
          <w:rFonts w:hint="eastAsia" w:ascii="宋体" w:hAnsi="宋体" w:eastAsia="宋体" w:cs="宋体"/>
          <w:bCs/>
          <w:color w:val="auto"/>
          <w:szCs w:val="21"/>
          <w:highlight w:val="none"/>
          <w:lang w:val="en-US" w:eastAsia="zh-CN"/>
        </w:rPr>
        <w:t>6</w:t>
      </w:r>
      <w:r>
        <w:rPr>
          <w:rFonts w:hint="eastAsia" w:ascii="宋体" w:hAnsi="宋体" w:eastAsia="宋体" w:cs="宋体"/>
          <w:bCs/>
          <w:color w:val="auto"/>
          <w:szCs w:val="21"/>
          <w:highlight w:val="none"/>
        </w:rPr>
        <w:t>.1.10 异常低价投标（响应）</w:t>
      </w:r>
    </w:p>
    <w:p w14:paraId="54A73B94">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w:t>
      </w:r>
      <w:r>
        <w:rPr>
          <w:rFonts w:hint="eastAsia" w:ascii="宋体" w:hAnsi="宋体" w:eastAsia="宋体" w:cs="宋体"/>
          <w:bCs/>
          <w:color w:val="auto"/>
          <w:szCs w:val="21"/>
          <w:highlight w:val="none"/>
          <w:lang w:val="en-US" w:eastAsia="zh-CN"/>
        </w:rPr>
        <w:t>6</w:t>
      </w:r>
      <w:r>
        <w:rPr>
          <w:rFonts w:hint="eastAsia" w:ascii="宋体" w:hAnsi="宋体" w:eastAsia="宋体" w:cs="宋体"/>
          <w:bCs/>
          <w:color w:val="auto"/>
          <w:szCs w:val="21"/>
          <w:highlight w:val="none"/>
        </w:rPr>
        <w:t>.1.10.1投标（响应）报价低于全部通过符合性审查供应商投标（响应）报价平均值50%的，即投标（响应）报价&lt;全部通过符合性审查供应商投标（响应）报价平均值×50%；</w:t>
      </w:r>
    </w:p>
    <w:p w14:paraId="1CA54A5F">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w:t>
      </w:r>
      <w:r>
        <w:rPr>
          <w:rFonts w:hint="eastAsia" w:ascii="宋体" w:hAnsi="宋体" w:eastAsia="宋体" w:cs="宋体"/>
          <w:bCs/>
          <w:color w:val="auto"/>
          <w:szCs w:val="21"/>
          <w:highlight w:val="none"/>
          <w:lang w:val="en-US" w:eastAsia="zh-CN"/>
        </w:rPr>
        <w:t>6</w:t>
      </w:r>
      <w:r>
        <w:rPr>
          <w:rFonts w:hint="eastAsia" w:ascii="宋体" w:hAnsi="宋体" w:eastAsia="宋体" w:cs="宋体"/>
          <w:bCs/>
          <w:color w:val="auto"/>
          <w:szCs w:val="21"/>
          <w:highlight w:val="none"/>
        </w:rPr>
        <w:t>.1.10.2投标（响应）报价低于通过符合性审查的次低报价供应商投标（响应）报价50%的，即投标（响应）报价&lt;通过符合性审查的次低报价供应商投标（响应）报价×50%；</w:t>
      </w:r>
    </w:p>
    <w:p w14:paraId="01526C05">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w:t>
      </w:r>
      <w:r>
        <w:rPr>
          <w:rFonts w:hint="eastAsia" w:ascii="宋体" w:hAnsi="宋体" w:eastAsia="宋体" w:cs="宋体"/>
          <w:bCs/>
          <w:color w:val="auto"/>
          <w:szCs w:val="21"/>
          <w:highlight w:val="none"/>
          <w:lang w:val="en-US" w:eastAsia="zh-CN"/>
        </w:rPr>
        <w:t>6</w:t>
      </w:r>
      <w:r>
        <w:rPr>
          <w:rFonts w:hint="eastAsia" w:ascii="宋体" w:hAnsi="宋体" w:eastAsia="宋体" w:cs="宋体"/>
          <w:bCs/>
          <w:color w:val="auto"/>
          <w:szCs w:val="21"/>
          <w:highlight w:val="none"/>
        </w:rPr>
        <w:t>.1.10.3投标（响应）报价低于采购项目最高限价45%的，即投标（响应）报价&lt;采购项目最高限价×45%；</w:t>
      </w:r>
    </w:p>
    <w:p w14:paraId="5573B167">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w:t>
      </w:r>
      <w:r>
        <w:rPr>
          <w:rFonts w:hint="eastAsia" w:ascii="宋体" w:hAnsi="宋体" w:eastAsia="宋体" w:cs="宋体"/>
          <w:bCs/>
          <w:color w:val="auto"/>
          <w:szCs w:val="21"/>
          <w:highlight w:val="none"/>
          <w:lang w:val="en-US" w:eastAsia="zh-CN"/>
        </w:rPr>
        <w:t>6</w:t>
      </w:r>
      <w:r>
        <w:rPr>
          <w:rFonts w:hint="eastAsia" w:ascii="宋体" w:hAnsi="宋体" w:eastAsia="宋体" w:cs="宋体"/>
          <w:bCs/>
          <w:color w:val="auto"/>
          <w:szCs w:val="21"/>
          <w:highlight w:val="none"/>
        </w:rPr>
        <w:t>.1.10.4评审委员会基于专业判断，认为供应商报价过低，有可能影响产品质量或者不能诚信履约的其他情形。</w:t>
      </w:r>
    </w:p>
    <w:p w14:paraId="3B9AD170">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相关法律法规对供应商报价有规定的，从其规定。</w:t>
      </w:r>
    </w:p>
    <w:p w14:paraId="377BFB1C">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w:t>
      </w:r>
      <w:r>
        <w:rPr>
          <w:rFonts w:hint="eastAsia" w:ascii="宋体" w:hAnsi="宋体" w:eastAsia="宋体" w:cs="宋体"/>
          <w:bCs/>
          <w:color w:val="auto"/>
          <w:szCs w:val="21"/>
          <w:highlight w:val="none"/>
          <w:lang w:val="en-US" w:eastAsia="zh-CN"/>
        </w:rPr>
        <w:t>6</w:t>
      </w:r>
      <w:r>
        <w:rPr>
          <w:rFonts w:hint="eastAsia" w:ascii="宋体" w:hAnsi="宋体" w:eastAsia="宋体" w:cs="宋体"/>
          <w:bCs/>
          <w:color w:val="auto"/>
          <w:szCs w:val="21"/>
          <w:highlight w:val="none"/>
        </w:rPr>
        <w:t>.1.10.5</w:t>
      </w:r>
      <w:r>
        <w:rPr>
          <w:rFonts w:hint="eastAsia" w:ascii="宋体" w:hAnsi="宋体" w:eastAsia="宋体" w:cs="宋体"/>
          <w:bCs/>
          <w:color w:val="auto"/>
          <w:szCs w:val="21"/>
          <w:highlight w:val="none"/>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1EF8837">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0ECC67A">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2C47BE46">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异常低价投标（响应）审查的启动原因、审查意见和审查结果应当在评审报告中记录，并随供应商提供的相关书面说明及证明材料，以及评审委员会有关互联网浏览、查询历史一并归档。</w:t>
      </w:r>
    </w:p>
    <w:p w14:paraId="313DAA7B">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26.1.11 投标文件未按照招标文件要求加盖电子签章。</w:t>
      </w:r>
    </w:p>
    <w:p w14:paraId="03488EBC">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26.1.12其他法律、法规及本招标文件规定的属无效投标的情形。</w:t>
      </w:r>
    </w:p>
    <w:p w14:paraId="64CD54D6">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26.2废标条款：</w:t>
      </w:r>
    </w:p>
    <w:p w14:paraId="7FBA7C17">
      <w:pPr>
        <w:keepNext w:val="0"/>
        <w:keepLines w:val="0"/>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bCs/>
          <w:color w:val="auto"/>
          <w:szCs w:val="21"/>
          <w:highlight w:val="none"/>
        </w:rPr>
        <w:t>26.2.1符合专业条件的供应商或者对招标文件作实质响应的供应商不足三家的。</w:t>
      </w:r>
    </w:p>
    <w:p w14:paraId="19040BF2">
      <w:pPr>
        <w:keepNext w:val="0"/>
        <w:keepLines w:val="0"/>
        <w:pageBreakBefore w:val="0"/>
        <w:widowControl w:val="0"/>
        <w:spacing w:line="360" w:lineRule="auto"/>
        <w:ind w:left="0" w:firstLine="420"/>
        <w:rPr>
          <w:rFonts w:hint="eastAsia" w:ascii="宋体" w:hAnsi="宋体" w:eastAsia="宋体" w:cs="宋体"/>
          <w:color w:val="auto"/>
          <w:highlight w:val="none"/>
          <w:lang w:eastAsia="zh-CN"/>
        </w:rPr>
      </w:pPr>
      <w:r>
        <w:rPr>
          <w:rFonts w:hint="eastAsia" w:ascii="宋体" w:hAnsi="宋体" w:eastAsia="宋体" w:cs="宋体"/>
          <w:bCs/>
          <w:color w:val="auto"/>
          <w:szCs w:val="21"/>
          <w:highlight w:val="none"/>
        </w:rPr>
        <w:t>26.2.2投标人的报价均超过采购预算或最高限价</w:t>
      </w:r>
      <w:r>
        <w:rPr>
          <w:rFonts w:hint="eastAsia" w:ascii="宋体" w:hAnsi="宋体" w:eastAsia="宋体" w:cs="宋体"/>
          <w:bCs/>
          <w:color w:val="auto"/>
          <w:szCs w:val="21"/>
          <w:highlight w:val="none"/>
          <w:lang w:eastAsia="zh-CN"/>
        </w:rPr>
        <w:t>。</w:t>
      </w:r>
    </w:p>
    <w:p w14:paraId="0EC12A64">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26.2.3出现影响采购公正的违法、违规行为的。</w:t>
      </w:r>
    </w:p>
    <w:p w14:paraId="4AA5E929">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26.2.4因重大变故，采购任务取消的。</w:t>
      </w:r>
    </w:p>
    <w:p w14:paraId="1325CE3D">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26.2.5评委会认定招标文件存在歧义、重大缺陷导致评审工作无法进行。</w:t>
      </w:r>
    </w:p>
    <w:p w14:paraId="4D3401E0">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26.3 投标截止时间结束后参加投标的投标人不足三家或者通过资格审查或符合性审查的投标人不足三家的，除采购任务取消情形外，按照以下方式处理： </w:t>
      </w:r>
    </w:p>
    <w:p w14:paraId="6F05FBF9">
      <w:pPr>
        <w:keepNext w:val="0"/>
        <w:keepLines w:val="0"/>
        <w:pageBreakBefore w:val="0"/>
        <w:widowControl w:val="0"/>
        <w:spacing w:line="360" w:lineRule="auto"/>
        <w:ind w:left="0" w:firstLine="42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26.3.1招标文件存在不合理条款或者招标程序不符合规定的，由采购人、代理机构改正后依法重新招标；</w:t>
      </w:r>
    </w:p>
    <w:p w14:paraId="5ADE2ED0">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26.3.2招标文件没有不合理条款、招标程序符合规定，需要采用其他采购方式采购的，采购人应当依法报财政部门批准。</w:t>
      </w:r>
    </w:p>
    <w:p w14:paraId="562C2DDC">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27、确定中标单位</w:t>
      </w:r>
    </w:p>
    <w:p w14:paraId="0BB29C05">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27.1评委会根据本招标文件规定评标方法与评标标准向采购人推荐出中标候选人。</w:t>
      </w:r>
    </w:p>
    <w:p w14:paraId="1E8C6C0B">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27.2 采购人应根据评委会推荐的中标候选人确定中标人。</w:t>
      </w:r>
    </w:p>
    <w:p w14:paraId="670A1484">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27.3代理机构将在“扬州市政府采购网”、“江苏政府采购网”、“中国政府采购网”发布中标公告，公告期限为1个工作日。</w:t>
      </w:r>
    </w:p>
    <w:p w14:paraId="36862415">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27.4若有充分证据证明，中标人出现下列情况之一的，一经查实，将被取消中标资格：</w:t>
      </w:r>
    </w:p>
    <w:p w14:paraId="202D49A6">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27.4.1提供虚假材料谋取中标的；</w:t>
      </w:r>
    </w:p>
    <w:p w14:paraId="3D572BAD">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27.4.2向采购人、代理机构行贿或者提供其他不正当利益的；</w:t>
      </w:r>
    </w:p>
    <w:p w14:paraId="77094490">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27.4.3恶意竞争，投标总报价明显低于其自身合理成本且又无法提供证明的；</w:t>
      </w:r>
    </w:p>
    <w:p w14:paraId="043AD512">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27.4.4属于本文件规定的无效条件，但在评标过程中又未被评委会发现的；</w:t>
      </w:r>
    </w:p>
    <w:p w14:paraId="6A236649">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27.4.5与采购人或者其他投标人恶意串通的；</w:t>
      </w:r>
    </w:p>
    <w:p w14:paraId="3180BC4D">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27.4.6采取不正当手段诋毁、排挤其他供应商的；</w:t>
      </w:r>
    </w:p>
    <w:p w14:paraId="7580F312">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27.4.7不符合法律、法规的规定的。</w:t>
      </w:r>
    </w:p>
    <w:p w14:paraId="13BE3828">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27.5. 有下列情形之一的，视为投标人串通投标，投标无效：</w:t>
      </w:r>
    </w:p>
    <w:p w14:paraId="03E9CF8B">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27.5.1不同投标人的投标文件由同一单位或者个人编制。</w:t>
      </w:r>
    </w:p>
    <w:p w14:paraId="7DB187F6">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27.5.2不同投标人委托同一单位或者个人办理投标事宜。</w:t>
      </w:r>
    </w:p>
    <w:p w14:paraId="4552D9BD">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经查实，不同投标人的电子投标文件出自同一台电脑的；不同投标人的标书制作工具客户端标识码存在一致的；不同投标人从同一互联网协议地址上传投标文件的。</w:t>
      </w:r>
    </w:p>
    <w:p w14:paraId="3A085F67">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27.5.3 不同投标人的投标文件载明的项目管理成员或者联系人员为同一人。</w:t>
      </w:r>
    </w:p>
    <w:p w14:paraId="2914F780">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27.5.4不同投标人的投标文件异常一致或者投标报价呈规律性差异。</w:t>
      </w:r>
    </w:p>
    <w:p w14:paraId="3AF83FB6">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27.5.5不同投标人的投标文件相互混装。</w:t>
      </w:r>
    </w:p>
    <w:p w14:paraId="1790989B">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28、质疑处理</w:t>
      </w:r>
    </w:p>
    <w:p w14:paraId="7939B0CE">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28.1提出质疑的供应商应当是参与所质疑项目采购活动的供应商。潜在供应商依法获取其可质疑的采购文件的，可以对采购文件提出质疑。</w:t>
      </w:r>
    </w:p>
    <w:p w14:paraId="0D7AD9BA">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对项目需求部分的质疑，潜在供应商应向采购人或代理机构提出，由采购人或代理机构负责答复。</w:t>
      </w:r>
    </w:p>
    <w:p w14:paraId="0B24FB07">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28.2投标人认为采购文件、采购过程和中标或成交结果使自己的权益受到损害的，可以在知道或应知其权益受到损害之日起7个工作日内，以书面形式向采购人或代理机构提出质疑。</w:t>
      </w:r>
    </w:p>
    <w:p w14:paraId="7F38580C">
      <w:pPr>
        <w:keepNext w:val="0"/>
        <w:keepLines w:val="0"/>
        <w:pageBreakBefore w:val="0"/>
        <w:widowControl w:val="0"/>
        <w:spacing w:line="360" w:lineRule="auto"/>
        <w:ind w:left="0" w:firstLine="420"/>
        <w:jc w:val="left"/>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rPr>
        <w:t>28.2.1对采购文件提出质疑的，应当在获取采购文件之日或者采购文件公告期限届满之日起7个工作日内提出。</w:t>
      </w:r>
    </w:p>
    <w:p w14:paraId="5E1F55A8">
      <w:pPr>
        <w:keepNext w:val="0"/>
        <w:keepLines w:val="0"/>
        <w:pageBreakBefore w:val="0"/>
        <w:widowControl w:val="0"/>
        <w:spacing w:line="360" w:lineRule="auto"/>
        <w:ind w:left="0" w:firstLine="420"/>
        <w:jc w:val="left"/>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rPr>
        <w:t>28.2.2对采购过程提出质疑的，为各采购程序环节结束之日起7个工作日内提出。</w:t>
      </w:r>
    </w:p>
    <w:p w14:paraId="3CA08782">
      <w:pPr>
        <w:keepNext w:val="0"/>
        <w:keepLines w:val="0"/>
        <w:pageBreakBefore w:val="0"/>
        <w:widowControl w:val="0"/>
        <w:spacing w:line="360" w:lineRule="auto"/>
        <w:ind w:left="0" w:firstLine="42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28.2.3对中标结果提出质疑的，为中标结果公告期限届满之日起7个工作日内提出。</w:t>
      </w:r>
    </w:p>
    <w:p w14:paraId="77AA90A2">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28.3供应商应在法定质疑期内一次性提出针对同一采购程序环节的质疑。供应商如在法定期限内对同一采购程序环节提出多次质疑的，代理机构、采购人将只对供应商第一次质疑作出答复。</w:t>
      </w:r>
    </w:p>
    <w:p w14:paraId="7AE16F3A">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28.4质疑函必须按照《质疑函范本》及《授权委托书》要求的格式和内容进行填写，格式见网址：http://zfcg.yangzhou.gov.cn。供应商如组成联合体参加投标，则《质疑函范本》及《授权委托书》中要求签字、盖章、加盖公章之处，联合体各方均须按要求签字、盖章、加盖公章。</w:t>
      </w:r>
    </w:p>
    <w:p w14:paraId="2AD67F3D">
      <w:pPr>
        <w:keepNext w:val="0"/>
        <w:keepLines w:val="0"/>
        <w:pageBreakBefore w:val="0"/>
        <w:widowControl w:val="0"/>
        <w:spacing w:line="360" w:lineRule="auto"/>
        <w:ind w:left="0" w:firstLine="42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 xml:space="preserve">28.5 </w:t>
      </w:r>
      <w:r>
        <w:rPr>
          <w:rFonts w:hint="eastAsia" w:ascii="宋体" w:hAnsi="宋体" w:eastAsia="宋体" w:cs="宋体"/>
          <w:color w:val="auto"/>
          <w:szCs w:val="21"/>
          <w:highlight w:val="none"/>
        </w:rPr>
        <w:t>提出质疑的供应商（以下简称质疑供应商）应当是参与所质疑项目采购活动的供应商。</w:t>
      </w:r>
    </w:p>
    <w:p w14:paraId="4C633DDC">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潜在供应商已依法获取其可质疑的采购文件的，可以对该文件提出质疑。对采购文件提出质疑的，应当在获取采购文件或者采购文件公告期限届满之日起7个工作日内提出。</w:t>
      </w:r>
    </w:p>
    <w:p w14:paraId="31E6CD2A">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28.6代理机构及采购人只接收以纸质原件形式送达的质疑。</w:t>
      </w:r>
    </w:p>
    <w:p w14:paraId="4B700130">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采购人质疑接收人及联系方式见招标文件第一章。</w:t>
      </w:r>
    </w:p>
    <w:p w14:paraId="564368C7">
      <w:pPr>
        <w:keepNext w:val="0"/>
        <w:keepLines w:val="0"/>
        <w:pageBreakBefore w:val="0"/>
        <w:widowControl w:val="0"/>
        <w:spacing w:line="360" w:lineRule="auto"/>
        <w:ind w:left="0" w:firstLine="42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28.7</w:t>
      </w:r>
      <w:r>
        <w:rPr>
          <w:rFonts w:hint="eastAsia" w:ascii="宋体" w:hAnsi="宋体" w:eastAsia="宋体" w:cs="宋体"/>
          <w:color w:val="auto"/>
          <w:szCs w:val="21"/>
          <w:highlight w:val="none"/>
        </w:rPr>
        <w:t>供应商提出质疑应当提交质疑函和必要的证明材料。质疑函应当包括下列内容：</w:t>
      </w:r>
    </w:p>
    <w:p w14:paraId="6C738CC6">
      <w:pPr>
        <w:keepNext w:val="0"/>
        <w:keepLines w:val="0"/>
        <w:pageBreakBefore w:val="0"/>
        <w:widowControl w:val="0"/>
        <w:spacing w:line="360" w:lineRule="auto"/>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28.7.1供应商的姓名或者名称、地址、邮编、联系人及联系电话；</w:t>
      </w:r>
    </w:p>
    <w:p w14:paraId="476643E9">
      <w:pPr>
        <w:keepNext w:val="0"/>
        <w:keepLines w:val="0"/>
        <w:pageBreakBefore w:val="0"/>
        <w:widowControl w:val="0"/>
        <w:spacing w:line="360" w:lineRule="auto"/>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28.7.2质疑项目的名称、编号；</w:t>
      </w:r>
    </w:p>
    <w:p w14:paraId="32910A9F">
      <w:pPr>
        <w:keepNext w:val="0"/>
        <w:keepLines w:val="0"/>
        <w:pageBreakBefore w:val="0"/>
        <w:widowControl w:val="0"/>
        <w:spacing w:line="360" w:lineRule="auto"/>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28.7.3具体、明确的质疑事项和与质疑事项相关的请求；</w:t>
      </w:r>
    </w:p>
    <w:p w14:paraId="2686DD7B">
      <w:pPr>
        <w:keepNext w:val="0"/>
        <w:keepLines w:val="0"/>
        <w:pageBreakBefore w:val="0"/>
        <w:widowControl w:val="0"/>
        <w:spacing w:line="360" w:lineRule="auto"/>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28.7.4事实依据；</w:t>
      </w:r>
    </w:p>
    <w:p w14:paraId="14552EC2">
      <w:pPr>
        <w:keepNext w:val="0"/>
        <w:keepLines w:val="0"/>
        <w:pageBreakBefore w:val="0"/>
        <w:widowControl w:val="0"/>
        <w:spacing w:line="360" w:lineRule="auto"/>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28.7.5必要的法律依据；</w:t>
      </w:r>
    </w:p>
    <w:p w14:paraId="53474415">
      <w:pPr>
        <w:keepNext w:val="0"/>
        <w:keepLines w:val="0"/>
        <w:pageBreakBefore w:val="0"/>
        <w:widowControl w:val="0"/>
        <w:spacing w:line="360" w:lineRule="auto"/>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28.7.6提出质疑的日期。</w:t>
      </w:r>
    </w:p>
    <w:p w14:paraId="3D0BA246">
      <w:pPr>
        <w:keepNext w:val="0"/>
        <w:keepLines w:val="0"/>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szCs w:val="21"/>
          <w:highlight w:val="none"/>
        </w:rPr>
        <w:t>供应商为自然人的，应当由本人签字；供应商为法人或者其他组织的，应当由法定代表人、主要负责人，或者其授权代表签字或者盖章，并加盖公章。</w:t>
      </w:r>
    </w:p>
    <w:p w14:paraId="295EF842">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28.8代理机构收到质疑申请后，将对质疑的形式和内容进行审查，如质疑内容、格式不符合规定，代理机构将告知质疑人进行补正。</w:t>
      </w:r>
    </w:p>
    <w:p w14:paraId="1923DE78">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28.7质疑人应当在法定质疑期限内进行补正并重新提交质疑函，拒不补正或者在法定期限内未重新提交质疑函的，为无效质疑，采购代理机构有权不予受理。</w:t>
      </w:r>
    </w:p>
    <w:p w14:paraId="018D37DF">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28.8 以下情形的质疑不予受理</w:t>
      </w:r>
    </w:p>
    <w:p w14:paraId="43A1F955">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28.8.1 内容不符合《政府采购质疑和投诉办法》第十二条规定的质疑。</w:t>
      </w:r>
    </w:p>
    <w:p w14:paraId="3CAD4483">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28.8.2 超出政府采购法定期限的质疑。</w:t>
      </w:r>
    </w:p>
    <w:p w14:paraId="4FC189EE">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28.8.3 以传真、电子邮件等方式递交的非原件形式的质疑。</w:t>
      </w:r>
    </w:p>
    <w:p w14:paraId="64716887">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28.8.4 未参加投标活动的供应商或在投标活动中自身权益未受到损害的供应商所提出的质疑。</w:t>
      </w:r>
    </w:p>
    <w:p w14:paraId="67A9C2F3">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28.8.5供应商组成联合体参加投标，联合体中任何一方或多方未按要求签字、盖章、加盖公章的质疑。</w:t>
      </w:r>
    </w:p>
    <w:p w14:paraId="5C705BA7">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28.9代理机构应当在收到供应商的书面质疑后7个工作日内作出答复，并以书面形式通知质疑供应商和其他有关供应商，但答复的内容不得涉及商业秘密。</w:t>
      </w:r>
    </w:p>
    <w:p w14:paraId="6A8511D0">
      <w:pPr>
        <w:keepNext w:val="0"/>
        <w:keepLines w:val="0"/>
        <w:pageBreakBefore w:val="0"/>
        <w:widowControl w:val="0"/>
        <w:spacing w:line="360" w:lineRule="auto"/>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28.10 诚实信用</w:t>
      </w:r>
    </w:p>
    <w:p w14:paraId="4F2694B4">
      <w:pPr>
        <w:keepNext w:val="0"/>
        <w:keepLines w:val="0"/>
        <w:pageBreakBefore w:val="0"/>
        <w:widowControl w:val="0"/>
        <w:spacing w:line="360" w:lineRule="auto"/>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28.10.1 投标人之间不得相互串通投标报价，不得妨碍其他投标人的公平竞争，不得损害采购人和其他投标人的合法权益。</w:t>
      </w:r>
    </w:p>
    <w:p w14:paraId="39AA7ABB">
      <w:pPr>
        <w:keepNext w:val="0"/>
        <w:keepLines w:val="0"/>
        <w:pageBreakBefore w:val="0"/>
        <w:widowControl w:val="0"/>
        <w:spacing w:line="360" w:lineRule="auto"/>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28.10.2 投标人不得以向代理机构工作人员、评标委员会成员行贿或者采取其他不正当手段谋取中标。经查实投标人有此行为的，政府采购管理部门将投标人列入不良行为记录名单，按照《政府采购法》有关规定处理。</w:t>
      </w:r>
    </w:p>
    <w:p w14:paraId="2B801A0A">
      <w:pPr>
        <w:keepNext w:val="0"/>
        <w:keepLines w:val="0"/>
        <w:pageBreakBefore w:val="0"/>
        <w:widowControl w:val="0"/>
        <w:spacing w:line="360" w:lineRule="auto"/>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28.10.3 投标人提出书面质疑必须有理、有据，不得虚假质疑和恶意质疑，并对质疑内容的真实性承担责任。一经查实，代理机构有权依据政府采购的有关规定，报请政府采购监管部门对该投标人进行相应的行政处罚并在网站上予以公示。如果投标人或者其他利害关系人通过捏造事实、伪造证明材料等方式提出质疑，干扰政府采购活动正常进行的，属于严重不良行为，代理机构将提请政府采购监管部门将其列入不良行为记录名单，并依法予以处罚。</w:t>
      </w:r>
    </w:p>
    <w:p w14:paraId="42139993">
      <w:pPr>
        <w:keepNext w:val="0"/>
        <w:keepLines w:val="0"/>
        <w:pageBreakBefore w:val="0"/>
        <w:widowControl w:val="0"/>
        <w:spacing w:line="360" w:lineRule="auto"/>
        <w:ind w:left="0"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28.10.4 投标人不得虚假承诺，否则，按照提供虚假材料谋取中标成交处理。</w:t>
      </w:r>
    </w:p>
    <w:p w14:paraId="12089896">
      <w:pPr>
        <w:keepNext w:val="0"/>
        <w:keepLines w:val="0"/>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szCs w:val="21"/>
          <w:highlight w:val="none"/>
        </w:rPr>
        <w:t>28.10.5 投标人应自觉遵守开标、评标纪律，扰乱开标评标现场秩序的，属于失信行为，根据《江苏省政府采购供应商监督管理暂行办法》，失信行为将被记入投标人诚信档案。</w:t>
      </w:r>
    </w:p>
    <w:p w14:paraId="197B2D73">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29、中标通知书</w:t>
      </w:r>
    </w:p>
    <w:p w14:paraId="3308D8A8">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29.l 中标结果确定后，代理机构将向中标人发出中标通知书。</w:t>
      </w:r>
    </w:p>
    <w:p w14:paraId="7D62147F">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29.2 中标人可在“政府采购管理交易系统（苏采云）”中标通知书下载模块中自行下载中标通知书。</w:t>
      </w:r>
    </w:p>
    <w:p w14:paraId="77DC3D24">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29.3中标通知书将是合同的一个组成部分。对采购人和中标人均具有法律效力。中标通知书发出后，采购人改变中标结果的，或者中标人放弃中标项目的，应当依法承担法律责任。</w:t>
      </w:r>
    </w:p>
    <w:p w14:paraId="4CC91BD6">
      <w:pPr>
        <w:keepNext w:val="0"/>
        <w:keepLines w:val="0"/>
        <w:pageBreakBefore w:val="0"/>
        <w:widowControl w:val="0"/>
        <w:spacing w:line="360" w:lineRule="auto"/>
        <w:ind w:left="0"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30、 签订合同</w:t>
      </w:r>
    </w:p>
    <w:p w14:paraId="28420453">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30.l中标人应在中标通知书发出之日起</w:t>
      </w:r>
      <w:r>
        <w:rPr>
          <w:rFonts w:hint="eastAsia" w:ascii="宋体" w:hAnsi="宋体" w:eastAsia="宋体" w:cs="宋体"/>
          <w:bCs/>
          <w:color w:val="auto"/>
          <w:szCs w:val="21"/>
          <w:highlight w:val="none"/>
          <w:lang w:val="en-US" w:eastAsia="zh-CN"/>
        </w:rPr>
        <w:t>十五</w:t>
      </w:r>
      <w:r>
        <w:rPr>
          <w:rFonts w:hint="eastAsia" w:ascii="宋体" w:hAnsi="宋体" w:eastAsia="宋体" w:cs="宋体"/>
          <w:bCs/>
          <w:color w:val="auto"/>
          <w:szCs w:val="21"/>
          <w:highlight w:val="none"/>
        </w:rPr>
        <w:t>日内，按照招标文件确定的事项与采购人签订政府采购合同。</w:t>
      </w:r>
    </w:p>
    <w:p w14:paraId="30A95B62">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30.2 招标文件、中标人的投标文件及招标过程中有关澄清、承诺文件均应作为合同附件。</w:t>
      </w:r>
    </w:p>
    <w:p w14:paraId="1F7F1CD3">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30.3 合同在“政府采购管理交易系统（苏采云）”中签订，签订合同后，</w:t>
      </w:r>
      <w:r>
        <w:rPr>
          <w:rFonts w:hint="eastAsia" w:ascii="宋体" w:hAnsi="宋体" w:eastAsia="宋体" w:cs="宋体"/>
          <w:bCs/>
          <w:i/>
          <w:iCs/>
          <w:color w:val="auto"/>
          <w:szCs w:val="21"/>
          <w:highlight w:val="none"/>
          <w:u w:val="single"/>
        </w:rPr>
        <w:t>中标人不得将货物或服务及其他服务进行转包</w:t>
      </w:r>
      <w:r>
        <w:rPr>
          <w:rFonts w:hint="eastAsia" w:ascii="宋体" w:hAnsi="宋体" w:eastAsia="宋体" w:cs="宋体"/>
          <w:bCs/>
          <w:color w:val="auto"/>
          <w:szCs w:val="21"/>
          <w:highlight w:val="none"/>
        </w:rPr>
        <w:t>。未经采购人同意，中标人也不得采用分包的形式履行合同，否则采购人有权终止合同，中标人的履约保证金将不予退还。转包或分包造成采购人损失的，中标人应承担赔偿责任。</w:t>
      </w:r>
    </w:p>
    <w:p w14:paraId="5EAF467A">
      <w:pPr>
        <w:keepNext w:val="0"/>
        <w:keepLines w:val="0"/>
        <w:pageBreakBefore w:val="0"/>
        <w:widowControl w:val="0"/>
        <w:spacing w:line="360" w:lineRule="auto"/>
        <w:ind w:left="0"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30.4采购人不得向中标人提出任何不合理的要求作为签订合同的条件，不得与中标人私下订立背离合同实质性内容的协议。所签订的合同不得对招标文件确定事项和中标人投标文件作实质性修改。</w:t>
      </w:r>
    </w:p>
    <w:p w14:paraId="36125793">
      <w:pPr>
        <w:keepNext w:val="0"/>
        <w:keepLines w:val="0"/>
        <w:pageBreakBefore w:val="0"/>
        <w:widowControl w:val="0"/>
        <w:spacing w:line="360" w:lineRule="auto"/>
        <w:ind w:left="0" w:firstLine="422"/>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rPr>
        <w:t>31</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其他</w:t>
      </w:r>
    </w:p>
    <w:p w14:paraId="68BA41E8">
      <w:pPr>
        <w:keepNext w:val="0"/>
        <w:keepLines w:val="0"/>
        <w:pageBreakBefore w:val="0"/>
        <w:widowControl w:val="0"/>
        <w:spacing w:line="360" w:lineRule="auto"/>
        <w:ind w:left="0" w:firstLine="420"/>
        <w:rPr>
          <w:rFonts w:hint="eastAsia" w:ascii="宋体" w:hAnsi="宋体" w:eastAsia="宋体" w:cs="Times New Roman"/>
          <w:bCs/>
          <w:color w:val="auto"/>
          <w:szCs w:val="21"/>
          <w:highlight w:val="none"/>
        </w:rPr>
      </w:pPr>
      <w:r>
        <w:rPr>
          <w:rFonts w:hint="eastAsia" w:ascii="宋体" w:hAnsi="宋体" w:eastAsia="宋体" w:cs="宋体"/>
          <w:bCs/>
          <w:color w:val="auto"/>
          <w:szCs w:val="21"/>
          <w:highlight w:val="none"/>
        </w:rPr>
        <w:t>31.1 依据《政府采购促进中小企业发展管理办法》享受扶持政策获得政府采购合同的，小微企业不得将合同分包给大中型企业，中型企业不得将合同分包给大型企业。</w:t>
      </w:r>
    </w:p>
    <w:p w14:paraId="2D01EB19">
      <w:pPr>
        <w:spacing w:line="440" w:lineRule="exact"/>
        <w:ind w:firstLine="420"/>
        <w:jc w:val="center"/>
        <w:rPr>
          <w:rFonts w:hint="eastAsia" w:ascii="宋体" w:hAnsi="宋体"/>
          <w:b/>
          <w:bCs/>
          <w:color w:val="auto"/>
          <w:szCs w:val="36"/>
          <w:highlight w:val="none"/>
        </w:rPr>
        <w:sectPr>
          <w:footerReference r:id="rId7" w:type="default"/>
          <w:pgSz w:w="11906" w:h="16838"/>
          <w:pgMar w:top="1440" w:right="1797" w:bottom="1440" w:left="1797" w:header="851" w:footer="992" w:gutter="0"/>
          <w:pgNumType w:start="1"/>
          <w:cols w:space="720" w:num="1"/>
          <w:docGrid w:linePitch="360" w:charSpace="0"/>
        </w:sectPr>
      </w:pPr>
      <w:bookmarkStart w:id="53" w:name="_Toc55204179"/>
    </w:p>
    <w:p w14:paraId="758854FF">
      <w:pPr>
        <w:spacing w:line="440" w:lineRule="exact"/>
        <w:ind w:firstLine="420"/>
        <w:jc w:val="center"/>
        <w:rPr>
          <w:color w:val="auto"/>
          <w:sz w:val="44"/>
          <w:szCs w:val="48"/>
          <w:highlight w:val="none"/>
        </w:rPr>
      </w:pPr>
      <w:r>
        <w:rPr>
          <w:rFonts w:hint="eastAsia" w:ascii="宋体" w:hAnsi="宋体"/>
          <w:b/>
          <w:bCs/>
          <w:color w:val="auto"/>
          <w:sz w:val="44"/>
          <w:szCs w:val="72"/>
          <w:highlight w:val="none"/>
        </w:rPr>
        <w:t>第三章 合同条款及格式</w:t>
      </w:r>
      <w:bookmarkEnd w:id="53"/>
    </w:p>
    <w:p w14:paraId="24111F61">
      <w:pPr>
        <w:pStyle w:val="20"/>
        <w:spacing w:before="120" w:after="120" w:line="360" w:lineRule="auto"/>
        <w:ind w:firstLine="420"/>
        <w:rPr>
          <w:rFonts w:hint="eastAsia" w:hAnsi="宋体"/>
          <w:color w:val="auto"/>
          <w:sz w:val="21"/>
          <w:highlight w:val="none"/>
        </w:rPr>
      </w:pPr>
      <w:r>
        <w:rPr>
          <w:rFonts w:hint="eastAsia" w:hAnsi="宋体"/>
          <w:color w:val="auto"/>
          <w:sz w:val="21"/>
          <w:highlight w:val="none"/>
        </w:rPr>
        <w:t>以下为中标后</w:t>
      </w:r>
      <w:r>
        <w:rPr>
          <w:rFonts w:hint="eastAsia" w:hAnsi="宋体"/>
          <w:color w:val="auto"/>
          <w:sz w:val="21"/>
          <w:highlight w:val="none"/>
          <w:lang w:eastAsia="zh-CN"/>
        </w:rPr>
        <w:t>签订</w:t>
      </w:r>
      <w:r>
        <w:rPr>
          <w:rFonts w:hint="eastAsia" w:hAnsi="宋体"/>
          <w:color w:val="auto"/>
          <w:sz w:val="21"/>
          <w:highlight w:val="none"/>
        </w:rPr>
        <w:t>本项目合同的通用条款，中标人不得提出实质性的修改，关于专用条款将由采购人与中标人结合本项目具体情况协商后签订。</w:t>
      </w:r>
    </w:p>
    <w:p w14:paraId="1AE68C11">
      <w:pPr>
        <w:spacing w:before="163" w:line="500" w:lineRule="exact"/>
        <w:jc w:val="center"/>
        <w:rPr>
          <w:rFonts w:hint="default" w:ascii="仿宋" w:hAnsi="仿宋" w:eastAsia="仿宋"/>
          <w:b/>
          <w:color w:val="auto"/>
          <w:kern w:val="2"/>
          <w:highlight w:val="none"/>
        </w:rPr>
      </w:pPr>
    </w:p>
    <w:p w14:paraId="7839C238">
      <w:pPr>
        <w:spacing w:before="163" w:line="500" w:lineRule="exact"/>
        <w:jc w:val="center"/>
        <w:rPr>
          <w:rFonts w:hint="default" w:ascii="仿宋" w:hAnsi="仿宋" w:eastAsia="仿宋"/>
          <w:b/>
          <w:color w:val="auto"/>
          <w:kern w:val="2"/>
          <w:highlight w:val="none"/>
        </w:rPr>
      </w:pPr>
    </w:p>
    <w:p w14:paraId="1D8793C7">
      <w:pPr>
        <w:spacing w:before="163" w:line="500" w:lineRule="exact"/>
        <w:jc w:val="center"/>
        <w:rPr>
          <w:rFonts w:hint="default" w:ascii="仿宋" w:hAnsi="仿宋" w:eastAsia="仿宋"/>
          <w:color w:val="auto"/>
          <w:kern w:val="2"/>
          <w:sz w:val="48"/>
          <w:highlight w:val="none"/>
        </w:rPr>
      </w:pPr>
    </w:p>
    <w:p w14:paraId="035F57D8">
      <w:pPr>
        <w:spacing w:before="163" w:line="500" w:lineRule="exact"/>
        <w:jc w:val="center"/>
        <w:rPr>
          <w:rFonts w:hint="default" w:ascii="仿宋" w:hAnsi="仿宋" w:eastAsia="仿宋"/>
          <w:color w:val="auto"/>
          <w:kern w:val="2"/>
          <w:sz w:val="36"/>
          <w:highlight w:val="none"/>
        </w:rPr>
      </w:pPr>
    </w:p>
    <w:p w14:paraId="624C5793">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left="0" w:leftChars="0" w:firstLine="0" w:firstLineChars="0"/>
        <w:jc w:val="center"/>
        <w:rPr>
          <w:rFonts w:hint="eastAsia" w:ascii="Times New Roman" w:hAnsi="Times New Roman" w:eastAsia="方正小标宋_GBK" w:cs="方正小标宋_GBK"/>
          <w:caps w:val="0"/>
          <w:smallCaps w:val="0"/>
          <w:color w:val="auto"/>
          <w:kern w:val="2"/>
          <w:sz w:val="40"/>
          <w:szCs w:val="40"/>
          <w:highlight w:val="none"/>
          <w:lang w:val="en-US" w:eastAsia="zh-CN"/>
        </w:rPr>
      </w:pPr>
      <w:r>
        <w:rPr>
          <w:rFonts w:hint="eastAsia" w:ascii="Times New Roman" w:hAnsi="Times New Roman" w:eastAsia="方正小标宋_GBK" w:cs="方正小标宋_GBK"/>
          <w:caps w:val="0"/>
          <w:smallCaps w:val="0"/>
          <w:color w:val="auto"/>
          <w:kern w:val="2"/>
          <w:sz w:val="40"/>
          <w:szCs w:val="40"/>
          <w:highlight w:val="none"/>
          <w:lang w:val="en-US" w:eastAsia="zh-CN"/>
        </w:rPr>
        <w:t>江都城区污水处理设施特许经营项目</w:t>
      </w:r>
    </w:p>
    <w:p w14:paraId="54DA54EE">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left="0" w:leftChars="0" w:firstLine="0" w:firstLineChars="0"/>
        <w:jc w:val="center"/>
        <w:rPr>
          <w:rFonts w:hint="eastAsia" w:ascii="Times New Roman" w:hAnsi="Times New Roman" w:eastAsia="方正小标宋_GBK" w:cs="方正小标宋_GBK"/>
          <w:caps w:val="0"/>
          <w:smallCaps w:val="0"/>
          <w:color w:val="auto"/>
          <w:kern w:val="2"/>
          <w:sz w:val="40"/>
          <w:szCs w:val="40"/>
          <w:highlight w:val="none"/>
          <w:lang w:val="en-US" w:eastAsia="zh-CN"/>
        </w:rPr>
      </w:pPr>
      <w:r>
        <w:rPr>
          <w:rFonts w:hint="eastAsia" w:ascii="Times New Roman" w:hAnsi="Times New Roman" w:eastAsia="方正小标宋_GBK" w:cs="方正小标宋_GBK"/>
          <w:caps w:val="0"/>
          <w:smallCaps w:val="0"/>
          <w:color w:val="auto"/>
          <w:kern w:val="2"/>
          <w:sz w:val="40"/>
          <w:szCs w:val="40"/>
          <w:highlight w:val="none"/>
          <w:lang w:val="en-US" w:eastAsia="zh-CN"/>
        </w:rPr>
        <w:t>初步协议</w:t>
      </w:r>
    </w:p>
    <w:p w14:paraId="13282D9B">
      <w:pPr>
        <w:spacing w:before="163" w:after="24" w:line="500" w:lineRule="exact"/>
        <w:rPr>
          <w:rFonts w:hint="default" w:ascii="仿宋" w:hAnsi="仿宋" w:eastAsia="仿宋" w:cs="Times New Roman"/>
          <w:color w:val="auto"/>
          <w:kern w:val="2"/>
          <w:sz w:val="28"/>
          <w:highlight w:val="none"/>
        </w:rPr>
      </w:pPr>
    </w:p>
    <w:p w14:paraId="10441253">
      <w:pPr>
        <w:spacing w:before="163" w:after="24" w:line="500" w:lineRule="exact"/>
        <w:rPr>
          <w:rFonts w:hint="default" w:ascii="仿宋" w:hAnsi="仿宋" w:eastAsia="仿宋" w:cs="Times New Roman"/>
          <w:color w:val="auto"/>
          <w:kern w:val="2"/>
          <w:sz w:val="28"/>
          <w:highlight w:val="none"/>
        </w:rPr>
      </w:pPr>
    </w:p>
    <w:p w14:paraId="4BE7070B">
      <w:pPr>
        <w:spacing w:before="163" w:after="24" w:line="500" w:lineRule="exact"/>
        <w:rPr>
          <w:rFonts w:hint="default" w:ascii="仿宋" w:hAnsi="仿宋" w:eastAsia="仿宋" w:cs="Times New Roman"/>
          <w:color w:val="auto"/>
          <w:kern w:val="2"/>
          <w:sz w:val="28"/>
          <w:highlight w:val="none"/>
        </w:rPr>
      </w:pPr>
    </w:p>
    <w:p w14:paraId="460380E9">
      <w:pPr>
        <w:spacing w:before="163" w:after="24" w:line="500" w:lineRule="exact"/>
        <w:rPr>
          <w:rFonts w:hint="eastAsia" w:ascii="仿宋" w:hAnsi="仿宋" w:eastAsia="仿宋" w:cs="Times New Roman"/>
          <w:color w:val="auto"/>
          <w:kern w:val="2"/>
          <w:sz w:val="28"/>
          <w:highlight w:val="none"/>
        </w:rPr>
      </w:pPr>
    </w:p>
    <w:p w14:paraId="5EBA157F">
      <w:pPr>
        <w:spacing w:before="163" w:after="24" w:line="500" w:lineRule="exact"/>
        <w:rPr>
          <w:rFonts w:hint="eastAsia" w:ascii="仿宋" w:hAnsi="仿宋" w:eastAsia="仿宋" w:cs="Times New Roman"/>
          <w:color w:val="auto"/>
          <w:kern w:val="2"/>
          <w:sz w:val="28"/>
          <w:highlight w:val="none"/>
        </w:rPr>
      </w:pPr>
    </w:p>
    <w:p w14:paraId="79A24D9C">
      <w:pPr>
        <w:spacing w:before="163" w:after="24" w:line="500" w:lineRule="exact"/>
        <w:rPr>
          <w:rFonts w:hint="eastAsia" w:ascii="仿宋" w:hAnsi="仿宋" w:eastAsia="仿宋" w:cs="Times New Roman"/>
          <w:color w:val="auto"/>
          <w:kern w:val="2"/>
          <w:sz w:val="28"/>
          <w:highlight w:val="none"/>
        </w:rPr>
      </w:pPr>
    </w:p>
    <w:p w14:paraId="5119480F">
      <w:pPr>
        <w:spacing w:before="163" w:after="24" w:line="500" w:lineRule="exact"/>
        <w:rPr>
          <w:rFonts w:hint="eastAsia" w:ascii="仿宋" w:hAnsi="仿宋" w:eastAsia="仿宋" w:cs="Times New Roman"/>
          <w:color w:val="auto"/>
          <w:kern w:val="2"/>
          <w:sz w:val="28"/>
          <w:highlight w:val="none"/>
        </w:rPr>
      </w:pPr>
    </w:p>
    <w:p w14:paraId="34E7BB40">
      <w:pPr>
        <w:spacing w:before="163" w:after="24" w:line="500" w:lineRule="exact"/>
        <w:rPr>
          <w:rFonts w:hint="default" w:ascii="仿宋" w:hAnsi="仿宋" w:eastAsia="仿宋" w:cs="Times New Roman"/>
          <w:color w:val="auto"/>
          <w:kern w:val="2"/>
          <w:sz w:val="28"/>
          <w:highlight w:val="none"/>
        </w:rPr>
      </w:pPr>
    </w:p>
    <w:p w14:paraId="0C31231D">
      <w:pPr>
        <w:spacing w:before="163" w:after="24" w:line="500" w:lineRule="exact"/>
        <w:rPr>
          <w:rFonts w:hint="eastAsia" w:ascii="仿宋" w:hAnsi="仿宋" w:eastAsia="仿宋" w:cs="Times New Roman"/>
          <w:color w:val="auto"/>
          <w:kern w:val="2"/>
          <w:sz w:val="28"/>
          <w:highlight w:val="none"/>
        </w:rPr>
      </w:pPr>
    </w:p>
    <w:p w14:paraId="77AE9D99">
      <w:pPr>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firstLine="1400" w:firstLineChars="500"/>
        <w:textAlignment w:val="auto"/>
        <w:rPr>
          <w:rFonts w:hint="eastAsia" w:ascii="Times New Roman" w:hAnsi="Times New Roman" w:eastAsia="方正仿宋_GBK" w:cs="Times New Roman"/>
          <w:caps w:val="0"/>
          <w:smallCaps w:val="0"/>
          <w:color w:val="auto"/>
          <w:kern w:val="2"/>
          <w:sz w:val="28"/>
          <w:szCs w:val="28"/>
          <w:highlight w:val="none"/>
        </w:rPr>
      </w:pPr>
      <w:r>
        <w:rPr>
          <w:rFonts w:hint="eastAsia" w:ascii="Times New Roman" w:hAnsi="Times New Roman" w:eastAsia="方正仿宋_GBK" w:cs="Times New Roman"/>
          <w:caps w:val="0"/>
          <w:smallCaps w:val="0"/>
          <w:color w:val="auto"/>
          <w:kern w:val="2"/>
          <w:sz w:val="28"/>
          <w:szCs w:val="28"/>
          <w:highlight w:val="none"/>
        </w:rPr>
        <w:t>甲方：</w:t>
      </w:r>
    </w:p>
    <w:p w14:paraId="61AE53E2">
      <w:pPr>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firstLine="1400" w:firstLineChars="500"/>
        <w:textAlignment w:val="auto"/>
        <w:rPr>
          <w:rFonts w:hint="eastAsia" w:ascii="Times New Roman" w:hAnsi="Times New Roman" w:eastAsia="方正仿宋_GBK" w:cs="Times New Roman"/>
          <w:caps w:val="0"/>
          <w:smallCaps w:val="0"/>
          <w:color w:val="auto"/>
          <w:kern w:val="2"/>
          <w:sz w:val="28"/>
          <w:szCs w:val="28"/>
          <w:highlight w:val="none"/>
        </w:rPr>
      </w:pPr>
      <w:r>
        <w:rPr>
          <w:rFonts w:hint="eastAsia" w:ascii="Times New Roman" w:hAnsi="Times New Roman" w:eastAsia="方正仿宋_GBK" w:cs="Times New Roman"/>
          <w:caps w:val="0"/>
          <w:smallCaps w:val="0"/>
          <w:color w:val="auto"/>
          <w:kern w:val="2"/>
          <w:sz w:val="28"/>
          <w:szCs w:val="28"/>
          <w:highlight w:val="none"/>
        </w:rPr>
        <w:t>乙方：</w:t>
      </w:r>
    </w:p>
    <w:p w14:paraId="7973E321">
      <w:pPr>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firstLine="1400" w:firstLineChars="500"/>
        <w:textAlignment w:val="auto"/>
        <w:rPr>
          <w:rFonts w:hint="eastAsia" w:ascii="Times New Roman" w:hAnsi="Times New Roman" w:eastAsia="方正仿宋_GBK" w:cs="Times New Roman"/>
          <w:caps w:val="0"/>
          <w:smallCaps w:val="0"/>
          <w:color w:val="auto"/>
          <w:kern w:val="2"/>
          <w:sz w:val="28"/>
          <w:szCs w:val="28"/>
          <w:highlight w:val="none"/>
        </w:rPr>
      </w:pPr>
      <w:r>
        <w:rPr>
          <w:rFonts w:hint="eastAsia" w:ascii="Times New Roman" w:hAnsi="Times New Roman" w:eastAsia="方正仿宋_GBK" w:cs="Times New Roman"/>
          <w:caps w:val="0"/>
          <w:smallCaps w:val="0"/>
          <w:color w:val="auto"/>
          <w:kern w:val="2"/>
          <w:sz w:val="28"/>
          <w:szCs w:val="28"/>
          <w:highlight w:val="none"/>
        </w:rPr>
        <w:t>签订日期：</w:t>
      </w:r>
      <w:r>
        <w:rPr>
          <w:rFonts w:hint="eastAsia" w:ascii="Times New Roman" w:hAnsi="Times New Roman" w:eastAsia="方正仿宋_GBK" w:cs="Times New Roman"/>
          <w:caps w:val="0"/>
          <w:smallCaps w:val="0"/>
          <w:color w:val="auto"/>
          <w:kern w:val="2"/>
          <w:sz w:val="28"/>
          <w:szCs w:val="28"/>
          <w:highlight w:val="none"/>
          <w:lang w:val="en-US" w:eastAsia="zh-CN"/>
        </w:rPr>
        <w:t xml:space="preserve">    </w:t>
      </w:r>
      <w:r>
        <w:rPr>
          <w:rFonts w:hint="eastAsia" w:ascii="Times New Roman" w:hAnsi="Times New Roman" w:eastAsia="方正仿宋_GBK" w:cs="Times New Roman"/>
          <w:caps w:val="0"/>
          <w:smallCaps w:val="0"/>
          <w:color w:val="auto"/>
          <w:kern w:val="2"/>
          <w:sz w:val="28"/>
          <w:szCs w:val="28"/>
          <w:highlight w:val="none"/>
        </w:rPr>
        <w:t>年</w:t>
      </w:r>
      <w:r>
        <w:rPr>
          <w:rFonts w:hint="eastAsia" w:ascii="Times New Roman" w:hAnsi="Times New Roman" w:eastAsia="方正仿宋_GBK" w:cs="Times New Roman"/>
          <w:caps w:val="0"/>
          <w:smallCaps w:val="0"/>
          <w:color w:val="auto"/>
          <w:kern w:val="2"/>
          <w:sz w:val="28"/>
          <w:szCs w:val="28"/>
          <w:highlight w:val="none"/>
          <w:lang w:val="en-US" w:eastAsia="zh-CN"/>
        </w:rPr>
        <w:t xml:space="preserve">    </w:t>
      </w:r>
      <w:r>
        <w:rPr>
          <w:rFonts w:hint="eastAsia" w:ascii="Times New Roman" w:hAnsi="Times New Roman" w:eastAsia="方正仿宋_GBK" w:cs="Times New Roman"/>
          <w:caps w:val="0"/>
          <w:smallCaps w:val="0"/>
          <w:color w:val="auto"/>
          <w:kern w:val="2"/>
          <w:sz w:val="28"/>
          <w:szCs w:val="28"/>
          <w:highlight w:val="none"/>
        </w:rPr>
        <w:t>月</w:t>
      </w:r>
      <w:r>
        <w:rPr>
          <w:rFonts w:hint="eastAsia" w:ascii="Times New Roman" w:hAnsi="Times New Roman" w:eastAsia="方正仿宋_GBK" w:cs="Times New Roman"/>
          <w:caps w:val="0"/>
          <w:smallCaps w:val="0"/>
          <w:color w:val="auto"/>
          <w:kern w:val="2"/>
          <w:sz w:val="28"/>
          <w:szCs w:val="28"/>
          <w:highlight w:val="none"/>
          <w:lang w:val="en-US" w:eastAsia="zh-CN"/>
        </w:rPr>
        <w:t xml:space="preserve">    </w:t>
      </w:r>
      <w:r>
        <w:rPr>
          <w:rFonts w:hint="eastAsia" w:ascii="Times New Roman" w:hAnsi="Times New Roman" w:eastAsia="方正仿宋_GBK" w:cs="Times New Roman"/>
          <w:caps w:val="0"/>
          <w:smallCaps w:val="0"/>
          <w:color w:val="auto"/>
          <w:kern w:val="2"/>
          <w:sz w:val="28"/>
          <w:szCs w:val="28"/>
          <w:highlight w:val="none"/>
        </w:rPr>
        <w:t>日</w:t>
      </w:r>
    </w:p>
    <w:p w14:paraId="19425F65">
      <w:pPr>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firstLine="1400" w:firstLineChars="500"/>
        <w:textAlignment w:val="auto"/>
        <w:rPr>
          <w:rFonts w:hint="eastAsia" w:ascii="Times New Roman" w:hAnsi="Times New Roman" w:eastAsia="方正仿宋_GBK" w:cs="Times New Roman"/>
          <w:caps w:val="0"/>
          <w:smallCaps w:val="0"/>
          <w:color w:val="auto"/>
          <w:kern w:val="2"/>
          <w:sz w:val="28"/>
          <w:szCs w:val="28"/>
          <w:highlight w:val="none"/>
        </w:rPr>
      </w:pPr>
    </w:p>
    <w:p w14:paraId="072A9ABB">
      <w:pPr>
        <w:rPr>
          <w:color w:val="auto"/>
          <w:highlight w:val="none"/>
        </w:rPr>
        <w:sectPr>
          <w:headerReference r:id="rId10" w:type="first"/>
          <w:footerReference r:id="rId13" w:type="first"/>
          <w:headerReference r:id="rId8" w:type="default"/>
          <w:footerReference r:id="rId11" w:type="default"/>
          <w:headerReference r:id="rId9" w:type="even"/>
          <w:footerReference r:id="rId12" w:type="even"/>
          <w:pgSz w:w="11906" w:h="16838"/>
          <w:pgMar w:top="1440" w:right="1800" w:bottom="1440" w:left="1800" w:header="851" w:footer="992" w:gutter="0"/>
          <w:pgNumType w:start="58"/>
          <w:cols w:space="720" w:num="1"/>
          <w:titlePg/>
          <w:docGrid w:type="lines" w:linePitch="326" w:charSpace="0"/>
        </w:sectPr>
      </w:pPr>
    </w:p>
    <w:p w14:paraId="4CB32407">
      <w:pPr>
        <w:jc w:val="center"/>
        <w:rPr>
          <w:rFonts w:hint="eastAsia" w:ascii="方正仿宋_GBK" w:hAnsi="方正仿宋_GBK" w:eastAsia="方正仿宋_GBK" w:cs="方正仿宋_GBK"/>
          <w:b/>
          <w:bCs/>
          <w:color w:val="auto"/>
          <w:kern w:val="2"/>
          <w:sz w:val="32"/>
          <w:szCs w:val="24"/>
          <w:highlight w:val="none"/>
        </w:rPr>
      </w:pPr>
    </w:p>
    <w:p w14:paraId="59F13DE2">
      <w:pPr>
        <w:jc w:val="center"/>
        <w:rPr>
          <w:rFonts w:hint="eastAsia" w:ascii="方正仿宋_GBK" w:hAnsi="方正仿宋_GBK" w:eastAsia="方正仿宋_GBK" w:cs="方正仿宋_GBK"/>
          <w:b/>
          <w:bCs/>
          <w:color w:val="auto"/>
          <w:kern w:val="2"/>
          <w:sz w:val="32"/>
          <w:szCs w:val="24"/>
          <w:highlight w:val="none"/>
        </w:rPr>
      </w:pPr>
      <w:r>
        <w:rPr>
          <w:rFonts w:hint="eastAsia" w:ascii="方正仿宋_GBK" w:hAnsi="方正仿宋_GBK" w:eastAsia="方正仿宋_GBK" w:cs="方正仿宋_GBK"/>
          <w:b/>
          <w:bCs/>
          <w:color w:val="auto"/>
          <w:kern w:val="2"/>
          <w:sz w:val="32"/>
          <w:szCs w:val="24"/>
          <w:highlight w:val="none"/>
        </w:rPr>
        <w:t>目</w:t>
      </w:r>
      <w:r>
        <w:rPr>
          <w:rFonts w:hint="eastAsia" w:ascii="方正仿宋_GBK" w:hAnsi="方正仿宋_GBK" w:eastAsia="方正仿宋_GBK" w:cs="方正仿宋_GBK"/>
          <w:b/>
          <w:bCs/>
          <w:color w:val="auto"/>
          <w:kern w:val="2"/>
          <w:sz w:val="32"/>
          <w:szCs w:val="24"/>
          <w:highlight w:val="none"/>
          <w:lang w:val="en-US" w:eastAsia="zh-CN"/>
        </w:rPr>
        <w:t xml:space="preserve"> </w:t>
      </w:r>
      <w:r>
        <w:rPr>
          <w:rFonts w:hint="eastAsia" w:ascii="方正仿宋_GBK" w:hAnsi="方正仿宋_GBK" w:eastAsia="方正仿宋_GBK" w:cs="方正仿宋_GBK"/>
          <w:b/>
          <w:bCs/>
          <w:color w:val="auto"/>
          <w:kern w:val="2"/>
          <w:sz w:val="32"/>
          <w:szCs w:val="24"/>
          <w:highlight w:val="none"/>
        </w:rPr>
        <w:t>录</w:t>
      </w:r>
    </w:p>
    <w:p w14:paraId="5EF7A8AB">
      <w:pPr>
        <w:rPr>
          <w:rFonts w:hint="default" w:ascii="仿宋" w:hAnsi="仿宋" w:eastAsia="仿宋"/>
          <w:color w:val="auto"/>
          <w:kern w:val="2"/>
          <w:highlight w:val="none"/>
        </w:rPr>
      </w:pPr>
    </w:p>
    <w:p w14:paraId="2D8839C7">
      <w:pPr>
        <w:widowControl w:val="0"/>
        <w:tabs>
          <w:tab w:val="right" w:leader="dot" w:pos="8306"/>
        </w:tabs>
        <w:spacing w:line="360" w:lineRule="auto"/>
        <w:jc w:val="both"/>
        <w:rPr>
          <w:rFonts w:hint="default" w:ascii="Times New Roman" w:hAnsi="Times New Roman" w:eastAsia="方正仿宋_GBK" w:cs="Times New Roman"/>
          <w:color w:val="auto"/>
          <w:kern w:val="2"/>
          <w:sz w:val="24"/>
          <w:szCs w:val="22"/>
          <w:highlight w:val="none"/>
          <w:lang w:val="en-US" w:eastAsia="zh-CN" w:bidi="ar-SA"/>
        </w:rPr>
      </w:pPr>
      <w:r>
        <w:rPr>
          <w:rFonts w:hint="default" w:ascii="Times New Roman" w:hAnsi="Times New Roman" w:eastAsia="仿宋" w:cs="Times New Roman"/>
          <w:color w:val="auto"/>
          <w:kern w:val="2"/>
          <w:sz w:val="24"/>
          <w:szCs w:val="22"/>
          <w:highlight w:val="none"/>
          <w:lang w:val="en-US" w:eastAsia="zh-CN" w:bidi="ar-SA"/>
        </w:rPr>
        <w:fldChar w:fldCharType="begin"/>
      </w:r>
      <w:r>
        <w:rPr>
          <w:rFonts w:hint="default" w:ascii="Times New Roman" w:hAnsi="Times New Roman" w:eastAsia="仿宋" w:cs="Times New Roman"/>
          <w:color w:val="auto"/>
          <w:kern w:val="2"/>
          <w:sz w:val="24"/>
          <w:szCs w:val="22"/>
          <w:highlight w:val="none"/>
          <w:lang w:val="en-US" w:eastAsia="zh-CN" w:bidi="ar-SA"/>
        </w:rPr>
        <w:instrText xml:space="preserve"> TOC \o "1-1" \h \z \u </w:instrText>
      </w:r>
      <w:r>
        <w:rPr>
          <w:rFonts w:hint="default" w:ascii="Times New Roman" w:hAnsi="Times New Roman" w:eastAsia="仿宋" w:cs="Times New Roman"/>
          <w:color w:val="auto"/>
          <w:kern w:val="2"/>
          <w:sz w:val="24"/>
          <w:szCs w:val="22"/>
          <w:highlight w:val="none"/>
          <w:lang w:val="en-US" w:eastAsia="zh-CN" w:bidi="ar-SA"/>
        </w:rPr>
        <w:fldChar w:fldCharType="separate"/>
      </w:r>
      <w:r>
        <w:rPr>
          <w:rFonts w:hint="default" w:ascii="Times New Roman" w:hAnsi="Times New Roman" w:eastAsia="方正仿宋_GBK" w:cs="Times New Roman"/>
          <w:color w:val="auto"/>
          <w:kern w:val="2"/>
          <w:sz w:val="24"/>
          <w:szCs w:val="22"/>
          <w:highlight w:val="none"/>
          <w:lang w:val="en-US" w:eastAsia="zh-CN" w:bidi="ar-SA"/>
        </w:rPr>
        <w:fldChar w:fldCharType="begin"/>
      </w:r>
      <w:r>
        <w:rPr>
          <w:rFonts w:hint="default" w:ascii="Times New Roman" w:hAnsi="Times New Roman" w:eastAsia="方正仿宋_GBK" w:cs="Times New Roman"/>
          <w:color w:val="auto"/>
          <w:kern w:val="2"/>
          <w:sz w:val="24"/>
          <w:szCs w:val="22"/>
          <w:highlight w:val="none"/>
          <w:lang w:val="en-US" w:eastAsia="zh-CN" w:bidi="ar-SA"/>
        </w:rPr>
        <w:instrText xml:space="preserve"> HYPERLINK \l _Toc3772 </w:instrText>
      </w:r>
      <w:r>
        <w:rPr>
          <w:rFonts w:hint="default" w:ascii="Times New Roman" w:hAnsi="Times New Roman" w:eastAsia="方正仿宋_GBK" w:cs="Times New Roman"/>
          <w:color w:val="auto"/>
          <w:kern w:val="2"/>
          <w:sz w:val="24"/>
          <w:szCs w:val="22"/>
          <w:highlight w:val="none"/>
          <w:lang w:val="en-US" w:eastAsia="zh-CN" w:bidi="ar-SA"/>
        </w:rPr>
        <w:fldChar w:fldCharType="separate"/>
      </w:r>
      <w:r>
        <w:rPr>
          <w:rFonts w:hint="default" w:ascii="Times New Roman" w:hAnsi="Times New Roman" w:eastAsia="方正仿宋_GBK" w:cs="Times New Roman"/>
          <w:i w:val="0"/>
          <w:color w:val="auto"/>
          <w:kern w:val="2"/>
          <w:sz w:val="24"/>
          <w:szCs w:val="22"/>
          <w:highlight w:val="none"/>
          <w:lang w:val="en-US" w:eastAsia="zh-CN" w:bidi="ar-SA"/>
        </w:rPr>
        <w:t xml:space="preserve">第1条 </w:t>
      </w:r>
      <w:r>
        <w:rPr>
          <w:rFonts w:hint="default" w:ascii="Times New Roman" w:hAnsi="Times New Roman" w:eastAsia="方正仿宋_GBK" w:cs="Times New Roman"/>
          <w:color w:val="auto"/>
          <w:kern w:val="2"/>
          <w:sz w:val="24"/>
          <w:szCs w:val="22"/>
          <w:highlight w:val="none"/>
          <w:lang w:val="en-US" w:eastAsia="zh-CN" w:bidi="ar-SA"/>
        </w:rPr>
        <w:t>定义及解释</w:t>
      </w:r>
      <w:r>
        <w:rPr>
          <w:rFonts w:hint="default" w:ascii="Times New Roman" w:hAnsi="Times New Roman" w:eastAsia="方正仿宋_GBK" w:cs="Times New Roman"/>
          <w:color w:val="auto"/>
          <w:kern w:val="2"/>
          <w:sz w:val="24"/>
          <w:szCs w:val="22"/>
          <w:highlight w:val="none"/>
          <w:lang w:val="en-US" w:eastAsia="zh-CN" w:bidi="ar-SA"/>
        </w:rPr>
        <w:tab/>
      </w:r>
      <w:r>
        <w:rPr>
          <w:rFonts w:hint="default" w:ascii="Times New Roman" w:hAnsi="Times New Roman" w:eastAsia="方正仿宋_GBK" w:cs="Times New Roman"/>
          <w:color w:val="auto"/>
          <w:kern w:val="2"/>
          <w:sz w:val="24"/>
          <w:szCs w:val="22"/>
          <w:highlight w:val="none"/>
          <w:lang w:val="en-US" w:eastAsia="zh-CN" w:bidi="ar-SA"/>
        </w:rPr>
        <w:fldChar w:fldCharType="begin"/>
      </w:r>
      <w:r>
        <w:rPr>
          <w:rFonts w:hint="default" w:ascii="Times New Roman" w:hAnsi="Times New Roman" w:eastAsia="方正仿宋_GBK" w:cs="Times New Roman"/>
          <w:color w:val="auto"/>
          <w:kern w:val="2"/>
          <w:sz w:val="24"/>
          <w:szCs w:val="22"/>
          <w:highlight w:val="none"/>
          <w:lang w:val="en-US" w:eastAsia="zh-CN" w:bidi="ar-SA"/>
        </w:rPr>
        <w:instrText xml:space="preserve"> PAGEREF _Toc3772 \h </w:instrText>
      </w:r>
      <w:r>
        <w:rPr>
          <w:rFonts w:hint="default" w:ascii="Times New Roman" w:hAnsi="Times New Roman" w:eastAsia="方正仿宋_GBK" w:cs="Times New Roman"/>
          <w:color w:val="auto"/>
          <w:kern w:val="2"/>
          <w:sz w:val="24"/>
          <w:szCs w:val="22"/>
          <w:highlight w:val="none"/>
          <w:lang w:val="en-US" w:eastAsia="zh-CN" w:bidi="ar-SA"/>
        </w:rPr>
        <w:fldChar w:fldCharType="separate"/>
      </w:r>
      <w:r>
        <w:rPr>
          <w:rFonts w:hint="default" w:ascii="Times New Roman" w:hAnsi="Times New Roman" w:eastAsia="方正仿宋_GBK" w:cs="Times New Roman"/>
          <w:color w:val="auto"/>
          <w:kern w:val="2"/>
          <w:sz w:val="24"/>
          <w:szCs w:val="22"/>
          <w:highlight w:val="none"/>
          <w:lang w:val="en-US" w:eastAsia="zh-CN" w:bidi="ar-SA"/>
        </w:rPr>
        <w:t>3</w:t>
      </w:r>
      <w:r>
        <w:rPr>
          <w:rFonts w:hint="default" w:ascii="Times New Roman" w:hAnsi="Times New Roman" w:eastAsia="方正仿宋_GBK" w:cs="Times New Roman"/>
          <w:color w:val="auto"/>
          <w:kern w:val="2"/>
          <w:sz w:val="24"/>
          <w:szCs w:val="22"/>
          <w:highlight w:val="none"/>
          <w:lang w:val="en-US" w:eastAsia="zh-CN" w:bidi="ar-SA"/>
        </w:rPr>
        <w:fldChar w:fldCharType="end"/>
      </w:r>
      <w:r>
        <w:rPr>
          <w:rFonts w:hint="default" w:ascii="Times New Roman" w:hAnsi="Times New Roman" w:eastAsia="方正仿宋_GBK" w:cs="Times New Roman"/>
          <w:color w:val="auto"/>
          <w:kern w:val="2"/>
          <w:sz w:val="24"/>
          <w:szCs w:val="22"/>
          <w:highlight w:val="none"/>
          <w:lang w:val="en-US" w:eastAsia="zh-CN" w:bidi="ar-SA"/>
        </w:rPr>
        <w:fldChar w:fldCharType="end"/>
      </w:r>
    </w:p>
    <w:p w14:paraId="4536C5B7">
      <w:pPr>
        <w:widowControl w:val="0"/>
        <w:tabs>
          <w:tab w:val="right" w:leader="dot" w:pos="8306"/>
        </w:tabs>
        <w:spacing w:line="360" w:lineRule="auto"/>
        <w:jc w:val="both"/>
        <w:rPr>
          <w:rFonts w:hint="default" w:ascii="Times New Roman" w:hAnsi="Times New Roman" w:eastAsia="方正仿宋_GBK" w:cs="Times New Roman"/>
          <w:color w:val="auto"/>
          <w:kern w:val="2"/>
          <w:sz w:val="24"/>
          <w:szCs w:val="22"/>
          <w:highlight w:val="none"/>
          <w:lang w:val="en-US" w:eastAsia="zh-CN" w:bidi="ar-SA"/>
        </w:rPr>
      </w:pPr>
      <w:r>
        <w:rPr>
          <w:rFonts w:hint="default" w:ascii="Times New Roman" w:hAnsi="Times New Roman" w:eastAsia="方正仿宋_GBK" w:cs="Times New Roman"/>
          <w:color w:val="auto"/>
          <w:kern w:val="2"/>
          <w:sz w:val="24"/>
          <w:szCs w:val="22"/>
          <w:highlight w:val="none"/>
          <w:lang w:val="en-US" w:eastAsia="zh-CN" w:bidi="ar-SA"/>
        </w:rPr>
        <w:fldChar w:fldCharType="begin"/>
      </w:r>
      <w:r>
        <w:rPr>
          <w:rFonts w:hint="default" w:ascii="Times New Roman" w:hAnsi="Times New Roman" w:eastAsia="方正仿宋_GBK" w:cs="Times New Roman"/>
          <w:color w:val="auto"/>
          <w:kern w:val="2"/>
          <w:sz w:val="24"/>
          <w:szCs w:val="22"/>
          <w:highlight w:val="none"/>
          <w:lang w:val="en-US" w:eastAsia="zh-CN" w:bidi="ar-SA"/>
        </w:rPr>
        <w:instrText xml:space="preserve"> HYPERLINK \l _Toc10821 </w:instrText>
      </w:r>
      <w:r>
        <w:rPr>
          <w:rFonts w:hint="default" w:ascii="Times New Roman" w:hAnsi="Times New Roman" w:eastAsia="方正仿宋_GBK" w:cs="Times New Roman"/>
          <w:color w:val="auto"/>
          <w:kern w:val="2"/>
          <w:sz w:val="24"/>
          <w:szCs w:val="22"/>
          <w:highlight w:val="none"/>
          <w:lang w:val="en-US" w:eastAsia="zh-CN" w:bidi="ar-SA"/>
        </w:rPr>
        <w:fldChar w:fldCharType="separate"/>
      </w:r>
      <w:r>
        <w:rPr>
          <w:rFonts w:hint="default" w:ascii="Times New Roman" w:hAnsi="Times New Roman" w:eastAsia="方正仿宋_GBK" w:cs="Times New Roman"/>
          <w:i w:val="0"/>
          <w:color w:val="auto"/>
          <w:kern w:val="2"/>
          <w:sz w:val="24"/>
          <w:szCs w:val="22"/>
          <w:highlight w:val="none"/>
          <w:lang w:val="en-US" w:eastAsia="zh-CN" w:bidi="ar-SA"/>
        </w:rPr>
        <w:t xml:space="preserve">第2条 </w:t>
      </w:r>
      <w:r>
        <w:rPr>
          <w:rFonts w:hint="default" w:ascii="Times New Roman" w:hAnsi="Times New Roman" w:eastAsia="方正仿宋_GBK" w:cs="Times New Roman"/>
          <w:color w:val="auto"/>
          <w:kern w:val="2"/>
          <w:sz w:val="24"/>
          <w:szCs w:val="22"/>
          <w:highlight w:val="none"/>
          <w:lang w:val="en-US" w:eastAsia="zh-CN" w:bidi="ar-SA"/>
        </w:rPr>
        <w:t>合作关系建立</w:t>
      </w:r>
      <w:r>
        <w:rPr>
          <w:rFonts w:hint="default" w:ascii="Times New Roman" w:hAnsi="Times New Roman" w:eastAsia="方正仿宋_GBK" w:cs="Times New Roman"/>
          <w:color w:val="auto"/>
          <w:kern w:val="2"/>
          <w:sz w:val="24"/>
          <w:szCs w:val="22"/>
          <w:highlight w:val="none"/>
          <w:lang w:val="en-US" w:eastAsia="zh-CN" w:bidi="ar-SA"/>
        </w:rPr>
        <w:tab/>
      </w:r>
      <w:r>
        <w:rPr>
          <w:rFonts w:hint="default" w:ascii="Times New Roman" w:hAnsi="Times New Roman" w:eastAsia="方正仿宋_GBK" w:cs="Times New Roman"/>
          <w:color w:val="auto"/>
          <w:kern w:val="2"/>
          <w:sz w:val="24"/>
          <w:szCs w:val="22"/>
          <w:highlight w:val="none"/>
          <w:lang w:val="en-US" w:eastAsia="zh-CN" w:bidi="ar-SA"/>
        </w:rPr>
        <w:fldChar w:fldCharType="begin"/>
      </w:r>
      <w:r>
        <w:rPr>
          <w:rFonts w:hint="default" w:ascii="Times New Roman" w:hAnsi="Times New Roman" w:eastAsia="方正仿宋_GBK" w:cs="Times New Roman"/>
          <w:color w:val="auto"/>
          <w:kern w:val="2"/>
          <w:sz w:val="24"/>
          <w:szCs w:val="22"/>
          <w:highlight w:val="none"/>
          <w:lang w:val="en-US" w:eastAsia="zh-CN" w:bidi="ar-SA"/>
        </w:rPr>
        <w:instrText xml:space="preserve"> PAGEREF _Toc10821 \h </w:instrText>
      </w:r>
      <w:r>
        <w:rPr>
          <w:rFonts w:hint="default" w:ascii="Times New Roman" w:hAnsi="Times New Roman" w:eastAsia="方正仿宋_GBK" w:cs="Times New Roman"/>
          <w:color w:val="auto"/>
          <w:kern w:val="2"/>
          <w:sz w:val="24"/>
          <w:szCs w:val="22"/>
          <w:highlight w:val="none"/>
          <w:lang w:val="en-US" w:eastAsia="zh-CN" w:bidi="ar-SA"/>
        </w:rPr>
        <w:fldChar w:fldCharType="separate"/>
      </w:r>
      <w:r>
        <w:rPr>
          <w:rFonts w:hint="default" w:ascii="Times New Roman" w:hAnsi="Times New Roman" w:eastAsia="方正仿宋_GBK" w:cs="Times New Roman"/>
          <w:color w:val="auto"/>
          <w:kern w:val="2"/>
          <w:sz w:val="24"/>
          <w:szCs w:val="22"/>
          <w:highlight w:val="none"/>
          <w:lang w:val="en-US" w:eastAsia="zh-CN" w:bidi="ar-SA"/>
        </w:rPr>
        <w:t>5</w:t>
      </w:r>
      <w:r>
        <w:rPr>
          <w:rFonts w:hint="default" w:ascii="Times New Roman" w:hAnsi="Times New Roman" w:eastAsia="方正仿宋_GBK" w:cs="Times New Roman"/>
          <w:color w:val="auto"/>
          <w:kern w:val="2"/>
          <w:sz w:val="24"/>
          <w:szCs w:val="22"/>
          <w:highlight w:val="none"/>
          <w:lang w:val="en-US" w:eastAsia="zh-CN" w:bidi="ar-SA"/>
        </w:rPr>
        <w:fldChar w:fldCharType="end"/>
      </w:r>
      <w:r>
        <w:rPr>
          <w:rFonts w:hint="default" w:ascii="Times New Roman" w:hAnsi="Times New Roman" w:eastAsia="方正仿宋_GBK" w:cs="Times New Roman"/>
          <w:color w:val="auto"/>
          <w:kern w:val="2"/>
          <w:sz w:val="24"/>
          <w:szCs w:val="22"/>
          <w:highlight w:val="none"/>
          <w:lang w:val="en-US" w:eastAsia="zh-CN" w:bidi="ar-SA"/>
        </w:rPr>
        <w:fldChar w:fldCharType="end"/>
      </w:r>
    </w:p>
    <w:p w14:paraId="64504C83">
      <w:pPr>
        <w:widowControl w:val="0"/>
        <w:tabs>
          <w:tab w:val="right" w:leader="dot" w:pos="8306"/>
        </w:tabs>
        <w:spacing w:line="360" w:lineRule="auto"/>
        <w:jc w:val="both"/>
        <w:rPr>
          <w:rFonts w:hint="default" w:ascii="Times New Roman" w:hAnsi="Times New Roman" w:eastAsia="方正仿宋_GBK" w:cs="Times New Roman"/>
          <w:color w:val="auto"/>
          <w:kern w:val="2"/>
          <w:sz w:val="24"/>
          <w:szCs w:val="22"/>
          <w:highlight w:val="none"/>
          <w:lang w:val="en-US" w:eastAsia="zh-CN" w:bidi="ar-SA"/>
        </w:rPr>
      </w:pPr>
      <w:r>
        <w:rPr>
          <w:rFonts w:hint="default" w:ascii="Times New Roman" w:hAnsi="Times New Roman" w:eastAsia="方正仿宋_GBK" w:cs="Times New Roman"/>
          <w:color w:val="auto"/>
          <w:kern w:val="2"/>
          <w:sz w:val="24"/>
          <w:szCs w:val="22"/>
          <w:highlight w:val="none"/>
          <w:lang w:val="en-US" w:eastAsia="zh-CN" w:bidi="ar-SA"/>
        </w:rPr>
        <w:fldChar w:fldCharType="begin"/>
      </w:r>
      <w:r>
        <w:rPr>
          <w:rFonts w:hint="default" w:ascii="Times New Roman" w:hAnsi="Times New Roman" w:eastAsia="方正仿宋_GBK" w:cs="Times New Roman"/>
          <w:color w:val="auto"/>
          <w:kern w:val="2"/>
          <w:sz w:val="24"/>
          <w:szCs w:val="22"/>
          <w:highlight w:val="none"/>
          <w:lang w:val="en-US" w:eastAsia="zh-CN" w:bidi="ar-SA"/>
        </w:rPr>
        <w:instrText xml:space="preserve"> HYPERLINK \l _Toc21837 </w:instrText>
      </w:r>
      <w:r>
        <w:rPr>
          <w:rFonts w:hint="default" w:ascii="Times New Roman" w:hAnsi="Times New Roman" w:eastAsia="方正仿宋_GBK" w:cs="Times New Roman"/>
          <w:color w:val="auto"/>
          <w:kern w:val="2"/>
          <w:sz w:val="24"/>
          <w:szCs w:val="22"/>
          <w:highlight w:val="none"/>
          <w:lang w:val="en-US" w:eastAsia="zh-CN" w:bidi="ar-SA"/>
        </w:rPr>
        <w:fldChar w:fldCharType="separate"/>
      </w:r>
      <w:r>
        <w:rPr>
          <w:rFonts w:hint="default" w:ascii="Times New Roman" w:hAnsi="Times New Roman" w:eastAsia="方正仿宋_GBK" w:cs="Times New Roman"/>
          <w:i w:val="0"/>
          <w:color w:val="auto"/>
          <w:kern w:val="2"/>
          <w:sz w:val="24"/>
          <w:szCs w:val="28"/>
          <w:highlight w:val="none"/>
          <w:lang w:val="en-US" w:eastAsia="zh-CN" w:bidi="ar-SA"/>
        </w:rPr>
        <w:t xml:space="preserve">第3条 </w:t>
      </w:r>
      <w:r>
        <w:rPr>
          <w:rFonts w:hint="default" w:ascii="Times New Roman" w:hAnsi="Times New Roman" w:eastAsia="方正仿宋_GBK" w:cs="Times New Roman"/>
          <w:color w:val="auto"/>
          <w:kern w:val="2"/>
          <w:sz w:val="24"/>
          <w:szCs w:val="28"/>
          <w:highlight w:val="none"/>
          <w:lang w:val="en-US" w:eastAsia="zh-CN" w:bidi="ar-SA"/>
        </w:rPr>
        <w:t>项目公司组建</w:t>
      </w:r>
      <w:r>
        <w:rPr>
          <w:rFonts w:hint="default" w:ascii="Times New Roman" w:hAnsi="Times New Roman" w:eastAsia="方正仿宋_GBK" w:cs="Times New Roman"/>
          <w:color w:val="auto"/>
          <w:kern w:val="2"/>
          <w:sz w:val="24"/>
          <w:szCs w:val="22"/>
          <w:highlight w:val="none"/>
          <w:lang w:val="en-US" w:eastAsia="zh-CN" w:bidi="ar-SA"/>
        </w:rPr>
        <w:tab/>
      </w:r>
      <w:r>
        <w:rPr>
          <w:rFonts w:hint="default" w:ascii="Times New Roman" w:hAnsi="Times New Roman" w:eastAsia="方正仿宋_GBK" w:cs="Times New Roman"/>
          <w:color w:val="auto"/>
          <w:kern w:val="2"/>
          <w:sz w:val="24"/>
          <w:szCs w:val="22"/>
          <w:highlight w:val="none"/>
          <w:lang w:val="en-US" w:eastAsia="zh-CN" w:bidi="ar-SA"/>
        </w:rPr>
        <w:fldChar w:fldCharType="begin"/>
      </w:r>
      <w:r>
        <w:rPr>
          <w:rFonts w:hint="default" w:ascii="Times New Roman" w:hAnsi="Times New Roman" w:eastAsia="方正仿宋_GBK" w:cs="Times New Roman"/>
          <w:color w:val="auto"/>
          <w:kern w:val="2"/>
          <w:sz w:val="24"/>
          <w:szCs w:val="22"/>
          <w:highlight w:val="none"/>
          <w:lang w:val="en-US" w:eastAsia="zh-CN" w:bidi="ar-SA"/>
        </w:rPr>
        <w:instrText xml:space="preserve"> PAGEREF _Toc21837 \h </w:instrText>
      </w:r>
      <w:r>
        <w:rPr>
          <w:rFonts w:hint="default" w:ascii="Times New Roman" w:hAnsi="Times New Roman" w:eastAsia="方正仿宋_GBK" w:cs="Times New Roman"/>
          <w:color w:val="auto"/>
          <w:kern w:val="2"/>
          <w:sz w:val="24"/>
          <w:szCs w:val="22"/>
          <w:highlight w:val="none"/>
          <w:lang w:val="en-US" w:eastAsia="zh-CN" w:bidi="ar-SA"/>
        </w:rPr>
        <w:fldChar w:fldCharType="separate"/>
      </w:r>
      <w:r>
        <w:rPr>
          <w:rFonts w:hint="default" w:ascii="Times New Roman" w:hAnsi="Times New Roman" w:eastAsia="方正仿宋_GBK" w:cs="Times New Roman"/>
          <w:color w:val="auto"/>
          <w:kern w:val="2"/>
          <w:sz w:val="24"/>
          <w:szCs w:val="22"/>
          <w:highlight w:val="none"/>
          <w:lang w:val="en-US" w:eastAsia="zh-CN" w:bidi="ar-SA"/>
        </w:rPr>
        <w:t>5</w:t>
      </w:r>
      <w:r>
        <w:rPr>
          <w:rFonts w:hint="default" w:ascii="Times New Roman" w:hAnsi="Times New Roman" w:eastAsia="方正仿宋_GBK" w:cs="Times New Roman"/>
          <w:color w:val="auto"/>
          <w:kern w:val="2"/>
          <w:sz w:val="24"/>
          <w:szCs w:val="22"/>
          <w:highlight w:val="none"/>
          <w:lang w:val="en-US" w:eastAsia="zh-CN" w:bidi="ar-SA"/>
        </w:rPr>
        <w:fldChar w:fldCharType="end"/>
      </w:r>
      <w:r>
        <w:rPr>
          <w:rFonts w:hint="default" w:ascii="Times New Roman" w:hAnsi="Times New Roman" w:eastAsia="方正仿宋_GBK" w:cs="Times New Roman"/>
          <w:color w:val="auto"/>
          <w:kern w:val="2"/>
          <w:sz w:val="24"/>
          <w:szCs w:val="22"/>
          <w:highlight w:val="none"/>
          <w:lang w:val="en-US" w:eastAsia="zh-CN" w:bidi="ar-SA"/>
        </w:rPr>
        <w:fldChar w:fldCharType="end"/>
      </w:r>
    </w:p>
    <w:p w14:paraId="6911EFBF">
      <w:pPr>
        <w:widowControl w:val="0"/>
        <w:tabs>
          <w:tab w:val="right" w:leader="dot" w:pos="8306"/>
        </w:tabs>
        <w:spacing w:line="360" w:lineRule="auto"/>
        <w:jc w:val="both"/>
        <w:rPr>
          <w:rFonts w:hint="default" w:ascii="Times New Roman" w:hAnsi="Times New Roman" w:eastAsia="方正仿宋_GBK" w:cs="Times New Roman"/>
          <w:color w:val="auto"/>
          <w:kern w:val="2"/>
          <w:sz w:val="24"/>
          <w:szCs w:val="22"/>
          <w:highlight w:val="none"/>
          <w:lang w:val="en-US" w:eastAsia="zh-CN" w:bidi="ar-SA"/>
        </w:rPr>
      </w:pPr>
      <w:r>
        <w:rPr>
          <w:rFonts w:hint="default" w:ascii="Times New Roman" w:hAnsi="Times New Roman" w:eastAsia="方正仿宋_GBK" w:cs="Times New Roman"/>
          <w:color w:val="auto"/>
          <w:kern w:val="2"/>
          <w:sz w:val="24"/>
          <w:szCs w:val="22"/>
          <w:highlight w:val="none"/>
          <w:lang w:val="en-US" w:eastAsia="zh-CN" w:bidi="ar-SA"/>
        </w:rPr>
        <w:fldChar w:fldCharType="begin"/>
      </w:r>
      <w:r>
        <w:rPr>
          <w:rFonts w:hint="default" w:ascii="Times New Roman" w:hAnsi="Times New Roman" w:eastAsia="方正仿宋_GBK" w:cs="Times New Roman"/>
          <w:color w:val="auto"/>
          <w:kern w:val="2"/>
          <w:sz w:val="24"/>
          <w:szCs w:val="22"/>
          <w:highlight w:val="none"/>
          <w:lang w:val="en-US" w:eastAsia="zh-CN" w:bidi="ar-SA"/>
        </w:rPr>
        <w:instrText xml:space="preserve"> HYPERLINK \l _Toc25466 </w:instrText>
      </w:r>
      <w:r>
        <w:rPr>
          <w:rFonts w:hint="default" w:ascii="Times New Roman" w:hAnsi="Times New Roman" w:eastAsia="方正仿宋_GBK" w:cs="Times New Roman"/>
          <w:color w:val="auto"/>
          <w:kern w:val="2"/>
          <w:sz w:val="24"/>
          <w:szCs w:val="22"/>
          <w:highlight w:val="none"/>
          <w:lang w:val="en-US" w:eastAsia="zh-CN" w:bidi="ar-SA"/>
        </w:rPr>
        <w:fldChar w:fldCharType="separate"/>
      </w:r>
      <w:r>
        <w:rPr>
          <w:rFonts w:hint="default" w:ascii="Times New Roman" w:hAnsi="Times New Roman" w:eastAsia="方正仿宋_GBK" w:cs="Times New Roman"/>
          <w:i w:val="0"/>
          <w:color w:val="auto"/>
          <w:kern w:val="2"/>
          <w:sz w:val="24"/>
          <w:szCs w:val="22"/>
          <w:highlight w:val="none"/>
          <w:lang w:val="en-US" w:eastAsia="zh-CN" w:bidi="ar-SA"/>
        </w:rPr>
        <w:t xml:space="preserve">第4条 </w:t>
      </w:r>
      <w:r>
        <w:rPr>
          <w:rFonts w:hint="default" w:ascii="Times New Roman" w:hAnsi="Times New Roman" w:eastAsia="方正仿宋_GBK" w:cs="Times New Roman"/>
          <w:color w:val="auto"/>
          <w:kern w:val="2"/>
          <w:sz w:val="24"/>
          <w:szCs w:val="22"/>
          <w:highlight w:val="none"/>
          <w:lang w:val="en-US" w:eastAsia="zh-CN" w:bidi="ar-SA"/>
        </w:rPr>
        <w:t>股权变更</w:t>
      </w:r>
      <w:r>
        <w:rPr>
          <w:rFonts w:hint="default" w:ascii="Times New Roman" w:hAnsi="Times New Roman" w:eastAsia="方正仿宋_GBK" w:cs="Times New Roman"/>
          <w:color w:val="auto"/>
          <w:kern w:val="2"/>
          <w:sz w:val="24"/>
          <w:szCs w:val="22"/>
          <w:highlight w:val="none"/>
          <w:lang w:val="en-US" w:eastAsia="zh-CN" w:bidi="ar-SA"/>
        </w:rPr>
        <w:tab/>
      </w:r>
      <w:r>
        <w:rPr>
          <w:rFonts w:hint="default" w:ascii="Times New Roman" w:hAnsi="Times New Roman" w:eastAsia="方正仿宋_GBK" w:cs="Times New Roman"/>
          <w:color w:val="auto"/>
          <w:kern w:val="2"/>
          <w:sz w:val="24"/>
          <w:szCs w:val="22"/>
          <w:highlight w:val="none"/>
          <w:lang w:val="en-US" w:eastAsia="zh-CN" w:bidi="ar-SA"/>
        </w:rPr>
        <w:fldChar w:fldCharType="begin"/>
      </w:r>
      <w:r>
        <w:rPr>
          <w:rFonts w:hint="default" w:ascii="Times New Roman" w:hAnsi="Times New Roman" w:eastAsia="方正仿宋_GBK" w:cs="Times New Roman"/>
          <w:color w:val="auto"/>
          <w:kern w:val="2"/>
          <w:sz w:val="24"/>
          <w:szCs w:val="22"/>
          <w:highlight w:val="none"/>
          <w:lang w:val="en-US" w:eastAsia="zh-CN" w:bidi="ar-SA"/>
        </w:rPr>
        <w:instrText xml:space="preserve"> PAGEREF _Toc25466 \h </w:instrText>
      </w:r>
      <w:r>
        <w:rPr>
          <w:rFonts w:hint="default" w:ascii="Times New Roman" w:hAnsi="Times New Roman" w:eastAsia="方正仿宋_GBK" w:cs="Times New Roman"/>
          <w:color w:val="auto"/>
          <w:kern w:val="2"/>
          <w:sz w:val="24"/>
          <w:szCs w:val="22"/>
          <w:highlight w:val="none"/>
          <w:lang w:val="en-US" w:eastAsia="zh-CN" w:bidi="ar-SA"/>
        </w:rPr>
        <w:fldChar w:fldCharType="separate"/>
      </w:r>
      <w:r>
        <w:rPr>
          <w:rFonts w:hint="default" w:ascii="Times New Roman" w:hAnsi="Times New Roman" w:eastAsia="方正仿宋_GBK" w:cs="Times New Roman"/>
          <w:color w:val="auto"/>
          <w:kern w:val="2"/>
          <w:sz w:val="24"/>
          <w:szCs w:val="22"/>
          <w:highlight w:val="none"/>
          <w:lang w:val="en-US" w:eastAsia="zh-CN" w:bidi="ar-SA"/>
        </w:rPr>
        <w:t>6</w:t>
      </w:r>
      <w:r>
        <w:rPr>
          <w:rFonts w:hint="default" w:ascii="Times New Roman" w:hAnsi="Times New Roman" w:eastAsia="方正仿宋_GBK" w:cs="Times New Roman"/>
          <w:color w:val="auto"/>
          <w:kern w:val="2"/>
          <w:sz w:val="24"/>
          <w:szCs w:val="22"/>
          <w:highlight w:val="none"/>
          <w:lang w:val="en-US" w:eastAsia="zh-CN" w:bidi="ar-SA"/>
        </w:rPr>
        <w:fldChar w:fldCharType="end"/>
      </w:r>
      <w:r>
        <w:rPr>
          <w:rFonts w:hint="default" w:ascii="Times New Roman" w:hAnsi="Times New Roman" w:eastAsia="方正仿宋_GBK" w:cs="Times New Roman"/>
          <w:color w:val="auto"/>
          <w:kern w:val="2"/>
          <w:sz w:val="24"/>
          <w:szCs w:val="22"/>
          <w:highlight w:val="none"/>
          <w:lang w:val="en-US" w:eastAsia="zh-CN" w:bidi="ar-SA"/>
        </w:rPr>
        <w:fldChar w:fldCharType="end"/>
      </w:r>
    </w:p>
    <w:p w14:paraId="329DD964">
      <w:pPr>
        <w:widowControl w:val="0"/>
        <w:tabs>
          <w:tab w:val="right" w:leader="dot" w:pos="8306"/>
        </w:tabs>
        <w:spacing w:line="360" w:lineRule="auto"/>
        <w:jc w:val="both"/>
        <w:rPr>
          <w:rFonts w:hint="default" w:ascii="Times New Roman" w:hAnsi="Times New Roman" w:eastAsia="方正仿宋_GBK" w:cs="Times New Roman"/>
          <w:color w:val="auto"/>
          <w:kern w:val="2"/>
          <w:sz w:val="24"/>
          <w:szCs w:val="22"/>
          <w:highlight w:val="none"/>
          <w:lang w:val="en-US" w:eastAsia="zh-CN" w:bidi="ar-SA"/>
        </w:rPr>
      </w:pPr>
      <w:r>
        <w:rPr>
          <w:rFonts w:hint="default" w:ascii="Times New Roman" w:hAnsi="Times New Roman" w:eastAsia="方正仿宋_GBK" w:cs="Times New Roman"/>
          <w:color w:val="auto"/>
          <w:kern w:val="2"/>
          <w:sz w:val="24"/>
          <w:szCs w:val="22"/>
          <w:highlight w:val="none"/>
          <w:lang w:val="en-US" w:eastAsia="zh-CN" w:bidi="ar-SA"/>
        </w:rPr>
        <w:fldChar w:fldCharType="begin"/>
      </w:r>
      <w:r>
        <w:rPr>
          <w:rFonts w:hint="default" w:ascii="Times New Roman" w:hAnsi="Times New Roman" w:eastAsia="方正仿宋_GBK" w:cs="Times New Roman"/>
          <w:color w:val="auto"/>
          <w:kern w:val="2"/>
          <w:sz w:val="24"/>
          <w:szCs w:val="22"/>
          <w:highlight w:val="none"/>
          <w:lang w:val="en-US" w:eastAsia="zh-CN" w:bidi="ar-SA"/>
        </w:rPr>
        <w:instrText xml:space="preserve"> HYPERLINK \l _Toc12953 </w:instrText>
      </w:r>
      <w:r>
        <w:rPr>
          <w:rFonts w:hint="default" w:ascii="Times New Roman" w:hAnsi="Times New Roman" w:eastAsia="方正仿宋_GBK" w:cs="Times New Roman"/>
          <w:color w:val="auto"/>
          <w:kern w:val="2"/>
          <w:sz w:val="24"/>
          <w:szCs w:val="22"/>
          <w:highlight w:val="none"/>
          <w:lang w:val="en-US" w:eastAsia="zh-CN" w:bidi="ar-SA"/>
        </w:rPr>
        <w:fldChar w:fldCharType="separate"/>
      </w:r>
      <w:r>
        <w:rPr>
          <w:rFonts w:hint="default" w:ascii="Times New Roman" w:hAnsi="Times New Roman" w:eastAsia="方正仿宋_GBK" w:cs="Times New Roman"/>
          <w:i w:val="0"/>
          <w:color w:val="auto"/>
          <w:kern w:val="2"/>
          <w:sz w:val="24"/>
          <w:szCs w:val="22"/>
          <w:highlight w:val="none"/>
          <w:lang w:val="en-US" w:eastAsia="zh-CN" w:bidi="ar-SA"/>
        </w:rPr>
        <w:t xml:space="preserve">第5条 </w:t>
      </w:r>
      <w:r>
        <w:rPr>
          <w:rFonts w:hint="default" w:ascii="Times New Roman" w:hAnsi="Times New Roman" w:eastAsia="方正仿宋_GBK" w:cs="Times New Roman"/>
          <w:color w:val="auto"/>
          <w:kern w:val="2"/>
          <w:sz w:val="24"/>
          <w:szCs w:val="22"/>
          <w:highlight w:val="none"/>
          <w:lang w:val="en-US" w:eastAsia="zh-CN" w:bidi="ar-SA"/>
        </w:rPr>
        <w:t>权利和义务及双方承诺</w:t>
      </w:r>
      <w:r>
        <w:rPr>
          <w:rFonts w:hint="default" w:ascii="Times New Roman" w:hAnsi="Times New Roman" w:eastAsia="方正仿宋_GBK" w:cs="Times New Roman"/>
          <w:color w:val="auto"/>
          <w:kern w:val="2"/>
          <w:sz w:val="24"/>
          <w:szCs w:val="22"/>
          <w:highlight w:val="none"/>
          <w:lang w:val="en-US" w:eastAsia="zh-CN" w:bidi="ar-SA"/>
        </w:rPr>
        <w:tab/>
      </w:r>
      <w:r>
        <w:rPr>
          <w:rFonts w:hint="default" w:ascii="Times New Roman" w:hAnsi="Times New Roman" w:eastAsia="方正仿宋_GBK" w:cs="Times New Roman"/>
          <w:color w:val="auto"/>
          <w:kern w:val="2"/>
          <w:sz w:val="24"/>
          <w:szCs w:val="22"/>
          <w:highlight w:val="none"/>
          <w:lang w:val="en-US" w:eastAsia="zh-CN" w:bidi="ar-SA"/>
        </w:rPr>
        <w:fldChar w:fldCharType="begin"/>
      </w:r>
      <w:r>
        <w:rPr>
          <w:rFonts w:hint="default" w:ascii="Times New Roman" w:hAnsi="Times New Roman" w:eastAsia="方正仿宋_GBK" w:cs="Times New Roman"/>
          <w:color w:val="auto"/>
          <w:kern w:val="2"/>
          <w:sz w:val="24"/>
          <w:szCs w:val="22"/>
          <w:highlight w:val="none"/>
          <w:lang w:val="en-US" w:eastAsia="zh-CN" w:bidi="ar-SA"/>
        </w:rPr>
        <w:instrText xml:space="preserve"> PAGEREF _Toc12953 \h </w:instrText>
      </w:r>
      <w:r>
        <w:rPr>
          <w:rFonts w:hint="default" w:ascii="Times New Roman" w:hAnsi="Times New Roman" w:eastAsia="方正仿宋_GBK" w:cs="Times New Roman"/>
          <w:color w:val="auto"/>
          <w:kern w:val="2"/>
          <w:sz w:val="24"/>
          <w:szCs w:val="22"/>
          <w:highlight w:val="none"/>
          <w:lang w:val="en-US" w:eastAsia="zh-CN" w:bidi="ar-SA"/>
        </w:rPr>
        <w:fldChar w:fldCharType="separate"/>
      </w:r>
      <w:r>
        <w:rPr>
          <w:rFonts w:hint="default" w:ascii="Times New Roman" w:hAnsi="Times New Roman" w:eastAsia="方正仿宋_GBK" w:cs="Times New Roman"/>
          <w:color w:val="auto"/>
          <w:kern w:val="2"/>
          <w:sz w:val="24"/>
          <w:szCs w:val="22"/>
          <w:highlight w:val="none"/>
          <w:lang w:val="en-US" w:eastAsia="zh-CN" w:bidi="ar-SA"/>
        </w:rPr>
        <w:t>7</w:t>
      </w:r>
      <w:r>
        <w:rPr>
          <w:rFonts w:hint="default" w:ascii="Times New Roman" w:hAnsi="Times New Roman" w:eastAsia="方正仿宋_GBK" w:cs="Times New Roman"/>
          <w:color w:val="auto"/>
          <w:kern w:val="2"/>
          <w:sz w:val="24"/>
          <w:szCs w:val="22"/>
          <w:highlight w:val="none"/>
          <w:lang w:val="en-US" w:eastAsia="zh-CN" w:bidi="ar-SA"/>
        </w:rPr>
        <w:fldChar w:fldCharType="end"/>
      </w:r>
      <w:r>
        <w:rPr>
          <w:rFonts w:hint="default" w:ascii="Times New Roman" w:hAnsi="Times New Roman" w:eastAsia="方正仿宋_GBK" w:cs="Times New Roman"/>
          <w:color w:val="auto"/>
          <w:kern w:val="2"/>
          <w:sz w:val="24"/>
          <w:szCs w:val="22"/>
          <w:highlight w:val="none"/>
          <w:lang w:val="en-US" w:eastAsia="zh-CN" w:bidi="ar-SA"/>
        </w:rPr>
        <w:fldChar w:fldCharType="end"/>
      </w:r>
    </w:p>
    <w:p w14:paraId="0887543B">
      <w:pPr>
        <w:widowControl w:val="0"/>
        <w:tabs>
          <w:tab w:val="right" w:leader="dot" w:pos="8306"/>
        </w:tabs>
        <w:spacing w:line="360" w:lineRule="auto"/>
        <w:jc w:val="both"/>
        <w:rPr>
          <w:rFonts w:hint="default" w:ascii="Times New Roman" w:hAnsi="Times New Roman" w:eastAsia="方正仿宋_GBK" w:cs="Times New Roman"/>
          <w:color w:val="auto"/>
          <w:kern w:val="2"/>
          <w:sz w:val="24"/>
          <w:szCs w:val="22"/>
          <w:highlight w:val="none"/>
          <w:lang w:val="en-US" w:eastAsia="zh-CN" w:bidi="ar-SA"/>
        </w:rPr>
      </w:pPr>
      <w:r>
        <w:rPr>
          <w:rFonts w:hint="default" w:ascii="Times New Roman" w:hAnsi="Times New Roman" w:eastAsia="方正仿宋_GBK" w:cs="Times New Roman"/>
          <w:color w:val="auto"/>
          <w:kern w:val="2"/>
          <w:sz w:val="24"/>
          <w:szCs w:val="22"/>
          <w:highlight w:val="none"/>
          <w:lang w:val="en-US" w:eastAsia="zh-CN" w:bidi="ar-SA"/>
        </w:rPr>
        <w:fldChar w:fldCharType="begin"/>
      </w:r>
      <w:r>
        <w:rPr>
          <w:rFonts w:hint="default" w:ascii="Times New Roman" w:hAnsi="Times New Roman" w:eastAsia="方正仿宋_GBK" w:cs="Times New Roman"/>
          <w:color w:val="auto"/>
          <w:kern w:val="2"/>
          <w:sz w:val="24"/>
          <w:szCs w:val="22"/>
          <w:highlight w:val="none"/>
          <w:lang w:val="en-US" w:eastAsia="zh-CN" w:bidi="ar-SA"/>
        </w:rPr>
        <w:instrText xml:space="preserve"> HYPERLINK \l _Toc8694 </w:instrText>
      </w:r>
      <w:r>
        <w:rPr>
          <w:rFonts w:hint="default" w:ascii="Times New Roman" w:hAnsi="Times New Roman" w:eastAsia="方正仿宋_GBK" w:cs="Times New Roman"/>
          <w:color w:val="auto"/>
          <w:kern w:val="2"/>
          <w:sz w:val="24"/>
          <w:szCs w:val="22"/>
          <w:highlight w:val="none"/>
          <w:lang w:val="en-US" w:eastAsia="zh-CN" w:bidi="ar-SA"/>
        </w:rPr>
        <w:fldChar w:fldCharType="separate"/>
      </w:r>
      <w:r>
        <w:rPr>
          <w:rFonts w:hint="default" w:ascii="Times New Roman" w:hAnsi="Times New Roman" w:eastAsia="方正仿宋_GBK" w:cs="Times New Roman"/>
          <w:i w:val="0"/>
          <w:color w:val="auto"/>
          <w:kern w:val="2"/>
          <w:sz w:val="24"/>
          <w:szCs w:val="22"/>
          <w:highlight w:val="none"/>
          <w:lang w:val="en-US" w:eastAsia="zh-CN" w:bidi="ar-SA"/>
        </w:rPr>
        <w:t xml:space="preserve">第6条 </w:t>
      </w:r>
      <w:r>
        <w:rPr>
          <w:rFonts w:hint="default" w:ascii="Times New Roman" w:hAnsi="Times New Roman" w:eastAsia="方正仿宋_GBK" w:cs="Times New Roman"/>
          <w:color w:val="auto"/>
          <w:kern w:val="2"/>
          <w:sz w:val="24"/>
          <w:szCs w:val="22"/>
          <w:highlight w:val="none"/>
          <w:lang w:val="en-US" w:eastAsia="zh-CN" w:bidi="ar-SA"/>
        </w:rPr>
        <w:t>违约情形与责任</w:t>
      </w:r>
      <w:r>
        <w:rPr>
          <w:rFonts w:hint="default" w:ascii="Times New Roman" w:hAnsi="Times New Roman" w:eastAsia="方正仿宋_GBK" w:cs="Times New Roman"/>
          <w:color w:val="auto"/>
          <w:kern w:val="2"/>
          <w:sz w:val="24"/>
          <w:szCs w:val="22"/>
          <w:highlight w:val="none"/>
          <w:lang w:val="en-US" w:eastAsia="zh-CN" w:bidi="ar-SA"/>
        </w:rPr>
        <w:tab/>
      </w:r>
      <w:r>
        <w:rPr>
          <w:rFonts w:hint="default" w:ascii="Times New Roman" w:hAnsi="Times New Roman" w:eastAsia="方正仿宋_GBK" w:cs="Times New Roman"/>
          <w:color w:val="auto"/>
          <w:kern w:val="2"/>
          <w:sz w:val="24"/>
          <w:szCs w:val="22"/>
          <w:highlight w:val="none"/>
          <w:lang w:val="en-US" w:eastAsia="zh-CN" w:bidi="ar-SA"/>
        </w:rPr>
        <w:fldChar w:fldCharType="begin"/>
      </w:r>
      <w:r>
        <w:rPr>
          <w:rFonts w:hint="default" w:ascii="Times New Roman" w:hAnsi="Times New Roman" w:eastAsia="方正仿宋_GBK" w:cs="Times New Roman"/>
          <w:color w:val="auto"/>
          <w:kern w:val="2"/>
          <w:sz w:val="24"/>
          <w:szCs w:val="22"/>
          <w:highlight w:val="none"/>
          <w:lang w:val="en-US" w:eastAsia="zh-CN" w:bidi="ar-SA"/>
        </w:rPr>
        <w:instrText xml:space="preserve"> PAGEREF _Toc8694 \h </w:instrText>
      </w:r>
      <w:r>
        <w:rPr>
          <w:rFonts w:hint="default" w:ascii="Times New Roman" w:hAnsi="Times New Roman" w:eastAsia="方正仿宋_GBK" w:cs="Times New Roman"/>
          <w:color w:val="auto"/>
          <w:kern w:val="2"/>
          <w:sz w:val="24"/>
          <w:szCs w:val="22"/>
          <w:highlight w:val="none"/>
          <w:lang w:val="en-US" w:eastAsia="zh-CN" w:bidi="ar-SA"/>
        </w:rPr>
        <w:fldChar w:fldCharType="separate"/>
      </w:r>
      <w:r>
        <w:rPr>
          <w:rFonts w:hint="default" w:ascii="Times New Roman" w:hAnsi="Times New Roman" w:eastAsia="方正仿宋_GBK" w:cs="Times New Roman"/>
          <w:color w:val="auto"/>
          <w:kern w:val="2"/>
          <w:sz w:val="24"/>
          <w:szCs w:val="22"/>
          <w:highlight w:val="none"/>
          <w:lang w:val="en-US" w:eastAsia="zh-CN" w:bidi="ar-SA"/>
        </w:rPr>
        <w:t>9</w:t>
      </w:r>
      <w:r>
        <w:rPr>
          <w:rFonts w:hint="default" w:ascii="Times New Roman" w:hAnsi="Times New Roman" w:eastAsia="方正仿宋_GBK" w:cs="Times New Roman"/>
          <w:color w:val="auto"/>
          <w:kern w:val="2"/>
          <w:sz w:val="24"/>
          <w:szCs w:val="22"/>
          <w:highlight w:val="none"/>
          <w:lang w:val="en-US" w:eastAsia="zh-CN" w:bidi="ar-SA"/>
        </w:rPr>
        <w:fldChar w:fldCharType="end"/>
      </w:r>
      <w:r>
        <w:rPr>
          <w:rFonts w:hint="default" w:ascii="Times New Roman" w:hAnsi="Times New Roman" w:eastAsia="方正仿宋_GBK" w:cs="Times New Roman"/>
          <w:color w:val="auto"/>
          <w:kern w:val="2"/>
          <w:sz w:val="24"/>
          <w:szCs w:val="22"/>
          <w:highlight w:val="none"/>
          <w:lang w:val="en-US" w:eastAsia="zh-CN" w:bidi="ar-SA"/>
        </w:rPr>
        <w:fldChar w:fldCharType="end"/>
      </w:r>
    </w:p>
    <w:p w14:paraId="70557911">
      <w:pPr>
        <w:widowControl w:val="0"/>
        <w:tabs>
          <w:tab w:val="right" w:leader="dot" w:pos="8306"/>
        </w:tabs>
        <w:spacing w:line="360" w:lineRule="auto"/>
        <w:jc w:val="both"/>
        <w:rPr>
          <w:rFonts w:hint="default" w:ascii="Times New Roman" w:hAnsi="Times New Roman" w:eastAsia="方正仿宋_GBK" w:cs="Times New Roman"/>
          <w:color w:val="auto"/>
          <w:kern w:val="2"/>
          <w:sz w:val="24"/>
          <w:szCs w:val="22"/>
          <w:highlight w:val="none"/>
          <w:lang w:val="en-US" w:eastAsia="zh-CN" w:bidi="ar-SA"/>
        </w:rPr>
      </w:pPr>
      <w:r>
        <w:rPr>
          <w:rFonts w:hint="default" w:ascii="Times New Roman" w:hAnsi="Times New Roman" w:eastAsia="方正仿宋_GBK" w:cs="Times New Roman"/>
          <w:color w:val="auto"/>
          <w:kern w:val="2"/>
          <w:sz w:val="24"/>
          <w:szCs w:val="22"/>
          <w:highlight w:val="none"/>
          <w:lang w:val="en-US" w:eastAsia="zh-CN" w:bidi="ar-SA"/>
        </w:rPr>
        <w:fldChar w:fldCharType="begin"/>
      </w:r>
      <w:r>
        <w:rPr>
          <w:rFonts w:hint="default" w:ascii="Times New Roman" w:hAnsi="Times New Roman" w:eastAsia="方正仿宋_GBK" w:cs="Times New Roman"/>
          <w:color w:val="auto"/>
          <w:kern w:val="2"/>
          <w:sz w:val="24"/>
          <w:szCs w:val="22"/>
          <w:highlight w:val="none"/>
          <w:lang w:val="en-US" w:eastAsia="zh-CN" w:bidi="ar-SA"/>
        </w:rPr>
        <w:instrText xml:space="preserve"> HYPERLINK \l _Toc8347 </w:instrText>
      </w:r>
      <w:r>
        <w:rPr>
          <w:rFonts w:hint="default" w:ascii="Times New Roman" w:hAnsi="Times New Roman" w:eastAsia="方正仿宋_GBK" w:cs="Times New Roman"/>
          <w:color w:val="auto"/>
          <w:kern w:val="2"/>
          <w:sz w:val="24"/>
          <w:szCs w:val="22"/>
          <w:highlight w:val="none"/>
          <w:lang w:val="en-US" w:eastAsia="zh-CN" w:bidi="ar-SA"/>
        </w:rPr>
        <w:fldChar w:fldCharType="separate"/>
      </w:r>
      <w:r>
        <w:rPr>
          <w:rFonts w:hint="default" w:ascii="Times New Roman" w:hAnsi="Times New Roman" w:eastAsia="方正仿宋_GBK" w:cs="Times New Roman"/>
          <w:i w:val="0"/>
          <w:color w:val="auto"/>
          <w:kern w:val="2"/>
          <w:sz w:val="24"/>
          <w:szCs w:val="22"/>
          <w:highlight w:val="none"/>
          <w:lang w:val="en-US" w:eastAsia="zh-CN" w:bidi="ar-SA"/>
        </w:rPr>
        <w:t xml:space="preserve">第7条 </w:t>
      </w:r>
      <w:r>
        <w:rPr>
          <w:rFonts w:hint="default" w:ascii="Times New Roman" w:hAnsi="Times New Roman" w:eastAsia="方正仿宋_GBK" w:cs="Times New Roman"/>
          <w:color w:val="auto"/>
          <w:kern w:val="2"/>
          <w:sz w:val="24"/>
          <w:szCs w:val="22"/>
          <w:highlight w:val="none"/>
          <w:lang w:val="en-US" w:eastAsia="zh-CN" w:bidi="ar-SA"/>
        </w:rPr>
        <w:t>不可抗力</w:t>
      </w:r>
      <w:r>
        <w:rPr>
          <w:rFonts w:hint="default" w:ascii="Times New Roman" w:hAnsi="Times New Roman" w:eastAsia="方正仿宋_GBK" w:cs="Times New Roman"/>
          <w:color w:val="auto"/>
          <w:kern w:val="2"/>
          <w:sz w:val="24"/>
          <w:szCs w:val="22"/>
          <w:highlight w:val="none"/>
          <w:lang w:val="en-US" w:eastAsia="zh-CN" w:bidi="ar-SA"/>
        </w:rPr>
        <w:tab/>
      </w:r>
      <w:r>
        <w:rPr>
          <w:rFonts w:hint="default" w:ascii="Times New Roman" w:hAnsi="Times New Roman" w:eastAsia="方正仿宋_GBK" w:cs="Times New Roman"/>
          <w:color w:val="auto"/>
          <w:kern w:val="2"/>
          <w:sz w:val="24"/>
          <w:szCs w:val="22"/>
          <w:highlight w:val="none"/>
          <w:lang w:val="en-US" w:eastAsia="zh-CN" w:bidi="ar-SA"/>
        </w:rPr>
        <w:fldChar w:fldCharType="begin"/>
      </w:r>
      <w:r>
        <w:rPr>
          <w:rFonts w:hint="default" w:ascii="Times New Roman" w:hAnsi="Times New Roman" w:eastAsia="方正仿宋_GBK" w:cs="Times New Roman"/>
          <w:color w:val="auto"/>
          <w:kern w:val="2"/>
          <w:sz w:val="24"/>
          <w:szCs w:val="22"/>
          <w:highlight w:val="none"/>
          <w:lang w:val="en-US" w:eastAsia="zh-CN" w:bidi="ar-SA"/>
        </w:rPr>
        <w:instrText xml:space="preserve"> PAGEREF _Toc8347 \h </w:instrText>
      </w:r>
      <w:r>
        <w:rPr>
          <w:rFonts w:hint="default" w:ascii="Times New Roman" w:hAnsi="Times New Roman" w:eastAsia="方正仿宋_GBK" w:cs="Times New Roman"/>
          <w:color w:val="auto"/>
          <w:kern w:val="2"/>
          <w:sz w:val="24"/>
          <w:szCs w:val="22"/>
          <w:highlight w:val="none"/>
          <w:lang w:val="en-US" w:eastAsia="zh-CN" w:bidi="ar-SA"/>
        </w:rPr>
        <w:fldChar w:fldCharType="separate"/>
      </w:r>
      <w:r>
        <w:rPr>
          <w:rFonts w:hint="default" w:ascii="Times New Roman" w:hAnsi="Times New Roman" w:eastAsia="方正仿宋_GBK" w:cs="Times New Roman"/>
          <w:color w:val="auto"/>
          <w:kern w:val="2"/>
          <w:sz w:val="24"/>
          <w:szCs w:val="22"/>
          <w:highlight w:val="none"/>
          <w:lang w:val="en-US" w:eastAsia="zh-CN" w:bidi="ar-SA"/>
        </w:rPr>
        <w:t>10</w:t>
      </w:r>
      <w:r>
        <w:rPr>
          <w:rFonts w:hint="default" w:ascii="Times New Roman" w:hAnsi="Times New Roman" w:eastAsia="方正仿宋_GBK" w:cs="Times New Roman"/>
          <w:color w:val="auto"/>
          <w:kern w:val="2"/>
          <w:sz w:val="24"/>
          <w:szCs w:val="22"/>
          <w:highlight w:val="none"/>
          <w:lang w:val="en-US" w:eastAsia="zh-CN" w:bidi="ar-SA"/>
        </w:rPr>
        <w:fldChar w:fldCharType="end"/>
      </w:r>
      <w:r>
        <w:rPr>
          <w:rFonts w:hint="default" w:ascii="Times New Roman" w:hAnsi="Times New Roman" w:eastAsia="方正仿宋_GBK" w:cs="Times New Roman"/>
          <w:color w:val="auto"/>
          <w:kern w:val="2"/>
          <w:sz w:val="24"/>
          <w:szCs w:val="22"/>
          <w:highlight w:val="none"/>
          <w:lang w:val="en-US" w:eastAsia="zh-CN" w:bidi="ar-SA"/>
        </w:rPr>
        <w:fldChar w:fldCharType="end"/>
      </w:r>
    </w:p>
    <w:p w14:paraId="688FBC3A">
      <w:pPr>
        <w:widowControl w:val="0"/>
        <w:tabs>
          <w:tab w:val="right" w:leader="dot" w:pos="8306"/>
        </w:tabs>
        <w:spacing w:line="360" w:lineRule="auto"/>
        <w:jc w:val="both"/>
        <w:rPr>
          <w:rFonts w:hint="default" w:ascii="Times New Roman" w:hAnsi="Times New Roman" w:eastAsia="方正仿宋_GBK" w:cs="Times New Roman"/>
          <w:color w:val="auto"/>
          <w:kern w:val="2"/>
          <w:sz w:val="24"/>
          <w:szCs w:val="22"/>
          <w:highlight w:val="none"/>
          <w:lang w:val="en-US" w:eastAsia="zh-CN" w:bidi="ar-SA"/>
        </w:rPr>
      </w:pPr>
      <w:r>
        <w:rPr>
          <w:rFonts w:hint="default" w:ascii="Times New Roman" w:hAnsi="Times New Roman" w:eastAsia="方正仿宋_GBK" w:cs="Times New Roman"/>
          <w:color w:val="auto"/>
          <w:kern w:val="2"/>
          <w:sz w:val="24"/>
          <w:szCs w:val="22"/>
          <w:highlight w:val="none"/>
          <w:lang w:val="en-US" w:eastAsia="zh-CN" w:bidi="ar-SA"/>
        </w:rPr>
        <w:fldChar w:fldCharType="begin"/>
      </w:r>
      <w:r>
        <w:rPr>
          <w:rFonts w:hint="default" w:ascii="Times New Roman" w:hAnsi="Times New Roman" w:eastAsia="方正仿宋_GBK" w:cs="Times New Roman"/>
          <w:color w:val="auto"/>
          <w:kern w:val="2"/>
          <w:sz w:val="24"/>
          <w:szCs w:val="22"/>
          <w:highlight w:val="none"/>
          <w:lang w:val="en-US" w:eastAsia="zh-CN" w:bidi="ar-SA"/>
        </w:rPr>
        <w:instrText xml:space="preserve"> HYPERLINK \l _Toc21928 </w:instrText>
      </w:r>
      <w:r>
        <w:rPr>
          <w:rFonts w:hint="default" w:ascii="Times New Roman" w:hAnsi="Times New Roman" w:eastAsia="方正仿宋_GBK" w:cs="Times New Roman"/>
          <w:color w:val="auto"/>
          <w:kern w:val="2"/>
          <w:sz w:val="24"/>
          <w:szCs w:val="22"/>
          <w:highlight w:val="none"/>
          <w:lang w:val="en-US" w:eastAsia="zh-CN" w:bidi="ar-SA"/>
        </w:rPr>
        <w:fldChar w:fldCharType="separate"/>
      </w:r>
      <w:r>
        <w:rPr>
          <w:rFonts w:hint="default" w:ascii="Times New Roman" w:hAnsi="Times New Roman" w:eastAsia="方正仿宋_GBK" w:cs="Times New Roman"/>
          <w:i w:val="0"/>
          <w:color w:val="auto"/>
          <w:kern w:val="2"/>
          <w:sz w:val="24"/>
          <w:szCs w:val="22"/>
          <w:highlight w:val="none"/>
          <w:lang w:val="en-US" w:eastAsia="zh-CN" w:bidi="ar-SA"/>
        </w:rPr>
        <w:t xml:space="preserve">第8条 </w:t>
      </w:r>
      <w:r>
        <w:rPr>
          <w:rFonts w:hint="default" w:ascii="Times New Roman" w:hAnsi="Times New Roman" w:eastAsia="方正仿宋_GBK" w:cs="Times New Roman"/>
          <w:color w:val="auto"/>
          <w:kern w:val="2"/>
          <w:sz w:val="24"/>
          <w:szCs w:val="22"/>
          <w:highlight w:val="none"/>
          <w:lang w:val="en-US" w:eastAsia="zh-CN" w:bidi="ar-SA"/>
        </w:rPr>
        <w:t>争议解决</w:t>
      </w:r>
      <w:r>
        <w:rPr>
          <w:rFonts w:hint="default" w:ascii="Times New Roman" w:hAnsi="Times New Roman" w:eastAsia="方正仿宋_GBK" w:cs="Times New Roman"/>
          <w:color w:val="auto"/>
          <w:kern w:val="2"/>
          <w:sz w:val="24"/>
          <w:szCs w:val="22"/>
          <w:highlight w:val="none"/>
          <w:lang w:val="en-US" w:eastAsia="zh-CN" w:bidi="ar-SA"/>
        </w:rPr>
        <w:tab/>
      </w:r>
      <w:r>
        <w:rPr>
          <w:rFonts w:hint="default" w:ascii="Times New Roman" w:hAnsi="Times New Roman" w:eastAsia="方正仿宋_GBK" w:cs="Times New Roman"/>
          <w:color w:val="auto"/>
          <w:kern w:val="2"/>
          <w:sz w:val="24"/>
          <w:szCs w:val="22"/>
          <w:highlight w:val="none"/>
          <w:lang w:val="en-US" w:eastAsia="zh-CN" w:bidi="ar-SA"/>
        </w:rPr>
        <w:fldChar w:fldCharType="begin"/>
      </w:r>
      <w:r>
        <w:rPr>
          <w:rFonts w:hint="default" w:ascii="Times New Roman" w:hAnsi="Times New Roman" w:eastAsia="方正仿宋_GBK" w:cs="Times New Roman"/>
          <w:color w:val="auto"/>
          <w:kern w:val="2"/>
          <w:sz w:val="24"/>
          <w:szCs w:val="22"/>
          <w:highlight w:val="none"/>
          <w:lang w:val="en-US" w:eastAsia="zh-CN" w:bidi="ar-SA"/>
        </w:rPr>
        <w:instrText xml:space="preserve"> PAGEREF _Toc21928 \h </w:instrText>
      </w:r>
      <w:r>
        <w:rPr>
          <w:rFonts w:hint="default" w:ascii="Times New Roman" w:hAnsi="Times New Roman" w:eastAsia="方正仿宋_GBK" w:cs="Times New Roman"/>
          <w:color w:val="auto"/>
          <w:kern w:val="2"/>
          <w:sz w:val="24"/>
          <w:szCs w:val="22"/>
          <w:highlight w:val="none"/>
          <w:lang w:val="en-US" w:eastAsia="zh-CN" w:bidi="ar-SA"/>
        </w:rPr>
        <w:fldChar w:fldCharType="separate"/>
      </w:r>
      <w:r>
        <w:rPr>
          <w:rFonts w:hint="default" w:ascii="Times New Roman" w:hAnsi="Times New Roman" w:eastAsia="方正仿宋_GBK" w:cs="Times New Roman"/>
          <w:color w:val="auto"/>
          <w:kern w:val="2"/>
          <w:sz w:val="24"/>
          <w:szCs w:val="22"/>
          <w:highlight w:val="none"/>
          <w:lang w:val="en-US" w:eastAsia="zh-CN" w:bidi="ar-SA"/>
        </w:rPr>
        <w:t>11</w:t>
      </w:r>
      <w:r>
        <w:rPr>
          <w:rFonts w:hint="default" w:ascii="Times New Roman" w:hAnsi="Times New Roman" w:eastAsia="方正仿宋_GBK" w:cs="Times New Roman"/>
          <w:color w:val="auto"/>
          <w:kern w:val="2"/>
          <w:sz w:val="24"/>
          <w:szCs w:val="22"/>
          <w:highlight w:val="none"/>
          <w:lang w:val="en-US" w:eastAsia="zh-CN" w:bidi="ar-SA"/>
        </w:rPr>
        <w:fldChar w:fldCharType="end"/>
      </w:r>
      <w:r>
        <w:rPr>
          <w:rFonts w:hint="default" w:ascii="Times New Roman" w:hAnsi="Times New Roman" w:eastAsia="方正仿宋_GBK" w:cs="Times New Roman"/>
          <w:color w:val="auto"/>
          <w:kern w:val="2"/>
          <w:sz w:val="24"/>
          <w:szCs w:val="22"/>
          <w:highlight w:val="none"/>
          <w:lang w:val="en-US" w:eastAsia="zh-CN" w:bidi="ar-SA"/>
        </w:rPr>
        <w:fldChar w:fldCharType="end"/>
      </w:r>
    </w:p>
    <w:p w14:paraId="202411BF">
      <w:pPr>
        <w:widowControl w:val="0"/>
        <w:tabs>
          <w:tab w:val="right" w:leader="dot" w:pos="8306"/>
        </w:tabs>
        <w:spacing w:line="360" w:lineRule="auto"/>
        <w:jc w:val="both"/>
        <w:rPr>
          <w:rFonts w:hint="default" w:ascii="Times New Roman" w:hAnsi="Times New Roman" w:eastAsia="方正仿宋_GBK" w:cs="Times New Roman"/>
          <w:color w:val="auto"/>
          <w:kern w:val="2"/>
          <w:sz w:val="24"/>
          <w:szCs w:val="22"/>
          <w:highlight w:val="none"/>
          <w:lang w:val="en-US" w:eastAsia="zh-CN" w:bidi="ar-SA"/>
        </w:rPr>
      </w:pPr>
      <w:r>
        <w:rPr>
          <w:rFonts w:hint="default" w:ascii="Times New Roman" w:hAnsi="Times New Roman" w:eastAsia="方正仿宋_GBK" w:cs="Times New Roman"/>
          <w:color w:val="auto"/>
          <w:kern w:val="2"/>
          <w:sz w:val="24"/>
          <w:szCs w:val="22"/>
          <w:highlight w:val="none"/>
          <w:lang w:val="en-US" w:eastAsia="zh-CN" w:bidi="ar-SA"/>
        </w:rPr>
        <w:fldChar w:fldCharType="begin"/>
      </w:r>
      <w:r>
        <w:rPr>
          <w:rFonts w:hint="default" w:ascii="Times New Roman" w:hAnsi="Times New Roman" w:eastAsia="方正仿宋_GBK" w:cs="Times New Roman"/>
          <w:color w:val="auto"/>
          <w:kern w:val="2"/>
          <w:sz w:val="24"/>
          <w:szCs w:val="22"/>
          <w:highlight w:val="none"/>
          <w:lang w:val="en-US" w:eastAsia="zh-CN" w:bidi="ar-SA"/>
        </w:rPr>
        <w:instrText xml:space="preserve"> HYPERLINK \l _Toc7678 </w:instrText>
      </w:r>
      <w:r>
        <w:rPr>
          <w:rFonts w:hint="default" w:ascii="Times New Roman" w:hAnsi="Times New Roman" w:eastAsia="方正仿宋_GBK" w:cs="Times New Roman"/>
          <w:color w:val="auto"/>
          <w:kern w:val="2"/>
          <w:sz w:val="24"/>
          <w:szCs w:val="22"/>
          <w:highlight w:val="none"/>
          <w:lang w:val="en-US" w:eastAsia="zh-CN" w:bidi="ar-SA"/>
        </w:rPr>
        <w:fldChar w:fldCharType="separate"/>
      </w:r>
      <w:r>
        <w:rPr>
          <w:rFonts w:hint="default" w:ascii="Times New Roman" w:hAnsi="Times New Roman" w:eastAsia="方正仿宋_GBK" w:cs="Times New Roman"/>
          <w:i w:val="0"/>
          <w:color w:val="auto"/>
          <w:kern w:val="2"/>
          <w:sz w:val="24"/>
          <w:szCs w:val="22"/>
          <w:highlight w:val="none"/>
          <w:lang w:val="en-US" w:eastAsia="zh-CN" w:bidi="ar-SA"/>
        </w:rPr>
        <w:t xml:space="preserve">第9条 </w:t>
      </w:r>
      <w:r>
        <w:rPr>
          <w:rFonts w:hint="default" w:ascii="Times New Roman" w:hAnsi="Times New Roman" w:eastAsia="方正仿宋_GBK" w:cs="Times New Roman"/>
          <w:color w:val="auto"/>
          <w:kern w:val="2"/>
          <w:sz w:val="24"/>
          <w:szCs w:val="22"/>
          <w:highlight w:val="none"/>
          <w:lang w:val="en-US" w:eastAsia="zh-CN" w:bidi="ar-SA"/>
        </w:rPr>
        <w:t>本协议的生效及终止</w:t>
      </w:r>
      <w:r>
        <w:rPr>
          <w:rFonts w:hint="default" w:ascii="Times New Roman" w:hAnsi="Times New Roman" w:eastAsia="方正仿宋_GBK" w:cs="Times New Roman"/>
          <w:color w:val="auto"/>
          <w:kern w:val="2"/>
          <w:sz w:val="24"/>
          <w:szCs w:val="22"/>
          <w:highlight w:val="none"/>
          <w:lang w:val="en-US" w:eastAsia="zh-CN" w:bidi="ar-SA"/>
        </w:rPr>
        <w:tab/>
      </w:r>
      <w:r>
        <w:rPr>
          <w:rFonts w:hint="default" w:ascii="Times New Roman" w:hAnsi="Times New Roman" w:eastAsia="方正仿宋_GBK" w:cs="Times New Roman"/>
          <w:color w:val="auto"/>
          <w:kern w:val="2"/>
          <w:sz w:val="24"/>
          <w:szCs w:val="22"/>
          <w:highlight w:val="none"/>
          <w:lang w:val="en-US" w:eastAsia="zh-CN" w:bidi="ar-SA"/>
        </w:rPr>
        <w:fldChar w:fldCharType="begin"/>
      </w:r>
      <w:r>
        <w:rPr>
          <w:rFonts w:hint="default" w:ascii="Times New Roman" w:hAnsi="Times New Roman" w:eastAsia="方正仿宋_GBK" w:cs="Times New Roman"/>
          <w:color w:val="auto"/>
          <w:kern w:val="2"/>
          <w:sz w:val="24"/>
          <w:szCs w:val="22"/>
          <w:highlight w:val="none"/>
          <w:lang w:val="en-US" w:eastAsia="zh-CN" w:bidi="ar-SA"/>
        </w:rPr>
        <w:instrText xml:space="preserve"> PAGEREF _Toc7678 \h </w:instrText>
      </w:r>
      <w:r>
        <w:rPr>
          <w:rFonts w:hint="default" w:ascii="Times New Roman" w:hAnsi="Times New Roman" w:eastAsia="方正仿宋_GBK" w:cs="Times New Roman"/>
          <w:color w:val="auto"/>
          <w:kern w:val="2"/>
          <w:sz w:val="24"/>
          <w:szCs w:val="22"/>
          <w:highlight w:val="none"/>
          <w:lang w:val="en-US" w:eastAsia="zh-CN" w:bidi="ar-SA"/>
        </w:rPr>
        <w:fldChar w:fldCharType="separate"/>
      </w:r>
      <w:r>
        <w:rPr>
          <w:rFonts w:hint="default" w:ascii="Times New Roman" w:hAnsi="Times New Roman" w:eastAsia="方正仿宋_GBK" w:cs="Times New Roman"/>
          <w:color w:val="auto"/>
          <w:kern w:val="2"/>
          <w:sz w:val="24"/>
          <w:szCs w:val="22"/>
          <w:highlight w:val="none"/>
          <w:lang w:val="en-US" w:eastAsia="zh-CN" w:bidi="ar-SA"/>
        </w:rPr>
        <w:t>12</w:t>
      </w:r>
      <w:r>
        <w:rPr>
          <w:rFonts w:hint="default" w:ascii="Times New Roman" w:hAnsi="Times New Roman" w:eastAsia="方正仿宋_GBK" w:cs="Times New Roman"/>
          <w:color w:val="auto"/>
          <w:kern w:val="2"/>
          <w:sz w:val="24"/>
          <w:szCs w:val="22"/>
          <w:highlight w:val="none"/>
          <w:lang w:val="en-US" w:eastAsia="zh-CN" w:bidi="ar-SA"/>
        </w:rPr>
        <w:fldChar w:fldCharType="end"/>
      </w:r>
      <w:r>
        <w:rPr>
          <w:rFonts w:hint="default" w:ascii="Times New Roman" w:hAnsi="Times New Roman" w:eastAsia="方正仿宋_GBK" w:cs="Times New Roman"/>
          <w:color w:val="auto"/>
          <w:kern w:val="2"/>
          <w:sz w:val="24"/>
          <w:szCs w:val="22"/>
          <w:highlight w:val="none"/>
          <w:lang w:val="en-US" w:eastAsia="zh-CN" w:bidi="ar-SA"/>
        </w:rPr>
        <w:fldChar w:fldCharType="end"/>
      </w:r>
    </w:p>
    <w:p w14:paraId="58B9611F">
      <w:pPr>
        <w:widowControl w:val="0"/>
        <w:tabs>
          <w:tab w:val="right" w:leader="dot" w:pos="8306"/>
        </w:tabs>
        <w:spacing w:line="360" w:lineRule="auto"/>
        <w:jc w:val="both"/>
        <w:rPr>
          <w:rFonts w:hint="default" w:ascii="Times New Roman" w:hAnsi="Times New Roman" w:eastAsia="仿宋" w:cs="Times New Roman"/>
          <w:color w:val="auto"/>
          <w:kern w:val="2"/>
          <w:sz w:val="24"/>
          <w:szCs w:val="22"/>
          <w:highlight w:val="none"/>
          <w:lang w:val="en-US" w:eastAsia="zh-CN" w:bidi="ar-SA"/>
        </w:rPr>
      </w:pPr>
      <w:r>
        <w:rPr>
          <w:rFonts w:hint="default" w:ascii="Times New Roman" w:hAnsi="Times New Roman" w:eastAsia="方正仿宋_GBK" w:cs="Times New Roman"/>
          <w:color w:val="auto"/>
          <w:kern w:val="2"/>
          <w:sz w:val="24"/>
          <w:szCs w:val="22"/>
          <w:highlight w:val="none"/>
          <w:lang w:val="en-US" w:eastAsia="zh-CN" w:bidi="ar-SA"/>
        </w:rPr>
        <w:fldChar w:fldCharType="begin"/>
      </w:r>
      <w:r>
        <w:rPr>
          <w:rFonts w:hint="default" w:ascii="Times New Roman" w:hAnsi="Times New Roman" w:eastAsia="方正仿宋_GBK" w:cs="Times New Roman"/>
          <w:color w:val="auto"/>
          <w:kern w:val="2"/>
          <w:sz w:val="24"/>
          <w:szCs w:val="22"/>
          <w:highlight w:val="none"/>
          <w:lang w:val="en-US" w:eastAsia="zh-CN" w:bidi="ar-SA"/>
        </w:rPr>
        <w:instrText xml:space="preserve"> HYPERLINK \l _Toc24376 </w:instrText>
      </w:r>
      <w:r>
        <w:rPr>
          <w:rFonts w:hint="default" w:ascii="Times New Roman" w:hAnsi="Times New Roman" w:eastAsia="方正仿宋_GBK" w:cs="Times New Roman"/>
          <w:color w:val="auto"/>
          <w:kern w:val="2"/>
          <w:sz w:val="24"/>
          <w:szCs w:val="22"/>
          <w:highlight w:val="none"/>
          <w:lang w:val="en-US" w:eastAsia="zh-CN" w:bidi="ar-SA"/>
        </w:rPr>
        <w:fldChar w:fldCharType="separate"/>
      </w:r>
      <w:r>
        <w:rPr>
          <w:rFonts w:hint="default" w:ascii="Times New Roman" w:hAnsi="Times New Roman" w:eastAsia="方正仿宋_GBK" w:cs="Times New Roman"/>
          <w:i w:val="0"/>
          <w:color w:val="auto"/>
          <w:kern w:val="2"/>
          <w:sz w:val="24"/>
          <w:szCs w:val="22"/>
          <w:highlight w:val="none"/>
          <w:lang w:val="en-US" w:eastAsia="zh-CN" w:bidi="ar-SA"/>
        </w:rPr>
        <w:t xml:space="preserve">第10条 </w:t>
      </w:r>
      <w:r>
        <w:rPr>
          <w:rFonts w:hint="default" w:ascii="Times New Roman" w:hAnsi="Times New Roman" w:eastAsia="方正仿宋_GBK" w:cs="Times New Roman"/>
          <w:color w:val="auto"/>
          <w:kern w:val="2"/>
          <w:sz w:val="24"/>
          <w:szCs w:val="22"/>
          <w:highlight w:val="none"/>
          <w:lang w:val="en-US" w:eastAsia="zh-CN" w:bidi="ar-SA"/>
        </w:rPr>
        <w:t>其他事项</w:t>
      </w:r>
      <w:r>
        <w:rPr>
          <w:rFonts w:hint="default" w:ascii="Times New Roman" w:hAnsi="Times New Roman" w:eastAsia="方正仿宋_GBK" w:cs="Times New Roman"/>
          <w:color w:val="auto"/>
          <w:kern w:val="2"/>
          <w:sz w:val="24"/>
          <w:szCs w:val="22"/>
          <w:highlight w:val="none"/>
          <w:lang w:val="en-US" w:eastAsia="zh-CN" w:bidi="ar-SA"/>
        </w:rPr>
        <w:tab/>
      </w:r>
      <w:r>
        <w:rPr>
          <w:rFonts w:hint="default" w:ascii="Times New Roman" w:hAnsi="Times New Roman" w:eastAsia="方正仿宋_GBK" w:cs="Times New Roman"/>
          <w:color w:val="auto"/>
          <w:kern w:val="2"/>
          <w:sz w:val="24"/>
          <w:szCs w:val="22"/>
          <w:highlight w:val="none"/>
          <w:lang w:val="en-US" w:eastAsia="zh-CN" w:bidi="ar-SA"/>
        </w:rPr>
        <w:fldChar w:fldCharType="begin"/>
      </w:r>
      <w:r>
        <w:rPr>
          <w:rFonts w:hint="default" w:ascii="Times New Roman" w:hAnsi="Times New Roman" w:eastAsia="方正仿宋_GBK" w:cs="Times New Roman"/>
          <w:color w:val="auto"/>
          <w:kern w:val="2"/>
          <w:sz w:val="24"/>
          <w:szCs w:val="22"/>
          <w:highlight w:val="none"/>
          <w:lang w:val="en-US" w:eastAsia="zh-CN" w:bidi="ar-SA"/>
        </w:rPr>
        <w:instrText xml:space="preserve"> PAGEREF _Toc24376 \h </w:instrText>
      </w:r>
      <w:r>
        <w:rPr>
          <w:rFonts w:hint="default" w:ascii="Times New Roman" w:hAnsi="Times New Roman" w:eastAsia="方正仿宋_GBK" w:cs="Times New Roman"/>
          <w:color w:val="auto"/>
          <w:kern w:val="2"/>
          <w:sz w:val="24"/>
          <w:szCs w:val="22"/>
          <w:highlight w:val="none"/>
          <w:lang w:val="en-US" w:eastAsia="zh-CN" w:bidi="ar-SA"/>
        </w:rPr>
        <w:fldChar w:fldCharType="separate"/>
      </w:r>
      <w:r>
        <w:rPr>
          <w:rFonts w:hint="default" w:ascii="Times New Roman" w:hAnsi="Times New Roman" w:eastAsia="方正仿宋_GBK" w:cs="Times New Roman"/>
          <w:color w:val="auto"/>
          <w:kern w:val="2"/>
          <w:sz w:val="24"/>
          <w:szCs w:val="22"/>
          <w:highlight w:val="none"/>
          <w:lang w:val="en-US" w:eastAsia="zh-CN" w:bidi="ar-SA"/>
        </w:rPr>
        <w:t>12</w:t>
      </w:r>
      <w:r>
        <w:rPr>
          <w:rFonts w:hint="default" w:ascii="Times New Roman" w:hAnsi="Times New Roman" w:eastAsia="方正仿宋_GBK" w:cs="Times New Roman"/>
          <w:color w:val="auto"/>
          <w:kern w:val="2"/>
          <w:sz w:val="24"/>
          <w:szCs w:val="22"/>
          <w:highlight w:val="none"/>
          <w:lang w:val="en-US" w:eastAsia="zh-CN" w:bidi="ar-SA"/>
        </w:rPr>
        <w:fldChar w:fldCharType="end"/>
      </w:r>
      <w:r>
        <w:rPr>
          <w:rFonts w:hint="default" w:ascii="Times New Roman" w:hAnsi="Times New Roman" w:eastAsia="方正仿宋_GBK" w:cs="Times New Roman"/>
          <w:color w:val="auto"/>
          <w:kern w:val="2"/>
          <w:sz w:val="24"/>
          <w:szCs w:val="22"/>
          <w:highlight w:val="none"/>
          <w:lang w:val="en-US" w:eastAsia="zh-CN" w:bidi="ar-SA"/>
        </w:rPr>
        <w:fldChar w:fldCharType="end"/>
      </w:r>
    </w:p>
    <w:p w14:paraId="05D78D14">
      <w:pPr>
        <w:spacing w:line="360" w:lineRule="auto"/>
        <w:rPr>
          <w:rFonts w:hint="default" w:ascii="仿宋" w:hAnsi="仿宋" w:eastAsia="仿宋"/>
          <w:color w:val="auto"/>
          <w:kern w:val="2"/>
          <w:highlight w:val="none"/>
        </w:rPr>
      </w:pPr>
      <w:r>
        <w:rPr>
          <w:rFonts w:hint="default" w:ascii="Times New Roman" w:hAnsi="Times New Roman" w:eastAsia="仿宋" w:cs="Times New Roman"/>
          <w:color w:val="auto"/>
          <w:kern w:val="2"/>
          <w:highlight w:val="none"/>
        </w:rPr>
        <w:fldChar w:fldCharType="end"/>
      </w:r>
    </w:p>
    <w:p w14:paraId="2522D064">
      <w:pPr>
        <w:rPr>
          <w:rFonts w:hint="default" w:ascii="仿宋" w:hAnsi="仿宋" w:eastAsia="仿宋"/>
          <w:color w:val="auto"/>
          <w:kern w:val="2"/>
          <w:highlight w:val="none"/>
        </w:rPr>
      </w:pPr>
    </w:p>
    <w:p w14:paraId="5BD56D34">
      <w:pPr>
        <w:rPr>
          <w:rFonts w:hint="default" w:ascii="仿宋" w:hAnsi="仿宋" w:eastAsia="仿宋"/>
          <w:color w:val="auto"/>
          <w:kern w:val="2"/>
          <w:highlight w:val="none"/>
        </w:rPr>
      </w:pPr>
    </w:p>
    <w:p w14:paraId="15D814E3">
      <w:pPr>
        <w:rPr>
          <w:rFonts w:ascii="仿宋" w:hAnsi="仿宋" w:eastAsia="仿宋"/>
          <w:color w:val="auto"/>
          <w:highlight w:val="none"/>
        </w:rPr>
        <w:sectPr>
          <w:headerReference r:id="rId14" w:type="default"/>
          <w:footerReference r:id="rId15" w:type="default"/>
          <w:pgSz w:w="11906" w:h="16838"/>
          <w:pgMar w:top="1440" w:right="1800" w:bottom="1440" w:left="1800" w:header="851" w:footer="992" w:gutter="0"/>
          <w:pgNumType w:start="1"/>
          <w:cols w:space="720" w:num="1"/>
          <w:docGrid w:type="lines" w:linePitch="312" w:charSpace="0"/>
        </w:sectPr>
      </w:pPr>
    </w:p>
    <w:p w14:paraId="7418C4F0">
      <w:pPr>
        <w:spacing w:before="120" w:after="156" w:afterLines="50" w:line="500" w:lineRule="exact"/>
        <w:rPr>
          <w:rFonts w:hint="eastAsia" w:ascii="方正仿宋_GBK" w:hAnsi="方正仿宋_GBK" w:eastAsia="方正仿宋_GBK" w:cs="方正仿宋_GBK"/>
          <w:color w:val="auto"/>
          <w:kern w:val="2"/>
          <w:sz w:val="24"/>
          <w:highlight w:val="none"/>
        </w:rPr>
      </w:pPr>
      <w:r>
        <w:rPr>
          <w:rFonts w:hint="eastAsia" w:ascii="方正仿宋_GBK" w:hAnsi="方正仿宋_GBK" w:eastAsia="方正仿宋_GBK" w:cs="方正仿宋_GBK"/>
          <w:color w:val="auto"/>
          <w:kern w:val="2"/>
          <w:sz w:val="24"/>
          <w:highlight w:val="none"/>
        </w:rPr>
        <w:t>本协议由以下双方于【】年【】月【】日在【签订地点】签订：</w:t>
      </w:r>
    </w:p>
    <w:p w14:paraId="3102EBAF">
      <w:pPr>
        <w:widowControl/>
        <w:autoSpaceDE w:val="0"/>
        <w:autoSpaceDN w:val="0"/>
        <w:adjustRightInd w:val="0"/>
        <w:spacing w:before="156" w:beforeLines="50" w:after="156" w:afterLines="50" w:line="500" w:lineRule="exact"/>
        <w:ind w:left="0" w:right="-11"/>
        <w:jc w:val="both"/>
        <w:rPr>
          <w:rFonts w:hint="eastAsia" w:ascii="方正仿宋_GBK" w:hAnsi="方正仿宋_GBK" w:eastAsia="方正仿宋_GBK" w:cs="方正仿宋_GBK"/>
          <w:color w:val="auto"/>
          <w:kern w:val="0"/>
          <w:sz w:val="24"/>
          <w:szCs w:val="20"/>
          <w:highlight w:val="none"/>
          <w:lang w:val="en-US" w:eastAsia="zh-CN" w:bidi="ar-SA"/>
        </w:rPr>
      </w:pPr>
      <w:r>
        <w:rPr>
          <w:rFonts w:hint="eastAsia" w:ascii="方正仿宋_GBK" w:hAnsi="方正仿宋_GBK" w:eastAsia="方正仿宋_GBK" w:cs="方正仿宋_GBK"/>
          <w:b/>
          <w:color w:val="auto"/>
          <w:kern w:val="0"/>
          <w:sz w:val="24"/>
          <w:szCs w:val="20"/>
          <w:highlight w:val="none"/>
          <w:lang w:val="en-US" w:eastAsia="zh-CN" w:bidi="ar-SA"/>
        </w:rPr>
        <w:t>甲方：【实施机构名称】</w:t>
      </w:r>
      <w:r>
        <w:rPr>
          <w:rFonts w:hint="eastAsia" w:ascii="方正仿宋_GBK" w:hAnsi="方正仿宋_GBK" w:eastAsia="方正仿宋_GBK" w:cs="方正仿宋_GBK"/>
          <w:b/>
          <w:color w:val="auto"/>
          <w:kern w:val="0"/>
          <w:sz w:val="24"/>
          <w:szCs w:val="20"/>
          <w:highlight w:val="none"/>
          <w:u w:val="single"/>
          <w:lang w:val="en-US" w:eastAsia="zh-CN" w:bidi="ar-SA"/>
        </w:rPr>
        <w:t xml:space="preserve">                                                 </w:t>
      </w:r>
    </w:p>
    <w:p w14:paraId="1DA26C8E">
      <w:pPr>
        <w:widowControl/>
        <w:autoSpaceDE w:val="0"/>
        <w:autoSpaceDN w:val="0"/>
        <w:adjustRightInd w:val="0"/>
        <w:spacing w:before="156" w:beforeLines="50" w:after="156" w:afterLines="50" w:line="500" w:lineRule="exact"/>
        <w:ind w:left="0" w:right="-11"/>
        <w:jc w:val="both"/>
        <w:rPr>
          <w:rFonts w:hint="eastAsia" w:ascii="方正仿宋_GBK" w:hAnsi="方正仿宋_GBK" w:eastAsia="方正仿宋_GBK" w:cs="方正仿宋_GBK"/>
          <w:color w:val="auto"/>
          <w:kern w:val="0"/>
          <w:sz w:val="24"/>
          <w:szCs w:val="20"/>
          <w:highlight w:val="none"/>
          <w:lang w:val="en-US" w:eastAsia="zh-CN" w:bidi="ar-SA"/>
        </w:rPr>
      </w:pPr>
      <w:r>
        <w:rPr>
          <w:rFonts w:hint="eastAsia" w:ascii="方正仿宋_GBK" w:hAnsi="方正仿宋_GBK" w:eastAsia="方正仿宋_GBK" w:cs="方正仿宋_GBK"/>
          <w:color w:val="auto"/>
          <w:kern w:val="0"/>
          <w:sz w:val="24"/>
          <w:szCs w:val="20"/>
          <w:highlight w:val="none"/>
          <w:lang w:val="en-US" w:eastAsia="zh-CN" w:bidi="ar-SA"/>
        </w:rPr>
        <w:t>和</w:t>
      </w:r>
    </w:p>
    <w:p w14:paraId="42809934">
      <w:pPr>
        <w:widowControl/>
        <w:autoSpaceDE w:val="0"/>
        <w:autoSpaceDN w:val="0"/>
        <w:adjustRightInd w:val="0"/>
        <w:spacing w:before="156" w:beforeLines="50" w:after="156" w:afterLines="50" w:line="500" w:lineRule="exact"/>
        <w:ind w:left="0" w:right="-11"/>
        <w:jc w:val="both"/>
        <w:rPr>
          <w:rFonts w:hint="eastAsia" w:ascii="方正仿宋_GBK" w:hAnsi="方正仿宋_GBK" w:eastAsia="方正仿宋_GBK" w:cs="方正仿宋_GBK"/>
          <w:color w:val="auto"/>
          <w:kern w:val="0"/>
          <w:sz w:val="24"/>
          <w:szCs w:val="20"/>
          <w:highlight w:val="none"/>
          <w:lang w:val="en-US" w:eastAsia="zh-CN" w:bidi="ar-SA"/>
        </w:rPr>
      </w:pPr>
      <w:r>
        <w:rPr>
          <w:rFonts w:hint="eastAsia" w:ascii="方正仿宋_GBK" w:hAnsi="方正仿宋_GBK" w:eastAsia="方正仿宋_GBK" w:cs="方正仿宋_GBK"/>
          <w:b/>
          <w:color w:val="auto"/>
          <w:kern w:val="0"/>
          <w:sz w:val="24"/>
          <w:szCs w:val="20"/>
          <w:highlight w:val="none"/>
          <w:lang w:val="en-US" w:eastAsia="zh-CN" w:bidi="ar-SA"/>
        </w:rPr>
        <w:t>乙方：【中选特许经营者名称】</w:t>
      </w:r>
      <w:r>
        <w:rPr>
          <w:rFonts w:hint="eastAsia" w:ascii="方正仿宋_GBK" w:hAnsi="方正仿宋_GBK" w:eastAsia="方正仿宋_GBK" w:cs="方正仿宋_GBK"/>
          <w:b/>
          <w:color w:val="auto"/>
          <w:kern w:val="0"/>
          <w:sz w:val="24"/>
          <w:szCs w:val="20"/>
          <w:highlight w:val="none"/>
          <w:u w:val="single"/>
          <w:lang w:val="en-US" w:eastAsia="zh-CN" w:bidi="ar-SA"/>
        </w:rPr>
        <w:t xml:space="preserve">                                            </w:t>
      </w:r>
    </w:p>
    <w:p w14:paraId="1E570967">
      <w:pPr>
        <w:spacing w:line="360" w:lineRule="auto"/>
        <w:rPr>
          <w:rFonts w:hint="eastAsia" w:ascii="方正仿宋_GBK" w:hAnsi="方正仿宋_GBK" w:eastAsia="方正仿宋_GBK" w:cs="方正仿宋_GBK"/>
          <w:color w:val="auto"/>
          <w:kern w:val="2"/>
          <w:sz w:val="24"/>
          <w:highlight w:val="none"/>
        </w:rPr>
      </w:pPr>
    </w:p>
    <w:p w14:paraId="0D757C47">
      <w:pPr>
        <w:spacing w:line="360" w:lineRule="auto"/>
        <w:rPr>
          <w:rFonts w:hint="eastAsia" w:ascii="方正仿宋_GBK" w:hAnsi="方正仿宋_GBK" w:eastAsia="方正仿宋_GBK" w:cs="方正仿宋_GBK"/>
          <w:color w:val="auto"/>
          <w:kern w:val="2"/>
          <w:sz w:val="24"/>
          <w:highlight w:val="none"/>
        </w:rPr>
      </w:pPr>
      <w:r>
        <w:rPr>
          <w:rFonts w:hint="eastAsia" w:ascii="方正仿宋_GBK" w:hAnsi="方正仿宋_GBK" w:eastAsia="方正仿宋_GBK" w:cs="方正仿宋_GBK"/>
          <w:color w:val="auto"/>
          <w:kern w:val="2"/>
          <w:sz w:val="24"/>
          <w:highlight w:val="none"/>
        </w:rPr>
        <w:t>鉴于：</w:t>
      </w:r>
    </w:p>
    <w:p w14:paraId="368165A1">
      <w:pPr>
        <w:widowControl w:val="0"/>
        <w:numPr>
          <w:ilvl w:val="0"/>
          <w:numId w:val="2"/>
        </w:numPr>
        <w:spacing w:line="360" w:lineRule="auto"/>
        <w:ind w:left="1276" w:hanging="850" w:firstLineChars="0"/>
        <w:jc w:val="both"/>
        <w:rPr>
          <w:rFonts w:hint="eastAsia" w:ascii="方正仿宋_GBK" w:hAnsi="方正仿宋_GBK" w:eastAsia="方正仿宋_GBK" w:cs="方正仿宋_GBK"/>
          <w:bCs/>
          <w:color w:val="auto"/>
          <w:kern w:val="2"/>
          <w:sz w:val="24"/>
          <w:szCs w:val="28"/>
          <w:highlight w:val="none"/>
          <w:lang w:val="en-US" w:eastAsia="zh-CN" w:bidi="ar-SA"/>
        </w:rPr>
      </w:pPr>
      <w:r>
        <w:rPr>
          <w:rFonts w:hint="eastAsia" w:ascii="方正仿宋_GBK" w:hAnsi="方正仿宋_GBK" w:eastAsia="方正仿宋_GBK" w:cs="方正仿宋_GBK"/>
          <w:bCs/>
          <w:color w:val="auto"/>
          <w:kern w:val="2"/>
          <w:sz w:val="24"/>
          <w:szCs w:val="28"/>
          <w:highlight w:val="none"/>
          <w:lang w:val="en-US" w:eastAsia="zh-CN" w:bidi="ar-SA"/>
        </w:rPr>
        <w:t>江都城区污水处理设施特许经营项目经江都区人民政府批准采用特许经营模式实施，并授权甲方作为本项目实施机构，具体负责本项目的具体实施，并代表江都区人民政府与中选特许经营者及项目公司签署相关合同文件；</w:t>
      </w:r>
    </w:p>
    <w:p w14:paraId="2725F0CA">
      <w:pPr>
        <w:widowControl w:val="0"/>
        <w:numPr>
          <w:ilvl w:val="0"/>
          <w:numId w:val="2"/>
        </w:numPr>
        <w:spacing w:line="360" w:lineRule="auto"/>
        <w:ind w:left="1276" w:hanging="796" w:firstLineChars="0"/>
        <w:jc w:val="both"/>
        <w:rPr>
          <w:rFonts w:hint="eastAsia" w:ascii="方正仿宋_GBK" w:hAnsi="方正仿宋_GBK" w:eastAsia="方正仿宋_GBK" w:cs="方正仿宋_GBK"/>
          <w:color w:val="auto"/>
          <w:kern w:val="2"/>
          <w:sz w:val="24"/>
          <w:szCs w:val="22"/>
          <w:highlight w:val="none"/>
          <w:lang w:val="en-US" w:eastAsia="zh-CN" w:bidi="ar-SA"/>
        </w:rPr>
      </w:pPr>
      <w:r>
        <w:rPr>
          <w:rFonts w:hint="eastAsia" w:ascii="方正仿宋_GBK" w:hAnsi="方正仿宋_GBK" w:eastAsia="方正仿宋_GBK" w:cs="方正仿宋_GBK"/>
          <w:color w:val="auto"/>
          <w:kern w:val="2"/>
          <w:sz w:val="24"/>
          <w:szCs w:val="22"/>
          <w:highlight w:val="none"/>
          <w:lang w:val="en-US" w:eastAsia="zh-CN" w:bidi="ar-SA"/>
        </w:rPr>
        <w:t>甲方已通过</w:t>
      </w:r>
      <w:r>
        <w:rPr>
          <w:rFonts w:hint="eastAsia" w:ascii="方正仿宋_GBK" w:hAnsi="方正仿宋_GBK" w:eastAsia="方正仿宋_GBK" w:cs="方正仿宋_GBK"/>
          <w:color w:val="auto"/>
          <w:kern w:val="2"/>
          <w:sz w:val="21"/>
          <w:szCs w:val="22"/>
          <w:highlight w:val="none"/>
          <w:lang w:val="en-US" w:eastAsia="zh-CN" w:bidi="ar-SA"/>
        </w:rPr>
        <w:t>【</w:t>
      </w:r>
      <w:r>
        <w:rPr>
          <w:rFonts w:hint="eastAsia" w:ascii="方正仿宋_GBK" w:hAnsi="方正仿宋_GBK" w:eastAsia="方正仿宋_GBK" w:cs="方正仿宋_GBK"/>
          <w:color w:val="auto"/>
          <w:kern w:val="2"/>
          <w:sz w:val="24"/>
          <w:szCs w:val="22"/>
          <w:highlight w:val="none"/>
          <w:lang w:val="en-US" w:eastAsia="zh-CN" w:bidi="ar-SA"/>
        </w:rPr>
        <w:t>公开招标</w:t>
      </w:r>
      <w:r>
        <w:rPr>
          <w:rFonts w:hint="eastAsia" w:ascii="方正仿宋_GBK" w:hAnsi="方正仿宋_GBK" w:eastAsia="方正仿宋_GBK" w:cs="方正仿宋_GBK"/>
          <w:color w:val="auto"/>
          <w:kern w:val="2"/>
          <w:sz w:val="21"/>
          <w:szCs w:val="22"/>
          <w:highlight w:val="none"/>
          <w:lang w:val="en-US" w:eastAsia="zh-CN" w:bidi="ar-SA"/>
        </w:rPr>
        <w:t>】</w:t>
      </w:r>
      <w:r>
        <w:rPr>
          <w:rFonts w:hint="eastAsia" w:ascii="方正仿宋_GBK" w:hAnsi="方正仿宋_GBK" w:eastAsia="方正仿宋_GBK" w:cs="方正仿宋_GBK"/>
          <w:color w:val="auto"/>
          <w:kern w:val="2"/>
          <w:sz w:val="24"/>
          <w:szCs w:val="22"/>
          <w:highlight w:val="none"/>
          <w:lang w:val="en-US" w:eastAsia="zh-CN" w:bidi="ar-SA"/>
        </w:rPr>
        <w:t>选定乙方作为本项目中选特许经营者，乙方同意并认可本项目采购/招标文件的全部内容；甲、</w:t>
      </w:r>
      <w:r>
        <w:rPr>
          <w:rFonts w:hint="eastAsia" w:ascii="方正仿宋_GBK" w:hAnsi="方正仿宋_GBK" w:eastAsia="方正仿宋_GBK" w:cs="方正仿宋_GBK"/>
          <w:color w:val="auto"/>
          <w:kern w:val="2"/>
          <w:sz w:val="24"/>
          <w:szCs w:val="24"/>
          <w:highlight w:val="none"/>
          <w:lang w:val="en-US" w:eastAsia="zh-CN" w:bidi="ar-SA"/>
        </w:rPr>
        <w:t>乙双方确认并同意签订本《初步协议》</w:t>
      </w:r>
      <w:r>
        <w:rPr>
          <w:rFonts w:hint="eastAsia" w:ascii="方正仿宋_GBK" w:hAnsi="方正仿宋_GBK" w:eastAsia="方正仿宋_GBK" w:cs="方正仿宋_GBK"/>
          <w:color w:val="auto"/>
          <w:kern w:val="2"/>
          <w:sz w:val="24"/>
          <w:szCs w:val="22"/>
          <w:highlight w:val="none"/>
          <w:lang w:val="en-US" w:eastAsia="zh-CN" w:bidi="ar-SA"/>
        </w:rPr>
        <w:t>。</w:t>
      </w:r>
    </w:p>
    <w:p w14:paraId="68D64837">
      <w:pPr>
        <w:spacing w:line="360" w:lineRule="auto"/>
        <w:ind w:firstLine="480" w:firstLineChars="200"/>
        <w:rPr>
          <w:rFonts w:hint="eastAsia" w:ascii="方正仿宋_GBK" w:hAnsi="方正仿宋_GBK" w:eastAsia="方正仿宋_GBK" w:cs="方正仿宋_GBK"/>
          <w:color w:val="auto"/>
          <w:kern w:val="2"/>
          <w:sz w:val="24"/>
          <w:highlight w:val="none"/>
        </w:rPr>
      </w:pPr>
    </w:p>
    <w:p w14:paraId="64CE7CD9">
      <w:pPr>
        <w:spacing w:line="360" w:lineRule="auto"/>
        <w:ind w:firstLine="480" w:firstLineChars="200"/>
        <w:rPr>
          <w:rFonts w:hint="eastAsia" w:ascii="方正仿宋_GBK" w:hAnsi="方正仿宋_GBK" w:eastAsia="方正仿宋_GBK" w:cs="方正仿宋_GBK"/>
          <w:color w:val="auto"/>
          <w:kern w:val="2"/>
          <w:sz w:val="24"/>
          <w:highlight w:val="none"/>
        </w:rPr>
      </w:pPr>
      <w:bookmarkStart w:id="54" w:name="_Toc444420660"/>
      <w:r>
        <w:rPr>
          <w:rFonts w:hint="eastAsia" w:ascii="方正仿宋_GBK" w:hAnsi="方正仿宋_GBK" w:eastAsia="方正仿宋_GBK" w:cs="方正仿宋_GBK"/>
          <w:color w:val="auto"/>
          <w:kern w:val="2"/>
          <w:sz w:val="24"/>
          <w:highlight w:val="none"/>
        </w:rPr>
        <w:t>甲、乙双方遵循平等、合作、守信的原则，就本项目实施相关事项协商一致，并根据《中华人民共和国</w:t>
      </w:r>
      <w:r>
        <w:rPr>
          <w:rFonts w:hint="eastAsia" w:ascii="方正仿宋_GBK" w:hAnsi="方正仿宋_GBK" w:eastAsia="方正仿宋_GBK" w:cs="方正仿宋_GBK"/>
          <w:color w:val="auto"/>
          <w:kern w:val="2"/>
          <w:sz w:val="24"/>
          <w:highlight w:val="none"/>
          <w:lang w:val="en-US" w:eastAsia="zh-CN"/>
        </w:rPr>
        <w:t>民法典</w:t>
      </w:r>
      <w:r>
        <w:rPr>
          <w:rFonts w:hint="eastAsia" w:ascii="方正仿宋_GBK" w:hAnsi="方正仿宋_GBK" w:eastAsia="方正仿宋_GBK" w:cs="方正仿宋_GBK"/>
          <w:color w:val="auto"/>
          <w:kern w:val="2"/>
          <w:sz w:val="24"/>
          <w:highlight w:val="none"/>
        </w:rPr>
        <w:t>》及有关适用法律规定，共同达成协议如下：</w:t>
      </w:r>
    </w:p>
    <w:p w14:paraId="5B3D4303">
      <w:pPr>
        <w:widowControl w:val="0"/>
        <w:ind w:left="988" w:leftChars="234" w:hanging="497" w:hangingChars="237"/>
        <w:jc w:val="both"/>
        <w:rPr>
          <w:rFonts w:hint="eastAsia" w:ascii="方正仿宋_GBK" w:hAnsi="方正仿宋_GBK" w:eastAsia="方正仿宋_GBK" w:cs="方正仿宋_GBK"/>
          <w:color w:val="auto"/>
          <w:kern w:val="0"/>
          <w:sz w:val="21"/>
          <w:szCs w:val="22"/>
          <w:highlight w:val="none"/>
          <w:lang w:val="en-US" w:eastAsia="zh-CN" w:bidi="ar-SA"/>
        </w:rPr>
      </w:pPr>
    </w:p>
    <w:p w14:paraId="328B7B44">
      <w:pPr>
        <w:ind w:left="988" w:leftChars="234" w:hanging="497" w:hangingChars="237"/>
        <w:rPr>
          <w:rFonts w:hint="eastAsia" w:ascii="方正仿宋_GBK" w:hAnsi="方正仿宋_GBK" w:eastAsia="方正仿宋_GBK" w:cs="方正仿宋_GBK"/>
          <w:color w:val="auto"/>
          <w:kern w:val="0"/>
          <w:highlight w:val="none"/>
        </w:rPr>
        <w:sectPr>
          <w:footerReference r:id="rId16" w:type="default"/>
          <w:pgSz w:w="11906" w:h="16838"/>
          <w:pgMar w:top="1440" w:right="1800" w:bottom="1440" w:left="1800" w:header="851" w:footer="992" w:gutter="0"/>
          <w:cols w:space="720" w:num="1"/>
          <w:docGrid w:type="lines" w:linePitch="312" w:charSpace="0"/>
        </w:sectPr>
      </w:pPr>
    </w:p>
    <w:p w14:paraId="122AD9E9">
      <w:pPr>
        <w:keepNext w:val="0"/>
        <w:widowControl/>
        <w:numPr>
          <w:ilvl w:val="0"/>
          <w:numId w:val="3"/>
        </w:numPr>
        <w:tabs>
          <w:tab w:val="left" w:pos="1134"/>
          <w:tab w:val="clear" w:pos="4051"/>
        </w:tabs>
        <w:autoSpaceDE w:val="0"/>
        <w:autoSpaceDN w:val="0"/>
        <w:adjustRightInd w:val="0"/>
        <w:spacing w:before="312" w:beforeLines="100" w:after="0" w:line="360" w:lineRule="auto"/>
        <w:ind w:right="28" w:firstLine="0"/>
        <w:jc w:val="left"/>
        <w:outlineLvl w:val="0"/>
        <w:rPr>
          <w:rFonts w:hint="eastAsia" w:ascii="方正仿宋_GBK" w:hAnsi="方正仿宋_GBK" w:eastAsia="方正仿宋_GBK" w:cs="方正仿宋_GBK"/>
          <w:b/>
          <w:color w:val="auto"/>
          <w:kern w:val="0"/>
          <w:sz w:val="28"/>
          <w:szCs w:val="20"/>
          <w:highlight w:val="none"/>
          <w:lang w:val="en-US" w:eastAsia="zh-CN" w:bidi="ar-SA"/>
        </w:rPr>
      </w:pPr>
      <w:bookmarkStart w:id="55" w:name="_Toc3772"/>
      <w:r>
        <w:rPr>
          <w:rFonts w:hint="eastAsia" w:ascii="方正仿宋_GBK" w:hAnsi="方正仿宋_GBK" w:eastAsia="方正仿宋_GBK" w:cs="方正仿宋_GBK"/>
          <w:b/>
          <w:color w:val="auto"/>
          <w:kern w:val="0"/>
          <w:sz w:val="28"/>
          <w:szCs w:val="20"/>
          <w:highlight w:val="none"/>
          <w:lang w:val="en-US" w:eastAsia="zh-CN" w:bidi="ar-SA"/>
        </w:rPr>
        <w:t>定义</w:t>
      </w:r>
      <w:bookmarkEnd w:id="54"/>
      <w:r>
        <w:rPr>
          <w:rFonts w:hint="eastAsia" w:ascii="方正仿宋_GBK" w:hAnsi="方正仿宋_GBK" w:eastAsia="方正仿宋_GBK" w:cs="方正仿宋_GBK"/>
          <w:b/>
          <w:color w:val="auto"/>
          <w:kern w:val="0"/>
          <w:sz w:val="28"/>
          <w:szCs w:val="20"/>
          <w:highlight w:val="none"/>
          <w:lang w:val="en-US" w:eastAsia="zh-CN" w:bidi="ar-SA"/>
        </w:rPr>
        <w:t>及解释</w:t>
      </w:r>
      <w:bookmarkEnd w:id="55"/>
    </w:p>
    <w:p w14:paraId="4B118EA2">
      <w:pPr>
        <w:keepNext w:val="0"/>
        <w:widowControl/>
        <w:numPr>
          <w:ilvl w:val="1"/>
          <w:numId w:val="3"/>
        </w:numPr>
        <w:tabs>
          <w:tab w:val="left" w:pos="1276"/>
          <w:tab w:val="clear" w:pos="908"/>
        </w:tabs>
        <w:autoSpaceDE w:val="0"/>
        <w:autoSpaceDN w:val="0"/>
        <w:adjustRightInd w:val="0"/>
        <w:spacing w:before="156" w:beforeLines="50" w:after="0" w:line="360" w:lineRule="auto"/>
        <w:ind w:left="907" w:hanging="482"/>
        <w:jc w:val="both"/>
        <w:outlineLvl w:val="1"/>
        <w:rPr>
          <w:rFonts w:hint="eastAsia" w:ascii="方正仿宋_GBK" w:hAnsi="方正仿宋_GBK" w:eastAsia="方正仿宋_GBK" w:cs="方正仿宋_GBK"/>
          <w:b/>
          <w:color w:val="auto"/>
          <w:kern w:val="0"/>
          <w:sz w:val="24"/>
          <w:szCs w:val="20"/>
          <w:highlight w:val="none"/>
          <w:lang w:val="en-US" w:eastAsia="zh-CN" w:bidi="ar-SA"/>
        </w:rPr>
      </w:pPr>
      <w:bookmarkStart w:id="56" w:name="_Toc444420661"/>
      <w:bookmarkStart w:id="57" w:name="_Toc475566561"/>
      <w:r>
        <w:rPr>
          <w:rFonts w:hint="eastAsia" w:ascii="方正仿宋_GBK" w:hAnsi="方正仿宋_GBK" w:eastAsia="方正仿宋_GBK" w:cs="方正仿宋_GBK"/>
          <w:b/>
          <w:color w:val="auto"/>
          <w:kern w:val="0"/>
          <w:sz w:val="24"/>
          <w:szCs w:val="20"/>
          <w:highlight w:val="none"/>
          <w:lang w:val="en-US" w:eastAsia="zh-CN" w:bidi="ar-SA"/>
        </w:rPr>
        <w:t>定义</w:t>
      </w:r>
      <w:bookmarkEnd w:id="56"/>
      <w:bookmarkEnd w:id="57"/>
    </w:p>
    <w:p w14:paraId="3DBC3DE0">
      <w:pPr>
        <w:widowControl w:val="0"/>
        <w:spacing w:before="156" w:beforeLines="50" w:line="360" w:lineRule="auto"/>
        <w:ind w:firstLine="480" w:firstLineChars="200"/>
        <w:jc w:val="both"/>
        <w:rPr>
          <w:rFonts w:hint="eastAsia" w:ascii="方正仿宋_GBK" w:hAnsi="方正仿宋_GBK" w:eastAsia="方正仿宋_GBK" w:cs="方正仿宋_GBK"/>
          <w:color w:val="auto"/>
          <w:kern w:val="2"/>
          <w:sz w:val="24"/>
          <w:szCs w:val="22"/>
          <w:highlight w:val="none"/>
          <w:lang w:val="en-US" w:eastAsia="zh-CN" w:bidi="ar-SA"/>
        </w:rPr>
      </w:pPr>
      <w:r>
        <w:rPr>
          <w:rFonts w:hint="eastAsia" w:ascii="方正仿宋_GBK" w:hAnsi="方正仿宋_GBK" w:eastAsia="方正仿宋_GBK" w:cs="方正仿宋_GBK"/>
          <w:color w:val="auto"/>
          <w:kern w:val="2"/>
          <w:sz w:val="24"/>
          <w:szCs w:val="22"/>
          <w:highlight w:val="none"/>
          <w:lang w:val="en-US" w:eastAsia="zh-CN" w:bidi="ar-SA"/>
        </w:rPr>
        <w:t>除非本协议另有约定，下述术语具有下列含义：</w:t>
      </w:r>
    </w:p>
    <w:p w14:paraId="10383CCB">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bookmarkStart w:id="58" w:name="_Toc475566562"/>
      <w:r>
        <w:rPr>
          <w:rFonts w:hint="eastAsia" w:ascii="方正仿宋_GBK" w:hAnsi="方正仿宋_GBK" w:eastAsia="方正仿宋_GBK" w:cs="方正仿宋_GBK"/>
          <w:bCs/>
          <w:color w:val="auto"/>
          <w:kern w:val="0"/>
          <w:sz w:val="24"/>
          <w:szCs w:val="24"/>
          <w:highlight w:val="none"/>
          <w:lang w:val="en-US" w:eastAsia="zh-CN" w:bidi="ar-SA"/>
        </w:rPr>
        <w:t>项目公司，指乙方为实施本项目而按照适用法律规定及采购/招标文件要求组建的特殊目的公司。</w:t>
      </w:r>
      <w:bookmarkEnd w:id="58"/>
    </w:p>
    <w:p w14:paraId="44E5FDD2">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bookmarkStart w:id="59" w:name="_Toc475566563"/>
      <w:r>
        <w:rPr>
          <w:rFonts w:hint="eastAsia" w:ascii="方正仿宋_GBK" w:hAnsi="方正仿宋_GBK" w:eastAsia="方正仿宋_GBK" w:cs="方正仿宋_GBK"/>
          <w:bCs/>
          <w:color w:val="auto"/>
          <w:kern w:val="0"/>
          <w:sz w:val="24"/>
          <w:szCs w:val="24"/>
          <w:highlight w:val="none"/>
          <w:lang w:val="en-US" w:eastAsia="zh-CN" w:bidi="ar-SA"/>
        </w:rPr>
        <w:t>本项目，指</w:t>
      </w:r>
      <w:r>
        <w:rPr>
          <w:rFonts w:hint="eastAsia" w:ascii="方正仿宋_GBK" w:hAnsi="方正仿宋_GBK" w:eastAsia="方正仿宋_GBK" w:cs="方正仿宋_GBK"/>
          <w:bCs/>
          <w:caps w:val="0"/>
          <w:smallCaps w:val="0"/>
          <w:color w:val="auto"/>
          <w:kern w:val="0"/>
          <w:sz w:val="24"/>
          <w:szCs w:val="24"/>
          <w:highlight w:val="none"/>
          <w:u w:val="single"/>
          <w:lang w:val="en-US" w:eastAsia="zh-CN" w:bidi="ar-SA"/>
        </w:rPr>
        <w:t>江都城区污水处理设施特许经营</w:t>
      </w:r>
      <w:r>
        <w:rPr>
          <w:rFonts w:hint="eastAsia" w:ascii="方正仿宋_GBK" w:hAnsi="方正仿宋_GBK" w:eastAsia="方正仿宋_GBK" w:cs="方正仿宋_GBK"/>
          <w:bCs/>
          <w:caps w:val="0"/>
          <w:smallCaps w:val="0"/>
          <w:color w:val="auto"/>
          <w:kern w:val="0"/>
          <w:sz w:val="24"/>
          <w:szCs w:val="24"/>
          <w:highlight w:val="none"/>
          <w:lang w:val="en-US" w:eastAsia="zh-CN" w:bidi="ar-SA"/>
        </w:rPr>
        <w:t>项目</w:t>
      </w:r>
      <w:r>
        <w:rPr>
          <w:rFonts w:hint="eastAsia" w:ascii="方正仿宋_GBK" w:hAnsi="方正仿宋_GBK" w:eastAsia="方正仿宋_GBK" w:cs="方正仿宋_GBK"/>
          <w:bCs/>
          <w:color w:val="auto"/>
          <w:kern w:val="0"/>
          <w:sz w:val="24"/>
          <w:szCs w:val="24"/>
          <w:highlight w:val="none"/>
          <w:lang w:val="en-US" w:eastAsia="zh-CN" w:bidi="ar-SA"/>
        </w:rPr>
        <w:t>。</w:t>
      </w:r>
    </w:p>
    <w:bookmarkEnd w:id="59"/>
    <w:p w14:paraId="4B2E6D73">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bookmarkStart w:id="60" w:name="_Toc475566564"/>
      <w:r>
        <w:rPr>
          <w:rFonts w:hint="eastAsia" w:ascii="方正仿宋_GBK" w:hAnsi="方正仿宋_GBK" w:eastAsia="方正仿宋_GBK" w:cs="方正仿宋_GBK"/>
          <w:bCs/>
          <w:color w:val="auto"/>
          <w:kern w:val="0"/>
          <w:sz w:val="24"/>
          <w:szCs w:val="24"/>
          <w:highlight w:val="none"/>
          <w:lang w:val="en-US" w:eastAsia="zh-CN" w:bidi="ar-SA"/>
        </w:rPr>
        <w:t>本协议，指甲方与乙方就本项目而签订的《初步协议》。</w:t>
      </w:r>
      <w:bookmarkEnd w:id="60"/>
    </w:p>
    <w:p w14:paraId="4916441E">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bookmarkStart w:id="61" w:name="_Toc475566565"/>
      <w:r>
        <w:rPr>
          <w:rFonts w:hint="eastAsia" w:ascii="方正仿宋_GBK" w:hAnsi="方正仿宋_GBK" w:eastAsia="方正仿宋_GBK" w:cs="方正仿宋_GBK"/>
          <w:bCs/>
          <w:color w:val="auto"/>
          <w:kern w:val="0"/>
          <w:sz w:val="24"/>
          <w:szCs w:val="24"/>
          <w:highlight w:val="none"/>
          <w:lang w:val="en-US" w:eastAsia="zh-CN" w:bidi="ar-SA"/>
        </w:rPr>
        <w:t>《特许经营协议》，指甲方和乙方单独组建的项目公司签署的《江都城区污水处理设施特许经营项目特许经营协议》。</w:t>
      </w:r>
      <w:bookmarkEnd w:id="61"/>
    </w:p>
    <w:p w14:paraId="6588A9D0">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bookmarkStart w:id="62" w:name="_Toc475566567"/>
      <w:r>
        <w:rPr>
          <w:rFonts w:hint="eastAsia" w:ascii="方正仿宋_GBK" w:hAnsi="方正仿宋_GBK" w:eastAsia="方正仿宋_GBK" w:cs="方正仿宋_GBK"/>
          <w:bCs/>
          <w:color w:val="auto"/>
          <w:kern w:val="0"/>
          <w:sz w:val="24"/>
          <w:szCs w:val="24"/>
          <w:highlight w:val="none"/>
          <w:lang w:val="en-US" w:eastAsia="zh-CN" w:bidi="ar-SA"/>
        </w:rPr>
        <w:t>政府方，指江都区人民政府或其依法授权的实施机构，可指其中之一，也可统指江都区人民政府和实施机构。</w:t>
      </w:r>
    </w:p>
    <w:p w14:paraId="37765D6F">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r>
        <w:rPr>
          <w:rFonts w:hint="eastAsia" w:ascii="方正仿宋_GBK" w:hAnsi="方正仿宋_GBK" w:eastAsia="方正仿宋_GBK" w:cs="方正仿宋_GBK"/>
          <w:bCs/>
          <w:color w:val="auto"/>
          <w:kern w:val="0"/>
          <w:sz w:val="24"/>
          <w:szCs w:val="24"/>
          <w:highlight w:val="none"/>
          <w:lang w:val="en-US" w:eastAsia="zh-CN" w:bidi="ar-SA"/>
        </w:rPr>
        <w:t>融资方，指融资文件中的贷款人或项目融资资金的提供人。</w:t>
      </w:r>
    </w:p>
    <w:p w14:paraId="1249F953">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r>
        <w:rPr>
          <w:rFonts w:hint="eastAsia" w:ascii="方正仿宋_GBK" w:hAnsi="方正仿宋_GBK" w:eastAsia="方正仿宋_GBK" w:cs="方正仿宋_GBK"/>
          <w:bCs/>
          <w:color w:val="auto"/>
          <w:kern w:val="0"/>
          <w:sz w:val="24"/>
          <w:szCs w:val="24"/>
          <w:highlight w:val="none"/>
          <w:lang w:val="en-US" w:eastAsia="zh-CN" w:bidi="ar-SA"/>
        </w:rPr>
        <w:t>生效日，指本协议甲、乙双方法定代表人或授权代表签字并加盖公章之日。</w:t>
      </w:r>
    </w:p>
    <w:bookmarkEnd w:id="62"/>
    <w:p w14:paraId="5E4A0796">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r>
        <w:rPr>
          <w:rFonts w:hint="eastAsia" w:ascii="方正仿宋_GBK" w:hAnsi="方正仿宋_GBK" w:eastAsia="方正仿宋_GBK" w:cs="方正仿宋_GBK"/>
          <w:bCs/>
          <w:color w:val="auto"/>
          <w:kern w:val="0"/>
          <w:sz w:val="24"/>
          <w:szCs w:val="24"/>
          <w:highlight w:val="none"/>
          <w:lang w:val="en-US" w:eastAsia="zh-CN" w:bidi="ar-SA"/>
        </w:rPr>
        <w:t>项目设施，指与本项目运营管理相关的设施，包括全部构筑物、建筑物、设施、设备等。</w:t>
      </w:r>
    </w:p>
    <w:p w14:paraId="642FFBB2">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r>
        <w:rPr>
          <w:rFonts w:hint="eastAsia" w:ascii="方正仿宋_GBK" w:hAnsi="方正仿宋_GBK" w:eastAsia="方正仿宋_GBK" w:cs="方正仿宋_GBK"/>
          <w:bCs/>
          <w:color w:val="auto"/>
          <w:kern w:val="0"/>
          <w:sz w:val="24"/>
          <w:szCs w:val="24"/>
          <w:highlight w:val="none"/>
          <w:lang w:val="en-US" w:eastAsia="zh-CN" w:bidi="ar-SA"/>
        </w:rPr>
        <w:t>批准，指为了使乙方能够履行其在本合同项下的义务和行使其在本合同项下的权利，乙方必须或希望从政府机关依法获得的所需要的任何许可、执照、同意、授权、批准、免除或相同及类似的文件。</w:t>
      </w:r>
    </w:p>
    <w:p w14:paraId="3D959783">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r>
        <w:rPr>
          <w:rFonts w:hint="eastAsia" w:ascii="方正仿宋_GBK" w:hAnsi="方正仿宋_GBK" w:eastAsia="方正仿宋_GBK" w:cs="方正仿宋_GBK"/>
          <w:bCs/>
          <w:color w:val="auto"/>
          <w:kern w:val="0"/>
          <w:sz w:val="24"/>
          <w:szCs w:val="24"/>
          <w:highlight w:val="none"/>
          <w:lang w:val="en-US" w:eastAsia="zh-CN" w:bidi="ar-SA"/>
        </w:rPr>
        <w:t>适用法律，指所有适用的中华人民共和国法律、法规、规章、地方性法规、司法解释、政府部门颁布的标准、规范或其他适用的强制性要求、具有法律约束力的规范性文件等。为本协议目的，任何政府主管部门签发的对双方履行本协议有实质性影响的文件（包括批文、执照、许可、授权等）视为适用法律的一部分。</w:t>
      </w:r>
    </w:p>
    <w:p w14:paraId="4ABD1714">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r>
        <w:rPr>
          <w:rFonts w:hint="eastAsia" w:ascii="方正仿宋_GBK" w:hAnsi="方正仿宋_GBK" w:eastAsia="方正仿宋_GBK" w:cs="方正仿宋_GBK"/>
          <w:bCs/>
          <w:color w:val="auto"/>
          <w:kern w:val="0"/>
          <w:sz w:val="24"/>
          <w:szCs w:val="24"/>
          <w:highlight w:val="none"/>
          <w:lang w:val="en-US" w:eastAsia="zh-CN" w:bidi="ar-SA"/>
        </w:rPr>
        <w:t>采购/招标文件，指《江都城区污水处理设施特许经营项目特许经营者采购/招标文件》。</w:t>
      </w:r>
    </w:p>
    <w:p w14:paraId="54894C02">
      <w:pPr>
        <w:keepNext w:val="0"/>
        <w:widowControl/>
        <w:numPr>
          <w:ilvl w:val="1"/>
          <w:numId w:val="3"/>
        </w:numPr>
        <w:tabs>
          <w:tab w:val="left" w:pos="1276"/>
          <w:tab w:val="clear" w:pos="908"/>
        </w:tabs>
        <w:autoSpaceDE w:val="0"/>
        <w:autoSpaceDN w:val="0"/>
        <w:adjustRightInd w:val="0"/>
        <w:spacing w:before="156" w:beforeLines="50" w:after="0" w:line="360" w:lineRule="auto"/>
        <w:ind w:left="907" w:hanging="482"/>
        <w:jc w:val="both"/>
        <w:outlineLvl w:val="1"/>
        <w:rPr>
          <w:rFonts w:hint="eastAsia" w:ascii="方正仿宋_GBK" w:hAnsi="方正仿宋_GBK" w:eastAsia="方正仿宋_GBK" w:cs="方正仿宋_GBK"/>
          <w:b/>
          <w:color w:val="auto"/>
          <w:kern w:val="0"/>
          <w:sz w:val="24"/>
          <w:szCs w:val="20"/>
          <w:highlight w:val="none"/>
          <w:lang w:val="en-US" w:eastAsia="zh-CN" w:bidi="ar-SA"/>
        </w:rPr>
      </w:pPr>
      <w:bookmarkStart w:id="63" w:name="_Toc475566568"/>
      <w:r>
        <w:rPr>
          <w:rFonts w:hint="eastAsia" w:ascii="方正仿宋_GBK" w:hAnsi="方正仿宋_GBK" w:eastAsia="方正仿宋_GBK" w:cs="方正仿宋_GBK"/>
          <w:b/>
          <w:color w:val="auto"/>
          <w:kern w:val="0"/>
          <w:sz w:val="24"/>
          <w:szCs w:val="20"/>
          <w:highlight w:val="none"/>
          <w:lang w:val="en-US" w:eastAsia="zh-CN" w:bidi="ar-SA"/>
        </w:rPr>
        <w:t>解释</w:t>
      </w:r>
      <w:bookmarkEnd w:id="63"/>
    </w:p>
    <w:p w14:paraId="3B64C5C0">
      <w:pPr>
        <w:widowControl/>
        <w:numPr>
          <w:ilvl w:val="0"/>
          <w:numId w:val="0"/>
        </w:numPr>
        <w:tabs>
          <w:tab w:val="left" w:pos="1418"/>
          <w:tab w:val="left" w:pos="1759"/>
        </w:tabs>
        <w:autoSpaceDE w:val="0"/>
        <w:autoSpaceDN w:val="0"/>
        <w:adjustRightInd w:val="0"/>
        <w:spacing w:before="156" w:beforeLines="50" w:after="156" w:afterLines="50" w:line="360" w:lineRule="auto"/>
        <w:ind w:firstLine="424" w:firstLineChars="177"/>
        <w:jc w:val="both"/>
        <w:outlineLvl w:val="2"/>
        <w:rPr>
          <w:rFonts w:hint="eastAsia" w:ascii="方正仿宋_GBK" w:hAnsi="方正仿宋_GBK" w:eastAsia="方正仿宋_GBK" w:cs="方正仿宋_GBK"/>
          <w:bCs/>
          <w:color w:val="auto"/>
          <w:kern w:val="0"/>
          <w:sz w:val="24"/>
          <w:szCs w:val="24"/>
          <w:highlight w:val="none"/>
          <w:lang w:val="en-US" w:eastAsia="zh-CN" w:bidi="ar-SA"/>
        </w:rPr>
      </w:pPr>
      <w:bookmarkStart w:id="64" w:name="_Toc475566569"/>
      <w:r>
        <w:rPr>
          <w:rFonts w:hint="eastAsia" w:ascii="方正仿宋_GBK" w:hAnsi="方正仿宋_GBK" w:eastAsia="方正仿宋_GBK" w:cs="方正仿宋_GBK"/>
          <w:bCs/>
          <w:color w:val="auto"/>
          <w:kern w:val="0"/>
          <w:sz w:val="24"/>
          <w:szCs w:val="24"/>
          <w:highlight w:val="none"/>
          <w:lang w:val="en-US" w:eastAsia="zh-CN" w:bidi="ar-SA"/>
        </w:rPr>
        <w:t>本协议中的标题仅为参考所设，不应影响条文的解释。以下规定同样适用于对本协议进行解释，除非其上下文明确显示其不适用。在本协议中：</w:t>
      </w:r>
    </w:p>
    <w:p w14:paraId="04A59832">
      <w:pPr>
        <w:widowControl/>
        <w:numPr>
          <w:ilvl w:val="2"/>
          <w:numId w:val="3"/>
        </w:numPr>
        <w:tabs>
          <w:tab w:val="left" w:pos="1418"/>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r>
        <w:rPr>
          <w:rFonts w:hint="eastAsia" w:ascii="方正仿宋_GBK" w:hAnsi="方正仿宋_GBK" w:eastAsia="方正仿宋_GBK" w:cs="方正仿宋_GBK"/>
          <w:bCs/>
          <w:color w:val="auto"/>
          <w:kern w:val="0"/>
          <w:sz w:val="24"/>
          <w:szCs w:val="24"/>
          <w:highlight w:val="none"/>
          <w:lang w:val="en-US" w:eastAsia="zh-CN" w:bidi="ar-SA"/>
        </w:rPr>
        <w:t>协议或文件，指包括经修订、更新、补充或替代后的该协议或文件；</w:t>
      </w:r>
    </w:p>
    <w:p w14:paraId="5B121899">
      <w:pPr>
        <w:widowControl/>
        <w:numPr>
          <w:ilvl w:val="2"/>
          <w:numId w:val="3"/>
        </w:numPr>
        <w:tabs>
          <w:tab w:val="left" w:pos="1418"/>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r>
        <w:rPr>
          <w:rFonts w:hint="eastAsia" w:ascii="方正仿宋_GBK" w:hAnsi="方正仿宋_GBK" w:eastAsia="方正仿宋_GBK" w:cs="方正仿宋_GBK"/>
          <w:bCs/>
          <w:color w:val="auto"/>
          <w:kern w:val="0"/>
          <w:sz w:val="24"/>
          <w:szCs w:val="24"/>
          <w:highlight w:val="none"/>
          <w:lang w:val="en-US" w:eastAsia="zh-CN" w:bidi="ar-SA"/>
        </w:rPr>
        <w:t>“元”，指中国的法定货币单位“人民币”；</w:t>
      </w:r>
    </w:p>
    <w:p w14:paraId="21EE66B3">
      <w:pPr>
        <w:widowControl/>
        <w:numPr>
          <w:ilvl w:val="2"/>
          <w:numId w:val="3"/>
        </w:numPr>
        <w:tabs>
          <w:tab w:val="left" w:pos="1418"/>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r>
        <w:rPr>
          <w:rFonts w:hint="eastAsia" w:ascii="方正仿宋_GBK" w:hAnsi="方正仿宋_GBK" w:eastAsia="方正仿宋_GBK" w:cs="方正仿宋_GBK"/>
          <w:bCs/>
          <w:color w:val="auto"/>
          <w:kern w:val="0"/>
          <w:sz w:val="24"/>
          <w:szCs w:val="24"/>
          <w:highlight w:val="none"/>
          <w:lang w:val="en-US" w:eastAsia="zh-CN" w:bidi="ar-SA"/>
        </w:rPr>
        <w:t>条款或附件，指本协议的条款或附件；</w:t>
      </w:r>
    </w:p>
    <w:p w14:paraId="50D1F508">
      <w:pPr>
        <w:widowControl/>
        <w:numPr>
          <w:ilvl w:val="2"/>
          <w:numId w:val="3"/>
        </w:numPr>
        <w:tabs>
          <w:tab w:val="left" w:pos="1418"/>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r>
        <w:rPr>
          <w:rFonts w:hint="eastAsia" w:ascii="方正仿宋_GBK" w:hAnsi="方正仿宋_GBK" w:eastAsia="方正仿宋_GBK" w:cs="方正仿宋_GBK"/>
          <w:bCs/>
          <w:color w:val="auto"/>
          <w:kern w:val="0"/>
          <w:sz w:val="24"/>
          <w:szCs w:val="24"/>
          <w:highlight w:val="none"/>
          <w:lang w:val="en-US" w:eastAsia="zh-CN" w:bidi="ar-SA"/>
        </w:rPr>
        <w:t>一方、双方，指本协议中的一方或双方，并且包括经允许的替代该方的主体或该方的受让人；</w:t>
      </w:r>
    </w:p>
    <w:p w14:paraId="7EFD8E0B">
      <w:pPr>
        <w:widowControl/>
        <w:numPr>
          <w:ilvl w:val="2"/>
          <w:numId w:val="3"/>
        </w:numPr>
        <w:tabs>
          <w:tab w:val="left" w:pos="1418"/>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r>
        <w:rPr>
          <w:rFonts w:hint="eastAsia" w:ascii="方正仿宋_GBK" w:hAnsi="方正仿宋_GBK" w:eastAsia="方正仿宋_GBK" w:cs="方正仿宋_GBK"/>
          <w:bCs/>
          <w:color w:val="auto"/>
          <w:kern w:val="0"/>
          <w:sz w:val="24"/>
          <w:szCs w:val="24"/>
          <w:highlight w:val="none"/>
          <w:lang w:val="en-US" w:eastAsia="zh-CN" w:bidi="ar-SA"/>
        </w:rPr>
        <w:t>“包括”，指包括但不限于；</w:t>
      </w:r>
    </w:p>
    <w:p w14:paraId="6578CFB0">
      <w:pPr>
        <w:widowControl/>
        <w:numPr>
          <w:ilvl w:val="2"/>
          <w:numId w:val="3"/>
        </w:numPr>
        <w:tabs>
          <w:tab w:val="left" w:pos="1418"/>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r>
        <w:rPr>
          <w:rFonts w:hint="eastAsia" w:ascii="方正仿宋_GBK" w:hAnsi="方正仿宋_GBK" w:eastAsia="方正仿宋_GBK" w:cs="方正仿宋_GBK"/>
          <w:bCs/>
          <w:color w:val="auto"/>
          <w:kern w:val="0"/>
          <w:sz w:val="24"/>
          <w:szCs w:val="24"/>
          <w:highlight w:val="none"/>
          <w:lang w:val="en-US" w:eastAsia="zh-CN" w:bidi="ar-SA"/>
        </w:rPr>
        <w:t>“以上”、“以下”、“以内”或“内”均含本数，“超过”、“以外”均不含本数；</w:t>
      </w:r>
    </w:p>
    <w:p w14:paraId="7D4F3924">
      <w:pPr>
        <w:widowControl/>
        <w:numPr>
          <w:ilvl w:val="2"/>
          <w:numId w:val="3"/>
        </w:numPr>
        <w:tabs>
          <w:tab w:val="left" w:pos="1418"/>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r>
        <w:rPr>
          <w:rFonts w:hint="eastAsia" w:ascii="方正仿宋_GBK" w:hAnsi="方正仿宋_GBK" w:eastAsia="方正仿宋_GBK" w:cs="方正仿宋_GBK"/>
          <w:bCs/>
          <w:color w:val="auto"/>
          <w:kern w:val="0"/>
          <w:sz w:val="24"/>
          <w:szCs w:val="24"/>
          <w:highlight w:val="none"/>
          <w:lang w:val="en-US" w:eastAsia="zh-CN" w:bidi="ar-SA"/>
        </w:rPr>
        <w:t xml:space="preserve">日、月、季、年，指公历的日、月、季、年； </w:t>
      </w:r>
    </w:p>
    <w:p w14:paraId="450764A7">
      <w:pPr>
        <w:widowControl/>
        <w:numPr>
          <w:ilvl w:val="2"/>
          <w:numId w:val="3"/>
        </w:numPr>
        <w:tabs>
          <w:tab w:val="left" w:pos="1418"/>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r>
        <w:rPr>
          <w:rFonts w:hint="eastAsia" w:ascii="方正仿宋_GBK" w:hAnsi="方正仿宋_GBK" w:eastAsia="方正仿宋_GBK" w:cs="方正仿宋_GBK"/>
          <w:bCs/>
          <w:color w:val="auto"/>
          <w:kern w:val="0"/>
          <w:sz w:val="24"/>
          <w:szCs w:val="24"/>
          <w:highlight w:val="none"/>
          <w:lang w:val="en-US" w:eastAsia="zh-CN" w:bidi="ar-SA"/>
        </w:rPr>
        <w:t>本协议并不限制或以其他方式影响甲方及其他政府主管部门行使其法定行政职权。</w:t>
      </w:r>
    </w:p>
    <w:bookmarkEnd w:id="64"/>
    <w:p w14:paraId="1ECA6E78">
      <w:pPr>
        <w:keepNext w:val="0"/>
        <w:widowControl/>
        <w:numPr>
          <w:ilvl w:val="0"/>
          <w:numId w:val="3"/>
        </w:numPr>
        <w:tabs>
          <w:tab w:val="left" w:pos="1134"/>
          <w:tab w:val="clear" w:pos="4051"/>
        </w:tabs>
        <w:autoSpaceDE w:val="0"/>
        <w:autoSpaceDN w:val="0"/>
        <w:adjustRightInd w:val="0"/>
        <w:spacing w:before="312" w:beforeLines="100" w:after="0" w:line="360" w:lineRule="auto"/>
        <w:ind w:right="28" w:firstLine="0"/>
        <w:jc w:val="left"/>
        <w:outlineLvl w:val="0"/>
        <w:rPr>
          <w:rFonts w:hint="eastAsia" w:ascii="方正仿宋_GBK" w:hAnsi="方正仿宋_GBK" w:eastAsia="方正仿宋_GBK" w:cs="方正仿宋_GBK"/>
          <w:b/>
          <w:color w:val="auto"/>
          <w:kern w:val="0"/>
          <w:sz w:val="28"/>
          <w:szCs w:val="20"/>
          <w:highlight w:val="none"/>
          <w:lang w:val="en-US" w:eastAsia="zh-CN" w:bidi="ar-SA"/>
        </w:rPr>
      </w:pPr>
      <w:bookmarkStart w:id="65" w:name="_Toc10821"/>
      <w:r>
        <w:rPr>
          <w:rFonts w:hint="eastAsia" w:ascii="方正仿宋_GBK" w:hAnsi="方正仿宋_GBK" w:eastAsia="方正仿宋_GBK" w:cs="方正仿宋_GBK"/>
          <w:b/>
          <w:color w:val="auto"/>
          <w:kern w:val="0"/>
          <w:sz w:val="28"/>
          <w:szCs w:val="20"/>
          <w:highlight w:val="none"/>
          <w:lang w:val="en-US" w:eastAsia="zh-CN" w:bidi="ar-SA"/>
        </w:rPr>
        <w:t>合作关系建立</w:t>
      </w:r>
      <w:bookmarkEnd w:id="65"/>
    </w:p>
    <w:p w14:paraId="3C14C9DE">
      <w:pPr>
        <w:keepNext w:val="0"/>
        <w:widowControl/>
        <w:numPr>
          <w:ilvl w:val="1"/>
          <w:numId w:val="3"/>
        </w:numPr>
        <w:tabs>
          <w:tab w:val="left" w:pos="1276"/>
          <w:tab w:val="clear" w:pos="908"/>
        </w:tabs>
        <w:autoSpaceDE w:val="0"/>
        <w:autoSpaceDN w:val="0"/>
        <w:adjustRightInd w:val="0"/>
        <w:spacing w:before="156" w:beforeLines="50" w:after="0" w:line="360" w:lineRule="auto"/>
        <w:ind w:left="907" w:hanging="482"/>
        <w:jc w:val="both"/>
        <w:outlineLvl w:val="1"/>
        <w:rPr>
          <w:rFonts w:hint="eastAsia" w:ascii="方正仿宋_GBK" w:hAnsi="方正仿宋_GBK" w:eastAsia="方正仿宋_GBK" w:cs="方正仿宋_GBK"/>
          <w:b/>
          <w:color w:val="auto"/>
          <w:kern w:val="2"/>
          <w:sz w:val="24"/>
          <w:szCs w:val="24"/>
          <w:highlight w:val="none"/>
          <w:lang w:val="en-US" w:eastAsia="zh-CN" w:bidi="ar-SA"/>
        </w:rPr>
      </w:pPr>
      <w:r>
        <w:rPr>
          <w:rFonts w:hint="eastAsia" w:ascii="方正仿宋_GBK" w:hAnsi="方正仿宋_GBK" w:eastAsia="方正仿宋_GBK" w:cs="方正仿宋_GBK"/>
          <w:b/>
          <w:color w:val="auto"/>
          <w:kern w:val="0"/>
          <w:sz w:val="24"/>
          <w:szCs w:val="24"/>
          <w:highlight w:val="none"/>
          <w:lang w:val="en-US" w:eastAsia="zh-CN" w:bidi="ar-SA"/>
        </w:rPr>
        <w:t>合作范围</w:t>
      </w:r>
    </w:p>
    <w:p w14:paraId="6B700CA5">
      <w:pPr>
        <w:spacing w:line="360" w:lineRule="auto"/>
        <w:ind w:firstLine="424" w:firstLineChars="177"/>
        <w:rPr>
          <w:rFonts w:hint="eastAsia" w:ascii="方正仿宋_GBK" w:hAnsi="方正仿宋_GBK" w:eastAsia="方正仿宋_GBK" w:cs="方正仿宋_GBK"/>
          <w:color w:val="auto"/>
          <w:kern w:val="2"/>
          <w:sz w:val="24"/>
          <w:szCs w:val="28"/>
          <w:highlight w:val="none"/>
        </w:rPr>
      </w:pPr>
      <w:r>
        <w:rPr>
          <w:rFonts w:hint="eastAsia" w:ascii="方正仿宋_GBK" w:hAnsi="方正仿宋_GBK" w:eastAsia="方正仿宋_GBK" w:cs="方正仿宋_GBK"/>
          <w:color w:val="auto"/>
          <w:kern w:val="2"/>
          <w:sz w:val="24"/>
          <w:szCs w:val="28"/>
          <w:highlight w:val="none"/>
        </w:rPr>
        <w:t>乙方作为本项目中选</w:t>
      </w:r>
      <w:r>
        <w:rPr>
          <w:rFonts w:hint="eastAsia" w:ascii="方正仿宋_GBK" w:hAnsi="方正仿宋_GBK" w:eastAsia="方正仿宋_GBK" w:cs="方正仿宋_GBK"/>
          <w:color w:val="auto"/>
          <w:kern w:val="2"/>
          <w:sz w:val="24"/>
          <w:szCs w:val="28"/>
          <w:highlight w:val="none"/>
          <w:lang w:val="en-US" w:eastAsia="zh-CN"/>
        </w:rPr>
        <w:t>特许经营者</w:t>
      </w:r>
      <w:r>
        <w:rPr>
          <w:rFonts w:hint="eastAsia" w:ascii="方正仿宋_GBK" w:hAnsi="方正仿宋_GBK" w:eastAsia="方正仿宋_GBK" w:cs="方正仿宋_GBK"/>
          <w:color w:val="auto"/>
          <w:kern w:val="2"/>
          <w:sz w:val="24"/>
          <w:szCs w:val="28"/>
          <w:highlight w:val="none"/>
        </w:rPr>
        <w:t>，按照采购</w:t>
      </w:r>
      <w:r>
        <w:rPr>
          <w:rFonts w:hint="eastAsia" w:ascii="方正仿宋_GBK" w:hAnsi="方正仿宋_GBK" w:eastAsia="方正仿宋_GBK" w:cs="方正仿宋_GBK"/>
          <w:color w:val="auto"/>
          <w:kern w:val="2"/>
          <w:sz w:val="24"/>
          <w:szCs w:val="28"/>
          <w:highlight w:val="none"/>
          <w:lang w:val="en-US" w:eastAsia="zh-CN"/>
        </w:rPr>
        <w:t>/招标</w:t>
      </w:r>
      <w:r>
        <w:rPr>
          <w:rFonts w:hint="eastAsia" w:ascii="方正仿宋_GBK" w:hAnsi="方正仿宋_GBK" w:eastAsia="方正仿宋_GBK" w:cs="方正仿宋_GBK"/>
          <w:color w:val="auto"/>
          <w:kern w:val="2"/>
          <w:sz w:val="24"/>
          <w:szCs w:val="28"/>
          <w:highlight w:val="none"/>
        </w:rPr>
        <w:t>文件要求出资组建项目公司，</w:t>
      </w:r>
      <w:r>
        <w:rPr>
          <w:rFonts w:hint="eastAsia" w:ascii="方正仿宋_GBK" w:hAnsi="方正仿宋_GBK" w:eastAsia="方正仿宋_GBK" w:cs="方正仿宋_GBK"/>
          <w:color w:val="auto"/>
          <w:kern w:val="2"/>
          <w:sz w:val="24"/>
          <w:szCs w:val="28"/>
          <w:highlight w:val="none"/>
          <w:lang w:val="en-US" w:eastAsia="zh-CN"/>
        </w:rPr>
        <w:t>由项目公司按照《特许经营协议》</w:t>
      </w:r>
      <w:r>
        <w:rPr>
          <w:rFonts w:hint="eastAsia" w:ascii="方正仿宋_GBK" w:hAnsi="方正仿宋_GBK" w:eastAsia="方正仿宋_GBK" w:cs="方正仿宋_GBK"/>
          <w:color w:val="auto"/>
          <w:kern w:val="2"/>
          <w:sz w:val="24"/>
          <w:szCs w:val="28"/>
          <w:highlight w:val="none"/>
        </w:rPr>
        <w:t>约定负责本项目合作范围内项目设施的投融资</w:t>
      </w:r>
      <w:r>
        <w:rPr>
          <w:rFonts w:hint="eastAsia" w:ascii="方正仿宋_GBK" w:hAnsi="方正仿宋_GBK" w:eastAsia="方正仿宋_GBK" w:cs="方正仿宋_GBK"/>
          <w:color w:val="auto"/>
          <w:kern w:val="2"/>
          <w:sz w:val="24"/>
          <w:szCs w:val="28"/>
          <w:highlight w:val="none"/>
          <w:lang w:eastAsia="zh-CN"/>
        </w:rPr>
        <w:t>、</w:t>
      </w:r>
      <w:r>
        <w:rPr>
          <w:rFonts w:hint="eastAsia" w:ascii="方正仿宋_GBK" w:hAnsi="方正仿宋_GBK" w:eastAsia="方正仿宋_GBK" w:cs="方正仿宋_GBK"/>
          <w:color w:val="auto"/>
          <w:kern w:val="2"/>
          <w:sz w:val="24"/>
          <w:szCs w:val="28"/>
          <w:highlight w:val="none"/>
        </w:rPr>
        <w:t>运营维护</w:t>
      </w:r>
      <w:r>
        <w:rPr>
          <w:rFonts w:hint="eastAsia" w:ascii="方正仿宋_GBK" w:hAnsi="方正仿宋_GBK" w:eastAsia="方正仿宋_GBK" w:cs="方正仿宋_GBK"/>
          <w:color w:val="auto"/>
          <w:kern w:val="2"/>
          <w:sz w:val="24"/>
          <w:szCs w:val="28"/>
          <w:highlight w:val="none"/>
          <w:lang w:eastAsia="zh-CN"/>
        </w:rPr>
        <w:t>、</w:t>
      </w:r>
      <w:r>
        <w:rPr>
          <w:rFonts w:hint="eastAsia" w:ascii="方正仿宋_GBK" w:hAnsi="方正仿宋_GBK" w:eastAsia="方正仿宋_GBK" w:cs="方正仿宋_GBK"/>
          <w:color w:val="auto"/>
          <w:kern w:val="2"/>
          <w:sz w:val="24"/>
          <w:szCs w:val="28"/>
          <w:highlight w:val="none"/>
        </w:rPr>
        <w:t>移交工作。</w:t>
      </w:r>
    </w:p>
    <w:p w14:paraId="357A7D7C">
      <w:pPr>
        <w:keepNext w:val="0"/>
        <w:widowControl/>
        <w:numPr>
          <w:ilvl w:val="1"/>
          <w:numId w:val="3"/>
        </w:numPr>
        <w:tabs>
          <w:tab w:val="left" w:pos="1276"/>
          <w:tab w:val="clear" w:pos="908"/>
        </w:tabs>
        <w:autoSpaceDE w:val="0"/>
        <w:autoSpaceDN w:val="0"/>
        <w:adjustRightInd w:val="0"/>
        <w:spacing w:before="156" w:beforeLines="50" w:after="0" w:line="360" w:lineRule="auto"/>
        <w:ind w:left="907" w:hanging="482"/>
        <w:jc w:val="both"/>
        <w:outlineLvl w:val="1"/>
        <w:rPr>
          <w:rFonts w:hint="eastAsia" w:ascii="方正仿宋_GBK" w:hAnsi="方正仿宋_GBK" w:eastAsia="方正仿宋_GBK" w:cs="方正仿宋_GBK"/>
          <w:b/>
          <w:color w:val="auto"/>
          <w:kern w:val="2"/>
          <w:sz w:val="24"/>
          <w:szCs w:val="24"/>
          <w:highlight w:val="none"/>
          <w:lang w:val="en-US" w:eastAsia="zh-CN" w:bidi="ar-SA"/>
        </w:rPr>
      </w:pPr>
      <w:r>
        <w:rPr>
          <w:rFonts w:hint="eastAsia" w:ascii="方正仿宋_GBK" w:hAnsi="方正仿宋_GBK" w:eastAsia="方正仿宋_GBK" w:cs="方正仿宋_GBK"/>
          <w:b/>
          <w:color w:val="auto"/>
          <w:kern w:val="2"/>
          <w:sz w:val="24"/>
          <w:szCs w:val="24"/>
          <w:highlight w:val="none"/>
          <w:lang w:val="en-US" w:eastAsia="zh-CN" w:bidi="ar-SA"/>
        </w:rPr>
        <w:t>项目投融资规模</w:t>
      </w:r>
    </w:p>
    <w:p w14:paraId="479AD4FB">
      <w:pPr>
        <w:spacing w:line="360" w:lineRule="auto"/>
        <w:ind w:firstLine="424" w:firstLineChars="177"/>
        <w:rPr>
          <w:rFonts w:hint="eastAsia" w:ascii="方正仿宋_GBK" w:hAnsi="方正仿宋_GBK" w:eastAsia="方正仿宋_GBK" w:cs="方正仿宋_GBK"/>
          <w:color w:val="auto"/>
          <w:kern w:val="2"/>
          <w:sz w:val="24"/>
          <w:szCs w:val="28"/>
          <w:highlight w:val="none"/>
        </w:rPr>
      </w:pPr>
      <w:r>
        <w:rPr>
          <w:rFonts w:hint="eastAsia" w:ascii="方正仿宋_GBK" w:hAnsi="方正仿宋_GBK" w:eastAsia="方正仿宋_GBK" w:cs="方正仿宋_GBK"/>
          <w:color w:val="auto"/>
          <w:kern w:val="2"/>
          <w:sz w:val="24"/>
          <w:szCs w:val="28"/>
          <w:highlight w:val="none"/>
        </w:rPr>
        <w:t>本项目的</w:t>
      </w:r>
      <w:r>
        <w:rPr>
          <w:rFonts w:hint="eastAsia" w:ascii="方正仿宋_GBK" w:hAnsi="方正仿宋_GBK" w:eastAsia="方正仿宋_GBK" w:cs="方正仿宋_GBK"/>
          <w:color w:val="auto"/>
          <w:kern w:val="2"/>
          <w:sz w:val="24"/>
          <w:szCs w:val="28"/>
          <w:highlight w:val="none"/>
          <w:lang w:val="en-US" w:eastAsia="zh-CN"/>
        </w:rPr>
        <w:t>特许经营转让费</w:t>
      </w:r>
      <w:r>
        <w:rPr>
          <w:rFonts w:hint="eastAsia" w:ascii="方正仿宋_GBK" w:hAnsi="方正仿宋_GBK" w:eastAsia="方正仿宋_GBK" w:cs="方正仿宋_GBK"/>
          <w:color w:val="auto"/>
          <w:kern w:val="2"/>
          <w:sz w:val="24"/>
          <w:szCs w:val="28"/>
          <w:highlight w:val="none"/>
        </w:rPr>
        <w:t>为</w:t>
      </w:r>
      <w:r>
        <w:rPr>
          <w:rFonts w:hint="default" w:ascii="Times New Roman" w:hAnsi="Times New Roman" w:eastAsia="方正仿宋_GBK" w:cs="Times New Roman"/>
          <w:color w:val="auto"/>
          <w:kern w:val="2"/>
          <w:sz w:val="24"/>
          <w:szCs w:val="28"/>
          <w:highlight w:val="none"/>
        </w:rPr>
        <w:t>¥</w:t>
      </w:r>
      <w:r>
        <w:rPr>
          <w:rFonts w:hint="default" w:ascii="Times New Roman" w:hAnsi="Times New Roman" w:eastAsia="方正仿宋_GBK" w:cs="Times New Roman"/>
          <w:color w:val="auto"/>
          <w:kern w:val="2"/>
          <w:sz w:val="24"/>
          <w:szCs w:val="28"/>
          <w:highlight w:val="none"/>
          <w:lang w:val="en-US" w:eastAsia="zh-CN"/>
        </w:rPr>
        <w:t>600,300,000.00</w:t>
      </w:r>
      <w:r>
        <w:rPr>
          <w:rFonts w:hint="eastAsia" w:ascii="方正仿宋_GBK" w:hAnsi="方正仿宋_GBK" w:eastAsia="方正仿宋_GBK" w:cs="方正仿宋_GBK"/>
          <w:color w:val="auto"/>
          <w:kern w:val="2"/>
          <w:sz w:val="24"/>
          <w:szCs w:val="28"/>
          <w:highlight w:val="none"/>
        </w:rPr>
        <w:t>元</w:t>
      </w:r>
      <w:r>
        <w:rPr>
          <w:rFonts w:hint="eastAsia" w:ascii="方正仿宋_GBK" w:hAnsi="方正仿宋_GBK" w:eastAsia="方正仿宋_GBK" w:cs="方正仿宋_GBK"/>
          <w:color w:val="auto"/>
          <w:kern w:val="2"/>
          <w:sz w:val="24"/>
          <w:szCs w:val="28"/>
          <w:highlight w:val="none"/>
          <w:lang w:eastAsia="zh-CN"/>
        </w:rPr>
        <w:t>【</w:t>
      </w:r>
      <w:r>
        <w:rPr>
          <w:rFonts w:hint="eastAsia" w:ascii="方正仿宋_GBK" w:hAnsi="方正仿宋_GBK" w:eastAsia="方正仿宋_GBK" w:cs="方正仿宋_GBK"/>
          <w:color w:val="auto"/>
          <w:kern w:val="2"/>
          <w:sz w:val="24"/>
          <w:szCs w:val="28"/>
          <w:highlight w:val="none"/>
          <w:lang w:val="en-US" w:eastAsia="zh-CN"/>
        </w:rPr>
        <w:t>陆亿零叁拾万元整</w:t>
      </w:r>
      <w:r>
        <w:rPr>
          <w:rFonts w:hint="eastAsia" w:ascii="方正仿宋_GBK" w:hAnsi="方正仿宋_GBK" w:eastAsia="方正仿宋_GBK" w:cs="方正仿宋_GBK"/>
          <w:color w:val="auto"/>
          <w:kern w:val="2"/>
          <w:sz w:val="24"/>
          <w:szCs w:val="28"/>
          <w:highlight w:val="none"/>
          <w:lang w:eastAsia="zh-CN"/>
        </w:rPr>
        <w:t>】</w:t>
      </w:r>
      <w:r>
        <w:rPr>
          <w:rFonts w:hint="eastAsia" w:ascii="方正仿宋_GBK" w:hAnsi="方正仿宋_GBK" w:eastAsia="方正仿宋_GBK" w:cs="方正仿宋_GBK"/>
          <w:color w:val="auto"/>
          <w:kern w:val="2"/>
          <w:sz w:val="24"/>
          <w:szCs w:val="28"/>
          <w:highlight w:val="none"/>
        </w:rPr>
        <w:t>，其中</w:t>
      </w:r>
      <w:r>
        <w:rPr>
          <w:rFonts w:hint="eastAsia" w:ascii="方正仿宋_GBK" w:hAnsi="方正仿宋_GBK" w:eastAsia="方正仿宋_GBK" w:cs="方正仿宋_GBK"/>
          <w:color w:val="auto"/>
          <w:kern w:val="2"/>
          <w:sz w:val="24"/>
          <w:szCs w:val="28"/>
          <w:highlight w:val="none"/>
          <w:lang w:val="en-US" w:eastAsia="zh-CN"/>
        </w:rPr>
        <w:t>项目资本金（自有资金）</w:t>
      </w:r>
      <w:r>
        <w:rPr>
          <w:rFonts w:hint="eastAsia" w:ascii="方正仿宋_GBK" w:hAnsi="方正仿宋_GBK" w:eastAsia="方正仿宋_GBK" w:cs="方正仿宋_GBK"/>
          <w:color w:val="auto"/>
          <w:kern w:val="2"/>
          <w:sz w:val="24"/>
          <w:szCs w:val="28"/>
          <w:highlight w:val="none"/>
        </w:rPr>
        <w:t>为</w:t>
      </w:r>
      <w:r>
        <w:rPr>
          <w:rFonts w:hint="eastAsia" w:ascii="方正仿宋_GBK" w:hAnsi="方正仿宋_GBK" w:eastAsia="方正仿宋_GBK" w:cs="方正仿宋_GBK"/>
          <w:color w:val="auto"/>
          <w:kern w:val="2"/>
          <w:sz w:val="24"/>
          <w:szCs w:val="28"/>
          <w:highlight w:val="none"/>
          <w:lang w:val="en-US" w:eastAsia="zh-CN"/>
        </w:rPr>
        <w:t>特许经营转让费</w:t>
      </w:r>
      <w:r>
        <w:rPr>
          <w:rFonts w:hint="eastAsia" w:ascii="方正仿宋_GBK" w:hAnsi="方正仿宋_GBK" w:eastAsia="方正仿宋_GBK" w:cs="方正仿宋_GBK"/>
          <w:color w:val="auto"/>
          <w:kern w:val="2"/>
          <w:sz w:val="24"/>
          <w:szCs w:val="28"/>
          <w:highlight w:val="none"/>
        </w:rPr>
        <w:t>的</w:t>
      </w:r>
      <w:r>
        <w:rPr>
          <w:rFonts w:hint="eastAsia" w:ascii="Times New Roman" w:hAnsi="Times New Roman" w:eastAsia="方正仿宋_GBK" w:cs="方正仿宋_GBK"/>
          <w:color w:val="auto"/>
          <w:kern w:val="2"/>
          <w:sz w:val="24"/>
          <w:szCs w:val="28"/>
          <w:highlight w:val="none"/>
          <w:u w:val="single"/>
          <w:lang w:val="en-US" w:eastAsia="zh-CN"/>
        </w:rPr>
        <w:t>20</w:t>
      </w:r>
      <w:r>
        <w:rPr>
          <w:rFonts w:hint="eastAsia" w:ascii="方正仿宋_GBK" w:hAnsi="方正仿宋_GBK" w:eastAsia="方正仿宋_GBK" w:cs="方正仿宋_GBK"/>
          <w:color w:val="auto"/>
          <w:kern w:val="2"/>
          <w:sz w:val="24"/>
          <w:szCs w:val="28"/>
          <w:highlight w:val="none"/>
        </w:rPr>
        <w:t>％，即人民币</w:t>
      </w:r>
      <w:r>
        <w:rPr>
          <w:rFonts w:hint="default" w:ascii="Times New Roman" w:hAnsi="Times New Roman" w:eastAsia="方正仿宋_GBK" w:cs="Times New Roman"/>
          <w:color w:val="auto"/>
          <w:kern w:val="2"/>
          <w:sz w:val="24"/>
          <w:szCs w:val="28"/>
          <w:highlight w:val="none"/>
        </w:rPr>
        <w:t>¥</w:t>
      </w:r>
      <w:r>
        <w:rPr>
          <w:rFonts w:hint="eastAsia" w:ascii="Times New Roman" w:hAnsi="Times New Roman" w:eastAsia="方正仿宋_GBK" w:cs="Times New Roman"/>
          <w:color w:val="auto"/>
          <w:kern w:val="2"/>
          <w:sz w:val="24"/>
          <w:szCs w:val="28"/>
          <w:highlight w:val="none"/>
          <w:lang w:val="en-US" w:eastAsia="zh-CN"/>
        </w:rPr>
        <w:t>12</w:t>
      </w:r>
      <w:r>
        <w:rPr>
          <w:rFonts w:hint="default" w:ascii="Times New Roman" w:hAnsi="Times New Roman" w:eastAsia="方正仿宋_GBK" w:cs="Times New Roman"/>
          <w:color w:val="auto"/>
          <w:kern w:val="2"/>
          <w:sz w:val="24"/>
          <w:szCs w:val="28"/>
          <w:highlight w:val="none"/>
          <w:lang w:val="en-US" w:eastAsia="zh-CN"/>
        </w:rPr>
        <w:t>0,</w:t>
      </w:r>
      <w:r>
        <w:rPr>
          <w:rFonts w:hint="eastAsia" w:ascii="Times New Roman" w:hAnsi="Times New Roman" w:eastAsia="方正仿宋_GBK" w:cs="Times New Roman"/>
          <w:color w:val="auto"/>
          <w:kern w:val="2"/>
          <w:sz w:val="24"/>
          <w:szCs w:val="28"/>
          <w:highlight w:val="none"/>
          <w:lang w:val="en-US" w:eastAsia="zh-CN"/>
        </w:rPr>
        <w:t>06</w:t>
      </w:r>
      <w:r>
        <w:rPr>
          <w:rFonts w:hint="default" w:ascii="Times New Roman" w:hAnsi="Times New Roman" w:eastAsia="方正仿宋_GBK" w:cs="Times New Roman"/>
          <w:color w:val="auto"/>
          <w:kern w:val="2"/>
          <w:sz w:val="24"/>
          <w:szCs w:val="28"/>
          <w:highlight w:val="none"/>
          <w:lang w:val="en-US" w:eastAsia="zh-CN"/>
        </w:rPr>
        <w:t>0,000.00</w:t>
      </w:r>
      <w:r>
        <w:rPr>
          <w:rFonts w:hint="eastAsia" w:ascii="方正仿宋_GBK" w:hAnsi="方正仿宋_GBK" w:eastAsia="方正仿宋_GBK" w:cs="方正仿宋_GBK"/>
          <w:color w:val="auto"/>
          <w:kern w:val="2"/>
          <w:sz w:val="24"/>
          <w:szCs w:val="28"/>
          <w:highlight w:val="none"/>
        </w:rPr>
        <w:t>元；</w:t>
      </w:r>
      <w:r>
        <w:rPr>
          <w:rFonts w:hint="eastAsia" w:ascii="方正仿宋_GBK" w:hAnsi="方正仿宋_GBK" w:eastAsia="方正仿宋_GBK" w:cs="方正仿宋_GBK"/>
          <w:color w:val="auto"/>
          <w:kern w:val="2"/>
          <w:sz w:val="24"/>
          <w:szCs w:val="28"/>
          <w:highlight w:val="none"/>
          <w:lang w:val="en-US" w:eastAsia="zh-CN"/>
        </w:rPr>
        <w:t>剩余资金为</w:t>
      </w:r>
      <w:r>
        <w:rPr>
          <w:rFonts w:hint="eastAsia" w:ascii="方正仿宋_GBK" w:hAnsi="方正仿宋_GBK" w:eastAsia="方正仿宋_GBK" w:cs="方正仿宋_GBK"/>
          <w:color w:val="auto"/>
          <w:kern w:val="2"/>
          <w:sz w:val="24"/>
          <w:szCs w:val="28"/>
          <w:highlight w:val="none"/>
        </w:rPr>
        <w:t>债务性资金，</w:t>
      </w:r>
      <w:r>
        <w:rPr>
          <w:rFonts w:hint="eastAsia" w:ascii="方正仿宋_GBK" w:hAnsi="方正仿宋_GBK" w:eastAsia="方正仿宋_GBK" w:cs="方正仿宋_GBK"/>
          <w:color w:val="auto"/>
          <w:kern w:val="2"/>
          <w:sz w:val="24"/>
          <w:szCs w:val="28"/>
          <w:highlight w:val="none"/>
          <w:lang w:val="en-US" w:eastAsia="zh-CN"/>
        </w:rPr>
        <w:t>为</w:t>
      </w:r>
      <w:r>
        <w:rPr>
          <w:rFonts w:hint="eastAsia" w:ascii="方正仿宋_GBK" w:hAnsi="方正仿宋_GBK" w:eastAsia="方正仿宋_GBK" w:cs="方正仿宋_GBK"/>
          <w:color w:val="auto"/>
          <w:kern w:val="2"/>
          <w:sz w:val="24"/>
          <w:szCs w:val="28"/>
          <w:highlight w:val="none"/>
        </w:rPr>
        <w:t>人民币</w:t>
      </w:r>
      <w:r>
        <w:rPr>
          <w:rFonts w:hint="default" w:ascii="Times New Roman" w:hAnsi="Times New Roman" w:eastAsia="方正仿宋_GBK" w:cs="Times New Roman"/>
          <w:color w:val="auto"/>
          <w:kern w:val="2"/>
          <w:sz w:val="24"/>
          <w:szCs w:val="28"/>
          <w:highlight w:val="none"/>
        </w:rPr>
        <w:t>¥</w:t>
      </w:r>
      <w:r>
        <w:rPr>
          <w:rFonts w:hint="eastAsia" w:ascii="Times New Roman" w:hAnsi="Times New Roman" w:eastAsia="方正仿宋_GBK" w:cs="Times New Roman"/>
          <w:color w:val="auto"/>
          <w:kern w:val="2"/>
          <w:sz w:val="24"/>
          <w:szCs w:val="28"/>
          <w:highlight w:val="none"/>
          <w:lang w:val="en-US" w:eastAsia="zh-CN"/>
        </w:rPr>
        <w:t>48</w:t>
      </w:r>
      <w:r>
        <w:rPr>
          <w:rFonts w:hint="default" w:ascii="Times New Roman" w:hAnsi="Times New Roman" w:eastAsia="方正仿宋_GBK" w:cs="Times New Roman"/>
          <w:color w:val="auto"/>
          <w:kern w:val="2"/>
          <w:sz w:val="24"/>
          <w:szCs w:val="28"/>
          <w:highlight w:val="none"/>
          <w:lang w:val="en-US" w:eastAsia="zh-CN"/>
        </w:rPr>
        <w:t>0,</w:t>
      </w:r>
      <w:r>
        <w:rPr>
          <w:rFonts w:hint="eastAsia" w:ascii="Times New Roman" w:hAnsi="Times New Roman" w:eastAsia="方正仿宋_GBK" w:cs="Times New Roman"/>
          <w:color w:val="auto"/>
          <w:kern w:val="2"/>
          <w:sz w:val="24"/>
          <w:szCs w:val="28"/>
          <w:highlight w:val="none"/>
          <w:lang w:val="en-US" w:eastAsia="zh-CN"/>
        </w:rPr>
        <w:t>24</w:t>
      </w:r>
      <w:r>
        <w:rPr>
          <w:rFonts w:hint="default" w:ascii="Times New Roman" w:hAnsi="Times New Roman" w:eastAsia="方正仿宋_GBK" w:cs="Times New Roman"/>
          <w:color w:val="auto"/>
          <w:kern w:val="2"/>
          <w:sz w:val="24"/>
          <w:szCs w:val="28"/>
          <w:highlight w:val="none"/>
          <w:lang w:val="en-US" w:eastAsia="zh-CN"/>
        </w:rPr>
        <w:t>0,000.00</w:t>
      </w:r>
      <w:r>
        <w:rPr>
          <w:rFonts w:hint="eastAsia" w:ascii="方正仿宋_GBK" w:hAnsi="方正仿宋_GBK" w:eastAsia="方正仿宋_GBK" w:cs="方正仿宋_GBK"/>
          <w:color w:val="auto"/>
          <w:kern w:val="2"/>
          <w:sz w:val="24"/>
          <w:szCs w:val="28"/>
          <w:highlight w:val="none"/>
        </w:rPr>
        <w:t>元。</w:t>
      </w:r>
    </w:p>
    <w:p w14:paraId="13B588BB">
      <w:pPr>
        <w:keepNext w:val="0"/>
        <w:widowControl/>
        <w:numPr>
          <w:ilvl w:val="1"/>
          <w:numId w:val="3"/>
        </w:numPr>
        <w:tabs>
          <w:tab w:val="left" w:pos="1276"/>
          <w:tab w:val="clear" w:pos="908"/>
        </w:tabs>
        <w:autoSpaceDE w:val="0"/>
        <w:autoSpaceDN w:val="0"/>
        <w:adjustRightInd w:val="0"/>
        <w:spacing w:before="156" w:beforeLines="50" w:after="0" w:line="360" w:lineRule="auto"/>
        <w:ind w:left="907" w:hanging="482"/>
        <w:jc w:val="both"/>
        <w:outlineLvl w:val="1"/>
        <w:rPr>
          <w:rFonts w:hint="eastAsia" w:ascii="方正仿宋_GBK" w:hAnsi="方正仿宋_GBK" w:eastAsia="方正仿宋_GBK" w:cs="方正仿宋_GBK"/>
          <w:b/>
          <w:color w:val="auto"/>
          <w:kern w:val="2"/>
          <w:sz w:val="24"/>
          <w:szCs w:val="24"/>
          <w:highlight w:val="none"/>
          <w:lang w:val="en-US" w:eastAsia="zh-CN" w:bidi="ar-SA"/>
        </w:rPr>
      </w:pPr>
      <w:r>
        <w:rPr>
          <w:rFonts w:hint="eastAsia" w:ascii="方正仿宋_GBK" w:hAnsi="方正仿宋_GBK" w:eastAsia="方正仿宋_GBK" w:cs="方正仿宋_GBK"/>
          <w:b/>
          <w:color w:val="auto"/>
          <w:kern w:val="0"/>
          <w:sz w:val="24"/>
          <w:szCs w:val="24"/>
          <w:highlight w:val="none"/>
          <w:lang w:val="en-US" w:eastAsia="zh-CN" w:bidi="ar-SA"/>
        </w:rPr>
        <w:t>特许经营权授予</w:t>
      </w:r>
    </w:p>
    <w:p w14:paraId="69CFC198">
      <w:pPr>
        <w:spacing w:line="360" w:lineRule="auto"/>
        <w:ind w:firstLine="424" w:firstLineChars="177"/>
        <w:rPr>
          <w:rFonts w:hint="eastAsia" w:ascii="方正仿宋_GBK" w:hAnsi="方正仿宋_GBK" w:eastAsia="方正仿宋_GBK" w:cs="方正仿宋_GBK"/>
          <w:color w:val="auto"/>
          <w:kern w:val="2"/>
          <w:sz w:val="24"/>
          <w:szCs w:val="28"/>
          <w:highlight w:val="none"/>
        </w:rPr>
      </w:pPr>
      <w:r>
        <w:rPr>
          <w:rFonts w:hint="eastAsia" w:ascii="方正仿宋_GBK" w:hAnsi="方正仿宋_GBK" w:eastAsia="方正仿宋_GBK" w:cs="方正仿宋_GBK"/>
          <w:color w:val="auto"/>
          <w:kern w:val="2"/>
          <w:sz w:val="24"/>
          <w:szCs w:val="28"/>
          <w:highlight w:val="none"/>
        </w:rPr>
        <w:t>甲方已获得本级人民政府的授权，通过与乙方签订《</w:t>
      </w:r>
      <w:r>
        <w:rPr>
          <w:rFonts w:hint="eastAsia" w:ascii="方正仿宋_GBK" w:hAnsi="方正仿宋_GBK" w:eastAsia="方正仿宋_GBK" w:cs="方正仿宋_GBK"/>
          <w:color w:val="auto"/>
          <w:kern w:val="2"/>
          <w:sz w:val="24"/>
          <w:szCs w:val="28"/>
          <w:highlight w:val="none"/>
          <w:lang w:val="en-US" w:eastAsia="zh-CN"/>
        </w:rPr>
        <w:t>初步协议</w:t>
      </w:r>
      <w:r>
        <w:rPr>
          <w:rFonts w:hint="eastAsia" w:ascii="方正仿宋_GBK" w:hAnsi="方正仿宋_GBK" w:eastAsia="方正仿宋_GBK" w:cs="方正仿宋_GBK"/>
          <w:color w:val="auto"/>
          <w:kern w:val="2"/>
          <w:sz w:val="24"/>
          <w:szCs w:val="28"/>
          <w:highlight w:val="none"/>
        </w:rPr>
        <w:t>》</w:t>
      </w:r>
      <w:r>
        <w:rPr>
          <w:rFonts w:hint="eastAsia" w:ascii="方正仿宋_GBK" w:hAnsi="方正仿宋_GBK" w:eastAsia="方正仿宋_GBK" w:cs="方正仿宋_GBK"/>
          <w:color w:val="auto"/>
          <w:kern w:val="2"/>
          <w:sz w:val="24"/>
          <w:szCs w:val="28"/>
          <w:highlight w:val="none"/>
          <w:lang w:eastAsia="zh-CN"/>
        </w:rPr>
        <w:t>，</w:t>
      </w:r>
      <w:r>
        <w:rPr>
          <w:rFonts w:hint="eastAsia" w:ascii="方正仿宋_GBK" w:hAnsi="方正仿宋_GBK" w:eastAsia="方正仿宋_GBK" w:cs="方正仿宋_GBK"/>
          <w:color w:val="auto"/>
          <w:kern w:val="2"/>
          <w:sz w:val="24"/>
          <w:szCs w:val="28"/>
          <w:highlight w:val="none"/>
          <w:lang w:val="en-US" w:eastAsia="zh-CN"/>
        </w:rPr>
        <w:t>与乙方单独组建的项目公司签署《特许经营协议》</w:t>
      </w:r>
      <w:r>
        <w:rPr>
          <w:rFonts w:hint="eastAsia" w:ascii="方正仿宋_GBK" w:hAnsi="方正仿宋_GBK" w:eastAsia="方正仿宋_GBK" w:cs="方正仿宋_GBK"/>
          <w:color w:val="auto"/>
          <w:kern w:val="2"/>
          <w:sz w:val="24"/>
          <w:szCs w:val="28"/>
          <w:highlight w:val="none"/>
        </w:rPr>
        <w:t>等合同文件的方式，乙方单独组建的项目公司</w:t>
      </w:r>
      <w:r>
        <w:rPr>
          <w:rFonts w:hint="eastAsia" w:ascii="方正仿宋_GBK" w:hAnsi="方正仿宋_GBK" w:eastAsia="方正仿宋_GBK" w:cs="方正仿宋_GBK"/>
          <w:color w:val="auto"/>
          <w:kern w:val="2"/>
          <w:sz w:val="24"/>
          <w:szCs w:val="28"/>
          <w:highlight w:val="none"/>
          <w:lang w:val="en-US" w:eastAsia="zh-CN"/>
        </w:rPr>
        <w:t>支付特许经营权转让费，获得本项目的特许经营权，接受甲方移交的本项目设施并负责运营维护，提供污水处理服务，</w:t>
      </w:r>
      <w:r>
        <w:rPr>
          <w:rFonts w:hint="eastAsia" w:ascii="方正仿宋_GBK" w:hAnsi="方正仿宋_GBK" w:eastAsia="方正仿宋_GBK" w:cs="方正仿宋_GBK"/>
          <w:color w:val="auto"/>
          <w:kern w:val="2"/>
          <w:sz w:val="24"/>
          <w:szCs w:val="28"/>
          <w:highlight w:val="none"/>
        </w:rPr>
        <w:t>并享有获取相应合理回报的权利。</w:t>
      </w:r>
    </w:p>
    <w:p w14:paraId="73E53A2B">
      <w:pPr>
        <w:keepNext w:val="0"/>
        <w:widowControl/>
        <w:numPr>
          <w:ilvl w:val="1"/>
          <w:numId w:val="3"/>
        </w:numPr>
        <w:tabs>
          <w:tab w:val="left" w:pos="1276"/>
          <w:tab w:val="clear" w:pos="908"/>
        </w:tabs>
        <w:autoSpaceDE w:val="0"/>
        <w:autoSpaceDN w:val="0"/>
        <w:adjustRightInd w:val="0"/>
        <w:spacing w:before="156" w:beforeLines="50" w:after="0" w:line="360" w:lineRule="auto"/>
        <w:ind w:left="907" w:hanging="482"/>
        <w:jc w:val="both"/>
        <w:outlineLvl w:val="1"/>
        <w:rPr>
          <w:rFonts w:hint="eastAsia" w:ascii="方正仿宋_GBK" w:hAnsi="方正仿宋_GBK" w:eastAsia="方正仿宋_GBK" w:cs="方正仿宋_GBK"/>
          <w:b/>
          <w:color w:val="auto"/>
          <w:kern w:val="0"/>
          <w:sz w:val="24"/>
          <w:szCs w:val="20"/>
          <w:highlight w:val="none"/>
          <w:lang w:val="en-US" w:eastAsia="zh-CN" w:bidi="ar-SA"/>
        </w:rPr>
      </w:pPr>
      <w:r>
        <w:rPr>
          <w:rFonts w:hint="eastAsia" w:ascii="方正仿宋_GBK" w:hAnsi="方正仿宋_GBK" w:eastAsia="方正仿宋_GBK" w:cs="方正仿宋_GBK"/>
          <w:b/>
          <w:color w:val="auto"/>
          <w:kern w:val="0"/>
          <w:sz w:val="24"/>
          <w:szCs w:val="24"/>
          <w:highlight w:val="none"/>
          <w:lang w:val="en-US" w:eastAsia="zh-CN" w:bidi="ar-SA"/>
        </w:rPr>
        <w:t>特许经营期限</w:t>
      </w:r>
    </w:p>
    <w:p w14:paraId="14D90B66">
      <w:pPr>
        <w:spacing w:line="360" w:lineRule="auto"/>
        <w:ind w:firstLine="424" w:firstLineChars="177"/>
        <w:rPr>
          <w:rFonts w:hint="eastAsia" w:ascii="方正仿宋_GBK" w:hAnsi="方正仿宋_GBK" w:eastAsia="方正仿宋_GBK" w:cs="方正仿宋_GBK"/>
          <w:color w:val="auto"/>
          <w:kern w:val="2"/>
          <w:sz w:val="24"/>
          <w:szCs w:val="28"/>
          <w:highlight w:val="none"/>
        </w:rPr>
      </w:pPr>
      <w:r>
        <w:rPr>
          <w:rFonts w:hint="eastAsia" w:ascii="方正仿宋_GBK" w:hAnsi="方正仿宋_GBK" w:eastAsia="方正仿宋_GBK" w:cs="方正仿宋_GBK"/>
          <w:color w:val="auto"/>
          <w:kern w:val="2"/>
          <w:sz w:val="24"/>
          <w:szCs w:val="28"/>
          <w:highlight w:val="none"/>
        </w:rPr>
        <w:t>本项目</w:t>
      </w:r>
      <w:r>
        <w:rPr>
          <w:rFonts w:hint="eastAsia" w:ascii="方正仿宋_GBK" w:hAnsi="方正仿宋_GBK" w:eastAsia="方正仿宋_GBK" w:cs="方正仿宋_GBK"/>
          <w:color w:val="auto"/>
          <w:kern w:val="2"/>
          <w:sz w:val="24"/>
          <w:szCs w:val="28"/>
          <w:highlight w:val="none"/>
          <w:lang w:val="en-US" w:eastAsia="zh-CN"/>
        </w:rPr>
        <w:t>特许经营</w:t>
      </w:r>
      <w:r>
        <w:rPr>
          <w:rFonts w:hint="eastAsia" w:ascii="方正仿宋_GBK" w:hAnsi="方正仿宋_GBK" w:eastAsia="方正仿宋_GBK" w:cs="方正仿宋_GBK"/>
          <w:color w:val="auto"/>
          <w:kern w:val="2"/>
          <w:sz w:val="24"/>
          <w:szCs w:val="28"/>
          <w:highlight w:val="none"/>
        </w:rPr>
        <w:t>期</w:t>
      </w:r>
      <w:r>
        <w:rPr>
          <w:rFonts w:hint="eastAsia" w:ascii="方正仿宋_GBK" w:hAnsi="方正仿宋_GBK" w:eastAsia="方正仿宋_GBK" w:cs="方正仿宋_GBK"/>
          <w:color w:val="auto"/>
          <w:kern w:val="2"/>
          <w:sz w:val="24"/>
          <w:szCs w:val="28"/>
          <w:highlight w:val="none"/>
          <w:lang w:val="en-US" w:eastAsia="zh-CN"/>
        </w:rPr>
        <w:t>为</w:t>
      </w:r>
      <w:r>
        <w:rPr>
          <w:rFonts w:hint="eastAsia" w:ascii="Times New Roman" w:hAnsi="Times New Roman" w:eastAsia="方正仿宋_GBK" w:cs="方正仿宋_GBK"/>
          <w:color w:val="auto"/>
          <w:kern w:val="2"/>
          <w:sz w:val="24"/>
          <w:szCs w:val="28"/>
          <w:highlight w:val="none"/>
          <w:lang w:val="en-US" w:eastAsia="zh-CN"/>
        </w:rPr>
        <w:t>30</w:t>
      </w:r>
      <w:r>
        <w:rPr>
          <w:rFonts w:hint="eastAsia" w:ascii="方正仿宋_GBK" w:hAnsi="方正仿宋_GBK" w:eastAsia="方正仿宋_GBK" w:cs="方正仿宋_GBK"/>
          <w:color w:val="auto"/>
          <w:kern w:val="2"/>
          <w:sz w:val="24"/>
          <w:szCs w:val="28"/>
          <w:highlight w:val="none"/>
        </w:rPr>
        <w:t>年，自</w:t>
      </w:r>
      <w:r>
        <w:rPr>
          <w:rFonts w:hint="eastAsia" w:ascii="方正仿宋_GBK" w:hAnsi="方正仿宋_GBK" w:eastAsia="方正仿宋_GBK" w:cs="方正仿宋_GBK"/>
          <w:color w:val="auto"/>
          <w:kern w:val="2"/>
          <w:sz w:val="24"/>
          <w:szCs w:val="28"/>
          <w:highlight w:val="none"/>
          <w:lang w:eastAsia="zh-CN"/>
        </w:rPr>
        <w:t>《</w:t>
      </w:r>
      <w:r>
        <w:rPr>
          <w:rFonts w:hint="eastAsia" w:ascii="方正仿宋_GBK" w:hAnsi="方正仿宋_GBK" w:eastAsia="方正仿宋_GBK" w:cs="方正仿宋_GBK"/>
          <w:color w:val="auto"/>
          <w:kern w:val="2"/>
          <w:sz w:val="24"/>
          <w:szCs w:val="28"/>
          <w:highlight w:val="none"/>
          <w:lang w:val="en-US" w:eastAsia="zh-CN"/>
        </w:rPr>
        <w:t>特许经营协议</w:t>
      </w:r>
      <w:r>
        <w:rPr>
          <w:rFonts w:hint="eastAsia" w:ascii="方正仿宋_GBK" w:hAnsi="方正仿宋_GBK" w:eastAsia="方正仿宋_GBK" w:cs="方正仿宋_GBK"/>
          <w:color w:val="auto"/>
          <w:kern w:val="2"/>
          <w:sz w:val="24"/>
          <w:szCs w:val="28"/>
          <w:highlight w:val="none"/>
          <w:lang w:eastAsia="zh-CN"/>
        </w:rPr>
        <w:t>》</w:t>
      </w:r>
      <w:r>
        <w:rPr>
          <w:rFonts w:hint="eastAsia" w:ascii="方正仿宋_GBK" w:hAnsi="方正仿宋_GBK" w:eastAsia="方正仿宋_GBK" w:cs="方正仿宋_GBK"/>
          <w:color w:val="auto"/>
          <w:kern w:val="2"/>
          <w:sz w:val="24"/>
          <w:szCs w:val="28"/>
          <w:highlight w:val="none"/>
        </w:rPr>
        <w:t>生效日起算，特许经营期届满日为【 年 月 日（含本日）】</w:t>
      </w:r>
    </w:p>
    <w:p w14:paraId="7882D6EF">
      <w:pPr>
        <w:keepNext w:val="0"/>
        <w:widowControl/>
        <w:numPr>
          <w:ilvl w:val="0"/>
          <w:numId w:val="3"/>
        </w:numPr>
        <w:tabs>
          <w:tab w:val="left" w:pos="1134"/>
          <w:tab w:val="clear" w:pos="4051"/>
        </w:tabs>
        <w:autoSpaceDE w:val="0"/>
        <w:autoSpaceDN w:val="0"/>
        <w:adjustRightInd w:val="0"/>
        <w:spacing w:before="312" w:beforeLines="100" w:after="0" w:line="360" w:lineRule="auto"/>
        <w:ind w:right="28" w:firstLine="0"/>
        <w:jc w:val="left"/>
        <w:outlineLvl w:val="0"/>
        <w:rPr>
          <w:rFonts w:hint="eastAsia" w:ascii="方正仿宋_GBK" w:hAnsi="方正仿宋_GBK" w:eastAsia="方正仿宋_GBK" w:cs="方正仿宋_GBK"/>
          <w:b/>
          <w:color w:val="auto"/>
          <w:kern w:val="0"/>
          <w:sz w:val="28"/>
          <w:szCs w:val="28"/>
          <w:highlight w:val="none"/>
          <w:lang w:val="en-US" w:eastAsia="zh-CN" w:bidi="ar-SA"/>
        </w:rPr>
      </w:pPr>
      <w:bookmarkStart w:id="66" w:name="_Toc21837"/>
      <w:r>
        <w:rPr>
          <w:rFonts w:hint="eastAsia" w:ascii="方正仿宋_GBK" w:hAnsi="方正仿宋_GBK" w:eastAsia="方正仿宋_GBK" w:cs="方正仿宋_GBK"/>
          <w:b/>
          <w:color w:val="auto"/>
          <w:kern w:val="0"/>
          <w:sz w:val="28"/>
          <w:szCs w:val="28"/>
          <w:highlight w:val="none"/>
          <w:lang w:val="en-US" w:eastAsia="zh-CN" w:bidi="ar-SA"/>
        </w:rPr>
        <w:t>项目公司组建</w:t>
      </w:r>
      <w:bookmarkEnd w:id="66"/>
    </w:p>
    <w:p w14:paraId="7787C528">
      <w:pPr>
        <w:spacing w:line="360" w:lineRule="auto"/>
        <w:ind w:firstLine="424" w:firstLineChars="177"/>
        <w:rPr>
          <w:rFonts w:hint="eastAsia" w:ascii="方正仿宋_GBK" w:hAnsi="方正仿宋_GBK" w:eastAsia="方正仿宋_GBK" w:cs="方正仿宋_GBK"/>
          <w:color w:val="auto"/>
          <w:kern w:val="2"/>
          <w:sz w:val="24"/>
          <w:szCs w:val="28"/>
          <w:highlight w:val="none"/>
        </w:rPr>
      </w:pPr>
      <w:r>
        <w:rPr>
          <w:rFonts w:hint="eastAsia" w:ascii="方正仿宋_GBK" w:hAnsi="方正仿宋_GBK" w:eastAsia="方正仿宋_GBK" w:cs="方正仿宋_GBK"/>
          <w:color w:val="auto"/>
          <w:kern w:val="2"/>
          <w:sz w:val="24"/>
          <w:szCs w:val="28"/>
          <w:highlight w:val="none"/>
        </w:rPr>
        <w:t>乙方应于本协议签署后</w:t>
      </w:r>
      <w:r>
        <w:rPr>
          <w:rFonts w:hint="eastAsia" w:ascii="Times New Roman" w:hAnsi="Times New Roman" w:eastAsia="方正仿宋_GBK" w:cs="方正仿宋_GBK"/>
          <w:color w:val="auto"/>
          <w:kern w:val="2"/>
          <w:sz w:val="24"/>
          <w:szCs w:val="28"/>
          <w:highlight w:val="none"/>
          <w:lang w:val="en-US" w:eastAsia="zh-CN"/>
        </w:rPr>
        <w:t>30</w:t>
      </w:r>
      <w:r>
        <w:rPr>
          <w:rFonts w:hint="eastAsia" w:ascii="方正仿宋_GBK" w:hAnsi="方正仿宋_GBK" w:eastAsia="方正仿宋_GBK" w:cs="方正仿宋_GBK"/>
          <w:color w:val="auto"/>
          <w:kern w:val="2"/>
          <w:sz w:val="24"/>
          <w:szCs w:val="28"/>
          <w:highlight w:val="none"/>
        </w:rPr>
        <w:t>日内完成项目公司的设立，并领取营业执照。</w:t>
      </w:r>
    </w:p>
    <w:p w14:paraId="325D38D0">
      <w:pPr>
        <w:spacing w:line="360" w:lineRule="auto"/>
        <w:ind w:firstLine="424" w:firstLineChars="177"/>
        <w:rPr>
          <w:rFonts w:hint="eastAsia" w:ascii="方正仿宋_GBK" w:hAnsi="方正仿宋_GBK" w:eastAsia="方正仿宋_GBK" w:cs="方正仿宋_GBK"/>
          <w:color w:val="auto"/>
          <w:kern w:val="2"/>
          <w:sz w:val="24"/>
          <w:szCs w:val="28"/>
          <w:highlight w:val="none"/>
          <w:lang w:val="en-US" w:eastAsia="zh-CN" w:bidi="ar-SA"/>
        </w:rPr>
      </w:pPr>
      <w:r>
        <w:rPr>
          <w:rFonts w:hint="eastAsia" w:ascii="方正仿宋_GBK" w:hAnsi="方正仿宋_GBK" w:eastAsia="方正仿宋_GBK" w:cs="方正仿宋_GBK"/>
          <w:color w:val="auto"/>
          <w:kern w:val="2"/>
          <w:sz w:val="24"/>
          <w:szCs w:val="28"/>
          <w:highlight w:val="none"/>
          <w:lang w:val="en-US" w:eastAsia="zh-CN" w:bidi="ar-SA"/>
        </w:rPr>
        <w:t>项目公司的注册资本金额为特许经营转让费的20％，由乙方100%出资。项目公司应当以乙方自有资金注册出资，不得以融资借贷资金充当资本金。项目公司成立30日内全部资本金出资到位。</w:t>
      </w:r>
    </w:p>
    <w:p w14:paraId="16FC2A13">
      <w:pPr>
        <w:spacing w:line="360" w:lineRule="auto"/>
        <w:ind w:firstLine="424" w:firstLineChars="177"/>
        <w:rPr>
          <w:rFonts w:hint="eastAsia" w:ascii="方正仿宋_GBK" w:hAnsi="方正仿宋_GBK" w:eastAsia="方正仿宋_GBK" w:cs="方正仿宋_GBK"/>
          <w:color w:val="auto"/>
          <w:kern w:val="2"/>
          <w:sz w:val="24"/>
          <w:szCs w:val="28"/>
          <w:highlight w:val="none"/>
          <w:lang w:val="en-US" w:eastAsia="zh-CN"/>
        </w:rPr>
      </w:pPr>
      <w:r>
        <w:rPr>
          <w:rFonts w:hint="eastAsia" w:ascii="方正仿宋_GBK" w:hAnsi="方正仿宋_GBK" w:eastAsia="方正仿宋_GBK" w:cs="方正仿宋_GBK"/>
          <w:color w:val="auto"/>
          <w:kern w:val="2"/>
          <w:sz w:val="24"/>
          <w:szCs w:val="28"/>
          <w:highlight w:val="none"/>
          <w:lang w:val="en-US" w:eastAsia="zh-CN" w:bidi="ar-SA"/>
        </w:rPr>
        <w:t>本条关于出资金额、资金来源要求及出资到位时间须在项目公司章程中予以明确。</w:t>
      </w:r>
    </w:p>
    <w:p w14:paraId="1303EC69">
      <w:pPr>
        <w:keepNext w:val="0"/>
        <w:widowControl/>
        <w:numPr>
          <w:ilvl w:val="0"/>
          <w:numId w:val="3"/>
        </w:numPr>
        <w:tabs>
          <w:tab w:val="left" w:pos="1134"/>
          <w:tab w:val="clear" w:pos="4051"/>
        </w:tabs>
        <w:autoSpaceDE w:val="0"/>
        <w:autoSpaceDN w:val="0"/>
        <w:adjustRightInd w:val="0"/>
        <w:spacing w:before="312" w:beforeLines="100" w:after="0" w:line="360" w:lineRule="auto"/>
        <w:ind w:right="28" w:firstLine="0"/>
        <w:jc w:val="left"/>
        <w:outlineLvl w:val="0"/>
        <w:rPr>
          <w:rFonts w:hint="eastAsia" w:ascii="方正仿宋_GBK" w:hAnsi="方正仿宋_GBK" w:eastAsia="方正仿宋_GBK" w:cs="方正仿宋_GBK"/>
          <w:b/>
          <w:color w:val="auto"/>
          <w:kern w:val="0"/>
          <w:sz w:val="28"/>
          <w:szCs w:val="20"/>
          <w:highlight w:val="none"/>
          <w:lang w:val="en-US" w:eastAsia="zh-CN" w:bidi="ar-SA"/>
        </w:rPr>
      </w:pPr>
      <w:bookmarkStart w:id="67" w:name="_Toc25466"/>
      <w:r>
        <w:rPr>
          <w:rFonts w:hint="eastAsia" w:ascii="方正仿宋_GBK" w:hAnsi="方正仿宋_GBK" w:eastAsia="方正仿宋_GBK" w:cs="方正仿宋_GBK"/>
          <w:b/>
          <w:color w:val="auto"/>
          <w:kern w:val="0"/>
          <w:sz w:val="28"/>
          <w:szCs w:val="20"/>
          <w:highlight w:val="none"/>
          <w:lang w:val="en-US" w:eastAsia="zh-CN" w:bidi="ar-SA"/>
        </w:rPr>
        <w:t>股权变更</w:t>
      </w:r>
      <w:bookmarkEnd w:id="67"/>
    </w:p>
    <w:p w14:paraId="6F782999">
      <w:pPr>
        <w:keepNext w:val="0"/>
        <w:widowControl/>
        <w:numPr>
          <w:ilvl w:val="1"/>
          <w:numId w:val="3"/>
        </w:numPr>
        <w:tabs>
          <w:tab w:val="left" w:pos="1276"/>
          <w:tab w:val="clear" w:pos="908"/>
        </w:tabs>
        <w:autoSpaceDE w:val="0"/>
        <w:autoSpaceDN w:val="0"/>
        <w:adjustRightInd w:val="0"/>
        <w:spacing w:before="156" w:beforeLines="50" w:after="0" w:line="360" w:lineRule="auto"/>
        <w:ind w:left="907" w:hanging="482"/>
        <w:jc w:val="both"/>
        <w:outlineLvl w:val="1"/>
        <w:rPr>
          <w:rFonts w:hint="eastAsia" w:ascii="方正仿宋_GBK" w:hAnsi="方正仿宋_GBK" w:eastAsia="方正仿宋_GBK" w:cs="方正仿宋_GBK"/>
          <w:b w:val="0"/>
          <w:color w:val="auto"/>
          <w:kern w:val="0"/>
          <w:sz w:val="24"/>
          <w:szCs w:val="24"/>
          <w:highlight w:val="none"/>
          <w:lang w:val="en-US" w:eastAsia="zh-CN" w:bidi="ar-SA"/>
        </w:rPr>
      </w:pPr>
      <w:r>
        <w:rPr>
          <w:rFonts w:hint="eastAsia" w:ascii="方正仿宋_GBK" w:hAnsi="方正仿宋_GBK" w:eastAsia="方正仿宋_GBK" w:cs="方正仿宋_GBK"/>
          <w:b/>
          <w:color w:val="auto"/>
          <w:kern w:val="0"/>
          <w:sz w:val="24"/>
          <w:szCs w:val="24"/>
          <w:highlight w:val="none"/>
          <w:lang w:val="en-US" w:eastAsia="zh-CN" w:bidi="ar-SA"/>
        </w:rPr>
        <w:t>锁定期</w:t>
      </w:r>
    </w:p>
    <w:p w14:paraId="52C19F79">
      <w:pPr>
        <w:widowControl w:val="0"/>
        <w:spacing w:before="80" w:after="80" w:line="360" w:lineRule="auto"/>
        <w:ind w:firstLine="424" w:firstLineChars="177"/>
        <w:jc w:val="both"/>
        <w:rPr>
          <w:rFonts w:hint="eastAsia" w:ascii="方正仿宋_GBK" w:hAnsi="方正仿宋_GBK" w:eastAsia="方正仿宋_GBK" w:cs="方正仿宋_GBK"/>
          <w:color w:val="auto"/>
          <w:kern w:val="2"/>
          <w:sz w:val="24"/>
          <w:szCs w:val="24"/>
          <w:highlight w:val="none"/>
          <w:lang w:val="en-US" w:eastAsia="zh-CN" w:bidi="ar-SA"/>
        </w:rPr>
      </w:pPr>
      <w:r>
        <w:rPr>
          <w:rFonts w:hint="eastAsia" w:ascii="方正仿宋_GBK" w:hAnsi="方正仿宋_GBK" w:eastAsia="方正仿宋_GBK" w:cs="方正仿宋_GBK"/>
          <w:color w:val="auto"/>
          <w:kern w:val="2"/>
          <w:sz w:val="24"/>
          <w:szCs w:val="24"/>
          <w:highlight w:val="none"/>
          <w:lang w:val="en-US" w:eastAsia="zh-CN" w:bidi="ar-SA"/>
        </w:rPr>
        <w:t>锁定期是指自项目公司成立之日起</w:t>
      </w:r>
      <w:r>
        <w:rPr>
          <w:rFonts w:hint="eastAsia" w:ascii="Times New Roman" w:hAnsi="Times New Roman" w:eastAsia="方正仿宋_GBK" w:cs="方正仿宋_GBK"/>
          <w:color w:val="auto"/>
          <w:kern w:val="2"/>
          <w:sz w:val="24"/>
          <w:szCs w:val="24"/>
          <w:highlight w:val="none"/>
          <w:lang w:val="en-US" w:eastAsia="zh-CN" w:bidi="ar-SA"/>
        </w:rPr>
        <w:t>3</w:t>
      </w:r>
      <w:r>
        <w:rPr>
          <w:rFonts w:hint="eastAsia" w:ascii="方正仿宋_GBK" w:hAnsi="方正仿宋_GBK" w:eastAsia="方正仿宋_GBK" w:cs="方正仿宋_GBK"/>
          <w:color w:val="auto"/>
          <w:kern w:val="2"/>
          <w:sz w:val="24"/>
          <w:szCs w:val="24"/>
          <w:highlight w:val="none"/>
          <w:lang w:val="en-US" w:eastAsia="zh-CN" w:bidi="ar-SA"/>
        </w:rPr>
        <w:t>年内，未经甲方书面同意，乙方持有的项目公司股权不得发生转让等变更。</w:t>
      </w:r>
    </w:p>
    <w:p w14:paraId="624006C9">
      <w:pPr>
        <w:keepNext w:val="0"/>
        <w:widowControl/>
        <w:numPr>
          <w:ilvl w:val="1"/>
          <w:numId w:val="3"/>
        </w:numPr>
        <w:tabs>
          <w:tab w:val="left" w:pos="1276"/>
          <w:tab w:val="clear" w:pos="908"/>
        </w:tabs>
        <w:autoSpaceDE w:val="0"/>
        <w:autoSpaceDN w:val="0"/>
        <w:adjustRightInd w:val="0"/>
        <w:spacing w:before="156" w:beforeLines="50" w:after="0" w:line="360" w:lineRule="auto"/>
        <w:ind w:left="907" w:hanging="482"/>
        <w:jc w:val="both"/>
        <w:outlineLvl w:val="1"/>
        <w:rPr>
          <w:rFonts w:hint="eastAsia" w:ascii="方正仿宋_GBK" w:hAnsi="方正仿宋_GBK" w:eastAsia="方正仿宋_GBK" w:cs="方正仿宋_GBK"/>
          <w:b w:val="0"/>
          <w:color w:val="auto"/>
          <w:kern w:val="0"/>
          <w:sz w:val="24"/>
          <w:szCs w:val="24"/>
          <w:highlight w:val="none"/>
          <w:lang w:val="en-US" w:eastAsia="zh-CN" w:bidi="ar-SA"/>
        </w:rPr>
      </w:pPr>
      <w:r>
        <w:rPr>
          <w:rFonts w:hint="eastAsia" w:ascii="方正仿宋_GBK" w:hAnsi="方正仿宋_GBK" w:eastAsia="方正仿宋_GBK" w:cs="方正仿宋_GBK"/>
          <w:b/>
          <w:color w:val="auto"/>
          <w:kern w:val="0"/>
          <w:sz w:val="24"/>
          <w:szCs w:val="24"/>
          <w:highlight w:val="none"/>
          <w:lang w:val="en-US" w:eastAsia="zh-CN" w:bidi="ar-SA"/>
        </w:rPr>
        <w:t>锁定期的例外情形</w:t>
      </w:r>
    </w:p>
    <w:p w14:paraId="698D81F2">
      <w:pPr>
        <w:widowControl w:val="0"/>
        <w:spacing w:before="80" w:after="80" w:line="360" w:lineRule="auto"/>
        <w:ind w:firstLine="424" w:firstLineChars="177"/>
        <w:jc w:val="both"/>
        <w:rPr>
          <w:rFonts w:hint="eastAsia" w:ascii="方正仿宋_GBK" w:hAnsi="方正仿宋_GBK" w:eastAsia="方正仿宋_GBK" w:cs="方正仿宋_GBK"/>
          <w:color w:val="auto"/>
          <w:kern w:val="2"/>
          <w:sz w:val="24"/>
          <w:szCs w:val="24"/>
          <w:highlight w:val="none"/>
          <w:lang w:val="en-US" w:eastAsia="zh-CN" w:bidi="ar-SA"/>
        </w:rPr>
      </w:pPr>
      <w:r>
        <w:rPr>
          <w:rFonts w:hint="eastAsia" w:ascii="方正仿宋_GBK" w:hAnsi="方正仿宋_GBK" w:eastAsia="方正仿宋_GBK" w:cs="方正仿宋_GBK"/>
          <w:color w:val="auto"/>
          <w:kern w:val="2"/>
          <w:sz w:val="24"/>
          <w:szCs w:val="24"/>
          <w:highlight w:val="none"/>
          <w:lang w:val="en-US" w:eastAsia="zh-CN" w:bidi="ar-SA"/>
        </w:rPr>
        <w:t>锁定期内，如果发生以下特殊情形，经甲方书面同意，可以允许发生股权变更：</w:t>
      </w:r>
    </w:p>
    <w:p w14:paraId="4DB31EC0">
      <w:pPr>
        <w:widowControl w:val="0"/>
        <w:spacing w:before="80" w:after="80" w:line="360" w:lineRule="auto"/>
        <w:ind w:firstLine="424" w:firstLineChars="177"/>
        <w:jc w:val="both"/>
        <w:rPr>
          <w:rFonts w:hint="eastAsia" w:ascii="方正仿宋_GBK" w:hAnsi="方正仿宋_GBK" w:eastAsia="方正仿宋_GBK" w:cs="方正仿宋_GBK"/>
          <w:color w:val="auto"/>
          <w:kern w:val="2"/>
          <w:sz w:val="24"/>
          <w:szCs w:val="24"/>
          <w:highlight w:val="none"/>
          <w:lang w:val="en-US" w:eastAsia="zh-CN" w:bidi="ar-SA"/>
        </w:rPr>
      </w:pPr>
      <w:r>
        <w:rPr>
          <w:rFonts w:hint="eastAsia" w:ascii="方正仿宋_GBK" w:hAnsi="方正仿宋_GBK" w:eastAsia="方正仿宋_GBK" w:cs="方正仿宋_GBK"/>
          <w:color w:val="auto"/>
          <w:kern w:val="2"/>
          <w:sz w:val="24"/>
          <w:szCs w:val="24"/>
          <w:highlight w:val="none"/>
          <w:lang w:val="en-US" w:eastAsia="zh-CN" w:bidi="ar-SA"/>
        </w:rPr>
        <w:t>（</w:t>
      </w:r>
      <w:r>
        <w:rPr>
          <w:rFonts w:hint="eastAsia" w:ascii="Times New Roman" w:hAnsi="Times New Roman" w:eastAsia="方正仿宋_GBK" w:cs="方正仿宋_GBK"/>
          <w:color w:val="auto"/>
          <w:kern w:val="2"/>
          <w:sz w:val="24"/>
          <w:szCs w:val="24"/>
          <w:highlight w:val="none"/>
          <w:lang w:val="en-US" w:eastAsia="zh-CN" w:bidi="ar-SA"/>
        </w:rPr>
        <w:t>1</w:t>
      </w:r>
      <w:r>
        <w:rPr>
          <w:rFonts w:hint="eastAsia" w:ascii="方正仿宋_GBK" w:hAnsi="方正仿宋_GBK" w:eastAsia="方正仿宋_GBK" w:cs="方正仿宋_GBK"/>
          <w:color w:val="auto"/>
          <w:kern w:val="2"/>
          <w:sz w:val="24"/>
          <w:szCs w:val="24"/>
          <w:highlight w:val="none"/>
          <w:lang w:val="en-US" w:eastAsia="zh-CN" w:bidi="ar-SA"/>
        </w:rPr>
        <w:t>）项目融资方为实现本项目融资项下的担保权利而涉及的股权结构变更；</w:t>
      </w:r>
    </w:p>
    <w:p w14:paraId="7E86B674">
      <w:pPr>
        <w:widowControl w:val="0"/>
        <w:spacing w:before="80" w:after="80" w:line="360" w:lineRule="auto"/>
        <w:ind w:firstLine="424" w:firstLineChars="177"/>
        <w:jc w:val="both"/>
        <w:rPr>
          <w:rFonts w:hint="eastAsia" w:ascii="方正仿宋_GBK" w:hAnsi="方正仿宋_GBK" w:eastAsia="方正仿宋_GBK" w:cs="方正仿宋_GBK"/>
          <w:color w:val="auto"/>
          <w:kern w:val="2"/>
          <w:sz w:val="20"/>
          <w:szCs w:val="20"/>
          <w:highlight w:val="none"/>
          <w:lang w:val="en-US" w:eastAsia="zh-CN" w:bidi="ar-SA"/>
        </w:rPr>
      </w:pPr>
      <w:r>
        <w:rPr>
          <w:rFonts w:hint="eastAsia" w:ascii="方正仿宋_GBK" w:hAnsi="方正仿宋_GBK" w:eastAsia="方正仿宋_GBK" w:cs="方正仿宋_GBK"/>
          <w:color w:val="auto"/>
          <w:kern w:val="2"/>
          <w:sz w:val="24"/>
          <w:szCs w:val="24"/>
          <w:highlight w:val="none"/>
          <w:lang w:val="en-US" w:eastAsia="zh-CN" w:bidi="ar-SA"/>
        </w:rPr>
        <w:t>（</w:t>
      </w:r>
      <w:r>
        <w:rPr>
          <w:rFonts w:hint="eastAsia" w:ascii="Times New Roman" w:hAnsi="Times New Roman" w:eastAsia="方正仿宋_GBK" w:cs="方正仿宋_GBK"/>
          <w:color w:val="auto"/>
          <w:kern w:val="2"/>
          <w:sz w:val="24"/>
          <w:szCs w:val="24"/>
          <w:highlight w:val="none"/>
          <w:lang w:val="en-US" w:eastAsia="zh-CN" w:bidi="ar-SA"/>
        </w:rPr>
        <w:t>2</w:t>
      </w:r>
      <w:r>
        <w:rPr>
          <w:rFonts w:hint="eastAsia" w:ascii="方正仿宋_GBK" w:hAnsi="方正仿宋_GBK" w:eastAsia="方正仿宋_GBK" w:cs="方正仿宋_GBK"/>
          <w:color w:val="auto"/>
          <w:kern w:val="2"/>
          <w:sz w:val="24"/>
          <w:szCs w:val="24"/>
          <w:highlight w:val="none"/>
          <w:lang w:val="en-US" w:eastAsia="zh-CN" w:bidi="ar-SA"/>
        </w:rPr>
        <w:t>）</w:t>
      </w:r>
      <w:bookmarkStart w:id="68" w:name="_Hlk518307891"/>
      <w:r>
        <w:rPr>
          <w:rFonts w:hint="eastAsia" w:ascii="方正仿宋_GBK" w:hAnsi="方正仿宋_GBK" w:eastAsia="方正仿宋_GBK" w:cs="方正仿宋_GBK"/>
          <w:color w:val="auto"/>
          <w:kern w:val="2"/>
          <w:sz w:val="24"/>
          <w:szCs w:val="24"/>
          <w:highlight w:val="none"/>
          <w:lang w:val="en-US" w:eastAsia="zh-CN" w:bidi="ar-SA"/>
        </w:rPr>
        <w:t>经甲方同意进行资产证券化等再融资活动，由此而导致股权变更的</w:t>
      </w:r>
      <w:bookmarkEnd w:id="68"/>
      <w:r>
        <w:rPr>
          <w:rFonts w:hint="eastAsia" w:ascii="方正仿宋_GBK" w:hAnsi="方正仿宋_GBK" w:eastAsia="方正仿宋_GBK" w:cs="方正仿宋_GBK"/>
          <w:color w:val="auto"/>
          <w:kern w:val="2"/>
          <w:sz w:val="24"/>
          <w:szCs w:val="24"/>
          <w:highlight w:val="none"/>
          <w:lang w:val="en-US" w:eastAsia="zh-CN" w:bidi="ar-SA"/>
        </w:rPr>
        <w:t>。</w:t>
      </w:r>
    </w:p>
    <w:p w14:paraId="036B14A5">
      <w:pPr>
        <w:keepNext w:val="0"/>
        <w:widowControl/>
        <w:numPr>
          <w:ilvl w:val="1"/>
          <w:numId w:val="3"/>
        </w:numPr>
        <w:tabs>
          <w:tab w:val="left" w:pos="1276"/>
          <w:tab w:val="clear" w:pos="908"/>
        </w:tabs>
        <w:autoSpaceDE w:val="0"/>
        <w:autoSpaceDN w:val="0"/>
        <w:adjustRightInd w:val="0"/>
        <w:spacing w:before="156" w:beforeLines="50" w:after="0" w:line="360" w:lineRule="auto"/>
        <w:ind w:left="907" w:hanging="482"/>
        <w:jc w:val="both"/>
        <w:outlineLvl w:val="1"/>
        <w:rPr>
          <w:rFonts w:hint="eastAsia" w:ascii="方正仿宋_GBK" w:hAnsi="方正仿宋_GBK" w:eastAsia="方正仿宋_GBK" w:cs="方正仿宋_GBK"/>
          <w:b w:val="0"/>
          <w:color w:val="auto"/>
          <w:kern w:val="0"/>
          <w:sz w:val="24"/>
          <w:szCs w:val="24"/>
          <w:highlight w:val="none"/>
          <w:lang w:val="en-US" w:eastAsia="zh-CN" w:bidi="ar-SA"/>
        </w:rPr>
      </w:pPr>
      <w:r>
        <w:rPr>
          <w:rFonts w:hint="eastAsia" w:ascii="方正仿宋_GBK" w:hAnsi="方正仿宋_GBK" w:eastAsia="方正仿宋_GBK" w:cs="方正仿宋_GBK"/>
          <w:b/>
          <w:color w:val="auto"/>
          <w:kern w:val="0"/>
          <w:sz w:val="24"/>
          <w:szCs w:val="24"/>
          <w:highlight w:val="none"/>
          <w:lang w:val="en-US" w:eastAsia="zh-CN" w:bidi="ar-SA"/>
        </w:rPr>
        <w:t>锁定期满股权变更的限制</w:t>
      </w:r>
    </w:p>
    <w:p w14:paraId="2C5D3368">
      <w:pPr>
        <w:widowControl w:val="0"/>
        <w:spacing w:before="80" w:after="80" w:line="360" w:lineRule="auto"/>
        <w:ind w:firstLine="424" w:firstLineChars="177"/>
        <w:jc w:val="both"/>
        <w:rPr>
          <w:rFonts w:hint="eastAsia" w:ascii="方正仿宋_GBK" w:hAnsi="方正仿宋_GBK" w:eastAsia="方正仿宋_GBK" w:cs="方正仿宋_GBK"/>
          <w:color w:val="auto"/>
          <w:kern w:val="2"/>
          <w:sz w:val="24"/>
          <w:szCs w:val="24"/>
          <w:highlight w:val="none"/>
          <w:lang w:val="en-US" w:eastAsia="zh-CN" w:bidi="ar-SA"/>
        </w:rPr>
      </w:pPr>
      <w:r>
        <w:rPr>
          <w:rFonts w:hint="eastAsia" w:ascii="Times New Roman" w:hAnsi="Times New Roman" w:eastAsia="方正仿宋_GBK" w:cs="方正仿宋_GBK"/>
          <w:color w:val="auto"/>
          <w:kern w:val="2"/>
          <w:sz w:val="24"/>
          <w:szCs w:val="24"/>
          <w:highlight w:val="none"/>
          <w:lang w:val="en-US" w:eastAsia="zh-CN" w:bidi="ar-SA"/>
        </w:rPr>
        <w:t>4</w:t>
      </w:r>
      <w:r>
        <w:rPr>
          <w:rFonts w:hint="eastAsia" w:ascii="方正仿宋_GBK" w:hAnsi="方正仿宋_GBK" w:eastAsia="方正仿宋_GBK" w:cs="方正仿宋_GBK"/>
          <w:color w:val="auto"/>
          <w:kern w:val="2"/>
          <w:sz w:val="24"/>
          <w:szCs w:val="24"/>
          <w:highlight w:val="none"/>
          <w:lang w:val="en-US" w:eastAsia="zh-CN" w:bidi="ar-SA"/>
        </w:rPr>
        <w:t>.</w:t>
      </w:r>
      <w:r>
        <w:rPr>
          <w:rFonts w:hint="eastAsia" w:ascii="Times New Roman" w:hAnsi="Times New Roman" w:eastAsia="方正仿宋_GBK" w:cs="方正仿宋_GBK"/>
          <w:color w:val="auto"/>
          <w:kern w:val="2"/>
          <w:sz w:val="24"/>
          <w:szCs w:val="24"/>
          <w:highlight w:val="none"/>
          <w:lang w:val="en-US" w:eastAsia="zh-CN" w:bidi="ar-SA"/>
        </w:rPr>
        <w:t>3</w:t>
      </w:r>
      <w:r>
        <w:rPr>
          <w:rFonts w:hint="eastAsia" w:ascii="方正仿宋_GBK" w:hAnsi="方正仿宋_GBK" w:eastAsia="方正仿宋_GBK" w:cs="方正仿宋_GBK"/>
          <w:color w:val="auto"/>
          <w:kern w:val="2"/>
          <w:sz w:val="24"/>
          <w:szCs w:val="24"/>
          <w:highlight w:val="none"/>
          <w:lang w:val="en-US" w:eastAsia="zh-CN" w:bidi="ar-SA"/>
        </w:rPr>
        <w:t>.</w:t>
      </w:r>
      <w:r>
        <w:rPr>
          <w:rFonts w:hint="eastAsia" w:ascii="Times New Roman" w:hAnsi="Times New Roman" w:eastAsia="方正仿宋_GBK" w:cs="方正仿宋_GBK"/>
          <w:color w:val="auto"/>
          <w:kern w:val="2"/>
          <w:sz w:val="24"/>
          <w:szCs w:val="24"/>
          <w:highlight w:val="none"/>
          <w:lang w:val="en-US" w:eastAsia="zh-CN" w:bidi="ar-SA"/>
        </w:rPr>
        <w:t>1</w:t>
      </w:r>
      <w:r>
        <w:rPr>
          <w:rFonts w:hint="eastAsia" w:ascii="方正仿宋_GBK" w:hAnsi="方正仿宋_GBK" w:eastAsia="方正仿宋_GBK" w:cs="方正仿宋_GBK"/>
          <w:color w:val="auto"/>
          <w:kern w:val="2"/>
          <w:sz w:val="24"/>
          <w:szCs w:val="24"/>
          <w:highlight w:val="none"/>
          <w:lang w:val="en-US" w:eastAsia="zh-CN" w:bidi="ar-SA"/>
        </w:rPr>
        <w:t>锁定期满后，在符合第</w:t>
      </w:r>
      <w:r>
        <w:rPr>
          <w:rFonts w:hint="eastAsia" w:ascii="Times New Roman" w:hAnsi="Times New Roman" w:eastAsia="方正仿宋_GBK" w:cs="方正仿宋_GBK"/>
          <w:color w:val="auto"/>
          <w:kern w:val="2"/>
          <w:sz w:val="24"/>
          <w:szCs w:val="24"/>
          <w:highlight w:val="none"/>
          <w:lang w:val="en-US" w:eastAsia="zh-CN" w:bidi="ar-SA"/>
        </w:rPr>
        <w:t>4</w:t>
      </w:r>
      <w:r>
        <w:rPr>
          <w:rFonts w:hint="eastAsia" w:ascii="方正仿宋_GBK" w:hAnsi="方正仿宋_GBK" w:eastAsia="方正仿宋_GBK" w:cs="方正仿宋_GBK"/>
          <w:color w:val="auto"/>
          <w:kern w:val="2"/>
          <w:sz w:val="24"/>
          <w:szCs w:val="24"/>
          <w:highlight w:val="none"/>
          <w:lang w:val="en-US" w:eastAsia="zh-CN" w:bidi="ar-SA"/>
        </w:rPr>
        <w:t>.</w:t>
      </w:r>
      <w:r>
        <w:rPr>
          <w:rFonts w:hint="eastAsia" w:ascii="Times New Roman" w:hAnsi="Times New Roman" w:eastAsia="方正仿宋_GBK" w:cs="方正仿宋_GBK"/>
          <w:color w:val="auto"/>
          <w:kern w:val="2"/>
          <w:sz w:val="24"/>
          <w:szCs w:val="24"/>
          <w:highlight w:val="none"/>
          <w:lang w:val="en-US" w:eastAsia="zh-CN" w:bidi="ar-SA"/>
        </w:rPr>
        <w:t>3</w:t>
      </w:r>
      <w:r>
        <w:rPr>
          <w:rFonts w:hint="eastAsia" w:ascii="方正仿宋_GBK" w:hAnsi="方正仿宋_GBK" w:eastAsia="方正仿宋_GBK" w:cs="方正仿宋_GBK"/>
          <w:color w:val="auto"/>
          <w:kern w:val="2"/>
          <w:sz w:val="24"/>
          <w:szCs w:val="24"/>
          <w:highlight w:val="none"/>
          <w:lang w:val="en-US" w:eastAsia="zh-CN" w:bidi="ar-SA"/>
        </w:rPr>
        <w:t>.</w:t>
      </w:r>
      <w:r>
        <w:rPr>
          <w:rFonts w:hint="eastAsia" w:ascii="Times New Roman" w:hAnsi="Times New Roman" w:eastAsia="方正仿宋_GBK" w:cs="方正仿宋_GBK"/>
          <w:color w:val="auto"/>
          <w:kern w:val="2"/>
          <w:sz w:val="24"/>
          <w:szCs w:val="24"/>
          <w:highlight w:val="none"/>
          <w:lang w:val="en-US" w:eastAsia="zh-CN" w:bidi="ar-SA"/>
        </w:rPr>
        <w:t>2</w:t>
      </w:r>
      <w:r>
        <w:rPr>
          <w:rFonts w:hint="eastAsia" w:ascii="方正仿宋_GBK" w:hAnsi="方正仿宋_GBK" w:eastAsia="方正仿宋_GBK" w:cs="方正仿宋_GBK"/>
          <w:color w:val="auto"/>
          <w:kern w:val="2"/>
          <w:sz w:val="24"/>
          <w:szCs w:val="24"/>
          <w:highlight w:val="none"/>
          <w:lang w:val="en-US" w:eastAsia="zh-CN" w:bidi="ar-SA"/>
        </w:rPr>
        <w:t>款约定的前提下，经甲方事先书面同意，则乙方可以依法转让其持有的项目公司股权。</w:t>
      </w:r>
    </w:p>
    <w:p w14:paraId="7CBF82F9">
      <w:pPr>
        <w:widowControl w:val="0"/>
        <w:spacing w:before="80" w:after="80" w:line="360" w:lineRule="auto"/>
        <w:ind w:firstLine="424" w:firstLineChars="177"/>
        <w:jc w:val="both"/>
        <w:rPr>
          <w:rFonts w:hint="eastAsia" w:ascii="方正仿宋_GBK" w:hAnsi="方正仿宋_GBK" w:eastAsia="方正仿宋_GBK" w:cs="方正仿宋_GBK"/>
          <w:color w:val="auto"/>
          <w:kern w:val="2"/>
          <w:sz w:val="24"/>
          <w:szCs w:val="24"/>
          <w:highlight w:val="none"/>
          <w:lang w:val="en-US" w:eastAsia="zh-CN" w:bidi="ar-SA"/>
        </w:rPr>
      </w:pPr>
      <w:r>
        <w:rPr>
          <w:rFonts w:hint="eastAsia" w:ascii="Times New Roman" w:hAnsi="Times New Roman" w:eastAsia="方正仿宋_GBK" w:cs="方正仿宋_GBK"/>
          <w:color w:val="auto"/>
          <w:kern w:val="2"/>
          <w:sz w:val="24"/>
          <w:szCs w:val="24"/>
          <w:highlight w:val="none"/>
          <w:lang w:val="en-US" w:eastAsia="zh-CN" w:bidi="ar-SA"/>
        </w:rPr>
        <w:t>4</w:t>
      </w:r>
      <w:r>
        <w:rPr>
          <w:rFonts w:hint="eastAsia" w:ascii="方正仿宋_GBK" w:hAnsi="方正仿宋_GBK" w:eastAsia="方正仿宋_GBK" w:cs="方正仿宋_GBK"/>
          <w:color w:val="auto"/>
          <w:kern w:val="2"/>
          <w:sz w:val="24"/>
          <w:szCs w:val="24"/>
          <w:highlight w:val="none"/>
          <w:lang w:val="en-US" w:eastAsia="zh-CN" w:bidi="ar-SA"/>
        </w:rPr>
        <w:t>.</w:t>
      </w:r>
      <w:r>
        <w:rPr>
          <w:rFonts w:hint="eastAsia" w:ascii="Times New Roman" w:hAnsi="Times New Roman" w:eastAsia="方正仿宋_GBK" w:cs="方正仿宋_GBK"/>
          <w:color w:val="auto"/>
          <w:kern w:val="2"/>
          <w:sz w:val="24"/>
          <w:szCs w:val="24"/>
          <w:highlight w:val="none"/>
          <w:lang w:val="en-US" w:eastAsia="zh-CN" w:bidi="ar-SA"/>
        </w:rPr>
        <w:t>3</w:t>
      </w:r>
      <w:r>
        <w:rPr>
          <w:rFonts w:hint="eastAsia" w:ascii="方正仿宋_GBK" w:hAnsi="方正仿宋_GBK" w:eastAsia="方正仿宋_GBK" w:cs="方正仿宋_GBK"/>
          <w:color w:val="auto"/>
          <w:kern w:val="2"/>
          <w:sz w:val="24"/>
          <w:szCs w:val="24"/>
          <w:highlight w:val="none"/>
          <w:lang w:val="en-US" w:eastAsia="zh-CN" w:bidi="ar-SA"/>
        </w:rPr>
        <w:t>.</w:t>
      </w:r>
      <w:r>
        <w:rPr>
          <w:rFonts w:hint="eastAsia" w:ascii="Times New Roman" w:hAnsi="Times New Roman" w:eastAsia="方正仿宋_GBK" w:cs="方正仿宋_GBK"/>
          <w:color w:val="auto"/>
          <w:kern w:val="2"/>
          <w:sz w:val="24"/>
          <w:szCs w:val="24"/>
          <w:highlight w:val="none"/>
          <w:lang w:val="en-US" w:eastAsia="zh-CN" w:bidi="ar-SA"/>
        </w:rPr>
        <w:t>2</w:t>
      </w:r>
      <w:r>
        <w:rPr>
          <w:rFonts w:hint="eastAsia" w:ascii="方正仿宋_GBK" w:hAnsi="方正仿宋_GBK" w:eastAsia="方正仿宋_GBK" w:cs="方正仿宋_GBK"/>
          <w:color w:val="auto"/>
          <w:kern w:val="2"/>
          <w:sz w:val="24"/>
          <w:szCs w:val="24"/>
          <w:highlight w:val="none"/>
          <w:lang w:val="en-US" w:eastAsia="zh-CN" w:bidi="ar-SA"/>
        </w:rPr>
        <w:t xml:space="preserve">股权受让方应满足本项目采购文件规定或具备项目实施所必需的技术能力、财务实力、资格信用、运营经验等基本条件，并已经以书面形式明示，在其成为项目公司股东后，承继股权转让方（即本协议乙方）在本协议项下的义务（甲、乙双方另有约定的除外），同时督促并确保项目公司继续承担《特许经营协议》等合同文件项下的义务。否则，甲方对相应股权转让有权予以否决。 </w:t>
      </w:r>
    </w:p>
    <w:p w14:paraId="640F671D">
      <w:pPr>
        <w:keepNext w:val="0"/>
        <w:widowControl/>
        <w:numPr>
          <w:ilvl w:val="1"/>
          <w:numId w:val="3"/>
        </w:numPr>
        <w:tabs>
          <w:tab w:val="left" w:pos="1276"/>
          <w:tab w:val="clear" w:pos="908"/>
        </w:tabs>
        <w:autoSpaceDE w:val="0"/>
        <w:autoSpaceDN w:val="0"/>
        <w:adjustRightInd w:val="0"/>
        <w:spacing w:before="156" w:beforeLines="50" w:after="0" w:line="360" w:lineRule="auto"/>
        <w:ind w:left="907" w:hanging="482"/>
        <w:jc w:val="both"/>
        <w:outlineLvl w:val="1"/>
        <w:rPr>
          <w:rFonts w:hint="eastAsia" w:ascii="方正仿宋_GBK" w:hAnsi="方正仿宋_GBK" w:eastAsia="方正仿宋_GBK" w:cs="方正仿宋_GBK"/>
          <w:b/>
          <w:color w:val="auto"/>
          <w:kern w:val="0"/>
          <w:sz w:val="24"/>
          <w:szCs w:val="24"/>
          <w:highlight w:val="none"/>
          <w:lang w:val="en-US" w:eastAsia="zh-CN" w:bidi="ar-SA"/>
        </w:rPr>
      </w:pPr>
      <w:r>
        <w:rPr>
          <w:rFonts w:hint="eastAsia" w:ascii="方正仿宋_GBK" w:hAnsi="方正仿宋_GBK" w:eastAsia="方正仿宋_GBK" w:cs="方正仿宋_GBK"/>
          <w:b/>
          <w:color w:val="auto"/>
          <w:kern w:val="0"/>
          <w:sz w:val="24"/>
          <w:szCs w:val="24"/>
          <w:highlight w:val="none"/>
          <w:lang w:val="en-US" w:eastAsia="zh-CN" w:bidi="ar-SA"/>
        </w:rPr>
        <w:t>特许经营期满乙方股权的处分</w:t>
      </w:r>
    </w:p>
    <w:p w14:paraId="1076D13A">
      <w:pPr>
        <w:widowControl w:val="0"/>
        <w:spacing w:before="80" w:after="80" w:line="360" w:lineRule="auto"/>
        <w:ind w:firstLine="424" w:firstLineChars="177"/>
        <w:jc w:val="both"/>
        <w:rPr>
          <w:rFonts w:hint="eastAsia" w:ascii="方正仿宋_GBK" w:hAnsi="方正仿宋_GBK" w:eastAsia="方正仿宋_GBK" w:cs="方正仿宋_GBK"/>
          <w:color w:val="auto"/>
          <w:kern w:val="2"/>
          <w:sz w:val="20"/>
          <w:szCs w:val="20"/>
          <w:highlight w:val="none"/>
          <w:lang w:val="en-US" w:eastAsia="zh-CN" w:bidi="ar-SA"/>
        </w:rPr>
      </w:pPr>
      <w:r>
        <w:rPr>
          <w:rFonts w:hint="eastAsia" w:ascii="方正仿宋_GBK" w:hAnsi="方正仿宋_GBK" w:eastAsia="方正仿宋_GBK" w:cs="方正仿宋_GBK"/>
          <w:color w:val="auto"/>
          <w:kern w:val="2"/>
          <w:sz w:val="24"/>
          <w:szCs w:val="24"/>
          <w:highlight w:val="none"/>
          <w:lang w:val="en-US" w:eastAsia="zh-CN" w:bidi="ar-SA"/>
        </w:rPr>
        <w:t>本项目特许经营期满，乙方或项目公司将本项目的所有设施及相关权利移交给甲方后，乙方所持项目公司股权由乙方自行处分。</w:t>
      </w:r>
    </w:p>
    <w:p w14:paraId="3CAAB52B">
      <w:pPr>
        <w:keepNext w:val="0"/>
        <w:widowControl/>
        <w:numPr>
          <w:ilvl w:val="0"/>
          <w:numId w:val="3"/>
        </w:numPr>
        <w:tabs>
          <w:tab w:val="left" w:pos="1134"/>
          <w:tab w:val="clear" w:pos="4051"/>
        </w:tabs>
        <w:autoSpaceDE w:val="0"/>
        <w:autoSpaceDN w:val="0"/>
        <w:adjustRightInd w:val="0"/>
        <w:spacing w:before="312" w:beforeLines="100" w:after="0" w:line="360" w:lineRule="auto"/>
        <w:ind w:right="28" w:firstLine="0"/>
        <w:jc w:val="left"/>
        <w:outlineLvl w:val="0"/>
        <w:rPr>
          <w:rFonts w:hint="eastAsia" w:ascii="方正仿宋_GBK" w:hAnsi="方正仿宋_GBK" w:eastAsia="方正仿宋_GBK" w:cs="方正仿宋_GBK"/>
          <w:b/>
          <w:color w:val="auto"/>
          <w:kern w:val="0"/>
          <w:sz w:val="28"/>
          <w:szCs w:val="20"/>
          <w:highlight w:val="none"/>
          <w:lang w:val="en-US" w:eastAsia="zh-CN" w:bidi="ar-SA"/>
        </w:rPr>
      </w:pPr>
      <w:bookmarkStart w:id="69" w:name="_Toc12953"/>
      <w:r>
        <w:rPr>
          <w:rFonts w:hint="eastAsia" w:ascii="方正仿宋_GBK" w:hAnsi="方正仿宋_GBK" w:eastAsia="方正仿宋_GBK" w:cs="方正仿宋_GBK"/>
          <w:b/>
          <w:color w:val="auto"/>
          <w:kern w:val="0"/>
          <w:sz w:val="28"/>
          <w:szCs w:val="20"/>
          <w:highlight w:val="none"/>
          <w:lang w:val="en-US" w:eastAsia="zh-CN" w:bidi="ar-SA"/>
        </w:rPr>
        <w:t>权利和义务及双方承诺</w:t>
      </w:r>
      <w:bookmarkEnd w:id="69"/>
    </w:p>
    <w:p w14:paraId="04157162">
      <w:pPr>
        <w:keepNext w:val="0"/>
        <w:widowControl/>
        <w:numPr>
          <w:ilvl w:val="1"/>
          <w:numId w:val="3"/>
        </w:numPr>
        <w:tabs>
          <w:tab w:val="left" w:pos="1276"/>
          <w:tab w:val="clear" w:pos="908"/>
        </w:tabs>
        <w:autoSpaceDE w:val="0"/>
        <w:autoSpaceDN w:val="0"/>
        <w:adjustRightInd w:val="0"/>
        <w:spacing w:before="156" w:beforeLines="50" w:after="0" w:line="360" w:lineRule="auto"/>
        <w:ind w:left="907" w:hanging="482"/>
        <w:jc w:val="both"/>
        <w:outlineLvl w:val="1"/>
        <w:rPr>
          <w:rFonts w:hint="eastAsia" w:ascii="方正仿宋_GBK" w:hAnsi="方正仿宋_GBK" w:eastAsia="方正仿宋_GBK" w:cs="方正仿宋_GBK"/>
          <w:b/>
          <w:color w:val="auto"/>
          <w:kern w:val="0"/>
          <w:sz w:val="24"/>
          <w:szCs w:val="20"/>
          <w:highlight w:val="none"/>
          <w:lang w:val="en-US" w:eastAsia="zh-CN" w:bidi="ar-SA"/>
        </w:rPr>
      </w:pPr>
      <w:bookmarkStart w:id="70" w:name="_Toc475566579"/>
      <w:r>
        <w:rPr>
          <w:rFonts w:hint="eastAsia" w:ascii="方正仿宋_GBK" w:hAnsi="方正仿宋_GBK" w:eastAsia="方正仿宋_GBK" w:cs="方正仿宋_GBK"/>
          <w:b/>
          <w:color w:val="auto"/>
          <w:kern w:val="0"/>
          <w:sz w:val="24"/>
          <w:szCs w:val="20"/>
          <w:highlight w:val="none"/>
          <w:lang w:val="en-US" w:eastAsia="zh-CN" w:bidi="ar-SA"/>
        </w:rPr>
        <w:t>甲方的权利和义务</w:t>
      </w:r>
      <w:bookmarkEnd w:id="70"/>
    </w:p>
    <w:p w14:paraId="64EDBA69">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bookmarkStart w:id="71" w:name="_Toc475566580"/>
      <w:r>
        <w:rPr>
          <w:rFonts w:hint="eastAsia" w:ascii="方正仿宋_GBK" w:hAnsi="方正仿宋_GBK" w:eastAsia="方正仿宋_GBK" w:cs="方正仿宋_GBK"/>
          <w:bCs/>
          <w:color w:val="auto"/>
          <w:kern w:val="0"/>
          <w:sz w:val="24"/>
          <w:szCs w:val="24"/>
          <w:highlight w:val="none"/>
          <w:lang w:val="en-US" w:eastAsia="zh-CN" w:bidi="ar-SA"/>
        </w:rPr>
        <w:t>甲方有权自行或委托第三方机构对乙方的出资、项目公司的设立，以及乙方和项目公司在合作范围内所有工作的开展情况进行监督管理和绩效评价。</w:t>
      </w:r>
      <w:bookmarkEnd w:id="71"/>
    </w:p>
    <w:p w14:paraId="44CF9780">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bookmarkStart w:id="72" w:name="_Toc475566581"/>
      <w:r>
        <w:rPr>
          <w:rFonts w:hint="eastAsia" w:ascii="方正仿宋_GBK" w:hAnsi="方正仿宋_GBK" w:eastAsia="方正仿宋_GBK" w:cs="方正仿宋_GBK"/>
          <w:bCs/>
          <w:color w:val="auto"/>
          <w:kern w:val="0"/>
          <w:sz w:val="24"/>
          <w:szCs w:val="24"/>
          <w:highlight w:val="none"/>
          <w:lang w:val="en-US" w:eastAsia="zh-CN" w:bidi="ar-SA"/>
        </w:rPr>
        <w:t>甲方应当按照适用法律，在其权限和管辖范围内协助乙方获取项目公司设立以及项目公司开展合作范围内工作所必需的批准文件</w:t>
      </w:r>
      <w:bookmarkEnd w:id="72"/>
      <w:r>
        <w:rPr>
          <w:rFonts w:hint="eastAsia" w:ascii="方正仿宋_GBK" w:hAnsi="方正仿宋_GBK" w:eastAsia="方正仿宋_GBK" w:cs="方正仿宋_GBK"/>
          <w:bCs/>
          <w:color w:val="auto"/>
          <w:kern w:val="0"/>
          <w:sz w:val="24"/>
          <w:szCs w:val="24"/>
          <w:highlight w:val="none"/>
          <w:lang w:val="en-US" w:eastAsia="zh-CN" w:bidi="ar-SA"/>
        </w:rPr>
        <w:t>。</w:t>
      </w:r>
    </w:p>
    <w:p w14:paraId="0A7641E7">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r>
        <w:rPr>
          <w:rFonts w:hint="eastAsia" w:ascii="方正仿宋_GBK" w:hAnsi="方正仿宋_GBK" w:eastAsia="方正仿宋_GBK" w:cs="方正仿宋_GBK"/>
          <w:bCs/>
          <w:color w:val="auto"/>
          <w:kern w:val="0"/>
          <w:sz w:val="24"/>
          <w:szCs w:val="24"/>
          <w:highlight w:val="none"/>
          <w:lang w:val="en-US" w:eastAsia="zh-CN" w:bidi="ar-SA"/>
        </w:rPr>
        <w:t>甲方应当确保将本项目的污水处理服务费纳入相应年度的财政预算和中期财政规划，并按照《特许经营协议》约定根据绩效评价结果足额支付相应费用。</w:t>
      </w:r>
    </w:p>
    <w:p w14:paraId="38ABEA39">
      <w:pPr>
        <w:keepNext w:val="0"/>
        <w:widowControl/>
        <w:numPr>
          <w:ilvl w:val="1"/>
          <w:numId w:val="3"/>
        </w:numPr>
        <w:tabs>
          <w:tab w:val="left" w:pos="1276"/>
          <w:tab w:val="clear" w:pos="908"/>
        </w:tabs>
        <w:autoSpaceDE w:val="0"/>
        <w:autoSpaceDN w:val="0"/>
        <w:adjustRightInd w:val="0"/>
        <w:spacing w:before="156" w:beforeLines="50" w:after="0" w:line="360" w:lineRule="auto"/>
        <w:ind w:left="907" w:hanging="482"/>
        <w:jc w:val="both"/>
        <w:outlineLvl w:val="1"/>
        <w:rPr>
          <w:rFonts w:hint="eastAsia" w:ascii="方正仿宋_GBK" w:hAnsi="方正仿宋_GBK" w:eastAsia="方正仿宋_GBK" w:cs="方正仿宋_GBK"/>
          <w:b/>
          <w:color w:val="auto"/>
          <w:kern w:val="0"/>
          <w:sz w:val="24"/>
          <w:szCs w:val="20"/>
          <w:highlight w:val="none"/>
          <w:lang w:val="en-US" w:eastAsia="zh-CN" w:bidi="ar-SA"/>
        </w:rPr>
      </w:pPr>
      <w:bookmarkStart w:id="73" w:name="_Toc475566585"/>
      <w:r>
        <w:rPr>
          <w:rFonts w:hint="eastAsia" w:ascii="方正仿宋_GBK" w:hAnsi="方正仿宋_GBK" w:eastAsia="方正仿宋_GBK" w:cs="方正仿宋_GBK"/>
          <w:b/>
          <w:color w:val="auto"/>
          <w:kern w:val="0"/>
          <w:sz w:val="24"/>
          <w:szCs w:val="20"/>
          <w:highlight w:val="none"/>
          <w:lang w:val="en-US" w:eastAsia="zh-CN" w:bidi="ar-SA"/>
        </w:rPr>
        <w:t>乙方的权利和义务</w:t>
      </w:r>
      <w:bookmarkEnd w:id="73"/>
    </w:p>
    <w:p w14:paraId="55CF3286">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bookmarkStart w:id="74" w:name="_Toc475566586"/>
      <w:r>
        <w:rPr>
          <w:rFonts w:hint="eastAsia" w:ascii="方正仿宋_GBK" w:hAnsi="方正仿宋_GBK" w:eastAsia="方正仿宋_GBK" w:cs="方正仿宋_GBK"/>
          <w:bCs/>
          <w:color w:val="auto"/>
          <w:kern w:val="0"/>
          <w:sz w:val="24"/>
          <w:szCs w:val="24"/>
          <w:highlight w:val="none"/>
          <w:lang w:val="en-US" w:eastAsia="zh-CN" w:bidi="ar-SA"/>
        </w:rPr>
        <w:t>乙方有权根据合同文件约定享有合理的投资收益。</w:t>
      </w:r>
    </w:p>
    <w:p w14:paraId="5AF9F2E1">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r>
        <w:rPr>
          <w:rFonts w:hint="eastAsia" w:ascii="方正仿宋_GBK" w:hAnsi="方正仿宋_GBK" w:eastAsia="方正仿宋_GBK" w:cs="方正仿宋_GBK"/>
          <w:bCs/>
          <w:color w:val="auto"/>
          <w:kern w:val="0"/>
          <w:sz w:val="24"/>
          <w:szCs w:val="24"/>
          <w:highlight w:val="none"/>
          <w:lang w:val="en-US" w:eastAsia="zh-CN" w:bidi="ar-SA"/>
        </w:rPr>
        <w:t>乙方应当督促项目公司在成立之日起</w:t>
      </w:r>
      <w:r>
        <w:rPr>
          <w:rFonts w:hint="eastAsia" w:ascii="Times New Roman" w:hAnsi="Times New Roman" w:eastAsia="方正仿宋_GBK" w:cs="方正仿宋_GBK"/>
          <w:bCs/>
          <w:color w:val="auto"/>
          <w:kern w:val="0"/>
          <w:sz w:val="24"/>
          <w:szCs w:val="24"/>
          <w:highlight w:val="none"/>
          <w:lang w:val="en-US" w:eastAsia="zh-CN" w:bidi="ar-SA"/>
        </w:rPr>
        <w:t>10</w:t>
      </w:r>
      <w:r>
        <w:rPr>
          <w:rFonts w:hint="eastAsia" w:ascii="方正仿宋_GBK" w:hAnsi="方正仿宋_GBK" w:eastAsia="方正仿宋_GBK" w:cs="方正仿宋_GBK"/>
          <w:bCs/>
          <w:color w:val="auto"/>
          <w:kern w:val="0"/>
          <w:sz w:val="24"/>
          <w:szCs w:val="24"/>
          <w:highlight w:val="none"/>
          <w:lang w:val="en-US" w:eastAsia="zh-CN" w:bidi="ar-SA"/>
        </w:rPr>
        <w:t>日内与甲方签订关于《特许经营协议》和《污水处理服务协议》等合同文件（本协议除外）。</w:t>
      </w:r>
    </w:p>
    <w:p w14:paraId="19CCD2A6">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r>
        <w:rPr>
          <w:rFonts w:hint="eastAsia" w:ascii="方正仿宋_GBK" w:hAnsi="方正仿宋_GBK" w:eastAsia="方正仿宋_GBK" w:cs="方正仿宋_GBK"/>
          <w:bCs/>
          <w:color w:val="auto"/>
          <w:kern w:val="0"/>
          <w:sz w:val="24"/>
          <w:szCs w:val="24"/>
          <w:highlight w:val="none"/>
          <w:lang w:val="en-US" w:eastAsia="zh-CN" w:bidi="ar-SA"/>
        </w:rPr>
        <w:t>乙方应当</w:t>
      </w:r>
      <w:bookmarkEnd w:id="74"/>
      <w:bookmarkStart w:id="75" w:name="_Toc475566588"/>
      <w:r>
        <w:rPr>
          <w:rFonts w:hint="eastAsia" w:ascii="方正仿宋_GBK" w:hAnsi="方正仿宋_GBK" w:eastAsia="方正仿宋_GBK" w:cs="方正仿宋_GBK"/>
          <w:bCs/>
          <w:color w:val="auto"/>
          <w:kern w:val="0"/>
          <w:sz w:val="24"/>
          <w:szCs w:val="24"/>
          <w:highlight w:val="none"/>
          <w:lang w:val="en-US" w:eastAsia="zh-CN" w:bidi="ar-SA"/>
        </w:rPr>
        <w:t>确保项目公司机构设置和技术、管理、财务人员素质符合约定的条件和要求并应满足项目运营管理的需要，符合国家规定的市场准入条件。</w:t>
      </w:r>
    </w:p>
    <w:bookmarkEnd w:id="75"/>
    <w:p w14:paraId="2AE600F7">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bookmarkStart w:id="76" w:name="_Toc475566589"/>
      <w:r>
        <w:rPr>
          <w:rFonts w:hint="eastAsia" w:ascii="方正仿宋_GBK" w:hAnsi="方正仿宋_GBK" w:eastAsia="方正仿宋_GBK" w:cs="方正仿宋_GBK"/>
          <w:bCs/>
          <w:color w:val="auto"/>
          <w:kern w:val="0"/>
          <w:sz w:val="24"/>
          <w:szCs w:val="24"/>
          <w:highlight w:val="none"/>
          <w:lang w:val="en-US" w:eastAsia="zh-CN" w:bidi="ar-SA"/>
        </w:rPr>
        <w:t>乙方应出资的注册资本金为特许经营权转让费的</w:t>
      </w:r>
      <w:r>
        <w:rPr>
          <w:rFonts w:hint="eastAsia" w:ascii="Times New Roman" w:hAnsi="Times New Roman" w:eastAsia="方正仿宋_GBK" w:cs="方正仿宋_GBK"/>
          <w:bCs/>
          <w:color w:val="auto"/>
          <w:kern w:val="0"/>
          <w:sz w:val="24"/>
          <w:szCs w:val="24"/>
          <w:highlight w:val="none"/>
          <w:lang w:val="en-US" w:eastAsia="zh-CN" w:bidi="ar-SA"/>
        </w:rPr>
        <w:t>20</w:t>
      </w:r>
      <w:r>
        <w:rPr>
          <w:rFonts w:hint="eastAsia" w:ascii="方正仿宋_GBK" w:hAnsi="方正仿宋_GBK" w:eastAsia="方正仿宋_GBK" w:cs="方正仿宋_GBK"/>
          <w:bCs/>
          <w:color w:val="auto"/>
          <w:kern w:val="0"/>
          <w:sz w:val="24"/>
          <w:szCs w:val="24"/>
          <w:highlight w:val="none"/>
          <w:lang w:val="en-US" w:eastAsia="zh-CN" w:bidi="ar-SA"/>
        </w:rPr>
        <w:t>%，乙方应采取有效措施确保注册资本金按本协议约定注入，不得以任何方式通过项目公司筹措应由乙方出资的注册资本金。</w:t>
      </w:r>
      <w:bookmarkEnd w:id="76"/>
      <w:r>
        <w:rPr>
          <w:rFonts w:hint="eastAsia" w:ascii="方正仿宋_GBK" w:hAnsi="方正仿宋_GBK" w:eastAsia="方正仿宋_GBK" w:cs="方正仿宋_GBK"/>
          <w:bCs/>
          <w:color w:val="auto"/>
          <w:kern w:val="0"/>
          <w:sz w:val="24"/>
          <w:szCs w:val="24"/>
          <w:highlight w:val="none"/>
          <w:lang w:val="en-US" w:eastAsia="zh-CN" w:bidi="ar-SA"/>
        </w:rPr>
        <w:t>在特许经营期内乙方不得抽回、侵占或挪用项目资本金和融资资金。</w:t>
      </w:r>
    </w:p>
    <w:p w14:paraId="5E6DD6BE">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bookmarkStart w:id="77" w:name="_Toc475566592"/>
      <w:r>
        <w:rPr>
          <w:rFonts w:hint="eastAsia" w:ascii="方正仿宋_GBK" w:hAnsi="方正仿宋_GBK" w:eastAsia="方正仿宋_GBK" w:cs="方正仿宋_GBK"/>
          <w:bCs/>
          <w:color w:val="auto"/>
          <w:kern w:val="0"/>
          <w:sz w:val="24"/>
          <w:szCs w:val="24"/>
          <w:highlight w:val="none"/>
          <w:lang w:val="en-US" w:eastAsia="zh-CN" w:bidi="ar-SA"/>
        </w:rPr>
        <w:t>乙方应当确保项目公司采取多种渠道合法地筹集本项目资本金以外的其他资金，在本项目《特许经营协议》签署起</w:t>
      </w:r>
      <w:r>
        <w:rPr>
          <w:rFonts w:hint="eastAsia" w:ascii="Times New Roman" w:hAnsi="Times New Roman" w:eastAsia="方正仿宋_GBK" w:cs="方正仿宋_GBK"/>
          <w:bCs/>
          <w:color w:val="auto"/>
          <w:kern w:val="0"/>
          <w:sz w:val="24"/>
          <w:szCs w:val="24"/>
          <w:highlight w:val="none"/>
          <w:lang w:val="en-US" w:eastAsia="zh-CN" w:bidi="ar-SA"/>
        </w:rPr>
        <w:t>90</w:t>
      </w:r>
      <w:r>
        <w:rPr>
          <w:rFonts w:hint="eastAsia" w:ascii="方正仿宋_GBK" w:hAnsi="方正仿宋_GBK" w:eastAsia="方正仿宋_GBK" w:cs="方正仿宋_GBK"/>
          <w:bCs/>
          <w:color w:val="auto"/>
          <w:kern w:val="0"/>
          <w:sz w:val="24"/>
          <w:szCs w:val="24"/>
          <w:highlight w:val="none"/>
          <w:lang w:val="en-US" w:eastAsia="zh-CN" w:bidi="ar-SA"/>
        </w:rPr>
        <w:t>日内完成融资交割。如项目公司无法在规定的期限内全额获得本项目债务性资金，乙方负有补充融资义务，乙方应在前述债务性融资期限届满日后的</w:t>
      </w:r>
      <w:r>
        <w:rPr>
          <w:rFonts w:hint="eastAsia" w:ascii="Times New Roman" w:hAnsi="Times New Roman" w:eastAsia="方正仿宋_GBK" w:cs="方正仿宋_GBK"/>
          <w:bCs/>
          <w:color w:val="auto"/>
          <w:kern w:val="0"/>
          <w:sz w:val="24"/>
          <w:szCs w:val="24"/>
          <w:highlight w:val="none"/>
          <w:lang w:val="en-US" w:eastAsia="zh-CN" w:bidi="ar-SA"/>
        </w:rPr>
        <w:t>15</w:t>
      </w:r>
      <w:r>
        <w:rPr>
          <w:rFonts w:hint="eastAsia" w:ascii="方正仿宋_GBK" w:hAnsi="方正仿宋_GBK" w:eastAsia="方正仿宋_GBK" w:cs="方正仿宋_GBK"/>
          <w:bCs/>
          <w:color w:val="auto"/>
          <w:kern w:val="0"/>
          <w:sz w:val="24"/>
          <w:szCs w:val="24"/>
          <w:highlight w:val="none"/>
          <w:lang w:val="en-US" w:eastAsia="zh-CN" w:bidi="ar-SA"/>
        </w:rPr>
        <w:t>日内向甲方提交补充融资方案，并经甲方批准后实施。乙方未按本协议约定向甲方提交补充融资方案，或提交的补充融资方案不能满足本项目融资需要的，乙方应与项目公司共同承担连带责任。</w:t>
      </w:r>
    </w:p>
    <w:bookmarkEnd w:id="77"/>
    <w:p w14:paraId="3955295E">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r>
        <w:rPr>
          <w:rFonts w:hint="eastAsia" w:ascii="方正仿宋_GBK" w:hAnsi="方正仿宋_GBK" w:eastAsia="方正仿宋_GBK" w:cs="方正仿宋_GBK"/>
          <w:bCs/>
          <w:color w:val="auto"/>
          <w:kern w:val="0"/>
          <w:sz w:val="24"/>
          <w:szCs w:val="24"/>
          <w:highlight w:val="none"/>
          <w:lang w:val="en-US" w:eastAsia="zh-CN" w:bidi="ar-SA"/>
        </w:rPr>
        <w:t>乙方应促使项目公司在签署前述《特许经营协议》后全面履行《特许经营协议》等合同文件项下的义务，乙方同时有义务采取必要的协助和保障措施，确保项目公司依照合同约定和绩效目标完成项目融资、项目运营等义务。如项目公司在项目运营过程中出现资金紧张、经营管理困难等导致无法继续实施项目建设和运营的，则乙方有义务采取有效措施限期恢复项目公司履约能力，确保项目的正常建设和运营管理。</w:t>
      </w:r>
    </w:p>
    <w:p w14:paraId="73CB18A5">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r>
        <w:rPr>
          <w:rFonts w:hint="eastAsia" w:ascii="方正仿宋_GBK" w:hAnsi="方正仿宋_GBK" w:eastAsia="方正仿宋_GBK" w:cs="方正仿宋_GBK"/>
          <w:bCs/>
          <w:color w:val="auto"/>
          <w:kern w:val="0"/>
          <w:sz w:val="24"/>
          <w:szCs w:val="24"/>
          <w:highlight w:val="none"/>
          <w:lang w:val="en-US" w:eastAsia="zh-CN" w:bidi="ar-SA"/>
        </w:rPr>
        <w:t>乙方就项目公司在《特许经营协议》项下的义务承担连带责任。</w:t>
      </w:r>
    </w:p>
    <w:p w14:paraId="62DF521F">
      <w:pPr>
        <w:keepNext w:val="0"/>
        <w:widowControl/>
        <w:numPr>
          <w:ilvl w:val="1"/>
          <w:numId w:val="3"/>
        </w:numPr>
        <w:tabs>
          <w:tab w:val="left" w:pos="1276"/>
          <w:tab w:val="clear" w:pos="908"/>
        </w:tabs>
        <w:autoSpaceDE w:val="0"/>
        <w:autoSpaceDN w:val="0"/>
        <w:adjustRightInd w:val="0"/>
        <w:spacing w:before="156" w:beforeLines="50" w:after="0" w:line="360" w:lineRule="auto"/>
        <w:ind w:left="907" w:hanging="482"/>
        <w:jc w:val="both"/>
        <w:outlineLvl w:val="1"/>
        <w:rPr>
          <w:rFonts w:hint="eastAsia" w:ascii="方正仿宋_GBK" w:hAnsi="方正仿宋_GBK" w:eastAsia="方正仿宋_GBK" w:cs="方正仿宋_GBK"/>
          <w:b/>
          <w:color w:val="auto"/>
          <w:kern w:val="0"/>
          <w:sz w:val="24"/>
          <w:szCs w:val="20"/>
          <w:highlight w:val="none"/>
          <w:lang w:val="en-US" w:eastAsia="zh-CN" w:bidi="ar-SA"/>
        </w:rPr>
      </w:pPr>
      <w:r>
        <w:rPr>
          <w:rFonts w:hint="eastAsia" w:ascii="方正仿宋_GBK" w:hAnsi="方正仿宋_GBK" w:eastAsia="方正仿宋_GBK" w:cs="方正仿宋_GBK"/>
          <w:b/>
          <w:color w:val="auto"/>
          <w:kern w:val="0"/>
          <w:sz w:val="24"/>
          <w:szCs w:val="20"/>
          <w:highlight w:val="none"/>
          <w:lang w:val="en-US" w:eastAsia="zh-CN" w:bidi="ar-SA"/>
        </w:rPr>
        <w:t>双方承诺</w:t>
      </w:r>
    </w:p>
    <w:p w14:paraId="74BED275">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bookmarkStart w:id="78" w:name="_Toc475566598"/>
      <w:r>
        <w:rPr>
          <w:rFonts w:hint="eastAsia" w:ascii="方正仿宋_GBK" w:hAnsi="方正仿宋_GBK" w:eastAsia="方正仿宋_GBK" w:cs="方正仿宋_GBK"/>
          <w:bCs/>
          <w:color w:val="auto"/>
          <w:kern w:val="0"/>
          <w:sz w:val="24"/>
          <w:szCs w:val="24"/>
          <w:highlight w:val="none"/>
          <w:lang w:val="en-US" w:eastAsia="zh-CN" w:bidi="ar-SA"/>
        </w:rPr>
        <w:t>截至本协议生效日止，不存在可能会构成违反有关法律或可能妨碍其履行在本协议项下义务的情况；不存在未披露的对其签署本协议或履行其在本协议项下义务可能产生严重不利影响的事件，包括但不限于可能要提起的诉讼、仲裁、已经或将要进行的政府调查或行政处罚程序及其他法律程序。</w:t>
      </w:r>
      <w:bookmarkEnd w:id="78"/>
    </w:p>
    <w:p w14:paraId="703C9A5B">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bookmarkStart w:id="79" w:name="_Toc475566599"/>
      <w:r>
        <w:rPr>
          <w:rFonts w:hint="eastAsia" w:ascii="方正仿宋_GBK" w:hAnsi="方正仿宋_GBK" w:eastAsia="方正仿宋_GBK" w:cs="方正仿宋_GBK"/>
          <w:bCs/>
          <w:color w:val="auto"/>
          <w:kern w:val="0"/>
          <w:sz w:val="24"/>
          <w:szCs w:val="24"/>
          <w:highlight w:val="none"/>
          <w:lang w:val="en-US" w:eastAsia="zh-CN" w:bidi="ar-SA"/>
        </w:rPr>
        <w:t>无论是本协议的签署还是对本协议项下义务的履行，均不会抵触、违反或违背其营业执照、公司章程或任何适用法律或任何政府部门的批准，或其为签约一方的任何协议。</w:t>
      </w:r>
      <w:bookmarkEnd w:id="79"/>
    </w:p>
    <w:p w14:paraId="290B1CC9">
      <w:pPr>
        <w:keepNext w:val="0"/>
        <w:widowControl/>
        <w:numPr>
          <w:ilvl w:val="0"/>
          <w:numId w:val="3"/>
        </w:numPr>
        <w:tabs>
          <w:tab w:val="left" w:pos="1134"/>
          <w:tab w:val="clear" w:pos="4051"/>
        </w:tabs>
        <w:autoSpaceDE w:val="0"/>
        <w:autoSpaceDN w:val="0"/>
        <w:adjustRightInd w:val="0"/>
        <w:spacing w:before="312" w:beforeLines="100" w:after="100" w:afterAutospacing="1" w:line="360" w:lineRule="auto"/>
        <w:ind w:right="28" w:firstLine="0"/>
        <w:jc w:val="left"/>
        <w:outlineLvl w:val="0"/>
        <w:rPr>
          <w:rFonts w:hint="eastAsia" w:ascii="方正仿宋_GBK" w:hAnsi="方正仿宋_GBK" w:eastAsia="方正仿宋_GBK" w:cs="方正仿宋_GBK"/>
          <w:b/>
          <w:color w:val="auto"/>
          <w:kern w:val="0"/>
          <w:sz w:val="28"/>
          <w:szCs w:val="20"/>
          <w:highlight w:val="none"/>
          <w:lang w:val="en-US" w:eastAsia="zh-CN" w:bidi="ar-SA"/>
        </w:rPr>
      </w:pPr>
      <w:bookmarkStart w:id="80" w:name="_Toc8694"/>
      <w:r>
        <w:rPr>
          <w:rFonts w:hint="eastAsia" w:ascii="方正仿宋_GBK" w:hAnsi="方正仿宋_GBK" w:eastAsia="方正仿宋_GBK" w:cs="方正仿宋_GBK"/>
          <w:b/>
          <w:color w:val="auto"/>
          <w:kern w:val="0"/>
          <w:sz w:val="28"/>
          <w:szCs w:val="20"/>
          <w:highlight w:val="none"/>
          <w:lang w:val="en-US" w:eastAsia="zh-CN" w:bidi="ar-SA"/>
        </w:rPr>
        <w:t>违约情形与责任</w:t>
      </w:r>
      <w:bookmarkEnd w:id="80"/>
    </w:p>
    <w:p w14:paraId="7B6053F5">
      <w:pPr>
        <w:keepNext w:val="0"/>
        <w:widowControl/>
        <w:numPr>
          <w:ilvl w:val="1"/>
          <w:numId w:val="3"/>
        </w:numPr>
        <w:tabs>
          <w:tab w:val="left" w:pos="993"/>
          <w:tab w:val="clear" w:pos="908"/>
        </w:tabs>
        <w:autoSpaceDE w:val="0"/>
        <w:autoSpaceDN w:val="0"/>
        <w:adjustRightInd w:val="0"/>
        <w:spacing w:before="156" w:beforeLines="50" w:after="0" w:line="360" w:lineRule="auto"/>
        <w:ind w:left="0" w:firstLine="425"/>
        <w:jc w:val="both"/>
        <w:outlineLvl w:val="1"/>
        <w:rPr>
          <w:rFonts w:hint="eastAsia" w:ascii="方正仿宋_GBK" w:hAnsi="方正仿宋_GBK" w:eastAsia="方正仿宋_GBK" w:cs="方正仿宋_GBK"/>
          <w:b w:val="0"/>
          <w:color w:val="auto"/>
          <w:kern w:val="0"/>
          <w:sz w:val="24"/>
          <w:szCs w:val="20"/>
          <w:highlight w:val="none"/>
          <w:lang w:val="en-US" w:eastAsia="zh-CN" w:bidi="ar-SA"/>
        </w:rPr>
      </w:pPr>
      <w:bookmarkStart w:id="81" w:name="_Toc475566609"/>
      <w:r>
        <w:rPr>
          <w:rFonts w:hint="eastAsia" w:ascii="方正仿宋_GBK" w:hAnsi="方正仿宋_GBK" w:eastAsia="方正仿宋_GBK" w:cs="方正仿宋_GBK"/>
          <w:b w:val="0"/>
          <w:color w:val="auto"/>
          <w:kern w:val="0"/>
          <w:sz w:val="24"/>
          <w:szCs w:val="20"/>
          <w:highlight w:val="none"/>
          <w:lang w:val="en-US" w:eastAsia="zh-CN" w:bidi="ar-SA"/>
        </w:rPr>
        <w:t>甲方的违约情形与责任</w:t>
      </w:r>
      <w:bookmarkEnd w:id="81"/>
    </w:p>
    <w:p w14:paraId="29AE501F">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bookmarkStart w:id="82" w:name="_Toc475566610"/>
      <w:r>
        <w:rPr>
          <w:rFonts w:hint="eastAsia" w:ascii="方正仿宋_GBK" w:hAnsi="方正仿宋_GBK" w:eastAsia="方正仿宋_GBK" w:cs="方正仿宋_GBK"/>
          <w:bCs/>
          <w:color w:val="auto"/>
          <w:kern w:val="0"/>
          <w:sz w:val="24"/>
          <w:szCs w:val="24"/>
          <w:highlight w:val="none"/>
          <w:lang w:val="en-US" w:eastAsia="zh-CN" w:bidi="ar-SA"/>
        </w:rPr>
        <w:t>因甲方原因致使本协议无法履行，且甲方未能在收到乙方要求甲方纠正其违约行为的书面通知后</w:t>
      </w:r>
      <w:r>
        <w:rPr>
          <w:rFonts w:hint="eastAsia" w:ascii="Times New Roman" w:hAnsi="Times New Roman" w:eastAsia="方正仿宋_GBK" w:cs="方正仿宋_GBK"/>
          <w:b/>
          <w:bCs/>
          <w:color w:val="auto"/>
          <w:kern w:val="0"/>
          <w:sz w:val="24"/>
          <w:szCs w:val="24"/>
          <w:highlight w:val="none"/>
          <w:lang w:val="en-US" w:eastAsia="zh-CN" w:bidi="ar-SA"/>
        </w:rPr>
        <w:t>30</w:t>
      </w:r>
      <w:r>
        <w:rPr>
          <w:rFonts w:hint="eastAsia" w:ascii="方正仿宋_GBK" w:hAnsi="方正仿宋_GBK" w:eastAsia="方正仿宋_GBK" w:cs="方正仿宋_GBK"/>
          <w:bCs/>
          <w:color w:val="auto"/>
          <w:kern w:val="0"/>
          <w:sz w:val="24"/>
          <w:szCs w:val="24"/>
          <w:highlight w:val="none"/>
          <w:lang w:val="en-US" w:eastAsia="zh-CN" w:bidi="ar-SA"/>
        </w:rPr>
        <w:t>日内改正此行为的，乙方有权通过向甲方发出有效通知的方式，终止或解除本协议，甲方应当遵循“恢复相同经济地位”原则另行商定补偿方案对乙方的损失给予补偿。</w:t>
      </w:r>
      <w:bookmarkEnd w:id="82"/>
    </w:p>
    <w:p w14:paraId="10ADAD95">
      <w:pPr>
        <w:keepNext w:val="0"/>
        <w:widowControl/>
        <w:numPr>
          <w:ilvl w:val="1"/>
          <w:numId w:val="3"/>
        </w:numPr>
        <w:tabs>
          <w:tab w:val="left" w:pos="993"/>
          <w:tab w:val="clear" w:pos="908"/>
        </w:tabs>
        <w:autoSpaceDE w:val="0"/>
        <w:autoSpaceDN w:val="0"/>
        <w:adjustRightInd w:val="0"/>
        <w:spacing w:before="156" w:beforeLines="50" w:after="0" w:line="360" w:lineRule="auto"/>
        <w:ind w:left="0" w:firstLine="425"/>
        <w:jc w:val="both"/>
        <w:outlineLvl w:val="1"/>
        <w:rPr>
          <w:rFonts w:hint="eastAsia" w:ascii="方正仿宋_GBK" w:hAnsi="方正仿宋_GBK" w:eastAsia="方正仿宋_GBK" w:cs="方正仿宋_GBK"/>
          <w:b w:val="0"/>
          <w:color w:val="auto"/>
          <w:kern w:val="0"/>
          <w:sz w:val="24"/>
          <w:szCs w:val="20"/>
          <w:highlight w:val="none"/>
          <w:lang w:val="en-US" w:eastAsia="zh-CN" w:bidi="ar-SA"/>
        </w:rPr>
      </w:pPr>
      <w:bookmarkStart w:id="83" w:name="_Toc475566611"/>
      <w:r>
        <w:rPr>
          <w:rFonts w:hint="eastAsia" w:ascii="方正仿宋_GBK" w:hAnsi="方正仿宋_GBK" w:eastAsia="方正仿宋_GBK" w:cs="方正仿宋_GBK"/>
          <w:b w:val="0"/>
          <w:color w:val="auto"/>
          <w:kern w:val="0"/>
          <w:sz w:val="24"/>
          <w:szCs w:val="20"/>
          <w:highlight w:val="none"/>
          <w:lang w:val="en-US" w:eastAsia="zh-CN" w:bidi="ar-SA"/>
        </w:rPr>
        <w:t>乙方的违约情形及责任</w:t>
      </w:r>
      <w:bookmarkEnd w:id="83"/>
    </w:p>
    <w:p w14:paraId="2F765DF8">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bookmarkStart w:id="84" w:name="_Toc475566612"/>
      <w:r>
        <w:rPr>
          <w:rFonts w:hint="eastAsia" w:ascii="方正仿宋_GBK" w:hAnsi="方正仿宋_GBK" w:eastAsia="方正仿宋_GBK" w:cs="方正仿宋_GBK"/>
          <w:bCs/>
          <w:color w:val="auto"/>
          <w:kern w:val="0"/>
          <w:sz w:val="24"/>
          <w:szCs w:val="24"/>
          <w:highlight w:val="none"/>
          <w:lang w:val="en-US" w:eastAsia="zh-CN" w:bidi="ar-SA"/>
        </w:rPr>
        <w:t>因乙方原因导致未能在本协议签署后</w:t>
      </w:r>
      <w:r>
        <w:rPr>
          <w:rFonts w:hint="eastAsia" w:ascii="Times New Roman" w:hAnsi="Times New Roman" w:eastAsia="方正仿宋_GBK" w:cs="方正仿宋_GBK"/>
          <w:bCs/>
          <w:color w:val="auto"/>
          <w:kern w:val="0"/>
          <w:sz w:val="24"/>
          <w:szCs w:val="24"/>
          <w:highlight w:val="none"/>
          <w:lang w:val="en-US" w:eastAsia="zh-CN" w:bidi="ar-SA"/>
        </w:rPr>
        <w:t>30</w:t>
      </w:r>
      <w:r>
        <w:rPr>
          <w:rFonts w:hint="eastAsia" w:ascii="方正仿宋_GBK" w:hAnsi="方正仿宋_GBK" w:eastAsia="方正仿宋_GBK" w:cs="方正仿宋_GBK"/>
          <w:bCs/>
          <w:color w:val="auto"/>
          <w:kern w:val="0"/>
          <w:sz w:val="24"/>
          <w:szCs w:val="24"/>
          <w:highlight w:val="none"/>
          <w:lang w:val="en-US" w:eastAsia="zh-CN" w:bidi="ar-SA"/>
        </w:rPr>
        <w:t>日内注册成立项目公司，或虽已遵守上述规定但甲方有合理理由认为其尚无实施本项目的足够能力时，乙方应按甲方的要求完善项目公司的机构设置、人员配备、资金筹措等方面的工作，直至甲方批准为止。项目公司注册每延期一日，乙方应向甲方支付</w:t>
      </w:r>
      <w:r>
        <w:rPr>
          <w:rFonts w:hint="eastAsia" w:ascii="Times New Roman" w:hAnsi="Times New Roman" w:eastAsia="方正仿宋_GBK" w:cs="方正仿宋_GBK"/>
          <w:bCs/>
          <w:color w:val="auto"/>
          <w:kern w:val="0"/>
          <w:sz w:val="24"/>
          <w:szCs w:val="24"/>
          <w:highlight w:val="none"/>
          <w:u w:val="single"/>
          <w:lang w:val="en-US" w:eastAsia="zh-CN" w:bidi="ar-SA"/>
        </w:rPr>
        <w:t>3000</w:t>
      </w:r>
      <w:r>
        <w:rPr>
          <w:rFonts w:hint="eastAsia" w:ascii="方正仿宋_GBK" w:hAnsi="方正仿宋_GBK" w:eastAsia="方正仿宋_GBK" w:cs="方正仿宋_GBK"/>
          <w:bCs/>
          <w:color w:val="auto"/>
          <w:kern w:val="0"/>
          <w:sz w:val="24"/>
          <w:szCs w:val="24"/>
          <w:highlight w:val="none"/>
          <w:lang w:val="en-US" w:eastAsia="zh-CN" w:bidi="ar-SA"/>
        </w:rPr>
        <w:t>元的违约金。如因乙方原因致使在本协议签署后</w:t>
      </w:r>
      <w:r>
        <w:rPr>
          <w:rFonts w:hint="eastAsia" w:ascii="Times New Roman" w:hAnsi="Times New Roman" w:eastAsia="方正仿宋_GBK" w:cs="方正仿宋_GBK"/>
          <w:bCs/>
          <w:color w:val="auto"/>
          <w:kern w:val="0"/>
          <w:sz w:val="24"/>
          <w:szCs w:val="24"/>
          <w:highlight w:val="none"/>
          <w:lang w:val="en-US" w:eastAsia="zh-CN" w:bidi="ar-SA"/>
        </w:rPr>
        <w:t>30</w:t>
      </w:r>
      <w:r>
        <w:rPr>
          <w:rFonts w:hint="eastAsia" w:ascii="方正仿宋_GBK" w:hAnsi="方正仿宋_GBK" w:eastAsia="方正仿宋_GBK" w:cs="方正仿宋_GBK"/>
          <w:bCs/>
          <w:color w:val="auto"/>
          <w:kern w:val="0"/>
          <w:sz w:val="24"/>
          <w:szCs w:val="24"/>
          <w:highlight w:val="none"/>
          <w:lang w:val="en-US" w:eastAsia="zh-CN" w:bidi="ar-SA"/>
        </w:rPr>
        <w:t>日项目公司仍未能注册的，或虽已注册但不符合约定要求的，则甲方有权单方面发出解除本协议通知，与乙方解除本协议，并终止特许经营合作。</w:t>
      </w:r>
      <w:bookmarkEnd w:id="84"/>
    </w:p>
    <w:p w14:paraId="14027AB5">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bookmarkStart w:id="85" w:name="_Toc475566613"/>
      <w:r>
        <w:rPr>
          <w:rFonts w:hint="eastAsia" w:ascii="方正仿宋_GBK" w:hAnsi="方正仿宋_GBK" w:eastAsia="方正仿宋_GBK" w:cs="方正仿宋_GBK"/>
          <w:bCs/>
          <w:color w:val="auto"/>
          <w:kern w:val="0"/>
          <w:sz w:val="24"/>
          <w:szCs w:val="24"/>
          <w:highlight w:val="none"/>
          <w:lang w:val="en-US" w:eastAsia="zh-CN" w:bidi="ar-SA"/>
        </w:rPr>
        <w:t>乙方未能按照本协议约定将项目资本金出资到位，或者在特许经营期内抽回、侵占或挪用项目资金，经甲方责令限期改正后仍未改正的，甲方有权单方面发出解除本协议通知，与乙方解除本协议，并终止特许经营合作。</w:t>
      </w:r>
      <w:bookmarkEnd w:id="85"/>
    </w:p>
    <w:p w14:paraId="06902930">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bookmarkStart w:id="86" w:name="_Toc475566614"/>
      <w:r>
        <w:rPr>
          <w:rFonts w:hint="eastAsia" w:ascii="方正仿宋_GBK" w:hAnsi="方正仿宋_GBK" w:eastAsia="方正仿宋_GBK" w:cs="方正仿宋_GBK"/>
          <w:bCs/>
          <w:color w:val="auto"/>
          <w:kern w:val="0"/>
          <w:sz w:val="24"/>
          <w:szCs w:val="24"/>
          <w:highlight w:val="none"/>
          <w:lang w:val="en-US" w:eastAsia="zh-CN" w:bidi="ar-SA"/>
        </w:rPr>
        <w:t>因乙方原因导致项目公司未能按照本协议约定期限与甲方签订《特许经营协议》的，每延期一日，乙方应向甲方支付</w:t>
      </w:r>
      <w:r>
        <w:rPr>
          <w:rFonts w:hint="eastAsia" w:ascii="Times New Roman" w:hAnsi="Times New Roman" w:eastAsia="方正仿宋_GBK" w:cs="方正仿宋_GBK"/>
          <w:bCs/>
          <w:color w:val="auto"/>
          <w:kern w:val="0"/>
          <w:sz w:val="24"/>
          <w:szCs w:val="24"/>
          <w:highlight w:val="none"/>
          <w:lang w:val="en-US" w:eastAsia="zh-CN" w:bidi="ar-SA"/>
        </w:rPr>
        <w:t>5000</w:t>
      </w:r>
      <w:r>
        <w:rPr>
          <w:rFonts w:hint="eastAsia" w:ascii="方正仿宋_GBK" w:hAnsi="方正仿宋_GBK" w:eastAsia="方正仿宋_GBK" w:cs="方正仿宋_GBK"/>
          <w:bCs/>
          <w:color w:val="auto"/>
          <w:kern w:val="0"/>
          <w:sz w:val="24"/>
          <w:szCs w:val="24"/>
          <w:highlight w:val="none"/>
          <w:lang w:val="en-US" w:eastAsia="zh-CN" w:bidi="ar-SA"/>
        </w:rPr>
        <w:t>元的违约金；如延期超过</w:t>
      </w:r>
      <w:r>
        <w:rPr>
          <w:rFonts w:hint="eastAsia" w:ascii="Times New Roman" w:hAnsi="Times New Roman" w:eastAsia="方正仿宋_GBK" w:cs="方正仿宋_GBK"/>
          <w:bCs/>
          <w:color w:val="auto"/>
          <w:kern w:val="0"/>
          <w:sz w:val="24"/>
          <w:szCs w:val="24"/>
          <w:highlight w:val="none"/>
          <w:lang w:val="en-US" w:eastAsia="zh-CN" w:bidi="ar-SA"/>
        </w:rPr>
        <w:t>60</w:t>
      </w:r>
      <w:r>
        <w:rPr>
          <w:rFonts w:hint="eastAsia" w:ascii="方正仿宋_GBK" w:hAnsi="方正仿宋_GBK" w:eastAsia="方正仿宋_GBK" w:cs="方正仿宋_GBK"/>
          <w:bCs/>
          <w:color w:val="auto"/>
          <w:kern w:val="0"/>
          <w:sz w:val="24"/>
          <w:szCs w:val="24"/>
          <w:highlight w:val="none"/>
          <w:lang w:val="en-US" w:eastAsia="zh-CN" w:bidi="ar-SA"/>
        </w:rPr>
        <w:t>日，则甲方有权单方解除本协议，并终止特许经营合作。</w:t>
      </w:r>
      <w:bookmarkEnd w:id="86"/>
    </w:p>
    <w:p w14:paraId="700FE5E8">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r>
        <w:rPr>
          <w:rFonts w:hint="eastAsia" w:ascii="方正仿宋_GBK" w:hAnsi="方正仿宋_GBK" w:eastAsia="方正仿宋_GBK" w:cs="方正仿宋_GBK"/>
          <w:bCs/>
          <w:color w:val="auto"/>
          <w:kern w:val="0"/>
          <w:sz w:val="24"/>
          <w:szCs w:val="24"/>
          <w:highlight w:val="none"/>
          <w:lang w:val="en-US" w:eastAsia="zh-CN" w:bidi="ar-SA"/>
        </w:rPr>
        <w:t>如项目公司无法在规定的期限内全额获得本项目债务性资金，且乙方未按本协议约定向甲方提交补充融资方案，或提交的补充融资方案未能满足本项目融资需要的，每延期一日，乙方应向甲方支付应到未到资金的万分之一作为违约金；延期超过60日，甲方有权单方面发出解除本协议通知，与乙方解除本协议，并终止特许经营合作。</w:t>
      </w:r>
    </w:p>
    <w:p w14:paraId="7CA78B4C">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r>
        <w:rPr>
          <w:rFonts w:hint="eastAsia" w:ascii="方正仿宋_GBK" w:hAnsi="方正仿宋_GBK" w:eastAsia="方正仿宋_GBK" w:cs="方正仿宋_GBK"/>
          <w:bCs/>
          <w:color w:val="auto"/>
          <w:kern w:val="0"/>
          <w:sz w:val="24"/>
          <w:szCs w:val="24"/>
          <w:highlight w:val="none"/>
          <w:lang w:val="en-US" w:eastAsia="zh-CN" w:bidi="ar-SA"/>
        </w:rPr>
        <w:t>乙方违反本协议关于股权变更限制的要求，经甲方责令限期改正后仍未改正的，则甲方有权单方解除本协议，并终止特许经营合作。</w:t>
      </w:r>
    </w:p>
    <w:p w14:paraId="22CE0F3C">
      <w:pPr>
        <w:widowControl/>
        <w:numPr>
          <w:ilvl w:val="2"/>
          <w:numId w:val="3"/>
        </w:numPr>
        <w:tabs>
          <w:tab w:val="clear" w:pos="2524"/>
        </w:tabs>
        <w:autoSpaceDE w:val="0"/>
        <w:autoSpaceDN w:val="0"/>
        <w:adjustRightInd w:val="0"/>
        <w:spacing w:before="156" w:beforeLines="50" w:after="156" w:afterLines="50" w:line="360" w:lineRule="auto"/>
        <w:ind w:left="0" w:firstLine="426"/>
        <w:jc w:val="both"/>
        <w:outlineLvl w:val="2"/>
        <w:rPr>
          <w:rFonts w:hint="eastAsia" w:ascii="方正仿宋_GBK" w:hAnsi="方正仿宋_GBK" w:eastAsia="方正仿宋_GBK" w:cs="方正仿宋_GBK"/>
          <w:bCs/>
          <w:color w:val="auto"/>
          <w:kern w:val="0"/>
          <w:sz w:val="24"/>
          <w:szCs w:val="24"/>
          <w:highlight w:val="none"/>
          <w:lang w:val="en-US" w:eastAsia="zh-CN" w:bidi="ar-SA"/>
        </w:rPr>
      </w:pPr>
      <w:r>
        <w:rPr>
          <w:rFonts w:hint="eastAsia" w:ascii="方正仿宋_GBK" w:hAnsi="方正仿宋_GBK" w:eastAsia="方正仿宋_GBK" w:cs="方正仿宋_GBK"/>
          <w:bCs/>
          <w:color w:val="auto"/>
          <w:kern w:val="0"/>
          <w:sz w:val="24"/>
          <w:szCs w:val="24"/>
          <w:highlight w:val="none"/>
          <w:lang w:val="en-US" w:eastAsia="zh-CN" w:bidi="ar-SA"/>
        </w:rPr>
        <w:t>因乙方原因致使本协议无法履行，且乙方未能在收到甲方要求乙方纠正其违约行为的书面通知后</w:t>
      </w:r>
      <w:r>
        <w:rPr>
          <w:rFonts w:hint="eastAsia" w:ascii="Times New Roman" w:hAnsi="Times New Roman" w:eastAsia="方正仿宋_GBK" w:cs="方正仿宋_GBK"/>
          <w:bCs/>
          <w:color w:val="auto"/>
          <w:kern w:val="0"/>
          <w:sz w:val="24"/>
          <w:szCs w:val="24"/>
          <w:highlight w:val="none"/>
          <w:u w:val="single"/>
          <w:lang w:val="en-US" w:eastAsia="zh-CN" w:bidi="ar-SA"/>
        </w:rPr>
        <w:t>30</w:t>
      </w:r>
      <w:r>
        <w:rPr>
          <w:rFonts w:hint="eastAsia" w:ascii="方正仿宋_GBK" w:hAnsi="方正仿宋_GBK" w:eastAsia="方正仿宋_GBK" w:cs="方正仿宋_GBK"/>
          <w:bCs/>
          <w:color w:val="auto"/>
          <w:kern w:val="0"/>
          <w:sz w:val="24"/>
          <w:szCs w:val="24"/>
          <w:highlight w:val="none"/>
          <w:lang w:val="en-US" w:eastAsia="zh-CN" w:bidi="ar-SA"/>
        </w:rPr>
        <w:t>日内改正此行为的，甲方有权通过向乙方发出有效通知的方式，终止或解除本协议，并终止特许经营合作。</w:t>
      </w:r>
    </w:p>
    <w:p w14:paraId="2451B9C1">
      <w:pPr>
        <w:keepNext w:val="0"/>
        <w:widowControl/>
        <w:numPr>
          <w:ilvl w:val="0"/>
          <w:numId w:val="3"/>
        </w:numPr>
        <w:tabs>
          <w:tab w:val="left" w:pos="1134"/>
          <w:tab w:val="clear" w:pos="4051"/>
        </w:tabs>
        <w:autoSpaceDE w:val="0"/>
        <w:autoSpaceDN w:val="0"/>
        <w:adjustRightInd w:val="0"/>
        <w:spacing w:before="312" w:beforeLines="100" w:after="100" w:afterAutospacing="1" w:line="360" w:lineRule="auto"/>
        <w:ind w:right="28" w:firstLine="0"/>
        <w:jc w:val="left"/>
        <w:outlineLvl w:val="0"/>
        <w:rPr>
          <w:rFonts w:hint="eastAsia" w:ascii="方正仿宋_GBK" w:hAnsi="方正仿宋_GBK" w:eastAsia="方正仿宋_GBK" w:cs="方正仿宋_GBK"/>
          <w:b/>
          <w:color w:val="auto"/>
          <w:kern w:val="0"/>
          <w:sz w:val="28"/>
          <w:szCs w:val="20"/>
          <w:highlight w:val="none"/>
          <w:lang w:val="en-US" w:eastAsia="zh-CN" w:bidi="ar-SA"/>
        </w:rPr>
      </w:pPr>
      <w:bookmarkStart w:id="87" w:name="_Toc8347"/>
      <w:r>
        <w:rPr>
          <w:rFonts w:hint="eastAsia" w:ascii="方正仿宋_GBK" w:hAnsi="方正仿宋_GBK" w:eastAsia="方正仿宋_GBK" w:cs="方正仿宋_GBK"/>
          <w:b/>
          <w:color w:val="auto"/>
          <w:kern w:val="0"/>
          <w:sz w:val="28"/>
          <w:szCs w:val="20"/>
          <w:highlight w:val="none"/>
          <w:lang w:val="en-US" w:eastAsia="zh-CN" w:bidi="ar-SA"/>
        </w:rPr>
        <w:t>不可抗力</w:t>
      </w:r>
      <w:bookmarkEnd w:id="87"/>
    </w:p>
    <w:p w14:paraId="3AEBFFBE">
      <w:pPr>
        <w:keepNext w:val="0"/>
        <w:widowControl/>
        <w:numPr>
          <w:ilvl w:val="1"/>
          <w:numId w:val="3"/>
        </w:numPr>
        <w:tabs>
          <w:tab w:val="left" w:pos="993"/>
          <w:tab w:val="clear" w:pos="908"/>
        </w:tabs>
        <w:autoSpaceDE w:val="0"/>
        <w:autoSpaceDN w:val="0"/>
        <w:adjustRightInd w:val="0"/>
        <w:spacing w:before="156" w:beforeLines="50" w:after="0" w:line="360" w:lineRule="auto"/>
        <w:ind w:left="0" w:firstLine="425"/>
        <w:jc w:val="both"/>
        <w:outlineLvl w:val="1"/>
        <w:rPr>
          <w:rFonts w:hint="eastAsia" w:ascii="方正仿宋_GBK" w:hAnsi="方正仿宋_GBK" w:eastAsia="方正仿宋_GBK" w:cs="方正仿宋_GBK"/>
          <w:b/>
          <w:color w:val="auto"/>
          <w:kern w:val="0"/>
          <w:sz w:val="24"/>
          <w:szCs w:val="20"/>
          <w:highlight w:val="none"/>
          <w:lang w:val="en-US" w:eastAsia="zh-CN" w:bidi="ar-SA"/>
        </w:rPr>
      </w:pPr>
      <w:bookmarkStart w:id="88" w:name="_Toc25914772"/>
      <w:bookmarkStart w:id="89" w:name="_Toc25661032"/>
      <w:bookmarkStart w:id="90" w:name="_Toc25762936"/>
      <w:r>
        <w:rPr>
          <w:rFonts w:hint="eastAsia" w:ascii="方正仿宋_GBK" w:hAnsi="方正仿宋_GBK" w:eastAsia="方正仿宋_GBK" w:cs="方正仿宋_GBK"/>
          <w:b/>
          <w:color w:val="auto"/>
          <w:kern w:val="0"/>
          <w:sz w:val="24"/>
          <w:szCs w:val="20"/>
          <w:highlight w:val="none"/>
          <w:lang w:val="en-US" w:eastAsia="zh-CN" w:bidi="ar-SA"/>
        </w:rPr>
        <w:t>不可抗力事件</w:t>
      </w:r>
    </w:p>
    <w:bookmarkEnd w:id="88"/>
    <w:bookmarkEnd w:id="89"/>
    <w:bookmarkEnd w:id="90"/>
    <w:p w14:paraId="4292C21B">
      <w:pPr>
        <w:spacing w:before="80" w:after="80" w:line="360" w:lineRule="auto"/>
        <w:ind w:firstLine="424" w:firstLineChars="177"/>
        <w:rPr>
          <w:rFonts w:hint="eastAsia" w:ascii="方正仿宋_GBK" w:hAnsi="方正仿宋_GBK" w:eastAsia="方正仿宋_GBK" w:cs="方正仿宋_GBK"/>
          <w:color w:val="auto"/>
          <w:kern w:val="2"/>
          <w:sz w:val="24"/>
          <w:szCs w:val="24"/>
          <w:highlight w:val="none"/>
        </w:rPr>
      </w:pPr>
      <w:bookmarkStart w:id="91" w:name="_Toc475566624"/>
      <w:r>
        <w:rPr>
          <w:rFonts w:hint="eastAsia" w:ascii="方正仿宋_GBK" w:hAnsi="方正仿宋_GBK" w:eastAsia="方正仿宋_GBK" w:cs="方正仿宋_GBK"/>
          <w:color w:val="auto"/>
          <w:kern w:val="2"/>
          <w:sz w:val="24"/>
          <w:szCs w:val="24"/>
          <w:highlight w:val="none"/>
        </w:rPr>
        <w:t>任何一方由于出现不可抗力事件使该方无法全部或部分履行其本协议项下的义务时，该方应有权中止履行本协议项下的义务。不可抗力应包括但不限于下列事件：</w:t>
      </w:r>
    </w:p>
    <w:p w14:paraId="3A784726">
      <w:pPr>
        <w:keepNext w:val="0"/>
        <w:keepLines w:val="0"/>
        <w:pageBreakBefore w:val="0"/>
        <w:widowControl w:val="0"/>
        <w:numPr>
          <w:ilvl w:val="0"/>
          <w:numId w:val="0"/>
        </w:numPr>
        <w:tabs>
          <w:tab w:val="left" w:pos="993"/>
          <w:tab w:val="left" w:pos="1276"/>
        </w:tabs>
        <w:kinsoku/>
        <w:wordWrap/>
        <w:overflowPunct/>
        <w:topLinePunct w:val="0"/>
        <w:bidi w:val="0"/>
        <w:spacing w:before="0" w:beforeLines="0" w:after="0" w:afterLines="0" w:line="360" w:lineRule="auto"/>
        <w:ind w:left="0" w:leftChars="0" w:firstLine="480" w:firstLineChars="200"/>
        <w:jc w:val="both"/>
        <w:rPr>
          <w:rFonts w:hint="eastAsia" w:ascii="方正仿宋_GBK" w:hAnsi="方正仿宋_GBK" w:eastAsia="方正仿宋_GBK" w:cs="方正仿宋_GBK"/>
          <w:caps w:val="0"/>
          <w:smallCaps w:val="0"/>
          <w:color w:val="auto"/>
          <w:kern w:val="2"/>
          <w:sz w:val="24"/>
          <w:szCs w:val="24"/>
          <w:highlight w:val="none"/>
          <w:lang w:val="en-US" w:eastAsia="zh-CN" w:bidi="ar-SA"/>
        </w:rPr>
      </w:pPr>
      <w:r>
        <w:rPr>
          <w:rFonts w:hint="eastAsia" w:ascii="方正仿宋_GBK" w:hAnsi="方正仿宋_GBK" w:eastAsia="方正仿宋_GBK" w:cs="方正仿宋_GBK"/>
          <w:caps w:val="0"/>
          <w:smallCaps w:val="0"/>
          <w:color w:val="auto"/>
          <w:kern w:val="2"/>
          <w:sz w:val="24"/>
          <w:szCs w:val="24"/>
          <w:highlight w:val="none"/>
          <w:lang w:val="en-US" w:eastAsia="zh-CN" w:bidi="ar-SA"/>
        </w:rPr>
        <w:t>（</w:t>
      </w:r>
      <w:r>
        <w:rPr>
          <w:rFonts w:hint="eastAsia" w:ascii="Times New Roman" w:hAnsi="Times New Roman" w:eastAsia="方正仿宋_GBK" w:cs="方正仿宋_GBK"/>
          <w:caps w:val="0"/>
          <w:smallCaps w:val="0"/>
          <w:color w:val="auto"/>
          <w:kern w:val="2"/>
          <w:sz w:val="24"/>
          <w:szCs w:val="24"/>
          <w:highlight w:val="none"/>
          <w:lang w:val="en-US" w:eastAsia="zh-CN" w:bidi="ar-SA"/>
        </w:rPr>
        <w:t>1</w:t>
      </w:r>
      <w:r>
        <w:rPr>
          <w:rFonts w:hint="eastAsia" w:ascii="方正仿宋_GBK" w:hAnsi="方正仿宋_GBK" w:eastAsia="方正仿宋_GBK" w:cs="方正仿宋_GBK"/>
          <w:caps w:val="0"/>
          <w:smallCaps w:val="0"/>
          <w:color w:val="auto"/>
          <w:kern w:val="2"/>
          <w:sz w:val="24"/>
          <w:szCs w:val="24"/>
          <w:highlight w:val="none"/>
          <w:lang w:val="en-US" w:eastAsia="zh-CN" w:bidi="ar-SA"/>
        </w:rPr>
        <w:t>）自然灾害；</w:t>
      </w:r>
    </w:p>
    <w:p w14:paraId="02B6B47B">
      <w:pPr>
        <w:keepNext w:val="0"/>
        <w:keepLines w:val="0"/>
        <w:pageBreakBefore w:val="0"/>
        <w:widowControl w:val="0"/>
        <w:numPr>
          <w:ilvl w:val="0"/>
          <w:numId w:val="0"/>
        </w:numPr>
        <w:tabs>
          <w:tab w:val="left" w:pos="993"/>
          <w:tab w:val="left" w:pos="1276"/>
        </w:tabs>
        <w:kinsoku/>
        <w:wordWrap/>
        <w:overflowPunct/>
        <w:topLinePunct w:val="0"/>
        <w:bidi w:val="0"/>
        <w:spacing w:before="0" w:beforeLines="0" w:after="0" w:afterLines="0" w:line="360" w:lineRule="auto"/>
        <w:ind w:left="0" w:leftChars="0" w:firstLine="480" w:firstLineChars="200"/>
        <w:jc w:val="both"/>
        <w:rPr>
          <w:rFonts w:hint="eastAsia" w:ascii="方正仿宋_GBK" w:hAnsi="方正仿宋_GBK" w:eastAsia="方正仿宋_GBK" w:cs="方正仿宋_GBK"/>
          <w:caps w:val="0"/>
          <w:smallCaps w:val="0"/>
          <w:color w:val="auto"/>
          <w:kern w:val="2"/>
          <w:sz w:val="24"/>
          <w:szCs w:val="24"/>
          <w:highlight w:val="none"/>
          <w:lang w:val="en-US" w:eastAsia="zh-CN" w:bidi="ar-SA"/>
        </w:rPr>
      </w:pPr>
      <w:r>
        <w:rPr>
          <w:rFonts w:hint="eastAsia" w:ascii="方正仿宋_GBK" w:hAnsi="方正仿宋_GBK" w:eastAsia="方正仿宋_GBK" w:cs="方正仿宋_GBK"/>
          <w:caps w:val="0"/>
          <w:smallCaps w:val="0"/>
          <w:color w:val="auto"/>
          <w:kern w:val="2"/>
          <w:sz w:val="24"/>
          <w:szCs w:val="24"/>
          <w:highlight w:val="none"/>
          <w:lang w:val="en-US" w:eastAsia="zh-CN" w:bidi="ar-SA"/>
        </w:rPr>
        <w:t>（</w:t>
      </w:r>
      <w:r>
        <w:rPr>
          <w:rFonts w:hint="eastAsia" w:ascii="Times New Roman" w:hAnsi="Times New Roman" w:eastAsia="方正仿宋_GBK" w:cs="方正仿宋_GBK"/>
          <w:caps w:val="0"/>
          <w:smallCaps w:val="0"/>
          <w:color w:val="auto"/>
          <w:kern w:val="2"/>
          <w:sz w:val="24"/>
          <w:szCs w:val="24"/>
          <w:highlight w:val="none"/>
          <w:lang w:val="en-US" w:eastAsia="zh-CN" w:bidi="ar-SA"/>
        </w:rPr>
        <w:t>2</w:t>
      </w:r>
      <w:r>
        <w:rPr>
          <w:rFonts w:hint="eastAsia" w:ascii="方正仿宋_GBK" w:hAnsi="方正仿宋_GBK" w:eastAsia="方正仿宋_GBK" w:cs="方正仿宋_GBK"/>
          <w:caps w:val="0"/>
          <w:smallCaps w:val="0"/>
          <w:color w:val="auto"/>
          <w:kern w:val="2"/>
          <w:sz w:val="24"/>
          <w:szCs w:val="24"/>
          <w:highlight w:val="none"/>
          <w:lang w:val="en-US" w:eastAsia="zh-CN" w:bidi="ar-SA"/>
        </w:rPr>
        <w:t>）超过双方均认可的设计标准的气候现象；</w:t>
      </w:r>
    </w:p>
    <w:p w14:paraId="07FC21B6">
      <w:pPr>
        <w:keepNext w:val="0"/>
        <w:keepLines w:val="0"/>
        <w:pageBreakBefore w:val="0"/>
        <w:widowControl w:val="0"/>
        <w:numPr>
          <w:ilvl w:val="0"/>
          <w:numId w:val="0"/>
        </w:numPr>
        <w:tabs>
          <w:tab w:val="left" w:pos="993"/>
          <w:tab w:val="left" w:pos="1276"/>
        </w:tabs>
        <w:kinsoku/>
        <w:wordWrap/>
        <w:overflowPunct/>
        <w:topLinePunct w:val="0"/>
        <w:bidi w:val="0"/>
        <w:spacing w:before="0" w:beforeLines="0" w:after="0" w:afterLines="0" w:line="360" w:lineRule="auto"/>
        <w:ind w:left="0" w:leftChars="0" w:firstLine="480" w:firstLineChars="200"/>
        <w:jc w:val="both"/>
        <w:rPr>
          <w:rFonts w:hint="eastAsia" w:ascii="方正仿宋_GBK" w:hAnsi="方正仿宋_GBK" w:eastAsia="方正仿宋_GBK" w:cs="方正仿宋_GBK"/>
          <w:caps w:val="0"/>
          <w:smallCaps w:val="0"/>
          <w:color w:val="auto"/>
          <w:kern w:val="2"/>
          <w:sz w:val="24"/>
          <w:szCs w:val="24"/>
          <w:highlight w:val="none"/>
          <w:lang w:val="en-US" w:eastAsia="zh-CN" w:bidi="ar-SA"/>
        </w:rPr>
      </w:pPr>
      <w:r>
        <w:rPr>
          <w:rFonts w:hint="eastAsia" w:ascii="方正仿宋_GBK" w:hAnsi="方正仿宋_GBK" w:eastAsia="方正仿宋_GBK" w:cs="方正仿宋_GBK"/>
          <w:caps w:val="0"/>
          <w:smallCaps w:val="0"/>
          <w:color w:val="auto"/>
          <w:kern w:val="2"/>
          <w:sz w:val="24"/>
          <w:szCs w:val="24"/>
          <w:highlight w:val="none"/>
          <w:lang w:val="en-US" w:eastAsia="zh-CN" w:bidi="ar-SA"/>
        </w:rPr>
        <w:t>（</w:t>
      </w:r>
      <w:r>
        <w:rPr>
          <w:rFonts w:hint="eastAsia" w:ascii="Times New Roman" w:hAnsi="Times New Roman" w:eastAsia="方正仿宋_GBK" w:cs="方正仿宋_GBK"/>
          <w:caps w:val="0"/>
          <w:smallCaps w:val="0"/>
          <w:color w:val="auto"/>
          <w:kern w:val="2"/>
          <w:sz w:val="24"/>
          <w:szCs w:val="24"/>
          <w:highlight w:val="none"/>
          <w:lang w:val="en-US" w:eastAsia="zh-CN" w:bidi="ar-SA"/>
        </w:rPr>
        <w:t>3</w:t>
      </w:r>
      <w:r>
        <w:rPr>
          <w:rFonts w:hint="eastAsia" w:ascii="方正仿宋_GBK" w:hAnsi="方正仿宋_GBK" w:eastAsia="方正仿宋_GBK" w:cs="方正仿宋_GBK"/>
          <w:caps w:val="0"/>
          <w:smallCaps w:val="0"/>
          <w:color w:val="auto"/>
          <w:kern w:val="2"/>
          <w:sz w:val="24"/>
          <w:szCs w:val="24"/>
          <w:highlight w:val="none"/>
          <w:lang w:val="en-US" w:eastAsia="zh-CN" w:bidi="ar-SA"/>
        </w:rPr>
        <w:t>）传染病或因执行传染病防治法律导致的管控行为；</w:t>
      </w:r>
    </w:p>
    <w:p w14:paraId="17E0921B">
      <w:pPr>
        <w:keepNext w:val="0"/>
        <w:keepLines w:val="0"/>
        <w:pageBreakBefore w:val="0"/>
        <w:widowControl w:val="0"/>
        <w:numPr>
          <w:ilvl w:val="0"/>
          <w:numId w:val="0"/>
        </w:numPr>
        <w:tabs>
          <w:tab w:val="left" w:pos="993"/>
          <w:tab w:val="left" w:pos="1276"/>
        </w:tabs>
        <w:kinsoku/>
        <w:wordWrap/>
        <w:overflowPunct/>
        <w:topLinePunct w:val="0"/>
        <w:bidi w:val="0"/>
        <w:spacing w:before="0" w:beforeLines="0" w:after="0" w:afterLines="0" w:line="360" w:lineRule="auto"/>
        <w:ind w:left="0" w:leftChars="0" w:firstLine="480" w:firstLineChars="200"/>
        <w:jc w:val="both"/>
        <w:rPr>
          <w:rFonts w:hint="eastAsia" w:ascii="方正仿宋_GBK" w:hAnsi="方正仿宋_GBK" w:eastAsia="方正仿宋_GBK" w:cs="方正仿宋_GBK"/>
          <w:caps w:val="0"/>
          <w:smallCaps w:val="0"/>
          <w:color w:val="auto"/>
          <w:kern w:val="2"/>
          <w:sz w:val="24"/>
          <w:szCs w:val="24"/>
          <w:highlight w:val="none"/>
          <w:lang w:val="en-US" w:eastAsia="zh-CN" w:bidi="ar-SA"/>
        </w:rPr>
      </w:pPr>
      <w:r>
        <w:rPr>
          <w:rFonts w:hint="eastAsia" w:ascii="方正仿宋_GBK" w:hAnsi="方正仿宋_GBK" w:eastAsia="方正仿宋_GBK" w:cs="方正仿宋_GBK"/>
          <w:caps w:val="0"/>
          <w:smallCaps w:val="0"/>
          <w:color w:val="auto"/>
          <w:kern w:val="2"/>
          <w:sz w:val="24"/>
          <w:szCs w:val="24"/>
          <w:highlight w:val="none"/>
          <w:lang w:val="en-US" w:eastAsia="zh-CN" w:bidi="ar-SA"/>
        </w:rPr>
        <w:t>（</w:t>
      </w:r>
      <w:r>
        <w:rPr>
          <w:rFonts w:hint="eastAsia" w:ascii="Times New Roman" w:hAnsi="Times New Roman" w:eastAsia="方正仿宋_GBK" w:cs="方正仿宋_GBK"/>
          <w:caps w:val="0"/>
          <w:smallCaps w:val="0"/>
          <w:color w:val="auto"/>
          <w:kern w:val="2"/>
          <w:sz w:val="24"/>
          <w:szCs w:val="24"/>
          <w:highlight w:val="none"/>
          <w:lang w:val="en-US" w:eastAsia="zh-CN" w:bidi="ar-SA"/>
        </w:rPr>
        <w:t>4</w:t>
      </w:r>
      <w:r>
        <w:rPr>
          <w:rFonts w:hint="eastAsia" w:ascii="方正仿宋_GBK" w:hAnsi="方正仿宋_GBK" w:eastAsia="方正仿宋_GBK" w:cs="方正仿宋_GBK"/>
          <w:caps w:val="0"/>
          <w:smallCaps w:val="0"/>
          <w:color w:val="auto"/>
          <w:kern w:val="2"/>
          <w:sz w:val="24"/>
          <w:szCs w:val="24"/>
          <w:highlight w:val="none"/>
          <w:lang w:val="en-US" w:eastAsia="zh-CN" w:bidi="ar-SA"/>
        </w:rPr>
        <w:t>）战争、制裁、内战、武装冲突或恐怖主义的袭击；</w:t>
      </w:r>
    </w:p>
    <w:p w14:paraId="30F7F61E">
      <w:pPr>
        <w:keepNext w:val="0"/>
        <w:keepLines w:val="0"/>
        <w:pageBreakBefore w:val="0"/>
        <w:widowControl w:val="0"/>
        <w:numPr>
          <w:ilvl w:val="0"/>
          <w:numId w:val="0"/>
        </w:numPr>
        <w:tabs>
          <w:tab w:val="left" w:pos="993"/>
          <w:tab w:val="left" w:pos="1276"/>
        </w:tabs>
        <w:kinsoku/>
        <w:wordWrap/>
        <w:overflowPunct/>
        <w:topLinePunct w:val="0"/>
        <w:bidi w:val="0"/>
        <w:spacing w:before="0" w:beforeLines="0" w:after="0" w:afterLines="0" w:line="360" w:lineRule="auto"/>
        <w:ind w:left="0" w:leftChars="0" w:firstLine="480" w:firstLineChars="200"/>
        <w:jc w:val="both"/>
        <w:rPr>
          <w:rFonts w:hint="eastAsia" w:ascii="方正仿宋_GBK" w:hAnsi="方正仿宋_GBK" w:eastAsia="方正仿宋_GBK" w:cs="方正仿宋_GBK"/>
          <w:caps w:val="0"/>
          <w:smallCaps w:val="0"/>
          <w:color w:val="auto"/>
          <w:kern w:val="2"/>
          <w:sz w:val="24"/>
          <w:szCs w:val="24"/>
          <w:highlight w:val="none"/>
          <w:lang w:val="en-US" w:eastAsia="zh-CN" w:bidi="ar-SA"/>
        </w:rPr>
      </w:pPr>
      <w:r>
        <w:rPr>
          <w:rFonts w:hint="eastAsia" w:ascii="方正仿宋_GBK" w:hAnsi="方正仿宋_GBK" w:eastAsia="方正仿宋_GBK" w:cs="方正仿宋_GBK"/>
          <w:caps w:val="0"/>
          <w:smallCaps w:val="0"/>
          <w:color w:val="auto"/>
          <w:kern w:val="2"/>
          <w:sz w:val="24"/>
          <w:szCs w:val="24"/>
          <w:highlight w:val="none"/>
          <w:lang w:val="en-US" w:eastAsia="zh-CN" w:bidi="ar-SA"/>
        </w:rPr>
        <w:t>（</w:t>
      </w:r>
      <w:r>
        <w:rPr>
          <w:rFonts w:hint="eastAsia" w:ascii="Times New Roman" w:hAnsi="Times New Roman" w:eastAsia="方正仿宋_GBK" w:cs="方正仿宋_GBK"/>
          <w:caps w:val="0"/>
          <w:smallCaps w:val="0"/>
          <w:color w:val="auto"/>
          <w:kern w:val="2"/>
          <w:sz w:val="24"/>
          <w:szCs w:val="24"/>
          <w:highlight w:val="none"/>
          <w:lang w:val="en-US" w:eastAsia="zh-CN" w:bidi="ar-SA"/>
        </w:rPr>
        <w:t>5</w:t>
      </w:r>
      <w:r>
        <w:rPr>
          <w:rFonts w:hint="eastAsia" w:ascii="方正仿宋_GBK" w:hAnsi="方正仿宋_GBK" w:eastAsia="方正仿宋_GBK" w:cs="方正仿宋_GBK"/>
          <w:caps w:val="0"/>
          <w:smallCaps w:val="0"/>
          <w:color w:val="auto"/>
          <w:kern w:val="2"/>
          <w:sz w:val="24"/>
          <w:szCs w:val="24"/>
          <w:highlight w:val="none"/>
          <w:lang w:val="en-US" w:eastAsia="zh-CN" w:bidi="ar-SA"/>
        </w:rPr>
        <w:t>）项目现场发现文物而根据文物保护法律全部或部分中止或终止建设；或</w:t>
      </w:r>
    </w:p>
    <w:p w14:paraId="1EAC1B62">
      <w:pPr>
        <w:keepNext w:val="0"/>
        <w:keepLines w:val="0"/>
        <w:pageBreakBefore w:val="0"/>
        <w:widowControl w:val="0"/>
        <w:numPr>
          <w:ilvl w:val="0"/>
          <w:numId w:val="0"/>
        </w:numPr>
        <w:tabs>
          <w:tab w:val="left" w:pos="993"/>
          <w:tab w:val="left" w:pos="1276"/>
        </w:tabs>
        <w:kinsoku/>
        <w:wordWrap/>
        <w:overflowPunct/>
        <w:topLinePunct w:val="0"/>
        <w:bidi w:val="0"/>
        <w:spacing w:before="0" w:beforeLines="0" w:after="0" w:afterLines="0" w:line="360" w:lineRule="auto"/>
        <w:ind w:left="0" w:leftChars="0" w:firstLine="480" w:firstLineChars="200"/>
        <w:jc w:val="both"/>
        <w:rPr>
          <w:rFonts w:hint="eastAsia" w:ascii="方正仿宋_GBK" w:hAnsi="方正仿宋_GBK" w:eastAsia="方正仿宋_GBK" w:cs="方正仿宋_GBK"/>
          <w:color w:val="auto"/>
          <w:kern w:val="2"/>
          <w:sz w:val="20"/>
          <w:szCs w:val="20"/>
          <w:highlight w:val="none"/>
          <w:lang w:val="en-US" w:eastAsia="zh-CN" w:bidi="ar-SA"/>
        </w:rPr>
      </w:pPr>
      <w:r>
        <w:rPr>
          <w:rFonts w:hint="eastAsia" w:ascii="方正仿宋_GBK" w:hAnsi="方正仿宋_GBK" w:eastAsia="方正仿宋_GBK" w:cs="方正仿宋_GBK"/>
          <w:caps w:val="0"/>
          <w:smallCaps w:val="0"/>
          <w:color w:val="auto"/>
          <w:kern w:val="2"/>
          <w:sz w:val="24"/>
          <w:szCs w:val="24"/>
          <w:highlight w:val="none"/>
          <w:lang w:val="en-US" w:eastAsia="zh-CN" w:bidi="ar-SA"/>
        </w:rPr>
        <w:t>（</w:t>
      </w:r>
      <w:r>
        <w:rPr>
          <w:rFonts w:hint="eastAsia" w:ascii="Times New Roman" w:hAnsi="Times New Roman" w:eastAsia="方正仿宋_GBK" w:cs="方正仿宋_GBK"/>
          <w:caps w:val="0"/>
          <w:smallCaps w:val="0"/>
          <w:color w:val="auto"/>
          <w:kern w:val="2"/>
          <w:sz w:val="24"/>
          <w:szCs w:val="24"/>
          <w:highlight w:val="none"/>
          <w:lang w:val="en-US" w:eastAsia="zh-CN" w:bidi="ar-SA"/>
        </w:rPr>
        <w:t>6</w:t>
      </w:r>
      <w:r>
        <w:rPr>
          <w:rFonts w:hint="eastAsia" w:ascii="方正仿宋_GBK" w:hAnsi="方正仿宋_GBK" w:eastAsia="方正仿宋_GBK" w:cs="方正仿宋_GBK"/>
          <w:caps w:val="0"/>
          <w:smallCaps w:val="0"/>
          <w:color w:val="auto"/>
          <w:kern w:val="2"/>
          <w:sz w:val="24"/>
          <w:szCs w:val="24"/>
          <w:highlight w:val="none"/>
          <w:lang w:val="en-US" w:eastAsia="zh-CN" w:bidi="ar-SA"/>
        </w:rPr>
        <w:t>）核污染、化学污染或生化污染。</w:t>
      </w:r>
    </w:p>
    <w:p w14:paraId="5A4C67CB">
      <w:pPr>
        <w:keepNext w:val="0"/>
        <w:widowControl/>
        <w:numPr>
          <w:ilvl w:val="1"/>
          <w:numId w:val="3"/>
        </w:numPr>
        <w:tabs>
          <w:tab w:val="left" w:pos="993"/>
          <w:tab w:val="clear" w:pos="908"/>
        </w:tabs>
        <w:autoSpaceDE w:val="0"/>
        <w:autoSpaceDN w:val="0"/>
        <w:adjustRightInd w:val="0"/>
        <w:spacing w:before="156" w:beforeLines="50" w:after="0" w:line="360" w:lineRule="auto"/>
        <w:ind w:left="0" w:firstLine="425"/>
        <w:jc w:val="both"/>
        <w:outlineLvl w:val="1"/>
        <w:rPr>
          <w:rFonts w:hint="eastAsia" w:ascii="方正仿宋_GBK" w:hAnsi="方正仿宋_GBK" w:eastAsia="方正仿宋_GBK" w:cs="方正仿宋_GBK"/>
          <w:b w:val="0"/>
          <w:color w:val="auto"/>
          <w:kern w:val="0"/>
          <w:sz w:val="24"/>
          <w:szCs w:val="20"/>
          <w:highlight w:val="none"/>
          <w:lang w:val="en-US" w:eastAsia="zh-CN" w:bidi="ar-SA"/>
        </w:rPr>
      </w:pPr>
      <w:r>
        <w:rPr>
          <w:rFonts w:hint="eastAsia" w:ascii="方正仿宋_GBK" w:hAnsi="方正仿宋_GBK" w:eastAsia="方正仿宋_GBK" w:cs="方正仿宋_GBK"/>
          <w:b w:val="0"/>
          <w:color w:val="auto"/>
          <w:kern w:val="2"/>
          <w:sz w:val="24"/>
          <w:szCs w:val="22"/>
          <w:highlight w:val="none"/>
          <w:lang w:val="en-US" w:eastAsia="zh-CN" w:bidi="ar-SA"/>
        </w:rPr>
        <w:t>因不可抗力致使一方不能履行本协议的，根据不可抗力的影响可全部或部分免除该方在本协议项下的相应义务，但该方应及时采取补救措施并通知对方，并在</w:t>
      </w:r>
      <w:r>
        <w:rPr>
          <w:rFonts w:hint="eastAsia" w:ascii="Times New Roman" w:hAnsi="Times New Roman" w:eastAsia="方正仿宋_GBK" w:cs="方正仿宋_GBK"/>
          <w:b w:val="0"/>
          <w:color w:val="auto"/>
          <w:kern w:val="2"/>
          <w:sz w:val="24"/>
          <w:szCs w:val="22"/>
          <w:highlight w:val="none"/>
          <w:lang w:val="en-US" w:eastAsia="zh-CN" w:bidi="ar-SA"/>
        </w:rPr>
        <w:t>30</w:t>
      </w:r>
      <w:r>
        <w:rPr>
          <w:rFonts w:hint="eastAsia" w:ascii="方正仿宋_GBK" w:hAnsi="方正仿宋_GBK" w:eastAsia="方正仿宋_GBK" w:cs="方正仿宋_GBK"/>
          <w:b w:val="0"/>
          <w:color w:val="auto"/>
          <w:kern w:val="2"/>
          <w:sz w:val="24"/>
          <w:szCs w:val="22"/>
          <w:highlight w:val="none"/>
          <w:lang w:val="en-US" w:eastAsia="zh-CN" w:bidi="ar-SA"/>
        </w:rPr>
        <w:t>日内向对方提供证明。一方未及时采取补救措施的，应就扩大的损失负赔偿责任</w:t>
      </w:r>
      <w:r>
        <w:rPr>
          <w:rFonts w:hint="eastAsia" w:ascii="方正仿宋_GBK" w:hAnsi="方正仿宋_GBK" w:eastAsia="方正仿宋_GBK" w:cs="方正仿宋_GBK"/>
          <w:b w:val="0"/>
          <w:color w:val="auto"/>
          <w:kern w:val="0"/>
          <w:sz w:val="24"/>
          <w:szCs w:val="20"/>
          <w:highlight w:val="none"/>
          <w:lang w:val="en-US" w:eastAsia="zh-CN" w:bidi="ar-SA"/>
        </w:rPr>
        <w:t>。</w:t>
      </w:r>
      <w:bookmarkEnd w:id="91"/>
    </w:p>
    <w:p w14:paraId="06882C4B">
      <w:pPr>
        <w:keepNext w:val="0"/>
        <w:widowControl/>
        <w:numPr>
          <w:ilvl w:val="1"/>
          <w:numId w:val="3"/>
        </w:numPr>
        <w:tabs>
          <w:tab w:val="left" w:pos="993"/>
          <w:tab w:val="clear" w:pos="908"/>
        </w:tabs>
        <w:autoSpaceDE w:val="0"/>
        <w:autoSpaceDN w:val="0"/>
        <w:adjustRightInd w:val="0"/>
        <w:spacing w:before="156" w:beforeLines="50" w:after="0" w:line="360" w:lineRule="auto"/>
        <w:ind w:left="0" w:firstLine="425"/>
        <w:jc w:val="both"/>
        <w:outlineLvl w:val="1"/>
        <w:rPr>
          <w:rFonts w:hint="eastAsia" w:ascii="方正仿宋_GBK" w:hAnsi="方正仿宋_GBK" w:eastAsia="方正仿宋_GBK" w:cs="方正仿宋_GBK"/>
          <w:b w:val="0"/>
          <w:color w:val="auto"/>
          <w:kern w:val="0"/>
          <w:sz w:val="24"/>
          <w:szCs w:val="20"/>
          <w:highlight w:val="none"/>
          <w:lang w:val="en-US" w:eastAsia="zh-CN" w:bidi="ar-SA"/>
        </w:rPr>
      </w:pPr>
      <w:bookmarkStart w:id="92" w:name="_Toc475566625"/>
      <w:r>
        <w:rPr>
          <w:rFonts w:hint="eastAsia" w:ascii="方正仿宋_GBK" w:hAnsi="方正仿宋_GBK" w:eastAsia="方正仿宋_GBK" w:cs="方正仿宋_GBK"/>
          <w:b w:val="0"/>
          <w:color w:val="auto"/>
          <w:kern w:val="2"/>
          <w:sz w:val="24"/>
          <w:szCs w:val="22"/>
          <w:highlight w:val="none"/>
          <w:lang w:val="en-US" w:eastAsia="zh-CN" w:bidi="ar-SA"/>
        </w:rPr>
        <w:t>因不可抗力致使本协议无法按期履行或不能履行的，在不可抗力事件持续期间，受影响方无需为其中止履约或履约延误承担违约责任</w:t>
      </w:r>
      <w:r>
        <w:rPr>
          <w:rFonts w:hint="eastAsia" w:ascii="方正仿宋_GBK" w:hAnsi="方正仿宋_GBK" w:eastAsia="方正仿宋_GBK" w:cs="方正仿宋_GBK"/>
          <w:b w:val="0"/>
          <w:color w:val="auto"/>
          <w:kern w:val="0"/>
          <w:sz w:val="24"/>
          <w:szCs w:val="20"/>
          <w:highlight w:val="none"/>
          <w:lang w:val="en-US" w:eastAsia="zh-CN" w:bidi="ar-SA"/>
        </w:rPr>
        <w:t>。</w:t>
      </w:r>
      <w:bookmarkEnd w:id="92"/>
    </w:p>
    <w:p w14:paraId="65906C43">
      <w:pPr>
        <w:keepNext/>
        <w:widowControl/>
        <w:numPr>
          <w:ilvl w:val="0"/>
          <w:numId w:val="3"/>
        </w:numPr>
        <w:tabs>
          <w:tab w:val="left" w:pos="1134"/>
          <w:tab w:val="clear" w:pos="4051"/>
        </w:tabs>
        <w:autoSpaceDE w:val="0"/>
        <w:autoSpaceDN w:val="0"/>
        <w:adjustRightInd w:val="0"/>
        <w:spacing w:before="312" w:beforeLines="100" w:after="100" w:afterAutospacing="1" w:line="360" w:lineRule="auto"/>
        <w:ind w:right="28" w:firstLine="0"/>
        <w:jc w:val="left"/>
        <w:outlineLvl w:val="0"/>
        <w:rPr>
          <w:rFonts w:hint="eastAsia" w:ascii="方正仿宋_GBK" w:hAnsi="方正仿宋_GBK" w:eastAsia="方正仿宋_GBK" w:cs="方正仿宋_GBK"/>
          <w:b/>
          <w:color w:val="auto"/>
          <w:kern w:val="0"/>
          <w:sz w:val="28"/>
          <w:szCs w:val="20"/>
          <w:highlight w:val="none"/>
          <w:lang w:val="en-US" w:eastAsia="zh-CN" w:bidi="ar-SA"/>
        </w:rPr>
      </w:pPr>
      <w:bookmarkStart w:id="93" w:name="_Toc21928"/>
      <w:r>
        <w:rPr>
          <w:rFonts w:hint="eastAsia" w:ascii="方正仿宋_GBK" w:hAnsi="方正仿宋_GBK" w:eastAsia="方正仿宋_GBK" w:cs="方正仿宋_GBK"/>
          <w:b/>
          <w:color w:val="auto"/>
          <w:kern w:val="0"/>
          <w:sz w:val="28"/>
          <w:szCs w:val="20"/>
          <w:highlight w:val="none"/>
          <w:lang w:val="en-US" w:eastAsia="zh-CN" w:bidi="ar-SA"/>
        </w:rPr>
        <w:t>争议解决</w:t>
      </w:r>
      <w:bookmarkEnd w:id="93"/>
    </w:p>
    <w:p w14:paraId="44BADE0B">
      <w:pPr>
        <w:keepNext w:val="0"/>
        <w:keepLines w:val="0"/>
        <w:pageBreakBefore w:val="0"/>
        <w:widowControl w:val="0"/>
        <w:kinsoku/>
        <w:wordWrap/>
        <w:overflowPunct/>
        <w:topLinePunct w:val="0"/>
        <w:bidi w:val="0"/>
        <w:spacing w:before="0" w:beforeLines="0" w:beforeAutospacing="0" w:after="0" w:afterLines="0" w:afterAutospacing="0" w:line="360" w:lineRule="auto"/>
        <w:ind w:firstLine="560"/>
        <w:rPr>
          <w:rFonts w:hint="eastAsia" w:ascii="方正仿宋_GBK" w:hAnsi="方正仿宋_GBK" w:eastAsia="方正仿宋_GBK" w:cs="方正仿宋_GBK"/>
          <w:caps w:val="0"/>
          <w:smallCaps w:val="0"/>
          <w:color w:val="auto"/>
          <w:kern w:val="2"/>
          <w:sz w:val="24"/>
          <w:szCs w:val="24"/>
          <w:highlight w:val="none"/>
        </w:rPr>
      </w:pPr>
      <w:r>
        <w:rPr>
          <w:rFonts w:hint="eastAsia" w:ascii="方正仿宋_GBK" w:hAnsi="方正仿宋_GBK" w:eastAsia="方正仿宋_GBK" w:cs="方正仿宋_GBK"/>
          <w:color w:val="auto"/>
          <w:kern w:val="2"/>
          <w:sz w:val="24"/>
          <w:highlight w:val="none"/>
        </w:rPr>
        <w:t>本协议在履行过程中发生的争议，双方应本着友好、互利的原则协商解决或由有关部门调解解决</w:t>
      </w:r>
      <w:r>
        <w:rPr>
          <w:rFonts w:hint="eastAsia" w:ascii="方正仿宋_GBK" w:hAnsi="方正仿宋_GBK" w:eastAsia="方正仿宋_GBK" w:cs="方正仿宋_GBK"/>
          <w:color w:val="auto"/>
          <w:kern w:val="2"/>
          <w:sz w:val="24"/>
          <w:highlight w:val="none"/>
          <w:lang w:eastAsia="zh-CN"/>
        </w:rPr>
        <w:t>；</w:t>
      </w:r>
      <w:r>
        <w:rPr>
          <w:rFonts w:hint="eastAsia" w:ascii="方正仿宋_GBK" w:hAnsi="方正仿宋_GBK" w:eastAsia="方正仿宋_GBK" w:cs="方正仿宋_GBK"/>
          <w:color w:val="auto"/>
          <w:kern w:val="2"/>
          <w:sz w:val="24"/>
          <w:highlight w:val="none"/>
        </w:rPr>
        <w:t>协商或调解不成的，</w:t>
      </w:r>
      <w:r>
        <w:rPr>
          <w:rFonts w:hint="eastAsia" w:ascii="方正仿宋_GBK" w:hAnsi="方正仿宋_GBK" w:eastAsia="方正仿宋_GBK" w:cs="方正仿宋_GBK"/>
          <w:caps w:val="0"/>
          <w:smallCaps w:val="0"/>
          <w:color w:val="auto"/>
          <w:kern w:val="0"/>
          <w:sz w:val="24"/>
          <w:szCs w:val="24"/>
          <w:highlight w:val="none"/>
        </w:rPr>
        <w:t>本协议各方可依法将争议提交有管辖权的</w:t>
      </w:r>
      <w:r>
        <w:rPr>
          <w:rFonts w:hint="eastAsia" w:ascii="方正仿宋_GBK" w:hAnsi="方正仿宋_GBK" w:eastAsia="方正仿宋_GBK" w:cs="方正仿宋_GBK"/>
          <w:caps w:val="0"/>
          <w:smallCaps w:val="0"/>
          <w:color w:val="auto"/>
          <w:kern w:val="0"/>
          <w:sz w:val="24"/>
          <w:szCs w:val="24"/>
          <w:highlight w:val="none"/>
          <w:lang w:val="en-US" w:eastAsia="zh-CN"/>
        </w:rPr>
        <w:t>项目所在地</w:t>
      </w:r>
      <w:r>
        <w:rPr>
          <w:rFonts w:hint="eastAsia" w:ascii="方正仿宋_GBK" w:hAnsi="方正仿宋_GBK" w:eastAsia="方正仿宋_GBK" w:cs="方正仿宋_GBK"/>
          <w:caps w:val="0"/>
          <w:smallCaps w:val="0"/>
          <w:color w:val="auto"/>
          <w:kern w:val="0"/>
          <w:sz w:val="24"/>
          <w:szCs w:val="24"/>
          <w:highlight w:val="none"/>
        </w:rPr>
        <w:t>人民法院进行诉讼。</w:t>
      </w:r>
    </w:p>
    <w:p w14:paraId="794A89CE">
      <w:pPr>
        <w:keepNext/>
        <w:widowControl/>
        <w:numPr>
          <w:ilvl w:val="0"/>
          <w:numId w:val="3"/>
        </w:numPr>
        <w:tabs>
          <w:tab w:val="left" w:pos="1134"/>
          <w:tab w:val="clear" w:pos="4051"/>
        </w:tabs>
        <w:autoSpaceDE w:val="0"/>
        <w:autoSpaceDN w:val="0"/>
        <w:adjustRightInd w:val="0"/>
        <w:spacing w:before="312" w:beforeLines="100" w:after="100" w:afterAutospacing="1" w:line="360" w:lineRule="auto"/>
        <w:ind w:right="28" w:firstLine="0"/>
        <w:jc w:val="left"/>
        <w:outlineLvl w:val="0"/>
        <w:rPr>
          <w:rFonts w:hint="eastAsia" w:ascii="方正仿宋_GBK" w:hAnsi="方正仿宋_GBK" w:eastAsia="方正仿宋_GBK" w:cs="方正仿宋_GBK"/>
          <w:b/>
          <w:color w:val="auto"/>
          <w:kern w:val="0"/>
          <w:sz w:val="28"/>
          <w:szCs w:val="20"/>
          <w:highlight w:val="none"/>
          <w:lang w:val="en-US" w:eastAsia="zh-CN" w:bidi="ar-SA"/>
        </w:rPr>
      </w:pPr>
      <w:bookmarkStart w:id="94" w:name="_Toc7678"/>
      <w:r>
        <w:rPr>
          <w:rFonts w:hint="eastAsia" w:ascii="方正仿宋_GBK" w:hAnsi="方正仿宋_GBK" w:eastAsia="方正仿宋_GBK" w:cs="方正仿宋_GBK"/>
          <w:b/>
          <w:color w:val="auto"/>
          <w:kern w:val="0"/>
          <w:sz w:val="28"/>
          <w:szCs w:val="20"/>
          <w:highlight w:val="none"/>
          <w:lang w:val="en-US" w:eastAsia="zh-CN" w:bidi="ar-SA"/>
        </w:rPr>
        <w:t>本协议的生效及终止</w:t>
      </w:r>
      <w:bookmarkEnd w:id="94"/>
      <w:bookmarkStart w:id="95" w:name="_Toc475566628"/>
    </w:p>
    <w:p w14:paraId="77D4516D">
      <w:pPr>
        <w:keepNext w:val="0"/>
        <w:widowControl/>
        <w:numPr>
          <w:ilvl w:val="1"/>
          <w:numId w:val="3"/>
        </w:numPr>
        <w:tabs>
          <w:tab w:val="left" w:pos="993"/>
          <w:tab w:val="clear" w:pos="908"/>
        </w:tabs>
        <w:autoSpaceDE w:val="0"/>
        <w:autoSpaceDN w:val="0"/>
        <w:adjustRightInd w:val="0"/>
        <w:spacing w:before="156" w:beforeLines="50" w:after="0" w:line="360" w:lineRule="auto"/>
        <w:ind w:left="0" w:firstLine="425"/>
        <w:jc w:val="both"/>
        <w:outlineLvl w:val="1"/>
        <w:rPr>
          <w:rFonts w:hint="eastAsia" w:ascii="方正仿宋_GBK" w:hAnsi="方正仿宋_GBK" w:eastAsia="方正仿宋_GBK" w:cs="方正仿宋_GBK"/>
          <w:b w:val="0"/>
          <w:color w:val="auto"/>
          <w:kern w:val="0"/>
          <w:sz w:val="24"/>
          <w:szCs w:val="20"/>
          <w:highlight w:val="none"/>
          <w:lang w:val="en-US" w:eastAsia="zh-CN" w:bidi="ar-SA"/>
        </w:rPr>
      </w:pPr>
      <w:r>
        <w:rPr>
          <w:rFonts w:hint="eastAsia" w:ascii="方正仿宋_GBK" w:hAnsi="方正仿宋_GBK" w:eastAsia="方正仿宋_GBK" w:cs="方正仿宋_GBK"/>
          <w:b w:val="0"/>
          <w:color w:val="auto"/>
          <w:kern w:val="0"/>
          <w:sz w:val="24"/>
          <w:szCs w:val="20"/>
          <w:highlight w:val="none"/>
          <w:lang w:val="en-US" w:eastAsia="zh-CN" w:bidi="ar-SA"/>
        </w:rPr>
        <w:t>本协议经甲、乙双方法定代表人或其授权代表签字，并加盖公章之日起生效。</w:t>
      </w:r>
      <w:bookmarkEnd w:id="95"/>
    </w:p>
    <w:p w14:paraId="294D944A">
      <w:pPr>
        <w:keepNext w:val="0"/>
        <w:widowControl/>
        <w:numPr>
          <w:ilvl w:val="1"/>
          <w:numId w:val="3"/>
        </w:numPr>
        <w:tabs>
          <w:tab w:val="left" w:pos="993"/>
          <w:tab w:val="clear" w:pos="908"/>
        </w:tabs>
        <w:autoSpaceDE w:val="0"/>
        <w:autoSpaceDN w:val="0"/>
        <w:adjustRightInd w:val="0"/>
        <w:spacing w:before="156" w:beforeLines="50" w:after="0" w:line="360" w:lineRule="auto"/>
        <w:ind w:left="0" w:firstLine="425"/>
        <w:jc w:val="both"/>
        <w:outlineLvl w:val="1"/>
        <w:rPr>
          <w:rFonts w:hint="eastAsia" w:ascii="方正仿宋_GBK" w:hAnsi="方正仿宋_GBK" w:eastAsia="方正仿宋_GBK" w:cs="方正仿宋_GBK"/>
          <w:b w:val="0"/>
          <w:color w:val="auto"/>
          <w:kern w:val="0"/>
          <w:sz w:val="24"/>
          <w:szCs w:val="20"/>
          <w:highlight w:val="none"/>
          <w:lang w:val="en-US" w:eastAsia="zh-CN" w:bidi="ar-SA"/>
        </w:rPr>
      </w:pPr>
      <w:bookmarkStart w:id="96" w:name="_Toc475566629"/>
      <w:r>
        <w:rPr>
          <w:rFonts w:hint="eastAsia" w:ascii="方正仿宋_GBK" w:hAnsi="方正仿宋_GBK" w:eastAsia="方正仿宋_GBK" w:cs="方正仿宋_GBK"/>
          <w:b w:val="0"/>
          <w:color w:val="auto"/>
          <w:kern w:val="0"/>
          <w:sz w:val="24"/>
          <w:szCs w:val="20"/>
          <w:highlight w:val="none"/>
          <w:lang w:val="en-US" w:eastAsia="zh-CN" w:bidi="ar-SA"/>
        </w:rPr>
        <w:t>除本协议另有约定外，本协议应在项目特许经营期届满后终止。</w:t>
      </w:r>
      <w:bookmarkEnd w:id="96"/>
    </w:p>
    <w:p w14:paraId="75184D46">
      <w:pPr>
        <w:keepNext w:val="0"/>
        <w:widowControl/>
        <w:numPr>
          <w:ilvl w:val="1"/>
          <w:numId w:val="3"/>
        </w:numPr>
        <w:tabs>
          <w:tab w:val="left" w:pos="993"/>
          <w:tab w:val="clear" w:pos="908"/>
        </w:tabs>
        <w:autoSpaceDE w:val="0"/>
        <w:autoSpaceDN w:val="0"/>
        <w:adjustRightInd w:val="0"/>
        <w:spacing w:before="156" w:beforeLines="50" w:after="0" w:line="360" w:lineRule="auto"/>
        <w:ind w:left="0" w:firstLine="425"/>
        <w:jc w:val="both"/>
        <w:outlineLvl w:val="1"/>
        <w:rPr>
          <w:rFonts w:hint="eastAsia" w:ascii="方正仿宋_GBK" w:hAnsi="方正仿宋_GBK" w:eastAsia="方正仿宋_GBK" w:cs="方正仿宋_GBK"/>
          <w:b w:val="0"/>
          <w:color w:val="auto"/>
          <w:kern w:val="0"/>
          <w:sz w:val="24"/>
          <w:szCs w:val="20"/>
          <w:highlight w:val="none"/>
          <w:lang w:val="en-US" w:eastAsia="zh-CN" w:bidi="ar-SA"/>
        </w:rPr>
      </w:pPr>
      <w:bookmarkStart w:id="97" w:name="_Hlk10721953"/>
      <w:r>
        <w:rPr>
          <w:rFonts w:hint="eastAsia" w:ascii="方正仿宋_GBK" w:hAnsi="方正仿宋_GBK" w:eastAsia="方正仿宋_GBK" w:cs="方正仿宋_GBK"/>
          <w:b w:val="0"/>
          <w:color w:val="auto"/>
          <w:kern w:val="0"/>
          <w:sz w:val="24"/>
          <w:szCs w:val="20"/>
          <w:highlight w:val="none"/>
          <w:lang w:val="en-US" w:eastAsia="zh-CN" w:bidi="ar-SA"/>
        </w:rPr>
        <w:t>若《特许经营协议》解除或提前终止的，除非双方另有约定，则本协议应在《特许经营协议》签约各方已履行完成提前终止相关责任义务后，方可终止。</w:t>
      </w:r>
    </w:p>
    <w:bookmarkEnd w:id="97"/>
    <w:p w14:paraId="2167EDE1">
      <w:pPr>
        <w:keepNext/>
        <w:widowControl/>
        <w:numPr>
          <w:ilvl w:val="0"/>
          <w:numId w:val="3"/>
        </w:numPr>
        <w:tabs>
          <w:tab w:val="left" w:pos="1134"/>
          <w:tab w:val="clear" w:pos="4051"/>
        </w:tabs>
        <w:autoSpaceDE w:val="0"/>
        <w:autoSpaceDN w:val="0"/>
        <w:adjustRightInd w:val="0"/>
        <w:spacing w:before="312" w:beforeLines="100" w:after="100" w:afterAutospacing="1" w:line="360" w:lineRule="auto"/>
        <w:ind w:right="28" w:firstLine="0"/>
        <w:jc w:val="left"/>
        <w:outlineLvl w:val="0"/>
        <w:rPr>
          <w:rFonts w:hint="eastAsia" w:ascii="方正仿宋_GBK" w:hAnsi="方正仿宋_GBK" w:eastAsia="方正仿宋_GBK" w:cs="方正仿宋_GBK"/>
          <w:b/>
          <w:color w:val="auto"/>
          <w:kern w:val="0"/>
          <w:sz w:val="28"/>
          <w:szCs w:val="20"/>
          <w:highlight w:val="none"/>
          <w:lang w:val="en-US" w:eastAsia="zh-CN" w:bidi="ar-SA"/>
        </w:rPr>
      </w:pPr>
      <w:bookmarkStart w:id="98" w:name="_Toc24376"/>
      <w:r>
        <w:rPr>
          <w:rFonts w:hint="eastAsia" w:ascii="方正仿宋_GBK" w:hAnsi="方正仿宋_GBK" w:eastAsia="方正仿宋_GBK" w:cs="方正仿宋_GBK"/>
          <w:b/>
          <w:color w:val="auto"/>
          <w:kern w:val="0"/>
          <w:sz w:val="28"/>
          <w:szCs w:val="20"/>
          <w:highlight w:val="none"/>
          <w:lang w:val="en-US" w:eastAsia="zh-CN" w:bidi="ar-SA"/>
        </w:rPr>
        <w:t>其他事项</w:t>
      </w:r>
      <w:bookmarkEnd w:id="98"/>
    </w:p>
    <w:p w14:paraId="03495D6C">
      <w:pPr>
        <w:keepNext w:val="0"/>
        <w:widowControl/>
        <w:numPr>
          <w:ilvl w:val="1"/>
          <w:numId w:val="3"/>
        </w:numPr>
        <w:tabs>
          <w:tab w:val="left" w:pos="993"/>
          <w:tab w:val="clear" w:pos="908"/>
        </w:tabs>
        <w:autoSpaceDE w:val="0"/>
        <w:autoSpaceDN w:val="0"/>
        <w:adjustRightInd w:val="0"/>
        <w:spacing w:before="156" w:beforeLines="50" w:after="0" w:line="360" w:lineRule="auto"/>
        <w:ind w:left="0" w:firstLine="425"/>
        <w:jc w:val="both"/>
        <w:outlineLvl w:val="1"/>
        <w:rPr>
          <w:rFonts w:hint="eastAsia" w:ascii="方正仿宋_GBK" w:hAnsi="方正仿宋_GBK" w:eastAsia="方正仿宋_GBK" w:cs="方正仿宋_GBK"/>
          <w:b w:val="0"/>
          <w:color w:val="auto"/>
          <w:kern w:val="0"/>
          <w:sz w:val="24"/>
          <w:szCs w:val="20"/>
          <w:highlight w:val="none"/>
          <w:lang w:val="en-US" w:eastAsia="zh-CN" w:bidi="ar-SA"/>
        </w:rPr>
      </w:pPr>
      <w:bookmarkStart w:id="99" w:name="_Toc475566631"/>
      <w:r>
        <w:rPr>
          <w:rFonts w:hint="eastAsia" w:ascii="方正仿宋_GBK" w:hAnsi="方正仿宋_GBK" w:eastAsia="方正仿宋_GBK" w:cs="方正仿宋_GBK"/>
          <w:b w:val="0"/>
          <w:color w:val="auto"/>
          <w:kern w:val="0"/>
          <w:sz w:val="24"/>
          <w:szCs w:val="20"/>
          <w:highlight w:val="none"/>
          <w:lang w:val="en-US" w:eastAsia="zh-CN" w:bidi="ar-SA"/>
        </w:rPr>
        <w:t>本协议一式_____份，甲、乙双方各执_____份。</w:t>
      </w:r>
      <w:bookmarkEnd w:id="99"/>
    </w:p>
    <w:p w14:paraId="33C209CC">
      <w:pPr>
        <w:keepNext w:val="0"/>
        <w:widowControl/>
        <w:numPr>
          <w:ilvl w:val="1"/>
          <w:numId w:val="3"/>
        </w:numPr>
        <w:tabs>
          <w:tab w:val="left" w:pos="993"/>
          <w:tab w:val="clear" w:pos="908"/>
        </w:tabs>
        <w:autoSpaceDE w:val="0"/>
        <w:autoSpaceDN w:val="0"/>
        <w:adjustRightInd w:val="0"/>
        <w:spacing w:before="156" w:beforeLines="50" w:after="0" w:line="360" w:lineRule="auto"/>
        <w:ind w:left="0" w:firstLine="425"/>
        <w:jc w:val="both"/>
        <w:outlineLvl w:val="1"/>
        <w:rPr>
          <w:rFonts w:hint="eastAsia" w:ascii="方正仿宋_GBK" w:hAnsi="方正仿宋_GBK" w:eastAsia="方正仿宋_GBK" w:cs="方正仿宋_GBK"/>
          <w:b w:val="0"/>
          <w:color w:val="auto"/>
          <w:kern w:val="0"/>
          <w:sz w:val="24"/>
          <w:szCs w:val="20"/>
          <w:highlight w:val="none"/>
          <w:lang w:val="en-US" w:eastAsia="zh-CN" w:bidi="ar-SA"/>
        </w:rPr>
      </w:pPr>
      <w:bookmarkStart w:id="100" w:name="_Toc475566632"/>
      <w:r>
        <w:rPr>
          <w:rFonts w:hint="eastAsia" w:ascii="方正仿宋_GBK" w:hAnsi="方正仿宋_GBK" w:eastAsia="方正仿宋_GBK" w:cs="方正仿宋_GBK"/>
          <w:b w:val="0"/>
          <w:color w:val="auto"/>
          <w:kern w:val="0"/>
          <w:sz w:val="24"/>
          <w:szCs w:val="20"/>
          <w:highlight w:val="none"/>
          <w:lang w:val="en-US" w:eastAsia="zh-CN" w:bidi="ar-SA"/>
        </w:rPr>
        <w:t>本协议未尽事宜，由甲、乙双方另行协商确定。</w:t>
      </w:r>
      <w:bookmarkEnd w:id="100"/>
    </w:p>
    <w:p w14:paraId="4D4A4846">
      <w:pPr>
        <w:keepNext w:val="0"/>
        <w:widowControl/>
        <w:numPr>
          <w:ilvl w:val="1"/>
          <w:numId w:val="3"/>
        </w:numPr>
        <w:tabs>
          <w:tab w:val="left" w:pos="993"/>
          <w:tab w:val="clear" w:pos="908"/>
        </w:tabs>
        <w:autoSpaceDE w:val="0"/>
        <w:autoSpaceDN w:val="0"/>
        <w:adjustRightInd w:val="0"/>
        <w:spacing w:before="156" w:beforeLines="50" w:after="0" w:line="360" w:lineRule="auto"/>
        <w:ind w:left="0" w:firstLine="426"/>
        <w:jc w:val="both"/>
        <w:outlineLvl w:val="1"/>
        <w:rPr>
          <w:rFonts w:hint="eastAsia" w:ascii="方正仿宋_GBK" w:hAnsi="方正仿宋_GBK" w:eastAsia="方正仿宋_GBK" w:cs="方正仿宋_GBK"/>
          <w:b w:val="0"/>
          <w:color w:val="auto"/>
          <w:kern w:val="0"/>
          <w:sz w:val="24"/>
          <w:szCs w:val="20"/>
          <w:highlight w:val="none"/>
          <w:lang w:val="en-US" w:eastAsia="zh-CN" w:bidi="ar-SA"/>
        </w:rPr>
      </w:pPr>
      <w:bookmarkStart w:id="101" w:name="_Toc475566633"/>
      <w:r>
        <w:rPr>
          <w:rFonts w:hint="eastAsia" w:ascii="方正仿宋_GBK" w:hAnsi="方正仿宋_GBK" w:eastAsia="方正仿宋_GBK" w:cs="方正仿宋_GBK"/>
          <w:b w:val="0"/>
          <w:color w:val="auto"/>
          <w:kern w:val="0"/>
          <w:sz w:val="24"/>
          <w:szCs w:val="20"/>
          <w:highlight w:val="none"/>
          <w:lang w:val="en-US" w:eastAsia="zh-CN" w:bidi="ar-SA"/>
        </w:rPr>
        <w:t>双方对本协议及合作过程中的所有商业机密资料承担保密义务，未经对方书面许可或依适用法律规定，不得对任何其他第三方泄露和传播。</w:t>
      </w:r>
      <w:bookmarkEnd w:id="101"/>
    </w:p>
    <w:p w14:paraId="49D7D1FF">
      <w:pPr>
        <w:rPr>
          <w:rFonts w:hint="eastAsia" w:ascii="方正仿宋_GBK" w:hAnsi="方正仿宋_GBK" w:eastAsia="方正仿宋_GBK" w:cs="方正仿宋_GBK"/>
          <w:color w:val="auto"/>
          <w:highlight w:val="none"/>
        </w:rPr>
        <w:sectPr>
          <w:pgSz w:w="11906" w:h="16838"/>
          <w:pgMar w:top="1440" w:right="1800" w:bottom="1440" w:left="1800" w:header="851" w:footer="992" w:gutter="0"/>
          <w:cols w:space="720" w:num="1"/>
          <w:docGrid w:type="lines" w:linePitch="312" w:charSpace="0"/>
        </w:sectPr>
      </w:pPr>
    </w:p>
    <w:p w14:paraId="40FD9E68">
      <w:pPr>
        <w:jc w:val="center"/>
        <w:rPr>
          <w:rFonts w:hint="eastAsia" w:ascii="方正仿宋_GBK" w:hAnsi="方正仿宋_GBK" w:eastAsia="方正仿宋_GBK" w:cs="方正仿宋_GBK"/>
          <w:color w:val="auto"/>
          <w:kern w:val="2"/>
          <w:sz w:val="24"/>
          <w:highlight w:val="none"/>
        </w:rPr>
      </w:pPr>
      <w:r>
        <w:rPr>
          <w:rFonts w:hint="eastAsia" w:ascii="方正仿宋_GBK" w:hAnsi="方正仿宋_GBK" w:eastAsia="方正仿宋_GBK" w:cs="方正仿宋_GBK"/>
          <w:color w:val="auto"/>
          <w:kern w:val="44"/>
          <w:sz w:val="24"/>
          <w:highlight w:val="none"/>
        </w:rPr>
        <w:t>签署页</w:t>
      </w:r>
      <w:r>
        <w:rPr>
          <w:rFonts w:hint="eastAsia" w:ascii="方正仿宋_GBK" w:hAnsi="方正仿宋_GBK" w:eastAsia="方正仿宋_GBK" w:cs="方正仿宋_GBK"/>
          <w:color w:val="auto"/>
          <w:kern w:val="2"/>
          <w:sz w:val="24"/>
          <w:highlight w:val="none"/>
        </w:rPr>
        <w:t>（本页无正文）</w:t>
      </w:r>
    </w:p>
    <w:p w14:paraId="359D372F">
      <w:pPr>
        <w:rPr>
          <w:rFonts w:hint="eastAsia" w:ascii="方正仿宋_GBK" w:hAnsi="方正仿宋_GBK" w:eastAsia="方正仿宋_GBK" w:cs="方正仿宋_GBK"/>
          <w:color w:val="auto"/>
          <w:kern w:val="2"/>
          <w:sz w:val="24"/>
          <w:highlight w:val="none"/>
        </w:rPr>
      </w:pPr>
    </w:p>
    <w:p w14:paraId="3656126A">
      <w:pPr>
        <w:rPr>
          <w:rFonts w:hint="eastAsia" w:ascii="方正仿宋_GBK" w:hAnsi="方正仿宋_GBK" w:eastAsia="方正仿宋_GBK" w:cs="方正仿宋_GBK"/>
          <w:color w:val="auto"/>
          <w:kern w:val="2"/>
          <w:sz w:val="24"/>
          <w:highlight w:val="none"/>
        </w:rPr>
      </w:pPr>
    </w:p>
    <w:p w14:paraId="28626235">
      <w:pPr>
        <w:rPr>
          <w:rFonts w:hint="eastAsia" w:ascii="方正仿宋_GBK" w:hAnsi="方正仿宋_GBK" w:eastAsia="方正仿宋_GBK" w:cs="方正仿宋_GBK"/>
          <w:color w:val="auto"/>
          <w:kern w:val="2"/>
          <w:sz w:val="24"/>
          <w:highlight w:val="none"/>
        </w:rPr>
      </w:pPr>
    </w:p>
    <w:tbl>
      <w:tblPr>
        <w:tblStyle w:val="36"/>
        <w:tblW w:w="0" w:type="auto"/>
        <w:tblInd w:w="0" w:type="dxa"/>
        <w:tblLayout w:type="fixed"/>
        <w:tblCellMar>
          <w:top w:w="0" w:type="dxa"/>
          <w:left w:w="108" w:type="dxa"/>
          <w:bottom w:w="0" w:type="dxa"/>
          <w:right w:w="108" w:type="dxa"/>
        </w:tblCellMar>
      </w:tblPr>
      <w:tblGrid>
        <w:gridCol w:w="8364"/>
      </w:tblGrid>
      <w:tr w14:paraId="0954EA0D">
        <w:tblPrEx>
          <w:tblCellMar>
            <w:top w:w="0" w:type="dxa"/>
            <w:left w:w="108" w:type="dxa"/>
            <w:bottom w:w="0" w:type="dxa"/>
            <w:right w:w="108" w:type="dxa"/>
          </w:tblCellMar>
        </w:tblPrEx>
        <w:tc>
          <w:tcPr>
            <w:tcW w:w="8364" w:type="dxa"/>
            <w:noWrap w:val="0"/>
            <w:vAlign w:val="top"/>
          </w:tcPr>
          <w:p w14:paraId="09149737">
            <w:pPr>
              <w:rPr>
                <w:rFonts w:hint="eastAsia" w:ascii="方正仿宋_GBK" w:hAnsi="方正仿宋_GBK" w:eastAsia="方正仿宋_GBK" w:cs="方正仿宋_GBK"/>
                <w:color w:val="auto"/>
                <w:kern w:val="2"/>
                <w:sz w:val="24"/>
                <w:highlight w:val="none"/>
              </w:rPr>
            </w:pPr>
            <w:r>
              <w:rPr>
                <w:rFonts w:hint="eastAsia" w:ascii="方正仿宋_GBK" w:hAnsi="方正仿宋_GBK" w:eastAsia="方正仿宋_GBK" w:cs="方正仿宋_GBK"/>
                <w:color w:val="auto"/>
                <w:kern w:val="2"/>
                <w:sz w:val="24"/>
                <w:highlight w:val="none"/>
              </w:rPr>
              <w:t xml:space="preserve">甲方（盖章）： </w:t>
            </w:r>
          </w:p>
        </w:tc>
      </w:tr>
      <w:tr w14:paraId="05B473A7">
        <w:tblPrEx>
          <w:tblCellMar>
            <w:top w:w="0" w:type="dxa"/>
            <w:left w:w="108" w:type="dxa"/>
            <w:bottom w:w="0" w:type="dxa"/>
            <w:right w:w="108" w:type="dxa"/>
          </w:tblCellMar>
        </w:tblPrEx>
        <w:tc>
          <w:tcPr>
            <w:tcW w:w="8364" w:type="dxa"/>
            <w:noWrap w:val="0"/>
            <w:vAlign w:val="top"/>
          </w:tcPr>
          <w:p w14:paraId="71564B37">
            <w:pPr>
              <w:rPr>
                <w:rFonts w:hint="eastAsia" w:ascii="方正仿宋_GBK" w:hAnsi="方正仿宋_GBK" w:eastAsia="方正仿宋_GBK" w:cs="方正仿宋_GBK"/>
                <w:color w:val="auto"/>
                <w:kern w:val="2"/>
                <w:sz w:val="24"/>
                <w:highlight w:val="none"/>
              </w:rPr>
            </w:pPr>
          </w:p>
        </w:tc>
      </w:tr>
      <w:tr w14:paraId="5D8C95AE">
        <w:tblPrEx>
          <w:tblCellMar>
            <w:top w:w="0" w:type="dxa"/>
            <w:left w:w="108" w:type="dxa"/>
            <w:bottom w:w="0" w:type="dxa"/>
            <w:right w:w="108" w:type="dxa"/>
          </w:tblCellMar>
        </w:tblPrEx>
        <w:tc>
          <w:tcPr>
            <w:tcW w:w="8364" w:type="dxa"/>
            <w:noWrap w:val="0"/>
            <w:vAlign w:val="top"/>
          </w:tcPr>
          <w:p w14:paraId="11929163">
            <w:pPr>
              <w:rPr>
                <w:rFonts w:hint="eastAsia" w:ascii="方正仿宋_GBK" w:hAnsi="方正仿宋_GBK" w:eastAsia="方正仿宋_GBK" w:cs="方正仿宋_GBK"/>
                <w:color w:val="auto"/>
                <w:kern w:val="2"/>
                <w:sz w:val="24"/>
                <w:highlight w:val="none"/>
              </w:rPr>
            </w:pPr>
            <w:r>
              <w:rPr>
                <w:rFonts w:hint="eastAsia" w:ascii="方正仿宋_GBK" w:hAnsi="方正仿宋_GBK" w:eastAsia="方正仿宋_GBK" w:cs="方正仿宋_GBK"/>
                <w:color w:val="auto"/>
                <w:kern w:val="2"/>
                <w:sz w:val="24"/>
                <w:highlight w:val="none"/>
              </w:rPr>
              <w:t>法定代表人或其授权代表（签字）：</w:t>
            </w:r>
          </w:p>
        </w:tc>
      </w:tr>
      <w:tr w14:paraId="1DAEF557">
        <w:tblPrEx>
          <w:tblCellMar>
            <w:top w:w="0" w:type="dxa"/>
            <w:left w:w="108" w:type="dxa"/>
            <w:bottom w:w="0" w:type="dxa"/>
            <w:right w:w="108" w:type="dxa"/>
          </w:tblCellMar>
        </w:tblPrEx>
        <w:tc>
          <w:tcPr>
            <w:tcW w:w="8364" w:type="dxa"/>
            <w:noWrap w:val="0"/>
            <w:vAlign w:val="top"/>
          </w:tcPr>
          <w:p w14:paraId="1C351B1F">
            <w:pPr>
              <w:rPr>
                <w:rFonts w:hint="eastAsia" w:ascii="方正仿宋_GBK" w:hAnsi="方正仿宋_GBK" w:eastAsia="方正仿宋_GBK" w:cs="方正仿宋_GBK"/>
                <w:color w:val="auto"/>
                <w:kern w:val="2"/>
                <w:sz w:val="24"/>
                <w:highlight w:val="none"/>
              </w:rPr>
            </w:pPr>
          </w:p>
          <w:p w14:paraId="398C39C6">
            <w:pPr>
              <w:rPr>
                <w:rFonts w:hint="eastAsia" w:ascii="方正仿宋_GBK" w:hAnsi="方正仿宋_GBK" w:eastAsia="方正仿宋_GBK" w:cs="方正仿宋_GBK"/>
                <w:color w:val="auto"/>
                <w:kern w:val="2"/>
                <w:sz w:val="24"/>
                <w:highlight w:val="none"/>
              </w:rPr>
            </w:pPr>
            <w:r>
              <w:rPr>
                <w:rFonts w:hint="eastAsia" w:ascii="方正仿宋_GBK" w:hAnsi="方正仿宋_GBK" w:eastAsia="方正仿宋_GBK" w:cs="方正仿宋_GBK"/>
                <w:color w:val="auto"/>
                <w:kern w:val="2"/>
                <w:sz w:val="24"/>
                <w:highlight w:val="none"/>
              </w:rPr>
              <w:t>日期：</w:t>
            </w:r>
          </w:p>
        </w:tc>
      </w:tr>
      <w:tr w14:paraId="7541F558">
        <w:tblPrEx>
          <w:tblCellMar>
            <w:top w:w="0" w:type="dxa"/>
            <w:left w:w="108" w:type="dxa"/>
            <w:bottom w:w="0" w:type="dxa"/>
            <w:right w:w="108" w:type="dxa"/>
          </w:tblCellMar>
        </w:tblPrEx>
        <w:tc>
          <w:tcPr>
            <w:tcW w:w="8364" w:type="dxa"/>
            <w:noWrap w:val="0"/>
            <w:vAlign w:val="top"/>
          </w:tcPr>
          <w:p w14:paraId="165CD298">
            <w:pPr>
              <w:rPr>
                <w:rFonts w:hint="eastAsia" w:ascii="方正仿宋_GBK" w:hAnsi="方正仿宋_GBK" w:eastAsia="方正仿宋_GBK" w:cs="方正仿宋_GBK"/>
                <w:color w:val="auto"/>
                <w:kern w:val="2"/>
                <w:sz w:val="24"/>
                <w:highlight w:val="none"/>
              </w:rPr>
            </w:pPr>
          </w:p>
          <w:p w14:paraId="26D53748">
            <w:pPr>
              <w:rPr>
                <w:rFonts w:hint="eastAsia" w:ascii="方正仿宋_GBK" w:hAnsi="方正仿宋_GBK" w:eastAsia="方正仿宋_GBK" w:cs="方正仿宋_GBK"/>
                <w:color w:val="auto"/>
                <w:kern w:val="2"/>
                <w:sz w:val="24"/>
                <w:highlight w:val="none"/>
              </w:rPr>
            </w:pPr>
          </w:p>
          <w:p w14:paraId="17D57EA1">
            <w:pPr>
              <w:ind w:left="1560" w:hanging="1560" w:hangingChars="650"/>
              <w:rPr>
                <w:rFonts w:hint="eastAsia" w:ascii="方正仿宋_GBK" w:hAnsi="方正仿宋_GBK" w:eastAsia="方正仿宋_GBK" w:cs="方正仿宋_GBK"/>
                <w:color w:val="auto"/>
                <w:kern w:val="2"/>
                <w:sz w:val="24"/>
                <w:highlight w:val="none"/>
              </w:rPr>
            </w:pPr>
          </w:p>
          <w:p w14:paraId="060B7B80">
            <w:pPr>
              <w:ind w:left="1560" w:hanging="1560" w:hangingChars="650"/>
              <w:rPr>
                <w:rFonts w:hint="eastAsia" w:ascii="方正仿宋_GBK" w:hAnsi="方正仿宋_GBK" w:eastAsia="方正仿宋_GBK" w:cs="方正仿宋_GBK"/>
                <w:color w:val="auto"/>
                <w:kern w:val="2"/>
                <w:sz w:val="24"/>
                <w:highlight w:val="none"/>
              </w:rPr>
            </w:pPr>
            <w:r>
              <w:rPr>
                <w:rFonts w:hint="eastAsia" w:ascii="方正仿宋_GBK" w:hAnsi="方正仿宋_GBK" w:eastAsia="方正仿宋_GBK" w:cs="方正仿宋_GBK"/>
                <w:color w:val="auto"/>
                <w:kern w:val="2"/>
                <w:sz w:val="24"/>
                <w:highlight w:val="none"/>
              </w:rPr>
              <w:t xml:space="preserve">乙方（盖章）： </w:t>
            </w:r>
          </w:p>
          <w:p w14:paraId="2779FE01">
            <w:pPr>
              <w:rPr>
                <w:rFonts w:hint="eastAsia" w:ascii="方正仿宋_GBK" w:hAnsi="方正仿宋_GBK" w:eastAsia="方正仿宋_GBK" w:cs="方正仿宋_GBK"/>
                <w:color w:val="auto"/>
                <w:kern w:val="2"/>
                <w:sz w:val="24"/>
                <w:highlight w:val="none"/>
              </w:rPr>
            </w:pPr>
          </w:p>
        </w:tc>
      </w:tr>
      <w:tr w14:paraId="3E467989">
        <w:tblPrEx>
          <w:tblCellMar>
            <w:top w:w="0" w:type="dxa"/>
            <w:left w:w="108" w:type="dxa"/>
            <w:bottom w:w="0" w:type="dxa"/>
            <w:right w:w="108" w:type="dxa"/>
          </w:tblCellMar>
        </w:tblPrEx>
        <w:tc>
          <w:tcPr>
            <w:tcW w:w="8364" w:type="dxa"/>
            <w:noWrap w:val="0"/>
            <w:vAlign w:val="top"/>
          </w:tcPr>
          <w:p w14:paraId="7F365AD7">
            <w:pPr>
              <w:rPr>
                <w:rFonts w:hint="eastAsia" w:ascii="方正仿宋_GBK" w:hAnsi="方正仿宋_GBK" w:eastAsia="方正仿宋_GBK" w:cs="方正仿宋_GBK"/>
                <w:color w:val="auto"/>
                <w:kern w:val="2"/>
                <w:sz w:val="24"/>
                <w:highlight w:val="none"/>
              </w:rPr>
            </w:pPr>
            <w:r>
              <w:rPr>
                <w:rFonts w:hint="eastAsia" w:ascii="方正仿宋_GBK" w:hAnsi="方正仿宋_GBK" w:eastAsia="方正仿宋_GBK" w:cs="方正仿宋_GBK"/>
                <w:color w:val="auto"/>
                <w:kern w:val="2"/>
                <w:sz w:val="24"/>
                <w:highlight w:val="none"/>
              </w:rPr>
              <w:t>法定代表人或其授权代表（签字）：</w:t>
            </w:r>
          </w:p>
        </w:tc>
      </w:tr>
      <w:tr w14:paraId="040736FD">
        <w:tblPrEx>
          <w:tblCellMar>
            <w:top w:w="0" w:type="dxa"/>
            <w:left w:w="108" w:type="dxa"/>
            <w:bottom w:w="0" w:type="dxa"/>
            <w:right w:w="108" w:type="dxa"/>
          </w:tblCellMar>
        </w:tblPrEx>
        <w:tc>
          <w:tcPr>
            <w:tcW w:w="8364" w:type="dxa"/>
            <w:noWrap w:val="0"/>
            <w:vAlign w:val="top"/>
          </w:tcPr>
          <w:p w14:paraId="1F842E68">
            <w:pPr>
              <w:rPr>
                <w:rFonts w:hint="eastAsia" w:ascii="方正仿宋_GBK" w:hAnsi="方正仿宋_GBK" w:eastAsia="方正仿宋_GBK" w:cs="方正仿宋_GBK"/>
                <w:color w:val="auto"/>
                <w:kern w:val="2"/>
                <w:sz w:val="24"/>
                <w:highlight w:val="none"/>
              </w:rPr>
            </w:pPr>
          </w:p>
          <w:p w14:paraId="63EA6FAD">
            <w:pPr>
              <w:rPr>
                <w:rFonts w:hint="eastAsia" w:ascii="方正仿宋_GBK" w:hAnsi="方正仿宋_GBK" w:eastAsia="方正仿宋_GBK" w:cs="方正仿宋_GBK"/>
                <w:color w:val="auto"/>
                <w:kern w:val="2"/>
                <w:sz w:val="24"/>
                <w:highlight w:val="none"/>
              </w:rPr>
            </w:pPr>
            <w:r>
              <w:rPr>
                <w:rFonts w:hint="eastAsia" w:ascii="方正仿宋_GBK" w:hAnsi="方正仿宋_GBK" w:eastAsia="方正仿宋_GBK" w:cs="方正仿宋_GBK"/>
                <w:color w:val="auto"/>
                <w:kern w:val="2"/>
                <w:sz w:val="24"/>
                <w:highlight w:val="none"/>
              </w:rPr>
              <w:t>日期：</w:t>
            </w:r>
          </w:p>
        </w:tc>
      </w:tr>
    </w:tbl>
    <w:p w14:paraId="46914507">
      <w:pPr>
        <w:bidi w:val="0"/>
        <w:rPr>
          <w:rFonts w:hint="eastAsia" w:eastAsia="宋体"/>
          <w:color w:val="auto"/>
          <w:kern w:val="2"/>
          <w:highlight w:val="none"/>
        </w:rPr>
      </w:pPr>
    </w:p>
    <w:p w14:paraId="5422CBD9">
      <w:pPr>
        <w:pStyle w:val="2"/>
        <w:spacing w:before="0" w:after="0"/>
        <w:jc w:val="center"/>
        <w:rPr>
          <w:rFonts w:ascii="Times New Roman" w:hAnsi="Times New Roman"/>
          <w:color w:val="auto"/>
          <w:sz w:val="24"/>
          <w:szCs w:val="24"/>
          <w:highlight w:val="none"/>
        </w:rPr>
        <w:sectPr>
          <w:headerReference r:id="rId17" w:type="default"/>
          <w:footerReference r:id="rId18" w:type="default"/>
          <w:pgSz w:w="11906" w:h="16838"/>
          <w:pgMar w:top="1440" w:right="1797" w:bottom="1440" w:left="1797" w:header="851" w:footer="992" w:gutter="0"/>
          <w:cols w:space="720" w:num="1"/>
          <w:docGrid w:linePitch="360" w:charSpace="0"/>
        </w:sectPr>
      </w:pPr>
    </w:p>
    <w:p w14:paraId="2A39032E">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560" w:firstLineChars="200"/>
        <w:rPr>
          <w:rFonts w:hint="default" w:ascii="Times New Roman" w:hAnsi="Times New Roman" w:eastAsia="方正仿宋_GBK"/>
          <w:caps w:val="0"/>
          <w:smallCaps w:val="0"/>
          <w:color w:val="auto"/>
          <w:kern w:val="2"/>
          <w:sz w:val="28"/>
          <w:szCs w:val="28"/>
          <w:highlight w:val="none"/>
        </w:rPr>
      </w:pPr>
    </w:p>
    <w:p w14:paraId="7D85FDF1">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560" w:firstLineChars="200"/>
        <w:rPr>
          <w:rFonts w:hint="default" w:ascii="Times New Roman" w:hAnsi="Times New Roman" w:eastAsia="方正仿宋_GBK"/>
          <w:caps w:val="0"/>
          <w:smallCaps w:val="0"/>
          <w:color w:val="auto"/>
          <w:kern w:val="2"/>
          <w:sz w:val="28"/>
          <w:szCs w:val="28"/>
          <w:highlight w:val="none"/>
        </w:rPr>
      </w:pPr>
    </w:p>
    <w:p w14:paraId="06EABC3D">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560" w:firstLineChars="200"/>
        <w:rPr>
          <w:rFonts w:hint="default" w:ascii="Times New Roman" w:hAnsi="Times New Roman" w:eastAsia="方正仿宋_GBK"/>
          <w:caps w:val="0"/>
          <w:smallCaps w:val="0"/>
          <w:color w:val="auto"/>
          <w:kern w:val="2"/>
          <w:sz w:val="28"/>
          <w:szCs w:val="28"/>
          <w:highlight w:val="none"/>
        </w:rPr>
      </w:pPr>
    </w:p>
    <w:p w14:paraId="5A4265B1">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560" w:firstLineChars="200"/>
        <w:rPr>
          <w:rFonts w:hint="default" w:ascii="Times New Roman" w:hAnsi="Times New Roman" w:eastAsia="方正仿宋_GBK"/>
          <w:caps w:val="0"/>
          <w:smallCaps w:val="0"/>
          <w:color w:val="auto"/>
          <w:kern w:val="2"/>
          <w:sz w:val="28"/>
          <w:szCs w:val="28"/>
          <w:highlight w:val="none"/>
        </w:rPr>
      </w:pPr>
    </w:p>
    <w:p w14:paraId="458DEC3B">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left="0" w:leftChars="0" w:firstLine="0" w:firstLineChars="0"/>
        <w:jc w:val="center"/>
        <w:rPr>
          <w:rFonts w:hint="eastAsia" w:ascii="Times New Roman" w:hAnsi="Times New Roman" w:eastAsia="方正小标宋_GBK" w:cs="方正小标宋_GBK"/>
          <w:caps w:val="0"/>
          <w:smallCaps w:val="0"/>
          <w:color w:val="auto"/>
          <w:kern w:val="2"/>
          <w:sz w:val="40"/>
          <w:szCs w:val="40"/>
          <w:highlight w:val="none"/>
          <w:lang w:val="en-US" w:eastAsia="zh-CN"/>
        </w:rPr>
      </w:pPr>
      <w:r>
        <w:rPr>
          <w:rFonts w:hint="eastAsia" w:ascii="Times New Roman" w:hAnsi="Times New Roman" w:eastAsia="方正小标宋_GBK" w:cs="方正小标宋_GBK"/>
          <w:caps w:val="0"/>
          <w:smallCaps w:val="0"/>
          <w:color w:val="auto"/>
          <w:kern w:val="2"/>
          <w:sz w:val="40"/>
          <w:szCs w:val="40"/>
          <w:highlight w:val="none"/>
          <w:lang w:val="en-US" w:eastAsia="zh-CN"/>
        </w:rPr>
        <w:t>江都城区污水处理设施特许经营项目</w:t>
      </w:r>
    </w:p>
    <w:p w14:paraId="384E26A0">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left="0" w:leftChars="0" w:firstLine="0" w:firstLineChars="0"/>
        <w:jc w:val="center"/>
        <w:rPr>
          <w:rFonts w:hint="eastAsia" w:ascii="Times New Roman" w:hAnsi="Times New Roman" w:eastAsia="方正小标宋_GBK" w:cs="方正小标宋_GBK"/>
          <w:caps w:val="0"/>
          <w:smallCaps w:val="0"/>
          <w:color w:val="auto"/>
          <w:kern w:val="2"/>
          <w:sz w:val="40"/>
          <w:szCs w:val="40"/>
          <w:highlight w:val="none"/>
          <w:lang w:val="en-US" w:eastAsia="zh-CN"/>
        </w:rPr>
      </w:pPr>
      <w:r>
        <w:rPr>
          <w:rFonts w:hint="eastAsia" w:ascii="Times New Roman" w:hAnsi="Times New Roman" w:eastAsia="方正小标宋_GBK" w:cs="方正小标宋_GBK"/>
          <w:caps w:val="0"/>
          <w:smallCaps w:val="0"/>
          <w:color w:val="auto"/>
          <w:kern w:val="2"/>
          <w:sz w:val="40"/>
          <w:szCs w:val="40"/>
          <w:highlight w:val="none"/>
          <w:lang w:val="en-US" w:eastAsia="zh-CN"/>
        </w:rPr>
        <w:t>特许经营协议</w:t>
      </w:r>
    </w:p>
    <w:p w14:paraId="0A6A6195">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560" w:firstLineChars="200"/>
        <w:rPr>
          <w:rFonts w:hint="default" w:ascii="Times New Roman" w:hAnsi="Times New Roman" w:eastAsia="方正仿宋_GBK"/>
          <w:caps w:val="0"/>
          <w:smallCaps w:val="0"/>
          <w:color w:val="auto"/>
          <w:kern w:val="2"/>
          <w:sz w:val="28"/>
          <w:szCs w:val="28"/>
          <w:highlight w:val="none"/>
        </w:rPr>
      </w:pPr>
    </w:p>
    <w:p w14:paraId="28414C73">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560" w:firstLineChars="200"/>
        <w:rPr>
          <w:rFonts w:hint="eastAsia" w:ascii="Times New Roman" w:hAnsi="Times New Roman" w:eastAsia="方正仿宋_GBK"/>
          <w:caps w:val="0"/>
          <w:smallCaps w:val="0"/>
          <w:color w:val="auto"/>
          <w:kern w:val="2"/>
          <w:sz w:val="28"/>
          <w:szCs w:val="28"/>
          <w:highlight w:val="none"/>
        </w:rPr>
      </w:pPr>
    </w:p>
    <w:p w14:paraId="3F17F604">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560" w:firstLineChars="200"/>
        <w:rPr>
          <w:rFonts w:hint="eastAsia" w:ascii="Times New Roman" w:hAnsi="Times New Roman" w:eastAsia="方正仿宋_GBK"/>
          <w:caps w:val="0"/>
          <w:smallCaps w:val="0"/>
          <w:color w:val="auto"/>
          <w:kern w:val="2"/>
          <w:sz w:val="28"/>
          <w:szCs w:val="28"/>
          <w:highlight w:val="none"/>
        </w:rPr>
      </w:pPr>
    </w:p>
    <w:p w14:paraId="72D77B68">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560" w:firstLineChars="200"/>
        <w:rPr>
          <w:rFonts w:hint="default" w:ascii="Times New Roman" w:hAnsi="Times New Roman" w:eastAsia="方正仿宋_GBK"/>
          <w:caps w:val="0"/>
          <w:smallCaps w:val="0"/>
          <w:color w:val="auto"/>
          <w:kern w:val="2"/>
          <w:sz w:val="28"/>
          <w:szCs w:val="28"/>
          <w:highlight w:val="none"/>
        </w:rPr>
      </w:pPr>
    </w:p>
    <w:p w14:paraId="69A655E3">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560" w:firstLineChars="200"/>
        <w:rPr>
          <w:rFonts w:hint="default" w:ascii="Times New Roman" w:hAnsi="Times New Roman" w:eastAsia="方正仿宋_GBK"/>
          <w:caps w:val="0"/>
          <w:smallCaps w:val="0"/>
          <w:color w:val="auto"/>
          <w:kern w:val="2"/>
          <w:sz w:val="28"/>
          <w:szCs w:val="28"/>
          <w:highlight w:val="none"/>
        </w:rPr>
      </w:pPr>
    </w:p>
    <w:p w14:paraId="4622A3BE">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560" w:firstLineChars="200"/>
        <w:rPr>
          <w:rFonts w:hint="default" w:ascii="Times New Roman" w:hAnsi="Times New Roman" w:eastAsia="方正仿宋_GBK"/>
          <w:caps w:val="0"/>
          <w:smallCaps w:val="0"/>
          <w:color w:val="auto"/>
          <w:kern w:val="2"/>
          <w:sz w:val="28"/>
          <w:szCs w:val="28"/>
          <w:highlight w:val="none"/>
        </w:rPr>
      </w:pPr>
    </w:p>
    <w:p w14:paraId="56C2CF04">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560" w:firstLineChars="200"/>
        <w:rPr>
          <w:rFonts w:hint="default" w:ascii="Times New Roman" w:hAnsi="Times New Roman" w:eastAsia="方正仿宋_GBK"/>
          <w:caps w:val="0"/>
          <w:smallCaps w:val="0"/>
          <w:color w:val="auto"/>
          <w:kern w:val="2"/>
          <w:sz w:val="28"/>
          <w:szCs w:val="28"/>
          <w:highlight w:val="none"/>
        </w:rPr>
      </w:pPr>
    </w:p>
    <w:p w14:paraId="30D9D9A1">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560" w:firstLineChars="200"/>
        <w:rPr>
          <w:rFonts w:hint="default" w:ascii="Times New Roman" w:hAnsi="Times New Roman" w:eastAsia="方正仿宋_GBK"/>
          <w:caps w:val="0"/>
          <w:smallCaps w:val="0"/>
          <w:color w:val="auto"/>
          <w:kern w:val="2"/>
          <w:sz w:val="28"/>
          <w:szCs w:val="28"/>
          <w:highlight w:val="none"/>
        </w:rPr>
      </w:pPr>
    </w:p>
    <w:p w14:paraId="25416366">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560" w:firstLineChars="200"/>
        <w:rPr>
          <w:rFonts w:hint="default" w:ascii="Times New Roman" w:hAnsi="Times New Roman" w:eastAsia="方正仿宋_GBK"/>
          <w:caps w:val="0"/>
          <w:smallCaps w:val="0"/>
          <w:color w:val="auto"/>
          <w:kern w:val="2"/>
          <w:sz w:val="28"/>
          <w:szCs w:val="28"/>
          <w:highlight w:val="none"/>
        </w:rPr>
      </w:pPr>
    </w:p>
    <w:p w14:paraId="766DB657">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560" w:firstLineChars="200"/>
        <w:rPr>
          <w:rFonts w:hint="default" w:ascii="Times New Roman" w:hAnsi="Times New Roman" w:eastAsia="方正仿宋_GBK"/>
          <w:caps w:val="0"/>
          <w:smallCaps w:val="0"/>
          <w:color w:val="auto"/>
          <w:kern w:val="2"/>
          <w:sz w:val="28"/>
          <w:szCs w:val="28"/>
          <w:highlight w:val="none"/>
        </w:rPr>
      </w:pPr>
    </w:p>
    <w:p w14:paraId="27892E51">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560" w:firstLineChars="200"/>
        <w:rPr>
          <w:rFonts w:hint="default" w:ascii="Times New Roman" w:hAnsi="Times New Roman" w:eastAsia="方正仿宋_GBK"/>
          <w:caps w:val="0"/>
          <w:smallCaps w:val="0"/>
          <w:color w:val="auto"/>
          <w:kern w:val="2"/>
          <w:sz w:val="28"/>
          <w:szCs w:val="28"/>
          <w:highlight w:val="none"/>
        </w:rPr>
      </w:pPr>
    </w:p>
    <w:p w14:paraId="63286A6D">
      <w:pPr>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firstLine="1400" w:firstLineChars="500"/>
        <w:textAlignment w:val="auto"/>
        <w:rPr>
          <w:rFonts w:hint="default" w:ascii="Times New Roman" w:hAnsi="Times New Roman" w:eastAsia="方正仿宋_GBK"/>
          <w:caps w:val="0"/>
          <w:smallCaps w:val="0"/>
          <w:color w:val="auto"/>
          <w:kern w:val="2"/>
          <w:sz w:val="28"/>
          <w:szCs w:val="28"/>
          <w:highlight w:val="none"/>
        </w:rPr>
      </w:pPr>
      <w:r>
        <w:rPr>
          <w:rFonts w:hint="eastAsia" w:ascii="Times New Roman" w:hAnsi="Times New Roman" w:eastAsia="方正仿宋_GBK"/>
          <w:caps w:val="0"/>
          <w:smallCaps w:val="0"/>
          <w:color w:val="auto"/>
          <w:kern w:val="2"/>
          <w:sz w:val="28"/>
          <w:szCs w:val="28"/>
          <w:highlight w:val="none"/>
        </w:rPr>
        <w:t>甲方：</w:t>
      </w:r>
    </w:p>
    <w:p w14:paraId="41281CD1">
      <w:pPr>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firstLine="1400" w:firstLineChars="500"/>
        <w:textAlignment w:val="auto"/>
        <w:rPr>
          <w:rFonts w:hint="default" w:ascii="Times New Roman" w:hAnsi="Times New Roman" w:eastAsia="方正仿宋_GBK"/>
          <w:caps w:val="0"/>
          <w:smallCaps w:val="0"/>
          <w:color w:val="auto"/>
          <w:kern w:val="2"/>
          <w:sz w:val="28"/>
          <w:szCs w:val="28"/>
          <w:highlight w:val="none"/>
        </w:rPr>
      </w:pPr>
      <w:r>
        <w:rPr>
          <w:rFonts w:hint="eastAsia" w:ascii="Times New Roman" w:hAnsi="Times New Roman" w:eastAsia="方正仿宋_GBK"/>
          <w:caps w:val="0"/>
          <w:smallCaps w:val="0"/>
          <w:color w:val="auto"/>
          <w:kern w:val="2"/>
          <w:sz w:val="28"/>
          <w:szCs w:val="28"/>
          <w:highlight w:val="none"/>
        </w:rPr>
        <w:t>乙方：</w:t>
      </w:r>
    </w:p>
    <w:p w14:paraId="2958BB76">
      <w:pPr>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firstLine="1400" w:firstLineChars="500"/>
        <w:textAlignment w:val="auto"/>
        <w:rPr>
          <w:rFonts w:hint="default" w:ascii="Times New Roman" w:hAnsi="Times New Roman" w:eastAsia="方正仿宋_GBK"/>
          <w:caps w:val="0"/>
          <w:smallCaps w:val="0"/>
          <w:color w:val="auto"/>
          <w:kern w:val="2"/>
          <w:sz w:val="28"/>
          <w:szCs w:val="28"/>
          <w:highlight w:val="none"/>
        </w:rPr>
      </w:pPr>
      <w:r>
        <w:rPr>
          <w:rFonts w:hint="eastAsia" w:ascii="Times New Roman" w:hAnsi="Times New Roman" w:eastAsia="方正仿宋_GBK"/>
          <w:caps w:val="0"/>
          <w:smallCaps w:val="0"/>
          <w:color w:val="auto"/>
          <w:kern w:val="2"/>
          <w:sz w:val="28"/>
          <w:szCs w:val="28"/>
          <w:highlight w:val="none"/>
        </w:rPr>
        <w:t>签订日期：</w:t>
      </w:r>
      <w:r>
        <w:rPr>
          <w:rFonts w:hint="default" w:ascii="Times New Roman" w:hAnsi="Times New Roman" w:eastAsia="方正仿宋_GBK"/>
          <w:caps w:val="0"/>
          <w:smallCaps w:val="0"/>
          <w:color w:val="auto"/>
          <w:kern w:val="2"/>
          <w:sz w:val="28"/>
          <w:szCs w:val="28"/>
          <w:highlight w:val="none"/>
        </w:rPr>
        <w:t xml:space="preserve">    </w:t>
      </w:r>
      <w:r>
        <w:rPr>
          <w:rFonts w:hint="eastAsia" w:ascii="Times New Roman" w:hAnsi="Times New Roman" w:eastAsia="方正仿宋_GBK"/>
          <w:caps w:val="0"/>
          <w:smallCaps w:val="0"/>
          <w:color w:val="auto"/>
          <w:kern w:val="2"/>
          <w:sz w:val="28"/>
          <w:szCs w:val="28"/>
          <w:highlight w:val="none"/>
        </w:rPr>
        <w:t>年</w:t>
      </w:r>
      <w:r>
        <w:rPr>
          <w:rFonts w:hint="default" w:ascii="Times New Roman" w:hAnsi="Times New Roman" w:eastAsia="方正仿宋_GBK"/>
          <w:caps w:val="0"/>
          <w:smallCaps w:val="0"/>
          <w:color w:val="auto"/>
          <w:kern w:val="2"/>
          <w:sz w:val="28"/>
          <w:szCs w:val="28"/>
          <w:highlight w:val="none"/>
        </w:rPr>
        <w:t xml:space="preserve">    </w:t>
      </w:r>
      <w:r>
        <w:rPr>
          <w:rFonts w:hint="eastAsia" w:ascii="Times New Roman" w:hAnsi="Times New Roman" w:eastAsia="方正仿宋_GBK"/>
          <w:caps w:val="0"/>
          <w:smallCaps w:val="0"/>
          <w:color w:val="auto"/>
          <w:kern w:val="2"/>
          <w:sz w:val="28"/>
          <w:szCs w:val="28"/>
          <w:highlight w:val="none"/>
        </w:rPr>
        <w:t>月</w:t>
      </w:r>
      <w:r>
        <w:rPr>
          <w:rFonts w:hint="default" w:ascii="Times New Roman" w:hAnsi="Times New Roman" w:eastAsia="方正仿宋_GBK"/>
          <w:caps w:val="0"/>
          <w:smallCaps w:val="0"/>
          <w:color w:val="auto"/>
          <w:kern w:val="2"/>
          <w:sz w:val="28"/>
          <w:szCs w:val="28"/>
          <w:highlight w:val="none"/>
        </w:rPr>
        <w:t xml:space="preserve">    </w:t>
      </w:r>
      <w:r>
        <w:rPr>
          <w:rFonts w:hint="eastAsia" w:ascii="Times New Roman" w:hAnsi="Times New Roman" w:eastAsia="方正仿宋_GBK"/>
          <w:caps w:val="0"/>
          <w:smallCaps w:val="0"/>
          <w:color w:val="auto"/>
          <w:kern w:val="2"/>
          <w:sz w:val="28"/>
          <w:szCs w:val="28"/>
          <w:highlight w:val="none"/>
        </w:rPr>
        <w:t>日</w:t>
      </w:r>
    </w:p>
    <w:p w14:paraId="57422B3A">
      <w:pPr>
        <w:tabs>
          <w:tab w:val="right" w:leader="dot" w:pos="8674"/>
        </w:tabs>
        <w:rPr>
          <w:rFonts w:ascii="Times New Roman" w:hAnsi="Times New Roman" w:eastAsia="方正仿宋_GBK"/>
          <w:caps w:val="0"/>
          <w:smallCaps w:val="0"/>
          <w:color w:val="auto"/>
          <w:highlight w:val="none"/>
        </w:rPr>
        <w:sectPr>
          <w:headerReference r:id="rId19" w:type="default"/>
          <w:footerReference r:id="rId20" w:type="default"/>
          <w:pgSz w:w="11906" w:h="16838"/>
          <w:pgMar w:top="1984" w:right="1616" w:bottom="1984" w:left="1616" w:header="851" w:footer="0" w:gutter="0"/>
          <w:pgNumType w:fmt="decimal" w:start="1"/>
          <w:cols w:space="720" w:num="1"/>
          <w:titlePg/>
          <w:docGrid w:type="linesAndChars" w:linePitch="312" w:charSpace="0"/>
        </w:sectPr>
      </w:pPr>
    </w:p>
    <w:p w14:paraId="1E9040C2">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left="0" w:leftChars="0" w:right="0" w:rightChars="0" w:firstLine="0" w:firstLineChars="0"/>
        <w:jc w:val="center"/>
        <w:textAlignment w:val="auto"/>
        <w:rPr>
          <w:rFonts w:hint="eastAsia" w:ascii="方正仿宋_GBK" w:hAnsi="方正仿宋_GBK" w:eastAsia="方正仿宋_GBK" w:cs="方正仿宋_GBK"/>
          <w:b/>
          <w:bCs/>
          <w:color w:val="auto"/>
          <w:kern w:val="2"/>
          <w:sz w:val="28"/>
          <w:szCs w:val="28"/>
          <w:highlight w:val="none"/>
        </w:rPr>
      </w:pPr>
      <w:r>
        <w:rPr>
          <w:rFonts w:hint="eastAsia" w:ascii="方正仿宋_GBK" w:hAnsi="方正仿宋_GBK" w:eastAsia="方正仿宋_GBK" w:cs="方正仿宋_GBK"/>
          <w:b/>
          <w:bCs/>
          <w:color w:val="auto"/>
          <w:kern w:val="2"/>
          <w:sz w:val="28"/>
          <w:szCs w:val="28"/>
          <w:highlight w:val="none"/>
        </w:rPr>
        <w:t>目录</w:t>
      </w:r>
    </w:p>
    <w:p w14:paraId="764CE06E">
      <w:pPr>
        <w:keepNext w:val="0"/>
        <w:keepLines w:val="0"/>
        <w:pageBreakBefore w:val="0"/>
        <w:widowControl w:val="0"/>
        <w:tabs>
          <w:tab w:val="right" w:leader="dot" w:pos="8674"/>
        </w:tabs>
        <w:kinsoku/>
        <w:wordWrap/>
        <w:overflowPunct/>
        <w:topLinePunct w:val="0"/>
        <w:autoSpaceDE/>
        <w:autoSpaceDN/>
        <w:bidi w:val="0"/>
        <w:adjustRightInd w:val="0"/>
        <w:snapToGrid w:val="0"/>
        <w:spacing w:before="156" w:beforeLines="0" w:after="0" w:afterLines="0" w:line="360" w:lineRule="auto"/>
        <w:ind w:firstLine="0" w:firstLineChars="0"/>
        <w:jc w:val="left"/>
        <w:textAlignment w:val="auto"/>
        <w:rPr>
          <w:rFonts w:hint="default" w:ascii="Times New Roman" w:hAnsi="Times New Roman" w:eastAsia="方正仿宋_GBK" w:cs="Times New Roman"/>
          <w:b/>
          <w:bCs/>
          <w:caps/>
          <w:color w:val="auto"/>
          <w:kern w:val="2"/>
          <w:sz w:val="24"/>
          <w:szCs w:val="24"/>
          <w:highlight w:val="none"/>
          <w:lang w:val="en-US" w:eastAsia="zh-CN" w:bidi="ar-SA"/>
        </w:rPr>
      </w:pP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TOC \o "1-2" \h \u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 HYPERLINK \l _Toc19270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val="0"/>
          <w:smallCaps w:val="0"/>
          <w:color w:val="auto"/>
          <w:kern w:val="2"/>
          <w:sz w:val="24"/>
          <w:szCs w:val="24"/>
          <w:highlight w:val="none"/>
          <w:lang w:val="en-US" w:eastAsia="zh-CN" w:bidi="ar-SA"/>
        </w:rPr>
        <w:t>第一章 总则</w:t>
      </w:r>
      <w:r>
        <w:rPr>
          <w:rFonts w:hint="default" w:ascii="Times New Roman" w:hAnsi="Times New Roman" w:eastAsia="方正仿宋_GBK" w:cs="Times New Roman"/>
          <w:b/>
          <w:bCs/>
          <w:caps/>
          <w:color w:val="auto"/>
          <w:kern w:val="2"/>
          <w:sz w:val="24"/>
          <w:szCs w:val="24"/>
          <w:highlight w:val="none"/>
          <w:lang w:val="en-US" w:eastAsia="zh-CN" w:bidi="ar-SA"/>
        </w:rPr>
        <w:tab/>
      </w: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 PAGEREF _Toc19270 \h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color w:val="auto"/>
          <w:kern w:val="2"/>
          <w:sz w:val="24"/>
          <w:szCs w:val="24"/>
          <w:highlight w:val="none"/>
          <w:lang w:val="en-US" w:eastAsia="zh-CN" w:bidi="ar-SA"/>
        </w:rPr>
        <w:t>2</w:t>
      </w:r>
      <w:r>
        <w:rPr>
          <w:rFonts w:hint="default" w:ascii="Times New Roman" w:hAnsi="Times New Roman" w:eastAsia="方正仿宋_GBK" w:cs="Times New Roman"/>
          <w:b/>
          <w:bCs/>
          <w:caps/>
          <w:color w:val="auto"/>
          <w:kern w:val="2"/>
          <w:sz w:val="24"/>
          <w:szCs w:val="24"/>
          <w:highlight w:val="none"/>
          <w:lang w:val="en-US" w:eastAsia="zh-CN" w:bidi="ar-SA"/>
        </w:rPr>
        <w:fldChar w:fldCharType="end"/>
      </w:r>
      <w:r>
        <w:rPr>
          <w:rFonts w:hint="default" w:ascii="Times New Roman" w:hAnsi="Times New Roman" w:eastAsia="方正仿宋_GBK" w:cs="Times New Roman"/>
          <w:b/>
          <w:bCs/>
          <w:caps/>
          <w:color w:val="auto"/>
          <w:kern w:val="2"/>
          <w:sz w:val="24"/>
          <w:szCs w:val="24"/>
          <w:highlight w:val="none"/>
          <w:lang w:val="en-US" w:eastAsia="zh-CN" w:bidi="ar-SA"/>
        </w:rPr>
        <w:fldChar w:fldCharType="end"/>
      </w:r>
    </w:p>
    <w:p w14:paraId="77E58C5A">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_Toc21852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第1条 术语定义和解释</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_Toc21852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2</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2A4FC643">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_Toc25243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第2条 协议目的</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_Toc25243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5</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6AC8BD2D">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_Toc15813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第3条 声明和保证</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_Toc15813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5</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121D9043">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_Toc21311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第4条 协议生效条件</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_Toc21311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7</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11D1EEF2">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_Toc20188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第5条 协议构成及优先次序</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_Toc20188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7</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4BF6B1D9">
      <w:pPr>
        <w:keepNext w:val="0"/>
        <w:keepLines w:val="0"/>
        <w:pageBreakBefore w:val="0"/>
        <w:widowControl w:val="0"/>
        <w:tabs>
          <w:tab w:val="right" w:leader="dot" w:pos="8674"/>
        </w:tabs>
        <w:kinsoku/>
        <w:wordWrap/>
        <w:overflowPunct/>
        <w:topLinePunct w:val="0"/>
        <w:autoSpaceDE/>
        <w:autoSpaceDN/>
        <w:bidi w:val="0"/>
        <w:adjustRightInd w:val="0"/>
        <w:snapToGrid w:val="0"/>
        <w:spacing w:before="156" w:beforeLines="0" w:after="0" w:afterLines="0" w:line="360" w:lineRule="auto"/>
        <w:ind w:firstLine="0" w:firstLineChars="0"/>
        <w:jc w:val="left"/>
        <w:textAlignment w:val="auto"/>
        <w:rPr>
          <w:rFonts w:hint="default" w:ascii="Times New Roman" w:hAnsi="Times New Roman" w:eastAsia="方正仿宋_GBK" w:cs="Times New Roman"/>
          <w:b/>
          <w:bCs/>
          <w:caps/>
          <w:color w:val="auto"/>
          <w:kern w:val="2"/>
          <w:sz w:val="24"/>
          <w:szCs w:val="24"/>
          <w:highlight w:val="none"/>
          <w:lang w:val="en-US" w:eastAsia="zh-CN" w:bidi="ar-SA"/>
        </w:rPr>
      </w:pP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 HYPERLINK \l _Toc21784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val="0"/>
          <w:smallCaps w:val="0"/>
          <w:color w:val="auto"/>
          <w:kern w:val="2"/>
          <w:sz w:val="24"/>
          <w:szCs w:val="24"/>
          <w:highlight w:val="none"/>
          <w:lang w:val="en-US" w:eastAsia="zh-CN" w:bidi="ar-SA"/>
        </w:rPr>
        <w:t>第二章 协议主体及主要权利义务</w:t>
      </w:r>
      <w:r>
        <w:rPr>
          <w:rFonts w:hint="default" w:ascii="Times New Roman" w:hAnsi="Times New Roman" w:eastAsia="方正仿宋_GBK" w:cs="Times New Roman"/>
          <w:b/>
          <w:bCs/>
          <w:caps/>
          <w:color w:val="auto"/>
          <w:kern w:val="2"/>
          <w:sz w:val="24"/>
          <w:szCs w:val="24"/>
          <w:highlight w:val="none"/>
          <w:lang w:val="en-US" w:eastAsia="zh-CN" w:bidi="ar-SA"/>
        </w:rPr>
        <w:tab/>
      </w: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 PAGEREF _Toc21784 \h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color w:val="auto"/>
          <w:kern w:val="2"/>
          <w:sz w:val="24"/>
          <w:szCs w:val="24"/>
          <w:highlight w:val="none"/>
          <w:lang w:val="en-US" w:eastAsia="zh-CN" w:bidi="ar-SA"/>
        </w:rPr>
        <w:t>8</w:t>
      </w:r>
      <w:r>
        <w:rPr>
          <w:rFonts w:hint="default" w:ascii="Times New Roman" w:hAnsi="Times New Roman" w:eastAsia="方正仿宋_GBK" w:cs="Times New Roman"/>
          <w:b/>
          <w:bCs/>
          <w:caps/>
          <w:color w:val="auto"/>
          <w:kern w:val="2"/>
          <w:sz w:val="24"/>
          <w:szCs w:val="24"/>
          <w:highlight w:val="none"/>
          <w:lang w:val="en-US" w:eastAsia="zh-CN" w:bidi="ar-SA"/>
        </w:rPr>
        <w:fldChar w:fldCharType="end"/>
      </w:r>
      <w:r>
        <w:rPr>
          <w:rFonts w:hint="default" w:ascii="Times New Roman" w:hAnsi="Times New Roman" w:eastAsia="方正仿宋_GBK" w:cs="Times New Roman"/>
          <w:b/>
          <w:bCs/>
          <w:caps/>
          <w:color w:val="auto"/>
          <w:kern w:val="2"/>
          <w:sz w:val="24"/>
          <w:szCs w:val="24"/>
          <w:highlight w:val="none"/>
          <w:lang w:val="en-US" w:eastAsia="zh-CN" w:bidi="ar-SA"/>
        </w:rPr>
        <w:fldChar w:fldCharType="end"/>
      </w:r>
    </w:p>
    <w:p w14:paraId="445E3B7B">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_Toc3994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第6条 甲方的主体资格和主要权利义务</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_Toc3994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8</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39F9ABE1">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_Toc3875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第7条 乙方的主体资格和主要权利义务</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_Toc3875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10</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701C1E45">
      <w:pPr>
        <w:keepNext w:val="0"/>
        <w:keepLines w:val="0"/>
        <w:pageBreakBefore w:val="0"/>
        <w:widowControl w:val="0"/>
        <w:tabs>
          <w:tab w:val="right" w:leader="dot" w:pos="8674"/>
        </w:tabs>
        <w:kinsoku/>
        <w:wordWrap/>
        <w:overflowPunct/>
        <w:topLinePunct w:val="0"/>
        <w:autoSpaceDE/>
        <w:autoSpaceDN/>
        <w:bidi w:val="0"/>
        <w:adjustRightInd w:val="0"/>
        <w:snapToGrid w:val="0"/>
        <w:spacing w:before="156" w:beforeLines="0" w:after="0" w:afterLines="0" w:line="360" w:lineRule="auto"/>
        <w:ind w:firstLine="0" w:firstLineChars="0"/>
        <w:jc w:val="left"/>
        <w:textAlignment w:val="auto"/>
        <w:rPr>
          <w:rFonts w:hint="default" w:ascii="Times New Roman" w:hAnsi="Times New Roman" w:eastAsia="方正仿宋_GBK" w:cs="Times New Roman"/>
          <w:b/>
          <w:bCs/>
          <w:caps/>
          <w:color w:val="auto"/>
          <w:kern w:val="2"/>
          <w:sz w:val="24"/>
          <w:szCs w:val="24"/>
          <w:highlight w:val="none"/>
          <w:lang w:val="en-US" w:eastAsia="zh-CN" w:bidi="ar-SA"/>
        </w:rPr>
      </w:pP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 HYPERLINK \l _Toc32588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val="0"/>
          <w:smallCaps w:val="0"/>
          <w:color w:val="auto"/>
          <w:kern w:val="2"/>
          <w:sz w:val="24"/>
          <w:szCs w:val="24"/>
          <w:highlight w:val="none"/>
          <w:lang w:val="en-US" w:eastAsia="zh-CN" w:bidi="ar-SA"/>
        </w:rPr>
        <w:t>第三章 特许经营授权及资产权属</w:t>
      </w:r>
      <w:r>
        <w:rPr>
          <w:rFonts w:hint="default" w:ascii="Times New Roman" w:hAnsi="Times New Roman" w:eastAsia="方正仿宋_GBK" w:cs="Times New Roman"/>
          <w:b/>
          <w:bCs/>
          <w:caps/>
          <w:color w:val="auto"/>
          <w:kern w:val="2"/>
          <w:sz w:val="24"/>
          <w:szCs w:val="24"/>
          <w:highlight w:val="none"/>
          <w:lang w:val="en-US" w:eastAsia="zh-CN" w:bidi="ar-SA"/>
        </w:rPr>
        <w:tab/>
      </w: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 PAGEREF _Toc32588 \h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color w:val="auto"/>
          <w:kern w:val="2"/>
          <w:sz w:val="24"/>
          <w:szCs w:val="24"/>
          <w:highlight w:val="none"/>
          <w:lang w:val="en-US" w:eastAsia="zh-CN" w:bidi="ar-SA"/>
        </w:rPr>
        <w:t>13</w:t>
      </w:r>
      <w:r>
        <w:rPr>
          <w:rFonts w:hint="default" w:ascii="Times New Roman" w:hAnsi="Times New Roman" w:eastAsia="方正仿宋_GBK" w:cs="Times New Roman"/>
          <w:b/>
          <w:bCs/>
          <w:caps/>
          <w:color w:val="auto"/>
          <w:kern w:val="2"/>
          <w:sz w:val="24"/>
          <w:szCs w:val="24"/>
          <w:highlight w:val="none"/>
          <w:lang w:val="en-US" w:eastAsia="zh-CN" w:bidi="ar-SA"/>
        </w:rPr>
        <w:fldChar w:fldCharType="end"/>
      </w:r>
      <w:r>
        <w:rPr>
          <w:rFonts w:hint="default" w:ascii="Times New Roman" w:hAnsi="Times New Roman" w:eastAsia="方正仿宋_GBK" w:cs="Times New Roman"/>
          <w:b/>
          <w:bCs/>
          <w:caps/>
          <w:color w:val="auto"/>
          <w:kern w:val="2"/>
          <w:sz w:val="24"/>
          <w:szCs w:val="24"/>
          <w:highlight w:val="none"/>
          <w:lang w:val="en-US" w:eastAsia="zh-CN" w:bidi="ar-SA"/>
        </w:rPr>
        <w:fldChar w:fldCharType="end"/>
      </w:r>
    </w:p>
    <w:p w14:paraId="2CED664D">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_Toc11954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第8条 特许经营授予程序及遵守</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_Toc11954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13</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180B8764">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_Toc31825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第9条 特许经营授权内容</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_Toc31825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13</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6A38E400">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_Toc11700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第10条 特许经营实施方式</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_Toc11700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14</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05B95C60">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_Toc440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第11条 投资运营维护内容服务区域或范围</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_Toc440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14</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326D6C41">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_Toc26710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第12条 特许经营期</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_Toc26710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15</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4B2A96F8">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_Toc31472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第13条 特许经营期届满终止后的优先权</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_Toc31472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16</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5898FAAE">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_Toc25713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第14条 特许经营排他性和竞争性项目</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_Toc25713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16</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33417387">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_Toc9711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第15条 项目公司的经营范围、注册资本、股东出资方式、出资比例、利益分配方式</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_Toc9711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16</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46F60A51">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_Toc420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第16条 对项目公司股权、经营行为的限制</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_Toc420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17</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380D1879">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_Toc32620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第17条 项目资产与权属</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_Toc32620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18</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45B70189">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_Toc16141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第18条 用地获取和使用权利</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_Toc16141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18</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115D522E">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_Toc21036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第19条 履约担保</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_Toc21036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19</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776D5B2C">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_Toc27645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第20条 特许经营协议履行情况书面报告</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_Toc27645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19</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356EFEDA">
      <w:pPr>
        <w:keepNext w:val="0"/>
        <w:keepLines w:val="0"/>
        <w:pageBreakBefore w:val="0"/>
        <w:widowControl w:val="0"/>
        <w:tabs>
          <w:tab w:val="right" w:leader="dot" w:pos="8674"/>
        </w:tabs>
        <w:kinsoku/>
        <w:wordWrap/>
        <w:overflowPunct/>
        <w:topLinePunct w:val="0"/>
        <w:autoSpaceDE/>
        <w:autoSpaceDN/>
        <w:bidi w:val="0"/>
        <w:adjustRightInd w:val="0"/>
        <w:snapToGrid w:val="0"/>
        <w:spacing w:before="156" w:beforeLines="0" w:after="0" w:afterLines="0" w:line="360" w:lineRule="auto"/>
        <w:ind w:firstLine="0" w:firstLineChars="0"/>
        <w:jc w:val="left"/>
        <w:textAlignment w:val="auto"/>
        <w:rPr>
          <w:rFonts w:hint="default" w:ascii="Times New Roman" w:hAnsi="Times New Roman" w:eastAsia="方正仿宋_GBK" w:cs="Times New Roman"/>
          <w:b/>
          <w:bCs/>
          <w:caps/>
          <w:color w:val="auto"/>
          <w:kern w:val="2"/>
          <w:sz w:val="24"/>
          <w:szCs w:val="24"/>
          <w:highlight w:val="none"/>
          <w:lang w:val="en-US" w:eastAsia="zh-CN" w:bidi="ar-SA"/>
        </w:rPr>
      </w:pP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 HYPERLINK \l _Toc2413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val="0"/>
          <w:smallCaps w:val="0"/>
          <w:color w:val="auto"/>
          <w:kern w:val="2"/>
          <w:sz w:val="24"/>
          <w:szCs w:val="24"/>
          <w:highlight w:val="none"/>
          <w:lang w:val="en-US" w:eastAsia="zh-CN" w:bidi="ar-SA"/>
        </w:rPr>
        <w:t>第四章 项目投资计划及资金筹措</w:t>
      </w:r>
      <w:r>
        <w:rPr>
          <w:rFonts w:hint="default" w:ascii="Times New Roman" w:hAnsi="Times New Roman" w:eastAsia="方正仿宋_GBK" w:cs="Times New Roman"/>
          <w:b/>
          <w:bCs/>
          <w:caps/>
          <w:color w:val="auto"/>
          <w:kern w:val="2"/>
          <w:sz w:val="24"/>
          <w:szCs w:val="24"/>
          <w:highlight w:val="none"/>
          <w:lang w:val="en-US" w:eastAsia="zh-CN" w:bidi="ar-SA"/>
        </w:rPr>
        <w:tab/>
      </w: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 PAGEREF _Toc2413 \h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color w:val="auto"/>
          <w:kern w:val="2"/>
          <w:sz w:val="24"/>
          <w:szCs w:val="24"/>
          <w:highlight w:val="none"/>
          <w:lang w:val="en-US" w:eastAsia="zh-CN" w:bidi="ar-SA"/>
        </w:rPr>
        <w:t>20</w:t>
      </w:r>
      <w:r>
        <w:rPr>
          <w:rFonts w:hint="default" w:ascii="Times New Roman" w:hAnsi="Times New Roman" w:eastAsia="方正仿宋_GBK" w:cs="Times New Roman"/>
          <w:b/>
          <w:bCs/>
          <w:caps/>
          <w:color w:val="auto"/>
          <w:kern w:val="2"/>
          <w:sz w:val="24"/>
          <w:szCs w:val="24"/>
          <w:highlight w:val="none"/>
          <w:lang w:val="en-US" w:eastAsia="zh-CN" w:bidi="ar-SA"/>
        </w:rPr>
        <w:fldChar w:fldCharType="end"/>
      </w:r>
      <w:r>
        <w:rPr>
          <w:rFonts w:hint="default" w:ascii="Times New Roman" w:hAnsi="Times New Roman" w:eastAsia="方正仿宋_GBK" w:cs="Times New Roman"/>
          <w:b/>
          <w:bCs/>
          <w:caps/>
          <w:color w:val="auto"/>
          <w:kern w:val="2"/>
          <w:sz w:val="24"/>
          <w:szCs w:val="24"/>
          <w:highlight w:val="none"/>
          <w:lang w:val="en-US" w:eastAsia="zh-CN" w:bidi="ar-SA"/>
        </w:rPr>
        <w:fldChar w:fldCharType="end"/>
      </w:r>
    </w:p>
    <w:p w14:paraId="1243121D">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_Toc799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第21条 特许经营权转让价款和投资计划</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_Toc799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20</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35609F41">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_Toc10229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第22条 资金筹措</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_Toc10229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20</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6461FF9C">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_Toc11230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第23条 甲方提供的投融资支持</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_Toc11230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20</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02777555">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_Toc4178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第24条 投融资违约事项</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_Toc4178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20</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5526E1F2">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_Toc31771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第25条 大修、重置、</w:t>
      </w:r>
      <w:r>
        <w:rPr>
          <w:rFonts w:hint="default" w:ascii="Times New Roman" w:hAnsi="Times New Roman" w:eastAsia="方正仿宋_GBK" w:cs="Times New Roman"/>
          <w:bCs w:val="0"/>
          <w:caps w:val="0"/>
          <w:smallCaps w:val="0"/>
          <w:color w:val="auto"/>
          <w:kern w:val="2"/>
          <w:sz w:val="24"/>
          <w:szCs w:val="24"/>
          <w:highlight w:val="none"/>
          <w:lang w:val="en-US" w:eastAsia="zh-CN" w:bidi="ar-SA"/>
        </w:rPr>
        <w:t>技</w:t>
      </w:r>
      <w:r>
        <w:rPr>
          <w:rFonts w:hint="default" w:ascii="Times New Roman" w:hAnsi="Times New Roman" w:eastAsia="方正仿宋_GBK" w:cs="Times New Roman"/>
          <w:bCs/>
          <w:caps w:val="0"/>
          <w:smallCaps w:val="0"/>
          <w:color w:val="auto"/>
          <w:kern w:val="2"/>
          <w:sz w:val="24"/>
          <w:szCs w:val="24"/>
          <w:highlight w:val="none"/>
          <w:lang w:val="en-US" w:eastAsia="zh-CN" w:bidi="ar-SA"/>
        </w:rPr>
        <w:t>改投资前置报</w:t>
      </w:r>
      <w:r>
        <w:rPr>
          <w:rFonts w:hint="default" w:ascii="Times New Roman" w:hAnsi="Times New Roman" w:eastAsia="方正仿宋_GBK" w:cs="Times New Roman"/>
          <w:bCs w:val="0"/>
          <w:caps w:val="0"/>
          <w:smallCaps w:val="0"/>
          <w:color w:val="auto"/>
          <w:kern w:val="2"/>
          <w:sz w:val="24"/>
          <w:szCs w:val="24"/>
          <w:highlight w:val="none"/>
          <w:lang w:val="en-US" w:eastAsia="zh-CN" w:bidi="ar-SA"/>
        </w:rPr>
        <w:t>批</w:t>
      </w:r>
      <w:r>
        <w:rPr>
          <w:rFonts w:hint="default" w:ascii="Times New Roman" w:hAnsi="Times New Roman" w:eastAsia="方正仿宋_GBK" w:cs="Times New Roman"/>
          <w:bCs/>
          <w:caps w:val="0"/>
          <w:smallCaps w:val="0"/>
          <w:color w:val="auto"/>
          <w:kern w:val="2"/>
          <w:sz w:val="24"/>
          <w:szCs w:val="24"/>
          <w:highlight w:val="none"/>
          <w:lang w:val="en-US" w:eastAsia="zh-CN" w:bidi="ar-SA"/>
        </w:rPr>
        <w:t>管理</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_Toc31771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21</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52C97BF0">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_Toc28740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第26条 投资实施监督与投资变更管</w:t>
      </w:r>
      <w:r>
        <w:rPr>
          <w:rFonts w:hint="default" w:ascii="Times New Roman" w:hAnsi="Times New Roman" w:eastAsia="方正仿宋_GBK" w:cs="Times New Roman"/>
          <w:bCs w:val="0"/>
          <w:caps w:val="0"/>
          <w:smallCaps w:val="0"/>
          <w:color w:val="auto"/>
          <w:kern w:val="2"/>
          <w:sz w:val="24"/>
          <w:szCs w:val="24"/>
          <w:highlight w:val="none"/>
          <w:lang w:val="en-US" w:eastAsia="zh-CN" w:bidi="ar-SA"/>
        </w:rPr>
        <w:t>控</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_Toc28740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21</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12AB8265">
      <w:pPr>
        <w:keepNext w:val="0"/>
        <w:keepLines w:val="0"/>
        <w:pageBreakBefore w:val="0"/>
        <w:widowControl w:val="0"/>
        <w:tabs>
          <w:tab w:val="right" w:leader="dot" w:pos="8674"/>
        </w:tabs>
        <w:kinsoku/>
        <w:wordWrap/>
        <w:overflowPunct/>
        <w:topLinePunct w:val="0"/>
        <w:autoSpaceDE/>
        <w:autoSpaceDN/>
        <w:bidi w:val="0"/>
        <w:adjustRightInd w:val="0"/>
        <w:snapToGrid w:val="0"/>
        <w:spacing w:before="156" w:beforeLines="0" w:after="0" w:afterLines="0" w:line="360" w:lineRule="auto"/>
        <w:ind w:firstLine="0" w:firstLineChars="0"/>
        <w:jc w:val="left"/>
        <w:textAlignment w:val="auto"/>
        <w:rPr>
          <w:rFonts w:hint="default" w:ascii="Times New Roman" w:hAnsi="Times New Roman" w:eastAsia="方正仿宋_GBK" w:cs="Times New Roman"/>
          <w:b/>
          <w:bCs/>
          <w:caps/>
          <w:color w:val="auto"/>
          <w:kern w:val="2"/>
          <w:sz w:val="24"/>
          <w:szCs w:val="24"/>
          <w:highlight w:val="none"/>
          <w:lang w:val="en-US" w:eastAsia="zh-CN" w:bidi="ar-SA"/>
        </w:rPr>
      </w:pP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 HYPERLINK \l _Toc9325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val="0"/>
          <w:smallCaps w:val="0"/>
          <w:color w:val="auto"/>
          <w:kern w:val="2"/>
          <w:sz w:val="24"/>
          <w:szCs w:val="24"/>
          <w:highlight w:val="none"/>
          <w:lang w:val="en-US" w:eastAsia="zh-CN" w:bidi="ar-SA"/>
        </w:rPr>
        <w:t>第五章 污水处理</w:t>
      </w:r>
      <w:r>
        <w:rPr>
          <w:rFonts w:hint="eastAsia" w:ascii="Times New Roman" w:hAnsi="Times New Roman" w:eastAsia="方正仿宋_GBK" w:cs="Times New Roman"/>
          <w:b/>
          <w:bCs/>
          <w:caps w:val="0"/>
          <w:smallCaps w:val="0"/>
          <w:color w:val="auto"/>
          <w:kern w:val="2"/>
          <w:sz w:val="24"/>
          <w:szCs w:val="24"/>
          <w:highlight w:val="none"/>
          <w:lang w:val="en-US" w:eastAsia="zh-CN" w:bidi="ar-SA"/>
        </w:rPr>
        <w:t>设施</w:t>
      </w:r>
      <w:r>
        <w:rPr>
          <w:rFonts w:hint="default" w:ascii="Times New Roman" w:hAnsi="Times New Roman" w:eastAsia="方正仿宋_GBK" w:cs="Times New Roman"/>
          <w:b/>
          <w:bCs/>
          <w:caps w:val="0"/>
          <w:smallCaps w:val="0"/>
          <w:color w:val="auto"/>
          <w:kern w:val="2"/>
          <w:sz w:val="24"/>
          <w:szCs w:val="24"/>
          <w:highlight w:val="none"/>
          <w:lang w:val="en-US" w:eastAsia="zh-CN" w:bidi="ar-SA"/>
        </w:rPr>
        <w:t>特许经营权转让</w:t>
      </w:r>
      <w:r>
        <w:rPr>
          <w:rFonts w:hint="default" w:ascii="Times New Roman" w:hAnsi="Times New Roman" w:eastAsia="方正仿宋_GBK" w:cs="Times New Roman"/>
          <w:b/>
          <w:bCs/>
          <w:caps/>
          <w:color w:val="auto"/>
          <w:kern w:val="2"/>
          <w:sz w:val="24"/>
          <w:szCs w:val="24"/>
          <w:highlight w:val="none"/>
          <w:lang w:val="en-US" w:eastAsia="zh-CN" w:bidi="ar-SA"/>
        </w:rPr>
        <w:tab/>
      </w: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 PAGEREF _Toc9325 \h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color w:val="auto"/>
          <w:kern w:val="2"/>
          <w:sz w:val="24"/>
          <w:szCs w:val="24"/>
          <w:highlight w:val="none"/>
          <w:lang w:val="en-US" w:eastAsia="zh-CN" w:bidi="ar-SA"/>
        </w:rPr>
        <w:t>22</w:t>
      </w:r>
      <w:r>
        <w:rPr>
          <w:rFonts w:hint="default" w:ascii="Times New Roman" w:hAnsi="Times New Roman" w:eastAsia="方正仿宋_GBK" w:cs="Times New Roman"/>
          <w:b/>
          <w:bCs/>
          <w:caps/>
          <w:color w:val="auto"/>
          <w:kern w:val="2"/>
          <w:sz w:val="24"/>
          <w:szCs w:val="24"/>
          <w:highlight w:val="none"/>
          <w:lang w:val="en-US" w:eastAsia="zh-CN" w:bidi="ar-SA"/>
        </w:rPr>
        <w:fldChar w:fldCharType="end"/>
      </w:r>
      <w:r>
        <w:rPr>
          <w:rFonts w:hint="default" w:ascii="Times New Roman" w:hAnsi="Times New Roman" w:eastAsia="方正仿宋_GBK" w:cs="Times New Roman"/>
          <w:b/>
          <w:bCs/>
          <w:caps/>
          <w:color w:val="auto"/>
          <w:kern w:val="2"/>
          <w:sz w:val="24"/>
          <w:szCs w:val="24"/>
          <w:highlight w:val="none"/>
          <w:lang w:val="en-US" w:eastAsia="zh-CN" w:bidi="ar-SA"/>
        </w:rPr>
        <w:fldChar w:fldCharType="end"/>
      </w:r>
    </w:p>
    <w:p w14:paraId="4B6EE63D">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_Toc28789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第27条 特许经营权转让的范围</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_Toc28789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22</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6804739A">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_Toc17281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第28条 资产交割时间及要求</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_Toc17281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22</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3CE209E3">
      <w:pPr>
        <w:keepNext w:val="0"/>
        <w:keepLines w:val="0"/>
        <w:pageBreakBefore w:val="0"/>
        <w:widowControl w:val="0"/>
        <w:tabs>
          <w:tab w:val="right" w:leader="dot" w:pos="8674"/>
        </w:tabs>
        <w:kinsoku/>
        <w:wordWrap/>
        <w:overflowPunct/>
        <w:topLinePunct w:val="0"/>
        <w:autoSpaceDE/>
        <w:autoSpaceDN/>
        <w:bidi w:val="0"/>
        <w:adjustRightInd w:val="0"/>
        <w:snapToGrid w:val="0"/>
        <w:spacing w:before="156" w:beforeLines="0" w:after="0" w:afterLines="0" w:line="360" w:lineRule="auto"/>
        <w:ind w:firstLine="0" w:firstLineChars="0"/>
        <w:jc w:val="left"/>
        <w:textAlignment w:val="auto"/>
        <w:rPr>
          <w:rFonts w:hint="default" w:ascii="Times New Roman" w:hAnsi="Times New Roman" w:eastAsia="方正仿宋_GBK" w:cs="Times New Roman"/>
          <w:b/>
          <w:bCs/>
          <w:caps/>
          <w:color w:val="auto"/>
          <w:kern w:val="2"/>
          <w:sz w:val="24"/>
          <w:szCs w:val="24"/>
          <w:highlight w:val="none"/>
          <w:lang w:val="en-US" w:eastAsia="zh-CN" w:bidi="ar-SA"/>
        </w:rPr>
      </w:pP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 HYPERLINK \l _Toc4837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val="0"/>
          <w:smallCaps w:val="0"/>
          <w:color w:val="auto"/>
          <w:kern w:val="2"/>
          <w:sz w:val="24"/>
          <w:szCs w:val="24"/>
          <w:highlight w:val="none"/>
          <w:lang w:val="en-US" w:eastAsia="zh-CN" w:bidi="ar-SA"/>
        </w:rPr>
        <w:t>第六章 运营和服务</w:t>
      </w:r>
      <w:r>
        <w:rPr>
          <w:rFonts w:hint="default" w:ascii="Times New Roman" w:hAnsi="Times New Roman" w:eastAsia="方正仿宋_GBK" w:cs="Times New Roman"/>
          <w:b/>
          <w:bCs/>
          <w:caps/>
          <w:color w:val="auto"/>
          <w:kern w:val="2"/>
          <w:sz w:val="24"/>
          <w:szCs w:val="24"/>
          <w:highlight w:val="none"/>
          <w:lang w:val="en-US" w:eastAsia="zh-CN" w:bidi="ar-SA"/>
        </w:rPr>
        <w:tab/>
      </w: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 PAGEREF _Toc4837 \h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color w:val="auto"/>
          <w:kern w:val="2"/>
          <w:sz w:val="24"/>
          <w:szCs w:val="24"/>
          <w:highlight w:val="none"/>
          <w:lang w:val="en-US" w:eastAsia="zh-CN" w:bidi="ar-SA"/>
        </w:rPr>
        <w:t>23</w:t>
      </w:r>
      <w:r>
        <w:rPr>
          <w:rFonts w:hint="default" w:ascii="Times New Roman" w:hAnsi="Times New Roman" w:eastAsia="方正仿宋_GBK" w:cs="Times New Roman"/>
          <w:b/>
          <w:bCs/>
          <w:caps/>
          <w:color w:val="auto"/>
          <w:kern w:val="2"/>
          <w:sz w:val="24"/>
          <w:szCs w:val="24"/>
          <w:highlight w:val="none"/>
          <w:lang w:val="en-US" w:eastAsia="zh-CN" w:bidi="ar-SA"/>
        </w:rPr>
        <w:fldChar w:fldCharType="end"/>
      </w:r>
      <w:r>
        <w:rPr>
          <w:rFonts w:hint="default" w:ascii="Times New Roman" w:hAnsi="Times New Roman" w:eastAsia="方正仿宋_GBK" w:cs="Times New Roman"/>
          <w:b/>
          <w:bCs/>
          <w:caps/>
          <w:color w:val="auto"/>
          <w:kern w:val="2"/>
          <w:sz w:val="24"/>
          <w:szCs w:val="24"/>
          <w:highlight w:val="none"/>
          <w:lang w:val="en-US" w:eastAsia="zh-CN" w:bidi="ar-SA"/>
        </w:rPr>
        <w:fldChar w:fldCharType="end"/>
      </w:r>
    </w:p>
    <w:p w14:paraId="64F652F5">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_Toc16722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第29条 经营计划与财务报告</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_Toc16722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23</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63FA6C22">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_Toc15792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第30条 项目设施的运营</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_Toc15792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23</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15D1AC6B">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_Toc22868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第31条 项目设施的大修</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_Toc22868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24</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23F9D097">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_Toc7455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第32条 项目设施的重置</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_Toc7455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25</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1ACDE260">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_Toc29384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i w:val="0"/>
          <w:iCs w:val="0"/>
          <w:caps w:val="0"/>
          <w:smallCaps w:val="0"/>
          <w:strike w:val="0"/>
          <w:dstrike w:val="0"/>
          <w:vanish w:val="0"/>
          <w:color w:val="auto"/>
          <w:spacing w:val="0"/>
          <w:kern w:val="2"/>
          <w:position w:val="0"/>
          <w:sz w:val="24"/>
          <w:szCs w:val="24"/>
          <w:highlight w:val="none"/>
          <w:vertAlign w:val="baseline"/>
          <w:lang w:val="en-US" w:eastAsia="zh-CN" w:bidi="ar-SA"/>
        </w:rPr>
        <w:t xml:space="preserve">第33条 </w:t>
      </w:r>
      <w:r>
        <w:rPr>
          <w:rFonts w:hint="default" w:ascii="Times New Roman" w:hAnsi="Times New Roman" w:eastAsia="方正仿宋_GBK" w:cs="Times New Roman"/>
          <w:smallCaps/>
          <w:color w:val="auto"/>
          <w:kern w:val="2"/>
          <w:sz w:val="24"/>
          <w:szCs w:val="24"/>
          <w:highlight w:val="none"/>
          <w:lang w:val="en-US" w:eastAsia="zh-CN" w:bidi="ar-SA"/>
        </w:rPr>
        <w:t>项目设施的改造及补偿</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_Toc29384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25</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173E3314">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_Toc7968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i w:val="0"/>
          <w:iCs w:val="0"/>
          <w:caps w:val="0"/>
          <w:smallCaps w:val="0"/>
          <w:strike w:val="0"/>
          <w:dstrike w:val="0"/>
          <w:vanish w:val="0"/>
          <w:color w:val="auto"/>
          <w:spacing w:val="0"/>
          <w:kern w:val="2"/>
          <w:position w:val="0"/>
          <w:sz w:val="24"/>
          <w:szCs w:val="24"/>
          <w:highlight w:val="none"/>
          <w:vertAlign w:val="baseline"/>
          <w:lang w:val="en-US" w:eastAsia="zh-CN" w:bidi="ar-SA"/>
        </w:rPr>
        <w:t xml:space="preserve">第34条 </w:t>
      </w:r>
      <w:r>
        <w:rPr>
          <w:rFonts w:hint="default" w:ascii="Times New Roman" w:hAnsi="Times New Roman" w:eastAsia="方正仿宋_GBK" w:cs="Times New Roman"/>
          <w:smallCaps/>
          <w:color w:val="auto"/>
          <w:kern w:val="2"/>
          <w:sz w:val="24"/>
          <w:szCs w:val="24"/>
          <w:highlight w:val="none"/>
          <w:lang w:val="en-US" w:eastAsia="zh-CN" w:bidi="ar-SA"/>
        </w:rPr>
        <w:t>大修和重置费用的监管</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_Toc7968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26</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066CFD65">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_Toc8398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smallCaps/>
          <w:color w:val="auto"/>
          <w:kern w:val="2"/>
          <w:sz w:val="24"/>
          <w:szCs w:val="24"/>
          <w:highlight w:val="none"/>
          <w:lang w:val="en-US" w:eastAsia="zh-CN" w:bidi="ar-SA"/>
        </w:rPr>
        <w:t>第35条 运营期内的环境保护</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_Toc8398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27</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28031BBE">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_Toc7062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第36条 运营期保险</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_Toc7062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27</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4C85E5B0">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_Toc12276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第37条 乙方创新和主动增效</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_Toc12276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28</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1738EC5D">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_Toc6184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第38条 其他约定</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_Toc6184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28</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0DF947D4">
      <w:pPr>
        <w:keepNext w:val="0"/>
        <w:keepLines w:val="0"/>
        <w:pageBreakBefore w:val="0"/>
        <w:widowControl w:val="0"/>
        <w:tabs>
          <w:tab w:val="right" w:leader="dot" w:pos="8674"/>
        </w:tabs>
        <w:kinsoku/>
        <w:wordWrap/>
        <w:overflowPunct/>
        <w:topLinePunct w:val="0"/>
        <w:autoSpaceDE/>
        <w:autoSpaceDN/>
        <w:bidi w:val="0"/>
        <w:adjustRightInd w:val="0"/>
        <w:snapToGrid w:val="0"/>
        <w:spacing w:before="156" w:beforeLines="0" w:after="0" w:afterLines="0" w:line="360" w:lineRule="auto"/>
        <w:ind w:firstLine="0" w:firstLineChars="0"/>
        <w:jc w:val="left"/>
        <w:textAlignment w:val="auto"/>
        <w:rPr>
          <w:rFonts w:hint="default" w:ascii="Times New Roman" w:hAnsi="Times New Roman" w:eastAsia="方正仿宋_GBK" w:cs="Times New Roman"/>
          <w:b/>
          <w:bCs/>
          <w:caps/>
          <w:color w:val="auto"/>
          <w:kern w:val="2"/>
          <w:sz w:val="24"/>
          <w:szCs w:val="24"/>
          <w:highlight w:val="none"/>
          <w:lang w:val="en-US" w:eastAsia="zh-CN" w:bidi="ar-SA"/>
        </w:rPr>
      </w:pP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 HYPERLINK \l _Toc5458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val="0"/>
          <w:smallCaps w:val="0"/>
          <w:color w:val="auto"/>
          <w:kern w:val="2"/>
          <w:sz w:val="24"/>
          <w:szCs w:val="24"/>
          <w:highlight w:val="none"/>
          <w:lang w:val="en-US" w:eastAsia="zh-CN" w:bidi="ar-SA"/>
        </w:rPr>
        <w:t>第七章 收益取得方式、价格和收费的确定和调整</w:t>
      </w:r>
      <w:r>
        <w:rPr>
          <w:rFonts w:hint="default" w:ascii="Times New Roman" w:hAnsi="Times New Roman" w:eastAsia="方正仿宋_GBK" w:cs="Times New Roman"/>
          <w:b/>
          <w:bCs/>
          <w:caps/>
          <w:color w:val="auto"/>
          <w:kern w:val="2"/>
          <w:sz w:val="24"/>
          <w:szCs w:val="24"/>
          <w:highlight w:val="none"/>
          <w:lang w:val="en-US" w:eastAsia="zh-CN" w:bidi="ar-SA"/>
        </w:rPr>
        <w:tab/>
      </w: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 PAGEREF _Toc5458 \h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color w:val="auto"/>
          <w:kern w:val="2"/>
          <w:sz w:val="24"/>
          <w:szCs w:val="24"/>
          <w:highlight w:val="none"/>
          <w:lang w:val="en-US" w:eastAsia="zh-CN" w:bidi="ar-SA"/>
        </w:rPr>
        <w:t>29</w:t>
      </w:r>
      <w:r>
        <w:rPr>
          <w:rFonts w:hint="default" w:ascii="Times New Roman" w:hAnsi="Times New Roman" w:eastAsia="方正仿宋_GBK" w:cs="Times New Roman"/>
          <w:b/>
          <w:bCs/>
          <w:caps/>
          <w:color w:val="auto"/>
          <w:kern w:val="2"/>
          <w:sz w:val="24"/>
          <w:szCs w:val="24"/>
          <w:highlight w:val="none"/>
          <w:lang w:val="en-US" w:eastAsia="zh-CN" w:bidi="ar-SA"/>
        </w:rPr>
        <w:fldChar w:fldCharType="end"/>
      </w:r>
      <w:r>
        <w:rPr>
          <w:rFonts w:hint="default" w:ascii="Times New Roman" w:hAnsi="Times New Roman" w:eastAsia="方正仿宋_GBK" w:cs="Times New Roman"/>
          <w:b/>
          <w:bCs/>
          <w:caps/>
          <w:color w:val="auto"/>
          <w:kern w:val="2"/>
          <w:sz w:val="24"/>
          <w:szCs w:val="24"/>
          <w:highlight w:val="none"/>
          <w:lang w:val="en-US" w:eastAsia="zh-CN" w:bidi="ar-SA"/>
        </w:rPr>
        <w:fldChar w:fldCharType="end"/>
      </w:r>
    </w:p>
    <w:p w14:paraId="0D09F89D">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_Toc19312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第39条 项目收益取得方式</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_Toc19312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29</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5BA6D062">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_Toc29557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第40条 服务价格及调整</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_Toc29557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29</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4B5526BA">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_Toc25273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第41条 运营期的补贴</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_Toc25273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30</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51C6DA8E">
      <w:pPr>
        <w:keepNext w:val="0"/>
        <w:keepLines w:val="0"/>
        <w:pageBreakBefore w:val="0"/>
        <w:widowControl w:val="0"/>
        <w:tabs>
          <w:tab w:val="right" w:leader="dot" w:pos="8674"/>
        </w:tabs>
        <w:kinsoku/>
        <w:wordWrap/>
        <w:overflowPunct/>
        <w:topLinePunct w:val="0"/>
        <w:autoSpaceDE/>
        <w:autoSpaceDN/>
        <w:bidi w:val="0"/>
        <w:adjustRightInd w:val="0"/>
        <w:snapToGrid w:val="0"/>
        <w:spacing w:before="156" w:beforeLines="0" w:after="0" w:afterLines="0" w:line="360" w:lineRule="auto"/>
        <w:ind w:firstLine="0" w:firstLineChars="0"/>
        <w:jc w:val="left"/>
        <w:textAlignment w:val="auto"/>
        <w:rPr>
          <w:rFonts w:hint="default" w:ascii="Times New Roman" w:hAnsi="Times New Roman" w:eastAsia="方正仿宋_GBK" w:cs="Times New Roman"/>
          <w:b/>
          <w:bCs/>
          <w:caps/>
          <w:color w:val="auto"/>
          <w:kern w:val="2"/>
          <w:sz w:val="24"/>
          <w:szCs w:val="24"/>
          <w:highlight w:val="none"/>
          <w:lang w:val="en-US" w:eastAsia="zh-CN" w:bidi="ar-SA"/>
        </w:rPr>
      </w:pP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 HYPERLINK \l _Toc19362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val="0"/>
          <w:smallCaps w:val="0"/>
          <w:color w:val="auto"/>
          <w:kern w:val="2"/>
          <w:sz w:val="24"/>
          <w:szCs w:val="24"/>
          <w:highlight w:val="none"/>
          <w:lang w:val="en-US" w:eastAsia="zh-CN" w:bidi="ar-SA"/>
        </w:rPr>
        <w:t>第八章 特定监管事项和措施</w:t>
      </w:r>
      <w:r>
        <w:rPr>
          <w:rFonts w:hint="default" w:ascii="Times New Roman" w:hAnsi="Times New Roman" w:eastAsia="方正仿宋_GBK" w:cs="Times New Roman"/>
          <w:b/>
          <w:bCs/>
          <w:caps/>
          <w:color w:val="auto"/>
          <w:kern w:val="2"/>
          <w:sz w:val="24"/>
          <w:szCs w:val="24"/>
          <w:highlight w:val="none"/>
          <w:lang w:val="en-US" w:eastAsia="zh-CN" w:bidi="ar-SA"/>
        </w:rPr>
        <w:tab/>
      </w: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 PAGEREF _Toc19362 \h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color w:val="auto"/>
          <w:kern w:val="2"/>
          <w:sz w:val="24"/>
          <w:szCs w:val="24"/>
          <w:highlight w:val="none"/>
          <w:lang w:val="en-US" w:eastAsia="zh-CN" w:bidi="ar-SA"/>
        </w:rPr>
        <w:t>32</w:t>
      </w:r>
      <w:r>
        <w:rPr>
          <w:rFonts w:hint="default" w:ascii="Times New Roman" w:hAnsi="Times New Roman" w:eastAsia="方正仿宋_GBK" w:cs="Times New Roman"/>
          <w:b/>
          <w:bCs/>
          <w:caps/>
          <w:color w:val="auto"/>
          <w:kern w:val="2"/>
          <w:sz w:val="24"/>
          <w:szCs w:val="24"/>
          <w:highlight w:val="none"/>
          <w:lang w:val="en-US" w:eastAsia="zh-CN" w:bidi="ar-SA"/>
        </w:rPr>
        <w:fldChar w:fldCharType="end"/>
      </w:r>
      <w:r>
        <w:rPr>
          <w:rFonts w:hint="default" w:ascii="Times New Roman" w:hAnsi="Times New Roman" w:eastAsia="方正仿宋_GBK" w:cs="Times New Roman"/>
          <w:b/>
          <w:bCs/>
          <w:caps/>
          <w:color w:val="auto"/>
          <w:kern w:val="2"/>
          <w:sz w:val="24"/>
          <w:szCs w:val="24"/>
          <w:highlight w:val="none"/>
          <w:lang w:val="en-US" w:eastAsia="zh-CN" w:bidi="ar-SA"/>
        </w:rPr>
        <w:fldChar w:fldCharType="end"/>
      </w:r>
    </w:p>
    <w:p w14:paraId="35BF2D00">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_Toc26295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第42条 定期运营评价</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_Toc26295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32</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25DCE195">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_Toc26172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第43条 绩效评价和运营考核</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_Toc26172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32</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2A7E0F2F">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_Toc16081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第44条 应急预案</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_Toc16081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32</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05248CCA">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_Toc4946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第45条 临时接管预案</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_Toc4946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33</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3F23460D">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_Toc4094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第46条 信息披露</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_Toc4094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34</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5113923A">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_Toc11422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第47条 公众监督</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_Toc11422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34</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183DF5F8">
      <w:pPr>
        <w:keepNext w:val="0"/>
        <w:keepLines w:val="0"/>
        <w:pageBreakBefore w:val="0"/>
        <w:widowControl w:val="0"/>
        <w:tabs>
          <w:tab w:val="right" w:leader="dot" w:pos="8674"/>
        </w:tabs>
        <w:kinsoku/>
        <w:wordWrap/>
        <w:overflowPunct/>
        <w:topLinePunct w:val="0"/>
        <w:autoSpaceDE/>
        <w:autoSpaceDN/>
        <w:bidi w:val="0"/>
        <w:adjustRightInd w:val="0"/>
        <w:snapToGrid w:val="0"/>
        <w:spacing w:before="156" w:beforeLines="0" w:after="0" w:afterLines="0" w:line="360" w:lineRule="auto"/>
        <w:ind w:firstLine="0" w:firstLineChars="0"/>
        <w:jc w:val="left"/>
        <w:textAlignment w:val="auto"/>
        <w:rPr>
          <w:rFonts w:hint="default" w:ascii="Times New Roman" w:hAnsi="Times New Roman" w:eastAsia="方正仿宋_GBK" w:cs="Times New Roman"/>
          <w:b/>
          <w:bCs/>
          <w:caps/>
          <w:color w:val="auto"/>
          <w:kern w:val="2"/>
          <w:sz w:val="24"/>
          <w:szCs w:val="24"/>
          <w:highlight w:val="none"/>
          <w:lang w:val="en-US" w:eastAsia="zh-CN" w:bidi="ar-SA"/>
        </w:rPr>
      </w:pP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 HYPERLINK \l _Toc23362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val="0"/>
          <w:smallCaps w:val="0"/>
          <w:color w:val="auto"/>
          <w:kern w:val="2"/>
          <w:sz w:val="24"/>
          <w:szCs w:val="24"/>
          <w:highlight w:val="none"/>
          <w:lang w:val="en-US" w:eastAsia="zh-CN" w:bidi="ar-SA"/>
        </w:rPr>
        <w:t>第九章 不可抗力、情势变更和法律变更</w:t>
      </w:r>
      <w:r>
        <w:rPr>
          <w:rFonts w:hint="default" w:ascii="Times New Roman" w:hAnsi="Times New Roman" w:eastAsia="方正仿宋_GBK" w:cs="Times New Roman"/>
          <w:b/>
          <w:bCs/>
          <w:caps/>
          <w:color w:val="auto"/>
          <w:kern w:val="2"/>
          <w:sz w:val="24"/>
          <w:szCs w:val="24"/>
          <w:highlight w:val="none"/>
          <w:lang w:val="en-US" w:eastAsia="zh-CN" w:bidi="ar-SA"/>
        </w:rPr>
        <w:tab/>
      </w: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 PAGEREF _Toc23362 \h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color w:val="auto"/>
          <w:kern w:val="2"/>
          <w:sz w:val="24"/>
          <w:szCs w:val="24"/>
          <w:highlight w:val="none"/>
          <w:lang w:val="en-US" w:eastAsia="zh-CN" w:bidi="ar-SA"/>
        </w:rPr>
        <w:t>35</w:t>
      </w:r>
      <w:r>
        <w:rPr>
          <w:rFonts w:hint="default" w:ascii="Times New Roman" w:hAnsi="Times New Roman" w:eastAsia="方正仿宋_GBK" w:cs="Times New Roman"/>
          <w:b/>
          <w:bCs/>
          <w:caps/>
          <w:color w:val="auto"/>
          <w:kern w:val="2"/>
          <w:sz w:val="24"/>
          <w:szCs w:val="24"/>
          <w:highlight w:val="none"/>
          <w:lang w:val="en-US" w:eastAsia="zh-CN" w:bidi="ar-SA"/>
        </w:rPr>
        <w:fldChar w:fldCharType="end"/>
      </w:r>
      <w:r>
        <w:rPr>
          <w:rFonts w:hint="default" w:ascii="Times New Roman" w:hAnsi="Times New Roman" w:eastAsia="方正仿宋_GBK" w:cs="Times New Roman"/>
          <w:b/>
          <w:bCs/>
          <w:caps/>
          <w:color w:val="auto"/>
          <w:kern w:val="2"/>
          <w:sz w:val="24"/>
          <w:szCs w:val="24"/>
          <w:highlight w:val="none"/>
          <w:lang w:val="en-US" w:eastAsia="zh-CN" w:bidi="ar-SA"/>
        </w:rPr>
        <w:fldChar w:fldCharType="end"/>
      </w:r>
    </w:p>
    <w:p w14:paraId="1EEBE6D4">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_Toc19581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第48条 不可抗力事件</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_Toc19581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35</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1B4AB1C3">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_Toc8520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第49条 不可抗力事件发生后的各方权利和义务</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_Toc8520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35</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0D34DD78">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_Toc2471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第50条 不可抗力事件的处理</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_Toc2471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36</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521065FD">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_Toc15285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第51条 情势变更</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_Toc15285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37</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485E959E">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_Toc17846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第52条 法律变更</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_Toc17846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38</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6BDB3E9C">
      <w:pPr>
        <w:keepNext w:val="0"/>
        <w:keepLines w:val="0"/>
        <w:pageBreakBefore w:val="0"/>
        <w:widowControl w:val="0"/>
        <w:tabs>
          <w:tab w:val="right" w:leader="dot" w:pos="8674"/>
        </w:tabs>
        <w:kinsoku/>
        <w:wordWrap/>
        <w:overflowPunct/>
        <w:topLinePunct w:val="0"/>
        <w:autoSpaceDE/>
        <w:autoSpaceDN/>
        <w:bidi w:val="0"/>
        <w:adjustRightInd w:val="0"/>
        <w:snapToGrid w:val="0"/>
        <w:spacing w:before="156" w:beforeLines="0" w:after="0" w:afterLines="0" w:line="360" w:lineRule="auto"/>
        <w:ind w:firstLine="0" w:firstLineChars="0"/>
        <w:jc w:val="left"/>
        <w:textAlignment w:val="auto"/>
        <w:rPr>
          <w:rFonts w:hint="default" w:ascii="Times New Roman" w:hAnsi="Times New Roman" w:eastAsia="方正仿宋_GBK" w:cs="Times New Roman"/>
          <w:b/>
          <w:bCs/>
          <w:caps/>
          <w:color w:val="auto"/>
          <w:kern w:val="2"/>
          <w:sz w:val="24"/>
          <w:szCs w:val="24"/>
          <w:highlight w:val="none"/>
          <w:lang w:val="en-US" w:eastAsia="zh-CN" w:bidi="ar-SA"/>
        </w:rPr>
      </w:pP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 HYPERLINK \l _Toc25125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val="0"/>
          <w:smallCaps w:val="0"/>
          <w:color w:val="auto"/>
          <w:kern w:val="2"/>
          <w:sz w:val="24"/>
          <w:szCs w:val="24"/>
          <w:highlight w:val="none"/>
          <w:lang w:val="en-US" w:eastAsia="zh-CN" w:bidi="ar-SA"/>
        </w:rPr>
        <w:t>第十章 特许经营协议解除</w:t>
      </w:r>
      <w:r>
        <w:rPr>
          <w:rFonts w:hint="default" w:ascii="Times New Roman" w:hAnsi="Times New Roman" w:eastAsia="方正仿宋_GBK" w:cs="Times New Roman"/>
          <w:b/>
          <w:bCs/>
          <w:caps/>
          <w:color w:val="auto"/>
          <w:kern w:val="2"/>
          <w:sz w:val="24"/>
          <w:szCs w:val="24"/>
          <w:highlight w:val="none"/>
          <w:lang w:val="en-US" w:eastAsia="zh-CN" w:bidi="ar-SA"/>
        </w:rPr>
        <w:tab/>
      </w: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 PAGEREF _Toc25125 \h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color w:val="auto"/>
          <w:kern w:val="2"/>
          <w:sz w:val="24"/>
          <w:szCs w:val="24"/>
          <w:highlight w:val="none"/>
          <w:lang w:val="en-US" w:eastAsia="zh-CN" w:bidi="ar-SA"/>
        </w:rPr>
        <w:t>40</w:t>
      </w:r>
      <w:r>
        <w:rPr>
          <w:rFonts w:hint="default" w:ascii="Times New Roman" w:hAnsi="Times New Roman" w:eastAsia="方正仿宋_GBK" w:cs="Times New Roman"/>
          <w:b/>
          <w:bCs/>
          <w:caps/>
          <w:color w:val="auto"/>
          <w:kern w:val="2"/>
          <w:sz w:val="24"/>
          <w:szCs w:val="24"/>
          <w:highlight w:val="none"/>
          <w:lang w:val="en-US" w:eastAsia="zh-CN" w:bidi="ar-SA"/>
        </w:rPr>
        <w:fldChar w:fldCharType="end"/>
      </w:r>
      <w:r>
        <w:rPr>
          <w:rFonts w:hint="default" w:ascii="Times New Roman" w:hAnsi="Times New Roman" w:eastAsia="方正仿宋_GBK" w:cs="Times New Roman"/>
          <w:b/>
          <w:bCs/>
          <w:caps/>
          <w:color w:val="auto"/>
          <w:kern w:val="2"/>
          <w:sz w:val="24"/>
          <w:szCs w:val="24"/>
          <w:highlight w:val="none"/>
          <w:lang w:val="en-US" w:eastAsia="zh-CN" w:bidi="ar-SA"/>
        </w:rPr>
        <w:fldChar w:fldCharType="end"/>
      </w:r>
    </w:p>
    <w:p w14:paraId="5909E9CC">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_Toc19634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第53条 协议解除的事由</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_Toc19634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40</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129B4DE4">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_Toc16366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第54条 协议的解除程序</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_Toc16366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42</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57CD8F61">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_Toc13889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第55条 协议解除后的财务安排</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_Toc13889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43</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7FBA221B">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_Toc26910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第56条 协议解除后的项目移交</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_Toc26910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45</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13BCA47E">
      <w:pPr>
        <w:keepNext w:val="0"/>
        <w:keepLines w:val="0"/>
        <w:pageBreakBefore w:val="0"/>
        <w:widowControl w:val="0"/>
        <w:tabs>
          <w:tab w:val="right" w:leader="dot" w:pos="8674"/>
        </w:tabs>
        <w:kinsoku/>
        <w:wordWrap/>
        <w:overflowPunct/>
        <w:topLinePunct w:val="0"/>
        <w:autoSpaceDE/>
        <w:autoSpaceDN/>
        <w:bidi w:val="0"/>
        <w:adjustRightInd w:val="0"/>
        <w:snapToGrid w:val="0"/>
        <w:spacing w:before="156" w:beforeLines="0" w:after="0" w:afterLines="0" w:line="360" w:lineRule="auto"/>
        <w:ind w:firstLine="0" w:firstLineChars="0"/>
        <w:jc w:val="left"/>
        <w:textAlignment w:val="auto"/>
        <w:rPr>
          <w:rFonts w:hint="default" w:ascii="Times New Roman" w:hAnsi="Times New Roman" w:eastAsia="方正仿宋_GBK" w:cs="Times New Roman"/>
          <w:b/>
          <w:bCs/>
          <w:caps/>
          <w:color w:val="auto"/>
          <w:kern w:val="2"/>
          <w:sz w:val="24"/>
          <w:szCs w:val="24"/>
          <w:highlight w:val="none"/>
          <w:lang w:val="en-US" w:eastAsia="zh-CN" w:bidi="ar-SA"/>
        </w:rPr>
      </w:pP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 HYPERLINK \l _Toc15670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val="0"/>
          <w:smallCaps w:val="0"/>
          <w:color w:val="auto"/>
          <w:kern w:val="2"/>
          <w:sz w:val="24"/>
          <w:szCs w:val="24"/>
          <w:highlight w:val="none"/>
          <w:lang w:val="en-US" w:eastAsia="zh-CN" w:bidi="ar-SA"/>
        </w:rPr>
        <w:t>第十一章 项目公司移交项目设施及权益</w:t>
      </w:r>
      <w:r>
        <w:rPr>
          <w:rFonts w:hint="default" w:ascii="Times New Roman" w:hAnsi="Times New Roman" w:eastAsia="方正仿宋_GBK" w:cs="Times New Roman"/>
          <w:b/>
          <w:bCs/>
          <w:caps/>
          <w:color w:val="auto"/>
          <w:kern w:val="2"/>
          <w:sz w:val="24"/>
          <w:szCs w:val="24"/>
          <w:highlight w:val="none"/>
          <w:lang w:val="en-US" w:eastAsia="zh-CN" w:bidi="ar-SA"/>
        </w:rPr>
        <w:tab/>
      </w: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 PAGEREF _Toc15670 \h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color w:val="auto"/>
          <w:kern w:val="2"/>
          <w:sz w:val="24"/>
          <w:szCs w:val="24"/>
          <w:highlight w:val="none"/>
          <w:lang w:val="en-US" w:eastAsia="zh-CN" w:bidi="ar-SA"/>
        </w:rPr>
        <w:t>46</w:t>
      </w:r>
      <w:r>
        <w:rPr>
          <w:rFonts w:hint="default" w:ascii="Times New Roman" w:hAnsi="Times New Roman" w:eastAsia="方正仿宋_GBK" w:cs="Times New Roman"/>
          <w:b/>
          <w:bCs/>
          <w:caps/>
          <w:color w:val="auto"/>
          <w:kern w:val="2"/>
          <w:sz w:val="24"/>
          <w:szCs w:val="24"/>
          <w:highlight w:val="none"/>
          <w:lang w:val="en-US" w:eastAsia="zh-CN" w:bidi="ar-SA"/>
        </w:rPr>
        <w:fldChar w:fldCharType="end"/>
      </w:r>
      <w:r>
        <w:rPr>
          <w:rFonts w:hint="default" w:ascii="Times New Roman" w:hAnsi="Times New Roman" w:eastAsia="方正仿宋_GBK" w:cs="Times New Roman"/>
          <w:b/>
          <w:bCs/>
          <w:caps/>
          <w:color w:val="auto"/>
          <w:kern w:val="2"/>
          <w:sz w:val="24"/>
          <w:szCs w:val="24"/>
          <w:highlight w:val="none"/>
          <w:lang w:val="en-US" w:eastAsia="zh-CN" w:bidi="ar-SA"/>
        </w:rPr>
        <w:fldChar w:fldCharType="end"/>
      </w:r>
    </w:p>
    <w:p w14:paraId="59DBAD9E">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_Toc12370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第57条 项目设施移交前过渡期</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_Toc12370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46</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28A25D8D">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_Toc10372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第58条 项目设施及权益移交</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_Toc10372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47</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288A5031">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_Toc11347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第59条 移交质量保证</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_Toc11347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50</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55F7B57D">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_Toc30947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第60条 项目设施移交其他事项</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_Toc30947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51</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67317A06">
      <w:pPr>
        <w:keepNext w:val="0"/>
        <w:keepLines w:val="0"/>
        <w:pageBreakBefore w:val="0"/>
        <w:widowControl w:val="0"/>
        <w:tabs>
          <w:tab w:val="right" w:leader="dot" w:pos="8674"/>
        </w:tabs>
        <w:kinsoku/>
        <w:wordWrap/>
        <w:overflowPunct/>
        <w:topLinePunct w:val="0"/>
        <w:autoSpaceDE/>
        <w:autoSpaceDN/>
        <w:bidi w:val="0"/>
        <w:adjustRightInd w:val="0"/>
        <w:snapToGrid w:val="0"/>
        <w:spacing w:before="156" w:beforeLines="0" w:after="0" w:afterLines="0" w:line="360" w:lineRule="auto"/>
        <w:ind w:firstLine="0" w:firstLineChars="0"/>
        <w:jc w:val="left"/>
        <w:textAlignment w:val="auto"/>
        <w:rPr>
          <w:rFonts w:hint="default" w:ascii="Times New Roman" w:hAnsi="Times New Roman" w:eastAsia="方正仿宋_GBK" w:cs="Times New Roman"/>
          <w:b/>
          <w:bCs/>
          <w:caps/>
          <w:color w:val="auto"/>
          <w:kern w:val="2"/>
          <w:sz w:val="24"/>
          <w:szCs w:val="24"/>
          <w:highlight w:val="none"/>
          <w:lang w:val="en-US" w:eastAsia="zh-CN" w:bidi="ar-SA"/>
        </w:rPr>
      </w:pP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 HYPERLINK \l _Toc29606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val="0"/>
          <w:smallCaps w:val="0"/>
          <w:color w:val="auto"/>
          <w:kern w:val="2"/>
          <w:sz w:val="24"/>
          <w:szCs w:val="24"/>
          <w:highlight w:val="none"/>
          <w:lang w:val="en-US" w:eastAsia="zh-CN" w:bidi="ar-SA"/>
        </w:rPr>
        <w:t>第十二章 违约责任</w:t>
      </w:r>
      <w:r>
        <w:rPr>
          <w:rFonts w:hint="default" w:ascii="Times New Roman" w:hAnsi="Times New Roman" w:eastAsia="方正仿宋_GBK" w:cs="Times New Roman"/>
          <w:b/>
          <w:bCs/>
          <w:caps/>
          <w:color w:val="auto"/>
          <w:kern w:val="2"/>
          <w:sz w:val="24"/>
          <w:szCs w:val="24"/>
          <w:highlight w:val="none"/>
          <w:lang w:val="en-US" w:eastAsia="zh-CN" w:bidi="ar-SA"/>
        </w:rPr>
        <w:tab/>
      </w: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 PAGEREF _Toc29606 \h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color w:val="auto"/>
          <w:kern w:val="2"/>
          <w:sz w:val="24"/>
          <w:szCs w:val="24"/>
          <w:highlight w:val="none"/>
          <w:lang w:val="en-US" w:eastAsia="zh-CN" w:bidi="ar-SA"/>
        </w:rPr>
        <w:t>53</w:t>
      </w:r>
      <w:r>
        <w:rPr>
          <w:rFonts w:hint="default" w:ascii="Times New Roman" w:hAnsi="Times New Roman" w:eastAsia="方正仿宋_GBK" w:cs="Times New Roman"/>
          <w:b/>
          <w:bCs/>
          <w:caps/>
          <w:color w:val="auto"/>
          <w:kern w:val="2"/>
          <w:sz w:val="24"/>
          <w:szCs w:val="24"/>
          <w:highlight w:val="none"/>
          <w:lang w:val="en-US" w:eastAsia="zh-CN" w:bidi="ar-SA"/>
        </w:rPr>
        <w:fldChar w:fldCharType="end"/>
      </w:r>
      <w:r>
        <w:rPr>
          <w:rFonts w:hint="default" w:ascii="Times New Roman" w:hAnsi="Times New Roman" w:eastAsia="方正仿宋_GBK" w:cs="Times New Roman"/>
          <w:b/>
          <w:bCs/>
          <w:caps/>
          <w:color w:val="auto"/>
          <w:kern w:val="2"/>
          <w:sz w:val="24"/>
          <w:szCs w:val="24"/>
          <w:highlight w:val="none"/>
          <w:lang w:val="en-US" w:eastAsia="zh-CN" w:bidi="ar-SA"/>
        </w:rPr>
        <w:fldChar w:fldCharType="end"/>
      </w:r>
    </w:p>
    <w:p w14:paraId="3647A967">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_Toc26808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第61条 违约</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_Toc26808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53</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485A1B7C">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_Toc1379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第62条 违约责任</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_Toc1379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53</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7CF345A2">
      <w:pPr>
        <w:keepNext w:val="0"/>
        <w:keepLines w:val="0"/>
        <w:pageBreakBefore w:val="0"/>
        <w:widowControl w:val="0"/>
        <w:tabs>
          <w:tab w:val="right" w:leader="dot" w:pos="8674"/>
        </w:tabs>
        <w:kinsoku/>
        <w:wordWrap/>
        <w:overflowPunct/>
        <w:topLinePunct w:val="0"/>
        <w:autoSpaceDE/>
        <w:autoSpaceDN/>
        <w:bidi w:val="0"/>
        <w:adjustRightInd w:val="0"/>
        <w:snapToGrid w:val="0"/>
        <w:spacing w:before="156" w:beforeLines="0" w:after="0" w:afterLines="0" w:line="360" w:lineRule="auto"/>
        <w:ind w:firstLine="0" w:firstLineChars="0"/>
        <w:jc w:val="left"/>
        <w:textAlignment w:val="auto"/>
        <w:rPr>
          <w:rFonts w:hint="default" w:ascii="Times New Roman" w:hAnsi="Times New Roman" w:eastAsia="方正仿宋_GBK" w:cs="Times New Roman"/>
          <w:b/>
          <w:bCs/>
          <w:caps/>
          <w:color w:val="auto"/>
          <w:kern w:val="2"/>
          <w:sz w:val="24"/>
          <w:szCs w:val="24"/>
          <w:highlight w:val="none"/>
          <w:lang w:val="en-US" w:eastAsia="zh-CN" w:bidi="ar-SA"/>
        </w:rPr>
      </w:pP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 HYPERLINK \l _Toc30702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val="0"/>
          <w:smallCaps w:val="0"/>
          <w:color w:val="auto"/>
          <w:kern w:val="2"/>
          <w:sz w:val="24"/>
          <w:szCs w:val="24"/>
          <w:highlight w:val="none"/>
          <w:lang w:val="en-US" w:eastAsia="zh-CN" w:bidi="ar-SA"/>
        </w:rPr>
        <w:t>第十三章 争议解决</w:t>
      </w:r>
      <w:r>
        <w:rPr>
          <w:rFonts w:hint="default" w:ascii="Times New Roman" w:hAnsi="Times New Roman" w:eastAsia="方正仿宋_GBK" w:cs="Times New Roman"/>
          <w:b/>
          <w:bCs/>
          <w:caps/>
          <w:color w:val="auto"/>
          <w:kern w:val="2"/>
          <w:sz w:val="24"/>
          <w:szCs w:val="24"/>
          <w:highlight w:val="none"/>
          <w:lang w:val="en-US" w:eastAsia="zh-CN" w:bidi="ar-SA"/>
        </w:rPr>
        <w:tab/>
      </w: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 PAGEREF _Toc30702 \h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color w:val="auto"/>
          <w:kern w:val="2"/>
          <w:sz w:val="24"/>
          <w:szCs w:val="24"/>
          <w:highlight w:val="none"/>
          <w:lang w:val="en-US" w:eastAsia="zh-CN" w:bidi="ar-SA"/>
        </w:rPr>
        <w:t>55</w:t>
      </w:r>
      <w:r>
        <w:rPr>
          <w:rFonts w:hint="default" w:ascii="Times New Roman" w:hAnsi="Times New Roman" w:eastAsia="方正仿宋_GBK" w:cs="Times New Roman"/>
          <w:b/>
          <w:bCs/>
          <w:caps/>
          <w:color w:val="auto"/>
          <w:kern w:val="2"/>
          <w:sz w:val="24"/>
          <w:szCs w:val="24"/>
          <w:highlight w:val="none"/>
          <w:lang w:val="en-US" w:eastAsia="zh-CN" w:bidi="ar-SA"/>
        </w:rPr>
        <w:fldChar w:fldCharType="end"/>
      </w:r>
      <w:r>
        <w:rPr>
          <w:rFonts w:hint="default" w:ascii="Times New Roman" w:hAnsi="Times New Roman" w:eastAsia="方正仿宋_GBK" w:cs="Times New Roman"/>
          <w:b/>
          <w:bCs/>
          <w:caps/>
          <w:color w:val="auto"/>
          <w:kern w:val="2"/>
          <w:sz w:val="24"/>
          <w:szCs w:val="24"/>
          <w:highlight w:val="none"/>
          <w:lang w:val="en-US" w:eastAsia="zh-CN" w:bidi="ar-SA"/>
        </w:rPr>
        <w:fldChar w:fldCharType="end"/>
      </w:r>
    </w:p>
    <w:p w14:paraId="15557C21">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_Toc21017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第63条 争议解决方式</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_Toc21017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55</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0DDC40BF">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_Toc19428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 xml:space="preserve">第64条 </w:t>
      </w:r>
      <w:r>
        <w:rPr>
          <w:rFonts w:hint="default" w:ascii="Times New Roman" w:hAnsi="Times New Roman" w:eastAsia="方正仿宋_GBK" w:cs="Times New Roman"/>
          <w:caps w:val="0"/>
          <w:smallCaps w:val="0"/>
          <w:color w:val="auto"/>
          <w:kern w:val="2"/>
          <w:sz w:val="24"/>
          <w:szCs w:val="24"/>
          <w:highlight w:val="none"/>
          <w:lang w:val="en-US" w:eastAsia="zh-CN" w:bidi="ar-SA"/>
        </w:rPr>
        <w:t>争议期间的协议履行</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_Toc19428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55</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393F2933">
      <w:pPr>
        <w:keepNext w:val="0"/>
        <w:keepLines w:val="0"/>
        <w:pageBreakBefore w:val="0"/>
        <w:widowControl w:val="0"/>
        <w:tabs>
          <w:tab w:val="right" w:leader="dot" w:pos="8674"/>
        </w:tabs>
        <w:kinsoku/>
        <w:wordWrap/>
        <w:overflowPunct/>
        <w:topLinePunct w:val="0"/>
        <w:autoSpaceDE/>
        <w:autoSpaceDN/>
        <w:bidi w:val="0"/>
        <w:adjustRightInd w:val="0"/>
        <w:snapToGrid w:val="0"/>
        <w:spacing w:before="156" w:beforeLines="0" w:after="0" w:afterLines="0" w:line="360" w:lineRule="auto"/>
        <w:ind w:firstLine="0" w:firstLineChars="0"/>
        <w:jc w:val="left"/>
        <w:textAlignment w:val="auto"/>
        <w:rPr>
          <w:rFonts w:hint="default" w:ascii="Times New Roman" w:hAnsi="Times New Roman" w:eastAsia="方正仿宋_GBK" w:cs="Times New Roman"/>
          <w:b/>
          <w:bCs/>
          <w:caps/>
          <w:color w:val="auto"/>
          <w:kern w:val="2"/>
          <w:sz w:val="24"/>
          <w:szCs w:val="24"/>
          <w:highlight w:val="none"/>
          <w:lang w:val="en-US" w:eastAsia="zh-CN" w:bidi="ar-SA"/>
        </w:rPr>
      </w:pP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 HYPERLINK \l _Toc11404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val="0"/>
          <w:smallCaps w:val="0"/>
          <w:color w:val="auto"/>
          <w:kern w:val="2"/>
          <w:sz w:val="24"/>
          <w:szCs w:val="24"/>
          <w:highlight w:val="none"/>
          <w:lang w:val="en-US" w:eastAsia="zh-CN" w:bidi="ar-SA"/>
        </w:rPr>
        <w:t>第十四章 其他约定</w:t>
      </w:r>
      <w:r>
        <w:rPr>
          <w:rFonts w:hint="default" w:ascii="Times New Roman" w:hAnsi="Times New Roman" w:eastAsia="方正仿宋_GBK" w:cs="Times New Roman"/>
          <w:b/>
          <w:bCs/>
          <w:caps/>
          <w:color w:val="auto"/>
          <w:kern w:val="2"/>
          <w:sz w:val="24"/>
          <w:szCs w:val="24"/>
          <w:highlight w:val="none"/>
          <w:lang w:val="en-US" w:eastAsia="zh-CN" w:bidi="ar-SA"/>
        </w:rPr>
        <w:tab/>
      </w:r>
      <w:r>
        <w:rPr>
          <w:rFonts w:hint="default" w:ascii="Times New Roman" w:hAnsi="Times New Roman" w:eastAsia="方正仿宋_GBK" w:cs="Times New Roman"/>
          <w:b/>
          <w:bCs/>
          <w:caps/>
          <w:color w:val="auto"/>
          <w:kern w:val="2"/>
          <w:sz w:val="24"/>
          <w:szCs w:val="24"/>
          <w:highlight w:val="none"/>
          <w:lang w:val="en-US" w:eastAsia="zh-CN" w:bidi="ar-SA"/>
        </w:rPr>
        <w:fldChar w:fldCharType="begin"/>
      </w:r>
      <w:r>
        <w:rPr>
          <w:rFonts w:hint="default" w:ascii="Times New Roman" w:hAnsi="Times New Roman" w:eastAsia="方正仿宋_GBK" w:cs="Times New Roman"/>
          <w:b/>
          <w:bCs/>
          <w:caps/>
          <w:color w:val="auto"/>
          <w:kern w:val="2"/>
          <w:sz w:val="24"/>
          <w:szCs w:val="24"/>
          <w:highlight w:val="none"/>
          <w:lang w:val="en-US" w:eastAsia="zh-CN" w:bidi="ar-SA"/>
        </w:rPr>
        <w:instrText xml:space="preserve"> PAGEREF _Toc11404 \h </w:instrText>
      </w:r>
      <w:r>
        <w:rPr>
          <w:rFonts w:hint="default" w:ascii="Times New Roman" w:hAnsi="Times New Roman" w:eastAsia="方正仿宋_GBK" w:cs="Times New Roman"/>
          <w:b/>
          <w:bCs/>
          <w:caps/>
          <w:color w:val="auto"/>
          <w:kern w:val="2"/>
          <w:sz w:val="24"/>
          <w:szCs w:val="24"/>
          <w:highlight w:val="none"/>
          <w:lang w:val="en-US" w:eastAsia="zh-CN" w:bidi="ar-SA"/>
        </w:rPr>
        <w:fldChar w:fldCharType="separate"/>
      </w:r>
      <w:r>
        <w:rPr>
          <w:rFonts w:hint="default" w:ascii="Times New Roman" w:hAnsi="Times New Roman" w:eastAsia="方正仿宋_GBK" w:cs="Times New Roman"/>
          <w:b/>
          <w:bCs/>
          <w:caps/>
          <w:color w:val="auto"/>
          <w:kern w:val="2"/>
          <w:sz w:val="24"/>
          <w:szCs w:val="24"/>
          <w:highlight w:val="none"/>
          <w:lang w:val="en-US" w:eastAsia="zh-CN" w:bidi="ar-SA"/>
        </w:rPr>
        <w:t>56</w:t>
      </w:r>
      <w:r>
        <w:rPr>
          <w:rFonts w:hint="default" w:ascii="Times New Roman" w:hAnsi="Times New Roman" w:eastAsia="方正仿宋_GBK" w:cs="Times New Roman"/>
          <w:b/>
          <w:bCs/>
          <w:caps/>
          <w:color w:val="auto"/>
          <w:kern w:val="2"/>
          <w:sz w:val="24"/>
          <w:szCs w:val="24"/>
          <w:highlight w:val="none"/>
          <w:lang w:val="en-US" w:eastAsia="zh-CN" w:bidi="ar-SA"/>
        </w:rPr>
        <w:fldChar w:fldCharType="end"/>
      </w:r>
      <w:r>
        <w:rPr>
          <w:rFonts w:hint="default" w:ascii="Times New Roman" w:hAnsi="Times New Roman" w:eastAsia="方正仿宋_GBK" w:cs="Times New Roman"/>
          <w:b/>
          <w:bCs/>
          <w:caps/>
          <w:color w:val="auto"/>
          <w:kern w:val="2"/>
          <w:sz w:val="24"/>
          <w:szCs w:val="24"/>
          <w:highlight w:val="none"/>
          <w:lang w:val="en-US" w:eastAsia="zh-CN" w:bidi="ar-SA"/>
        </w:rPr>
        <w:fldChar w:fldCharType="end"/>
      </w:r>
    </w:p>
    <w:p w14:paraId="7A0424DB">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_Toc11177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第65条 协议变更与修订</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_Toc11177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56</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0EC418E3">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_Toc27013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 xml:space="preserve">第66条 </w:t>
      </w:r>
      <w:r>
        <w:rPr>
          <w:rFonts w:hint="default" w:ascii="Times New Roman" w:hAnsi="Times New Roman" w:eastAsia="方正仿宋_GBK" w:cs="Times New Roman"/>
          <w:smallCaps/>
          <w:color w:val="auto"/>
          <w:kern w:val="2"/>
          <w:sz w:val="24"/>
          <w:szCs w:val="24"/>
          <w:highlight w:val="none"/>
          <w:lang w:val="en-US" w:eastAsia="zh-CN" w:bidi="ar-SA"/>
        </w:rPr>
        <w:t>合同的转让</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_Toc27013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56</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10397672">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_Toc25356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第67条 保密</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_Toc25356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57</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60CC3CE2">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_Toc28436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第68条 不弃权</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_Toc28436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58</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37EA9C5C">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_Toc27478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第69条 通知</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_Toc27478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58</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53FD5687">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_Toc14066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第70条 法律适用</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_Toc14066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59</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5FADAE7C">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_Toc28325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第71条 适用语言</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_Toc28325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59</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0BCA8DB8">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_Toc9447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第72条 适用货币</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_Toc9447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59</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0BFB7DB7">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_Toc9021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bCs/>
          <w:caps w:val="0"/>
          <w:smallCaps w:val="0"/>
          <w:color w:val="auto"/>
          <w:kern w:val="2"/>
          <w:sz w:val="24"/>
          <w:szCs w:val="24"/>
          <w:highlight w:val="none"/>
          <w:lang w:val="en-US" w:eastAsia="zh-CN" w:bidi="ar-SA"/>
        </w:rPr>
        <w:t>第73条 协议份数</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_Toc9021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59</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294F10BF">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_Toc22876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第74条 合同生效</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_Toc22876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60</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641D1977">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_Toc9805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附件1：政府授权文件</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_Toc9805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61</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633FECDB">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_Toc10625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附件2：《污水处理</w:t>
      </w:r>
      <w:r>
        <w:rPr>
          <w:rFonts w:hint="eastAsia" w:ascii="Times New Roman" w:hAnsi="Times New Roman" w:eastAsia="方正仿宋_GBK" w:cs="Times New Roman"/>
          <w:smallCaps/>
          <w:color w:val="auto"/>
          <w:kern w:val="2"/>
          <w:sz w:val="24"/>
          <w:szCs w:val="24"/>
          <w:highlight w:val="none"/>
          <w:lang w:val="en-US" w:eastAsia="zh-CN" w:bidi="ar-SA"/>
        </w:rPr>
        <w:t>设施</w:t>
      </w:r>
      <w:r>
        <w:rPr>
          <w:rFonts w:hint="default" w:ascii="Times New Roman" w:hAnsi="Times New Roman" w:eastAsia="方正仿宋_GBK" w:cs="Times New Roman"/>
          <w:smallCaps/>
          <w:color w:val="auto"/>
          <w:kern w:val="2"/>
          <w:sz w:val="24"/>
          <w:szCs w:val="24"/>
          <w:highlight w:val="none"/>
          <w:lang w:val="en-US" w:eastAsia="zh-CN" w:bidi="ar-SA"/>
        </w:rPr>
        <w:t>项目设施清单》</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_Toc10625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62</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629E54E2">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_Toc31228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附件3：污水处理服务费定价和调价方案</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_Toc31228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63</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082CF275">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_Toc29110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附件4：运营期绩效考核方案</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_Toc29110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67</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60A79C97">
      <w:pPr>
        <w:keepNext w:val="0"/>
        <w:keepLines w:val="0"/>
        <w:pageBreakBefore w:val="0"/>
        <w:widowControl w:val="0"/>
        <w:tabs>
          <w:tab w:val="right" w:leader="dot" w:pos="8674"/>
        </w:tabs>
        <w:kinsoku/>
        <w:wordWrap/>
        <w:overflowPunct/>
        <w:topLinePunct w:val="0"/>
        <w:autoSpaceDE/>
        <w:autoSpaceDN/>
        <w:bidi w:val="0"/>
        <w:adjustRightInd w:val="0"/>
        <w:snapToGrid w:val="0"/>
        <w:spacing w:before="0" w:beforeLines="0" w:after="0" w:afterLines="0" w:line="360" w:lineRule="auto"/>
        <w:ind w:firstLine="0" w:firstLineChars="0"/>
        <w:jc w:val="left"/>
        <w:textAlignment w:val="auto"/>
        <w:rPr>
          <w:rFonts w:hint="default" w:ascii="Times New Roman" w:hAnsi="Times New Roman" w:eastAsia="方正仿宋_GBK" w:cs="Times New Roman"/>
          <w:smallCaps/>
          <w:color w:val="auto"/>
          <w:kern w:val="2"/>
          <w:sz w:val="24"/>
          <w:szCs w:val="24"/>
          <w:highlight w:val="none"/>
          <w:lang w:val="en-US" w:eastAsia="zh-CN" w:bidi="ar-SA"/>
        </w:rPr>
      </w:pP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HYPERLINK \l _Toc10425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附件5：</w:t>
      </w:r>
      <w:r>
        <w:rPr>
          <w:rFonts w:hint="default" w:ascii="Times New Roman" w:hAnsi="Times New Roman" w:eastAsia="方正仿宋_GBK" w:cs="Times New Roman"/>
          <w:bCs/>
          <w:smallCaps/>
          <w:color w:val="auto"/>
          <w:kern w:val="2"/>
          <w:sz w:val="24"/>
          <w:szCs w:val="24"/>
          <w:highlight w:val="none"/>
          <w:lang w:val="en-US" w:eastAsia="zh-CN" w:bidi="ar-SA"/>
        </w:rPr>
        <w:t>《污水处理服务协议》</w:t>
      </w:r>
      <w:r>
        <w:rPr>
          <w:rFonts w:hint="default" w:ascii="Times New Roman" w:hAnsi="Times New Roman" w:eastAsia="方正仿宋_GBK" w:cs="Times New Roman"/>
          <w:smallCaps/>
          <w:color w:val="auto"/>
          <w:kern w:val="2"/>
          <w:sz w:val="24"/>
          <w:szCs w:val="24"/>
          <w:highlight w:val="none"/>
          <w:lang w:val="en-US" w:eastAsia="zh-CN" w:bidi="ar-SA"/>
        </w:rPr>
        <w:tab/>
      </w:r>
      <w:r>
        <w:rPr>
          <w:rFonts w:hint="default" w:ascii="Times New Roman" w:hAnsi="Times New Roman" w:eastAsia="方正仿宋_GBK" w:cs="Times New Roman"/>
          <w:smallCaps/>
          <w:color w:val="auto"/>
          <w:kern w:val="2"/>
          <w:sz w:val="24"/>
          <w:szCs w:val="24"/>
          <w:highlight w:val="none"/>
          <w:lang w:val="en-US" w:eastAsia="zh-CN" w:bidi="ar-SA"/>
        </w:rPr>
        <w:fldChar w:fldCharType="begin"/>
      </w:r>
      <w:r>
        <w:rPr>
          <w:rFonts w:hint="default" w:ascii="Times New Roman" w:hAnsi="Times New Roman" w:eastAsia="方正仿宋_GBK" w:cs="Times New Roman"/>
          <w:smallCaps/>
          <w:color w:val="auto"/>
          <w:kern w:val="2"/>
          <w:sz w:val="24"/>
          <w:szCs w:val="24"/>
          <w:highlight w:val="none"/>
          <w:lang w:val="en-US" w:eastAsia="zh-CN" w:bidi="ar-SA"/>
        </w:rPr>
        <w:instrText xml:space="preserve"> PAGEREF _Toc10425 \h </w:instrText>
      </w:r>
      <w:r>
        <w:rPr>
          <w:rFonts w:hint="default" w:ascii="Times New Roman" w:hAnsi="Times New Roman" w:eastAsia="方正仿宋_GBK" w:cs="Times New Roman"/>
          <w:smallCaps/>
          <w:color w:val="auto"/>
          <w:kern w:val="2"/>
          <w:sz w:val="24"/>
          <w:szCs w:val="24"/>
          <w:highlight w:val="none"/>
          <w:lang w:val="en-US" w:eastAsia="zh-CN" w:bidi="ar-SA"/>
        </w:rPr>
        <w:fldChar w:fldCharType="separate"/>
      </w:r>
      <w:r>
        <w:rPr>
          <w:rFonts w:hint="default" w:ascii="Times New Roman" w:hAnsi="Times New Roman" w:eastAsia="方正仿宋_GBK" w:cs="Times New Roman"/>
          <w:smallCaps/>
          <w:color w:val="auto"/>
          <w:kern w:val="2"/>
          <w:sz w:val="24"/>
          <w:szCs w:val="24"/>
          <w:highlight w:val="none"/>
          <w:lang w:val="en-US" w:eastAsia="zh-CN" w:bidi="ar-SA"/>
        </w:rPr>
        <w:t>75</w:t>
      </w:r>
      <w:r>
        <w:rPr>
          <w:rFonts w:hint="default" w:ascii="Times New Roman" w:hAnsi="Times New Roman" w:eastAsia="方正仿宋_GBK" w:cs="Times New Roman"/>
          <w:smallCaps/>
          <w:color w:val="auto"/>
          <w:kern w:val="2"/>
          <w:sz w:val="24"/>
          <w:szCs w:val="24"/>
          <w:highlight w:val="none"/>
          <w:lang w:val="en-US" w:eastAsia="zh-CN" w:bidi="ar-SA"/>
        </w:rPr>
        <w:fldChar w:fldCharType="end"/>
      </w:r>
      <w:r>
        <w:rPr>
          <w:rFonts w:hint="default" w:ascii="Times New Roman" w:hAnsi="Times New Roman" w:eastAsia="方正仿宋_GBK" w:cs="Times New Roman"/>
          <w:smallCaps/>
          <w:color w:val="auto"/>
          <w:kern w:val="2"/>
          <w:sz w:val="24"/>
          <w:szCs w:val="24"/>
          <w:highlight w:val="none"/>
          <w:lang w:val="en-US" w:eastAsia="zh-CN" w:bidi="ar-SA"/>
        </w:rPr>
        <w:fldChar w:fldCharType="end"/>
      </w:r>
    </w:p>
    <w:p w14:paraId="0E7C7CBE">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0" w:firstLineChars="0"/>
        <w:textAlignment w:val="auto"/>
        <w:rPr>
          <w:rFonts w:hint="eastAsia" w:ascii="方正仿宋_GBK" w:hAnsi="方正仿宋_GBK" w:eastAsia="方正仿宋_GBK" w:cs="方正仿宋_GBK"/>
          <w:color w:val="auto"/>
          <w:sz w:val="24"/>
          <w:szCs w:val="24"/>
          <w:highlight w:val="none"/>
        </w:rPr>
        <w:sectPr>
          <w:footerReference r:id="rId21" w:type="default"/>
          <w:pgSz w:w="11906" w:h="16838"/>
          <w:pgMar w:top="1984" w:right="1616" w:bottom="1984" w:left="1616" w:header="851" w:footer="0" w:gutter="0"/>
          <w:pgNumType w:fmt="upperRoman" w:start="1"/>
          <w:cols w:space="720" w:num="1"/>
          <w:docGrid w:type="linesAndChars" w:linePitch="312" w:charSpace="0"/>
        </w:sectPr>
      </w:pPr>
      <w:r>
        <w:rPr>
          <w:rFonts w:hint="default" w:ascii="Times New Roman" w:hAnsi="Times New Roman" w:eastAsia="方正仿宋_GBK" w:cs="Times New Roman"/>
          <w:color w:val="auto"/>
          <w:kern w:val="2"/>
          <w:sz w:val="24"/>
          <w:szCs w:val="24"/>
          <w:highlight w:val="none"/>
        </w:rPr>
        <w:fldChar w:fldCharType="end"/>
      </w:r>
    </w:p>
    <w:p w14:paraId="2E1F2CAF">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left="0" w:leftChars="0" w:firstLine="0" w:firstLineChars="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【说明：由实施机构与项目公司签署，甲方为实施机构、乙方为</w:t>
      </w:r>
      <w:r>
        <w:rPr>
          <w:rFonts w:hint="eastAsia" w:ascii="Times New Roman" w:hAnsi="Times New Roman" w:eastAsia="方正仿宋_GBK"/>
          <w:caps w:val="0"/>
          <w:smallCaps w:val="0"/>
          <w:color w:val="auto"/>
          <w:kern w:val="2"/>
          <w:sz w:val="24"/>
          <w:szCs w:val="24"/>
          <w:highlight w:val="none"/>
          <w:lang w:val="en-US" w:eastAsia="zh-CN"/>
        </w:rPr>
        <w:t>特许经营者或其设立的</w:t>
      </w:r>
      <w:r>
        <w:rPr>
          <w:rFonts w:hint="eastAsia" w:ascii="Times New Roman" w:hAnsi="Times New Roman" w:eastAsia="方正仿宋_GBK"/>
          <w:caps w:val="0"/>
          <w:smallCaps w:val="0"/>
          <w:color w:val="auto"/>
          <w:kern w:val="2"/>
          <w:sz w:val="24"/>
          <w:szCs w:val="24"/>
          <w:highlight w:val="none"/>
        </w:rPr>
        <w:t>项目公司。】</w:t>
      </w:r>
    </w:p>
    <w:p w14:paraId="1D3B47E9">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本</w:t>
      </w:r>
      <w:r>
        <w:rPr>
          <w:rFonts w:hint="default" w:ascii="Times New Roman" w:hAnsi="Times New Roman" w:eastAsia="方正仿宋_GBK"/>
          <w:caps w:val="0"/>
          <w:smallCaps w:val="0"/>
          <w:color w:val="auto"/>
          <w:kern w:val="2"/>
          <w:sz w:val="24"/>
          <w:szCs w:val="24"/>
          <w:highlight w:val="none"/>
        </w:rPr>
        <w:t>协议由以下双方于</w:t>
      </w:r>
      <w:r>
        <w:rPr>
          <w:rFonts w:hint="eastAsia" w:ascii="Times New Roman" w:hAnsi="Times New Roman" w:eastAsia="方正仿宋_GBK"/>
          <w:caps w:val="0"/>
          <w:smallCaps w:val="0"/>
          <w:color w:val="auto"/>
          <w:kern w:val="2"/>
          <w:sz w:val="24"/>
          <w:szCs w:val="24"/>
          <w:highlight w:val="none"/>
          <w:u w:val="single"/>
        </w:rPr>
        <w:t xml:space="preserve">【 </w:t>
      </w:r>
      <w:r>
        <w:rPr>
          <w:rFonts w:hint="default" w:ascii="Times New Roman" w:hAnsi="Times New Roman" w:eastAsia="方正仿宋_GBK"/>
          <w:caps w:val="0"/>
          <w:smallCaps w:val="0"/>
          <w:color w:val="auto"/>
          <w:kern w:val="2"/>
          <w:sz w:val="24"/>
          <w:szCs w:val="24"/>
          <w:highlight w:val="none"/>
          <w:u w:val="single"/>
        </w:rPr>
        <w:t xml:space="preserve"> </w:t>
      </w:r>
      <w:r>
        <w:rPr>
          <w:rFonts w:hint="eastAsia" w:ascii="Times New Roman" w:hAnsi="Times New Roman" w:eastAsia="方正仿宋_GBK"/>
          <w:caps w:val="0"/>
          <w:smallCaps w:val="0"/>
          <w:color w:val="auto"/>
          <w:kern w:val="2"/>
          <w:sz w:val="24"/>
          <w:szCs w:val="24"/>
          <w:highlight w:val="none"/>
          <w:u w:val="single"/>
          <w:lang w:val="en-US" w:eastAsia="zh-CN"/>
        </w:rPr>
        <w:t xml:space="preserve">  </w:t>
      </w:r>
      <w:r>
        <w:rPr>
          <w:rFonts w:hint="eastAsia" w:ascii="Times New Roman" w:hAnsi="Times New Roman" w:eastAsia="方正仿宋_GBK"/>
          <w:caps w:val="0"/>
          <w:smallCaps w:val="0"/>
          <w:color w:val="auto"/>
          <w:kern w:val="2"/>
          <w:sz w:val="24"/>
          <w:szCs w:val="24"/>
          <w:highlight w:val="none"/>
          <w:u w:val="single"/>
        </w:rPr>
        <w:t xml:space="preserve">年 </w:t>
      </w:r>
      <w:r>
        <w:rPr>
          <w:rFonts w:hint="default" w:ascii="Times New Roman" w:hAnsi="Times New Roman" w:eastAsia="方正仿宋_GBK"/>
          <w:caps w:val="0"/>
          <w:smallCaps w:val="0"/>
          <w:color w:val="auto"/>
          <w:kern w:val="2"/>
          <w:sz w:val="24"/>
          <w:szCs w:val="24"/>
          <w:highlight w:val="none"/>
          <w:u w:val="single"/>
        </w:rPr>
        <w:t xml:space="preserve"> </w:t>
      </w:r>
      <w:r>
        <w:rPr>
          <w:rFonts w:hint="eastAsia" w:ascii="Times New Roman" w:hAnsi="Times New Roman" w:eastAsia="方正仿宋_GBK"/>
          <w:caps w:val="0"/>
          <w:smallCaps w:val="0"/>
          <w:color w:val="auto"/>
          <w:kern w:val="2"/>
          <w:sz w:val="24"/>
          <w:szCs w:val="24"/>
          <w:highlight w:val="none"/>
          <w:u w:val="single"/>
        </w:rPr>
        <w:t xml:space="preserve">月 </w:t>
      </w:r>
      <w:r>
        <w:rPr>
          <w:rFonts w:hint="default" w:ascii="Times New Roman" w:hAnsi="Times New Roman" w:eastAsia="方正仿宋_GBK"/>
          <w:caps w:val="0"/>
          <w:smallCaps w:val="0"/>
          <w:color w:val="auto"/>
          <w:kern w:val="2"/>
          <w:sz w:val="24"/>
          <w:szCs w:val="24"/>
          <w:highlight w:val="none"/>
          <w:u w:val="single"/>
        </w:rPr>
        <w:t xml:space="preserve"> </w:t>
      </w:r>
      <w:r>
        <w:rPr>
          <w:rFonts w:hint="eastAsia" w:ascii="Times New Roman" w:hAnsi="Times New Roman" w:eastAsia="方正仿宋_GBK"/>
          <w:caps w:val="0"/>
          <w:smallCaps w:val="0"/>
          <w:color w:val="auto"/>
          <w:kern w:val="2"/>
          <w:sz w:val="24"/>
          <w:szCs w:val="24"/>
          <w:highlight w:val="none"/>
          <w:u w:val="single"/>
        </w:rPr>
        <w:t>日】</w:t>
      </w:r>
      <w:r>
        <w:rPr>
          <w:rFonts w:hint="eastAsia" w:ascii="Times New Roman" w:hAnsi="Times New Roman" w:eastAsia="方正仿宋_GBK"/>
          <w:caps w:val="0"/>
          <w:smallCaps w:val="0"/>
          <w:color w:val="auto"/>
          <w:kern w:val="2"/>
          <w:sz w:val="24"/>
          <w:szCs w:val="24"/>
          <w:highlight w:val="none"/>
        </w:rPr>
        <w:t>在</w:t>
      </w:r>
      <w:r>
        <w:rPr>
          <w:rFonts w:hint="eastAsia" w:ascii="Times New Roman" w:hAnsi="Times New Roman" w:eastAsia="方正仿宋_GBK"/>
          <w:caps w:val="0"/>
          <w:smallCaps w:val="0"/>
          <w:color w:val="auto"/>
          <w:kern w:val="2"/>
          <w:sz w:val="24"/>
          <w:szCs w:val="24"/>
          <w:highlight w:val="none"/>
          <w:u w:val="single"/>
        </w:rPr>
        <w:t>【</w:t>
      </w:r>
      <w:r>
        <w:rPr>
          <w:rFonts w:hint="eastAsia" w:ascii="Times New Roman" w:hAnsi="Times New Roman" w:eastAsia="方正仿宋_GBK"/>
          <w:caps w:val="0"/>
          <w:smallCaps w:val="0"/>
          <w:color w:val="auto"/>
          <w:kern w:val="2"/>
          <w:sz w:val="24"/>
          <w:szCs w:val="24"/>
          <w:highlight w:val="none"/>
          <w:u w:val="single"/>
          <w:lang w:val="en-US" w:eastAsia="zh-CN"/>
        </w:rPr>
        <w:t xml:space="preserve">      </w:t>
      </w:r>
      <w:r>
        <w:rPr>
          <w:rFonts w:hint="eastAsia" w:ascii="Times New Roman" w:hAnsi="Times New Roman" w:eastAsia="方正仿宋_GBK"/>
          <w:caps w:val="0"/>
          <w:smallCaps w:val="0"/>
          <w:color w:val="auto"/>
          <w:kern w:val="2"/>
          <w:sz w:val="24"/>
          <w:szCs w:val="24"/>
          <w:highlight w:val="none"/>
          <w:u w:val="single"/>
        </w:rPr>
        <w:t>】</w:t>
      </w:r>
      <w:r>
        <w:rPr>
          <w:rFonts w:hint="default" w:ascii="Times New Roman" w:hAnsi="Times New Roman" w:eastAsia="方正仿宋_GBK"/>
          <w:caps w:val="0"/>
          <w:smallCaps w:val="0"/>
          <w:color w:val="auto"/>
          <w:kern w:val="2"/>
          <w:sz w:val="24"/>
          <w:szCs w:val="24"/>
          <w:highlight w:val="none"/>
        </w:rPr>
        <w:t>签署</w:t>
      </w:r>
      <w:r>
        <w:rPr>
          <w:rFonts w:hint="eastAsia" w:ascii="Times New Roman" w:hAnsi="Times New Roman" w:eastAsia="方正仿宋_GBK"/>
          <w:caps w:val="0"/>
          <w:smallCaps w:val="0"/>
          <w:color w:val="auto"/>
          <w:kern w:val="2"/>
          <w:sz w:val="24"/>
          <w:szCs w:val="24"/>
          <w:highlight w:val="none"/>
        </w:rPr>
        <w:t>：</w:t>
      </w:r>
    </w:p>
    <w:p w14:paraId="798885A7">
      <w:pPr>
        <w:keepNext w:val="0"/>
        <w:keepLines w:val="0"/>
        <w:pageBreakBefore w:val="0"/>
        <w:widowControl w:val="0"/>
        <w:kinsoku/>
        <w:wordWrap/>
        <w:overflowPunct/>
        <w:topLinePunct w:val="0"/>
        <w:bidi w:val="0"/>
        <w:adjustRightInd/>
        <w:snapToGrid/>
        <w:spacing w:before="0" w:beforeLines="0" w:beforeAutospacing="0" w:after="0" w:afterLines="0" w:afterAutospacing="0" w:line="360" w:lineRule="auto"/>
        <w:ind w:firstLine="480" w:firstLineChars="200"/>
        <w:jc w:val="left"/>
        <w:rPr>
          <w:rFonts w:ascii="Times New Roman" w:hAnsi="Times New Roman" w:eastAsia="方正仿宋_GBK" w:cs="宋体"/>
          <w:caps w:val="0"/>
          <w:smallCaps w:val="0"/>
          <w:color w:val="auto"/>
          <w:kern w:val="0"/>
          <w:sz w:val="24"/>
          <w:szCs w:val="24"/>
          <w:highlight w:val="none"/>
          <w:lang w:val="en-US" w:eastAsia="zh-CN" w:bidi="ar-SA"/>
        </w:rPr>
      </w:pPr>
      <w:r>
        <w:rPr>
          <w:rFonts w:hint="eastAsia" w:ascii="Times New Roman" w:hAnsi="Times New Roman" w:eastAsia="方正仿宋_GBK" w:cs="宋体"/>
          <w:caps w:val="0"/>
          <w:smallCaps w:val="0"/>
          <w:color w:val="auto"/>
          <w:kern w:val="0"/>
          <w:sz w:val="24"/>
          <w:szCs w:val="24"/>
          <w:highlight w:val="none"/>
          <w:lang w:val="en-US" w:eastAsia="zh-CN" w:bidi="ar-SA"/>
        </w:rPr>
        <w:t>甲方</w:t>
      </w:r>
      <w:r>
        <w:rPr>
          <w:rFonts w:ascii="Times New Roman" w:hAnsi="Times New Roman" w:eastAsia="方正仿宋_GBK" w:cs="宋体"/>
          <w:caps w:val="0"/>
          <w:smallCaps w:val="0"/>
          <w:color w:val="auto"/>
          <w:kern w:val="0"/>
          <w:sz w:val="24"/>
          <w:szCs w:val="24"/>
          <w:highlight w:val="none"/>
          <w:lang w:val="en-US" w:eastAsia="zh-CN" w:bidi="ar-SA"/>
        </w:rPr>
        <w:t>：</w:t>
      </w:r>
      <w:r>
        <w:rPr>
          <w:rFonts w:hint="eastAsia" w:ascii="Times New Roman" w:hAnsi="Times New Roman" w:eastAsia="方正仿宋_GBK" w:cs="宋体"/>
          <w:caps w:val="0"/>
          <w:smallCaps w:val="0"/>
          <w:color w:val="auto"/>
          <w:kern w:val="0"/>
          <w:sz w:val="24"/>
          <w:szCs w:val="24"/>
          <w:highlight w:val="none"/>
          <w:lang w:val="en-US" w:eastAsia="zh-CN" w:bidi="ar-SA"/>
        </w:rPr>
        <w:t>扬州市江都区住房和城乡建设局</w:t>
      </w:r>
    </w:p>
    <w:p w14:paraId="54947509">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 xml:space="preserve">注册地址：                           </w:t>
      </w:r>
    </w:p>
    <w:p w14:paraId="4DEE2894">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法定</w:t>
      </w:r>
      <w:r>
        <w:rPr>
          <w:rFonts w:hint="default" w:ascii="Times New Roman" w:hAnsi="Times New Roman" w:eastAsia="方正仿宋_GBK"/>
          <w:caps w:val="0"/>
          <w:smallCaps w:val="0"/>
          <w:color w:val="auto"/>
          <w:kern w:val="2"/>
          <w:sz w:val="24"/>
          <w:szCs w:val="24"/>
          <w:highlight w:val="none"/>
        </w:rPr>
        <w:t>代</w:t>
      </w:r>
      <w:r>
        <w:rPr>
          <w:rFonts w:hint="eastAsia" w:ascii="Times New Roman" w:hAnsi="Times New Roman" w:eastAsia="方正仿宋_GBK"/>
          <w:caps w:val="0"/>
          <w:smallCaps w:val="0"/>
          <w:color w:val="auto"/>
          <w:kern w:val="2"/>
          <w:sz w:val="24"/>
          <w:szCs w:val="24"/>
          <w:highlight w:val="none"/>
        </w:rPr>
        <w:t>表</w:t>
      </w:r>
      <w:r>
        <w:rPr>
          <w:rFonts w:hint="default" w:ascii="Times New Roman" w:hAnsi="Times New Roman" w:eastAsia="方正仿宋_GBK"/>
          <w:caps w:val="0"/>
          <w:smallCaps w:val="0"/>
          <w:color w:val="auto"/>
          <w:kern w:val="2"/>
          <w:sz w:val="24"/>
          <w:szCs w:val="24"/>
          <w:highlight w:val="none"/>
        </w:rPr>
        <w:t>人：</w:t>
      </w:r>
      <w:r>
        <w:rPr>
          <w:rFonts w:hint="eastAsia" w:ascii="Times New Roman" w:hAnsi="Times New Roman" w:eastAsia="方正仿宋_GBK"/>
          <w:caps w:val="0"/>
          <w:smallCaps w:val="0"/>
          <w:color w:val="auto"/>
          <w:kern w:val="2"/>
          <w:sz w:val="24"/>
          <w:szCs w:val="24"/>
          <w:highlight w:val="none"/>
        </w:rPr>
        <w:t xml:space="preserve">                         </w:t>
      </w:r>
    </w:p>
    <w:p w14:paraId="3729B0A0">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p>
    <w:p w14:paraId="031337CA">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乙方</w:t>
      </w:r>
      <w:r>
        <w:rPr>
          <w:rFonts w:hint="default" w:ascii="Times New Roman" w:hAnsi="Times New Roman" w:eastAsia="方正仿宋_GBK"/>
          <w:caps w:val="0"/>
          <w:smallCaps w:val="0"/>
          <w:color w:val="auto"/>
          <w:kern w:val="2"/>
          <w:sz w:val="24"/>
          <w:szCs w:val="24"/>
          <w:highlight w:val="none"/>
        </w:rPr>
        <w:t>：</w:t>
      </w:r>
      <w:r>
        <w:rPr>
          <w:rFonts w:hint="eastAsia" w:ascii="Times New Roman" w:hAnsi="Times New Roman" w:eastAsia="方正仿宋_GBK"/>
          <w:caps w:val="0"/>
          <w:smallCaps w:val="0"/>
          <w:color w:val="auto"/>
          <w:kern w:val="2"/>
          <w:sz w:val="24"/>
          <w:szCs w:val="24"/>
          <w:highlight w:val="none"/>
        </w:rPr>
        <w:t xml:space="preserve">                                </w:t>
      </w:r>
    </w:p>
    <w:p w14:paraId="58CAE0FB">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 xml:space="preserve">注册地址：                           </w:t>
      </w:r>
    </w:p>
    <w:p w14:paraId="42B37963">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法定</w:t>
      </w:r>
      <w:r>
        <w:rPr>
          <w:rFonts w:hint="default" w:ascii="Times New Roman" w:hAnsi="Times New Roman" w:eastAsia="方正仿宋_GBK"/>
          <w:caps w:val="0"/>
          <w:smallCaps w:val="0"/>
          <w:color w:val="auto"/>
          <w:kern w:val="2"/>
          <w:sz w:val="24"/>
          <w:szCs w:val="24"/>
          <w:highlight w:val="none"/>
        </w:rPr>
        <w:t>代</w:t>
      </w:r>
      <w:r>
        <w:rPr>
          <w:rFonts w:hint="eastAsia" w:ascii="Times New Roman" w:hAnsi="Times New Roman" w:eastAsia="方正仿宋_GBK"/>
          <w:caps w:val="0"/>
          <w:smallCaps w:val="0"/>
          <w:color w:val="auto"/>
          <w:kern w:val="2"/>
          <w:sz w:val="24"/>
          <w:szCs w:val="24"/>
          <w:highlight w:val="none"/>
        </w:rPr>
        <w:t>表</w:t>
      </w:r>
      <w:r>
        <w:rPr>
          <w:rFonts w:hint="default" w:ascii="Times New Roman" w:hAnsi="Times New Roman" w:eastAsia="方正仿宋_GBK"/>
          <w:caps w:val="0"/>
          <w:smallCaps w:val="0"/>
          <w:color w:val="auto"/>
          <w:kern w:val="2"/>
          <w:sz w:val="24"/>
          <w:szCs w:val="24"/>
          <w:highlight w:val="none"/>
        </w:rPr>
        <w:t>人：</w:t>
      </w:r>
      <w:r>
        <w:rPr>
          <w:rFonts w:hint="eastAsia" w:ascii="Times New Roman" w:hAnsi="Times New Roman" w:eastAsia="方正仿宋_GBK"/>
          <w:caps w:val="0"/>
          <w:smallCaps w:val="0"/>
          <w:color w:val="auto"/>
          <w:kern w:val="2"/>
          <w:sz w:val="24"/>
          <w:szCs w:val="24"/>
          <w:highlight w:val="none"/>
        </w:rPr>
        <w:t xml:space="preserve">                         </w:t>
      </w:r>
    </w:p>
    <w:p w14:paraId="0EEC4B0D">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 xml:space="preserve">                                          </w:t>
      </w:r>
      <w:r>
        <w:rPr>
          <w:rFonts w:hint="default" w:ascii="Times New Roman" w:hAnsi="Times New Roman" w:eastAsia="方正仿宋_GBK"/>
          <w:caps w:val="0"/>
          <w:smallCaps w:val="0"/>
          <w:color w:val="auto"/>
          <w:kern w:val="2"/>
          <w:sz w:val="24"/>
          <w:szCs w:val="24"/>
          <w:highlight w:val="none"/>
        </w:rPr>
        <w:t xml:space="preserve"> </w:t>
      </w:r>
    </w:p>
    <w:p w14:paraId="7ABDD967">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鉴于：</w:t>
      </w:r>
    </w:p>
    <w:p w14:paraId="036CC090">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1.</w:t>
      </w:r>
      <w:r>
        <w:rPr>
          <w:rFonts w:hint="eastAsia" w:ascii="Times New Roman" w:hAnsi="Times New Roman" w:eastAsia="方正仿宋_GBK"/>
          <w:caps w:val="0"/>
          <w:smallCaps w:val="0"/>
          <w:color w:val="auto"/>
          <w:kern w:val="2"/>
          <w:sz w:val="24"/>
          <w:szCs w:val="24"/>
          <w:highlight w:val="none"/>
          <w:u w:val="single"/>
          <w:lang w:eastAsia="zh-CN"/>
        </w:rPr>
        <w:t>江都城区污水处理设施</w:t>
      </w:r>
      <w:r>
        <w:rPr>
          <w:rFonts w:hint="eastAsia" w:ascii="Times New Roman" w:hAnsi="Times New Roman" w:eastAsia="方正仿宋_GBK"/>
          <w:caps w:val="0"/>
          <w:smallCaps w:val="0"/>
          <w:color w:val="auto"/>
          <w:kern w:val="2"/>
          <w:sz w:val="24"/>
          <w:szCs w:val="24"/>
          <w:highlight w:val="none"/>
          <w:u w:val="single"/>
        </w:rPr>
        <w:t>特许经营</w:t>
      </w:r>
      <w:r>
        <w:rPr>
          <w:rFonts w:hint="eastAsia" w:ascii="Times New Roman" w:hAnsi="Times New Roman" w:eastAsia="方正仿宋_GBK"/>
          <w:caps w:val="0"/>
          <w:smallCaps w:val="0"/>
          <w:color w:val="auto"/>
          <w:kern w:val="2"/>
          <w:sz w:val="24"/>
          <w:szCs w:val="24"/>
          <w:highlight w:val="none"/>
        </w:rPr>
        <w:t>项目（以下简称本项目</w:t>
      </w:r>
      <w:r>
        <w:rPr>
          <w:rFonts w:hint="default" w:ascii="Times New Roman" w:hAnsi="Times New Roman" w:eastAsia="方正仿宋_GBK"/>
          <w:caps w:val="0"/>
          <w:smallCaps w:val="0"/>
          <w:color w:val="auto"/>
          <w:kern w:val="2"/>
          <w:sz w:val="24"/>
          <w:szCs w:val="24"/>
          <w:highlight w:val="none"/>
        </w:rPr>
        <w:t>）</w:t>
      </w:r>
      <w:r>
        <w:rPr>
          <w:rFonts w:hint="eastAsia" w:ascii="Times New Roman" w:hAnsi="Times New Roman" w:eastAsia="方正仿宋_GBK"/>
          <w:caps w:val="0"/>
          <w:smallCaps w:val="0"/>
          <w:color w:val="auto"/>
          <w:kern w:val="2"/>
          <w:sz w:val="24"/>
          <w:szCs w:val="24"/>
          <w:highlight w:val="none"/>
        </w:rPr>
        <w:t>特许经营</w:t>
      </w:r>
      <w:r>
        <w:rPr>
          <w:rFonts w:hint="eastAsia" w:ascii="Times New Roman" w:hAnsi="Times New Roman" w:eastAsia="方正仿宋_GBK"/>
          <w:caps w:val="0"/>
          <w:smallCaps w:val="0"/>
          <w:color w:val="auto"/>
          <w:kern w:val="2"/>
          <w:sz w:val="24"/>
          <w:szCs w:val="24"/>
          <w:highlight w:val="none"/>
          <w:lang w:val="en-US" w:eastAsia="zh-CN"/>
        </w:rPr>
        <w:t>实施</w:t>
      </w:r>
      <w:r>
        <w:rPr>
          <w:rFonts w:hint="eastAsia" w:ascii="Times New Roman" w:hAnsi="Times New Roman" w:eastAsia="方正仿宋_GBK"/>
          <w:caps w:val="0"/>
          <w:smallCaps w:val="0"/>
          <w:color w:val="auto"/>
          <w:kern w:val="2"/>
          <w:sz w:val="24"/>
          <w:szCs w:val="24"/>
          <w:highlight w:val="none"/>
        </w:rPr>
        <w:t>方案（以下简称《特许经营</w:t>
      </w:r>
      <w:r>
        <w:rPr>
          <w:rFonts w:hint="eastAsia" w:ascii="Times New Roman" w:hAnsi="Times New Roman" w:eastAsia="方正仿宋_GBK"/>
          <w:caps w:val="0"/>
          <w:smallCaps w:val="0"/>
          <w:color w:val="auto"/>
          <w:kern w:val="2"/>
          <w:sz w:val="24"/>
          <w:szCs w:val="24"/>
          <w:highlight w:val="none"/>
          <w:lang w:val="en-US" w:eastAsia="zh-CN"/>
        </w:rPr>
        <w:t>实施</w:t>
      </w:r>
      <w:r>
        <w:rPr>
          <w:rFonts w:hint="eastAsia" w:ascii="Times New Roman" w:hAnsi="Times New Roman" w:eastAsia="方正仿宋_GBK"/>
          <w:caps w:val="0"/>
          <w:smallCaps w:val="0"/>
          <w:color w:val="auto"/>
          <w:kern w:val="2"/>
          <w:sz w:val="24"/>
          <w:szCs w:val="24"/>
          <w:highlight w:val="none"/>
        </w:rPr>
        <w:t>方案》）已由【扬州市江都区发展和改革委员会】审核通过。</w:t>
      </w:r>
    </w:p>
    <w:p w14:paraId="6EB50F26">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2.扬州市江都区人民政府</w:t>
      </w:r>
      <w:r>
        <w:rPr>
          <w:rFonts w:hint="default" w:ascii="Times New Roman" w:hAnsi="Times New Roman" w:eastAsia="方正仿宋_GBK"/>
          <w:caps w:val="0"/>
          <w:smallCaps w:val="0"/>
          <w:color w:val="auto"/>
          <w:kern w:val="2"/>
          <w:sz w:val="24"/>
          <w:szCs w:val="24"/>
          <w:highlight w:val="none"/>
        </w:rPr>
        <w:t>授权</w:t>
      </w:r>
      <w:r>
        <w:rPr>
          <w:rFonts w:hint="eastAsia" w:ascii="Times New Roman" w:hAnsi="Times New Roman" w:eastAsia="方正仿宋_GBK"/>
          <w:caps w:val="0"/>
          <w:smallCaps w:val="0"/>
          <w:color w:val="auto"/>
          <w:kern w:val="2"/>
          <w:sz w:val="24"/>
          <w:szCs w:val="24"/>
          <w:highlight w:val="none"/>
        </w:rPr>
        <w:t>扬州市江都区住房和城乡建设局</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lang w:val="en-US" w:eastAsia="zh-CN"/>
        </w:rPr>
        <w:t>以下简称“区住建局”</w:t>
      </w:r>
      <w:r>
        <w:rPr>
          <w:rFonts w:hint="eastAsia" w:ascii="Times New Roman" w:hAnsi="Times New Roman" w:eastAsia="方正仿宋_GBK"/>
          <w:caps w:val="0"/>
          <w:smallCaps w:val="0"/>
          <w:color w:val="auto"/>
          <w:kern w:val="2"/>
          <w:sz w:val="24"/>
          <w:szCs w:val="24"/>
          <w:highlight w:val="none"/>
          <w:lang w:eastAsia="zh-CN"/>
        </w:rPr>
        <w:t>）</w:t>
      </w:r>
      <w:r>
        <w:rPr>
          <w:rFonts w:hint="default" w:ascii="Times New Roman" w:hAnsi="Times New Roman" w:eastAsia="方正仿宋_GBK"/>
          <w:caps w:val="0"/>
          <w:smallCaps w:val="0"/>
          <w:color w:val="auto"/>
          <w:kern w:val="2"/>
          <w:sz w:val="24"/>
          <w:szCs w:val="24"/>
          <w:highlight w:val="none"/>
        </w:rPr>
        <w:t>作为实施机构负责本项目的具体实施</w:t>
      </w:r>
      <w:r>
        <w:rPr>
          <w:rFonts w:hint="eastAsia" w:ascii="Times New Roman" w:hAnsi="Times New Roman" w:eastAsia="方正仿宋_GBK"/>
          <w:caps w:val="0"/>
          <w:smallCaps w:val="0"/>
          <w:color w:val="auto"/>
          <w:kern w:val="2"/>
          <w:sz w:val="24"/>
          <w:szCs w:val="24"/>
          <w:highlight w:val="none"/>
        </w:rPr>
        <w:t>。</w:t>
      </w:r>
      <w:r>
        <w:rPr>
          <w:rFonts w:hint="default" w:ascii="Times New Roman" w:hAnsi="Times New Roman" w:eastAsia="方正仿宋_GBK"/>
          <w:caps w:val="0"/>
          <w:smallCaps w:val="0"/>
          <w:color w:val="auto"/>
          <w:kern w:val="2"/>
          <w:sz w:val="24"/>
          <w:szCs w:val="24"/>
          <w:highlight w:val="none"/>
        </w:rPr>
        <w:t>甲方已通过</w:t>
      </w:r>
      <w:r>
        <w:rPr>
          <w:rFonts w:hint="eastAsia" w:ascii="Times New Roman" w:hAnsi="Times New Roman" w:eastAsia="方正仿宋_GBK"/>
          <w:caps w:val="0"/>
          <w:smallCaps w:val="0"/>
          <w:color w:val="auto"/>
          <w:kern w:val="2"/>
          <w:sz w:val="24"/>
          <w:szCs w:val="24"/>
          <w:highlight w:val="none"/>
        </w:rPr>
        <w:t>【招标、谈判等】公开竞争方式</w:t>
      </w:r>
      <w:r>
        <w:rPr>
          <w:rFonts w:hint="default" w:ascii="Times New Roman" w:hAnsi="Times New Roman" w:eastAsia="方正仿宋_GBK"/>
          <w:caps w:val="0"/>
          <w:smallCaps w:val="0"/>
          <w:color w:val="auto"/>
          <w:kern w:val="2"/>
          <w:sz w:val="24"/>
          <w:szCs w:val="24"/>
          <w:highlight w:val="none"/>
        </w:rPr>
        <w:t>选定</w:t>
      </w:r>
      <w:r>
        <w:rPr>
          <w:rFonts w:hint="eastAsia" w:ascii="Times New Roman" w:hAnsi="Times New Roman" w:eastAsia="方正仿宋_GBK"/>
          <w:caps w:val="0"/>
          <w:smallCaps w:val="0"/>
          <w:color w:val="auto"/>
          <w:kern w:val="2"/>
          <w:sz w:val="24"/>
          <w:szCs w:val="24"/>
          <w:highlight w:val="none"/>
          <w:u w:val="single"/>
        </w:rPr>
        <w:t>【</w:t>
      </w:r>
      <w:r>
        <w:rPr>
          <w:rFonts w:hint="eastAsia" w:ascii="Times New Roman" w:hAnsi="Times New Roman" w:eastAsia="方正仿宋_GBK"/>
          <w:caps w:val="0"/>
          <w:smallCaps w:val="0"/>
          <w:color w:val="auto"/>
          <w:kern w:val="2"/>
          <w:sz w:val="24"/>
          <w:szCs w:val="24"/>
          <w:highlight w:val="none"/>
          <w:u w:val="single"/>
          <w:lang w:val="en-US" w:eastAsia="zh-CN"/>
        </w:rPr>
        <w:t xml:space="preserve">  </w:t>
      </w:r>
      <w:r>
        <w:rPr>
          <w:rFonts w:hint="eastAsia" w:ascii="Times New Roman" w:hAnsi="Times New Roman" w:eastAsia="方正仿宋_GBK"/>
          <w:caps w:val="0"/>
          <w:smallCaps w:val="0"/>
          <w:color w:val="auto"/>
          <w:kern w:val="2"/>
          <w:sz w:val="24"/>
          <w:szCs w:val="24"/>
          <w:highlight w:val="none"/>
          <w:u w:val="single"/>
        </w:rPr>
        <w:t>】</w:t>
      </w:r>
      <w:r>
        <w:rPr>
          <w:rFonts w:hint="eastAsia" w:ascii="Times New Roman" w:hAnsi="Times New Roman" w:eastAsia="方正仿宋_GBK"/>
          <w:caps w:val="0"/>
          <w:smallCaps w:val="0"/>
          <w:color w:val="auto"/>
          <w:kern w:val="2"/>
          <w:sz w:val="24"/>
          <w:szCs w:val="24"/>
          <w:highlight w:val="none"/>
        </w:rPr>
        <w:t>为本项目的特许经营者</w:t>
      </w:r>
      <w:r>
        <w:rPr>
          <w:rFonts w:hint="eastAsia" w:ascii="Times New Roman" w:hAnsi="Times New Roman" w:eastAsia="方正仿宋_GBK"/>
          <w:caps w:val="0"/>
          <w:smallCaps w:val="0"/>
          <w:color w:val="auto"/>
          <w:kern w:val="2"/>
          <w:sz w:val="24"/>
          <w:szCs w:val="24"/>
          <w:highlight w:val="none"/>
          <w:lang w:val="en-US" w:eastAsia="zh-CN"/>
        </w:rPr>
        <w:t>，</w:t>
      </w:r>
      <w:r>
        <w:rPr>
          <w:rFonts w:hint="eastAsia" w:ascii="Times New Roman" w:hAnsi="Times New Roman" w:eastAsia="方正仿宋_GBK"/>
          <w:caps w:val="0"/>
          <w:smallCaps w:val="0"/>
          <w:color w:val="auto"/>
          <w:kern w:val="2"/>
          <w:sz w:val="24"/>
          <w:szCs w:val="24"/>
          <w:highlight w:val="none"/>
        </w:rPr>
        <w:t>并于</w:t>
      </w:r>
      <w:r>
        <w:rPr>
          <w:rFonts w:hint="eastAsia" w:ascii="Times New Roman" w:hAnsi="Times New Roman" w:eastAsia="方正仿宋_GBK"/>
          <w:caps w:val="0"/>
          <w:smallCaps w:val="0"/>
          <w:color w:val="auto"/>
          <w:kern w:val="2"/>
          <w:sz w:val="24"/>
          <w:szCs w:val="24"/>
          <w:highlight w:val="none"/>
          <w:u w:val="single"/>
        </w:rPr>
        <w:t>【 年 月 日】</w:t>
      </w:r>
      <w:r>
        <w:rPr>
          <w:rFonts w:hint="eastAsia" w:ascii="Times New Roman" w:hAnsi="Times New Roman" w:eastAsia="方正仿宋_GBK"/>
          <w:caps w:val="0"/>
          <w:smallCaps w:val="0"/>
          <w:color w:val="auto"/>
          <w:kern w:val="2"/>
          <w:sz w:val="24"/>
          <w:szCs w:val="24"/>
          <w:highlight w:val="none"/>
        </w:rPr>
        <w:t>发出【</w:t>
      </w:r>
      <w:r>
        <w:rPr>
          <w:rFonts w:hint="eastAsia" w:ascii="Times New Roman" w:hAnsi="Times New Roman" w:eastAsia="方正仿宋_GBK"/>
          <w:caps w:val="0"/>
          <w:smallCaps w:val="0"/>
          <w:color w:val="auto"/>
          <w:kern w:val="2"/>
          <w:sz w:val="24"/>
          <w:szCs w:val="24"/>
          <w:highlight w:val="none"/>
          <w:u w:val="single"/>
        </w:rPr>
        <w:t>中标通知书或其他成交通知书</w:t>
      </w:r>
      <w:r>
        <w:rPr>
          <w:rFonts w:hint="eastAsia" w:ascii="Times New Roman" w:hAnsi="Times New Roman" w:eastAsia="方正仿宋_GBK"/>
          <w:caps w:val="0"/>
          <w:smallCaps w:val="0"/>
          <w:color w:val="auto"/>
          <w:kern w:val="2"/>
          <w:sz w:val="24"/>
          <w:szCs w:val="24"/>
          <w:highlight w:val="none"/>
        </w:rPr>
        <w:t>】。</w:t>
      </w:r>
    </w:p>
    <w:p w14:paraId="2078268E">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eastAsia"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3.</w:t>
      </w:r>
      <w:r>
        <w:rPr>
          <w:rFonts w:hint="default" w:ascii="Times New Roman" w:hAnsi="Times New Roman" w:eastAsia="方正仿宋_GBK"/>
          <w:caps w:val="0"/>
          <w:smallCaps w:val="0"/>
          <w:color w:val="auto"/>
          <w:kern w:val="2"/>
          <w:sz w:val="24"/>
          <w:szCs w:val="24"/>
          <w:highlight w:val="none"/>
        </w:rPr>
        <w:t xml:space="preserve"> </w:t>
      </w:r>
      <w:r>
        <w:rPr>
          <w:rFonts w:hint="eastAsia" w:ascii="Times New Roman" w:hAnsi="Times New Roman" w:eastAsia="方正仿宋_GBK"/>
          <w:caps w:val="0"/>
          <w:smallCaps w:val="0"/>
          <w:color w:val="auto"/>
          <w:kern w:val="2"/>
          <w:sz w:val="24"/>
          <w:szCs w:val="24"/>
          <w:highlight w:val="none"/>
        </w:rPr>
        <w:t>项目公司已</w:t>
      </w:r>
      <w:r>
        <w:rPr>
          <w:rFonts w:hint="eastAsia" w:ascii="Times New Roman" w:hAnsi="Times New Roman" w:eastAsia="方正仿宋_GBK"/>
          <w:caps w:val="0"/>
          <w:smallCaps w:val="0"/>
          <w:color w:val="auto"/>
          <w:kern w:val="2"/>
          <w:sz w:val="24"/>
          <w:szCs w:val="24"/>
          <w:highlight w:val="none"/>
          <w:lang w:eastAsia="zh-CN"/>
        </w:rPr>
        <w:t>由</w:t>
      </w:r>
      <w:r>
        <w:rPr>
          <w:rFonts w:hint="eastAsia" w:ascii="Times New Roman" w:hAnsi="Times New Roman" w:eastAsia="方正仿宋_GBK"/>
          <w:caps w:val="0"/>
          <w:smallCaps w:val="0"/>
          <w:color w:val="auto"/>
          <w:kern w:val="2"/>
          <w:sz w:val="24"/>
          <w:szCs w:val="24"/>
          <w:highlight w:val="none"/>
        </w:rPr>
        <w:t>【项目公司股东名称】于【 年 月 日】设立，作为本协议乙方，享有和承担本协议项下特许经营的权利义务。</w:t>
      </w:r>
    </w:p>
    <w:p w14:paraId="4D090E48">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eastAsia="zh-CN"/>
        </w:rPr>
        <w:t>4.</w:t>
      </w:r>
      <w:r>
        <w:rPr>
          <w:rFonts w:hint="eastAsia" w:ascii="Times New Roman" w:hAnsi="Times New Roman" w:eastAsia="方正仿宋_GBK"/>
          <w:caps w:val="0"/>
          <w:smallCaps w:val="0"/>
          <w:color w:val="auto"/>
          <w:kern w:val="2"/>
          <w:sz w:val="24"/>
          <w:szCs w:val="24"/>
          <w:highlight w:val="none"/>
        </w:rPr>
        <w:t>甲方已获得扬州市江都区人民政府授权与乙方签订本协议。【授权书见附件</w:t>
      </w:r>
      <w:r>
        <w:rPr>
          <w:rFonts w:hint="eastAsia" w:ascii="Times New Roman" w:hAnsi="Times New Roman" w:eastAsia="方正仿宋_GBK"/>
          <w:caps w:val="0"/>
          <w:smallCaps w:val="0"/>
          <w:color w:val="auto"/>
          <w:kern w:val="2"/>
          <w:sz w:val="24"/>
          <w:szCs w:val="24"/>
          <w:highlight w:val="none"/>
          <w:lang w:val="en-US" w:eastAsia="zh-CN"/>
        </w:rPr>
        <w:t>1</w:t>
      </w:r>
      <w:r>
        <w:rPr>
          <w:rFonts w:hint="eastAsia" w:ascii="Times New Roman" w:hAnsi="Times New Roman" w:eastAsia="方正仿宋_GBK"/>
          <w:caps w:val="0"/>
          <w:smallCaps w:val="0"/>
          <w:color w:val="auto"/>
          <w:kern w:val="2"/>
          <w:sz w:val="24"/>
          <w:szCs w:val="24"/>
          <w:highlight w:val="none"/>
        </w:rPr>
        <w:t>】</w:t>
      </w:r>
    </w:p>
    <w:p w14:paraId="4C81A424">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eastAsia"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甲</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乙双方遵循平等、自愿、诚信的原则，</w:t>
      </w:r>
      <w:r>
        <w:rPr>
          <w:rFonts w:hint="default" w:ascii="Times New Roman" w:hAnsi="Times New Roman" w:eastAsia="方正仿宋_GBK"/>
          <w:caps w:val="0"/>
          <w:smallCaps w:val="0"/>
          <w:color w:val="auto"/>
          <w:kern w:val="2"/>
          <w:sz w:val="24"/>
          <w:szCs w:val="24"/>
          <w:highlight w:val="none"/>
        </w:rPr>
        <w:t>就本项目实施的相关事项</w:t>
      </w:r>
      <w:r>
        <w:rPr>
          <w:rFonts w:hint="eastAsia" w:ascii="Times New Roman" w:hAnsi="Times New Roman" w:eastAsia="方正仿宋_GBK"/>
          <w:caps w:val="0"/>
          <w:smallCaps w:val="0"/>
          <w:color w:val="auto"/>
          <w:kern w:val="2"/>
          <w:sz w:val="24"/>
          <w:szCs w:val="24"/>
          <w:highlight w:val="none"/>
        </w:rPr>
        <w:t>已</w:t>
      </w:r>
      <w:r>
        <w:rPr>
          <w:rFonts w:hint="default" w:ascii="Times New Roman" w:hAnsi="Times New Roman" w:eastAsia="方正仿宋_GBK"/>
          <w:caps w:val="0"/>
          <w:smallCaps w:val="0"/>
          <w:color w:val="auto"/>
          <w:kern w:val="2"/>
          <w:sz w:val="24"/>
          <w:szCs w:val="24"/>
          <w:highlight w:val="none"/>
        </w:rPr>
        <w:t>协商一致，</w:t>
      </w:r>
      <w:r>
        <w:rPr>
          <w:rFonts w:hint="eastAsia" w:ascii="Times New Roman" w:hAnsi="Times New Roman" w:eastAsia="方正仿宋_GBK"/>
          <w:caps w:val="0"/>
          <w:smallCaps w:val="0"/>
          <w:color w:val="auto"/>
          <w:kern w:val="2"/>
          <w:sz w:val="24"/>
          <w:szCs w:val="24"/>
          <w:highlight w:val="none"/>
        </w:rPr>
        <w:t>并根据适用本项目和特许经营的法律法规规章和规范性文件规定，</w:t>
      </w:r>
      <w:r>
        <w:rPr>
          <w:rFonts w:hint="default" w:ascii="Times New Roman" w:hAnsi="Times New Roman" w:eastAsia="方正仿宋_GBK"/>
          <w:caps w:val="0"/>
          <w:smallCaps w:val="0"/>
          <w:color w:val="auto"/>
          <w:kern w:val="2"/>
          <w:sz w:val="24"/>
          <w:szCs w:val="24"/>
          <w:highlight w:val="none"/>
        </w:rPr>
        <w:t>共同达成</w:t>
      </w:r>
      <w:r>
        <w:rPr>
          <w:rFonts w:hint="eastAsia" w:ascii="Times New Roman" w:hAnsi="Times New Roman" w:eastAsia="方正仿宋_GBK"/>
          <w:caps w:val="0"/>
          <w:smallCaps w:val="0"/>
          <w:color w:val="auto"/>
          <w:kern w:val="2"/>
          <w:sz w:val="24"/>
          <w:szCs w:val="24"/>
          <w:highlight w:val="none"/>
        </w:rPr>
        <w:t>和签署本</w:t>
      </w:r>
      <w:r>
        <w:rPr>
          <w:rFonts w:hint="default" w:ascii="Times New Roman" w:hAnsi="Times New Roman" w:eastAsia="方正仿宋_GBK"/>
          <w:caps w:val="0"/>
          <w:smallCaps w:val="0"/>
          <w:color w:val="auto"/>
          <w:kern w:val="2"/>
          <w:sz w:val="24"/>
          <w:szCs w:val="24"/>
          <w:highlight w:val="none"/>
        </w:rPr>
        <w:t>协议</w:t>
      </w:r>
      <w:r>
        <w:rPr>
          <w:rFonts w:hint="eastAsia" w:ascii="Times New Roman" w:hAnsi="Times New Roman" w:eastAsia="方正仿宋_GBK"/>
          <w:caps w:val="0"/>
          <w:smallCaps w:val="0"/>
          <w:color w:val="auto"/>
          <w:kern w:val="2"/>
          <w:sz w:val="24"/>
          <w:szCs w:val="24"/>
          <w:highlight w:val="none"/>
        </w:rPr>
        <w:t>如下。</w:t>
      </w:r>
    </w:p>
    <w:p w14:paraId="17B521A2">
      <w:pPr>
        <w:keepNext w:val="0"/>
        <w:keepLines w:val="0"/>
        <w:pageBreakBefore w:val="0"/>
        <w:widowControl w:val="0"/>
        <w:numPr>
          <w:ilvl w:val="0"/>
          <w:numId w:val="0"/>
        </w:numPr>
        <w:kinsoku/>
        <w:wordWrap/>
        <w:overflowPunct/>
        <w:topLinePunct w:val="0"/>
        <w:bidi w:val="0"/>
        <w:spacing w:before="0" w:beforeAutospacing="0" w:after="0" w:afterAutospacing="0" w:line="360" w:lineRule="auto"/>
        <w:ind w:left="0" w:firstLine="0"/>
        <w:jc w:val="center"/>
        <w:outlineLvl w:val="0"/>
        <w:rPr>
          <w:rFonts w:hint="eastAsia" w:ascii="Times New Roman" w:hAnsi="Times New Roman" w:eastAsia="方正黑体_GBK" w:cs="方正黑体_GBK"/>
          <w:caps w:val="0"/>
          <w:smallCaps w:val="0"/>
          <w:color w:val="auto"/>
          <w:kern w:val="2"/>
          <w:sz w:val="28"/>
          <w:szCs w:val="28"/>
          <w:highlight w:val="none"/>
          <w:lang w:val="en-US" w:eastAsia="zh-CN" w:bidi="ar-SA"/>
        </w:rPr>
      </w:pPr>
      <w:bookmarkStart w:id="102" w:name="_Toc19270"/>
      <w:r>
        <w:rPr>
          <w:rFonts w:hint="eastAsia" w:ascii="Times New Roman" w:hAnsi="Times New Roman" w:eastAsia="方正黑体_GBK" w:cs="方正黑体_GBK"/>
          <w:caps w:val="0"/>
          <w:smallCaps w:val="0"/>
          <w:color w:val="auto"/>
          <w:kern w:val="2"/>
          <w:sz w:val="28"/>
          <w:szCs w:val="28"/>
          <w:highlight w:val="none"/>
          <w:lang w:val="en-US" w:eastAsia="zh-CN" w:bidi="ar-SA"/>
        </w:rPr>
        <w:t xml:space="preserve">第一章 </w:t>
      </w:r>
      <w:bookmarkStart w:id="103" w:name="_Toc1933944826"/>
      <w:bookmarkStart w:id="104" w:name="_Toc4334"/>
      <w:r>
        <w:rPr>
          <w:rFonts w:hint="eastAsia" w:ascii="Times New Roman" w:hAnsi="Times New Roman" w:eastAsia="方正黑体_GBK" w:cs="方正黑体_GBK"/>
          <w:caps w:val="0"/>
          <w:smallCaps w:val="0"/>
          <w:color w:val="auto"/>
          <w:kern w:val="2"/>
          <w:sz w:val="28"/>
          <w:szCs w:val="28"/>
          <w:highlight w:val="none"/>
          <w:lang w:val="en-US" w:eastAsia="zh-CN" w:bidi="ar-SA"/>
        </w:rPr>
        <w:t>总则</w:t>
      </w:r>
      <w:bookmarkEnd w:id="102"/>
      <w:bookmarkEnd w:id="103"/>
      <w:bookmarkEnd w:id="104"/>
    </w:p>
    <w:p w14:paraId="2636802C">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firstLine="560" w:firstLineChars="200"/>
        <w:rPr>
          <w:rFonts w:hint="default" w:ascii="Times New Roman" w:hAnsi="Times New Roman" w:eastAsia="方正仿宋_GBK"/>
          <w:caps w:val="0"/>
          <w:smallCaps w:val="0"/>
          <w:color w:val="auto"/>
          <w:kern w:val="2"/>
          <w:sz w:val="28"/>
          <w:szCs w:val="28"/>
          <w:highlight w:val="none"/>
        </w:rPr>
      </w:pPr>
    </w:p>
    <w:p w14:paraId="39EC5777">
      <w:pPr>
        <w:widowControl/>
        <w:numPr>
          <w:ilvl w:val="0"/>
          <w:numId w:val="0"/>
        </w:numPr>
        <w:adjustRightInd w:val="0"/>
        <w:snapToGrid w:val="0"/>
        <w:spacing w:before="0" w:beforeLines="0" w:after="0" w:afterLines="0" w:line="360" w:lineRule="auto"/>
        <w:ind w:firstLine="560" w:firstLineChars="200"/>
        <w:jc w:val="both"/>
        <w:outlineLvl w:val="1"/>
        <w:rPr>
          <w:rFonts w:ascii="Times New Roman" w:hAnsi="Times New Roman" w:eastAsia="方正仿宋_GBK" w:cs="方正黑体_GBK"/>
          <w:bCs/>
          <w:caps w:val="0"/>
          <w:smallCaps w:val="0"/>
          <w:color w:val="auto"/>
          <w:kern w:val="2"/>
          <w:sz w:val="28"/>
          <w:szCs w:val="28"/>
          <w:highlight w:val="none"/>
          <w:lang w:val="en-US" w:eastAsia="zh-CN" w:bidi="ar-SA"/>
        </w:rPr>
      </w:pPr>
      <w:bookmarkStart w:id="105" w:name="_Toc136070550"/>
      <w:bookmarkStart w:id="106" w:name="_Toc23777"/>
      <w:bookmarkStart w:id="107" w:name="_Toc21852"/>
      <w:r>
        <w:rPr>
          <w:rFonts w:hint="default" w:ascii="Times New Roman" w:hAnsi="Times New Roman" w:eastAsia="方正黑体_GBK" w:cs="方正黑体_GBK"/>
          <w:bCs/>
          <w:caps w:val="0"/>
          <w:smallCaps w:val="0"/>
          <w:color w:val="auto"/>
          <w:kern w:val="2"/>
          <w:sz w:val="28"/>
          <w:szCs w:val="28"/>
          <w:highlight w:val="none"/>
          <w:lang w:val="en-US" w:eastAsia="zh-CN" w:bidi="ar-SA"/>
        </w:rPr>
        <w:t>第1条 术语定义和解释</w:t>
      </w:r>
      <w:bookmarkEnd w:id="105"/>
      <w:bookmarkEnd w:id="106"/>
      <w:bookmarkEnd w:id="107"/>
    </w:p>
    <w:p w14:paraId="5D84B88A">
      <w:pPr>
        <w:keepNext w:val="0"/>
        <w:keepLines w:val="0"/>
        <w:pageBreakBefore w:val="0"/>
        <w:widowControl w:val="0"/>
        <w:numPr>
          <w:ilvl w:val="2"/>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firstLine="480" w:firstLineChars="200"/>
        <w:jc w:val="left"/>
        <w:outlineLvl w:val="2"/>
        <w:rPr>
          <w:rFonts w:hint="default" w:ascii="Times New Roman" w:hAnsi="Times New Roman" w:eastAsia="方正仿宋_GBK"/>
          <w:b/>
          <w:caps w:val="0"/>
          <w:smallCaps w:val="0"/>
          <w:color w:val="auto"/>
          <w:kern w:val="2"/>
          <w:sz w:val="24"/>
          <w:szCs w:val="24"/>
          <w:highlight w:val="none"/>
        </w:rPr>
      </w:pPr>
      <w:r>
        <w:rPr>
          <w:rFonts w:hint="eastAsia" w:ascii="Times New Roman" w:hAnsi="Times New Roman" w:eastAsia="方正仿宋_GBK"/>
          <w:b/>
          <w:caps w:val="0"/>
          <w:smallCaps w:val="0"/>
          <w:color w:val="auto"/>
          <w:kern w:val="2"/>
          <w:sz w:val="24"/>
          <w:szCs w:val="24"/>
          <w:highlight w:val="none"/>
          <w:lang w:val="en-US" w:eastAsia="zh-CN" w:bidi="ar-SA"/>
        </w:rPr>
        <w:t>1.</w:t>
      </w:r>
      <w:r>
        <w:rPr>
          <w:rFonts w:hint="eastAsia" w:ascii="Times New Roman" w:hAnsi="Times New Roman" w:eastAsia="方正仿宋_GBK"/>
          <w:b/>
          <w:caps w:val="0"/>
          <w:smallCaps w:val="0"/>
          <w:color w:val="auto"/>
          <w:kern w:val="2"/>
          <w:sz w:val="24"/>
          <w:szCs w:val="24"/>
          <w:highlight w:val="none"/>
        </w:rPr>
        <w:t>术语定义</w:t>
      </w:r>
    </w:p>
    <w:p w14:paraId="4C6A2EFA">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为避免歧义，本协议使用的</w:t>
      </w:r>
      <w:r>
        <w:rPr>
          <w:rFonts w:hint="eastAsia" w:ascii="Times New Roman" w:hAnsi="Times New Roman" w:eastAsia="方正仿宋_GBK"/>
          <w:caps w:val="0"/>
          <w:smallCaps w:val="0"/>
          <w:color w:val="auto"/>
          <w:kern w:val="2"/>
          <w:sz w:val="24"/>
          <w:szCs w:val="24"/>
          <w:highlight w:val="none"/>
          <w:lang w:eastAsia="zh-CN"/>
        </w:rPr>
        <w:t>下列</w:t>
      </w:r>
      <w:r>
        <w:rPr>
          <w:rFonts w:hint="eastAsia" w:ascii="Times New Roman" w:hAnsi="Times New Roman" w:eastAsia="方正仿宋_GBK"/>
          <w:caps w:val="0"/>
          <w:smallCaps w:val="0"/>
          <w:color w:val="auto"/>
          <w:kern w:val="2"/>
          <w:sz w:val="24"/>
          <w:szCs w:val="24"/>
          <w:highlight w:val="none"/>
        </w:rPr>
        <w:t>措辞和用语应具有本条赋予的含义：</w:t>
      </w:r>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1"/>
        <w:gridCol w:w="1793"/>
        <w:gridCol w:w="6196"/>
      </w:tblGrid>
      <w:tr w14:paraId="2FD76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atLeast"/>
          <w:tblHeader/>
        </w:trPr>
        <w:tc>
          <w:tcPr>
            <w:tcW w:w="507" w:type="pct"/>
            <w:noWrap w:val="0"/>
            <w:vAlign w:val="center"/>
          </w:tcPr>
          <w:p w14:paraId="7B53BED4">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b/>
                <w:bCs/>
                <w:caps w:val="0"/>
                <w:smallCaps w:val="0"/>
                <w:color w:val="auto"/>
                <w:kern w:val="0"/>
                <w:sz w:val="24"/>
                <w:szCs w:val="24"/>
                <w:highlight w:val="none"/>
              </w:rPr>
            </w:pPr>
            <w:r>
              <w:rPr>
                <w:rFonts w:hint="eastAsia" w:ascii="Times New Roman" w:hAnsi="Times New Roman" w:eastAsia="方正仿宋_GBK"/>
                <w:b/>
                <w:bCs/>
                <w:caps w:val="0"/>
                <w:smallCaps w:val="0"/>
                <w:color w:val="auto"/>
                <w:kern w:val="0"/>
                <w:sz w:val="24"/>
                <w:szCs w:val="24"/>
                <w:highlight w:val="none"/>
              </w:rPr>
              <w:t>序号</w:t>
            </w:r>
          </w:p>
        </w:tc>
        <w:tc>
          <w:tcPr>
            <w:tcW w:w="1008" w:type="pct"/>
            <w:noWrap w:val="0"/>
            <w:vAlign w:val="center"/>
          </w:tcPr>
          <w:p w14:paraId="575DE0BC">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b/>
                <w:bCs/>
                <w:caps w:val="0"/>
                <w:smallCaps w:val="0"/>
                <w:color w:val="auto"/>
                <w:kern w:val="0"/>
                <w:sz w:val="24"/>
                <w:szCs w:val="24"/>
                <w:highlight w:val="none"/>
              </w:rPr>
            </w:pPr>
            <w:r>
              <w:rPr>
                <w:rFonts w:hint="eastAsia" w:ascii="Times New Roman" w:hAnsi="Times New Roman" w:eastAsia="方正仿宋_GBK"/>
                <w:b/>
                <w:bCs/>
                <w:caps w:val="0"/>
                <w:smallCaps w:val="0"/>
                <w:color w:val="auto"/>
                <w:kern w:val="0"/>
                <w:sz w:val="24"/>
                <w:szCs w:val="24"/>
                <w:highlight w:val="none"/>
              </w:rPr>
              <w:t>术语</w:t>
            </w:r>
          </w:p>
        </w:tc>
        <w:tc>
          <w:tcPr>
            <w:tcW w:w="3483" w:type="pct"/>
            <w:noWrap w:val="0"/>
            <w:vAlign w:val="center"/>
          </w:tcPr>
          <w:p w14:paraId="5B2DEFA4">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b/>
                <w:bCs/>
                <w:caps w:val="0"/>
                <w:smallCaps w:val="0"/>
                <w:color w:val="auto"/>
                <w:kern w:val="0"/>
                <w:sz w:val="24"/>
                <w:szCs w:val="24"/>
                <w:highlight w:val="none"/>
              </w:rPr>
            </w:pPr>
            <w:r>
              <w:rPr>
                <w:rFonts w:hint="eastAsia" w:ascii="Times New Roman" w:hAnsi="Times New Roman" w:eastAsia="方正仿宋_GBK"/>
                <w:b/>
                <w:bCs/>
                <w:caps w:val="0"/>
                <w:smallCaps w:val="0"/>
                <w:color w:val="auto"/>
                <w:kern w:val="0"/>
                <w:sz w:val="24"/>
                <w:szCs w:val="24"/>
                <w:highlight w:val="none"/>
              </w:rPr>
              <w:t>术语定义</w:t>
            </w:r>
          </w:p>
        </w:tc>
      </w:tr>
      <w:tr w14:paraId="45550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8" w:hRule="atLeast"/>
        </w:trPr>
        <w:tc>
          <w:tcPr>
            <w:tcW w:w="507" w:type="pct"/>
            <w:noWrap w:val="0"/>
            <w:vAlign w:val="center"/>
          </w:tcPr>
          <w:p w14:paraId="072C3080">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eastAsia" w:ascii="Times New Roman" w:hAnsi="Times New Roman" w:eastAsia="方正仿宋_GBK"/>
                <w:caps w:val="0"/>
                <w:smallCaps w:val="0"/>
                <w:color w:val="auto"/>
                <w:kern w:val="0"/>
                <w:sz w:val="24"/>
                <w:szCs w:val="24"/>
                <w:highlight w:val="none"/>
                <w:lang w:val="en-US" w:eastAsia="zh-CN"/>
              </w:rPr>
            </w:pPr>
            <w:r>
              <w:rPr>
                <w:rFonts w:hint="eastAsia" w:ascii="Times New Roman" w:hAnsi="Times New Roman" w:eastAsia="方正仿宋_GBK"/>
                <w:caps w:val="0"/>
                <w:smallCaps w:val="0"/>
                <w:color w:val="auto"/>
                <w:kern w:val="0"/>
                <w:sz w:val="24"/>
                <w:szCs w:val="24"/>
                <w:highlight w:val="none"/>
                <w:lang w:val="en-US" w:eastAsia="zh-CN"/>
              </w:rPr>
              <w:t>1</w:t>
            </w:r>
          </w:p>
        </w:tc>
        <w:tc>
          <w:tcPr>
            <w:tcW w:w="1008" w:type="pct"/>
            <w:noWrap w:val="0"/>
            <w:vAlign w:val="center"/>
          </w:tcPr>
          <w:p w14:paraId="38E9F05B">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协议/本协议</w:t>
            </w:r>
          </w:p>
        </w:tc>
        <w:tc>
          <w:tcPr>
            <w:tcW w:w="3483" w:type="pct"/>
            <w:noWrap w:val="0"/>
            <w:vAlign w:val="center"/>
          </w:tcPr>
          <w:p w14:paraId="6AAB82E9">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both"/>
              <w:rPr>
                <w:rFonts w:hint="eastAsia" w:ascii="Times New Roman" w:hAnsi="Times New Roman" w:eastAsia="方正仿宋_GBK"/>
                <w:b/>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指由甲方与乙方就本项目签署的特许经营协议，包括全部附件以及日后签署的本协议之补充协议和附件，均视为本协议的组成部分。</w:t>
            </w:r>
          </w:p>
        </w:tc>
      </w:tr>
      <w:tr w14:paraId="71D34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10" w:hRule="atLeast"/>
        </w:trPr>
        <w:tc>
          <w:tcPr>
            <w:tcW w:w="507" w:type="pct"/>
            <w:noWrap w:val="0"/>
            <w:vAlign w:val="center"/>
          </w:tcPr>
          <w:p w14:paraId="287A87B2">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eastAsia" w:ascii="Times New Roman" w:hAnsi="Times New Roman" w:eastAsia="方正仿宋_GBK"/>
                <w:caps w:val="0"/>
                <w:smallCaps w:val="0"/>
                <w:color w:val="auto"/>
                <w:kern w:val="0"/>
                <w:sz w:val="24"/>
                <w:szCs w:val="24"/>
                <w:highlight w:val="none"/>
                <w:lang w:val="en-US" w:eastAsia="zh-CN"/>
              </w:rPr>
            </w:pPr>
            <w:r>
              <w:rPr>
                <w:rFonts w:hint="eastAsia" w:ascii="Times New Roman" w:hAnsi="Times New Roman" w:eastAsia="方正仿宋_GBK"/>
                <w:caps w:val="0"/>
                <w:smallCaps w:val="0"/>
                <w:color w:val="auto"/>
                <w:kern w:val="0"/>
                <w:sz w:val="24"/>
                <w:szCs w:val="24"/>
                <w:highlight w:val="none"/>
                <w:lang w:val="en-US" w:eastAsia="zh-CN"/>
              </w:rPr>
              <w:t>2</w:t>
            </w:r>
          </w:p>
        </w:tc>
        <w:tc>
          <w:tcPr>
            <w:tcW w:w="1008" w:type="pct"/>
            <w:noWrap w:val="0"/>
            <w:vAlign w:val="center"/>
          </w:tcPr>
          <w:p w14:paraId="447E6C99">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eastAsia"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初步协议</w:t>
            </w:r>
          </w:p>
        </w:tc>
        <w:tc>
          <w:tcPr>
            <w:tcW w:w="3483" w:type="pct"/>
            <w:noWrap w:val="0"/>
            <w:vAlign w:val="center"/>
          </w:tcPr>
          <w:p w14:paraId="1BB994B7">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bCs/>
                <w:caps w:val="0"/>
                <w:smallCaps w:val="0"/>
                <w:color w:val="auto"/>
                <w:kern w:val="0"/>
                <w:sz w:val="24"/>
                <w:szCs w:val="24"/>
                <w:highlight w:val="none"/>
              </w:rPr>
              <w:t>指甲方与特许经营者签订的，约定特许经营者在规定期限内注册成立项目公司，并由甲方与项目公司签订特许经营协议等事项的协议。初步协议持续有效，且有效期不短于本协议。</w:t>
            </w:r>
          </w:p>
        </w:tc>
      </w:tr>
      <w:tr w14:paraId="5364D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3" w:hRule="atLeast"/>
        </w:trPr>
        <w:tc>
          <w:tcPr>
            <w:tcW w:w="507" w:type="pct"/>
            <w:noWrap w:val="0"/>
            <w:vAlign w:val="center"/>
          </w:tcPr>
          <w:p w14:paraId="58A623F2">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eastAsia" w:ascii="Times New Roman" w:hAnsi="Times New Roman" w:eastAsia="方正仿宋_GBK"/>
                <w:caps w:val="0"/>
                <w:smallCaps w:val="0"/>
                <w:color w:val="auto"/>
                <w:kern w:val="0"/>
                <w:sz w:val="24"/>
                <w:szCs w:val="24"/>
                <w:highlight w:val="none"/>
                <w:lang w:val="en-US" w:eastAsia="zh-CN"/>
              </w:rPr>
            </w:pPr>
            <w:r>
              <w:rPr>
                <w:rFonts w:hint="eastAsia" w:ascii="Times New Roman" w:hAnsi="Times New Roman" w:eastAsia="方正仿宋_GBK"/>
                <w:caps w:val="0"/>
                <w:smallCaps w:val="0"/>
                <w:color w:val="auto"/>
                <w:kern w:val="0"/>
                <w:sz w:val="24"/>
                <w:szCs w:val="24"/>
                <w:highlight w:val="none"/>
                <w:lang w:val="en-US" w:eastAsia="zh-CN"/>
              </w:rPr>
              <w:t>3</w:t>
            </w:r>
          </w:p>
        </w:tc>
        <w:tc>
          <w:tcPr>
            <w:tcW w:w="1008" w:type="pct"/>
            <w:noWrap w:val="0"/>
            <w:vAlign w:val="center"/>
          </w:tcPr>
          <w:p w14:paraId="1AAA0B1C">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本项目/特许经营项目</w:t>
            </w:r>
          </w:p>
        </w:tc>
        <w:tc>
          <w:tcPr>
            <w:tcW w:w="3483" w:type="pct"/>
            <w:noWrap w:val="0"/>
            <w:vAlign w:val="center"/>
          </w:tcPr>
          <w:p w14:paraId="2780EF4E">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rPr>
                <w:rFonts w:hint="default" w:ascii="Times New Roman" w:hAnsi="Times New Roman" w:eastAsia="方正仿宋_GBK"/>
                <w:caps w:val="0"/>
                <w:smallCaps w:val="0"/>
                <w:color w:val="auto"/>
                <w:kern w:val="0"/>
                <w:sz w:val="24"/>
                <w:szCs w:val="24"/>
                <w:highlight w:val="none"/>
              </w:rPr>
            </w:pPr>
            <w:r>
              <w:rPr>
                <w:rFonts w:hint="default" w:ascii="Times New Roman" w:hAnsi="Times New Roman" w:eastAsia="方正仿宋_GBK"/>
                <w:caps w:val="0"/>
                <w:smallCaps w:val="0"/>
                <w:color w:val="auto"/>
                <w:kern w:val="0"/>
                <w:sz w:val="24"/>
                <w:szCs w:val="24"/>
                <w:highlight w:val="none"/>
              </w:rPr>
              <w:t>指</w:t>
            </w:r>
            <w:r>
              <w:rPr>
                <w:rFonts w:hint="eastAsia" w:ascii="Times New Roman" w:hAnsi="Times New Roman" w:eastAsia="方正仿宋_GBK"/>
                <w:caps w:val="0"/>
                <w:smallCaps w:val="0"/>
                <w:color w:val="auto"/>
                <w:kern w:val="0"/>
                <w:sz w:val="24"/>
                <w:szCs w:val="24"/>
                <w:highlight w:val="none"/>
                <w:lang w:eastAsia="zh-CN"/>
              </w:rPr>
              <w:t>江都城区污水处理设施</w:t>
            </w:r>
            <w:r>
              <w:rPr>
                <w:rFonts w:hint="eastAsia" w:ascii="Times New Roman" w:hAnsi="Times New Roman" w:eastAsia="方正仿宋_GBK"/>
                <w:caps w:val="0"/>
                <w:smallCaps w:val="0"/>
                <w:color w:val="auto"/>
                <w:kern w:val="0"/>
                <w:sz w:val="24"/>
                <w:szCs w:val="24"/>
                <w:highlight w:val="none"/>
              </w:rPr>
              <w:t>特许经营项目</w:t>
            </w:r>
            <w:r>
              <w:rPr>
                <w:rFonts w:hint="eastAsia" w:ascii="Times New Roman" w:hAnsi="Times New Roman" w:eastAsia="方正仿宋_GBK"/>
                <w:caps w:val="0"/>
                <w:smallCaps w:val="0"/>
                <w:color w:val="auto"/>
                <w:kern w:val="0"/>
                <w:sz w:val="24"/>
                <w:szCs w:val="24"/>
                <w:highlight w:val="none"/>
                <w:lang w:eastAsia="zh-CN"/>
              </w:rPr>
              <w:t>，即</w:t>
            </w:r>
            <w:r>
              <w:rPr>
                <w:rFonts w:hint="eastAsia" w:ascii="Times New Roman" w:hAnsi="Times New Roman" w:eastAsia="方正仿宋_GBK"/>
                <w:caps w:val="0"/>
                <w:smallCaps w:val="0"/>
                <w:color w:val="auto"/>
                <w:kern w:val="0"/>
                <w:sz w:val="24"/>
                <w:szCs w:val="24"/>
                <w:highlight w:val="none"/>
              </w:rPr>
              <w:t>由甲方选定特许经营者并由其承担</w:t>
            </w:r>
            <w:r>
              <w:rPr>
                <w:rFonts w:hint="eastAsia" w:ascii="Times New Roman" w:hAnsi="Times New Roman" w:eastAsia="方正仿宋_GBK"/>
                <w:caps w:val="0"/>
                <w:smallCaps w:val="0"/>
                <w:color w:val="auto"/>
                <w:kern w:val="0"/>
                <w:sz w:val="24"/>
                <w:szCs w:val="24"/>
                <w:highlight w:val="none"/>
                <w:lang w:val="en-US" w:eastAsia="zh-CN"/>
              </w:rPr>
              <w:t>项目设施设备的</w:t>
            </w:r>
            <w:r>
              <w:rPr>
                <w:rFonts w:hint="eastAsia" w:ascii="Times New Roman" w:hAnsi="Times New Roman" w:eastAsia="方正仿宋_GBK"/>
                <w:caps w:val="0"/>
                <w:smallCaps w:val="0"/>
                <w:color w:val="auto"/>
                <w:kern w:val="0"/>
                <w:sz w:val="24"/>
                <w:szCs w:val="24"/>
                <w:highlight w:val="none"/>
              </w:rPr>
              <w:t>运营</w:t>
            </w:r>
            <w:r>
              <w:rPr>
                <w:rFonts w:hint="eastAsia" w:ascii="Times New Roman" w:hAnsi="Times New Roman" w:eastAsia="方正仿宋_GBK"/>
                <w:caps w:val="0"/>
                <w:smallCaps w:val="0"/>
                <w:color w:val="auto"/>
                <w:kern w:val="0"/>
                <w:sz w:val="24"/>
                <w:szCs w:val="24"/>
                <w:highlight w:val="none"/>
                <w:lang w:val="en-US" w:eastAsia="zh-CN"/>
              </w:rPr>
              <w:t>维护及提供特许经营范围内的污水处理服务</w:t>
            </w:r>
            <w:r>
              <w:rPr>
                <w:rFonts w:hint="eastAsia" w:ascii="Times New Roman" w:hAnsi="Times New Roman" w:eastAsia="方正仿宋_GBK"/>
                <w:caps w:val="0"/>
                <w:smallCaps w:val="0"/>
                <w:color w:val="auto"/>
                <w:kern w:val="0"/>
                <w:sz w:val="24"/>
                <w:szCs w:val="24"/>
                <w:highlight w:val="none"/>
              </w:rPr>
              <w:t>、</w:t>
            </w:r>
            <w:r>
              <w:rPr>
                <w:rFonts w:hint="eastAsia" w:ascii="Times New Roman" w:hAnsi="Times New Roman" w:eastAsia="方正仿宋_GBK"/>
                <w:caps w:val="0"/>
                <w:smallCaps w:val="0"/>
                <w:color w:val="auto"/>
                <w:kern w:val="0"/>
                <w:sz w:val="24"/>
                <w:szCs w:val="24"/>
                <w:highlight w:val="none"/>
                <w:lang w:val="en-US" w:eastAsia="zh-CN"/>
              </w:rPr>
              <w:t>特许经营期满</w:t>
            </w:r>
            <w:r>
              <w:rPr>
                <w:rFonts w:hint="eastAsia" w:ascii="Times New Roman" w:hAnsi="Times New Roman" w:eastAsia="方正仿宋_GBK"/>
                <w:caps w:val="0"/>
                <w:smallCaps w:val="0"/>
                <w:color w:val="auto"/>
                <w:kern w:val="0"/>
                <w:sz w:val="24"/>
                <w:szCs w:val="24"/>
                <w:highlight w:val="none"/>
              </w:rPr>
              <w:t>移交的特许经营项目。</w:t>
            </w:r>
          </w:p>
        </w:tc>
      </w:tr>
      <w:tr w14:paraId="33929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4" w:hRule="atLeast"/>
        </w:trPr>
        <w:tc>
          <w:tcPr>
            <w:tcW w:w="507" w:type="pct"/>
            <w:noWrap w:val="0"/>
            <w:vAlign w:val="center"/>
          </w:tcPr>
          <w:p w14:paraId="1E3CFE22">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eastAsia"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lang w:val="en-US" w:eastAsia="zh-CN"/>
              </w:rPr>
              <w:t>4</w:t>
            </w:r>
          </w:p>
        </w:tc>
        <w:tc>
          <w:tcPr>
            <w:tcW w:w="1008" w:type="pct"/>
            <w:noWrap w:val="0"/>
            <w:vAlign w:val="center"/>
          </w:tcPr>
          <w:p w14:paraId="21467BF3">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特许经营者</w:t>
            </w:r>
          </w:p>
        </w:tc>
        <w:tc>
          <w:tcPr>
            <w:tcW w:w="3483" w:type="pct"/>
            <w:noWrap w:val="0"/>
            <w:vAlign w:val="center"/>
          </w:tcPr>
          <w:p w14:paraId="25C464BD">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指【特许经营者或联合体名称】</w:t>
            </w:r>
            <w:r>
              <w:rPr>
                <w:rFonts w:hint="eastAsia" w:ascii="Times New Roman" w:hAnsi="Times New Roman" w:eastAsia="方正仿宋_GBK"/>
                <w:caps w:val="0"/>
                <w:smallCaps w:val="0"/>
                <w:color w:val="auto"/>
                <w:kern w:val="0"/>
                <w:sz w:val="24"/>
                <w:szCs w:val="24"/>
                <w:highlight w:val="none"/>
                <w:lang w:eastAsia="zh-CN"/>
              </w:rPr>
              <w:t>，</w:t>
            </w:r>
            <w:r>
              <w:rPr>
                <w:rFonts w:hint="eastAsia" w:ascii="Times New Roman" w:hAnsi="Times New Roman" w:eastAsia="方正仿宋_GBK"/>
                <w:caps w:val="0"/>
                <w:smallCaps w:val="0"/>
                <w:color w:val="auto"/>
                <w:kern w:val="0"/>
                <w:sz w:val="24"/>
                <w:szCs w:val="24"/>
                <w:highlight w:val="none"/>
              </w:rPr>
              <w:t>系为甲方采用公开竞争方式选定的拟由其承担本特许经营项目的社会资本，即本项目特许经营者选择程序的中标者</w:t>
            </w:r>
            <w:r>
              <w:rPr>
                <w:rFonts w:hint="eastAsia" w:ascii="Times New Roman" w:hAnsi="Times New Roman" w:eastAsia="方正仿宋_GBK"/>
                <w:caps w:val="0"/>
                <w:smallCaps w:val="0"/>
                <w:color w:val="auto"/>
                <w:kern w:val="0"/>
                <w:sz w:val="24"/>
                <w:szCs w:val="24"/>
                <w:highlight w:val="none"/>
                <w:lang w:eastAsia="zh-CN"/>
              </w:rPr>
              <w:t>。</w:t>
            </w:r>
          </w:p>
        </w:tc>
      </w:tr>
      <w:tr w14:paraId="3A58C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8" w:hRule="atLeast"/>
        </w:trPr>
        <w:tc>
          <w:tcPr>
            <w:tcW w:w="507" w:type="pct"/>
            <w:noWrap w:val="0"/>
            <w:vAlign w:val="center"/>
          </w:tcPr>
          <w:p w14:paraId="69BAA6BD">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eastAsia"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lang w:val="en-US" w:eastAsia="zh-CN"/>
              </w:rPr>
              <w:t>5</w:t>
            </w:r>
          </w:p>
        </w:tc>
        <w:tc>
          <w:tcPr>
            <w:tcW w:w="1008" w:type="pct"/>
            <w:noWrap w:val="0"/>
            <w:vAlign w:val="center"/>
          </w:tcPr>
          <w:p w14:paraId="3751DBD7">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政府方</w:t>
            </w:r>
          </w:p>
        </w:tc>
        <w:tc>
          <w:tcPr>
            <w:tcW w:w="3483" w:type="pct"/>
            <w:noWrap w:val="0"/>
            <w:vAlign w:val="center"/>
          </w:tcPr>
          <w:p w14:paraId="60A3C8D6">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rPr>
                <w:rFonts w:hint="eastAsia" w:ascii="Times New Roman" w:hAnsi="Times New Roman" w:eastAsia="方正仿宋_GBK"/>
                <w:caps w:val="0"/>
                <w:smallCaps w:val="0"/>
                <w:color w:val="auto"/>
                <w:kern w:val="0"/>
                <w:sz w:val="24"/>
                <w:szCs w:val="24"/>
                <w:highlight w:val="none"/>
                <w:lang w:val="en-US" w:eastAsia="zh-CN"/>
              </w:rPr>
            </w:pPr>
            <w:r>
              <w:rPr>
                <w:rFonts w:hint="eastAsia" w:ascii="Times New Roman" w:hAnsi="Times New Roman" w:eastAsia="方正仿宋_GBK"/>
                <w:caps w:val="0"/>
                <w:smallCaps w:val="0"/>
                <w:color w:val="auto"/>
                <w:kern w:val="0"/>
                <w:sz w:val="24"/>
                <w:szCs w:val="24"/>
                <w:highlight w:val="none"/>
              </w:rPr>
              <w:t>指中华人民共和国</w:t>
            </w:r>
            <w:r>
              <w:rPr>
                <w:rFonts w:hint="eastAsia" w:ascii="Times New Roman" w:hAnsi="Times New Roman" w:eastAsia="方正仿宋_GBK"/>
                <w:caps w:val="0"/>
                <w:smallCaps w:val="0"/>
                <w:color w:val="auto"/>
                <w:kern w:val="0"/>
                <w:sz w:val="24"/>
                <w:szCs w:val="24"/>
                <w:highlight w:val="none"/>
                <w:lang w:val="en-US" w:eastAsia="zh-CN"/>
              </w:rPr>
              <w:t>江苏</w:t>
            </w:r>
            <w:r>
              <w:rPr>
                <w:rFonts w:hint="eastAsia" w:ascii="Times New Roman" w:hAnsi="Times New Roman" w:eastAsia="方正仿宋_GBK"/>
                <w:caps w:val="0"/>
                <w:smallCaps w:val="0"/>
                <w:color w:val="auto"/>
                <w:kern w:val="0"/>
                <w:sz w:val="24"/>
                <w:szCs w:val="24"/>
                <w:highlight w:val="none"/>
              </w:rPr>
              <w:t>省</w:t>
            </w:r>
            <w:r>
              <w:rPr>
                <w:rFonts w:hint="eastAsia" w:ascii="Times New Roman" w:hAnsi="Times New Roman" w:eastAsia="方正仿宋_GBK"/>
                <w:caps w:val="0"/>
                <w:smallCaps w:val="0"/>
                <w:color w:val="auto"/>
                <w:kern w:val="0"/>
                <w:sz w:val="24"/>
                <w:szCs w:val="24"/>
                <w:highlight w:val="none"/>
                <w:lang w:val="en-US" w:eastAsia="zh-CN"/>
              </w:rPr>
              <w:t>扬州</w:t>
            </w:r>
            <w:r>
              <w:rPr>
                <w:rFonts w:hint="eastAsia" w:ascii="Times New Roman" w:hAnsi="Times New Roman" w:eastAsia="方正仿宋_GBK"/>
                <w:caps w:val="0"/>
                <w:smallCaps w:val="0"/>
                <w:color w:val="auto"/>
                <w:kern w:val="0"/>
                <w:sz w:val="24"/>
                <w:szCs w:val="24"/>
                <w:highlight w:val="none"/>
              </w:rPr>
              <w:t>市</w:t>
            </w:r>
            <w:r>
              <w:rPr>
                <w:rFonts w:hint="eastAsia" w:ascii="Times New Roman" w:hAnsi="Times New Roman" w:eastAsia="方正仿宋_GBK"/>
                <w:caps w:val="0"/>
                <w:smallCaps w:val="0"/>
                <w:color w:val="auto"/>
                <w:kern w:val="0"/>
                <w:sz w:val="24"/>
                <w:szCs w:val="24"/>
                <w:highlight w:val="none"/>
                <w:lang w:val="en-US" w:eastAsia="zh-CN"/>
              </w:rPr>
              <w:t>江都</w:t>
            </w:r>
            <w:r>
              <w:rPr>
                <w:rFonts w:hint="eastAsia" w:ascii="Times New Roman" w:hAnsi="Times New Roman" w:eastAsia="方正仿宋_GBK"/>
                <w:caps w:val="0"/>
                <w:smallCaps w:val="0"/>
                <w:color w:val="auto"/>
                <w:kern w:val="0"/>
                <w:sz w:val="24"/>
                <w:szCs w:val="24"/>
                <w:highlight w:val="none"/>
              </w:rPr>
              <w:t>区人民政府及其组成部门的统称，包括实施机构。</w:t>
            </w:r>
          </w:p>
        </w:tc>
      </w:tr>
      <w:tr w14:paraId="0F780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trPr>
        <w:tc>
          <w:tcPr>
            <w:tcW w:w="507" w:type="pct"/>
            <w:noWrap w:val="0"/>
            <w:vAlign w:val="center"/>
          </w:tcPr>
          <w:p w14:paraId="361E0EE1">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eastAsia"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lang w:val="en-US" w:eastAsia="zh-CN"/>
              </w:rPr>
              <w:t>6</w:t>
            </w:r>
          </w:p>
        </w:tc>
        <w:tc>
          <w:tcPr>
            <w:tcW w:w="1008" w:type="pct"/>
            <w:noWrap w:val="0"/>
            <w:vAlign w:val="center"/>
          </w:tcPr>
          <w:p w14:paraId="2B818E9E">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政府部门</w:t>
            </w:r>
          </w:p>
        </w:tc>
        <w:tc>
          <w:tcPr>
            <w:tcW w:w="3483" w:type="pct"/>
            <w:noWrap w:val="0"/>
            <w:vAlign w:val="center"/>
          </w:tcPr>
          <w:p w14:paraId="7485C445">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指本级地方政府的组成部门。</w:t>
            </w:r>
          </w:p>
        </w:tc>
      </w:tr>
      <w:tr w14:paraId="580F8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1" w:hRule="atLeast"/>
        </w:trPr>
        <w:tc>
          <w:tcPr>
            <w:tcW w:w="507" w:type="pct"/>
            <w:noWrap w:val="0"/>
            <w:vAlign w:val="center"/>
          </w:tcPr>
          <w:p w14:paraId="058DA4DE">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eastAsia"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lang w:val="en-US" w:eastAsia="zh-CN"/>
              </w:rPr>
              <w:t>7</w:t>
            </w:r>
          </w:p>
        </w:tc>
        <w:tc>
          <w:tcPr>
            <w:tcW w:w="1008" w:type="pct"/>
            <w:noWrap w:val="0"/>
            <w:vAlign w:val="center"/>
          </w:tcPr>
          <w:p w14:paraId="16489436">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实施机构</w:t>
            </w:r>
          </w:p>
        </w:tc>
        <w:tc>
          <w:tcPr>
            <w:tcW w:w="3483" w:type="pct"/>
            <w:noWrap w:val="0"/>
            <w:vAlign w:val="center"/>
          </w:tcPr>
          <w:p w14:paraId="5B034FB7">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指根据相关法律法规由人民政府授权的本项目特许经营实施机构，具体为扬州市江都区住房和城乡建设局。</w:t>
            </w:r>
          </w:p>
        </w:tc>
      </w:tr>
      <w:tr w14:paraId="5230D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9" w:hRule="atLeast"/>
        </w:trPr>
        <w:tc>
          <w:tcPr>
            <w:tcW w:w="507" w:type="pct"/>
            <w:noWrap w:val="0"/>
            <w:vAlign w:val="center"/>
          </w:tcPr>
          <w:p w14:paraId="487BF151">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eastAsia"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lang w:val="en-US" w:eastAsia="zh-CN"/>
              </w:rPr>
              <w:t>8</w:t>
            </w:r>
          </w:p>
        </w:tc>
        <w:tc>
          <w:tcPr>
            <w:tcW w:w="1008" w:type="pct"/>
            <w:noWrap w:val="0"/>
            <w:vAlign w:val="center"/>
          </w:tcPr>
          <w:p w14:paraId="15345451">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项目公司</w:t>
            </w:r>
          </w:p>
        </w:tc>
        <w:tc>
          <w:tcPr>
            <w:tcW w:w="3483" w:type="pct"/>
            <w:noWrap w:val="0"/>
            <w:vAlign w:val="center"/>
          </w:tcPr>
          <w:p w14:paraId="53ED3A23">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指【项目公司全称】。指在需要设立项目公司的情形下，按初步协议要求，</w:t>
            </w:r>
            <w:bookmarkStart w:id="108" w:name="_Hlk156982687"/>
            <w:r>
              <w:rPr>
                <w:rFonts w:hint="eastAsia" w:ascii="Times New Roman" w:hAnsi="Times New Roman" w:eastAsia="方正仿宋_GBK"/>
                <w:caps w:val="0"/>
                <w:smallCaps w:val="0"/>
                <w:color w:val="auto"/>
                <w:kern w:val="0"/>
                <w:sz w:val="24"/>
                <w:szCs w:val="24"/>
                <w:highlight w:val="none"/>
              </w:rPr>
              <w:t>为履行本协议而由特许经营者单独组建的特殊目的公司</w:t>
            </w:r>
            <w:bookmarkEnd w:id="108"/>
            <w:r>
              <w:rPr>
                <w:rFonts w:hint="eastAsia" w:ascii="Times New Roman" w:hAnsi="Times New Roman" w:eastAsia="方正仿宋_GBK"/>
                <w:caps w:val="0"/>
                <w:smallCaps w:val="0"/>
                <w:color w:val="auto"/>
                <w:kern w:val="0"/>
                <w:sz w:val="24"/>
                <w:szCs w:val="24"/>
                <w:highlight w:val="none"/>
              </w:rPr>
              <w:t>。</w:t>
            </w:r>
          </w:p>
        </w:tc>
      </w:tr>
      <w:tr w14:paraId="59256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trPr>
        <w:tc>
          <w:tcPr>
            <w:tcW w:w="507" w:type="pct"/>
            <w:noWrap w:val="0"/>
            <w:vAlign w:val="center"/>
          </w:tcPr>
          <w:p w14:paraId="0AAAEF12">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eastAsia"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lang w:val="en-US" w:eastAsia="zh-CN"/>
              </w:rPr>
              <w:t>9</w:t>
            </w:r>
          </w:p>
        </w:tc>
        <w:tc>
          <w:tcPr>
            <w:tcW w:w="1008" w:type="pct"/>
            <w:noWrap w:val="0"/>
            <w:vAlign w:val="center"/>
          </w:tcPr>
          <w:p w14:paraId="7B57880F">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甲方</w:t>
            </w:r>
          </w:p>
        </w:tc>
        <w:tc>
          <w:tcPr>
            <w:tcW w:w="3483" w:type="pct"/>
            <w:noWrap w:val="0"/>
            <w:vAlign w:val="center"/>
          </w:tcPr>
          <w:p w14:paraId="57E657F7">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指</w:t>
            </w:r>
            <w:r>
              <w:rPr>
                <w:rFonts w:hint="default" w:ascii="Times New Roman" w:hAnsi="Times New Roman" w:eastAsia="方正仿宋_GBK"/>
                <w:caps w:val="0"/>
                <w:smallCaps w:val="0"/>
                <w:color w:val="auto"/>
                <w:kern w:val="0"/>
                <w:sz w:val="24"/>
                <w:szCs w:val="24"/>
                <w:highlight w:val="none"/>
              </w:rPr>
              <w:t>实施机构</w:t>
            </w:r>
            <w:r>
              <w:rPr>
                <w:rFonts w:hint="eastAsia" w:ascii="Times New Roman" w:hAnsi="Times New Roman" w:eastAsia="方正仿宋_GBK"/>
                <w:caps w:val="0"/>
                <w:smallCaps w:val="0"/>
                <w:color w:val="auto"/>
                <w:kern w:val="0"/>
                <w:sz w:val="24"/>
                <w:szCs w:val="24"/>
                <w:highlight w:val="none"/>
              </w:rPr>
              <w:t>。</w:t>
            </w:r>
          </w:p>
        </w:tc>
      </w:tr>
      <w:tr w14:paraId="712E2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trPr>
        <w:tc>
          <w:tcPr>
            <w:tcW w:w="507" w:type="pct"/>
            <w:noWrap w:val="0"/>
            <w:vAlign w:val="center"/>
          </w:tcPr>
          <w:p w14:paraId="620C8A03">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lang w:val="en-US" w:eastAsia="zh-CN"/>
              </w:rPr>
              <w:t>10</w:t>
            </w:r>
          </w:p>
        </w:tc>
        <w:tc>
          <w:tcPr>
            <w:tcW w:w="1008" w:type="pct"/>
            <w:noWrap w:val="0"/>
            <w:vAlign w:val="center"/>
          </w:tcPr>
          <w:p w14:paraId="3E3F1528">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乙方</w:t>
            </w:r>
          </w:p>
        </w:tc>
        <w:tc>
          <w:tcPr>
            <w:tcW w:w="3483" w:type="pct"/>
            <w:noWrap w:val="0"/>
            <w:vAlign w:val="center"/>
          </w:tcPr>
          <w:p w14:paraId="5B0425F7">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rPr>
                <w:rFonts w:hint="eastAsia"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rPr>
              <w:t>指项目公司</w:t>
            </w:r>
            <w:r>
              <w:rPr>
                <w:rFonts w:hint="eastAsia" w:ascii="Times New Roman" w:hAnsi="Times New Roman" w:eastAsia="方正仿宋_GBK" w:cs="Times New Roman"/>
                <w:caps w:val="0"/>
                <w:smallCaps w:val="0"/>
                <w:color w:val="auto"/>
                <w:kern w:val="0"/>
                <w:sz w:val="24"/>
                <w:szCs w:val="24"/>
                <w:highlight w:val="none"/>
                <w:lang w:eastAsia="zh-CN"/>
              </w:rPr>
              <w:t>，</w:t>
            </w:r>
            <w:r>
              <w:rPr>
                <w:rFonts w:hint="eastAsia" w:ascii="Times New Roman" w:hAnsi="Times New Roman" w:eastAsia="方正仿宋_GBK" w:cs="Times New Roman"/>
                <w:caps w:val="0"/>
                <w:smallCaps w:val="0"/>
                <w:color w:val="auto"/>
                <w:kern w:val="0"/>
                <w:sz w:val="24"/>
                <w:szCs w:val="24"/>
                <w:highlight w:val="none"/>
              </w:rPr>
              <w:t>为特许经营者</w:t>
            </w:r>
            <w:r>
              <w:rPr>
                <w:rFonts w:hint="eastAsia" w:ascii="Times New Roman" w:hAnsi="Times New Roman" w:eastAsia="方正仿宋_GBK" w:cs="Times New Roman"/>
                <w:caps w:val="0"/>
                <w:smallCaps w:val="0"/>
                <w:color w:val="auto"/>
                <w:kern w:val="0"/>
                <w:sz w:val="24"/>
                <w:szCs w:val="24"/>
                <w:highlight w:val="none"/>
                <w:lang w:val="en-US" w:eastAsia="zh-CN"/>
              </w:rPr>
              <w:t>单独</w:t>
            </w:r>
            <w:r>
              <w:rPr>
                <w:rFonts w:hint="eastAsia" w:ascii="Times New Roman" w:hAnsi="Times New Roman" w:eastAsia="方正仿宋_GBK" w:cs="Times New Roman"/>
                <w:caps w:val="0"/>
                <w:smallCaps w:val="0"/>
                <w:color w:val="auto"/>
                <w:kern w:val="0"/>
                <w:sz w:val="24"/>
                <w:szCs w:val="24"/>
                <w:highlight w:val="none"/>
              </w:rPr>
              <w:t>组建的项目公司。</w:t>
            </w:r>
          </w:p>
        </w:tc>
      </w:tr>
      <w:tr w14:paraId="6C6AF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6" w:hRule="atLeast"/>
        </w:trPr>
        <w:tc>
          <w:tcPr>
            <w:tcW w:w="507" w:type="pct"/>
            <w:noWrap w:val="0"/>
            <w:vAlign w:val="center"/>
          </w:tcPr>
          <w:p w14:paraId="63BD9E7F">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lang w:val="en-US" w:eastAsia="zh-CN"/>
              </w:rPr>
              <w:t>11</w:t>
            </w:r>
          </w:p>
        </w:tc>
        <w:tc>
          <w:tcPr>
            <w:tcW w:w="1008" w:type="pct"/>
            <w:noWrap w:val="0"/>
            <w:vAlign w:val="center"/>
          </w:tcPr>
          <w:p w14:paraId="5059D9D8">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特许经营方案</w:t>
            </w:r>
          </w:p>
        </w:tc>
        <w:tc>
          <w:tcPr>
            <w:tcW w:w="3483" w:type="pct"/>
            <w:noWrap w:val="0"/>
            <w:vAlign w:val="center"/>
          </w:tcPr>
          <w:p w14:paraId="6786A3E3">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指由甲方编制并经</w:t>
            </w:r>
            <w:r>
              <w:rPr>
                <w:rFonts w:hint="eastAsia" w:ascii="Times New Roman" w:hAnsi="Times New Roman" w:eastAsia="方正仿宋_GBK"/>
                <w:caps w:val="0"/>
                <w:smallCaps w:val="0"/>
                <w:color w:val="auto"/>
                <w:kern w:val="2"/>
                <w:sz w:val="24"/>
                <w:szCs w:val="24"/>
                <w:highlight w:val="none"/>
              </w:rPr>
              <w:t>扬州市江都区发展和改革委员会</w:t>
            </w:r>
            <w:r>
              <w:rPr>
                <w:rFonts w:hint="eastAsia" w:ascii="Times New Roman" w:hAnsi="Times New Roman" w:eastAsia="方正仿宋_GBK"/>
                <w:caps w:val="0"/>
                <w:smallCaps w:val="0"/>
                <w:color w:val="auto"/>
                <w:kern w:val="0"/>
                <w:sz w:val="24"/>
                <w:szCs w:val="24"/>
                <w:highlight w:val="none"/>
              </w:rPr>
              <w:t>审核通过的《</w:t>
            </w:r>
            <w:r>
              <w:rPr>
                <w:rFonts w:hint="eastAsia" w:ascii="Times New Roman" w:hAnsi="Times New Roman" w:eastAsia="方正仿宋_GBK"/>
                <w:caps w:val="0"/>
                <w:smallCaps w:val="0"/>
                <w:color w:val="auto"/>
                <w:kern w:val="0"/>
                <w:sz w:val="24"/>
                <w:szCs w:val="24"/>
                <w:highlight w:val="none"/>
                <w:lang w:eastAsia="zh-CN"/>
              </w:rPr>
              <w:t>江都城区污水处理设施</w:t>
            </w:r>
            <w:r>
              <w:rPr>
                <w:rFonts w:hint="eastAsia" w:ascii="Times New Roman" w:hAnsi="Times New Roman" w:eastAsia="方正仿宋_GBK"/>
                <w:caps w:val="0"/>
                <w:smallCaps w:val="0"/>
                <w:color w:val="auto"/>
                <w:kern w:val="0"/>
                <w:sz w:val="24"/>
                <w:szCs w:val="24"/>
                <w:highlight w:val="none"/>
              </w:rPr>
              <w:t>特许经营项目</w:t>
            </w:r>
            <w:r>
              <w:rPr>
                <w:rFonts w:hint="eastAsia" w:ascii="Times New Roman" w:hAnsi="Times New Roman" w:eastAsia="方正仿宋_GBK"/>
                <w:caps w:val="0"/>
                <w:smallCaps w:val="0"/>
                <w:color w:val="auto"/>
                <w:kern w:val="0"/>
                <w:sz w:val="24"/>
                <w:szCs w:val="24"/>
                <w:highlight w:val="none"/>
                <w:lang w:val="en-US" w:eastAsia="zh-CN"/>
              </w:rPr>
              <w:t>实施</w:t>
            </w:r>
            <w:r>
              <w:rPr>
                <w:rFonts w:hint="eastAsia" w:ascii="Times New Roman" w:hAnsi="Times New Roman" w:eastAsia="方正仿宋_GBK"/>
                <w:caps w:val="0"/>
                <w:smallCaps w:val="0"/>
                <w:color w:val="auto"/>
                <w:kern w:val="0"/>
                <w:sz w:val="24"/>
                <w:szCs w:val="24"/>
                <w:highlight w:val="none"/>
              </w:rPr>
              <w:t>方案》。</w:t>
            </w:r>
          </w:p>
        </w:tc>
      </w:tr>
      <w:tr w14:paraId="6D00A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trPr>
        <w:tc>
          <w:tcPr>
            <w:tcW w:w="507" w:type="pct"/>
            <w:noWrap w:val="0"/>
            <w:vAlign w:val="center"/>
          </w:tcPr>
          <w:p w14:paraId="35DFC90F">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lang w:val="en-US" w:eastAsia="zh-CN"/>
              </w:rPr>
              <w:t>12</w:t>
            </w:r>
          </w:p>
        </w:tc>
        <w:tc>
          <w:tcPr>
            <w:tcW w:w="1008" w:type="pct"/>
            <w:noWrap w:val="0"/>
            <w:vAlign w:val="center"/>
          </w:tcPr>
          <w:p w14:paraId="03CF061A">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生效日</w:t>
            </w:r>
          </w:p>
        </w:tc>
        <w:tc>
          <w:tcPr>
            <w:tcW w:w="3483" w:type="pct"/>
            <w:noWrap w:val="0"/>
            <w:vAlign w:val="center"/>
          </w:tcPr>
          <w:p w14:paraId="628EA224">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为【 年 月 日】，指本特许经营协议生效的日期。</w:t>
            </w:r>
          </w:p>
        </w:tc>
      </w:tr>
      <w:tr w14:paraId="6E627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1" w:hRule="atLeast"/>
        </w:trPr>
        <w:tc>
          <w:tcPr>
            <w:tcW w:w="507" w:type="pct"/>
            <w:noWrap w:val="0"/>
            <w:vAlign w:val="center"/>
          </w:tcPr>
          <w:p w14:paraId="1C7CCB05">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lang w:val="en-US" w:eastAsia="zh-CN"/>
              </w:rPr>
              <w:t>13</w:t>
            </w:r>
          </w:p>
        </w:tc>
        <w:tc>
          <w:tcPr>
            <w:tcW w:w="1008" w:type="pct"/>
            <w:noWrap w:val="0"/>
            <w:vAlign w:val="center"/>
          </w:tcPr>
          <w:p w14:paraId="2DA123D1">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特许经营期</w:t>
            </w:r>
          </w:p>
        </w:tc>
        <w:tc>
          <w:tcPr>
            <w:tcW w:w="3483" w:type="pct"/>
            <w:noWrap w:val="0"/>
            <w:vAlign w:val="center"/>
          </w:tcPr>
          <w:p w14:paraId="10CD615E">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指从本协议生效日开始至按本协议约定的</w:t>
            </w:r>
            <w:bookmarkStart w:id="109" w:name="_Hlk156981341"/>
            <w:r>
              <w:rPr>
                <w:rFonts w:hint="eastAsia" w:ascii="Times New Roman" w:hAnsi="Times New Roman" w:eastAsia="方正仿宋_GBK"/>
                <w:caps w:val="0"/>
                <w:smallCaps w:val="0"/>
                <w:color w:val="auto"/>
                <w:kern w:val="0"/>
                <w:sz w:val="24"/>
                <w:szCs w:val="24"/>
                <w:highlight w:val="none"/>
              </w:rPr>
              <w:t>项目特许经营期限届满之日</w:t>
            </w:r>
            <w:bookmarkEnd w:id="109"/>
            <w:r>
              <w:rPr>
                <w:rFonts w:hint="eastAsia" w:ascii="Times New Roman" w:hAnsi="Times New Roman" w:eastAsia="方正仿宋_GBK"/>
                <w:caps w:val="0"/>
                <w:smallCaps w:val="0"/>
                <w:color w:val="auto"/>
                <w:kern w:val="0"/>
                <w:sz w:val="24"/>
                <w:szCs w:val="24"/>
                <w:highlight w:val="none"/>
              </w:rPr>
              <w:t>的期间。</w:t>
            </w:r>
          </w:p>
        </w:tc>
      </w:tr>
      <w:tr w14:paraId="76695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1" w:hRule="atLeast"/>
        </w:trPr>
        <w:tc>
          <w:tcPr>
            <w:tcW w:w="507" w:type="pct"/>
            <w:noWrap w:val="0"/>
            <w:vAlign w:val="center"/>
          </w:tcPr>
          <w:p w14:paraId="41B64705">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lang w:val="en-US" w:eastAsia="zh-CN"/>
              </w:rPr>
              <w:t>14</w:t>
            </w:r>
          </w:p>
        </w:tc>
        <w:tc>
          <w:tcPr>
            <w:tcW w:w="1008" w:type="pct"/>
            <w:noWrap w:val="0"/>
            <w:vAlign w:val="center"/>
          </w:tcPr>
          <w:p w14:paraId="1E64E08A">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运营期</w:t>
            </w:r>
          </w:p>
        </w:tc>
        <w:tc>
          <w:tcPr>
            <w:tcW w:w="3483" w:type="pct"/>
            <w:noWrap w:val="0"/>
            <w:vAlign w:val="center"/>
          </w:tcPr>
          <w:p w14:paraId="05964AB1">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指本协议生效日开始至按本协议约定的特许经营期届满之日，或本协议提前终止日之间的期间。</w:t>
            </w:r>
          </w:p>
        </w:tc>
      </w:tr>
      <w:tr w14:paraId="09F1F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0" w:hRule="atLeast"/>
        </w:trPr>
        <w:tc>
          <w:tcPr>
            <w:tcW w:w="507" w:type="pct"/>
            <w:noWrap w:val="0"/>
            <w:vAlign w:val="center"/>
          </w:tcPr>
          <w:p w14:paraId="11748AB0">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lang w:val="en-US" w:eastAsia="zh-CN"/>
              </w:rPr>
              <w:t>15</w:t>
            </w:r>
          </w:p>
        </w:tc>
        <w:tc>
          <w:tcPr>
            <w:tcW w:w="1008" w:type="pct"/>
            <w:noWrap w:val="0"/>
            <w:vAlign w:val="center"/>
          </w:tcPr>
          <w:p w14:paraId="799D490D">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lang w:val="en-US" w:eastAsia="zh-CN"/>
              </w:rPr>
              <w:t>开始</w:t>
            </w:r>
            <w:r>
              <w:rPr>
                <w:rFonts w:hint="eastAsia" w:ascii="Times New Roman" w:hAnsi="Times New Roman" w:eastAsia="方正仿宋_GBK"/>
                <w:caps w:val="0"/>
                <w:smallCaps w:val="0"/>
                <w:color w:val="auto"/>
                <w:kern w:val="0"/>
                <w:sz w:val="24"/>
                <w:szCs w:val="24"/>
                <w:highlight w:val="none"/>
              </w:rPr>
              <w:t>运营日</w:t>
            </w:r>
          </w:p>
        </w:tc>
        <w:tc>
          <w:tcPr>
            <w:tcW w:w="3483" w:type="pct"/>
            <w:noWrap w:val="0"/>
            <w:vAlign w:val="center"/>
          </w:tcPr>
          <w:p w14:paraId="2F63FC08">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指</w:t>
            </w:r>
            <w:r>
              <w:rPr>
                <w:rFonts w:hint="eastAsia" w:ascii="Times New Roman" w:hAnsi="Times New Roman" w:eastAsia="方正仿宋_GBK"/>
                <w:caps w:val="0"/>
                <w:smallCaps w:val="0"/>
                <w:color w:val="auto"/>
                <w:kern w:val="0"/>
                <w:sz w:val="24"/>
                <w:szCs w:val="24"/>
                <w:highlight w:val="none"/>
                <w:lang w:val="en-US" w:eastAsia="zh-CN"/>
              </w:rPr>
              <w:t>本协议生效日当日双方需完成资产交割，生效日起，乙方正式运营本项目及提供污水处理服务，在本协议生效日前双方完成资产交割准备工作。</w:t>
            </w:r>
          </w:p>
        </w:tc>
      </w:tr>
      <w:tr w14:paraId="41269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4" w:hRule="atLeast"/>
        </w:trPr>
        <w:tc>
          <w:tcPr>
            <w:tcW w:w="507" w:type="pct"/>
            <w:noWrap w:val="0"/>
            <w:vAlign w:val="center"/>
          </w:tcPr>
          <w:p w14:paraId="5F7278E6">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lang w:val="en-US" w:eastAsia="zh-CN"/>
              </w:rPr>
              <w:t>16</w:t>
            </w:r>
          </w:p>
        </w:tc>
        <w:tc>
          <w:tcPr>
            <w:tcW w:w="1008" w:type="pct"/>
            <w:noWrap w:val="0"/>
            <w:vAlign w:val="center"/>
          </w:tcPr>
          <w:p w14:paraId="177D2937">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终止日</w:t>
            </w:r>
          </w:p>
        </w:tc>
        <w:tc>
          <w:tcPr>
            <w:tcW w:w="3483" w:type="pct"/>
            <w:noWrap w:val="0"/>
            <w:vAlign w:val="center"/>
          </w:tcPr>
          <w:p w14:paraId="46E039CA">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正常情况下指特许经营期届满日（含本日）；如本协议提前终止则指提前终止日。</w:t>
            </w:r>
          </w:p>
        </w:tc>
      </w:tr>
      <w:tr w14:paraId="0706D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1" w:hRule="atLeast"/>
        </w:trPr>
        <w:tc>
          <w:tcPr>
            <w:tcW w:w="507" w:type="pct"/>
            <w:noWrap w:val="0"/>
            <w:vAlign w:val="center"/>
          </w:tcPr>
          <w:p w14:paraId="7B686026">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lang w:val="en-US" w:eastAsia="zh-CN"/>
              </w:rPr>
              <w:t>17</w:t>
            </w:r>
          </w:p>
        </w:tc>
        <w:tc>
          <w:tcPr>
            <w:tcW w:w="1008" w:type="pct"/>
            <w:noWrap w:val="0"/>
            <w:vAlign w:val="center"/>
          </w:tcPr>
          <w:p w14:paraId="074B3FD2">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移交日</w:t>
            </w:r>
          </w:p>
        </w:tc>
        <w:tc>
          <w:tcPr>
            <w:tcW w:w="3483" w:type="pct"/>
            <w:noWrap w:val="0"/>
            <w:vAlign w:val="center"/>
          </w:tcPr>
          <w:p w14:paraId="1497ED81">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指特许经营期届满日（适用于本协议期满终止），或协议提前终止时根据届时双方约定确定的项目资产移交日（适用于协议解除的情形）。</w:t>
            </w:r>
          </w:p>
        </w:tc>
      </w:tr>
      <w:tr w14:paraId="09DF4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0" w:hRule="atLeast"/>
        </w:trPr>
        <w:tc>
          <w:tcPr>
            <w:tcW w:w="507" w:type="pct"/>
            <w:noWrap w:val="0"/>
            <w:vAlign w:val="center"/>
          </w:tcPr>
          <w:p w14:paraId="0D5654BE">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lang w:val="en-US" w:eastAsia="zh-CN"/>
              </w:rPr>
              <w:t>18</w:t>
            </w:r>
          </w:p>
        </w:tc>
        <w:tc>
          <w:tcPr>
            <w:tcW w:w="1008" w:type="pct"/>
            <w:noWrap w:val="0"/>
            <w:vAlign w:val="center"/>
          </w:tcPr>
          <w:p w14:paraId="389D7A06">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履约担保</w:t>
            </w:r>
          </w:p>
        </w:tc>
        <w:tc>
          <w:tcPr>
            <w:tcW w:w="3483" w:type="pct"/>
            <w:noWrap w:val="0"/>
            <w:vAlign w:val="center"/>
          </w:tcPr>
          <w:p w14:paraId="411FC22A">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指对本协议约定的运维履约担保、移交履约担保的统称。其中：运维履约担保，指乙方按照本协议约定提交的、为担保其履行本协议项下运营维护等义务的担保措施；移交履约担保，指乙方按本协议约定提交的、为担保其履行本协议项下移交、质量保证等义务的担保措施。</w:t>
            </w:r>
          </w:p>
        </w:tc>
      </w:tr>
      <w:tr w14:paraId="6E26E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trPr>
        <w:tc>
          <w:tcPr>
            <w:tcW w:w="507" w:type="pct"/>
            <w:noWrap w:val="0"/>
            <w:vAlign w:val="center"/>
          </w:tcPr>
          <w:p w14:paraId="0E023262">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lang w:val="en-US" w:eastAsia="zh-CN"/>
              </w:rPr>
              <w:t>19</w:t>
            </w:r>
          </w:p>
        </w:tc>
        <w:tc>
          <w:tcPr>
            <w:tcW w:w="1008" w:type="pct"/>
            <w:noWrap w:val="0"/>
            <w:vAlign w:val="center"/>
          </w:tcPr>
          <w:p w14:paraId="7C2D38AF">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适用法律</w:t>
            </w:r>
          </w:p>
        </w:tc>
        <w:tc>
          <w:tcPr>
            <w:tcW w:w="3483" w:type="pct"/>
            <w:noWrap w:val="0"/>
            <w:vAlign w:val="center"/>
          </w:tcPr>
          <w:p w14:paraId="68CF5D9A">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指中华人民共和国法律。</w:t>
            </w:r>
          </w:p>
        </w:tc>
      </w:tr>
      <w:tr w14:paraId="56B9A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7" w:type="pct"/>
            <w:noWrap w:val="0"/>
            <w:vAlign w:val="center"/>
          </w:tcPr>
          <w:p w14:paraId="0BAF4A18">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lang w:val="en-US" w:eastAsia="zh-CN"/>
              </w:rPr>
              <w:t>20</w:t>
            </w:r>
          </w:p>
        </w:tc>
        <w:tc>
          <w:tcPr>
            <w:tcW w:w="1008" w:type="pct"/>
            <w:noWrap w:val="0"/>
            <w:vAlign w:val="center"/>
          </w:tcPr>
          <w:p w14:paraId="2455985C">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法律变更</w:t>
            </w:r>
          </w:p>
        </w:tc>
        <w:tc>
          <w:tcPr>
            <w:tcW w:w="3483" w:type="pct"/>
            <w:noWrap w:val="0"/>
            <w:vAlign w:val="center"/>
          </w:tcPr>
          <w:p w14:paraId="1E853EDB">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指本协议【第</w:t>
            </w:r>
            <w:r>
              <w:rPr>
                <w:rFonts w:hint="eastAsia" w:ascii="Times New Roman" w:hAnsi="Times New Roman" w:eastAsia="方正仿宋_GBK"/>
                <w:caps w:val="0"/>
                <w:smallCaps w:val="0"/>
                <w:color w:val="auto"/>
                <w:kern w:val="0"/>
                <w:sz w:val="24"/>
                <w:szCs w:val="24"/>
                <w:highlight w:val="none"/>
                <w:lang w:val="en-US" w:eastAsia="zh-CN"/>
              </w:rPr>
              <w:t>52</w:t>
            </w:r>
            <w:r>
              <w:rPr>
                <w:rFonts w:hint="eastAsia" w:ascii="Times New Roman" w:hAnsi="Times New Roman" w:eastAsia="方正仿宋_GBK"/>
                <w:caps w:val="0"/>
                <w:smallCaps w:val="0"/>
                <w:color w:val="auto"/>
                <w:kern w:val="0"/>
                <w:sz w:val="24"/>
                <w:szCs w:val="24"/>
                <w:highlight w:val="none"/>
              </w:rPr>
              <w:t>条】所定义的法律变更，包括一般性法律变更和特定的法律变更。</w:t>
            </w:r>
          </w:p>
        </w:tc>
      </w:tr>
      <w:tr w14:paraId="72AC2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9" w:hRule="atLeast"/>
        </w:trPr>
        <w:tc>
          <w:tcPr>
            <w:tcW w:w="507" w:type="pct"/>
            <w:noWrap w:val="0"/>
            <w:vAlign w:val="center"/>
          </w:tcPr>
          <w:p w14:paraId="24CD1F93">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lang w:val="en-US" w:eastAsia="zh-CN"/>
              </w:rPr>
              <w:t>21</w:t>
            </w:r>
          </w:p>
        </w:tc>
        <w:tc>
          <w:tcPr>
            <w:tcW w:w="1008" w:type="pct"/>
            <w:noWrap w:val="0"/>
            <w:vAlign w:val="center"/>
          </w:tcPr>
          <w:p w14:paraId="6E3EB7CA">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批准</w:t>
            </w:r>
          </w:p>
        </w:tc>
        <w:tc>
          <w:tcPr>
            <w:tcW w:w="3483" w:type="pct"/>
            <w:noWrap w:val="0"/>
            <w:vAlign w:val="center"/>
          </w:tcPr>
          <w:p w14:paraId="015BA2AB">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指为了使乙方能够履行其在本协议项下的义务和行使其在本协议项下的权利，乙方必须或希望从政府机关依法获得的所需要的任何许可、执照、同意、授权、批准、免除或相同及类似的合规性文件。</w:t>
            </w:r>
          </w:p>
        </w:tc>
      </w:tr>
      <w:tr w14:paraId="16479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3" w:hRule="atLeast"/>
        </w:trPr>
        <w:tc>
          <w:tcPr>
            <w:tcW w:w="507" w:type="pct"/>
            <w:noWrap w:val="0"/>
            <w:vAlign w:val="center"/>
          </w:tcPr>
          <w:p w14:paraId="47EF8084">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lang w:val="en-US" w:eastAsia="zh-CN"/>
              </w:rPr>
              <w:t>22</w:t>
            </w:r>
          </w:p>
        </w:tc>
        <w:tc>
          <w:tcPr>
            <w:tcW w:w="1008" w:type="pct"/>
            <w:noWrap w:val="0"/>
            <w:vAlign w:val="center"/>
          </w:tcPr>
          <w:p w14:paraId="06E5BE6C">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不可抗力</w:t>
            </w:r>
          </w:p>
        </w:tc>
        <w:tc>
          <w:tcPr>
            <w:tcW w:w="3483" w:type="pct"/>
            <w:noWrap w:val="0"/>
            <w:vAlign w:val="center"/>
          </w:tcPr>
          <w:p w14:paraId="7BC33D16">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指在签订本协议时不能预见、不能避免且不能克服的客观情况。</w:t>
            </w:r>
          </w:p>
        </w:tc>
      </w:tr>
      <w:tr w14:paraId="18C09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3" w:hRule="atLeast"/>
        </w:trPr>
        <w:tc>
          <w:tcPr>
            <w:tcW w:w="507" w:type="pct"/>
            <w:noWrap w:val="0"/>
            <w:vAlign w:val="center"/>
          </w:tcPr>
          <w:p w14:paraId="4D75767D">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lang w:val="en-US" w:eastAsia="zh-CN"/>
              </w:rPr>
              <w:t>23</w:t>
            </w:r>
          </w:p>
        </w:tc>
        <w:tc>
          <w:tcPr>
            <w:tcW w:w="1008" w:type="pct"/>
            <w:noWrap w:val="0"/>
            <w:vAlign w:val="center"/>
          </w:tcPr>
          <w:p w14:paraId="6456489C">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jc w:val="center"/>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谨慎运营惯例</w:t>
            </w:r>
          </w:p>
        </w:tc>
        <w:tc>
          <w:tcPr>
            <w:tcW w:w="3483" w:type="pct"/>
            <w:noWrap w:val="0"/>
            <w:vAlign w:val="center"/>
          </w:tcPr>
          <w:p w14:paraId="3D5CC4DD">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240" w:lineRule="auto"/>
              <w:ind w:firstLine="0" w:firstLineChars="0"/>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指可以合理期望的对同一项业务在相同或类似情形下熟练和有经验的操作者的技能、勤勉、谨慎和预见能力的惯例标准。</w:t>
            </w:r>
          </w:p>
        </w:tc>
      </w:tr>
    </w:tbl>
    <w:p w14:paraId="01CBC580">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560" w:firstLineChars="200"/>
        <w:rPr>
          <w:rFonts w:hint="default" w:ascii="Times New Roman" w:hAnsi="Times New Roman" w:eastAsia="方正仿宋_GBK"/>
          <w:caps w:val="0"/>
          <w:smallCaps w:val="0"/>
          <w:color w:val="auto"/>
          <w:kern w:val="2"/>
          <w:sz w:val="28"/>
          <w:szCs w:val="28"/>
          <w:highlight w:val="none"/>
        </w:rPr>
      </w:pPr>
    </w:p>
    <w:p w14:paraId="4D50F622">
      <w:pPr>
        <w:keepNext w:val="0"/>
        <w:keepLines w:val="0"/>
        <w:pageBreakBefore w:val="0"/>
        <w:widowControl w:val="0"/>
        <w:numPr>
          <w:ilvl w:val="2"/>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firstLine="480" w:firstLineChars="200"/>
        <w:jc w:val="left"/>
        <w:outlineLvl w:val="2"/>
        <w:rPr>
          <w:rFonts w:hint="eastAsia" w:ascii="Times New Roman" w:hAnsi="Times New Roman" w:eastAsia="方正仿宋_GBK" w:cs="Times New Roman"/>
          <w:b/>
          <w:caps w:val="0"/>
          <w:smallCaps w:val="0"/>
          <w:color w:val="auto"/>
          <w:kern w:val="2"/>
          <w:sz w:val="24"/>
          <w:szCs w:val="24"/>
          <w:highlight w:val="none"/>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2.</w:t>
      </w:r>
      <w:r>
        <w:rPr>
          <w:rFonts w:hint="eastAsia" w:ascii="Times New Roman" w:hAnsi="Times New Roman" w:eastAsia="方正仿宋_GBK" w:cs="Times New Roman"/>
          <w:b/>
          <w:caps w:val="0"/>
          <w:smallCaps w:val="0"/>
          <w:color w:val="auto"/>
          <w:kern w:val="2"/>
          <w:sz w:val="24"/>
          <w:szCs w:val="24"/>
          <w:highlight w:val="none"/>
        </w:rPr>
        <w:t>解释</w:t>
      </w:r>
    </w:p>
    <w:p w14:paraId="03468892">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本协议中的标题仅为</w:t>
      </w:r>
      <w:r>
        <w:rPr>
          <w:rFonts w:hint="default" w:ascii="Times New Roman" w:hAnsi="Times New Roman" w:eastAsia="方正仿宋_GBK" w:cs="Times New Roman"/>
          <w:caps w:val="0"/>
          <w:smallCaps w:val="0"/>
          <w:color w:val="auto"/>
          <w:kern w:val="2"/>
          <w:sz w:val="24"/>
          <w:szCs w:val="24"/>
          <w:highlight w:val="none"/>
        </w:rPr>
        <w:t>方便</w:t>
      </w:r>
      <w:r>
        <w:rPr>
          <w:rFonts w:hint="eastAsia" w:ascii="Times New Roman" w:hAnsi="Times New Roman" w:eastAsia="方正仿宋_GBK"/>
          <w:caps w:val="0"/>
          <w:smallCaps w:val="0"/>
          <w:color w:val="auto"/>
          <w:kern w:val="2"/>
          <w:sz w:val="24"/>
          <w:szCs w:val="24"/>
          <w:highlight w:val="none"/>
        </w:rPr>
        <w:t>阅读参考所设，不应影响具体条文的解释。以下约定同样适用于对本协议进行解释，除非其上下文明确显示其不适用。在本协议中：</w:t>
      </w:r>
    </w:p>
    <w:p w14:paraId="58700C7F">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（1）</w:t>
      </w:r>
      <w:r>
        <w:rPr>
          <w:rFonts w:hint="eastAsia" w:ascii="Times New Roman" w:hAnsi="Times New Roman" w:eastAsia="方正仿宋_GBK" w:cs="Times New Roman"/>
          <w:caps w:val="0"/>
          <w:smallCaps w:val="0"/>
          <w:color w:val="auto"/>
          <w:kern w:val="2"/>
          <w:sz w:val="24"/>
          <w:szCs w:val="24"/>
          <w:highlight w:val="none"/>
        </w:rPr>
        <w:t>协议</w:t>
      </w:r>
      <w:r>
        <w:rPr>
          <w:rFonts w:hint="default" w:ascii="Times New Roman" w:hAnsi="Times New Roman" w:eastAsia="方正仿宋_GBK"/>
          <w:caps w:val="0"/>
          <w:smallCaps w:val="0"/>
          <w:color w:val="auto"/>
          <w:kern w:val="2"/>
          <w:sz w:val="24"/>
          <w:szCs w:val="24"/>
          <w:highlight w:val="none"/>
        </w:rPr>
        <w:t>或文件</w:t>
      </w:r>
      <w:r>
        <w:rPr>
          <w:rFonts w:hint="eastAsia" w:ascii="Times New Roman" w:hAnsi="Times New Roman" w:eastAsia="方正仿宋_GBK"/>
          <w:caps w:val="0"/>
          <w:smallCaps w:val="0"/>
          <w:color w:val="auto"/>
          <w:kern w:val="2"/>
          <w:sz w:val="24"/>
          <w:szCs w:val="24"/>
          <w:highlight w:val="none"/>
          <w:lang w:eastAsia="zh-CN"/>
        </w:rPr>
        <w:t>，</w:t>
      </w:r>
      <w:r>
        <w:rPr>
          <w:rFonts w:hint="default" w:ascii="Times New Roman" w:hAnsi="Times New Roman" w:eastAsia="方正仿宋_GBK"/>
          <w:caps w:val="0"/>
          <w:smallCaps w:val="0"/>
          <w:color w:val="auto"/>
          <w:kern w:val="2"/>
          <w:sz w:val="24"/>
          <w:szCs w:val="24"/>
          <w:highlight w:val="none"/>
        </w:rPr>
        <w:t>指包括经修订、更新、补充或替代后的该协议或文件；</w:t>
      </w:r>
    </w:p>
    <w:p w14:paraId="749929BB">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（2）</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元</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，指中国的法定货币单位人民币元；</w:t>
      </w:r>
    </w:p>
    <w:p w14:paraId="5692547C">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（3）</w:t>
      </w:r>
      <w:r>
        <w:rPr>
          <w:rFonts w:hint="eastAsia" w:ascii="Times New Roman" w:hAnsi="Times New Roman" w:eastAsia="方正仿宋_GBK"/>
          <w:caps w:val="0"/>
          <w:smallCaps w:val="0"/>
          <w:color w:val="auto"/>
          <w:kern w:val="2"/>
          <w:sz w:val="24"/>
          <w:szCs w:val="24"/>
          <w:highlight w:val="none"/>
        </w:rPr>
        <w:t>条款或</w:t>
      </w:r>
      <w:r>
        <w:rPr>
          <w:rFonts w:hint="eastAsia" w:ascii="Times New Roman" w:hAnsi="Times New Roman" w:eastAsia="方正仿宋_GBK" w:cs="Times New Roman"/>
          <w:caps w:val="0"/>
          <w:smallCaps w:val="0"/>
          <w:color w:val="auto"/>
          <w:kern w:val="2"/>
          <w:sz w:val="24"/>
          <w:szCs w:val="24"/>
          <w:highlight w:val="none"/>
        </w:rPr>
        <w:t>附件</w:t>
      </w:r>
      <w:r>
        <w:rPr>
          <w:rFonts w:hint="eastAsia" w:ascii="Times New Roman" w:hAnsi="Times New Roman" w:eastAsia="方正仿宋_GBK"/>
          <w:caps w:val="0"/>
          <w:smallCaps w:val="0"/>
          <w:color w:val="auto"/>
          <w:kern w:val="2"/>
          <w:sz w:val="24"/>
          <w:szCs w:val="24"/>
          <w:highlight w:val="none"/>
        </w:rPr>
        <w:t>，指本协议的条款或附件；</w:t>
      </w:r>
    </w:p>
    <w:p w14:paraId="3BAE3141">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（4）</w:t>
      </w:r>
      <w:r>
        <w:rPr>
          <w:rFonts w:hint="eastAsia" w:ascii="Times New Roman" w:hAnsi="Times New Roman" w:eastAsia="方正仿宋_GBK"/>
          <w:caps w:val="0"/>
          <w:smallCaps w:val="0"/>
          <w:color w:val="auto"/>
          <w:kern w:val="2"/>
          <w:sz w:val="24"/>
          <w:szCs w:val="24"/>
          <w:highlight w:val="none"/>
        </w:rPr>
        <w:t>一方、双方、各方，指本协议中的一方、双方或各方，并且包括经允许的替代该方的主体或该方的受让人；</w:t>
      </w:r>
    </w:p>
    <w:p w14:paraId="51823EE1">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（5）</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包括</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，指</w:t>
      </w:r>
      <w:r>
        <w:rPr>
          <w:rFonts w:hint="default" w:ascii="Times New Roman" w:hAnsi="Times New Roman" w:eastAsia="方正仿宋_GBK" w:cs="Times New Roman"/>
          <w:caps w:val="0"/>
          <w:smallCaps w:val="0"/>
          <w:color w:val="auto"/>
          <w:kern w:val="2"/>
          <w:sz w:val="24"/>
          <w:szCs w:val="24"/>
          <w:highlight w:val="none"/>
        </w:rPr>
        <w:t>包括</w:t>
      </w:r>
      <w:r>
        <w:rPr>
          <w:rFonts w:hint="eastAsia" w:ascii="Times New Roman" w:hAnsi="Times New Roman" w:eastAsia="方正仿宋_GBK"/>
          <w:caps w:val="0"/>
          <w:smallCaps w:val="0"/>
          <w:color w:val="auto"/>
          <w:kern w:val="2"/>
          <w:sz w:val="24"/>
          <w:szCs w:val="24"/>
          <w:highlight w:val="none"/>
        </w:rPr>
        <w:t>但不限于；</w:t>
      </w:r>
    </w:p>
    <w:p w14:paraId="21EF7638">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（6）</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以上</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以下</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以内</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或</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内</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均含本数，</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超过</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以外</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均不含本数；</w:t>
      </w:r>
    </w:p>
    <w:p w14:paraId="238D8CB7">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（7）</w:t>
      </w:r>
      <w:r>
        <w:rPr>
          <w:rFonts w:hint="eastAsia" w:ascii="Times New Roman" w:hAnsi="Times New Roman" w:eastAsia="方正仿宋_GBK"/>
          <w:caps w:val="0"/>
          <w:smallCaps w:val="0"/>
          <w:color w:val="auto"/>
          <w:kern w:val="2"/>
          <w:sz w:val="24"/>
          <w:szCs w:val="24"/>
          <w:highlight w:val="none"/>
        </w:rPr>
        <w:t>日、月、季、年，均指公历的日、月、季、年；</w:t>
      </w:r>
    </w:p>
    <w:p w14:paraId="2C364E07">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（8）</w:t>
      </w:r>
      <w:r>
        <w:rPr>
          <w:rFonts w:hint="default" w:ascii="Times New Roman" w:hAnsi="Times New Roman" w:eastAsia="方正仿宋_GBK"/>
          <w:caps w:val="0"/>
          <w:smallCaps w:val="0"/>
          <w:color w:val="auto"/>
          <w:kern w:val="2"/>
          <w:sz w:val="24"/>
          <w:szCs w:val="24"/>
          <w:highlight w:val="none"/>
        </w:rPr>
        <w:t>本</w:t>
      </w:r>
      <w:r>
        <w:rPr>
          <w:rFonts w:hint="eastAsia" w:ascii="Times New Roman" w:hAnsi="Times New Roman" w:eastAsia="方正仿宋_GBK"/>
          <w:caps w:val="0"/>
          <w:smallCaps w:val="0"/>
          <w:color w:val="auto"/>
          <w:kern w:val="2"/>
          <w:sz w:val="24"/>
          <w:szCs w:val="24"/>
          <w:highlight w:val="none"/>
        </w:rPr>
        <w:t>协议</w:t>
      </w:r>
      <w:r>
        <w:rPr>
          <w:rFonts w:hint="default" w:ascii="Times New Roman" w:hAnsi="Times New Roman" w:eastAsia="方正仿宋_GBK"/>
          <w:caps w:val="0"/>
          <w:smallCaps w:val="0"/>
          <w:color w:val="auto"/>
          <w:kern w:val="2"/>
          <w:sz w:val="24"/>
          <w:szCs w:val="24"/>
          <w:highlight w:val="none"/>
        </w:rPr>
        <w:t>并不</w:t>
      </w:r>
      <w:r>
        <w:rPr>
          <w:rFonts w:hint="eastAsia" w:ascii="Times New Roman" w:hAnsi="Times New Roman" w:eastAsia="方正仿宋_GBK" w:cs="Times New Roman"/>
          <w:caps w:val="0"/>
          <w:smallCaps w:val="0"/>
          <w:color w:val="auto"/>
          <w:kern w:val="2"/>
          <w:sz w:val="24"/>
          <w:szCs w:val="24"/>
          <w:highlight w:val="none"/>
        </w:rPr>
        <w:t>限制</w:t>
      </w:r>
      <w:r>
        <w:rPr>
          <w:rFonts w:hint="default" w:ascii="Times New Roman" w:hAnsi="Times New Roman" w:eastAsia="方正仿宋_GBK"/>
          <w:caps w:val="0"/>
          <w:smallCaps w:val="0"/>
          <w:color w:val="auto"/>
          <w:kern w:val="2"/>
          <w:sz w:val="24"/>
          <w:szCs w:val="24"/>
          <w:highlight w:val="none"/>
        </w:rPr>
        <w:t>或以其他方式影响甲方及其他政府部门行使其法定行政职权；</w:t>
      </w:r>
    </w:p>
    <w:p w14:paraId="0EC4DAB7">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（9）</w:t>
      </w:r>
      <w:r>
        <w:rPr>
          <w:rFonts w:hint="default" w:ascii="Times New Roman" w:hAnsi="Times New Roman" w:eastAsia="方正仿宋_GBK"/>
          <w:caps w:val="0"/>
          <w:smallCaps w:val="0"/>
          <w:color w:val="auto"/>
          <w:kern w:val="2"/>
          <w:sz w:val="24"/>
          <w:szCs w:val="24"/>
          <w:highlight w:val="none"/>
        </w:rPr>
        <w:t>在本</w:t>
      </w:r>
      <w:r>
        <w:rPr>
          <w:rFonts w:hint="eastAsia" w:ascii="Times New Roman" w:hAnsi="Times New Roman" w:eastAsia="方正仿宋_GBK"/>
          <w:caps w:val="0"/>
          <w:smallCaps w:val="0"/>
          <w:color w:val="auto"/>
          <w:kern w:val="2"/>
          <w:sz w:val="24"/>
          <w:szCs w:val="24"/>
          <w:highlight w:val="none"/>
        </w:rPr>
        <w:t>协议</w:t>
      </w:r>
      <w:r>
        <w:rPr>
          <w:rFonts w:hint="default" w:ascii="Times New Roman" w:hAnsi="Times New Roman" w:eastAsia="方正仿宋_GBK"/>
          <w:caps w:val="0"/>
          <w:smallCaps w:val="0"/>
          <w:color w:val="auto"/>
          <w:kern w:val="2"/>
          <w:sz w:val="24"/>
          <w:szCs w:val="24"/>
          <w:highlight w:val="none"/>
        </w:rPr>
        <w:t>订立及履约</w:t>
      </w:r>
      <w:r>
        <w:rPr>
          <w:rFonts w:hint="default" w:ascii="Times New Roman" w:hAnsi="Times New Roman" w:eastAsia="方正仿宋_GBK" w:cs="Times New Roman"/>
          <w:caps w:val="0"/>
          <w:smallCaps w:val="0"/>
          <w:color w:val="auto"/>
          <w:kern w:val="2"/>
          <w:sz w:val="24"/>
          <w:szCs w:val="24"/>
          <w:highlight w:val="none"/>
        </w:rPr>
        <w:t>过程</w:t>
      </w:r>
      <w:r>
        <w:rPr>
          <w:rFonts w:hint="default" w:ascii="Times New Roman" w:hAnsi="Times New Roman" w:eastAsia="方正仿宋_GBK"/>
          <w:caps w:val="0"/>
          <w:smallCaps w:val="0"/>
          <w:color w:val="auto"/>
          <w:kern w:val="2"/>
          <w:sz w:val="24"/>
          <w:szCs w:val="24"/>
          <w:highlight w:val="none"/>
        </w:rPr>
        <w:t>中形成</w:t>
      </w:r>
      <w:r>
        <w:rPr>
          <w:rFonts w:hint="eastAsia" w:ascii="Times New Roman" w:hAnsi="Times New Roman" w:eastAsia="方正仿宋_GBK"/>
          <w:caps w:val="0"/>
          <w:smallCaps w:val="0"/>
          <w:color w:val="auto"/>
          <w:kern w:val="2"/>
          <w:sz w:val="24"/>
          <w:szCs w:val="24"/>
          <w:highlight w:val="none"/>
        </w:rPr>
        <w:t>并经双方签署</w:t>
      </w:r>
      <w:r>
        <w:rPr>
          <w:rFonts w:hint="default" w:ascii="Times New Roman" w:hAnsi="Times New Roman" w:eastAsia="方正仿宋_GBK"/>
          <w:caps w:val="0"/>
          <w:smallCaps w:val="0"/>
          <w:color w:val="auto"/>
          <w:kern w:val="2"/>
          <w:sz w:val="24"/>
          <w:szCs w:val="24"/>
          <w:highlight w:val="none"/>
        </w:rPr>
        <w:t>的与</w:t>
      </w:r>
      <w:r>
        <w:rPr>
          <w:rFonts w:hint="eastAsia" w:ascii="Times New Roman" w:hAnsi="Times New Roman" w:eastAsia="方正仿宋_GBK"/>
          <w:caps w:val="0"/>
          <w:smallCaps w:val="0"/>
          <w:color w:val="auto"/>
          <w:kern w:val="2"/>
          <w:sz w:val="24"/>
          <w:szCs w:val="24"/>
          <w:highlight w:val="none"/>
        </w:rPr>
        <w:t>协议</w:t>
      </w:r>
      <w:r>
        <w:rPr>
          <w:rFonts w:hint="default" w:ascii="Times New Roman" w:hAnsi="Times New Roman" w:eastAsia="方正仿宋_GBK"/>
          <w:caps w:val="0"/>
          <w:smallCaps w:val="0"/>
          <w:color w:val="auto"/>
          <w:kern w:val="2"/>
          <w:sz w:val="24"/>
          <w:szCs w:val="24"/>
          <w:highlight w:val="none"/>
        </w:rPr>
        <w:t>有关的文件均构成</w:t>
      </w:r>
      <w:r>
        <w:rPr>
          <w:rFonts w:hint="eastAsia" w:ascii="Times New Roman" w:hAnsi="Times New Roman" w:eastAsia="方正仿宋_GBK"/>
          <w:caps w:val="0"/>
          <w:smallCaps w:val="0"/>
          <w:color w:val="auto"/>
          <w:kern w:val="2"/>
          <w:sz w:val="24"/>
          <w:szCs w:val="24"/>
          <w:highlight w:val="none"/>
        </w:rPr>
        <w:t>协议</w:t>
      </w:r>
      <w:r>
        <w:rPr>
          <w:rFonts w:hint="default" w:ascii="Times New Roman" w:hAnsi="Times New Roman" w:eastAsia="方正仿宋_GBK"/>
          <w:caps w:val="0"/>
          <w:smallCaps w:val="0"/>
          <w:color w:val="auto"/>
          <w:kern w:val="2"/>
          <w:sz w:val="24"/>
          <w:szCs w:val="24"/>
          <w:highlight w:val="none"/>
        </w:rPr>
        <w:t>文件组成部分，并根据其性质按照</w:t>
      </w:r>
      <w:r>
        <w:rPr>
          <w:rFonts w:hint="eastAsia" w:ascii="Times New Roman" w:hAnsi="Times New Roman" w:eastAsia="方正仿宋_GBK"/>
          <w:caps w:val="0"/>
          <w:smallCaps w:val="0"/>
          <w:color w:val="auto"/>
          <w:kern w:val="2"/>
          <w:sz w:val="24"/>
          <w:szCs w:val="24"/>
          <w:highlight w:val="none"/>
        </w:rPr>
        <w:t>本协议约定</w:t>
      </w:r>
      <w:r>
        <w:rPr>
          <w:rFonts w:hint="default" w:ascii="Times New Roman" w:hAnsi="Times New Roman" w:eastAsia="方正仿宋_GBK"/>
          <w:caps w:val="0"/>
          <w:smallCaps w:val="0"/>
          <w:color w:val="auto"/>
          <w:kern w:val="2"/>
          <w:sz w:val="24"/>
          <w:szCs w:val="24"/>
          <w:highlight w:val="none"/>
        </w:rPr>
        <w:t>确定优先解释顺序</w:t>
      </w:r>
      <w:r>
        <w:rPr>
          <w:rFonts w:hint="eastAsia" w:ascii="Times New Roman" w:hAnsi="Times New Roman" w:eastAsia="方正仿宋_GBK"/>
          <w:caps w:val="0"/>
          <w:smallCaps w:val="0"/>
          <w:color w:val="auto"/>
          <w:kern w:val="2"/>
          <w:sz w:val="24"/>
          <w:szCs w:val="24"/>
          <w:highlight w:val="none"/>
        </w:rPr>
        <w:t>。</w:t>
      </w:r>
    </w:p>
    <w:p w14:paraId="66B17914">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110" w:name="_Toc1257014914"/>
      <w:bookmarkStart w:id="111" w:name="_Toc25243"/>
      <w:bookmarkStart w:id="112" w:name="_Toc10293"/>
      <w:r>
        <w:rPr>
          <w:rFonts w:hint="eastAsia" w:ascii="Times New Roman" w:hAnsi="Times New Roman" w:eastAsia="方正黑体_GBK" w:cs="方正黑体_GBK"/>
          <w:bCs/>
          <w:caps w:val="0"/>
          <w:smallCaps w:val="0"/>
          <w:color w:val="auto"/>
          <w:kern w:val="2"/>
          <w:sz w:val="28"/>
          <w:szCs w:val="28"/>
          <w:highlight w:val="none"/>
          <w:lang w:val="en-US" w:eastAsia="zh-CN" w:bidi="ar-SA"/>
        </w:rPr>
        <w:t>第2条 协议目的</w:t>
      </w:r>
      <w:bookmarkEnd w:id="110"/>
      <w:bookmarkEnd w:id="111"/>
      <w:bookmarkEnd w:id="112"/>
    </w:p>
    <w:p w14:paraId="0454EB95">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8"/>
          <w:szCs w:val="28"/>
          <w:highlight w:val="none"/>
        </w:rPr>
      </w:pPr>
      <w:bookmarkStart w:id="113" w:name="_Hlk153981972"/>
      <w:r>
        <w:rPr>
          <w:rFonts w:hint="default" w:ascii="Times New Roman" w:hAnsi="Times New Roman" w:eastAsia="方正仿宋_GBK" w:cs="Times New Roman"/>
          <w:color w:val="auto"/>
          <w:kern w:val="2"/>
          <w:sz w:val="24"/>
          <w:szCs w:val="24"/>
          <w:highlight w:val="none"/>
        </w:rPr>
        <w:t>本协议旨在明确甲乙双方在特许经营期内的权利、义务、风险分担、收益分配及履约责任，规范项目运营、维护、调价、监管、移交全流程工作。</w:t>
      </w:r>
      <w:bookmarkEnd w:id="113"/>
    </w:p>
    <w:p w14:paraId="55130660">
      <w:pPr>
        <w:widowControl w:val="0"/>
        <w:numPr>
          <w:ilvl w:val="0"/>
          <w:numId w:val="0"/>
        </w:numPr>
        <w:adjustRightInd/>
        <w:snapToGrid/>
        <w:spacing w:before="0" w:beforeLines="0" w:after="0" w:afterLines="0" w:line="360" w:lineRule="auto"/>
        <w:ind w:firstLine="560" w:firstLineChars="200"/>
        <w:jc w:val="both"/>
        <w:outlineLvl w:val="1"/>
        <w:rPr>
          <w:rFonts w:ascii="Times New Roman" w:hAnsi="Times New Roman" w:eastAsia="方正仿宋_GBK" w:cs="方正黑体_GBK"/>
          <w:bCs/>
          <w:caps w:val="0"/>
          <w:smallCaps w:val="0"/>
          <w:color w:val="auto"/>
          <w:kern w:val="2"/>
          <w:sz w:val="28"/>
          <w:szCs w:val="28"/>
          <w:highlight w:val="none"/>
          <w:lang w:val="en-US" w:eastAsia="zh-CN" w:bidi="ar-SA"/>
        </w:rPr>
      </w:pPr>
      <w:bookmarkStart w:id="114" w:name="_Toc10140"/>
      <w:bookmarkStart w:id="115" w:name="_Toc15813"/>
      <w:bookmarkStart w:id="116" w:name="_Toc206169440"/>
      <w:r>
        <w:rPr>
          <w:rFonts w:hint="eastAsia" w:ascii="Times New Roman" w:hAnsi="Times New Roman" w:eastAsia="方正黑体_GBK" w:cs="方正黑体_GBK"/>
          <w:bCs/>
          <w:caps w:val="0"/>
          <w:smallCaps w:val="0"/>
          <w:color w:val="auto"/>
          <w:kern w:val="2"/>
          <w:sz w:val="28"/>
          <w:szCs w:val="28"/>
          <w:highlight w:val="none"/>
          <w:lang w:val="en-US" w:eastAsia="zh-CN" w:bidi="ar-SA"/>
        </w:rPr>
        <w:t>第3条 声明和保证</w:t>
      </w:r>
      <w:bookmarkEnd w:id="114"/>
      <w:bookmarkEnd w:id="115"/>
      <w:bookmarkEnd w:id="116"/>
    </w:p>
    <w:p w14:paraId="7C411312">
      <w:pPr>
        <w:keepNext w:val="0"/>
        <w:keepLines w:val="0"/>
        <w:pageBreakBefore w:val="0"/>
        <w:widowControl w:val="0"/>
        <w:numPr>
          <w:ilvl w:val="2"/>
          <w:numId w:val="0"/>
        </w:numPr>
        <w:kinsoku/>
        <w:wordWrap/>
        <w:overflowPunct/>
        <w:topLinePunct w:val="0"/>
        <w:bidi w:val="0"/>
        <w:adjustRightInd w:val="0"/>
        <w:snapToGrid w:val="0"/>
        <w:spacing w:before="0" w:beforeLines="0" w:beforeAutospacing="0" w:after="0" w:afterLines="0" w:afterAutospacing="0" w:line="360" w:lineRule="auto"/>
        <w:ind w:firstLine="480" w:firstLineChars="200"/>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1.</w:t>
      </w:r>
      <w:r>
        <w:rPr>
          <w:rFonts w:ascii="Times New Roman" w:hAnsi="Times New Roman" w:eastAsia="方正仿宋_GBK" w:cs="Times New Roman"/>
          <w:b/>
          <w:caps w:val="0"/>
          <w:smallCaps w:val="0"/>
          <w:color w:val="auto"/>
          <w:kern w:val="2"/>
          <w:sz w:val="24"/>
          <w:szCs w:val="24"/>
          <w:highlight w:val="none"/>
          <w:lang w:val="en-US" w:eastAsia="zh-CN" w:bidi="ar-SA"/>
        </w:rPr>
        <w:t>甲方</w:t>
      </w:r>
      <w:r>
        <w:rPr>
          <w:rFonts w:hint="eastAsia" w:ascii="Times New Roman" w:hAnsi="Times New Roman" w:eastAsia="方正仿宋_GBK" w:cs="Times New Roman"/>
          <w:b/>
          <w:caps w:val="0"/>
          <w:smallCaps w:val="0"/>
          <w:color w:val="auto"/>
          <w:kern w:val="2"/>
          <w:sz w:val="24"/>
          <w:szCs w:val="24"/>
          <w:highlight w:val="none"/>
          <w:lang w:val="en-US" w:eastAsia="zh-CN" w:bidi="ar-SA"/>
        </w:rPr>
        <w:t>的声明与保证</w:t>
      </w:r>
    </w:p>
    <w:p w14:paraId="396A66EA">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（1）</w:t>
      </w:r>
      <w:r>
        <w:rPr>
          <w:rFonts w:hint="eastAsia" w:ascii="Times New Roman" w:hAnsi="Times New Roman" w:eastAsia="方正仿宋_GBK"/>
          <w:caps w:val="0"/>
          <w:smallCaps w:val="0"/>
          <w:color w:val="auto"/>
          <w:kern w:val="2"/>
          <w:sz w:val="24"/>
          <w:szCs w:val="24"/>
          <w:highlight w:val="none"/>
        </w:rPr>
        <w:t>甲方已经取得</w:t>
      </w:r>
      <w:r>
        <w:rPr>
          <w:rFonts w:hint="default" w:ascii="Times New Roman" w:hAnsi="Times New Roman" w:eastAsia="方正仿宋_GBK" w:cs="Times New Roman"/>
          <w:caps w:val="0"/>
          <w:smallCaps w:val="0"/>
          <w:color w:val="auto"/>
          <w:kern w:val="2"/>
          <w:sz w:val="24"/>
          <w:szCs w:val="24"/>
          <w:highlight w:val="none"/>
          <w:lang w:val="en-US" w:eastAsia="zh-CN"/>
        </w:rPr>
        <w:t>江都</w:t>
      </w:r>
      <w:r>
        <w:rPr>
          <w:rFonts w:hint="eastAsia" w:ascii="Times New Roman" w:hAnsi="Times New Roman" w:eastAsia="方正仿宋_GBK"/>
          <w:caps w:val="0"/>
          <w:smallCaps w:val="0"/>
          <w:color w:val="auto"/>
          <w:kern w:val="2"/>
          <w:sz w:val="24"/>
          <w:szCs w:val="24"/>
          <w:highlight w:val="none"/>
          <w:lang w:val="en-US" w:eastAsia="zh-CN"/>
        </w:rPr>
        <w:t>区</w:t>
      </w:r>
      <w:r>
        <w:rPr>
          <w:rFonts w:hint="eastAsia" w:ascii="Times New Roman" w:hAnsi="Times New Roman" w:eastAsia="方正仿宋_GBK"/>
          <w:caps w:val="0"/>
          <w:smallCaps w:val="0"/>
          <w:color w:val="auto"/>
          <w:kern w:val="2"/>
          <w:sz w:val="24"/>
          <w:szCs w:val="24"/>
          <w:highlight w:val="none"/>
        </w:rPr>
        <w:t>人民政府的正式授权及其他必要的同意和批准，代表</w:t>
      </w:r>
      <w:r>
        <w:rPr>
          <w:rFonts w:hint="eastAsia" w:ascii="Times New Roman" w:hAnsi="Times New Roman" w:eastAsia="方正仿宋_GBK"/>
          <w:caps w:val="0"/>
          <w:smallCaps w:val="0"/>
          <w:color w:val="auto"/>
          <w:kern w:val="2"/>
          <w:sz w:val="24"/>
          <w:szCs w:val="24"/>
          <w:highlight w:val="none"/>
          <w:lang w:val="en-US" w:eastAsia="zh-CN"/>
        </w:rPr>
        <w:t>江都区</w:t>
      </w:r>
      <w:r>
        <w:rPr>
          <w:rFonts w:hint="eastAsia" w:ascii="Times New Roman" w:hAnsi="Times New Roman" w:eastAsia="方正仿宋_GBK"/>
          <w:caps w:val="0"/>
          <w:smallCaps w:val="0"/>
          <w:color w:val="auto"/>
          <w:kern w:val="2"/>
          <w:sz w:val="24"/>
          <w:szCs w:val="24"/>
          <w:highlight w:val="none"/>
        </w:rPr>
        <w:t>人民政府签订本协议。</w:t>
      </w:r>
    </w:p>
    <w:p w14:paraId="21A61320">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（2）</w:t>
      </w:r>
      <w:r>
        <w:rPr>
          <w:rFonts w:hint="eastAsia" w:ascii="Times New Roman" w:hAnsi="Times New Roman" w:eastAsia="方正仿宋_GBK"/>
          <w:caps w:val="0"/>
          <w:smallCaps w:val="0"/>
          <w:color w:val="auto"/>
          <w:kern w:val="2"/>
          <w:sz w:val="24"/>
          <w:szCs w:val="24"/>
          <w:highlight w:val="none"/>
        </w:rPr>
        <w:t>甲方具有与乙方签订和履行本协议的充分的法律权利、权力和授权，本协议一经签订，即对甲方和政府方具有完全的法律约束力。签订和履行本协议不违反甲方的授权文件和其</w:t>
      </w:r>
      <w:r>
        <w:rPr>
          <w:rFonts w:hint="default" w:ascii="Times New Roman" w:hAnsi="Times New Roman" w:eastAsia="方正仿宋_GBK" w:cs="Times New Roman"/>
          <w:caps w:val="0"/>
          <w:smallCaps w:val="0"/>
          <w:color w:val="auto"/>
          <w:kern w:val="2"/>
          <w:sz w:val="24"/>
          <w:szCs w:val="24"/>
          <w:highlight w:val="none"/>
        </w:rPr>
        <w:t>组织</w:t>
      </w:r>
      <w:r>
        <w:rPr>
          <w:rFonts w:hint="eastAsia" w:ascii="Times New Roman" w:hAnsi="Times New Roman" w:eastAsia="方正仿宋_GBK"/>
          <w:caps w:val="0"/>
          <w:smallCaps w:val="0"/>
          <w:color w:val="auto"/>
          <w:kern w:val="2"/>
          <w:sz w:val="24"/>
          <w:szCs w:val="24"/>
          <w:highlight w:val="none"/>
        </w:rPr>
        <w:t>规则中的任何内容或与之相冲突，也不违反任何适用法律的强制性规定或对其具有约束力的合同性文件或安排，也不会引致任何利益冲突。</w:t>
      </w:r>
    </w:p>
    <w:p w14:paraId="732F1F77">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（3）</w:t>
      </w:r>
      <w:r>
        <w:rPr>
          <w:rFonts w:hint="default" w:ascii="Times New Roman" w:hAnsi="Times New Roman" w:eastAsia="方正仿宋_GBK"/>
          <w:caps w:val="0"/>
          <w:smallCaps w:val="0"/>
          <w:color w:val="auto"/>
          <w:kern w:val="2"/>
          <w:sz w:val="24"/>
          <w:szCs w:val="24"/>
          <w:highlight w:val="none"/>
        </w:rPr>
        <w:t>甲方已尽合理审慎地编制在招标文件中提供的技术资料，其中关于</w:t>
      </w:r>
      <w:r>
        <w:rPr>
          <w:rFonts w:hint="eastAsia" w:ascii="Times New Roman" w:hAnsi="Times New Roman" w:eastAsia="方正仿宋_GBK"/>
          <w:caps w:val="0"/>
          <w:smallCaps w:val="0"/>
          <w:color w:val="auto"/>
          <w:kern w:val="2"/>
          <w:sz w:val="24"/>
          <w:szCs w:val="24"/>
          <w:highlight w:val="none"/>
          <w:lang w:val="en-US" w:eastAsia="zh-CN"/>
        </w:rPr>
        <w:t>资产清单已经披露（资产现状由各投标人自行现场察看），特许经营权转让</w:t>
      </w:r>
      <w:r>
        <w:rPr>
          <w:rFonts w:hint="default" w:ascii="Times New Roman" w:hAnsi="Times New Roman" w:eastAsia="方正仿宋_GBK"/>
          <w:caps w:val="0"/>
          <w:smallCaps w:val="0"/>
          <w:color w:val="auto"/>
          <w:kern w:val="2"/>
          <w:sz w:val="24"/>
          <w:szCs w:val="24"/>
          <w:highlight w:val="none"/>
        </w:rPr>
        <w:t>已经得到</w:t>
      </w:r>
      <w:r>
        <w:rPr>
          <w:rFonts w:hint="eastAsia" w:ascii="Times New Roman" w:hAnsi="Times New Roman" w:eastAsia="方正仿宋_GBK"/>
          <w:caps w:val="0"/>
          <w:smallCaps w:val="0"/>
          <w:color w:val="auto"/>
          <w:kern w:val="2"/>
          <w:sz w:val="24"/>
          <w:szCs w:val="24"/>
          <w:highlight w:val="none"/>
        </w:rPr>
        <w:t>政府有权部门</w:t>
      </w:r>
      <w:r>
        <w:rPr>
          <w:rFonts w:hint="default" w:ascii="Times New Roman" w:hAnsi="Times New Roman" w:eastAsia="方正仿宋_GBK"/>
          <w:caps w:val="0"/>
          <w:smallCaps w:val="0"/>
          <w:color w:val="auto"/>
          <w:kern w:val="2"/>
          <w:sz w:val="24"/>
          <w:szCs w:val="24"/>
          <w:highlight w:val="none"/>
        </w:rPr>
        <w:t>的</w:t>
      </w:r>
      <w:r>
        <w:rPr>
          <w:rFonts w:hint="eastAsia" w:ascii="Times New Roman" w:hAnsi="Times New Roman" w:eastAsia="方正仿宋_GBK"/>
          <w:caps w:val="0"/>
          <w:smallCaps w:val="0"/>
          <w:color w:val="auto"/>
          <w:kern w:val="2"/>
          <w:sz w:val="24"/>
          <w:szCs w:val="24"/>
          <w:highlight w:val="none"/>
          <w:lang w:val="en-US" w:eastAsia="zh-CN"/>
        </w:rPr>
        <w:t>备案和</w:t>
      </w:r>
      <w:r>
        <w:rPr>
          <w:rFonts w:hint="default" w:ascii="Times New Roman" w:hAnsi="Times New Roman" w:eastAsia="方正仿宋_GBK"/>
          <w:caps w:val="0"/>
          <w:smallCaps w:val="0"/>
          <w:color w:val="auto"/>
          <w:kern w:val="2"/>
          <w:sz w:val="24"/>
          <w:szCs w:val="24"/>
          <w:highlight w:val="none"/>
        </w:rPr>
        <w:t>确认，在招标文件中预测的未来</w:t>
      </w:r>
      <w:r>
        <w:rPr>
          <w:rFonts w:hint="eastAsia" w:ascii="Times New Roman" w:hAnsi="Times New Roman" w:eastAsia="方正仿宋_GBK"/>
          <w:caps w:val="0"/>
          <w:smallCaps w:val="0"/>
          <w:color w:val="auto"/>
          <w:kern w:val="2"/>
          <w:sz w:val="24"/>
          <w:szCs w:val="24"/>
          <w:highlight w:val="none"/>
          <w:lang w:val="en-US" w:eastAsia="zh-CN"/>
        </w:rPr>
        <w:t>污水处理</w:t>
      </w:r>
      <w:r>
        <w:rPr>
          <w:rFonts w:hint="eastAsia" w:ascii="Times New Roman" w:hAnsi="Times New Roman" w:eastAsia="方正仿宋_GBK"/>
          <w:caps w:val="0"/>
          <w:smallCaps w:val="0"/>
          <w:color w:val="auto"/>
          <w:kern w:val="2"/>
          <w:sz w:val="24"/>
          <w:szCs w:val="24"/>
          <w:highlight w:val="none"/>
        </w:rPr>
        <w:t>量、市场需求情况等作为财务模型测算基础的数据谨供参考，甲方不承担因乙方直接使用或间接利用上述资料而导致失误或损失的责任，但甲方存在故意或重大过失导致的隐瞒或欺骗、重大失实或误导、重大不实披露情形的除外。</w:t>
      </w:r>
    </w:p>
    <w:p w14:paraId="02E73549">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（4）</w:t>
      </w:r>
      <w:r>
        <w:rPr>
          <w:rFonts w:hint="eastAsia" w:ascii="Times New Roman" w:hAnsi="Times New Roman" w:eastAsia="方正仿宋_GBK"/>
          <w:caps w:val="0"/>
          <w:smallCaps w:val="0"/>
          <w:color w:val="auto"/>
          <w:kern w:val="2"/>
          <w:sz w:val="24"/>
          <w:szCs w:val="24"/>
          <w:highlight w:val="none"/>
        </w:rPr>
        <w:t>甲方承诺</w:t>
      </w:r>
      <w:r>
        <w:rPr>
          <w:rFonts w:hint="default" w:ascii="Times New Roman" w:hAnsi="Times New Roman" w:eastAsia="方正仿宋_GBK"/>
          <w:caps w:val="0"/>
          <w:smallCaps w:val="0"/>
          <w:color w:val="auto"/>
          <w:kern w:val="2"/>
          <w:sz w:val="24"/>
          <w:szCs w:val="24"/>
          <w:highlight w:val="none"/>
        </w:rPr>
        <w:t>所声明</w:t>
      </w:r>
      <w:r>
        <w:rPr>
          <w:rFonts w:hint="eastAsia" w:ascii="Times New Roman" w:hAnsi="Times New Roman" w:eastAsia="方正仿宋_GBK"/>
          <w:caps w:val="0"/>
          <w:smallCaps w:val="0"/>
          <w:color w:val="auto"/>
          <w:kern w:val="2"/>
          <w:sz w:val="24"/>
          <w:szCs w:val="24"/>
          <w:highlight w:val="none"/>
        </w:rPr>
        <w:t>与保证</w:t>
      </w:r>
      <w:r>
        <w:rPr>
          <w:rFonts w:hint="default" w:ascii="Times New Roman" w:hAnsi="Times New Roman" w:eastAsia="方正仿宋_GBK"/>
          <w:caps w:val="0"/>
          <w:smallCaps w:val="0"/>
          <w:color w:val="auto"/>
          <w:kern w:val="2"/>
          <w:sz w:val="24"/>
          <w:szCs w:val="24"/>
          <w:highlight w:val="none"/>
        </w:rPr>
        <w:t>内容真实、准确、完整</w:t>
      </w:r>
      <w:r>
        <w:rPr>
          <w:rFonts w:hint="eastAsia" w:ascii="Times New Roman" w:hAnsi="Times New Roman" w:eastAsia="方正仿宋_GBK"/>
          <w:caps w:val="0"/>
          <w:smallCaps w:val="0"/>
          <w:color w:val="auto"/>
          <w:kern w:val="2"/>
          <w:sz w:val="24"/>
          <w:szCs w:val="24"/>
          <w:highlight w:val="none"/>
        </w:rPr>
        <w:t>。</w:t>
      </w:r>
    </w:p>
    <w:p w14:paraId="3CC52EB9">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（5）本</w:t>
      </w:r>
      <w:r>
        <w:rPr>
          <w:rFonts w:hint="eastAsia" w:ascii="Times New Roman" w:hAnsi="Times New Roman" w:eastAsia="方正仿宋_GBK"/>
          <w:caps w:val="0"/>
          <w:smallCaps w:val="0"/>
          <w:color w:val="auto"/>
          <w:kern w:val="2"/>
          <w:sz w:val="24"/>
          <w:szCs w:val="24"/>
          <w:highlight w:val="none"/>
        </w:rPr>
        <w:t>项目存量资产权属清晰、无权属纠纷，项目实施方案已完成审批，符合国家及地方特许经营相关</w:t>
      </w:r>
      <w:r>
        <w:rPr>
          <w:rFonts w:hint="default" w:ascii="Times New Roman" w:hAnsi="Times New Roman" w:eastAsia="方正仿宋_GBK" w:cs="Times New Roman"/>
          <w:caps w:val="0"/>
          <w:smallCaps w:val="0"/>
          <w:color w:val="auto"/>
          <w:kern w:val="2"/>
          <w:sz w:val="24"/>
          <w:szCs w:val="24"/>
          <w:highlight w:val="none"/>
        </w:rPr>
        <w:t>政策</w:t>
      </w:r>
      <w:r>
        <w:rPr>
          <w:rFonts w:hint="eastAsia" w:ascii="Times New Roman" w:hAnsi="Times New Roman" w:eastAsia="方正仿宋_GBK"/>
          <w:caps w:val="0"/>
          <w:smallCaps w:val="0"/>
          <w:color w:val="auto"/>
          <w:kern w:val="2"/>
          <w:sz w:val="24"/>
          <w:szCs w:val="24"/>
          <w:highlight w:val="none"/>
        </w:rPr>
        <w:t>要求。</w:t>
      </w:r>
    </w:p>
    <w:p w14:paraId="32B391EF">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firstLine="480" w:firstLineChars="200"/>
        <w:rPr>
          <w:rFonts w:hint="default" w:ascii="Times New Roman" w:hAnsi="Times New Roman" w:eastAsia="方正仿宋_GBK"/>
          <w:caps w:val="0"/>
          <w:smallCaps w:val="0"/>
          <w:color w:val="auto"/>
          <w:kern w:val="2"/>
          <w:sz w:val="28"/>
          <w:szCs w:val="28"/>
          <w:highlight w:val="none"/>
        </w:rPr>
      </w:pPr>
      <w:r>
        <w:rPr>
          <w:rFonts w:hint="eastAsia" w:ascii="Times New Roman" w:hAnsi="Times New Roman" w:eastAsia="方正仿宋_GBK"/>
          <w:caps w:val="0"/>
          <w:smallCaps w:val="0"/>
          <w:color w:val="auto"/>
          <w:kern w:val="2"/>
          <w:sz w:val="24"/>
          <w:szCs w:val="24"/>
          <w:highlight w:val="none"/>
          <w:lang w:val="en-US" w:eastAsia="zh-CN" w:bidi="ar-SA"/>
        </w:rPr>
        <w:t>（6）</w:t>
      </w:r>
      <w:r>
        <w:rPr>
          <w:rFonts w:hint="default" w:ascii="Times New Roman" w:hAnsi="Times New Roman" w:eastAsia="方正仿宋_GBK"/>
          <w:caps w:val="0"/>
          <w:smallCaps w:val="0"/>
          <w:color w:val="auto"/>
          <w:kern w:val="2"/>
          <w:sz w:val="24"/>
          <w:szCs w:val="24"/>
          <w:highlight w:val="none"/>
        </w:rPr>
        <w:t>如果</w:t>
      </w:r>
      <w:r>
        <w:rPr>
          <w:rFonts w:hint="eastAsia" w:ascii="Times New Roman" w:hAnsi="Times New Roman" w:eastAsia="方正仿宋_GBK"/>
          <w:caps w:val="0"/>
          <w:smallCaps w:val="0"/>
          <w:color w:val="auto"/>
          <w:kern w:val="2"/>
          <w:sz w:val="24"/>
          <w:szCs w:val="24"/>
          <w:highlight w:val="none"/>
        </w:rPr>
        <w:t>甲</w:t>
      </w:r>
      <w:r>
        <w:rPr>
          <w:rFonts w:hint="default" w:ascii="Times New Roman" w:hAnsi="Times New Roman" w:eastAsia="方正仿宋_GBK"/>
          <w:caps w:val="0"/>
          <w:smallCaps w:val="0"/>
          <w:color w:val="auto"/>
          <w:kern w:val="2"/>
          <w:sz w:val="24"/>
          <w:szCs w:val="24"/>
          <w:highlight w:val="none"/>
        </w:rPr>
        <w:t>方在此所作的声明被证</w:t>
      </w:r>
      <w:r>
        <w:rPr>
          <w:rFonts w:hint="default" w:ascii="Times New Roman" w:hAnsi="Times New Roman" w:eastAsia="方正仿宋_GBK" w:cs="Times New Roman"/>
          <w:caps w:val="0"/>
          <w:smallCaps w:val="0"/>
          <w:color w:val="auto"/>
          <w:kern w:val="2"/>
          <w:sz w:val="24"/>
          <w:szCs w:val="24"/>
          <w:highlight w:val="none"/>
        </w:rPr>
        <w:t>实在作出时存在实质方面的不属实，</w:t>
      </w:r>
      <w:r>
        <w:rPr>
          <w:rFonts w:hint="eastAsia" w:ascii="Times New Roman" w:hAnsi="Times New Roman" w:eastAsia="方正仿宋_GBK" w:cs="Times New Roman"/>
          <w:caps w:val="0"/>
          <w:smallCaps w:val="0"/>
          <w:color w:val="auto"/>
          <w:kern w:val="2"/>
          <w:sz w:val="24"/>
          <w:szCs w:val="24"/>
          <w:highlight w:val="none"/>
        </w:rPr>
        <w:t>或在此所作出的保证在未来无法实现并且</w:t>
      </w:r>
      <w:r>
        <w:rPr>
          <w:rFonts w:hint="eastAsia" w:ascii="Times New Roman" w:hAnsi="Times New Roman" w:eastAsia="方正仿宋_GBK"/>
          <w:caps w:val="0"/>
          <w:smallCaps w:val="0"/>
          <w:color w:val="auto"/>
          <w:kern w:val="2"/>
          <w:sz w:val="24"/>
          <w:szCs w:val="24"/>
          <w:highlight w:val="none"/>
        </w:rPr>
        <w:t>该等不属实声明和不能实现的保证严重影响本协议项下的项目的顺利进行导致乙方签订本协议的目的不能实现时，乙</w:t>
      </w:r>
      <w:r>
        <w:rPr>
          <w:rFonts w:hint="default" w:ascii="Times New Roman" w:hAnsi="Times New Roman" w:eastAsia="方正仿宋_GBK"/>
          <w:caps w:val="0"/>
          <w:smallCaps w:val="0"/>
          <w:color w:val="auto"/>
          <w:kern w:val="2"/>
          <w:sz w:val="24"/>
          <w:szCs w:val="24"/>
          <w:highlight w:val="none"/>
        </w:rPr>
        <w:t>方有权终止本协议。</w:t>
      </w:r>
    </w:p>
    <w:p w14:paraId="306AFCCE">
      <w:pPr>
        <w:keepNext w:val="0"/>
        <w:keepLines w:val="0"/>
        <w:pageBreakBefore w:val="0"/>
        <w:widowControl w:val="0"/>
        <w:numPr>
          <w:ilvl w:val="2"/>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firstLine="480" w:firstLineChars="200"/>
        <w:jc w:val="left"/>
        <w:outlineLvl w:val="2"/>
        <w:rPr>
          <w:rFonts w:hint="default" w:ascii="Times New Roman" w:hAnsi="Times New Roman" w:eastAsia="方正仿宋_GBK"/>
          <w:b/>
          <w:caps w:val="0"/>
          <w:smallCaps w:val="0"/>
          <w:color w:val="auto"/>
          <w:kern w:val="2"/>
          <w:sz w:val="24"/>
          <w:szCs w:val="24"/>
          <w:highlight w:val="none"/>
        </w:rPr>
      </w:pPr>
      <w:bookmarkStart w:id="117" w:name="_Toc136332504"/>
      <w:r>
        <w:rPr>
          <w:rFonts w:hint="eastAsia" w:ascii="Times New Roman" w:hAnsi="Times New Roman" w:eastAsia="方正仿宋_GBK"/>
          <w:b/>
          <w:caps w:val="0"/>
          <w:smallCaps w:val="0"/>
          <w:color w:val="auto"/>
          <w:kern w:val="2"/>
          <w:sz w:val="24"/>
          <w:szCs w:val="24"/>
          <w:highlight w:val="none"/>
          <w:lang w:val="en-US" w:eastAsia="zh-CN" w:bidi="ar-SA"/>
        </w:rPr>
        <w:t>2.</w:t>
      </w:r>
      <w:r>
        <w:rPr>
          <w:rFonts w:hint="default" w:ascii="Times New Roman" w:hAnsi="Times New Roman" w:eastAsia="方正仿宋_GBK"/>
          <w:b/>
          <w:caps w:val="0"/>
          <w:smallCaps w:val="0"/>
          <w:color w:val="auto"/>
          <w:kern w:val="2"/>
          <w:sz w:val="24"/>
          <w:szCs w:val="24"/>
          <w:highlight w:val="none"/>
        </w:rPr>
        <w:t>乙方的声明</w:t>
      </w:r>
      <w:bookmarkEnd w:id="117"/>
      <w:r>
        <w:rPr>
          <w:rFonts w:hint="eastAsia" w:ascii="Times New Roman" w:hAnsi="Times New Roman" w:eastAsia="方正仿宋_GBK"/>
          <w:b/>
          <w:caps w:val="0"/>
          <w:smallCaps w:val="0"/>
          <w:color w:val="auto"/>
          <w:kern w:val="2"/>
          <w:sz w:val="24"/>
          <w:szCs w:val="24"/>
          <w:highlight w:val="none"/>
        </w:rPr>
        <w:t>与保证</w:t>
      </w:r>
    </w:p>
    <w:p w14:paraId="08C2C7A0">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（1）</w:t>
      </w:r>
      <w:r>
        <w:rPr>
          <w:rFonts w:hint="default" w:ascii="Times New Roman" w:hAnsi="Times New Roman" w:eastAsia="方正仿宋_GBK"/>
          <w:caps w:val="0"/>
          <w:smallCaps w:val="0"/>
          <w:color w:val="auto"/>
          <w:kern w:val="2"/>
          <w:sz w:val="24"/>
          <w:szCs w:val="24"/>
          <w:highlight w:val="none"/>
        </w:rPr>
        <w:t>乙方是根据</w:t>
      </w:r>
      <w:r>
        <w:rPr>
          <w:rFonts w:hint="eastAsia" w:ascii="Times New Roman" w:hAnsi="Times New Roman" w:eastAsia="方正仿宋_GBK"/>
          <w:caps w:val="0"/>
          <w:smallCaps w:val="0"/>
          <w:color w:val="auto"/>
          <w:kern w:val="2"/>
          <w:sz w:val="24"/>
          <w:szCs w:val="24"/>
          <w:highlight w:val="none"/>
        </w:rPr>
        <w:t>【适用</w:t>
      </w:r>
      <w:r>
        <w:rPr>
          <w:rFonts w:hint="default" w:ascii="Times New Roman" w:hAnsi="Times New Roman" w:eastAsia="方正仿宋_GBK"/>
          <w:caps w:val="0"/>
          <w:smallCaps w:val="0"/>
          <w:color w:val="auto"/>
          <w:kern w:val="2"/>
          <w:sz w:val="24"/>
          <w:szCs w:val="24"/>
          <w:highlight w:val="none"/>
        </w:rPr>
        <w:t>法律合法成立</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适用境内法人或其他组织</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，或</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国</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或地区</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法律合法</w:t>
      </w:r>
      <w:r>
        <w:rPr>
          <w:rFonts w:hint="default" w:ascii="Times New Roman" w:hAnsi="Times New Roman" w:eastAsia="方正仿宋_GBK" w:cs="Times New Roman"/>
          <w:caps w:val="0"/>
          <w:smallCaps w:val="0"/>
          <w:color w:val="auto"/>
          <w:kern w:val="2"/>
          <w:sz w:val="24"/>
          <w:szCs w:val="24"/>
          <w:highlight w:val="none"/>
        </w:rPr>
        <w:t>成立</w:t>
      </w:r>
      <w:r>
        <w:rPr>
          <w:rFonts w:hint="eastAsia" w:ascii="Times New Roman" w:hAnsi="Times New Roman" w:eastAsia="方正仿宋_GBK"/>
          <w:caps w:val="0"/>
          <w:smallCaps w:val="0"/>
          <w:color w:val="auto"/>
          <w:kern w:val="2"/>
          <w:sz w:val="24"/>
          <w:szCs w:val="24"/>
          <w:highlight w:val="none"/>
        </w:rPr>
        <w:t>并已根据适用法律在</w:t>
      </w:r>
      <w:r>
        <w:rPr>
          <w:rFonts w:hint="default" w:ascii="Times New Roman" w:hAnsi="Times New Roman" w:eastAsia="方正仿宋_GBK"/>
          <w:caps w:val="0"/>
          <w:smallCaps w:val="0"/>
          <w:color w:val="auto"/>
          <w:kern w:val="2"/>
          <w:sz w:val="24"/>
          <w:szCs w:val="24"/>
          <w:highlight w:val="none"/>
        </w:rPr>
        <w:t>中华人民共和国</w:t>
      </w:r>
      <w:r>
        <w:rPr>
          <w:rFonts w:hint="eastAsia" w:ascii="Times New Roman" w:hAnsi="Times New Roman" w:eastAsia="方正仿宋_GBK"/>
          <w:caps w:val="0"/>
          <w:smallCaps w:val="0"/>
          <w:color w:val="auto"/>
          <w:kern w:val="2"/>
          <w:sz w:val="24"/>
          <w:szCs w:val="24"/>
          <w:highlight w:val="none"/>
        </w:rPr>
        <w:t>境内合法登记报备</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适用境外法人或其他组织</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w:t>
      </w:r>
      <w:r>
        <w:rPr>
          <w:rFonts w:hint="default" w:ascii="Times New Roman" w:hAnsi="Times New Roman" w:eastAsia="方正仿宋_GBK"/>
          <w:caps w:val="0"/>
          <w:smallCaps w:val="0"/>
          <w:color w:val="auto"/>
          <w:kern w:val="2"/>
          <w:sz w:val="24"/>
          <w:szCs w:val="24"/>
          <w:highlight w:val="none"/>
        </w:rPr>
        <w:t>和有效存续的</w:t>
      </w:r>
      <w:r>
        <w:rPr>
          <w:rFonts w:hint="eastAsia" w:ascii="Times New Roman" w:hAnsi="Times New Roman" w:eastAsia="方正仿宋_GBK"/>
          <w:caps w:val="0"/>
          <w:smallCaps w:val="0"/>
          <w:color w:val="auto"/>
          <w:kern w:val="2"/>
          <w:sz w:val="24"/>
          <w:szCs w:val="24"/>
          <w:highlight w:val="none"/>
        </w:rPr>
        <w:t>公司。</w:t>
      </w:r>
    </w:p>
    <w:p w14:paraId="63ADCA1E">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（2）</w:t>
      </w:r>
      <w:r>
        <w:rPr>
          <w:rFonts w:hint="default" w:ascii="Times New Roman" w:hAnsi="Times New Roman" w:eastAsia="方正仿宋_GBK"/>
          <w:caps w:val="0"/>
          <w:smallCaps w:val="0"/>
          <w:color w:val="auto"/>
          <w:kern w:val="2"/>
          <w:sz w:val="24"/>
          <w:szCs w:val="24"/>
          <w:highlight w:val="none"/>
        </w:rPr>
        <w:t>乙方已根据</w:t>
      </w:r>
      <w:r>
        <w:rPr>
          <w:rFonts w:hint="eastAsia" w:ascii="Times New Roman" w:hAnsi="Times New Roman" w:eastAsia="方正仿宋_GBK"/>
          <w:caps w:val="0"/>
          <w:smallCaps w:val="0"/>
          <w:color w:val="auto"/>
          <w:kern w:val="2"/>
          <w:sz w:val="24"/>
          <w:szCs w:val="24"/>
          <w:highlight w:val="none"/>
        </w:rPr>
        <w:t>适用法律</w:t>
      </w:r>
      <w:r>
        <w:rPr>
          <w:rFonts w:hint="default" w:ascii="Times New Roman" w:hAnsi="Times New Roman" w:eastAsia="方正仿宋_GBK"/>
          <w:caps w:val="0"/>
          <w:smallCaps w:val="0"/>
          <w:color w:val="auto"/>
          <w:kern w:val="2"/>
          <w:sz w:val="24"/>
          <w:szCs w:val="24"/>
          <w:highlight w:val="none"/>
        </w:rPr>
        <w:t>和公司章程的规定取得</w:t>
      </w:r>
      <w:r>
        <w:rPr>
          <w:rFonts w:hint="eastAsia" w:ascii="Times New Roman" w:hAnsi="Times New Roman" w:eastAsia="方正仿宋_GBK"/>
          <w:caps w:val="0"/>
          <w:smallCaps w:val="0"/>
          <w:color w:val="auto"/>
          <w:kern w:val="2"/>
          <w:sz w:val="24"/>
          <w:szCs w:val="24"/>
          <w:highlight w:val="none"/>
        </w:rPr>
        <w:t>签订和履行</w:t>
      </w:r>
      <w:r>
        <w:rPr>
          <w:rFonts w:hint="default" w:ascii="Times New Roman" w:hAnsi="Times New Roman" w:eastAsia="方正仿宋_GBK"/>
          <w:caps w:val="0"/>
          <w:smallCaps w:val="0"/>
          <w:color w:val="auto"/>
          <w:kern w:val="2"/>
          <w:sz w:val="24"/>
          <w:szCs w:val="24"/>
          <w:highlight w:val="none"/>
        </w:rPr>
        <w:t>本</w:t>
      </w:r>
      <w:r>
        <w:rPr>
          <w:rFonts w:hint="eastAsia" w:ascii="Times New Roman" w:hAnsi="Times New Roman" w:eastAsia="方正仿宋_GBK"/>
          <w:caps w:val="0"/>
          <w:smallCaps w:val="0"/>
          <w:color w:val="auto"/>
          <w:kern w:val="2"/>
          <w:sz w:val="24"/>
          <w:szCs w:val="24"/>
          <w:highlight w:val="none"/>
        </w:rPr>
        <w:t>协议所需的一切同意与批准。</w:t>
      </w:r>
      <w:r>
        <w:rPr>
          <w:rFonts w:hint="default" w:ascii="Times New Roman" w:hAnsi="Times New Roman" w:eastAsia="方正仿宋_GBK"/>
          <w:caps w:val="0"/>
          <w:smallCaps w:val="0"/>
          <w:color w:val="auto"/>
          <w:kern w:val="2"/>
          <w:sz w:val="24"/>
          <w:szCs w:val="24"/>
          <w:highlight w:val="none"/>
        </w:rPr>
        <w:t>本</w:t>
      </w:r>
      <w:r>
        <w:rPr>
          <w:rFonts w:hint="eastAsia" w:ascii="Times New Roman" w:hAnsi="Times New Roman" w:eastAsia="方正仿宋_GBK"/>
          <w:caps w:val="0"/>
          <w:smallCaps w:val="0"/>
          <w:color w:val="auto"/>
          <w:kern w:val="2"/>
          <w:sz w:val="24"/>
          <w:szCs w:val="24"/>
          <w:highlight w:val="none"/>
        </w:rPr>
        <w:t>协议</w:t>
      </w:r>
      <w:r>
        <w:rPr>
          <w:rFonts w:hint="default" w:ascii="Times New Roman" w:hAnsi="Times New Roman" w:eastAsia="方正仿宋_GBK"/>
          <w:caps w:val="0"/>
          <w:smallCaps w:val="0"/>
          <w:color w:val="auto"/>
          <w:kern w:val="2"/>
          <w:sz w:val="24"/>
          <w:szCs w:val="24"/>
          <w:highlight w:val="none"/>
        </w:rPr>
        <w:t>一经签订，即对乙方具有完全的法律约束力，签</w:t>
      </w:r>
      <w:r>
        <w:rPr>
          <w:rFonts w:hint="eastAsia" w:ascii="Times New Roman" w:hAnsi="Times New Roman" w:eastAsia="方正仿宋_GBK"/>
          <w:caps w:val="0"/>
          <w:smallCaps w:val="0"/>
          <w:color w:val="auto"/>
          <w:kern w:val="2"/>
          <w:sz w:val="24"/>
          <w:szCs w:val="24"/>
          <w:highlight w:val="none"/>
        </w:rPr>
        <w:t>订和履行本协议不会导致乙方违反适用法律、行政决定、生效判决或裁决的强制性规定，也不会导致乙方违反公司章程的约定和股东会、董事会决议，不会违反乙方与第三方合同的条款、条件和承诺，也不会引致任何利益冲突。</w:t>
      </w:r>
    </w:p>
    <w:p w14:paraId="763EA754">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（3）</w:t>
      </w:r>
      <w:r>
        <w:rPr>
          <w:rFonts w:hint="eastAsia" w:ascii="Times New Roman" w:hAnsi="Times New Roman" w:eastAsia="方正仿宋_GBK" w:cs="仿宋"/>
          <w:bCs/>
          <w:caps w:val="0"/>
          <w:smallCaps w:val="0"/>
          <w:color w:val="auto"/>
          <w:kern w:val="2"/>
          <w:sz w:val="24"/>
          <w:szCs w:val="24"/>
          <w:highlight w:val="none"/>
        </w:rPr>
        <w:t>乙</w:t>
      </w:r>
      <w:r>
        <w:rPr>
          <w:rFonts w:hint="eastAsia" w:ascii="Times New Roman" w:hAnsi="Times New Roman" w:eastAsia="方正仿宋_GBK"/>
          <w:caps w:val="0"/>
          <w:smallCaps w:val="0"/>
          <w:color w:val="auto"/>
          <w:kern w:val="2"/>
          <w:sz w:val="24"/>
          <w:szCs w:val="24"/>
          <w:highlight w:val="none"/>
        </w:rPr>
        <w:t>方已完全独立并尽合理审慎地研究和评估了招标文件提供的参考性技术资料，并基于其对</w:t>
      </w:r>
      <w:r>
        <w:rPr>
          <w:rFonts w:hint="default" w:ascii="Times New Roman" w:hAnsi="Times New Roman" w:eastAsia="方正仿宋_GBK" w:cs="Times New Roman"/>
          <w:caps w:val="0"/>
          <w:smallCaps w:val="0"/>
          <w:color w:val="auto"/>
          <w:kern w:val="2"/>
          <w:sz w:val="24"/>
          <w:szCs w:val="24"/>
          <w:highlight w:val="none"/>
        </w:rPr>
        <w:t>项目</w:t>
      </w:r>
      <w:r>
        <w:rPr>
          <w:rFonts w:hint="eastAsia" w:ascii="Times New Roman" w:hAnsi="Times New Roman" w:eastAsia="方正仿宋_GBK"/>
          <w:caps w:val="0"/>
          <w:smallCaps w:val="0"/>
          <w:color w:val="auto"/>
          <w:kern w:val="2"/>
          <w:sz w:val="24"/>
          <w:szCs w:val="24"/>
          <w:highlight w:val="none"/>
          <w:lang w:val="en-US" w:eastAsia="zh-CN"/>
        </w:rPr>
        <w:t>资产清单及现状的充分了解</w:t>
      </w:r>
      <w:r>
        <w:rPr>
          <w:rFonts w:hint="eastAsia" w:ascii="Times New Roman" w:hAnsi="Times New Roman" w:eastAsia="方正仿宋_GBK"/>
          <w:caps w:val="0"/>
          <w:smallCaps w:val="0"/>
          <w:color w:val="auto"/>
          <w:kern w:val="2"/>
          <w:sz w:val="24"/>
          <w:szCs w:val="24"/>
          <w:highlight w:val="none"/>
        </w:rPr>
        <w:t>、预测的未来</w:t>
      </w:r>
      <w:r>
        <w:rPr>
          <w:rFonts w:hint="eastAsia" w:ascii="Times New Roman" w:hAnsi="Times New Roman" w:eastAsia="方正仿宋_GBK"/>
          <w:caps w:val="0"/>
          <w:smallCaps w:val="0"/>
          <w:color w:val="auto"/>
          <w:kern w:val="2"/>
          <w:sz w:val="24"/>
          <w:szCs w:val="24"/>
          <w:highlight w:val="none"/>
          <w:lang w:val="en-US" w:eastAsia="zh-CN"/>
        </w:rPr>
        <w:t>污水处理量</w:t>
      </w:r>
      <w:r>
        <w:rPr>
          <w:rFonts w:hint="eastAsia" w:ascii="Times New Roman" w:hAnsi="Times New Roman" w:eastAsia="方正仿宋_GBK"/>
          <w:caps w:val="0"/>
          <w:smallCaps w:val="0"/>
          <w:color w:val="auto"/>
          <w:kern w:val="2"/>
          <w:sz w:val="24"/>
          <w:szCs w:val="24"/>
          <w:highlight w:val="none"/>
        </w:rPr>
        <w:t>和市场等数据作出的独立判断签署本协议。</w:t>
      </w:r>
    </w:p>
    <w:p w14:paraId="521D440C">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（4）</w:t>
      </w:r>
      <w:r>
        <w:rPr>
          <w:rFonts w:hint="default" w:ascii="Times New Roman" w:hAnsi="Times New Roman" w:eastAsia="方正仿宋_GBK"/>
          <w:caps w:val="0"/>
          <w:smallCaps w:val="0"/>
          <w:color w:val="auto"/>
          <w:kern w:val="2"/>
          <w:sz w:val="24"/>
          <w:szCs w:val="24"/>
          <w:highlight w:val="none"/>
        </w:rPr>
        <w:t>乙方具有</w:t>
      </w:r>
      <w:r>
        <w:rPr>
          <w:rFonts w:hint="default" w:ascii="Times New Roman" w:hAnsi="Times New Roman" w:eastAsia="方正仿宋_GBK" w:cs="Times New Roman"/>
          <w:caps w:val="0"/>
          <w:smallCaps w:val="0"/>
          <w:color w:val="auto"/>
          <w:kern w:val="2"/>
          <w:sz w:val="24"/>
          <w:szCs w:val="24"/>
          <w:highlight w:val="none"/>
        </w:rPr>
        <w:t>从事</w:t>
      </w:r>
      <w:r>
        <w:rPr>
          <w:rFonts w:hint="default" w:ascii="Times New Roman" w:hAnsi="Times New Roman" w:eastAsia="方正仿宋_GBK"/>
          <w:caps w:val="0"/>
          <w:smallCaps w:val="0"/>
          <w:color w:val="auto"/>
          <w:kern w:val="2"/>
          <w:sz w:val="24"/>
          <w:szCs w:val="24"/>
          <w:highlight w:val="none"/>
        </w:rPr>
        <w:t>本项目投资、融资、运营和维护</w:t>
      </w:r>
      <w:r>
        <w:rPr>
          <w:rFonts w:hint="eastAsia" w:ascii="Times New Roman" w:hAnsi="Times New Roman" w:eastAsia="方正仿宋_GBK"/>
          <w:caps w:val="0"/>
          <w:smallCaps w:val="0"/>
          <w:color w:val="auto"/>
          <w:kern w:val="2"/>
          <w:sz w:val="24"/>
          <w:szCs w:val="24"/>
          <w:highlight w:val="none"/>
        </w:rPr>
        <w:t>的条件和能力，</w:t>
      </w:r>
      <w:r>
        <w:rPr>
          <w:rFonts w:hint="default" w:ascii="Times New Roman" w:hAnsi="Times New Roman" w:eastAsia="方正仿宋_GBK" w:cs="Arial"/>
          <w:caps w:val="0"/>
          <w:smallCaps w:val="0"/>
          <w:color w:val="auto"/>
          <w:kern w:val="2"/>
          <w:sz w:val="24"/>
          <w:szCs w:val="24"/>
          <w:highlight w:val="none"/>
        </w:rPr>
        <w:t>在特许经营者选择过程中提供的</w:t>
      </w:r>
      <w:r>
        <w:rPr>
          <w:rFonts w:hint="eastAsia" w:ascii="Times New Roman" w:hAnsi="Times New Roman" w:eastAsia="方正仿宋_GBK" w:cs="Arial"/>
          <w:caps w:val="0"/>
          <w:smallCaps w:val="0"/>
          <w:color w:val="auto"/>
          <w:kern w:val="2"/>
          <w:sz w:val="24"/>
          <w:szCs w:val="24"/>
          <w:highlight w:val="none"/>
          <w:lang w:val="en-US" w:eastAsia="zh-CN"/>
        </w:rPr>
        <w:t>资金实力</w:t>
      </w:r>
      <w:r>
        <w:rPr>
          <w:rFonts w:hint="default" w:ascii="Times New Roman" w:hAnsi="Times New Roman" w:eastAsia="方正仿宋_GBK" w:cs="Arial"/>
          <w:caps w:val="0"/>
          <w:smallCaps w:val="0"/>
          <w:color w:val="auto"/>
          <w:kern w:val="2"/>
          <w:sz w:val="24"/>
          <w:szCs w:val="24"/>
          <w:highlight w:val="none"/>
        </w:rPr>
        <w:t>、专业运营能力、企业综合实力、信用状况等方面情况真实、准确、完整</w:t>
      </w:r>
      <w:r>
        <w:rPr>
          <w:rFonts w:hint="eastAsia" w:ascii="Times New Roman" w:hAnsi="Times New Roman" w:eastAsia="方正仿宋_GBK"/>
          <w:caps w:val="0"/>
          <w:smallCaps w:val="0"/>
          <w:color w:val="auto"/>
          <w:kern w:val="2"/>
          <w:sz w:val="24"/>
          <w:szCs w:val="24"/>
          <w:highlight w:val="none"/>
        </w:rPr>
        <w:t>。</w:t>
      </w:r>
    </w:p>
    <w:p w14:paraId="4D10FDF7">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（5）</w:t>
      </w:r>
      <w:r>
        <w:rPr>
          <w:rFonts w:hint="eastAsia" w:ascii="Times New Roman" w:hAnsi="Times New Roman" w:eastAsia="方正仿宋_GBK"/>
          <w:caps w:val="0"/>
          <w:smallCaps w:val="0"/>
          <w:color w:val="auto"/>
          <w:kern w:val="2"/>
          <w:sz w:val="24"/>
          <w:szCs w:val="24"/>
          <w:highlight w:val="none"/>
        </w:rPr>
        <w:t>乙方承诺</w:t>
      </w:r>
      <w:r>
        <w:rPr>
          <w:rFonts w:hint="default" w:ascii="Times New Roman" w:hAnsi="Times New Roman" w:eastAsia="方正仿宋_GBK"/>
          <w:caps w:val="0"/>
          <w:smallCaps w:val="0"/>
          <w:color w:val="auto"/>
          <w:kern w:val="2"/>
          <w:sz w:val="24"/>
          <w:szCs w:val="24"/>
          <w:highlight w:val="none"/>
        </w:rPr>
        <w:t>所声明</w:t>
      </w:r>
      <w:r>
        <w:rPr>
          <w:rFonts w:hint="eastAsia" w:ascii="Times New Roman" w:hAnsi="Times New Roman" w:eastAsia="方正仿宋_GBK"/>
          <w:caps w:val="0"/>
          <w:smallCaps w:val="0"/>
          <w:color w:val="auto"/>
          <w:kern w:val="2"/>
          <w:sz w:val="24"/>
          <w:szCs w:val="24"/>
          <w:highlight w:val="none"/>
        </w:rPr>
        <w:t>和保证</w:t>
      </w:r>
      <w:r>
        <w:rPr>
          <w:rFonts w:hint="default" w:ascii="Times New Roman" w:hAnsi="Times New Roman" w:eastAsia="方正仿宋_GBK"/>
          <w:caps w:val="0"/>
          <w:smallCaps w:val="0"/>
          <w:color w:val="auto"/>
          <w:kern w:val="2"/>
          <w:sz w:val="24"/>
          <w:szCs w:val="24"/>
          <w:highlight w:val="none"/>
        </w:rPr>
        <w:t>内容真实、准确、完整</w:t>
      </w:r>
      <w:r>
        <w:rPr>
          <w:rFonts w:hint="eastAsia" w:ascii="Times New Roman" w:hAnsi="Times New Roman" w:eastAsia="方正仿宋_GBK"/>
          <w:caps w:val="0"/>
          <w:smallCaps w:val="0"/>
          <w:color w:val="auto"/>
          <w:kern w:val="2"/>
          <w:sz w:val="24"/>
          <w:szCs w:val="24"/>
          <w:highlight w:val="none"/>
        </w:rPr>
        <w:t>。</w:t>
      </w:r>
    </w:p>
    <w:p w14:paraId="6A9F2B63">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（6）乙方</w:t>
      </w:r>
      <w:r>
        <w:rPr>
          <w:rFonts w:hint="eastAsia" w:ascii="Times New Roman" w:hAnsi="Times New Roman" w:eastAsia="方正仿宋_GBK"/>
          <w:caps w:val="0"/>
          <w:smallCaps w:val="0"/>
          <w:color w:val="auto"/>
          <w:kern w:val="2"/>
          <w:sz w:val="24"/>
          <w:szCs w:val="24"/>
          <w:highlight w:val="none"/>
        </w:rPr>
        <w:t>自愿按本协议约定支付特许经营权转让费</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承担运营责任、接受绩效考核，承诺全程合规运营、保障水质稳定达标</w:t>
      </w:r>
      <w:r>
        <w:rPr>
          <w:rFonts w:hint="eastAsia" w:ascii="Times New Roman" w:hAnsi="Times New Roman" w:eastAsia="方正仿宋_GBK"/>
          <w:caps w:val="0"/>
          <w:smallCaps w:val="0"/>
          <w:color w:val="auto"/>
          <w:kern w:val="2"/>
          <w:sz w:val="24"/>
          <w:szCs w:val="24"/>
          <w:highlight w:val="none"/>
          <w:lang w:val="en-US" w:eastAsia="zh-CN"/>
        </w:rPr>
        <w:t>排放。</w:t>
      </w:r>
    </w:p>
    <w:p w14:paraId="454F78C4">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（7）</w:t>
      </w:r>
      <w:r>
        <w:rPr>
          <w:rFonts w:hint="default" w:ascii="Times New Roman" w:hAnsi="Times New Roman" w:eastAsia="方正仿宋_GBK"/>
          <w:caps w:val="0"/>
          <w:smallCaps w:val="0"/>
          <w:color w:val="auto"/>
          <w:kern w:val="2"/>
          <w:sz w:val="24"/>
          <w:szCs w:val="24"/>
          <w:highlight w:val="none"/>
        </w:rPr>
        <w:t>如果乙方在此所作的声明被证实在作出时存在实质方面的不属实，或在此所作出的保证在未来无法实现</w:t>
      </w:r>
      <w:r>
        <w:rPr>
          <w:rFonts w:hint="eastAsia" w:ascii="Times New Roman" w:hAnsi="Times New Roman" w:eastAsia="方正仿宋_GBK"/>
          <w:caps w:val="0"/>
          <w:smallCaps w:val="0"/>
          <w:color w:val="auto"/>
          <w:kern w:val="2"/>
          <w:sz w:val="24"/>
          <w:szCs w:val="24"/>
          <w:highlight w:val="none"/>
        </w:rPr>
        <w:t>并且该等不属实声明</w:t>
      </w:r>
      <w:r>
        <w:rPr>
          <w:rFonts w:hint="default" w:ascii="Times New Roman" w:hAnsi="Times New Roman" w:eastAsia="方正仿宋_GBK"/>
          <w:caps w:val="0"/>
          <w:smallCaps w:val="0"/>
          <w:color w:val="auto"/>
          <w:kern w:val="2"/>
          <w:sz w:val="24"/>
          <w:szCs w:val="24"/>
          <w:highlight w:val="none"/>
        </w:rPr>
        <w:t>和不能实现的保证</w:t>
      </w:r>
      <w:r>
        <w:rPr>
          <w:rFonts w:hint="eastAsia" w:ascii="Times New Roman" w:hAnsi="Times New Roman" w:eastAsia="方正仿宋_GBK"/>
          <w:caps w:val="0"/>
          <w:smallCaps w:val="0"/>
          <w:color w:val="auto"/>
          <w:kern w:val="2"/>
          <w:sz w:val="24"/>
          <w:szCs w:val="24"/>
          <w:highlight w:val="none"/>
        </w:rPr>
        <w:t>严重影响</w:t>
      </w:r>
      <w:r>
        <w:rPr>
          <w:rFonts w:hint="default" w:ascii="Times New Roman" w:hAnsi="Times New Roman" w:eastAsia="方正仿宋_GBK"/>
          <w:caps w:val="0"/>
          <w:smallCaps w:val="0"/>
          <w:color w:val="auto"/>
          <w:kern w:val="2"/>
          <w:sz w:val="24"/>
          <w:szCs w:val="24"/>
          <w:highlight w:val="none"/>
        </w:rPr>
        <w:t>本协议项下的</w:t>
      </w:r>
      <w:r>
        <w:rPr>
          <w:rFonts w:hint="eastAsia" w:ascii="Times New Roman" w:hAnsi="Times New Roman" w:eastAsia="方正仿宋_GBK"/>
          <w:caps w:val="0"/>
          <w:smallCaps w:val="0"/>
          <w:color w:val="auto"/>
          <w:kern w:val="2"/>
          <w:sz w:val="24"/>
          <w:szCs w:val="24"/>
          <w:highlight w:val="none"/>
        </w:rPr>
        <w:t>项目的顺利进行</w:t>
      </w:r>
      <w:r>
        <w:rPr>
          <w:rFonts w:hint="default" w:ascii="Times New Roman" w:hAnsi="Times New Roman" w:eastAsia="方正仿宋_GBK"/>
          <w:caps w:val="0"/>
          <w:smallCaps w:val="0"/>
          <w:color w:val="auto"/>
          <w:kern w:val="2"/>
          <w:sz w:val="24"/>
          <w:szCs w:val="24"/>
          <w:highlight w:val="none"/>
        </w:rPr>
        <w:t>导致</w:t>
      </w:r>
      <w:r>
        <w:rPr>
          <w:rFonts w:hint="eastAsia" w:ascii="Times New Roman" w:hAnsi="Times New Roman" w:eastAsia="方正仿宋_GBK"/>
          <w:caps w:val="0"/>
          <w:smallCaps w:val="0"/>
          <w:color w:val="auto"/>
          <w:kern w:val="2"/>
          <w:sz w:val="24"/>
          <w:szCs w:val="24"/>
          <w:highlight w:val="none"/>
        </w:rPr>
        <w:t>甲</w:t>
      </w:r>
      <w:r>
        <w:rPr>
          <w:rFonts w:hint="default" w:ascii="Times New Roman" w:hAnsi="Times New Roman" w:eastAsia="方正仿宋_GBK"/>
          <w:caps w:val="0"/>
          <w:smallCaps w:val="0"/>
          <w:color w:val="auto"/>
          <w:kern w:val="2"/>
          <w:sz w:val="24"/>
          <w:szCs w:val="24"/>
          <w:highlight w:val="none"/>
        </w:rPr>
        <w:t>方签订本协议的目的不能实现时</w:t>
      </w:r>
      <w:r>
        <w:rPr>
          <w:rFonts w:hint="eastAsia" w:ascii="Times New Roman" w:hAnsi="Times New Roman" w:eastAsia="方正仿宋_GBK"/>
          <w:caps w:val="0"/>
          <w:smallCaps w:val="0"/>
          <w:color w:val="auto"/>
          <w:kern w:val="2"/>
          <w:sz w:val="24"/>
          <w:szCs w:val="24"/>
          <w:highlight w:val="none"/>
        </w:rPr>
        <w:t>，</w:t>
      </w:r>
      <w:r>
        <w:rPr>
          <w:rFonts w:hint="default" w:ascii="Times New Roman" w:hAnsi="Times New Roman" w:eastAsia="方正仿宋_GBK"/>
          <w:caps w:val="0"/>
          <w:smallCaps w:val="0"/>
          <w:color w:val="auto"/>
          <w:kern w:val="2"/>
          <w:sz w:val="24"/>
          <w:szCs w:val="24"/>
          <w:highlight w:val="none"/>
        </w:rPr>
        <w:t>甲方有权终止本协议。</w:t>
      </w:r>
    </w:p>
    <w:p w14:paraId="03D11E64">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118" w:name="_Toc85012562"/>
      <w:bookmarkStart w:id="119" w:name="_Toc30830"/>
      <w:bookmarkStart w:id="120" w:name="_Toc21311"/>
      <w:r>
        <w:rPr>
          <w:rFonts w:hint="eastAsia" w:ascii="Times New Roman" w:hAnsi="Times New Roman" w:eastAsia="方正黑体_GBK" w:cs="方正黑体_GBK"/>
          <w:bCs/>
          <w:caps w:val="0"/>
          <w:smallCaps w:val="0"/>
          <w:color w:val="auto"/>
          <w:kern w:val="2"/>
          <w:sz w:val="28"/>
          <w:szCs w:val="28"/>
          <w:highlight w:val="none"/>
          <w:lang w:val="en-US" w:eastAsia="zh-CN" w:bidi="ar-SA"/>
        </w:rPr>
        <w:t>第4条 协议生效条件</w:t>
      </w:r>
      <w:bookmarkEnd w:id="118"/>
      <w:bookmarkEnd w:id="119"/>
      <w:bookmarkEnd w:id="120"/>
    </w:p>
    <w:p w14:paraId="05DA378A">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本协议满足以下条件后即生效：</w:t>
      </w:r>
    </w:p>
    <w:p w14:paraId="10CF1304">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1"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本</w:t>
      </w:r>
      <w:r>
        <w:rPr>
          <w:rFonts w:hint="eastAsia" w:ascii="Times New Roman" w:hAnsi="Times New Roman" w:eastAsia="方正仿宋_GBK" w:cs="Times New Roman"/>
          <w:caps w:val="0"/>
          <w:smallCaps w:val="0"/>
          <w:color w:val="auto"/>
          <w:kern w:val="2"/>
          <w:sz w:val="24"/>
          <w:szCs w:val="24"/>
          <w:highlight w:val="none"/>
        </w:rPr>
        <w:t>协议</w:t>
      </w:r>
      <w:r>
        <w:rPr>
          <w:rFonts w:hint="eastAsia" w:ascii="Times New Roman" w:hAnsi="Times New Roman" w:eastAsia="方正仿宋_GBK"/>
          <w:caps w:val="0"/>
          <w:smallCaps w:val="0"/>
          <w:color w:val="auto"/>
          <w:kern w:val="2"/>
          <w:sz w:val="24"/>
          <w:szCs w:val="24"/>
          <w:highlight w:val="none"/>
        </w:rPr>
        <w:t>已经甲、乙</w:t>
      </w:r>
      <w:r>
        <w:rPr>
          <w:rFonts w:hint="default" w:ascii="Times New Roman" w:hAnsi="Times New Roman" w:eastAsia="方正仿宋_GBK"/>
          <w:caps w:val="0"/>
          <w:smallCaps w:val="0"/>
          <w:color w:val="auto"/>
          <w:kern w:val="2"/>
          <w:sz w:val="24"/>
          <w:szCs w:val="24"/>
          <w:highlight w:val="none"/>
        </w:rPr>
        <w:t>双方</w:t>
      </w:r>
      <w:r>
        <w:rPr>
          <w:rFonts w:hint="eastAsia" w:ascii="Times New Roman" w:hAnsi="Times New Roman" w:eastAsia="方正仿宋_GBK"/>
          <w:caps w:val="0"/>
          <w:smallCaps w:val="0"/>
          <w:color w:val="auto"/>
          <w:kern w:val="2"/>
          <w:sz w:val="24"/>
          <w:szCs w:val="24"/>
          <w:highlight w:val="none"/>
        </w:rPr>
        <w:t>法定代表人或授权代表</w:t>
      </w:r>
      <w:r>
        <w:rPr>
          <w:rFonts w:hint="default" w:ascii="Times New Roman" w:hAnsi="Times New Roman" w:eastAsia="方正仿宋_GBK"/>
          <w:caps w:val="0"/>
          <w:smallCaps w:val="0"/>
          <w:color w:val="auto"/>
          <w:kern w:val="2"/>
          <w:sz w:val="24"/>
          <w:szCs w:val="24"/>
          <w:highlight w:val="none"/>
        </w:rPr>
        <w:t>签</w:t>
      </w:r>
      <w:r>
        <w:rPr>
          <w:rFonts w:hint="eastAsia" w:ascii="Times New Roman" w:hAnsi="Times New Roman" w:eastAsia="方正仿宋_GBK"/>
          <w:caps w:val="0"/>
          <w:smallCaps w:val="0"/>
          <w:color w:val="auto"/>
          <w:kern w:val="2"/>
          <w:sz w:val="24"/>
          <w:szCs w:val="24"/>
          <w:highlight w:val="none"/>
        </w:rPr>
        <w:t>名</w:t>
      </w:r>
      <w:r>
        <w:rPr>
          <w:rFonts w:hint="default" w:ascii="Times New Roman" w:hAnsi="Times New Roman" w:eastAsia="方正仿宋_GBK"/>
          <w:caps w:val="0"/>
          <w:smallCaps w:val="0"/>
          <w:color w:val="auto"/>
          <w:kern w:val="2"/>
          <w:sz w:val="24"/>
          <w:szCs w:val="24"/>
          <w:highlight w:val="none"/>
        </w:rPr>
        <w:t>盖章</w:t>
      </w:r>
      <w:r>
        <w:rPr>
          <w:rFonts w:hint="eastAsia" w:ascii="Times New Roman" w:hAnsi="Times New Roman" w:eastAsia="方正仿宋_GBK"/>
          <w:caps w:val="0"/>
          <w:smallCaps w:val="0"/>
          <w:color w:val="auto"/>
          <w:kern w:val="2"/>
          <w:sz w:val="24"/>
          <w:szCs w:val="24"/>
          <w:highlight w:val="none"/>
        </w:rPr>
        <w:t>。</w:t>
      </w:r>
    </w:p>
    <w:p w14:paraId="6F460543">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121" w:name="_Toc20188"/>
      <w:bookmarkStart w:id="122" w:name="_Toc1492560342"/>
      <w:bookmarkStart w:id="123" w:name="_Toc32596"/>
      <w:r>
        <w:rPr>
          <w:rFonts w:hint="eastAsia" w:ascii="Times New Roman" w:hAnsi="Times New Roman" w:eastAsia="方正黑体_GBK" w:cs="方正黑体_GBK"/>
          <w:bCs/>
          <w:caps w:val="0"/>
          <w:smallCaps w:val="0"/>
          <w:color w:val="auto"/>
          <w:kern w:val="2"/>
          <w:sz w:val="28"/>
          <w:szCs w:val="28"/>
          <w:highlight w:val="none"/>
          <w:lang w:val="en-US" w:eastAsia="zh-CN" w:bidi="ar-SA"/>
        </w:rPr>
        <w:t>第5条 协议构成及优先次序</w:t>
      </w:r>
      <w:bookmarkEnd w:id="121"/>
      <w:bookmarkEnd w:id="122"/>
      <w:bookmarkEnd w:id="123"/>
    </w:p>
    <w:p w14:paraId="712A58F4">
      <w:pPr>
        <w:keepNext w:val="0"/>
        <w:keepLines w:val="0"/>
        <w:pageBreakBefore w:val="0"/>
        <w:widowControl w:val="0"/>
        <w:numPr>
          <w:ilvl w:val="2"/>
          <w:numId w:val="0"/>
        </w:numPr>
        <w:kinsoku/>
        <w:wordWrap/>
        <w:overflowPunct/>
        <w:topLinePunct w:val="0"/>
        <w:bidi w:val="0"/>
        <w:adjustRightInd w:val="0"/>
        <w:snapToGrid w:val="0"/>
        <w:spacing w:before="0" w:beforeLines="0" w:beforeAutospacing="0" w:after="0" w:afterLines="0" w:afterAutospacing="0" w:line="360" w:lineRule="auto"/>
        <w:ind w:firstLine="480" w:firstLineChars="200"/>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1.协议</w:t>
      </w:r>
      <w:r>
        <w:rPr>
          <w:rFonts w:ascii="Times New Roman" w:hAnsi="Times New Roman" w:eastAsia="方正仿宋_GBK" w:cs="Times New Roman"/>
          <w:b/>
          <w:caps w:val="0"/>
          <w:smallCaps w:val="0"/>
          <w:color w:val="auto"/>
          <w:kern w:val="2"/>
          <w:sz w:val="24"/>
          <w:szCs w:val="24"/>
          <w:highlight w:val="none"/>
          <w:lang w:val="en-US" w:eastAsia="zh-CN" w:bidi="ar-SA"/>
        </w:rPr>
        <w:t>构成</w:t>
      </w:r>
    </w:p>
    <w:p w14:paraId="2F35D9B4">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1"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rPr>
        <w:t>本协议由以下构成：</w:t>
      </w:r>
    </w:p>
    <w:p w14:paraId="7F164665">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1"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（1）</w:t>
      </w:r>
      <w:r>
        <w:rPr>
          <w:rFonts w:hint="eastAsia" w:ascii="Times New Roman" w:hAnsi="Times New Roman" w:eastAsia="方正仿宋_GBK" w:cs="Times New Roman"/>
          <w:caps w:val="0"/>
          <w:smallCaps w:val="0"/>
          <w:color w:val="auto"/>
          <w:kern w:val="2"/>
          <w:sz w:val="24"/>
          <w:szCs w:val="24"/>
          <w:highlight w:val="none"/>
        </w:rPr>
        <w:t>项目实施过程中形成的本协议的补充协议或变更协议；</w:t>
      </w:r>
    </w:p>
    <w:p w14:paraId="4211AC53">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1"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（2）</w:t>
      </w:r>
      <w:r>
        <w:rPr>
          <w:rFonts w:hint="eastAsia" w:ascii="Times New Roman" w:hAnsi="Times New Roman" w:eastAsia="方正仿宋_GBK" w:cs="Times New Roman"/>
          <w:caps w:val="0"/>
          <w:smallCaps w:val="0"/>
          <w:color w:val="auto"/>
          <w:kern w:val="2"/>
          <w:sz w:val="24"/>
          <w:szCs w:val="24"/>
          <w:highlight w:val="none"/>
        </w:rPr>
        <w:t>本协议正文和附件；</w:t>
      </w:r>
    </w:p>
    <w:p w14:paraId="1AD3555F">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1"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（3）</w:t>
      </w:r>
      <w:r>
        <w:rPr>
          <w:rFonts w:hint="eastAsia" w:ascii="Times New Roman" w:hAnsi="Times New Roman" w:eastAsia="方正仿宋_GBK" w:cs="Times New Roman"/>
          <w:caps w:val="0"/>
          <w:smallCaps w:val="0"/>
          <w:color w:val="auto"/>
          <w:kern w:val="2"/>
          <w:sz w:val="24"/>
          <w:szCs w:val="24"/>
          <w:highlight w:val="none"/>
        </w:rPr>
        <w:t>双方约定的构成本协议组成部分的其他文件。</w:t>
      </w:r>
    </w:p>
    <w:p w14:paraId="48FEBC56">
      <w:pPr>
        <w:keepNext w:val="0"/>
        <w:keepLines w:val="0"/>
        <w:pageBreakBefore w:val="0"/>
        <w:widowControl w:val="0"/>
        <w:numPr>
          <w:ilvl w:val="2"/>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firstLine="480" w:firstLineChars="200"/>
        <w:jc w:val="left"/>
        <w:outlineLvl w:val="2"/>
        <w:rPr>
          <w:rFonts w:hint="default" w:ascii="Times New Roman" w:hAnsi="Times New Roman" w:eastAsia="方正仿宋_GBK"/>
          <w:b/>
          <w:caps w:val="0"/>
          <w:smallCaps w:val="0"/>
          <w:color w:val="auto"/>
          <w:kern w:val="2"/>
          <w:sz w:val="24"/>
          <w:szCs w:val="24"/>
          <w:highlight w:val="none"/>
        </w:rPr>
      </w:pPr>
      <w:r>
        <w:rPr>
          <w:rFonts w:hint="eastAsia" w:ascii="Times New Roman" w:hAnsi="Times New Roman" w:eastAsia="方正仿宋_GBK"/>
          <w:b/>
          <w:caps w:val="0"/>
          <w:smallCaps w:val="0"/>
          <w:color w:val="auto"/>
          <w:kern w:val="2"/>
          <w:sz w:val="24"/>
          <w:szCs w:val="24"/>
          <w:highlight w:val="none"/>
          <w:lang w:val="en-US" w:eastAsia="zh-CN" w:bidi="ar-SA"/>
        </w:rPr>
        <w:t>2.</w:t>
      </w:r>
      <w:r>
        <w:rPr>
          <w:rFonts w:hint="default" w:ascii="Times New Roman" w:hAnsi="Times New Roman" w:eastAsia="方正仿宋_GBK"/>
          <w:b/>
          <w:caps w:val="0"/>
          <w:smallCaps w:val="0"/>
          <w:color w:val="auto"/>
          <w:kern w:val="2"/>
          <w:sz w:val="24"/>
          <w:szCs w:val="24"/>
          <w:highlight w:val="none"/>
        </w:rPr>
        <w:t>优先次序</w:t>
      </w:r>
    </w:p>
    <w:p w14:paraId="15FF963A">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1"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（1）</w:t>
      </w:r>
      <w:r>
        <w:rPr>
          <w:rFonts w:hint="eastAsia" w:ascii="Times New Roman" w:hAnsi="Times New Roman" w:eastAsia="方正仿宋_GBK" w:cs="Times New Roman"/>
          <w:caps w:val="0"/>
          <w:smallCaps w:val="0"/>
          <w:color w:val="auto"/>
          <w:kern w:val="2"/>
          <w:sz w:val="24"/>
          <w:szCs w:val="24"/>
          <w:highlight w:val="none"/>
        </w:rPr>
        <w:t>前款所列文件构成本协议整体，互相补充，若有不明确或不一致之处，以前款所列次序在先者为准。</w:t>
      </w:r>
    </w:p>
    <w:p w14:paraId="0C0D0561">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1"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（2）</w:t>
      </w:r>
      <w:r>
        <w:rPr>
          <w:rFonts w:hint="eastAsia" w:ascii="Times New Roman" w:hAnsi="Times New Roman" w:eastAsia="方正仿宋_GBK" w:cs="Times New Roman"/>
          <w:caps w:val="0"/>
          <w:smallCaps w:val="0"/>
          <w:color w:val="auto"/>
          <w:kern w:val="2"/>
          <w:sz w:val="24"/>
          <w:szCs w:val="24"/>
          <w:highlight w:val="none"/>
        </w:rPr>
        <w:t>同一顺序中的文件有不同约定的，以日期在后的文件为准。但甲、乙双方另有约定的除外。</w:t>
      </w:r>
    </w:p>
    <w:p w14:paraId="39BCBB9F">
      <w:pPr>
        <w:keepNext w:val="0"/>
        <w:keepLines w:val="0"/>
        <w:pageBreakBefore w:val="0"/>
        <w:widowControl w:val="0"/>
        <w:numPr>
          <w:ilvl w:val="2"/>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firstLine="480" w:firstLineChars="200"/>
        <w:jc w:val="left"/>
        <w:outlineLvl w:val="2"/>
        <w:rPr>
          <w:rFonts w:hint="default" w:ascii="Times New Roman" w:hAnsi="Times New Roman" w:eastAsia="方正仿宋_GBK"/>
          <w:b/>
          <w:bCs/>
          <w:caps w:val="0"/>
          <w:smallCaps w:val="0"/>
          <w:color w:val="auto"/>
          <w:kern w:val="2"/>
          <w:sz w:val="24"/>
          <w:szCs w:val="24"/>
          <w:highlight w:val="none"/>
        </w:rPr>
      </w:pPr>
      <w:r>
        <w:rPr>
          <w:rFonts w:hint="eastAsia" w:ascii="Times New Roman" w:hAnsi="Times New Roman" w:eastAsia="方正仿宋_GBK"/>
          <w:b/>
          <w:bCs/>
          <w:caps w:val="0"/>
          <w:smallCaps w:val="0"/>
          <w:color w:val="auto"/>
          <w:kern w:val="2"/>
          <w:sz w:val="24"/>
          <w:szCs w:val="24"/>
          <w:highlight w:val="none"/>
          <w:lang w:val="en-US" w:eastAsia="zh-CN" w:bidi="ar-SA"/>
        </w:rPr>
        <w:t>3.</w:t>
      </w:r>
      <w:r>
        <w:rPr>
          <w:rFonts w:hint="eastAsia" w:ascii="Times New Roman" w:hAnsi="Times New Roman" w:eastAsia="方正仿宋_GBK"/>
          <w:b/>
          <w:bCs/>
          <w:caps w:val="0"/>
          <w:smallCaps w:val="0"/>
          <w:color w:val="auto"/>
          <w:kern w:val="2"/>
          <w:sz w:val="24"/>
          <w:szCs w:val="24"/>
          <w:highlight w:val="none"/>
        </w:rPr>
        <w:t>协议附录</w:t>
      </w:r>
    </w:p>
    <w:p w14:paraId="5F2FE156">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jc w:val="left"/>
        <w:rPr>
          <w:rFonts w:ascii="Times New Roman" w:hAnsi="Times New Roman" w:eastAsia="方正仿宋_GBK" w:cs="Times New Roman"/>
          <w:caps w:val="0"/>
          <w:smallCaps w:val="0"/>
          <w:color w:val="auto"/>
          <w:kern w:val="2"/>
          <w:sz w:val="24"/>
          <w:szCs w:val="24"/>
          <w:highlight w:val="none"/>
          <w:lang w:val="en-US" w:eastAsia="zh-CN" w:bidi="ar-SA"/>
        </w:rPr>
      </w:pPr>
      <w:r>
        <w:rPr>
          <w:rFonts w:hint="eastAsia" w:ascii="Times New Roman" w:hAnsi="Times New Roman" w:eastAsia="方正仿宋_GBK" w:cs="Times New Roman"/>
          <w:caps w:val="0"/>
          <w:smallCaps w:val="0"/>
          <w:color w:val="auto"/>
          <w:kern w:val="2"/>
          <w:sz w:val="24"/>
          <w:szCs w:val="24"/>
          <w:highlight w:val="none"/>
          <w:lang w:val="en-US" w:eastAsia="zh-CN" w:bidi="ar-SA"/>
        </w:rPr>
        <w:t>达成本协议过程中形成的以下附录，用于需要对本协议条款释义时参考：</w:t>
      </w:r>
    </w:p>
    <w:p w14:paraId="468A4991">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1" w:firstLine="567" w:firstLineChars="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（1）</w:t>
      </w:r>
      <w:r>
        <w:rPr>
          <w:rFonts w:hint="eastAsia" w:ascii="Times New Roman" w:hAnsi="Times New Roman" w:eastAsia="方正仿宋_GBK"/>
          <w:caps w:val="0"/>
          <w:smallCaps w:val="0"/>
          <w:color w:val="auto"/>
          <w:kern w:val="2"/>
          <w:sz w:val="24"/>
          <w:szCs w:val="24"/>
          <w:highlight w:val="none"/>
        </w:rPr>
        <w:t>甲方与特许经营者签署的初步协议</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设立项目公司情形</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w:t>
      </w:r>
    </w:p>
    <w:p w14:paraId="5F7D5C52">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1" w:firstLine="567" w:firstLineChars="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（2）</w:t>
      </w:r>
      <w:r>
        <w:rPr>
          <w:rFonts w:hint="eastAsia" w:ascii="Times New Roman" w:hAnsi="Times New Roman" w:eastAsia="方正仿宋_GBK"/>
          <w:caps w:val="0"/>
          <w:smallCaps w:val="0"/>
          <w:color w:val="auto"/>
          <w:kern w:val="2"/>
          <w:sz w:val="24"/>
          <w:szCs w:val="24"/>
          <w:highlight w:val="none"/>
        </w:rPr>
        <w:t>特许经营者获得的</w:t>
      </w:r>
      <w:r>
        <w:rPr>
          <w:rFonts w:hint="default" w:ascii="Times New Roman" w:hAnsi="Times New Roman" w:eastAsia="方正仿宋_GBK"/>
          <w:caps w:val="0"/>
          <w:smallCaps w:val="0"/>
          <w:color w:val="auto"/>
          <w:kern w:val="2"/>
          <w:sz w:val="24"/>
          <w:szCs w:val="24"/>
          <w:highlight w:val="none"/>
        </w:rPr>
        <w:t>中标</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或中选</w:t>
      </w:r>
      <w:r>
        <w:rPr>
          <w:rFonts w:hint="eastAsia" w:ascii="Times New Roman" w:hAnsi="Times New Roman" w:eastAsia="方正仿宋_GBK"/>
          <w:caps w:val="0"/>
          <w:smallCaps w:val="0"/>
          <w:color w:val="auto"/>
          <w:kern w:val="2"/>
          <w:sz w:val="24"/>
          <w:szCs w:val="24"/>
          <w:highlight w:val="none"/>
          <w:lang w:eastAsia="zh-CN"/>
        </w:rPr>
        <w:t>、成交等）</w:t>
      </w:r>
      <w:r>
        <w:rPr>
          <w:rFonts w:hint="default" w:ascii="Times New Roman" w:hAnsi="Times New Roman" w:eastAsia="方正仿宋_GBK"/>
          <w:caps w:val="0"/>
          <w:smallCaps w:val="0"/>
          <w:color w:val="auto"/>
          <w:kern w:val="2"/>
          <w:sz w:val="24"/>
          <w:szCs w:val="24"/>
          <w:highlight w:val="none"/>
        </w:rPr>
        <w:t>通知书；</w:t>
      </w:r>
    </w:p>
    <w:p w14:paraId="74BF9FA7">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1" w:firstLine="567" w:firstLineChars="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（3）</w:t>
      </w:r>
      <w:r>
        <w:rPr>
          <w:rFonts w:hint="eastAsia" w:ascii="Times New Roman" w:hAnsi="Times New Roman" w:eastAsia="方正仿宋_GBK"/>
          <w:caps w:val="0"/>
          <w:smallCaps w:val="0"/>
          <w:color w:val="auto"/>
          <w:kern w:val="2"/>
          <w:sz w:val="24"/>
          <w:szCs w:val="24"/>
          <w:highlight w:val="none"/>
        </w:rPr>
        <w:t>双方在本协议谈判阶段签署的备忘录或共同确认的会议纪要中未纳入本协议的内容；</w:t>
      </w:r>
    </w:p>
    <w:p w14:paraId="4E9A7983">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1" w:firstLine="567" w:firstLineChars="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（4）</w:t>
      </w:r>
      <w:r>
        <w:rPr>
          <w:rFonts w:hint="eastAsia" w:ascii="Times New Roman" w:hAnsi="Times New Roman" w:eastAsia="方正仿宋_GBK"/>
          <w:caps w:val="0"/>
          <w:smallCaps w:val="0"/>
          <w:color w:val="auto"/>
          <w:kern w:val="2"/>
          <w:sz w:val="24"/>
          <w:szCs w:val="24"/>
          <w:highlight w:val="none"/>
        </w:rPr>
        <w:t>特许经营者的</w:t>
      </w:r>
      <w:r>
        <w:rPr>
          <w:rFonts w:hint="default" w:ascii="Times New Roman" w:hAnsi="Times New Roman" w:eastAsia="方正仿宋_GBK"/>
          <w:caps w:val="0"/>
          <w:smallCaps w:val="0"/>
          <w:color w:val="auto"/>
          <w:kern w:val="2"/>
          <w:sz w:val="24"/>
          <w:szCs w:val="24"/>
          <w:highlight w:val="none"/>
        </w:rPr>
        <w:t>投标文件（</w:t>
      </w:r>
      <w:r>
        <w:rPr>
          <w:rFonts w:hint="eastAsia" w:ascii="Times New Roman" w:hAnsi="Times New Roman" w:eastAsia="方正仿宋_GBK"/>
          <w:caps w:val="0"/>
          <w:smallCaps w:val="0"/>
          <w:color w:val="auto"/>
          <w:kern w:val="2"/>
          <w:sz w:val="24"/>
          <w:szCs w:val="24"/>
          <w:highlight w:val="none"/>
        </w:rPr>
        <w:t>包括</w:t>
      </w:r>
      <w:r>
        <w:rPr>
          <w:rFonts w:hint="default" w:ascii="Times New Roman" w:hAnsi="Times New Roman" w:eastAsia="方正仿宋_GBK"/>
          <w:caps w:val="0"/>
          <w:smallCaps w:val="0"/>
          <w:color w:val="auto"/>
          <w:kern w:val="2"/>
          <w:sz w:val="24"/>
          <w:szCs w:val="24"/>
          <w:highlight w:val="none"/>
        </w:rPr>
        <w:t>投标人在评标期间递交和确认并经招标人同意的对有关问题的补充资料和澄清文件等，但不包括</w:t>
      </w:r>
      <w:r>
        <w:rPr>
          <w:rFonts w:hint="eastAsia" w:ascii="Times New Roman" w:hAnsi="Times New Roman" w:eastAsia="方正仿宋_GBK"/>
          <w:caps w:val="0"/>
          <w:smallCaps w:val="0"/>
          <w:color w:val="auto"/>
          <w:kern w:val="2"/>
          <w:sz w:val="24"/>
          <w:szCs w:val="24"/>
          <w:highlight w:val="none"/>
        </w:rPr>
        <w:t>未被招标人</w:t>
      </w:r>
      <w:r>
        <w:rPr>
          <w:rFonts w:hint="default" w:ascii="Times New Roman" w:hAnsi="Times New Roman" w:eastAsia="方正仿宋_GBK"/>
          <w:caps w:val="0"/>
          <w:smallCaps w:val="0"/>
          <w:color w:val="auto"/>
          <w:kern w:val="2"/>
          <w:sz w:val="24"/>
          <w:szCs w:val="24"/>
          <w:highlight w:val="none"/>
        </w:rPr>
        <w:t>接受的偏差意见</w:t>
      </w:r>
      <w:r>
        <w:rPr>
          <w:rFonts w:hint="eastAsia" w:ascii="Times New Roman" w:hAnsi="Times New Roman" w:eastAsia="方正仿宋_GBK"/>
          <w:caps w:val="0"/>
          <w:smallCaps w:val="0"/>
          <w:color w:val="auto"/>
          <w:kern w:val="2"/>
          <w:sz w:val="24"/>
          <w:szCs w:val="24"/>
          <w:highlight w:val="none"/>
        </w:rPr>
        <w:t>）</w:t>
      </w:r>
      <w:r>
        <w:rPr>
          <w:rFonts w:hint="default" w:ascii="Times New Roman" w:hAnsi="Times New Roman" w:eastAsia="方正仿宋_GBK"/>
          <w:caps w:val="0"/>
          <w:smallCaps w:val="0"/>
          <w:color w:val="auto"/>
          <w:kern w:val="2"/>
          <w:sz w:val="24"/>
          <w:szCs w:val="24"/>
          <w:highlight w:val="none"/>
        </w:rPr>
        <w:t>；</w:t>
      </w:r>
    </w:p>
    <w:p w14:paraId="376CD9D0">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1" w:firstLine="567" w:firstLineChars="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（5）</w:t>
      </w:r>
      <w:r>
        <w:rPr>
          <w:rFonts w:hint="default" w:ascii="Times New Roman" w:hAnsi="Times New Roman" w:eastAsia="方正仿宋_GBK"/>
          <w:caps w:val="0"/>
          <w:smallCaps w:val="0"/>
          <w:color w:val="auto"/>
          <w:kern w:val="2"/>
          <w:sz w:val="24"/>
          <w:szCs w:val="24"/>
          <w:highlight w:val="none"/>
        </w:rPr>
        <w:t>招标文件（含招标文件补充文件）</w:t>
      </w:r>
      <w:r>
        <w:rPr>
          <w:rFonts w:hint="eastAsia" w:ascii="Times New Roman" w:hAnsi="Times New Roman" w:eastAsia="方正仿宋_GBK"/>
          <w:caps w:val="0"/>
          <w:smallCaps w:val="0"/>
          <w:color w:val="auto"/>
          <w:kern w:val="2"/>
          <w:sz w:val="24"/>
          <w:szCs w:val="24"/>
          <w:highlight w:val="none"/>
        </w:rPr>
        <w:t>。</w:t>
      </w:r>
    </w:p>
    <w:p w14:paraId="20C59EC5">
      <w:pPr>
        <w:keepNext w:val="0"/>
        <w:keepLines w:val="0"/>
        <w:pageBreakBefore w:val="0"/>
        <w:widowControl w:val="0"/>
        <w:numPr>
          <w:ilvl w:val="0"/>
          <w:numId w:val="0"/>
        </w:numPr>
        <w:kinsoku/>
        <w:wordWrap/>
        <w:overflowPunct/>
        <w:topLinePunct w:val="0"/>
        <w:bidi w:val="0"/>
        <w:spacing w:before="0" w:beforeAutospacing="0" w:after="0" w:afterAutospacing="0" w:line="360" w:lineRule="auto"/>
        <w:ind w:left="0" w:firstLine="0"/>
        <w:jc w:val="center"/>
        <w:outlineLvl w:val="0"/>
        <w:rPr>
          <w:rFonts w:hint="eastAsia" w:ascii="Times New Roman" w:hAnsi="Times New Roman" w:eastAsia="方正黑体_GBK" w:cs="方正黑体_GBK"/>
          <w:caps w:val="0"/>
          <w:smallCaps w:val="0"/>
          <w:color w:val="auto"/>
          <w:kern w:val="2"/>
          <w:sz w:val="28"/>
          <w:szCs w:val="28"/>
          <w:highlight w:val="none"/>
          <w:lang w:val="en-US" w:eastAsia="zh-CN" w:bidi="ar-SA"/>
        </w:rPr>
      </w:pPr>
      <w:bookmarkStart w:id="124" w:name="_Toc21784"/>
      <w:r>
        <w:rPr>
          <w:rFonts w:hint="eastAsia" w:ascii="Times New Roman" w:hAnsi="Times New Roman" w:eastAsia="方正黑体_GBK" w:cs="方正黑体_GBK"/>
          <w:caps w:val="0"/>
          <w:smallCaps w:val="0"/>
          <w:color w:val="auto"/>
          <w:kern w:val="2"/>
          <w:sz w:val="28"/>
          <w:szCs w:val="28"/>
          <w:highlight w:val="none"/>
          <w:lang w:val="en-US" w:eastAsia="zh-CN" w:bidi="ar-SA"/>
        </w:rPr>
        <w:t xml:space="preserve">第二章 </w:t>
      </w:r>
      <w:bookmarkStart w:id="125" w:name="_Toc2880"/>
      <w:bookmarkStart w:id="126" w:name="_Toc623091333"/>
      <w:r>
        <w:rPr>
          <w:rFonts w:hint="eastAsia" w:ascii="Times New Roman" w:hAnsi="Times New Roman" w:eastAsia="方正黑体_GBK" w:cs="方正黑体_GBK"/>
          <w:caps w:val="0"/>
          <w:smallCaps w:val="0"/>
          <w:color w:val="auto"/>
          <w:kern w:val="2"/>
          <w:sz w:val="28"/>
          <w:szCs w:val="28"/>
          <w:highlight w:val="none"/>
          <w:lang w:val="en-US" w:eastAsia="zh-CN" w:bidi="ar-SA"/>
        </w:rPr>
        <w:t>协议主体及主要权利义务</w:t>
      </w:r>
      <w:bookmarkEnd w:id="124"/>
      <w:bookmarkEnd w:id="125"/>
      <w:bookmarkEnd w:id="126"/>
    </w:p>
    <w:p w14:paraId="090CEE5F">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127" w:name="_Toc8081"/>
      <w:bookmarkStart w:id="128" w:name="_Toc3994"/>
      <w:bookmarkStart w:id="129" w:name="_Toc436282778"/>
      <w:r>
        <w:rPr>
          <w:rFonts w:hint="eastAsia" w:ascii="Times New Roman" w:hAnsi="Times New Roman" w:eastAsia="方正黑体_GBK" w:cs="方正黑体_GBK"/>
          <w:bCs/>
          <w:caps w:val="0"/>
          <w:smallCaps w:val="0"/>
          <w:color w:val="auto"/>
          <w:kern w:val="2"/>
          <w:sz w:val="28"/>
          <w:szCs w:val="28"/>
          <w:highlight w:val="none"/>
          <w:lang w:val="en-US" w:eastAsia="zh-CN" w:bidi="ar-SA"/>
        </w:rPr>
        <w:t>第6条 甲方的主体资格和主要权利义务</w:t>
      </w:r>
      <w:bookmarkEnd w:id="127"/>
      <w:bookmarkEnd w:id="128"/>
      <w:bookmarkEnd w:id="129"/>
    </w:p>
    <w:p w14:paraId="64AE40AF">
      <w:pPr>
        <w:keepNext w:val="0"/>
        <w:keepLines w:val="0"/>
        <w:pageBreakBefore w:val="0"/>
        <w:widowControl w:val="0"/>
        <w:numPr>
          <w:ilvl w:val="2"/>
          <w:numId w:val="0"/>
        </w:numPr>
        <w:kinsoku/>
        <w:wordWrap/>
        <w:overflowPunct/>
        <w:topLinePunct w:val="0"/>
        <w:bidi w:val="0"/>
        <w:adjustRightInd w:val="0"/>
        <w:snapToGrid w:val="0"/>
        <w:spacing w:before="0" w:beforeLines="0" w:beforeAutospacing="0" w:after="0" w:afterLines="0" w:afterAutospacing="0" w:line="360" w:lineRule="auto"/>
        <w:ind w:firstLine="480" w:firstLineChars="200"/>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1.甲方的主体资格</w:t>
      </w:r>
    </w:p>
    <w:p w14:paraId="1610A3DA">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（1）</w:t>
      </w:r>
      <w:r>
        <w:rPr>
          <w:rFonts w:hint="eastAsia" w:ascii="Times New Roman" w:hAnsi="Times New Roman" w:eastAsia="方正仿宋_GBK"/>
          <w:caps w:val="0"/>
          <w:smallCaps w:val="0"/>
          <w:color w:val="auto"/>
          <w:kern w:val="2"/>
          <w:sz w:val="24"/>
          <w:szCs w:val="24"/>
          <w:highlight w:val="none"/>
        </w:rPr>
        <w:t>甲方为本项目的实施机构。</w:t>
      </w:r>
    </w:p>
    <w:p w14:paraId="14691EFB">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（2）</w:t>
      </w:r>
      <w:r>
        <w:rPr>
          <w:rFonts w:hint="eastAsia" w:ascii="Times New Roman" w:hAnsi="Times New Roman" w:eastAsia="方正仿宋_GBK"/>
          <w:caps w:val="0"/>
          <w:smallCaps w:val="0"/>
          <w:color w:val="auto"/>
          <w:kern w:val="2"/>
          <w:sz w:val="24"/>
          <w:szCs w:val="24"/>
          <w:highlight w:val="none"/>
        </w:rPr>
        <w:t>如因行政区划调整或机构调整，甲方被撤销或被合并的，由承继其相关职能的机构或合并后的政府主体完全承继本协议，并继续履行本协议中甲方义务、行使甲方权利。承继甲方职能的机构或政府主体不明确的，应当由政府继续履行甲方义务、行使甲方权利。本协议在前述承继完成之前的履行情况（包括所产生的甲方责任），对承继方具有约束力、并由承继方全部承担。</w:t>
      </w:r>
    </w:p>
    <w:p w14:paraId="0F503DD0">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（3）</w:t>
      </w:r>
      <w:r>
        <w:rPr>
          <w:rFonts w:hint="eastAsia" w:ascii="Times New Roman" w:hAnsi="Times New Roman" w:eastAsia="方正仿宋_GBK"/>
          <w:caps w:val="0"/>
          <w:smallCaps w:val="0"/>
          <w:color w:val="auto"/>
          <w:kern w:val="2"/>
          <w:sz w:val="24"/>
          <w:szCs w:val="24"/>
          <w:highlight w:val="none"/>
        </w:rPr>
        <w:t>甲方基本信息如下：</w:t>
      </w:r>
    </w:p>
    <w:p w14:paraId="30CED6F1">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名称：扬州市江都区住房和城乡建设局</w:t>
      </w:r>
    </w:p>
    <w:p w14:paraId="62A5BEE5">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住所：</w:t>
      </w:r>
      <w:r>
        <w:rPr>
          <w:rFonts w:hint="default" w:ascii="Times New Roman" w:hAnsi="Times New Roman" w:eastAsia="方正仿宋_GBK"/>
          <w:caps w:val="0"/>
          <w:smallCaps w:val="0"/>
          <w:color w:val="auto"/>
          <w:kern w:val="2"/>
          <w:sz w:val="24"/>
          <w:szCs w:val="24"/>
          <w:highlight w:val="none"/>
        </w:rPr>
        <w:t xml:space="preserve">                              </w:t>
      </w:r>
    </w:p>
    <w:p w14:paraId="790358F5">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法定代表人：</w:t>
      </w:r>
      <w:r>
        <w:rPr>
          <w:rFonts w:hint="default" w:ascii="Times New Roman" w:hAnsi="Times New Roman" w:eastAsia="方正仿宋_GBK"/>
          <w:caps w:val="0"/>
          <w:smallCaps w:val="0"/>
          <w:color w:val="auto"/>
          <w:kern w:val="2"/>
          <w:sz w:val="24"/>
          <w:szCs w:val="24"/>
          <w:highlight w:val="none"/>
        </w:rPr>
        <w:t xml:space="preserve">                        </w:t>
      </w:r>
    </w:p>
    <w:p w14:paraId="24E5AF48">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其他信息（或有）：</w:t>
      </w:r>
      <w:r>
        <w:rPr>
          <w:rFonts w:hint="default" w:ascii="Times New Roman" w:hAnsi="Times New Roman" w:eastAsia="方正仿宋_GBK"/>
          <w:caps w:val="0"/>
          <w:smallCaps w:val="0"/>
          <w:color w:val="auto"/>
          <w:kern w:val="2"/>
          <w:sz w:val="24"/>
          <w:szCs w:val="24"/>
          <w:highlight w:val="none"/>
        </w:rPr>
        <w:t xml:space="preserve">      </w:t>
      </w:r>
    </w:p>
    <w:p w14:paraId="7C311801">
      <w:pPr>
        <w:keepNext w:val="0"/>
        <w:keepLines w:val="0"/>
        <w:pageBreakBefore w:val="0"/>
        <w:widowControl w:val="0"/>
        <w:numPr>
          <w:ilvl w:val="2"/>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firstLine="480" w:firstLineChars="200"/>
        <w:jc w:val="left"/>
        <w:outlineLvl w:val="2"/>
        <w:rPr>
          <w:rFonts w:hint="default" w:ascii="Times New Roman" w:hAnsi="Times New Roman" w:eastAsia="方正仿宋_GBK"/>
          <w:b/>
          <w:caps w:val="0"/>
          <w:smallCaps w:val="0"/>
          <w:color w:val="auto"/>
          <w:kern w:val="2"/>
          <w:sz w:val="24"/>
          <w:szCs w:val="24"/>
          <w:highlight w:val="none"/>
        </w:rPr>
      </w:pPr>
      <w:r>
        <w:rPr>
          <w:rFonts w:hint="eastAsia" w:ascii="Times New Roman" w:hAnsi="Times New Roman" w:eastAsia="方正仿宋_GBK"/>
          <w:b/>
          <w:caps w:val="0"/>
          <w:smallCaps w:val="0"/>
          <w:color w:val="auto"/>
          <w:kern w:val="2"/>
          <w:sz w:val="24"/>
          <w:szCs w:val="24"/>
          <w:highlight w:val="none"/>
          <w:lang w:val="en-US" w:eastAsia="zh-CN" w:bidi="ar-SA"/>
        </w:rPr>
        <w:t>2.</w:t>
      </w:r>
      <w:r>
        <w:rPr>
          <w:rFonts w:hint="eastAsia" w:ascii="Times New Roman" w:hAnsi="Times New Roman" w:eastAsia="方正仿宋_GBK"/>
          <w:b/>
          <w:caps w:val="0"/>
          <w:smallCaps w:val="0"/>
          <w:color w:val="auto"/>
          <w:kern w:val="2"/>
          <w:sz w:val="24"/>
          <w:szCs w:val="24"/>
          <w:highlight w:val="none"/>
        </w:rPr>
        <w:t>甲方的主要权利</w:t>
      </w:r>
    </w:p>
    <w:p w14:paraId="63864AD6">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甲方根据适用法律行使政府监管的权力，根据本协议约定行使各项合同权利。甲方的权利包括：</w:t>
      </w:r>
    </w:p>
    <w:p w14:paraId="413726A1">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（1）</w:t>
      </w:r>
      <w:r>
        <w:rPr>
          <w:rFonts w:hint="eastAsia" w:ascii="Times New Roman" w:hAnsi="Times New Roman" w:eastAsia="方正仿宋_GBK"/>
          <w:caps w:val="0"/>
          <w:smallCaps w:val="0"/>
          <w:color w:val="auto"/>
          <w:kern w:val="2"/>
          <w:sz w:val="24"/>
          <w:szCs w:val="24"/>
          <w:highlight w:val="none"/>
        </w:rPr>
        <w:t>对乙方项目投资资金及时足额筹措到位和合理使用政府投资资金（如有）拥有知情、检查、监督等权利。</w:t>
      </w:r>
    </w:p>
    <w:p w14:paraId="4D8BAEAF">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aps w:val="0"/>
          <w:smallCaps w:val="0"/>
          <w:color w:val="auto"/>
          <w:kern w:val="2"/>
          <w:sz w:val="24"/>
          <w:szCs w:val="24"/>
          <w:highlight w:val="none"/>
          <w:lang w:eastAsia="zh-CN"/>
        </w:rPr>
      </w:pP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lang w:val="en-US" w:eastAsia="zh-CN"/>
        </w:rPr>
        <w:t>2</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lang w:val="en-US" w:eastAsia="zh-CN"/>
        </w:rPr>
        <w:t>甲方</w:t>
      </w:r>
      <w:r>
        <w:rPr>
          <w:rFonts w:hint="eastAsia" w:ascii="Times New Roman" w:hAnsi="Times New Roman" w:eastAsia="方正仿宋_GBK"/>
          <w:caps w:val="0"/>
          <w:smallCaps w:val="0"/>
          <w:color w:val="auto"/>
          <w:kern w:val="2"/>
          <w:sz w:val="24"/>
          <w:szCs w:val="24"/>
          <w:highlight w:val="none"/>
          <w:lang w:eastAsia="zh-CN"/>
        </w:rPr>
        <w:t>或其指定的第三方有权进入项目设施，以监督检查项目设施的运营和维护情况、出水达标情况等。</w:t>
      </w:r>
    </w:p>
    <w:p w14:paraId="662276D6">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aps w:val="0"/>
          <w:smallCaps w:val="0"/>
          <w:color w:val="auto"/>
          <w:kern w:val="2"/>
          <w:sz w:val="24"/>
          <w:szCs w:val="24"/>
          <w:highlight w:val="none"/>
          <w:lang w:eastAsia="zh-CN"/>
        </w:rPr>
      </w:pP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lang w:val="en-US" w:eastAsia="zh-CN"/>
        </w:rPr>
        <w:t>3</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lang w:val="en-US" w:eastAsia="zh-CN"/>
        </w:rPr>
        <w:t>甲方</w:t>
      </w:r>
      <w:r>
        <w:rPr>
          <w:rFonts w:hint="eastAsia" w:ascii="Times New Roman" w:hAnsi="Times New Roman" w:eastAsia="方正仿宋_GBK"/>
          <w:caps w:val="0"/>
          <w:smallCaps w:val="0"/>
          <w:color w:val="auto"/>
          <w:kern w:val="2"/>
          <w:sz w:val="24"/>
          <w:szCs w:val="24"/>
          <w:highlight w:val="none"/>
          <w:lang w:eastAsia="zh-CN"/>
        </w:rPr>
        <w:t>自行或指定其他第三方对项目的流量计量、读数、水质、污泥</w:t>
      </w:r>
      <w:r>
        <w:rPr>
          <w:rFonts w:hint="eastAsia" w:ascii="Times New Roman" w:hAnsi="Times New Roman" w:eastAsia="方正仿宋_GBK"/>
          <w:caps w:val="0"/>
          <w:smallCaps w:val="0"/>
          <w:color w:val="auto"/>
          <w:kern w:val="2"/>
          <w:sz w:val="24"/>
          <w:szCs w:val="24"/>
          <w:highlight w:val="none"/>
          <w:lang w:val="en-US" w:eastAsia="zh-CN"/>
        </w:rPr>
        <w:t>含水率</w:t>
      </w:r>
      <w:r>
        <w:rPr>
          <w:rFonts w:hint="eastAsia" w:ascii="Times New Roman" w:hAnsi="Times New Roman" w:eastAsia="方正仿宋_GBK"/>
          <w:caps w:val="0"/>
          <w:smallCaps w:val="0"/>
          <w:color w:val="auto"/>
          <w:kern w:val="2"/>
          <w:sz w:val="24"/>
          <w:szCs w:val="24"/>
          <w:highlight w:val="none"/>
          <w:lang w:eastAsia="zh-CN"/>
        </w:rPr>
        <w:t>、大气污染物、噪声检测等进行抽查、监督，</w:t>
      </w:r>
      <w:r>
        <w:rPr>
          <w:rFonts w:hint="eastAsia" w:ascii="Times New Roman" w:hAnsi="Times New Roman" w:eastAsia="方正仿宋_GBK"/>
          <w:caps w:val="0"/>
          <w:smallCaps w:val="0"/>
          <w:color w:val="auto"/>
          <w:kern w:val="2"/>
          <w:sz w:val="24"/>
          <w:szCs w:val="24"/>
          <w:highlight w:val="none"/>
          <w:lang w:val="en-US" w:eastAsia="zh-CN"/>
        </w:rPr>
        <w:t>乙方</w:t>
      </w:r>
      <w:r>
        <w:rPr>
          <w:rFonts w:hint="eastAsia" w:ascii="Times New Roman" w:hAnsi="Times New Roman" w:eastAsia="方正仿宋_GBK"/>
          <w:caps w:val="0"/>
          <w:smallCaps w:val="0"/>
          <w:color w:val="auto"/>
          <w:kern w:val="2"/>
          <w:sz w:val="24"/>
          <w:szCs w:val="24"/>
          <w:highlight w:val="none"/>
          <w:lang w:eastAsia="zh-CN"/>
        </w:rPr>
        <w:t>应积极配合</w:t>
      </w:r>
    </w:p>
    <w:p w14:paraId="1202D889">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aps w:val="0"/>
          <w:smallCaps w:val="0"/>
          <w:color w:val="auto"/>
          <w:kern w:val="2"/>
          <w:sz w:val="24"/>
          <w:szCs w:val="24"/>
          <w:highlight w:val="none"/>
          <w:lang w:eastAsia="zh-CN"/>
        </w:rPr>
      </w:pP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lang w:val="en-US" w:eastAsia="zh-CN"/>
        </w:rPr>
        <w:t>4</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对项目提供公共服务产品或服务质量等运营情况进行监督管理，以及定期开展运营评价的权利</w:t>
      </w:r>
      <w:r>
        <w:rPr>
          <w:rFonts w:hint="eastAsia" w:ascii="Times New Roman" w:hAnsi="Times New Roman" w:eastAsia="方正仿宋_GBK"/>
          <w:caps w:val="0"/>
          <w:smallCaps w:val="0"/>
          <w:color w:val="auto"/>
          <w:kern w:val="2"/>
          <w:sz w:val="24"/>
          <w:szCs w:val="24"/>
          <w:highlight w:val="none"/>
          <w:lang w:eastAsia="zh-CN"/>
        </w:rPr>
        <w:t>，以及协助相关部门核算和监控特许经营者的运营成本等。</w:t>
      </w:r>
    </w:p>
    <w:p w14:paraId="43BA86BA">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（5）</w:t>
      </w:r>
      <w:r>
        <w:rPr>
          <w:rFonts w:hint="eastAsia" w:ascii="Times New Roman" w:hAnsi="Times New Roman" w:eastAsia="方正仿宋_GBK"/>
          <w:caps w:val="0"/>
          <w:smallCaps w:val="0"/>
          <w:color w:val="auto"/>
          <w:kern w:val="2"/>
          <w:sz w:val="24"/>
          <w:szCs w:val="24"/>
          <w:highlight w:val="none"/>
        </w:rPr>
        <w:t>对乙方所承担工程</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lang w:val="en-US" w:eastAsia="zh-CN"/>
        </w:rPr>
        <w:t>中大修、设备重置等</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建设标准应用、工程进度控制、质量、安全、环境保护管理等建设情况进行监督管理的权利。</w:t>
      </w:r>
    </w:p>
    <w:p w14:paraId="55D753B0">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aps w:val="0"/>
          <w:smallCaps w:val="0"/>
          <w:color w:val="auto"/>
          <w:kern w:val="2"/>
          <w:sz w:val="24"/>
          <w:szCs w:val="24"/>
          <w:highlight w:val="none"/>
          <w:lang w:val="en-US" w:eastAsia="zh-CN" w:bidi="ar-SA"/>
        </w:rPr>
      </w:pPr>
      <w:r>
        <w:rPr>
          <w:rFonts w:hint="eastAsia" w:ascii="Times New Roman" w:hAnsi="Times New Roman" w:eastAsia="方正仿宋_GBK"/>
          <w:caps w:val="0"/>
          <w:smallCaps w:val="0"/>
          <w:color w:val="auto"/>
          <w:kern w:val="2"/>
          <w:sz w:val="24"/>
          <w:szCs w:val="24"/>
          <w:highlight w:val="none"/>
          <w:lang w:val="en-US" w:eastAsia="zh-CN" w:bidi="ar-SA"/>
        </w:rPr>
        <w:t>（6）本着尊重社会公众的知情权，鼓励公众参与监督的原则，有权及时将对污水处理服务质量的检查、监测、评估结果和整改情况以适当的方式向社会公布，并受理公众对特许经营者（或乙方）的投诉及其核实处理。</w:t>
      </w:r>
    </w:p>
    <w:p w14:paraId="2A5C70D1">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（7）有权要求乙方定期提供相关运营资料，包括但不限于污水处理的检测分析报告、项目设施状况及其定期检修报告、财务报表、重大事故报告等或甲方认为需要提供的其他资料。</w:t>
      </w:r>
    </w:p>
    <w:p w14:paraId="2E506934">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（8）当甲方认定乙方不按特许经营协议履行其职责，给甲方造成损失的，甲方有权终止协议、要求特许经营者承担相应的赔偿责任并</w:t>
      </w:r>
      <w:r>
        <w:rPr>
          <w:rFonts w:hint="eastAsia" w:ascii="Times New Roman" w:hAnsi="Times New Roman" w:eastAsia="方正仿宋_GBK"/>
          <w:caps w:val="0"/>
          <w:smallCaps w:val="0"/>
          <w:color w:val="auto"/>
          <w:kern w:val="2"/>
          <w:sz w:val="24"/>
          <w:szCs w:val="24"/>
          <w:highlight w:val="none"/>
        </w:rPr>
        <w:t>提取履约保函的权利。</w:t>
      </w:r>
    </w:p>
    <w:p w14:paraId="4073B1EE">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lang w:val="en-US" w:eastAsia="zh-CN"/>
        </w:rPr>
        <w:t>9</w:t>
      </w:r>
      <w:r>
        <w:rPr>
          <w:rFonts w:hint="eastAsia" w:ascii="Times New Roman" w:hAnsi="Times New Roman" w:eastAsia="方正仿宋_GBK"/>
          <w:caps w:val="0"/>
          <w:smallCaps w:val="0"/>
          <w:color w:val="auto"/>
          <w:kern w:val="2"/>
          <w:sz w:val="24"/>
          <w:szCs w:val="24"/>
          <w:highlight w:val="none"/>
          <w:lang w:eastAsia="zh-CN"/>
        </w:rPr>
        <w:t>）如在运营服务期内发生任何相关环境质量、安全事故或者其他由于</w:t>
      </w:r>
      <w:r>
        <w:rPr>
          <w:rFonts w:hint="eastAsia" w:ascii="Times New Roman" w:hAnsi="Times New Roman" w:eastAsia="方正仿宋_GBK"/>
          <w:caps w:val="0"/>
          <w:smallCaps w:val="0"/>
          <w:color w:val="auto"/>
          <w:kern w:val="2"/>
          <w:sz w:val="24"/>
          <w:szCs w:val="24"/>
          <w:highlight w:val="none"/>
          <w:lang w:val="en-US" w:eastAsia="zh-CN"/>
        </w:rPr>
        <w:t>乙方</w:t>
      </w:r>
      <w:r>
        <w:rPr>
          <w:rFonts w:hint="eastAsia" w:ascii="Times New Roman" w:hAnsi="Times New Roman" w:eastAsia="方正仿宋_GBK"/>
          <w:caps w:val="0"/>
          <w:smallCaps w:val="0"/>
          <w:color w:val="auto"/>
          <w:kern w:val="2"/>
          <w:sz w:val="24"/>
          <w:szCs w:val="24"/>
          <w:highlight w:val="none"/>
          <w:lang w:eastAsia="zh-CN"/>
        </w:rPr>
        <w:t>的原因导致的事故时，</w:t>
      </w:r>
      <w:r>
        <w:rPr>
          <w:rFonts w:hint="eastAsia" w:ascii="Times New Roman" w:hAnsi="Times New Roman" w:eastAsia="方正仿宋_GBK"/>
          <w:caps w:val="0"/>
          <w:smallCaps w:val="0"/>
          <w:color w:val="auto"/>
          <w:kern w:val="2"/>
          <w:sz w:val="24"/>
          <w:szCs w:val="24"/>
          <w:highlight w:val="none"/>
          <w:lang w:val="en-US" w:eastAsia="zh-CN"/>
        </w:rPr>
        <w:t>甲方</w:t>
      </w:r>
      <w:r>
        <w:rPr>
          <w:rFonts w:hint="eastAsia" w:ascii="Times New Roman" w:hAnsi="Times New Roman" w:eastAsia="方正仿宋_GBK"/>
          <w:caps w:val="0"/>
          <w:smallCaps w:val="0"/>
          <w:color w:val="auto"/>
          <w:kern w:val="2"/>
          <w:sz w:val="24"/>
          <w:szCs w:val="24"/>
          <w:highlight w:val="none"/>
          <w:lang w:eastAsia="zh-CN"/>
        </w:rPr>
        <w:t>有权扣除污水处理服务费，用于该类事故的赔偿、修复或者处罚。</w:t>
      </w:r>
    </w:p>
    <w:p w14:paraId="1BD10567">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（10）</w:t>
      </w:r>
      <w:r>
        <w:rPr>
          <w:rFonts w:hint="eastAsia" w:ascii="Times New Roman" w:hAnsi="Times New Roman" w:eastAsia="方正仿宋_GBK"/>
          <w:caps w:val="0"/>
          <w:smallCaps w:val="0"/>
          <w:color w:val="auto"/>
          <w:kern w:val="2"/>
          <w:sz w:val="24"/>
          <w:szCs w:val="24"/>
          <w:highlight w:val="none"/>
        </w:rPr>
        <w:t>在特许经营期满接收项目设施及权益的权利。</w:t>
      </w:r>
    </w:p>
    <w:p w14:paraId="0E9DF8A0">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default" w:ascii="Times New Roman" w:hAnsi="Times New Roman" w:eastAsia="方正仿宋_GBK"/>
          <w:caps w:val="0"/>
          <w:smallCaps w:val="0"/>
          <w:color w:val="auto"/>
          <w:kern w:val="2"/>
          <w:sz w:val="28"/>
          <w:szCs w:val="28"/>
          <w:highlight w:val="none"/>
        </w:rPr>
      </w:pPr>
      <w:r>
        <w:rPr>
          <w:rFonts w:hint="eastAsia" w:ascii="Times New Roman" w:hAnsi="Times New Roman" w:eastAsia="方正仿宋_GBK"/>
          <w:caps w:val="0"/>
          <w:smallCaps w:val="0"/>
          <w:color w:val="auto"/>
          <w:kern w:val="2"/>
          <w:sz w:val="24"/>
          <w:szCs w:val="24"/>
          <w:highlight w:val="none"/>
          <w:lang w:val="en-US" w:eastAsia="zh-CN" w:bidi="ar-SA"/>
        </w:rPr>
        <w:t>（11）</w:t>
      </w:r>
      <w:r>
        <w:rPr>
          <w:rFonts w:hint="eastAsia" w:ascii="Times New Roman" w:hAnsi="Times New Roman" w:eastAsia="方正仿宋_GBK"/>
          <w:caps w:val="0"/>
          <w:smallCaps w:val="0"/>
          <w:color w:val="auto"/>
          <w:kern w:val="2"/>
          <w:sz w:val="24"/>
          <w:szCs w:val="24"/>
          <w:highlight w:val="none"/>
        </w:rPr>
        <w:t>在乙方严重违约时</w:t>
      </w:r>
      <w:r>
        <w:rPr>
          <w:rFonts w:hint="default" w:ascii="Times New Roman" w:hAnsi="Times New Roman" w:eastAsia="方正仿宋_GBK"/>
          <w:caps w:val="0"/>
          <w:smallCaps w:val="0"/>
          <w:color w:val="auto"/>
          <w:kern w:val="2"/>
          <w:sz w:val="24"/>
          <w:szCs w:val="24"/>
          <w:highlight w:val="none"/>
        </w:rPr>
        <w:t>按照</w:t>
      </w:r>
      <w:r>
        <w:rPr>
          <w:rFonts w:hint="eastAsia" w:ascii="Times New Roman" w:hAnsi="Times New Roman" w:eastAsia="方正仿宋_GBK"/>
          <w:caps w:val="0"/>
          <w:smallCaps w:val="0"/>
          <w:color w:val="auto"/>
          <w:kern w:val="2"/>
          <w:sz w:val="24"/>
          <w:szCs w:val="24"/>
          <w:highlight w:val="none"/>
        </w:rPr>
        <w:t>适用法律</w:t>
      </w:r>
      <w:r>
        <w:rPr>
          <w:rFonts w:hint="default" w:ascii="Times New Roman" w:hAnsi="Times New Roman" w:eastAsia="方正仿宋_GBK"/>
          <w:caps w:val="0"/>
          <w:smallCaps w:val="0"/>
          <w:color w:val="auto"/>
          <w:kern w:val="2"/>
          <w:sz w:val="24"/>
          <w:szCs w:val="24"/>
          <w:highlight w:val="none"/>
        </w:rPr>
        <w:t>规定</w:t>
      </w:r>
      <w:r>
        <w:rPr>
          <w:rFonts w:hint="eastAsia" w:ascii="Times New Roman" w:hAnsi="Times New Roman" w:eastAsia="方正仿宋_GBK"/>
          <w:caps w:val="0"/>
          <w:smallCaps w:val="0"/>
          <w:color w:val="auto"/>
          <w:kern w:val="2"/>
          <w:sz w:val="24"/>
          <w:szCs w:val="24"/>
          <w:highlight w:val="none"/>
        </w:rPr>
        <w:t>和本协议约定介入或接管项目的权利以及</w:t>
      </w:r>
      <w:r>
        <w:rPr>
          <w:rFonts w:hint="default" w:ascii="Times New Roman" w:hAnsi="Times New Roman" w:eastAsia="方正仿宋_GBK"/>
          <w:caps w:val="0"/>
          <w:smallCaps w:val="0"/>
          <w:color w:val="auto"/>
          <w:kern w:val="2"/>
          <w:sz w:val="24"/>
          <w:szCs w:val="24"/>
          <w:highlight w:val="none"/>
        </w:rPr>
        <w:t>解除本协议</w:t>
      </w:r>
      <w:r>
        <w:rPr>
          <w:rFonts w:hint="eastAsia" w:ascii="Times New Roman" w:hAnsi="Times New Roman" w:eastAsia="方正仿宋_GBK"/>
          <w:caps w:val="0"/>
          <w:smallCaps w:val="0"/>
          <w:color w:val="auto"/>
          <w:kern w:val="2"/>
          <w:sz w:val="24"/>
          <w:szCs w:val="24"/>
          <w:highlight w:val="none"/>
        </w:rPr>
        <w:t>的权利。</w:t>
      </w:r>
    </w:p>
    <w:p w14:paraId="24F225A4">
      <w:pPr>
        <w:keepNext w:val="0"/>
        <w:keepLines w:val="0"/>
        <w:pageBreakBefore w:val="0"/>
        <w:widowControl w:val="0"/>
        <w:numPr>
          <w:ilvl w:val="2"/>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firstLine="480" w:firstLineChars="200"/>
        <w:jc w:val="left"/>
        <w:outlineLvl w:val="2"/>
        <w:rPr>
          <w:rFonts w:hint="default" w:ascii="Times New Roman" w:hAnsi="Times New Roman" w:eastAsia="方正仿宋_GBK"/>
          <w:b/>
          <w:caps w:val="0"/>
          <w:smallCaps w:val="0"/>
          <w:color w:val="auto"/>
          <w:kern w:val="2"/>
          <w:sz w:val="24"/>
          <w:szCs w:val="24"/>
          <w:highlight w:val="none"/>
        </w:rPr>
      </w:pPr>
      <w:r>
        <w:rPr>
          <w:rFonts w:hint="eastAsia" w:ascii="Times New Roman" w:hAnsi="Times New Roman" w:eastAsia="方正仿宋_GBK"/>
          <w:b/>
          <w:caps w:val="0"/>
          <w:smallCaps w:val="0"/>
          <w:color w:val="auto"/>
          <w:kern w:val="2"/>
          <w:sz w:val="24"/>
          <w:szCs w:val="24"/>
          <w:highlight w:val="none"/>
          <w:lang w:val="en-US" w:eastAsia="zh-CN" w:bidi="ar-SA"/>
        </w:rPr>
        <w:t>3.</w:t>
      </w:r>
      <w:r>
        <w:rPr>
          <w:rFonts w:hint="eastAsia" w:ascii="Times New Roman" w:hAnsi="Times New Roman" w:eastAsia="方正仿宋_GBK"/>
          <w:b/>
          <w:caps w:val="0"/>
          <w:smallCaps w:val="0"/>
          <w:color w:val="auto"/>
          <w:kern w:val="2"/>
          <w:sz w:val="24"/>
          <w:szCs w:val="24"/>
          <w:highlight w:val="none"/>
        </w:rPr>
        <w:t>甲方的主要义务</w:t>
      </w:r>
    </w:p>
    <w:p w14:paraId="2C9DE6D8">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（1）</w:t>
      </w:r>
      <w:r>
        <w:rPr>
          <w:rFonts w:hint="eastAsia" w:ascii="Times New Roman" w:hAnsi="Times New Roman" w:eastAsia="方正仿宋_GBK" w:cs="Times New Roman"/>
          <w:caps w:val="0"/>
          <w:smallCaps w:val="0"/>
          <w:color w:val="auto"/>
          <w:kern w:val="2"/>
          <w:sz w:val="24"/>
          <w:szCs w:val="24"/>
          <w:highlight w:val="none"/>
        </w:rPr>
        <w:t>依法保持按照本协议授予乙方的从事本项目特许经营活动的相关权利在特许经营期内合法有效。</w:t>
      </w:r>
    </w:p>
    <w:p w14:paraId="135F48A7">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（2）</w:t>
      </w:r>
      <w:r>
        <w:rPr>
          <w:rFonts w:hint="eastAsia" w:ascii="Times New Roman" w:hAnsi="Times New Roman" w:eastAsia="方正仿宋_GBK" w:cs="Times New Roman"/>
          <w:caps w:val="0"/>
          <w:smallCaps w:val="0"/>
          <w:color w:val="auto"/>
          <w:kern w:val="2"/>
          <w:sz w:val="24"/>
          <w:szCs w:val="24"/>
          <w:highlight w:val="none"/>
        </w:rPr>
        <w:t>在本级人民政府权限和管辖范围内协助乙方申请和办理有关项目投融资、运营及管理等必需的行政许可或其他批文。</w:t>
      </w:r>
    </w:p>
    <w:p w14:paraId="358F3C20">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（3）</w:t>
      </w:r>
      <w:r>
        <w:rPr>
          <w:rFonts w:hint="eastAsia" w:ascii="Times New Roman" w:hAnsi="Times New Roman" w:eastAsia="方正仿宋_GBK" w:cs="Times New Roman"/>
          <w:caps w:val="0"/>
          <w:smallCaps w:val="0"/>
          <w:color w:val="auto"/>
          <w:kern w:val="2"/>
          <w:sz w:val="24"/>
          <w:szCs w:val="24"/>
          <w:highlight w:val="none"/>
          <w:lang w:eastAsia="zh-CN"/>
        </w:rPr>
        <w:t>按照行业统一规定支持</w:t>
      </w:r>
      <w:r>
        <w:rPr>
          <w:rFonts w:hint="eastAsia" w:ascii="Times New Roman" w:hAnsi="Times New Roman" w:eastAsia="方正仿宋_GBK" w:cs="Times New Roman"/>
          <w:caps w:val="0"/>
          <w:smallCaps w:val="0"/>
          <w:color w:val="auto"/>
          <w:kern w:val="2"/>
          <w:sz w:val="24"/>
          <w:szCs w:val="24"/>
          <w:highlight w:val="none"/>
        </w:rPr>
        <w:t>本项目</w:t>
      </w:r>
      <w:r>
        <w:rPr>
          <w:rFonts w:hint="eastAsia" w:ascii="Times New Roman" w:hAnsi="Times New Roman" w:eastAsia="方正仿宋_GBK" w:cs="Times New Roman"/>
          <w:caps w:val="0"/>
          <w:smallCaps w:val="0"/>
          <w:color w:val="auto"/>
          <w:kern w:val="2"/>
          <w:sz w:val="24"/>
          <w:szCs w:val="24"/>
          <w:highlight w:val="none"/>
          <w:lang w:eastAsia="zh-CN"/>
        </w:rPr>
        <w:t>申请</w:t>
      </w:r>
      <w:r>
        <w:rPr>
          <w:rFonts w:hint="eastAsia" w:ascii="Times New Roman" w:hAnsi="Times New Roman" w:eastAsia="方正仿宋_GBK" w:cs="Times New Roman"/>
          <w:caps w:val="0"/>
          <w:smallCaps w:val="0"/>
          <w:color w:val="auto"/>
          <w:kern w:val="2"/>
          <w:sz w:val="24"/>
          <w:szCs w:val="24"/>
          <w:highlight w:val="none"/>
        </w:rPr>
        <w:t>政府运营补贴（如有）。</w:t>
      </w:r>
    </w:p>
    <w:p w14:paraId="63C5A845">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（4）</w:t>
      </w:r>
      <w:r>
        <w:rPr>
          <w:rFonts w:hint="eastAsia" w:ascii="Times New Roman" w:hAnsi="Times New Roman" w:eastAsia="方正仿宋_GBK" w:cs="Times New Roman"/>
          <w:caps w:val="0"/>
          <w:smallCaps w:val="0"/>
          <w:color w:val="auto"/>
          <w:kern w:val="2"/>
          <w:sz w:val="24"/>
          <w:szCs w:val="24"/>
          <w:highlight w:val="none"/>
        </w:rPr>
        <w:t>在出现行政区划调整、地方政府换届、政府相关部门机构或职能调整、实施机构法定代表人变更等情形时，确保不影响正常履行本协议。</w:t>
      </w:r>
    </w:p>
    <w:p w14:paraId="70BF76C9">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（5）</w:t>
      </w:r>
      <w:r>
        <w:rPr>
          <w:rFonts w:hint="eastAsia" w:ascii="Times New Roman" w:hAnsi="Times New Roman" w:eastAsia="方正仿宋_GBK" w:cs="Times New Roman"/>
          <w:caps w:val="0"/>
          <w:smallCaps w:val="0"/>
          <w:color w:val="auto"/>
          <w:kern w:val="2"/>
          <w:sz w:val="24"/>
          <w:szCs w:val="24"/>
          <w:highlight w:val="none"/>
        </w:rPr>
        <w:t>就本项目依法申请国家或省市相关专项或奖励资金、相关税收优惠政策向乙方提供协助。</w:t>
      </w:r>
    </w:p>
    <w:p w14:paraId="0BC5423E">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（6）</w:t>
      </w:r>
      <w:r>
        <w:rPr>
          <w:rFonts w:hint="eastAsia" w:ascii="Times New Roman" w:hAnsi="Times New Roman" w:eastAsia="方正仿宋_GBK" w:cs="Times New Roman"/>
          <w:caps w:val="0"/>
          <w:smallCaps w:val="0"/>
          <w:color w:val="auto"/>
          <w:kern w:val="2"/>
          <w:sz w:val="24"/>
          <w:szCs w:val="24"/>
          <w:highlight w:val="none"/>
        </w:rPr>
        <w:t>维护乙方按协议约定对项目开展投资、融资、运营管理自主权。</w:t>
      </w:r>
    </w:p>
    <w:p w14:paraId="0EEEF0C5">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（7）</w:t>
      </w:r>
      <w:r>
        <w:rPr>
          <w:rFonts w:hint="eastAsia" w:ascii="Times New Roman" w:hAnsi="Times New Roman" w:eastAsia="方正仿宋_GBK" w:cs="Times New Roman"/>
          <w:caps w:val="0"/>
          <w:smallCaps w:val="0"/>
          <w:color w:val="auto"/>
          <w:kern w:val="2"/>
          <w:sz w:val="24"/>
          <w:szCs w:val="24"/>
          <w:highlight w:val="none"/>
        </w:rPr>
        <w:t>在保障项目质量和产出（服务）效果的前提下，积极支持和协助乙方通过加强管理、降低成本、提升效率、积极创新等获得额外收益。</w:t>
      </w:r>
    </w:p>
    <w:p w14:paraId="693F041D">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（8）</w:t>
      </w:r>
      <w:r>
        <w:rPr>
          <w:rFonts w:hint="eastAsia" w:ascii="Times New Roman" w:hAnsi="Times New Roman" w:eastAsia="方正仿宋_GBK" w:cs="Times New Roman"/>
          <w:caps w:val="0"/>
          <w:smallCaps w:val="0"/>
          <w:color w:val="auto"/>
          <w:kern w:val="2"/>
          <w:sz w:val="24"/>
          <w:szCs w:val="24"/>
          <w:highlight w:val="none"/>
        </w:rPr>
        <w:t>在保障项目质量、产出（服务）效果和必要的融资需求的前提下，在符合条件的情况下，鼓励探索通过基础设施领域不动产投资信托基金（REITs）等方式依法合规盘活存量资产。</w:t>
      </w:r>
    </w:p>
    <w:p w14:paraId="74738522">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eastAsia="zh-CN"/>
        </w:rPr>
        <w:t>（</w:t>
      </w:r>
      <w:r>
        <w:rPr>
          <w:rFonts w:hint="eastAsia" w:ascii="Times New Roman" w:hAnsi="Times New Roman" w:eastAsia="方正仿宋_GBK" w:cs="Times New Roman"/>
          <w:caps w:val="0"/>
          <w:smallCaps w:val="0"/>
          <w:color w:val="auto"/>
          <w:kern w:val="2"/>
          <w:sz w:val="24"/>
          <w:szCs w:val="24"/>
          <w:highlight w:val="none"/>
          <w:lang w:val="en-US" w:eastAsia="zh-CN"/>
        </w:rPr>
        <w:t>9</w:t>
      </w:r>
      <w:r>
        <w:rPr>
          <w:rFonts w:hint="eastAsia" w:ascii="Times New Roman" w:hAnsi="Times New Roman" w:eastAsia="方正仿宋_GBK" w:cs="Times New Roman"/>
          <w:caps w:val="0"/>
          <w:smallCaps w:val="0"/>
          <w:color w:val="auto"/>
          <w:kern w:val="2"/>
          <w:sz w:val="24"/>
          <w:szCs w:val="24"/>
          <w:highlight w:val="none"/>
          <w:lang w:eastAsia="zh-CN"/>
        </w:rPr>
        <w:t>）</w:t>
      </w:r>
      <w:r>
        <w:rPr>
          <w:rFonts w:hint="eastAsia" w:ascii="Times New Roman" w:hAnsi="Times New Roman" w:eastAsia="方正仿宋_GBK" w:cs="Times New Roman"/>
          <w:caps w:val="0"/>
          <w:smallCaps w:val="0"/>
          <w:color w:val="auto"/>
          <w:kern w:val="2"/>
          <w:sz w:val="24"/>
          <w:szCs w:val="24"/>
          <w:highlight w:val="none"/>
        </w:rPr>
        <w:t>对</w:t>
      </w:r>
      <w:r>
        <w:rPr>
          <w:rFonts w:hint="eastAsia" w:ascii="Times New Roman" w:hAnsi="Times New Roman" w:eastAsia="方正仿宋_GBK" w:cs="Times New Roman"/>
          <w:caps w:val="0"/>
          <w:smallCaps w:val="0"/>
          <w:color w:val="auto"/>
          <w:kern w:val="2"/>
          <w:sz w:val="24"/>
          <w:szCs w:val="24"/>
          <w:highlight w:val="none"/>
          <w:lang w:val="en-US" w:eastAsia="zh-CN"/>
        </w:rPr>
        <w:t>乙方</w:t>
      </w:r>
      <w:r>
        <w:rPr>
          <w:rFonts w:hint="eastAsia" w:ascii="Times New Roman" w:hAnsi="Times New Roman" w:eastAsia="方正仿宋_GBK" w:cs="Times New Roman"/>
          <w:caps w:val="0"/>
          <w:smallCaps w:val="0"/>
          <w:color w:val="auto"/>
          <w:kern w:val="2"/>
          <w:sz w:val="24"/>
          <w:szCs w:val="24"/>
          <w:highlight w:val="none"/>
        </w:rPr>
        <w:t>提出的有关申请、建议等书面通知，需要</w:t>
      </w:r>
      <w:r>
        <w:rPr>
          <w:rFonts w:hint="eastAsia" w:ascii="Times New Roman" w:hAnsi="Times New Roman" w:eastAsia="方正仿宋_GBK" w:cs="Times New Roman"/>
          <w:caps w:val="0"/>
          <w:smallCaps w:val="0"/>
          <w:color w:val="auto"/>
          <w:kern w:val="2"/>
          <w:sz w:val="24"/>
          <w:szCs w:val="24"/>
          <w:highlight w:val="none"/>
          <w:lang w:val="en-US" w:eastAsia="zh-CN"/>
        </w:rPr>
        <w:t>甲方</w:t>
      </w:r>
      <w:r>
        <w:rPr>
          <w:rFonts w:hint="eastAsia" w:ascii="Times New Roman" w:hAnsi="Times New Roman" w:eastAsia="方正仿宋_GBK" w:cs="Times New Roman"/>
          <w:caps w:val="0"/>
          <w:smallCaps w:val="0"/>
          <w:color w:val="auto"/>
          <w:kern w:val="2"/>
          <w:sz w:val="24"/>
          <w:szCs w:val="24"/>
          <w:highlight w:val="none"/>
        </w:rPr>
        <w:t>回复或批准的，</w:t>
      </w:r>
      <w:r>
        <w:rPr>
          <w:rFonts w:hint="eastAsia" w:ascii="Times New Roman" w:hAnsi="Times New Roman" w:eastAsia="方正仿宋_GBK" w:cs="Times New Roman"/>
          <w:caps w:val="0"/>
          <w:smallCaps w:val="0"/>
          <w:color w:val="auto"/>
          <w:kern w:val="2"/>
          <w:sz w:val="24"/>
          <w:szCs w:val="24"/>
          <w:highlight w:val="none"/>
          <w:lang w:val="en-US" w:eastAsia="zh-CN"/>
        </w:rPr>
        <w:t>甲方</w:t>
      </w:r>
      <w:r>
        <w:rPr>
          <w:rFonts w:hint="eastAsia" w:ascii="Times New Roman" w:hAnsi="Times New Roman" w:eastAsia="方正仿宋_GBK" w:cs="Times New Roman"/>
          <w:caps w:val="0"/>
          <w:smallCaps w:val="0"/>
          <w:color w:val="auto"/>
          <w:kern w:val="2"/>
          <w:sz w:val="24"/>
          <w:szCs w:val="24"/>
          <w:highlight w:val="none"/>
        </w:rPr>
        <w:t>应在收到特许经营者相应通知后的合理时间内给予回复。</w:t>
      </w:r>
    </w:p>
    <w:p w14:paraId="7373F295">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eastAsia="zh-CN"/>
        </w:rPr>
        <w:t>（</w:t>
      </w:r>
      <w:r>
        <w:rPr>
          <w:rFonts w:hint="eastAsia" w:ascii="Times New Roman" w:hAnsi="Times New Roman" w:eastAsia="方正仿宋_GBK" w:cs="Times New Roman"/>
          <w:caps w:val="0"/>
          <w:smallCaps w:val="0"/>
          <w:color w:val="auto"/>
          <w:kern w:val="2"/>
          <w:sz w:val="24"/>
          <w:szCs w:val="24"/>
          <w:highlight w:val="none"/>
          <w:lang w:val="en-US" w:eastAsia="zh-CN"/>
        </w:rPr>
        <w:t>10</w:t>
      </w:r>
      <w:r>
        <w:rPr>
          <w:rFonts w:hint="eastAsia" w:ascii="Times New Roman" w:hAnsi="Times New Roman" w:eastAsia="方正仿宋_GBK" w:cs="Times New Roman"/>
          <w:caps w:val="0"/>
          <w:smallCaps w:val="0"/>
          <w:color w:val="auto"/>
          <w:kern w:val="2"/>
          <w:sz w:val="24"/>
          <w:szCs w:val="24"/>
          <w:highlight w:val="none"/>
          <w:lang w:eastAsia="zh-CN"/>
        </w:rPr>
        <w:t>）</w:t>
      </w:r>
      <w:r>
        <w:rPr>
          <w:rFonts w:hint="eastAsia" w:ascii="Times New Roman" w:hAnsi="Times New Roman" w:eastAsia="方正仿宋_GBK" w:cs="Times New Roman"/>
          <w:caps w:val="0"/>
          <w:smallCaps w:val="0"/>
          <w:color w:val="auto"/>
          <w:kern w:val="2"/>
          <w:sz w:val="24"/>
          <w:szCs w:val="24"/>
          <w:highlight w:val="none"/>
        </w:rPr>
        <w:t>如出于对外部污水管网建设、运营或维护的需要，必须减少污水项目进水或暂时关闭污水项目，</w:t>
      </w:r>
      <w:r>
        <w:rPr>
          <w:rFonts w:hint="eastAsia" w:ascii="Times New Roman" w:hAnsi="Times New Roman" w:eastAsia="方正仿宋_GBK" w:cs="Times New Roman"/>
          <w:caps w:val="0"/>
          <w:smallCaps w:val="0"/>
          <w:color w:val="auto"/>
          <w:kern w:val="2"/>
          <w:sz w:val="24"/>
          <w:szCs w:val="24"/>
          <w:highlight w:val="none"/>
          <w:lang w:val="en-US" w:eastAsia="zh-CN"/>
        </w:rPr>
        <w:t>甲方</w:t>
      </w:r>
      <w:r>
        <w:rPr>
          <w:rFonts w:hint="eastAsia" w:ascii="Times New Roman" w:hAnsi="Times New Roman" w:eastAsia="方正仿宋_GBK" w:cs="Times New Roman"/>
          <w:caps w:val="0"/>
          <w:smallCaps w:val="0"/>
          <w:color w:val="auto"/>
          <w:kern w:val="2"/>
          <w:sz w:val="24"/>
          <w:szCs w:val="24"/>
          <w:highlight w:val="none"/>
        </w:rPr>
        <w:t>应在合理时间内通知，污水量的减少通过延长特许经营期的方式解决。</w:t>
      </w:r>
    </w:p>
    <w:p w14:paraId="638A53AC">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eastAsia="zh-CN"/>
        </w:rPr>
        <w:t>（</w:t>
      </w:r>
      <w:r>
        <w:rPr>
          <w:rFonts w:hint="eastAsia" w:ascii="Times New Roman" w:hAnsi="Times New Roman" w:eastAsia="方正仿宋_GBK" w:cs="Times New Roman"/>
          <w:caps w:val="0"/>
          <w:smallCaps w:val="0"/>
          <w:color w:val="auto"/>
          <w:kern w:val="2"/>
          <w:sz w:val="24"/>
          <w:szCs w:val="24"/>
          <w:highlight w:val="none"/>
          <w:lang w:val="en-US" w:eastAsia="zh-CN"/>
        </w:rPr>
        <w:t>11</w:t>
      </w:r>
      <w:r>
        <w:rPr>
          <w:rFonts w:hint="eastAsia" w:ascii="Times New Roman" w:hAnsi="Times New Roman" w:eastAsia="方正仿宋_GBK" w:cs="Times New Roman"/>
          <w:caps w:val="0"/>
          <w:smallCaps w:val="0"/>
          <w:color w:val="auto"/>
          <w:kern w:val="2"/>
          <w:sz w:val="24"/>
          <w:szCs w:val="24"/>
          <w:highlight w:val="none"/>
          <w:lang w:eastAsia="zh-CN"/>
        </w:rPr>
        <w:t>）</w:t>
      </w:r>
      <w:r>
        <w:rPr>
          <w:rFonts w:hint="eastAsia" w:ascii="Times New Roman" w:hAnsi="Times New Roman" w:eastAsia="方正仿宋_GBK" w:cs="Times New Roman"/>
          <w:caps w:val="0"/>
          <w:smallCaps w:val="0"/>
          <w:color w:val="auto"/>
          <w:kern w:val="2"/>
          <w:sz w:val="24"/>
          <w:szCs w:val="24"/>
          <w:highlight w:val="none"/>
        </w:rPr>
        <w:t>依据特许经营协议约定，根据审核结果，经财政部门确认后，向</w:t>
      </w:r>
      <w:r>
        <w:rPr>
          <w:rFonts w:hint="eastAsia" w:ascii="Times New Roman" w:hAnsi="Times New Roman" w:eastAsia="方正仿宋_GBK" w:cs="Times New Roman"/>
          <w:caps w:val="0"/>
          <w:smallCaps w:val="0"/>
          <w:color w:val="auto"/>
          <w:kern w:val="2"/>
          <w:sz w:val="24"/>
          <w:szCs w:val="24"/>
          <w:highlight w:val="none"/>
          <w:lang w:val="en-US" w:eastAsia="zh-CN"/>
        </w:rPr>
        <w:t>乙方</w:t>
      </w:r>
      <w:r>
        <w:rPr>
          <w:rFonts w:hint="eastAsia" w:ascii="Times New Roman" w:hAnsi="Times New Roman" w:eastAsia="方正仿宋_GBK" w:cs="Times New Roman"/>
          <w:caps w:val="0"/>
          <w:smallCaps w:val="0"/>
          <w:color w:val="auto"/>
          <w:kern w:val="2"/>
          <w:sz w:val="24"/>
          <w:szCs w:val="24"/>
          <w:highlight w:val="none"/>
        </w:rPr>
        <w:t>支付污水处理服务费。如果延期向</w:t>
      </w:r>
      <w:r>
        <w:rPr>
          <w:rFonts w:hint="eastAsia" w:ascii="Times New Roman" w:hAnsi="Times New Roman" w:eastAsia="方正仿宋_GBK" w:cs="Times New Roman"/>
          <w:caps w:val="0"/>
          <w:smallCaps w:val="0"/>
          <w:color w:val="auto"/>
          <w:kern w:val="2"/>
          <w:sz w:val="24"/>
          <w:szCs w:val="24"/>
          <w:highlight w:val="none"/>
          <w:lang w:eastAsia="zh-CN"/>
        </w:rPr>
        <w:t>乙方</w:t>
      </w:r>
      <w:r>
        <w:rPr>
          <w:rFonts w:hint="eastAsia" w:ascii="Times New Roman" w:hAnsi="Times New Roman" w:eastAsia="方正仿宋_GBK" w:cs="Times New Roman"/>
          <w:caps w:val="0"/>
          <w:smallCaps w:val="0"/>
          <w:color w:val="auto"/>
          <w:kern w:val="2"/>
          <w:sz w:val="24"/>
          <w:szCs w:val="24"/>
          <w:highlight w:val="none"/>
        </w:rPr>
        <w:t>付款的，承担逾期付款责任。</w:t>
      </w:r>
    </w:p>
    <w:p w14:paraId="456A07F9">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（12）</w:t>
      </w:r>
      <w:r>
        <w:rPr>
          <w:rFonts w:hint="eastAsia" w:ascii="Times New Roman" w:hAnsi="Times New Roman" w:eastAsia="方正仿宋_GBK" w:cs="Times New Roman"/>
          <w:caps w:val="0"/>
          <w:smallCaps w:val="0"/>
          <w:color w:val="auto"/>
          <w:kern w:val="2"/>
          <w:sz w:val="24"/>
          <w:szCs w:val="24"/>
          <w:highlight w:val="none"/>
        </w:rPr>
        <w:t>若甲方征收</w:t>
      </w:r>
      <w:r>
        <w:rPr>
          <w:rFonts w:hint="eastAsia" w:ascii="Times New Roman" w:hAnsi="Times New Roman" w:eastAsia="方正仿宋_GBK" w:cs="Times New Roman"/>
          <w:caps w:val="0"/>
          <w:smallCaps w:val="0"/>
          <w:color w:val="auto"/>
          <w:kern w:val="2"/>
          <w:sz w:val="24"/>
          <w:szCs w:val="24"/>
          <w:highlight w:val="none"/>
          <w:lang w:eastAsia="zh-CN"/>
        </w:rPr>
        <w:t>、征用</w:t>
      </w:r>
      <w:r>
        <w:rPr>
          <w:rFonts w:hint="eastAsia" w:ascii="Times New Roman" w:hAnsi="Times New Roman" w:eastAsia="方正仿宋_GBK" w:cs="Times New Roman"/>
          <w:caps w:val="0"/>
          <w:smallCaps w:val="0"/>
          <w:color w:val="auto"/>
          <w:kern w:val="2"/>
          <w:sz w:val="24"/>
          <w:szCs w:val="24"/>
          <w:highlight w:val="none"/>
        </w:rPr>
        <w:t>本项目，依法给予乙方公平合理的补偿。</w:t>
      </w:r>
    </w:p>
    <w:p w14:paraId="1E9F5E5A">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（13）</w:t>
      </w:r>
      <w:r>
        <w:rPr>
          <w:rFonts w:hint="eastAsia" w:ascii="Times New Roman" w:hAnsi="Times New Roman" w:eastAsia="方正仿宋_GBK" w:cs="Times New Roman"/>
          <w:caps w:val="0"/>
          <w:smallCaps w:val="0"/>
          <w:color w:val="auto"/>
          <w:kern w:val="2"/>
          <w:sz w:val="24"/>
          <w:szCs w:val="24"/>
          <w:highlight w:val="none"/>
        </w:rPr>
        <w:t>履行适用法律规定和本协议约定应由甲方履行的其他义务和责任。</w:t>
      </w:r>
    </w:p>
    <w:p w14:paraId="6303544F">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130" w:name="_Toc11402"/>
      <w:bookmarkStart w:id="131" w:name="_Toc602512664"/>
      <w:bookmarkStart w:id="132" w:name="_Toc3875"/>
      <w:r>
        <w:rPr>
          <w:rFonts w:hint="eastAsia" w:ascii="Times New Roman" w:hAnsi="Times New Roman" w:eastAsia="方正黑体_GBK" w:cs="方正黑体_GBK"/>
          <w:bCs/>
          <w:caps w:val="0"/>
          <w:smallCaps w:val="0"/>
          <w:color w:val="auto"/>
          <w:kern w:val="2"/>
          <w:sz w:val="28"/>
          <w:szCs w:val="28"/>
          <w:highlight w:val="none"/>
          <w:lang w:val="en-US" w:eastAsia="zh-CN" w:bidi="ar-SA"/>
        </w:rPr>
        <w:t>第7条 乙方的主体资格和主要权利义务</w:t>
      </w:r>
      <w:bookmarkEnd w:id="130"/>
      <w:bookmarkEnd w:id="131"/>
      <w:bookmarkEnd w:id="132"/>
    </w:p>
    <w:p w14:paraId="315E0170">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outlineLvl w:val="2"/>
        <w:rPr>
          <w:rFonts w:ascii="Times New Roman" w:hAnsi="Times New Roman" w:eastAsia="方正仿宋_GBK" w:cs="Times New Roman"/>
          <w:b/>
          <w:caps w:val="0"/>
          <w:smallCaps w:val="0"/>
          <w:color w:val="auto"/>
          <w:kern w:val="2"/>
          <w:sz w:val="24"/>
          <w:szCs w:val="24"/>
          <w:highlight w:val="none"/>
          <w:lang w:val="en-US" w:eastAsia="zh-CN" w:bidi="ar-SA"/>
        </w:rPr>
      </w:pPr>
      <w:bookmarkStart w:id="133" w:name="_Hlk152436582"/>
      <w:r>
        <w:rPr>
          <w:rFonts w:hint="eastAsia" w:ascii="Times New Roman" w:hAnsi="Times New Roman" w:eastAsia="方正仿宋_GBK" w:cs="Times New Roman"/>
          <w:b/>
          <w:caps w:val="0"/>
          <w:smallCaps w:val="0"/>
          <w:color w:val="auto"/>
          <w:kern w:val="2"/>
          <w:sz w:val="24"/>
          <w:szCs w:val="24"/>
          <w:highlight w:val="none"/>
          <w:lang w:val="en-US" w:eastAsia="zh-CN" w:bidi="ar-SA"/>
        </w:rPr>
        <w:t>1.乙方的主体资格</w:t>
      </w:r>
    </w:p>
    <w:p w14:paraId="135F53E6">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default" w:ascii="Times New Roman" w:hAnsi="Times New Roman" w:eastAsia="方正仿宋_GBK"/>
          <w:caps w:val="0"/>
          <w:smallCaps w:val="0"/>
          <w:color w:val="auto"/>
          <w:kern w:val="2"/>
          <w:sz w:val="24"/>
          <w:szCs w:val="24"/>
          <w:highlight w:val="none"/>
        </w:rPr>
      </w:pPr>
      <w:bookmarkStart w:id="134" w:name="_Hlk152465158"/>
      <w:r>
        <w:rPr>
          <w:rFonts w:hint="eastAsia" w:ascii="Times New Roman" w:hAnsi="Times New Roman" w:eastAsia="方正仿宋_GBK"/>
          <w:caps w:val="0"/>
          <w:smallCaps w:val="0"/>
          <w:color w:val="auto"/>
          <w:kern w:val="2"/>
          <w:sz w:val="24"/>
          <w:szCs w:val="24"/>
          <w:highlight w:val="none"/>
          <w:lang w:val="en-US" w:eastAsia="zh-CN" w:bidi="ar-SA"/>
        </w:rPr>
        <w:t>（1）</w:t>
      </w:r>
      <w:r>
        <w:rPr>
          <w:rFonts w:hint="eastAsia" w:ascii="Times New Roman" w:hAnsi="Times New Roman" w:eastAsia="方正仿宋_GBK"/>
          <w:caps w:val="0"/>
          <w:smallCaps w:val="0"/>
          <w:color w:val="auto"/>
          <w:kern w:val="2"/>
          <w:sz w:val="24"/>
          <w:szCs w:val="24"/>
          <w:highlight w:val="none"/>
        </w:rPr>
        <w:t>乙方为【】，是由本项目特许经营者</w:t>
      </w:r>
      <w:bookmarkEnd w:id="134"/>
      <w:r>
        <w:rPr>
          <w:rFonts w:hint="eastAsia" w:ascii="Times New Roman" w:hAnsi="Times New Roman" w:eastAsia="方正仿宋_GBK"/>
          <w:caps w:val="0"/>
          <w:smallCaps w:val="0"/>
          <w:color w:val="auto"/>
          <w:kern w:val="2"/>
          <w:sz w:val="24"/>
          <w:szCs w:val="24"/>
          <w:highlight w:val="none"/>
          <w:lang w:val="en-US" w:eastAsia="zh-CN"/>
        </w:rPr>
        <w:t>单独</w:t>
      </w:r>
      <w:r>
        <w:rPr>
          <w:rFonts w:hint="eastAsia" w:ascii="Times New Roman" w:hAnsi="Times New Roman" w:eastAsia="方正仿宋_GBK"/>
          <w:caps w:val="0"/>
          <w:smallCaps w:val="0"/>
          <w:color w:val="auto"/>
          <w:kern w:val="2"/>
          <w:sz w:val="24"/>
          <w:szCs w:val="24"/>
          <w:highlight w:val="none"/>
        </w:rPr>
        <w:t>组建的特殊目的公司。</w:t>
      </w:r>
    </w:p>
    <w:p w14:paraId="445496D9">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（2）</w:t>
      </w:r>
      <w:r>
        <w:rPr>
          <w:rFonts w:hint="eastAsia" w:ascii="Times New Roman" w:hAnsi="Times New Roman" w:eastAsia="方正仿宋_GBK" w:cs="Times New Roman"/>
          <w:caps w:val="0"/>
          <w:smallCaps w:val="0"/>
          <w:color w:val="auto"/>
          <w:kern w:val="2"/>
          <w:sz w:val="24"/>
          <w:szCs w:val="24"/>
          <w:highlight w:val="none"/>
        </w:rPr>
        <w:t>乙方基本信息如下：</w:t>
      </w:r>
    </w:p>
    <w:p w14:paraId="3D124B00">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 xml:space="preserve">名称： </w:t>
      </w:r>
      <w:r>
        <w:rPr>
          <w:rFonts w:hint="default" w:ascii="Times New Roman" w:hAnsi="Times New Roman" w:eastAsia="方正仿宋_GBK"/>
          <w:caps w:val="0"/>
          <w:smallCaps w:val="0"/>
          <w:color w:val="auto"/>
          <w:kern w:val="2"/>
          <w:sz w:val="24"/>
          <w:szCs w:val="24"/>
          <w:highlight w:val="none"/>
        </w:rPr>
        <w:t xml:space="preserve">                             </w:t>
      </w:r>
    </w:p>
    <w:p w14:paraId="4D17EFA1">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住所：</w:t>
      </w:r>
      <w:r>
        <w:rPr>
          <w:rFonts w:hint="default" w:ascii="Times New Roman" w:hAnsi="Times New Roman" w:eastAsia="方正仿宋_GBK"/>
          <w:caps w:val="0"/>
          <w:smallCaps w:val="0"/>
          <w:color w:val="auto"/>
          <w:kern w:val="2"/>
          <w:sz w:val="24"/>
          <w:szCs w:val="24"/>
          <w:highlight w:val="none"/>
        </w:rPr>
        <w:t xml:space="preserve">                              </w:t>
      </w:r>
    </w:p>
    <w:p w14:paraId="36B3294D">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法定代表人：</w:t>
      </w:r>
      <w:r>
        <w:rPr>
          <w:rFonts w:hint="default" w:ascii="Times New Roman" w:hAnsi="Times New Roman" w:eastAsia="方正仿宋_GBK"/>
          <w:caps w:val="0"/>
          <w:smallCaps w:val="0"/>
          <w:color w:val="auto"/>
          <w:kern w:val="2"/>
          <w:sz w:val="24"/>
          <w:szCs w:val="24"/>
          <w:highlight w:val="none"/>
        </w:rPr>
        <w:t xml:space="preserve">                        </w:t>
      </w:r>
    </w:p>
    <w:p w14:paraId="17D19681">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其他信息（或有）：</w:t>
      </w:r>
      <w:r>
        <w:rPr>
          <w:rFonts w:hint="default" w:ascii="Times New Roman" w:hAnsi="Times New Roman" w:eastAsia="方正仿宋_GBK"/>
          <w:caps w:val="0"/>
          <w:smallCaps w:val="0"/>
          <w:color w:val="auto"/>
          <w:kern w:val="2"/>
          <w:sz w:val="24"/>
          <w:szCs w:val="24"/>
          <w:highlight w:val="none"/>
        </w:rPr>
        <w:t xml:space="preserve">                   </w:t>
      </w:r>
    </w:p>
    <w:p w14:paraId="298ED95C">
      <w:pPr>
        <w:keepNext w:val="0"/>
        <w:keepLines w:val="0"/>
        <w:pageBreakBefore w:val="0"/>
        <w:widowControl w:val="0"/>
        <w:numPr>
          <w:ilvl w:val="2"/>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firstLine="480" w:firstLineChars="200"/>
        <w:jc w:val="left"/>
        <w:outlineLvl w:val="2"/>
        <w:rPr>
          <w:rFonts w:hint="default" w:ascii="Times New Roman" w:hAnsi="Times New Roman" w:eastAsia="方正仿宋_GBK"/>
          <w:b/>
          <w:caps w:val="0"/>
          <w:smallCaps w:val="0"/>
          <w:color w:val="auto"/>
          <w:kern w:val="2"/>
          <w:sz w:val="24"/>
          <w:szCs w:val="24"/>
          <w:highlight w:val="none"/>
        </w:rPr>
      </w:pPr>
      <w:r>
        <w:rPr>
          <w:rFonts w:hint="eastAsia" w:ascii="Times New Roman" w:hAnsi="Times New Roman" w:eastAsia="方正仿宋_GBK"/>
          <w:b/>
          <w:caps w:val="0"/>
          <w:smallCaps w:val="0"/>
          <w:color w:val="auto"/>
          <w:kern w:val="2"/>
          <w:sz w:val="24"/>
          <w:szCs w:val="24"/>
          <w:highlight w:val="none"/>
          <w:lang w:val="en-US" w:eastAsia="zh-CN" w:bidi="ar-SA"/>
        </w:rPr>
        <w:t>2.</w:t>
      </w:r>
      <w:r>
        <w:rPr>
          <w:rFonts w:hint="eastAsia" w:ascii="Times New Roman" w:hAnsi="Times New Roman" w:eastAsia="方正仿宋_GBK"/>
          <w:b/>
          <w:caps w:val="0"/>
          <w:smallCaps w:val="0"/>
          <w:color w:val="auto"/>
          <w:kern w:val="2"/>
          <w:sz w:val="24"/>
          <w:szCs w:val="24"/>
          <w:highlight w:val="none"/>
        </w:rPr>
        <w:t>乙方的主要权利</w:t>
      </w:r>
    </w:p>
    <w:bookmarkEnd w:id="133"/>
    <w:p w14:paraId="78846723">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560" w:firstLineChars="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（1）</w:t>
      </w:r>
      <w:r>
        <w:rPr>
          <w:rFonts w:hint="eastAsia" w:ascii="Times New Roman" w:hAnsi="Times New Roman" w:eastAsia="方正仿宋_GBK"/>
          <w:caps w:val="0"/>
          <w:smallCaps w:val="0"/>
          <w:color w:val="auto"/>
          <w:kern w:val="2"/>
          <w:sz w:val="24"/>
          <w:szCs w:val="24"/>
          <w:highlight w:val="none"/>
        </w:rPr>
        <w:t>在特许经营期内享有从事本项目特许经营活动的相关权利，依照本协议的约定对本项目拥有投资、运营和</w:t>
      </w:r>
      <w:r>
        <w:rPr>
          <w:rFonts w:hint="eastAsia" w:ascii="Times New Roman" w:hAnsi="Times New Roman" w:eastAsia="方正仿宋_GBK"/>
          <w:caps w:val="0"/>
          <w:smallCaps w:val="0"/>
          <w:color w:val="auto"/>
          <w:kern w:val="2"/>
          <w:sz w:val="24"/>
          <w:szCs w:val="24"/>
          <w:highlight w:val="none"/>
          <w:lang w:eastAsia="zh-CN"/>
        </w:rPr>
        <w:t>维护</w:t>
      </w:r>
      <w:r>
        <w:rPr>
          <w:rFonts w:hint="eastAsia" w:ascii="Times New Roman" w:hAnsi="Times New Roman" w:eastAsia="方正仿宋_GBK"/>
          <w:caps w:val="0"/>
          <w:smallCaps w:val="0"/>
          <w:color w:val="auto"/>
          <w:kern w:val="2"/>
          <w:sz w:val="24"/>
          <w:szCs w:val="24"/>
          <w:highlight w:val="none"/>
        </w:rPr>
        <w:t>相关权利。</w:t>
      </w:r>
    </w:p>
    <w:p w14:paraId="6F3C536E">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（2）</w:t>
      </w:r>
      <w:r>
        <w:rPr>
          <w:rFonts w:hint="eastAsia" w:ascii="Times New Roman" w:hAnsi="Times New Roman" w:eastAsia="方正仿宋_GBK"/>
          <w:caps w:val="0"/>
          <w:smallCaps w:val="0"/>
          <w:color w:val="auto"/>
          <w:kern w:val="2"/>
          <w:sz w:val="24"/>
          <w:szCs w:val="24"/>
          <w:highlight w:val="none"/>
        </w:rPr>
        <w:t>为实现本协议的目的，利用</w:t>
      </w:r>
      <w:r>
        <w:rPr>
          <w:rFonts w:hint="eastAsia" w:ascii="Times New Roman" w:hAnsi="Times New Roman" w:eastAsia="方正仿宋_GBK"/>
          <w:caps w:val="0"/>
          <w:smallCaps w:val="0"/>
          <w:color w:val="auto"/>
          <w:kern w:val="2"/>
          <w:sz w:val="24"/>
          <w:szCs w:val="24"/>
          <w:highlight w:val="none"/>
          <w:lang w:eastAsia="zh-CN"/>
        </w:rPr>
        <w:t>乙方享有的</w:t>
      </w:r>
      <w:r>
        <w:rPr>
          <w:rFonts w:hint="eastAsia" w:ascii="Times New Roman" w:hAnsi="Times New Roman" w:eastAsia="方正仿宋_GBK"/>
          <w:caps w:val="0"/>
          <w:smallCaps w:val="0"/>
          <w:color w:val="auto"/>
          <w:kern w:val="2"/>
          <w:sz w:val="24"/>
          <w:szCs w:val="24"/>
          <w:highlight w:val="none"/>
        </w:rPr>
        <w:t>项目收益和乙方对项目持有的权益进行融资</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含再融资，下同</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的权利，但该等权利不得减损乙方负有的依照本协议对项目运营</w:t>
      </w:r>
      <w:r>
        <w:rPr>
          <w:rFonts w:hint="eastAsia" w:ascii="Times New Roman" w:hAnsi="Times New Roman" w:eastAsia="方正仿宋_GBK"/>
          <w:caps w:val="0"/>
          <w:smallCaps w:val="0"/>
          <w:color w:val="auto"/>
          <w:kern w:val="2"/>
          <w:sz w:val="24"/>
          <w:szCs w:val="24"/>
          <w:highlight w:val="none"/>
          <w:lang w:val="en-US" w:eastAsia="zh-CN"/>
        </w:rPr>
        <w:t>维护</w:t>
      </w:r>
      <w:r>
        <w:rPr>
          <w:rFonts w:hint="eastAsia" w:ascii="Times New Roman" w:hAnsi="Times New Roman" w:eastAsia="方正仿宋_GBK"/>
          <w:caps w:val="0"/>
          <w:smallCaps w:val="0"/>
          <w:color w:val="auto"/>
          <w:kern w:val="2"/>
          <w:sz w:val="24"/>
          <w:szCs w:val="24"/>
          <w:highlight w:val="none"/>
        </w:rPr>
        <w:t>的义务。</w:t>
      </w:r>
    </w:p>
    <w:p w14:paraId="02E65090">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（3）</w:t>
      </w:r>
      <w:r>
        <w:rPr>
          <w:rFonts w:hint="eastAsia" w:ascii="Times New Roman" w:hAnsi="Times New Roman" w:eastAsia="方正仿宋_GBK"/>
          <w:caps w:val="0"/>
          <w:smallCaps w:val="0"/>
          <w:color w:val="auto"/>
          <w:kern w:val="2"/>
          <w:sz w:val="24"/>
          <w:szCs w:val="24"/>
          <w:highlight w:val="none"/>
        </w:rPr>
        <w:t>按照适用法律及本协议约定自主经营项目并获得相应的项目收入</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lang w:val="en-US" w:eastAsia="zh-CN"/>
        </w:rPr>
        <w:t>污水处理服务费</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的权利。</w:t>
      </w:r>
    </w:p>
    <w:p w14:paraId="749BA96C">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（4）</w:t>
      </w:r>
      <w:r>
        <w:rPr>
          <w:rFonts w:hint="eastAsia" w:ascii="Times New Roman" w:hAnsi="Times New Roman" w:eastAsia="方正仿宋_GBK"/>
          <w:caps w:val="0"/>
          <w:smallCaps w:val="0"/>
          <w:color w:val="auto"/>
          <w:kern w:val="2"/>
          <w:sz w:val="24"/>
          <w:szCs w:val="24"/>
          <w:highlight w:val="none"/>
        </w:rPr>
        <w:t>在特许经营期内，有权按相关政策申请各级政府或政府部门提供的相关奖励、补贴或优惠政策。</w:t>
      </w:r>
    </w:p>
    <w:p w14:paraId="719D743E">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（5）</w:t>
      </w:r>
      <w:r>
        <w:rPr>
          <w:rFonts w:hint="eastAsia" w:ascii="Times New Roman" w:hAnsi="Times New Roman" w:eastAsia="方正仿宋_GBK" w:cs="Times New Roman"/>
          <w:caps w:val="0"/>
          <w:smallCaps w:val="0"/>
          <w:color w:val="auto"/>
          <w:kern w:val="2"/>
          <w:sz w:val="24"/>
          <w:szCs w:val="24"/>
          <w:highlight w:val="none"/>
        </w:rPr>
        <w:t>因公共利益或其他非乙方原因，如需按甲方要求提供额外服务或发生中断服务导致乙方增加成本或造成损失的，乙方有权获得甲方或政府相应补偿。</w:t>
      </w:r>
    </w:p>
    <w:p w14:paraId="317FC4B6">
      <w:pPr>
        <w:keepNext w:val="0"/>
        <w:keepLines w:val="0"/>
        <w:pageBreakBefore w:val="0"/>
        <w:widowControl w:val="0"/>
        <w:numPr>
          <w:ilvl w:val="2"/>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firstLine="480" w:firstLineChars="200"/>
        <w:jc w:val="left"/>
        <w:outlineLvl w:val="2"/>
        <w:rPr>
          <w:rFonts w:hint="default" w:ascii="Times New Roman" w:hAnsi="Times New Roman" w:eastAsia="方正仿宋_GBK"/>
          <w:b/>
          <w:caps w:val="0"/>
          <w:smallCaps w:val="0"/>
          <w:color w:val="auto"/>
          <w:kern w:val="2"/>
          <w:sz w:val="24"/>
          <w:szCs w:val="24"/>
          <w:highlight w:val="none"/>
        </w:rPr>
      </w:pPr>
      <w:r>
        <w:rPr>
          <w:rFonts w:hint="eastAsia" w:ascii="Times New Roman" w:hAnsi="Times New Roman" w:eastAsia="方正仿宋_GBK"/>
          <w:b/>
          <w:caps w:val="0"/>
          <w:smallCaps w:val="0"/>
          <w:color w:val="auto"/>
          <w:kern w:val="2"/>
          <w:sz w:val="24"/>
          <w:szCs w:val="24"/>
          <w:highlight w:val="none"/>
          <w:lang w:val="en-US" w:eastAsia="zh-CN" w:bidi="ar-SA"/>
        </w:rPr>
        <w:t>3.</w:t>
      </w:r>
      <w:r>
        <w:rPr>
          <w:rFonts w:hint="eastAsia" w:ascii="Times New Roman" w:hAnsi="Times New Roman" w:eastAsia="方正仿宋_GBK"/>
          <w:b/>
          <w:caps w:val="0"/>
          <w:smallCaps w:val="0"/>
          <w:color w:val="auto"/>
          <w:kern w:val="2"/>
          <w:sz w:val="24"/>
          <w:szCs w:val="24"/>
          <w:highlight w:val="none"/>
        </w:rPr>
        <w:t>乙方的主要义务</w:t>
      </w:r>
    </w:p>
    <w:p w14:paraId="2F359065">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（1）</w:t>
      </w:r>
      <w:r>
        <w:rPr>
          <w:rFonts w:hint="eastAsia" w:ascii="Times New Roman" w:hAnsi="Times New Roman" w:eastAsia="方正仿宋_GBK" w:cs="Times New Roman"/>
          <w:caps w:val="0"/>
          <w:smallCaps w:val="0"/>
          <w:color w:val="auto"/>
          <w:kern w:val="2"/>
          <w:sz w:val="24"/>
          <w:szCs w:val="24"/>
          <w:highlight w:val="none"/>
        </w:rPr>
        <w:t>按照本协议约定，全面履行项目投资、融资</w:t>
      </w:r>
      <w:r>
        <w:rPr>
          <w:rFonts w:hint="eastAsia" w:ascii="Times New Roman" w:hAnsi="Times New Roman" w:eastAsia="方正仿宋_GBK" w:cs="Times New Roman"/>
          <w:caps w:val="0"/>
          <w:smallCaps w:val="0"/>
          <w:color w:val="auto"/>
          <w:kern w:val="2"/>
          <w:sz w:val="24"/>
          <w:szCs w:val="24"/>
          <w:highlight w:val="none"/>
          <w:lang w:eastAsia="zh-CN"/>
        </w:rPr>
        <w:t>、</w:t>
      </w:r>
      <w:r>
        <w:rPr>
          <w:rFonts w:hint="eastAsia" w:ascii="Times New Roman" w:hAnsi="Times New Roman" w:eastAsia="方正仿宋_GBK" w:cs="Times New Roman"/>
          <w:caps w:val="0"/>
          <w:smallCaps w:val="0"/>
          <w:color w:val="auto"/>
          <w:kern w:val="2"/>
          <w:sz w:val="24"/>
          <w:szCs w:val="24"/>
          <w:highlight w:val="none"/>
        </w:rPr>
        <w:t>运营维护相关义务。</w:t>
      </w:r>
    </w:p>
    <w:p w14:paraId="3874188A">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（2）</w:t>
      </w:r>
      <w:r>
        <w:rPr>
          <w:rFonts w:hint="eastAsia" w:ascii="Times New Roman" w:hAnsi="Times New Roman" w:eastAsia="方正仿宋_GBK" w:cs="Times New Roman"/>
          <w:caps w:val="0"/>
          <w:smallCaps w:val="0"/>
          <w:color w:val="auto"/>
          <w:kern w:val="2"/>
          <w:sz w:val="24"/>
          <w:szCs w:val="24"/>
          <w:highlight w:val="none"/>
        </w:rPr>
        <w:t>按本协议约定提供质量合格、持续稳定的公共服务或产品，并按适用法律要求和本协议约定承担普遍服务义务。</w:t>
      </w:r>
    </w:p>
    <w:p w14:paraId="49DBC839">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（3）</w:t>
      </w:r>
      <w:r>
        <w:rPr>
          <w:rFonts w:hint="eastAsia" w:ascii="Times New Roman" w:hAnsi="Times New Roman" w:eastAsia="方正仿宋_GBK" w:cs="Times New Roman"/>
          <w:caps w:val="0"/>
          <w:smallCaps w:val="0"/>
          <w:color w:val="auto"/>
          <w:kern w:val="2"/>
          <w:sz w:val="24"/>
          <w:szCs w:val="24"/>
          <w:highlight w:val="none"/>
        </w:rPr>
        <w:t>按本协议约定接受甲方的履约监管，按适用法律要求接受和配合相关政府部门对项目的行政监督管理。</w:t>
      </w:r>
    </w:p>
    <w:p w14:paraId="7EC3C73C">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（4）</w:t>
      </w:r>
      <w:r>
        <w:rPr>
          <w:rFonts w:hint="eastAsia" w:ascii="Times New Roman" w:hAnsi="Times New Roman" w:eastAsia="方正仿宋_GBK" w:cs="Times New Roman"/>
          <w:caps w:val="0"/>
          <w:smallCaps w:val="0"/>
          <w:color w:val="auto"/>
          <w:kern w:val="2"/>
          <w:sz w:val="24"/>
          <w:szCs w:val="24"/>
          <w:highlight w:val="none"/>
        </w:rPr>
        <w:t>确保</w:t>
      </w:r>
      <w:r>
        <w:rPr>
          <w:rFonts w:hint="eastAsia" w:ascii="Times New Roman" w:hAnsi="Times New Roman" w:eastAsia="方正仿宋_GBK" w:cs="Times New Roman"/>
          <w:caps w:val="0"/>
          <w:smallCaps w:val="0"/>
          <w:color w:val="auto"/>
          <w:kern w:val="2"/>
          <w:sz w:val="24"/>
          <w:szCs w:val="24"/>
          <w:highlight w:val="none"/>
          <w:lang w:val="en-US" w:eastAsia="zh-CN"/>
        </w:rPr>
        <w:t>特许经营权转让价款</w:t>
      </w:r>
      <w:r>
        <w:rPr>
          <w:rFonts w:hint="eastAsia" w:ascii="Times New Roman" w:hAnsi="Times New Roman" w:eastAsia="方正仿宋_GBK" w:cs="Times New Roman"/>
          <w:caps w:val="0"/>
          <w:smallCaps w:val="0"/>
          <w:color w:val="auto"/>
          <w:kern w:val="2"/>
          <w:sz w:val="24"/>
          <w:szCs w:val="24"/>
          <w:highlight w:val="none"/>
        </w:rPr>
        <w:t>及时足额筹措到位，并合规管理和使用项目资金。</w:t>
      </w:r>
    </w:p>
    <w:p w14:paraId="0A5DAFCE">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（5）</w:t>
      </w:r>
      <w:r>
        <w:rPr>
          <w:rFonts w:hint="eastAsia" w:ascii="Times New Roman" w:hAnsi="Times New Roman" w:eastAsia="方正仿宋_GBK" w:cs="Times New Roman"/>
          <w:caps w:val="0"/>
          <w:smallCaps w:val="0"/>
          <w:color w:val="auto"/>
          <w:kern w:val="2"/>
          <w:sz w:val="24"/>
          <w:szCs w:val="24"/>
          <w:highlight w:val="none"/>
        </w:rPr>
        <w:t>依法取得项目投资、运营涉及的相关行政许可。</w:t>
      </w:r>
    </w:p>
    <w:p w14:paraId="70716F27">
      <w:pPr>
        <w:widowControl w:val="0"/>
        <w:numPr>
          <w:ilvl w:val="0"/>
          <w:numId w:val="0"/>
        </w:numPr>
        <w:tabs>
          <w:tab w:val="left" w:pos="993"/>
        </w:tabs>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olor w:val="auto"/>
          <w:kern w:val="2"/>
          <w:sz w:val="24"/>
          <w:szCs w:val="24"/>
          <w:highlight w:val="none"/>
        </w:rPr>
      </w:pPr>
      <w:r>
        <w:rPr>
          <w:rFonts w:hint="eastAsia" w:ascii="Times New Roman" w:hAnsi="Times New Roman" w:eastAsia="方正仿宋_GBK" w:cs="Times New Roman"/>
          <w:color w:val="auto"/>
          <w:kern w:val="2"/>
          <w:sz w:val="24"/>
          <w:szCs w:val="24"/>
          <w:highlight w:val="none"/>
          <w:lang w:val="en-US" w:eastAsia="zh-CN" w:bidi="ar-SA"/>
        </w:rPr>
        <w:t>（6）</w:t>
      </w:r>
      <w:r>
        <w:rPr>
          <w:rFonts w:hint="eastAsia" w:ascii="Times New Roman" w:hAnsi="Times New Roman" w:eastAsia="方正仿宋_GBK" w:cs="Times New Roman"/>
          <w:color w:val="auto"/>
          <w:kern w:val="2"/>
          <w:sz w:val="24"/>
          <w:szCs w:val="24"/>
          <w:highlight w:val="none"/>
        </w:rPr>
        <w:t>应在</w:t>
      </w:r>
      <w:r>
        <w:rPr>
          <w:rFonts w:hint="eastAsia" w:ascii="Times New Roman" w:hAnsi="Times New Roman" w:eastAsia="方正仿宋_GBK" w:cs="Times New Roman"/>
          <w:color w:val="auto"/>
          <w:kern w:val="2"/>
          <w:sz w:val="24"/>
          <w:szCs w:val="24"/>
          <w:highlight w:val="none"/>
          <w:lang w:val="en-US" w:eastAsia="zh-CN"/>
        </w:rPr>
        <w:t>特许经营</w:t>
      </w:r>
      <w:r>
        <w:rPr>
          <w:rFonts w:hint="eastAsia" w:ascii="Times New Roman" w:hAnsi="Times New Roman" w:eastAsia="方正仿宋_GBK" w:cs="Times New Roman"/>
          <w:color w:val="auto"/>
          <w:kern w:val="2"/>
          <w:sz w:val="24"/>
          <w:szCs w:val="24"/>
          <w:highlight w:val="none"/>
        </w:rPr>
        <w:t>期内按国家、</w:t>
      </w:r>
      <w:r>
        <w:rPr>
          <w:rFonts w:hint="eastAsia" w:ascii="Times New Roman" w:hAnsi="Times New Roman" w:eastAsia="方正仿宋_GBK" w:cs="Times New Roman"/>
          <w:color w:val="auto"/>
          <w:kern w:val="2"/>
          <w:sz w:val="24"/>
          <w:szCs w:val="24"/>
          <w:highlight w:val="none"/>
          <w:lang w:val="en-US" w:eastAsia="zh-CN"/>
        </w:rPr>
        <w:t>江苏</w:t>
      </w:r>
      <w:r>
        <w:rPr>
          <w:rFonts w:hint="eastAsia" w:ascii="Times New Roman" w:hAnsi="Times New Roman" w:eastAsia="方正仿宋_GBK" w:cs="Times New Roman"/>
          <w:color w:val="auto"/>
          <w:kern w:val="2"/>
          <w:sz w:val="24"/>
          <w:szCs w:val="24"/>
          <w:highlight w:val="none"/>
        </w:rPr>
        <w:t>省、</w:t>
      </w:r>
      <w:r>
        <w:rPr>
          <w:rFonts w:hint="eastAsia" w:ascii="Times New Roman" w:hAnsi="Times New Roman" w:eastAsia="方正仿宋_GBK" w:cs="Times New Roman"/>
          <w:color w:val="auto"/>
          <w:kern w:val="2"/>
          <w:sz w:val="24"/>
          <w:szCs w:val="24"/>
          <w:highlight w:val="none"/>
          <w:lang w:val="en-US" w:eastAsia="zh-CN"/>
        </w:rPr>
        <w:t>扬州</w:t>
      </w:r>
      <w:r>
        <w:rPr>
          <w:rFonts w:hint="eastAsia" w:ascii="Times New Roman" w:hAnsi="Times New Roman" w:eastAsia="方正仿宋_GBK" w:cs="Times New Roman"/>
          <w:color w:val="auto"/>
          <w:kern w:val="2"/>
          <w:sz w:val="24"/>
          <w:szCs w:val="24"/>
          <w:highlight w:val="none"/>
        </w:rPr>
        <w:t>市现行的有关规范、标准和要求运营项目设施，保证出水、污泥</w:t>
      </w:r>
      <w:r>
        <w:rPr>
          <w:rFonts w:hint="eastAsia" w:ascii="Times New Roman" w:hAnsi="Times New Roman" w:eastAsia="方正仿宋_GBK" w:cs="Times New Roman"/>
          <w:color w:val="auto"/>
          <w:kern w:val="2"/>
          <w:sz w:val="24"/>
          <w:szCs w:val="24"/>
          <w:highlight w:val="none"/>
          <w:lang w:val="en-US" w:eastAsia="zh-CN"/>
        </w:rPr>
        <w:t>含水率</w:t>
      </w:r>
      <w:r>
        <w:rPr>
          <w:rFonts w:hint="eastAsia" w:ascii="Times New Roman" w:hAnsi="Times New Roman" w:eastAsia="方正仿宋_GBK" w:cs="Times New Roman"/>
          <w:color w:val="auto"/>
          <w:kern w:val="2"/>
          <w:sz w:val="24"/>
          <w:szCs w:val="24"/>
          <w:highlight w:val="none"/>
        </w:rPr>
        <w:t>、大气污染物、噪声达到相关标准，并承担相应的责任和义务。除特许经营协议另有约定外，</w:t>
      </w:r>
      <w:r>
        <w:rPr>
          <w:rFonts w:hint="eastAsia" w:ascii="Times New Roman" w:hAnsi="Times New Roman" w:eastAsia="方正仿宋_GBK" w:cs="Times New Roman"/>
          <w:color w:val="auto"/>
          <w:kern w:val="2"/>
          <w:sz w:val="24"/>
          <w:szCs w:val="24"/>
          <w:highlight w:val="none"/>
          <w:lang w:val="en-US" w:eastAsia="zh-CN"/>
        </w:rPr>
        <w:t>乙方</w:t>
      </w:r>
      <w:r>
        <w:rPr>
          <w:rFonts w:hint="eastAsia" w:ascii="Times New Roman" w:hAnsi="Times New Roman" w:eastAsia="方正仿宋_GBK" w:cs="Times New Roman"/>
          <w:color w:val="auto"/>
          <w:kern w:val="2"/>
          <w:sz w:val="24"/>
          <w:szCs w:val="24"/>
          <w:highlight w:val="none"/>
        </w:rPr>
        <w:t>不得以任何理由暂停服务。</w:t>
      </w:r>
    </w:p>
    <w:p w14:paraId="788283CD">
      <w:pPr>
        <w:widowControl w:val="0"/>
        <w:numPr>
          <w:ilvl w:val="0"/>
          <w:numId w:val="0"/>
        </w:numPr>
        <w:tabs>
          <w:tab w:val="left" w:pos="993"/>
        </w:tabs>
        <w:adjustRightInd w:val="0"/>
        <w:snapToGrid w:val="0"/>
        <w:spacing w:before="0" w:beforeLines="0" w:after="0" w:afterLines="0" w:line="360" w:lineRule="auto"/>
        <w:ind w:left="1" w:firstLine="480" w:firstLineChars="200"/>
        <w:rPr>
          <w:rFonts w:hint="eastAsia" w:ascii="Times New Roman" w:hAnsi="Times New Roman" w:eastAsia="方正仿宋_GBK" w:cs="Times New Roman"/>
          <w:color w:val="auto"/>
          <w:kern w:val="2"/>
          <w:sz w:val="24"/>
          <w:szCs w:val="24"/>
          <w:highlight w:val="none"/>
        </w:rPr>
      </w:pPr>
      <w:r>
        <w:rPr>
          <w:rFonts w:hint="eastAsia" w:ascii="Times New Roman" w:hAnsi="Times New Roman" w:eastAsia="方正仿宋_GBK" w:cs="Times New Roman"/>
          <w:color w:val="auto"/>
          <w:kern w:val="2"/>
          <w:sz w:val="24"/>
          <w:szCs w:val="24"/>
          <w:highlight w:val="none"/>
          <w:lang w:val="en-US" w:eastAsia="zh-CN" w:bidi="ar-SA"/>
        </w:rPr>
        <w:t>（7）</w:t>
      </w:r>
      <w:r>
        <w:rPr>
          <w:rFonts w:hint="eastAsia" w:ascii="Times New Roman" w:hAnsi="Times New Roman" w:eastAsia="方正仿宋_GBK" w:cs="Times New Roman"/>
          <w:color w:val="auto"/>
          <w:kern w:val="2"/>
          <w:sz w:val="24"/>
          <w:szCs w:val="24"/>
          <w:highlight w:val="none"/>
        </w:rPr>
        <w:t>在</w:t>
      </w:r>
      <w:r>
        <w:rPr>
          <w:rFonts w:hint="eastAsia" w:ascii="Times New Roman" w:hAnsi="Times New Roman" w:eastAsia="方正仿宋_GBK" w:cs="Times New Roman"/>
          <w:color w:val="auto"/>
          <w:kern w:val="2"/>
          <w:sz w:val="24"/>
          <w:szCs w:val="24"/>
          <w:highlight w:val="none"/>
          <w:lang w:val="en-US" w:eastAsia="zh-CN"/>
        </w:rPr>
        <w:t>特许经营期</w:t>
      </w:r>
      <w:r>
        <w:rPr>
          <w:rFonts w:hint="eastAsia" w:ascii="Times New Roman" w:hAnsi="Times New Roman" w:eastAsia="方正仿宋_GBK" w:cs="Times New Roman"/>
          <w:color w:val="auto"/>
          <w:kern w:val="2"/>
          <w:sz w:val="24"/>
          <w:szCs w:val="24"/>
          <w:highlight w:val="none"/>
        </w:rPr>
        <w:t>内，</w:t>
      </w:r>
      <w:r>
        <w:rPr>
          <w:rFonts w:hint="eastAsia" w:ascii="Times New Roman" w:hAnsi="Times New Roman" w:eastAsia="方正仿宋_GBK" w:cs="Times New Roman"/>
          <w:color w:val="auto"/>
          <w:kern w:val="2"/>
          <w:sz w:val="24"/>
          <w:szCs w:val="24"/>
          <w:highlight w:val="none"/>
          <w:lang w:val="en-US" w:eastAsia="zh-CN"/>
        </w:rPr>
        <w:t>乙方</w:t>
      </w:r>
      <w:r>
        <w:rPr>
          <w:rFonts w:hint="eastAsia" w:ascii="Times New Roman" w:hAnsi="Times New Roman" w:eastAsia="方正仿宋_GBK" w:cs="Times New Roman"/>
          <w:color w:val="auto"/>
          <w:kern w:val="2"/>
          <w:sz w:val="24"/>
          <w:szCs w:val="24"/>
          <w:highlight w:val="none"/>
        </w:rPr>
        <w:t>应</w:t>
      </w:r>
      <w:r>
        <w:rPr>
          <w:rFonts w:hint="eastAsia" w:ascii="Times New Roman" w:hAnsi="Times New Roman" w:eastAsia="方正仿宋_GBK" w:cs="Times New Roman"/>
          <w:color w:val="auto"/>
          <w:kern w:val="2"/>
          <w:sz w:val="24"/>
          <w:szCs w:val="24"/>
          <w:highlight w:val="none"/>
          <w:lang w:eastAsia="zh-CN"/>
        </w:rPr>
        <w:t>按</w:t>
      </w:r>
      <w:r>
        <w:rPr>
          <w:rFonts w:hint="eastAsia" w:ascii="Times New Roman" w:hAnsi="Times New Roman" w:eastAsia="方正仿宋_GBK" w:cs="Times New Roman"/>
          <w:color w:val="auto"/>
          <w:kern w:val="2"/>
          <w:sz w:val="24"/>
          <w:szCs w:val="24"/>
          <w:highlight w:val="none"/>
          <w:lang w:val="en-US" w:eastAsia="zh-CN"/>
        </w:rPr>
        <w:t>最大</w:t>
      </w:r>
      <w:r>
        <w:rPr>
          <w:rFonts w:hint="eastAsia" w:ascii="Times New Roman" w:hAnsi="Times New Roman" w:eastAsia="方正仿宋_GBK" w:cs="Times New Roman"/>
          <w:color w:val="auto"/>
          <w:kern w:val="2"/>
          <w:sz w:val="24"/>
          <w:szCs w:val="24"/>
          <w:highlight w:val="none"/>
        </w:rPr>
        <w:t>处理能力</w:t>
      </w:r>
      <w:r>
        <w:rPr>
          <w:rFonts w:hint="eastAsia" w:ascii="Times New Roman" w:hAnsi="Times New Roman" w:eastAsia="方正仿宋_GBK" w:cs="Times New Roman"/>
          <w:color w:val="auto"/>
          <w:kern w:val="2"/>
          <w:sz w:val="24"/>
          <w:szCs w:val="24"/>
          <w:highlight w:val="none"/>
          <w:lang w:val="en-US" w:eastAsia="zh-CN"/>
        </w:rPr>
        <w:t>处理特许经营范围内的污水</w:t>
      </w:r>
      <w:r>
        <w:rPr>
          <w:rFonts w:hint="eastAsia" w:ascii="Times New Roman" w:hAnsi="Times New Roman" w:eastAsia="方正仿宋_GBK" w:cs="Times New Roman"/>
          <w:color w:val="auto"/>
          <w:kern w:val="2"/>
          <w:sz w:val="24"/>
          <w:szCs w:val="24"/>
          <w:highlight w:val="none"/>
        </w:rPr>
        <w:t>，并且未经</w:t>
      </w:r>
      <w:r>
        <w:rPr>
          <w:rFonts w:hint="eastAsia" w:ascii="Times New Roman" w:hAnsi="Times New Roman" w:eastAsia="方正仿宋_GBK" w:cs="Times New Roman"/>
          <w:color w:val="auto"/>
          <w:kern w:val="2"/>
          <w:sz w:val="24"/>
          <w:szCs w:val="24"/>
          <w:highlight w:val="none"/>
          <w:lang w:val="en-US" w:eastAsia="zh-CN"/>
        </w:rPr>
        <w:t>甲方事先</w:t>
      </w:r>
      <w:r>
        <w:rPr>
          <w:rFonts w:hint="eastAsia" w:ascii="Times New Roman" w:hAnsi="Times New Roman" w:eastAsia="方正仿宋_GBK" w:cs="Times New Roman"/>
          <w:color w:val="auto"/>
          <w:kern w:val="2"/>
          <w:sz w:val="24"/>
          <w:szCs w:val="24"/>
          <w:highlight w:val="none"/>
        </w:rPr>
        <w:t>同意不得为任何第三方处理污水，也不得将污染物总量指标转让给第三方。</w:t>
      </w:r>
    </w:p>
    <w:p w14:paraId="100A1FBA">
      <w:pPr>
        <w:widowControl w:val="0"/>
        <w:numPr>
          <w:ilvl w:val="0"/>
          <w:numId w:val="0"/>
        </w:numPr>
        <w:tabs>
          <w:tab w:val="left" w:pos="993"/>
        </w:tabs>
        <w:adjustRightInd w:val="0"/>
        <w:snapToGrid w:val="0"/>
        <w:spacing w:before="0" w:beforeLines="0" w:after="0" w:afterLines="0" w:line="360" w:lineRule="auto"/>
        <w:ind w:left="1" w:firstLine="480" w:firstLineChars="200"/>
        <w:rPr>
          <w:rFonts w:hint="eastAsia" w:ascii="Times New Roman" w:hAnsi="Times New Roman" w:eastAsia="方正仿宋_GBK" w:cs="Times New Roman"/>
          <w:color w:val="auto"/>
          <w:kern w:val="2"/>
          <w:sz w:val="24"/>
          <w:szCs w:val="24"/>
          <w:highlight w:val="none"/>
        </w:rPr>
      </w:pPr>
      <w:r>
        <w:rPr>
          <w:rFonts w:hint="eastAsia" w:ascii="Times New Roman" w:hAnsi="Times New Roman" w:eastAsia="方正仿宋_GBK" w:cs="Times New Roman"/>
          <w:color w:val="auto"/>
          <w:kern w:val="2"/>
          <w:sz w:val="24"/>
          <w:szCs w:val="24"/>
          <w:highlight w:val="none"/>
          <w:lang w:val="en-US" w:eastAsia="zh-CN" w:bidi="ar-SA"/>
        </w:rPr>
        <w:t>（8）</w:t>
      </w:r>
      <w:r>
        <w:rPr>
          <w:rFonts w:hint="eastAsia" w:ascii="Times New Roman" w:hAnsi="Times New Roman" w:eastAsia="方正仿宋_GBK" w:cs="Times New Roman"/>
          <w:color w:val="auto"/>
          <w:kern w:val="2"/>
          <w:sz w:val="24"/>
          <w:szCs w:val="24"/>
          <w:highlight w:val="none"/>
          <w:lang w:val="en-US" w:eastAsia="zh-CN"/>
        </w:rPr>
        <w:t>乙方</w:t>
      </w:r>
      <w:r>
        <w:rPr>
          <w:rFonts w:hint="eastAsia" w:ascii="Times New Roman" w:hAnsi="Times New Roman" w:eastAsia="方正仿宋_GBK" w:cs="Times New Roman"/>
          <w:color w:val="auto"/>
          <w:kern w:val="2"/>
          <w:sz w:val="24"/>
          <w:szCs w:val="24"/>
          <w:highlight w:val="none"/>
        </w:rPr>
        <w:t>应按照中国法律、行业标准、有关规范运营，从业人员应按中国法律的有关规定取得相应的资格和证书</w:t>
      </w:r>
      <w:r>
        <w:rPr>
          <w:rFonts w:hint="eastAsia" w:ascii="Times New Roman" w:hAnsi="Times New Roman" w:eastAsia="方正仿宋_GBK" w:cs="Times New Roman"/>
          <w:color w:val="auto"/>
          <w:kern w:val="2"/>
          <w:sz w:val="24"/>
          <w:szCs w:val="24"/>
          <w:highlight w:val="none"/>
          <w:lang w:eastAsia="zh-CN"/>
        </w:rPr>
        <w:t>，</w:t>
      </w:r>
      <w:r>
        <w:rPr>
          <w:rFonts w:hint="eastAsia" w:ascii="Times New Roman" w:hAnsi="Times New Roman" w:eastAsia="方正仿宋_GBK" w:cs="Times New Roman"/>
          <w:color w:val="auto"/>
          <w:kern w:val="2"/>
          <w:sz w:val="24"/>
          <w:szCs w:val="24"/>
          <w:highlight w:val="none"/>
        </w:rPr>
        <w:t>污水、污泥处理过程中所添加药剂种类和成分符合相关标准。</w:t>
      </w:r>
    </w:p>
    <w:p w14:paraId="7087BBD1">
      <w:pPr>
        <w:widowControl w:val="0"/>
        <w:numPr>
          <w:ilvl w:val="0"/>
          <w:numId w:val="0"/>
        </w:numPr>
        <w:tabs>
          <w:tab w:val="left" w:pos="993"/>
        </w:tabs>
        <w:adjustRightInd w:val="0"/>
        <w:snapToGrid w:val="0"/>
        <w:spacing w:before="0" w:beforeLines="0" w:after="0" w:afterLines="0" w:line="360" w:lineRule="auto"/>
        <w:ind w:left="1" w:firstLine="480" w:firstLineChars="200"/>
        <w:rPr>
          <w:rFonts w:hint="eastAsia" w:ascii="Times New Roman" w:hAnsi="Times New Roman" w:eastAsia="方正仿宋_GBK" w:cs="Times New Roman"/>
          <w:color w:val="auto"/>
          <w:kern w:val="2"/>
          <w:sz w:val="24"/>
          <w:szCs w:val="24"/>
          <w:highlight w:val="none"/>
        </w:rPr>
      </w:pPr>
      <w:r>
        <w:rPr>
          <w:rFonts w:hint="eastAsia" w:ascii="Times New Roman" w:hAnsi="Times New Roman" w:eastAsia="方正仿宋_GBK" w:cs="Times New Roman"/>
          <w:color w:val="auto"/>
          <w:kern w:val="2"/>
          <w:sz w:val="24"/>
          <w:szCs w:val="24"/>
          <w:highlight w:val="none"/>
          <w:lang w:val="en-US" w:eastAsia="zh-CN" w:bidi="ar-SA"/>
        </w:rPr>
        <w:t>（9）</w:t>
      </w:r>
      <w:r>
        <w:rPr>
          <w:rFonts w:hint="eastAsia" w:ascii="Times New Roman" w:hAnsi="Times New Roman" w:eastAsia="方正仿宋_GBK" w:cs="Times New Roman"/>
          <w:color w:val="auto"/>
          <w:kern w:val="2"/>
          <w:sz w:val="24"/>
          <w:szCs w:val="24"/>
          <w:highlight w:val="none"/>
        </w:rPr>
        <w:t>应在</w:t>
      </w:r>
      <w:r>
        <w:rPr>
          <w:rFonts w:hint="eastAsia" w:ascii="Times New Roman" w:hAnsi="Times New Roman" w:eastAsia="方正仿宋_GBK" w:cs="Times New Roman"/>
          <w:color w:val="auto"/>
          <w:kern w:val="2"/>
          <w:sz w:val="24"/>
          <w:szCs w:val="24"/>
          <w:highlight w:val="none"/>
          <w:lang w:eastAsia="zh-CN"/>
        </w:rPr>
        <w:t>特许经营期</w:t>
      </w:r>
      <w:r>
        <w:rPr>
          <w:rFonts w:hint="eastAsia" w:ascii="Times New Roman" w:hAnsi="Times New Roman" w:eastAsia="方正仿宋_GBK" w:cs="Times New Roman"/>
          <w:color w:val="auto"/>
          <w:kern w:val="2"/>
          <w:sz w:val="24"/>
          <w:szCs w:val="24"/>
          <w:highlight w:val="none"/>
        </w:rPr>
        <w:t>内，遵照</w:t>
      </w:r>
      <w:r>
        <w:rPr>
          <w:rFonts w:hint="eastAsia" w:ascii="Times New Roman" w:hAnsi="Times New Roman" w:eastAsia="方正仿宋_GBK" w:cs="Times New Roman"/>
          <w:color w:val="auto"/>
          <w:kern w:val="2"/>
          <w:sz w:val="24"/>
          <w:szCs w:val="24"/>
          <w:highlight w:val="none"/>
          <w:lang w:val="en-US" w:eastAsia="zh-CN"/>
        </w:rPr>
        <w:t>现行或届时</w:t>
      </w:r>
      <w:r>
        <w:rPr>
          <w:rFonts w:hint="eastAsia" w:ascii="Times New Roman" w:hAnsi="Times New Roman" w:eastAsia="方正仿宋_GBK" w:cs="Times New Roman"/>
          <w:color w:val="auto"/>
          <w:kern w:val="2"/>
          <w:sz w:val="24"/>
          <w:szCs w:val="24"/>
          <w:highlight w:val="none"/>
        </w:rPr>
        <w:t>法律的有关规定，做好环境保护的工作，确保项目设施始终处于良好营运状态。</w:t>
      </w:r>
    </w:p>
    <w:p w14:paraId="47BB0F17">
      <w:pPr>
        <w:widowControl w:val="0"/>
        <w:numPr>
          <w:ilvl w:val="0"/>
          <w:numId w:val="0"/>
        </w:numPr>
        <w:tabs>
          <w:tab w:val="left" w:pos="993"/>
        </w:tabs>
        <w:adjustRightInd w:val="0"/>
        <w:snapToGrid w:val="0"/>
        <w:spacing w:before="0" w:beforeLines="0" w:after="0" w:afterLines="0" w:line="360" w:lineRule="auto"/>
        <w:ind w:left="1" w:firstLine="480" w:firstLineChars="200"/>
        <w:rPr>
          <w:rFonts w:hint="eastAsia" w:ascii="Times New Roman" w:hAnsi="Times New Roman" w:eastAsia="方正仿宋_GBK" w:cs="Times New Roman"/>
          <w:color w:val="auto"/>
          <w:kern w:val="2"/>
          <w:sz w:val="24"/>
          <w:szCs w:val="24"/>
          <w:highlight w:val="none"/>
        </w:rPr>
      </w:pPr>
      <w:r>
        <w:rPr>
          <w:rFonts w:hint="eastAsia" w:ascii="Times New Roman" w:hAnsi="Times New Roman" w:eastAsia="方正仿宋_GBK" w:cs="Times New Roman"/>
          <w:color w:val="auto"/>
          <w:kern w:val="2"/>
          <w:sz w:val="24"/>
          <w:szCs w:val="24"/>
          <w:highlight w:val="none"/>
          <w:lang w:val="en-US" w:eastAsia="zh-CN" w:bidi="ar-SA"/>
        </w:rPr>
        <w:t>（10）</w:t>
      </w:r>
      <w:r>
        <w:rPr>
          <w:rFonts w:hint="eastAsia" w:ascii="Times New Roman" w:hAnsi="Times New Roman" w:eastAsia="方正仿宋_GBK" w:cs="Times New Roman"/>
          <w:color w:val="auto"/>
          <w:kern w:val="2"/>
          <w:sz w:val="24"/>
          <w:szCs w:val="24"/>
          <w:highlight w:val="none"/>
        </w:rPr>
        <w:t>应对其提供的所有资料的真实性和合法性负全部责任。</w:t>
      </w:r>
    </w:p>
    <w:p w14:paraId="11C620DA">
      <w:pPr>
        <w:widowControl w:val="0"/>
        <w:numPr>
          <w:ilvl w:val="0"/>
          <w:numId w:val="0"/>
        </w:numPr>
        <w:tabs>
          <w:tab w:val="left" w:pos="993"/>
        </w:tabs>
        <w:adjustRightInd w:val="0"/>
        <w:snapToGrid w:val="0"/>
        <w:spacing w:before="0" w:beforeLines="0" w:after="0" w:afterLines="0" w:line="360" w:lineRule="auto"/>
        <w:ind w:left="1" w:firstLine="480" w:firstLineChars="200"/>
        <w:rPr>
          <w:rFonts w:hint="eastAsia" w:ascii="Times New Roman" w:hAnsi="Times New Roman" w:eastAsia="方正仿宋_GBK" w:cs="Times New Roman"/>
          <w:color w:val="auto"/>
          <w:kern w:val="2"/>
          <w:sz w:val="24"/>
          <w:szCs w:val="24"/>
          <w:highlight w:val="none"/>
        </w:rPr>
      </w:pPr>
      <w:r>
        <w:rPr>
          <w:rFonts w:hint="eastAsia" w:ascii="Times New Roman" w:hAnsi="Times New Roman" w:eastAsia="方正仿宋_GBK" w:cs="Times New Roman"/>
          <w:color w:val="auto"/>
          <w:kern w:val="2"/>
          <w:sz w:val="24"/>
          <w:szCs w:val="24"/>
          <w:highlight w:val="none"/>
          <w:lang w:val="en-US" w:eastAsia="zh-CN" w:bidi="ar-SA"/>
        </w:rPr>
        <w:t>（11）</w:t>
      </w:r>
      <w:r>
        <w:rPr>
          <w:rFonts w:hint="eastAsia" w:ascii="Times New Roman" w:hAnsi="Times New Roman" w:eastAsia="方正仿宋_GBK" w:cs="Times New Roman"/>
          <w:color w:val="auto"/>
          <w:kern w:val="2"/>
          <w:sz w:val="24"/>
          <w:szCs w:val="24"/>
          <w:highlight w:val="none"/>
        </w:rPr>
        <w:t>应按照</w:t>
      </w:r>
      <w:r>
        <w:rPr>
          <w:rFonts w:hint="eastAsia" w:ascii="Times New Roman" w:hAnsi="Times New Roman" w:eastAsia="方正仿宋_GBK" w:cs="Times New Roman"/>
          <w:color w:val="auto"/>
          <w:kern w:val="2"/>
          <w:sz w:val="24"/>
          <w:szCs w:val="24"/>
          <w:highlight w:val="none"/>
          <w:lang w:val="en-US" w:eastAsia="zh-CN"/>
        </w:rPr>
        <w:t>经甲方同意的</w:t>
      </w:r>
      <w:r>
        <w:rPr>
          <w:rFonts w:hint="eastAsia" w:ascii="Times New Roman" w:hAnsi="Times New Roman" w:eastAsia="方正仿宋_GBK" w:cs="Times New Roman"/>
          <w:color w:val="auto"/>
          <w:kern w:val="2"/>
          <w:sz w:val="24"/>
          <w:szCs w:val="24"/>
          <w:highlight w:val="none"/>
        </w:rPr>
        <w:t>设计</w:t>
      </w:r>
      <w:r>
        <w:rPr>
          <w:rFonts w:hint="eastAsia" w:ascii="Times New Roman" w:hAnsi="Times New Roman" w:eastAsia="方正仿宋_GBK" w:cs="Times New Roman"/>
          <w:color w:val="auto"/>
          <w:kern w:val="2"/>
          <w:sz w:val="24"/>
          <w:szCs w:val="24"/>
          <w:highlight w:val="none"/>
          <w:lang w:val="en-US" w:eastAsia="zh-CN"/>
        </w:rPr>
        <w:t>方案</w:t>
      </w:r>
      <w:r>
        <w:rPr>
          <w:rFonts w:hint="eastAsia" w:ascii="Times New Roman" w:hAnsi="Times New Roman" w:eastAsia="方正仿宋_GBK" w:cs="Times New Roman"/>
          <w:color w:val="auto"/>
          <w:kern w:val="2"/>
          <w:sz w:val="24"/>
          <w:szCs w:val="24"/>
          <w:highlight w:val="none"/>
        </w:rPr>
        <w:t>以及特许经营协议要求维修或重置项目设施，工程建设质量应符合国家及地方的相关法规以及</w:t>
      </w:r>
      <w:r>
        <w:rPr>
          <w:rFonts w:hint="eastAsia" w:ascii="Times New Roman" w:hAnsi="Times New Roman" w:eastAsia="方正仿宋_GBK" w:cs="Times New Roman"/>
          <w:color w:val="auto"/>
          <w:kern w:val="2"/>
          <w:sz w:val="24"/>
          <w:szCs w:val="24"/>
          <w:highlight w:val="none"/>
          <w:lang w:eastAsia="zh-CN"/>
        </w:rPr>
        <w:t>其他</w:t>
      </w:r>
      <w:r>
        <w:rPr>
          <w:rFonts w:hint="eastAsia" w:ascii="Times New Roman" w:hAnsi="Times New Roman" w:eastAsia="方正仿宋_GBK" w:cs="Times New Roman"/>
          <w:color w:val="auto"/>
          <w:kern w:val="2"/>
          <w:sz w:val="24"/>
          <w:szCs w:val="24"/>
          <w:highlight w:val="none"/>
        </w:rPr>
        <w:t>规范性文件要求的合格标准。</w:t>
      </w:r>
    </w:p>
    <w:p w14:paraId="7FA13C19">
      <w:pPr>
        <w:widowControl w:val="0"/>
        <w:numPr>
          <w:ilvl w:val="0"/>
          <w:numId w:val="0"/>
        </w:numPr>
        <w:tabs>
          <w:tab w:val="left" w:pos="993"/>
        </w:tabs>
        <w:adjustRightInd w:val="0"/>
        <w:snapToGrid w:val="0"/>
        <w:spacing w:before="0" w:beforeLines="0" w:after="0" w:afterLines="0" w:line="360" w:lineRule="auto"/>
        <w:ind w:left="1" w:firstLine="480" w:firstLineChars="200"/>
        <w:rPr>
          <w:rFonts w:hint="eastAsia" w:ascii="Times New Roman" w:hAnsi="Times New Roman" w:eastAsia="方正仿宋_GBK" w:cs="Times New Roman"/>
          <w:color w:val="auto"/>
          <w:kern w:val="2"/>
          <w:sz w:val="24"/>
          <w:szCs w:val="24"/>
          <w:highlight w:val="none"/>
        </w:rPr>
      </w:pPr>
      <w:r>
        <w:rPr>
          <w:rFonts w:hint="eastAsia" w:ascii="Times New Roman" w:hAnsi="Times New Roman" w:eastAsia="方正仿宋_GBK" w:cs="Times New Roman"/>
          <w:color w:val="auto"/>
          <w:kern w:val="2"/>
          <w:sz w:val="24"/>
          <w:szCs w:val="24"/>
          <w:highlight w:val="none"/>
          <w:lang w:val="en-US" w:eastAsia="zh-CN" w:bidi="ar-SA"/>
        </w:rPr>
        <w:t>（12）</w:t>
      </w:r>
      <w:r>
        <w:rPr>
          <w:rFonts w:hint="eastAsia" w:ascii="Times New Roman" w:hAnsi="Times New Roman" w:eastAsia="方正仿宋_GBK" w:cs="Times New Roman"/>
          <w:color w:val="auto"/>
          <w:kern w:val="2"/>
          <w:sz w:val="24"/>
          <w:szCs w:val="24"/>
          <w:highlight w:val="none"/>
        </w:rPr>
        <w:t>项目</w:t>
      </w:r>
      <w:r>
        <w:rPr>
          <w:rFonts w:hint="eastAsia" w:ascii="Times New Roman" w:hAnsi="Times New Roman" w:eastAsia="方正仿宋_GBK" w:cs="Times New Roman"/>
          <w:color w:val="auto"/>
          <w:kern w:val="2"/>
          <w:sz w:val="24"/>
          <w:szCs w:val="24"/>
          <w:highlight w:val="none"/>
          <w:lang w:eastAsia="zh-CN"/>
        </w:rPr>
        <w:t>特许经营期</w:t>
      </w:r>
      <w:r>
        <w:rPr>
          <w:rFonts w:hint="eastAsia" w:ascii="Times New Roman" w:hAnsi="Times New Roman" w:eastAsia="方正仿宋_GBK" w:cs="Times New Roman"/>
          <w:color w:val="auto"/>
          <w:kern w:val="2"/>
          <w:sz w:val="24"/>
          <w:szCs w:val="24"/>
          <w:highlight w:val="none"/>
        </w:rPr>
        <w:t>满后，</w:t>
      </w:r>
      <w:r>
        <w:rPr>
          <w:rFonts w:hint="eastAsia" w:ascii="Times New Roman" w:hAnsi="Times New Roman" w:eastAsia="方正仿宋_GBK" w:cs="Times New Roman"/>
          <w:caps w:val="0"/>
          <w:smallCaps w:val="0"/>
          <w:color w:val="auto"/>
          <w:kern w:val="2"/>
          <w:sz w:val="24"/>
          <w:szCs w:val="24"/>
          <w:highlight w:val="none"/>
        </w:rPr>
        <w:t>按本协议约定</w:t>
      </w:r>
      <w:r>
        <w:rPr>
          <w:rFonts w:hint="eastAsia" w:ascii="Times New Roman" w:hAnsi="Times New Roman" w:eastAsia="方正仿宋_GBK" w:cs="Times New Roman"/>
          <w:color w:val="auto"/>
          <w:kern w:val="2"/>
          <w:sz w:val="24"/>
          <w:szCs w:val="24"/>
          <w:highlight w:val="none"/>
        </w:rPr>
        <w:t>将项目范围内的全部设施的使用权、</w:t>
      </w:r>
      <w:r>
        <w:rPr>
          <w:rFonts w:hint="eastAsia" w:ascii="Times New Roman" w:hAnsi="Times New Roman" w:eastAsia="方正仿宋_GBK" w:cs="Times New Roman"/>
          <w:color w:val="auto"/>
          <w:kern w:val="2"/>
          <w:sz w:val="24"/>
          <w:szCs w:val="24"/>
          <w:highlight w:val="none"/>
          <w:lang w:val="en-US" w:eastAsia="zh-CN"/>
        </w:rPr>
        <w:t>特许</w:t>
      </w:r>
      <w:r>
        <w:rPr>
          <w:rFonts w:hint="eastAsia" w:ascii="Times New Roman" w:hAnsi="Times New Roman" w:eastAsia="方正仿宋_GBK" w:cs="Times New Roman"/>
          <w:color w:val="auto"/>
          <w:kern w:val="2"/>
          <w:sz w:val="24"/>
          <w:szCs w:val="24"/>
          <w:highlight w:val="none"/>
        </w:rPr>
        <w:t>经营权和收益权无偿移交</w:t>
      </w:r>
      <w:r>
        <w:rPr>
          <w:rFonts w:hint="eastAsia" w:ascii="Times New Roman" w:hAnsi="Times New Roman" w:eastAsia="方正仿宋_GBK" w:cs="Times New Roman"/>
          <w:color w:val="auto"/>
          <w:kern w:val="2"/>
          <w:sz w:val="24"/>
          <w:szCs w:val="24"/>
          <w:highlight w:val="none"/>
          <w:lang w:eastAsia="zh-CN"/>
        </w:rPr>
        <w:t>甲方</w:t>
      </w:r>
      <w:r>
        <w:rPr>
          <w:rFonts w:hint="eastAsia" w:ascii="Times New Roman" w:hAnsi="Times New Roman" w:eastAsia="方正仿宋_GBK" w:cs="Times New Roman"/>
          <w:color w:val="auto"/>
          <w:kern w:val="2"/>
          <w:sz w:val="24"/>
          <w:szCs w:val="24"/>
          <w:highlight w:val="none"/>
        </w:rPr>
        <w:t>或其指定的其他机构。</w:t>
      </w:r>
    </w:p>
    <w:p w14:paraId="7AC661F1">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（13）</w:t>
      </w:r>
      <w:r>
        <w:rPr>
          <w:rFonts w:hint="eastAsia" w:ascii="Times New Roman" w:hAnsi="Times New Roman" w:eastAsia="方正仿宋_GBK" w:cs="Times New Roman"/>
          <w:caps w:val="0"/>
          <w:smallCaps w:val="0"/>
          <w:color w:val="auto"/>
          <w:kern w:val="2"/>
          <w:sz w:val="24"/>
          <w:szCs w:val="24"/>
          <w:highlight w:val="none"/>
        </w:rPr>
        <w:t>按本协议和适用法律及时公开项目信息，如乙方为外商投资企业，还应依法依规履行外商投资信息报告义务。</w:t>
      </w:r>
    </w:p>
    <w:p w14:paraId="7C6299EC">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（14）</w:t>
      </w:r>
      <w:r>
        <w:rPr>
          <w:rFonts w:hint="eastAsia" w:ascii="Times New Roman" w:hAnsi="Times New Roman" w:eastAsia="方正仿宋_GBK" w:cs="Times New Roman"/>
          <w:caps w:val="0"/>
          <w:smallCaps w:val="0"/>
          <w:color w:val="auto"/>
          <w:kern w:val="2"/>
          <w:sz w:val="24"/>
          <w:szCs w:val="24"/>
          <w:highlight w:val="none"/>
        </w:rPr>
        <w:t>本协议约定和适用法律确定的其他义务。</w:t>
      </w:r>
    </w:p>
    <w:p w14:paraId="39EE3FAC">
      <w:pPr>
        <w:numPr>
          <w:ilvl w:val="0"/>
          <w:numId w:val="0"/>
        </w:numPr>
        <w:spacing w:before="156" w:after="156"/>
        <w:ind w:left="0" w:firstLine="0"/>
        <w:jc w:val="center"/>
        <w:outlineLvl w:val="0"/>
        <w:rPr>
          <w:rFonts w:ascii="Times New Roman" w:hAnsi="Times New Roman" w:eastAsia="方正仿宋_GBK" w:cs="Times New Roman"/>
          <w:caps w:val="0"/>
          <w:smallCaps w:val="0"/>
          <w:color w:val="auto"/>
          <w:kern w:val="2"/>
          <w:sz w:val="28"/>
          <w:szCs w:val="28"/>
          <w:highlight w:val="none"/>
          <w:lang w:val="en-US" w:eastAsia="zh-CN" w:bidi="ar-SA"/>
        </w:rPr>
      </w:pPr>
      <w:r>
        <w:rPr>
          <w:rFonts w:ascii="Times New Roman" w:hAnsi="Times New Roman" w:eastAsia="方正仿宋_GBK" w:cs="Times New Roman"/>
          <w:caps w:val="0"/>
          <w:smallCaps w:val="0"/>
          <w:color w:val="auto"/>
          <w:kern w:val="2"/>
          <w:sz w:val="28"/>
          <w:szCs w:val="28"/>
          <w:highlight w:val="none"/>
          <w:lang w:val="en-US" w:eastAsia="zh-CN" w:bidi="ar-SA"/>
        </w:rPr>
        <w:br w:type="page"/>
      </w:r>
      <w:bookmarkStart w:id="135" w:name="_Toc4429"/>
      <w:bookmarkStart w:id="136" w:name="_Toc32588"/>
      <w:bookmarkStart w:id="137" w:name="_Toc2016267608"/>
      <w:r>
        <w:rPr>
          <w:rFonts w:hint="eastAsia" w:ascii="Times New Roman" w:hAnsi="Times New Roman" w:eastAsia="方正黑体_GBK" w:cs="方正黑体_GBK"/>
          <w:caps w:val="0"/>
          <w:smallCaps w:val="0"/>
          <w:color w:val="auto"/>
          <w:kern w:val="2"/>
          <w:sz w:val="28"/>
          <w:szCs w:val="28"/>
          <w:highlight w:val="none"/>
          <w:lang w:val="en-US" w:eastAsia="zh-CN" w:bidi="ar-SA"/>
        </w:rPr>
        <w:t>第三章 特许经营授权及资产权属</w:t>
      </w:r>
      <w:bookmarkEnd w:id="135"/>
      <w:bookmarkEnd w:id="136"/>
      <w:bookmarkEnd w:id="137"/>
    </w:p>
    <w:p w14:paraId="69C79B4F">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138" w:name="_Toc47260053"/>
      <w:bookmarkStart w:id="139" w:name="_Toc162795611"/>
      <w:bookmarkStart w:id="140" w:name="_Toc11954"/>
      <w:bookmarkStart w:id="141" w:name="_Toc17325"/>
      <w:r>
        <w:rPr>
          <w:rFonts w:hint="eastAsia" w:ascii="Times New Roman" w:hAnsi="Times New Roman" w:eastAsia="方正黑体_GBK" w:cs="方正黑体_GBK"/>
          <w:bCs/>
          <w:caps w:val="0"/>
          <w:smallCaps w:val="0"/>
          <w:color w:val="auto"/>
          <w:kern w:val="2"/>
          <w:sz w:val="28"/>
          <w:szCs w:val="28"/>
          <w:highlight w:val="none"/>
          <w:lang w:val="en-US" w:eastAsia="zh-CN" w:bidi="ar-SA"/>
        </w:rPr>
        <w:t>第8条 特许经营授予程序及遵守</w:t>
      </w:r>
      <w:bookmarkEnd w:id="138"/>
      <w:bookmarkEnd w:id="139"/>
      <w:bookmarkEnd w:id="140"/>
      <w:bookmarkEnd w:id="141"/>
    </w:p>
    <w:p w14:paraId="6700D60E">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1.</w:t>
      </w:r>
      <w:r>
        <w:rPr>
          <w:rFonts w:hint="eastAsia" w:ascii="Times New Roman" w:hAnsi="Times New Roman" w:eastAsia="方正仿宋_GBK" w:cs="Times New Roman"/>
          <w:caps w:val="0"/>
          <w:smallCaps w:val="0"/>
          <w:color w:val="auto"/>
          <w:kern w:val="2"/>
          <w:sz w:val="24"/>
          <w:szCs w:val="24"/>
          <w:highlight w:val="none"/>
        </w:rPr>
        <w:t>自本协议生效之日起，乙方</w:t>
      </w:r>
      <w:r>
        <w:rPr>
          <w:rFonts w:hint="eastAsia" w:ascii="Times New Roman" w:hAnsi="Times New Roman" w:eastAsia="方正仿宋_GBK" w:cs="Times New Roman"/>
          <w:caps w:val="0"/>
          <w:smallCaps w:val="0"/>
          <w:color w:val="auto"/>
          <w:kern w:val="2"/>
          <w:sz w:val="24"/>
          <w:szCs w:val="24"/>
          <w:highlight w:val="none"/>
          <w:lang w:val="en-US" w:eastAsia="zh-CN"/>
        </w:rPr>
        <w:t>支付特许经营权转让价款，</w:t>
      </w:r>
      <w:r>
        <w:rPr>
          <w:rFonts w:hint="eastAsia" w:ascii="Times New Roman" w:hAnsi="Times New Roman" w:eastAsia="方正仿宋_GBK" w:cs="Times New Roman"/>
          <w:caps w:val="0"/>
          <w:smallCaps w:val="0"/>
          <w:color w:val="auto"/>
          <w:kern w:val="2"/>
          <w:sz w:val="24"/>
          <w:szCs w:val="24"/>
          <w:highlight w:val="none"/>
        </w:rPr>
        <w:t>在特许经营期内获得本项目特许经营授权。</w:t>
      </w:r>
    </w:p>
    <w:p w14:paraId="3DABD96E">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2.</w:t>
      </w:r>
      <w:r>
        <w:rPr>
          <w:rFonts w:hint="eastAsia" w:ascii="Times New Roman" w:hAnsi="Times New Roman" w:eastAsia="方正仿宋_GBK" w:cs="Times New Roman"/>
          <w:caps w:val="0"/>
          <w:smallCaps w:val="0"/>
          <w:color w:val="auto"/>
          <w:kern w:val="2"/>
          <w:sz w:val="24"/>
          <w:szCs w:val="24"/>
          <w:highlight w:val="none"/>
        </w:rPr>
        <w:t>甲方依照政府的授权，有权依照适用法律及本协议约定的程序变更或终止已经向乙方授予的特许经营相关权利。前述行为如对乙方造成损失的，甲方应依照适用法律或本协议约定的条件和程序给予乙方相应的补偿，或提请政府给予乙方相应的补偿，但本协议另有约定的除外。</w:t>
      </w:r>
    </w:p>
    <w:p w14:paraId="669F732F">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3.</w:t>
      </w:r>
      <w:r>
        <w:rPr>
          <w:rFonts w:hint="eastAsia" w:ascii="Times New Roman" w:hAnsi="Times New Roman" w:eastAsia="方正仿宋_GBK" w:cs="Times New Roman"/>
          <w:caps w:val="0"/>
          <w:smallCaps w:val="0"/>
          <w:color w:val="auto"/>
          <w:kern w:val="2"/>
          <w:sz w:val="24"/>
          <w:szCs w:val="24"/>
          <w:highlight w:val="none"/>
          <w:lang w:eastAsia="zh-CN"/>
        </w:rPr>
        <w:t>乙方</w:t>
      </w:r>
      <w:r>
        <w:rPr>
          <w:rFonts w:hint="eastAsia" w:ascii="Times New Roman" w:hAnsi="Times New Roman" w:eastAsia="方正仿宋_GBK" w:cs="Times New Roman"/>
          <w:caps w:val="0"/>
          <w:smallCaps w:val="0"/>
          <w:color w:val="auto"/>
          <w:kern w:val="2"/>
          <w:sz w:val="24"/>
          <w:szCs w:val="24"/>
          <w:highlight w:val="none"/>
        </w:rPr>
        <w:t>不得对外投资或从事特许经营授权范围之外的其他违反本协议目的经营活动，但在项目运营过程中合法创新经营模式获取收益且不对提供本项目项下公共服务造成不利影响的情形除外。</w:t>
      </w:r>
    </w:p>
    <w:p w14:paraId="7578CD84">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4.</w:t>
      </w:r>
      <w:r>
        <w:rPr>
          <w:rFonts w:hint="eastAsia" w:ascii="Times New Roman" w:hAnsi="Times New Roman" w:eastAsia="方正仿宋_GBK" w:cs="Times New Roman"/>
          <w:caps w:val="0"/>
          <w:smallCaps w:val="0"/>
          <w:color w:val="auto"/>
          <w:kern w:val="2"/>
          <w:sz w:val="24"/>
          <w:szCs w:val="24"/>
          <w:highlight w:val="none"/>
        </w:rPr>
        <w:t>乙方不得将依据本协议授予的特许经营相关权利进行转让、出租或质押，但依据本协议和适用法律在不减损甲方权利和乙方义务的情况下为项目进行融资或再融资目的并经甲方同意而进行的收益权转让、质押除外。</w:t>
      </w:r>
    </w:p>
    <w:p w14:paraId="4AEB0A6F">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142" w:name="_Toc531939859"/>
      <w:bookmarkStart w:id="143" w:name="_Toc31825"/>
      <w:bookmarkStart w:id="144" w:name="_Toc16259"/>
      <w:r>
        <w:rPr>
          <w:rFonts w:hint="eastAsia" w:ascii="Times New Roman" w:hAnsi="Times New Roman" w:eastAsia="方正黑体_GBK" w:cs="方正黑体_GBK"/>
          <w:bCs/>
          <w:caps w:val="0"/>
          <w:smallCaps w:val="0"/>
          <w:color w:val="auto"/>
          <w:kern w:val="2"/>
          <w:sz w:val="28"/>
          <w:szCs w:val="28"/>
          <w:highlight w:val="none"/>
          <w:lang w:val="en-US" w:eastAsia="zh-CN" w:bidi="ar-SA"/>
        </w:rPr>
        <w:t>第9条 特许经营授权内容</w:t>
      </w:r>
      <w:bookmarkEnd w:id="142"/>
      <w:bookmarkEnd w:id="143"/>
      <w:bookmarkEnd w:id="144"/>
    </w:p>
    <w:p w14:paraId="2E3CD442">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rPr>
        <w:t>甲方授予乙方在本项目特许经营期限内的以下权利：</w:t>
      </w:r>
    </w:p>
    <w:p w14:paraId="09A577F7">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1.</w:t>
      </w:r>
      <w:r>
        <w:rPr>
          <w:rFonts w:hint="eastAsia" w:ascii="Times New Roman" w:hAnsi="Times New Roman" w:eastAsia="方正仿宋_GBK" w:cs="Times New Roman"/>
          <w:caps w:val="0"/>
          <w:smallCaps w:val="0"/>
          <w:color w:val="auto"/>
          <w:kern w:val="2"/>
          <w:sz w:val="24"/>
          <w:szCs w:val="24"/>
          <w:highlight w:val="none"/>
        </w:rPr>
        <w:t>乙方拥有根据本协议约定对本项目进行投资、融资、运营和维护维修的权利。</w:t>
      </w:r>
    </w:p>
    <w:p w14:paraId="6A42229C">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bookmarkStart w:id="145" w:name="_Hlk163663111"/>
      <w:r>
        <w:rPr>
          <w:rFonts w:hint="eastAsia" w:ascii="Times New Roman" w:hAnsi="Times New Roman" w:eastAsia="方正仿宋_GBK" w:cs="Times New Roman"/>
          <w:caps w:val="0"/>
          <w:smallCaps w:val="0"/>
          <w:color w:val="auto"/>
          <w:kern w:val="2"/>
          <w:sz w:val="24"/>
          <w:szCs w:val="24"/>
          <w:highlight w:val="none"/>
          <w:lang w:val="en-US" w:eastAsia="zh-CN" w:bidi="ar-SA"/>
        </w:rPr>
        <w:t>2.</w:t>
      </w:r>
      <w:r>
        <w:rPr>
          <w:rFonts w:hint="eastAsia" w:ascii="Times New Roman" w:hAnsi="Times New Roman" w:eastAsia="方正仿宋_GBK" w:cs="Times New Roman"/>
          <w:caps w:val="0"/>
          <w:smallCaps w:val="0"/>
          <w:color w:val="auto"/>
          <w:kern w:val="2"/>
          <w:sz w:val="24"/>
          <w:szCs w:val="24"/>
          <w:highlight w:val="none"/>
        </w:rPr>
        <w:t>乙方拥有特许经营期内依据本协议约定排他运营本项目和合法经营本项目资产的权利，并承担项目运营主体责任。乙方可将项目运营部分工作委托甲方认可的第三方机构实施，但不免除或减损乙方应承担的运营主体责任。</w:t>
      </w:r>
    </w:p>
    <w:p w14:paraId="3801E45E">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3.</w:t>
      </w:r>
      <w:r>
        <w:rPr>
          <w:rFonts w:hint="eastAsia" w:ascii="Times New Roman" w:hAnsi="Times New Roman" w:eastAsia="方正仿宋_GBK" w:cs="Times New Roman"/>
          <w:caps w:val="0"/>
          <w:smallCaps w:val="0"/>
          <w:color w:val="auto"/>
          <w:kern w:val="2"/>
          <w:sz w:val="24"/>
          <w:szCs w:val="24"/>
          <w:highlight w:val="none"/>
        </w:rPr>
        <w:t>乙方在特许经营期内有通过合法经营获得相关收入的权利。乙方收入来源包括</w:t>
      </w:r>
      <w:r>
        <w:rPr>
          <w:rFonts w:hint="eastAsia" w:ascii="Times New Roman" w:hAnsi="Times New Roman" w:eastAsia="方正仿宋_GBK" w:cs="Times New Roman"/>
          <w:caps w:val="0"/>
          <w:smallCaps w:val="0"/>
          <w:color w:val="auto"/>
          <w:kern w:val="2"/>
          <w:sz w:val="24"/>
          <w:szCs w:val="24"/>
          <w:highlight w:val="none"/>
          <w:lang w:val="en-US" w:eastAsia="zh-CN"/>
        </w:rPr>
        <w:t>特许经营范围内污水排放单位和居民缴纳的污水处理费</w:t>
      </w:r>
      <w:bookmarkStart w:id="146" w:name="_Hlk154336831"/>
      <w:r>
        <w:rPr>
          <w:rFonts w:hint="eastAsia" w:ascii="Times New Roman" w:hAnsi="Times New Roman" w:eastAsia="方正仿宋_GBK" w:cs="Times New Roman"/>
          <w:caps w:val="0"/>
          <w:smallCaps w:val="0"/>
          <w:color w:val="auto"/>
          <w:kern w:val="2"/>
          <w:sz w:val="24"/>
          <w:szCs w:val="24"/>
          <w:highlight w:val="none"/>
          <w:lang w:eastAsia="zh-CN"/>
        </w:rPr>
        <w:t>，</w:t>
      </w:r>
      <w:r>
        <w:rPr>
          <w:rFonts w:hint="eastAsia" w:ascii="Times New Roman" w:hAnsi="Times New Roman" w:eastAsia="方正仿宋_GBK" w:cs="Times New Roman"/>
          <w:color w:val="auto"/>
          <w:kern w:val="2"/>
          <w:sz w:val="24"/>
          <w:szCs w:val="24"/>
          <w:highlight w:val="none"/>
          <w:lang w:val="en-US" w:eastAsia="zh-CN"/>
        </w:rPr>
        <w:t>污水处理费由供水单位在向居民及企事业单位等所收取的自来水费中代收</w:t>
      </w:r>
      <w:r>
        <w:rPr>
          <w:rFonts w:hint="eastAsia" w:ascii="Times New Roman" w:hAnsi="Times New Roman" w:eastAsia="方正仿宋_GBK" w:cs="Times New Roman"/>
          <w:color w:val="auto"/>
          <w:kern w:val="2"/>
          <w:sz w:val="24"/>
          <w:szCs w:val="24"/>
          <w:highlight w:val="none"/>
        </w:rPr>
        <w:t>，</w:t>
      </w:r>
      <w:r>
        <w:rPr>
          <w:rFonts w:hint="eastAsia" w:ascii="Times New Roman" w:hAnsi="Times New Roman" w:eastAsia="方正仿宋_GBK" w:cs="Times New Roman"/>
          <w:color w:val="auto"/>
          <w:kern w:val="2"/>
          <w:sz w:val="24"/>
          <w:szCs w:val="24"/>
          <w:highlight w:val="none"/>
          <w:lang w:val="en-US" w:eastAsia="zh-CN"/>
        </w:rPr>
        <w:t>实行收支两条线管理。供水单位将代收的污水处理费上缴给财政。甲方根据中标的污水处理服务费单价、实际污水处理量并结合乙方绩效产出水平向财政申请支付污水处理服务费，实行按效、按量付费，乙方获得的污水处理服务费不受上缴财政污水处理费金额的影响</w:t>
      </w:r>
      <w:r>
        <w:rPr>
          <w:rFonts w:hint="eastAsia" w:ascii="Times New Roman" w:hAnsi="Times New Roman" w:eastAsia="方正仿宋_GBK" w:cs="Times New Roman"/>
          <w:caps w:val="0"/>
          <w:smallCaps w:val="0"/>
          <w:color w:val="auto"/>
          <w:kern w:val="2"/>
          <w:sz w:val="24"/>
          <w:szCs w:val="24"/>
          <w:highlight w:val="none"/>
        </w:rPr>
        <w:t>。</w:t>
      </w:r>
      <w:bookmarkEnd w:id="146"/>
    </w:p>
    <w:p w14:paraId="6DD71617">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4.</w:t>
      </w:r>
      <w:r>
        <w:rPr>
          <w:rFonts w:hint="eastAsia" w:ascii="Times New Roman" w:hAnsi="Times New Roman" w:eastAsia="方正仿宋_GBK" w:cs="Times New Roman"/>
          <w:caps w:val="0"/>
          <w:smallCaps w:val="0"/>
          <w:color w:val="auto"/>
          <w:kern w:val="2"/>
          <w:sz w:val="24"/>
          <w:szCs w:val="24"/>
          <w:highlight w:val="none"/>
        </w:rPr>
        <w:t>乙方应按照本协议约定的标准提供公共产品或服务。</w:t>
      </w:r>
    </w:p>
    <w:p w14:paraId="40D41ED7">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bookmarkStart w:id="147" w:name="_Hlk152773934"/>
      <w:r>
        <w:rPr>
          <w:rFonts w:hint="eastAsia" w:ascii="Times New Roman" w:hAnsi="Times New Roman" w:eastAsia="方正仿宋_GBK" w:cs="Times New Roman"/>
          <w:caps w:val="0"/>
          <w:smallCaps w:val="0"/>
          <w:color w:val="auto"/>
          <w:kern w:val="2"/>
          <w:sz w:val="24"/>
          <w:szCs w:val="24"/>
          <w:highlight w:val="none"/>
          <w:lang w:val="en-US" w:eastAsia="zh-CN" w:bidi="ar-SA"/>
        </w:rPr>
        <w:t>5.</w:t>
      </w:r>
      <w:r>
        <w:rPr>
          <w:rFonts w:hint="eastAsia" w:ascii="Times New Roman" w:hAnsi="Times New Roman" w:eastAsia="方正仿宋_GBK" w:cs="Times New Roman"/>
          <w:caps w:val="0"/>
          <w:smallCaps w:val="0"/>
          <w:color w:val="auto"/>
          <w:kern w:val="2"/>
          <w:sz w:val="24"/>
          <w:szCs w:val="24"/>
          <w:highlight w:val="none"/>
        </w:rPr>
        <w:t>乙方不得擅自变更特许经营授权所明确的范围、项目内容和经营种类。凡是本协议未明确的特许经营相关权利，乙方必须经过甲方或政府的书面许可方可行使。</w:t>
      </w:r>
    </w:p>
    <w:bookmarkEnd w:id="147"/>
    <w:p w14:paraId="25C1C9F4">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6.</w:t>
      </w:r>
      <w:r>
        <w:rPr>
          <w:rFonts w:hint="eastAsia" w:ascii="Times New Roman" w:hAnsi="Times New Roman" w:eastAsia="方正仿宋_GBK" w:cs="Times New Roman"/>
          <w:caps w:val="0"/>
          <w:smallCaps w:val="0"/>
          <w:color w:val="auto"/>
          <w:kern w:val="2"/>
          <w:sz w:val="24"/>
          <w:szCs w:val="24"/>
          <w:highlight w:val="none"/>
        </w:rPr>
        <w:t>乙方</w:t>
      </w:r>
      <w:r>
        <w:rPr>
          <w:rFonts w:hint="eastAsia" w:ascii="Times New Roman" w:hAnsi="Times New Roman" w:eastAsia="方正仿宋_GBK" w:cs="Times New Roman"/>
          <w:caps w:val="0"/>
          <w:smallCaps w:val="0"/>
          <w:color w:val="auto"/>
          <w:kern w:val="2"/>
          <w:sz w:val="24"/>
          <w:szCs w:val="24"/>
          <w:highlight w:val="none"/>
          <w:lang w:val="en-US" w:eastAsia="zh-CN"/>
        </w:rPr>
        <w:t>需按本协议第21条约定的金额及期限向甲方支付</w:t>
      </w:r>
      <w:r>
        <w:rPr>
          <w:rFonts w:hint="eastAsia" w:ascii="Times New Roman" w:hAnsi="Times New Roman" w:eastAsia="方正仿宋_GBK" w:cs="Times New Roman"/>
          <w:color w:val="auto"/>
          <w:kern w:val="2"/>
          <w:sz w:val="24"/>
          <w:szCs w:val="24"/>
          <w:highlight w:val="none"/>
        </w:rPr>
        <w:t>特许经营权转让</w:t>
      </w:r>
      <w:r>
        <w:rPr>
          <w:rFonts w:hint="eastAsia" w:ascii="Times New Roman" w:hAnsi="Times New Roman" w:eastAsia="方正仿宋_GBK" w:cs="Times New Roman"/>
          <w:color w:val="auto"/>
          <w:kern w:val="2"/>
          <w:sz w:val="24"/>
          <w:szCs w:val="24"/>
          <w:highlight w:val="none"/>
          <w:lang w:val="en-US" w:eastAsia="zh-CN"/>
        </w:rPr>
        <w:t>费</w:t>
      </w:r>
      <w:r>
        <w:rPr>
          <w:rFonts w:hint="eastAsia" w:ascii="Times New Roman" w:hAnsi="Times New Roman" w:eastAsia="方正仿宋_GBK" w:cs="Times New Roman"/>
          <w:caps w:val="0"/>
          <w:smallCaps w:val="0"/>
          <w:color w:val="auto"/>
          <w:kern w:val="2"/>
          <w:sz w:val="24"/>
          <w:szCs w:val="24"/>
          <w:highlight w:val="none"/>
        </w:rPr>
        <w:t>。</w:t>
      </w:r>
    </w:p>
    <w:p w14:paraId="6DA56FF4">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7.</w:t>
      </w:r>
      <w:r>
        <w:rPr>
          <w:rFonts w:hint="eastAsia" w:ascii="Times New Roman" w:hAnsi="Times New Roman" w:eastAsia="方正仿宋_GBK" w:cs="Times New Roman"/>
          <w:caps w:val="0"/>
          <w:smallCaps w:val="0"/>
          <w:color w:val="auto"/>
          <w:kern w:val="2"/>
          <w:sz w:val="24"/>
          <w:szCs w:val="24"/>
          <w:highlight w:val="none"/>
        </w:rPr>
        <w:t>社会公众有权依据适用法律对乙方履行项目投资、运营、移交全过程的具体行为进行监督，提出意见和建议，乙方应依法主动接受社会公众的监督。</w:t>
      </w:r>
    </w:p>
    <w:p w14:paraId="26A2D21D">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8.</w:t>
      </w:r>
      <w:r>
        <w:rPr>
          <w:rFonts w:hint="eastAsia" w:ascii="Times New Roman" w:hAnsi="Times New Roman" w:eastAsia="方正仿宋_GBK" w:cs="Times New Roman"/>
          <w:caps w:val="0"/>
          <w:smallCaps w:val="0"/>
          <w:color w:val="auto"/>
          <w:kern w:val="2"/>
          <w:sz w:val="24"/>
          <w:szCs w:val="24"/>
          <w:highlight w:val="none"/>
        </w:rPr>
        <w:t>除非本协议另有约定或国家另有相关规定，乙方应在特许经营期限届满时向甲方移交本项目，自行承担</w:t>
      </w:r>
      <w:r>
        <w:rPr>
          <w:rFonts w:hint="eastAsia" w:ascii="Times New Roman" w:hAnsi="Times New Roman" w:eastAsia="方正仿宋_GBK" w:cs="Times New Roman"/>
          <w:caps w:val="0"/>
          <w:smallCaps w:val="0"/>
          <w:color w:val="auto"/>
          <w:kern w:val="2"/>
          <w:sz w:val="24"/>
          <w:szCs w:val="24"/>
          <w:highlight w:val="none"/>
          <w:lang w:val="en-US" w:eastAsia="zh-CN"/>
        </w:rPr>
        <w:t>因经营项目产生的</w:t>
      </w:r>
      <w:r>
        <w:rPr>
          <w:rFonts w:hint="eastAsia" w:ascii="Times New Roman" w:hAnsi="Times New Roman" w:eastAsia="方正仿宋_GBK" w:cs="Times New Roman"/>
          <w:caps w:val="0"/>
          <w:smallCaps w:val="0"/>
          <w:color w:val="auto"/>
          <w:kern w:val="2"/>
          <w:sz w:val="24"/>
          <w:szCs w:val="24"/>
          <w:highlight w:val="none"/>
        </w:rPr>
        <w:t>债务，并不得再以本项目运营方名义开展活动</w:t>
      </w:r>
      <w:bookmarkEnd w:id="145"/>
      <w:r>
        <w:rPr>
          <w:rFonts w:hint="eastAsia" w:ascii="Times New Roman" w:hAnsi="Times New Roman" w:eastAsia="方正仿宋_GBK" w:cs="Times New Roman"/>
          <w:caps w:val="0"/>
          <w:smallCaps w:val="0"/>
          <w:color w:val="auto"/>
          <w:kern w:val="2"/>
          <w:sz w:val="24"/>
          <w:szCs w:val="24"/>
          <w:highlight w:val="none"/>
        </w:rPr>
        <w:t>。</w:t>
      </w:r>
    </w:p>
    <w:p w14:paraId="632AC5A6">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148" w:name="_Toc13391"/>
      <w:bookmarkStart w:id="149" w:name="_Toc11700"/>
      <w:bookmarkStart w:id="150" w:name="_Toc126518596"/>
      <w:r>
        <w:rPr>
          <w:rFonts w:hint="eastAsia" w:ascii="Times New Roman" w:hAnsi="Times New Roman" w:eastAsia="方正黑体_GBK" w:cs="方正黑体_GBK"/>
          <w:bCs/>
          <w:caps w:val="0"/>
          <w:smallCaps w:val="0"/>
          <w:color w:val="auto"/>
          <w:kern w:val="2"/>
          <w:sz w:val="28"/>
          <w:szCs w:val="28"/>
          <w:highlight w:val="none"/>
          <w:lang w:val="en-US" w:eastAsia="zh-CN" w:bidi="ar-SA"/>
        </w:rPr>
        <w:t>第10条 特许经营实施方式</w:t>
      </w:r>
      <w:bookmarkEnd w:id="148"/>
      <w:bookmarkEnd w:id="149"/>
      <w:bookmarkEnd w:id="150"/>
    </w:p>
    <w:p w14:paraId="4266AFAE">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rPr>
        <w:t>本项目采用TOT（转让－运营－移交）模式实施。主要安排是：</w:t>
      </w:r>
    </w:p>
    <w:p w14:paraId="5B3C339C">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firstLine="480" w:firstLineChars="200"/>
        <w:rPr>
          <w:rFonts w:hint="eastAsia" w:ascii="Times New Roman" w:hAnsi="Times New Roman" w:eastAsia="方正仿宋_GBK" w:cs="Times New Roman"/>
          <w:caps w:val="0"/>
          <w:smallCaps w:val="0"/>
          <w:color w:val="auto"/>
          <w:kern w:val="2"/>
          <w:sz w:val="24"/>
          <w:szCs w:val="24"/>
          <w:highlight w:val="none"/>
          <w:lang w:eastAsia="zh-CN"/>
        </w:rPr>
      </w:pPr>
      <w:r>
        <w:rPr>
          <w:rFonts w:hint="eastAsia" w:ascii="Times New Roman" w:hAnsi="Times New Roman" w:eastAsia="方正仿宋_GBK" w:cs="Times New Roman"/>
          <w:caps w:val="0"/>
          <w:smallCaps w:val="0"/>
          <w:color w:val="auto"/>
          <w:kern w:val="2"/>
          <w:sz w:val="24"/>
          <w:szCs w:val="24"/>
          <w:highlight w:val="none"/>
          <w:lang w:val="en-US" w:eastAsia="zh-CN"/>
        </w:rPr>
        <w:t>乙方作为甲方通过公开方式选择的特许经营者单独组建的项目公司，按照招标文件规定的金额向甲方支付特许经营权转让费，获得本项目30年的特许经营权，乙方负责授权范围内的污水处理及本项目的运营维护。甲方</w:t>
      </w:r>
      <w:r>
        <w:rPr>
          <w:rFonts w:hint="eastAsia" w:ascii="Times New Roman" w:hAnsi="Times New Roman" w:eastAsia="方正仿宋_GBK" w:cs="Times New Roman"/>
          <w:caps w:val="0"/>
          <w:smallCaps w:val="0"/>
          <w:color w:val="auto"/>
          <w:kern w:val="2"/>
          <w:sz w:val="24"/>
          <w:szCs w:val="24"/>
          <w:highlight w:val="none"/>
        </w:rPr>
        <w:t>根据绩效考核情况向</w:t>
      </w:r>
      <w:r>
        <w:rPr>
          <w:rFonts w:hint="eastAsia" w:ascii="Times New Roman" w:hAnsi="Times New Roman" w:eastAsia="方正仿宋_GBK" w:cs="Times New Roman"/>
          <w:caps w:val="0"/>
          <w:smallCaps w:val="0"/>
          <w:color w:val="auto"/>
          <w:kern w:val="2"/>
          <w:sz w:val="24"/>
          <w:szCs w:val="24"/>
          <w:highlight w:val="none"/>
          <w:lang w:val="en-US" w:eastAsia="zh-CN"/>
        </w:rPr>
        <w:t>乙方</w:t>
      </w:r>
      <w:r>
        <w:rPr>
          <w:rFonts w:hint="eastAsia" w:ascii="Times New Roman" w:hAnsi="Times New Roman" w:eastAsia="方正仿宋_GBK" w:cs="Times New Roman"/>
          <w:caps w:val="0"/>
          <w:smallCaps w:val="0"/>
          <w:color w:val="auto"/>
          <w:kern w:val="2"/>
          <w:sz w:val="24"/>
          <w:szCs w:val="24"/>
          <w:highlight w:val="none"/>
        </w:rPr>
        <w:t>支付污水处理服务费</w:t>
      </w:r>
      <w:r>
        <w:rPr>
          <w:rFonts w:hint="eastAsia" w:ascii="Times New Roman" w:hAnsi="Times New Roman" w:eastAsia="方正仿宋_GBK" w:cs="Times New Roman"/>
          <w:caps w:val="0"/>
          <w:smallCaps w:val="0"/>
          <w:color w:val="auto"/>
          <w:kern w:val="2"/>
          <w:sz w:val="24"/>
          <w:szCs w:val="24"/>
          <w:highlight w:val="none"/>
          <w:lang w:eastAsia="zh-CN"/>
        </w:rPr>
        <w:t>。</w:t>
      </w:r>
    </w:p>
    <w:p w14:paraId="7484B314">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rPr>
        <w:t>特许经营期满后，</w:t>
      </w:r>
      <w:r>
        <w:rPr>
          <w:rFonts w:hint="eastAsia" w:ascii="Times New Roman" w:hAnsi="Times New Roman" w:eastAsia="方正仿宋_GBK" w:cs="Times New Roman"/>
          <w:caps w:val="0"/>
          <w:smallCaps w:val="0"/>
          <w:color w:val="auto"/>
          <w:kern w:val="2"/>
          <w:sz w:val="24"/>
          <w:szCs w:val="24"/>
          <w:highlight w:val="none"/>
          <w:lang w:val="en-US" w:eastAsia="zh-CN"/>
        </w:rPr>
        <w:t>乙方</w:t>
      </w:r>
      <w:r>
        <w:rPr>
          <w:rFonts w:hint="eastAsia" w:ascii="Times New Roman" w:hAnsi="Times New Roman" w:eastAsia="方正仿宋_GBK" w:cs="Times New Roman"/>
          <w:caps w:val="0"/>
          <w:smallCaps w:val="0"/>
          <w:color w:val="auto"/>
          <w:kern w:val="2"/>
          <w:sz w:val="24"/>
          <w:szCs w:val="24"/>
          <w:highlight w:val="none"/>
        </w:rPr>
        <w:t>无偿将项目的运营设施及特许经营权完好无损并无偿移交给</w:t>
      </w:r>
      <w:r>
        <w:rPr>
          <w:rFonts w:hint="eastAsia" w:ascii="Times New Roman" w:hAnsi="Times New Roman" w:eastAsia="方正仿宋_GBK" w:cs="Times New Roman"/>
          <w:caps w:val="0"/>
          <w:smallCaps w:val="0"/>
          <w:color w:val="auto"/>
          <w:kern w:val="2"/>
          <w:sz w:val="24"/>
          <w:szCs w:val="24"/>
          <w:highlight w:val="none"/>
          <w:lang w:val="en-US" w:eastAsia="zh-CN"/>
        </w:rPr>
        <w:t>甲方</w:t>
      </w:r>
      <w:r>
        <w:rPr>
          <w:rFonts w:hint="eastAsia" w:ascii="Times New Roman" w:hAnsi="Times New Roman" w:eastAsia="方正仿宋_GBK" w:cs="Times New Roman"/>
          <w:caps w:val="0"/>
          <w:smallCaps w:val="0"/>
          <w:color w:val="auto"/>
          <w:kern w:val="2"/>
          <w:sz w:val="24"/>
          <w:szCs w:val="24"/>
          <w:highlight w:val="none"/>
        </w:rPr>
        <w:t>或其指定机构。</w:t>
      </w:r>
    </w:p>
    <w:p w14:paraId="44253A00">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151" w:name="_Hlk161834680"/>
      <w:bookmarkStart w:id="152" w:name="_Toc440"/>
      <w:bookmarkStart w:id="153" w:name="_Toc1016063618"/>
      <w:bookmarkStart w:id="154" w:name="_Toc31094"/>
      <w:bookmarkStart w:id="155" w:name="_Toc162795614"/>
      <w:bookmarkStart w:id="156" w:name="_Hlk162216194"/>
      <w:r>
        <w:rPr>
          <w:rFonts w:hint="eastAsia" w:ascii="Times New Roman" w:hAnsi="Times New Roman" w:eastAsia="方正黑体_GBK" w:cs="方正黑体_GBK"/>
          <w:bCs/>
          <w:caps w:val="0"/>
          <w:smallCaps w:val="0"/>
          <w:color w:val="auto"/>
          <w:kern w:val="2"/>
          <w:sz w:val="28"/>
          <w:szCs w:val="28"/>
          <w:highlight w:val="none"/>
          <w:lang w:val="en-US" w:eastAsia="zh-CN" w:bidi="ar-SA"/>
        </w:rPr>
        <w:t>第11条 投资运营维护内容</w:t>
      </w:r>
      <w:bookmarkEnd w:id="151"/>
      <w:r>
        <w:rPr>
          <w:rFonts w:hint="eastAsia" w:ascii="Times New Roman" w:hAnsi="Times New Roman" w:eastAsia="方正黑体_GBK" w:cs="方正黑体_GBK"/>
          <w:bCs/>
          <w:caps w:val="0"/>
          <w:smallCaps w:val="0"/>
          <w:color w:val="auto"/>
          <w:kern w:val="2"/>
          <w:sz w:val="28"/>
          <w:szCs w:val="28"/>
          <w:highlight w:val="none"/>
          <w:lang w:val="en-US" w:eastAsia="zh-CN" w:bidi="ar-SA"/>
        </w:rPr>
        <w:t>服务区域或范围</w:t>
      </w:r>
      <w:bookmarkEnd w:id="152"/>
      <w:bookmarkEnd w:id="153"/>
      <w:bookmarkEnd w:id="154"/>
      <w:bookmarkEnd w:id="155"/>
    </w:p>
    <w:p w14:paraId="5139859A">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firstLine="480" w:firstLineChars="200"/>
        <w:rPr>
          <w:rFonts w:hint="eastAsia"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1.</w:t>
      </w:r>
      <w:r>
        <w:rPr>
          <w:rFonts w:hint="default" w:ascii="Times New Roman" w:hAnsi="Times New Roman" w:eastAsia="方正仿宋_GBK"/>
          <w:caps w:val="0"/>
          <w:smallCaps w:val="0"/>
          <w:color w:val="auto"/>
          <w:kern w:val="2"/>
          <w:sz w:val="24"/>
          <w:szCs w:val="24"/>
          <w:highlight w:val="none"/>
        </w:rPr>
        <w:t>由乙方承担的</w:t>
      </w:r>
      <w:r>
        <w:rPr>
          <w:rFonts w:hint="eastAsia" w:ascii="Times New Roman" w:hAnsi="Times New Roman" w:eastAsia="方正仿宋_GBK"/>
          <w:caps w:val="0"/>
          <w:smallCaps w:val="0"/>
          <w:color w:val="auto"/>
          <w:kern w:val="2"/>
          <w:sz w:val="24"/>
          <w:szCs w:val="24"/>
          <w:highlight w:val="none"/>
        </w:rPr>
        <w:t>本</w:t>
      </w:r>
      <w:r>
        <w:rPr>
          <w:rFonts w:hint="default" w:ascii="Times New Roman" w:hAnsi="Times New Roman" w:eastAsia="方正仿宋_GBK"/>
          <w:caps w:val="0"/>
          <w:smallCaps w:val="0"/>
          <w:color w:val="auto"/>
          <w:kern w:val="2"/>
          <w:sz w:val="24"/>
          <w:szCs w:val="24"/>
          <w:highlight w:val="none"/>
        </w:rPr>
        <w:t>项目投资和运营具体内容</w:t>
      </w:r>
      <w:r>
        <w:rPr>
          <w:rFonts w:hint="eastAsia" w:ascii="Times New Roman" w:hAnsi="Times New Roman" w:eastAsia="方正仿宋_GBK"/>
          <w:caps w:val="0"/>
          <w:smallCaps w:val="0"/>
          <w:color w:val="auto"/>
          <w:kern w:val="2"/>
          <w:sz w:val="24"/>
          <w:szCs w:val="24"/>
          <w:highlight w:val="none"/>
          <w:lang w:eastAsia="zh-CN"/>
        </w:rPr>
        <w:t>（</w:t>
      </w:r>
      <w:r>
        <w:rPr>
          <w:rFonts w:hint="default" w:ascii="Times New Roman" w:hAnsi="Times New Roman" w:eastAsia="方正仿宋_GBK"/>
          <w:caps w:val="0"/>
          <w:smallCaps w:val="0"/>
          <w:color w:val="auto"/>
          <w:kern w:val="2"/>
          <w:sz w:val="24"/>
          <w:szCs w:val="24"/>
          <w:highlight w:val="none"/>
        </w:rPr>
        <w:t>或范围</w:t>
      </w:r>
      <w:r>
        <w:rPr>
          <w:rFonts w:hint="eastAsia" w:ascii="Times New Roman" w:hAnsi="Times New Roman" w:eastAsia="方正仿宋_GBK"/>
          <w:caps w:val="0"/>
          <w:smallCaps w:val="0"/>
          <w:color w:val="auto"/>
          <w:kern w:val="2"/>
          <w:sz w:val="24"/>
          <w:szCs w:val="24"/>
          <w:highlight w:val="none"/>
          <w:lang w:eastAsia="zh-CN"/>
        </w:rPr>
        <w:t>）</w:t>
      </w:r>
      <w:r>
        <w:rPr>
          <w:rFonts w:hint="default" w:ascii="Times New Roman" w:hAnsi="Times New Roman" w:eastAsia="方正仿宋_GBK"/>
          <w:caps w:val="0"/>
          <w:smallCaps w:val="0"/>
          <w:color w:val="auto"/>
          <w:kern w:val="2"/>
          <w:sz w:val="24"/>
          <w:szCs w:val="24"/>
          <w:highlight w:val="none"/>
        </w:rPr>
        <w:t>是：</w:t>
      </w:r>
    </w:p>
    <w:p w14:paraId="40879437">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firstLine="480" w:firstLineChars="200"/>
        <w:rPr>
          <w:rFonts w:hint="eastAsia" w:ascii="Times New Roman" w:hAnsi="Times New Roman" w:eastAsia="方正仿宋_GBK"/>
          <w:caps w:val="0"/>
          <w:smallCaps w:val="0"/>
          <w:color w:val="auto"/>
          <w:kern w:val="2"/>
          <w:sz w:val="28"/>
          <w:szCs w:val="28"/>
          <w:highlight w:val="none"/>
        </w:rPr>
      </w:pPr>
      <w:r>
        <w:rPr>
          <w:rFonts w:hint="eastAsia" w:ascii="Times New Roman" w:hAnsi="Times New Roman" w:eastAsia="方正仿宋_GBK" w:cs="Times New Roman"/>
          <w:caps w:val="0"/>
          <w:smallCaps w:val="0"/>
          <w:color w:val="auto"/>
          <w:kern w:val="2"/>
          <w:sz w:val="24"/>
          <w:szCs w:val="24"/>
          <w:highlight w:val="none"/>
        </w:rPr>
        <w:t>乙方</w:t>
      </w:r>
      <w:r>
        <w:rPr>
          <w:rFonts w:hint="eastAsia" w:ascii="Times New Roman" w:hAnsi="Times New Roman" w:eastAsia="方正仿宋_GBK" w:cs="Times New Roman"/>
          <w:caps w:val="0"/>
          <w:smallCaps w:val="0"/>
          <w:color w:val="auto"/>
          <w:kern w:val="2"/>
          <w:sz w:val="24"/>
          <w:szCs w:val="24"/>
          <w:highlight w:val="none"/>
          <w:lang w:val="en-US" w:eastAsia="zh-CN"/>
        </w:rPr>
        <w:t>需按招标文件规定的金额向甲方支付</w:t>
      </w:r>
      <w:r>
        <w:rPr>
          <w:rFonts w:hint="eastAsia" w:ascii="Times New Roman" w:hAnsi="Times New Roman" w:eastAsia="方正仿宋_GBK" w:cs="Times New Roman"/>
          <w:color w:val="auto"/>
          <w:kern w:val="2"/>
          <w:sz w:val="24"/>
          <w:szCs w:val="24"/>
          <w:highlight w:val="none"/>
        </w:rPr>
        <w:t>特许经营权转让</w:t>
      </w:r>
      <w:r>
        <w:rPr>
          <w:rFonts w:hint="eastAsia" w:ascii="Times New Roman" w:hAnsi="Times New Roman" w:eastAsia="方正仿宋_GBK" w:cs="Times New Roman"/>
          <w:color w:val="auto"/>
          <w:kern w:val="2"/>
          <w:sz w:val="24"/>
          <w:szCs w:val="24"/>
          <w:highlight w:val="none"/>
          <w:lang w:val="en-US" w:eastAsia="zh-CN"/>
        </w:rPr>
        <w:t>费，</w:t>
      </w:r>
      <w:r>
        <w:rPr>
          <w:rFonts w:hint="eastAsia" w:ascii="Times New Roman" w:hAnsi="Times New Roman" w:eastAsia="方正仿宋_GBK" w:cs="Times New Roman"/>
          <w:caps w:val="0"/>
          <w:smallCaps w:val="0"/>
          <w:color w:val="auto"/>
          <w:kern w:val="2"/>
          <w:sz w:val="24"/>
          <w:szCs w:val="24"/>
          <w:highlight w:val="none"/>
          <w:lang w:val="en-US" w:eastAsia="zh-CN"/>
        </w:rPr>
        <w:t>获得本项目30年的特许经营权，本项目设施设备包括：城区污水处理厂区内污水处理设施、道路、绿化及场外配套管网及泵站，指厂外污水提升泵站一座，设计规模12万m</w:t>
      </w:r>
      <w:r>
        <w:rPr>
          <w:rFonts w:hint="eastAsia" w:ascii="Times New Roman" w:hAnsi="Times New Roman" w:eastAsia="方正仿宋_GBK" w:cs="Times New Roman"/>
          <w:caps w:val="0"/>
          <w:smallCaps w:val="0"/>
          <w:color w:val="auto"/>
          <w:kern w:val="2"/>
          <w:sz w:val="24"/>
          <w:szCs w:val="24"/>
          <w:highlight w:val="none"/>
          <w:vertAlign w:val="superscript"/>
          <w:lang w:val="en-US" w:eastAsia="zh-CN"/>
        </w:rPr>
        <w:t>3</w:t>
      </w:r>
      <w:r>
        <w:rPr>
          <w:rFonts w:hint="eastAsia" w:ascii="Times New Roman" w:hAnsi="Times New Roman" w:eastAsia="方正仿宋_GBK" w:cs="Times New Roman"/>
          <w:caps w:val="0"/>
          <w:smallCaps w:val="0"/>
          <w:color w:val="auto"/>
          <w:kern w:val="2"/>
          <w:sz w:val="24"/>
          <w:szCs w:val="24"/>
          <w:highlight w:val="none"/>
          <w:lang w:val="en-US" w:eastAsia="zh-CN"/>
        </w:rPr>
        <w:t>/d，位于江都区仙女镇涵西村；厂外提升泵站至污水处理厂的污水输送管道，管径为DN1200，管道总长约3858m；污水处理厂至大涵河的尾水排放管，其中污水处理厂至厂外提升泵站处管道管径为DN1200，管道总长约为3622m，厂外提升泵站至大涵河管道管径为DN1000，管道总长约为1012m。为了落实厂站一体化，城区内南区泵站、二桥泵站、新通扬泵站、江都桥泵站、双沟污水泵站、黄海南路污水泵站、张纲污水泵站、金湾路污水泵站、物流园污水泵站、金桥石油苑污水泵站、涵西提升泵站和大涵河出水提升泵站全部纳入特许经营实施运营维护管理范围（除本协议明确约定的管网运维外，不含区域内其他管网运维）等。</w:t>
      </w:r>
    </w:p>
    <w:p w14:paraId="2299D9ED">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firstLine="480" w:firstLineChars="200"/>
        <w:rPr>
          <w:rFonts w:hint="eastAsia" w:ascii="Times New Roman" w:hAnsi="Times New Roman" w:eastAsia="方正仿宋_GBK"/>
          <w:caps w:val="0"/>
          <w:smallCaps w:val="0"/>
          <w:color w:val="auto"/>
          <w:kern w:val="2"/>
          <w:sz w:val="28"/>
          <w:szCs w:val="28"/>
          <w:highlight w:val="none"/>
          <w:lang w:val="en-US" w:eastAsia="zh-CN"/>
        </w:rPr>
      </w:pPr>
      <w:r>
        <w:rPr>
          <w:rFonts w:hint="eastAsia" w:ascii="Times New Roman" w:hAnsi="Times New Roman" w:eastAsia="方正仿宋_GBK" w:cs="Times New Roman"/>
          <w:caps w:val="0"/>
          <w:smallCaps w:val="0"/>
          <w:color w:val="auto"/>
          <w:kern w:val="2"/>
          <w:sz w:val="24"/>
          <w:szCs w:val="24"/>
          <w:highlight w:val="none"/>
          <w:lang w:val="en-US" w:eastAsia="zh-CN"/>
        </w:rPr>
        <w:t>乙方按约定处理收集到的生活污水和一般工业废水，处理后的污水出水水质需达到江苏省地方标准《城镇污水处理厂污染物排放标准》（DB32/4440-2022）中B标准，脱水后的污泥需达到含水率小于80%的要求。乙方负责污水处理厂工程建筑物、构筑物及其配套的设施设备（含约定范围内的泵站及管网）的日常维护及修理等工作，保证污水处理厂的正常运行。按照谨慎运营惯例处理全部污水并达标排放，对污水收集系统检查与运行维护、对污水处理站点检查与运行维护、对水质进行检测等，不承担污泥外运及处置工作及费用，由甲方另行选择单位负责。协助甲方开展</w:t>
      </w:r>
      <w:r>
        <w:rPr>
          <w:rFonts w:hint="eastAsia" w:ascii="Times New Roman" w:hAnsi="Times New Roman" w:eastAsia="方正仿宋_GBK"/>
          <w:caps w:val="0"/>
          <w:smallCaps w:val="0"/>
          <w:color w:val="auto"/>
          <w:kern w:val="2"/>
          <w:sz w:val="24"/>
          <w:szCs w:val="24"/>
          <w:highlight w:val="none"/>
          <w:lang w:val="en-US" w:eastAsia="zh-CN"/>
        </w:rPr>
        <w:t>防洪排涝服务工作、检查督查、数据调研等。</w:t>
      </w:r>
    </w:p>
    <w:p w14:paraId="50BB82D2">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2</w:t>
      </w:r>
      <w:r>
        <w:rPr>
          <w:rFonts w:hint="default" w:ascii="Times New Roman" w:hAnsi="Times New Roman" w:eastAsia="方正仿宋_GBK"/>
          <w:caps w:val="0"/>
          <w:smallCaps w:val="0"/>
          <w:color w:val="auto"/>
          <w:kern w:val="2"/>
          <w:sz w:val="24"/>
          <w:szCs w:val="24"/>
          <w:highlight w:val="none"/>
          <w:lang w:val="en-US" w:eastAsia="zh-CN" w:bidi="ar-SA"/>
        </w:rPr>
        <w:t>.</w:t>
      </w:r>
      <w:r>
        <w:rPr>
          <w:rFonts w:hint="eastAsia" w:ascii="Times New Roman" w:hAnsi="Times New Roman" w:eastAsia="方正仿宋_GBK"/>
          <w:caps w:val="0"/>
          <w:smallCaps w:val="0"/>
          <w:color w:val="auto"/>
          <w:kern w:val="2"/>
          <w:sz w:val="24"/>
          <w:szCs w:val="24"/>
          <w:highlight w:val="none"/>
        </w:rPr>
        <w:t>本项目提供服务的区域</w:t>
      </w:r>
      <w:bookmarkStart w:id="157" w:name="_Hlk162216321"/>
      <w:r>
        <w:rPr>
          <w:rFonts w:hint="eastAsia" w:ascii="Times New Roman" w:hAnsi="Times New Roman" w:eastAsia="方正仿宋_GBK"/>
          <w:caps w:val="0"/>
          <w:smallCaps w:val="0"/>
          <w:color w:val="auto"/>
          <w:kern w:val="2"/>
          <w:sz w:val="24"/>
          <w:szCs w:val="24"/>
          <w:highlight w:val="none"/>
        </w:rPr>
        <w:t>和/或服务对象范围</w:t>
      </w:r>
      <w:bookmarkEnd w:id="157"/>
      <w:r>
        <w:rPr>
          <w:rFonts w:hint="eastAsia" w:ascii="Times New Roman" w:hAnsi="Times New Roman" w:eastAsia="方正仿宋_GBK"/>
          <w:caps w:val="0"/>
          <w:smallCaps w:val="0"/>
          <w:color w:val="auto"/>
          <w:kern w:val="2"/>
          <w:sz w:val="24"/>
          <w:szCs w:val="24"/>
          <w:highlight w:val="none"/>
        </w:rPr>
        <w:t>具体是：【</w:t>
      </w:r>
      <w:r>
        <w:rPr>
          <w:rFonts w:hint="eastAsia" w:ascii="Times New Roman" w:hAnsi="Times New Roman" w:eastAsia="方正仿宋_GBK"/>
          <w:caps w:val="0"/>
          <w:smallCaps w:val="0"/>
          <w:color w:val="auto"/>
          <w:kern w:val="2"/>
          <w:sz w:val="24"/>
          <w:szCs w:val="24"/>
          <w:highlight w:val="none"/>
          <w:lang w:val="en-US" w:eastAsia="zh-CN"/>
        </w:rPr>
        <w:t>负责</w:t>
      </w:r>
      <w:r>
        <w:rPr>
          <w:rFonts w:hint="eastAsia" w:ascii="Times New Roman" w:hAnsi="Times New Roman" w:eastAsia="方正仿宋_GBK"/>
          <w:caps w:val="0"/>
          <w:smallCaps w:val="0"/>
          <w:color w:val="auto"/>
          <w:kern w:val="2"/>
          <w:sz w:val="24"/>
          <w:szCs w:val="24"/>
          <w:highlight w:val="none"/>
        </w:rPr>
        <w:t>处理江都主城区的城镇生活污水，同时兼顾部分未纳入工业污水处理厂收集处理、可纳管的工业企业废水。主城区范围：启扬高速公路、京沪高速公路、新都南路、高水河—芒稻河所围合区域。】</w:t>
      </w:r>
    </w:p>
    <w:bookmarkEnd w:id="156"/>
    <w:p w14:paraId="0A65FD5C">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158" w:name="_Toc27150"/>
      <w:bookmarkStart w:id="159" w:name="_Toc1721062062"/>
      <w:bookmarkStart w:id="160" w:name="_Toc26710"/>
      <w:r>
        <w:rPr>
          <w:rFonts w:hint="eastAsia" w:ascii="Times New Roman" w:hAnsi="Times New Roman" w:eastAsia="方正黑体_GBK" w:cs="方正黑体_GBK"/>
          <w:bCs/>
          <w:caps w:val="0"/>
          <w:smallCaps w:val="0"/>
          <w:color w:val="auto"/>
          <w:kern w:val="2"/>
          <w:sz w:val="28"/>
          <w:szCs w:val="28"/>
          <w:highlight w:val="none"/>
          <w:lang w:val="en-US" w:eastAsia="zh-CN" w:bidi="ar-SA"/>
        </w:rPr>
        <w:t>第12条 特许经营期</w:t>
      </w:r>
      <w:bookmarkEnd w:id="158"/>
      <w:bookmarkEnd w:id="159"/>
      <w:bookmarkEnd w:id="160"/>
    </w:p>
    <w:p w14:paraId="7670F359">
      <w:pPr>
        <w:keepNext w:val="0"/>
        <w:keepLines w:val="0"/>
        <w:pageBreakBefore w:val="0"/>
        <w:widowControl w:val="0"/>
        <w:numPr>
          <w:ilvl w:val="2"/>
          <w:numId w:val="0"/>
        </w:numPr>
        <w:tabs>
          <w:tab w:val="left" w:pos="993"/>
        </w:tabs>
        <w:kinsoku/>
        <w:wordWrap/>
        <w:overflowPunct/>
        <w:topLinePunct w:val="0"/>
        <w:bidi w:val="0"/>
        <w:adjustRightInd w:val="0"/>
        <w:snapToGrid w:val="0"/>
        <w:spacing w:before="0" w:beforeLines="0" w:after="0" w:afterLines="0" w:line="360" w:lineRule="auto"/>
        <w:ind w:firstLine="480" w:firstLineChars="200"/>
        <w:jc w:val="left"/>
        <w:outlineLvl w:val="2"/>
        <w:rPr>
          <w:rFonts w:hint="default" w:ascii="Times New Roman" w:hAnsi="Times New Roman" w:eastAsia="方正仿宋_GBK"/>
          <w:b/>
          <w:caps w:val="0"/>
          <w:smallCaps w:val="0"/>
          <w:color w:val="auto"/>
          <w:kern w:val="2"/>
          <w:sz w:val="24"/>
          <w:szCs w:val="24"/>
          <w:highlight w:val="none"/>
        </w:rPr>
      </w:pPr>
      <w:r>
        <w:rPr>
          <w:rFonts w:hint="eastAsia" w:ascii="Times New Roman" w:hAnsi="Times New Roman" w:eastAsia="方正仿宋_GBK"/>
          <w:b/>
          <w:caps w:val="0"/>
          <w:smallCaps w:val="0"/>
          <w:color w:val="auto"/>
          <w:kern w:val="2"/>
          <w:sz w:val="24"/>
          <w:szCs w:val="24"/>
          <w:highlight w:val="none"/>
          <w:lang w:val="en-US" w:eastAsia="zh-CN" w:bidi="ar-SA"/>
        </w:rPr>
        <w:t>1.</w:t>
      </w:r>
      <w:r>
        <w:rPr>
          <w:rFonts w:hint="default" w:ascii="Times New Roman" w:hAnsi="Times New Roman" w:eastAsia="方正仿宋_GBK"/>
          <w:b/>
          <w:caps w:val="0"/>
          <w:smallCaps w:val="0"/>
          <w:color w:val="auto"/>
          <w:kern w:val="2"/>
          <w:sz w:val="24"/>
          <w:szCs w:val="24"/>
          <w:highlight w:val="none"/>
        </w:rPr>
        <w:t>特许经营期基本约定</w:t>
      </w:r>
    </w:p>
    <w:p w14:paraId="6D042027">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rPr>
        <w:t>本项目特许经营期为</w:t>
      </w:r>
      <w:r>
        <w:rPr>
          <w:rFonts w:hint="eastAsia" w:ascii="Times New Roman" w:hAnsi="Times New Roman" w:eastAsia="方正仿宋_GBK" w:cs="Times New Roman"/>
          <w:caps w:val="0"/>
          <w:smallCaps w:val="0"/>
          <w:color w:val="auto"/>
          <w:kern w:val="2"/>
          <w:sz w:val="24"/>
          <w:szCs w:val="24"/>
          <w:highlight w:val="none"/>
          <w:lang w:eastAsia="zh-CN"/>
        </w:rPr>
        <w:t>3</w:t>
      </w:r>
      <w:r>
        <w:rPr>
          <w:rFonts w:hint="eastAsia" w:ascii="Times New Roman" w:hAnsi="Times New Roman" w:eastAsia="方正仿宋_GBK" w:cs="Times New Roman"/>
          <w:caps w:val="0"/>
          <w:smallCaps w:val="0"/>
          <w:color w:val="auto"/>
          <w:kern w:val="2"/>
          <w:sz w:val="24"/>
          <w:szCs w:val="24"/>
          <w:highlight w:val="none"/>
          <w:lang w:val="en-US" w:eastAsia="zh-CN"/>
        </w:rPr>
        <w:t>0年</w:t>
      </w:r>
      <w:r>
        <w:rPr>
          <w:rFonts w:hint="eastAsia" w:ascii="Times New Roman" w:hAnsi="Times New Roman" w:eastAsia="方正仿宋_GBK" w:cs="Times New Roman"/>
          <w:caps w:val="0"/>
          <w:smallCaps w:val="0"/>
          <w:color w:val="auto"/>
          <w:kern w:val="2"/>
          <w:sz w:val="24"/>
          <w:szCs w:val="24"/>
          <w:highlight w:val="none"/>
        </w:rPr>
        <w:t>，自本协议生效日起算</w:t>
      </w:r>
      <w:r>
        <w:rPr>
          <w:rFonts w:hint="eastAsia" w:ascii="Times New Roman" w:hAnsi="Times New Roman" w:eastAsia="方正仿宋_GBK" w:cs="Times New Roman"/>
          <w:caps w:val="0"/>
          <w:smallCaps w:val="0"/>
          <w:color w:val="auto"/>
          <w:kern w:val="2"/>
          <w:sz w:val="24"/>
          <w:szCs w:val="24"/>
          <w:highlight w:val="none"/>
          <w:lang w:eastAsia="zh-CN"/>
        </w:rPr>
        <w:t>，</w:t>
      </w:r>
      <w:r>
        <w:rPr>
          <w:rFonts w:hint="eastAsia" w:ascii="Times New Roman" w:hAnsi="Times New Roman" w:eastAsia="方正仿宋_GBK" w:cs="Times New Roman"/>
          <w:caps w:val="0"/>
          <w:smallCaps w:val="0"/>
          <w:color w:val="auto"/>
          <w:kern w:val="2"/>
          <w:sz w:val="24"/>
          <w:szCs w:val="24"/>
          <w:highlight w:val="none"/>
        </w:rPr>
        <w:t>特许经营期届满日为【</w:t>
      </w:r>
      <w:r>
        <w:rPr>
          <w:rFonts w:hint="eastAsia" w:ascii="Times New Roman" w:hAnsi="Times New Roman" w:eastAsia="方正仿宋_GBK" w:cs="Times New Roman"/>
          <w:caps w:val="0"/>
          <w:smallCaps w:val="0"/>
          <w:color w:val="auto"/>
          <w:kern w:val="2"/>
          <w:sz w:val="24"/>
          <w:szCs w:val="24"/>
          <w:highlight w:val="none"/>
          <w:lang w:val="en-US" w:eastAsia="zh-CN"/>
        </w:rPr>
        <w:t xml:space="preserve"> </w:t>
      </w:r>
      <w:r>
        <w:rPr>
          <w:rFonts w:hint="eastAsia" w:ascii="Times New Roman" w:hAnsi="Times New Roman" w:eastAsia="方正仿宋_GBK" w:cs="Times New Roman"/>
          <w:caps w:val="0"/>
          <w:smallCaps w:val="0"/>
          <w:color w:val="auto"/>
          <w:kern w:val="2"/>
          <w:sz w:val="24"/>
          <w:szCs w:val="24"/>
          <w:highlight w:val="none"/>
        </w:rPr>
        <w:t>年</w:t>
      </w:r>
      <w:r>
        <w:rPr>
          <w:rFonts w:hint="eastAsia" w:ascii="Times New Roman" w:hAnsi="Times New Roman" w:eastAsia="方正仿宋_GBK" w:cs="Times New Roman"/>
          <w:caps w:val="0"/>
          <w:smallCaps w:val="0"/>
          <w:color w:val="auto"/>
          <w:kern w:val="2"/>
          <w:sz w:val="24"/>
          <w:szCs w:val="24"/>
          <w:highlight w:val="none"/>
          <w:lang w:val="en-US" w:eastAsia="zh-CN"/>
        </w:rPr>
        <w:t xml:space="preserve"> </w:t>
      </w:r>
      <w:r>
        <w:rPr>
          <w:rFonts w:hint="eastAsia" w:ascii="Times New Roman" w:hAnsi="Times New Roman" w:eastAsia="方正仿宋_GBK" w:cs="Times New Roman"/>
          <w:caps w:val="0"/>
          <w:smallCaps w:val="0"/>
          <w:color w:val="auto"/>
          <w:kern w:val="2"/>
          <w:sz w:val="24"/>
          <w:szCs w:val="24"/>
          <w:highlight w:val="none"/>
        </w:rPr>
        <w:t>月</w:t>
      </w:r>
      <w:r>
        <w:rPr>
          <w:rFonts w:hint="eastAsia" w:ascii="Times New Roman" w:hAnsi="Times New Roman" w:eastAsia="方正仿宋_GBK" w:cs="Times New Roman"/>
          <w:caps w:val="0"/>
          <w:smallCaps w:val="0"/>
          <w:color w:val="auto"/>
          <w:kern w:val="2"/>
          <w:sz w:val="24"/>
          <w:szCs w:val="24"/>
          <w:highlight w:val="none"/>
          <w:lang w:val="en-US" w:eastAsia="zh-CN"/>
        </w:rPr>
        <w:t xml:space="preserve"> </w:t>
      </w:r>
      <w:r>
        <w:rPr>
          <w:rFonts w:hint="eastAsia" w:ascii="Times New Roman" w:hAnsi="Times New Roman" w:eastAsia="方正仿宋_GBK" w:cs="Times New Roman"/>
          <w:caps w:val="0"/>
          <w:smallCaps w:val="0"/>
          <w:color w:val="auto"/>
          <w:kern w:val="2"/>
          <w:sz w:val="24"/>
          <w:szCs w:val="24"/>
          <w:highlight w:val="none"/>
        </w:rPr>
        <w:t>日</w:t>
      </w:r>
      <w:r>
        <w:rPr>
          <w:rFonts w:hint="eastAsia" w:ascii="Times New Roman" w:hAnsi="Times New Roman" w:eastAsia="方正仿宋_GBK" w:cs="Times New Roman"/>
          <w:caps w:val="0"/>
          <w:smallCaps w:val="0"/>
          <w:color w:val="auto"/>
          <w:kern w:val="2"/>
          <w:sz w:val="24"/>
          <w:szCs w:val="24"/>
          <w:highlight w:val="none"/>
          <w:lang w:eastAsia="zh-CN"/>
        </w:rPr>
        <w:t>（</w:t>
      </w:r>
      <w:r>
        <w:rPr>
          <w:rFonts w:hint="eastAsia" w:ascii="Times New Roman" w:hAnsi="Times New Roman" w:eastAsia="方正仿宋_GBK" w:cs="Times New Roman"/>
          <w:caps w:val="0"/>
          <w:smallCaps w:val="0"/>
          <w:color w:val="auto"/>
          <w:kern w:val="2"/>
          <w:sz w:val="24"/>
          <w:szCs w:val="24"/>
          <w:highlight w:val="none"/>
        </w:rPr>
        <w:t>含本日</w:t>
      </w:r>
      <w:r>
        <w:rPr>
          <w:rFonts w:hint="eastAsia" w:ascii="Times New Roman" w:hAnsi="Times New Roman" w:eastAsia="方正仿宋_GBK" w:cs="Times New Roman"/>
          <w:caps w:val="0"/>
          <w:smallCaps w:val="0"/>
          <w:color w:val="auto"/>
          <w:kern w:val="2"/>
          <w:sz w:val="24"/>
          <w:szCs w:val="24"/>
          <w:highlight w:val="none"/>
          <w:lang w:eastAsia="zh-CN"/>
        </w:rPr>
        <w:t>）</w:t>
      </w:r>
      <w:r>
        <w:rPr>
          <w:rFonts w:hint="eastAsia" w:ascii="Times New Roman" w:hAnsi="Times New Roman" w:eastAsia="方正仿宋_GBK" w:cs="Times New Roman"/>
          <w:caps w:val="0"/>
          <w:smallCaps w:val="0"/>
          <w:color w:val="auto"/>
          <w:kern w:val="2"/>
          <w:sz w:val="24"/>
          <w:szCs w:val="24"/>
          <w:highlight w:val="none"/>
        </w:rPr>
        <w:t>】。</w:t>
      </w:r>
    </w:p>
    <w:p w14:paraId="2C36038D">
      <w:pPr>
        <w:keepNext w:val="0"/>
        <w:keepLines w:val="0"/>
        <w:pageBreakBefore w:val="0"/>
        <w:widowControl w:val="0"/>
        <w:numPr>
          <w:ilvl w:val="2"/>
          <w:numId w:val="0"/>
        </w:numPr>
        <w:tabs>
          <w:tab w:val="left" w:pos="993"/>
        </w:tabs>
        <w:kinsoku/>
        <w:wordWrap/>
        <w:overflowPunct/>
        <w:topLinePunct w:val="0"/>
        <w:bidi w:val="0"/>
        <w:adjustRightInd w:val="0"/>
        <w:snapToGrid w:val="0"/>
        <w:spacing w:before="0" w:beforeLines="0" w:after="0" w:afterLines="0" w:line="360" w:lineRule="auto"/>
        <w:ind w:firstLine="480" w:firstLineChars="200"/>
        <w:jc w:val="left"/>
        <w:outlineLvl w:val="2"/>
        <w:rPr>
          <w:rFonts w:hint="default" w:ascii="Times New Roman" w:hAnsi="Times New Roman" w:eastAsia="方正仿宋_GBK"/>
          <w:b/>
          <w:caps w:val="0"/>
          <w:smallCaps w:val="0"/>
          <w:color w:val="auto"/>
          <w:kern w:val="2"/>
          <w:sz w:val="24"/>
          <w:szCs w:val="24"/>
          <w:highlight w:val="none"/>
        </w:rPr>
      </w:pPr>
      <w:bookmarkStart w:id="161" w:name="_Toc162394878"/>
      <w:bookmarkEnd w:id="161"/>
      <w:bookmarkStart w:id="162" w:name="_Toc162394879"/>
      <w:bookmarkEnd w:id="162"/>
      <w:r>
        <w:rPr>
          <w:rFonts w:hint="eastAsia" w:ascii="Times New Roman" w:hAnsi="Times New Roman" w:eastAsia="方正仿宋_GBK"/>
          <w:b/>
          <w:caps w:val="0"/>
          <w:smallCaps w:val="0"/>
          <w:color w:val="auto"/>
          <w:kern w:val="2"/>
          <w:sz w:val="24"/>
          <w:szCs w:val="24"/>
          <w:highlight w:val="none"/>
          <w:lang w:val="en-US" w:eastAsia="zh-CN" w:bidi="ar-SA"/>
        </w:rPr>
        <w:t>2.</w:t>
      </w:r>
      <w:r>
        <w:rPr>
          <w:rFonts w:hint="default" w:ascii="Times New Roman" w:hAnsi="Times New Roman" w:eastAsia="方正仿宋_GBK"/>
          <w:b/>
          <w:caps w:val="0"/>
          <w:smallCaps w:val="0"/>
          <w:color w:val="auto"/>
          <w:kern w:val="2"/>
          <w:sz w:val="24"/>
          <w:szCs w:val="24"/>
          <w:highlight w:val="none"/>
        </w:rPr>
        <w:t>特许经营期的</w:t>
      </w:r>
      <w:r>
        <w:rPr>
          <w:rFonts w:hint="eastAsia" w:ascii="Times New Roman" w:hAnsi="Times New Roman" w:eastAsia="方正仿宋_GBK"/>
          <w:b/>
          <w:caps w:val="0"/>
          <w:smallCaps w:val="0"/>
          <w:color w:val="auto"/>
          <w:kern w:val="2"/>
          <w:sz w:val="24"/>
          <w:szCs w:val="24"/>
          <w:highlight w:val="none"/>
        </w:rPr>
        <w:t>期限</w:t>
      </w:r>
      <w:r>
        <w:rPr>
          <w:rFonts w:hint="default" w:ascii="Times New Roman" w:hAnsi="Times New Roman" w:eastAsia="方正仿宋_GBK"/>
          <w:b/>
          <w:caps w:val="0"/>
          <w:smallCaps w:val="0"/>
          <w:color w:val="auto"/>
          <w:kern w:val="2"/>
          <w:sz w:val="24"/>
          <w:szCs w:val="24"/>
          <w:highlight w:val="none"/>
        </w:rPr>
        <w:t>调整</w:t>
      </w:r>
    </w:p>
    <w:p w14:paraId="093645C5">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rPr>
        <w:t>因出现本协议约定的其他可以调整特许经营期限的情形，按约定相应调整特许经营期限。【说明：例如甲方以延长特许经营期的方式向乙方提供合理补偿等。】</w:t>
      </w:r>
    </w:p>
    <w:p w14:paraId="28ADA963">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163" w:name="_Toc151719267"/>
      <w:bookmarkStart w:id="164" w:name="_Toc31472"/>
      <w:bookmarkStart w:id="165" w:name="_Toc6154"/>
      <w:r>
        <w:rPr>
          <w:rFonts w:hint="eastAsia" w:ascii="Times New Roman" w:hAnsi="Times New Roman" w:eastAsia="方正黑体_GBK" w:cs="方正黑体_GBK"/>
          <w:bCs/>
          <w:caps w:val="0"/>
          <w:smallCaps w:val="0"/>
          <w:color w:val="auto"/>
          <w:kern w:val="2"/>
          <w:sz w:val="28"/>
          <w:szCs w:val="28"/>
          <w:highlight w:val="none"/>
          <w:lang w:val="en-US" w:eastAsia="zh-CN" w:bidi="ar-SA"/>
        </w:rPr>
        <w:t>第13条 特许经营期届满终止后的优先权</w:t>
      </w:r>
      <w:bookmarkEnd w:id="163"/>
      <w:bookmarkEnd w:id="164"/>
      <w:bookmarkEnd w:id="165"/>
    </w:p>
    <w:p w14:paraId="23F774B3">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8"/>
          <w:szCs w:val="28"/>
          <w:highlight w:val="none"/>
        </w:rPr>
      </w:pPr>
      <w:r>
        <w:rPr>
          <w:rFonts w:hint="eastAsia" w:ascii="Times New Roman" w:hAnsi="Times New Roman" w:eastAsia="方正仿宋_GBK" w:cs="Times New Roman"/>
          <w:caps w:val="0"/>
          <w:smallCaps w:val="0"/>
          <w:color w:val="auto"/>
          <w:kern w:val="2"/>
          <w:sz w:val="24"/>
          <w:szCs w:val="24"/>
          <w:highlight w:val="none"/>
        </w:rPr>
        <w:t>特许经营期届满如政府方决定继续采用特许经营模式运营本项目，甲方将按规定重新选择特许经营者，同等条件下可优先选择原特许经营者承担，并重新订立特许经营协议。</w:t>
      </w:r>
    </w:p>
    <w:p w14:paraId="69474E3E">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166" w:name="_Toc3840"/>
      <w:bookmarkStart w:id="167" w:name="_Toc25713"/>
      <w:bookmarkStart w:id="168" w:name="_Toc2080477534"/>
      <w:r>
        <w:rPr>
          <w:rFonts w:hint="eastAsia" w:ascii="Times New Roman" w:hAnsi="Times New Roman" w:eastAsia="方正黑体_GBK" w:cs="方正黑体_GBK"/>
          <w:bCs/>
          <w:caps w:val="0"/>
          <w:smallCaps w:val="0"/>
          <w:color w:val="auto"/>
          <w:kern w:val="2"/>
          <w:sz w:val="28"/>
          <w:szCs w:val="28"/>
          <w:highlight w:val="none"/>
          <w:lang w:val="en-US" w:eastAsia="zh-CN" w:bidi="ar-SA"/>
        </w:rPr>
        <w:t>第14条 特许经营排他性和竞争性项目</w:t>
      </w:r>
      <w:bookmarkEnd w:id="166"/>
      <w:bookmarkEnd w:id="167"/>
      <w:bookmarkEnd w:id="168"/>
    </w:p>
    <w:p w14:paraId="47F033E2">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1.</w:t>
      </w:r>
      <w:r>
        <w:rPr>
          <w:rFonts w:hint="default" w:ascii="Times New Roman" w:hAnsi="Times New Roman" w:eastAsia="方正仿宋_GBK"/>
          <w:caps w:val="0"/>
          <w:smallCaps w:val="0"/>
          <w:color w:val="auto"/>
          <w:kern w:val="2"/>
          <w:sz w:val="24"/>
          <w:szCs w:val="24"/>
          <w:highlight w:val="none"/>
        </w:rPr>
        <w:t>特许经营期内，甲方和政府</w:t>
      </w:r>
      <w:r>
        <w:rPr>
          <w:rFonts w:hint="eastAsia" w:ascii="Times New Roman" w:hAnsi="Times New Roman" w:eastAsia="方正仿宋_GBK"/>
          <w:caps w:val="0"/>
          <w:smallCaps w:val="0"/>
          <w:color w:val="auto"/>
          <w:kern w:val="2"/>
          <w:sz w:val="24"/>
          <w:szCs w:val="24"/>
          <w:highlight w:val="none"/>
        </w:rPr>
        <w:t>部门</w:t>
      </w:r>
      <w:r>
        <w:rPr>
          <w:rFonts w:hint="default" w:ascii="Times New Roman" w:hAnsi="Times New Roman" w:eastAsia="方正仿宋_GBK"/>
          <w:caps w:val="0"/>
          <w:smallCaps w:val="0"/>
          <w:color w:val="auto"/>
          <w:kern w:val="2"/>
          <w:sz w:val="24"/>
          <w:szCs w:val="24"/>
          <w:highlight w:val="none"/>
        </w:rPr>
        <w:t>不以任何方式将</w:t>
      </w:r>
      <w:r>
        <w:rPr>
          <w:rFonts w:hint="eastAsia" w:ascii="Times New Roman" w:hAnsi="Times New Roman" w:eastAsia="方正仿宋_GBK"/>
          <w:caps w:val="0"/>
          <w:smallCaps w:val="0"/>
          <w:color w:val="auto"/>
          <w:kern w:val="2"/>
          <w:sz w:val="24"/>
          <w:szCs w:val="24"/>
          <w:highlight w:val="none"/>
        </w:rPr>
        <w:t>已授予乙方的</w:t>
      </w:r>
      <w:r>
        <w:rPr>
          <w:rFonts w:hint="default" w:ascii="Times New Roman" w:hAnsi="Times New Roman" w:eastAsia="方正仿宋_GBK"/>
          <w:caps w:val="0"/>
          <w:smallCaps w:val="0"/>
          <w:color w:val="auto"/>
          <w:kern w:val="2"/>
          <w:sz w:val="24"/>
          <w:szCs w:val="24"/>
          <w:highlight w:val="none"/>
        </w:rPr>
        <w:t>本项目特许经营</w:t>
      </w:r>
      <w:r>
        <w:rPr>
          <w:rFonts w:hint="eastAsia" w:ascii="Times New Roman" w:hAnsi="Times New Roman" w:eastAsia="方正仿宋_GBK"/>
          <w:caps w:val="0"/>
          <w:smallCaps w:val="0"/>
          <w:color w:val="auto"/>
          <w:kern w:val="2"/>
          <w:sz w:val="24"/>
          <w:szCs w:val="24"/>
          <w:highlight w:val="none"/>
        </w:rPr>
        <w:t>相关权利</w:t>
      </w:r>
      <w:r>
        <w:rPr>
          <w:rFonts w:hint="default" w:ascii="Times New Roman" w:hAnsi="Times New Roman" w:eastAsia="方正仿宋_GBK"/>
          <w:caps w:val="0"/>
          <w:smallCaps w:val="0"/>
          <w:color w:val="auto"/>
          <w:kern w:val="2"/>
          <w:sz w:val="24"/>
          <w:szCs w:val="24"/>
          <w:highlight w:val="none"/>
        </w:rPr>
        <w:t>的全部或部分重复授予第三方，或者以任何方式减少特许经营</w:t>
      </w:r>
      <w:r>
        <w:rPr>
          <w:rFonts w:hint="eastAsia" w:ascii="Times New Roman" w:hAnsi="Times New Roman" w:eastAsia="方正仿宋_GBK"/>
          <w:caps w:val="0"/>
          <w:smallCaps w:val="0"/>
          <w:color w:val="auto"/>
          <w:kern w:val="2"/>
          <w:sz w:val="24"/>
          <w:szCs w:val="24"/>
          <w:highlight w:val="none"/>
        </w:rPr>
        <w:t>授权</w:t>
      </w:r>
      <w:r>
        <w:rPr>
          <w:rFonts w:hint="default" w:ascii="Times New Roman" w:hAnsi="Times New Roman" w:eastAsia="方正仿宋_GBK"/>
          <w:caps w:val="0"/>
          <w:smallCaps w:val="0"/>
          <w:color w:val="auto"/>
          <w:kern w:val="2"/>
          <w:sz w:val="24"/>
          <w:szCs w:val="24"/>
          <w:highlight w:val="none"/>
        </w:rPr>
        <w:t>的内容、妨碍</w:t>
      </w:r>
      <w:r>
        <w:rPr>
          <w:rFonts w:hint="eastAsia" w:ascii="Times New Roman" w:hAnsi="Times New Roman" w:eastAsia="方正仿宋_GBK"/>
          <w:caps w:val="0"/>
          <w:smallCaps w:val="0"/>
          <w:color w:val="auto"/>
          <w:kern w:val="2"/>
          <w:sz w:val="24"/>
          <w:szCs w:val="24"/>
          <w:highlight w:val="none"/>
        </w:rPr>
        <w:t>乙方行使</w:t>
      </w:r>
      <w:r>
        <w:rPr>
          <w:rFonts w:hint="default" w:ascii="Times New Roman" w:hAnsi="Times New Roman" w:eastAsia="方正仿宋_GBK"/>
          <w:caps w:val="0"/>
          <w:smallCaps w:val="0"/>
          <w:color w:val="auto"/>
          <w:kern w:val="2"/>
          <w:sz w:val="24"/>
          <w:szCs w:val="24"/>
          <w:highlight w:val="none"/>
        </w:rPr>
        <w:t>特许经营</w:t>
      </w:r>
      <w:r>
        <w:rPr>
          <w:rFonts w:hint="eastAsia" w:ascii="Times New Roman" w:hAnsi="Times New Roman" w:eastAsia="方正仿宋_GBK"/>
          <w:caps w:val="0"/>
          <w:smallCaps w:val="0"/>
          <w:color w:val="auto"/>
          <w:kern w:val="2"/>
          <w:sz w:val="24"/>
          <w:szCs w:val="24"/>
          <w:highlight w:val="none"/>
        </w:rPr>
        <w:t>的相关权利</w:t>
      </w:r>
      <w:r>
        <w:rPr>
          <w:rFonts w:hint="default" w:ascii="Times New Roman" w:hAnsi="Times New Roman" w:eastAsia="方正仿宋_GBK"/>
          <w:caps w:val="0"/>
          <w:smallCaps w:val="0"/>
          <w:color w:val="auto"/>
          <w:kern w:val="2"/>
          <w:sz w:val="24"/>
          <w:szCs w:val="24"/>
          <w:highlight w:val="none"/>
        </w:rPr>
        <w:t>。</w:t>
      </w:r>
    </w:p>
    <w:p w14:paraId="008248EC">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2.</w:t>
      </w:r>
      <w:r>
        <w:rPr>
          <w:rFonts w:hint="default" w:ascii="Times New Roman" w:hAnsi="Times New Roman" w:eastAsia="方正仿宋_GBK"/>
          <w:caps w:val="0"/>
          <w:smallCaps w:val="0"/>
          <w:color w:val="auto"/>
          <w:kern w:val="2"/>
          <w:sz w:val="24"/>
          <w:szCs w:val="24"/>
          <w:highlight w:val="none"/>
        </w:rPr>
        <w:t>在乙方的特许经营</w:t>
      </w:r>
      <w:r>
        <w:rPr>
          <w:rFonts w:hint="eastAsia" w:ascii="Times New Roman" w:hAnsi="Times New Roman" w:eastAsia="方正仿宋_GBK"/>
          <w:caps w:val="0"/>
          <w:smallCaps w:val="0"/>
          <w:color w:val="auto"/>
          <w:kern w:val="2"/>
          <w:sz w:val="24"/>
          <w:szCs w:val="24"/>
          <w:highlight w:val="none"/>
        </w:rPr>
        <w:t>相关权利</w:t>
      </w:r>
      <w:r>
        <w:rPr>
          <w:rFonts w:hint="default" w:ascii="Times New Roman" w:hAnsi="Times New Roman" w:eastAsia="方正仿宋_GBK"/>
          <w:caps w:val="0"/>
          <w:smallCaps w:val="0"/>
          <w:color w:val="auto"/>
          <w:kern w:val="2"/>
          <w:sz w:val="24"/>
          <w:szCs w:val="24"/>
          <w:highlight w:val="none"/>
        </w:rPr>
        <w:t>受到第三方实质性妨碍时，甲方</w:t>
      </w:r>
      <w:r>
        <w:rPr>
          <w:rFonts w:hint="eastAsia" w:ascii="Times New Roman" w:hAnsi="Times New Roman" w:eastAsia="方正仿宋_GBK"/>
          <w:caps w:val="0"/>
          <w:smallCaps w:val="0"/>
          <w:color w:val="auto"/>
          <w:kern w:val="2"/>
          <w:sz w:val="24"/>
          <w:szCs w:val="24"/>
          <w:highlight w:val="none"/>
        </w:rPr>
        <w:t>应</w:t>
      </w:r>
      <w:r>
        <w:rPr>
          <w:rFonts w:hint="default" w:ascii="Times New Roman" w:hAnsi="Times New Roman" w:eastAsia="方正仿宋_GBK"/>
          <w:caps w:val="0"/>
          <w:smallCaps w:val="0"/>
          <w:color w:val="auto"/>
          <w:kern w:val="2"/>
          <w:sz w:val="24"/>
          <w:szCs w:val="24"/>
          <w:highlight w:val="none"/>
        </w:rPr>
        <w:t>予以排除</w:t>
      </w:r>
      <w:r>
        <w:rPr>
          <w:rFonts w:hint="eastAsia" w:ascii="Times New Roman" w:hAnsi="Times New Roman" w:eastAsia="方正仿宋_GBK"/>
          <w:caps w:val="0"/>
          <w:smallCaps w:val="0"/>
          <w:color w:val="auto"/>
          <w:kern w:val="2"/>
          <w:sz w:val="24"/>
          <w:szCs w:val="24"/>
          <w:highlight w:val="none"/>
        </w:rPr>
        <w:t>，但由于乙方原因导致的除外</w:t>
      </w:r>
      <w:r>
        <w:rPr>
          <w:rFonts w:hint="default" w:ascii="Times New Roman" w:hAnsi="Times New Roman" w:eastAsia="方正仿宋_GBK"/>
          <w:caps w:val="0"/>
          <w:smallCaps w:val="0"/>
          <w:color w:val="auto"/>
          <w:kern w:val="2"/>
          <w:sz w:val="24"/>
          <w:szCs w:val="24"/>
          <w:highlight w:val="none"/>
        </w:rPr>
        <w:t>。</w:t>
      </w:r>
    </w:p>
    <w:p w14:paraId="6A7DAC74">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3.</w:t>
      </w:r>
      <w:r>
        <w:rPr>
          <w:rFonts w:hint="eastAsia" w:ascii="Times New Roman" w:hAnsi="Times New Roman" w:eastAsia="方正仿宋_GBK"/>
          <w:caps w:val="0"/>
          <w:smallCaps w:val="0"/>
          <w:color w:val="auto"/>
          <w:kern w:val="2"/>
          <w:sz w:val="24"/>
          <w:szCs w:val="24"/>
          <w:highlight w:val="none"/>
        </w:rPr>
        <w:t>特许经营期</w:t>
      </w:r>
      <w:r>
        <w:rPr>
          <w:rFonts w:hint="eastAsia" w:ascii="Times New Roman" w:hAnsi="Times New Roman" w:eastAsia="方正仿宋_GBK"/>
          <w:caps w:val="0"/>
          <w:smallCaps w:val="0"/>
          <w:color w:val="auto"/>
          <w:kern w:val="2"/>
          <w:sz w:val="24"/>
          <w:szCs w:val="24"/>
          <w:highlight w:val="none"/>
          <w:lang w:eastAsia="zh-CN"/>
        </w:rPr>
        <w:t>内</w:t>
      </w:r>
      <w:r>
        <w:rPr>
          <w:rFonts w:hint="eastAsia" w:ascii="Times New Roman" w:hAnsi="Times New Roman" w:eastAsia="方正仿宋_GBK"/>
          <w:caps w:val="0"/>
          <w:smallCaps w:val="0"/>
          <w:color w:val="auto"/>
          <w:kern w:val="2"/>
          <w:sz w:val="24"/>
          <w:szCs w:val="24"/>
          <w:highlight w:val="none"/>
        </w:rPr>
        <w:t>，如因公共利益原因需要新建竞争性项目，甲、乙双方本着公共利益和乙方权益并重的原则，具体协商竞争性项目对本项目造成影响的</w:t>
      </w:r>
      <w:bookmarkStart w:id="169" w:name="_Hlk163663487"/>
      <w:r>
        <w:rPr>
          <w:rFonts w:hint="eastAsia" w:ascii="Times New Roman" w:hAnsi="Times New Roman" w:eastAsia="方正仿宋_GBK"/>
          <w:caps w:val="0"/>
          <w:smallCaps w:val="0"/>
          <w:color w:val="auto"/>
          <w:kern w:val="2"/>
          <w:sz w:val="24"/>
          <w:szCs w:val="24"/>
          <w:highlight w:val="none"/>
        </w:rPr>
        <w:t>解决方式</w:t>
      </w:r>
      <w:bookmarkEnd w:id="169"/>
      <w:r>
        <w:rPr>
          <w:rFonts w:hint="eastAsia" w:ascii="Times New Roman" w:hAnsi="Times New Roman" w:eastAsia="方正仿宋_GBK"/>
          <w:caps w:val="0"/>
          <w:smallCaps w:val="0"/>
          <w:color w:val="auto"/>
          <w:kern w:val="2"/>
          <w:sz w:val="24"/>
          <w:szCs w:val="24"/>
          <w:highlight w:val="none"/>
        </w:rPr>
        <w:t>。【</w:t>
      </w:r>
      <w:bookmarkStart w:id="170" w:name="_Hlk163663591"/>
      <w:r>
        <w:rPr>
          <w:rFonts w:hint="eastAsia" w:ascii="Times New Roman" w:hAnsi="Times New Roman" w:eastAsia="方正仿宋_GBK"/>
          <w:caps w:val="0"/>
          <w:smallCaps w:val="0"/>
          <w:color w:val="auto"/>
          <w:kern w:val="2"/>
          <w:sz w:val="24"/>
          <w:szCs w:val="24"/>
          <w:highlight w:val="none"/>
        </w:rPr>
        <w:t>说明：竞争性项目是指其投资建设将对本项目收入形成不利影响且该等影响在甲方选择特许经营者时并未要求纳入乙方报价考虑的其他项目</w:t>
      </w:r>
      <w:bookmarkEnd w:id="170"/>
      <w:r>
        <w:rPr>
          <w:rFonts w:hint="eastAsia" w:ascii="Times New Roman" w:hAnsi="Times New Roman" w:eastAsia="方正仿宋_GBK"/>
          <w:caps w:val="0"/>
          <w:smallCaps w:val="0"/>
          <w:color w:val="auto"/>
          <w:kern w:val="2"/>
          <w:sz w:val="24"/>
          <w:szCs w:val="24"/>
          <w:highlight w:val="none"/>
        </w:rPr>
        <w:t>】。</w:t>
      </w:r>
    </w:p>
    <w:p w14:paraId="697B1C1A">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171" w:name="_Toc9711"/>
      <w:bookmarkStart w:id="172" w:name="_Toc26321"/>
      <w:bookmarkStart w:id="173" w:name="_Toc1410319224"/>
      <w:r>
        <w:rPr>
          <w:rFonts w:hint="eastAsia" w:ascii="Times New Roman" w:hAnsi="Times New Roman" w:eastAsia="方正黑体_GBK" w:cs="方正黑体_GBK"/>
          <w:bCs/>
          <w:caps w:val="0"/>
          <w:smallCaps w:val="0"/>
          <w:color w:val="auto"/>
          <w:kern w:val="2"/>
          <w:sz w:val="28"/>
          <w:szCs w:val="28"/>
          <w:highlight w:val="none"/>
          <w:lang w:val="en-US" w:eastAsia="zh-CN" w:bidi="ar-SA"/>
        </w:rPr>
        <w:t>第15条 项目公司的经营范围、注册资本、股东出资方式、出资比例、利益分配方式</w:t>
      </w:r>
      <w:bookmarkEnd w:id="171"/>
      <w:bookmarkEnd w:id="172"/>
      <w:bookmarkEnd w:id="173"/>
    </w:p>
    <w:p w14:paraId="66D10690">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1.</w:t>
      </w:r>
      <w:r>
        <w:rPr>
          <w:rFonts w:hint="eastAsia" w:ascii="Times New Roman" w:hAnsi="Times New Roman" w:eastAsia="方正仿宋_GBK" w:cs="Times New Roman"/>
          <w:caps w:val="0"/>
          <w:smallCaps w:val="0"/>
          <w:color w:val="auto"/>
          <w:kern w:val="2"/>
          <w:sz w:val="24"/>
          <w:szCs w:val="24"/>
          <w:highlight w:val="none"/>
        </w:rPr>
        <w:t>经营范围：</w:t>
      </w:r>
      <w:r>
        <w:rPr>
          <w:rFonts w:hint="eastAsia" w:ascii="Times New Roman" w:hAnsi="Times New Roman" w:eastAsia="方正仿宋_GBK" w:cs="Times New Roman"/>
          <w:caps w:val="0"/>
          <w:smallCaps w:val="0"/>
          <w:color w:val="auto"/>
          <w:kern w:val="2"/>
          <w:sz w:val="24"/>
          <w:szCs w:val="24"/>
          <w:highlight w:val="none"/>
          <w:lang w:val="en-US" w:eastAsia="zh-CN"/>
        </w:rPr>
        <w:t>负责本项目的投资、设施设备的运营维护，及特许经营范围内的污水处理服务，</w:t>
      </w:r>
      <w:r>
        <w:rPr>
          <w:rFonts w:hint="eastAsia" w:ascii="Times New Roman" w:hAnsi="Times New Roman" w:eastAsia="方正仿宋_GBK" w:cs="Times New Roman"/>
          <w:caps w:val="0"/>
          <w:smallCaps w:val="0"/>
          <w:color w:val="auto"/>
          <w:kern w:val="2"/>
          <w:sz w:val="24"/>
          <w:szCs w:val="24"/>
          <w:highlight w:val="none"/>
        </w:rPr>
        <w:t>具体以市场监督管理部门核准的经营范围</w:t>
      </w:r>
      <w:r>
        <w:rPr>
          <w:rFonts w:hint="eastAsia" w:ascii="Times New Roman" w:hAnsi="Times New Roman" w:eastAsia="方正仿宋_GBK" w:cs="Times New Roman"/>
          <w:caps w:val="0"/>
          <w:smallCaps w:val="0"/>
          <w:color w:val="auto"/>
          <w:kern w:val="2"/>
          <w:sz w:val="24"/>
          <w:szCs w:val="24"/>
          <w:highlight w:val="none"/>
          <w:lang w:eastAsia="zh-CN"/>
        </w:rPr>
        <w:t>为准。</w:t>
      </w:r>
    </w:p>
    <w:p w14:paraId="6BBFBB21">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lang w:eastAsia="zh-CN"/>
        </w:rPr>
      </w:pPr>
      <w:r>
        <w:rPr>
          <w:rFonts w:hint="eastAsia" w:ascii="Times New Roman" w:hAnsi="Times New Roman" w:eastAsia="方正仿宋_GBK" w:cs="Times New Roman"/>
          <w:caps w:val="0"/>
          <w:smallCaps w:val="0"/>
          <w:color w:val="auto"/>
          <w:kern w:val="2"/>
          <w:sz w:val="24"/>
          <w:szCs w:val="24"/>
          <w:highlight w:val="none"/>
          <w:lang w:val="en-US" w:eastAsia="zh-CN" w:bidi="ar-SA"/>
        </w:rPr>
        <w:t>2.</w:t>
      </w:r>
      <w:r>
        <w:rPr>
          <w:rFonts w:hint="eastAsia" w:ascii="Times New Roman" w:hAnsi="Times New Roman" w:eastAsia="方正仿宋_GBK" w:cs="Times New Roman"/>
          <w:caps w:val="0"/>
          <w:smallCaps w:val="0"/>
          <w:color w:val="auto"/>
          <w:kern w:val="2"/>
          <w:sz w:val="24"/>
          <w:szCs w:val="24"/>
          <w:highlight w:val="none"/>
        </w:rPr>
        <w:t>乙方</w:t>
      </w:r>
      <w:r>
        <w:rPr>
          <w:rFonts w:hint="eastAsia" w:ascii="Times New Roman" w:hAnsi="Times New Roman" w:eastAsia="方正仿宋_GBK" w:cs="Times New Roman"/>
          <w:caps w:val="0"/>
          <w:smallCaps w:val="0"/>
          <w:color w:val="auto"/>
          <w:kern w:val="2"/>
          <w:sz w:val="24"/>
          <w:szCs w:val="24"/>
          <w:highlight w:val="none"/>
          <w:lang w:val="en-US" w:eastAsia="zh-CN"/>
        </w:rPr>
        <w:t>的</w:t>
      </w:r>
      <w:r>
        <w:rPr>
          <w:rFonts w:hint="eastAsia" w:ascii="Times New Roman" w:hAnsi="Times New Roman" w:eastAsia="方正仿宋_GBK" w:cs="Times New Roman"/>
          <w:caps w:val="0"/>
          <w:smallCaps w:val="0"/>
          <w:color w:val="auto"/>
          <w:kern w:val="2"/>
          <w:sz w:val="24"/>
          <w:szCs w:val="24"/>
          <w:highlight w:val="none"/>
        </w:rPr>
        <w:t>注册资本为</w:t>
      </w:r>
      <w:r>
        <w:rPr>
          <w:rFonts w:hint="eastAsia" w:ascii="Times New Roman" w:hAnsi="Times New Roman" w:eastAsia="方正仿宋_GBK" w:cs="Times New Roman"/>
          <w:color w:val="auto"/>
          <w:kern w:val="2"/>
          <w:sz w:val="24"/>
          <w:szCs w:val="24"/>
          <w:highlight w:val="none"/>
          <w:lang w:val="en-US" w:eastAsia="zh-CN"/>
        </w:rPr>
        <w:t>特许经营权转让费</w:t>
      </w:r>
      <w:r>
        <w:rPr>
          <w:rFonts w:hint="eastAsia" w:ascii="Times New Roman" w:hAnsi="Times New Roman" w:eastAsia="方正仿宋_GBK" w:cs="Times New Roman"/>
          <w:caps w:val="0"/>
          <w:smallCaps w:val="0"/>
          <w:color w:val="auto"/>
          <w:kern w:val="2"/>
          <w:sz w:val="24"/>
          <w:szCs w:val="24"/>
          <w:highlight w:val="none"/>
          <w:lang w:val="en-US" w:eastAsia="zh-CN"/>
        </w:rPr>
        <w:t>的20%，即【120,060,000.00】元</w:t>
      </w:r>
      <w:r>
        <w:rPr>
          <w:rFonts w:hint="eastAsia" w:ascii="Times New Roman" w:hAnsi="Times New Roman" w:eastAsia="方正仿宋_GBK" w:cs="Times New Roman"/>
          <w:caps w:val="0"/>
          <w:smallCaps w:val="0"/>
          <w:color w:val="auto"/>
          <w:kern w:val="2"/>
          <w:sz w:val="24"/>
          <w:szCs w:val="24"/>
          <w:highlight w:val="none"/>
          <w:lang w:eastAsia="zh-CN"/>
        </w:rPr>
        <w:t>。</w:t>
      </w:r>
    </w:p>
    <w:p w14:paraId="06803892">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3.</w:t>
      </w:r>
      <w:r>
        <w:rPr>
          <w:rFonts w:hint="eastAsia" w:ascii="Times New Roman" w:hAnsi="Times New Roman" w:eastAsia="方正仿宋_GBK" w:cs="Times New Roman"/>
          <w:caps w:val="0"/>
          <w:smallCaps w:val="0"/>
          <w:color w:val="auto"/>
          <w:kern w:val="2"/>
          <w:sz w:val="24"/>
          <w:szCs w:val="24"/>
          <w:highlight w:val="none"/>
        </w:rPr>
        <w:t>乙方股东出资方式：</w:t>
      </w:r>
      <w:r>
        <w:rPr>
          <w:rFonts w:hint="eastAsia" w:ascii="Times New Roman" w:hAnsi="Times New Roman" w:eastAsia="方正仿宋_GBK" w:cs="Times New Roman"/>
          <w:caps w:val="0"/>
          <w:smallCaps w:val="0"/>
          <w:color w:val="auto"/>
          <w:kern w:val="2"/>
          <w:sz w:val="24"/>
          <w:szCs w:val="24"/>
          <w:highlight w:val="none"/>
          <w:lang w:val="en-US" w:eastAsia="zh-CN"/>
        </w:rPr>
        <w:t>以</w:t>
      </w:r>
      <w:r>
        <w:rPr>
          <w:rFonts w:hint="eastAsia" w:ascii="Times New Roman" w:hAnsi="Times New Roman" w:eastAsia="方正仿宋_GBK" w:cs="Times New Roman"/>
          <w:caps w:val="0"/>
          <w:smallCaps w:val="0"/>
          <w:color w:val="auto"/>
          <w:kern w:val="2"/>
          <w:sz w:val="24"/>
          <w:szCs w:val="24"/>
          <w:highlight w:val="none"/>
        </w:rPr>
        <w:t>货币出资</w:t>
      </w:r>
      <w:r>
        <w:rPr>
          <w:rFonts w:hint="eastAsia" w:ascii="Times New Roman" w:hAnsi="Times New Roman" w:eastAsia="方正仿宋_GBK" w:cs="Times New Roman"/>
          <w:caps w:val="0"/>
          <w:smallCaps w:val="0"/>
          <w:color w:val="auto"/>
          <w:kern w:val="2"/>
          <w:sz w:val="24"/>
          <w:szCs w:val="24"/>
          <w:highlight w:val="none"/>
          <w:lang w:eastAsia="zh-CN"/>
        </w:rPr>
        <w:t>，</w:t>
      </w:r>
      <w:r>
        <w:rPr>
          <w:rFonts w:hint="eastAsia" w:ascii="Times New Roman" w:hAnsi="Times New Roman" w:eastAsia="方正仿宋_GBK" w:cs="Times New Roman"/>
          <w:caps w:val="0"/>
          <w:smallCaps w:val="0"/>
          <w:color w:val="auto"/>
          <w:kern w:val="2"/>
          <w:sz w:val="24"/>
          <w:szCs w:val="24"/>
          <w:highlight w:val="none"/>
          <w:lang w:val="en-US" w:eastAsia="zh-CN"/>
        </w:rPr>
        <w:t>100%控股乙方。</w:t>
      </w:r>
    </w:p>
    <w:p w14:paraId="65387867">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4.</w:t>
      </w:r>
      <w:r>
        <w:rPr>
          <w:rFonts w:hint="eastAsia" w:ascii="Times New Roman" w:hAnsi="Times New Roman" w:eastAsia="方正仿宋_GBK" w:cs="Times New Roman"/>
          <w:caps w:val="0"/>
          <w:smallCaps w:val="0"/>
          <w:color w:val="auto"/>
          <w:kern w:val="2"/>
          <w:sz w:val="24"/>
          <w:szCs w:val="24"/>
          <w:highlight w:val="none"/>
        </w:rPr>
        <w:t>出资比例</w:t>
      </w:r>
      <w:r>
        <w:rPr>
          <w:rFonts w:hint="eastAsia" w:ascii="Times New Roman" w:hAnsi="Times New Roman" w:eastAsia="方正仿宋_GBK" w:cs="Times New Roman"/>
          <w:caps w:val="0"/>
          <w:smallCaps w:val="0"/>
          <w:color w:val="auto"/>
          <w:kern w:val="2"/>
          <w:sz w:val="24"/>
          <w:szCs w:val="24"/>
          <w:highlight w:val="none"/>
          <w:lang w:val="en-US" w:eastAsia="zh-CN"/>
        </w:rPr>
        <w:t>：</w:t>
      </w:r>
      <w:r>
        <w:rPr>
          <w:rFonts w:hint="eastAsia" w:ascii="Times New Roman" w:hAnsi="Times New Roman" w:eastAsia="方正仿宋_GBK" w:cs="Times New Roman"/>
          <w:caps w:val="0"/>
          <w:smallCaps w:val="0"/>
          <w:color w:val="auto"/>
          <w:kern w:val="2"/>
          <w:sz w:val="24"/>
          <w:szCs w:val="24"/>
          <w:highlight w:val="none"/>
        </w:rPr>
        <w:t>【列示项目公司全部股东出资比例】。</w:t>
      </w:r>
    </w:p>
    <w:p w14:paraId="3457E4B4">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5.</w:t>
      </w:r>
      <w:r>
        <w:rPr>
          <w:rFonts w:hint="eastAsia" w:ascii="Times New Roman" w:hAnsi="Times New Roman" w:eastAsia="方正仿宋_GBK" w:cs="Times New Roman"/>
          <w:caps w:val="0"/>
          <w:smallCaps w:val="0"/>
          <w:color w:val="auto"/>
          <w:kern w:val="2"/>
          <w:sz w:val="24"/>
          <w:szCs w:val="24"/>
          <w:highlight w:val="none"/>
        </w:rPr>
        <w:t>乙方股东利益分配方式</w:t>
      </w:r>
      <w:r>
        <w:rPr>
          <w:rFonts w:hint="eastAsia" w:ascii="Times New Roman" w:hAnsi="Times New Roman" w:eastAsia="方正仿宋_GBK" w:cs="Times New Roman"/>
          <w:caps w:val="0"/>
          <w:smallCaps w:val="0"/>
          <w:color w:val="auto"/>
          <w:kern w:val="2"/>
          <w:sz w:val="24"/>
          <w:szCs w:val="24"/>
          <w:highlight w:val="none"/>
          <w:lang w:eastAsia="zh-CN"/>
        </w:rPr>
        <w:t>：</w:t>
      </w:r>
      <w:r>
        <w:rPr>
          <w:rFonts w:hint="eastAsia" w:ascii="Times New Roman" w:hAnsi="Times New Roman" w:eastAsia="方正仿宋_GBK" w:cs="Times New Roman"/>
          <w:caps w:val="0"/>
          <w:smallCaps w:val="0"/>
          <w:color w:val="auto"/>
          <w:kern w:val="2"/>
          <w:sz w:val="24"/>
          <w:szCs w:val="24"/>
          <w:highlight w:val="none"/>
          <w:lang w:val="en-US" w:eastAsia="zh-CN"/>
        </w:rPr>
        <w:t>按股权比例同股同权参与股东利益分配</w:t>
      </w:r>
      <w:r>
        <w:rPr>
          <w:rFonts w:hint="eastAsia" w:ascii="Times New Roman" w:hAnsi="Times New Roman" w:eastAsia="方正仿宋_GBK" w:cs="Times New Roman"/>
          <w:caps w:val="0"/>
          <w:smallCaps w:val="0"/>
          <w:color w:val="auto"/>
          <w:kern w:val="2"/>
          <w:sz w:val="24"/>
          <w:szCs w:val="24"/>
          <w:highlight w:val="none"/>
          <w:lang w:eastAsia="zh-CN"/>
        </w:rPr>
        <w:t>。</w:t>
      </w:r>
    </w:p>
    <w:p w14:paraId="54B13F3F">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174" w:name="_Toc10991"/>
      <w:bookmarkStart w:id="175" w:name="_Toc420"/>
      <w:bookmarkStart w:id="176" w:name="_Toc2136967723"/>
      <w:r>
        <w:rPr>
          <w:rFonts w:hint="eastAsia" w:ascii="Times New Roman" w:hAnsi="Times New Roman" w:eastAsia="方正黑体_GBK" w:cs="方正黑体_GBK"/>
          <w:bCs/>
          <w:caps w:val="0"/>
          <w:smallCaps w:val="0"/>
          <w:color w:val="auto"/>
          <w:kern w:val="2"/>
          <w:sz w:val="28"/>
          <w:szCs w:val="28"/>
          <w:highlight w:val="none"/>
          <w:lang w:val="en-US" w:eastAsia="zh-CN" w:bidi="ar-SA"/>
        </w:rPr>
        <w:t>第16条 对项目公司股权、经营行为的限制</w:t>
      </w:r>
      <w:bookmarkEnd w:id="174"/>
      <w:bookmarkEnd w:id="175"/>
      <w:bookmarkEnd w:id="176"/>
    </w:p>
    <w:p w14:paraId="0A8375D6">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lang w:val="en-US" w:eastAsia="zh-CN"/>
        </w:rPr>
      </w:pPr>
      <w:r>
        <w:rPr>
          <w:rFonts w:hint="eastAsia" w:ascii="Times New Roman" w:hAnsi="Times New Roman" w:eastAsia="方正仿宋_GBK" w:cs="Times New Roman"/>
          <w:caps w:val="0"/>
          <w:smallCaps w:val="0"/>
          <w:color w:val="auto"/>
          <w:kern w:val="2"/>
          <w:sz w:val="24"/>
          <w:szCs w:val="24"/>
          <w:highlight w:val="none"/>
          <w:lang w:val="en-US" w:eastAsia="zh-CN" w:bidi="ar-SA"/>
        </w:rPr>
        <w:t>1.</w:t>
      </w:r>
      <w:r>
        <w:rPr>
          <w:rFonts w:hint="eastAsia" w:ascii="Times New Roman" w:hAnsi="Times New Roman" w:eastAsia="方正仿宋_GBK" w:cs="Times New Roman"/>
          <w:caps w:val="0"/>
          <w:smallCaps w:val="0"/>
          <w:color w:val="auto"/>
          <w:kern w:val="2"/>
          <w:sz w:val="24"/>
          <w:szCs w:val="24"/>
          <w:highlight w:val="none"/>
          <w:lang w:val="en-US" w:eastAsia="zh-CN"/>
        </w:rPr>
        <w:t>本特许经营协议生效日起3年期间内，乙方变更股东，须经甲方书面同意，除非该股权结构变更是适用法律所要求，或本协议另有约定，或具有管辖权的法院、仲裁机构或政府或政府的部门命令的变更；对于有利于特许经营、项目融资或项目实施的股权结构调整，甲方予以支持，且无合理理由不应当拒绝给予同意，但前提是股权变更不应不合理地减损乙方在本协议下的义务或履行本协议的能力且不违背公平竞争原则和适用法律对股权结构的要求。上述期间后乙方股权结构如需调整，则应知会甲方，甲方有权基于是否不合理地减损乙方在本协议下的义务或履行本协议的能力、是否违背公平竞争原则、是否违背适用法律对股权结构的要求等，对股权结构调整提出异议，乙方有义务消除异议或终止调整，且在消除异议前乙方不得进行股权结构调整。在任何情况下乙方变更股东时，新股东应当对甲方承诺履行本协议下乙方股东的义务并证明其具有履约能力，且股东变更应符合适用法律及政策性规定的有关要求（如有）。</w:t>
      </w:r>
    </w:p>
    <w:p w14:paraId="422E6E34">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lang w:val="en-US" w:eastAsia="zh-CN"/>
        </w:rPr>
      </w:pPr>
      <w:r>
        <w:rPr>
          <w:rFonts w:hint="eastAsia" w:ascii="Times New Roman" w:hAnsi="Times New Roman" w:eastAsia="方正仿宋_GBK" w:cs="Times New Roman"/>
          <w:caps w:val="0"/>
          <w:smallCaps w:val="0"/>
          <w:color w:val="auto"/>
          <w:kern w:val="2"/>
          <w:sz w:val="24"/>
          <w:szCs w:val="24"/>
          <w:highlight w:val="none"/>
          <w:lang w:val="en-US" w:eastAsia="zh-CN"/>
        </w:rPr>
        <w:t>股权锁定期解除后，发生乙方股东股权变更的情形，乙方股东与股权受让方（以下简称“第三方”）应签订附条件生效的股权转让合同，自股权转让合同签订之日起，第三方进入试运营期（试运营期为1年）。在试运营期内，由乙方股东与第三方就本项目运营承担连带责任。该试运营期结束后，经考核认定第三方对项目的运营结果不低于本项目运营标准与要求，能按照合同约定履行合同责任和义务的，第三方被证明合格的，经政府方书面同意，乙方股东与第三方的股权转让合同生效，乙方股东与第三方就本项目运营维护工作的连带责任解除。如第三方的运营管理工作低于本项目《特许经营协议》以及招标文件等约定的运营管理标准、技术能力、财务信用、运营经验的，第三方被证明不合格的，乙方股东与第三方的股权转让合同应当视为不生效，乙方股东与第三方就运营不合格给政府方以及接受运营服务的对象造成的损失承担连带责任。</w:t>
      </w:r>
    </w:p>
    <w:p w14:paraId="3E4432D1">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2.</w:t>
      </w:r>
      <w:r>
        <w:rPr>
          <w:rFonts w:hint="eastAsia" w:ascii="Times New Roman" w:hAnsi="Times New Roman" w:eastAsia="方正仿宋_GBK" w:cs="Times New Roman"/>
          <w:caps w:val="0"/>
          <w:smallCaps w:val="0"/>
          <w:color w:val="auto"/>
          <w:kern w:val="2"/>
          <w:sz w:val="24"/>
          <w:szCs w:val="24"/>
          <w:highlight w:val="none"/>
        </w:rPr>
        <w:t>在本项目特许经营期内乙方减少注册资本、变更经营范围，应按适用法律执行并需事先报经甲方书面同意。乙方经营范围及股权结构等须符合适用法律及国家产业政策的要求。</w:t>
      </w:r>
    </w:p>
    <w:p w14:paraId="70E4E3F9">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3.</w:t>
      </w:r>
      <w:r>
        <w:rPr>
          <w:rFonts w:hint="eastAsia" w:ascii="Times New Roman" w:hAnsi="Times New Roman" w:eastAsia="方正仿宋_GBK" w:cs="Times New Roman"/>
          <w:caps w:val="0"/>
          <w:smallCaps w:val="0"/>
          <w:color w:val="auto"/>
          <w:kern w:val="2"/>
          <w:sz w:val="24"/>
          <w:szCs w:val="24"/>
          <w:highlight w:val="none"/>
        </w:rPr>
        <w:t>在本项目特许经营期内未经甲方书面同意，乙方不得从事任何与本项目无关的经营活动或对本项目以外的其他项目进行投资、资金借贷及借贷担保（包括为其股东债务提供任何形式的担保）等行为，不得承担其股东的债务。</w:t>
      </w:r>
    </w:p>
    <w:p w14:paraId="57E788F0">
      <w:pPr>
        <w:widowControl/>
        <w:numPr>
          <w:ilvl w:val="0"/>
          <w:numId w:val="0"/>
        </w:numPr>
        <w:adjustRightInd/>
        <w:snapToGrid/>
        <w:spacing w:before="0" w:beforeLines="0" w:after="0" w:afterLines="0" w:line="360" w:lineRule="auto"/>
        <w:ind w:firstLine="560" w:firstLineChars="200"/>
        <w:jc w:val="both"/>
        <w:outlineLvl w:val="1"/>
        <w:rPr>
          <w:rFonts w:ascii="Times New Roman" w:hAnsi="Times New Roman" w:eastAsia="方正仿宋_GBK" w:cs="方正黑体_GBK"/>
          <w:bCs/>
          <w:caps w:val="0"/>
          <w:smallCaps w:val="0"/>
          <w:color w:val="auto"/>
          <w:kern w:val="2"/>
          <w:sz w:val="28"/>
          <w:szCs w:val="28"/>
          <w:highlight w:val="none"/>
          <w:lang w:val="en-US" w:eastAsia="zh-CN" w:bidi="ar-SA"/>
        </w:rPr>
      </w:pPr>
      <w:bookmarkStart w:id="177" w:name="_Toc162394884"/>
      <w:bookmarkEnd w:id="177"/>
      <w:bookmarkStart w:id="178" w:name="_Toc2008356854"/>
      <w:bookmarkStart w:id="179" w:name="_Toc14032"/>
      <w:bookmarkStart w:id="180" w:name="_Toc32620"/>
      <w:r>
        <w:rPr>
          <w:rFonts w:hint="eastAsia" w:ascii="Times New Roman" w:hAnsi="Times New Roman" w:eastAsia="方正黑体_GBK" w:cs="方正黑体_GBK"/>
          <w:bCs/>
          <w:caps w:val="0"/>
          <w:smallCaps w:val="0"/>
          <w:color w:val="auto"/>
          <w:kern w:val="2"/>
          <w:sz w:val="28"/>
          <w:szCs w:val="28"/>
          <w:highlight w:val="none"/>
          <w:lang w:val="en-US" w:eastAsia="zh-CN" w:bidi="ar-SA"/>
        </w:rPr>
        <w:t>第17条 项目资产与权属</w:t>
      </w:r>
      <w:bookmarkEnd w:id="178"/>
      <w:bookmarkEnd w:id="179"/>
      <w:bookmarkEnd w:id="180"/>
    </w:p>
    <w:p w14:paraId="39B5B7D9">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1.政府向乙方移交</w:t>
      </w:r>
      <w:r>
        <w:rPr>
          <w:rFonts w:ascii="Times New Roman" w:hAnsi="Times New Roman" w:eastAsia="方正仿宋_GBK" w:cs="Times New Roman"/>
          <w:b/>
          <w:caps w:val="0"/>
          <w:smallCaps w:val="0"/>
          <w:color w:val="auto"/>
          <w:kern w:val="2"/>
          <w:sz w:val="24"/>
          <w:szCs w:val="24"/>
          <w:highlight w:val="none"/>
          <w:lang w:val="en-US" w:eastAsia="zh-CN" w:bidi="ar-SA"/>
        </w:rPr>
        <w:t>资产</w:t>
      </w:r>
      <w:r>
        <w:rPr>
          <w:rFonts w:hint="eastAsia" w:ascii="Times New Roman" w:hAnsi="Times New Roman" w:eastAsia="方正仿宋_GBK" w:cs="Times New Roman"/>
          <w:b/>
          <w:caps w:val="0"/>
          <w:smallCaps w:val="0"/>
          <w:color w:val="auto"/>
          <w:kern w:val="2"/>
          <w:sz w:val="24"/>
          <w:szCs w:val="24"/>
          <w:highlight w:val="none"/>
          <w:lang w:val="en-US" w:eastAsia="zh-CN" w:bidi="ar-SA"/>
        </w:rPr>
        <w:t>与</w:t>
      </w:r>
      <w:r>
        <w:rPr>
          <w:rFonts w:ascii="Times New Roman" w:hAnsi="Times New Roman" w:eastAsia="方正仿宋_GBK" w:cs="Times New Roman"/>
          <w:b/>
          <w:caps w:val="0"/>
          <w:smallCaps w:val="0"/>
          <w:color w:val="auto"/>
          <w:kern w:val="2"/>
          <w:sz w:val="24"/>
          <w:szCs w:val="24"/>
          <w:highlight w:val="none"/>
          <w:lang w:val="en-US" w:eastAsia="zh-CN" w:bidi="ar-SA"/>
        </w:rPr>
        <w:t>权属</w:t>
      </w:r>
    </w:p>
    <w:p w14:paraId="4D24F13B">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8"/>
          <w:szCs w:val="28"/>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rPr>
        <w:t>本协议生效日，甲方向乙方按照附件2资产清单移交项目设施设备，</w:t>
      </w:r>
      <w:r>
        <w:rPr>
          <w:rFonts w:hint="eastAsia" w:ascii="Times New Roman" w:hAnsi="Times New Roman" w:eastAsia="方正仿宋_GBK" w:cs="Times New Roman"/>
          <w:color w:val="auto"/>
          <w:kern w:val="2"/>
          <w:sz w:val="24"/>
          <w:szCs w:val="24"/>
          <w:highlight w:val="none"/>
        </w:rPr>
        <w:t>特许经营期</w:t>
      </w:r>
      <w:r>
        <w:rPr>
          <w:rFonts w:hint="eastAsia" w:ascii="Times New Roman" w:hAnsi="Times New Roman" w:eastAsia="方正仿宋_GBK" w:cs="Times New Roman"/>
          <w:color w:val="auto"/>
          <w:kern w:val="2"/>
          <w:sz w:val="24"/>
          <w:szCs w:val="24"/>
          <w:highlight w:val="none"/>
          <w:lang w:val="en-US" w:eastAsia="zh-CN"/>
        </w:rPr>
        <w:t>内</w:t>
      </w:r>
      <w:r>
        <w:rPr>
          <w:rFonts w:hint="eastAsia" w:ascii="Times New Roman" w:hAnsi="Times New Roman" w:eastAsia="方正仿宋_GBK" w:cs="Times New Roman"/>
          <w:color w:val="auto"/>
          <w:kern w:val="2"/>
          <w:sz w:val="24"/>
          <w:szCs w:val="24"/>
          <w:highlight w:val="none"/>
        </w:rPr>
        <w:t>，本项目所涉及资产的所有权始终归政府方所有，</w:t>
      </w:r>
      <w:r>
        <w:rPr>
          <w:rFonts w:hint="eastAsia" w:ascii="Times New Roman" w:hAnsi="Times New Roman" w:eastAsia="方正仿宋_GBK" w:cs="Times New Roman"/>
          <w:color w:val="auto"/>
          <w:kern w:val="2"/>
          <w:sz w:val="24"/>
          <w:szCs w:val="24"/>
          <w:highlight w:val="none"/>
          <w:lang w:val="en-US" w:eastAsia="zh-CN"/>
        </w:rPr>
        <w:t>乙方在特许经营期内对本项目资产具有使用、运营、收益的权利，不得对本项目的资产及特许经营权进行处置，乙方可按本协议约定享有以本项目特许经营权的预期收益设置质押等方式进行融资，相关融资应及时提交给政府方备案。</w:t>
      </w:r>
    </w:p>
    <w:p w14:paraId="1884BFA3">
      <w:pPr>
        <w:keepNext w:val="0"/>
        <w:keepLines w:val="0"/>
        <w:pageBreakBefore w:val="0"/>
        <w:widowControl w:val="0"/>
        <w:numPr>
          <w:ilvl w:val="2"/>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firstLine="480" w:firstLineChars="200"/>
        <w:jc w:val="left"/>
        <w:outlineLvl w:val="2"/>
        <w:rPr>
          <w:rFonts w:hint="default" w:ascii="Times New Roman" w:hAnsi="Times New Roman" w:eastAsia="方正仿宋_GBK"/>
          <w:b/>
          <w:caps w:val="0"/>
          <w:smallCaps w:val="0"/>
          <w:color w:val="auto"/>
          <w:kern w:val="2"/>
          <w:sz w:val="24"/>
          <w:szCs w:val="24"/>
          <w:highlight w:val="none"/>
        </w:rPr>
      </w:pPr>
      <w:r>
        <w:rPr>
          <w:rFonts w:hint="eastAsia" w:ascii="Times New Roman" w:hAnsi="Times New Roman" w:eastAsia="方正仿宋_GBK"/>
          <w:b/>
          <w:caps w:val="0"/>
          <w:smallCaps w:val="0"/>
          <w:color w:val="auto"/>
          <w:kern w:val="2"/>
          <w:sz w:val="24"/>
          <w:szCs w:val="24"/>
          <w:highlight w:val="none"/>
          <w:lang w:val="en-US" w:eastAsia="zh-CN" w:bidi="ar-SA"/>
        </w:rPr>
        <w:t>2.</w:t>
      </w:r>
      <w:r>
        <w:rPr>
          <w:rFonts w:hint="eastAsia" w:ascii="Times New Roman" w:hAnsi="Times New Roman" w:eastAsia="方正仿宋_GBK"/>
          <w:b/>
          <w:caps w:val="0"/>
          <w:smallCaps w:val="0"/>
          <w:color w:val="auto"/>
          <w:kern w:val="2"/>
          <w:sz w:val="24"/>
          <w:szCs w:val="24"/>
          <w:highlight w:val="none"/>
        </w:rPr>
        <w:t>乙方</w:t>
      </w:r>
      <w:r>
        <w:rPr>
          <w:rFonts w:hint="default" w:ascii="Times New Roman" w:hAnsi="Times New Roman" w:eastAsia="方正仿宋_GBK"/>
          <w:b/>
          <w:caps w:val="0"/>
          <w:smallCaps w:val="0"/>
          <w:color w:val="auto"/>
          <w:kern w:val="2"/>
          <w:sz w:val="24"/>
          <w:szCs w:val="24"/>
          <w:highlight w:val="none"/>
        </w:rPr>
        <w:t>新增</w:t>
      </w:r>
      <w:r>
        <w:rPr>
          <w:rFonts w:hint="eastAsia" w:ascii="Times New Roman" w:hAnsi="Times New Roman" w:eastAsia="方正仿宋_GBK"/>
          <w:b/>
          <w:caps w:val="0"/>
          <w:smallCaps w:val="0"/>
          <w:color w:val="auto"/>
          <w:kern w:val="2"/>
          <w:sz w:val="24"/>
          <w:szCs w:val="24"/>
          <w:highlight w:val="none"/>
        </w:rPr>
        <w:t>项目</w:t>
      </w:r>
      <w:r>
        <w:rPr>
          <w:rFonts w:hint="default" w:ascii="Times New Roman" w:hAnsi="Times New Roman" w:eastAsia="方正仿宋_GBK"/>
          <w:b/>
          <w:caps w:val="0"/>
          <w:smallCaps w:val="0"/>
          <w:color w:val="auto"/>
          <w:kern w:val="2"/>
          <w:sz w:val="24"/>
          <w:szCs w:val="24"/>
          <w:highlight w:val="none"/>
        </w:rPr>
        <w:t>资产</w:t>
      </w:r>
      <w:r>
        <w:rPr>
          <w:rFonts w:hint="eastAsia" w:ascii="Times New Roman" w:hAnsi="Times New Roman" w:eastAsia="方正仿宋_GBK"/>
          <w:b/>
          <w:caps w:val="0"/>
          <w:smallCaps w:val="0"/>
          <w:color w:val="auto"/>
          <w:kern w:val="2"/>
          <w:sz w:val="24"/>
          <w:szCs w:val="24"/>
          <w:highlight w:val="none"/>
        </w:rPr>
        <w:t>与</w:t>
      </w:r>
      <w:r>
        <w:rPr>
          <w:rFonts w:hint="default" w:ascii="Times New Roman" w:hAnsi="Times New Roman" w:eastAsia="方正仿宋_GBK"/>
          <w:b/>
          <w:caps w:val="0"/>
          <w:smallCaps w:val="0"/>
          <w:color w:val="auto"/>
          <w:kern w:val="2"/>
          <w:sz w:val="24"/>
          <w:szCs w:val="24"/>
          <w:highlight w:val="none"/>
        </w:rPr>
        <w:t>权属</w:t>
      </w:r>
    </w:p>
    <w:p w14:paraId="4428EDC9">
      <w:pPr>
        <w:pageBreakBefore w:val="0"/>
        <w:numPr>
          <w:ilvl w:val="0"/>
          <w:numId w:val="0"/>
        </w:numPr>
        <w:tabs>
          <w:tab w:val="left" w:pos="993"/>
        </w:tabs>
        <w:kinsoku/>
        <w:wordWrap/>
        <w:topLinePunct w:val="0"/>
        <w:bidi w:val="0"/>
        <w:adjustRightInd w:val="0"/>
        <w:snapToGrid w:val="0"/>
        <w:spacing w:before="0" w:beforeLines="0" w:beforeAutospacing="0" w:after="0" w:afterLines="0" w:afterAutospacing="0" w:line="360" w:lineRule="auto"/>
        <w:ind w:firstLine="480" w:firstLineChars="200"/>
        <w:rPr>
          <w:rFonts w:hint="eastAsia" w:ascii="Times New Roman" w:hAnsi="Times New Roman" w:eastAsia="方正仿宋_GBK" w:cs="Times New Roman"/>
          <w:caps w:val="0"/>
          <w:smallCaps w:val="0"/>
          <w:color w:val="auto"/>
          <w:kern w:val="2"/>
          <w:sz w:val="24"/>
          <w:szCs w:val="24"/>
          <w:highlight w:val="none"/>
          <w:lang w:val="en-US" w:eastAsia="zh-CN"/>
        </w:rPr>
      </w:pPr>
      <w:r>
        <w:rPr>
          <w:rFonts w:hint="eastAsia" w:ascii="Times New Roman" w:hAnsi="Times New Roman" w:eastAsia="方正仿宋_GBK" w:cs="Times New Roman"/>
          <w:caps w:val="0"/>
          <w:smallCaps w:val="0"/>
          <w:color w:val="auto"/>
          <w:kern w:val="2"/>
          <w:sz w:val="24"/>
          <w:szCs w:val="24"/>
          <w:highlight w:val="none"/>
        </w:rPr>
        <w:t>乙方在特许经营期内通过其投资行为而新增的资产，具体包括项目更新重置形成的资产、项目追加投资形成的资产</w:t>
      </w:r>
      <w:r>
        <w:rPr>
          <w:rFonts w:hint="eastAsia" w:ascii="Times New Roman" w:hAnsi="Times New Roman" w:eastAsia="方正仿宋_GBK" w:cs="Times New Roman"/>
          <w:caps w:val="0"/>
          <w:smallCaps w:val="0"/>
          <w:color w:val="auto"/>
          <w:kern w:val="2"/>
          <w:sz w:val="24"/>
          <w:szCs w:val="24"/>
          <w:highlight w:val="none"/>
          <w:lang w:eastAsia="zh-CN"/>
        </w:rPr>
        <w:t>，</w:t>
      </w:r>
      <w:r>
        <w:rPr>
          <w:rFonts w:hint="eastAsia" w:ascii="Times New Roman" w:hAnsi="Times New Roman" w:eastAsia="方正仿宋_GBK" w:cs="Times New Roman"/>
          <w:caps w:val="0"/>
          <w:smallCaps w:val="0"/>
          <w:color w:val="auto"/>
          <w:kern w:val="2"/>
          <w:sz w:val="24"/>
          <w:szCs w:val="24"/>
          <w:highlight w:val="none"/>
          <w:lang w:val="en-US" w:eastAsia="zh-CN"/>
        </w:rPr>
        <w:t>资产所有权仍归政府方所有。</w:t>
      </w:r>
    </w:p>
    <w:p w14:paraId="3B72594A">
      <w:pPr>
        <w:keepNext w:val="0"/>
        <w:keepLines w:val="0"/>
        <w:pageBreakBefore w:val="0"/>
        <w:widowControl w:val="0"/>
        <w:numPr>
          <w:ilvl w:val="2"/>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firstLine="480" w:firstLineChars="200"/>
        <w:jc w:val="left"/>
        <w:outlineLvl w:val="2"/>
        <w:rPr>
          <w:rFonts w:hint="eastAsia" w:ascii="Times New Roman" w:hAnsi="Times New Roman" w:eastAsia="方正仿宋_GBK" w:cs="Times New Roman"/>
          <w:b/>
          <w:caps w:val="0"/>
          <w:smallCaps w:val="0"/>
          <w:color w:val="auto"/>
          <w:kern w:val="2"/>
          <w:sz w:val="24"/>
          <w:szCs w:val="24"/>
          <w:highlight w:val="none"/>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3.</w:t>
      </w:r>
      <w:r>
        <w:rPr>
          <w:rFonts w:hint="eastAsia" w:ascii="Times New Roman" w:hAnsi="Times New Roman" w:eastAsia="方正仿宋_GBK" w:cs="Times New Roman"/>
          <w:b/>
          <w:caps w:val="0"/>
          <w:smallCaps w:val="0"/>
          <w:color w:val="auto"/>
          <w:kern w:val="2"/>
          <w:sz w:val="24"/>
          <w:szCs w:val="24"/>
          <w:highlight w:val="none"/>
        </w:rPr>
        <w:t>资产使用限制</w:t>
      </w:r>
    </w:p>
    <w:p w14:paraId="4756DD18">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eastAsia="zh-CN"/>
        </w:rPr>
        <w:t>除本协议另有约定外，</w:t>
      </w:r>
      <w:r>
        <w:rPr>
          <w:rFonts w:hint="eastAsia" w:ascii="Times New Roman" w:hAnsi="Times New Roman" w:eastAsia="方正仿宋_GBK" w:cs="Times New Roman"/>
          <w:caps w:val="0"/>
          <w:smallCaps w:val="0"/>
          <w:color w:val="auto"/>
          <w:kern w:val="2"/>
          <w:sz w:val="24"/>
          <w:szCs w:val="24"/>
          <w:highlight w:val="none"/>
        </w:rPr>
        <w:t>未经甲方书面同意，乙方不得对项目资产进行抵押、质押、出租、出售或以其他方式处置。</w:t>
      </w:r>
    </w:p>
    <w:p w14:paraId="47A264A6">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181" w:name="_Toc6576"/>
      <w:bookmarkStart w:id="182" w:name="_Toc1747435911"/>
      <w:bookmarkStart w:id="183" w:name="_Toc16141"/>
      <w:r>
        <w:rPr>
          <w:rFonts w:hint="eastAsia" w:ascii="Times New Roman" w:hAnsi="Times New Roman" w:eastAsia="方正黑体_GBK" w:cs="方正黑体_GBK"/>
          <w:bCs/>
          <w:caps w:val="0"/>
          <w:smallCaps w:val="0"/>
          <w:color w:val="auto"/>
          <w:kern w:val="2"/>
          <w:sz w:val="28"/>
          <w:szCs w:val="28"/>
          <w:highlight w:val="none"/>
          <w:lang w:val="en-US" w:eastAsia="zh-CN" w:bidi="ar-SA"/>
        </w:rPr>
        <w:t>第18条 用地获取和使用权利</w:t>
      </w:r>
      <w:bookmarkEnd w:id="181"/>
      <w:bookmarkEnd w:id="182"/>
      <w:bookmarkEnd w:id="183"/>
    </w:p>
    <w:p w14:paraId="3191E8A9">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eastAsia" w:ascii="仿宋" w:hAnsi="仿宋" w:eastAsia="仿宋" w:cs="Times New Roman"/>
          <w:color w:val="auto"/>
          <w:kern w:val="2"/>
          <w:sz w:val="24"/>
          <w:szCs w:val="28"/>
          <w:highlight w:val="none"/>
          <w:lang w:val="en-US" w:eastAsia="zh-CN"/>
        </w:rPr>
      </w:pPr>
      <w:r>
        <w:rPr>
          <w:rFonts w:hint="eastAsia" w:ascii="Times New Roman" w:hAnsi="Times New Roman" w:eastAsia="方正仿宋_GBK" w:cs="Times New Roman"/>
          <w:caps w:val="0"/>
          <w:smallCaps w:val="0"/>
          <w:color w:val="auto"/>
          <w:kern w:val="2"/>
          <w:sz w:val="24"/>
          <w:szCs w:val="24"/>
          <w:highlight w:val="none"/>
          <w:lang w:val="en-US" w:eastAsia="zh-CN"/>
        </w:rPr>
        <w:t>本项目土地使用权归政府方所有，</w:t>
      </w:r>
      <w:r>
        <w:rPr>
          <w:rFonts w:hint="eastAsia" w:ascii="Times New Roman" w:hAnsi="Times New Roman" w:eastAsia="方正仿宋_GBK" w:cs="Times New Roman"/>
          <w:caps w:val="0"/>
          <w:smallCaps w:val="0"/>
          <w:color w:val="auto"/>
          <w:kern w:val="2"/>
          <w:sz w:val="24"/>
          <w:szCs w:val="24"/>
          <w:highlight w:val="none"/>
        </w:rPr>
        <w:t>在</w:t>
      </w:r>
      <w:r>
        <w:rPr>
          <w:rFonts w:hint="eastAsia" w:ascii="Times New Roman" w:hAnsi="Times New Roman" w:eastAsia="方正仿宋_GBK" w:cs="Times New Roman"/>
          <w:caps w:val="0"/>
          <w:smallCaps w:val="0"/>
          <w:color w:val="auto"/>
          <w:kern w:val="2"/>
          <w:sz w:val="24"/>
          <w:szCs w:val="24"/>
          <w:highlight w:val="none"/>
          <w:lang w:val="en-US" w:eastAsia="zh-CN"/>
        </w:rPr>
        <w:t>特许经营</w:t>
      </w:r>
      <w:r>
        <w:rPr>
          <w:rFonts w:hint="eastAsia" w:ascii="Times New Roman" w:hAnsi="Times New Roman" w:eastAsia="方正仿宋_GBK" w:cs="Times New Roman"/>
          <w:caps w:val="0"/>
          <w:smallCaps w:val="0"/>
          <w:color w:val="auto"/>
          <w:kern w:val="2"/>
          <w:sz w:val="24"/>
          <w:szCs w:val="24"/>
          <w:highlight w:val="none"/>
        </w:rPr>
        <w:t>期间，</w:t>
      </w:r>
      <w:r>
        <w:rPr>
          <w:rFonts w:hint="eastAsia" w:ascii="Times New Roman" w:hAnsi="Times New Roman" w:eastAsia="方正仿宋_GBK" w:cs="Times New Roman"/>
          <w:caps w:val="0"/>
          <w:smallCaps w:val="0"/>
          <w:color w:val="auto"/>
          <w:kern w:val="2"/>
          <w:sz w:val="24"/>
          <w:szCs w:val="24"/>
          <w:highlight w:val="none"/>
          <w:lang w:val="en-US" w:eastAsia="zh-CN"/>
        </w:rPr>
        <w:t>土地使用权随地上建筑物一起提供给乙方使用，</w:t>
      </w:r>
      <w:r>
        <w:rPr>
          <w:rFonts w:hint="default" w:ascii="仿宋" w:hAnsi="仿宋" w:eastAsia="仿宋"/>
          <w:color w:val="auto"/>
          <w:kern w:val="2"/>
          <w:sz w:val="24"/>
          <w:szCs w:val="28"/>
          <w:highlight w:val="none"/>
        </w:rPr>
        <w:t>乙方无偿使用本项目</w:t>
      </w:r>
      <w:r>
        <w:rPr>
          <w:rFonts w:hint="eastAsia" w:ascii="仿宋" w:hAnsi="仿宋" w:eastAsia="仿宋"/>
          <w:color w:val="auto"/>
          <w:kern w:val="2"/>
          <w:sz w:val="24"/>
          <w:szCs w:val="28"/>
          <w:highlight w:val="none"/>
        </w:rPr>
        <w:t>用地，但若随政策调整导致本项目土地</w:t>
      </w:r>
      <w:r>
        <w:rPr>
          <w:rFonts w:hint="eastAsia" w:ascii="仿宋" w:hAnsi="仿宋" w:eastAsia="仿宋" w:cs="Times New Roman"/>
          <w:color w:val="auto"/>
          <w:kern w:val="2"/>
          <w:sz w:val="24"/>
          <w:szCs w:val="28"/>
          <w:highlight w:val="none"/>
        </w:rPr>
        <w:t>使用方式发生改变并产生相关费用，应</w:t>
      </w:r>
      <w:r>
        <w:rPr>
          <w:rFonts w:hint="eastAsia" w:ascii="仿宋" w:hAnsi="仿宋" w:eastAsia="仿宋" w:cs="Times New Roman"/>
          <w:color w:val="auto"/>
          <w:kern w:val="2"/>
          <w:sz w:val="24"/>
          <w:szCs w:val="28"/>
          <w:highlight w:val="none"/>
          <w:lang w:eastAsia="zh-CN"/>
        </w:rPr>
        <w:t>由乙方承担</w:t>
      </w:r>
      <w:r>
        <w:rPr>
          <w:rFonts w:hint="eastAsia" w:ascii="仿宋" w:hAnsi="仿宋" w:eastAsia="仿宋" w:cs="Times New Roman"/>
          <w:color w:val="auto"/>
          <w:kern w:val="2"/>
          <w:sz w:val="24"/>
          <w:szCs w:val="28"/>
          <w:highlight w:val="none"/>
        </w:rPr>
        <w:t>，具体补偿方</w:t>
      </w:r>
      <w:r>
        <w:rPr>
          <w:rFonts w:hint="eastAsia" w:ascii="仿宋" w:hAnsi="仿宋" w:eastAsia="仿宋" w:cs="Times New Roman"/>
          <w:color w:val="auto"/>
          <w:kern w:val="2"/>
          <w:sz w:val="24"/>
          <w:szCs w:val="28"/>
          <w:highlight w:val="none"/>
          <w:lang w:eastAsia="zh-CN"/>
        </w:rPr>
        <w:t>式由</w:t>
      </w:r>
      <w:r>
        <w:rPr>
          <w:rFonts w:hint="eastAsia" w:ascii="仿宋" w:hAnsi="仿宋" w:eastAsia="仿宋" w:cs="Times New Roman"/>
          <w:color w:val="auto"/>
          <w:kern w:val="2"/>
          <w:sz w:val="24"/>
          <w:szCs w:val="28"/>
          <w:highlight w:val="none"/>
        </w:rPr>
        <w:t>双方另行协商。</w:t>
      </w:r>
    </w:p>
    <w:p w14:paraId="309BA215">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default" w:ascii="仿宋" w:hAnsi="仿宋" w:eastAsia="仿宋" w:cs="Times New Roman"/>
          <w:color w:val="auto"/>
          <w:kern w:val="2"/>
          <w:sz w:val="24"/>
          <w:szCs w:val="28"/>
          <w:highlight w:val="none"/>
        </w:rPr>
      </w:pPr>
      <w:r>
        <w:rPr>
          <w:rFonts w:hint="eastAsia" w:ascii="仿宋" w:hAnsi="仿宋" w:eastAsia="仿宋" w:cs="Times New Roman"/>
          <w:color w:val="auto"/>
          <w:kern w:val="2"/>
          <w:sz w:val="24"/>
          <w:szCs w:val="28"/>
          <w:highlight w:val="none"/>
        </w:rPr>
        <w:t>乙方应仅为本项目之目的使用项目用地，乙方不得以转让、出租等方式处置项目土地使用权，亦不能在项目土地使用权上设置任何权利负担和其他权利限制，包括任何种类的抵押、质押等担保权益或其他权利、主张或利益</w:t>
      </w:r>
      <w:r>
        <w:rPr>
          <w:rFonts w:hint="default" w:ascii="仿宋" w:hAnsi="仿宋" w:eastAsia="仿宋" w:cs="Times New Roman"/>
          <w:color w:val="auto"/>
          <w:kern w:val="2"/>
          <w:sz w:val="24"/>
          <w:szCs w:val="28"/>
          <w:highlight w:val="none"/>
        </w:rPr>
        <w:t>。</w:t>
      </w:r>
    </w:p>
    <w:p w14:paraId="03C450DB">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default" w:ascii="仿宋" w:hAnsi="仿宋" w:eastAsia="仿宋" w:cs="Times New Roman"/>
          <w:color w:val="auto"/>
          <w:kern w:val="2"/>
          <w:sz w:val="24"/>
          <w:szCs w:val="28"/>
          <w:highlight w:val="none"/>
        </w:rPr>
      </w:pPr>
      <w:r>
        <w:rPr>
          <w:rFonts w:hint="default" w:ascii="仿宋" w:hAnsi="仿宋" w:eastAsia="仿宋" w:cs="Times New Roman"/>
          <w:color w:val="auto"/>
          <w:kern w:val="2"/>
          <w:sz w:val="24"/>
          <w:szCs w:val="28"/>
          <w:highlight w:val="none"/>
        </w:rPr>
        <w:t>如本项目实施过程中，涉及临时用地，则由甲方协助乙方办理相关手续，但临时用地所涉费用由乙方承担。</w:t>
      </w:r>
    </w:p>
    <w:p w14:paraId="4DC64A13">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184" w:name="_Toc25734307"/>
      <w:bookmarkStart w:id="185" w:name="_Toc21036"/>
      <w:bookmarkStart w:id="186" w:name="_Toc28666"/>
      <w:bookmarkStart w:id="187" w:name="_Hlk154346024"/>
      <w:r>
        <w:rPr>
          <w:rFonts w:hint="eastAsia" w:ascii="Times New Roman" w:hAnsi="Times New Roman" w:eastAsia="方正黑体_GBK" w:cs="方正黑体_GBK"/>
          <w:bCs/>
          <w:caps w:val="0"/>
          <w:smallCaps w:val="0"/>
          <w:color w:val="auto"/>
          <w:kern w:val="2"/>
          <w:sz w:val="28"/>
          <w:szCs w:val="28"/>
          <w:highlight w:val="none"/>
          <w:lang w:val="en-US" w:eastAsia="zh-CN" w:bidi="ar-SA"/>
        </w:rPr>
        <w:t>第19条 履约担保</w:t>
      </w:r>
      <w:bookmarkEnd w:id="184"/>
      <w:bookmarkEnd w:id="185"/>
      <w:bookmarkEnd w:id="186"/>
    </w:p>
    <w:bookmarkEnd w:id="187"/>
    <w:p w14:paraId="5D8E991F">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1.</w:t>
      </w:r>
      <w:r>
        <w:rPr>
          <w:rFonts w:hint="eastAsia" w:ascii="Times New Roman" w:hAnsi="Times New Roman" w:eastAsia="方正仿宋_GBK" w:cs="Times New Roman"/>
          <w:caps w:val="0"/>
          <w:smallCaps w:val="0"/>
          <w:color w:val="auto"/>
          <w:kern w:val="2"/>
          <w:sz w:val="24"/>
          <w:szCs w:val="24"/>
          <w:highlight w:val="none"/>
        </w:rPr>
        <w:t>本项目</w:t>
      </w:r>
      <w:r>
        <w:rPr>
          <w:rFonts w:hint="eastAsia" w:ascii="Times New Roman" w:hAnsi="Times New Roman" w:eastAsia="方正仿宋_GBK" w:cs="Times New Roman"/>
          <w:caps w:val="0"/>
          <w:smallCaps w:val="0"/>
          <w:color w:val="auto"/>
          <w:kern w:val="2"/>
          <w:sz w:val="24"/>
          <w:szCs w:val="24"/>
          <w:highlight w:val="none"/>
          <w:lang w:val="en-US" w:eastAsia="zh-CN"/>
        </w:rPr>
        <w:t>运营维护</w:t>
      </w:r>
      <w:r>
        <w:rPr>
          <w:rFonts w:hint="eastAsia" w:ascii="Times New Roman" w:hAnsi="Times New Roman" w:eastAsia="方正仿宋_GBK" w:cs="Times New Roman"/>
          <w:caps w:val="0"/>
          <w:smallCaps w:val="0"/>
          <w:color w:val="auto"/>
          <w:kern w:val="2"/>
          <w:sz w:val="24"/>
          <w:szCs w:val="24"/>
          <w:highlight w:val="none"/>
        </w:rPr>
        <w:t>履约保函金额为【</w:t>
      </w:r>
      <w:r>
        <w:rPr>
          <w:rFonts w:hint="eastAsia" w:ascii="Times New Roman" w:hAnsi="Times New Roman" w:eastAsia="方正仿宋_GBK" w:cs="Times New Roman"/>
          <w:caps w:val="0"/>
          <w:smallCaps w:val="0"/>
          <w:color w:val="auto"/>
          <w:kern w:val="2"/>
          <w:sz w:val="24"/>
          <w:szCs w:val="24"/>
          <w:highlight w:val="none"/>
          <w:lang w:val="en-US" w:eastAsia="zh-CN"/>
        </w:rPr>
        <w:t>贰佰</w:t>
      </w:r>
      <w:r>
        <w:rPr>
          <w:rFonts w:hint="eastAsia" w:ascii="Times New Roman" w:hAnsi="Times New Roman" w:eastAsia="方正仿宋_GBK" w:cs="Times New Roman"/>
          <w:caps w:val="0"/>
          <w:smallCaps w:val="0"/>
          <w:color w:val="auto"/>
          <w:kern w:val="2"/>
          <w:sz w:val="24"/>
          <w:szCs w:val="24"/>
          <w:highlight w:val="none"/>
        </w:rPr>
        <w:t>万元人民币】。乙方应在本协议签订后</w:t>
      </w:r>
      <w:r>
        <w:rPr>
          <w:rFonts w:hint="eastAsia" w:ascii="Times New Roman" w:hAnsi="Times New Roman" w:eastAsia="方正仿宋_GBK" w:cs="Times New Roman"/>
          <w:caps w:val="0"/>
          <w:smallCaps w:val="0"/>
          <w:color w:val="auto"/>
          <w:kern w:val="2"/>
          <w:sz w:val="24"/>
          <w:szCs w:val="24"/>
          <w:highlight w:val="none"/>
          <w:lang w:val="en-US" w:eastAsia="zh-CN"/>
        </w:rPr>
        <w:t>5个工作日</w:t>
      </w:r>
      <w:r>
        <w:rPr>
          <w:rFonts w:hint="eastAsia" w:ascii="Times New Roman" w:hAnsi="Times New Roman" w:eastAsia="方正仿宋_GBK" w:cs="Times New Roman"/>
          <w:caps w:val="0"/>
          <w:smallCaps w:val="0"/>
          <w:color w:val="auto"/>
          <w:kern w:val="2"/>
          <w:sz w:val="24"/>
          <w:szCs w:val="24"/>
          <w:highlight w:val="none"/>
        </w:rPr>
        <w:t>内按约定格式向甲方开具。</w:t>
      </w:r>
    </w:p>
    <w:p w14:paraId="7612DD93">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leftChars="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2.</w:t>
      </w:r>
      <w:r>
        <w:rPr>
          <w:rFonts w:hint="eastAsia" w:ascii="Times New Roman" w:hAnsi="Times New Roman" w:eastAsia="方正仿宋_GBK" w:cs="Times New Roman"/>
          <w:caps w:val="0"/>
          <w:smallCaps w:val="0"/>
          <w:color w:val="auto"/>
          <w:kern w:val="2"/>
          <w:sz w:val="24"/>
          <w:szCs w:val="24"/>
          <w:highlight w:val="none"/>
        </w:rPr>
        <w:t>履约保函被提取任意金额后，乙方应在</w:t>
      </w:r>
      <w:r>
        <w:rPr>
          <w:rFonts w:hint="eastAsia" w:ascii="Times New Roman" w:hAnsi="Times New Roman" w:eastAsia="方正仿宋_GBK" w:cs="Times New Roman"/>
          <w:caps w:val="0"/>
          <w:smallCaps w:val="0"/>
          <w:color w:val="auto"/>
          <w:kern w:val="2"/>
          <w:sz w:val="24"/>
          <w:szCs w:val="24"/>
          <w:highlight w:val="none"/>
          <w:lang w:val="en-US" w:eastAsia="zh-CN"/>
        </w:rPr>
        <w:t>10个工作日内</w:t>
      </w:r>
      <w:r>
        <w:rPr>
          <w:rFonts w:hint="eastAsia" w:ascii="Times New Roman" w:hAnsi="Times New Roman" w:eastAsia="方正仿宋_GBK" w:cs="Times New Roman"/>
          <w:caps w:val="0"/>
          <w:smallCaps w:val="0"/>
          <w:color w:val="auto"/>
          <w:kern w:val="2"/>
          <w:sz w:val="24"/>
          <w:szCs w:val="24"/>
          <w:highlight w:val="none"/>
        </w:rPr>
        <w:t>将履约担保金额恢复至原始金额。</w:t>
      </w:r>
    </w:p>
    <w:p w14:paraId="783F4739">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leftChars="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3.</w:t>
      </w:r>
      <w:r>
        <w:rPr>
          <w:rFonts w:hint="eastAsia" w:ascii="Times New Roman" w:hAnsi="Times New Roman" w:eastAsia="方正仿宋_GBK" w:cs="Times New Roman"/>
          <w:caps w:val="0"/>
          <w:smallCaps w:val="0"/>
          <w:color w:val="auto"/>
          <w:kern w:val="2"/>
          <w:sz w:val="24"/>
          <w:szCs w:val="24"/>
          <w:highlight w:val="none"/>
        </w:rPr>
        <w:t>若甲方不当提取履约保函中金额，甲方应及时向乙方退还提取款项，并支付利息及相关补偿。</w:t>
      </w:r>
    </w:p>
    <w:p w14:paraId="05624E25">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left="0" w:leftChars="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4.</w:t>
      </w:r>
      <w:r>
        <w:rPr>
          <w:rFonts w:hint="eastAsia" w:ascii="Times New Roman" w:hAnsi="Times New Roman" w:eastAsia="方正仿宋_GBK" w:cs="Times New Roman"/>
          <w:caps w:val="0"/>
          <w:smallCaps w:val="0"/>
          <w:color w:val="auto"/>
          <w:kern w:val="2"/>
          <w:sz w:val="24"/>
          <w:szCs w:val="24"/>
          <w:highlight w:val="none"/>
        </w:rPr>
        <w:t>对于特许经营期届满时的项目移交，乙方须按本协议约定另行向甲方提交移交保函</w:t>
      </w:r>
      <w:r>
        <w:rPr>
          <w:rFonts w:hint="eastAsia" w:ascii="Times New Roman" w:hAnsi="Times New Roman" w:eastAsia="方正仿宋_GBK" w:cs="Times New Roman"/>
          <w:caps w:val="0"/>
          <w:smallCaps w:val="0"/>
          <w:color w:val="auto"/>
          <w:kern w:val="2"/>
          <w:sz w:val="24"/>
          <w:szCs w:val="24"/>
          <w:highlight w:val="none"/>
          <w:lang w:eastAsia="zh-CN"/>
        </w:rPr>
        <w:t>，</w:t>
      </w:r>
      <w:r>
        <w:rPr>
          <w:rFonts w:hint="eastAsia" w:ascii="Times New Roman" w:hAnsi="Times New Roman" w:eastAsia="方正仿宋_GBK" w:cs="Times New Roman"/>
          <w:caps w:val="0"/>
          <w:smallCaps w:val="0"/>
          <w:color w:val="auto"/>
          <w:kern w:val="2"/>
          <w:sz w:val="24"/>
          <w:szCs w:val="24"/>
          <w:highlight w:val="none"/>
          <w:lang w:val="en-US" w:eastAsia="zh-CN"/>
        </w:rPr>
        <w:t>移交保函金额为壹仟万元</w:t>
      </w:r>
      <w:r>
        <w:rPr>
          <w:rFonts w:hint="eastAsia" w:ascii="Times New Roman" w:hAnsi="Times New Roman" w:eastAsia="方正仿宋_GBK" w:cs="Times New Roman"/>
          <w:caps w:val="0"/>
          <w:smallCaps w:val="0"/>
          <w:color w:val="auto"/>
          <w:kern w:val="2"/>
          <w:sz w:val="24"/>
          <w:szCs w:val="24"/>
          <w:highlight w:val="none"/>
        </w:rPr>
        <w:t>。</w:t>
      </w:r>
    </w:p>
    <w:p w14:paraId="231B6B9C">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188" w:name="_Toc27645"/>
      <w:bookmarkStart w:id="189" w:name="_Toc1843206686"/>
      <w:bookmarkStart w:id="190" w:name="_Toc30988"/>
      <w:r>
        <w:rPr>
          <w:rFonts w:hint="eastAsia" w:ascii="Times New Roman" w:hAnsi="Times New Roman" w:eastAsia="方正黑体_GBK" w:cs="方正黑体_GBK"/>
          <w:bCs/>
          <w:caps w:val="0"/>
          <w:smallCaps w:val="0"/>
          <w:color w:val="auto"/>
          <w:kern w:val="2"/>
          <w:sz w:val="28"/>
          <w:szCs w:val="28"/>
          <w:highlight w:val="none"/>
          <w:lang w:val="en-US" w:eastAsia="zh-CN" w:bidi="ar-SA"/>
        </w:rPr>
        <w:t>第20条 特许经营协议履行情况书面报告</w:t>
      </w:r>
      <w:bookmarkEnd w:id="188"/>
      <w:bookmarkEnd w:id="189"/>
      <w:bookmarkEnd w:id="190"/>
    </w:p>
    <w:p w14:paraId="03CB30F9">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rPr>
        <w:t>乙方应根据本协议的约定和政府监管要求，向甲方定期提供书面报告，内容应按约定或政府监管要求，反映项目特许经营投资、运营、收费等情况。</w:t>
      </w:r>
    </w:p>
    <w:p w14:paraId="4D790165">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beforeAutospacing="0" w:after="0" w:afterLines="0" w:afterAutospacing="0" w:line="360" w:lineRule="auto"/>
        <w:ind w:firstLine="480" w:firstLineChars="200"/>
        <w:rPr>
          <w:rFonts w:hint="eastAsia" w:ascii="Times New Roman" w:hAnsi="Times New Roman" w:eastAsia="方正仿宋_GBK" w:cs="Times New Roman"/>
          <w:caps w:val="0"/>
          <w:smallCaps w:val="0"/>
          <w:color w:val="auto"/>
          <w:kern w:val="2"/>
          <w:sz w:val="24"/>
          <w:szCs w:val="24"/>
          <w:highlight w:val="none"/>
        </w:rPr>
      </w:pPr>
    </w:p>
    <w:p w14:paraId="7AD172F5">
      <w:pPr>
        <w:numPr>
          <w:ilvl w:val="0"/>
          <w:numId w:val="0"/>
        </w:numPr>
        <w:spacing w:before="156" w:after="156"/>
        <w:ind w:left="0" w:firstLine="0"/>
        <w:jc w:val="center"/>
        <w:outlineLvl w:val="0"/>
        <w:rPr>
          <w:rFonts w:hint="eastAsia" w:ascii="Times New Roman" w:hAnsi="Times New Roman" w:eastAsia="方正黑体_GBK" w:cs="方正黑体_GBK"/>
          <w:caps w:val="0"/>
          <w:smallCaps w:val="0"/>
          <w:color w:val="auto"/>
          <w:kern w:val="2"/>
          <w:sz w:val="28"/>
          <w:szCs w:val="28"/>
          <w:highlight w:val="none"/>
          <w:lang w:val="en-US" w:eastAsia="zh-CN" w:bidi="ar-SA"/>
        </w:rPr>
      </w:pPr>
      <w:r>
        <w:rPr>
          <w:rFonts w:ascii="Times New Roman" w:hAnsi="Times New Roman" w:eastAsia="方正仿宋_GBK" w:cs="Times New Roman"/>
          <w:caps w:val="0"/>
          <w:smallCaps w:val="0"/>
          <w:color w:val="auto"/>
          <w:kern w:val="2"/>
          <w:sz w:val="28"/>
          <w:szCs w:val="32"/>
          <w:highlight w:val="none"/>
          <w:lang w:val="en-US" w:eastAsia="zh-CN" w:bidi="ar-SA"/>
        </w:rPr>
        <w:br w:type="page"/>
      </w:r>
      <w:bookmarkStart w:id="191" w:name="_Toc24565"/>
      <w:bookmarkStart w:id="192" w:name="_Toc265447547"/>
      <w:bookmarkStart w:id="193" w:name="_Toc2413"/>
      <w:r>
        <w:rPr>
          <w:rFonts w:hint="eastAsia" w:ascii="Times New Roman" w:hAnsi="Times New Roman" w:eastAsia="方正黑体_GBK" w:cs="方正黑体_GBK"/>
          <w:caps w:val="0"/>
          <w:smallCaps w:val="0"/>
          <w:color w:val="auto"/>
          <w:kern w:val="2"/>
          <w:sz w:val="28"/>
          <w:szCs w:val="28"/>
          <w:highlight w:val="none"/>
          <w:lang w:val="en-US" w:eastAsia="zh-CN" w:bidi="ar-SA"/>
        </w:rPr>
        <w:t>第四章 项目投资计划及资金筹措</w:t>
      </w:r>
      <w:bookmarkEnd w:id="191"/>
      <w:bookmarkEnd w:id="192"/>
      <w:bookmarkEnd w:id="193"/>
    </w:p>
    <w:p w14:paraId="6AB60AD3">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194" w:name="_Toc1373190086"/>
      <w:bookmarkStart w:id="195" w:name="_Toc29455"/>
      <w:bookmarkStart w:id="196" w:name="_Toc799"/>
      <w:r>
        <w:rPr>
          <w:rFonts w:hint="eastAsia" w:ascii="Times New Roman" w:hAnsi="Times New Roman" w:eastAsia="方正黑体_GBK" w:cs="方正黑体_GBK"/>
          <w:bCs/>
          <w:caps w:val="0"/>
          <w:smallCaps w:val="0"/>
          <w:color w:val="auto"/>
          <w:kern w:val="2"/>
          <w:sz w:val="28"/>
          <w:szCs w:val="28"/>
          <w:highlight w:val="none"/>
          <w:lang w:val="en-US" w:eastAsia="zh-CN" w:bidi="ar-SA"/>
        </w:rPr>
        <w:t>第21条 特许经营权转让价款和投资计划</w:t>
      </w:r>
      <w:bookmarkEnd w:id="194"/>
      <w:bookmarkEnd w:id="195"/>
      <w:bookmarkEnd w:id="196"/>
    </w:p>
    <w:p w14:paraId="63DF2E82">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rPr>
        <w:t>本协议生效后</w:t>
      </w:r>
      <w:r>
        <w:rPr>
          <w:rFonts w:hint="eastAsia" w:ascii="Times New Roman" w:hAnsi="Times New Roman" w:eastAsia="方正仿宋_GBK" w:cs="Times New Roman"/>
          <w:caps w:val="0"/>
          <w:smallCaps w:val="0"/>
          <w:color w:val="auto"/>
          <w:kern w:val="2"/>
          <w:sz w:val="24"/>
          <w:szCs w:val="24"/>
          <w:highlight w:val="none"/>
          <w:lang w:val="en-US" w:eastAsia="zh-CN"/>
        </w:rPr>
        <w:t>60日</w:t>
      </w:r>
      <w:r>
        <w:rPr>
          <w:rFonts w:hint="eastAsia" w:ascii="Times New Roman" w:hAnsi="Times New Roman" w:eastAsia="方正仿宋_GBK" w:cs="Times New Roman"/>
          <w:caps w:val="0"/>
          <w:smallCaps w:val="0"/>
          <w:color w:val="auto"/>
          <w:kern w:val="2"/>
          <w:sz w:val="24"/>
          <w:szCs w:val="24"/>
          <w:highlight w:val="none"/>
        </w:rPr>
        <w:t>内，</w:t>
      </w:r>
      <w:r>
        <w:rPr>
          <w:rFonts w:hint="eastAsia" w:ascii="Times New Roman" w:hAnsi="Times New Roman" w:eastAsia="方正仿宋_GBK" w:cs="Times New Roman"/>
          <w:caps w:val="0"/>
          <w:smallCaps w:val="0"/>
          <w:color w:val="auto"/>
          <w:kern w:val="2"/>
          <w:sz w:val="24"/>
          <w:szCs w:val="24"/>
          <w:highlight w:val="none"/>
          <w:lang w:val="en-US" w:eastAsia="zh-CN"/>
        </w:rPr>
        <w:t>乙方负责资金筹措并将特许经营权转让费¥600,300,000.00元</w:t>
      </w:r>
      <w:r>
        <w:rPr>
          <w:rFonts w:hint="eastAsia" w:ascii="Times New Roman" w:hAnsi="Times New Roman" w:eastAsia="方正仿宋_GBK" w:cs="Times New Roman"/>
          <w:caps w:val="0"/>
          <w:smallCaps w:val="0"/>
          <w:color w:val="auto"/>
          <w:kern w:val="2"/>
          <w:sz w:val="24"/>
          <w:szCs w:val="24"/>
          <w:highlight w:val="none"/>
        </w:rPr>
        <w:t>【</w:t>
      </w:r>
      <w:r>
        <w:rPr>
          <w:rFonts w:hint="eastAsia" w:ascii="Times New Roman" w:hAnsi="Times New Roman" w:eastAsia="方正仿宋_GBK" w:cs="Times New Roman"/>
          <w:caps w:val="0"/>
          <w:smallCaps w:val="0"/>
          <w:color w:val="auto"/>
          <w:kern w:val="2"/>
          <w:sz w:val="24"/>
          <w:szCs w:val="24"/>
          <w:highlight w:val="none"/>
          <w:lang w:val="en-US" w:eastAsia="zh-CN"/>
        </w:rPr>
        <w:t>陆亿零叁拾万元整</w:t>
      </w:r>
      <w:r>
        <w:rPr>
          <w:rFonts w:hint="eastAsia" w:ascii="Times New Roman" w:hAnsi="Times New Roman" w:eastAsia="方正仿宋_GBK" w:cs="Times New Roman"/>
          <w:caps w:val="0"/>
          <w:smallCaps w:val="0"/>
          <w:color w:val="auto"/>
          <w:kern w:val="2"/>
          <w:sz w:val="24"/>
          <w:szCs w:val="24"/>
          <w:highlight w:val="none"/>
        </w:rPr>
        <w:t>】</w:t>
      </w:r>
      <w:r>
        <w:rPr>
          <w:rFonts w:hint="eastAsia" w:ascii="Times New Roman" w:hAnsi="Times New Roman" w:eastAsia="方正仿宋_GBK" w:cs="Times New Roman"/>
          <w:caps w:val="0"/>
          <w:smallCaps w:val="0"/>
          <w:color w:val="auto"/>
          <w:kern w:val="2"/>
          <w:sz w:val="24"/>
          <w:szCs w:val="24"/>
          <w:highlight w:val="none"/>
          <w:lang w:val="en-US" w:eastAsia="zh-CN"/>
        </w:rPr>
        <w:t>支付至甲方指定的账户。</w:t>
      </w:r>
    </w:p>
    <w:p w14:paraId="6E279147">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197" w:name="_Toc14253"/>
      <w:bookmarkStart w:id="198" w:name="_Toc1671057714"/>
      <w:bookmarkStart w:id="199" w:name="_Toc10229"/>
      <w:r>
        <w:rPr>
          <w:rFonts w:hint="eastAsia" w:ascii="Times New Roman" w:hAnsi="Times New Roman" w:eastAsia="方正黑体_GBK" w:cs="方正黑体_GBK"/>
          <w:bCs/>
          <w:caps w:val="0"/>
          <w:smallCaps w:val="0"/>
          <w:color w:val="auto"/>
          <w:kern w:val="2"/>
          <w:sz w:val="28"/>
          <w:szCs w:val="28"/>
          <w:highlight w:val="none"/>
          <w:lang w:val="en-US" w:eastAsia="zh-CN" w:bidi="ar-SA"/>
        </w:rPr>
        <w:t>第22条 资金筹措</w:t>
      </w:r>
      <w:bookmarkEnd w:id="197"/>
      <w:bookmarkEnd w:id="198"/>
      <w:bookmarkEnd w:id="199"/>
    </w:p>
    <w:p w14:paraId="2A067DBD">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outlineLvl w:val="2"/>
        <w:rPr>
          <w:rFonts w:hint="default" w:ascii="Times New Roman" w:hAnsi="Times New Roman" w:eastAsia="方正仿宋_GBK" w:cs="Times New Roman"/>
          <w:b w:val="0"/>
          <w:bCs/>
          <w:caps w:val="0"/>
          <w:smallCaps w:val="0"/>
          <w:color w:val="auto"/>
          <w:kern w:val="2"/>
          <w:sz w:val="24"/>
          <w:szCs w:val="24"/>
          <w:highlight w:val="none"/>
          <w:lang w:val="en-US" w:eastAsia="zh-CN" w:bidi="ar-SA"/>
        </w:rPr>
      </w:pPr>
      <w:r>
        <w:rPr>
          <w:rFonts w:hint="default" w:ascii="Times New Roman" w:hAnsi="Times New Roman" w:eastAsia="方正仿宋_GBK" w:cs="Times New Roman"/>
          <w:b w:val="0"/>
          <w:bCs/>
          <w:caps w:val="0"/>
          <w:smallCaps w:val="0"/>
          <w:color w:val="auto"/>
          <w:kern w:val="2"/>
          <w:sz w:val="24"/>
          <w:szCs w:val="24"/>
          <w:highlight w:val="none"/>
          <w:lang w:val="en-US" w:eastAsia="zh-CN" w:bidi="ar-SA"/>
        </w:rPr>
        <w:t>1.本次资金筹措</w:t>
      </w:r>
      <w:r>
        <w:rPr>
          <w:rFonts w:hint="eastAsia" w:ascii="Times New Roman" w:hAnsi="Times New Roman" w:eastAsia="方正仿宋_GBK" w:cs="Times New Roman"/>
          <w:b w:val="0"/>
          <w:bCs/>
          <w:caps w:val="0"/>
          <w:smallCaps w:val="0"/>
          <w:color w:val="auto"/>
          <w:kern w:val="2"/>
          <w:sz w:val="24"/>
          <w:szCs w:val="24"/>
          <w:highlight w:val="none"/>
          <w:lang w:val="en-US" w:eastAsia="zh-CN" w:bidi="ar-SA"/>
        </w:rPr>
        <w:t>乙方</w:t>
      </w:r>
      <w:r>
        <w:rPr>
          <w:rFonts w:hint="default" w:ascii="Times New Roman" w:hAnsi="Times New Roman" w:eastAsia="方正仿宋_GBK" w:cs="Times New Roman"/>
          <w:b w:val="0"/>
          <w:bCs/>
          <w:caps w:val="0"/>
          <w:smallCaps w:val="0"/>
          <w:color w:val="auto"/>
          <w:kern w:val="2"/>
          <w:sz w:val="24"/>
          <w:szCs w:val="24"/>
          <w:highlight w:val="none"/>
          <w:lang w:val="en-US" w:eastAsia="zh-CN" w:bidi="ar-SA"/>
        </w:rPr>
        <w:t>自有资金比例不低于特许经营权转让费的20%，剩余资金由乙方负责通过债务融资等方式解决，并由乙方负责项目债务资金偿还。</w:t>
      </w:r>
    </w:p>
    <w:p w14:paraId="44CF77B1">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outlineLvl w:val="2"/>
        <w:rPr>
          <w:rFonts w:hint="default" w:ascii="Times New Roman" w:hAnsi="Times New Roman" w:eastAsia="方正仿宋_GBK" w:cs="Times New Roman"/>
          <w:b w:val="0"/>
          <w:bCs/>
          <w:caps w:val="0"/>
          <w:smallCaps w:val="0"/>
          <w:color w:val="auto"/>
          <w:kern w:val="2"/>
          <w:sz w:val="24"/>
          <w:szCs w:val="24"/>
          <w:highlight w:val="none"/>
          <w:lang w:val="en-US" w:eastAsia="zh-CN" w:bidi="ar-SA"/>
        </w:rPr>
      </w:pPr>
      <w:r>
        <w:rPr>
          <w:rFonts w:hint="eastAsia" w:ascii="Times New Roman" w:hAnsi="Times New Roman" w:eastAsia="方正仿宋_GBK" w:cs="Times New Roman"/>
          <w:b w:val="0"/>
          <w:bCs/>
          <w:caps w:val="0"/>
          <w:smallCaps w:val="0"/>
          <w:color w:val="auto"/>
          <w:kern w:val="2"/>
          <w:sz w:val="24"/>
          <w:szCs w:val="24"/>
          <w:highlight w:val="none"/>
          <w:lang w:val="en-US" w:eastAsia="zh-CN" w:bidi="ar-SA"/>
        </w:rPr>
        <w:t>2.</w:t>
      </w:r>
      <w:r>
        <w:rPr>
          <w:rFonts w:hint="default" w:ascii="Times New Roman" w:hAnsi="Times New Roman" w:eastAsia="方正仿宋_GBK" w:cs="Times New Roman"/>
          <w:b w:val="0"/>
          <w:bCs/>
          <w:caps w:val="0"/>
          <w:smallCaps w:val="0"/>
          <w:color w:val="auto"/>
          <w:kern w:val="2"/>
          <w:sz w:val="24"/>
          <w:szCs w:val="24"/>
          <w:highlight w:val="none"/>
          <w:lang w:val="en-US" w:eastAsia="zh-CN" w:bidi="ar-SA"/>
        </w:rPr>
        <w:t>如项目融资机构要求乙方（项目公司）股东提供担保保证等增信措施，乙方各股东按股东协议的约定承担相应的增信责任。乙方可以采用其享有的项目预期收益质押等方式为项目融资；除本协议另有约定外，乙方使用本项目相关权益为项目融资，须经甲方书面同意后方可实施。</w:t>
      </w:r>
    </w:p>
    <w:p w14:paraId="5D8A567E">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outlineLvl w:val="2"/>
        <w:rPr>
          <w:rFonts w:hint="default" w:ascii="Times New Roman" w:hAnsi="Times New Roman" w:eastAsia="方正仿宋_GBK" w:cs="Times New Roman"/>
          <w:b w:val="0"/>
          <w:bCs/>
          <w:caps w:val="0"/>
          <w:smallCaps w:val="0"/>
          <w:color w:val="auto"/>
          <w:kern w:val="2"/>
          <w:sz w:val="24"/>
          <w:szCs w:val="24"/>
          <w:highlight w:val="none"/>
          <w:lang w:val="en-US" w:eastAsia="zh-CN" w:bidi="ar-SA"/>
        </w:rPr>
      </w:pPr>
      <w:r>
        <w:rPr>
          <w:rFonts w:hint="eastAsia" w:ascii="Times New Roman" w:hAnsi="Times New Roman" w:eastAsia="方正仿宋_GBK" w:cs="Times New Roman"/>
          <w:b w:val="0"/>
          <w:bCs/>
          <w:caps w:val="0"/>
          <w:smallCaps w:val="0"/>
          <w:color w:val="auto"/>
          <w:kern w:val="2"/>
          <w:sz w:val="24"/>
          <w:szCs w:val="24"/>
          <w:highlight w:val="none"/>
          <w:lang w:val="en-US" w:eastAsia="zh-CN" w:bidi="ar-SA"/>
        </w:rPr>
        <w:t>3.</w:t>
      </w:r>
      <w:r>
        <w:rPr>
          <w:rFonts w:hint="default" w:ascii="Times New Roman" w:hAnsi="Times New Roman" w:eastAsia="方正仿宋_GBK" w:cs="Times New Roman"/>
          <w:b w:val="0"/>
          <w:bCs/>
          <w:caps w:val="0"/>
          <w:smallCaps w:val="0"/>
          <w:color w:val="auto"/>
          <w:kern w:val="2"/>
          <w:sz w:val="24"/>
          <w:szCs w:val="24"/>
          <w:highlight w:val="none"/>
          <w:lang w:val="en-US" w:eastAsia="zh-CN" w:bidi="ar-SA"/>
        </w:rPr>
        <w:t>乙方为项目签署融资合同须在正式签约前提交甲方，甲方在</w:t>
      </w:r>
      <w:r>
        <w:rPr>
          <w:rFonts w:hint="eastAsia" w:ascii="Times New Roman" w:hAnsi="Times New Roman" w:eastAsia="方正仿宋_GBK" w:cs="Times New Roman"/>
          <w:b w:val="0"/>
          <w:bCs/>
          <w:caps w:val="0"/>
          <w:smallCaps w:val="0"/>
          <w:color w:val="auto"/>
          <w:kern w:val="2"/>
          <w:sz w:val="24"/>
          <w:szCs w:val="24"/>
          <w:highlight w:val="none"/>
          <w:lang w:val="en-US" w:eastAsia="zh-CN" w:bidi="ar-SA"/>
        </w:rPr>
        <w:t>10日</w:t>
      </w:r>
      <w:r>
        <w:rPr>
          <w:rFonts w:hint="default" w:ascii="Times New Roman" w:hAnsi="Times New Roman" w:eastAsia="方正仿宋_GBK" w:cs="Times New Roman"/>
          <w:b w:val="0"/>
          <w:bCs/>
          <w:caps w:val="0"/>
          <w:smallCaps w:val="0"/>
          <w:color w:val="auto"/>
          <w:kern w:val="2"/>
          <w:sz w:val="24"/>
          <w:szCs w:val="24"/>
          <w:highlight w:val="none"/>
          <w:lang w:val="en-US" w:eastAsia="zh-CN" w:bidi="ar-SA"/>
        </w:rPr>
        <w:t>内作出审查决定，以确保融资合同不损害公共利益及政府方利益；甲方逾期未作出审查决定的，视为审查通过。甲方的审查不减少或减轻乙方在融资合同项下应承担的责任。</w:t>
      </w:r>
    </w:p>
    <w:p w14:paraId="36149B5E">
      <w:pPr>
        <w:keepNext w:val="0"/>
        <w:keepLines w:val="0"/>
        <w:pageBreakBefore w:val="0"/>
        <w:widowControl w:val="0"/>
        <w:numPr>
          <w:ilvl w:val="0"/>
          <w:numId w:val="0"/>
        </w:numPr>
        <w:tabs>
          <w:tab w:val="left" w:pos="993"/>
        </w:tabs>
        <w:kinsoku/>
        <w:wordWrap/>
        <w:overflowPunct/>
        <w:topLinePunct w:val="0"/>
        <w:bidi w:val="0"/>
        <w:adjustRightInd w:val="0"/>
        <w:snapToGrid w:val="0"/>
        <w:spacing w:before="0" w:beforeLines="0" w:after="0" w:afterLines="0" w:line="360" w:lineRule="auto"/>
        <w:ind w:left="0" w:firstLine="480" w:firstLineChars="200"/>
        <w:rPr>
          <w:rFonts w:hint="default" w:ascii="Times New Roman" w:hAnsi="Times New Roman" w:eastAsia="方正仿宋_GBK" w:cs="Times New Roman"/>
          <w:bCs/>
          <w:caps w:val="0"/>
          <w:smallCaps w:val="0"/>
          <w:color w:val="auto"/>
          <w:kern w:val="2"/>
          <w:sz w:val="24"/>
          <w:szCs w:val="24"/>
          <w:highlight w:val="none"/>
        </w:rPr>
      </w:pPr>
      <w:r>
        <w:rPr>
          <w:rFonts w:hint="eastAsia" w:ascii="Times New Roman" w:hAnsi="Times New Roman" w:eastAsia="方正仿宋_GBK" w:cs="Times New Roman"/>
          <w:bCs/>
          <w:caps w:val="0"/>
          <w:smallCaps w:val="0"/>
          <w:color w:val="auto"/>
          <w:kern w:val="2"/>
          <w:sz w:val="24"/>
          <w:szCs w:val="24"/>
          <w:highlight w:val="none"/>
          <w:lang w:val="en-US" w:eastAsia="zh-CN"/>
        </w:rPr>
        <w:t>4.</w:t>
      </w:r>
      <w:r>
        <w:rPr>
          <w:rFonts w:hint="default" w:ascii="Times New Roman" w:hAnsi="Times New Roman" w:eastAsia="方正仿宋_GBK" w:cs="Times New Roman"/>
          <w:bCs/>
          <w:caps w:val="0"/>
          <w:smallCaps w:val="0"/>
          <w:color w:val="auto"/>
          <w:kern w:val="2"/>
          <w:sz w:val="24"/>
          <w:szCs w:val="24"/>
          <w:highlight w:val="none"/>
        </w:rPr>
        <w:t>乙方需确保本项目所使用</w:t>
      </w:r>
      <w:r>
        <w:rPr>
          <w:rFonts w:hint="default" w:ascii="Times New Roman" w:hAnsi="Times New Roman" w:eastAsia="方正仿宋_GBK" w:cs="Times New Roman"/>
          <w:bCs/>
          <w:caps w:val="0"/>
          <w:smallCaps w:val="0"/>
          <w:color w:val="auto"/>
          <w:kern w:val="2"/>
          <w:sz w:val="24"/>
          <w:szCs w:val="24"/>
          <w:highlight w:val="none"/>
          <w:lang w:val="en-US" w:eastAsia="zh-CN"/>
        </w:rPr>
        <w:t>资金</w:t>
      </w:r>
      <w:r>
        <w:rPr>
          <w:rFonts w:hint="default" w:ascii="Times New Roman" w:hAnsi="Times New Roman" w:eastAsia="方正仿宋_GBK" w:cs="Times New Roman"/>
          <w:bCs/>
          <w:caps w:val="0"/>
          <w:smallCaps w:val="0"/>
          <w:color w:val="auto"/>
          <w:kern w:val="2"/>
          <w:sz w:val="24"/>
          <w:szCs w:val="24"/>
          <w:highlight w:val="none"/>
        </w:rPr>
        <w:t>来源和筹措方式合法合规</w:t>
      </w:r>
      <w:r>
        <w:rPr>
          <w:rFonts w:hint="default" w:ascii="Times New Roman" w:hAnsi="Times New Roman" w:eastAsia="方正仿宋_GBK" w:cs="Times New Roman"/>
          <w:bCs/>
          <w:caps w:val="0"/>
          <w:smallCaps w:val="0"/>
          <w:color w:val="auto"/>
          <w:kern w:val="2"/>
          <w:sz w:val="24"/>
          <w:szCs w:val="24"/>
          <w:highlight w:val="none"/>
          <w:lang w:eastAsia="zh-CN"/>
        </w:rPr>
        <w:t>，</w:t>
      </w:r>
      <w:r>
        <w:rPr>
          <w:rFonts w:hint="default" w:ascii="Times New Roman" w:hAnsi="Times New Roman" w:eastAsia="方正仿宋_GBK" w:cs="Times New Roman"/>
          <w:bCs/>
          <w:caps w:val="0"/>
          <w:smallCaps w:val="0"/>
          <w:color w:val="auto"/>
          <w:kern w:val="2"/>
          <w:sz w:val="24"/>
          <w:szCs w:val="24"/>
          <w:highlight w:val="none"/>
          <w:lang w:val="en-US" w:eastAsia="zh-CN"/>
        </w:rPr>
        <w:t>并</w:t>
      </w:r>
      <w:r>
        <w:rPr>
          <w:rFonts w:hint="default" w:ascii="Times New Roman" w:hAnsi="Times New Roman" w:eastAsia="方正仿宋_GBK" w:cs="Times New Roman"/>
          <w:bCs/>
          <w:caps w:val="0"/>
          <w:smallCaps w:val="0"/>
          <w:color w:val="auto"/>
          <w:kern w:val="2"/>
          <w:sz w:val="24"/>
          <w:szCs w:val="24"/>
          <w:highlight w:val="none"/>
          <w:lang w:eastAsia="zh-CN"/>
        </w:rPr>
        <w:t>按</w:t>
      </w:r>
      <w:r>
        <w:rPr>
          <w:rFonts w:hint="eastAsia" w:ascii="Times New Roman" w:hAnsi="Times New Roman" w:eastAsia="方正仿宋_GBK" w:cs="Times New Roman"/>
          <w:bCs/>
          <w:caps w:val="0"/>
          <w:smallCaps w:val="0"/>
          <w:color w:val="auto"/>
          <w:kern w:val="2"/>
          <w:sz w:val="24"/>
          <w:szCs w:val="24"/>
          <w:highlight w:val="none"/>
          <w:lang w:val="en-US" w:eastAsia="zh-CN"/>
        </w:rPr>
        <w:t>本</w:t>
      </w:r>
      <w:r>
        <w:rPr>
          <w:rFonts w:hint="default" w:ascii="Times New Roman" w:hAnsi="Times New Roman" w:eastAsia="方正仿宋_GBK" w:cs="Times New Roman"/>
          <w:bCs/>
          <w:caps w:val="0"/>
          <w:smallCaps w:val="0"/>
          <w:color w:val="auto"/>
          <w:kern w:val="2"/>
          <w:sz w:val="24"/>
          <w:szCs w:val="24"/>
          <w:highlight w:val="none"/>
          <w:lang w:eastAsia="zh-CN"/>
        </w:rPr>
        <w:t>协议约定确保资</w:t>
      </w:r>
      <w:r>
        <w:rPr>
          <w:rFonts w:hint="eastAsia" w:ascii="Times New Roman" w:hAnsi="Times New Roman" w:eastAsia="方正仿宋_GBK" w:cs="Times New Roman"/>
          <w:bCs/>
          <w:caps w:val="0"/>
          <w:smallCaps w:val="0"/>
          <w:color w:val="auto"/>
          <w:kern w:val="2"/>
          <w:sz w:val="24"/>
          <w:szCs w:val="24"/>
          <w:highlight w:val="none"/>
          <w:lang w:val="en-US" w:eastAsia="zh-CN"/>
        </w:rPr>
        <w:t>金落实</w:t>
      </w:r>
      <w:r>
        <w:rPr>
          <w:rFonts w:hint="default" w:ascii="Times New Roman" w:hAnsi="Times New Roman" w:eastAsia="方正仿宋_GBK" w:cs="Times New Roman"/>
          <w:bCs/>
          <w:caps w:val="0"/>
          <w:smallCaps w:val="0"/>
          <w:color w:val="auto"/>
          <w:kern w:val="2"/>
          <w:sz w:val="24"/>
          <w:szCs w:val="24"/>
          <w:highlight w:val="none"/>
          <w:lang w:eastAsia="zh-CN"/>
        </w:rPr>
        <w:t>到位</w:t>
      </w:r>
      <w:r>
        <w:rPr>
          <w:rFonts w:hint="default" w:ascii="Times New Roman" w:hAnsi="Times New Roman" w:eastAsia="方正仿宋_GBK" w:cs="Times New Roman"/>
          <w:bCs/>
          <w:caps w:val="0"/>
          <w:smallCaps w:val="0"/>
          <w:color w:val="auto"/>
          <w:kern w:val="2"/>
          <w:sz w:val="24"/>
          <w:szCs w:val="24"/>
          <w:highlight w:val="none"/>
        </w:rPr>
        <w:t>。</w:t>
      </w:r>
    </w:p>
    <w:p w14:paraId="66732899">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200" w:name="_Toc11230"/>
      <w:bookmarkStart w:id="201" w:name="_Toc68233469"/>
      <w:bookmarkStart w:id="202" w:name="_Toc12225"/>
      <w:r>
        <w:rPr>
          <w:rFonts w:hint="eastAsia" w:ascii="Times New Roman" w:hAnsi="Times New Roman" w:eastAsia="方正黑体_GBK" w:cs="方正黑体_GBK"/>
          <w:bCs/>
          <w:caps w:val="0"/>
          <w:smallCaps w:val="0"/>
          <w:color w:val="auto"/>
          <w:kern w:val="2"/>
          <w:sz w:val="28"/>
          <w:szCs w:val="28"/>
          <w:highlight w:val="none"/>
          <w:lang w:val="en-US" w:eastAsia="zh-CN" w:bidi="ar-SA"/>
        </w:rPr>
        <w:t>第23条 甲方提供的投融资支持</w:t>
      </w:r>
      <w:bookmarkEnd w:id="200"/>
      <w:bookmarkEnd w:id="201"/>
      <w:bookmarkEnd w:id="202"/>
    </w:p>
    <w:p w14:paraId="7EEC34E9">
      <w:pPr>
        <w:adjustRightInd w:val="0"/>
        <w:snapToGrid w:val="0"/>
        <w:spacing w:before="50" w:beforeLines="50" w:after="50" w:afterLines="50" w:line="360" w:lineRule="auto"/>
        <w:ind w:firstLine="480" w:firstLineChars="200"/>
        <w:outlineLvl w:val="9"/>
        <w:rPr>
          <w:rFonts w:hint="default" w:ascii="Times New Roman" w:hAnsi="Times New Roman" w:eastAsia="方正仿宋_GBK" w:cs="Times New Roman"/>
          <w:b w:val="0"/>
          <w:bCs/>
          <w:color w:val="auto"/>
          <w:kern w:val="2"/>
          <w:sz w:val="24"/>
          <w:szCs w:val="24"/>
          <w:highlight w:val="none"/>
        </w:rPr>
      </w:pPr>
      <w:r>
        <w:rPr>
          <w:rFonts w:hint="default" w:ascii="Times New Roman" w:hAnsi="Times New Roman" w:eastAsia="方正仿宋_GBK" w:cs="Times New Roman"/>
          <w:b w:val="0"/>
          <w:bCs/>
          <w:color w:val="auto"/>
          <w:kern w:val="2"/>
          <w:sz w:val="24"/>
          <w:szCs w:val="24"/>
          <w:highlight w:val="none"/>
        </w:rPr>
        <w:t>甲方应协调政府相关部门，在合法的前提下，为乙方的融资提供相关的便利和支持，必要时出具相关文件和证明。</w:t>
      </w:r>
    </w:p>
    <w:p w14:paraId="180E9637">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203" w:name="_Toc30386"/>
      <w:bookmarkStart w:id="204" w:name="_Toc969031309"/>
      <w:bookmarkStart w:id="205" w:name="_Toc4178"/>
      <w:r>
        <w:rPr>
          <w:rFonts w:hint="eastAsia" w:ascii="Times New Roman" w:hAnsi="Times New Roman" w:eastAsia="方正黑体_GBK" w:cs="方正黑体_GBK"/>
          <w:bCs/>
          <w:caps w:val="0"/>
          <w:smallCaps w:val="0"/>
          <w:color w:val="auto"/>
          <w:kern w:val="2"/>
          <w:sz w:val="28"/>
          <w:szCs w:val="28"/>
          <w:highlight w:val="none"/>
          <w:lang w:val="en-US" w:eastAsia="zh-CN" w:bidi="ar-SA"/>
        </w:rPr>
        <w:t>第24条 投融资违约事项</w:t>
      </w:r>
      <w:bookmarkEnd w:id="203"/>
      <w:bookmarkEnd w:id="204"/>
      <w:bookmarkEnd w:id="205"/>
    </w:p>
    <w:p w14:paraId="46C777F1">
      <w:pPr>
        <w:adjustRightInd w:val="0"/>
        <w:snapToGrid w:val="0"/>
        <w:spacing w:before="50" w:beforeLines="50" w:after="50" w:afterLines="50" w:line="360" w:lineRule="auto"/>
        <w:ind w:firstLine="480" w:firstLineChars="200"/>
        <w:outlineLvl w:val="9"/>
        <w:rPr>
          <w:rFonts w:hint="default" w:ascii="Times New Roman" w:hAnsi="Times New Roman" w:eastAsia="方正仿宋_GBK" w:cs="Times New Roman"/>
          <w:b w:val="0"/>
          <w:bCs/>
          <w:color w:val="auto"/>
          <w:kern w:val="2"/>
          <w:sz w:val="24"/>
          <w:szCs w:val="24"/>
          <w:highlight w:val="none"/>
        </w:rPr>
      </w:pPr>
      <w:r>
        <w:rPr>
          <w:rFonts w:hint="default" w:ascii="Times New Roman" w:hAnsi="Times New Roman" w:eastAsia="方正仿宋_GBK" w:cs="Times New Roman"/>
          <w:b w:val="0"/>
          <w:bCs/>
          <w:color w:val="auto"/>
          <w:kern w:val="2"/>
          <w:sz w:val="24"/>
          <w:szCs w:val="24"/>
          <w:highlight w:val="none"/>
        </w:rPr>
        <w:t>当乙方存在第</w:t>
      </w:r>
      <w:r>
        <w:rPr>
          <w:rFonts w:hint="eastAsia" w:ascii="Times New Roman" w:hAnsi="Times New Roman" w:eastAsia="方正仿宋_GBK" w:cs="Times New Roman"/>
          <w:b w:val="0"/>
          <w:bCs/>
          <w:color w:val="auto"/>
          <w:kern w:val="2"/>
          <w:sz w:val="24"/>
          <w:szCs w:val="24"/>
          <w:highlight w:val="none"/>
          <w:lang w:val="en-US" w:eastAsia="zh-CN"/>
        </w:rPr>
        <w:t>62</w:t>
      </w:r>
      <w:r>
        <w:rPr>
          <w:rFonts w:hint="eastAsia" w:ascii="Times New Roman" w:hAnsi="Times New Roman" w:eastAsia="方正仿宋_GBK" w:cs="Times New Roman"/>
          <w:b w:val="0"/>
          <w:bCs/>
          <w:color w:val="auto"/>
          <w:kern w:val="2"/>
          <w:sz w:val="24"/>
          <w:szCs w:val="24"/>
          <w:highlight w:val="none"/>
        </w:rPr>
        <w:t>条</w:t>
      </w:r>
      <w:r>
        <w:rPr>
          <w:rFonts w:hint="eastAsia" w:ascii="Times New Roman" w:hAnsi="Times New Roman" w:eastAsia="方正仿宋_GBK" w:cs="Times New Roman"/>
          <w:b w:val="0"/>
          <w:bCs/>
          <w:color w:val="auto"/>
          <w:kern w:val="2"/>
          <w:sz w:val="24"/>
          <w:szCs w:val="24"/>
          <w:highlight w:val="none"/>
          <w:lang w:val="en-US" w:eastAsia="zh-CN"/>
        </w:rPr>
        <w:t>第2点</w:t>
      </w:r>
      <w:r>
        <w:rPr>
          <w:rFonts w:hint="default" w:ascii="Times New Roman" w:hAnsi="Times New Roman" w:eastAsia="方正仿宋_GBK" w:cs="Times New Roman"/>
          <w:b w:val="0"/>
          <w:bCs/>
          <w:color w:val="auto"/>
          <w:kern w:val="2"/>
          <w:sz w:val="24"/>
          <w:szCs w:val="24"/>
          <w:highlight w:val="none"/>
        </w:rPr>
        <w:t>的违约行为，可能导致</w:t>
      </w:r>
      <w:r>
        <w:rPr>
          <w:rFonts w:hint="eastAsia" w:ascii="Times New Roman" w:hAnsi="Times New Roman" w:eastAsia="方正仿宋_GBK" w:cs="Times New Roman"/>
          <w:b w:val="0"/>
          <w:bCs/>
          <w:color w:val="auto"/>
          <w:kern w:val="2"/>
          <w:sz w:val="24"/>
          <w:szCs w:val="24"/>
          <w:highlight w:val="none"/>
          <w:lang w:eastAsia="zh-CN"/>
        </w:rPr>
        <w:t>本协议</w:t>
      </w:r>
      <w:r>
        <w:rPr>
          <w:rFonts w:hint="default" w:ascii="Times New Roman" w:hAnsi="Times New Roman" w:eastAsia="方正仿宋_GBK" w:cs="Times New Roman"/>
          <w:b w:val="0"/>
          <w:bCs/>
          <w:color w:val="auto"/>
          <w:kern w:val="2"/>
          <w:sz w:val="24"/>
          <w:szCs w:val="24"/>
          <w:highlight w:val="none"/>
        </w:rPr>
        <w:t>提前终止且乙方未能在约定期限内纠正和补救时，本项目融资方有权根据需要行使直接介入权，包括直接或指定甲方认可的合格机构参与本项目的管理、接管本项目全部或部分管理权、或者提请甲方启动临时接管机制。乙方纠正和补救了违约行为的，融资方应停止行使介入权。</w:t>
      </w:r>
    </w:p>
    <w:p w14:paraId="671F0C5E">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360" w:lineRule="auto"/>
        <w:ind w:firstLine="560" w:firstLineChars="200"/>
        <w:jc w:val="both"/>
        <w:textAlignment w:val="auto"/>
        <w:outlineLvl w:val="1"/>
        <w:rPr>
          <w:rFonts w:hint="default" w:ascii="Times New Roman" w:hAnsi="Times New Roman" w:eastAsia="方正黑体_GBK" w:cs="方正黑体_GBK"/>
          <w:bCs/>
          <w:caps w:val="0"/>
          <w:smallCaps w:val="0"/>
          <w:color w:val="auto"/>
          <w:kern w:val="2"/>
          <w:sz w:val="28"/>
          <w:szCs w:val="28"/>
          <w:highlight w:val="none"/>
          <w:lang w:val="en-US" w:eastAsia="zh-CN" w:bidi="ar-SA"/>
        </w:rPr>
      </w:pPr>
      <w:bookmarkStart w:id="206" w:name="_Toc31771"/>
      <w:r>
        <w:rPr>
          <w:rFonts w:hint="eastAsia" w:ascii="Times New Roman" w:hAnsi="Times New Roman" w:eastAsia="方正黑体_GBK" w:cs="方正黑体_GBK"/>
          <w:bCs/>
          <w:caps w:val="0"/>
          <w:smallCaps w:val="0"/>
          <w:color w:val="auto"/>
          <w:kern w:val="2"/>
          <w:sz w:val="28"/>
          <w:szCs w:val="28"/>
          <w:highlight w:val="none"/>
          <w:lang w:val="en-US" w:eastAsia="zh-CN" w:bidi="ar-SA"/>
        </w:rPr>
        <w:t>第25条 大修、重置、技改投资前置报批管理</w:t>
      </w:r>
      <w:bookmarkEnd w:id="206"/>
    </w:p>
    <w:p w14:paraId="4593FE17">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outlineLvl w:val="2"/>
        <w:rPr>
          <w:rFonts w:hint="eastAsia" w:ascii="Times New Roman" w:hAnsi="Times New Roman" w:eastAsia="方正仿宋_GBK" w:cs="Times New Roman"/>
          <w:b w:val="0"/>
          <w:bCs/>
          <w:caps w:val="0"/>
          <w:smallCaps w:val="0"/>
          <w:color w:val="auto"/>
          <w:kern w:val="2"/>
          <w:sz w:val="24"/>
          <w:szCs w:val="24"/>
          <w:highlight w:val="none"/>
          <w:lang w:val="en-US" w:eastAsia="zh-CN" w:bidi="ar-SA"/>
        </w:rPr>
      </w:pPr>
      <w:r>
        <w:rPr>
          <w:rFonts w:hint="eastAsia" w:ascii="Times New Roman" w:hAnsi="Times New Roman" w:eastAsia="方正仿宋_GBK" w:cs="Times New Roman"/>
          <w:b w:val="0"/>
          <w:bCs/>
          <w:caps w:val="0"/>
          <w:smallCaps w:val="0"/>
          <w:color w:val="auto"/>
          <w:kern w:val="2"/>
          <w:sz w:val="24"/>
          <w:szCs w:val="24"/>
          <w:highlight w:val="none"/>
          <w:lang w:val="en-US" w:eastAsia="zh-CN" w:bidi="ar-SA"/>
        </w:rPr>
        <w:t>乙方实施厂区、泵站及配套管网等设施设备大修、重置、工艺技改等资本性投资工作，均须纳入年度投资计划，并按照本协议第31条、第32条、第33条约定履行报批程序。</w:t>
      </w:r>
    </w:p>
    <w:p w14:paraId="26AD8C3C">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207" w:name="_Toc28740"/>
      <w:r>
        <w:rPr>
          <w:rFonts w:hint="eastAsia" w:ascii="Times New Roman" w:hAnsi="Times New Roman" w:eastAsia="方正黑体_GBK" w:cs="方正黑体_GBK"/>
          <w:bCs/>
          <w:caps w:val="0"/>
          <w:smallCaps w:val="0"/>
          <w:color w:val="auto"/>
          <w:kern w:val="2"/>
          <w:sz w:val="28"/>
          <w:szCs w:val="28"/>
          <w:highlight w:val="none"/>
          <w:lang w:val="en-US" w:eastAsia="zh-CN" w:bidi="ar-SA"/>
        </w:rPr>
        <w:t>第26条 投资实施监督与投资变更管</w:t>
      </w:r>
      <w:r>
        <w:rPr>
          <w:rFonts w:hint="eastAsia" w:ascii="Times New Roman" w:hAnsi="Times New Roman" w:eastAsia="方正黑体_GBK" w:cs="方正黑体_GBK"/>
          <w:b w:val="0"/>
          <w:bCs/>
          <w:caps w:val="0"/>
          <w:smallCaps w:val="0"/>
          <w:color w:val="auto"/>
          <w:kern w:val="2"/>
          <w:sz w:val="28"/>
          <w:szCs w:val="28"/>
          <w:highlight w:val="none"/>
          <w:lang w:val="en-US" w:eastAsia="zh-CN" w:bidi="ar-SA"/>
        </w:rPr>
        <w:t>控</w:t>
      </w:r>
      <w:bookmarkEnd w:id="207"/>
    </w:p>
    <w:p w14:paraId="3BF878B7">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outlineLvl w:val="2"/>
        <w:rPr>
          <w:rFonts w:hint="eastAsia" w:ascii="Times New Roman" w:hAnsi="Times New Roman" w:eastAsia="方正仿宋_GBK" w:cs="Times New Roman"/>
          <w:b w:val="0"/>
          <w:bCs/>
          <w:caps w:val="0"/>
          <w:smallCaps w:val="0"/>
          <w:color w:val="auto"/>
          <w:kern w:val="2"/>
          <w:sz w:val="24"/>
          <w:szCs w:val="24"/>
          <w:highlight w:val="none"/>
          <w:lang w:val="en-US" w:eastAsia="zh-CN" w:bidi="ar-SA"/>
        </w:rPr>
      </w:pPr>
      <w:r>
        <w:rPr>
          <w:rFonts w:hint="eastAsia" w:ascii="Times New Roman" w:hAnsi="Times New Roman" w:eastAsia="方正仿宋_GBK" w:cs="Times New Roman"/>
          <w:b w:val="0"/>
          <w:bCs/>
          <w:caps w:val="0"/>
          <w:smallCaps w:val="0"/>
          <w:color w:val="auto"/>
          <w:kern w:val="2"/>
          <w:sz w:val="24"/>
          <w:szCs w:val="24"/>
          <w:highlight w:val="none"/>
          <w:lang w:val="en-US" w:eastAsia="zh-CN" w:bidi="ar-SA"/>
        </w:rPr>
        <w:t>甲方有权全过程监督乙方实施大修、重置、技改等投资实施进度、资金使用情况，乙方须配合甲方、财政、审计部门开展投资核查，如实提供台账、合同、付款凭证等资料。</w:t>
      </w:r>
    </w:p>
    <w:p w14:paraId="5BD3EBD5">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outlineLvl w:val="2"/>
        <w:rPr>
          <w:rFonts w:hint="eastAsia" w:ascii="Times New Roman" w:hAnsi="Times New Roman" w:eastAsia="方正仿宋_GBK" w:cs="Times New Roman"/>
          <w:b w:val="0"/>
          <w:bCs/>
          <w:caps w:val="0"/>
          <w:smallCaps w:val="0"/>
          <w:color w:val="auto"/>
          <w:kern w:val="2"/>
          <w:sz w:val="24"/>
          <w:szCs w:val="24"/>
          <w:highlight w:val="none"/>
          <w:lang w:val="en-US" w:eastAsia="zh-CN" w:bidi="ar-SA"/>
        </w:rPr>
      </w:pPr>
      <w:r>
        <w:rPr>
          <w:rFonts w:hint="eastAsia" w:ascii="Times New Roman" w:hAnsi="Times New Roman" w:eastAsia="方正仿宋_GBK" w:cs="Times New Roman"/>
          <w:b w:val="0"/>
          <w:bCs/>
          <w:caps w:val="0"/>
          <w:smallCaps w:val="0"/>
          <w:color w:val="auto"/>
          <w:kern w:val="2"/>
          <w:sz w:val="24"/>
          <w:szCs w:val="24"/>
          <w:highlight w:val="none"/>
          <w:lang w:val="en-US" w:eastAsia="zh-CN" w:bidi="ar-SA"/>
        </w:rPr>
        <w:t>若乙方需调整已获批年度投资计划（含新增大修、追加设备重置投资），应提前向甲方提交变更申请，列明变更事由、增减投资额、实施工期，经甲方会同财政等部门审核同意后方可调整。</w:t>
      </w:r>
    </w:p>
    <w:p w14:paraId="1F67FF40">
      <w:pPr>
        <w:widowControl/>
        <w:numPr>
          <w:ilvl w:val="0"/>
          <w:numId w:val="0"/>
        </w:numPr>
        <w:spacing w:before="156" w:after="156"/>
        <w:ind w:left="0" w:firstLine="0"/>
        <w:jc w:val="center"/>
        <w:outlineLvl w:val="0"/>
        <w:rPr>
          <w:rFonts w:hint="default" w:ascii="Times New Roman" w:hAnsi="Times New Roman" w:eastAsia="方正黑体_GBK" w:cs="方正黑体_GBK"/>
          <w:caps w:val="0"/>
          <w:smallCaps w:val="0"/>
          <w:color w:val="auto"/>
          <w:kern w:val="2"/>
          <w:sz w:val="28"/>
          <w:szCs w:val="28"/>
          <w:highlight w:val="none"/>
          <w:lang w:val="en-US" w:eastAsia="zh-CN" w:bidi="ar-SA"/>
        </w:rPr>
      </w:pPr>
      <w:r>
        <w:rPr>
          <w:rFonts w:ascii="Times New Roman" w:hAnsi="Times New Roman" w:eastAsia="方正仿宋_GBK" w:cs="Times New Roman"/>
          <w:caps w:val="0"/>
          <w:smallCaps w:val="0"/>
          <w:color w:val="auto"/>
          <w:kern w:val="2"/>
          <w:sz w:val="28"/>
          <w:szCs w:val="28"/>
          <w:highlight w:val="none"/>
          <w:lang w:val="en-US" w:eastAsia="zh-CN" w:bidi="ar-SA"/>
        </w:rPr>
        <w:br w:type="page"/>
      </w:r>
      <w:bookmarkStart w:id="208" w:name="_Toc891790699"/>
      <w:bookmarkStart w:id="209" w:name="_Toc20869"/>
      <w:bookmarkStart w:id="210" w:name="_Toc9325"/>
      <w:r>
        <w:rPr>
          <w:rFonts w:hint="eastAsia" w:ascii="Times New Roman" w:hAnsi="Times New Roman" w:eastAsia="方正黑体_GBK" w:cs="方正黑体_GBK"/>
          <w:caps w:val="0"/>
          <w:smallCaps w:val="0"/>
          <w:color w:val="auto"/>
          <w:kern w:val="2"/>
          <w:sz w:val="28"/>
          <w:szCs w:val="28"/>
          <w:highlight w:val="none"/>
          <w:lang w:val="en-US" w:eastAsia="zh-CN" w:bidi="ar-SA"/>
        </w:rPr>
        <w:t xml:space="preserve">第五章 </w:t>
      </w:r>
      <w:bookmarkEnd w:id="208"/>
      <w:bookmarkEnd w:id="209"/>
      <w:r>
        <w:rPr>
          <w:rFonts w:hint="eastAsia" w:ascii="Times New Roman" w:hAnsi="Times New Roman" w:eastAsia="方正黑体_GBK" w:cs="方正黑体_GBK"/>
          <w:caps w:val="0"/>
          <w:smallCaps w:val="0"/>
          <w:color w:val="auto"/>
          <w:kern w:val="2"/>
          <w:sz w:val="28"/>
          <w:szCs w:val="28"/>
          <w:highlight w:val="none"/>
          <w:lang w:val="en-US" w:eastAsia="zh-CN" w:bidi="ar-SA"/>
        </w:rPr>
        <w:t>污水处理设施特许经营权转让</w:t>
      </w:r>
      <w:bookmarkEnd w:id="210"/>
    </w:p>
    <w:p w14:paraId="13D219DD">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211" w:name="_Toc22845"/>
      <w:bookmarkStart w:id="212" w:name="_Toc678251878"/>
      <w:bookmarkStart w:id="213" w:name="_Toc28789"/>
      <w:r>
        <w:rPr>
          <w:rFonts w:hint="eastAsia" w:ascii="Times New Roman" w:hAnsi="Times New Roman" w:eastAsia="方正黑体_GBK" w:cs="方正黑体_GBK"/>
          <w:bCs/>
          <w:caps w:val="0"/>
          <w:smallCaps w:val="0"/>
          <w:color w:val="auto"/>
          <w:kern w:val="2"/>
          <w:sz w:val="28"/>
          <w:szCs w:val="28"/>
          <w:highlight w:val="none"/>
          <w:lang w:val="en-US" w:eastAsia="zh-CN" w:bidi="ar-SA"/>
        </w:rPr>
        <w:t xml:space="preserve">第27条 </w:t>
      </w:r>
      <w:bookmarkEnd w:id="211"/>
      <w:bookmarkEnd w:id="212"/>
      <w:r>
        <w:rPr>
          <w:rFonts w:hint="eastAsia" w:ascii="Times New Roman" w:hAnsi="Times New Roman" w:eastAsia="方正黑体_GBK" w:cs="方正黑体_GBK"/>
          <w:bCs/>
          <w:caps w:val="0"/>
          <w:smallCaps w:val="0"/>
          <w:color w:val="auto"/>
          <w:kern w:val="2"/>
          <w:sz w:val="28"/>
          <w:szCs w:val="28"/>
          <w:highlight w:val="none"/>
          <w:lang w:val="en-US" w:eastAsia="zh-CN" w:bidi="ar-SA"/>
        </w:rPr>
        <w:t>特许经营权转让的范围</w:t>
      </w:r>
      <w:bookmarkEnd w:id="213"/>
    </w:p>
    <w:p w14:paraId="2D2BE405">
      <w:pPr>
        <w:adjustRightInd w:val="0"/>
        <w:snapToGrid w:val="0"/>
        <w:spacing w:before="50" w:beforeLines="50" w:after="50" w:afterLines="50" w:line="360" w:lineRule="auto"/>
        <w:ind w:firstLine="480" w:firstLineChars="200"/>
        <w:outlineLvl w:val="9"/>
        <w:rPr>
          <w:rFonts w:hint="default" w:ascii="Times New Roman" w:hAnsi="Times New Roman" w:eastAsia="方正仿宋_GBK" w:cs="Times New Roman"/>
          <w:b w:val="0"/>
          <w:bCs/>
          <w:color w:val="auto"/>
          <w:kern w:val="2"/>
          <w:sz w:val="24"/>
          <w:szCs w:val="24"/>
          <w:highlight w:val="none"/>
        </w:rPr>
      </w:pPr>
      <w:r>
        <w:rPr>
          <w:rFonts w:hint="default" w:ascii="Times New Roman" w:hAnsi="Times New Roman" w:eastAsia="方正仿宋_GBK" w:cs="Times New Roman"/>
          <w:b w:val="0"/>
          <w:bCs/>
          <w:color w:val="auto"/>
          <w:kern w:val="2"/>
          <w:sz w:val="24"/>
          <w:szCs w:val="24"/>
          <w:highlight w:val="none"/>
        </w:rPr>
        <w:t>纳入本项目的项目设施为</w:t>
      </w:r>
      <w:r>
        <w:rPr>
          <w:rFonts w:hint="eastAsia" w:ascii="Times New Roman" w:hAnsi="Times New Roman" w:eastAsia="方正仿宋_GBK" w:cs="Times New Roman"/>
          <w:b w:val="0"/>
          <w:bCs/>
          <w:color w:val="auto"/>
          <w:kern w:val="2"/>
          <w:sz w:val="24"/>
          <w:szCs w:val="24"/>
          <w:highlight w:val="none"/>
          <w:lang w:eastAsia="zh-CN"/>
        </w:rPr>
        <w:t>：</w:t>
      </w:r>
      <w:r>
        <w:rPr>
          <w:rFonts w:hint="eastAsia" w:ascii="Times New Roman" w:hAnsi="Times New Roman" w:eastAsia="方正仿宋_GBK" w:cs="Times New Roman"/>
          <w:b w:val="0"/>
          <w:bCs/>
          <w:color w:val="auto"/>
          <w:kern w:val="2"/>
          <w:sz w:val="24"/>
          <w:szCs w:val="24"/>
          <w:highlight w:val="none"/>
        </w:rPr>
        <w:t>污水处理厂一座，含污水处理设施、配套道路、绿化工程，设计污水处理规模为12万m³/d，厂址位于江都区丁伙镇联盟村；厂外污水提升泵站一座，设计规模12万m3/d，位于江都区仙女镇涵西村；厂外提升泵站至污水处理厂的污水输送管道，管径为DN1200，管道总长约3858m；污水处理厂至大涵河的尾水排放管，其中污水处理厂至厂外提升泵站处管道管径为DN1200，管道总长约为3622m，厂外提升泵站至大涵河管道管径为DN1000，管道总长约为1012m。污水经提升泵站送入污水处理厂集中处理，处理达标后尾水经泵送专用尾水管排放</w:t>
      </w:r>
      <w:r>
        <w:rPr>
          <w:rFonts w:hint="eastAsia" w:ascii="Times New Roman" w:hAnsi="Times New Roman" w:eastAsia="方正仿宋_GBK" w:cs="Times New Roman"/>
          <w:b w:val="0"/>
          <w:bCs/>
          <w:color w:val="auto"/>
          <w:kern w:val="2"/>
          <w:sz w:val="24"/>
          <w:szCs w:val="24"/>
          <w:highlight w:val="none"/>
          <w:lang w:eastAsia="zh-CN"/>
        </w:rPr>
        <w:t>。为了落实厂站一体化，城区内南区泵站、二桥泵站、新通扬泵站、江都桥泵站、双沟污水泵站、黄海南路污水泵站、张纲污水泵站、金湾路污水泵站、物流园污水泵站、金桥石油苑污水泵站、涵西提升泵站</w:t>
      </w:r>
      <w:r>
        <w:rPr>
          <w:rFonts w:hint="eastAsia" w:ascii="Times New Roman" w:hAnsi="Times New Roman" w:eastAsia="方正仿宋_GBK" w:cs="Times New Roman"/>
          <w:b w:val="0"/>
          <w:bCs/>
          <w:color w:val="auto"/>
          <w:kern w:val="2"/>
          <w:sz w:val="24"/>
          <w:szCs w:val="24"/>
          <w:highlight w:val="none"/>
          <w:lang w:val="en-US" w:eastAsia="zh-CN"/>
        </w:rPr>
        <w:t>和大涵河出水提升泵站</w:t>
      </w:r>
      <w:r>
        <w:rPr>
          <w:rFonts w:hint="eastAsia" w:ascii="Times New Roman" w:hAnsi="Times New Roman" w:eastAsia="方正仿宋_GBK" w:cs="Times New Roman"/>
          <w:b w:val="0"/>
          <w:bCs/>
          <w:color w:val="auto"/>
          <w:kern w:val="2"/>
          <w:sz w:val="24"/>
          <w:szCs w:val="24"/>
          <w:highlight w:val="none"/>
          <w:lang w:eastAsia="zh-CN"/>
        </w:rPr>
        <w:t>全部纳入特许经营实施运营维护管理范围（除本</w:t>
      </w:r>
      <w:r>
        <w:rPr>
          <w:rFonts w:hint="eastAsia" w:ascii="Times New Roman" w:hAnsi="Times New Roman" w:eastAsia="方正仿宋_GBK" w:cs="Times New Roman"/>
          <w:b w:val="0"/>
          <w:bCs/>
          <w:color w:val="auto"/>
          <w:kern w:val="2"/>
          <w:sz w:val="24"/>
          <w:szCs w:val="24"/>
          <w:highlight w:val="none"/>
          <w:lang w:val="en-US" w:eastAsia="zh-CN"/>
        </w:rPr>
        <w:t>协议</w:t>
      </w:r>
      <w:r>
        <w:rPr>
          <w:rFonts w:hint="eastAsia" w:ascii="Times New Roman" w:hAnsi="Times New Roman" w:eastAsia="方正仿宋_GBK" w:cs="Times New Roman"/>
          <w:b w:val="0"/>
          <w:bCs/>
          <w:color w:val="auto"/>
          <w:kern w:val="2"/>
          <w:sz w:val="24"/>
          <w:szCs w:val="24"/>
          <w:highlight w:val="none"/>
          <w:lang w:eastAsia="zh-CN"/>
        </w:rPr>
        <w:t>明确约定的管网外，不含区域内其他管网运维）。</w:t>
      </w:r>
      <w:r>
        <w:rPr>
          <w:rFonts w:hint="default" w:ascii="Times New Roman" w:hAnsi="Times New Roman" w:eastAsia="方正仿宋_GBK" w:cs="Times New Roman"/>
          <w:b w:val="0"/>
          <w:bCs/>
          <w:color w:val="auto"/>
          <w:kern w:val="2"/>
          <w:sz w:val="24"/>
          <w:szCs w:val="24"/>
          <w:highlight w:val="none"/>
        </w:rPr>
        <w:t>详见</w:t>
      </w:r>
      <w:r>
        <w:rPr>
          <w:rFonts w:hint="default" w:ascii="Times New Roman" w:hAnsi="Times New Roman" w:eastAsia="方正仿宋_GBK" w:cs="Times New Roman"/>
          <w:b w:val="0"/>
          <w:bCs/>
          <w:color w:val="auto"/>
          <w:kern w:val="2"/>
          <w:sz w:val="24"/>
          <w:szCs w:val="24"/>
          <w:highlight w:val="none"/>
          <w:u w:val="single"/>
        </w:rPr>
        <w:fldChar w:fldCharType="begin"/>
      </w:r>
      <w:r>
        <w:rPr>
          <w:rFonts w:hint="default" w:ascii="Times New Roman" w:hAnsi="Times New Roman" w:eastAsia="方正仿宋_GBK" w:cs="Times New Roman"/>
          <w:b w:val="0"/>
          <w:bCs/>
          <w:color w:val="auto"/>
          <w:kern w:val="2"/>
          <w:sz w:val="24"/>
          <w:szCs w:val="24"/>
          <w:highlight w:val="none"/>
          <w:u w:val="single"/>
        </w:rPr>
        <w:instrText xml:space="preserve"> HYPERLINK  \l "anx7" </w:instrText>
      </w:r>
      <w:r>
        <w:rPr>
          <w:rFonts w:hint="default" w:ascii="Times New Roman" w:hAnsi="Times New Roman" w:eastAsia="方正仿宋_GBK" w:cs="Times New Roman"/>
          <w:b w:val="0"/>
          <w:bCs/>
          <w:color w:val="auto"/>
          <w:kern w:val="2"/>
          <w:sz w:val="24"/>
          <w:szCs w:val="24"/>
          <w:highlight w:val="none"/>
          <w:u w:val="single"/>
        </w:rPr>
        <w:fldChar w:fldCharType="separate"/>
      </w:r>
      <w:r>
        <w:rPr>
          <w:rFonts w:hint="default" w:ascii="Times New Roman" w:hAnsi="Times New Roman" w:eastAsia="方正仿宋_GBK" w:cs="Times New Roman"/>
          <w:b w:val="0"/>
          <w:bCs/>
          <w:color w:val="auto"/>
          <w:kern w:val="2"/>
          <w:sz w:val="24"/>
          <w:szCs w:val="24"/>
          <w:highlight w:val="none"/>
          <w:u w:val="none"/>
        </w:rPr>
        <w:t>附件</w:t>
      </w:r>
      <w:r>
        <w:rPr>
          <w:rFonts w:hint="default" w:ascii="Times New Roman" w:hAnsi="Times New Roman" w:eastAsia="方正仿宋_GBK" w:cs="Times New Roman"/>
          <w:b w:val="0"/>
          <w:bCs/>
          <w:color w:val="auto"/>
          <w:kern w:val="2"/>
          <w:sz w:val="24"/>
          <w:szCs w:val="24"/>
          <w:highlight w:val="none"/>
          <w:u w:val="single"/>
        </w:rPr>
        <w:fldChar w:fldCharType="end"/>
      </w:r>
      <w:r>
        <w:rPr>
          <w:rFonts w:hint="eastAsia" w:ascii="Times New Roman" w:hAnsi="Times New Roman" w:eastAsia="方正仿宋_GBK" w:cs="Times New Roman"/>
          <w:b w:val="0"/>
          <w:bCs/>
          <w:color w:val="auto"/>
          <w:kern w:val="2"/>
          <w:sz w:val="24"/>
          <w:szCs w:val="24"/>
          <w:highlight w:val="none"/>
          <w:u w:val="none"/>
          <w:lang w:val="en-US" w:eastAsia="zh-CN"/>
        </w:rPr>
        <w:t>2</w:t>
      </w:r>
      <w:r>
        <w:rPr>
          <w:rFonts w:hint="default" w:ascii="Times New Roman" w:hAnsi="Times New Roman" w:eastAsia="方正仿宋_GBK" w:cs="Times New Roman"/>
          <w:b w:val="0"/>
          <w:bCs/>
          <w:color w:val="auto"/>
          <w:kern w:val="2"/>
          <w:sz w:val="24"/>
          <w:szCs w:val="24"/>
          <w:highlight w:val="none"/>
        </w:rPr>
        <w:t>《污水处理</w:t>
      </w:r>
      <w:r>
        <w:rPr>
          <w:rFonts w:hint="eastAsia" w:ascii="Times New Roman" w:hAnsi="Times New Roman" w:eastAsia="方正仿宋_GBK" w:cs="Times New Roman"/>
          <w:b w:val="0"/>
          <w:bCs/>
          <w:color w:val="auto"/>
          <w:kern w:val="2"/>
          <w:sz w:val="24"/>
          <w:szCs w:val="24"/>
          <w:highlight w:val="none"/>
          <w:lang w:val="en-US" w:eastAsia="zh-CN"/>
        </w:rPr>
        <w:t>设施</w:t>
      </w:r>
      <w:r>
        <w:rPr>
          <w:rFonts w:hint="default" w:ascii="Times New Roman" w:hAnsi="Times New Roman" w:eastAsia="方正仿宋_GBK" w:cs="Times New Roman"/>
          <w:b w:val="0"/>
          <w:bCs/>
          <w:color w:val="auto"/>
          <w:kern w:val="2"/>
          <w:sz w:val="24"/>
          <w:szCs w:val="24"/>
          <w:highlight w:val="none"/>
        </w:rPr>
        <w:t>项目设施清单》。</w:t>
      </w:r>
    </w:p>
    <w:p w14:paraId="198A86E6">
      <w:pPr>
        <w:adjustRightInd w:val="0"/>
        <w:snapToGrid w:val="0"/>
        <w:spacing w:before="50" w:beforeLines="50" w:after="50" w:afterLines="50" w:line="360" w:lineRule="auto"/>
        <w:ind w:firstLine="480" w:firstLineChars="200"/>
        <w:outlineLvl w:val="9"/>
        <w:rPr>
          <w:rFonts w:hint="default" w:ascii="Times New Roman" w:hAnsi="Times New Roman" w:eastAsia="方正仿宋_GBK" w:cs="Times New Roman"/>
          <w:b w:val="0"/>
          <w:bCs/>
          <w:color w:val="auto"/>
          <w:kern w:val="2"/>
          <w:sz w:val="24"/>
          <w:szCs w:val="24"/>
          <w:highlight w:val="none"/>
        </w:rPr>
      </w:pPr>
      <w:r>
        <w:rPr>
          <w:rFonts w:hint="default" w:ascii="Times New Roman" w:hAnsi="Times New Roman" w:eastAsia="方正仿宋_GBK" w:cs="Times New Roman"/>
          <w:b w:val="0"/>
          <w:bCs/>
          <w:color w:val="auto"/>
          <w:kern w:val="2"/>
          <w:sz w:val="24"/>
          <w:szCs w:val="24"/>
          <w:highlight w:val="none"/>
        </w:rPr>
        <w:t>项目设施还包括乙方在</w:t>
      </w:r>
      <w:r>
        <w:rPr>
          <w:rFonts w:hint="eastAsia" w:ascii="Times New Roman" w:hAnsi="Times New Roman" w:eastAsia="方正仿宋_GBK" w:cs="Times New Roman"/>
          <w:b w:val="0"/>
          <w:bCs/>
          <w:color w:val="auto"/>
          <w:kern w:val="2"/>
          <w:sz w:val="24"/>
          <w:szCs w:val="24"/>
          <w:highlight w:val="none"/>
          <w:lang w:eastAsia="zh-CN"/>
        </w:rPr>
        <w:t>特许经营期</w:t>
      </w:r>
      <w:r>
        <w:rPr>
          <w:rFonts w:hint="default" w:ascii="Times New Roman" w:hAnsi="Times New Roman" w:eastAsia="方正仿宋_GBK" w:cs="Times New Roman"/>
          <w:b w:val="0"/>
          <w:bCs/>
          <w:color w:val="auto"/>
          <w:kern w:val="2"/>
          <w:sz w:val="24"/>
          <w:szCs w:val="24"/>
          <w:highlight w:val="none"/>
        </w:rPr>
        <w:t>限内为运营及维护污水处理厂所有大修及重置的设备和设施、建筑物、构筑物等。</w:t>
      </w:r>
    </w:p>
    <w:p w14:paraId="08A8D6B7">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214" w:name="_Toc33524077"/>
      <w:bookmarkStart w:id="215" w:name="_Toc32637"/>
      <w:bookmarkStart w:id="216" w:name="_Toc17281"/>
      <w:r>
        <w:rPr>
          <w:rFonts w:hint="eastAsia" w:ascii="Times New Roman" w:hAnsi="Times New Roman" w:eastAsia="方正黑体_GBK" w:cs="方正黑体_GBK"/>
          <w:bCs/>
          <w:caps w:val="0"/>
          <w:smallCaps w:val="0"/>
          <w:color w:val="auto"/>
          <w:kern w:val="2"/>
          <w:sz w:val="28"/>
          <w:szCs w:val="28"/>
          <w:highlight w:val="none"/>
          <w:lang w:val="en-US" w:eastAsia="zh-CN" w:bidi="ar-SA"/>
        </w:rPr>
        <w:t xml:space="preserve">第28条 </w:t>
      </w:r>
      <w:bookmarkEnd w:id="214"/>
      <w:bookmarkEnd w:id="215"/>
      <w:r>
        <w:rPr>
          <w:rFonts w:hint="eastAsia" w:ascii="Times New Roman" w:hAnsi="Times New Roman" w:eastAsia="方正黑体_GBK" w:cs="方正黑体_GBK"/>
          <w:bCs/>
          <w:caps w:val="0"/>
          <w:smallCaps w:val="0"/>
          <w:color w:val="auto"/>
          <w:kern w:val="2"/>
          <w:sz w:val="28"/>
          <w:szCs w:val="28"/>
          <w:highlight w:val="none"/>
          <w:lang w:val="en-US" w:eastAsia="zh-CN" w:bidi="ar-SA"/>
        </w:rPr>
        <w:t>资产交割时间及要求</w:t>
      </w:r>
      <w:bookmarkEnd w:id="216"/>
    </w:p>
    <w:p w14:paraId="3E083783">
      <w:pPr>
        <w:adjustRightInd w:val="0"/>
        <w:snapToGrid w:val="0"/>
        <w:spacing w:before="50" w:beforeLines="50" w:after="50" w:afterLines="50" w:line="360" w:lineRule="auto"/>
        <w:ind w:firstLine="480" w:firstLineChars="200"/>
        <w:outlineLvl w:val="9"/>
        <w:rPr>
          <w:rFonts w:hint="eastAsia" w:ascii="Times New Roman" w:hAnsi="Times New Roman" w:eastAsia="方正仿宋_GBK" w:cs="Times New Roman"/>
          <w:b w:val="0"/>
          <w:bCs/>
          <w:caps w:val="0"/>
          <w:smallCaps w:val="0"/>
          <w:color w:val="auto"/>
          <w:kern w:val="2"/>
          <w:sz w:val="24"/>
          <w:szCs w:val="24"/>
          <w:highlight w:val="none"/>
          <w:lang w:val="en-US" w:eastAsia="zh-CN"/>
        </w:rPr>
      </w:pPr>
      <w:r>
        <w:rPr>
          <w:rFonts w:hint="eastAsia" w:ascii="Times New Roman" w:hAnsi="Times New Roman" w:eastAsia="方正仿宋_GBK" w:cs="Times New Roman"/>
          <w:b w:val="0"/>
          <w:bCs/>
          <w:caps w:val="0"/>
          <w:smallCaps w:val="0"/>
          <w:color w:val="auto"/>
          <w:kern w:val="2"/>
          <w:sz w:val="24"/>
          <w:szCs w:val="24"/>
          <w:highlight w:val="none"/>
          <w:lang w:val="en-US" w:eastAsia="zh-CN"/>
        </w:rPr>
        <w:t>1.</w:t>
      </w:r>
      <w:r>
        <w:rPr>
          <w:rFonts w:hint="default" w:ascii="Times New Roman" w:hAnsi="Times New Roman" w:eastAsia="方正仿宋_GBK" w:cs="Times New Roman"/>
          <w:b w:val="0"/>
          <w:bCs/>
          <w:caps w:val="0"/>
          <w:smallCaps w:val="0"/>
          <w:color w:val="auto"/>
          <w:kern w:val="2"/>
          <w:sz w:val="24"/>
          <w:szCs w:val="24"/>
          <w:highlight w:val="none"/>
        </w:rPr>
        <w:t>本协议生效当日，甲方应向乙方移交资产及项目资料</w:t>
      </w:r>
      <w:r>
        <w:rPr>
          <w:rFonts w:hint="eastAsia" w:ascii="Times New Roman" w:hAnsi="Times New Roman" w:eastAsia="方正仿宋_GBK" w:cs="Times New Roman"/>
          <w:b w:val="0"/>
          <w:bCs/>
          <w:caps w:val="0"/>
          <w:smallCaps w:val="0"/>
          <w:color w:val="auto"/>
          <w:kern w:val="2"/>
          <w:sz w:val="24"/>
          <w:szCs w:val="24"/>
          <w:highlight w:val="none"/>
          <w:lang w:eastAsia="zh-CN"/>
        </w:rPr>
        <w:t>，</w:t>
      </w:r>
      <w:r>
        <w:rPr>
          <w:rFonts w:hint="eastAsia" w:ascii="Times New Roman" w:hAnsi="Times New Roman" w:eastAsia="方正仿宋_GBK" w:cs="Times New Roman"/>
          <w:b w:val="0"/>
          <w:bCs/>
          <w:caps w:val="0"/>
          <w:smallCaps w:val="0"/>
          <w:color w:val="auto"/>
          <w:kern w:val="2"/>
          <w:sz w:val="24"/>
          <w:szCs w:val="24"/>
          <w:highlight w:val="none"/>
          <w:lang w:val="en-US" w:eastAsia="zh-CN"/>
        </w:rPr>
        <w:t>双方签字确认，在移交前，乙方应充分了解并认可</w:t>
      </w:r>
      <w:r>
        <w:rPr>
          <w:rFonts w:hint="default" w:ascii="Times New Roman" w:hAnsi="Times New Roman" w:eastAsia="方正仿宋_GBK" w:cs="Times New Roman"/>
          <w:b w:val="0"/>
          <w:bCs/>
          <w:caps w:val="0"/>
          <w:smallCaps w:val="0"/>
          <w:color w:val="auto"/>
          <w:kern w:val="2"/>
          <w:sz w:val="24"/>
          <w:szCs w:val="24"/>
          <w:highlight w:val="none"/>
          <w:lang w:val="en-US" w:eastAsia="zh-CN"/>
        </w:rPr>
        <w:t>资产</w:t>
      </w:r>
      <w:r>
        <w:rPr>
          <w:rFonts w:hint="eastAsia" w:ascii="Times New Roman" w:hAnsi="Times New Roman" w:eastAsia="方正仿宋_GBK" w:cs="Times New Roman"/>
          <w:b w:val="0"/>
          <w:bCs/>
          <w:caps w:val="0"/>
          <w:smallCaps w:val="0"/>
          <w:color w:val="auto"/>
          <w:kern w:val="2"/>
          <w:sz w:val="24"/>
          <w:szCs w:val="24"/>
          <w:highlight w:val="none"/>
          <w:lang w:val="en-US" w:eastAsia="zh-CN"/>
        </w:rPr>
        <w:t>及资料情况，甲方不承担因乙方使用资产存在瑕疵而导致失误或损失的责任，但甲方存在故意或重大过失导致的隐瞒或欺骗、重大失实或误导、重大不实披露情形的除外。</w:t>
      </w:r>
    </w:p>
    <w:p w14:paraId="436F32A6">
      <w:pPr>
        <w:adjustRightInd w:val="0"/>
        <w:snapToGrid w:val="0"/>
        <w:spacing w:before="50" w:beforeLines="50" w:after="50" w:afterLines="50" w:line="360" w:lineRule="auto"/>
        <w:ind w:firstLine="480" w:firstLineChars="200"/>
        <w:outlineLvl w:val="9"/>
        <w:rPr>
          <w:rFonts w:hint="default" w:ascii="Times New Roman" w:hAnsi="Times New Roman" w:eastAsia="方正仿宋_GBK" w:cs="Times New Roman"/>
          <w:b w:val="0"/>
          <w:bCs/>
          <w:caps w:val="0"/>
          <w:smallCaps w:val="0"/>
          <w:color w:val="auto"/>
          <w:kern w:val="2"/>
          <w:sz w:val="24"/>
          <w:szCs w:val="24"/>
          <w:highlight w:val="none"/>
          <w:lang w:val="en-US" w:eastAsia="zh-CN"/>
        </w:rPr>
      </w:pPr>
      <w:r>
        <w:rPr>
          <w:rFonts w:hint="default" w:ascii="Times New Roman" w:hAnsi="Times New Roman" w:eastAsia="方正仿宋_GBK" w:cs="Times New Roman"/>
          <w:b w:val="0"/>
          <w:bCs/>
          <w:caps w:val="0"/>
          <w:smallCaps w:val="0"/>
          <w:color w:val="auto"/>
          <w:kern w:val="2"/>
          <w:sz w:val="24"/>
          <w:szCs w:val="24"/>
          <w:highlight w:val="none"/>
          <w:lang w:val="en-US" w:eastAsia="zh-CN"/>
        </w:rPr>
        <w:t>2.在资产交割过程中，甲方负责协调试运营单位做好资产交割前准备工作并配合完成移交工作。资产交割完成后，甲方负责协调试运营单位退出场地，项目进入正式运营。</w:t>
      </w:r>
      <w:bookmarkStart w:id="217" w:name="_Toc4837"/>
    </w:p>
    <w:p w14:paraId="34D78A11">
      <w:pPr>
        <w:adjustRightInd w:val="0"/>
        <w:snapToGrid w:val="0"/>
        <w:spacing w:before="50" w:beforeLines="50" w:after="50" w:afterLines="50" w:line="360" w:lineRule="auto"/>
        <w:ind w:left="0" w:leftChars="0" w:right="0" w:rightChars="0" w:firstLine="0" w:firstLineChars="0"/>
        <w:jc w:val="center"/>
        <w:outlineLvl w:val="9"/>
        <w:rPr>
          <w:rFonts w:hint="eastAsia" w:ascii="Times New Roman" w:hAnsi="Times New Roman" w:eastAsia="方正仿宋_GBK" w:cs="Times New Roman"/>
          <w:caps w:val="0"/>
          <w:smallCaps w:val="0"/>
          <w:color w:val="auto"/>
          <w:kern w:val="0"/>
          <w:sz w:val="28"/>
          <w:szCs w:val="32"/>
          <w:highlight w:val="none"/>
        </w:rPr>
      </w:pPr>
      <w:r>
        <w:rPr>
          <w:rFonts w:hint="eastAsia" w:ascii="Times New Roman" w:hAnsi="Times New Roman" w:eastAsia="方正黑体_GBK" w:cs="方正黑体_GBK"/>
          <w:caps w:val="0"/>
          <w:smallCaps w:val="0"/>
          <w:color w:val="auto"/>
          <w:kern w:val="2"/>
          <w:sz w:val="28"/>
          <w:szCs w:val="28"/>
          <w:highlight w:val="none"/>
          <w:lang w:val="en-US" w:eastAsia="zh-CN" w:bidi="ar-SA"/>
        </w:rPr>
        <w:t>第六章</w:t>
      </w:r>
      <w:bookmarkStart w:id="218" w:name="_Toc18403"/>
      <w:bookmarkStart w:id="219" w:name="_Toc405146853"/>
      <w:bookmarkStart w:id="220" w:name="_Toc402428931"/>
      <w:bookmarkStart w:id="221" w:name="_Toc402347754"/>
      <w:bookmarkStart w:id="222" w:name="_Toc411289906"/>
      <w:bookmarkStart w:id="223" w:name="_Toc402355498"/>
      <w:r>
        <w:rPr>
          <w:rFonts w:hint="eastAsia" w:ascii="Times New Roman" w:hAnsi="Times New Roman" w:eastAsia="方正黑体_GBK" w:cs="方正黑体_GBK"/>
          <w:caps w:val="0"/>
          <w:smallCaps w:val="0"/>
          <w:color w:val="auto"/>
          <w:kern w:val="2"/>
          <w:sz w:val="28"/>
          <w:szCs w:val="28"/>
          <w:highlight w:val="none"/>
          <w:lang w:val="en-US" w:eastAsia="zh-CN"/>
        </w:rPr>
        <w:t xml:space="preserve"> 运营和服务</w:t>
      </w:r>
      <w:bookmarkEnd w:id="217"/>
      <w:bookmarkEnd w:id="218"/>
      <w:bookmarkEnd w:id="219"/>
      <w:bookmarkEnd w:id="220"/>
      <w:bookmarkEnd w:id="221"/>
      <w:bookmarkEnd w:id="222"/>
      <w:bookmarkEnd w:id="223"/>
    </w:p>
    <w:p w14:paraId="5D3D6D48">
      <w:pPr>
        <w:widowControl/>
        <w:numPr>
          <w:ilvl w:val="0"/>
          <w:numId w:val="0"/>
        </w:numPr>
        <w:adjustRightInd/>
        <w:snapToGrid/>
        <w:spacing w:before="0" w:beforeLines="0" w:after="0" w:afterLines="0" w:line="360" w:lineRule="auto"/>
        <w:ind w:firstLine="560" w:firstLineChars="200"/>
        <w:jc w:val="both"/>
        <w:outlineLvl w:val="1"/>
        <w:rPr>
          <w:rFonts w:hint="eastAsia" w:ascii="Times New Roman" w:hAnsi="Times New Roman" w:eastAsia="方正黑体_GBK" w:cs="方正黑体_GBK"/>
          <w:b w:val="0"/>
          <w:bCs/>
          <w:color w:val="auto"/>
          <w:kern w:val="2"/>
          <w:sz w:val="28"/>
          <w:szCs w:val="28"/>
          <w:highlight w:val="none"/>
          <w:lang w:val="en-US" w:eastAsia="zh-CN" w:bidi="ar-SA"/>
        </w:rPr>
      </w:pPr>
      <w:bookmarkStart w:id="224" w:name="_Toc16722"/>
      <w:bookmarkStart w:id="225" w:name="_Toc333555550"/>
      <w:bookmarkStart w:id="226" w:name="_Toc3558"/>
      <w:bookmarkStart w:id="227" w:name="_Toc402428932"/>
      <w:bookmarkStart w:id="228" w:name="_Toc405146854"/>
      <w:bookmarkStart w:id="229" w:name="_Toc1654534475"/>
      <w:r>
        <w:rPr>
          <w:rFonts w:hint="eastAsia" w:ascii="Times New Roman" w:hAnsi="Times New Roman" w:eastAsia="方正黑体_GBK" w:cs="方正黑体_GBK"/>
          <w:b w:val="0"/>
          <w:bCs/>
          <w:color w:val="auto"/>
          <w:kern w:val="2"/>
          <w:sz w:val="28"/>
          <w:szCs w:val="28"/>
          <w:highlight w:val="none"/>
          <w:lang w:val="en-US" w:eastAsia="zh-CN" w:bidi="ar-SA"/>
        </w:rPr>
        <w:t>第29条 经营计划与财务报告</w:t>
      </w:r>
      <w:bookmarkEnd w:id="224"/>
      <w:bookmarkEnd w:id="225"/>
    </w:p>
    <w:p w14:paraId="7A631E4A">
      <w:pPr>
        <w:widowControl/>
        <w:numPr>
          <w:ilvl w:val="2"/>
          <w:numId w:val="0"/>
        </w:numPr>
        <w:adjustRightInd w:val="0"/>
        <w:snapToGrid w:val="0"/>
        <w:spacing w:before="0" w:beforeLines="0" w:after="0" w:afterLines="0" w:line="360" w:lineRule="auto"/>
        <w:ind w:firstLine="480" w:firstLineChars="200"/>
        <w:jc w:val="both"/>
        <w:outlineLvl w:val="2"/>
        <w:rPr>
          <w:rFonts w:hint="default"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1.本项目特许经营期限内，乙方应当编制年度经营计划及中长期经营计划报甲方备案，且需于每个运营年12月31日前向甲方提交下一年度的经营计划，其中第一个运营年度的经营计划应当于移交日起十（10）个工作日内向甲方提交。年度经营计划包括但不限于项目设施的生产维护及大修更新计划、运营维护资金计划等，中长期经营计划在作出后的十（10）个工作日内，报送甲方备案。</w:t>
      </w:r>
    </w:p>
    <w:p w14:paraId="4A48D2E6">
      <w:pPr>
        <w:widowControl/>
        <w:numPr>
          <w:ilvl w:val="2"/>
          <w:numId w:val="0"/>
        </w:numPr>
        <w:adjustRightInd w:val="0"/>
        <w:snapToGrid w:val="0"/>
        <w:spacing w:before="0" w:beforeLines="0" w:after="0" w:afterLines="0" w:line="360" w:lineRule="auto"/>
        <w:ind w:firstLine="480" w:firstLineChars="200"/>
        <w:jc w:val="both"/>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2.本项目特许经营期限内，乙方应当于每个运营年12月31日前向甲方提交本年度经营情况报告并保证报告内容真实、准确。经营情况报告的内容包括但不限于本年度经营计划的执行情况、运营资产清单、设施运营维护和修理情况等。</w:t>
      </w:r>
    </w:p>
    <w:p w14:paraId="1CCA5BF4">
      <w:pPr>
        <w:widowControl/>
        <w:numPr>
          <w:ilvl w:val="2"/>
          <w:numId w:val="0"/>
        </w:numPr>
        <w:adjustRightInd w:val="0"/>
        <w:snapToGrid w:val="0"/>
        <w:spacing w:before="0" w:beforeLines="0" w:after="0" w:afterLines="0" w:line="360" w:lineRule="auto"/>
        <w:ind w:firstLine="480" w:firstLineChars="200"/>
        <w:jc w:val="both"/>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3.本项目特许经营期限内，乙方应当于每个会计年度结束后六（6）个月内向甲方提交经审计的年度财务会计报表，包括资产负债表、损益表、现金流量表，成本分析报告以及甲方要求提供的资料。</w:t>
      </w:r>
    </w:p>
    <w:p w14:paraId="54F574DB">
      <w:pPr>
        <w:widowControl/>
        <w:numPr>
          <w:ilvl w:val="0"/>
          <w:numId w:val="0"/>
        </w:numPr>
        <w:adjustRightInd/>
        <w:snapToGrid/>
        <w:spacing w:before="0" w:beforeLines="0" w:after="0" w:afterLines="0" w:line="360" w:lineRule="auto"/>
        <w:ind w:firstLine="560" w:firstLineChars="200"/>
        <w:jc w:val="both"/>
        <w:outlineLvl w:val="1"/>
        <w:rPr>
          <w:rFonts w:hint="eastAsia" w:ascii="Times New Roman" w:hAnsi="Times New Roman" w:eastAsia="方正黑体_GBK" w:cs="方正黑体_GBK"/>
          <w:b w:val="0"/>
          <w:bCs/>
          <w:color w:val="auto"/>
          <w:kern w:val="2"/>
          <w:sz w:val="28"/>
          <w:szCs w:val="28"/>
          <w:highlight w:val="none"/>
          <w:lang w:val="en-US" w:eastAsia="zh-CN" w:bidi="ar-SA"/>
        </w:rPr>
      </w:pPr>
      <w:bookmarkStart w:id="230" w:name="_Toc15792"/>
      <w:bookmarkStart w:id="231" w:name="_Toc419709704"/>
      <w:bookmarkStart w:id="232" w:name="_Toc246673016"/>
      <w:r>
        <w:rPr>
          <w:rFonts w:hint="eastAsia" w:ascii="Times New Roman" w:hAnsi="Times New Roman" w:eastAsia="方正黑体_GBK" w:cs="方正黑体_GBK"/>
          <w:b w:val="0"/>
          <w:bCs/>
          <w:color w:val="auto"/>
          <w:kern w:val="2"/>
          <w:sz w:val="28"/>
          <w:szCs w:val="28"/>
          <w:highlight w:val="none"/>
          <w:lang w:val="en-US" w:eastAsia="zh-CN" w:bidi="ar-SA"/>
        </w:rPr>
        <w:t>第30条 项目设施的运营</w:t>
      </w:r>
      <w:bookmarkEnd w:id="230"/>
      <w:bookmarkEnd w:id="231"/>
      <w:bookmarkEnd w:id="232"/>
    </w:p>
    <w:p w14:paraId="37656F4A">
      <w:pPr>
        <w:widowControl/>
        <w:numPr>
          <w:ilvl w:val="2"/>
          <w:numId w:val="0"/>
        </w:numPr>
        <w:adjustRightInd w:val="0"/>
        <w:snapToGrid w:val="0"/>
        <w:spacing w:before="0" w:beforeLines="0" w:after="0" w:afterLines="0" w:line="360" w:lineRule="auto"/>
        <w:ind w:firstLine="480" w:firstLineChars="200"/>
        <w:jc w:val="both"/>
        <w:outlineLvl w:val="2"/>
        <w:rPr>
          <w:rFonts w:hint="eastAsia" w:ascii="Times New Roman" w:hAnsi="Times New Roman" w:eastAsia="方正仿宋_GBK" w:cs="Times New Roman"/>
          <w:b w:val="0"/>
          <w:bCs/>
          <w:color w:val="auto"/>
          <w:kern w:val="2"/>
          <w:sz w:val="24"/>
          <w:szCs w:val="24"/>
          <w:highlight w:val="none"/>
          <w:lang w:val="en-US" w:eastAsia="zh-CN" w:bidi="ar-SA"/>
        </w:rPr>
      </w:pPr>
      <w:bookmarkStart w:id="233" w:name="art8_3_1"/>
      <w:r>
        <w:rPr>
          <w:rFonts w:hint="eastAsia" w:ascii="Times New Roman" w:hAnsi="Times New Roman" w:eastAsia="方正仿宋_GBK" w:cs="Times New Roman"/>
          <w:b w:val="0"/>
          <w:bCs/>
          <w:color w:val="auto"/>
          <w:kern w:val="2"/>
          <w:sz w:val="24"/>
          <w:szCs w:val="24"/>
          <w:highlight w:val="none"/>
          <w:lang w:val="en-US" w:eastAsia="zh-CN" w:bidi="ar-SA"/>
        </w:rPr>
        <w:t>1.除非本协议或《污水处理服务协议》有特别约定，在整个特许经营期限内，乙方</w:t>
      </w:r>
      <w:bookmarkEnd w:id="233"/>
      <w:r>
        <w:rPr>
          <w:rFonts w:hint="eastAsia" w:ascii="Times New Roman" w:hAnsi="Times New Roman" w:eastAsia="方正仿宋_GBK" w:cs="Times New Roman"/>
          <w:b w:val="0"/>
          <w:bCs/>
          <w:color w:val="auto"/>
          <w:kern w:val="2"/>
          <w:sz w:val="24"/>
          <w:szCs w:val="24"/>
          <w:highlight w:val="none"/>
          <w:lang w:val="en-US" w:eastAsia="zh-CN" w:bidi="ar-SA"/>
        </w:rPr>
        <w:t>应始终根据下列原则或规定运营项目设施，使本项目处于良好的运营状态并能够安全稳定地处理污水：</w:t>
      </w:r>
    </w:p>
    <w:p w14:paraId="4443D5C0">
      <w:pPr>
        <w:widowControl/>
        <w:numPr>
          <w:ilvl w:val="2"/>
          <w:numId w:val="0"/>
        </w:numPr>
        <w:tabs>
          <w:tab w:val="left" w:pos="993"/>
        </w:tabs>
        <w:adjustRightInd w:val="0"/>
        <w:snapToGrid w:val="0"/>
        <w:spacing w:before="0" w:beforeLines="0" w:after="0" w:afterLines="0" w:line="360" w:lineRule="auto"/>
        <w:ind w:firstLine="480" w:firstLineChars="200"/>
        <w:jc w:val="both"/>
        <w:outlineLvl w:val="9"/>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（1）本项目适用的法律；</w:t>
      </w:r>
    </w:p>
    <w:p w14:paraId="5C79EEA0">
      <w:pPr>
        <w:widowControl/>
        <w:numPr>
          <w:ilvl w:val="2"/>
          <w:numId w:val="0"/>
        </w:numPr>
        <w:tabs>
          <w:tab w:val="left" w:pos="993"/>
        </w:tabs>
        <w:adjustRightInd w:val="0"/>
        <w:snapToGrid w:val="0"/>
        <w:spacing w:before="0" w:beforeLines="0" w:after="0" w:afterLines="0" w:line="360" w:lineRule="auto"/>
        <w:ind w:firstLine="480" w:firstLineChars="200"/>
        <w:jc w:val="both"/>
        <w:outlineLvl w:val="9"/>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（2）乙方检修与维护手册以及本项目相关设备制造商提供的说明手册的指导；</w:t>
      </w:r>
    </w:p>
    <w:p w14:paraId="660F69E3">
      <w:pPr>
        <w:widowControl/>
        <w:numPr>
          <w:ilvl w:val="2"/>
          <w:numId w:val="0"/>
        </w:numPr>
        <w:tabs>
          <w:tab w:val="left" w:pos="993"/>
        </w:tabs>
        <w:adjustRightInd w:val="0"/>
        <w:snapToGrid w:val="0"/>
        <w:spacing w:before="0" w:beforeLines="0" w:after="0" w:afterLines="0" w:line="360" w:lineRule="auto"/>
        <w:ind w:firstLine="480" w:firstLineChars="200"/>
        <w:jc w:val="both"/>
        <w:outlineLvl w:val="9"/>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（3）谨慎运营惯例；</w:t>
      </w:r>
    </w:p>
    <w:p w14:paraId="4F87A56B">
      <w:pPr>
        <w:widowControl/>
        <w:numPr>
          <w:ilvl w:val="2"/>
          <w:numId w:val="0"/>
        </w:numPr>
        <w:tabs>
          <w:tab w:val="left" w:pos="993"/>
        </w:tabs>
        <w:adjustRightInd w:val="0"/>
        <w:snapToGrid w:val="0"/>
        <w:spacing w:before="0" w:beforeLines="0" w:after="0" w:afterLines="0" w:line="360" w:lineRule="auto"/>
        <w:ind w:firstLine="480" w:firstLineChars="200"/>
        <w:jc w:val="both"/>
        <w:outlineLvl w:val="9"/>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（4）本协议及《污水处理服务协议》的约定；</w:t>
      </w:r>
    </w:p>
    <w:p w14:paraId="7F5DBBB8">
      <w:pPr>
        <w:widowControl/>
        <w:numPr>
          <w:ilvl w:val="2"/>
          <w:numId w:val="0"/>
        </w:numPr>
        <w:tabs>
          <w:tab w:val="left" w:pos="993"/>
        </w:tabs>
        <w:adjustRightInd w:val="0"/>
        <w:snapToGrid w:val="0"/>
        <w:spacing w:before="0" w:beforeLines="0" w:after="0" w:afterLines="0" w:line="360" w:lineRule="auto"/>
        <w:ind w:firstLine="480" w:firstLineChars="200"/>
        <w:jc w:val="both"/>
        <w:outlineLvl w:val="9"/>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（5）投标文件中“技术与运营方案”。</w:t>
      </w:r>
    </w:p>
    <w:p w14:paraId="78A95BCF">
      <w:pPr>
        <w:widowControl/>
        <w:numPr>
          <w:ilvl w:val="2"/>
          <w:numId w:val="0"/>
        </w:numPr>
        <w:tabs>
          <w:tab w:val="left" w:pos="993"/>
        </w:tabs>
        <w:adjustRightInd w:val="0"/>
        <w:snapToGrid w:val="0"/>
        <w:spacing w:before="0" w:beforeLines="0" w:after="0" w:afterLines="0" w:line="360" w:lineRule="auto"/>
        <w:ind w:firstLine="480" w:firstLineChars="200"/>
        <w:jc w:val="both"/>
        <w:outlineLvl w:val="9"/>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2.除非本协议或《污水处理服务协议》有特别的约定，乙方对本项目设施的运营应当：</w:t>
      </w:r>
    </w:p>
    <w:p w14:paraId="290325C4">
      <w:pPr>
        <w:widowControl/>
        <w:numPr>
          <w:ilvl w:val="2"/>
          <w:numId w:val="0"/>
        </w:numPr>
        <w:tabs>
          <w:tab w:val="left" w:pos="993"/>
        </w:tabs>
        <w:adjustRightInd w:val="0"/>
        <w:snapToGrid w:val="0"/>
        <w:spacing w:before="0" w:beforeLines="0" w:after="0" w:afterLines="0" w:line="360" w:lineRule="auto"/>
        <w:ind w:firstLine="480" w:firstLineChars="200"/>
        <w:jc w:val="both"/>
        <w:outlineLvl w:val="9"/>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（1）确保项目设施每日正常运转；</w:t>
      </w:r>
    </w:p>
    <w:p w14:paraId="5554CE61">
      <w:pPr>
        <w:widowControl/>
        <w:numPr>
          <w:ilvl w:val="2"/>
          <w:numId w:val="0"/>
        </w:numPr>
        <w:tabs>
          <w:tab w:val="left" w:pos="993"/>
        </w:tabs>
        <w:adjustRightInd w:val="0"/>
        <w:snapToGrid w:val="0"/>
        <w:spacing w:before="0" w:beforeLines="0" w:after="0" w:afterLines="0" w:line="360" w:lineRule="auto"/>
        <w:ind w:firstLine="480" w:firstLineChars="200"/>
        <w:jc w:val="both"/>
        <w:outlineLvl w:val="9"/>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（2）污水处理厂发生人员安全事故，以及系统运行发生设施、设备重大事故时，乙方应当及时采取措施并向甲方及相关政府部门报告。</w:t>
      </w:r>
    </w:p>
    <w:p w14:paraId="092F12D9">
      <w:pPr>
        <w:widowControl/>
        <w:numPr>
          <w:ilvl w:val="2"/>
          <w:numId w:val="0"/>
        </w:numPr>
        <w:adjustRightInd w:val="0"/>
        <w:snapToGrid w:val="0"/>
        <w:spacing w:before="0" w:beforeLines="0" w:after="0" w:afterLines="0" w:line="360" w:lineRule="auto"/>
        <w:ind w:firstLine="480" w:firstLineChars="200"/>
        <w:jc w:val="both"/>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3.乙方应当根据设施、设备的情况确定设施设备定期检修、维护和大修的标准和程序，编制并不断完善项目设施检修与维护手册，有计划地对设施设备进行必要和及时的维护，使其处于良好的运营状态并能够安全稳定地按照《污水处理服务协议》规定的出水水质标准等处理污水，并实现各项考核指标的稳定达标。乙方须将检修与维护手册在项目设施移交日前及以后进行实质性修改后十（10）个工作日内提交甲方备案。</w:t>
      </w:r>
    </w:p>
    <w:p w14:paraId="3A4A6508">
      <w:pPr>
        <w:widowControl/>
        <w:numPr>
          <w:ilvl w:val="2"/>
          <w:numId w:val="0"/>
        </w:numPr>
        <w:adjustRightInd w:val="0"/>
        <w:snapToGrid w:val="0"/>
        <w:spacing w:before="0" w:beforeLines="0" w:after="0" w:afterLines="0" w:line="360" w:lineRule="auto"/>
        <w:ind w:firstLine="480" w:firstLineChars="200"/>
        <w:jc w:val="both"/>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4.甲方有权依据国内行业惯例和乙方的年度经营情况报告及年度经营计划，以不影响乙方运营为前提，对乙方的项目设施维护情况进行检查，并在检查后七（7）个工作日内对维护瑕疵提出整改意见。若乙方在所述意见通知的合理期限内怠于整改，则甲方有权委托第三方主体予以实施该等整改，相关整改费用由乙方承担，甲方有权直接从应支付的污水处理服务费中进行相应扣除。</w:t>
      </w:r>
    </w:p>
    <w:p w14:paraId="125517B9">
      <w:pPr>
        <w:widowControl/>
        <w:numPr>
          <w:ilvl w:val="0"/>
          <w:numId w:val="0"/>
        </w:numPr>
        <w:adjustRightInd/>
        <w:snapToGrid/>
        <w:spacing w:before="0" w:beforeLines="0" w:after="0" w:afterLines="0" w:line="360" w:lineRule="auto"/>
        <w:ind w:firstLine="560" w:firstLineChars="200"/>
        <w:jc w:val="both"/>
        <w:outlineLvl w:val="1"/>
        <w:rPr>
          <w:rFonts w:hint="eastAsia" w:ascii="Times New Roman" w:hAnsi="Times New Roman" w:eastAsia="方正黑体_GBK" w:cs="方正黑体_GBK"/>
          <w:b w:val="0"/>
          <w:bCs/>
          <w:color w:val="auto"/>
          <w:kern w:val="2"/>
          <w:sz w:val="28"/>
          <w:szCs w:val="28"/>
          <w:highlight w:val="none"/>
          <w:lang w:val="en-US" w:eastAsia="zh-CN" w:bidi="ar-SA"/>
        </w:rPr>
      </w:pPr>
      <w:bookmarkStart w:id="234" w:name="_Toc22868"/>
      <w:r>
        <w:rPr>
          <w:rFonts w:hint="eastAsia" w:ascii="Times New Roman" w:hAnsi="Times New Roman" w:eastAsia="方正黑体_GBK" w:cs="方正黑体_GBK"/>
          <w:b w:val="0"/>
          <w:bCs/>
          <w:color w:val="auto"/>
          <w:kern w:val="2"/>
          <w:sz w:val="28"/>
          <w:szCs w:val="28"/>
          <w:highlight w:val="none"/>
          <w:lang w:val="en-US" w:eastAsia="zh-CN" w:bidi="ar-SA"/>
        </w:rPr>
        <w:t>第31条 项目设施的大修</w:t>
      </w:r>
      <w:bookmarkEnd w:id="234"/>
    </w:p>
    <w:p w14:paraId="40063178">
      <w:pPr>
        <w:widowControl/>
        <w:numPr>
          <w:ilvl w:val="2"/>
          <w:numId w:val="0"/>
        </w:numPr>
        <w:adjustRightInd w:val="0"/>
        <w:snapToGrid w:val="0"/>
        <w:spacing w:before="0" w:beforeLines="0" w:after="0" w:afterLines="0" w:line="360" w:lineRule="auto"/>
        <w:ind w:firstLine="480" w:firstLineChars="200"/>
        <w:outlineLvl w:val="2"/>
        <w:rPr>
          <w:rFonts w:hint="eastAsia" w:ascii="Times New Roman" w:hAnsi="Times New Roman" w:eastAsia="方正仿宋_GBK" w:cs="Times New Roman"/>
          <w:b w:val="0"/>
          <w:bCs/>
          <w:color w:val="auto"/>
          <w:kern w:val="2"/>
          <w:sz w:val="24"/>
          <w:szCs w:val="24"/>
          <w:highlight w:val="none"/>
          <w:lang w:val="en-US" w:eastAsia="zh-CN" w:bidi="ar-SA"/>
        </w:rPr>
      </w:pPr>
      <w:bookmarkStart w:id="235" w:name="art8_4_1"/>
      <w:r>
        <w:rPr>
          <w:rFonts w:hint="eastAsia" w:ascii="Times New Roman" w:hAnsi="Times New Roman" w:eastAsia="方正仿宋_GBK" w:cs="Times New Roman"/>
          <w:b w:val="0"/>
          <w:bCs/>
          <w:color w:val="auto"/>
          <w:kern w:val="2"/>
          <w:sz w:val="24"/>
          <w:szCs w:val="24"/>
          <w:highlight w:val="none"/>
          <w:lang w:val="en-US" w:eastAsia="zh-CN" w:bidi="ar-SA"/>
        </w:rPr>
        <w:t>1.除非本协议有特别的约定，在整个特许经营期限内，乙方应当按照本协议的</w:t>
      </w:r>
      <w:bookmarkEnd w:id="235"/>
      <w:r>
        <w:rPr>
          <w:rFonts w:hint="eastAsia" w:ascii="Times New Roman" w:hAnsi="Times New Roman" w:eastAsia="方正仿宋_GBK" w:cs="Times New Roman"/>
          <w:b w:val="0"/>
          <w:bCs/>
          <w:color w:val="auto"/>
          <w:kern w:val="2"/>
          <w:sz w:val="24"/>
          <w:szCs w:val="24"/>
          <w:highlight w:val="none"/>
          <w:lang w:val="en-US" w:eastAsia="zh-CN" w:bidi="ar-SA"/>
        </w:rPr>
        <w:t>约定对项目设施进行大修，并承担因此发生的所有费用。</w:t>
      </w:r>
    </w:p>
    <w:p w14:paraId="0C25A704">
      <w:pPr>
        <w:widowControl/>
        <w:numPr>
          <w:ilvl w:val="2"/>
          <w:numId w:val="0"/>
        </w:numPr>
        <w:adjustRightInd w:val="0"/>
        <w:snapToGrid w:val="0"/>
        <w:spacing w:before="0" w:beforeLines="0" w:after="0" w:afterLines="0" w:line="360" w:lineRule="auto"/>
        <w:ind w:firstLine="480" w:firstLineChars="200"/>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2.乙方应当在计划检修前三十日报甲方具体的检修时间安排。</w:t>
      </w:r>
    </w:p>
    <w:p w14:paraId="0D447B55">
      <w:pPr>
        <w:widowControl/>
        <w:numPr>
          <w:ilvl w:val="2"/>
          <w:numId w:val="0"/>
        </w:numPr>
        <w:adjustRightInd w:val="0"/>
        <w:snapToGrid w:val="0"/>
        <w:spacing w:before="0" w:beforeLines="0" w:after="0" w:afterLines="0" w:line="360" w:lineRule="auto"/>
        <w:ind w:firstLine="480" w:firstLineChars="200"/>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3.在特许经营期限内，乙方应根据年度经营计划中的维护及大修更新计划及检修和维护手册的规定，对项目设施定期进行大修。大修项目包括但不限于：</w:t>
      </w:r>
    </w:p>
    <w:p w14:paraId="4BD317DB">
      <w:pPr>
        <w:widowControl/>
        <w:numPr>
          <w:ilvl w:val="2"/>
          <w:numId w:val="0"/>
        </w:numPr>
        <w:adjustRightInd w:val="0"/>
        <w:snapToGrid w:val="0"/>
        <w:spacing w:before="0" w:beforeLines="0" w:after="0" w:afterLines="0" w:line="360" w:lineRule="auto"/>
        <w:ind w:firstLine="480" w:firstLineChars="200"/>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i w:val="0"/>
          <w:iCs w:val="0"/>
          <w:caps w:val="0"/>
          <w:smallCaps w:val="0"/>
          <w:strike w:val="0"/>
          <w:dstrike w:val="0"/>
          <w:snapToGrid/>
          <w:vanish w:val="0"/>
          <w:color w:val="auto"/>
          <w:spacing w:val="0"/>
          <w:w w:val="100"/>
          <w:kern w:val="2"/>
          <w:position w:val="0"/>
          <w:sz w:val="24"/>
          <w:szCs w:val="24"/>
          <w:highlight w:val="none"/>
          <w:u w:val="none"/>
          <w:vertAlign w:val="baseline"/>
          <w:lang w:val="en-US" w:eastAsia="zh-CN" w:bidi="ar-SA"/>
        </w:rPr>
        <w:t>（1）</w:t>
      </w:r>
      <w:r>
        <w:rPr>
          <w:rFonts w:hint="eastAsia" w:ascii="Times New Roman" w:hAnsi="Times New Roman" w:eastAsia="方正仿宋_GBK" w:cs="Times New Roman"/>
          <w:b w:val="0"/>
          <w:bCs/>
          <w:color w:val="auto"/>
          <w:kern w:val="2"/>
          <w:sz w:val="24"/>
          <w:szCs w:val="24"/>
          <w:highlight w:val="none"/>
          <w:lang w:val="en-US" w:eastAsia="zh-CN" w:bidi="ar-SA"/>
        </w:rPr>
        <w:t>本项目设施制造厂商维修手册中提出的标准项目；</w:t>
      </w:r>
    </w:p>
    <w:p w14:paraId="3C2EB4C0">
      <w:pPr>
        <w:widowControl/>
        <w:numPr>
          <w:ilvl w:val="2"/>
          <w:numId w:val="0"/>
        </w:numPr>
        <w:adjustRightInd w:val="0"/>
        <w:snapToGrid w:val="0"/>
        <w:spacing w:before="0" w:beforeLines="0" w:after="0" w:afterLines="0" w:line="360" w:lineRule="auto"/>
        <w:ind w:firstLine="480" w:firstLineChars="200"/>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i w:val="0"/>
          <w:iCs w:val="0"/>
          <w:caps w:val="0"/>
          <w:smallCaps w:val="0"/>
          <w:strike w:val="0"/>
          <w:dstrike w:val="0"/>
          <w:snapToGrid/>
          <w:vanish w:val="0"/>
          <w:color w:val="auto"/>
          <w:spacing w:val="0"/>
          <w:w w:val="100"/>
          <w:kern w:val="2"/>
          <w:position w:val="0"/>
          <w:sz w:val="24"/>
          <w:szCs w:val="24"/>
          <w:highlight w:val="none"/>
          <w:u w:val="none"/>
          <w:vertAlign w:val="baseline"/>
          <w:lang w:val="en-US" w:eastAsia="zh-CN" w:bidi="ar-SA"/>
        </w:rPr>
        <w:t>（2）</w:t>
      </w:r>
      <w:r>
        <w:rPr>
          <w:rFonts w:hint="eastAsia" w:ascii="Times New Roman" w:hAnsi="Times New Roman" w:eastAsia="方正仿宋_GBK" w:cs="Times New Roman"/>
          <w:b w:val="0"/>
          <w:bCs/>
          <w:color w:val="auto"/>
          <w:kern w:val="2"/>
          <w:sz w:val="24"/>
          <w:szCs w:val="24"/>
          <w:highlight w:val="none"/>
          <w:lang w:val="en-US" w:eastAsia="zh-CN" w:bidi="ar-SA"/>
        </w:rPr>
        <w:t>消除项目设施实际存在的重大缺陷；</w:t>
      </w:r>
    </w:p>
    <w:p w14:paraId="450A33B8">
      <w:pPr>
        <w:widowControl/>
        <w:numPr>
          <w:ilvl w:val="2"/>
          <w:numId w:val="0"/>
        </w:numPr>
        <w:adjustRightInd w:val="0"/>
        <w:snapToGrid w:val="0"/>
        <w:spacing w:before="0" w:beforeLines="0" w:after="0" w:afterLines="0" w:line="360" w:lineRule="auto"/>
        <w:ind w:firstLine="480" w:firstLineChars="200"/>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i w:val="0"/>
          <w:iCs w:val="0"/>
          <w:caps w:val="0"/>
          <w:smallCaps w:val="0"/>
          <w:strike w:val="0"/>
          <w:dstrike w:val="0"/>
          <w:snapToGrid/>
          <w:vanish w:val="0"/>
          <w:color w:val="auto"/>
          <w:spacing w:val="0"/>
          <w:w w:val="100"/>
          <w:kern w:val="2"/>
          <w:position w:val="0"/>
          <w:sz w:val="24"/>
          <w:szCs w:val="24"/>
          <w:highlight w:val="none"/>
          <w:u w:val="none"/>
          <w:vertAlign w:val="baseline"/>
          <w:lang w:val="en-US" w:eastAsia="zh-CN" w:bidi="ar-SA"/>
        </w:rPr>
        <w:t>（3）</w:t>
      </w:r>
      <w:r>
        <w:rPr>
          <w:rFonts w:hint="eastAsia" w:ascii="Times New Roman" w:hAnsi="Times New Roman" w:eastAsia="方正仿宋_GBK" w:cs="Times New Roman"/>
          <w:b w:val="0"/>
          <w:bCs/>
          <w:color w:val="auto"/>
          <w:kern w:val="2"/>
          <w:sz w:val="24"/>
          <w:szCs w:val="24"/>
          <w:highlight w:val="none"/>
          <w:lang w:val="en-US" w:eastAsia="zh-CN" w:bidi="ar-SA"/>
        </w:rPr>
        <w:t>有关检修、探测、检测及易损、易耗件的更换等；</w:t>
      </w:r>
    </w:p>
    <w:p w14:paraId="7521204A">
      <w:pPr>
        <w:widowControl/>
        <w:numPr>
          <w:ilvl w:val="2"/>
          <w:numId w:val="0"/>
        </w:numPr>
        <w:adjustRightInd w:val="0"/>
        <w:snapToGrid w:val="0"/>
        <w:spacing w:before="0" w:beforeLines="0" w:after="0" w:afterLines="0" w:line="360" w:lineRule="auto"/>
        <w:ind w:firstLine="480" w:firstLineChars="200"/>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i w:val="0"/>
          <w:iCs w:val="0"/>
          <w:caps w:val="0"/>
          <w:smallCaps w:val="0"/>
          <w:strike w:val="0"/>
          <w:dstrike w:val="0"/>
          <w:snapToGrid/>
          <w:vanish w:val="0"/>
          <w:color w:val="auto"/>
          <w:spacing w:val="0"/>
          <w:w w:val="100"/>
          <w:kern w:val="2"/>
          <w:position w:val="0"/>
          <w:sz w:val="24"/>
          <w:szCs w:val="24"/>
          <w:highlight w:val="none"/>
          <w:u w:val="none"/>
          <w:vertAlign w:val="baseline"/>
          <w:lang w:val="en-US" w:eastAsia="zh-CN" w:bidi="ar-SA"/>
        </w:rPr>
        <w:t>（4）</w:t>
      </w:r>
      <w:r>
        <w:rPr>
          <w:rFonts w:hint="eastAsia" w:ascii="Times New Roman" w:hAnsi="Times New Roman" w:eastAsia="方正仿宋_GBK" w:cs="Times New Roman"/>
          <w:b w:val="0"/>
          <w:bCs/>
          <w:color w:val="auto"/>
          <w:kern w:val="2"/>
          <w:sz w:val="24"/>
          <w:szCs w:val="24"/>
          <w:highlight w:val="none"/>
          <w:lang w:val="en-US" w:eastAsia="zh-CN" w:bidi="ar-SA"/>
        </w:rPr>
        <w:t>其他必须的项目。</w:t>
      </w:r>
    </w:p>
    <w:p w14:paraId="26E2C781">
      <w:pPr>
        <w:widowControl/>
        <w:numPr>
          <w:ilvl w:val="2"/>
          <w:numId w:val="0"/>
        </w:numPr>
        <w:adjustRightInd w:val="0"/>
        <w:snapToGrid w:val="0"/>
        <w:spacing w:before="0" w:beforeLines="0" w:after="0" w:afterLines="0" w:line="360" w:lineRule="auto"/>
        <w:ind w:firstLine="480" w:firstLineChars="200"/>
        <w:jc w:val="both"/>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4.乙方在本项目特许经营期限内依据上述</w:t>
      </w:r>
      <w:r>
        <w:rPr>
          <w:rFonts w:hint="eastAsia" w:ascii="Times New Roman" w:hAnsi="Times New Roman" w:eastAsia="方正仿宋_GBK" w:cs="Times New Roman"/>
          <w:b w:val="0"/>
          <w:bCs/>
          <w:color w:val="auto"/>
          <w:kern w:val="2"/>
          <w:sz w:val="24"/>
          <w:szCs w:val="24"/>
          <w:highlight w:val="none"/>
          <w:u w:val="none"/>
          <w:lang w:val="en-US" w:eastAsia="zh-CN" w:bidi="ar-SA"/>
        </w:rPr>
        <w:fldChar w:fldCharType="begin"/>
      </w:r>
      <w:r>
        <w:rPr>
          <w:rFonts w:hint="eastAsia" w:ascii="Times New Roman" w:hAnsi="Times New Roman" w:eastAsia="方正仿宋_GBK" w:cs="Times New Roman"/>
          <w:b w:val="0"/>
          <w:bCs/>
          <w:color w:val="auto"/>
          <w:kern w:val="2"/>
          <w:sz w:val="24"/>
          <w:szCs w:val="24"/>
          <w:highlight w:val="none"/>
          <w:u w:val="none"/>
          <w:lang w:val="en-US" w:eastAsia="zh-CN" w:bidi="ar-SA"/>
        </w:rPr>
        <w:instrText xml:space="preserve">HYPERLINK  \l "art8_4_1" \o "art8.4.1"</w:instrText>
      </w:r>
      <w:r>
        <w:rPr>
          <w:rFonts w:hint="eastAsia" w:ascii="Times New Roman" w:hAnsi="Times New Roman" w:eastAsia="方正仿宋_GBK" w:cs="Times New Roman"/>
          <w:b w:val="0"/>
          <w:bCs/>
          <w:color w:val="auto"/>
          <w:kern w:val="2"/>
          <w:sz w:val="24"/>
          <w:szCs w:val="24"/>
          <w:highlight w:val="none"/>
          <w:u w:val="none"/>
          <w:lang w:val="en-US" w:eastAsia="zh-CN" w:bidi="ar-SA"/>
        </w:rPr>
        <w:fldChar w:fldCharType="separate"/>
      </w:r>
      <w:r>
        <w:rPr>
          <w:rFonts w:hint="eastAsia" w:ascii="Times New Roman" w:hAnsi="Times New Roman" w:eastAsia="方正仿宋_GBK" w:cs="Times New Roman"/>
          <w:b w:val="0"/>
          <w:bCs/>
          <w:color w:val="auto"/>
          <w:kern w:val="2"/>
          <w:sz w:val="24"/>
          <w:szCs w:val="24"/>
          <w:highlight w:val="none"/>
          <w:u w:val="none"/>
          <w:lang w:val="en-US" w:eastAsia="zh-CN" w:bidi="ar-SA"/>
        </w:rPr>
        <w:t>第31条</w:t>
      </w:r>
      <w:r>
        <w:rPr>
          <w:rFonts w:hint="eastAsia" w:ascii="Times New Roman" w:hAnsi="Times New Roman" w:eastAsia="方正仿宋_GBK" w:cs="Times New Roman"/>
          <w:b w:val="0"/>
          <w:bCs/>
          <w:color w:val="auto"/>
          <w:kern w:val="2"/>
          <w:sz w:val="24"/>
          <w:szCs w:val="24"/>
          <w:highlight w:val="none"/>
          <w:u w:val="none"/>
          <w:lang w:val="en-US" w:eastAsia="zh-CN" w:bidi="ar-SA"/>
        </w:rPr>
        <w:fldChar w:fldCharType="end"/>
      </w:r>
      <w:r>
        <w:rPr>
          <w:rFonts w:hint="eastAsia" w:ascii="Times New Roman" w:hAnsi="Times New Roman" w:eastAsia="方正仿宋_GBK" w:cs="Times New Roman"/>
          <w:b w:val="0"/>
          <w:bCs/>
          <w:color w:val="auto"/>
          <w:kern w:val="2"/>
          <w:sz w:val="24"/>
          <w:szCs w:val="24"/>
          <w:highlight w:val="none"/>
          <w:u w:val="none"/>
          <w:lang w:val="en-US" w:eastAsia="zh-CN" w:bidi="ar-SA"/>
        </w:rPr>
        <w:t>第3点</w:t>
      </w:r>
      <w:r>
        <w:rPr>
          <w:rFonts w:hint="eastAsia" w:ascii="Times New Roman" w:hAnsi="Times New Roman" w:eastAsia="方正仿宋_GBK" w:cs="Times New Roman"/>
          <w:b w:val="0"/>
          <w:bCs/>
          <w:color w:val="auto"/>
          <w:kern w:val="2"/>
          <w:sz w:val="24"/>
          <w:szCs w:val="24"/>
          <w:highlight w:val="none"/>
          <w:lang w:val="en-US" w:eastAsia="zh-CN" w:bidi="ar-SA"/>
        </w:rPr>
        <w:t>约定进行大修的项目设施，属于本协议项下的项目设施，其所有权归政府方所有，乙方对该等项目设施的使用限制，适用本协议</w:t>
      </w:r>
      <w:r>
        <w:rPr>
          <w:rFonts w:hint="eastAsia" w:ascii="Times New Roman" w:hAnsi="Times New Roman" w:eastAsia="方正仿宋_GBK" w:cs="Times New Roman"/>
          <w:b w:val="0"/>
          <w:bCs/>
          <w:color w:val="auto"/>
          <w:kern w:val="2"/>
          <w:sz w:val="24"/>
          <w:szCs w:val="24"/>
          <w:highlight w:val="none"/>
          <w:u w:val="none"/>
          <w:lang w:val="en-US" w:eastAsia="zh-CN" w:bidi="ar-SA"/>
        </w:rPr>
        <w:fldChar w:fldCharType="begin"/>
      </w:r>
      <w:r>
        <w:rPr>
          <w:rFonts w:hint="eastAsia" w:ascii="Times New Roman" w:hAnsi="Times New Roman" w:eastAsia="方正仿宋_GBK" w:cs="Times New Roman"/>
          <w:b w:val="0"/>
          <w:bCs/>
          <w:color w:val="auto"/>
          <w:kern w:val="2"/>
          <w:sz w:val="24"/>
          <w:szCs w:val="24"/>
          <w:highlight w:val="none"/>
          <w:u w:val="none"/>
          <w:lang w:val="en-US" w:eastAsia="zh-CN" w:bidi="ar-SA"/>
        </w:rPr>
        <w:instrText xml:space="preserve"> HYPERLINK  \l "art7_4" </w:instrText>
      </w:r>
      <w:r>
        <w:rPr>
          <w:rFonts w:hint="eastAsia" w:ascii="Times New Roman" w:hAnsi="Times New Roman" w:eastAsia="方正仿宋_GBK" w:cs="Times New Roman"/>
          <w:b w:val="0"/>
          <w:bCs/>
          <w:color w:val="auto"/>
          <w:kern w:val="2"/>
          <w:sz w:val="24"/>
          <w:szCs w:val="24"/>
          <w:highlight w:val="none"/>
          <w:u w:val="none"/>
          <w:lang w:val="en-US" w:eastAsia="zh-CN" w:bidi="ar-SA"/>
        </w:rPr>
        <w:fldChar w:fldCharType="separate"/>
      </w:r>
      <w:r>
        <w:rPr>
          <w:rFonts w:hint="eastAsia" w:ascii="Times New Roman" w:hAnsi="Times New Roman" w:eastAsia="方正仿宋_GBK" w:cs="Times New Roman"/>
          <w:b w:val="0"/>
          <w:bCs/>
          <w:color w:val="auto"/>
          <w:kern w:val="2"/>
          <w:sz w:val="24"/>
          <w:szCs w:val="24"/>
          <w:highlight w:val="none"/>
          <w:u w:val="none"/>
          <w:lang w:val="en-US" w:eastAsia="zh-CN" w:bidi="ar-SA"/>
        </w:rPr>
        <w:t>第17条</w:t>
      </w:r>
      <w:r>
        <w:rPr>
          <w:rFonts w:hint="eastAsia" w:ascii="Times New Roman" w:hAnsi="Times New Roman" w:eastAsia="方正仿宋_GBK" w:cs="Times New Roman"/>
          <w:b w:val="0"/>
          <w:bCs/>
          <w:color w:val="auto"/>
          <w:kern w:val="2"/>
          <w:sz w:val="24"/>
          <w:szCs w:val="24"/>
          <w:highlight w:val="none"/>
          <w:u w:val="none"/>
          <w:lang w:val="en-US" w:eastAsia="zh-CN" w:bidi="ar-SA"/>
        </w:rPr>
        <w:fldChar w:fldCharType="end"/>
      </w:r>
      <w:r>
        <w:rPr>
          <w:rFonts w:hint="eastAsia" w:ascii="Times New Roman" w:hAnsi="Times New Roman" w:eastAsia="方正仿宋_GBK" w:cs="Times New Roman"/>
          <w:b w:val="0"/>
          <w:bCs/>
          <w:color w:val="auto"/>
          <w:kern w:val="2"/>
          <w:sz w:val="24"/>
          <w:szCs w:val="24"/>
          <w:highlight w:val="none"/>
          <w:lang w:val="en-US" w:eastAsia="zh-CN" w:bidi="ar-SA"/>
        </w:rPr>
        <w:t>的约定。</w:t>
      </w:r>
    </w:p>
    <w:p w14:paraId="71CB61C7">
      <w:pPr>
        <w:widowControl/>
        <w:numPr>
          <w:ilvl w:val="2"/>
          <w:numId w:val="0"/>
        </w:numPr>
        <w:adjustRightInd w:val="0"/>
        <w:snapToGrid w:val="0"/>
        <w:spacing w:before="0" w:beforeLines="0" w:after="0" w:afterLines="0" w:line="360" w:lineRule="auto"/>
        <w:ind w:firstLine="480" w:firstLineChars="200"/>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5.大修后，乙方应当对相应的技术文件进行存档保管并同时报甲方备案。</w:t>
      </w:r>
    </w:p>
    <w:p w14:paraId="2D846ACD">
      <w:pPr>
        <w:widowControl/>
        <w:numPr>
          <w:ilvl w:val="0"/>
          <w:numId w:val="0"/>
        </w:numPr>
        <w:adjustRightInd/>
        <w:snapToGrid/>
        <w:spacing w:before="0" w:beforeLines="0" w:after="0" w:afterLines="0" w:line="360" w:lineRule="auto"/>
        <w:ind w:firstLine="560" w:firstLineChars="200"/>
        <w:jc w:val="both"/>
        <w:outlineLvl w:val="1"/>
        <w:rPr>
          <w:rFonts w:hint="eastAsia" w:ascii="Times New Roman" w:hAnsi="Times New Roman" w:eastAsia="方正黑体_GBK" w:cs="方正黑体_GBK"/>
          <w:b w:val="0"/>
          <w:bCs/>
          <w:color w:val="auto"/>
          <w:kern w:val="2"/>
          <w:sz w:val="28"/>
          <w:szCs w:val="28"/>
          <w:highlight w:val="none"/>
          <w:lang w:val="en-US" w:eastAsia="zh-CN" w:bidi="ar-SA"/>
        </w:rPr>
      </w:pPr>
      <w:bookmarkStart w:id="236" w:name="_Toc419709707"/>
      <w:bookmarkStart w:id="237" w:name="_Toc7455"/>
      <w:bookmarkStart w:id="238" w:name="_Toc246673018"/>
      <w:r>
        <w:rPr>
          <w:rFonts w:hint="eastAsia" w:ascii="Times New Roman" w:hAnsi="Times New Roman" w:eastAsia="方正黑体_GBK" w:cs="方正黑体_GBK"/>
          <w:b w:val="0"/>
          <w:bCs/>
          <w:color w:val="auto"/>
          <w:kern w:val="2"/>
          <w:sz w:val="28"/>
          <w:szCs w:val="28"/>
          <w:highlight w:val="none"/>
          <w:lang w:val="en-US" w:eastAsia="zh-CN" w:bidi="ar-SA"/>
        </w:rPr>
        <w:t>第32条 项目设施的重置</w:t>
      </w:r>
      <w:bookmarkEnd w:id="236"/>
      <w:bookmarkEnd w:id="237"/>
      <w:bookmarkEnd w:id="238"/>
    </w:p>
    <w:p w14:paraId="6F052AD3">
      <w:pPr>
        <w:widowControl/>
        <w:numPr>
          <w:ilvl w:val="2"/>
          <w:numId w:val="0"/>
        </w:numPr>
        <w:adjustRightInd w:val="0"/>
        <w:snapToGrid w:val="0"/>
        <w:spacing w:before="0" w:beforeLines="0" w:after="0" w:afterLines="0" w:line="360" w:lineRule="auto"/>
        <w:ind w:firstLine="480" w:firstLineChars="200"/>
        <w:jc w:val="both"/>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i w:val="0"/>
          <w:iCs w:val="0"/>
          <w:caps w:val="0"/>
          <w:smallCaps w:val="0"/>
          <w:strike w:val="0"/>
          <w:dstrike w:val="0"/>
          <w:vanish w:val="0"/>
          <w:color w:val="auto"/>
          <w:spacing w:val="0"/>
          <w:kern w:val="2"/>
          <w:position w:val="0"/>
          <w:sz w:val="24"/>
          <w:szCs w:val="24"/>
          <w:highlight w:val="none"/>
          <w:u w:val="none"/>
          <w:vertAlign w:val="baseline"/>
          <w:lang w:val="en-US" w:eastAsia="zh-CN" w:bidi="ar-SA"/>
        </w:rPr>
        <w:t>1.</w:t>
      </w:r>
      <w:r>
        <w:rPr>
          <w:rFonts w:hint="eastAsia" w:ascii="Times New Roman" w:hAnsi="Times New Roman" w:eastAsia="方正仿宋_GBK" w:cs="Times New Roman"/>
          <w:b w:val="0"/>
          <w:bCs/>
          <w:color w:val="auto"/>
          <w:kern w:val="2"/>
          <w:sz w:val="24"/>
          <w:szCs w:val="24"/>
          <w:highlight w:val="none"/>
          <w:lang w:val="en-US" w:eastAsia="zh-CN" w:bidi="ar-SA"/>
        </w:rPr>
        <w:t>在特许经营期限内，乙方按照污水处理设施设备、管网及泵站的生命周期，应在项目特许经营期内合理安排设备重置工作，以保证污水处理厂设施的持续运转。</w:t>
      </w:r>
    </w:p>
    <w:p w14:paraId="26B6318A">
      <w:pPr>
        <w:widowControl/>
        <w:numPr>
          <w:ilvl w:val="2"/>
          <w:numId w:val="0"/>
        </w:numPr>
        <w:adjustRightInd w:val="0"/>
        <w:snapToGrid w:val="0"/>
        <w:spacing w:before="0" w:beforeLines="0" w:after="0" w:afterLines="0" w:line="360" w:lineRule="auto"/>
        <w:ind w:firstLine="480" w:firstLineChars="200"/>
        <w:jc w:val="both"/>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i w:val="0"/>
          <w:iCs w:val="0"/>
          <w:caps w:val="0"/>
          <w:smallCaps w:val="0"/>
          <w:strike w:val="0"/>
          <w:dstrike w:val="0"/>
          <w:vanish w:val="0"/>
          <w:color w:val="auto"/>
          <w:spacing w:val="0"/>
          <w:kern w:val="2"/>
          <w:position w:val="0"/>
          <w:sz w:val="24"/>
          <w:szCs w:val="24"/>
          <w:highlight w:val="none"/>
          <w:u w:val="none"/>
          <w:vertAlign w:val="baseline"/>
          <w:lang w:val="en-US" w:eastAsia="zh-CN" w:bidi="ar-SA"/>
        </w:rPr>
        <w:t>2.</w:t>
      </w:r>
      <w:r>
        <w:rPr>
          <w:rFonts w:hint="eastAsia" w:ascii="Times New Roman" w:hAnsi="Times New Roman" w:eastAsia="方正仿宋_GBK" w:cs="Times New Roman"/>
          <w:b w:val="0"/>
          <w:bCs/>
          <w:color w:val="auto"/>
          <w:kern w:val="2"/>
          <w:sz w:val="24"/>
          <w:szCs w:val="24"/>
          <w:highlight w:val="none"/>
          <w:lang w:val="en-US" w:eastAsia="zh-CN" w:bidi="ar-SA"/>
        </w:rPr>
        <w:t>乙方为该等重置所采购的设备应当符合污水处理厂对届时的污水处理容量和处理标准的要求，且不低于原有设备和设施的性能和技术指标。乙方在实施该等重置前一个运营年度，编制《更新重置和追加投资计划》，包括拟采购设备的规格、型号、价格和性能等情况，书面向实施机构和区财政局报批《更新重置和追加投资计划》，经甲方和区财政局审核同意后方可实施，相关费用由甲方报财政纳入预算安排。</w:t>
      </w:r>
    </w:p>
    <w:p w14:paraId="3728FFB4">
      <w:pPr>
        <w:widowControl/>
        <w:numPr>
          <w:ilvl w:val="2"/>
          <w:numId w:val="0"/>
        </w:numPr>
        <w:adjustRightInd w:val="0"/>
        <w:snapToGrid w:val="0"/>
        <w:spacing w:before="0" w:beforeLines="0" w:after="0" w:afterLines="0" w:line="360" w:lineRule="auto"/>
        <w:ind w:firstLine="480"/>
        <w:jc w:val="both"/>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3.在批复的《更新重置和追加投资计划》约定的预算范围内，由乙方通过合理招标方式组织实施，在招标前，招标文件应当报甲方同意，并在甲方监管下组织招标。</w:t>
      </w:r>
    </w:p>
    <w:p w14:paraId="3D2E6583">
      <w:pPr>
        <w:widowControl/>
        <w:numPr>
          <w:ilvl w:val="2"/>
          <w:numId w:val="0"/>
        </w:numPr>
        <w:adjustRightInd w:val="0"/>
        <w:snapToGrid w:val="0"/>
        <w:spacing w:before="0" w:beforeLines="0" w:after="0" w:afterLines="0" w:line="360" w:lineRule="auto"/>
        <w:ind w:firstLine="480"/>
        <w:jc w:val="both"/>
        <w:outlineLvl w:val="2"/>
        <w:rPr>
          <w:rFonts w:hint="default"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4.重置后，乙方应对相应的技术文件进行存档并妥善保管，并经甲方验收审计后，支付相关资金。</w:t>
      </w:r>
    </w:p>
    <w:p w14:paraId="085F5F53">
      <w:pPr>
        <w:widowControl/>
        <w:numPr>
          <w:ilvl w:val="2"/>
          <w:numId w:val="0"/>
        </w:numPr>
        <w:adjustRightInd w:val="0"/>
        <w:snapToGrid w:val="0"/>
        <w:spacing w:before="0" w:beforeLines="0" w:after="0" w:afterLines="0" w:line="360" w:lineRule="auto"/>
        <w:ind w:firstLine="480" w:firstLineChars="200"/>
        <w:jc w:val="both"/>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i w:val="0"/>
          <w:iCs w:val="0"/>
          <w:caps w:val="0"/>
          <w:smallCaps w:val="0"/>
          <w:strike w:val="0"/>
          <w:dstrike w:val="0"/>
          <w:vanish w:val="0"/>
          <w:color w:val="auto"/>
          <w:spacing w:val="0"/>
          <w:kern w:val="2"/>
          <w:position w:val="0"/>
          <w:sz w:val="24"/>
          <w:szCs w:val="24"/>
          <w:highlight w:val="none"/>
          <w:u w:val="none"/>
          <w:vertAlign w:val="baseline"/>
          <w:lang w:val="en-US" w:eastAsia="zh-CN" w:bidi="ar-SA"/>
        </w:rPr>
        <w:t>5.</w:t>
      </w:r>
      <w:r>
        <w:rPr>
          <w:rFonts w:hint="eastAsia" w:ascii="Times New Roman" w:hAnsi="Times New Roman" w:eastAsia="方正仿宋_GBK" w:cs="Times New Roman"/>
          <w:b w:val="0"/>
          <w:bCs/>
          <w:color w:val="auto"/>
          <w:kern w:val="2"/>
          <w:sz w:val="24"/>
          <w:szCs w:val="24"/>
          <w:highlight w:val="none"/>
          <w:lang w:val="en-US" w:eastAsia="zh-CN" w:bidi="ar-SA"/>
        </w:rPr>
        <w:t>乙方在本项目特许经营期限内依据上述</w:t>
      </w:r>
      <w:r>
        <w:rPr>
          <w:rFonts w:hint="eastAsia" w:ascii="Times New Roman" w:hAnsi="Times New Roman" w:eastAsia="方正仿宋_GBK" w:cs="Times New Roman"/>
          <w:b w:val="0"/>
          <w:bCs/>
          <w:color w:val="auto"/>
          <w:kern w:val="2"/>
          <w:sz w:val="24"/>
          <w:szCs w:val="24"/>
          <w:highlight w:val="none"/>
          <w:u w:val="none"/>
          <w:lang w:val="en-US" w:eastAsia="zh-CN" w:bidi="ar-SA"/>
        </w:rPr>
        <w:fldChar w:fldCharType="begin"/>
      </w:r>
      <w:r>
        <w:rPr>
          <w:rFonts w:hint="eastAsia" w:ascii="Times New Roman" w:hAnsi="Times New Roman" w:eastAsia="方正仿宋_GBK" w:cs="Times New Roman"/>
          <w:b w:val="0"/>
          <w:bCs/>
          <w:color w:val="auto"/>
          <w:kern w:val="2"/>
          <w:sz w:val="24"/>
          <w:szCs w:val="24"/>
          <w:highlight w:val="none"/>
          <w:u w:val="none"/>
          <w:lang w:val="en-US" w:eastAsia="zh-CN" w:bidi="ar-SA"/>
        </w:rPr>
        <w:instrText xml:space="preserve"> HYPERLINK  \l "art8_4_1" \o "art8.4.1" </w:instrText>
      </w:r>
      <w:r>
        <w:rPr>
          <w:rFonts w:hint="eastAsia" w:ascii="Times New Roman" w:hAnsi="Times New Roman" w:eastAsia="方正仿宋_GBK" w:cs="Times New Roman"/>
          <w:b w:val="0"/>
          <w:bCs/>
          <w:color w:val="auto"/>
          <w:kern w:val="2"/>
          <w:sz w:val="24"/>
          <w:szCs w:val="24"/>
          <w:highlight w:val="none"/>
          <w:u w:val="none"/>
          <w:lang w:val="en-US" w:eastAsia="zh-CN" w:bidi="ar-SA"/>
        </w:rPr>
        <w:fldChar w:fldCharType="separate"/>
      </w:r>
      <w:r>
        <w:rPr>
          <w:rFonts w:hint="eastAsia" w:ascii="Times New Roman" w:hAnsi="Times New Roman" w:eastAsia="方正仿宋_GBK" w:cs="Times New Roman"/>
          <w:b w:val="0"/>
          <w:bCs/>
          <w:color w:val="auto"/>
          <w:kern w:val="2"/>
          <w:sz w:val="24"/>
          <w:szCs w:val="24"/>
          <w:highlight w:val="none"/>
          <w:u w:val="none"/>
          <w:lang w:val="en-US" w:eastAsia="zh-CN" w:bidi="ar-SA"/>
        </w:rPr>
        <w:t>第32条</w:t>
      </w:r>
      <w:r>
        <w:rPr>
          <w:rFonts w:hint="eastAsia" w:ascii="Times New Roman" w:hAnsi="Times New Roman" w:eastAsia="方正仿宋_GBK" w:cs="Times New Roman"/>
          <w:b w:val="0"/>
          <w:bCs/>
          <w:color w:val="auto"/>
          <w:kern w:val="2"/>
          <w:sz w:val="24"/>
          <w:szCs w:val="24"/>
          <w:highlight w:val="none"/>
          <w:u w:val="none"/>
          <w:lang w:val="en-US" w:eastAsia="zh-CN" w:bidi="ar-SA"/>
        </w:rPr>
        <w:fldChar w:fldCharType="end"/>
      </w:r>
      <w:r>
        <w:rPr>
          <w:rFonts w:hint="eastAsia" w:ascii="Times New Roman" w:hAnsi="Times New Roman" w:eastAsia="方正仿宋_GBK" w:cs="Times New Roman"/>
          <w:b w:val="0"/>
          <w:bCs/>
          <w:color w:val="auto"/>
          <w:kern w:val="2"/>
          <w:sz w:val="24"/>
          <w:szCs w:val="24"/>
          <w:highlight w:val="none"/>
          <w:u w:val="none"/>
          <w:lang w:val="en-US" w:eastAsia="zh-CN" w:bidi="ar-SA"/>
        </w:rPr>
        <w:t>第2点</w:t>
      </w:r>
      <w:r>
        <w:rPr>
          <w:rFonts w:hint="eastAsia" w:ascii="Times New Roman" w:hAnsi="Times New Roman" w:eastAsia="方正仿宋_GBK" w:cs="Times New Roman"/>
          <w:b w:val="0"/>
          <w:bCs/>
          <w:color w:val="auto"/>
          <w:kern w:val="2"/>
          <w:sz w:val="24"/>
          <w:szCs w:val="24"/>
          <w:highlight w:val="none"/>
          <w:lang w:val="en-US" w:eastAsia="zh-CN" w:bidi="ar-SA"/>
        </w:rPr>
        <w:t>约定进行重置的项目设施，属于本协议项下的项目设施，其所有权归政府方所有，乙方对该等项目设施的使用限制，适用本协议</w:t>
      </w:r>
      <w:r>
        <w:rPr>
          <w:rFonts w:hint="eastAsia" w:ascii="Times New Roman" w:hAnsi="Times New Roman" w:eastAsia="方正仿宋_GBK" w:cs="Times New Roman"/>
          <w:b w:val="0"/>
          <w:bCs/>
          <w:color w:val="auto"/>
          <w:kern w:val="2"/>
          <w:sz w:val="24"/>
          <w:szCs w:val="24"/>
          <w:highlight w:val="none"/>
          <w:u w:val="none"/>
          <w:lang w:val="en-US" w:eastAsia="zh-CN" w:bidi="ar-SA"/>
        </w:rPr>
        <w:fldChar w:fldCharType="begin"/>
      </w:r>
      <w:r>
        <w:rPr>
          <w:rFonts w:hint="eastAsia" w:ascii="Times New Roman" w:hAnsi="Times New Roman" w:eastAsia="方正仿宋_GBK" w:cs="Times New Roman"/>
          <w:b w:val="0"/>
          <w:bCs/>
          <w:color w:val="auto"/>
          <w:kern w:val="2"/>
          <w:sz w:val="24"/>
          <w:szCs w:val="24"/>
          <w:highlight w:val="none"/>
          <w:u w:val="none"/>
          <w:lang w:val="en-US" w:eastAsia="zh-CN" w:bidi="ar-SA"/>
        </w:rPr>
        <w:instrText xml:space="preserve"> HYPERLINK  \l "art7_4" </w:instrText>
      </w:r>
      <w:r>
        <w:rPr>
          <w:rFonts w:hint="eastAsia" w:ascii="Times New Roman" w:hAnsi="Times New Roman" w:eastAsia="方正仿宋_GBK" w:cs="Times New Roman"/>
          <w:b w:val="0"/>
          <w:bCs/>
          <w:color w:val="auto"/>
          <w:kern w:val="2"/>
          <w:sz w:val="24"/>
          <w:szCs w:val="24"/>
          <w:highlight w:val="none"/>
          <w:u w:val="none"/>
          <w:lang w:val="en-US" w:eastAsia="zh-CN" w:bidi="ar-SA"/>
        </w:rPr>
        <w:fldChar w:fldCharType="separate"/>
      </w:r>
      <w:r>
        <w:rPr>
          <w:rFonts w:hint="eastAsia" w:ascii="Times New Roman" w:hAnsi="Times New Roman" w:eastAsia="方正仿宋_GBK" w:cs="Times New Roman"/>
          <w:b w:val="0"/>
          <w:bCs/>
          <w:color w:val="auto"/>
          <w:kern w:val="2"/>
          <w:sz w:val="24"/>
          <w:szCs w:val="24"/>
          <w:highlight w:val="none"/>
          <w:u w:val="none"/>
          <w:lang w:val="en-US" w:eastAsia="zh-CN" w:bidi="ar-SA"/>
        </w:rPr>
        <w:t>第17条</w:t>
      </w:r>
      <w:r>
        <w:rPr>
          <w:rFonts w:hint="eastAsia" w:ascii="Times New Roman" w:hAnsi="Times New Roman" w:eastAsia="方正仿宋_GBK" w:cs="Times New Roman"/>
          <w:b w:val="0"/>
          <w:bCs/>
          <w:color w:val="auto"/>
          <w:kern w:val="2"/>
          <w:sz w:val="24"/>
          <w:szCs w:val="24"/>
          <w:highlight w:val="none"/>
          <w:u w:val="none"/>
          <w:lang w:val="en-US" w:eastAsia="zh-CN" w:bidi="ar-SA"/>
        </w:rPr>
        <w:fldChar w:fldCharType="end"/>
      </w:r>
      <w:r>
        <w:rPr>
          <w:rFonts w:hint="eastAsia" w:ascii="Times New Roman" w:hAnsi="Times New Roman" w:eastAsia="方正仿宋_GBK" w:cs="Times New Roman"/>
          <w:b w:val="0"/>
          <w:bCs/>
          <w:color w:val="auto"/>
          <w:kern w:val="2"/>
          <w:sz w:val="24"/>
          <w:szCs w:val="24"/>
          <w:highlight w:val="none"/>
          <w:lang w:val="en-US" w:eastAsia="zh-CN" w:bidi="ar-SA"/>
        </w:rPr>
        <w:t>的约定。</w:t>
      </w:r>
    </w:p>
    <w:p w14:paraId="2D3B6D9F">
      <w:pPr>
        <w:widowControl/>
        <w:numPr>
          <w:ilvl w:val="0"/>
          <w:numId w:val="0"/>
        </w:numPr>
        <w:adjustRightInd/>
        <w:snapToGrid/>
        <w:spacing w:before="0" w:beforeLines="0" w:after="0" w:afterLines="0" w:line="360" w:lineRule="auto"/>
        <w:ind w:firstLine="560" w:firstLineChars="200"/>
        <w:jc w:val="both"/>
        <w:outlineLvl w:val="1"/>
        <w:rPr>
          <w:rFonts w:hint="eastAsia" w:ascii="Times New Roman" w:hAnsi="Times New Roman" w:eastAsia="方正黑体_GBK" w:cs="方正黑体_GBK"/>
          <w:b w:val="0"/>
          <w:bCs/>
          <w:color w:val="auto"/>
          <w:kern w:val="2"/>
          <w:sz w:val="28"/>
          <w:szCs w:val="28"/>
          <w:highlight w:val="none"/>
          <w:lang w:val="en-US" w:eastAsia="zh-CN" w:bidi="ar-SA"/>
        </w:rPr>
      </w:pPr>
      <w:bookmarkStart w:id="239" w:name="_Toc246673019"/>
      <w:bookmarkStart w:id="240" w:name="_Toc29384"/>
      <w:bookmarkStart w:id="241" w:name="_Toc419709705"/>
      <w:r>
        <w:rPr>
          <w:rFonts w:hint="eastAsia" w:ascii="Times New Roman" w:hAnsi="Times New Roman" w:eastAsia="方正黑体_GBK" w:cs="方正黑体_GBK"/>
          <w:b w:val="0"/>
          <w:bCs/>
          <w:i w:val="0"/>
          <w:iCs w:val="0"/>
          <w:caps w:val="0"/>
          <w:smallCaps w:val="0"/>
          <w:strike w:val="0"/>
          <w:dstrike w:val="0"/>
          <w:vanish w:val="0"/>
          <w:color w:val="auto"/>
          <w:spacing w:val="0"/>
          <w:kern w:val="2"/>
          <w:position w:val="0"/>
          <w:sz w:val="28"/>
          <w:szCs w:val="28"/>
          <w:highlight w:val="none"/>
          <w:u w:val="none"/>
          <w:vertAlign w:val="baseline"/>
          <w:lang w:val="en-US" w:eastAsia="zh-CN" w:bidi="ar-SA"/>
        </w:rPr>
        <w:t xml:space="preserve">第33条 </w:t>
      </w:r>
      <w:r>
        <w:rPr>
          <w:rFonts w:hint="eastAsia" w:ascii="Times New Roman" w:hAnsi="Times New Roman" w:eastAsia="方正黑体_GBK" w:cs="方正黑体_GBK"/>
          <w:b w:val="0"/>
          <w:bCs/>
          <w:color w:val="auto"/>
          <w:kern w:val="2"/>
          <w:sz w:val="28"/>
          <w:szCs w:val="28"/>
          <w:highlight w:val="none"/>
          <w:lang w:val="en-US" w:eastAsia="zh-CN" w:bidi="ar-SA"/>
        </w:rPr>
        <w:t>项目设施的改造</w:t>
      </w:r>
      <w:bookmarkEnd w:id="239"/>
      <w:r>
        <w:rPr>
          <w:rFonts w:hint="eastAsia" w:ascii="Times New Roman" w:hAnsi="Times New Roman" w:eastAsia="方正黑体_GBK" w:cs="方正黑体_GBK"/>
          <w:b w:val="0"/>
          <w:bCs/>
          <w:color w:val="auto"/>
          <w:kern w:val="2"/>
          <w:sz w:val="28"/>
          <w:szCs w:val="28"/>
          <w:highlight w:val="none"/>
          <w:lang w:val="en-US" w:eastAsia="zh-CN" w:bidi="ar-SA"/>
        </w:rPr>
        <w:t>及补偿</w:t>
      </w:r>
      <w:bookmarkEnd w:id="240"/>
      <w:bookmarkEnd w:id="241"/>
    </w:p>
    <w:p w14:paraId="7C2A9A5E">
      <w:pPr>
        <w:widowControl/>
        <w:numPr>
          <w:ilvl w:val="2"/>
          <w:numId w:val="0"/>
        </w:numPr>
        <w:adjustRightInd w:val="0"/>
        <w:snapToGrid w:val="0"/>
        <w:spacing w:before="0" w:beforeLines="0" w:after="0" w:afterLines="0" w:line="360" w:lineRule="auto"/>
        <w:ind w:firstLine="480" w:firstLineChars="200"/>
        <w:jc w:val="both"/>
        <w:outlineLvl w:val="2"/>
        <w:rPr>
          <w:rFonts w:hint="eastAsia" w:ascii="Times New Roman" w:hAnsi="Times New Roman" w:eastAsia="方正仿宋_GBK" w:cs="Times New Roman"/>
          <w:b w:val="0"/>
          <w:bCs/>
          <w:color w:val="auto"/>
          <w:kern w:val="2"/>
          <w:sz w:val="24"/>
          <w:szCs w:val="24"/>
          <w:highlight w:val="none"/>
          <w:lang w:val="en-US" w:eastAsia="zh-CN" w:bidi="ar-SA"/>
        </w:rPr>
      </w:pPr>
      <w:bookmarkStart w:id="242" w:name="art8_6_1"/>
      <w:r>
        <w:rPr>
          <w:rFonts w:hint="eastAsia" w:ascii="Times New Roman" w:hAnsi="Times New Roman" w:eastAsia="方正仿宋_GBK" w:cs="Times New Roman"/>
          <w:b w:val="0"/>
          <w:bCs/>
          <w:i w:val="0"/>
          <w:iCs w:val="0"/>
          <w:caps w:val="0"/>
          <w:smallCaps w:val="0"/>
          <w:strike w:val="0"/>
          <w:dstrike w:val="0"/>
          <w:vanish w:val="0"/>
          <w:color w:val="auto"/>
          <w:spacing w:val="0"/>
          <w:kern w:val="2"/>
          <w:position w:val="0"/>
          <w:sz w:val="24"/>
          <w:szCs w:val="24"/>
          <w:highlight w:val="none"/>
          <w:u w:val="none"/>
          <w:vertAlign w:val="baseline"/>
          <w:lang w:val="en-US" w:eastAsia="zh-CN" w:bidi="ar-SA"/>
        </w:rPr>
        <w:t>1.</w:t>
      </w:r>
      <w:bookmarkEnd w:id="242"/>
      <w:r>
        <w:rPr>
          <w:rFonts w:hint="eastAsia" w:ascii="Times New Roman" w:hAnsi="Times New Roman" w:eastAsia="方正仿宋_GBK" w:cs="Times New Roman"/>
          <w:b w:val="0"/>
          <w:bCs/>
          <w:color w:val="auto"/>
          <w:kern w:val="2"/>
          <w:sz w:val="24"/>
          <w:szCs w:val="24"/>
          <w:highlight w:val="none"/>
          <w:lang w:val="en-US" w:eastAsia="zh-CN" w:bidi="ar-SA"/>
        </w:rPr>
        <w:t>由于法律、法规或规范发生变更，如国家或地方污水排放标准发生变化，或甲方提出的其他改扩建需求，需要对项目设施进行改造的，甲、乙双方应就相关投资方案进行协商：</w:t>
      </w:r>
    </w:p>
    <w:p w14:paraId="548B1B98">
      <w:pPr>
        <w:widowControl/>
        <w:numPr>
          <w:ilvl w:val="2"/>
          <w:numId w:val="0"/>
        </w:numPr>
        <w:adjustRightInd w:val="0"/>
        <w:snapToGrid w:val="0"/>
        <w:spacing w:before="0" w:beforeLines="0" w:after="0" w:afterLines="0" w:line="360" w:lineRule="auto"/>
        <w:ind w:firstLine="480" w:firstLineChars="200"/>
        <w:jc w:val="both"/>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i w:val="0"/>
          <w:iCs w:val="0"/>
          <w:caps w:val="0"/>
          <w:smallCaps w:val="0"/>
          <w:strike w:val="0"/>
          <w:dstrike w:val="0"/>
          <w:snapToGrid/>
          <w:vanish w:val="0"/>
          <w:color w:val="auto"/>
          <w:spacing w:val="0"/>
          <w:w w:val="100"/>
          <w:kern w:val="2"/>
          <w:position w:val="0"/>
          <w:sz w:val="24"/>
          <w:szCs w:val="24"/>
          <w:highlight w:val="none"/>
          <w:u w:val="none"/>
          <w:vertAlign w:val="baseline"/>
          <w:lang w:val="en-US" w:eastAsia="zh-CN" w:bidi="ar-SA"/>
        </w:rPr>
        <w:t>（1）</w:t>
      </w:r>
      <w:r>
        <w:rPr>
          <w:rFonts w:hint="eastAsia" w:ascii="Times New Roman" w:hAnsi="Times New Roman" w:eastAsia="方正仿宋_GBK" w:cs="Times New Roman"/>
          <w:b w:val="0"/>
          <w:bCs/>
          <w:color w:val="auto"/>
          <w:kern w:val="2"/>
          <w:sz w:val="24"/>
          <w:szCs w:val="24"/>
          <w:highlight w:val="none"/>
          <w:lang w:val="en-US" w:eastAsia="zh-CN" w:bidi="ar-SA"/>
        </w:rPr>
        <w:t>如所增加的投资成本由甲方或政府指定的机构承担，且乙方由此增加了运营成本，由甲乙双方协商对届时执行的污水处理服务费单价（具体调整方式见附件3）进行调整或者采用其它双方认可的方式（如延长特许经营期）进行补偿。</w:t>
      </w:r>
    </w:p>
    <w:p w14:paraId="38EE6BA8">
      <w:pPr>
        <w:widowControl/>
        <w:numPr>
          <w:ilvl w:val="2"/>
          <w:numId w:val="0"/>
        </w:numPr>
        <w:adjustRightInd w:val="0"/>
        <w:snapToGrid w:val="0"/>
        <w:spacing w:before="0" w:beforeLines="0" w:after="0" w:afterLines="0" w:line="360" w:lineRule="auto"/>
        <w:ind w:firstLine="480" w:firstLineChars="200"/>
        <w:jc w:val="both"/>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i w:val="0"/>
          <w:iCs w:val="0"/>
          <w:caps w:val="0"/>
          <w:smallCaps w:val="0"/>
          <w:strike w:val="0"/>
          <w:dstrike w:val="0"/>
          <w:snapToGrid/>
          <w:vanish w:val="0"/>
          <w:color w:val="auto"/>
          <w:spacing w:val="0"/>
          <w:w w:val="100"/>
          <w:kern w:val="2"/>
          <w:position w:val="0"/>
          <w:sz w:val="24"/>
          <w:szCs w:val="24"/>
          <w:highlight w:val="none"/>
          <w:u w:val="none"/>
          <w:vertAlign w:val="baseline"/>
          <w:lang w:val="en-US" w:eastAsia="zh-CN" w:bidi="ar-SA"/>
        </w:rPr>
        <w:t>（2）</w:t>
      </w:r>
      <w:r>
        <w:rPr>
          <w:rFonts w:hint="eastAsia" w:ascii="Times New Roman" w:hAnsi="Times New Roman" w:eastAsia="方正仿宋_GBK" w:cs="Times New Roman"/>
          <w:b w:val="0"/>
          <w:bCs/>
          <w:color w:val="auto"/>
          <w:kern w:val="2"/>
          <w:sz w:val="24"/>
          <w:szCs w:val="24"/>
          <w:highlight w:val="none"/>
          <w:lang w:val="en-US" w:eastAsia="zh-CN" w:bidi="ar-SA"/>
        </w:rPr>
        <w:t>如所增加的投资成本由乙方承担，乙方由此增加的投资费用及运营成本的补偿方案由双方共同协商，补偿方式包括：</w:t>
      </w:r>
    </w:p>
    <w:p w14:paraId="4FA1AB43">
      <w:pPr>
        <w:widowControl/>
        <w:numPr>
          <w:ilvl w:val="2"/>
          <w:numId w:val="0"/>
        </w:numPr>
        <w:adjustRightInd w:val="0"/>
        <w:snapToGrid w:val="0"/>
        <w:spacing w:before="0" w:beforeLines="0" w:after="0" w:afterLines="0" w:line="360" w:lineRule="auto"/>
        <w:ind w:firstLine="480" w:firstLineChars="200"/>
        <w:jc w:val="both"/>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①申请调整污水处理服务费单价的方式获得相应补偿；或者</w:t>
      </w:r>
    </w:p>
    <w:p w14:paraId="16E5E857">
      <w:pPr>
        <w:widowControl/>
        <w:numPr>
          <w:ilvl w:val="2"/>
          <w:numId w:val="0"/>
        </w:numPr>
        <w:adjustRightInd w:val="0"/>
        <w:snapToGrid w:val="0"/>
        <w:spacing w:before="0" w:beforeLines="0" w:after="0" w:afterLines="0" w:line="360" w:lineRule="auto"/>
        <w:ind w:firstLine="480" w:firstLineChars="200"/>
        <w:jc w:val="both"/>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②延长特许经营期限；或者</w:t>
      </w:r>
    </w:p>
    <w:p w14:paraId="09F3BCD4">
      <w:pPr>
        <w:widowControl/>
        <w:numPr>
          <w:ilvl w:val="2"/>
          <w:numId w:val="0"/>
        </w:numPr>
        <w:adjustRightInd w:val="0"/>
        <w:snapToGrid w:val="0"/>
        <w:spacing w:before="0" w:beforeLines="0" w:after="0" w:afterLines="0" w:line="360" w:lineRule="auto"/>
        <w:ind w:firstLine="480" w:firstLineChars="200"/>
        <w:jc w:val="both"/>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③投资支出由政府通过财政补贴的方式予以直接补偿；运营成本的增加由甲乙双方协商对届时执行的污水处理服务费单价进行调整；或者</w:t>
      </w:r>
    </w:p>
    <w:p w14:paraId="14018D79">
      <w:pPr>
        <w:widowControl/>
        <w:numPr>
          <w:ilvl w:val="2"/>
          <w:numId w:val="0"/>
        </w:numPr>
        <w:adjustRightInd w:val="0"/>
        <w:snapToGrid w:val="0"/>
        <w:spacing w:before="0" w:beforeLines="0" w:after="0" w:afterLines="0" w:line="360" w:lineRule="auto"/>
        <w:ind w:firstLine="480" w:firstLineChars="200"/>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④采用其它双方认可的方式进行补偿。</w:t>
      </w:r>
    </w:p>
    <w:p w14:paraId="1D18100E">
      <w:pPr>
        <w:widowControl/>
        <w:numPr>
          <w:ilvl w:val="2"/>
          <w:numId w:val="0"/>
        </w:numPr>
        <w:adjustRightInd w:val="0"/>
        <w:snapToGrid w:val="0"/>
        <w:spacing w:before="0" w:beforeLines="0" w:after="0" w:afterLines="0" w:line="360" w:lineRule="auto"/>
        <w:ind w:firstLine="480" w:firstLineChars="200"/>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i w:val="0"/>
          <w:iCs w:val="0"/>
          <w:caps w:val="0"/>
          <w:smallCaps w:val="0"/>
          <w:strike w:val="0"/>
          <w:dstrike w:val="0"/>
          <w:vanish w:val="0"/>
          <w:color w:val="auto"/>
          <w:spacing w:val="0"/>
          <w:kern w:val="2"/>
          <w:position w:val="0"/>
          <w:sz w:val="24"/>
          <w:szCs w:val="24"/>
          <w:highlight w:val="none"/>
          <w:u w:val="none"/>
          <w:vertAlign w:val="baseline"/>
          <w:lang w:val="en-US" w:eastAsia="zh-CN" w:bidi="ar-SA"/>
        </w:rPr>
        <w:t>2.</w:t>
      </w:r>
      <w:r>
        <w:rPr>
          <w:rFonts w:hint="eastAsia" w:ascii="Times New Roman" w:hAnsi="Times New Roman" w:eastAsia="方正仿宋_GBK" w:cs="Times New Roman"/>
          <w:b w:val="0"/>
          <w:bCs/>
          <w:color w:val="auto"/>
          <w:kern w:val="2"/>
          <w:sz w:val="24"/>
          <w:szCs w:val="24"/>
          <w:highlight w:val="none"/>
          <w:lang w:val="en-US" w:eastAsia="zh-CN" w:bidi="ar-SA"/>
        </w:rPr>
        <w:t>依据上述</w:t>
      </w:r>
      <w:r>
        <w:rPr>
          <w:rFonts w:hint="eastAsia" w:ascii="Times New Roman" w:hAnsi="Times New Roman" w:eastAsia="方正仿宋_GBK" w:cs="Times New Roman"/>
          <w:b w:val="0"/>
          <w:bCs/>
          <w:color w:val="auto"/>
          <w:kern w:val="2"/>
          <w:sz w:val="24"/>
          <w:szCs w:val="24"/>
          <w:highlight w:val="none"/>
          <w:u w:val="none"/>
          <w:lang w:val="en-US" w:eastAsia="zh-CN" w:bidi="ar-SA"/>
        </w:rPr>
        <w:fldChar w:fldCharType="begin"/>
      </w:r>
      <w:r>
        <w:rPr>
          <w:rFonts w:hint="eastAsia" w:ascii="Times New Roman" w:hAnsi="Times New Roman" w:eastAsia="方正仿宋_GBK" w:cs="Times New Roman"/>
          <w:b w:val="0"/>
          <w:bCs/>
          <w:color w:val="auto"/>
          <w:kern w:val="2"/>
          <w:sz w:val="24"/>
          <w:szCs w:val="24"/>
          <w:highlight w:val="none"/>
          <w:u w:val="none"/>
          <w:lang w:val="en-US" w:eastAsia="zh-CN" w:bidi="ar-SA"/>
        </w:rPr>
        <w:instrText xml:space="preserve"> HYPERLINK  \l "art8_6_1" \o "art8.6.1" </w:instrText>
      </w:r>
      <w:r>
        <w:rPr>
          <w:rFonts w:hint="eastAsia" w:ascii="Times New Roman" w:hAnsi="Times New Roman" w:eastAsia="方正仿宋_GBK" w:cs="Times New Roman"/>
          <w:b w:val="0"/>
          <w:bCs/>
          <w:color w:val="auto"/>
          <w:kern w:val="2"/>
          <w:sz w:val="24"/>
          <w:szCs w:val="24"/>
          <w:highlight w:val="none"/>
          <w:u w:val="none"/>
          <w:lang w:val="en-US" w:eastAsia="zh-CN" w:bidi="ar-SA"/>
        </w:rPr>
        <w:fldChar w:fldCharType="separate"/>
      </w:r>
      <w:r>
        <w:rPr>
          <w:rFonts w:hint="eastAsia" w:ascii="Times New Roman" w:hAnsi="Times New Roman" w:eastAsia="方正仿宋_GBK" w:cs="Times New Roman"/>
          <w:b w:val="0"/>
          <w:bCs/>
          <w:color w:val="auto"/>
          <w:kern w:val="2"/>
          <w:sz w:val="24"/>
          <w:szCs w:val="24"/>
          <w:highlight w:val="none"/>
          <w:u w:val="none"/>
          <w:lang w:val="en-US" w:eastAsia="zh-CN" w:bidi="ar-SA"/>
        </w:rPr>
        <w:t>第33条</w:t>
      </w:r>
      <w:r>
        <w:rPr>
          <w:rFonts w:hint="eastAsia" w:ascii="Times New Roman" w:hAnsi="Times New Roman" w:eastAsia="方正仿宋_GBK" w:cs="Times New Roman"/>
          <w:b w:val="0"/>
          <w:bCs/>
          <w:color w:val="auto"/>
          <w:kern w:val="2"/>
          <w:sz w:val="24"/>
          <w:szCs w:val="24"/>
          <w:highlight w:val="none"/>
          <w:u w:val="none"/>
          <w:lang w:val="en-US" w:eastAsia="zh-CN" w:bidi="ar-SA"/>
        </w:rPr>
        <w:fldChar w:fldCharType="end"/>
      </w:r>
      <w:r>
        <w:rPr>
          <w:rFonts w:hint="eastAsia" w:ascii="Times New Roman" w:hAnsi="Times New Roman" w:eastAsia="方正仿宋_GBK" w:cs="Times New Roman"/>
          <w:b w:val="0"/>
          <w:bCs/>
          <w:color w:val="auto"/>
          <w:kern w:val="2"/>
          <w:sz w:val="24"/>
          <w:szCs w:val="24"/>
          <w:highlight w:val="none"/>
          <w:u w:val="none"/>
          <w:lang w:val="en-US" w:eastAsia="zh-CN" w:bidi="ar-SA"/>
        </w:rPr>
        <w:t>第1点</w:t>
      </w:r>
      <w:r>
        <w:rPr>
          <w:rFonts w:hint="eastAsia" w:ascii="Times New Roman" w:hAnsi="Times New Roman" w:eastAsia="方正仿宋_GBK" w:cs="Times New Roman"/>
          <w:b w:val="0"/>
          <w:bCs/>
          <w:color w:val="auto"/>
          <w:kern w:val="2"/>
          <w:sz w:val="24"/>
          <w:szCs w:val="24"/>
          <w:highlight w:val="none"/>
          <w:lang w:val="en-US" w:eastAsia="zh-CN" w:bidi="ar-SA"/>
        </w:rPr>
        <w:t>的约定实行改造后形成的资产，在特许经营期限内均归政府方所有，乙方对该等资产的使用限制，适用本协议</w:t>
      </w:r>
      <w:r>
        <w:rPr>
          <w:rFonts w:hint="eastAsia" w:ascii="Times New Roman" w:hAnsi="Times New Roman" w:eastAsia="方正仿宋_GBK" w:cs="Times New Roman"/>
          <w:b w:val="0"/>
          <w:bCs/>
          <w:color w:val="auto"/>
          <w:kern w:val="2"/>
          <w:sz w:val="24"/>
          <w:szCs w:val="24"/>
          <w:highlight w:val="none"/>
          <w:u w:val="none"/>
          <w:lang w:val="en-US" w:eastAsia="zh-CN" w:bidi="ar-SA"/>
        </w:rPr>
        <w:fldChar w:fldCharType="begin"/>
      </w:r>
      <w:r>
        <w:rPr>
          <w:rFonts w:hint="eastAsia" w:ascii="Times New Roman" w:hAnsi="Times New Roman" w:eastAsia="方正仿宋_GBK" w:cs="Times New Roman"/>
          <w:b w:val="0"/>
          <w:bCs/>
          <w:color w:val="auto"/>
          <w:kern w:val="2"/>
          <w:sz w:val="24"/>
          <w:szCs w:val="24"/>
          <w:highlight w:val="none"/>
          <w:u w:val="none"/>
          <w:lang w:val="en-US" w:eastAsia="zh-CN" w:bidi="ar-SA"/>
        </w:rPr>
        <w:instrText xml:space="preserve"> HYPERLINK  \l "art7_4" </w:instrText>
      </w:r>
      <w:r>
        <w:rPr>
          <w:rFonts w:hint="eastAsia" w:ascii="Times New Roman" w:hAnsi="Times New Roman" w:eastAsia="方正仿宋_GBK" w:cs="Times New Roman"/>
          <w:b w:val="0"/>
          <w:bCs/>
          <w:color w:val="auto"/>
          <w:kern w:val="2"/>
          <w:sz w:val="24"/>
          <w:szCs w:val="24"/>
          <w:highlight w:val="none"/>
          <w:u w:val="none"/>
          <w:lang w:val="en-US" w:eastAsia="zh-CN" w:bidi="ar-SA"/>
        </w:rPr>
        <w:fldChar w:fldCharType="separate"/>
      </w:r>
      <w:r>
        <w:rPr>
          <w:rFonts w:hint="eastAsia" w:ascii="Times New Roman" w:hAnsi="Times New Roman" w:eastAsia="方正仿宋_GBK" w:cs="Times New Roman"/>
          <w:b w:val="0"/>
          <w:bCs/>
          <w:color w:val="auto"/>
          <w:kern w:val="2"/>
          <w:sz w:val="24"/>
          <w:szCs w:val="24"/>
          <w:highlight w:val="none"/>
          <w:u w:val="none"/>
          <w:lang w:val="en-US" w:eastAsia="zh-CN" w:bidi="ar-SA"/>
        </w:rPr>
        <w:t>第17条</w:t>
      </w:r>
      <w:r>
        <w:rPr>
          <w:rFonts w:hint="eastAsia" w:ascii="Times New Roman" w:hAnsi="Times New Roman" w:eastAsia="方正仿宋_GBK" w:cs="Times New Roman"/>
          <w:b w:val="0"/>
          <w:bCs/>
          <w:color w:val="auto"/>
          <w:kern w:val="2"/>
          <w:sz w:val="24"/>
          <w:szCs w:val="24"/>
          <w:highlight w:val="none"/>
          <w:u w:val="none"/>
          <w:lang w:val="en-US" w:eastAsia="zh-CN" w:bidi="ar-SA"/>
        </w:rPr>
        <w:fldChar w:fldCharType="end"/>
      </w:r>
      <w:r>
        <w:rPr>
          <w:rFonts w:hint="eastAsia" w:ascii="Times New Roman" w:hAnsi="Times New Roman" w:eastAsia="方正仿宋_GBK" w:cs="Times New Roman"/>
          <w:b w:val="0"/>
          <w:bCs/>
          <w:color w:val="auto"/>
          <w:kern w:val="2"/>
          <w:sz w:val="24"/>
          <w:szCs w:val="24"/>
          <w:highlight w:val="none"/>
          <w:lang w:val="en-US" w:eastAsia="zh-CN" w:bidi="ar-SA"/>
        </w:rPr>
        <w:t>的约定。</w:t>
      </w:r>
    </w:p>
    <w:p w14:paraId="512D1914">
      <w:pPr>
        <w:widowControl/>
        <w:numPr>
          <w:ilvl w:val="0"/>
          <w:numId w:val="0"/>
        </w:numPr>
        <w:adjustRightInd/>
        <w:snapToGrid/>
        <w:spacing w:before="0" w:beforeLines="0" w:after="0" w:afterLines="0" w:line="360" w:lineRule="auto"/>
        <w:ind w:firstLine="560" w:firstLineChars="200"/>
        <w:jc w:val="both"/>
        <w:outlineLvl w:val="1"/>
        <w:rPr>
          <w:rFonts w:hint="eastAsia" w:ascii="Times New Roman" w:hAnsi="Times New Roman" w:eastAsia="方正黑体_GBK" w:cs="方正黑体_GBK"/>
          <w:b w:val="0"/>
          <w:bCs/>
          <w:color w:val="auto"/>
          <w:kern w:val="2"/>
          <w:sz w:val="28"/>
          <w:szCs w:val="28"/>
          <w:highlight w:val="none"/>
          <w:lang w:val="en-US" w:eastAsia="zh-CN" w:bidi="ar-SA"/>
        </w:rPr>
      </w:pPr>
      <w:bookmarkStart w:id="243" w:name="_Toc7968"/>
      <w:r>
        <w:rPr>
          <w:rFonts w:hint="eastAsia" w:ascii="Times New Roman" w:hAnsi="Times New Roman" w:eastAsia="方正黑体_GBK" w:cs="方正黑体_GBK"/>
          <w:b w:val="0"/>
          <w:bCs/>
          <w:i w:val="0"/>
          <w:iCs w:val="0"/>
          <w:caps w:val="0"/>
          <w:smallCaps w:val="0"/>
          <w:strike w:val="0"/>
          <w:dstrike w:val="0"/>
          <w:vanish w:val="0"/>
          <w:color w:val="auto"/>
          <w:spacing w:val="0"/>
          <w:kern w:val="2"/>
          <w:position w:val="0"/>
          <w:sz w:val="28"/>
          <w:szCs w:val="28"/>
          <w:highlight w:val="none"/>
          <w:u w:val="none"/>
          <w:vertAlign w:val="baseline"/>
          <w:lang w:val="en-US" w:eastAsia="zh-CN" w:bidi="ar-SA"/>
        </w:rPr>
        <w:t xml:space="preserve">第34条 </w:t>
      </w:r>
      <w:r>
        <w:rPr>
          <w:rFonts w:hint="eastAsia" w:ascii="Times New Roman" w:hAnsi="Times New Roman" w:eastAsia="方正黑体_GBK" w:cs="方正黑体_GBK"/>
          <w:b w:val="0"/>
          <w:bCs/>
          <w:color w:val="auto"/>
          <w:kern w:val="2"/>
          <w:sz w:val="28"/>
          <w:szCs w:val="28"/>
          <w:highlight w:val="none"/>
          <w:lang w:val="en-US" w:eastAsia="zh-CN" w:bidi="ar-SA"/>
        </w:rPr>
        <w:t>大修和重置费用的监管</w:t>
      </w:r>
      <w:bookmarkEnd w:id="243"/>
    </w:p>
    <w:p w14:paraId="17E89C91">
      <w:pPr>
        <w:widowControl/>
        <w:numPr>
          <w:ilvl w:val="2"/>
          <w:numId w:val="0"/>
        </w:numPr>
        <w:adjustRightInd w:val="0"/>
        <w:snapToGrid w:val="0"/>
        <w:spacing w:before="0" w:beforeLines="0" w:after="0" w:afterLines="0" w:line="360" w:lineRule="auto"/>
        <w:ind w:firstLine="480" w:firstLineChars="200"/>
        <w:jc w:val="both"/>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i w:val="0"/>
          <w:iCs w:val="0"/>
          <w:caps w:val="0"/>
          <w:smallCaps w:val="0"/>
          <w:strike w:val="0"/>
          <w:dstrike w:val="0"/>
          <w:vanish w:val="0"/>
          <w:color w:val="auto"/>
          <w:spacing w:val="0"/>
          <w:kern w:val="2"/>
          <w:position w:val="0"/>
          <w:sz w:val="24"/>
          <w:szCs w:val="24"/>
          <w:highlight w:val="none"/>
          <w:u w:val="none"/>
          <w:vertAlign w:val="baseline"/>
          <w:lang w:val="en-US" w:eastAsia="zh-CN" w:bidi="ar-SA"/>
        </w:rPr>
        <w:t>1.</w:t>
      </w:r>
      <w:r>
        <w:rPr>
          <w:rFonts w:hint="eastAsia" w:ascii="Times New Roman" w:hAnsi="Times New Roman" w:eastAsia="方正仿宋_GBK" w:cs="Times New Roman"/>
          <w:b w:val="0"/>
          <w:bCs/>
          <w:color w:val="auto"/>
          <w:kern w:val="2"/>
          <w:sz w:val="24"/>
          <w:szCs w:val="24"/>
          <w:highlight w:val="none"/>
          <w:lang w:val="en-US" w:eastAsia="zh-CN" w:bidi="ar-SA"/>
        </w:rPr>
        <w:t>乙方应在银行开户设立一个由甲乙双方共同监管的维修资金账户，自第二个运营年度开始，乙方应于每个运营年度的1月31日前，将上一个运营年度中未发生的大修费用存入上述维修资金账户。</w:t>
      </w:r>
    </w:p>
    <w:p w14:paraId="6D9B5EAB">
      <w:pPr>
        <w:widowControl/>
        <w:numPr>
          <w:ilvl w:val="2"/>
          <w:numId w:val="0"/>
        </w:numPr>
        <w:adjustRightInd w:val="0"/>
        <w:snapToGrid w:val="0"/>
        <w:spacing w:before="0" w:beforeLines="0" w:after="0" w:afterLines="0" w:line="360" w:lineRule="auto"/>
        <w:ind w:firstLine="480" w:firstLineChars="200"/>
        <w:jc w:val="both"/>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i w:val="0"/>
          <w:iCs w:val="0"/>
          <w:caps w:val="0"/>
          <w:smallCaps w:val="0"/>
          <w:strike w:val="0"/>
          <w:dstrike w:val="0"/>
          <w:vanish w:val="0"/>
          <w:color w:val="auto"/>
          <w:spacing w:val="0"/>
          <w:kern w:val="2"/>
          <w:position w:val="0"/>
          <w:sz w:val="24"/>
          <w:szCs w:val="24"/>
          <w:highlight w:val="none"/>
          <w:u w:val="none"/>
          <w:vertAlign w:val="baseline"/>
          <w:lang w:val="en-US" w:eastAsia="zh-CN" w:bidi="ar-SA"/>
        </w:rPr>
        <w:t>2.</w:t>
      </w:r>
      <w:r>
        <w:rPr>
          <w:rFonts w:hint="eastAsia" w:ascii="Times New Roman" w:hAnsi="Times New Roman" w:eastAsia="方正仿宋_GBK" w:cs="Times New Roman"/>
          <w:b w:val="0"/>
          <w:bCs/>
          <w:color w:val="auto"/>
          <w:kern w:val="2"/>
          <w:sz w:val="24"/>
          <w:szCs w:val="24"/>
          <w:highlight w:val="none"/>
          <w:lang w:val="en-US" w:eastAsia="zh-CN" w:bidi="ar-SA"/>
        </w:rPr>
        <w:t>上一个运营年度未发生的大修费用，为按照投标文件中大修占污水处理服务费单价的比例计算的上一年度大修费用，扣除上一个运营年实际已发生的大修费用。</w:t>
      </w:r>
    </w:p>
    <w:p w14:paraId="19D10048">
      <w:pPr>
        <w:widowControl/>
        <w:numPr>
          <w:ilvl w:val="2"/>
          <w:numId w:val="0"/>
        </w:numPr>
        <w:adjustRightInd w:val="0"/>
        <w:snapToGrid w:val="0"/>
        <w:spacing w:before="0" w:beforeLines="0" w:after="0" w:afterLines="0" w:line="360" w:lineRule="auto"/>
        <w:ind w:firstLine="480" w:firstLineChars="200"/>
        <w:jc w:val="both"/>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i w:val="0"/>
          <w:iCs w:val="0"/>
          <w:caps w:val="0"/>
          <w:smallCaps w:val="0"/>
          <w:strike w:val="0"/>
          <w:dstrike w:val="0"/>
          <w:vanish w:val="0"/>
          <w:color w:val="auto"/>
          <w:spacing w:val="0"/>
          <w:kern w:val="2"/>
          <w:position w:val="0"/>
          <w:sz w:val="24"/>
          <w:szCs w:val="24"/>
          <w:highlight w:val="none"/>
          <w:u w:val="none"/>
          <w:vertAlign w:val="baseline"/>
          <w:lang w:val="en-US" w:eastAsia="zh-CN" w:bidi="ar-SA"/>
        </w:rPr>
        <w:t>3.</w:t>
      </w:r>
      <w:r>
        <w:rPr>
          <w:rFonts w:hint="eastAsia" w:ascii="Times New Roman" w:hAnsi="Times New Roman" w:eastAsia="方正仿宋_GBK" w:cs="Times New Roman"/>
          <w:b w:val="0"/>
          <w:bCs/>
          <w:color w:val="auto"/>
          <w:kern w:val="2"/>
          <w:sz w:val="24"/>
          <w:szCs w:val="24"/>
          <w:highlight w:val="none"/>
          <w:lang w:val="en-US" w:eastAsia="zh-CN" w:bidi="ar-SA"/>
        </w:rPr>
        <w:t>存入维修资金账户的金额，经甲方书面批准，乙方可提取用于补足以后任一个运营年度里对项目设施大修所需的实际投入与投标文件中大修费用的使用计划之间的差额。</w:t>
      </w:r>
    </w:p>
    <w:p w14:paraId="0FEE02E9">
      <w:pPr>
        <w:widowControl/>
        <w:numPr>
          <w:ilvl w:val="2"/>
          <w:numId w:val="0"/>
        </w:numPr>
        <w:adjustRightInd w:val="0"/>
        <w:snapToGrid w:val="0"/>
        <w:spacing w:before="0" w:beforeLines="0" w:after="0" w:afterLines="0" w:line="360" w:lineRule="auto"/>
        <w:ind w:firstLine="480" w:firstLineChars="200"/>
        <w:jc w:val="both"/>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i w:val="0"/>
          <w:iCs w:val="0"/>
          <w:caps w:val="0"/>
          <w:smallCaps w:val="0"/>
          <w:strike w:val="0"/>
          <w:dstrike w:val="0"/>
          <w:vanish w:val="0"/>
          <w:color w:val="auto"/>
          <w:spacing w:val="0"/>
          <w:kern w:val="2"/>
          <w:position w:val="0"/>
          <w:sz w:val="24"/>
          <w:szCs w:val="24"/>
          <w:highlight w:val="none"/>
          <w:u w:val="none"/>
          <w:vertAlign w:val="baseline"/>
          <w:lang w:val="en-US" w:eastAsia="zh-CN" w:bidi="ar-SA"/>
        </w:rPr>
        <w:t>4.</w:t>
      </w:r>
      <w:r>
        <w:rPr>
          <w:rFonts w:hint="eastAsia" w:ascii="Times New Roman" w:hAnsi="Times New Roman" w:eastAsia="方正仿宋_GBK" w:cs="Times New Roman"/>
          <w:b w:val="0"/>
          <w:bCs/>
          <w:color w:val="auto"/>
          <w:kern w:val="2"/>
          <w:sz w:val="24"/>
          <w:szCs w:val="24"/>
          <w:highlight w:val="none"/>
          <w:lang w:val="en-US" w:eastAsia="zh-CN" w:bidi="ar-SA"/>
        </w:rPr>
        <w:t>在特许经营期限内，若在任何一个运营年度乙方对项目设施大修的实际投入超出当年使用计划，且维修资金账户中的金额也使用完毕，乙方应自行承担不足费用，但甲方可视情况同意并在之后的运营年度中将该等费用进行消减。</w:t>
      </w:r>
    </w:p>
    <w:p w14:paraId="6EBACAF1">
      <w:pPr>
        <w:widowControl/>
        <w:numPr>
          <w:ilvl w:val="2"/>
          <w:numId w:val="0"/>
        </w:numPr>
        <w:adjustRightInd w:val="0"/>
        <w:snapToGrid w:val="0"/>
        <w:spacing w:before="0" w:beforeLines="0" w:after="0" w:afterLines="0" w:line="360" w:lineRule="auto"/>
        <w:ind w:firstLine="480" w:firstLineChars="200"/>
        <w:jc w:val="both"/>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i w:val="0"/>
          <w:iCs w:val="0"/>
          <w:caps w:val="0"/>
          <w:smallCaps w:val="0"/>
          <w:strike w:val="0"/>
          <w:dstrike w:val="0"/>
          <w:vanish w:val="0"/>
          <w:color w:val="auto"/>
          <w:spacing w:val="0"/>
          <w:kern w:val="2"/>
          <w:position w:val="0"/>
          <w:sz w:val="24"/>
          <w:szCs w:val="24"/>
          <w:highlight w:val="none"/>
          <w:u w:val="none"/>
          <w:vertAlign w:val="baseline"/>
          <w:lang w:val="en-US" w:eastAsia="zh-CN" w:bidi="ar-SA"/>
        </w:rPr>
        <w:t>5.</w:t>
      </w:r>
      <w:r>
        <w:rPr>
          <w:rFonts w:hint="eastAsia" w:ascii="Times New Roman" w:hAnsi="Times New Roman" w:eastAsia="方正仿宋_GBK" w:cs="Times New Roman"/>
          <w:b w:val="0"/>
          <w:bCs/>
          <w:color w:val="auto"/>
          <w:kern w:val="2"/>
          <w:sz w:val="24"/>
          <w:szCs w:val="24"/>
          <w:highlight w:val="none"/>
          <w:lang w:val="en-US" w:eastAsia="zh-CN" w:bidi="ar-SA"/>
        </w:rPr>
        <w:t>本项目特许经营期内维修资金账户中资金产生的收益仍用于大修，不得挪作他用，特许经营期限结束或本协议提前终止后，维修资金账户中的余额（如有）及其收益归属接收项目设施的政府或其指定机构并由甲、乙双方随项目设施一并进行移交。</w:t>
      </w:r>
    </w:p>
    <w:p w14:paraId="6EEBF3CF">
      <w:pPr>
        <w:widowControl/>
        <w:numPr>
          <w:ilvl w:val="2"/>
          <w:numId w:val="0"/>
        </w:numPr>
        <w:adjustRightInd w:val="0"/>
        <w:snapToGrid w:val="0"/>
        <w:spacing w:before="0" w:beforeLines="0" w:after="0" w:afterLines="0" w:line="360" w:lineRule="auto"/>
        <w:ind w:firstLine="480" w:firstLineChars="200"/>
        <w:jc w:val="both"/>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6.本项目设备重置按照报批的《更新重置和追加投资计划》执行，相关费用由甲方报财政纳入预算安排拨付，乙方接受甲方对资金使用的审计监管。</w:t>
      </w:r>
    </w:p>
    <w:p w14:paraId="4D1E6F53">
      <w:pPr>
        <w:widowControl/>
        <w:numPr>
          <w:ilvl w:val="0"/>
          <w:numId w:val="0"/>
        </w:numPr>
        <w:adjustRightInd/>
        <w:snapToGrid/>
        <w:spacing w:before="0" w:beforeLines="0" w:after="0" w:afterLines="0" w:line="360" w:lineRule="auto"/>
        <w:ind w:firstLine="560" w:firstLineChars="200"/>
        <w:jc w:val="both"/>
        <w:outlineLvl w:val="1"/>
        <w:rPr>
          <w:rFonts w:hint="eastAsia" w:ascii="Times New Roman" w:hAnsi="Times New Roman" w:eastAsia="方正黑体_GBK" w:cs="方正黑体_GBK"/>
          <w:b w:val="0"/>
          <w:bCs/>
          <w:color w:val="auto"/>
          <w:kern w:val="2"/>
          <w:sz w:val="28"/>
          <w:szCs w:val="28"/>
          <w:highlight w:val="none"/>
          <w:lang w:val="en-US" w:eastAsia="zh-CN" w:bidi="ar-SA"/>
        </w:rPr>
      </w:pPr>
      <w:bookmarkStart w:id="244" w:name="_Toc8398"/>
      <w:r>
        <w:rPr>
          <w:rFonts w:hint="eastAsia" w:ascii="Times New Roman" w:hAnsi="Times New Roman" w:eastAsia="方正黑体_GBK" w:cs="方正黑体_GBK"/>
          <w:b w:val="0"/>
          <w:bCs/>
          <w:color w:val="auto"/>
          <w:kern w:val="2"/>
          <w:sz w:val="28"/>
          <w:szCs w:val="28"/>
          <w:highlight w:val="none"/>
          <w:lang w:val="en-US" w:eastAsia="zh-CN" w:bidi="ar-SA"/>
        </w:rPr>
        <w:t>第35条 运营期内的环境保护</w:t>
      </w:r>
      <w:bookmarkEnd w:id="244"/>
    </w:p>
    <w:p w14:paraId="2AC9F2C4">
      <w:pPr>
        <w:numPr>
          <w:ilvl w:val="2"/>
          <w:numId w:val="0"/>
        </w:numPr>
        <w:adjustRightInd w:val="0"/>
        <w:snapToGrid w:val="0"/>
        <w:spacing w:before="0" w:beforeLines="0" w:after="0" w:afterLines="0" w:line="360" w:lineRule="auto"/>
        <w:ind w:firstLineChars="200"/>
        <w:jc w:val="both"/>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1.乙方不应在项目的运营维护过程中造成环境污染。</w:t>
      </w:r>
    </w:p>
    <w:p w14:paraId="74867ED5">
      <w:pPr>
        <w:numPr>
          <w:ilvl w:val="2"/>
          <w:numId w:val="0"/>
        </w:numPr>
        <w:adjustRightInd w:val="0"/>
        <w:snapToGrid w:val="0"/>
        <w:spacing w:before="0" w:beforeLines="0" w:after="0" w:afterLines="0" w:line="360" w:lineRule="auto"/>
        <w:ind w:firstLineChars="200"/>
        <w:jc w:val="both"/>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2.乙方应当执行适用法律规定、政府及相关部门的规定或要求，公布相应的环保信息。</w:t>
      </w:r>
    </w:p>
    <w:p w14:paraId="6650CEE3">
      <w:pPr>
        <w:numPr>
          <w:ilvl w:val="2"/>
          <w:numId w:val="0"/>
        </w:numPr>
        <w:adjustRightInd w:val="0"/>
        <w:snapToGrid w:val="0"/>
        <w:spacing w:before="0" w:beforeLines="0" w:after="0" w:afterLines="0" w:line="360" w:lineRule="auto"/>
        <w:ind w:firstLineChars="200"/>
        <w:jc w:val="both"/>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3.乙方应当建立健全本单位环境信息公开制度，报经甲方同意后执行。</w:t>
      </w:r>
    </w:p>
    <w:p w14:paraId="4A0DC97A">
      <w:pPr>
        <w:numPr>
          <w:ilvl w:val="2"/>
          <w:numId w:val="0"/>
        </w:numPr>
        <w:adjustRightInd w:val="0"/>
        <w:snapToGrid w:val="0"/>
        <w:spacing w:before="0" w:beforeLines="0" w:after="0" w:afterLines="0" w:line="360" w:lineRule="auto"/>
        <w:ind w:firstLineChars="200"/>
        <w:jc w:val="both"/>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4.乙方在项目设施的运营维护期间应根据本协议技术要求及国家的有关规定，采取一切合理措施来避免或尽量减少对项目周围设施、建筑物和居民区的干扰。</w:t>
      </w:r>
    </w:p>
    <w:p w14:paraId="34062BAE">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24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245" w:name="_Toc7062"/>
      <w:r>
        <w:rPr>
          <w:rFonts w:hint="eastAsia" w:ascii="Times New Roman" w:hAnsi="Times New Roman" w:eastAsia="方正黑体_GBK" w:cs="方正黑体_GBK"/>
          <w:bCs/>
          <w:caps w:val="0"/>
          <w:smallCaps w:val="0"/>
          <w:color w:val="auto"/>
          <w:kern w:val="2"/>
          <w:sz w:val="28"/>
          <w:szCs w:val="28"/>
          <w:highlight w:val="none"/>
          <w:lang w:val="en-US" w:eastAsia="zh-CN" w:bidi="ar-SA"/>
        </w:rPr>
        <w:t>第36条 运营期保险</w:t>
      </w:r>
      <w:bookmarkEnd w:id="245"/>
    </w:p>
    <w:p w14:paraId="0CE2869A">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567"/>
        <w:outlineLvl w:val="2"/>
        <w:rPr>
          <w:rFonts w:hint="default" w:ascii="Times New Roman" w:hAnsi="Times New Roman" w:eastAsia="方正仿宋_GBK" w:cs="Times New Roman"/>
          <w:b/>
          <w:caps w:val="0"/>
          <w:smallCaps w:val="0"/>
          <w:color w:val="auto"/>
          <w:kern w:val="2"/>
          <w:sz w:val="24"/>
          <w:szCs w:val="24"/>
          <w:highlight w:val="none"/>
          <w:lang w:val="en-US" w:eastAsia="zh-CN" w:bidi="ar-SA"/>
        </w:rPr>
      </w:pPr>
      <w:r>
        <w:rPr>
          <w:rFonts w:hint="default" w:ascii="Times New Roman" w:hAnsi="Times New Roman" w:eastAsia="方正仿宋_GBK" w:cs="Times New Roman"/>
          <w:b/>
          <w:caps w:val="0"/>
          <w:smallCaps w:val="0"/>
          <w:color w:val="auto"/>
          <w:kern w:val="2"/>
          <w:sz w:val="24"/>
          <w:szCs w:val="24"/>
          <w:highlight w:val="none"/>
          <w:lang w:val="en-US" w:eastAsia="zh-CN" w:bidi="ar-SA"/>
        </w:rPr>
        <w:t>1.购买保险</w:t>
      </w:r>
    </w:p>
    <w:p w14:paraId="79527240">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lang w:val="en-US" w:eastAsia="zh-CN"/>
        </w:rPr>
      </w:pPr>
      <w:r>
        <w:rPr>
          <w:rFonts w:hint="default" w:ascii="Times New Roman" w:hAnsi="Times New Roman" w:eastAsia="方正仿宋_GBK" w:cs="Times New Roman"/>
          <w:caps w:val="0"/>
          <w:smallCaps w:val="0"/>
          <w:color w:val="auto"/>
          <w:kern w:val="0"/>
          <w:sz w:val="24"/>
          <w:szCs w:val="24"/>
          <w:highlight w:val="none"/>
        </w:rPr>
        <w:t>运营期内，乙方应根据适用法律、谨慎运营惯例自费购买和维持本项目运营期间所需的保险</w:t>
      </w:r>
      <w:r>
        <w:rPr>
          <w:rFonts w:hint="default" w:ascii="Times New Roman" w:hAnsi="Times New Roman" w:eastAsia="方正仿宋_GBK" w:cs="Times New Roman"/>
          <w:caps w:val="0"/>
          <w:smallCaps w:val="0"/>
          <w:color w:val="auto"/>
          <w:kern w:val="0"/>
          <w:sz w:val="24"/>
          <w:szCs w:val="24"/>
          <w:highlight w:val="none"/>
          <w:lang w:eastAsia="zh-CN"/>
        </w:rPr>
        <w:t>，</w:t>
      </w:r>
      <w:r>
        <w:rPr>
          <w:rFonts w:hint="default" w:ascii="Times New Roman" w:hAnsi="Times New Roman" w:eastAsia="方正仿宋_GBK" w:cs="Times New Roman"/>
          <w:caps w:val="0"/>
          <w:smallCaps w:val="0"/>
          <w:color w:val="auto"/>
          <w:kern w:val="0"/>
          <w:sz w:val="24"/>
          <w:szCs w:val="24"/>
          <w:highlight w:val="none"/>
          <w:lang w:val="en-US" w:eastAsia="zh-CN"/>
        </w:rPr>
        <w:t>包括</w:t>
      </w:r>
      <w:r>
        <w:rPr>
          <w:rFonts w:hint="default" w:ascii="Times New Roman" w:hAnsi="Times New Roman" w:eastAsia="方正仿宋_GBK" w:cs="Times New Roman"/>
          <w:color w:val="auto"/>
          <w:kern w:val="2"/>
          <w:sz w:val="24"/>
          <w:szCs w:val="24"/>
          <w:highlight w:val="none"/>
        </w:rPr>
        <w:t>财产一切险、环境责任险、第三者责任险等</w:t>
      </w:r>
      <w:r>
        <w:rPr>
          <w:rFonts w:hint="default" w:ascii="Times New Roman" w:hAnsi="Times New Roman" w:eastAsia="方正仿宋_GBK" w:cs="Times New Roman"/>
          <w:color w:val="auto"/>
          <w:kern w:val="2"/>
          <w:sz w:val="24"/>
          <w:szCs w:val="24"/>
          <w:highlight w:val="none"/>
          <w:lang w:eastAsia="zh-CN"/>
        </w:rPr>
        <w:t>。</w:t>
      </w:r>
    </w:p>
    <w:p w14:paraId="4421CC14">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567"/>
        <w:outlineLvl w:val="2"/>
        <w:rPr>
          <w:rFonts w:hint="default" w:ascii="Times New Roman" w:hAnsi="Times New Roman" w:eastAsia="方正仿宋_GBK" w:cs="Times New Roman"/>
          <w:b/>
          <w:caps w:val="0"/>
          <w:smallCaps w:val="0"/>
          <w:color w:val="auto"/>
          <w:kern w:val="2"/>
          <w:sz w:val="24"/>
          <w:szCs w:val="24"/>
          <w:highlight w:val="none"/>
          <w:lang w:val="en-US" w:eastAsia="zh-CN" w:bidi="ar-SA"/>
        </w:rPr>
      </w:pPr>
      <w:r>
        <w:rPr>
          <w:rFonts w:hint="default" w:ascii="Times New Roman" w:hAnsi="Times New Roman" w:eastAsia="方正仿宋_GBK" w:cs="Times New Roman"/>
          <w:b/>
          <w:caps w:val="0"/>
          <w:smallCaps w:val="0"/>
          <w:color w:val="auto"/>
          <w:kern w:val="2"/>
          <w:sz w:val="24"/>
          <w:szCs w:val="24"/>
          <w:highlight w:val="none"/>
          <w:lang w:val="en-US" w:eastAsia="zh-CN" w:bidi="ar-SA"/>
        </w:rPr>
        <w:t>2.保险证明</w:t>
      </w:r>
    </w:p>
    <w:p w14:paraId="24421E9A">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caps w:val="0"/>
          <w:smallCaps w:val="0"/>
          <w:color w:val="auto"/>
          <w:kern w:val="0"/>
          <w:sz w:val="24"/>
          <w:szCs w:val="24"/>
          <w:highlight w:val="none"/>
        </w:rPr>
        <w:t>乙方购买保险后，应在保险合同生效日后</w:t>
      </w:r>
      <w:r>
        <w:rPr>
          <w:rFonts w:hint="eastAsia" w:ascii="Times New Roman" w:hAnsi="Times New Roman" w:eastAsia="方正仿宋_GBK" w:cs="Times New Roman"/>
          <w:caps w:val="0"/>
          <w:smallCaps w:val="0"/>
          <w:color w:val="auto"/>
          <w:kern w:val="0"/>
          <w:sz w:val="24"/>
          <w:szCs w:val="24"/>
          <w:highlight w:val="none"/>
          <w:u w:val="single"/>
          <w:lang w:eastAsia="zh-CN"/>
        </w:rPr>
        <w:t>1</w:t>
      </w:r>
      <w:r>
        <w:rPr>
          <w:rFonts w:hint="eastAsia" w:ascii="Times New Roman" w:hAnsi="Times New Roman" w:eastAsia="方正仿宋_GBK" w:cs="Times New Roman"/>
          <w:caps w:val="0"/>
          <w:smallCaps w:val="0"/>
          <w:color w:val="auto"/>
          <w:kern w:val="0"/>
          <w:sz w:val="24"/>
          <w:szCs w:val="24"/>
          <w:highlight w:val="none"/>
          <w:u w:val="single"/>
          <w:lang w:val="en-US" w:eastAsia="zh-CN"/>
        </w:rPr>
        <w:t>0</w:t>
      </w:r>
      <w:r>
        <w:rPr>
          <w:rFonts w:hint="default" w:ascii="Times New Roman" w:hAnsi="Times New Roman" w:eastAsia="方正仿宋_GBK" w:cs="Times New Roman"/>
          <w:caps w:val="0"/>
          <w:smallCaps w:val="0"/>
          <w:color w:val="auto"/>
          <w:kern w:val="0"/>
          <w:sz w:val="24"/>
          <w:szCs w:val="24"/>
          <w:highlight w:val="none"/>
        </w:rPr>
        <w:t>日内向甲方提交一份保险合同复印件。</w:t>
      </w:r>
    </w:p>
    <w:p w14:paraId="2897A3EB">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567"/>
        <w:outlineLvl w:val="2"/>
        <w:rPr>
          <w:rFonts w:hint="default" w:ascii="Times New Roman" w:hAnsi="Times New Roman" w:eastAsia="方正仿宋_GBK" w:cs="Times New Roman"/>
          <w:b/>
          <w:caps w:val="0"/>
          <w:smallCaps w:val="0"/>
          <w:color w:val="auto"/>
          <w:kern w:val="2"/>
          <w:sz w:val="24"/>
          <w:szCs w:val="24"/>
          <w:highlight w:val="none"/>
          <w:lang w:val="en-US" w:eastAsia="zh-CN" w:bidi="ar-SA"/>
        </w:rPr>
      </w:pPr>
      <w:r>
        <w:rPr>
          <w:rFonts w:hint="default" w:ascii="Times New Roman" w:hAnsi="Times New Roman" w:eastAsia="方正仿宋_GBK" w:cs="Times New Roman"/>
          <w:b/>
          <w:caps w:val="0"/>
          <w:smallCaps w:val="0"/>
          <w:color w:val="auto"/>
          <w:kern w:val="2"/>
          <w:sz w:val="24"/>
          <w:szCs w:val="24"/>
          <w:highlight w:val="none"/>
          <w:lang w:val="en-US" w:eastAsia="zh-CN" w:bidi="ar-SA"/>
        </w:rPr>
        <w:t>3.维持保险</w:t>
      </w:r>
    </w:p>
    <w:p w14:paraId="4CC74276">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caps w:val="0"/>
          <w:smallCaps w:val="0"/>
          <w:color w:val="auto"/>
          <w:kern w:val="0"/>
          <w:sz w:val="24"/>
          <w:szCs w:val="24"/>
          <w:highlight w:val="none"/>
        </w:rPr>
        <w:t>（1）乙方应通过再次购买、续期等方式，维持保险合同在整个运营期内的有效性。</w:t>
      </w:r>
    </w:p>
    <w:p w14:paraId="0B25F17D">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caps w:val="0"/>
          <w:smallCaps w:val="0"/>
          <w:color w:val="auto"/>
          <w:kern w:val="0"/>
          <w:sz w:val="24"/>
          <w:szCs w:val="24"/>
          <w:highlight w:val="none"/>
        </w:rPr>
        <w:t>（2）如果乙方不购买或未维持本协议所要求的保险，则甲方有权根据本协议兑取运营维护保函项下的相应金额用于购买或维持协议所要求的保险始终有效。</w:t>
      </w:r>
    </w:p>
    <w:p w14:paraId="53F9E068">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24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246" w:name="_Toc12276"/>
      <w:r>
        <w:rPr>
          <w:rFonts w:hint="eastAsia" w:ascii="Times New Roman" w:hAnsi="Times New Roman" w:eastAsia="方正黑体_GBK" w:cs="方正黑体_GBK"/>
          <w:bCs/>
          <w:caps w:val="0"/>
          <w:smallCaps w:val="0"/>
          <w:color w:val="auto"/>
          <w:kern w:val="2"/>
          <w:sz w:val="28"/>
          <w:szCs w:val="28"/>
          <w:highlight w:val="none"/>
          <w:lang w:val="en-US" w:eastAsia="zh-CN" w:bidi="ar-SA"/>
        </w:rPr>
        <w:t>第37条 乙方创新和主动增效</w:t>
      </w:r>
      <w:bookmarkEnd w:id="246"/>
    </w:p>
    <w:p w14:paraId="2C190A80">
      <w:pPr>
        <w:tabs>
          <w:tab w:val="left" w:pos="142"/>
        </w:tabs>
        <w:autoSpaceDE w:val="0"/>
        <w:autoSpaceDN w:val="0"/>
        <w:adjustRightInd w:val="0"/>
        <w:snapToGrid w:val="0"/>
        <w:spacing w:before="50" w:beforeLines="50" w:after="50" w:afterLines="5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lang w:val="en-US" w:eastAsia="zh-CN"/>
        </w:rPr>
        <w:t>1.</w:t>
      </w:r>
      <w:r>
        <w:rPr>
          <w:rFonts w:hint="default" w:ascii="Times New Roman" w:hAnsi="Times New Roman" w:eastAsia="方正仿宋_GBK" w:cs="Times New Roman"/>
          <w:caps w:val="0"/>
          <w:smallCaps w:val="0"/>
          <w:color w:val="auto"/>
          <w:kern w:val="0"/>
          <w:sz w:val="24"/>
          <w:szCs w:val="24"/>
          <w:highlight w:val="none"/>
        </w:rPr>
        <w:t>甲方支持鼓励乙方在保障项目正常运营和服务质量情况下，开展加强管理、降低成本、提升效率、积极创新等主动增效活动，所获得的额外收益主要归乙方所有。</w:t>
      </w:r>
    </w:p>
    <w:p w14:paraId="53582D7B">
      <w:pPr>
        <w:widowControl w:val="0"/>
        <w:tabs>
          <w:tab w:val="left" w:pos="142"/>
        </w:tabs>
        <w:autoSpaceDE w:val="0"/>
        <w:autoSpaceDN w:val="0"/>
        <w:adjustRightInd w:val="0"/>
        <w:snapToGrid w:val="0"/>
        <w:spacing w:before="0" w:beforeLines="0" w:after="0" w:afterLines="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lang w:val="en-US" w:eastAsia="zh-CN"/>
        </w:rPr>
        <w:t>2.</w:t>
      </w:r>
      <w:r>
        <w:rPr>
          <w:rFonts w:hint="default" w:ascii="Times New Roman" w:hAnsi="Times New Roman" w:eastAsia="方正仿宋_GBK" w:cs="Times New Roman"/>
          <w:caps w:val="0"/>
          <w:smallCaps w:val="0"/>
          <w:color w:val="auto"/>
          <w:kern w:val="0"/>
          <w:sz w:val="24"/>
          <w:szCs w:val="24"/>
          <w:highlight w:val="none"/>
        </w:rPr>
        <w:t>乙方开展创新增效活动需对此类活动对项目正常运营、安全运营和服务质量的影响进行评估，并取得甲方同意。</w:t>
      </w:r>
    </w:p>
    <w:p w14:paraId="033A11F4">
      <w:pPr>
        <w:widowControl w:val="0"/>
        <w:tabs>
          <w:tab w:val="left" w:pos="142"/>
        </w:tabs>
        <w:autoSpaceDE w:val="0"/>
        <w:autoSpaceDN w:val="0"/>
        <w:adjustRightInd w:val="0"/>
        <w:snapToGrid w:val="0"/>
        <w:spacing w:before="0" w:beforeLines="0" w:after="0" w:afterLines="0" w:line="360" w:lineRule="auto"/>
        <w:ind w:firstLine="480" w:firstLineChars="200"/>
        <w:textAlignment w:val="baseline"/>
        <w:rPr>
          <w:rFonts w:hint="default" w:ascii="Times New Roman" w:hAnsi="Times New Roman" w:eastAsia="方正仿宋_GBK" w:cs="Times New Roman"/>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lang w:val="en-US" w:eastAsia="zh-CN"/>
        </w:rPr>
        <w:t>3.乙方出售再生水（除市政用水免费使用外）产生的收入双方协商分配。</w:t>
      </w:r>
    </w:p>
    <w:p w14:paraId="1FA2843F">
      <w:pPr>
        <w:widowControl/>
        <w:numPr>
          <w:ilvl w:val="0"/>
          <w:numId w:val="0"/>
        </w:numPr>
        <w:adjustRightInd/>
        <w:snapToGrid/>
        <w:spacing w:before="0" w:beforeLines="0" w:after="0" w:afterLines="0" w:line="360" w:lineRule="auto"/>
        <w:ind w:firstLine="560" w:firstLineChars="200"/>
        <w:jc w:val="both"/>
        <w:outlineLvl w:val="1"/>
        <w:rPr>
          <w:rFonts w:hint="eastAsia" w:ascii="Times New Roman" w:hAnsi="Times New Roman" w:eastAsia="方正黑体_GBK" w:cs="方正黑体_GBK"/>
          <w:b w:val="0"/>
          <w:bCs/>
          <w:color w:val="auto"/>
          <w:kern w:val="2"/>
          <w:sz w:val="28"/>
          <w:szCs w:val="28"/>
          <w:highlight w:val="none"/>
          <w:lang w:val="en-US" w:eastAsia="zh-CN" w:bidi="ar-SA"/>
        </w:rPr>
      </w:pPr>
      <w:bookmarkStart w:id="247" w:name="_Toc6184"/>
      <w:r>
        <w:rPr>
          <w:rFonts w:hint="eastAsia" w:ascii="Times New Roman" w:hAnsi="Times New Roman" w:eastAsia="方正黑体_GBK" w:cs="方正黑体_GBK"/>
          <w:b w:val="0"/>
          <w:bCs/>
          <w:color w:val="auto"/>
          <w:kern w:val="2"/>
          <w:sz w:val="28"/>
          <w:szCs w:val="28"/>
          <w:highlight w:val="none"/>
          <w:lang w:val="en-US" w:eastAsia="zh-CN" w:bidi="ar-SA"/>
        </w:rPr>
        <w:t>第38条 其他约定</w:t>
      </w:r>
      <w:bookmarkEnd w:id="247"/>
    </w:p>
    <w:p w14:paraId="6728119C">
      <w:pPr>
        <w:widowControl w:val="0"/>
        <w:tabs>
          <w:tab w:val="left" w:pos="142"/>
        </w:tabs>
        <w:autoSpaceDE w:val="0"/>
        <w:autoSpaceDN w:val="0"/>
        <w:adjustRightInd w:val="0"/>
        <w:snapToGrid w:val="0"/>
        <w:spacing w:before="0" w:beforeLines="0" w:after="0" w:afterLines="0" w:line="360" w:lineRule="auto"/>
        <w:ind w:firstLine="480" w:firstLineChars="200"/>
        <w:textAlignment w:val="baseline"/>
        <w:rPr>
          <w:rFonts w:hint="eastAsia" w:ascii="Times New Roman" w:hAnsi="Times New Roman" w:eastAsia="方正仿宋_GBK" w:cs="Times New Roman"/>
          <w:b w:val="0"/>
          <w:bCs/>
          <w:color w:val="auto"/>
          <w:kern w:val="2"/>
          <w:sz w:val="24"/>
          <w:szCs w:val="24"/>
          <w:highlight w:val="none"/>
        </w:rPr>
      </w:pPr>
      <w:r>
        <w:rPr>
          <w:rFonts w:hint="eastAsia" w:ascii="Times New Roman" w:hAnsi="Times New Roman" w:eastAsia="方正仿宋_GBK" w:cs="Times New Roman"/>
          <w:b w:val="0"/>
          <w:bCs/>
          <w:color w:val="auto"/>
          <w:kern w:val="2"/>
          <w:sz w:val="24"/>
          <w:szCs w:val="24"/>
          <w:highlight w:val="none"/>
          <w:lang w:eastAsia="zh-CN"/>
        </w:rPr>
        <w:t>本协议</w:t>
      </w:r>
      <w:r>
        <w:rPr>
          <w:rFonts w:hint="eastAsia" w:ascii="Times New Roman" w:hAnsi="Times New Roman" w:eastAsia="方正仿宋_GBK" w:cs="Times New Roman"/>
          <w:b w:val="0"/>
          <w:bCs/>
          <w:color w:val="auto"/>
          <w:kern w:val="2"/>
          <w:sz w:val="24"/>
          <w:szCs w:val="24"/>
          <w:highlight w:val="none"/>
        </w:rPr>
        <w:t>上述条款未尽事宜，详见《</w:t>
      </w:r>
      <w:r>
        <w:rPr>
          <w:rFonts w:hint="eastAsia" w:ascii="Times New Roman" w:hAnsi="Times New Roman" w:eastAsia="方正仿宋_GBK" w:cs="Times New Roman"/>
          <w:b w:val="0"/>
          <w:bCs/>
          <w:color w:val="auto"/>
          <w:kern w:val="2"/>
          <w:sz w:val="24"/>
          <w:szCs w:val="24"/>
          <w:highlight w:val="none"/>
          <w:lang w:val="en-US" w:eastAsia="zh-CN"/>
        </w:rPr>
        <w:t>污水处理</w:t>
      </w:r>
      <w:r>
        <w:rPr>
          <w:rFonts w:hint="eastAsia" w:ascii="Times New Roman" w:hAnsi="Times New Roman" w:eastAsia="方正仿宋_GBK" w:cs="Times New Roman"/>
          <w:b w:val="0"/>
          <w:bCs/>
          <w:color w:val="auto"/>
          <w:kern w:val="2"/>
          <w:sz w:val="24"/>
          <w:szCs w:val="24"/>
          <w:highlight w:val="none"/>
        </w:rPr>
        <w:t>服务协议》约定。</w:t>
      </w:r>
    </w:p>
    <w:bookmarkEnd w:id="226"/>
    <w:bookmarkEnd w:id="227"/>
    <w:bookmarkEnd w:id="228"/>
    <w:bookmarkEnd w:id="229"/>
    <w:p w14:paraId="19727AF1">
      <w:pPr>
        <w:widowControl/>
        <w:numPr>
          <w:ilvl w:val="0"/>
          <w:numId w:val="0"/>
        </w:numPr>
        <w:spacing w:before="156" w:after="156"/>
        <w:ind w:left="0" w:firstLine="0"/>
        <w:jc w:val="center"/>
        <w:outlineLvl w:val="0"/>
        <w:rPr>
          <w:rFonts w:hint="eastAsia" w:ascii="Times New Roman" w:hAnsi="Times New Roman" w:eastAsia="方正黑体_GBK" w:cs="方正黑体_GBK"/>
          <w:caps w:val="0"/>
          <w:smallCaps w:val="0"/>
          <w:color w:val="auto"/>
          <w:kern w:val="2"/>
          <w:sz w:val="28"/>
          <w:szCs w:val="28"/>
          <w:highlight w:val="none"/>
          <w:lang w:val="en-US" w:eastAsia="zh-CN" w:bidi="ar-SA"/>
        </w:rPr>
      </w:pPr>
      <w:r>
        <w:rPr>
          <w:rFonts w:ascii="Times New Roman" w:hAnsi="Times New Roman" w:eastAsia="方正仿宋_GBK" w:cs="Times New Roman"/>
          <w:caps w:val="0"/>
          <w:smallCaps w:val="0"/>
          <w:color w:val="auto"/>
          <w:kern w:val="0"/>
          <w:sz w:val="28"/>
          <w:szCs w:val="32"/>
          <w:highlight w:val="none"/>
          <w:lang w:val="en-US" w:eastAsia="zh-CN" w:bidi="ar-SA"/>
        </w:rPr>
        <w:br w:type="page"/>
      </w:r>
      <w:bookmarkStart w:id="248" w:name="_Toc5458"/>
      <w:bookmarkStart w:id="249" w:name="_Toc1523097985"/>
      <w:bookmarkStart w:id="250" w:name="_Toc893"/>
      <w:r>
        <w:rPr>
          <w:rFonts w:hint="eastAsia" w:ascii="Times New Roman" w:hAnsi="Times New Roman" w:eastAsia="方正黑体_GBK" w:cs="方正黑体_GBK"/>
          <w:caps w:val="0"/>
          <w:smallCaps w:val="0"/>
          <w:color w:val="auto"/>
          <w:kern w:val="2"/>
          <w:sz w:val="28"/>
          <w:szCs w:val="28"/>
          <w:highlight w:val="none"/>
          <w:lang w:val="en-US" w:eastAsia="zh-CN" w:bidi="ar-SA"/>
        </w:rPr>
        <w:t>第七章 收益取得方式、价格和收费的确定和调整</w:t>
      </w:r>
      <w:bookmarkEnd w:id="248"/>
      <w:bookmarkEnd w:id="249"/>
      <w:bookmarkEnd w:id="250"/>
    </w:p>
    <w:p w14:paraId="05610AD0">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251" w:name="_Toc405146873"/>
      <w:bookmarkStart w:id="252" w:name="_Toc402428951"/>
      <w:bookmarkStart w:id="253" w:name="_Toc19312"/>
      <w:bookmarkStart w:id="254" w:name="_Toc1652695937"/>
      <w:bookmarkStart w:id="255" w:name="_Toc3356"/>
      <w:r>
        <w:rPr>
          <w:rFonts w:hint="eastAsia" w:ascii="Times New Roman" w:hAnsi="Times New Roman" w:eastAsia="方正黑体_GBK" w:cs="方正黑体_GBK"/>
          <w:bCs/>
          <w:caps w:val="0"/>
          <w:smallCaps w:val="0"/>
          <w:color w:val="auto"/>
          <w:kern w:val="2"/>
          <w:sz w:val="28"/>
          <w:szCs w:val="28"/>
          <w:highlight w:val="none"/>
          <w:lang w:val="en-US" w:eastAsia="zh-CN" w:bidi="ar-SA"/>
        </w:rPr>
        <w:t>第39条 项目</w:t>
      </w:r>
      <w:bookmarkEnd w:id="251"/>
      <w:bookmarkEnd w:id="252"/>
      <w:r>
        <w:rPr>
          <w:rFonts w:hint="eastAsia" w:ascii="Times New Roman" w:hAnsi="Times New Roman" w:eastAsia="方正黑体_GBK" w:cs="方正黑体_GBK"/>
          <w:bCs/>
          <w:caps w:val="0"/>
          <w:smallCaps w:val="0"/>
          <w:color w:val="auto"/>
          <w:kern w:val="2"/>
          <w:sz w:val="28"/>
          <w:szCs w:val="28"/>
          <w:highlight w:val="none"/>
          <w:lang w:val="en-US" w:eastAsia="zh-CN" w:bidi="ar-SA"/>
        </w:rPr>
        <w:t>收益取得方式</w:t>
      </w:r>
      <w:bookmarkEnd w:id="253"/>
      <w:bookmarkEnd w:id="254"/>
      <w:bookmarkEnd w:id="255"/>
    </w:p>
    <w:p w14:paraId="05699C30">
      <w:pPr>
        <w:widowControl w:val="0"/>
        <w:tabs>
          <w:tab w:val="left" w:pos="142"/>
        </w:tabs>
        <w:autoSpaceDE w:val="0"/>
        <w:autoSpaceDN w:val="0"/>
        <w:adjustRightInd w:val="0"/>
        <w:snapToGrid w:val="0"/>
        <w:spacing w:before="0" w:beforeLines="0" w:after="0" w:afterLines="0" w:line="360" w:lineRule="auto"/>
        <w:ind w:firstLine="480" w:firstLineChars="200"/>
        <w:textAlignment w:val="baseline"/>
        <w:rPr>
          <w:rFonts w:hint="eastAsia" w:ascii="Times New Roman" w:hAnsi="Times New Roman" w:eastAsia="方正仿宋_GBK" w:cs="Times New Roman"/>
          <w:color w:val="auto"/>
          <w:kern w:val="0"/>
          <w:sz w:val="24"/>
          <w:szCs w:val="24"/>
          <w:highlight w:val="none"/>
        </w:rPr>
      </w:pPr>
      <w:r>
        <w:rPr>
          <w:rFonts w:hint="eastAsia" w:ascii="Times New Roman" w:hAnsi="Times New Roman" w:eastAsia="方正仿宋_GBK" w:cs="Times New Roman"/>
          <w:color w:val="auto"/>
          <w:kern w:val="0"/>
          <w:sz w:val="24"/>
          <w:szCs w:val="24"/>
          <w:highlight w:val="none"/>
        </w:rPr>
        <w:t>1.本项目为</w:t>
      </w:r>
      <w:r>
        <w:rPr>
          <w:rFonts w:hint="eastAsia" w:ascii="Times New Roman" w:hAnsi="Times New Roman" w:eastAsia="方正仿宋_GBK" w:cs="Times New Roman"/>
          <w:color w:val="auto"/>
          <w:kern w:val="0"/>
          <w:sz w:val="24"/>
          <w:szCs w:val="24"/>
          <w:highlight w:val="none"/>
          <w:lang w:eastAsia="zh-CN"/>
        </w:rPr>
        <w:t>“依照收支两条线管理、表现为政府付费形式</w:t>
      </w:r>
      <w:r>
        <w:rPr>
          <w:rFonts w:hint="eastAsia" w:ascii="Times New Roman" w:hAnsi="Times New Roman" w:eastAsia="方正仿宋_GBK" w:cs="Times New Roman"/>
          <w:color w:val="auto"/>
          <w:kern w:val="0"/>
          <w:sz w:val="24"/>
          <w:szCs w:val="24"/>
          <w:highlight w:val="none"/>
          <w:lang w:val="en-US" w:eastAsia="zh-CN"/>
        </w:rPr>
        <w:t>的</w:t>
      </w:r>
      <w:r>
        <w:rPr>
          <w:rFonts w:hint="eastAsia" w:ascii="Times New Roman" w:hAnsi="Times New Roman" w:eastAsia="方正仿宋_GBK" w:cs="Times New Roman"/>
          <w:color w:val="auto"/>
          <w:kern w:val="0"/>
          <w:sz w:val="24"/>
          <w:szCs w:val="24"/>
          <w:highlight w:val="none"/>
        </w:rPr>
        <w:t>完全使用者付费项目</w:t>
      </w:r>
      <w:r>
        <w:rPr>
          <w:rFonts w:hint="eastAsia" w:ascii="Times New Roman" w:hAnsi="Times New Roman" w:eastAsia="方正仿宋_GBK" w:cs="Times New Roman"/>
          <w:color w:val="auto"/>
          <w:kern w:val="0"/>
          <w:sz w:val="24"/>
          <w:szCs w:val="24"/>
          <w:highlight w:val="none"/>
          <w:lang w:eastAsia="zh-CN"/>
        </w:rPr>
        <w:t>”</w:t>
      </w:r>
      <w:r>
        <w:rPr>
          <w:rFonts w:hint="eastAsia" w:ascii="Times New Roman" w:hAnsi="Times New Roman" w:eastAsia="方正仿宋_GBK" w:cs="Times New Roman"/>
          <w:color w:val="auto"/>
          <w:kern w:val="0"/>
          <w:sz w:val="24"/>
          <w:szCs w:val="24"/>
          <w:highlight w:val="none"/>
        </w:rPr>
        <w:t>，无财政</w:t>
      </w:r>
      <w:r>
        <w:rPr>
          <w:rFonts w:hint="eastAsia" w:ascii="Times New Roman" w:hAnsi="Times New Roman" w:eastAsia="方正仿宋_GBK" w:cs="Times New Roman"/>
          <w:color w:val="auto"/>
          <w:kern w:val="0"/>
          <w:sz w:val="24"/>
          <w:szCs w:val="24"/>
          <w:highlight w:val="none"/>
          <w:lang w:val="en-US" w:eastAsia="zh-CN"/>
        </w:rPr>
        <w:t>额外</w:t>
      </w:r>
      <w:r>
        <w:rPr>
          <w:rFonts w:hint="eastAsia" w:ascii="Times New Roman" w:hAnsi="Times New Roman" w:eastAsia="方正仿宋_GBK" w:cs="Times New Roman"/>
          <w:color w:val="auto"/>
          <w:kern w:val="0"/>
          <w:sz w:val="24"/>
          <w:szCs w:val="24"/>
          <w:highlight w:val="none"/>
        </w:rPr>
        <w:t>补贴、无保底水量、无保底收益。乙方收益来源为甲方支付的污水处理服务费。</w:t>
      </w:r>
    </w:p>
    <w:p w14:paraId="5006DE9C">
      <w:pPr>
        <w:widowControl w:val="0"/>
        <w:autoSpaceDE w:val="0"/>
        <w:autoSpaceDN w:val="0"/>
        <w:adjustRightInd w:val="0"/>
        <w:snapToGrid w:val="0"/>
        <w:spacing w:before="50" w:beforeLines="50" w:after="50" w:afterLines="50" w:line="360" w:lineRule="auto"/>
        <w:ind w:firstLine="480" w:firstLineChars="200"/>
        <w:textAlignment w:val="baseline"/>
        <w:rPr>
          <w:rFonts w:hint="eastAsia" w:ascii="Times New Roman" w:hAnsi="Times New Roman" w:eastAsia="方正仿宋_GBK" w:cs="Times New Roman"/>
          <w:color w:val="auto"/>
          <w:kern w:val="0"/>
          <w:sz w:val="24"/>
          <w:szCs w:val="24"/>
          <w:highlight w:val="none"/>
        </w:rPr>
      </w:pPr>
      <w:r>
        <w:rPr>
          <w:rFonts w:hint="eastAsia" w:ascii="Times New Roman" w:hAnsi="Times New Roman" w:eastAsia="方正仿宋_GBK" w:cs="Times New Roman"/>
          <w:color w:val="auto"/>
          <w:kern w:val="0"/>
          <w:sz w:val="24"/>
          <w:szCs w:val="24"/>
          <w:highlight w:val="none"/>
        </w:rPr>
        <w:t>2.甲方根据乙方实际达标处理水量、绩效考核结果按</w:t>
      </w:r>
      <w:r>
        <w:rPr>
          <w:rFonts w:hint="default" w:ascii="Times New Roman" w:hAnsi="Times New Roman" w:eastAsia="方正仿宋_GBK" w:cs="Times New Roman"/>
          <w:b w:val="0"/>
          <w:bCs w:val="0"/>
          <w:color w:val="auto"/>
          <w:kern w:val="0"/>
          <w:sz w:val="24"/>
          <w:szCs w:val="24"/>
          <w:highlight w:val="none"/>
          <w:lang w:val="en-US" w:eastAsia="zh-CN"/>
        </w:rPr>
        <w:t>季度</w:t>
      </w:r>
      <w:r>
        <w:rPr>
          <w:rFonts w:hint="eastAsia" w:ascii="Times New Roman" w:hAnsi="Times New Roman" w:eastAsia="方正仿宋_GBK" w:cs="Times New Roman"/>
          <w:color w:val="auto"/>
          <w:kern w:val="0"/>
          <w:sz w:val="24"/>
          <w:szCs w:val="24"/>
          <w:highlight w:val="none"/>
        </w:rPr>
        <w:t>支付</w:t>
      </w:r>
      <w:r>
        <w:rPr>
          <w:rFonts w:hint="eastAsia" w:ascii="Times New Roman" w:hAnsi="Times New Roman" w:eastAsia="方正仿宋_GBK" w:cs="Times New Roman"/>
          <w:color w:val="auto"/>
          <w:kern w:val="0"/>
          <w:sz w:val="24"/>
          <w:szCs w:val="24"/>
          <w:highlight w:val="none"/>
          <w:lang w:val="en-US" w:eastAsia="zh-CN"/>
        </w:rPr>
        <w:t>污水处理</w:t>
      </w:r>
      <w:r>
        <w:rPr>
          <w:rFonts w:hint="eastAsia" w:ascii="Times New Roman" w:hAnsi="Times New Roman" w:eastAsia="方正仿宋_GBK" w:cs="Times New Roman"/>
          <w:color w:val="auto"/>
          <w:kern w:val="0"/>
          <w:sz w:val="24"/>
          <w:szCs w:val="24"/>
          <w:highlight w:val="none"/>
        </w:rPr>
        <w:t>服务费。</w:t>
      </w:r>
    </w:p>
    <w:p w14:paraId="56025325">
      <w:pPr>
        <w:widowControl w:val="0"/>
        <w:autoSpaceDE w:val="0"/>
        <w:autoSpaceDN w:val="0"/>
        <w:adjustRightInd w:val="0"/>
        <w:snapToGrid w:val="0"/>
        <w:spacing w:before="50" w:beforeLines="50" w:after="50" w:afterLines="50" w:line="360" w:lineRule="auto"/>
        <w:ind w:firstLine="480" w:firstLineChars="200"/>
        <w:textAlignment w:val="baseline"/>
        <w:rPr>
          <w:rFonts w:hint="default" w:ascii="Times New Roman" w:hAnsi="Times New Roman" w:eastAsia="方正仿宋_GBK"/>
          <w:caps w:val="0"/>
          <w:smallCaps w:val="0"/>
          <w:color w:val="auto"/>
          <w:kern w:val="0"/>
          <w:sz w:val="28"/>
          <w:szCs w:val="32"/>
          <w:highlight w:val="none"/>
        </w:rPr>
      </w:pPr>
      <w:r>
        <w:rPr>
          <w:rFonts w:hint="default" w:ascii="Times New Roman" w:hAnsi="Times New Roman" w:eastAsia="方正仿宋_GBK" w:cs="Times New Roman"/>
          <w:caps w:val="0"/>
          <w:smallCaps w:val="0"/>
          <w:color w:val="auto"/>
          <w:kern w:val="0"/>
          <w:sz w:val="24"/>
          <w:szCs w:val="24"/>
          <w:highlight w:val="none"/>
          <w:lang w:val="en-US" w:eastAsia="zh-CN" w:bidi="ar-SA"/>
        </w:rPr>
        <w:t>3</w:t>
      </w:r>
      <w:r>
        <w:rPr>
          <w:rFonts w:hint="eastAsia" w:ascii="Times New Roman" w:hAnsi="Times New Roman" w:eastAsia="方正仿宋_GBK" w:cs="Times New Roman"/>
          <w:caps w:val="0"/>
          <w:smallCaps w:val="0"/>
          <w:color w:val="auto"/>
          <w:kern w:val="0"/>
          <w:sz w:val="24"/>
          <w:szCs w:val="24"/>
          <w:highlight w:val="none"/>
          <w:lang w:val="en-US" w:eastAsia="zh-CN" w:bidi="ar-SA"/>
        </w:rPr>
        <w:t>.除污水处理服务费外，</w:t>
      </w:r>
      <w:r>
        <w:rPr>
          <w:rFonts w:hint="eastAsia" w:ascii="Times New Roman" w:hAnsi="Times New Roman" w:eastAsia="方正仿宋_GBK" w:cs="Times New Roman"/>
          <w:caps w:val="0"/>
          <w:smallCaps w:val="0"/>
          <w:color w:val="auto"/>
          <w:kern w:val="0"/>
          <w:sz w:val="24"/>
          <w:szCs w:val="24"/>
          <w:highlight w:val="none"/>
          <w:lang w:val="en-US" w:eastAsia="zh-CN"/>
        </w:rPr>
        <w:t>经甲方同意</w:t>
      </w:r>
      <w:r>
        <w:rPr>
          <w:rFonts w:hint="default" w:ascii="Times New Roman" w:hAnsi="Times New Roman" w:eastAsia="方正仿宋_GBK" w:cs="Times New Roman"/>
          <w:caps w:val="0"/>
          <w:smallCaps w:val="0"/>
          <w:color w:val="auto"/>
          <w:kern w:val="0"/>
          <w:sz w:val="24"/>
          <w:szCs w:val="24"/>
          <w:highlight w:val="none"/>
        </w:rPr>
        <w:t>，</w:t>
      </w:r>
      <w:r>
        <w:rPr>
          <w:rFonts w:hint="eastAsia" w:ascii="Times New Roman" w:hAnsi="Times New Roman" w:eastAsia="方正仿宋_GBK" w:cs="Times New Roman"/>
          <w:caps w:val="0"/>
          <w:smallCaps w:val="0"/>
          <w:color w:val="auto"/>
          <w:kern w:val="0"/>
          <w:sz w:val="24"/>
          <w:szCs w:val="24"/>
          <w:highlight w:val="none"/>
          <w:lang w:val="en-US" w:eastAsia="zh-CN"/>
        </w:rPr>
        <w:t>乙方可以经营再生水销售，产生的收入双方另行协商分配</w:t>
      </w:r>
      <w:r>
        <w:rPr>
          <w:rFonts w:hint="default" w:ascii="Times New Roman" w:hAnsi="Times New Roman" w:eastAsia="方正仿宋_GBK" w:cs="Times New Roman"/>
          <w:caps w:val="0"/>
          <w:smallCaps w:val="0"/>
          <w:color w:val="auto"/>
          <w:kern w:val="0"/>
          <w:sz w:val="24"/>
          <w:szCs w:val="24"/>
          <w:highlight w:val="none"/>
        </w:rPr>
        <w:t>。</w:t>
      </w:r>
    </w:p>
    <w:p w14:paraId="36284803">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256" w:name="_Toc402428953"/>
      <w:bookmarkStart w:id="257" w:name="_Toc25561"/>
      <w:bookmarkStart w:id="258" w:name="_Toc405146874"/>
      <w:bookmarkStart w:id="259" w:name="_Toc29557"/>
      <w:bookmarkStart w:id="260" w:name="_Toc965657965"/>
      <w:r>
        <w:rPr>
          <w:rFonts w:hint="eastAsia" w:ascii="Times New Roman" w:hAnsi="Times New Roman" w:eastAsia="方正黑体_GBK" w:cs="方正黑体_GBK"/>
          <w:bCs/>
          <w:caps w:val="0"/>
          <w:smallCaps w:val="0"/>
          <w:color w:val="auto"/>
          <w:kern w:val="2"/>
          <w:sz w:val="28"/>
          <w:szCs w:val="28"/>
          <w:highlight w:val="none"/>
          <w:lang w:val="en-US" w:eastAsia="zh-CN" w:bidi="ar-SA"/>
        </w:rPr>
        <w:t>第40条 服务</w:t>
      </w:r>
      <w:bookmarkEnd w:id="256"/>
      <w:bookmarkStart w:id="261" w:name="_Toc402428954"/>
      <w:r>
        <w:rPr>
          <w:rFonts w:hint="eastAsia" w:ascii="Times New Roman" w:hAnsi="Times New Roman" w:eastAsia="方正黑体_GBK" w:cs="方正黑体_GBK"/>
          <w:bCs/>
          <w:caps w:val="0"/>
          <w:smallCaps w:val="0"/>
          <w:color w:val="auto"/>
          <w:kern w:val="2"/>
          <w:sz w:val="28"/>
          <w:szCs w:val="28"/>
          <w:highlight w:val="none"/>
          <w:lang w:val="en-US" w:eastAsia="zh-CN" w:bidi="ar-SA"/>
        </w:rPr>
        <w:t>价格及调整</w:t>
      </w:r>
      <w:bookmarkEnd w:id="257"/>
      <w:bookmarkEnd w:id="258"/>
      <w:bookmarkEnd w:id="259"/>
      <w:bookmarkEnd w:id="260"/>
      <w:bookmarkEnd w:id="261"/>
    </w:p>
    <w:p w14:paraId="357D4B94">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after="0" w:afterLines="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caps w:val="0"/>
          <w:smallCaps w:val="0"/>
          <w:color w:val="auto"/>
          <w:kern w:val="0"/>
          <w:sz w:val="24"/>
          <w:szCs w:val="24"/>
          <w:highlight w:val="none"/>
          <w:lang w:eastAsia="zh-CN"/>
        </w:rPr>
        <w:t>（</w:t>
      </w:r>
      <w:r>
        <w:rPr>
          <w:rFonts w:hint="default" w:ascii="Times New Roman" w:hAnsi="Times New Roman" w:eastAsia="方正仿宋_GBK" w:cs="Times New Roman"/>
          <w:caps w:val="0"/>
          <w:smallCaps w:val="0"/>
          <w:color w:val="auto"/>
          <w:kern w:val="0"/>
          <w:sz w:val="24"/>
          <w:szCs w:val="24"/>
          <w:highlight w:val="none"/>
          <w:lang w:val="en-US" w:eastAsia="zh-CN"/>
        </w:rPr>
        <w:t>1</w:t>
      </w:r>
      <w:r>
        <w:rPr>
          <w:rFonts w:hint="default" w:ascii="Times New Roman" w:hAnsi="Times New Roman" w:eastAsia="方正仿宋_GBK" w:cs="Times New Roman"/>
          <w:caps w:val="0"/>
          <w:smallCaps w:val="0"/>
          <w:color w:val="auto"/>
          <w:kern w:val="0"/>
          <w:sz w:val="24"/>
          <w:szCs w:val="24"/>
          <w:highlight w:val="none"/>
          <w:lang w:eastAsia="zh-CN"/>
        </w:rPr>
        <w:t>）</w:t>
      </w:r>
      <w:r>
        <w:rPr>
          <w:rFonts w:hint="default" w:ascii="Times New Roman" w:hAnsi="Times New Roman" w:eastAsia="方正仿宋_GBK" w:cs="Times New Roman"/>
          <w:caps w:val="0"/>
          <w:smallCaps w:val="0"/>
          <w:color w:val="auto"/>
          <w:kern w:val="0"/>
          <w:sz w:val="24"/>
          <w:szCs w:val="24"/>
          <w:highlight w:val="none"/>
        </w:rPr>
        <w:t>付费水量</w:t>
      </w:r>
    </w:p>
    <w:p w14:paraId="401621F9">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caps w:val="0"/>
          <w:smallCaps w:val="0"/>
          <w:color w:val="auto"/>
          <w:kern w:val="0"/>
          <w:sz w:val="24"/>
          <w:szCs w:val="24"/>
          <w:highlight w:val="none"/>
        </w:rPr>
        <w:t>在运营期内的任一</w:t>
      </w:r>
      <w:r>
        <w:rPr>
          <w:rFonts w:hint="default" w:ascii="Times New Roman" w:hAnsi="Times New Roman" w:eastAsia="方正仿宋_GBK" w:cs="Times New Roman"/>
          <w:caps w:val="0"/>
          <w:smallCaps w:val="0"/>
          <w:color w:val="auto"/>
          <w:kern w:val="0"/>
          <w:sz w:val="24"/>
          <w:szCs w:val="24"/>
          <w:highlight w:val="none"/>
          <w:lang w:val="en-US" w:eastAsia="zh-CN"/>
        </w:rPr>
        <w:t>季度</w:t>
      </w:r>
      <w:r>
        <w:rPr>
          <w:rFonts w:hint="default" w:ascii="Times New Roman" w:hAnsi="Times New Roman" w:eastAsia="方正仿宋_GBK" w:cs="Times New Roman"/>
          <w:caps w:val="0"/>
          <w:smallCaps w:val="0"/>
          <w:color w:val="auto"/>
          <w:kern w:val="0"/>
          <w:sz w:val="24"/>
          <w:szCs w:val="24"/>
          <w:highlight w:val="none"/>
        </w:rPr>
        <w:t>，甲方支付污水处理服务费的水量为乙方实际处理并达到出水水质标准的水量。</w:t>
      </w:r>
    </w:p>
    <w:p w14:paraId="4706856B">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after="0" w:afterLines="0" w:line="360" w:lineRule="auto"/>
        <w:ind w:firstLine="480" w:firstLineChars="200"/>
        <w:textAlignment w:val="baseline"/>
        <w:rPr>
          <w:rFonts w:hint="default" w:ascii="Times New Roman" w:hAnsi="Times New Roman" w:eastAsia="方正仿宋_GBK" w:cs="Times New Roman"/>
          <w:caps w:val="0"/>
          <w:smallCaps w:val="0"/>
          <w:color w:val="auto"/>
          <w:kern w:val="2"/>
          <w:sz w:val="24"/>
          <w:szCs w:val="24"/>
          <w:highlight w:val="none"/>
        </w:rPr>
      </w:pPr>
      <w:r>
        <w:rPr>
          <w:rFonts w:hint="default" w:ascii="Times New Roman" w:hAnsi="Times New Roman" w:eastAsia="方正仿宋_GBK" w:cs="Times New Roman"/>
          <w:caps w:val="0"/>
          <w:smallCaps w:val="0"/>
          <w:color w:val="auto"/>
          <w:kern w:val="0"/>
          <w:sz w:val="24"/>
          <w:szCs w:val="24"/>
          <w:highlight w:val="none"/>
          <w:lang w:eastAsia="zh-CN"/>
        </w:rPr>
        <w:t>（</w:t>
      </w:r>
      <w:r>
        <w:rPr>
          <w:rFonts w:hint="default" w:ascii="Times New Roman" w:hAnsi="Times New Roman" w:eastAsia="方正仿宋_GBK" w:cs="Times New Roman"/>
          <w:caps w:val="0"/>
          <w:smallCaps w:val="0"/>
          <w:color w:val="auto"/>
          <w:kern w:val="0"/>
          <w:sz w:val="24"/>
          <w:szCs w:val="24"/>
          <w:highlight w:val="none"/>
          <w:lang w:val="en-US" w:eastAsia="zh-CN"/>
        </w:rPr>
        <w:t>2</w:t>
      </w:r>
      <w:r>
        <w:rPr>
          <w:rFonts w:hint="default" w:ascii="Times New Roman" w:hAnsi="Times New Roman" w:eastAsia="方正仿宋_GBK" w:cs="Times New Roman"/>
          <w:caps w:val="0"/>
          <w:smallCaps w:val="0"/>
          <w:color w:val="auto"/>
          <w:kern w:val="0"/>
          <w:sz w:val="24"/>
          <w:szCs w:val="24"/>
          <w:highlight w:val="none"/>
          <w:lang w:eastAsia="zh-CN"/>
        </w:rPr>
        <w:t>）</w:t>
      </w:r>
      <w:r>
        <w:rPr>
          <w:rFonts w:hint="default" w:ascii="Times New Roman" w:hAnsi="Times New Roman" w:eastAsia="方正仿宋_GBK" w:cs="Times New Roman"/>
          <w:caps w:val="0"/>
          <w:smallCaps w:val="0"/>
          <w:color w:val="auto"/>
          <w:kern w:val="0"/>
          <w:sz w:val="24"/>
          <w:szCs w:val="24"/>
          <w:highlight w:val="none"/>
        </w:rPr>
        <w:t>污水</w:t>
      </w:r>
      <w:r>
        <w:rPr>
          <w:rFonts w:hint="default" w:ascii="Times New Roman" w:hAnsi="Times New Roman" w:eastAsia="方正仿宋_GBK" w:cs="Times New Roman"/>
          <w:caps w:val="0"/>
          <w:smallCaps w:val="0"/>
          <w:color w:val="auto"/>
          <w:kern w:val="2"/>
          <w:sz w:val="24"/>
          <w:szCs w:val="24"/>
          <w:highlight w:val="none"/>
        </w:rPr>
        <w:t>处理服务费单价及调整</w:t>
      </w:r>
    </w:p>
    <w:p w14:paraId="10DF85C9">
      <w:pPr>
        <w:keepNext w:val="0"/>
        <w:keepLines w:val="0"/>
        <w:pageBreakBefore w:val="0"/>
        <w:widowControl w:val="0"/>
        <w:numPr>
          <w:ilvl w:val="0"/>
          <w:numId w:val="0"/>
        </w:numPr>
        <w:kinsoku/>
        <w:wordWrap/>
        <w:overflowPunct/>
        <w:topLinePunct w:val="0"/>
        <w:bidi w:val="0"/>
        <w:adjustRightInd w:val="0"/>
        <w:snapToGrid w:val="0"/>
        <w:spacing w:before="0" w:beforeLines="0" w:after="0" w:afterLines="0" w:line="360" w:lineRule="auto"/>
        <w:ind w:firstLine="567" w:firstLineChars="0"/>
        <w:jc w:val="both"/>
        <w:rPr>
          <w:rFonts w:hint="eastAsia" w:ascii="Times New Roman" w:hAnsi="Times New Roman" w:eastAsia="方正仿宋_GBK" w:cs="Times New Roman"/>
          <w:caps w:val="0"/>
          <w:smallCaps w:val="0"/>
          <w:color w:val="auto"/>
          <w:kern w:val="2"/>
          <w:sz w:val="24"/>
          <w:szCs w:val="24"/>
          <w:highlight w:val="none"/>
          <w:lang w:val="en-US" w:eastAsia="zh-CN" w:bidi="ar-SA"/>
        </w:rPr>
      </w:pPr>
      <w:r>
        <w:rPr>
          <w:rFonts w:hint="default" w:ascii="Times New Roman" w:hAnsi="Times New Roman" w:eastAsia="方正仿宋_GBK" w:cs="Times New Roman"/>
          <w:caps w:val="0"/>
          <w:smallCaps w:val="0"/>
          <w:color w:val="auto"/>
          <w:kern w:val="2"/>
          <w:sz w:val="24"/>
          <w:szCs w:val="24"/>
          <w:highlight w:val="none"/>
          <w:lang w:val="en-US" w:eastAsia="zh-CN" w:bidi="ar-SA"/>
        </w:rPr>
        <w:t>a.特许经营期初污水处理服务费单价为初始污水处理服务费单价×（1－中标优惠率）</w:t>
      </w:r>
      <w:r>
        <w:rPr>
          <w:rFonts w:hint="eastAsia" w:ascii="Times New Roman" w:hAnsi="Times New Roman" w:eastAsia="方正仿宋_GBK" w:cs="Times New Roman"/>
          <w:caps w:val="0"/>
          <w:smallCaps w:val="0"/>
          <w:color w:val="auto"/>
          <w:kern w:val="2"/>
          <w:sz w:val="24"/>
          <w:szCs w:val="24"/>
          <w:highlight w:val="none"/>
          <w:lang w:val="en-US" w:eastAsia="zh-CN" w:bidi="ar-SA"/>
        </w:rPr>
        <w:t>。其中，初始污水处理服务费单价为1.63元/m</w:t>
      </w:r>
      <w:r>
        <w:rPr>
          <w:rFonts w:hint="eastAsia" w:ascii="Times New Roman" w:hAnsi="Times New Roman" w:eastAsia="方正仿宋_GBK" w:cs="Times New Roman"/>
          <w:caps w:val="0"/>
          <w:smallCaps w:val="0"/>
          <w:color w:val="auto"/>
          <w:kern w:val="2"/>
          <w:sz w:val="24"/>
          <w:szCs w:val="24"/>
          <w:highlight w:val="none"/>
          <w:vertAlign w:val="superscript"/>
          <w:lang w:val="en-US" w:eastAsia="zh-CN" w:bidi="ar-SA"/>
        </w:rPr>
        <w:t>3</w:t>
      </w:r>
      <w:r>
        <w:rPr>
          <w:rFonts w:hint="eastAsia" w:ascii="Times New Roman" w:hAnsi="Times New Roman" w:eastAsia="方正仿宋_GBK" w:cs="Times New Roman"/>
          <w:caps w:val="0"/>
          <w:smallCaps w:val="0"/>
          <w:color w:val="auto"/>
          <w:kern w:val="2"/>
          <w:sz w:val="24"/>
          <w:szCs w:val="24"/>
          <w:highlight w:val="none"/>
          <w:lang w:val="en-US" w:eastAsia="zh-CN" w:bidi="ar-SA"/>
        </w:rPr>
        <w:t>，中标优惠率为</w:t>
      </w:r>
      <w:r>
        <w:rPr>
          <w:rFonts w:hint="eastAsia" w:ascii="Times New Roman" w:hAnsi="Times New Roman" w:eastAsia="方正仿宋_GBK" w:cs="Times New Roman"/>
          <w:caps w:val="0"/>
          <w:smallCaps w:val="0"/>
          <w:color w:val="auto"/>
          <w:kern w:val="2"/>
          <w:sz w:val="24"/>
          <w:szCs w:val="24"/>
          <w:highlight w:val="none"/>
          <w:u w:val="single"/>
          <w:lang w:val="en-US" w:eastAsia="zh-CN" w:bidi="ar-SA"/>
        </w:rPr>
        <w:t xml:space="preserve">    </w:t>
      </w:r>
      <w:r>
        <w:rPr>
          <w:rFonts w:hint="eastAsia" w:ascii="Times New Roman" w:hAnsi="Times New Roman" w:eastAsia="方正仿宋_GBK" w:cs="Times New Roman"/>
          <w:caps w:val="0"/>
          <w:smallCaps w:val="0"/>
          <w:color w:val="auto"/>
          <w:kern w:val="2"/>
          <w:sz w:val="24"/>
          <w:szCs w:val="24"/>
          <w:highlight w:val="none"/>
          <w:lang w:val="en-US" w:eastAsia="zh-CN" w:bidi="ar-SA"/>
        </w:rPr>
        <w:t>%。</w:t>
      </w:r>
    </w:p>
    <w:p w14:paraId="5957D1B9">
      <w:pPr>
        <w:keepNext w:val="0"/>
        <w:keepLines w:val="0"/>
        <w:pageBreakBefore w:val="0"/>
        <w:widowControl w:val="0"/>
        <w:numPr>
          <w:ilvl w:val="0"/>
          <w:numId w:val="0"/>
        </w:numPr>
        <w:kinsoku/>
        <w:wordWrap/>
        <w:overflowPunct/>
        <w:topLinePunct w:val="0"/>
        <w:bidi w:val="0"/>
        <w:adjustRightInd w:val="0"/>
        <w:snapToGrid w:val="0"/>
        <w:spacing w:before="0" w:beforeLines="0" w:after="0" w:afterLines="0" w:line="360" w:lineRule="auto"/>
        <w:ind w:firstLine="567" w:firstLineChars="0"/>
        <w:jc w:val="both"/>
        <w:rPr>
          <w:rFonts w:hint="default" w:ascii="Times New Roman" w:hAnsi="Times New Roman" w:eastAsia="方正仿宋_GBK" w:cs="Times New Roman"/>
          <w:caps w:val="0"/>
          <w:smallCaps w:val="0"/>
          <w:color w:val="auto"/>
          <w:kern w:val="0"/>
          <w:sz w:val="24"/>
          <w:szCs w:val="24"/>
          <w:highlight w:val="none"/>
          <w:lang w:val="en-US" w:eastAsia="zh-CN" w:bidi="ar-SA"/>
        </w:rPr>
      </w:pPr>
      <w:r>
        <w:rPr>
          <w:rFonts w:hint="default" w:ascii="Times New Roman" w:hAnsi="Times New Roman" w:eastAsia="方正仿宋_GBK" w:cs="Times New Roman"/>
          <w:caps w:val="0"/>
          <w:smallCaps w:val="0"/>
          <w:color w:val="auto"/>
          <w:kern w:val="0"/>
          <w:sz w:val="24"/>
          <w:szCs w:val="24"/>
          <w:highlight w:val="none"/>
          <w:lang w:val="en-US" w:eastAsia="zh-CN" w:bidi="ar-SA"/>
        </w:rPr>
        <w:t>b.物价因素影响污水处理服务费情况下，污水处理服务费单价在运营期内每间隔3年开展一次</w:t>
      </w:r>
      <w:r>
        <w:rPr>
          <w:rFonts w:hint="eastAsia" w:ascii="Times New Roman" w:hAnsi="Times New Roman" w:eastAsia="方正仿宋_GBK" w:cs="Times New Roman"/>
          <w:caps w:val="0"/>
          <w:smallCaps w:val="0"/>
          <w:color w:val="auto"/>
          <w:kern w:val="0"/>
          <w:sz w:val="24"/>
          <w:szCs w:val="24"/>
          <w:highlight w:val="none"/>
          <w:lang w:val="en-US" w:eastAsia="zh-CN" w:bidi="ar-SA"/>
        </w:rPr>
        <w:t>付费</w:t>
      </w:r>
      <w:r>
        <w:rPr>
          <w:rFonts w:hint="default" w:ascii="Times New Roman" w:hAnsi="Times New Roman" w:eastAsia="方正仿宋_GBK" w:cs="Times New Roman"/>
          <w:caps w:val="0"/>
          <w:smallCaps w:val="0"/>
          <w:color w:val="auto"/>
          <w:kern w:val="0"/>
          <w:sz w:val="24"/>
          <w:szCs w:val="24"/>
          <w:highlight w:val="none"/>
          <w:lang w:val="en-US" w:eastAsia="zh-CN" w:bidi="ar-SA"/>
        </w:rPr>
        <w:t>成本</w:t>
      </w:r>
      <w:r>
        <w:rPr>
          <w:rFonts w:hint="eastAsia" w:ascii="Times New Roman" w:hAnsi="Times New Roman" w:eastAsia="方正仿宋_GBK" w:cs="Times New Roman"/>
          <w:caps w:val="0"/>
          <w:smallCaps w:val="0"/>
          <w:color w:val="auto"/>
          <w:kern w:val="0"/>
          <w:sz w:val="24"/>
          <w:szCs w:val="24"/>
          <w:highlight w:val="none"/>
          <w:lang w:val="en-US" w:eastAsia="zh-CN" w:bidi="ar-SA"/>
        </w:rPr>
        <w:t>审计核定</w:t>
      </w:r>
      <w:r>
        <w:rPr>
          <w:rFonts w:hint="default" w:ascii="Times New Roman" w:hAnsi="Times New Roman" w:eastAsia="方正仿宋_GBK" w:cs="Times New Roman"/>
          <w:caps w:val="0"/>
          <w:smallCaps w:val="0"/>
          <w:color w:val="auto"/>
          <w:kern w:val="0"/>
          <w:sz w:val="24"/>
          <w:szCs w:val="24"/>
          <w:highlight w:val="none"/>
          <w:lang w:val="en-US" w:eastAsia="zh-CN" w:bidi="ar-SA"/>
        </w:rPr>
        <w:t>工作</w:t>
      </w:r>
      <w:r>
        <w:rPr>
          <w:rFonts w:hint="eastAsia" w:ascii="Times New Roman" w:hAnsi="Times New Roman" w:eastAsia="方正仿宋_GBK" w:cs="Times New Roman"/>
          <w:caps w:val="0"/>
          <w:smallCaps w:val="0"/>
          <w:color w:val="auto"/>
          <w:kern w:val="0"/>
          <w:sz w:val="24"/>
          <w:szCs w:val="24"/>
          <w:highlight w:val="none"/>
          <w:lang w:val="en-US" w:eastAsia="zh-CN" w:bidi="ar-SA"/>
        </w:rPr>
        <w:t>并</w:t>
      </w:r>
      <w:r>
        <w:rPr>
          <w:rFonts w:hint="default" w:ascii="Times New Roman" w:hAnsi="Times New Roman" w:eastAsia="方正仿宋_GBK" w:cs="Times New Roman"/>
          <w:caps w:val="0"/>
          <w:smallCaps w:val="0"/>
          <w:color w:val="auto"/>
          <w:kern w:val="0"/>
          <w:sz w:val="24"/>
          <w:szCs w:val="24"/>
          <w:highlight w:val="none"/>
          <w:lang w:val="en-US" w:eastAsia="zh-CN" w:bidi="ar-SA"/>
        </w:rPr>
        <w:t>按本协议约定的方法进行调整和执行。污水处理服务费单价调整方法详见附件</w:t>
      </w:r>
      <w:r>
        <w:rPr>
          <w:rFonts w:hint="eastAsia" w:ascii="Times New Roman" w:hAnsi="Times New Roman" w:eastAsia="方正仿宋_GBK" w:cs="Times New Roman"/>
          <w:caps w:val="0"/>
          <w:smallCaps w:val="0"/>
          <w:color w:val="auto"/>
          <w:kern w:val="0"/>
          <w:sz w:val="24"/>
          <w:szCs w:val="24"/>
          <w:highlight w:val="none"/>
          <w:lang w:val="en-US" w:eastAsia="zh-CN" w:bidi="ar-SA"/>
        </w:rPr>
        <w:t>3</w:t>
      </w:r>
      <w:r>
        <w:rPr>
          <w:rFonts w:hint="default" w:ascii="Times New Roman" w:hAnsi="Times New Roman" w:eastAsia="方正仿宋_GBK" w:cs="Times New Roman"/>
          <w:caps w:val="0"/>
          <w:smallCaps w:val="0"/>
          <w:color w:val="auto"/>
          <w:kern w:val="0"/>
          <w:sz w:val="24"/>
          <w:szCs w:val="24"/>
          <w:highlight w:val="none"/>
          <w:lang w:val="en-US" w:eastAsia="zh-CN" w:bidi="ar-SA"/>
        </w:rPr>
        <w:t>。</w:t>
      </w:r>
    </w:p>
    <w:p w14:paraId="04DC9319">
      <w:pPr>
        <w:keepNext w:val="0"/>
        <w:keepLines w:val="0"/>
        <w:pageBreakBefore w:val="0"/>
        <w:widowControl w:val="0"/>
        <w:numPr>
          <w:ilvl w:val="0"/>
          <w:numId w:val="0"/>
        </w:numPr>
        <w:kinsoku/>
        <w:wordWrap/>
        <w:overflowPunct/>
        <w:topLinePunct w:val="0"/>
        <w:bidi w:val="0"/>
        <w:adjustRightInd w:val="0"/>
        <w:snapToGrid w:val="0"/>
        <w:spacing w:before="0" w:beforeLines="0" w:after="0" w:afterLines="0" w:line="360" w:lineRule="auto"/>
        <w:ind w:firstLine="567" w:firstLineChars="0"/>
        <w:jc w:val="both"/>
        <w:rPr>
          <w:rFonts w:hint="default" w:ascii="Times New Roman" w:hAnsi="Times New Roman" w:eastAsia="方正仿宋_GBK" w:cs="Times New Roman"/>
          <w:caps w:val="0"/>
          <w:smallCaps w:val="0"/>
          <w:color w:val="auto"/>
          <w:kern w:val="2"/>
          <w:sz w:val="24"/>
          <w:szCs w:val="24"/>
          <w:highlight w:val="none"/>
          <w:lang w:val="en-US" w:eastAsia="zh-CN" w:bidi="ar-SA"/>
        </w:rPr>
      </w:pPr>
      <w:r>
        <w:rPr>
          <w:rFonts w:hint="default" w:ascii="Times New Roman" w:hAnsi="Times New Roman" w:eastAsia="方正仿宋_GBK" w:cs="Times New Roman"/>
          <w:caps w:val="0"/>
          <w:smallCaps w:val="0"/>
          <w:color w:val="auto"/>
          <w:kern w:val="2"/>
          <w:sz w:val="24"/>
          <w:szCs w:val="24"/>
          <w:highlight w:val="none"/>
          <w:lang w:val="en-US" w:eastAsia="zh-CN" w:bidi="ar-SA"/>
        </w:rPr>
        <w:t>c.由于法律、法规或规范发生变更，如国家或地方污水排放标准发生变化</w:t>
      </w:r>
      <w:r>
        <w:rPr>
          <w:rFonts w:hint="eastAsia" w:ascii="Times New Roman" w:hAnsi="Times New Roman" w:eastAsia="方正仿宋_GBK" w:cs="Times New Roman"/>
          <w:caps w:val="0"/>
          <w:smallCaps w:val="0"/>
          <w:color w:val="auto"/>
          <w:kern w:val="2"/>
          <w:sz w:val="24"/>
          <w:szCs w:val="24"/>
          <w:highlight w:val="none"/>
          <w:lang w:val="en-US" w:eastAsia="zh-CN" w:bidi="ar-SA"/>
        </w:rPr>
        <w:t>，或甲方提出的其他改扩建需求</w:t>
      </w:r>
      <w:r>
        <w:rPr>
          <w:rFonts w:hint="default" w:ascii="Times New Roman" w:hAnsi="Times New Roman" w:eastAsia="方正仿宋_GBK" w:cs="Times New Roman"/>
          <w:caps w:val="0"/>
          <w:smallCaps w:val="0"/>
          <w:color w:val="auto"/>
          <w:kern w:val="2"/>
          <w:sz w:val="24"/>
          <w:szCs w:val="24"/>
          <w:highlight w:val="none"/>
          <w:lang w:val="en-US" w:eastAsia="zh-CN" w:bidi="ar-SA"/>
        </w:rPr>
        <w:t>，双方约定有关价格和费用的具体处理方式按照第33条条款执行。</w:t>
      </w:r>
    </w:p>
    <w:p w14:paraId="41A1498D">
      <w:pPr>
        <w:keepNext w:val="0"/>
        <w:keepLines w:val="0"/>
        <w:pageBreakBefore w:val="0"/>
        <w:widowControl w:val="0"/>
        <w:numPr>
          <w:ilvl w:val="0"/>
          <w:numId w:val="0"/>
        </w:numPr>
        <w:kinsoku/>
        <w:wordWrap/>
        <w:overflowPunct/>
        <w:topLinePunct w:val="0"/>
        <w:bidi w:val="0"/>
        <w:adjustRightInd w:val="0"/>
        <w:snapToGrid w:val="0"/>
        <w:spacing w:before="0" w:beforeLines="0" w:after="0" w:afterLines="0" w:line="360" w:lineRule="auto"/>
        <w:ind w:firstLine="567" w:firstLineChars="0"/>
        <w:jc w:val="both"/>
        <w:rPr>
          <w:rFonts w:hint="default" w:ascii="Times New Roman" w:hAnsi="Times New Roman" w:eastAsia="方正仿宋_GBK" w:cs="Times New Roman"/>
          <w:caps w:val="0"/>
          <w:smallCaps w:val="0"/>
          <w:color w:val="auto"/>
          <w:kern w:val="0"/>
          <w:sz w:val="24"/>
          <w:szCs w:val="24"/>
          <w:highlight w:val="none"/>
          <w:lang w:val="en-US" w:eastAsia="zh-CN" w:bidi="ar-SA"/>
        </w:rPr>
      </w:pPr>
      <w:r>
        <w:rPr>
          <w:rFonts w:hint="eastAsia" w:ascii="Times New Roman" w:hAnsi="Times New Roman" w:eastAsia="方正仿宋_GBK" w:cs="Times New Roman"/>
          <w:caps w:val="0"/>
          <w:smallCaps w:val="0"/>
          <w:color w:val="auto"/>
          <w:kern w:val="0"/>
          <w:sz w:val="24"/>
          <w:szCs w:val="24"/>
          <w:highlight w:val="none"/>
          <w:lang w:val="en-US" w:eastAsia="zh-CN" w:bidi="ar-SA"/>
        </w:rPr>
        <w:t>d.甲方向乙方支付的污水处理服务费包含除污泥运输、处置费及设备重置费外全部费用及税费。污泥运输、处置费由甲方负责与污泥运输、处置单位结算支付，设备重置费的承担及支付按本协议的第32条执行。</w:t>
      </w:r>
    </w:p>
    <w:p w14:paraId="66D98822">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after="0" w:afterLines="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rPr>
      </w:pPr>
      <w:bookmarkStart w:id="262" w:name="_Hlk161668268"/>
      <w:r>
        <w:rPr>
          <w:rFonts w:hint="default" w:ascii="Times New Roman" w:hAnsi="Times New Roman" w:eastAsia="方正仿宋_GBK" w:cs="Times New Roman"/>
          <w:caps w:val="0"/>
          <w:smallCaps w:val="0"/>
          <w:color w:val="auto"/>
          <w:kern w:val="0"/>
          <w:sz w:val="24"/>
          <w:szCs w:val="24"/>
          <w:highlight w:val="none"/>
          <w:lang w:eastAsia="zh-CN"/>
        </w:rPr>
        <w:t>（</w:t>
      </w:r>
      <w:r>
        <w:rPr>
          <w:rFonts w:hint="default" w:ascii="Times New Roman" w:hAnsi="Times New Roman" w:eastAsia="方正仿宋_GBK" w:cs="Times New Roman"/>
          <w:caps w:val="0"/>
          <w:smallCaps w:val="0"/>
          <w:color w:val="auto"/>
          <w:kern w:val="0"/>
          <w:sz w:val="24"/>
          <w:szCs w:val="24"/>
          <w:highlight w:val="none"/>
          <w:lang w:val="en-US" w:eastAsia="zh-CN"/>
        </w:rPr>
        <w:t>3</w:t>
      </w:r>
      <w:r>
        <w:rPr>
          <w:rFonts w:hint="default" w:ascii="Times New Roman" w:hAnsi="Times New Roman" w:eastAsia="方正仿宋_GBK" w:cs="Times New Roman"/>
          <w:caps w:val="0"/>
          <w:smallCaps w:val="0"/>
          <w:color w:val="auto"/>
          <w:kern w:val="0"/>
          <w:sz w:val="24"/>
          <w:szCs w:val="24"/>
          <w:highlight w:val="none"/>
          <w:lang w:eastAsia="zh-CN"/>
        </w:rPr>
        <w:t>）</w:t>
      </w:r>
      <w:r>
        <w:rPr>
          <w:rFonts w:hint="default" w:ascii="Times New Roman" w:hAnsi="Times New Roman" w:eastAsia="方正仿宋_GBK" w:cs="Times New Roman"/>
          <w:caps w:val="0"/>
          <w:smallCaps w:val="0"/>
          <w:color w:val="auto"/>
          <w:kern w:val="0"/>
          <w:sz w:val="24"/>
          <w:szCs w:val="24"/>
          <w:highlight w:val="none"/>
        </w:rPr>
        <w:t>污水处理服务费</w:t>
      </w:r>
      <w:bookmarkEnd w:id="262"/>
      <w:r>
        <w:rPr>
          <w:rFonts w:hint="default" w:ascii="Times New Roman" w:hAnsi="Times New Roman" w:eastAsia="方正仿宋_GBK" w:cs="Times New Roman"/>
          <w:caps w:val="0"/>
          <w:smallCaps w:val="0"/>
          <w:color w:val="auto"/>
          <w:kern w:val="0"/>
          <w:sz w:val="24"/>
          <w:szCs w:val="24"/>
          <w:highlight w:val="none"/>
        </w:rPr>
        <w:t>计算及付款方式</w:t>
      </w:r>
    </w:p>
    <w:p w14:paraId="2FE40E51">
      <w:pPr>
        <w:keepNext w:val="0"/>
        <w:keepLines w:val="0"/>
        <w:pageBreakBefore w:val="0"/>
        <w:widowControl w:val="0"/>
        <w:numPr>
          <w:ilvl w:val="0"/>
          <w:numId w:val="0"/>
        </w:numPr>
        <w:kinsoku/>
        <w:wordWrap/>
        <w:overflowPunct/>
        <w:topLinePunct w:val="0"/>
        <w:bidi w:val="0"/>
        <w:adjustRightInd w:val="0"/>
        <w:snapToGrid w:val="0"/>
        <w:spacing w:before="0" w:beforeLines="0" w:after="0" w:afterLines="0" w:line="360" w:lineRule="auto"/>
        <w:ind w:firstLine="567" w:firstLineChars="0"/>
        <w:jc w:val="both"/>
        <w:rPr>
          <w:rFonts w:hint="default" w:ascii="Times New Roman" w:hAnsi="Times New Roman" w:eastAsia="方正仿宋_GBK" w:cs="Times New Roman"/>
          <w:caps w:val="0"/>
          <w:smallCaps w:val="0"/>
          <w:color w:val="auto"/>
          <w:kern w:val="2"/>
          <w:sz w:val="24"/>
          <w:szCs w:val="24"/>
          <w:highlight w:val="none"/>
          <w:lang w:val="en-US" w:eastAsia="zh-CN" w:bidi="ar-SA"/>
        </w:rPr>
      </w:pPr>
      <w:r>
        <w:rPr>
          <w:rFonts w:hint="default" w:ascii="Times New Roman" w:hAnsi="Times New Roman" w:eastAsia="方正仿宋_GBK" w:cs="Times New Roman"/>
          <w:caps w:val="0"/>
          <w:smallCaps w:val="0"/>
          <w:color w:val="auto"/>
          <w:kern w:val="2"/>
          <w:sz w:val="24"/>
          <w:szCs w:val="24"/>
          <w:highlight w:val="none"/>
          <w:lang w:val="en-US" w:eastAsia="zh-CN" w:bidi="ar-SA"/>
        </w:rPr>
        <w:t>a.甲方应从</w:t>
      </w:r>
      <w:r>
        <w:rPr>
          <w:rFonts w:hint="eastAsia" w:ascii="Times New Roman" w:hAnsi="Times New Roman" w:eastAsia="方正仿宋_GBK" w:cs="Times New Roman"/>
          <w:caps w:val="0"/>
          <w:smallCaps w:val="0"/>
          <w:color w:val="auto"/>
          <w:kern w:val="2"/>
          <w:sz w:val="24"/>
          <w:szCs w:val="24"/>
          <w:highlight w:val="none"/>
          <w:lang w:val="en-US" w:eastAsia="zh-CN" w:bidi="ar-SA"/>
        </w:rPr>
        <w:t>本协议生效日</w:t>
      </w:r>
      <w:r>
        <w:rPr>
          <w:rFonts w:hint="default" w:ascii="Times New Roman" w:hAnsi="Times New Roman" w:eastAsia="方正仿宋_GBK" w:cs="Times New Roman"/>
          <w:caps w:val="0"/>
          <w:smallCaps w:val="0"/>
          <w:color w:val="auto"/>
          <w:kern w:val="2"/>
          <w:sz w:val="24"/>
          <w:szCs w:val="24"/>
          <w:highlight w:val="none"/>
          <w:lang w:val="en-US" w:eastAsia="zh-CN" w:bidi="ar-SA"/>
        </w:rPr>
        <w:t>起按</w:t>
      </w:r>
      <w:r>
        <w:rPr>
          <w:rFonts w:hint="eastAsia" w:ascii="Times New Roman" w:hAnsi="Times New Roman" w:eastAsia="方正仿宋_GBK" w:cs="Times New Roman"/>
          <w:caps w:val="0"/>
          <w:smallCaps w:val="0"/>
          <w:color w:val="auto"/>
          <w:kern w:val="2"/>
          <w:sz w:val="24"/>
          <w:szCs w:val="24"/>
          <w:highlight w:val="none"/>
          <w:lang w:val="en-US" w:eastAsia="zh-CN" w:bidi="ar-SA"/>
        </w:rPr>
        <w:t>季度</w:t>
      </w:r>
      <w:r>
        <w:rPr>
          <w:rFonts w:hint="default" w:ascii="Times New Roman" w:hAnsi="Times New Roman" w:eastAsia="方正仿宋_GBK" w:cs="Times New Roman"/>
          <w:caps w:val="0"/>
          <w:smallCaps w:val="0"/>
          <w:color w:val="auto"/>
          <w:kern w:val="2"/>
          <w:sz w:val="24"/>
          <w:szCs w:val="24"/>
          <w:highlight w:val="none"/>
          <w:lang w:val="en-US" w:eastAsia="zh-CN" w:bidi="ar-SA"/>
        </w:rPr>
        <w:t>计算并支付乙方污水处理服务费。</w:t>
      </w:r>
    </w:p>
    <w:p w14:paraId="5485A185">
      <w:pPr>
        <w:keepNext w:val="0"/>
        <w:keepLines w:val="0"/>
        <w:pageBreakBefore w:val="0"/>
        <w:widowControl w:val="0"/>
        <w:numPr>
          <w:ilvl w:val="0"/>
          <w:numId w:val="0"/>
        </w:numPr>
        <w:kinsoku/>
        <w:wordWrap/>
        <w:overflowPunct/>
        <w:topLinePunct w:val="0"/>
        <w:bidi w:val="0"/>
        <w:adjustRightInd w:val="0"/>
        <w:snapToGrid w:val="0"/>
        <w:spacing w:before="0" w:beforeLines="0" w:after="0" w:afterLines="0" w:line="360" w:lineRule="auto"/>
        <w:ind w:firstLine="567" w:firstLineChars="0"/>
        <w:jc w:val="both"/>
        <w:rPr>
          <w:rFonts w:hint="default" w:ascii="Times New Roman" w:hAnsi="Times New Roman" w:eastAsia="方正仿宋_GBK" w:cs="Times New Roman"/>
          <w:caps w:val="0"/>
          <w:smallCaps w:val="0"/>
          <w:color w:val="auto"/>
          <w:kern w:val="2"/>
          <w:sz w:val="24"/>
          <w:szCs w:val="24"/>
          <w:highlight w:val="none"/>
          <w:lang w:val="en-US" w:eastAsia="zh-CN" w:bidi="ar-SA"/>
        </w:rPr>
      </w:pPr>
      <w:r>
        <w:rPr>
          <w:rFonts w:hint="default" w:ascii="Times New Roman" w:hAnsi="Times New Roman" w:eastAsia="方正仿宋_GBK" w:cs="Times New Roman"/>
          <w:caps w:val="0"/>
          <w:smallCaps w:val="0"/>
          <w:color w:val="auto"/>
          <w:kern w:val="2"/>
          <w:sz w:val="24"/>
          <w:szCs w:val="24"/>
          <w:highlight w:val="none"/>
          <w:lang w:val="en-US" w:eastAsia="zh-CN" w:bidi="ar-SA"/>
        </w:rPr>
        <w:t>b.乙方应于每</w:t>
      </w:r>
      <w:r>
        <w:rPr>
          <w:rFonts w:hint="eastAsia" w:ascii="Times New Roman" w:hAnsi="Times New Roman" w:eastAsia="方正仿宋_GBK" w:cs="Times New Roman"/>
          <w:caps w:val="0"/>
          <w:smallCaps w:val="0"/>
          <w:color w:val="auto"/>
          <w:kern w:val="2"/>
          <w:sz w:val="24"/>
          <w:szCs w:val="24"/>
          <w:highlight w:val="none"/>
          <w:lang w:val="en-US" w:eastAsia="zh-CN" w:bidi="ar-SA"/>
        </w:rPr>
        <w:t>季度结束后10</w:t>
      </w:r>
      <w:r>
        <w:rPr>
          <w:rFonts w:hint="default" w:ascii="Times New Roman" w:hAnsi="Times New Roman" w:eastAsia="方正仿宋_GBK" w:cs="Times New Roman"/>
          <w:caps w:val="0"/>
          <w:smallCaps w:val="0"/>
          <w:color w:val="auto"/>
          <w:kern w:val="2"/>
          <w:sz w:val="24"/>
          <w:szCs w:val="24"/>
          <w:highlight w:val="none"/>
          <w:lang w:val="en-US" w:eastAsia="zh-CN" w:bidi="ar-SA"/>
        </w:rPr>
        <w:t>日</w:t>
      </w:r>
      <w:r>
        <w:rPr>
          <w:rFonts w:hint="eastAsia" w:ascii="Times New Roman" w:hAnsi="Times New Roman" w:eastAsia="方正仿宋_GBK" w:cs="Times New Roman"/>
          <w:caps w:val="0"/>
          <w:smallCaps w:val="0"/>
          <w:color w:val="auto"/>
          <w:kern w:val="2"/>
          <w:sz w:val="24"/>
          <w:szCs w:val="24"/>
          <w:highlight w:val="none"/>
          <w:lang w:val="en-US" w:eastAsia="zh-CN" w:bidi="ar-SA"/>
        </w:rPr>
        <w:t>内</w:t>
      </w:r>
      <w:r>
        <w:rPr>
          <w:rFonts w:hint="default" w:ascii="Times New Roman" w:hAnsi="Times New Roman" w:eastAsia="方正仿宋_GBK" w:cs="Times New Roman"/>
          <w:caps w:val="0"/>
          <w:smallCaps w:val="0"/>
          <w:color w:val="auto"/>
          <w:kern w:val="2"/>
          <w:sz w:val="24"/>
          <w:szCs w:val="24"/>
          <w:highlight w:val="none"/>
          <w:lang w:val="en-US" w:eastAsia="zh-CN" w:bidi="ar-SA"/>
        </w:rPr>
        <w:t>向甲方书面提</w:t>
      </w:r>
      <w:r>
        <w:rPr>
          <w:rFonts w:hint="eastAsia" w:ascii="方正仿宋_GBK" w:hAnsi="方正仿宋_GBK" w:eastAsia="方正仿宋_GBK" w:cs="方正仿宋_GBK"/>
          <w:caps w:val="0"/>
          <w:smallCaps w:val="0"/>
          <w:color w:val="auto"/>
          <w:kern w:val="2"/>
          <w:sz w:val="24"/>
          <w:szCs w:val="24"/>
          <w:highlight w:val="none"/>
          <w:lang w:val="en-US" w:eastAsia="zh-CN" w:bidi="ar-SA"/>
        </w:rPr>
        <w:t>交“污水处理服务费付款申请书”</w:t>
      </w:r>
      <w:r>
        <w:rPr>
          <w:rFonts w:hint="default" w:ascii="Times New Roman" w:hAnsi="Times New Roman" w:eastAsia="方正仿宋_GBK" w:cs="Times New Roman"/>
          <w:caps w:val="0"/>
          <w:smallCaps w:val="0"/>
          <w:color w:val="auto"/>
          <w:kern w:val="2"/>
          <w:sz w:val="24"/>
          <w:szCs w:val="24"/>
          <w:highlight w:val="none"/>
          <w:lang w:val="en-US" w:eastAsia="zh-CN" w:bidi="ar-SA"/>
        </w:rPr>
        <w:t>，列明污水处理服务费的计算结果和费用构成。乙方应提供必要的证明资料以便甲方核实。</w:t>
      </w:r>
    </w:p>
    <w:p w14:paraId="22CDC692">
      <w:pPr>
        <w:keepNext w:val="0"/>
        <w:keepLines w:val="0"/>
        <w:pageBreakBefore w:val="0"/>
        <w:widowControl w:val="0"/>
        <w:numPr>
          <w:ilvl w:val="0"/>
          <w:numId w:val="0"/>
        </w:numPr>
        <w:kinsoku/>
        <w:wordWrap/>
        <w:overflowPunct/>
        <w:topLinePunct w:val="0"/>
        <w:bidi w:val="0"/>
        <w:adjustRightInd w:val="0"/>
        <w:snapToGrid w:val="0"/>
        <w:spacing w:before="0" w:beforeLines="0" w:after="0" w:afterLines="0" w:line="360" w:lineRule="auto"/>
        <w:ind w:firstLine="567" w:firstLineChars="0"/>
        <w:jc w:val="both"/>
        <w:rPr>
          <w:rFonts w:hint="default" w:ascii="Times New Roman" w:hAnsi="Times New Roman" w:eastAsia="方正仿宋_GBK" w:cs="Times New Roman"/>
          <w:caps w:val="0"/>
          <w:smallCaps w:val="0"/>
          <w:color w:val="auto"/>
          <w:kern w:val="2"/>
          <w:sz w:val="24"/>
          <w:szCs w:val="24"/>
          <w:highlight w:val="none"/>
          <w:lang w:val="en-US" w:eastAsia="zh-CN" w:bidi="ar-SA"/>
        </w:rPr>
      </w:pPr>
      <w:r>
        <w:rPr>
          <w:rFonts w:hint="default" w:ascii="Times New Roman" w:hAnsi="Times New Roman" w:eastAsia="方正仿宋_GBK" w:cs="Times New Roman"/>
          <w:caps w:val="0"/>
          <w:smallCaps w:val="0"/>
          <w:color w:val="auto"/>
          <w:kern w:val="2"/>
          <w:sz w:val="24"/>
          <w:szCs w:val="24"/>
          <w:highlight w:val="none"/>
          <w:lang w:val="en-US" w:eastAsia="zh-CN" w:bidi="ar-SA"/>
        </w:rPr>
        <w:t>c.甲方在收到申请书</w:t>
      </w:r>
      <w:r>
        <w:rPr>
          <w:rFonts w:hint="eastAsia" w:ascii="Times New Roman" w:hAnsi="Times New Roman" w:eastAsia="方正仿宋_GBK" w:cs="Times New Roman"/>
          <w:caps w:val="0"/>
          <w:smallCaps w:val="0"/>
          <w:color w:val="auto"/>
          <w:kern w:val="2"/>
          <w:sz w:val="24"/>
          <w:szCs w:val="24"/>
          <w:highlight w:val="none"/>
          <w:lang w:val="en-US" w:eastAsia="zh-CN" w:bidi="ar-SA"/>
        </w:rPr>
        <w:t>20</w:t>
      </w:r>
      <w:r>
        <w:rPr>
          <w:rFonts w:hint="default" w:ascii="Times New Roman" w:hAnsi="Times New Roman" w:eastAsia="方正仿宋_GBK" w:cs="Times New Roman"/>
          <w:caps w:val="0"/>
          <w:smallCaps w:val="0"/>
          <w:color w:val="auto"/>
          <w:kern w:val="2"/>
          <w:sz w:val="24"/>
          <w:szCs w:val="24"/>
          <w:highlight w:val="none"/>
          <w:lang w:val="en-US" w:eastAsia="zh-CN" w:bidi="ar-SA"/>
        </w:rPr>
        <w:t>日内支付无争议的污水处理服务费金额。如果甲方对付款</w:t>
      </w:r>
      <w:r>
        <w:rPr>
          <w:rFonts w:hint="eastAsia" w:ascii="Times New Roman" w:hAnsi="Times New Roman" w:eastAsia="方正仿宋_GBK" w:cs="Times New Roman"/>
          <w:caps w:val="0"/>
          <w:smallCaps w:val="0"/>
          <w:color w:val="auto"/>
          <w:kern w:val="2"/>
          <w:sz w:val="24"/>
          <w:szCs w:val="24"/>
          <w:highlight w:val="none"/>
          <w:lang w:val="en-US" w:eastAsia="zh-CN" w:bidi="ar-SA"/>
        </w:rPr>
        <w:t>申请书</w:t>
      </w:r>
      <w:r>
        <w:rPr>
          <w:rFonts w:hint="default" w:ascii="Times New Roman" w:hAnsi="Times New Roman" w:eastAsia="方正仿宋_GBK" w:cs="Times New Roman"/>
          <w:caps w:val="0"/>
          <w:smallCaps w:val="0"/>
          <w:color w:val="auto"/>
          <w:kern w:val="2"/>
          <w:sz w:val="24"/>
          <w:szCs w:val="24"/>
          <w:highlight w:val="none"/>
          <w:lang w:val="en-US" w:eastAsia="zh-CN" w:bidi="ar-SA"/>
        </w:rPr>
        <w:t>内容有异议，必须在</w:t>
      </w:r>
      <w:r>
        <w:rPr>
          <w:rFonts w:hint="eastAsia" w:ascii="Times New Roman" w:hAnsi="Times New Roman" w:eastAsia="方正仿宋_GBK" w:cs="Times New Roman"/>
          <w:caps w:val="0"/>
          <w:smallCaps w:val="0"/>
          <w:color w:val="auto"/>
          <w:kern w:val="2"/>
          <w:sz w:val="24"/>
          <w:szCs w:val="24"/>
          <w:highlight w:val="none"/>
          <w:lang w:val="en-US" w:eastAsia="zh-CN" w:bidi="ar-SA"/>
        </w:rPr>
        <w:t>5</w:t>
      </w:r>
      <w:r>
        <w:rPr>
          <w:rFonts w:hint="default" w:ascii="Times New Roman" w:hAnsi="Times New Roman" w:eastAsia="方正仿宋_GBK" w:cs="Times New Roman"/>
          <w:caps w:val="0"/>
          <w:smallCaps w:val="0"/>
          <w:color w:val="auto"/>
          <w:kern w:val="2"/>
          <w:sz w:val="24"/>
          <w:szCs w:val="24"/>
          <w:highlight w:val="none"/>
          <w:lang w:val="en-US" w:eastAsia="zh-CN" w:bidi="ar-SA"/>
        </w:rPr>
        <w:t>个工作日内书面通知乙方，并说明理由，否则视为甲方对付款</w:t>
      </w:r>
      <w:r>
        <w:rPr>
          <w:rFonts w:hint="eastAsia" w:ascii="Times New Roman" w:hAnsi="Times New Roman" w:eastAsia="方正仿宋_GBK" w:cs="Times New Roman"/>
          <w:caps w:val="0"/>
          <w:smallCaps w:val="0"/>
          <w:color w:val="auto"/>
          <w:kern w:val="2"/>
          <w:sz w:val="24"/>
          <w:szCs w:val="24"/>
          <w:highlight w:val="none"/>
          <w:lang w:val="en-US" w:eastAsia="zh-CN" w:bidi="ar-SA"/>
        </w:rPr>
        <w:t>申请书</w:t>
      </w:r>
      <w:r>
        <w:rPr>
          <w:rFonts w:hint="default" w:ascii="Times New Roman" w:hAnsi="Times New Roman" w:eastAsia="方正仿宋_GBK" w:cs="Times New Roman"/>
          <w:caps w:val="0"/>
          <w:smallCaps w:val="0"/>
          <w:color w:val="auto"/>
          <w:kern w:val="2"/>
          <w:sz w:val="24"/>
          <w:szCs w:val="24"/>
          <w:highlight w:val="none"/>
          <w:lang w:val="en-US" w:eastAsia="zh-CN" w:bidi="ar-SA"/>
        </w:rPr>
        <w:t>没有异议。</w:t>
      </w:r>
    </w:p>
    <w:p w14:paraId="4F9635BF">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after="0" w:afterLines="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caps w:val="0"/>
          <w:smallCaps w:val="0"/>
          <w:color w:val="auto"/>
          <w:kern w:val="0"/>
          <w:sz w:val="24"/>
          <w:szCs w:val="24"/>
          <w:highlight w:val="none"/>
          <w:lang w:eastAsia="zh-CN"/>
        </w:rPr>
        <w:t>（</w:t>
      </w:r>
      <w:r>
        <w:rPr>
          <w:rFonts w:hint="default" w:ascii="Times New Roman" w:hAnsi="Times New Roman" w:eastAsia="方正仿宋_GBK" w:cs="Times New Roman"/>
          <w:caps w:val="0"/>
          <w:smallCaps w:val="0"/>
          <w:color w:val="auto"/>
          <w:kern w:val="0"/>
          <w:sz w:val="24"/>
          <w:szCs w:val="24"/>
          <w:highlight w:val="none"/>
          <w:lang w:val="en-US" w:eastAsia="zh-CN"/>
        </w:rPr>
        <w:t>4</w:t>
      </w:r>
      <w:r>
        <w:rPr>
          <w:rFonts w:hint="default" w:ascii="Times New Roman" w:hAnsi="Times New Roman" w:eastAsia="方正仿宋_GBK" w:cs="Times New Roman"/>
          <w:caps w:val="0"/>
          <w:smallCaps w:val="0"/>
          <w:color w:val="auto"/>
          <w:kern w:val="0"/>
          <w:sz w:val="24"/>
          <w:szCs w:val="24"/>
          <w:highlight w:val="none"/>
          <w:lang w:eastAsia="zh-CN"/>
        </w:rPr>
        <w:t>）</w:t>
      </w:r>
      <w:r>
        <w:rPr>
          <w:rFonts w:hint="default" w:ascii="Times New Roman" w:hAnsi="Times New Roman" w:eastAsia="方正仿宋_GBK" w:cs="Times New Roman"/>
          <w:caps w:val="0"/>
          <w:smallCaps w:val="0"/>
          <w:color w:val="auto"/>
          <w:kern w:val="0"/>
          <w:sz w:val="24"/>
          <w:szCs w:val="24"/>
          <w:highlight w:val="none"/>
        </w:rPr>
        <w:t>专款专用和及时支付</w:t>
      </w:r>
    </w:p>
    <w:p w14:paraId="44FF131E">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s="Times New Roman"/>
          <w:caps w:val="0"/>
          <w:smallCaps w:val="0"/>
          <w:color w:val="auto"/>
          <w:kern w:val="2"/>
          <w:sz w:val="24"/>
          <w:szCs w:val="24"/>
          <w:highlight w:val="none"/>
        </w:rPr>
      </w:pPr>
      <w:r>
        <w:rPr>
          <w:rFonts w:hint="default" w:ascii="Times New Roman" w:hAnsi="Times New Roman" w:eastAsia="方正仿宋_GBK" w:cs="Times New Roman"/>
          <w:caps w:val="0"/>
          <w:smallCaps w:val="0"/>
          <w:color w:val="auto"/>
          <w:kern w:val="2"/>
          <w:sz w:val="24"/>
          <w:szCs w:val="24"/>
          <w:highlight w:val="none"/>
        </w:rPr>
        <w:t>甲方按预算管理规定安排好资金及时向乙方支付。</w:t>
      </w:r>
    </w:p>
    <w:p w14:paraId="08E2EA31">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after="0" w:afterLines="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caps w:val="0"/>
          <w:smallCaps w:val="0"/>
          <w:color w:val="auto"/>
          <w:kern w:val="0"/>
          <w:sz w:val="24"/>
          <w:szCs w:val="24"/>
          <w:highlight w:val="none"/>
          <w:lang w:eastAsia="zh-CN"/>
        </w:rPr>
        <w:t>（</w:t>
      </w:r>
      <w:r>
        <w:rPr>
          <w:rFonts w:hint="default" w:ascii="Times New Roman" w:hAnsi="Times New Roman" w:eastAsia="方正仿宋_GBK" w:cs="Times New Roman"/>
          <w:caps w:val="0"/>
          <w:smallCaps w:val="0"/>
          <w:color w:val="auto"/>
          <w:kern w:val="0"/>
          <w:sz w:val="24"/>
          <w:szCs w:val="24"/>
          <w:highlight w:val="none"/>
          <w:lang w:val="en-US" w:eastAsia="zh-CN"/>
        </w:rPr>
        <w:t>5</w:t>
      </w:r>
      <w:r>
        <w:rPr>
          <w:rFonts w:hint="default" w:ascii="Times New Roman" w:hAnsi="Times New Roman" w:eastAsia="方正仿宋_GBK" w:cs="Times New Roman"/>
          <w:caps w:val="0"/>
          <w:smallCaps w:val="0"/>
          <w:color w:val="auto"/>
          <w:kern w:val="0"/>
          <w:sz w:val="24"/>
          <w:szCs w:val="24"/>
          <w:highlight w:val="none"/>
          <w:lang w:eastAsia="zh-CN"/>
        </w:rPr>
        <w:t>）</w:t>
      </w:r>
      <w:r>
        <w:rPr>
          <w:rFonts w:hint="default" w:ascii="Times New Roman" w:hAnsi="Times New Roman" w:eastAsia="方正仿宋_GBK" w:cs="Times New Roman"/>
          <w:caps w:val="0"/>
          <w:smallCaps w:val="0"/>
          <w:color w:val="auto"/>
          <w:kern w:val="0"/>
          <w:sz w:val="24"/>
          <w:szCs w:val="24"/>
          <w:highlight w:val="none"/>
        </w:rPr>
        <w:t>按效付费机制</w:t>
      </w:r>
    </w:p>
    <w:p w14:paraId="2D29DA18">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jc w:val="both"/>
        <w:rPr>
          <w:rFonts w:hint="default" w:ascii="Times New Roman" w:hAnsi="Times New Roman" w:eastAsia="方正仿宋_GBK" w:cs="Times New Roman"/>
          <w:caps w:val="0"/>
          <w:smallCaps w:val="0"/>
          <w:color w:val="auto"/>
          <w:kern w:val="2"/>
          <w:sz w:val="24"/>
          <w:szCs w:val="24"/>
          <w:highlight w:val="none"/>
          <w:lang w:val="en-US" w:eastAsia="zh-CN" w:bidi="ar-SA"/>
        </w:rPr>
      </w:pPr>
      <w:r>
        <w:rPr>
          <w:rFonts w:hint="eastAsia" w:ascii="Times New Roman" w:hAnsi="Times New Roman" w:eastAsia="方正仿宋_GBK" w:cs="Times New Roman"/>
          <w:caps w:val="0"/>
          <w:smallCaps w:val="0"/>
          <w:color w:val="auto"/>
          <w:kern w:val="2"/>
          <w:sz w:val="24"/>
          <w:szCs w:val="24"/>
          <w:highlight w:val="none"/>
          <w:lang w:val="en-US" w:eastAsia="zh-CN" w:bidi="ar-SA"/>
        </w:rPr>
        <w:t>本项目污水处理服务费与绩效考核结果挂钩，前3个季度按实际处理量暂付污水处理费，待年度绩效考核完成后，年度污水处理服务费与绩效考核结果挂钩，在第4季度完成结算，第4季度污水处理服务费=污水处理服务费单价×年度污水处理量×绩效考核系数-前3季度支付的污水处理服务费合计金额，具体绩效考核机制详见附件4。</w:t>
      </w:r>
    </w:p>
    <w:p w14:paraId="381DE6E5">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after="0" w:afterLines="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caps w:val="0"/>
          <w:smallCaps w:val="0"/>
          <w:color w:val="auto"/>
          <w:kern w:val="0"/>
          <w:sz w:val="24"/>
          <w:szCs w:val="24"/>
          <w:highlight w:val="none"/>
          <w:lang w:eastAsia="zh-CN"/>
        </w:rPr>
        <w:t>（</w:t>
      </w:r>
      <w:r>
        <w:rPr>
          <w:rFonts w:hint="default" w:ascii="Times New Roman" w:hAnsi="Times New Roman" w:eastAsia="方正仿宋_GBK" w:cs="Times New Roman"/>
          <w:caps w:val="0"/>
          <w:smallCaps w:val="0"/>
          <w:color w:val="auto"/>
          <w:kern w:val="0"/>
          <w:sz w:val="24"/>
          <w:szCs w:val="24"/>
          <w:highlight w:val="none"/>
          <w:lang w:val="en-US" w:eastAsia="zh-CN"/>
        </w:rPr>
        <w:t>6</w:t>
      </w:r>
      <w:r>
        <w:rPr>
          <w:rFonts w:hint="default" w:ascii="Times New Roman" w:hAnsi="Times New Roman" w:eastAsia="方正仿宋_GBK" w:cs="Times New Roman"/>
          <w:caps w:val="0"/>
          <w:smallCaps w:val="0"/>
          <w:color w:val="auto"/>
          <w:kern w:val="0"/>
          <w:sz w:val="24"/>
          <w:szCs w:val="24"/>
          <w:highlight w:val="none"/>
          <w:lang w:eastAsia="zh-CN"/>
        </w:rPr>
        <w:t>）</w:t>
      </w:r>
      <w:r>
        <w:rPr>
          <w:rFonts w:hint="default" w:ascii="Times New Roman" w:hAnsi="Times New Roman" w:eastAsia="方正仿宋_GBK" w:cs="Times New Roman"/>
          <w:caps w:val="0"/>
          <w:smallCaps w:val="0"/>
          <w:color w:val="auto"/>
          <w:kern w:val="0"/>
          <w:sz w:val="24"/>
          <w:szCs w:val="24"/>
          <w:highlight w:val="none"/>
        </w:rPr>
        <w:t>报甲方备案后，乙方可以利用现有设施从事光伏发电开发等业务，或进行技术革新降低成本，乙方提供的创新产品和服务收入</w:t>
      </w:r>
      <w:r>
        <w:rPr>
          <w:rFonts w:hint="eastAsia" w:ascii="Times New Roman" w:hAnsi="Times New Roman" w:eastAsia="方正仿宋_GBK" w:cs="Times New Roman"/>
          <w:caps w:val="0"/>
          <w:smallCaps w:val="0"/>
          <w:color w:val="auto"/>
          <w:kern w:val="0"/>
          <w:sz w:val="24"/>
          <w:szCs w:val="24"/>
          <w:highlight w:val="none"/>
          <w:lang w:eastAsia="zh-CN"/>
        </w:rPr>
        <w:t>（</w:t>
      </w:r>
      <w:r>
        <w:rPr>
          <w:rFonts w:hint="eastAsia" w:ascii="Times New Roman" w:hAnsi="Times New Roman" w:eastAsia="方正仿宋_GBK" w:cs="Times New Roman"/>
          <w:caps w:val="0"/>
          <w:smallCaps w:val="0"/>
          <w:color w:val="auto"/>
          <w:kern w:val="0"/>
          <w:sz w:val="24"/>
          <w:szCs w:val="24"/>
          <w:highlight w:val="none"/>
          <w:lang w:val="en-US" w:eastAsia="zh-CN"/>
        </w:rPr>
        <w:t>不含再生水销售</w:t>
      </w:r>
      <w:r>
        <w:rPr>
          <w:rFonts w:hint="eastAsia" w:ascii="Times New Roman" w:hAnsi="Times New Roman" w:eastAsia="方正仿宋_GBK" w:cs="Times New Roman"/>
          <w:caps w:val="0"/>
          <w:smallCaps w:val="0"/>
          <w:color w:val="auto"/>
          <w:kern w:val="0"/>
          <w:sz w:val="24"/>
          <w:szCs w:val="24"/>
          <w:highlight w:val="none"/>
          <w:lang w:eastAsia="zh-CN"/>
        </w:rPr>
        <w:t>）</w:t>
      </w:r>
      <w:r>
        <w:rPr>
          <w:rFonts w:hint="default" w:ascii="Times New Roman" w:hAnsi="Times New Roman" w:eastAsia="方正仿宋_GBK" w:cs="Times New Roman"/>
          <w:caps w:val="0"/>
          <w:smallCaps w:val="0"/>
          <w:color w:val="auto"/>
          <w:kern w:val="0"/>
          <w:sz w:val="24"/>
          <w:szCs w:val="24"/>
          <w:highlight w:val="none"/>
        </w:rPr>
        <w:t>、成本节</w:t>
      </w:r>
      <w:r>
        <w:rPr>
          <w:rFonts w:hint="default" w:ascii="Times New Roman" w:hAnsi="Times New Roman" w:eastAsia="方正仿宋_GBK" w:cs="Times New Roman"/>
          <w:caps w:val="0"/>
          <w:smallCaps w:val="0"/>
          <w:color w:val="auto"/>
          <w:kern w:val="0"/>
          <w:sz w:val="24"/>
          <w:szCs w:val="24"/>
          <w:highlight w:val="none"/>
          <w:lang w:eastAsia="zh-CN"/>
        </w:rPr>
        <w:t>余</w:t>
      </w:r>
      <w:r>
        <w:rPr>
          <w:rFonts w:hint="default" w:ascii="Times New Roman" w:hAnsi="Times New Roman" w:eastAsia="方正仿宋_GBK" w:cs="Times New Roman"/>
          <w:caps w:val="0"/>
          <w:smallCaps w:val="0"/>
          <w:color w:val="auto"/>
          <w:kern w:val="0"/>
          <w:sz w:val="24"/>
          <w:szCs w:val="24"/>
          <w:highlight w:val="none"/>
        </w:rPr>
        <w:t>归乙方所有。乙方在核算创新产品和服务中，应单独核算有关收入和成本。</w:t>
      </w:r>
    </w:p>
    <w:p w14:paraId="78C6B57B">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after="0" w:afterLines="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caps w:val="0"/>
          <w:smallCaps w:val="0"/>
          <w:color w:val="auto"/>
          <w:kern w:val="0"/>
          <w:sz w:val="24"/>
          <w:szCs w:val="24"/>
          <w:highlight w:val="none"/>
          <w:lang w:eastAsia="zh-CN"/>
        </w:rPr>
        <w:t>（</w:t>
      </w:r>
      <w:r>
        <w:rPr>
          <w:rFonts w:hint="default" w:ascii="Times New Roman" w:hAnsi="Times New Roman" w:eastAsia="方正仿宋_GBK" w:cs="Times New Roman"/>
          <w:caps w:val="0"/>
          <w:smallCaps w:val="0"/>
          <w:color w:val="auto"/>
          <w:kern w:val="0"/>
          <w:sz w:val="24"/>
          <w:szCs w:val="24"/>
          <w:highlight w:val="none"/>
          <w:lang w:val="en-US" w:eastAsia="zh-CN"/>
        </w:rPr>
        <w:t>7</w:t>
      </w:r>
      <w:r>
        <w:rPr>
          <w:rFonts w:hint="default" w:ascii="Times New Roman" w:hAnsi="Times New Roman" w:eastAsia="方正仿宋_GBK" w:cs="Times New Roman"/>
          <w:caps w:val="0"/>
          <w:smallCaps w:val="0"/>
          <w:color w:val="auto"/>
          <w:kern w:val="0"/>
          <w:sz w:val="24"/>
          <w:szCs w:val="24"/>
          <w:highlight w:val="none"/>
          <w:lang w:eastAsia="zh-CN"/>
        </w:rPr>
        <w:t>）</w:t>
      </w:r>
      <w:r>
        <w:rPr>
          <w:rFonts w:hint="default" w:ascii="Times New Roman" w:hAnsi="Times New Roman" w:eastAsia="方正仿宋_GBK" w:cs="Times New Roman"/>
          <w:caps w:val="0"/>
          <w:smallCaps w:val="0"/>
          <w:color w:val="auto"/>
          <w:kern w:val="0"/>
          <w:sz w:val="24"/>
          <w:szCs w:val="24"/>
          <w:highlight w:val="none"/>
        </w:rPr>
        <w:t>乙方有义务配合和接受政府方按规定对本项目开展成本调查或成本</w:t>
      </w:r>
      <w:r>
        <w:rPr>
          <w:rFonts w:hint="eastAsia" w:ascii="Times New Roman" w:hAnsi="Times New Roman" w:eastAsia="方正仿宋_GBK" w:cs="Times New Roman"/>
          <w:caps w:val="0"/>
          <w:smallCaps w:val="0"/>
          <w:color w:val="auto"/>
          <w:kern w:val="0"/>
          <w:sz w:val="24"/>
          <w:szCs w:val="24"/>
          <w:highlight w:val="none"/>
          <w:lang w:val="en-US" w:eastAsia="zh-CN"/>
        </w:rPr>
        <w:t>审计</w:t>
      </w:r>
      <w:r>
        <w:rPr>
          <w:rFonts w:hint="default" w:ascii="Times New Roman" w:hAnsi="Times New Roman" w:eastAsia="方正仿宋_GBK" w:cs="Times New Roman"/>
          <w:caps w:val="0"/>
          <w:smallCaps w:val="0"/>
          <w:color w:val="auto"/>
          <w:kern w:val="0"/>
          <w:sz w:val="24"/>
          <w:szCs w:val="24"/>
          <w:highlight w:val="none"/>
        </w:rPr>
        <w:t>活动。</w:t>
      </w:r>
    </w:p>
    <w:p w14:paraId="6A62C281">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263" w:name="_Toc157067951"/>
      <w:bookmarkEnd w:id="263"/>
      <w:bookmarkStart w:id="264" w:name="_Toc402428939"/>
      <w:bookmarkStart w:id="265" w:name="_Toc405146862"/>
      <w:bookmarkStart w:id="266" w:name="_Toc9098"/>
      <w:bookmarkStart w:id="267" w:name="_Toc25273"/>
      <w:bookmarkStart w:id="268" w:name="_Toc53866215"/>
      <w:bookmarkStart w:id="269" w:name="_Toc402428958"/>
      <w:bookmarkStart w:id="270" w:name="_Toc405146876"/>
      <w:r>
        <w:rPr>
          <w:rFonts w:hint="eastAsia" w:ascii="Times New Roman" w:hAnsi="Times New Roman" w:eastAsia="方正黑体_GBK" w:cs="方正黑体_GBK"/>
          <w:bCs/>
          <w:caps w:val="0"/>
          <w:smallCaps w:val="0"/>
          <w:color w:val="auto"/>
          <w:kern w:val="2"/>
          <w:sz w:val="28"/>
          <w:szCs w:val="28"/>
          <w:highlight w:val="none"/>
          <w:lang w:val="en-US" w:eastAsia="zh-CN" w:bidi="ar-SA"/>
        </w:rPr>
        <w:t>第41条 运营期的</w:t>
      </w:r>
      <w:bookmarkEnd w:id="264"/>
      <w:bookmarkEnd w:id="265"/>
      <w:r>
        <w:rPr>
          <w:rFonts w:hint="eastAsia" w:ascii="Times New Roman" w:hAnsi="Times New Roman" w:eastAsia="方正黑体_GBK" w:cs="方正黑体_GBK"/>
          <w:bCs/>
          <w:caps w:val="0"/>
          <w:smallCaps w:val="0"/>
          <w:color w:val="auto"/>
          <w:kern w:val="2"/>
          <w:sz w:val="28"/>
          <w:szCs w:val="28"/>
          <w:highlight w:val="none"/>
          <w:lang w:val="en-US" w:eastAsia="zh-CN" w:bidi="ar-SA"/>
        </w:rPr>
        <w:t>补贴</w:t>
      </w:r>
      <w:bookmarkEnd w:id="266"/>
      <w:bookmarkEnd w:id="267"/>
      <w:bookmarkEnd w:id="268"/>
    </w:p>
    <w:p w14:paraId="74D22179">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lang w:val="en-US" w:eastAsia="zh-CN"/>
        </w:rPr>
      </w:pPr>
      <w:r>
        <w:rPr>
          <w:rFonts w:hint="eastAsia" w:ascii="Times New Roman" w:hAnsi="Times New Roman" w:eastAsia="方正仿宋_GBK" w:cs="Times New Roman"/>
          <w:caps w:val="0"/>
          <w:smallCaps w:val="0"/>
          <w:color w:val="auto"/>
          <w:kern w:val="0"/>
          <w:sz w:val="24"/>
          <w:szCs w:val="24"/>
          <w:highlight w:val="none"/>
          <w:lang w:val="en-US" w:eastAsia="zh-CN"/>
        </w:rPr>
        <w:t>本项目特许经营期内，甲方根据污水处理服务费单价、实际处理水量并结合绩效考核结果向乙方结算支付污水处理服务费，</w:t>
      </w:r>
      <w:r>
        <w:rPr>
          <w:rFonts w:hint="default" w:ascii="Times New Roman" w:hAnsi="Times New Roman" w:eastAsia="方正仿宋_GBK" w:cs="Times New Roman"/>
          <w:caps w:val="0"/>
          <w:smallCaps w:val="0"/>
          <w:color w:val="auto"/>
          <w:kern w:val="0"/>
          <w:sz w:val="24"/>
          <w:szCs w:val="24"/>
          <w:highlight w:val="none"/>
          <w:lang w:val="en-US" w:eastAsia="zh-CN"/>
        </w:rPr>
        <w:t>无其他</w:t>
      </w:r>
      <w:r>
        <w:rPr>
          <w:rFonts w:hint="default" w:ascii="Times New Roman" w:hAnsi="Times New Roman" w:eastAsia="方正仿宋_GBK" w:cs="Times New Roman"/>
          <w:caps w:val="0"/>
          <w:smallCaps w:val="0"/>
          <w:color w:val="auto"/>
          <w:kern w:val="0"/>
          <w:sz w:val="24"/>
          <w:szCs w:val="24"/>
          <w:highlight w:val="none"/>
        </w:rPr>
        <w:t>运营期行业补贴</w:t>
      </w:r>
      <w:r>
        <w:rPr>
          <w:rFonts w:hint="default" w:ascii="Times New Roman" w:hAnsi="Times New Roman" w:eastAsia="方正仿宋_GBK" w:cs="Times New Roman"/>
          <w:caps w:val="0"/>
          <w:smallCaps w:val="0"/>
          <w:color w:val="auto"/>
          <w:kern w:val="0"/>
          <w:sz w:val="24"/>
          <w:szCs w:val="24"/>
          <w:highlight w:val="none"/>
          <w:lang w:eastAsia="zh-CN"/>
        </w:rPr>
        <w:t>。</w:t>
      </w:r>
      <w:r>
        <w:rPr>
          <w:rFonts w:hint="eastAsia" w:ascii="Times New Roman" w:hAnsi="Times New Roman" w:eastAsia="方正仿宋_GBK" w:cs="Times New Roman"/>
          <w:caps w:val="0"/>
          <w:smallCaps w:val="0"/>
          <w:color w:val="auto"/>
          <w:kern w:val="0"/>
          <w:sz w:val="24"/>
          <w:szCs w:val="24"/>
          <w:highlight w:val="none"/>
          <w:lang w:val="en-US" w:eastAsia="zh-CN"/>
        </w:rPr>
        <w:t>若未来国家、江苏省或扬州市出台行业统一的有关污水处理补贴的法律法规、规章或相关政策、规范，则遵照执行。</w:t>
      </w:r>
    </w:p>
    <w:bookmarkEnd w:id="269"/>
    <w:bookmarkEnd w:id="270"/>
    <w:p w14:paraId="76430DF1">
      <w:pPr>
        <w:widowControl/>
        <w:numPr>
          <w:ilvl w:val="0"/>
          <w:numId w:val="0"/>
        </w:numPr>
        <w:spacing w:before="156" w:after="156"/>
        <w:ind w:left="0" w:firstLine="0"/>
        <w:jc w:val="center"/>
        <w:outlineLvl w:val="0"/>
        <w:rPr>
          <w:rFonts w:hint="eastAsia" w:ascii="Times New Roman" w:hAnsi="Times New Roman" w:eastAsia="方正黑体_GBK" w:cs="方正黑体_GBK"/>
          <w:caps w:val="0"/>
          <w:smallCaps w:val="0"/>
          <w:color w:val="auto"/>
          <w:kern w:val="2"/>
          <w:sz w:val="28"/>
          <w:szCs w:val="28"/>
          <w:highlight w:val="none"/>
          <w:lang w:val="en-US" w:eastAsia="zh-CN" w:bidi="ar-SA"/>
        </w:rPr>
      </w:pPr>
      <w:r>
        <w:rPr>
          <w:rFonts w:ascii="Times New Roman" w:hAnsi="Times New Roman" w:eastAsia="方正仿宋_GBK" w:cs="Times New Roman"/>
          <w:caps w:val="0"/>
          <w:smallCaps w:val="0"/>
          <w:color w:val="auto"/>
          <w:kern w:val="2"/>
          <w:sz w:val="28"/>
          <w:szCs w:val="28"/>
          <w:highlight w:val="none"/>
          <w:lang w:val="en-US" w:eastAsia="zh-CN" w:bidi="ar-SA"/>
        </w:rPr>
        <w:br w:type="page"/>
      </w:r>
      <w:bookmarkStart w:id="271" w:name="_Toc19362"/>
      <w:bookmarkStart w:id="272" w:name="_Toc31918"/>
      <w:bookmarkStart w:id="273" w:name="_Toc1686220014"/>
      <w:r>
        <w:rPr>
          <w:rFonts w:hint="eastAsia" w:ascii="Times New Roman" w:hAnsi="Times New Roman" w:eastAsia="方正黑体_GBK" w:cs="方正黑体_GBK"/>
          <w:caps w:val="0"/>
          <w:smallCaps w:val="0"/>
          <w:color w:val="auto"/>
          <w:kern w:val="2"/>
          <w:sz w:val="28"/>
          <w:szCs w:val="28"/>
          <w:highlight w:val="none"/>
          <w:lang w:val="en-US" w:eastAsia="zh-CN" w:bidi="ar-SA"/>
        </w:rPr>
        <w:t>第八章 特定监管事项和措施</w:t>
      </w:r>
      <w:bookmarkEnd w:id="271"/>
      <w:bookmarkEnd w:id="272"/>
      <w:bookmarkEnd w:id="273"/>
    </w:p>
    <w:p w14:paraId="6CA95796">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274" w:name="_Toc1323840240"/>
      <w:bookmarkStart w:id="275" w:name="_Toc26295"/>
      <w:bookmarkStart w:id="276" w:name="_Toc15564"/>
      <w:r>
        <w:rPr>
          <w:rFonts w:hint="eastAsia" w:ascii="Times New Roman" w:hAnsi="Times New Roman" w:eastAsia="方正黑体_GBK" w:cs="方正黑体_GBK"/>
          <w:bCs/>
          <w:caps w:val="0"/>
          <w:smallCaps w:val="0"/>
          <w:color w:val="auto"/>
          <w:kern w:val="2"/>
          <w:sz w:val="28"/>
          <w:szCs w:val="28"/>
          <w:highlight w:val="none"/>
          <w:lang w:val="en-US" w:eastAsia="zh-CN" w:bidi="ar-SA"/>
        </w:rPr>
        <w:t>第42条 定期运营评价</w:t>
      </w:r>
      <w:bookmarkEnd w:id="274"/>
      <w:bookmarkEnd w:id="275"/>
      <w:bookmarkEnd w:id="276"/>
    </w:p>
    <w:p w14:paraId="10FA181D">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1" w:firstLine="567" w:firstLineChars="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1.</w:t>
      </w:r>
      <w:r>
        <w:rPr>
          <w:rFonts w:hint="eastAsia" w:ascii="Times New Roman" w:hAnsi="Times New Roman" w:eastAsia="方正仿宋_GBK"/>
          <w:caps w:val="0"/>
          <w:smallCaps w:val="0"/>
          <w:color w:val="auto"/>
          <w:kern w:val="2"/>
          <w:sz w:val="24"/>
          <w:szCs w:val="24"/>
          <w:highlight w:val="none"/>
        </w:rPr>
        <w:t>甲方</w:t>
      </w:r>
      <w:r>
        <w:rPr>
          <w:rFonts w:hint="eastAsia" w:ascii="Times New Roman" w:hAnsi="Times New Roman" w:eastAsia="方正仿宋_GBK"/>
          <w:caps w:val="0"/>
          <w:smallCaps w:val="0"/>
          <w:color w:val="auto"/>
          <w:kern w:val="2"/>
          <w:sz w:val="24"/>
          <w:szCs w:val="24"/>
          <w:highlight w:val="none"/>
          <w:lang w:eastAsia="zh-CN"/>
        </w:rPr>
        <w:t>拟</w:t>
      </w:r>
      <w:r>
        <w:rPr>
          <w:rFonts w:hint="eastAsia" w:ascii="Times New Roman" w:hAnsi="Times New Roman" w:eastAsia="方正仿宋_GBK"/>
          <w:caps w:val="0"/>
          <w:smallCaps w:val="0"/>
          <w:color w:val="auto"/>
          <w:kern w:val="2"/>
          <w:sz w:val="24"/>
          <w:szCs w:val="24"/>
          <w:highlight w:val="none"/>
          <w:lang w:val="en-US" w:eastAsia="zh-CN"/>
        </w:rPr>
        <w:t>每3年</w:t>
      </w:r>
      <w:r>
        <w:rPr>
          <w:rFonts w:hint="eastAsia" w:ascii="Times New Roman" w:hAnsi="Times New Roman" w:eastAsia="方正仿宋_GBK"/>
          <w:caps w:val="0"/>
          <w:smallCaps w:val="0"/>
          <w:color w:val="auto"/>
          <w:kern w:val="2"/>
          <w:sz w:val="24"/>
          <w:szCs w:val="24"/>
          <w:highlight w:val="none"/>
        </w:rPr>
        <w:t>对本项目定期开展运营评价。</w:t>
      </w:r>
    </w:p>
    <w:p w14:paraId="5D2C31AC">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1" w:firstLine="567" w:firstLineChars="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2.</w:t>
      </w:r>
      <w:r>
        <w:rPr>
          <w:rFonts w:hint="eastAsia" w:ascii="Times New Roman" w:hAnsi="Times New Roman" w:eastAsia="方正仿宋_GBK"/>
          <w:caps w:val="0"/>
          <w:smallCaps w:val="0"/>
          <w:color w:val="auto"/>
          <w:kern w:val="2"/>
          <w:sz w:val="24"/>
          <w:szCs w:val="24"/>
          <w:highlight w:val="none"/>
        </w:rPr>
        <w:t>甲方开展运营评价的主要工作是依据本协议约定对项目产出</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服务</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等运营情况进行监测分析，评估潜在风险，提出相关评价意见建议和相关要求。</w:t>
      </w:r>
    </w:p>
    <w:p w14:paraId="07128E51">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1" w:firstLine="567" w:firstLineChars="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3.</w:t>
      </w:r>
      <w:r>
        <w:rPr>
          <w:rFonts w:hint="eastAsia" w:ascii="Times New Roman" w:hAnsi="Times New Roman" w:eastAsia="方正仿宋_GBK"/>
          <w:caps w:val="0"/>
          <w:smallCaps w:val="0"/>
          <w:color w:val="auto"/>
          <w:kern w:val="2"/>
          <w:sz w:val="24"/>
          <w:szCs w:val="24"/>
          <w:highlight w:val="none"/>
        </w:rPr>
        <w:t>甲方开展运营评价可采用项目资料审阅、现场调研、征求项目用户或公众意见等综合方式进行；乙方应配合甲方定期开展运营评价。</w:t>
      </w:r>
    </w:p>
    <w:p w14:paraId="0AE0C2B7">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1" w:firstLine="567" w:firstLineChars="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4.</w:t>
      </w:r>
      <w:r>
        <w:rPr>
          <w:rFonts w:hint="eastAsia" w:ascii="Times New Roman" w:hAnsi="Times New Roman" w:eastAsia="方正仿宋_GBK"/>
          <w:caps w:val="0"/>
          <w:smallCaps w:val="0"/>
          <w:color w:val="auto"/>
          <w:kern w:val="2"/>
          <w:sz w:val="24"/>
          <w:szCs w:val="24"/>
          <w:highlight w:val="none"/>
        </w:rPr>
        <w:t>甲方开展运营评价不应干扰乙方正常生产活动，也不应通过开展定期运营评价突破本协议约定</w:t>
      </w:r>
      <w:r>
        <w:rPr>
          <w:rFonts w:hint="eastAsia" w:ascii="Times New Roman" w:hAnsi="Times New Roman" w:eastAsia="方正仿宋_GBK"/>
          <w:caps w:val="0"/>
          <w:smallCaps w:val="0"/>
          <w:color w:val="auto"/>
          <w:kern w:val="2"/>
          <w:sz w:val="24"/>
          <w:szCs w:val="24"/>
          <w:highlight w:val="none"/>
          <w:lang w:eastAsia="zh-CN"/>
        </w:rPr>
        <w:t>，变相</w:t>
      </w:r>
      <w:r>
        <w:rPr>
          <w:rFonts w:hint="eastAsia" w:ascii="Times New Roman" w:hAnsi="Times New Roman" w:eastAsia="方正仿宋_GBK"/>
          <w:caps w:val="0"/>
          <w:smallCaps w:val="0"/>
          <w:color w:val="auto"/>
          <w:kern w:val="2"/>
          <w:sz w:val="24"/>
          <w:szCs w:val="24"/>
          <w:highlight w:val="none"/>
        </w:rPr>
        <w:t>提高项目运营服务标准</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包括安全生产、环境保护标准等</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要求。</w:t>
      </w:r>
    </w:p>
    <w:p w14:paraId="1A57D39E">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1" w:firstLine="567" w:firstLineChars="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5.</w:t>
      </w:r>
      <w:r>
        <w:rPr>
          <w:rFonts w:hint="eastAsia" w:ascii="Times New Roman" w:hAnsi="Times New Roman" w:eastAsia="方正仿宋_GBK"/>
          <w:caps w:val="0"/>
          <w:smallCaps w:val="0"/>
          <w:color w:val="auto"/>
          <w:kern w:val="2"/>
          <w:sz w:val="24"/>
          <w:szCs w:val="24"/>
          <w:highlight w:val="none"/>
        </w:rPr>
        <w:t>乙方应就甲方定期运营评价报告提出的相关意见建议和要求进行认真研究，并在甲方每次定期评价结束后</w:t>
      </w:r>
      <w:r>
        <w:rPr>
          <w:rFonts w:hint="eastAsia" w:ascii="Times New Roman" w:hAnsi="Times New Roman" w:eastAsia="方正仿宋_GBK"/>
          <w:caps w:val="0"/>
          <w:smallCaps w:val="0"/>
          <w:color w:val="auto"/>
          <w:kern w:val="2"/>
          <w:sz w:val="24"/>
          <w:szCs w:val="24"/>
          <w:highlight w:val="none"/>
          <w:lang w:val="en-US" w:eastAsia="zh-CN"/>
        </w:rPr>
        <w:t>60</w:t>
      </w:r>
      <w:r>
        <w:rPr>
          <w:rFonts w:hint="eastAsia" w:ascii="Times New Roman" w:hAnsi="Times New Roman" w:eastAsia="方正仿宋_GBK"/>
          <w:caps w:val="0"/>
          <w:smallCaps w:val="0"/>
          <w:color w:val="auto"/>
          <w:kern w:val="2"/>
          <w:sz w:val="24"/>
          <w:szCs w:val="24"/>
          <w:highlight w:val="none"/>
        </w:rPr>
        <w:t>天以内，以专门报告方式向甲方反馈相关意见建议和要求的处理和落实情况。</w:t>
      </w:r>
    </w:p>
    <w:p w14:paraId="359F0883">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1" w:firstLine="567" w:firstLineChars="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lang w:val="en-US" w:eastAsia="zh-CN" w:bidi="ar-SA"/>
        </w:rPr>
        <w:t>6.</w:t>
      </w:r>
      <w:r>
        <w:rPr>
          <w:rFonts w:hint="eastAsia" w:ascii="Times New Roman" w:hAnsi="Times New Roman" w:eastAsia="方正仿宋_GBK"/>
          <w:caps w:val="0"/>
          <w:smallCaps w:val="0"/>
          <w:color w:val="auto"/>
          <w:kern w:val="2"/>
          <w:sz w:val="24"/>
          <w:szCs w:val="24"/>
          <w:highlight w:val="none"/>
        </w:rPr>
        <w:t>甲方定期开展运营评价工作经费由甲方</w:t>
      </w:r>
      <w:r>
        <w:rPr>
          <w:rFonts w:hint="eastAsia" w:ascii="Times New Roman" w:hAnsi="Times New Roman" w:eastAsia="方正仿宋_GBK"/>
          <w:caps w:val="0"/>
          <w:smallCaps w:val="0"/>
          <w:color w:val="auto"/>
          <w:kern w:val="2"/>
          <w:sz w:val="24"/>
          <w:szCs w:val="24"/>
          <w:highlight w:val="none"/>
          <w:lang w:eastAsia="zh-CN"/>
        </w:rPr>
        <w:t>承担</w:t>
      </w:r>
      <w:r>
        <w:rPr>
          <w:rFonts w:hint="eastAsia" w:ascii="Times New Roman" w:hAnsi="Times New Roman" w:eastAsia="方正仿宋_GBK"/>
          <w:caps w:val="0"/>
          <w:smallCaps w:val="0"/>
          <w:color w:val="auto"/>
          <w:kern w:val="2"/>
          <w:sz w:val="24"/>
          <w:szCs w:val="24"/>
          <w:highlight w:val="none"/>
        </w:rPr>
        <w:t>。</w:t>
      </w:r>
    </w:p>
    <w:p w14:paraId="71067D6D">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277" w:name="_Toc26172"/>
      <w:bookmarkStart w:id="278" w:name="_Toc938287533"/>
      <w:bookmarkStart w:id="279" w:name="_Toc7490"/>
      <w:r>
        <w:rPr>
          <w:rFonts w:hint="eastAsia" w:ascii="Times New Roman" w:hAnsi="Times New Roman" w:eastAsia="方正黑体_GBK" w:cs="方正黑体_GBK"/>
          <w:bCs/>
          <w:caps w:val="0"/>
          <w:smallCaps w:val="0"/>
          <w:color w:val="auto"/>
          <w:kern w:val="2"/>
          <w:sz w:val="28"/>
          <w:szCs w:val="28"/>
          <w:highlight w:val="none"/>
          <w:lang w:val="en-US" w:eastAsia="zh-CN" w:bidi="ar-SA"/>
        </w:rPr>
        <w:t>第43条 绩效评价和运营考核</w:t>
      </w:r>
      <w:bookmarkEnd w:id="277"/>
      <w:bookmarkEnd w:id="278"/>
      <w:bookmarkEnd w:id="279"/>
    </w:p>
    <w:p w14:paraId="22FA05FE">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left="0" w:firstLine="567" w:firstLineChars="0"/>
        <w:jc w:val="both"/>
        <w:rPr>
          <w:rFonts w:ascii="Times New Roman" w:hAnsi="Times New Roman" w:eastAsia="方正仿宋_GBK" w:cs="Times New Roman"/>
          <w:caps w:val="0"/>
          <w:smallCaps w:val="0"/>
          <w:color w:val="auto"/>
          <w:kern w:val="2"/>
          <w:sz w:val="24"/>
          <w:szCs w:val="24"/>
          <w:highlight w:val="none"/>
          <w:lang w:val="en-US" w:eastAsia="zh-CN" w:bidi="ar-SA"/>
        </w:rPr>
      </w:pPr>
      <w:bookmarkStart w:id="280" w:name="_Hlk154133702"/>
      <w:r>
        <w:rPr>
          <w:rFonts w:ascii="Times New Roman" w:hAnsi="Times New Roman" w:eastAsia="方正仿宋_GBK" w:cs="Times New Roman"/>
          <w:caps w:val="0"/>
          <w:smallCaps w:val="0"/>
          <w:color w:val="auto"/>
          <w:kern w:val="2"/>
          <w:sz w:val="24"/>
          <w:szCs w:val="24"/>
          <w:highlight w:val="none"/>
          <w:lang w:val="en-US" w:eastAsia="zh-CN" w:bidi="ar-SA"/>
        </w:rPr>
        <w:t>1.</w:t>
      </w:r>
      <w:r>
        <w:rPr>
          <w:rFonts w:hint="eastAsia" w:ascii="Times New Roman" w:hAnsi="Times New Roman" w:eastAsia="方正仿宋_GBK" w:cs="Times New Roman"/>
          <w:caps w:val="0"/>
          <w:smallCaps w:val="0"/>
          <w:color w:val="auto"/>
          <w:kern w:val="2"/>
          <w:sz w:val="24"/>
          <w:szCs w:val="24"/>
          <w:highlight w:val="none"/>
          <w:lang w:val="en-US" w:eastAsia="zh-CN" w:bidi="ar-SA"/>
        </w:rPr>
        <w:t>乙方应配合</w:t>
      </w:r>
      <w:r>
        <w:rPr>
          <w:rFonts w:hint="default" w:ascii="Times New Roman" w:hAnsi="Times New Roman" w:eastAsia="方正仿宋_GBK" w:cs="Times New Roman"/>
          <w:caps w:val="0"/>
          <w:smallCaps w:val="0"/>
          <w:color w:val="auto"/>
          <w:kern w:val="2"/>
          <w:sz w:val="24"/>
          <w:szCs w:val="24"/>
          <w:highlight w:val="none"/>
          <w:lang w:val="en-US" w:eastAsia="zh-CN" w:bidi="ar-SA"/>
        </w:rPr>
        <w:t>项目</w:t>
      </w:r>
      <w:r>
        <w:rPr>
          <w:rFonts w:hint="eastAsia" w:ascii="Times New Roman" w:hAnsi="Times New Roman" w:eastAsia="方正仿宋_GBK" w:cs="Times New Roman"/>
          <w:caps w:val="0"/>
          <w:smallCaps w:val="0"/>
          <w:color w:val="auto"/>
          <w:kern w:val="2"/>
          <w:sz w:val="24"/>
          <w:szCs w:val="24"/>
          <w:highlight w:val="none"/>
          <w:lang w:val="en-US" w:eastAsia="zh-CN" w:bidi="ar-SA"/>
        </w:rPr>
        <w:t>按有关规定对财政资金使用开展绩效评价，并按本协议约定接受绩效评价成果的应用，具体绩效考核方案详见附件4。</w:t>
      </w:r>
    </w:p>
    <w:p w14:paraId="6AE9CD22">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left="0" w:firstLine="567" w:firstLineChars="0"/>
        <w:jc w:val="both"/>
        <w:rPr>
          <w:rFonts w:ascii="Times New Roman" w:hAnsi="Times New Roman" w:eastAsia="方正仿宋_GBK" w:cs="Times New Roman"/>
          <w:caps w:val="0"/>
          <w:smallCaps w:val="0"/>
          <w:color w:val="auto"/>
          <w:kern w:val="2"/>
          <w:sz w:val="28"/>
          <w:szCs w:val="28"/>
          <w:highlight w:val="none"/>
          <w:lang w:val="en-US" w:eastAsia="zh-CN" w:bidi="ar-SA"/>
        </w:rPr>
      </w:pPr>
      <w:r>
        <w:rPr>
          <w:rFonts w:ascii="Times New Roman" w:hAnsi="Times New Roman" w:eastAsia="方正仿宋_GBK" w:cs="Times New Roman"/>
          <w:caps w:val="0"/>
          <w:smallCaps w:val="0"/>
          <w:color w:val="auto"/>
          <w:kern w:val="2"/>
          <w:sz w:val="24"/>
          <w:szCs w:val="24"/>
          <w:highlight w:val="none"/>
          <w:lang w:val="en-US" w:eastAsia="zh-CN" w:bidi="ar-SA"/>
        </w:rPr>
        <w:t>2.</w:t>
      </w:r>
      <w:r>
        <w:rPr>
          <w:rFonts w:hint="eastAsia" w:ascii="Times New Roman" w:hAnsi="Times New Roman" w:eastAsia="方正仿宋_GBK" w:cs="Times New Roman"/>
          <w:caps w:val="0"/>
          <w:smallCaps w:val="0"/>
          <w:color w:val="auto"/>
          <w:kern w:val="2"/>
          <w:sz w:val="24"/>
          <w:szCs w:val="24"/>
          <w:highlight w:val="none"/>
          <w:lang w:val="en-US" w:eastAsia="zh-CN" w:bidi="ar-SA"/>
        </w:rPr>
        <w:t>乙方应</w:t>
      </w:r>
      <w:bookmarkEnd w:id="280"/>
      <w:r>
        <w:rPr>
          <w:rFonts w:hint="eastAsia" w:ascii="Times New Roman" w:hAnsi="Times New Roman" w:eastAsia="方正仿宋_GBK" w:cs="Times New Roman"/>
          <w:caps w:val="0"/>
          <w:smallCaps w:val="0"/>
          <w:color w:val="auto"/>
          <w:kern w:val="2"/>
          <w:sz w:val="24"/>
          <w:szCs w:val="24"/>
          <w:highlight w:val="none"/>
          <w:lang w:val="en-US" w:eastAsia="zh-CN" w:bidi="ar-SA"/>
        </w:rPr>
        <w:t>参与和配合由政府相关部门统一组织的项目运营考核，并接受相关部门对运营考核结果的应用，同时此类运营考核结果也将作为甲方研判本项目运营管理情况和定期开展项目运营评价的参考或依据。</w:t>
      </w:r>
    </w:p>
    <w:p w14:paraId="03524D09">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281" w:name="_Toc16081"/>
      <w:bookmarkStart w:id="282" w:name="_Toc20253"/>
      <w:bookmarkStart w:id="283" w:name="_Toc1804756653"/>
      <w:r>
        <w:rPr>
          <w:rFonts w:hint="eastAsia" w:ascii="Times New Roman" w:hAnsi="Times New Roman" w:eastAsia="方正黑体_GBK" w:cs="方正黑体_GBK"/>
          <w:bCs/>
          <w:caps w:val="0"/>
          <w:smallCaps w:val="0"/>
          <w:color w:val="auto"/>
          <w:kern w:val="2"/>
          <w:sz w:val="28"/>
          <w:szCs w:val="28"/>
          <w:highlight w:val="none"/>
          <w:lang w:val="en-US" w:eastAsia="zh-CN" w:bidi="ar-SA"/>
        </w:rPr>
        <w:t>第44条 应急预案</w:t>
      </w:r>
      <w:bookmarkEnd w:id="281"/>
      <w:bookmarkEnd w:id="282"/>
      <w:bookmarkEnd w:id="283"/>
    </w:p>
    <w:p w14:paraId="1E2CDB33">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0" w:firstLine="560" w:firstLineChars="0"/>
        <w:rPr>
          <w:rFonts w:hint="default" w:ascii="Times New Roman" w:hAnsi="Times New Roman" w:eastAsia="方正仿宋_GBK"/>
          <w:caps w:val="0"/>
          <w:smallCaps w:val="0"/>
          <w:color w:val="auto"/>
          <w:kern w:val="2"/>
          <w:sz w:val="24"/>
          <w:szCs w:val="24"/>
          <w:highlight w:val="none"/>
        </w:rPr>
      </w:pPr>
      <w:bookmarkStart w:id="284" w:name="_Hlk88132546"/>
      <w:r>
        <w:rPr>
          <w:rFonts w:hint="default" w:ascii="Times New Roman" w:hAnsi="Times New Roman" w:eastAsia="方正仿宋_GBK"/>
          <w:caps w:val="0"/>
          <w:smallCaps w:val="0"/>
          <w:color w:val="auto"/>
          <w:kern w:val="2"/>
          <w:sz w:val="24"/>
          <w:szCs w:val="24"/>
          <w:highlight w:val="none"/>
          <w:lang w:val="en-US" w:eastAsia="zh-CN" w:bidi="ar-SA"/>
        </w:rPr>
        <w:t>1.</w:t>
      </w:r>
      <w:r>
        <w:rPr>
          <w:rFonts w:hint="eastAsia" w:ascii="Times New Roman" w:hAnsi="Times New Roman" w:eastAsia="方正仿宋_GBK"/>
          <w:caps w:val="0"/>
          <w:smallCaps w:val="0"/>
          <w:color w:val="auto"/>
          <w:kern w:val="2"/>
          <w:sz w:val="24"/>
          <w:szCs w:val="24"/>
          <w:highlight w:val="none"/>
        </w:rPr>
        <w:t>乙方应按照相关法律法规和标准规定，针对自然灾害、重</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特</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大事故、环境公害及人为破坏等突发情况建立相应的应急预案，并保证在出现重大意外事件时其保障体系能够正常启动和运行，以降低灾害发生对项目造成的损失。</w:t>
      </w:r>
    </w:p>
    <w:p w14:paraId="4A41BE7C">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0" w:firstLine="560" w:firstLineChars="0"/>
        <w:rPr>
          <w:rFonts w:hint="default" w:ascii="Times New Roman" w:hAnsi="Times New Roman" w:eastAsia="方正仿宋_GBK"/>
          <w:caps w:val="0"/>
          <w:smallCaps w:val="0"/>
          <w:color w:val="auto"/>
          <w:kern w:val="2"/>
          <w:sz w:val="24"/>
          <w:szCs w:val="24"/>
          <w:highlight w:val="none"/>
        </w:rPr>
      </w:pPr>
      <w:r>
        <w:rPr>
          <w:rFonts w:hint="default" w:ascii="Times New Roman" w:hAnsi="Times New Roman" w:eastAsia="方正仿宋_GBK"/>
          <w:caps w:val="0"/>
          <w:smallCaps w:val="0"/>
          <w:color w:val="auto"/>
          <w:kern w:val="2"/>
          <w:sz w:val="24"/>
          <w:szCs w:val="24"/>
          <w:highlight w:val="none"/>
          <w:lang w:val="en-US" w:eastAsia="zh-CN" w:bidi="ar-SA"/>
        </w:rPr>
        <w:t>2.</w:t>
      </w:r>
      <w:r>
        <w:rPr>
          <w:rFonts w:hint="eastAsia" w:ascii="Times New Roman" w:hAnsi="Times New Roman" w:eastAsia="方正仿宋_GBK"/>
          <w:caps w:val="0"/>
          <w:smallCaps w:val="0"/>
          <w:color w:val="auto"/>
          <w:kern w:val="2"/>
          <w:sz w:val="24"/>
          <w:szCs w:val="24"/>
          <w:highlight w:val="none"/>
        </w:rPr>
        <w:t>乙方所编制的各种应急预案应按规定报相关部门审查审批，并应向甲方报告应急预案的编制和备案等情况。</w:t>
      </w:r>
    </w:p>
    <w:p w14:paraId="1982FE4D">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0" w:firstLine="560" w:firstLineChars="0"/>
        <w:rPr>
          <w:rFonts w:hint="eastAsia" w:ascii="Times New Roman" w:hAnsi="Times New Roman" w:eastAsia="方正仿宋_GBK"/>
          <w:caps w:val="0"/>
          <w:smallCaps w:val="0"/>
          <w:color w:val="auto"/>
          <w:kern w:val="2"/>
          <w:sz w:val="24"/>
          <w:szCs w:val="24"/>
          <w:highlight w:val="none"/>
        </w:rPr>
      </w:pPr>
      <w:r>
        <w:rPr>
          <w:rFonts w:hint="default" w:ascii="Times New Roman" w:hAnsi="Times New Roman" w:eastAsia="方正仿宋_GBK"/>
          <w:caps w:val="0"/>
          <w:smallCaps w:val="0"/>
          <w:color w:val="auto"/>
          <w:kern w:val="2"/>
          <w:sz w:val="24"/>
          <w:szCs w:val="24"/>
          <w:highlight w:val="none"/>
          <w:lang w:val="en-US" w:eastAsia="zh-CN" w:bidi="ar-SA"/>
        </w:rPr>
        <w:t>3.</w:t>
      </w:r>
      <w:r>
        <w:rPr>
          <w:rFonts w:hint="eastAsia" w:ascii="Times New Roman" w:hAnsi="Times New Roman" w:eastAsia="方正仿宋_GBK"/>
          <w:caps w:val="0"/>
          <w:smallCaps w:val="0"/>
          <w:color w:val="auto"/>
          <w:kern w:val="2"/>
          <w:sz w:val="24"/>
          <w:szCs w:val="24"/>
          <w:highlight w:val="none"/>
        </w:rPr>
        <w:t>乙方应按预案要求建立健全相应的组织、指挥、设备等保障体系，并组织必要的培训和演练，接受相关部门的检查</w:t>
      </w:r>
      <w:r>
        <w:rPr>
          <w:rFonts w:hint="eastAsia" w:ascii="Times New Roman" w:hAnsi="Times New Roman" w:eastAsia="方正仿宋_GBK"/>
          <w:caps w:val="0"/>
          <w:smallCaps w:val="0"/>
          <w:color w:val="auto"/>
          <w:kern w:val="2"/>
          <w:sz w:val="24"/>
          <w:szCs w:val="24"/>
          <w:highlight w:val="none"/>
          <w:lang w:eastAsia="zh-CN"/>
        </w:rPr>
        <w:t>、监督</w:t>
      </w:r>
      <w:r>
        <w:rPr>
          <w:rFonts w:hint="eastAsia" w:ascii="Times New Roman" w:hAnsi="Times New Roman" w:eastAsia="方正仿宋_GBK"/>
          <w:caps w:val="0"/>
          <w:smallCaps w:val="0"/>
          <w:color w:val="auto"/>
          <w:kern w:val="2"/>
          <w:sz w:val="24"/>
          <w:szCs w:val="24"/>
          <w:highlight w:val="none"/>
        </w:rPr>
        <w:t>和指导。</w:t>
      </w:r>
    </w:p>
    <w:p w14:paraId="49D0FBCA">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0" w:firstLine="560" w:firstLineChars="0"/>
        <w:rPr>
          <w:rFonts w:hint="default" w:ascii="Times New Roman" w:hAnsi="Times New Roman" w:eastAsia="方正仿宋_GBK"/>
          <w:caps w:val="0"/>
          <w:smallCaps w:val="0"/>
          <w:color w:val="auto"/>
          <w:kern w:val="2"/>
          <w:sz w:val="28"/>
          <w:szCs w:val="28"/>
          <w:highlight w:val="none"/>
          <w:lang w:val="en-US" w:eastAsia="zh-CN"/>
        </w:rPr>
      </w:pPr>
      <w:r>
        <w:rPr>
          <w:rFonts w:hint="eastAsia" w:ascii="Times New Roman" w:hAnsi="Times New Roman" w:eastAsia="方正仿宋_GBK"/>
          <w:caps w:val="0"/>
          <w:smallCaps w:val="0"/>
          <w:color w:val="auto"/>
          <w:kern w:val="2"/>
          <w:sz w:val="24"/>
          <w:szCs w:val="24"/>
          <w:highlight w:val="none"/>
          <w:lang w:val="en-US" w:eastAsia="zh-CN"/>
        </w:rPr>
        <w:t>4.乙方因自身原因导致应急预案启动，发生的相关支出由乙方自行承担；因乙方自身以外的原因启动应急预案而增加的合理费用和支出，可向甲方提出合理补偿申请，甲方认可乙方提供的补偿依据后，可以支付补偿金。</w:t>
      </w:r>
    </w:p>
    <w:bookmarkEnd w:id="284"/>
    <w:p w14:paraId="6F28FC76">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285" w:name="_Toc149470817"/>
      <w:bookmarkStart w:id="286" w:name="_Toc22888"/>
      <w:bookmarkStart w:id="287" w:name="_Toc88151448"/>
      <w:bookmarkStart w:id="288" w:name="_Toc17876"/>
      <w:bookmarkStart w:id="289" w:name="_Toc26003"/>
      <w:bookmarkStart w:id="290" w:name="_Toc90758397"/>
      <w:bookmarkStart w:id="291" w:name="_Toc17486"/>
      <w:bookmarkStart w:id="292" w:name="_Toc16679"/>
      <w:bookmarkStart w:id="293" w:name="_Toc92727060"/>
      <w:bookmarkStart w:id="294" w:name="_Toc539"/>
      <w:bookmarkStart w:id="295" w:name="_Toc19030"/>
      <w:bookmarkStart w:id="296" w:name="_Toc1027099209"/>
      <w:bookmarkStart w:id="297" w:name="_Toc24266"/>
      <w:bookmarkStart w:id="298" w:name="_Toc4946"/>
      <w:r>
        <w:rPr>
          <w:rFonts w:hint="eastAsia" w:ascii="Times New Roman" w:hAnsi="Times New Roman" w:eastAsia="方正黑体_GBK" w:cs="方正黑体_GBK"/>
          <w:bCs/>
          <w:caps w:val="0"/>
          <w:smallCaps w:val="0"/>
          <w:color w:val="auto"/>
          <w:kern w:val="2"/>
          <w:sz w:val="28"/>
          <w:szCs w:val="28"/>
          <w:highlight w:val="none"/>
          <w:lang w:val="en-US" w:eastAsia="zh-CN" w:bidi="ar-SA"/>
        </w:rPr>
        <w:t>第45条 临时接管</w:t>
      </w:r>
      <w:bookmarkEnd w:id="285"/>
      <w:bookmarkEnd w:id="286"/>
      <w:bookmarkEnd w:id="287"/>
      <w:bookmarkEnd w:id="288"/>
      <w:bookmarkEnd w:id="289"/>
      <w:bookmarkEnd w:id="290"/>
      <w:bookmarkEnd w:id="291"/>
      <w:bookmarkEnd w:id="292"/>
      <w:bookmarkEnd w:id="293"/>
      <w:bookmarkEnd w:id="294"/>
      <w:bookmarkEnd w:id="295"/>
      <w:r>
        <w:rPr>
          <w:rFonts w:hint="eastAsia" w:ascii="Times New Roman" w:hAnsi="Times New Roman" w:eastAsia="方正黑体_GBK" w:cs="方正黑体_GBK"/>
          <w:bCs/>
          <w:caps w:val="0"/>
          <w:smallCaps w:val="0"/>
          <w:color w:val="auto"/>
          <w:kern w:val="2"/>
          <w:sz w:val="28"/>
          <w:szCs w:val="28"/>
          <w:highlight w:val="none"/>
          <w:lang w:val="en-US" w:eastAsia="zh-CN" w:bidi="ar-SA"/>
        </w:rPr>
        <w:t>预案</w:t>
      </w:r>
      <w:bookmarkEnd w:id="296"/>
      <w:bookmarkEnd w:id="297"/>
      <w:bookmarkEnd w:id="298"/>
    </w:p>
    <w:p w14:paraId="3B0FA744">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default" w:ascii="Times New Roman" w:hAnsi="Times New Roman" w:eastAsia="方正仿宋_GBK"/>
          <w:caps w:val="0"/>
          <w:smallCaps w:val="0"/>
          <w:color w:val="auto"/>
          <w:kern w:val="2"/>
          <w:sz w:val="24"/>
          <w:szCs w:val="24"/>
          <w:highlight w:val="none"/>
          <w:lang w:val="en-US" w:eastAsia="zh-CN" w:bidi="ar-SA"/>
        </w:rPr>
        <w:t>1.</w:t>
      </w:r>
      <w:r>
        <w:rPr>
          <w:rFonts w:hint="eastAsia" w:ascii="Times New Roman" w:hAnsi="Times New Roman" w:eastAsia="方正仿宋_GBK"/>
          <w:caps w:val="0"/>
          <w:smallCaps w:val="0"/>
          <w:color w:val="auto"/>
          <w:kern w:val="2"/>
          <w:sz w:val="24"/>
          <w:szCs w:val="24"/>
          <w:highlight w:val="none"/>
        </w:rPr>
        <w:t>在以下特殊情况发生时，甲方有权对本项目实施临时接管，由甲方或政府指定的第三方接管乙方所承担的本项目全部或部分工作：</w:t>
      </w:r>
    </w:p>
    <w:p w14:paraId="3CA6BDD3">
      <w:pPr>
        <w:keepNext w:val="0"/>
        <w:keepLines w:val="0"/>
        <w:pageBreakBefore w:val="0"/>
        <w:widowControl w:val="0"/>
        <w:numPr>
          <w:ilvl w:val="0"/>
          <w:numId w:val="0"/>
        </w:numPr>
        <w:kinsoku/>
        <w:wordWrap/>
        <w:overflowPunct/>
        <w:topLinePunct w:val="0"/>
        <w:bidi w:val="0"/>
        <w:adjustRightInd w:val="0"/>
        <w:snapToGrid w:val="0"/>
        <w:spacing w:before="0" w:beforeLines="0" w:after="0" w:afterLines="0" w:line="360" w:lineRule="auto"/>
        <w:ind w:left="0" w:firstLine="480" w:firstLineChars="200"/>
        <w:jc w:val="both"/>
        <w:rPr>
          <w:rFonts w:hint="eastAsia" w:ascii="Times New Roman" w:hAnsi="Times New Roman" w:eastAsia="方正仿宋_GBK" w:cs="Times New Roman"/>
          <w:caps w:val="0"/>
          <w:smallCaps w:val="0"/>
          <w:color w:val="auto"/>
          <w:kern w:val="2"/>
          <w:sz w:val="24"/>
          <w:szCs w:val="24"/>
          <w:highlight w:val="none"/>
          <w:lang w:val="en-US" w:eastAsia="zh-CN" w:bidi="ar-SA"/>
        </w:rPr>
      </w:pPr>
      <w:r>
        <w:rPr>
          <w:rFonts w:hint="eastAsia" w:ascii="Times New Roman" w:hAnsi="Times New Roman" w:eastAsia="方正仿宋_GBK" w:cs="Times New Roman"/>
          <w:caps w:val="0"/>
          <w:smallCaps w:val="0"/>
          <w:color w:val="auto"/>
          <w:kern w:val="2"/>
          <w:sz w:val="24"/>
          <w:szCs w:val="24"/>
          <w:highlight w:val="none"/>
          <w:lang w:val="en-US" w:eastAsia="zh-CN" w:bidi="ar-SA"/>
        </w:rPr>
        <w:t>（1）乙方擅自转让、出租特许经营权的；</w:t>
      </w:r>
    </w:p>
    <w:p w14:paraId="0BC74344">
      <w:pPr>
        <w:keepNext w:val="0"/>
        <w:keepLines w:val="0"/>
        <w:pageBreakBefore w:val="0"/>
        <w:widowControl w:val="0"/>
        <w:numPr>
          <w:ilvl w:val="0"/>
          <w:numId w:val="0"/>
        </w:numPr>
        <w:kinsoku/>
        <w:wordWrap/>
        <w:overflowPunct/>
        <w:topLinePunct w:val="0"/>
        <w:bidi w:val="0"/>
        <w:adjustRightInd w:val="0"/>
        <w:snapToGrid w:val="0"/>
        <w:spacing w:before="0" w:beforeLines="0" w:after="0" w:afterLines="0" w:line="360" w:lineRule="auto"/>
        <w:ind w:left="0" w:firstLine="480" w:firstLineChars="200"/>
        <w:jc w:val="both"/>
        <w:rPr>
          <w:rFonts w:hint="eastAsia" w:ascii="Times New Roman" w:hAnsi="Times New Roman" w:eastAsia="方正仿宋_GBK" w:cs="Times New Roman"/>
          <w:caps w:val="0"/>
          <w:smallCaps w:val="0"/>
          <w:color w:val="auto"/>
          <w:kern w:val="2"/>
          <w:sz w:val="24"/>
          <w:szCs w:val="24"/>
          <w:highlight w:val="none"/>
          <w:lang w:val="en-US" w:eastAsia="zh-CN" w:bidi="ar-SA"/>
        </w:rPr>
      </w:pPr>
      <w:r>
        <w:rPr>
          <w:rFonts w:hint="eastAsia" w:ascii="Times New Roman" w:hAnsi="Times New Roman" w:eastAsia="方正仿宋_GBK" w:cs="Times New Roman"/>
          <w:caps w:val="0"/>
          <w:smallCaps w:val="0"/>
          <w:color w:val="auto"/>
          <w:kern w:val="2"/>
          <w:sz w:val="24"/>
          <w:szCs w:val="24"/>
          <w:highlight w:val="none"/>
          <w:lang w:val="en-US" w:eastAsia="zh-CN" w:bidi="ar-SA"/>
        </w:rPr>
        <w:t>（2）乙方擅自将所经营的财产进行处置或者抵押的；</w:t>
      </w:r>
    </w:p>
    <w:p w14:paraId="470A3C35">
      <w:pPr>
        <w:keepNext w:val="0"/>
        <w:keepLines w:val="0"/>
        <w:pageBreakBefore w:val="0"/>
        <w:widowControl w:val="0"/>
        <w:numPr>
          <w:ilvl w:val="0"/>
          <w:numId w:val="0"/>
        </w:numPr>
        <w:kinsoku/>
        <w:wordWrap/>
        <w:overflowPunct/>
        <w:topLinePunct w:val="0"/>
        <w:bidi w:val="0"/>
        <w:adjustRightInd w:val="0"/>
        <w:snapToGrid w:val="0"/>
        <w:spacing w:before="0" w:beforeLines="0" w:after="0" w:afterLines="0" w:line="360" w:lineRule="auto"/>
        <w:ind w:left="0" w:firstLine="480" w:firstLineChars="200"/>
        <w:jc w:val="both"/>
        <w:rPr>
          <w:rFonts w:hint="eastAsia" w:ascii="Times New Roman" w:hAnsi="Times New Roman" w:eastAsia="方正仿宋_GBK" w:cs="Times New Roman"/>
          <w:caps w:val="0"/>
          <w:smallCaps w:val="0"/>
          <w:color w:val="auto"/>
          <w:kern w:val="2"/>
          <w:sz w:val="24"/>
          <w:szCs w:val="24"/>
          <w:highlight w:val="none"/>
          <w:lang w:val="en-US" w:eastAsia="zh-CN" w:bidi="ar-SA"/>
        </w:rPr>
      </w:pPr>
      <w:r>
        <w:rPr>
          <w:rFonts w:hint="eastAsia" w:ascii="Times New Roman" w:hAnsi="Times New Roman" w:eastAsia="方正仿宋_GBK" w:cs="Times New Roman"/>
          <w:caps w:val="0"/>
          <w:smallCaps w:val="0"/>
          <w:color w:val="auto"/>
          <w:kern w:val="2"/>
          <w:sz w:val="24"/>
          <w:szCs w:val="24"/>
          <w:highlight w:val="none"/>
          <w:lang w:val="en-US" w:eastAsia="zh-CN" w:bidi="ar-SA"/>
        </w:rPr>
        <w:t>（3）乙方因管理不善，发生重大质量、生产安全事故的；</w:t>
      </w:r>
    </w:p>
    <w:p w14:paraId="4824CC47">
      <w:pPr>
        <w:keepNext w:val="0"/>
        <w:keepLines w:val="0"/>
        <w:pageBreakBefore w:val="0"/>
        <w:widowControl w:val="0"/>
        <w:numPr>
          <w:ilvl w:val="0"/>
          <w:numId w:val="0"/>
        </w:numPr>
        <w:kinsoku/>
        <w:wordWrap/>
        <w:overflowPunct/>
        <w:topLinePunct w:val="0"/>
        <w:bidi w:val="0"/>
        <w:adjustRightInd w:val="0"/>
        <w:snapToGrid w:val="0"/>
        <w:spacing w:before="0" w:beforeLines="0" w:after="0" w:afterLines="0" w:line="360" w:lineRule="auto"/>
        <w:ind w:left="0" w:firstLine="480" w:firstLineChars="200"/>
        <w:jc w:val="both"/>
        <w:rPr>
          <w:rFonts w:hint="eastAsia" w:ascii="Times New Roman" w:hAnsi="Times New Roman" w:eastAsia="方正仿宋_GBK" w:cs="Times New Roman"/>
          <w:caps w:val="0"/>
          <w:smallCaps w:val="0"/>
          <w:color w:val="auto"/>
          <w:kern w:val="2"/>
          <w:sz w:val="24"/>
          <w:szCs w:val="24"/>
          <w:highlight w:val="none"/>
          <w:lang w:val="en-US" w:eastAsia="zh-CN" w:bidi="ar-SA"/>
        </w:rPr>
      </w:pPr>
      <w:r>
        <w:rPr>
          <w:rFonts w:hint="eastAsia" w:ascii="Times New Roman" w:hAnsi="Times New Roman" w:eastAsia="方正仿宋_GBK" w:cs="Times New Roman"/>
          <w:caps w:val="0"/>
          <w:smallCaps w:val="0"/>
          <w:color w:val="auto"/>
          <w:kern w:val="2"/>
          <w:sz w:val="24"/>
          <w:szCs w:val="24"/>
          <w:highlight w:val="none"/>
          <w:lang w:val="en-US" w:eastAsia="zh-CN" w:bidi="ar-SA"/>
        </w:rPr>
        <w:t>（4）乙方擅自停业、歇业，严重影响到社会公共利益和安全的；</w:t>
      </w:r>
    </w:p>
    <w:p w14:paraId="13FE2A92">
      <w:pPr>
        <w:keepNext w:val="0"/>
        <w:keepLines w:val="0"/>
        <w:pageBreakBefore w:val="0"/>
        <w:widowControl w:val="0"/>
        <w:numPr>
          <w:ilvl w:val="0"/>
          <w:numId w:val="0"/>
        </w:numPr>
        <w:kinsoku/>
        <w:wordWrap/>
        <w:overflowPunct/>
        <w:topLinePunct w:val="0"/>
        <w:bidi w:val="0"/>
        <w:adjustRightInd w:val="0"/>
        <w:snapToGrid w:val="0"/>
        <w:spacing w:before="0" w:beforeLines="0" w:after="0" w:afterLines="0" w:line="360" w:lineRule="auto"/>
        <w:ind w:left="0" w:firstLine="480" w:firstLineChars="200"/>
        <w:jc w:val="both"/>
        <w:rPr>
          <w:rFonts w:ascii="Times New Roman" w:hAnsi="Times New Roman" w:eastAsia="方正仿宋_GBK" w:cs="Times New Roman"/>
          <w:caps w:val="0"/>
          <w:smallCaps w:val="0"/>
          <w:color w:val="auto"/>
          <w:kern w:val="2"/>
          <w:sz w:val="24"/>
          <w:szCs w:val="24"/>
          <w:highlight w:val="none"/>
          <w:lang w:val="en-US" w:eastAsia="zh-CN" w:bidi="ar-SA"/>
        </w:rPr>
      </w:pPr>
      <w:r>
        <w:rPr>
          <w:rFonts w:hint="eastAsia" w:ascii="Times New Roman" w:hAnsi="Times New Roman" w:eastAsia="方正仿宋_GBK" w:cs="Times New Roman"/>
          <w:caps w:val="0"/>
          <w:smallCaps w:val="0"/>
          <w:color w:val="auto"/>
          <w:kern w:val="2"/>
          <w:sz w:val="24"/>
          <w:szCs w:val="24"/>
          <w:highlight w:val="none"/>
          <w:lang w:val="en-US" w:eastAsia="zh-CN" w:bidi="ar-SA"/>
        </w:rPr>
        <w:t>（5）法律、法规禁止的其他行为。</w:t>
      </w:r>
    </w:p>
    <w:p w14:paraId="431C562B">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0" w:firstLine="480" w:firstLineChars="200"/>
        <w:rPr>
          <w:rFonts w:hint="default" w:ascii="Times New Roman" w:hAnsi="Times New Roman" w:eastAsia="方正仿宋_GBK"/>
          <w:caps w:val="0"/>
          <w:smallCaps w:val="0"/>
          <w:color w:val="auto"/>
          <w:kern w:val="2"/>
          <w:sz w:val="24"/>
          <w:szCs w:val="24"/>
          <w:highlight w:val="none"/>
        </w:rPr>
      </w:pPr>
      <w:bookmarkStart w:id="299" w:name="_Toc21398"/>
      <w:r>
        <w:rPr>
          <w:rFonts w:hint="default" w:ascii="Times New Roman" w:hAnsi="Times New Roman" w:eastAsia="方正仿宋_GBK"/>
          <w:caps w:val="0"/>
          <w:smallCaps w:val="0"/>
          <w:color w:val="auto"/>
          <w:kern w:val="2"/>
          <w:sz w:val="24"/>
          <w:szCs w:val="24"/>
          <w:highlight w:val="none"/>
          <w:lang w:val="en-US" w:eastAsia="zh-CN" w:bidi="ar-SA"/>
        </w:rPr>
        <w:t>2.</w:t>
      </w:r>
      <w:r>
        <w:rPr>
          <w:rFonts w:hint="eastAsia" w:ascii="Times New Roman" w:hAnsi="Times New Roman" w:eastAsia="方正仿宋_GBK"/>
          <w:caps w:val="0"/>
          <w:smallCaps w:val="0"/>
          <w:color w:val="auto"/>
          <w:kern w:val="2"/>
          <w:sz w:val="24"/>
          <w:szCs w:val="24"/>
          <w:highlight w:val="none"/>
        </w:rPr>
        <w:t>甲方实施临时接管，应就实施临时接管的原因、决定、接管范围和程度、接管机构、接管时间等事先书面通知乙方，并充分考虑乙方所作出的申述，但无须获得乙方的同意。</w:t>
      </w:r>
    </w:p>
    <w:p w14:paraId="25BA9F16">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default" w:ascii="Times New Roman" w:hAnsi="Times New Roman" w:eastAsia="方正仿宋_GBK"/>
          <w:caps w:val="0"/>
          <w:smallCaps w:val="0"/>
          <w:color w:val="auto"/>
          <w:kern w:val="2"/>
          <w:sz w:val="24"/>
          <w:szCs w:val="24"/>
          <w:highlight w:val="none"/>
          <w:lang w:val="en-US" w:eastAsia="zh-CN" w:bidi="ar-SA"/>
        </w:rPr>
        <w:t>3.</w:t>
      </w:r>
      <w:r>
        <w:rPr>
          <w:rFonts w:hint="eastAsia" w:ascii="Times New Roman" w:hAnsi="Times New Roman" w:eastAsia="方正仿宋_GBK"/>
          <w:caps w:val="0"/>
          <w:smallCaps w:val="0"/>
          <w:color w:val="auto"/>
          <w:kern w:val="2"/>
          <w:sz w:val="24"/>
          <w:szCs w:val="24"/>
          <w:highlight w:val="none"/>
        </w:rPr>
        <w:t>在临时接管期间，乙方应无条件服从甲方或政府指定接管机构的所有指令、命令，并应提供相关的配合工作，包括提供项目运营所需的备品配件及项目资料等。</w:t>
      </w:r>
    </w:p>
    <w:p w14:paraId="486BF952">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default" w:ascii="Times New Roman" w:hAnsi="Times New Roman" w:eastAsia="方正仿宋_GBK"/>
          <w:caps w:val="0"/>
          <w:smallCaps w:val="0"/>
          <w:color w:val="auto"/>
          <w:kern w:val="2"/>
          <w:sz w:val="24"/>
          <w:szCs w:val="24"/>
          <w:highlight w:val="none"/>
          <w:lang w:val="en-US" w:eastAsia="zh-CN" w:bidi="ar-SA"/>
        </w:rPr>
        <w:t>4.</w:t>
      </w:r>
      <w:r>
        <w:rPr>
          <w:rFonts w:hint="eastAsia" w:ascii="Times New Roman" w:hAnsi="Times New Roman" w:eastAsia="方正仿宋_GBK"/>
          <w:caps w:val="0"/>
          <w:smallCaps w:val="0"/>
          <w:color w:val="auto"/>
          <w:kern w:val="2"/>
          <w:sz w:val="24"/>
          <w:szCs w:val="24"/>
          <w:highlight w:val="none"/>
        </w:rPr>
        <w:t>临时接管期间项目实现的收入依然归乙方所有，但乙方需承担临时接管期间项目运营或维持所产生的全部成本和费用；</w:t>
      </w:r>
      <w:bookmarkStart w:id="300" w:name="_Hlk163528505"/>
      <w:r>
        <w:rPr>
          <w:rFonts w:hint="eastAsia" w:ascii="Times New Roman" w:hAnsi="Times New Roman" w:eastAsia="方正仿宋_GBK"/>
          <w:caps w:val="0"/>
          <w:smallCaps w:val="0"/>
          <w:color w:val="auto"/>
          <w:kern w:val="2"/>
          <w:sz w:val="24"/>
          <w:szCs w:val="24"/>
          <w:highlight w:val="none"/>
        </w:rPr>
        <w:t>如因乙方原因导致临时接管，乙方尚需承担相应的违约责任</w:t>
      </w:r>
      <w:bookmarkEnd w:id="300"/>
      <w:r>
        <w:rPr>
          <w:rFonts w:hint="eastAsia" w:ascii="Times New Roman" w:hAnsi="Times New Roman" w:eastAsia="方正仿宋_GBK"/>
          <w:caps w:val="0"/>
          <w:smallCaps w:val="0"/>
          <w:color w:val="auto"/>
          <w:kern w:val="2"/>
          <w:sz w:val="24"/>
          <w:szCs w:val="24"/>
          <w:highlight w:val="none"/>
        </w:rPr>
        <w:t>。</w:t>
      </w:r>
    </w:p>
    <w:bookmarkEnd w:id="299"/>
    <w:p w14:paraId="534DD041">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0" w:firstLine="480" w:firstLineChars="200"/>
        <w:rPr>
          <w:rFonts w:hint="default" w:ascii="Times New Roman" w:hAnsi="Times New Roman" w:eastAsia="方正仿宋_GBK"/>
          <w:caps w:val="0"/>
          <w:smallCaps w:val="0"/>
          <w:color w:val="auto"/>
          <w:kern w:val="2"/>
          <w:sz w:val="24"/>
          <w:szCs w:val="24"/>
          <w:highlight w:val="none"/>
        </w:rPr>
      </w:pPr>
      <w:r>
        <w:rPr>
          <w:rFonts w:hint="default" w:ascii="Times New Roman" w:hAnsi="Times New Roman" w:eastAsia="方正仿宋_GBK"/>
          <w:caps w:val="0"/>
          <w:smallCaps w:val="0"/>
          <w:color w:val="auto"/>
          <w:kern w:val="2"/>
          <w:sz w:val="24"/>
          <w:szCs w:val="24"/>
          <w:highlight w:val="none"/>
          <w:lang w:val="en-US" w:eastAsia="zh-CN" w:bidi="ar-SA"/>
        </w:rPr>
        <w:t>5.</w:t>
      </w:r>
      <w:r>
        <w:rPr>
          <w:rFonts w:hint="eastAsia" w:ascii="Times New Roman" w:hAnsi="Times New Roman" w:eastAsia="方正仿宋_GBK"/>
          <w:caps w:val="0"/>
          <w:smallCaps w:val="0"/>
          <w:color w:val="auto"/>
          <w:kern w:val="2"/>
          <w:sz w:val="24"/>
          <w:szCs w:val="24"/>
          <w:highlight w:val="none"/>
        </w:rPr>
        <w:t>临时接管</w:t>
      </w:r>
      <w:r>
        <w:rPr>
          <w:rFonts w:hint="default" w:ascii="Times New Roman" w:hAnsi="Times New Roman" w:eastAsia="方正仿宋_GBK"/>
          <w:caps w:val="0"/>
          <w:smallCaps w:val="0"/>
          <w:color w:val="auto"/>
          <w:kern w:val="2"/>
          <w:sz w:val="24"/>
          <w:szCs w:val="24"/>
          <w:highlight w:val="none"/>
        </w:rPr>
        <w:t>将持续到</w:t>
      </w:r>
      <w:r>
        <w:rPr>
          <w:rFonts w:hint="eastAsia" w:ascii="Times New Roman" w:hAnsi="Times New Roman" w:eastAsia="方正仿宋_GBK"/>
          <w:caps w:val="0"/>
          <w:smallCaps w:val="0"/>
          <w:color w:val="auto"/>
          <w:kern w:val="2"/>
          <w:sz w:val="24"/>
          <w:szCs w:val="24"/>
          <w:highlight w:val="none"/>
        </w:rPr>
        <w:t>导致实施临时接管的原因或事件影响已消除、且甲方</w:t>
      </w:r>
      <w:r>
        <w:rPr>
          <w:rFonts w:hint="default" w:ascii="Times New Roman" w:hAnsi="Times New Roman" w:eastAsia="方正仿宋_GBK"/>
          <w:caps w:val="0"/>
          <w:smallCaps w:val="0"/>
          <w:color w:val="auto"/>
          <w:kern w:val="2"/>
          <w:sz w:val="24"/>
          <w:szCs w:val="24"/>
          <w:highlight w:val="none"/>
        </w:rPr>
        <w:t>认为</w:t>
      </w:r>
      <w:r>
        <w:rPr>
          <w:rFonts w:hint="eastAsia" w:ascii="Times New Roman" w:hAnsi="Times New Roman" w:eastAsia="方正仿宋_GBK"/>
          <w:caps w:val="0"/>
          <w:smallCaps w:val="0"/>
          <w:color w:val="auto"/>
          <w:kern w:val="2"/>
          <w:sz w:val="24"/>
          <w:szCs w:val="24"/>
          <w:highlight w:val="none"/>
        </w:rPr>
        <w:t>乙方</w:t>
      </w:r>
      <w:r>
        <w:rPr>
          <w:rFonts w:hint="default" w:ascii="Times New Roman" w:hAnsi="Times New Roman" w:eastAsia="方正仿宋_GBK"/>
          <w:caps w:val="0"/>
          <w:smallCaps w:val="0"/>
          <w:color w:val="auto"/>
          <w:kern w:val="2"/>
          <w:sz w:val="24"/>
          <w:szCs w:val="24"/>
          <w:highlight w:val="none"/>
        </w:rPr>
        <w:t>已</w:t>
      </w:r>
      <w:r>
        <w:rPr>
          <w:rFonts w:hint="eastAsia" w:ascii="Times New Roman" w:hAnsi="Times New Roman" w:eastAsia="方正仿宋_GBK"/>
          <w:caps w:val="0"/>
          <w:smallCaps w:val="0"/>
          <w:color w:val="auto"/>
          <w:kern w:val="2"/>
          <w:sz w:val="24"/>
          <w:szCs w:val="24"/>
          <w:highlight w:val="none"/>
        </w:rPr>
        <w:t>重新</w:t>
      </w:r>
      <w:r>
        <w:rPr>
          <w:rFonts w:hint="default" w:ascii="Times New Roman" w:hAnsi="Times New Roman" w:eastAsia="方正仿宋_GBK"/>
          <w:caps w:val="0"/>
          <w:smallCaps w:val="0"/>
          <w:color w:val="auto"/>
          <w:kern w:val="2"/>
          <w:sz w:val="24"/>
          <w:szCs w:val="24"/>
          <w:highlight w:val="none"/>
        </w:rPr>
        <w:t>具备</w:t>
      </w:r>
      <w:r>
        <w:rPr>
          <w:rFonts w:hint="eastAsia" w:ascii="Times New Roman" w:hAnsi="Times New Roman" w:eastAsia="方正仿宋_GBK"/>
          <w:caps w:val="0"/>
          <w:smallCaps w:val="0"/>
          <w:color w:val="auto"/>
          <w:kern w:val="2"/>
          <w:sz w:val="24"/>
          <w:szCs w:val="24"/>
          <w:highlight w:val="none"/>
        </w:rPr>
        <w:t>或达到恢复项目正常建设运营的能力或相关条件</w:t>
      </w:r>
      <w:r>
        <w:rPr>
          <w:rFonts w:hint="default" w:ascii="Times New Roman" w:hAnsi="Times New Roman" w:eastAsia="方正仿宋_GBK"/>
          <w:caps w:val="0"/>
          <w:smallCaps w:val="0"/>
          <w:color w:val="auto"/>
          <w:kern w:val="2"/>
          <w:sz w:val="24"/>
          <w:szCs w:val="24"/>
          <w:highlight w:val="none"/>
        </w:rPr>
        <w:t>为止，以较早发生的时间为准</w:t>
      </w:r>
      <w:r>
        <w:rPr>
          <w:rFonts w:hint="eastAsia" w:ascii="Times New Roman" w:hAnsi="Times New Roman" w:eastAsia="方正仿宋_GBK"/>
          <w:caps w:val="0"/>
          <w:smallCaps w:val="0"/>
          <w:color w:val="auto"/>
          <w:kern w:val="2"/>
          <w:sz w:val="24"/>
          <w:szCs w:val="24"/>
          <w:highlight w:val="none"/>
        </w:rPr>
        <w:t>。</w:t>
      </w:r>
    </w:p>
    <w:p w14:paraId="7D38485A">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6.</w:t>
      </w:r>
      <w:r>
        <w:rPr>
          <w:rFonts w:hint="eastAsia" w:ascii="Times New Roman" w:hAnsi="Times New Roman" w:eastAsia="方正仿宋_GBK" w:cs="Times New Roman"/>
          <w:caps w:val="0"/>
          <w:smallCaps w:val="0"/>
          <w:color w:val="auto"/>
          <w:kern w:val="2"/>
          <w:sz w:val="24"/>
          <w:szCs w:val="24"/>
          <w:highlight w:val="none"/>
        </w:rPr>
        <w:t>政府方的临时接管并不直接导致本协议中止、终止或转让或特许经营期的中止、终止；</w:t>
      </w:r>
      <w:r>
        <w:rPr>
          <w:rFonts w:hint="eastAsia" w:ascii="Times New Roman" w:hAnsi="Times New Roman" w:eastAsia="方正仿宋_GBK" w:cs="Times New Roman"/>
          <w:caps w:val="0"/>
          <w:smallCaps w:val="0"/>
          <w:color w:val="auto"/>
          <w:kern w:val="2"/>
          <w:sz w:val="24"/>
          <w:szCs w:val="24"/>
          <w:highlight w:val="none"/>
          <w:lang w:val="en-US" w:eastAsia="zh-CN"/>
        </w:rPr>
        <w:t>但</w:t>
      </w:r>
      <w:r>
        <w:rPr>
          <w:rFonts w:hint="eastAsia" w:ascii="Times New Roman" w:hAnsi="Times New Roman" w:eastAsia="方正仿宋_GBK" w:cs="Times New Roman"/>
          <w:color w:val="auto"/>
          <w:kern w:val="2"/>
          <w:sz w:val="24"/>
          <w:szCs w:val="24"/>
          <w:highlight w:val="none"/>
        </w:rPr>
        <w:t>单次临时接管持续不间断超过90天或全年临时接管</w:t>
      </w:r>
      <w:r>
        <w:rPr>
          <w:rFonts w:hint="eastAsia" w:ascii="Times New Roman" w:hAnsi="Times New Roman" w:eastAsia="方正仿宋_GBK" w:cs="Times New Roman"/>
          <w:color w:val="auto"/>
          <w:kern w:val="2"/>
          <w:sz w:val="24"/>
          <w:szCs w:val="24"/>
          <w:highlight w:val="none"/>
          <w:lang w:val="en-US" w:eastAsia="zh-CN"/>
        </w:rPr>
        <w:t>累计</w:t>
      </w:r>
      <w:r>
        <w:rPr>
          <w:rFonts w:hint="eastAsia" w:ascii="Times New Roman" w:hAnsi="Times New Roman" w:eastAsia="方正仿宋_GBK" w:cs="Times New Roman"/>
          <w:color w:val="auto"/>
          <w:kern w:val="2"/>
          <w:sz w:val="24"/>
          <w:szCs w:val="24"/>
          <w:highlight w:val="none"/>
        </w:rPr>
        <w:t>天数达到120天，</w:t>
      </w:r>
      <w:r>
        <w:rPr>
          <w:rFonts w:hint="eastAsia" w:ascii="Times New Roman" w:hAnsi="Times New Roman" w:eastAsia="方正仿宋_GBK" w:cs="Times New Roman"/>
          <w:color w:val="auto"/>
          <w:kern w:val="2"/>
          <w:sz w:val="24"/>
          <w:szCs w:val="24"/>
          <w:highlight w:val="none"/>
          <w:lang w:val="en-US" w:eastAsia="zh-CN"/>
        </w:rPr>
        <w:t>甲方</w:t>
      </w:r>
      <w:r>
        <w:rPr>
          <w:rFonts w:hint="eastAsia" w:ascii="Times New Roman" w:hAnsi="Times New Roman" w:eastAsia="方正仿宋_GBK" w:cs="Times New Roman"/>
          <w:color w:val="auto"/>
          <w:kern w:val="2"/>
          <w:sz w:val="24"/>
          <w:szCs w:val="24"/>
          <w:highlight w:val="none"/>
        </w:rPr>
        <w:t>有权提前终止</w:t>
      </w:r>
      <w:r>
        <w:rPr>
          <w:rFonts w:hint="eastAsia" w:ascii="Times New Roman" w:hAnsi="Times New Roman" w:eastAsia="方正仿宋_GBK" w:cs="Times New Roman"/>
          <w:color w:val="auto"/>
          <w:kern w:val="2"/>
          <w:sz w:val="24"/>
          <w:szCs w:val="24"/>
          <w:highlight w:val="none"/>
          <w:lang w:val="en-US" w:eastAsia="zh-CN"/>
        </w:rPr>
        <w:t>本协议，收回特许经营权</w:t>
      </w:r>
      <w:r>
        <w:rPr>
          <w:rFonts w:hint="eastAsia" w:ascii="Times New Roman" w:hAnsi="Times New Roman" w:eastAsia="方正仿宋_GBK" w:cs="Times New Roman"/>
          <w:caps w:val="0"/>
          <w:smallCaps w:val="0"/>
          <w:color w:val="auto"/>
          <w:kern w:val="2"/>
          <w:sz w:val="24"/>
          <w:szCs w:val="24"/>
          <w:highlight w:val="none"/>
        </w:rPr>
        <w:t>。</w:t>
      </w:r>
    </w:p>
    <w:p w14:paraId="77E50386">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301" w:name="_Toc4619"/>
      <w:bookmarkStart w:id="302" w:name="_Toc4094"/>
      <w:bookmarkStart w:id="303" w:name="_Toc212092422"/>
      <w:bookmarkStart w:id="304" w:name="_Toc405146901"/>
      <w:r>
        <w:rPr>
          <w:rFonts w:hint="eastAsia" w:ascii="Times New Roman" w:hAnsi="Times New Roman" w:eastAsia="方正黑体_GBK" w:cs="方正黑体_GBK"/>
          <w:bCs/>
          <w:caps w:val="0"/>
          <w:smallCaps w:val="0"/>
          <w:color w:val="auto"/>
          <w:kern w:val="2"/>
          <w:sz w:val="28"/>
          <w:szCs w:val="28"/>
          <w:highlight w:val="none"/>
          <w:lang w:val="en-US" w:eastAsia="zh-CN" w:bidi="ar-SA"/>
        </w:rPr>
        <w:t>第46条 信息披露</w:t>
      </w:r>
      <w:bookmarkEnd w:id="301"/>
      <w:bookmarkEnd w:id="302"/>
      <w:bookmarkEnd w:id="303"/>
      <w:bookmarkEnd w:id="304"/>
    </w:p>
    <w:p w14:paraId="7550F51B">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1.</w:t>
      </w:r>
      <w:r>
        <w:rPr>
          <w:rFonts w:hint="eastAsia" w:ascii="Times New Roman" w:hAnsi="Times New Roman" w:eastAsia="方正仿宋_GBK" w:cs="Times New Roman"/>
          <w:caps w:val="0"/>
          <w:smallCaps w:val="0"/>
          <w:color w:val="auto"/>
          <w:kern w:val="2"/>
          <w:sz w:val="24"/>
          <w:szCs w:val="24"/>
          <w:highlight w:val="none"/>
        </w:rPr>
        <w:t>甲方有权按相关规定将特许经营中标结果、特许经营协议主要内容、公共产品和公共服务标准、运营考核结果等非涉密信息，依托</w:t>
      </w:r>
      <w:bookmarkStart w:id="305" w:name="_Hlk158098409"/>
      <w:r>
        <w:rPr>
          <w:rFonts w:hint="eastAsia" w:ascii="Times New Roman" w:hAnsi="Times New Roman" w:eastAsia="方正仿宋_GBK" w:cs="Times New Roman"/>
          <w:caps w:val="0"/>
          <w:smallCaps w:val="0"/>
          <w:color w:val="auto"/>
          <w:kern w:val="2"/>
          <w:sz w:val="24"/>
          <w:szCs w:val="24"/>
          <w:highlight w:val="none"/>
        </w:rPr>
        <w:t>全国投资项目在线审批监管平台</w:t>
      </w:r>
      <w:bookmarkEnd w:id="305"/>
      <w:r>
        <w:rPr>
          <w:rFonts w:hint="eastAsia" w:ascii="Times New Roman" w:hAnsi="Times New Roman" w:eastAsia="方正仿宋_GBK" w:cs="Times New Roman"/>
          <w:caps w:val="0"/>
          <w:smallCaps w:val="0"/>
          <w:color w:val="auto"/>
          <w:kern w:val="2"/>
          <w:sz w:val="24"/>
          <w:szCs w:val="24"/>
          <w:highlight w:val="none"/>
          <w:lang w:eastAsia="zh-CN"/>
        </w:rPr>
        <w:t>（</w:t>
      </w:r>
      <w:r>
        <w:rPr>
          <w:rFonts w:hint="eastAsia" w:ascii="Times New Roman" w:hAnsi="Times New Roman" w:eastAsia="方正仿宋_GBK" w:cs="Times New Roman"/>
          <w:caps w:val="0"/>
          <w:smallCaps w:val="0"/>
          <w:color w:val="auto"/>
          <w:kern w:val="2"/>
          <w:sz w:val="24"/>
          <w:szCs w:val="24"/>
          <w:highlight w:val="none"/>
        </w:rPr>
        <w:t>含全国政府和社会资本合作项目信息系统</w:t>
      </w:r>
      <w:r>
        <w:rPr>
          <w:rFonts w:hint="eastAsia" w:ascii="Times New Roman" w:hAnsi="Times New Roman" w:eastAsia="方正仿宋_GBK" w:cs="Times New Roman"/>
          <w:caps w:val="0"/>
          <w:smallCaps w:val="0"/>
          <w:color w:val="auto"/>
          <w:kern w:val="2"/>
          <w:sz w:val="24"/>
          <w:szCs w:val="24"/>
          <w:highlight w:val="none"/>
          <w:lang w:eastAsia="zh-CN"/>
        </w:rPr>
        <w:t>）</w:t>
      </w:r>
      <w:r>
        <w:rPr>
          <w:rFonts w:hint="eastAsia" w:ascii="Times New Roman" w:hAnsi="Times New Roman" w:eastAsia="方正仿宋_GBK" w:cs="Times New Roman"/>
          <w:caps w:val="0"/>
          <w:smallCaps w:val="0"/>
          <w:color w:val="auto"/>
          <w:kern w:val="2"/>
          <w:sz w:val="24"/>
          <w:szCs w:val="24"/>
          <w:highlight w:val="none"/>
        </w:rPr>
        <w:t>，及时向社会公开。</w:t>
      </w:r>
    </w:p>
    <w:p w14:paraId="31D60D9F">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2.</w:t>
      </w:r>
      <w:r>
        <w:rPr>
          <w:rFonts w:hint="eastAsia" w:ascii="Times New Roman" w:hAnsi="Times New Roman" w:eastAsia="方正仿宋_GBK" w:cs="Times New Roman"/>
          <w:caps w:val="0"/>
          <w:smallCaps w:val="0"/>
          <w:color w:val="auto"/>
          <w:kern w:val="2"/>
          <w:sz w:val="24"/>
          <w:szCs w:val="24"/>
          <w:highlight w:val="none"/>
        </w:rPr>
        <w:t>乙方应将本项目每季度运营情况、经审计的年度财务报表等信息，通过适当方式向社会公开；并应按相关法律法规规定公开项目其他信息。</w:t>
      </w:r>
    </w:p>
    <w:p w14:paraId="4C2F8D8B">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bookmarkStart w:id="306" w:name="_Hlk158098345"/>
      <w:r>
        <w:rPr>
          <w:rFonts w:hint="eastAsia" w:ascii="Times New Roman" w:hAnsi="Times New Roman" w:eastAsia="方正仿宋_GBK" w:cs="Times New Roman"/>
          <w:caps w:val="0"/>
          <w:smallCaps w:val="0"/>
          <w:color w:val="auto"/>
          <w:kern w:val="2"/>
          <w:sz w:val="24"/>
          <w:szCs w:val="24"/>
          <w:highlight w:val="none"/>
          <w:lang w:val="en-US" w:eastAsia="zh-CN" w:bidi="ar-SA"/>
        </w:rPr>
        <w:t>3.</w:t>
      </w:r>
      <w:r>
        <w:rPr>
          <w:rFonts w:hint="eastAsia" w:ascii="Times New Roman" w:hAnsi="Times New Roman" w:eastAsia="方正仿宋_GBK" w:cs="Times New Roman"/>
          <w:caps w:val="0"/>
          <w:smallCaps w:val="0"/>
          <w:color w:val="auto"/>
          <w:kern w:val="2"/>
          <w:sz w:val="24"/>
          <w:szCs w:val="24"/>
          <w:highlight w:val="none"/>
        </w:rPr>
        <w:t>甲方和乙方均应按照有关规定按时</w:t>
      </w:r>
      <w:bookmarkStart w:id="307" w:name="_Hlk158112467"/>
      <w:r>
        <w:rPr>
          <w:rFonts w:hint="eastAsia" w:ascii="Times New Roman" w:hAnsi="Times New Roman" w:eastAsia="方正仿宋_GBK" w:cs="Times New Roman"/>
          <w:caps w:val="0"/>
          <w:smallCaps w:val="0"/>
          <w:color w:val="auto"/>
          <w:kern w:val="2"/>
          <w:sz w:val="24"/>
          <w:szCs w:val="24"/>
          <w:highlight w:val="none"/>
          <w:lang w:eastAsia="zh-CN"/>
        </w:rPr>
        <w:t>在</w:t>
      </w:r>
      <w:r>
        <w:rPr>
          <w:rFonts w:hint="eastAsia" w:ascii="Times New Roman" w:hAnsi="Times New Roman" w:eastAsia="方正仿宋_GBK" w:cs="Times New Roman"/>
          <w:caps w:val="0"/>
          <w:smallCaps w:val="0"/>
          <w:color w:val="auto"/>
          <w:kern w:val="2"/>
          <w:sz w:val="24"/>
          <w:szCs w:val="24"/>
          <w:highlight w:val="none"/>
        </w:rPr>
        <w:t>全国政府和社会资本合作项目信息系统</w:t>
      </w:r>
      <w:bookmarkEnd w:id="307"/>
      <w:r>
        <w:rPr>
          <w:rFonts w:hint="eastAsia" w:ascii="Times New Roman" w:hAnsi="Times New Roman" w:eastAsia="方正仿宋_GBK" w:cs="Times New Roman"/>
          <w:caps w:val="0"/>
          <w:smallCaps w:val="0"/>
          <w:color w:val="auto"/>
          <w:kern w:val="2"/>
          <w:sz w:val="24"/>
          <w:szCs w:val="24"/>
          <w:highlight w:val="none"/>
        </w:rPr>
        <w:t>填报系统运行管理所需的有关项目信息。</w:t>
      </w:r>
    </w:p>
    <w:bookmarkEnd w:id="306"/>
    <w:p w14:paraId="5A374588">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308" w:name="_Toc3573"/>
      <w:bookmarkStart w:id="309" w:name="_Toc1332870842"/>
      <w:bookmarkStart w:id="310" w:name="_Toc11422"/>
      <w:r>
        <w:rPr>
          <w:rFonts w:hint="eastAsia" w:ascii="Times New Roman" w:hAnsi="Times New Roman" w:eastAsia="方正黑体_GBK" w:cs="方正黑体_GBK"/>
          <w:bCs/>
          <w:caps w:val="0"/>
          <w:smallCaps w:val="0"/>
          <w:color w:val="auto"/>
          <w:kern w:val="2"/>
          <w:sz w:val="28"/>
          <w:szCs w:val="28"/>
          <w:highlight w:val="none"/>
          <w:lang w:val="en-US" w:eastAsia="zh-CN" w:bidi="ar-SA"/>
        </w:rPr>
        <w:t>第47条 公众监督</w:t>
      </w:r>
      <w:bookmarkEnd w:id="308"/>
      <w:bookmarkEnd w:id="309"/>
      <w:bookmarkEnd w:id="310"/>
    </w:p>
    <w:p w14:paraId="303C825A">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0" w:firstLine="480" w:firstLineChars="200"/>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1.</w:t>
      </w:r>
      <w:r>
        <w:rPr>
          <w:rFonts w:hint="eastAsia" w:ascii="Times New Roman" w:hAnsi="Times New Roman" w:eastAsia="方正仿宋_GBK" w:cs="Times New Roman"/>
          <w:caps w:val="0"/>
          <w:smallCaps w:val="0"/>
          <w:color w:val="auto"/>
          <w:kern w:val="2"/>
          <w:sz w:val="24"/>
          <w:szCs w:val="24"/>
          <w:highlight w:val="none"/>
        </w:rPr>
        <w:t>乙方应建立畅通的公众意见收集、受理、处理和信息反馈机制，及时处理公众意见和建议。乙方应在本项目正式运营之前，就项目运营阶段提供一份项目接受公众监督的实施方案，经甲方审核</w:t>
      </w:r>
      <w:r>
        <w:rPr>
          <w:rFonts w:hint="eastAsia" w:ascii="Times New Roman" w:hAnsi="Times New Roman" w:eastAsia="方正仿宋_GBK" w:cs="Times New Roman"/>
          <w:caps w:val="0"/>
          <w:smallCaps w:val="0"/>
          <w:color w:val="auto"/>
          <w:kern w:val="2"/>
          <w:sz w:val="24"/>
          <w:szCs w:val="24"/>
          <w:highlight w:val="none"/>
          <w:lang w:eastAsia="zh-CN"/>
        </w:rPr>
        <w:t>后</w:t>
      </w:r>
      <w:r>
        <w:rPr>
          <w:rFonts w:hint="eastAsia" w:ascii="Times New Roman" w:hAnsi="Times New Roman" w:eastAsia="方正仿宋_GBK" w:cs="Times New Roman"/>
          <w:caps w:val="0"/>
          <w:smallCaps w:val="0"/>
          <w:color w:val="auto"/>
          <w:kern w:val="2"/>
          <w:sz w:val="24"/>
          <w:szCs w:val="24"/>
          <w:highlight w:val="none"/>
        </w:rPr>
        <w:t>实施。</w:t>
      </w:r>
    </w:p>
    <w:p w14:paraId="510B1730">
      <w:pPr>
        <w:keepNext w:val="0"/>
        <w:keepLines w:val="0"/>
        <w:pageBreakBefore w:val="0"/>
        <w:widowControl w:val="0"/>
        <w:numPr>
          <w:ilvl w:val="0"/>
          <w:numId w:val="0"/>
        </w:numPr>
        <w:tabs>
          <w:tab w:val="left" w:pos="993"/>
          <w:tab w:val="left" w:pos="1134"/>
        </w:tabs>
        <w:kinsoku/>
        <w:wordWrap/>
        <w:overflowPunct/>
        <w:topLinePunct w:val="0"/>
        <w:autoSpaceDE/>
        <w:autoSpaceDN/>
        <w:bidi w:val="0"/>
        <w:adjustRightInd w:val="0"/>
        <w:snapToGrid w:val="0"/>
        <w:spacing w:before="0" w:beforeLines="0" w:after="0" w:afterLines="0" w:line="360" w:lineRule="auto"/>
        <w:ind w:left="0" w:firstLine="480" w:firstLineChars="200"/>
        <w:textAlignment w:val="auto"/>
        <w:rPr>
          <w:rFonts w:hint="eastAsia" w:ascii="Times New Roman" w:hAnsi="Times New Roman" w:eastAsia="方正仿宋_GBK" w:cs="Times New Roman"/>
          <w:caps w:val="0"/>
          <w:smallCaps w:val="0"/>
          <w:color w:val="auto"/>
          <w:kern w:val="2"/>
          <w:sz w:val="24"/>
          <w:szCs w:val="24"/>
          <w:highlight w:val="none"/>
        </w:rPr>
      </w:pPr>
      <w:r>
        <w:rPr>
          <w:rFonts w:hint="eastAsia" w:ascii="Times New Roman" w:hAnsi="Times New Roman" w:eastAsia="方正仿宋_GBK" w:cs="Times New Roman"/>
          <w:caps w:val="0"/>
          <w:smallCaps w:val="0"/>
          <w:color w:val="auto"/>
          <w:kern w:val="2"/>
          <w:sz w:val="24"/>
          <w:szCs w:val="24"/>
          <w:highlight w:val="none"/>
          <w:lang w:val="en-US" w:eastAsia="zh-CN" w:bidi="ar-SA"/>
        </w:rPr>
        <w:t>2.</w:t>
      </w:r>
      <w:r>
        <w:rPr>
          <w:rFonts w:hint="eastAsia" w:ascii="Times New Roman" w:hAnsi="Times New Roman" w:eastAsia="方正仿宋_GBK" w:cs="Times New Roman"/>
          <w:caps w:val="0"/>
          <w:smallCaps w:val="0"/>
          <w:color w:val="auto"/>
          <w:kern w:val="2"/>
          <w:sz w:val="24"/>
          <w:szCs w:val="24"/>
          <w:highlight w:val="none"/>
        </w:rPr>
        <w:t>对于事涉重大、敏感的公众意见或投诉，或出现舆情事件，乙方应及时向甲方报告，经甲方同意或双方共同研究后妥善回应或处置；如出现在环境影响方面公众质疑性意见较多的情形，应当通过座谈会、专家论证会、听证会等方式组织公众深度参与。</w:t>
      </w:r>
    </w:p>
    <w:p w14:paraId="37D25F39">
      <w:pPr>
        <w:widowControl/>
        <w:numPr>
          <w:ilvl w:val="0"/>
          <w:numId w:val="0"/>
        </w:numPr>
        <w:spacing w:before="156" w:after="156"/>
        <w:ind w:left="0" w:firstLine="0"/>
        <w:jc w:val="center"/>
        <w:outlineLvl w:val="0"/>
        <w:rPr>
          <w:rFonts w:hint="eastAsia" w:ascii="Times New Roman" w:hAnsi="Times New Roman" w:eastAsia="方正黑体_GBK" w:cs="方正黑体_GBK"/>
          <w:caps w:val="0"/>
          <w:smallCaps w:val="0"/>
          <w:color w:val="auto"/>
          <w:kern w:val="2"/>
          <w:sz w:val="28"/>
          <w:szCs w:val="28"/>
          <w:highlight w:val="none"/>
          <w:lang w:val="en-US" w:eastAsia="zh-CN" w:bidi="ar-SA"/>
        </w:rPr>
      </w:pPr>
      <w:r>
        <w:rPr>
          <w:rFonts w:ascii="Times New Roman" w:hAnsi="Times New Roman" w:eastAsia="方正仿宋_GBK" w:cs="Times New Roman"/>
          <w:caps w:val="0"/>
          <w:smallCaps w:val="0"/>
          <w:color w:val="auto"/>
          <w:kern w:val="0"/>
          <w:sz w:val="28"/>
          <w:szCs w:val="32"/>
          <w:highlight w:val="none"/>
          <w:lang w:val="en-US" w:eastAsia="zh-CN" w:bidi="ar-SA"/>
        </w:rPr>
        <w:br w:type="page"/>
      </w:r>
      <w:bookmarkStart w:id="311" w:name="_Toc402428960"/>
      <w:bookmarkStart w:id="312" w:name="_Toc402347763"/>
      <w:bookmarkStart w:id="313" w:name="_Toc402355501"/>
      <w:bookmarkStart w:id="314" w:name="_Toc405146878"/>
      <w:bookmarkStart w:id="315" w:name="_Toc1674613150"/>
      <w:bookmarkStart w:id="316" w:name="_Toc23362"/>
      <w:bookmarkStart w:id="317" w:name="_Toc2793"/>
      <w:r>
        <w:rPr>
          <w:rFonts w:hint="eastAsia" w:ascii="Times New Roman" w:hAnsi="Times New Roman" w:eastAsia="方正黑体_GBK" w:cs="方正黑体_GBK"/>
          <w:caps w:val="0"/>
          <w:smallCaps w:val="0"/>
          <w:color w:val="auto"/>
          <w:kern w:val="2"/>
          <w:sz w:val="28"/>
          <w:szCs w:val="28"/>
          <w:highlight w:val="none"/>
          <w:lang w:val="en-US" w:eastAsia="zh-CN" w:bidi="ar-SA"/>
        </w:rPr>
        <w:t>第九章 不可抗力</w:t>
      </w:r>
      <w:bookmarkEnd w:id="311"/>
      <w:bookmarkEnd w:id="312"/>
      <w:bookmarkEnd w:id="313"/>
      <w:r>
        <w:rPr>
          <w:rFonts w:hint="eastAsia" w:ascii="Times New Roman" w:hAnsi="Times New Roman" w:eastAsia="方正黑体_GBK" w:cs="方正黑体_GBK"/>
          <w:caps w:val="0"/>
          <w:smallCaps w:val="0"/>
          <w:color w:val="auto"/>
          <w:kern w:val="2"/>
          <w:sz w:val="28"/>
          <w:szCs w:val="28"/>
          <w:highlight w:val="none"/>
          <w:lang w:val="en-US" w:eastAsia="zh-CN" w:bidi="ar-SA"/>
        </w:rPr>
        <w:t>、情势变更</w:t>
      </w:r>
      <w:bookmarkEnd w:id="314"/>
      <w:r>
        <w:rPr>
          <w:rFonts w:hint="eastAsia" w:ascii="Times New Roman" w:hAnsi="Times New Roman" w:eastAsia="方正黑体_GBK" w:cs="方正黑体_GBK"/>
          <w:caps w:val="0"/>
          <w:smallCaps w:val="0"/>
          <w:color w:val="auto"/>
          <w:kern w:val="2"/>
          <w:sz w:val="28"/>
          <w:szCs w:val="28"/>
          <w:highlight w:val="none"/>
          <w:lang w:val="en-US" w:eastAsia="zh-CN" w:bidi="ar-SA"/>
        </w:rPr>
        <w:t>和法律变更</w:t>
      </w:r>
      <w:bookmarkEnd w:id="315"/>
      <w:bookmarkEnd w:id="316"/>
      <w:bookmarkEnd w:id="317"/>
    </w:p>
    <w:p w14:paraId="646A5627">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318" w:name="_Toc814171893"/>
      <w:bookmarkStart w:id="319" w:name="_Toc9251"/>
      <w:bookmarkStart w:id="320" w:name="_Toc405146879"/>
      <w:bookmarkStart w:id="321" w:name="_Toc19581"/>
      <w:bookmarkStart w:id="322" w:name="_Toc402428961"/>
      <w:r>
        <w:rPr>
          <w:rFonts w:hint="eastAsia" w:ascii="Times New Roman" w:hAnsi="Times New Roman" w:eastAsia="方正黑体_GBK" w:cs="方正黑体_GBK"/>
          <w:bCs/>
          <w:caps w:val="0"/>
          <w:smallCaps w:val="0"/>
          <w:color w:val="auto"/>
          <w:kern w:val="2"/>
          <w:sz w:val="28"/>
          <w:szCs w:val="28"/>
          <w:highlight w:val="none"/>
          <w:lang w:val="en-US" w:eastAsia="zh-CN" w:bidi="ar-SA"/>
        </w:rPr>
        <w:t>第48条 不可抗力事件</w:t>
      </w:r>
      <w:bookmarkEnd w:id="318"/>
      <w:bookmarkEnd w:id="319"/>
      <w:bookmarkEnd w:id="320"/>
      <w:bookmarkEnd w:id="321"/>
      <w:bookmarkEnd w:id="322"/>
    </w:p>
    <w:p w14:paraId="41A45F7E">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2"/>
          <w:sz w:val="24"/>
          <w:szCs w:val="24"/>
          <w:highlight w:val="none"/>
          <w:lang w:eastAsia="zh-CN"/>
        </w:rPr>
        <w:t>“</w:t>
      </w:r>
      <w:r>
        <w:rPr>
          <w:rFonts w:hint="default" w:ascii="Times New Roman" w:hAnsi="Times New Roman" w:eastAsia="方正仿宋_GBK"/>
          <w:caps w:val="0"/>
          <w:smallCaps w:val="0"/>
          <w:color w:val="auto"/>
          <w:kern w:val="2"/>
          <w:sz w:val="24"/>
          <w:szCs w:val="24"/>
          <w:highlight w:val="none"/>
        </w:rPr>
        <w:t>不可抗力事件</w:t>
      </w:r>
      <w:r>
        <w:rPr>
          <w:rFonts w:hint="eastAsia" w:ascii="Times New Roman" w:hAnsi="Times New Roman" w:eastAsia="方正仿宋_GBK"/>
          <w:caps w:val="0"/>
          <w:smallCaps w:val="0"/>
          <w:color w:val="auto"/>
          <w:kern w:val="2"/>
          <w:sz w:val="24"/>
          <w:szCs w:val="24"/>
          <w:highlight w:val="none"/>
          <w:lang w:eastAsia="zh-CN"/>
        </w:rPr>
        <w:t>”</w:t>
      </w:r>
      <w:r>
        <w:rPr>
          <w:rFonts w:hint="default" w:ascii="Times New Roman" w:hAnsi="Times New Roman" w:eastAsia="方正仿宋_GBK"/>
          <w:caps w:val="0"/>
          <w:smallCaps w:val="0"/>
          <w:color w:val="auto"/>
          <w:kern w:val="2"/>
          <w:sz w:val="24"/>
          <w:szCs w:val="24"/>
          <w:highlight w:val="none"/>
        </w:rPr>
        <w:t>指</w:t>
      </w:r>
      <w:r>
        <w:rPr>
          <w:rFonts w:hint="default" w:ascii="Times New Roman" w:hAnsi="Times New Roman" w:eastAsia="方正仿宋_GBK"/>
          <w:caps w:val="0"/>
          <w:smallCaps w:val="0"/>
          <w:color w:val="auto"/>
          <w:kern w:val="0"/>
          <w:sz w:val="24"/>
          <w:szCs w:val="24"/>
          <w:highlight w:val="none"/>
        </w:rPr>
        <w:t>在本协议签订之后发生的，在本协议签订时不可预见，并且任何一方</w:t>
      </w:r>
      <w:r>
        <w:rPr>
          <w:rFonts w:hint="eastAsia" w:ascii="Times New Roman" w:hAnsi="Times New Roman" w:eastAsia="方正仿宋_GBK"/>
          <w:caps w:val="0"/>
          <w:smallCaps w:val="0"/>
          <w:color w:val="auto"/>
          <w:kern w:val="0"/>
          <w:sz w:val="24"/>
          <w:szCs w:val="24"/>
          <w:highlight w:val="none"/>
          <w:lang w:eastAsia="zh-CN"/>
        </w:rPr>
        <w:t>（“</w:t>
      </w:r>
      <w:r>
        <w:rPr>
          <w:rFonts w:hint="default" w:ascii="Times New Roman" w:hAnsi="Times New Roman" w:eastAsia="方正仿宋_GBK"/>
          <w:caps w:val="0"/>
          <w:smallCaps w:val="0"/>
          <w:color w:val="auto"/>
          <w:kern w:val="0"/>
          <w:sz w:val="24"/>
          <w:szCs w:val="24"/>
          <w:highlight w:val="none"/>
        </w:rPr>
        <w:t>受影响方</w:t>
      </w:r>
      <w:r>
        <w:rPr>
          <w:rFonts w:hint="eastAsia" w:ascii="Times New Roman" w:hAnsi="Times New Roman" w:eastAsia="方正仿宋_GBK"/>
          <w:caps w:val="0"/>
          <w:smallCaps w:val="0"/>
          <w:color w:val="auto"/>
          <w:kern w:val="0"/>
          <w:sz w:val="24"/>
          <w:szCs w:val="24"/>
          <w:highlight w:val="none"/>
          <w:lang w:eastAsia="zh-CN"/>
        </w:rPr>
        <w:t>”）</w:t>
      </w:r>
      <w:r>
        <w:rPr>
          <w:rFonts w:hint="default" w:ascii="Times New Roman" w:hAnsi="Times New Roman" w:eastAsia="方正仿宋_GBK"/>
          <w:caps w:val="0"/>
          <w:smallCaps w:val="0"/>
          <w:color w:val="auto"/>
          <w:kern w:val="0"/>
          <w:sz w:val="24"/>
          <w:szCs w:val="24"/>
          <w:highlight w:val="none"/>
        </w:rPr>
        <w:t>对其发生和效果不能避免、不能克服的以下事件：</w:t>
      </w:r>
    </w:p>
    <w:p w14:paraId="3F8CDCA6">
      <w:pPr>
        <w:keepNext w:val="0"/>
        <w:keepLines w:val="0"/>
        <w:pageBreakBefore w:val="0"/>
        <w:widowControl w:val="0"/>
        <w:numPr>
          <w:ilvl w:val="0"/>
          <w:numId w:val="0"/>
        </w:numPr>
        <w:tabs>
          <w:tab w:val="left" w:pos="1276"/>
        </w:tabs>
        <w:kinsoku/>
        <w:wordWrap/>
        <w:overflowPunct/>
        <w:topLinePunct w:val="0"/>
        <w:bidi w:val="0"/>
        <w:adjustRightInd w:val="0"/>
        <w:snapToGrid w:val="0"/>
        <w:spacing w:before="0" w:beforeLines="0" w:after="0" w:afterLines="0" w:line="360" w:lineRule="auto"/>
        <w:ind w:left="0" w:leftChars="0" w:firstLine="480" w:firstLineChars="200"/>
        <w:jc w:val="both"/>
        <w:rPr>
          <w:rFonts w:ascii="Times New Roman" w:hAnsi="Times New Roman" w:eastAsia="方正仿宋_GBK" w:cs="Times New Roman"/>
          <w:caps w:val="0"/>
          <w:smallCaps w:val="0"/>
          <w:color w:val="auto"/>
          <w:kern w:val="2"/>
          <w:sz w:val="24"/>
          <w:szCs w:val="24"/>
          <w:highlight w:val="none"/>
          <w:lang w:val="en-US" w:eastAsia="zh-CN" w:bidi="ar-SA"/>
        </w:rPr>
      </w:pPr>
      <w:r>
        <w:rPr>
          <w:rFonts w:ascii="Times New Roman" w:hAnsi="Times New Roman" w:eastAsia="方正仿宋_GBK" w:cs="Times New Roman"/>
          <w:caps w:val="0"/>
          <w:smallCaps w:val="0"/>
          <w:color w:val="auto"/>
          <w:kern w:val="2"/>
          <w:sz w:val="24"/>
          <w:szCs w:val="24"/>
          <w:highlight w:val="none"/>
          <w:lang w:val="en-US" w:eastAsia="zh-CN" w:bidi="ar-SA"/>
        </w:rPr>
        <w:t>1.自然灾害；</w:t>
      </w:r>
    </w:p>
    <w:p w14:paraId="186B98F5">
      <w:pPr>
        <w:keepNext w:val="0"/>
        <w:keepLines w:val="0"/>
        <w:pageBreakBefore w:val="0"/>
        <w:widowControl w:val="0"/>
        <w:numPr>
          <w:ilvl w:val="0"/>
          <w:numId w:val="0"/>
        </w:numPr>
        <w:tabs>
          <w:tab w:val="left" w:pos="1276"/>
        </w:tabs>
        <w:kinsoku/>
        <w:wordWrap/>
        <w:overflowPunct/>
        <w:topLinePunct w:val="0"/>
        <w:bidi w:val="0"/>
        <w:adjustRightInd w:val="0"/>
        <w:snapToGrid w:val="0"/>
        <w:spacing w:before="0" w:beforeLines="0" w:after="0" w:afterLines="0" w:line="360" w:lineRule="auto"/>
        <w:ind w:left="0" w:leftChars="0" w:firstLine="480" w:firstLineChars="200"/>
        <w:jc w:val="both"/>
        <w:rPr>
          <w:rFonts w:ascii="Times New Roman" w:hAnsi="Times New Roman" w:eastAsia="方正仿宋_GBK" w:cs="Times New Roman"/>
          <w:caps w:val="0"/>
          <w:smallCaps w:val="0"/>
          <w:color w:val="auto"/>
          <w:kern w:val="2"/>
          <w:sz w:val="24"/>
          <w:szCs w:val="24"/>
          <w:highlight w:val="none"/>
          <w:lang w:val="en-US" w:eastAsia="zh-CN" w:bidi="ar-SA"/>
        </w:rPr>
      </w:pPr>
      <w:r>
        <w:rPr>
          <w:rFonts w:ascii="Times New Roman" w:hAnsi="Times New Roman" w:eastAsia="方正仿宋_GBK" w:cs="Times New Roman"/>
          <w:caps w:val="0"/>
          <w:smallCaps w:val="0"/>
          <w:color w:val="auto"/>
          <w:kern w:val="2"/>
          <w:sz w:val="24"/>
          <w:szCs w:val="24"/>
          <w:highlight w:val="none"/>
          <w:lang w:val="en-US" w:eastAsia="zh-CN" w:bidi="ar-SA"/>
        </w:rPr>
        <w:t>2.超过双方均认可的设计标准的气候现象；</w:t>
      </w:r>
    </w:p>
    <w:p w14:paraId="0C391D05">
      <w:pPr>
        <w:keepNext w:val="0"/>
        <w:keepLines w:val="0"/>
        <w:pageBreakBefore w:val="0"/>
        <w:widowControl w:val="0"/>
        <w:numPr>
          <w:ilvl w:val="0"/>
          <w:numId w:val="0"/>
        </w:numPr>
        <w:tabs>
          <w:tab w:val="left" w:pos="1276"/>
        </w:tabs>
        <w:kinsoku/>
        <w:wordWrap/>
        <w:overflowPunct/>
        <w:topLinePunct w:val="0"/>
        <w:bidi w:val="0"/>
        <w:adjustRightInd w:val="0"/>
        <w:snapToGrid w:val="0"/>
        <w:spacing w:before="0" w:beforeLines="0" w:after="0" w:afterLines="0" w:line="360" w:lineRule="auto"/>
        <w:ind w:left="0" w:leftChars="0" w:firstLine="480" w:firstLineChars="200"/>
        <w:jc w:val="both"/>
        <w:rPr>
          <w:rFonts w:ascii="Times New Roman" w:hAnsi="Times New Roman" w:eastAsia="方正仿宋_GBK" w:cs="Times New Roman"/>
          <w:caps w:val="0"/>
          <w:smallCaps w:val="0"/>
          <w:color w:val="auto"/>
          <w:kern w:val="2"/>
          <w:sz w:val="24"/>
          <w:szCs w:val="24"/>
          <w:highlight w:val="none"/>
          <w:lang w:val="en-US" w:eastAsia="zh-CN" w:bidi="ar-SA"/>
        </w:rPr>
      </w:pPr>
      <w:r>
        <w:rPr>
          <w:rFonts w:ascii="Times New Roman" w:hAnsi="Times New Roman" w:eastAsia="方正仿宋_GBK" w:cs="Times New Roman"/>
          <w:caps w:val="0"/>
          <w:smallCaps w:val="0"/>
          <w:color w:val="auto"/>
          <w:kern w:val="2"/>
          <w:sz w:val="24"/>
          <w:szCs w:val="24"/>
          <w:highlight w:val="none"/>
          <w:lang w:val="en-US" w:eastAsia="zh-CN" w:bidi="ar-SA"/>
        </w:rPr>
        <w:t>3.传染病或因执行传染病防治法律导致的管控行为；</w:t>
      </w:r>
    </w:p>
    <w:p w14:paraId="57DE3E87">
      <w:pPr>
        <w:keepNext w:val="0"/>
        <w:keepLines w:val="0"/>
        <w:pageBreakBefore w:val="0"/>
        <w:widowControl w:val="0"/>
        <w:numPr>
          <w:ilvl w:val="0"/>
          <w:numId w:val="0"/>
        </w:numPr>
        <w:tabs>
          <w:tab w:val="left" w:pos="1276"/>
        </w:tabs>
        <w:kinsoku/>
        <w:wordWrap/>
        <w:overflowPunct/>
        <w:topLinePunct w:val="0"/>
        <w:bidi w:val="0"/>
        <w:adjustRightInd w:val="0"/>
        <w:snapToGrid w:val="0"/>
        <w:spacing w:before="0" w:beforeLines="0" w:after="0" w:afterLines="0" w:line="360" w:lineRule="auto"/>
        <w:ind w:left="0" w:leftChars="0" w:firstLine="480" w:firstLineChars="200"/>
        <w:jc w:val="both"/>
        <w:rPr>
          <w:rFonts w:ascii="Times New Roman" w:hAnsi="Times New Roman" w:eastAsia="方正仿宋_GBK" w:cs="Times New Roman"/>
          <w:caps w:val="0"/>
          <w:smallCaps w:val="0"/>
          <w:color w:val="auto"/>
          <w:kern w:val="2"/>
          <w:sz w:val="24"/>
          <w:szCs w:val="24"/>
          <w:highlight w:val="none"/>
          <w:lang w:val="en-US" w:eastAsia="zh-CN" w:bidi="ar-SA"/>
        </w:rPr>
      </w:pPr>
      <w:r>
        <w:rPr>
          <w:rFonts w:ascii="Times New Roman" w:hAnsi="Times New Roman" w:eastAsia="方正仿宋_GBK" w:cs="Times New Roman"/>
          <w:caps w:val="0"/>
          <w:smallCaps w:val="0"/>
          <w:color w:val="auto"/>
          <w:kern w:val="2"/>
          <w:sz w:val="24"/>
          <w:szCs w:val="24"/>
          <w:highlight w:val="none"/>
          <w:lang w:val="en-US" w:eastAsia="zh-CN" w:bidi="ar-SA"/>
        </w:rPr>
        <w:t>4.战争、</w:t>
      </w:r>
      <w:r>
        <w:rPr>
          <w:rFonts w:hint="eastAsia" w:ascii="Times New Roman" w:hAnsi="Times New Roman" w:eastAsia="方正仿宋_GBK" w:cs="Times New Roman"/>
          <w:caps w:val="0"/>
          <w:smallCaps w:val="0"/>
          <w:color w:val="auto"/>
          <w:kern w:val="2"/>
          <w:sz w:val="24"/>
          <w:szCs w:val="24"/>
          <w:highlight w:val="none"/>
          <w:lang w:val="en-US" w:eastAsia="zh-CN" w:bidi="ar-SA"/>
        </w:rPr>
        <w:t>制裁、</w:t>
      </w:r>
      <w:r>
        <w:rPr>
          <w:rFonts w:ascii="Times New Roman" w:hAnsi="Times New Roman" w:eastAsia="方正仿宋_GBK" w:cs="Times New Roman"/>
          <w:caps w:val="0"/>
          <w:smallCaps w:val="0"/>
          <w:color w:val="auto"/>
          <w:kern w:val="2"/>
          <w:sz w:val="24"/>
          <w:szCs w:val="24"/>
          <w:highlight w:val="none"/>
          <w:lang w:val="en-US" w:eastAsia="zh-CN" w:bidi="ar-SA"/>
        </w:rPr>
        <w:t>内战、武装冲突或恐怖主义的袭击；</w:t>
      </w:r>
    </w:p>
    <w:p w14:paraId="4B54E3DF">
      <w:pPr>
        <w:keepNext w:val="0"/>
        <w:keepLines w:val="0"/>
        <w:pageBreakBefore w:val="0"/>
        <w:widowControl w:val="0"/>
        <w:numPr>
          <w:ilvl w:val="0"/>
          <w:numId w:val="0"/>
        </w:numPr>
        <w:tabs>
          <w:tab w:val="left" w:pos="1276"/>
        </w:tabs>
        <w:kinsoku/>
        <w:wordWrap/>
        <w:overflowPunct/>
        <w:topLinePunct w:val="0"/>
        <w:bidi w:val="0"/>
        <w:adjustRightInd w:val="0"/>
        <w:snapToGrid w:val="0"/>
        <w:spacing w:before="0" w:beforeLines="0" w:after="0" w:afterLines="0" w:line="360" w:lineRule="auto"/>
        <w:ind w:left="0" w:leftChars="0" w:firstLine="480" w:firstLineChars="200"/>
        <w:jc w:val="both"/>
        <w:rPr>
          <w:rFonts w:ascii="Times New Roman" w:hAnsi="Times New Roman" w:eastAsia="方正仿宋_GBK" w:cs="Times New Roman"/>
          <w:caps w:val="0"/>
          <w:smallCaps w:val="0"/>
          <w:color w:val="auto"/>
          <w:kern w:val="2"/>
          <w:sz w:val="24"/>
          <w:szCs w:val="24"/>
          <w:highlight w:val="none"/>
          <w:lang w:val="en-US" w:eastAsia="zh-CN" w:bidi="ar-SA"/>
        </w:rPr>
      </w:pPr>
      <w:r>
        <w:rPr>
          <w:rFonts w:ascii="Times New Roman" w:hAnsi="Times New Roman" w:eastAsia="方正仿宋_GBK" w:cs="Times New Roman"/>
          <w:caps w:val="0"/>
          <w:smallCaps w:val="0"/>
          <w:color w:val="auto"/>
          <w:kern w:val="2"/>
          <w:sz w:val="24"/>
          <w:szCs w:val="24"/>
          <w:highlight w:val="none"/>
          <w:lang w:val="en-US" w:eastAsia="zh-CN" w:bidi="ar-SA"/>
        </w:rPr>
        <w:t>5.项目现场发现文物而根据文物保护法律全部或部分中止或终止建设；或</w:t>
      </w:r>
    </w:p>
    <w:p w14:paraId="78874A45">
      <w:pPr>
        <w:keepNext w:val="0"/>
        <w:keepLines w:val="0"/>
        <w:pageBreakBefore w:val="0"/>
        <w:widowControl w:val="0"/>
        <w:numPr>
          <w:ilvl w:val="0"/>
          <w:numId w:val="0"/>
        </w:numPr>
        <w:tabs>
          <w:tab w:val="left" w:pos="1276"/>
        </w:tabs>
        <w:kinsoku/>
        <w:wordWrap/>
        <w:overflowPunct/>
        <w:topLinePunct w:val="0"/>
        <w:bidi w:val="0"/>
        <w:adjustRightInd w:val="0"/>
        <w:snapToGrid w:val="0"/>
        <w:spacing w:before="0" w:beforeLines="0" w:after="0" w:afterLines="0" w:line="360" w:lineRule="auto"/>
        <w:ind w:left="0" w:leftChars="0" w:firstLine="480" w:firstLineChars="200"/>
        <w:jc w:val="both"/>
        <w:rPr>
          <w:rFonts w:ascii="Times New Roman" w:hAnsi="Times New Roman" w:eastAsia="方正仿宋_GBK" w:cs="Times New Roman"/>
          <w:caps w:val="0"/>
          <w:smallCaps w:val="0"/>
          <w:color w:val="auto"/>
          <w:kern w:val="2"/>
          <w:sz w:val="24"/>
          <w:szCs w:val="24"/>
          <w:highlight w:val="none"/>
          <w:lang w:val="en-US" w:eastAsia="zh-CN" w:bidi="ar-SA"/>
        </w:rPr>
      </w:pPr>
      <w:r>
        <w:rPr>
          <w:rFonts w:ascii="Times New Roman" w:hAnsi="Times New Roman" w:eastAsia="方正仿宋_GBK" w:cs="Times New Roman"/>
          <w:caps w:val="0"/>
          <w:smallCaps w:val="0"/>
          <w:color w:val="auto"/>
          <w:kern w:val="2"/>
          <w:sz w:val="24"/>
          <w:szCs w:val="24"/>
          <w:highlight w:val="none"/>
          <w:lang w:val="en-US" w:eastAsia="zh-CN" w:bidi="ar-SA"/>
        </w:rPr>
        <w:t>6.核污染、化学污染或生化污染。</w:t>
      </w:r>
    </w:p>
    <w:p w14:paraId="54C0544F">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aps w:val="0"/>
          <w:smallCaps w:val="0"/>
          <w:color w:val="auto"/>
          <w:kern w:val="0"/>
          <w:sz w:val="24"/>
          <w:szCs w:val="24"/>
          <w:highlight w:val="none"/>
        </w:rPr>
      </w:pPr>
      <w:r>
        <w:rPr>
          <w:rFonts w:hint="default" w:ascii="Times New Roman" w:hAnsi="Times New Roman" w:eastAsia="方正仿宋_GBK"/>
          <w:caps w:val="0"/>
          <w:smallCaps w:val="0"/>
          <w:color w:val="auto"/>
          <w:kern w:val="0"/>
          <w:sz w:val="24"/>
          <w:szCs w:val="24"/>
          <w:highlight w:val="none"/>
        </w:rPr>
        <w:t>其直接使得受影响方不能</w:t>
      </w:r>
      <w:r>
        <w:rPr>
          <w:rFonts w:hint="eastAsia" w:ascii="Times New Roman" w:hAnsi="Times New Roman" w:eastAsia="方正仿宋_GBK"/>
          <w:caps w:val="0"/>
          <w:smallCaps w:val="0"/>
          <w:color w:val="auto"/>
          <w:kern w:val="0"/>
          <w:sz w:val="24"/>
          <w:szCs w:val="24"/>
          <w:highlight w:val="none"/>
        </w:rPr>
        <w:t>履行</w:t>
      </w:r>
      <w:r>
        <w:rPr>
          <w:rFonts w:hint="default" w:ascii="Times New Roman" w:hAnsi="Times New Roman" w:eastAsia="方正仿宋_GBK"/>
          <w:caps w:val="0"/>
          <w:smallCaps w:val="0"/>
          <w:color w:val="auto"/>
          <w:kern w:val="0"/>
          <w:sz w:val="24"/>
          <w:szCs w:val="24"/>
          <w:highlight w:val="none"/>
        </w:rPr>
        <w:t>其在本协议项下的全部义务或其中的重要部分。</w:t>
      </w:r>
    </w:p>
    <w:p w14:paraId="4A0ECFB7">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323" w:name="_Toc16799"/>
      <w:bookmarkStart w:id="324" w:name="_Toc8520"/>
      <w:bookmarkStart w:id="325" w:name="_Toc23098687"/>
      <w:bookmarkStart w:id="326" w:name="_Toc402428962"/>
      <w:bookmarkStart w:id="327" w:name="_Toc405146880"/>
      <w:r>
        <w:rPr>
          <w:rFonts w:hint="eastAsia" w:ascii="Times New Roman" w:hAnsi="Times New Roman" w:eastAsia="方正黑体_GBK" w:cs="方正黑体_GBK"/>
          <w:bCs/>
          <w:caps w:val="0"/>
          <w:smallCaps w:val="0"/>
          <w:color w:val="auto"/>
          <w:kern w:val="2"/>
          <w:sz w:val="28"/>
          <w:szCs w:val="28"/>
          <w:highlight w:val="none"/>
          <w:lang w:val="en-US" w:eastAsia="zh-CN" w:bidi="ar-SA"/>
        </w:rPr>
        <w:t>第49条 不可抗力事件发生后的各方权利和义务</w:t>
      </w:r>
      <w:bookmarkEnd w:id="323"/>
      <w:bookmarkEnd w:id="324"/>
      <w:bookmarkEnd w:id="325"/>
      <w:bookmarkEnd w:id="326"/>
      <w:bookmarkEnd w:id="327"/>
    </w:p>
    <w:p w14:paraId="79B68355">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1.</w:t>
      </w:r>
      <w:r>
        <w:rPr>
          <w:rFonts w:ascii="Times New Roman" w:hAnsi="Times New Roman" w:eastAsia="方正仿宋_GBK" w:cs="Times New Roman"/>
          <w:b/>
          <w:caps w:val="0"/>
          <w:smallCaps w:val="0"/>
          <w:color w:val="auto"/>
          <w:kern w:val="2"/>
          <w:sz w:val="24"/>
          <w:szCs w:val="24"/>
          <w:highlight w:val="none"/>
          <w:lang w:val="en-US" w:eastAsia="zh-CN" w:bidi="ar-SA"/>
        </w:rPr>
        <w:t>不可抗力引起的中止履行</w:t>
      </w:r>
    </w:p>
    <w:p w14:paraId="59F0F77A">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0"/>
          <w:sz w:val="24"/>
          <w:szCs w:val="24"/>
          <w:highlight w:val="none"/>
        </w:rPr>
      </w:pPr>
      <w:r>
        <w:rPr>
          <w:rFonts w:hint="default" w:ascii="Times New Roman" w:hAnsi="Times New Roman" w:eastAsia="方正仿宋_GBK"/>
          <w:caps w:val="0"/>
          <w:smallCaps w:val="0"/>
          <w:color w:val="auto"/>
          <w:kern w:val="0"/>
          <w:sz w:val="24"/>
          <w:szCs w:val="24"/>
          <w:highlight w:val="none"/>
        </w:rPr>
        <w:t>任何一方在出现其不可控制的情况阻止其履行本协议项下的义务时有权中止履行协议。声称受到不可抗力影响的一方在不可抗力不再存在的情况下，应尽快恢复履行其本协议项下的义务。</w:t>
      </w:r>
    </w:p>
    <w:p w14:paraId="309F833B">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0" w:firstLine="480" w:firstLineChars="200"/>
        <w:rPr>
          <w:rFonts w:hint="default" w:ascii="Times New Roman" w:hAnsi="Times New Roman" w:eastAsia="方正仿宋_GBK"/>
          <w:caps w:val="0"/>
          <w:smallCaps w:val="0"/>
          <w:color w:val="auto"/>
          <w:kern w:val="0"/>
          <w:sz w:val="24"/>
          <w:szCs w:val="24"/>
          <w:highlight w:val="none"/>
        </w:rPr>
      </w:pPr>
      <w:r>
        <w:rPr>
          <w:rFonts w:hint="default" w:ascii="Times New Roman" w:hAnsi="Times New Roman" w:eastAsia="方正仿宋_GBK"/>
          <w:b w:val="0"/>
          <w:bCs w:val="0"/>
          <w:caps w:val="0"/>
          <w:smallCaps w:val="0"/>
          <w:color w:val="auto"/>
          <w:kern w:val="0"/>
          <w:sz w:val="24"/>
          <w:szCs w:val="24"/>
          <w:highlight w:val="none"/>
          <w:lang w:val="en-US" w:eastAsia="zh-CN" w:bidi="ar-SA"/>
        </w:rPr>
        <w:t>（1）</w:t>
      </w:r>
      <w:r>
        <w:rPr>
          <w:rFonts w:hint="default" w:ascii="Times New Roman" w:hAnsi="Times New Roman" w:eastAsia="方正仿宋_GBK"/>
          <w:caps w:val="0"/>
          <w:smallCaps w:val="0"/>
          <w:color w:val="auto"/>
          <w:kern w:val="0"/>
          <w:sz w:val="24"/>
          <w:szCs w:val="24"/>
          <w:highlight w:val="none"/>
        </w:rPr>
        <w:t>对乙方的例外</w:t>
      </w:r>
    </w:p>
    <w:p w14:paraId="7F8869B6">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0"/>
          <w:sz w:val="24"/>
          <w:szCs w:val="24"/>
          <w:highlight w:val="none"/>
        </w:rPr>
      </w:pPr>
      <w:r>
        <w:rPr>
          <w:rFonts w:hint="default" w:ascii="Times New Roman" w:hAnsi="Times New Roman" w:eastAsia="方正仿宋_GBK"/>
          <w:caps w:val="0"/>
          <w:smallCaps w:val="0"/>
          <w:color w:val="auto"/>
          <w:kern w:val="0"/>
          <w:sz w:val="24"/>
          <w:szCs w:val="24"/>
          <w:highlight w:val="none"/>
        </w:rPr>
        <w:t>在下述情况下，乙方不得声称不可抗力而中止履行本协议或作为其不履行协议项下义务的借口：</w:t>
      </w:r>
    </w:p>
    <w:p w14:paraId="393B1697">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lang w:val="en-US" w:eastAsia="zh-CN" w:bidi="ar-SA"/>
        </w:rPr>
        <w:t>a.</w:t>
      </w:r>
      <w:r>
        <w:rPr>
          <w:rFonts w:hint="default" w:ascii="Times New Roman" w:hAnsi="Times New Roman" w:eastAsia="方正仿宋_GBK"/>
          <w:caps w:val="0"/>
          <w:smallCaps w:val="0"/>
          <w:color w:val="auto"/>
          <w:kern w:val="0"/>
          <w:sz w:val="24"/>
          <w:szCs w:val="24"/>
          <w:highlight w:val="none"/>
        </w:rPr>
        <w:t>运营与维护承包商或任何其分包商迟延履行本协议；</w:t>
      </w:r>
    </w:p>
    <w:p w14:paraId="559962A5">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lang w:val="en-US" w:eastAsia="zh-CN" w:bidi="ar-SA"/>
        </w:rPr>
        <w:t>b.</w:t>
      </w:r>
      <w:r>
        <w:rPr>
          <w:rFonts w:hint="default" w:ascii="Times New Roman" w:hAnsi="Times New Roman" w:eastAsia="方正仿宋_GBK"/>
          <w:caps w:val="0"/>
          <w:smallCaps w:val="0"/>
          <w:color w:val="auto"/>
          <w:kern w:val="0"/>
          <w:sz w:val="24"/>
          <w:szCs w:val="24"/>
          <w:highlight w:val="none"/>
        </w:rPr>
        <w:t>项目的任何材料、</w:t>
      </w:r>
      <w:r>
        <w:rPr>
          <w:rFonts w:hint="default" w:ascii="Times New Roman" w:hAnsi="Times New Roman" w:eastAsia="方正仿宋_GBK" w:cs="Times New Roman"/>
          <w:caps w:val="0"/>
          <w:smallCaps w:val="0"/>
          <w:color w:val="auto"/>
          <w:kern w:val="0"/>
          <w:sz w:val="24"/>
          <w:szCs w:val="24"/>
          <w:highlight w:val="none"/>
        </w:rPr>
        <w:t>设备</w:t>
      </w:r>
      <w:r>
        <w:rPr>
          <w:rFonts w:hint="default" w:ascii="Times New Roman" w:hAnsi="Times New Roman" w:eastAsia="方正仿宋_GBK"/>
          <w:caps w:val="0"/>
          <w:smallCaps w:val="0"/>
          <w:color w:val="auto"/>
          <w:kern w:val="0"/>
          <w:sz w:val="24"/>
          <w:szCs w:val="24"/>
          <w:highlight w:val="none"/>
        </w:rPr>
        <w:t>、机器或零件的迟延交付或潜在的或明显的缺陷；</w:t>
      </w:r>
    </w:p>
    <w:p w14:paraId="43DD1E07">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lang w:val="en-US" w:eastAsia="zh-CN" w:bidi="ar-SA"/>
        </w:rPr>
        <w:t>c.</w:t>
      </w:r>
      <w:r>
        <w:rPr>
          <w:rFonts w:hint="default" w:ascii="Times New Roman" w:hAnsi="Times New Roman" w:eastAsia="方正仿宋_GBK"/>
          <w:caps w:val="0"/>
          <w:smallCaps w:val="0"/>
          <w:color w:val="auto"/>
          <w:kern w:val="0"/>
          <w:sz w:val="24"/>
          <w:szCs w:val="24"/>
          <w:highlight w:val="none"/>
        </w:rPr>
        <w:t>项目的材料、设备、</w:t>
      </w:r>
      <w:r>
        <w:rPr>
          <w:rFonts w:hint="default" w:ascii="Times New Roman" w:hAnsi="Times New Roman" w:eastAsia="方正仿宋_GBK" w:cs="Times New Roman"/>
          <w:caps w:val="0"/>
          <w:smallCaps w:val="0"/>
          <w:color w:val="auto"/>
          <w:kern w:val="0"/>
          <w:sz w:val="24"/>
          <w:szCs w:val="24"/>
          <w:highlight w:val="none"/>
        </w:rPr>
        <w:t>机器</w:t>
      </w:r>
      <w:r>
        <w:rPr>
          <w:rFonts w:hint="default" w:ascii="Times New Roman" w:hAnsi="Times New Roman" w:eastAsia="方正仿宋_GBK"/>
          <w:caps w:val="0"/>
          <w:smallCaps w:val="0"/>
          <w:color w:val="auto"/>
          <w:kern w:val="0"/>
          <w:sz w:val="24"/>
          <w:szCs w:val="24"/>
          <w:highlight w:val="none"/>
        </w:rPr>
        <w:t>或零件的故障或正常磨损。</w:t>
      </w:r>
    </w:p>
    <w:p w14:paraId="5540788D">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0" w:firstLine="480" w:firstLineChars="200"/>
        <w:rPr>
          <w:rFonts w:hint="default" w:ascii="Times New Roman" w:hAnsi="Times New Roman" w:eastAsia="方正仿宋_GBK"/>
          <w:caps w:val="0"/>
          <w:smallCaps w:val="0"/>
          <w:color w:val="auto"/>
          <w:kern w:val="0"/>
          <w:sz w:val="24"/>
          <w:szCs w:val="24"/>
          <w:highlight w:val="none"/>
        </w:rPr>
      </w:pPr>
      <w:r>
        <w:rPr>
          <w:rFonts w:hint="default" w:ascii="Times New Roman" w:hAnsi="Times New Roman" w:eastAsia="方正仿宋_GBK"/>
          <w:b w:val="0"/>
          <w:bCs w:val="0"/>
          <w:caps w:val="0"/>
          <w:smallCaps w:val="0"/>
          <w:color w:val="auto"/>
          <w:kern w:val="0"/>
          <w:sz w:val="24"/>
          <w:szCs w:val="24"/>
          <w:highlight w:val="none"/>
          <w:lang w:val="en-US" w:eastAsia="zh-CN" w:bidi="ar-SA"/>
        </w:rPr>
        <w:t>（2）</w:t>
      </w:r>
      <w:r>
        <w:rPr>
          <w:rFonts w:hint="default" w:ascii="Times New Roman" w:hAnsi="Times New Roman" w:eastAsia="方正仿宋_GBK"/>
          <w:caps w:val="0"/>
          <w:smallCaps w:val="0"/>
          <w:color w:val="auto"/>
          <w:kern w:val="0"/>
          <w:sz w:val="24"/>
          <w:szCs w:val="24"/>
          <w:highlight w:val="none"/>
        </w:rPr>
        <w:t>对甲方的例外</w:t>
      </w:r>
    </w:p>
    <w:p w14:paraId="602D3742">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0"/>
          <w:sz w:val="24"/>
          <w:szCs w:val="24"/>
          <w:highlight w:val="none"/>
        </w:rPr>
      </w:pPr>
      <w:r>
        <w:rPr>
          <w:rFonts w:hint="default" w:ascii="Times New Roman" w:hAnsi="Times New Roman" w:eastAsia="方正仿宋_GBK"/>
          <w:caps w:val="0"/>
          <w:smallCaps w:val="0"/>
          <w:color w:val="auto"/>
          <w:kern w:val="0"/>
          <w:sz w:val="24"/>
          <w:szCs w:val="24"/>
          <w:highlight w:val="none"/>
        </w:rPr>
        <w:t>在下述</w:t>
      </w:r>
      <w:r>
        <w:rPr>
          <w:rFonts w:hint="eastAsia" w:ascii="Times New Roman" w:hAnsi="Times New Roman" w:eastAsia="方正仿宋_GBK"/>
          <w:caps w:val="0"/>
          <w:smallCaps w:val="0"/>
          <w:color w:val="auto"/>
          <w:kern w:val="0"/>
          <w:sz w:val="24"/>
          <w:szCs w:val="24"/>
          <w:highlight w:val="none"/>
        </w:rPr>
        <w:t>事件发生时</w:t>
      </w:r>
      <w:r>
        <w:rPr>
          <w:rFonts w:hint="default" w:ascii="Times New Roman" w:hAnsi="Times New Roman" w:eastAsia="方正仿宋_GBK"/>
          <w:caps w:val="0"/>
          <w:smallCaps w:val="0"/>
          <w:color w:val="auto"/>
          <w:kern w:val="0"/>
          <w:sz w:val="24"/>
          <w:szCs w:val="24"/>
          <w:highlight w:val="none"/>
        </w:rPr>
        <w:t>，甲方不得声称不可抗力而中止履行本协议或作为其不履行协议项下义务的借口</w:t>
      </w:r>
      <w:r>
        <w:rPr>
          <w:rFonts w:hint="eastAsia" w:ascii="Times New Roman" w:hAnsi="Times New Roman" w:eastAsia="方正仿宋_GBK"/>
          <w:caps w:val="0"/>
          <w:smallCaps w:val="0"/>
          <w:color w:val="auto"/>
          <w:kern w:val="0"/>
          <w:sz w:val="24"/>
          <w:szCs w:val="24"/>
          <w:highlight w:val="none"/>
        </w:rPr>
        <w:t>（但对于政府方上级政府或上级人民代表大会行为造成的该等事项，在政府方已尽合理努力协助乙方减少、降低或避免该等事件影响的情况下，甲方无需就因此等事件造成的甲方未完全履行本协议约定义务的情形向乙方承担违约责任）</w:t>
      </w:r>
      <w:r>
        <w:rPr>
          <w:rFonts w:hint="default" w:ascii="Times New Roman" w:hAnsi="Times New Roman" w:eastAsia="方正仿宋_GBK"/>
          <w:caps w:val="0"/>
          <w:smallCaps w:val="0"/>
          <w:color w:val="auto"/>
          <w:kern w:val="0"/>
          <w:sz w:val="24"/>
          <w:szCs w:val="24"/>
          <w:highlight w:val="none"/>
        </w:rPr>
        <w:t>：</w:t>
      </w:r>
    </w:p>
    <w:p w14:paraId="3A1F9BE9">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eastAsia"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lang w:val="en-US" w:eastAsia="zh-CN" w:bidi="ar-SA"/>
        </w:rPr>
        <w:t>a.</w:t>
      </w:r>
      <w:r>
        <w:rPr>
          <w:rFonts w:hint="eastAsia" w:ascii="Times New Roman" w:hAnsi="Times New Roman" w:eastAsia="方正仿宋_GBK"/>
          <w:caps w:val="0"/>
          <w:smallCaps w:val="0"/>
          <w:color w:val="auto"/>
          <w:kern w:val="0"/>
          <w:sz w:val="24"/>
          <w:szCs w:val="24"/>
          <w:highlight w:val="none"/>
        </w:rPr>
        <w:t>政府对项目实行的没收、征用、充公或国有化；</w:t>
      </w:r>
    </w:p>
    <w:p w14:paraId="17ADA14E">
      <w:pPr>
        <w:keepNext w:val="0"/>
        <w:keepLines w:val="0"/>
        <w:pageBreakBefore w:val="0"/>
        <w:widowControl w:val="0"/>
        <w:numPr>
          <w:ilvl w:val="0"/>
          <w:numId w:val="0"/>
        </w:numPr>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0"/>
          <w:sz w:val="24"/>
          <w:szCs w:val="24"/>
          <w:highlight w:val="none"/>
        </w:rPr>
      </w:pPr>
      <w:r>
        <w:rPr>
          <w:rFonts w:hint="default" w:ascii="Times New Roman" w:hAnsi="Times New Roman" w:eastAsia="方正仿宋_GBK"/>
          <w:caps w:val="0"/>
          <w:smallCaps w:val="0"/>
          <w:color w:val="auto"/>
          <w:kern w:val="0"/>
          <w:sz w:val="24"/>
          <w:szCs w:val="24"/>
          <w:highlight w:val="none"/>
          <w:lang w:val="en-US" w:eastAsia="zh-CN" w:bidi="ar-SA"/>
        </w:rPr>
        <w:t>b.</w:t>
      </w:r>
      <w:r>
        <w:rPr>
          <w:rFonts w:hint="eastAsia" w:ascii="Times New Roman" w:hAnsi="Times New Roman" w:eastAsia="方正仿宋_GBK"/>
          <w:caps w:val="0"/>
          <w:smallCaps w:val="0"/>
          <w:color w:val="auto"/>
          <w:kern w:val="0"/>
          <w:sz w:val="24"/>
          <w:szCs w:val="24"/>
          <w:highlight w:val="none"/>
        </w:rPr>
        <w:t>政府实行的封锁、禁运、进口限制或配额限制；</w:t>
      </w:r>
    </w:p>
    <w:p w14:paraId="2EB59329">
      <w:pPr>
        <w:keepNext w:val="0"/>
        <w:keepLines w:val="0"/>
        <w:pageBreakBefore w:val="0"/>
        <w:widowControl w:val="0"/>
        <w:numPr>
          <w:ilvl w:val="0"/>
          <w:numId w:val="0"/>
        </w:numPr>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0"/>
          <w:sz w:val="24"/>
          <w:szCs w:val="24"/>
          <w:highlight w:val="none"/>
        </w:rPr>
      </w:pPr>
      <w:r>
        <w:rPr>
          <w:rFonts w:hint="default" w:ascii="Times New Roman" w:hAnsi="Times New Roman" w:eastAsia="方正仿宋_GBK"/>
          <w:caps w:val="0"/>
          <w:smallCaps w:val="0"/>
          <w:color w:val="auto"/>
          <w:kern w:val="0"/>
          <w:sz w:val="24"/>
          <w:szCs w:val="24"/>
          <w:highlight w:val="none"/>
          <w:lang w:val="en-US" w:eastAsia="zh-CN" w:bidi="ar-SA"/>
        </w:rPr>
        <w:t>c.</w:t>
      </w:r>
      <w:r>
        <w:rPr>
          <w:rFonts w:hint="eastAsia" w:ascii="Times New Roman" w:hAnsi="Times New Roman" w:eastAsia="方正仿宋_GBK"/>
          <w:caps w:val="0"/>
          <w:smallCaps w:val="0"/>
          <w:color w:val="auto"/>
          <w:kern w:val="0"/>
          <w:sz w:val="24"/>
          <w:szCs w:val="24"/>
          <w:highlight w:val="none"/>
        </w:rPr>
        <w:t>不是由于乙方违约而引起的任何批准的取消，导致乙方不能继续履行本协议；</w:t>
      </w:r>
    </w:p>
    <w:p w14:paraId="32DAEDE6">
      <w:pPr>
        <w:keepNext w:val="0"/>
        <w:keepLines w:val="0"/>
        <w:pageBreakBefore w:val="0"/>
        <w:widowControl w:val="0"/>
        <w:numPr>
          <w:ilvl w:val="0"/>
          <w:numId w:val="0"/>
        </w:numPr>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0"/>
          <w:sz w:val="24"/>
          <w:szCs w:val="24"/>
          <w:highlight w:val="none"/>
        </w:rPr>
      </w:pPr>
      <w:r>
        <w:rPr>
          <w:rFonts w:hint="default" w:ascii="Times New Roman" w:hAnsi="Times New Roman" w:eastAsia="方正仿宋_GBK"/>
          <w:caps w:val="0"/>
          <w:smallCaps w:val="0"/>
          <w:color w:val="auto"/>
          <w:kern w:val="0"/>
          <w:sz w:val="24"/>
          <w:szCs w:val="24"/>
          <w:highlight w:val="none"/>
          <w:lang w:val="en-US" w:eastAsia="zh-CN" w:bidi="ar-SA"/>
        </w:rPr>
        <w:t>d.</w:t>
      </w:r>
      <w:r>
        <w:rPr>
          <w:rFonts w:hint="eastAsia" w:ascii="Times New Roman" w:hAnsi="Times New Roman" w:eastAsia="方正仿宋_GBK"/>
          <w:caps w:val="0"/>
          <w:smallCaps w:val="0"/>
          <w:color w:val="auto"/>
          <w:kern w:val="0"/>
          <w:sz w:val="24"/>
          <w:szCs w:val="24"/>
          <w:highlight w:val="none"/>
        </w:rPr>
        <w:t>法律变更。</w:t>
      </w:r>
    </w:p>
    <w:p w14:paraId="1F9E4C2D">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2.</w:t>
      </w:r>
      <w:r>
        <w:rPr>
          <w:rFonts w:ascii="Times New Roman" w:hAnsi="Times New Roman" w:eastAsia="方正仿宋_GBK" w:cs="Times New Roman"/>
          <w:b/>
          <w:caps w:val="0"/>
          <w:smallCaps w:val="0"/>
          <w:color w:val="auto"/>
          <w:kern w:val="2"/>
          <w:sz w:val="24"/>
          <w:szCs w:val="24"/>
          <w:highlight w:val="none"/>
          <w:lang w:val="en-US" w:eastAsia="zh-CN" w:bidi="ar-SA"/>
        </w:rPr>
        <w:t>通知程序</w:t>
      </w:r>
    </w:p>
    <w:p w14:paraId="22D92A56">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0"/>
          <w:sz w:val="24"/>
          <w:szCs w:val="24"/>
          <w:highlight w:val="none"/>
        </w:rPr>
      </w:pPr>
      <w:r>
        <w:rPr>
          <w:rFonts w:hint="default" w:ascii="Times New Roman" w:hAnsi="Times New Roman" w:eastAsia="方正仿宋_GBK"/>
          <w:caps w:val="0"/>
          <w:smallCaps w:val="0"/>
          <w:color w:val="auto"/>
          <w:kern w:val="0"/>
          <w:sz w:val="24"/>
          <w:szCs w:val="24"/>
          <w:highlight w:val="none"/>
        </w:rPr>
        <w:t>声称受到不可抗力影响的一方应在知悉后</w:t>
      </w:r>
      <w:r>
        <w:rPr>
          <w:rFonts w:hint="eastAsia" w:ascii="Times New Roman" w:hAnsi="Times New Roman" w:eastAsia="方正仿宋_GBK"/>
          <w:caps w:val="0"/>
          <w:smallCaps w:val="0"/>
          <w:color w:val="auto"/>
          <w:kern w:val="0"/>
          <w:sz w:val="24"/>
          <w:szCs w:val="24"/>
          <w:highlight w:val="none"/>
          <w:lang w:val="en-US" w:eastAsia="zh-CN"/>
        </w:rPr>
        <w:t>10</w:t>
      </w:r>
      <w:r>
        <w:rPr>
          <w:rFonts w:hint="default" w:ascii="Times New Roman" w:hAnsi="Times New Roman" w:eastAsia="方正仿宋_GBK"/>
          <w:caps w:val="0"/>
          <w:smallCaps w:val="0"/>
          <w:color w:val="auto"/>
          <w:kern w:val="0"/>
          <w:sz w:val="24"/>
          <w:szCs w:val="24"/>
          <w:highlight w:val="none"/>
        </w:rPr>
        <w:t>天内书面通知另一方并详述不可抗力影响的情况，包括该不可抗力发生的日期和预计停止的时间，以及对该方履行本协议项下义务的影响。</w:t>
      </w:r>
    </w:p>
    <w:p w14:paraId="37131A68">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3.</w:t>
      </w:r>
      <w:r>
        <w:rPr>
          <w:rFonts w:ascii="Times New Roman" w:hAnsi="Times New Roman" w:eastAsia="方正仿宋_GBK" w:cs="Times New Roman"/>
          <w:b/>
          <w:caps w:val="0"/>
          <w:smallCaps w:val="0"/>
          <w:color w:val="auto"/>
          <w:kern w:val="2"/>
          <w:sz w:val="24"/>
          <w:szCs w:val="24"/>
          <w:highlight w:val="none"/>
          <w:lang w:val="en-US" w:eastAsia="zh-CN" w:bidi="ar-SA"/>
        </w:rPr>
        <w:t>协商和减少损失的责任</w:t>
      </w:r>
    </w:p>
    <w:p w14:paraId="37BF3230">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0"/>
          <w:sz w:val="24"/>
          <w:szCs w:val="24"/>
          <w:highlight w:val="none"/>
        </w:rPr>
      </w:pPr>
      <w:r>
        <w:rPr>
          <w:rFonts w:hint="default" w:ascii="Times New Roman" w:hAnsi="Times New Roman" w:eastAsia="方正仿宋_GBK"/>
          <w:caps w:val="0"/>
          <w:smallCaps w:val="0"/>
          <w:color w:val="auto"/>
          <w:kern w:val="0"/>
          <w:sz w:val="24"/>
          <w:szCs w:val="24"/>
          <w:highlight w:val="none"/>
        </w:rPr>
        <w:t>发出通知后，双方应在实际可行的情况下尽快基于诚信原则进行协商，尽一切合理努力减轻不可抗力事件的后果并商定适当的条款，以使</w:t>
      </w:r>
      <w:r>
        <w:rPr>
          <w:rFonts w:hint="eastAsia" w:ascii="Times New Roman" w:hAnsi="Times New Roman" w:eastAsia="方正仿宋_GBK"/>
          <w:caps w:val="0"/>
          <w:smallCaps w:val="0"/>
          <w:color w:val="auto"/>
          <w:kern w:val="0"/>
          <w:sz w:val="24"/>
          <w:szCs w:val="24"/>
          <w:highlight w:val="none"/>
          <w:lang w:eastAsia="zh-CN"/>
        </w:rPr>
        <w:t>乙方</w:t>
      </w:r>
      <w:r>
        <w:rPr>
          <w:rFonts w:hint="default" w:ascii="Times New Roman" w:hAnsi="Times New Roman" w:eastAsia="方正仿宋_GBK"/>
          <w:caps w:val="0"/>
          <w:smallCaps w:val="0"/>
          <w:color w:val="auto"/>
          <w:kern w:val="0"/>
          <w:sz w:val="24"/>
          <w:szCs w:val="24"/>
          <w:highlight w:val="none"/>
        </w:rPr>
        <w:t>能够继续实施项目。双方应协商决定为减少不可抗力</w:t>
      </w:r>
      <w:r>
        <w:rPr>
          <w:rFonts w:hint="eastAsia" w:ascii="Times New Roman" w:hAnsi="Times New Roman" w:eastAsia="方正仿宋_GBK"/>
          <w:caps w:val="0"/>
          <w:smallCaps w:val="0"/>
          <w:color w:val="auto"/>
          <w:kern w:val="0"/>
          <w:sz w:val="24"/>
          <w:szCs w:val="24"/>
          <w:highlight w:val="none"/>
        </w:rPr>
        <w:t>对</w:t>
      </w:r>
      <w:r>
        <w:rPr>
          <w:rFonts w:hint="default" w:ascii="Times New Roman" w:hAnsi="Times New Roman" w:eastAsia="方正仿宋_GBK"/>
          <w:caps w:val="0"/>
          <w:smallCaps w:val="0"/>
          <w:color w:val="auto"/>
          <w:kern w:val="0"/>
          <w:sz w:val="24"/>
          <w:szCs w:val="24"/>
          <w:highlight w:val="none"/>
        </w:rPr>
        <w:t>每一方</w:t>
      </w:r>
      <w:r>
        <w:rPr>
          <w:rFonts w:hint="eastAsia" w:ascii="Times New Roman" w:hAnsi="Times New Roman" w:eastAsia="方正仿宋_GBK"/>
          <w:caps w:val="0"/>
          <w:smallCaps w:val="0"/>
          <w:color w:val="auto"/>
          <w:kern w:val="0"/>
          <w:sz w:val="24"/>
          <w:szCs w:val="24"/>
          <w:highlight w:val="none"/>
        </w:rPr>
        <w:t>带来</w:t>
      </w:r>
      <w:r>
        <w:rPr>
          <w:rFonts w:hint="default" w:ascii="Times New Roman" w:hAnsi="Times New Roman" w:eastAsia="方正仿宋_GBK"/>
          <w:caps w:val="0"/>
          <w:smallCaps w:val="0"/>
          <w:color w:val="auto"/>
          <w:kern w:val="0"/>
          <w:sz w:val="24"/>
          <w:szCs w:val="24"/>
          <w:highlight w:val="none"/>
        </w:rPr>
        <w:t>的损失</w:t>
      </w:r>
      <w:r>
        <w:rPr>
          <w:rFonts w:hint="eastAsia" w:ascii="Times New Roman" w:hAnsi="Times New Roman" w:eastAsia="方正仿宋_GBK"/>
          <w:caps w:val="0"/>
          <w:smallCaps w:val="0"/>
          <w:color w:val="auto"/>
          <w:kern w:val="0"/>
          <w:sz w:val="24"/>
          <w:szCs w:val="24"/>
          <w:highlight w:val="none"/>
        </w:rPr>
        <w:t>而</w:t>
      </w:r>
      <w:r>
        <w:rPr>
          <w:rFonts w:hint="default" w:ascii="Times New Roman" w:hAnsi="Times New Roman" w:eastAsia="方正仿宋_GBK"/>
          <w:caps w:val="0"/>
          <w:smallCaps w:val="0"/>
          <w:color w:val="auto"/>
          <w:kern w:val="0"/>
          <w:sz w:val="24"/>
          <w:szCs w:val="24"/>
          <w:highlight w:val="none"/>
        </w:rPr>
        <w:t>应采取的合理的措施。</w:t>
      </w:r>
    </w:p>
    <w:p w14:paraId="39DD2624">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4.</w:t>
      </w:r>
      <w:r>
        <w:rPr>
          <w:rFonts w:ascii="Times New Roman" w:hAnsi="Times New Roman" w:eastAsia="方正仿宋_GBK" w:cs="Times New Roman"/>
          <w:b/>
          <w:caps w:val="0"/>
          <w:smallCaps w:val="0"/>
          <w:color w:val="auto"/>
          <w:kern w:val="2"/>
          <w:sz w:val="24"/>
          <w:szCs w:val="24"/>
          <w:highlight w:val="none"/>
          <w:lang w:val="en-US" w:eastAsia="zh-CN" w:bidi="ar-SA"/>
        </w:rPr>
        <w:t>费用及进度时间的修改</w:t>
      </w:r>
    </w:p>
    <w:p w14:paraId="61F3420E">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0"/>
          <w:sz w:val="28"/>
          <w:szCs w:val="28"/>
          <w:highlight w:val="none"/>
        </w:rPr>
      </w:pPr>
      <w:r>
        <w:rPr>
          <w:rFonts w:hint="default" w:ascii="Times New Roman" w:hAnsi="Times New Roman" w:eastAsia="方正仿宋_GBK"/>
          <w:caps w:val="0"/>
          <w:smallCaps w:val="0"/>
          <w:color w:val="auto"/>
          <w:kern w:val="0"/>
          <w:sz w:val="24"/>
          <w:szCs w:val="24"/>
          <w:highlight w:val="none"/>
        </w:rPr>
        <w:t>发生不可抗力的情况时，双方应各自承担该方由于不可抗力情况造成的支出。如果声称遭受不可抗力的一方履行了本协议约定的通知程序，任何本协议中规定的履行某项义务的期限和特许</w:t>
      </w:r>
      <w:r>
        <w:rPr>
          <w:rFonts w:hint="eastAsia" w:ascii="Times New Roman" w:hAnsi="Times New Roman" w:eastAsia="方正仿宋_GBK"/>
          <w:caps w:val="0"/>
          <w:smallCaps w:val="0"/>
          <w:color w:val="auto"/>
          <w:kern w:val="0"/>
          <w:sz w:val="24"/>
          <w:szCs w:val="24"/>
          <w:highlight w:val="none"/>
        </w:rPr>
        <w:t>经营</w:t>
      </w:r>
      <w:r>
        <w:rPr>
          <w:rFonts w:hint="default" w:ascii="Times New Roman" w:hAnsi="Times New Roman" w:eastAsia="方正仿宋_GBK"/>
          <w:caps w:val="0"/>
          <w:smallCaps w:val="0"/>
          <w:color w:val="auto"/>
          <w:kern w:val="0"/>
          <w:sz w:val="24"/>
          <w:szCs w:val="24"/>
          <w:highlight w:val="none"/>
        </w:rPr>
        <w:t>期限应根据不可抗力对履行某项义务产生影响的相同时间予以顺延。</w:t>
      </w:r>
    </w:p>
    <w:p w14:paraId="19197952">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328" w:name="_Toc8546"/>
      <w:bookmarkStart w:id="329" w:name="_Toc402428964"/>
      <w:bookmarkStart w:id="330" w:name="_Toc405146882"/>
      <w:bookmarkStart w:id="331" w:name="_Toc1029944710"/>
      <w:bookmarkStart w:id="332" w:name="_Toc2471"/>
      <w:r>
        <w:rPr>
          <w:rFonts w:hint="eastAsia" w:ascii="Times New Roman" w:hAnsi="Times New Roman" w:eastAsia="方正黑体_GBK" w:cs="方正黑体_GBK"/>
          <w:bCs/>
          <w:caps w:val="0"/>
          <w:smallCaps w:val="0"/>
          <w:color w:val="auto"/>
          <w:kern w:val="2"/>
          <w:sz w:val="28"/>
          <w:szCs w:val="28"/>
          <w:highlight w:val="none"/>
          <w:lang w:val="en-US" w:eastAsia="zh-CN" w:bidi="ar-SA"/>
        </w:rPr>
        <w:t>第50条 不可抗力事件的处理</w:t>
      </w:r>
      <w:bookmarkEnd w:id="328"/>
      <w:bookmarkEnd w:id="329"/>
      <w:bookmarkEnd w:id="330"/>
      <w:bookmarkEnd w:id="331"/>
      <w:bookmarkEnd w:id="332"/>
    </w:p>
    <w:p w14:paraId="7715EDA9">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1.</w:t>
      </w:r>
      <w:r>
        <w:rPr>
          <w:rFonts w:ascii="Times New Roman" w:hAnsi="Times New Roman" w:eastAsia="方正仿宋_GBK" w:cs="Times New Roman"/>
          <w:b/>
          <w:caps w:val="0"/>
          <w:smallCaps w:val="0"/>
          <w:color w:val="auto"/>
          <w:kern w:val="2"/>
          <w:sz w:val="24"/>
          <w:szCs w:val="24"/>
          <w:highlight w:val="none"/>
          <w:lang w:val="en-US" w:eastAsia="zh-CN" w:bidi="ar-SA"/>
        </w:rPr>
        <w:t>恢复</w:t>
      </w:r>
    </w:p>
    <w:p w14:paraId="07BF57F8">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0"/>
          <w:sz w:val="24"/>
          <w:szCs w:val="24"/>
          <w:highlight w:val="none"/>
        </w:rPr>
      </w:pPr>
      <w:r>
        <w:rPr>
          <w:rFonts w:hint="default" w:ascii="Times New Roman" w:hAnsi="Times New Roman" w:eastAsia="方正仿宋_GBK"/>
          <w:caps w:val="0"/>
          <w:smallCaps w:val="0"/>
          <w:color w:val="auto"/>
          <w:kern w:val="2"/>
          <w:sz w:val="24"/>
          <w:szCs w:val="24"/>
          <w:highlight w:val="none"/>
        </w:rPr>
        <w:t>在不可抗力事件停止或不再妨碍受影响方履行其在本协议项下的义务后，在实际可行的情况下，受影响方应尽快通知另一方。在通知发出后本协议应按照发生不可抗力事件前最后一刻的状况继续履行。</w:t>
      </w:r>
    </w:p>
    <w:p w14:paraId="25171D2D">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2.</w:t>
      </w:r>
      <w:r>
        <w:rPr>
          <w:rFonts w:ascii="Times New Roman" w:hAnsi="Times New Roman" w:eastAsia="方正仿宋_GBK" w:cs="Times New Roman"/>
          <w:b/>
          <w:caps w:val="0"/>
          <w:smallCaps w:val="0"/>
          <w:color w:val="auto"/>
          <w:kern w:val="2"/>
          <w:sz w:val="24"/>
          <w:szCs w:val="24"/>
          <w:highlight w:val="none"/>
          <w:lang w:val="en-US" w:eastAsia="zh-CN" w:bidi="ar-SA"/>
        </w:rPr>
        <w:t>不可抗力造成损失</w:t>
      </w:r>
    </w:p>
    <w:p w14:paraId="2B2DE8E3">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default" w:ascii="Times New Roman" w:hAnsi="Times New Roman" w:eastAsia="方正仿宋_GBK"/>
          <w:caps w:val="0"/>
          <w:smallCaps w:val="0"/>
          <w:color w:val="auto"/>
          <w:kern w:val="2"/>
          <w:sz w:val="24"/>
          <w:szCs w:val="24"/>
          <w:highlight w:val="none"/>
        </w:rPr>
        <w:t>因不可抗力事件造成协议部分不能履行或部分不可修复，且无法通过保险获得足额赔偿，双方可协商基于公平原则对本协议进行变更，包括延长本协议约定的特许经营期。</w:t>
      </w:r>
    </w:p>
    <w:p w14:paraId="722D5368">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3.</w:t>
      </w:r>
      <w:r>
        <w:rPr>
          <w:rFonts w:ascii="Times New Roman" w:hAnsi="Times New Roman" w:eastAsia="方正仿宋_GBK" w:cs="Times New Roman"/>
          <w:b/>
          <w:caps w:val="0"/>
          <w:smallCaps w:val="0"/>
          <w:color w:val="auto"/>
          <w:kern w:val="2"/>
          <w:sz w:val="24"/>
          <w:szCs w:val="24"/>
          <w:highlight w:val="none"/>
          <w:lang w:val="en-US" w:eastAsia="zh-CN" w:bidi="ar-SA"/>
        </w:rPr>
        <w:t>不可抗力造成终止</w:t>
      </w:r>
    </w:p>
    <w:p w14:paraId="7C27A406">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0"/>
          <w:sz w:val="24"/>
          <w:szCs w:val="24"/>
          <w:highlight w:val="none"/>
        </w:rPr>
      </w:pPr>
      <w:r>
        <w:rPr>
          <w:rFonts w:hint="default" w:ascii="Times New Roman" w:hAnsi="Times New Roman" w:eastAsia="方正仿宋_GBK"/>
          <w:caps w:val="0"/>
          <w:smallCaps w:val="0"/>
          <w:color w:val="auto"/>
          <w:kern w:val="0"/>
          <w:sz w:val="24"/>
          <w:szCs w:val="24"/>
          <w:highlight w:val="none"/>
        </w:rPr>
        <w:t>如果任何不可抗力事件阻止一方履行其义务的时间自该不可抗力发生时起超过</w:t>
      </w:r>
      <w:r>
        <w:rPr>
          <w:rFonts w:hint="eastAsia" w:ascii="Times New Roman" w:hAnsi="Times New Roman" w:eastAsia="方正仿宋_GBK" w:cs="Times New Roman"/>
          <w:caps w:val="0"/>
          <w:smallCaps w:val="0"/>
          <w:color w:val="auto"/>
          <w:kern w:val="2"/>
          <w:sz w:val="24"/>
          <w:szCs w:val="24"/>
          <w:highlight w:val="none"/>
          <w:lang w:eastAsia="zh-CN"/>
        </w:rPr>
        <w:t>3</w:t>
      </w:r>
      <w:r>
        <w:rPr>
          <w:rFonts w:hint="eastAsia" w:ascii="Times New Roman" w:hAnsi="Times New Roman" w:eastAsia="方正仿宋_GBK" w:cs="Times New Roman"/>
          <w:caps w:val="0"/>
          <w:smallCaps w:val="0"/>
          <w:color w:val="auto"/>
          <w:kern w:val="2"/>
          <w:sz w:val="24"/>
          <w:szCs w:val="24"/>
          <w:highlight w:val="none"/>
          <w:lang w:val="en-US" w:eastAsia="zh-CN"/>
        </w:rPr>
        <w:t>0</w:t>
      </w:r>
      <w:r>
        <w:rPr>
          <w:rFonts w:hint="eastAsia" w:ascii="Times New Roman" w:hAnsi="Times New Roman" w:eastAsia="方正仿宋_GBK"/>
          <w:caps w:val="0"/>
          <w:smallCaps w:val="0"/>
          <w:color w:val="auto"/>
          <w:kern w:val="0"/>
          <w:sz w:val="24"/>
          <w:szCs w:val="24"/>
          <w:highlight w:val="none"/>
        </w:rPr>
        <w:t>天</w:t>
      </w:r>
      <w:r>
        <w:rPr>
          <w:rFonts w:hint="default" w:ascii="Times New Roman" w:hAnsi="Times New Roman" w:eastAsia="方正仿宋_GBK"/>
          <w:caps w:val="0"/>
          <w:smallCaps w:val="0"/>
          <w:color w:val="auto"/>
          <w:kern w:val="0"/>
          <w:sz w:val="24"/>
          <w:szCs w:val="24"/>
          <w:highlight w:val="none"/>
        </w:rPr>
        <w:t>，双方应协商决定继续履行协议的条件或者同意终止协议。如果自不可抗力发生后</w:t>
      </w:r>
      <w:r>
        <w:rPr>
          <w:rFonts w:hint="eastAsia" w:ascii="Times New Roman" w:hAnsi="Times New Roman" w:eastAsia="方正仿宋_GBK"/>
          <w:caps w:val="0"/>
          <w:smallCaps w:val="0"/>
          <w:color w:val="auto"/>
          <w:kern w:val="0"/>
          <w:sz w:val="24"/>
          <w:szCs w:val="24"/>
          <w:highlight w:val="none"/>
          <w:lang w:val="en-US" w:eastAsia="zh-CN"/>
        </w:rPr>
        <w:t>60</w:t>
      </w:r>
      <w:r>
        <w:rPr>
          <w:rFonts w:hint="eastAsia" w:ascii="Times New Roman" w:hAnsi="Times New Roman" w:eastAsia="方正仿宋_GBK"/>
          <w:caps w:val="0"/>
          <w:smallCaps w:val="0"/>
          <w:color w:val="auto"/>
          <w:kern w:val="0"/>
          <w:sz w:val="24"/>
          <w:szCs w:val="24"/>
          <w:highlight w:val="none"/>
        </w:rPr>
        <w:t>天</w:t>
      </w:r>
      <w:r>
        <w:rPr>
          <w:rFonts w:hint="default" w:ascii="Times New Roman" w:hAnsi="Times New Roman" w:eastAsia="方正仿宋_GBK"/>
          <w:caps w:val="0"/>
          <w:smallCaps w:val="0"/>
          <w:color w:val="auto"/>
          <w:kern w:val="0"/>
          <w:sz w:val="24"/>
          <w:szCs w:val="24"/>
          <w:highlight w:val="none"/>
        </w:rPr>
        <w:t>之内双方仍不能就继续履行的条件或终止协议达成一致意见，任何一方有权给予另一方书面通知后终止协议，甲方并应返还乙方交付的履约保证金。</w:t>
      </w:r>
    </w:p>
    <w:p w14:paraId="2642F8E7">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333" w:name="_Toc15285"/>
      <w:bookmarkStart w:id="334" w:name="_Toc15979"/>
      <w:bookmarkStart w:id="335" w:name="_Toc405146883"/>
      <w:bookmarkStart w:id="336" w:name="_Toc284831333"/>
      <w:r>
        <w:rPr>
          <w:rFonts w:hint="eastAsia" w:ascii="Times New Roman" w:hAnsi="Times New Roman" w:eastAsia="方正黑体_GBK" w:cs="方正黑体_GBK"/>
          <w:bCs/>
          <w:caps w:val="0"/>
          <w:smallCaps w:val="0"/>
          <w:color w:val="auto"/>
          <w:kern w:val="2"/>
          <w:sz w:val="28"/>
          <w:szCs w:val="28"/>
          <w:highlight w:val="none"/>
          <w:lang w:val="en-US" w:eastAsia="zh-CN" w:bidi="ar-SA"/>
        </w:rPr>
        <w:t>第51条 情势变更</w:t>
      </w:r>
      <w:bookmarkEnd w:id="333"/>
      <w:bookmarkEnd w:id="334"/>
      <w:bookmarkEnd w:id="335"/>
      <w:bookmarkEnd w:id="336"/>
    </w:p>
    <w:p w14:paraId="1552937A">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outlineLvl w:val="2"/>
        <w:rPr>
          <w:rFonts w:hint="default"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1.</w:t>
      </w:r>
      <w:r>
        <w:rPr>
          <w:rFonts w:hint="default" w:ascii="Times New Roman" w:hAnsi="Times New Roman" w:eastAsia="方正仿宋_GBK" w:cs="Times New Roman"/>
          <w:b/>
          <w:caps w:val="0"/>
          <w:smallCaps w:val="0"/>
          <w:color w:val="auto"/>
          <w:kern w:val="2"/>
          <w:sz w:val="24"/>
          <w:szCs w:val="24"/>
          <w:highlight w:val="none"/>
          <w:lang w:val="en-US" w:eastAsia="zh-CN" w:bidi="ar-SA"/>
        </w:rPr>
        <w:t>情势变更事件</w:t>
      </w:r>
    </w:p>
    <w:p w14:paraId="065A934F">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b/>
          <w:caps w:val="0"/>
          <w:smallCaps w:val="0"/>
          <w:color w:val="auto"/>
          <w:kern w:val="2"/>
          <w:sz w:val="24"/>
          <w:szCs w:val="24"/>
          <w:highlight w:val="none"/>
        </w:rPr>
      </w:pPr>
      <w:r>
        <w:rPr>
          <w:rFonts w:hint="default" w:ascii="Times New Roman" w:hAnsi="Times New Roman" w:eastAsia="方正仿宋_GBK"/>
          <w:caps w:val="0"/>
          <w:smallCaps w:val="0"/>
          <w:color w:val="auto"/>
          <w:kern w:val="2"/>
          <w:sz w:val="24"/>
          <w:szCs w:val="24"/>
          <w:highlight w:val="none"/>
        </w:rPr>
        <w:t>本协议成立后，本协议的基础条件发生了在订立本协议时受影响一方无法预见的、不属于商业风险的重大变化，继续履行本协议对于本协议一方明显不公平的，受不利影响的一方可以与对方重新协商；在合理期限内协商不成的，受不利影响的一方可以根据争议解决程序请求变更或者解除本协议。</w:t>
      </w:r>
    </w:p>
    <w:p w14:paraId="7D7DAA79">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outlineLvl w:val="2"/>
        <w:rPr>
          <w:rFonts w:ascii="Times New Roman" w:hAnsi="Times New Roman" w:eastAsia="方正仿宋_GBK" w:cs="Times New Roman"/>
          <w:b/>
          <w:caps w:val="0"/>
          <w:smallCaps w:val="0"/>
          <w:color w:val="auto"/>
          <w:kern w:val="0"/>
          <w:sz w:val="24"/>
          <w:szCs w:val="24"/>
          <w:highlight w:val="none"/>
          <w:lang w:val="en-US" w:eastAsia="zh-CN" w:bidi="ar-SA"/>
        </w:rPr>
      </w:pPr>
      <w:r>
        <w:rPr>
          <w:rFonts w:hint="eastAsia" w:ascii="Times New Roman" w:hAnsi="Times New Roman" w:eastAsia="方正仿宋_GBK" w:cs="Times New Roman"/>
          <w:b/>
          <w:caps w:val="0"/>
          <w:smallCaps w:val="0"/>
          <w:color w:val="auto"/>
          <w:kern w:val="0"/>
          <w:sz w:val="24"/>
          <w:szCs w:val="24"/>
          <w:highlight w:val="none"/>
          <w:lang w:val="en-US" w:eastAsia="zh-CN" w:bidi="ar-SA"/>
        </w:rPr>
        <w:t>2.</w:t>
      </w:r>
      <w:r>
        <w:rPr>
          <w:rFonts w:ascii="Times New Roman" w:hAnsi="Times New Roman" w:eastAsia="方正仿宋_GBK" w:cs="Times New Roman"/>
          <w:b/>
          <w:caps w:val="0"/>
          <w:smallCaps w:val="0"/>
          <w:color w:val="auto"/>
          <w:kern w:val="0"/>
          <w:sz w:val="24"/>
          <w:szCs w:val="24"/>
          <w:highlight w:val="none"/>
          <w:lang w:val="en-US" w:eastAsia="zh-CN" w:bidi="ar-SA"/>
        </w:rPr>
        <w:t>协商程序</w:t>
      </w:r>
    </w:p>
    <w:p w14:paraId="00BC5519">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default" w:ascii="Times New Roman" w:hAnsi="Times New Roman" w:eastAsia="方正仿宋_GBK"/>
          <w:caps w:val="0"/>
          <w:smallCaps w:val="0"/>
          <w:color w:val="auto"/>
          <w:kern w:val="2"/>
          <w:sz w:val="24"/>
          <w:szCs w:val="24"/>
          <w:highlight w:val="none"/>
        </w:rPr>
        <w:t>发生情势变更事件后，受影响一方应在</w:t>
      </w:r>
      <w:r>
        <w:rPr>
          <w:rFonts w:hint="eastAsia" w:ascii="Times New Roman" w:hAnsi="Times New Roman" w:eastAsia="方正仿宋_GBK"/>
          <w:caps w:val="0"/>
          <w:smallCaps w:val="0"/>
          <w:color w:val="auto"/>
          <w:kern w:val="2"/>
          <w:sz w:val="24"/>
          <w:szCs w:val="24"/>
          <w:highlight w:val="none"/>
          <w:lang w:val="en-US" w:eastAsia="zh-CN"/>
        </w:rPr>
        <w:t>30</w:t>
      </w:r>
      <w:r>
        <w:rPr>
          <w:rFonts w:hint="default" w:ascii="Times New Roman" w:hAnsi="Times New Roman" w:eastAsia="方正仿宋_GBK"/>
          <w:caps w:val="0"/>
          <w:smallCaps w:val="0"/>
          <w:color w:val="auto"/>
          <w:kern w:val="2"/>
          <w:sz w:val="24"/>
          <w:szCs w:val="24"/>
          <w:highlight w:val="none"/>
        </w:rPr>
        <w:t>日内通知另一方，告知其情势变更的发生事实以及对自己继续履行本协议造成的成本增加或收益减少的结果和计算方式。双方应首先协商在适用法律不禁止的前提下通过调整价格或特许经营期的方式对</w:t>
      </w:r>
      <w:r>
        <w:rPr>
          <w:rFonts w:hint="eastAsia" w:ascii="Times New Roman" w:hAnsi="Times New Roman" w:eastAsia="方正仿宋_GBK"/>
          <w:caps w:val="0"/>
          <w:smallCaps w:val="0"/>
          <w:color w:val="auto"/>
          <w:kern w:val="2"/>
          <w:sz w:val="24"/>
          <w:szCs w:val="24"/>
          <w:highlight w:val="none"/>
        </w:rPr>
        <w:t>协议</w:t>
      </w:r>
      <w:r>
        <w:rPr>
          <w:rFonts w:hint="default" w:ascii="Times New Roman" w:hAnsi="Times New Roman" w:eastAsia="方正仿宋_GBK"/>
          <w:caps w:val="0"/>
          <w:smallCaps w:val="0"/>
          <w:color w:val="auto"/>
          <w:kern w:val="2"/>
          <w:sz w:val="24"/>
          <w:szCs w:val="24"/>
          <w:highlight w:val="none"/>
        </w:rPr>
        <w:t>进行变更。如果自</w:t>
      </w:r>
      <w:r>
        <w:rPr>
          <w:rFonts w:hint="eastAsia" w:ascii="Times New Roman" w:hAnsi="Times New Roman" w:eastAsia="方正仿宋_GBK"/>
          <w:caps w:val="0"/>
          <w:smallCaps w:val="0"/>
          <w:color w:val="auto"/>
          <w:kern w:val="2"/>
          <w:sz w:val="24"/>
          <w:szCs w:val="24"/>
          <w:highlight w:val="none"/>
        </w:rPr>
        <w:t>情势变更事件</w:t>
      </w:r>
      <w:r>
        <w:rPr>
          <w:rFonts w:hint="default" w:ascii="Times New Roman" w:hAnsi="Times New Roman" w:eastAsia="方正仿宋_GBK"/>
          <w:caps w:val="0"/>
          <w:smallCaps w:val="0"/>
          <w:color w:val="auto"/>
          <w:kern w:val="2"/>
          <w:sz w:val="24"/>
          <w:szCs w:val="24"/>
          <w:highlight w:val="none"/>
        </w:rPr>
        <w:t>发生后</w:t>
      </w:r>
      <w:r>
        <w:rPr>
          <w:rFonts w:hint="eastAsia" w:ascii="Times New Roman" w:hAnsi="Times New Roman" w:eastAsia="方正仿宋_GBK"/>
          <w:caps w:val="0"/>
          <w:smallCaps w:val="0"/>
          <w:color w:val="auto"/>
          <w:kern w:val="2"/>
          <w:sz w:val="24"/>
          <w:szCs w:val="24"/>
          <w:highlight w:val="none"/>
          <w:lang w:val="en-US" w:eastAsia="zh-CN"/>
        </w:rPr>
        <w:t>120天</w:t>
      </w:r>
      <w:r>
        <w:rPr>
          <w:rFonts w:hint="default" w:ascii="Times New Roman" w:hAnsi="Times New Roman" w:eastAsia="方正仿宋_GBK"/>
          <w:caps w:val="0"/>
          <w:smallCaps w:val="0"/>
          <w:color w:val="auto"/>
          <w:kern w:val="2"/>
          <w:sz w:val="24"/>
          <w:szCs w:val="24"/>
          <w:highlight w:val="none"/>
        </w:rPr>
        <w:t>内双方仍不能就继续履行的条件或终止协议达成一致意见，受影响一方可以根据本协议约定的争议程序请求变更或终止本协议。</w:t>
      </w:r>
    </w:p>
    <w:p w14:paraId="47FA34F4">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3.优先适用</w:t>
      </w:r>
    </w:p>
    <w:p w14:paraId="3208D2FA">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如任何事件同时属于情势变更情形或本协议其他条款中约定事项的情形，则对于该等情形下的处理，应优先适用本协议中有明确约定的该等其他条款。</w:t>
      </w:r>
    </w:p>
    <w:p w14:paraId="0F87E07D">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337" w:name="_Toc17287"/>
      <w:bookmarkStart w:id="338" w:name="_Toc17846"/>
      <w:bookmarkStart w:id="339" w:name="_Toc434388593"/>
      <w:r>
        <w:rPr>
          <w:rFonts w:hint="eastAsia" w:ascii="Times New Roman" w:hAnsi="Times New Roman" w:eastAsia="方正黑体_GBK" w:cs="方正黑体_GBK"/>
          <w:bCs/>
          <w:caps w:val="0"/>
          <w:smallCaps w:val="0"/>
          <w:color w:val="auto"/>
          <w:kern w:val="2"/>
          <w:sz w:val="28"/>
          <w:szCs w:val="28"/>
          <w:highlight w:val="none"/>
          <w:lang w:val="en-US" w:eastAsia="zh-CN" w:bidi="ar-SA"/>
        </w:rPr>
        <w:t>第52条 法律变更</w:t>
      </w:r>
      <w:bookmarkEnd w:id="337"/>
      <w:bookmarkEnd w:id="338"/>
      <w:bookmarkEnd w:id="339"/>
    </w:p>
    <w:p w14:paraId="5A5A548F">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outlineLvl w:val="2"/>
        <w:rPr>
          <w:rFonts w:hint="eastAsia" w:ascii="Times New Roman" w:hAnsi="Times New Roman" w:eastAsia="方正仿宋_GBK" w:cs="Times New Roman"/>
          <w:b/>
          <w:caps w:val="0"/>
          <w:smallCaps w:val="0"/>
          <w:color w:val="auto"/>
          <w:kern w:val="2"/>
          <w:sz w:val="24"/>
          <w:szCs w:val="24"/>
          <w:highlight w:val="none"/>
          <w:lang w:val="en-US" w:eastAsia="zh-CN" w:bidi="ar-SA"/>
        </w:rPr>
      </w:pPr>
      <w:bookmarkStart w:id="340" w:name="_Toc30389958"/>
      <w:bookmarkStart w:id="341" w:name="_Toc30574427"/>
      <w:bookmarkStart w:id="342" w:name="_Toc30577086"/>
      <w:bookmarkStart w:id="343" w:name="_Toc30392059"/>
      <w:bookmarkStart w:id="344" w:name="_Toc30301247"/>
      <w:bookmarkStart w:id="345" w:name="_Toc30390183"/>
      <w:bookmarkStart w:id="346" w:name="_Toc30576873"/>
      <w:bookmarkStart w:id="347" w:name="_Toc55756920"/>
      <w:bookmarkStart w:id="348" w:name="_Toc30389021"/>
      <w:bookmarkStart w:id="349" w:name="_Toc30583191"/>
      <w:bookmarkStart w:id="350" w:name="_Toc30393017"/>
      <w:bookmarkStart w:id="351" w:name="_Toc30487537"/>
      <w:bookmarkStart w:id="352" w:name="_Toc30487748"/>
      <w:bookmarkStart w:id="353" w:name="_Toc30392298"/>
      <w:bookmarkStart w:id="354" w:name="_Toc30389517"/>
      <w:bookmarkStart w:id="355" w:name="_Toc30318432"/>
      <w:bookmarkStart w:id="356" w:name="_Toc30389759"/>
      <w:bookmarkStart w:id="357" w:name="_Toc30487958"/>
      <w:bookmarkStart w:id="358" w:name="_Toc30574638"/>
      <w:bookmarkStart w:id="359" w:name="_Toc55386702"/>
      <w:bookmarkStart w:id="360" w:name="_Toc30576259"/>
      <w:r>
        <w:rPr>
          <w:rFonts w:hint="eastAsia" w:ascii="Times New Roman" w:hAnsi="Times New Roman" w:eastAsia="方正仿宋_GBK" w:cs="Times New Roman"/>
          <w:b/>
          <w:caps w:val="0"/>
          <w:smallCaps w:val="0"/>
          <w:color w:val="auto"/>
          <w:kern w:val="2"/>
          <w:sz w:val="24"/>
          <w:szCs w:val="24"/>
          <w:highlight w:val="none"/>
          <w:lang w:val="en-US" w:eastAsia="zh-CN" w:bidi="ar-SA"/>
        </w:rPr>
        <w:t>1.法律变更</w:t>
      </w:r>
    </w:p>
    <w:p w14:paraId="38D79DF4">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default" w:ascii="Times New Roman" w:hAnsi="Times New Roman" w:eastAsia="方正仿宋_GBK"/>
          <w:caps w:val="0"/>
          <w:smallCaps w:val="0"/>
          <w:color w:val="auto"/>
          <w:kern w:val="2"/>
          <w:sz w:val="24"/>
          <w:szCs w:val="24"/>
          <w:highlight w:val="none"/>
        </w:rPr>
        <w:t>本协议所指的</w:t>
      </w:r>
      <w:r>
        <w:rPr>
          <w:rFonts w:hint="eastAsia" w:ascii="Times New Roman" w:hAnsi="Times New Roman" w:eastAsia="方正仿宋_GBK"/>
          <w:caps w:val="0"/>
          <w:smallCaps w:val="0"/>
          <w:color w:val="auto"/>
          <w:kern w:val="2"/>
          <w:sz w:val="24"/>
          <w:szCs w:val="24"/>
          <w:highlight w:val="none"/>
          <w:lang w:eastAsia="zh-CN"/>
        </w:rPr>
        <w:t>“</w:t>
      </w:r>
      <w:r>
        <w:rPr>
          <w:rFonts w:hint="default" w:ascii="Times New Roman" w:hAnsi="Times New Roman" w:eastAsia="方正仿宋_GBK"/>
          <w:caps w:val="0"/>
          <w:smallCaps w:val="0"/>
          <w:color w:val="auto"/>
          <w:kern w:val="2"/>
          <w:sz w:val="24"/>
          <w:szCs w:val="24"/>
          <w:highlight w:val="none"/>
        </w:rPr>
        <w:t>法律变更</w:t>
      </w:r>
      <w:r>
        <w:rPr>
          <w:rFonts w:hint="eastAsia" w:ascii="Times New Roman" w:hAnsi="Times New Roman" w:eastAsia="方正仿宋_GBK"/>
          <w:caps w:val="0"/>
          <w:smallCaps w:val="0"/>
          <w:color w:val="auto"/>
          <w:kern w:val="2"/>
          <w:sz w:val="24"/>
          <w:szCs w:val="24"/>
          <w:highlight w:val="none"/>
          <w:lang w:eastAsia="zh-CN"/>
        </w:rPr>
        <w:t>”</w:t>
      </w:r>
      <w:r>
        <w:rPr>
          <w:rFonts w:hint="default" w:ascii="Times New Roman" w:hAnsi="Times New Roman" w:eastAsia="方正仿宋_GBK"/>
          <w:caps w:val="0"/>
          <w:smallCaps w:val="0"/>
          <w:color w:val="auto"/>
          <w:kern w:val="2"/>
          <w:sz w:val="24"/>
          <w:szCs w:val="24"/>
          <w:highlight w:val="none"/>
        </w:rPr>
        <w:t>是指生效日期之后</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新颁布、修订、废止或重新解释任何适用于项目的法律、行政法规、司法解释、部门规章、地方法规、地方规章、规范性文件、政策，导致乙方的经济利益产生重大不利影响。</w:t>
      </w:r>
    </w:p>
    <w:p w14:paraId="4D03D758">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outlineLvl w:val="2"/>
        <w:rPr>
          <w:rFonts w:hint="eastAsia"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2.一般性法律变更</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14:paraId="28BFCD2D">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aps w:val="0"/>
          <w:smallCaps w:val="0"/>
          <w:color w:val="auto"/>
          <w:kern w:val="0"/>
          <w:sz w:val="24"/>
          <w:szCs w:val="24"/>
          <w:highlight w:val="none"/>
          <w:lang w:val="en-GB"/>
        </w:rPr>
      </w:pPr>
      <w:r>
        <w:rPr>
          <w:rFonts w:hint="eastAsia" w:ascii="Times New Roman" w:hAnsi="Times New Roman" w:eastAsia="方正仿宋_GBK"/>
          <w:caps w:val="0"/>
          <w:smallCaps w:val="0"/>
          <w:color w:val="auto"/>
          <w:kern w:val="0"/>
          <w:sz w:val="24"/>
          <w:szCs w:val="24"/>
          <w:highlight w:val="none"/>
          <w:lang w:val="en-GB"/>
        </w:rPr>
        <w:t>一般性法律变更指特定的法律变更以外情况的法律变更。</w:t>
      </w:r>
      <w:r>
        <w:rPr>
          <w:rFonts w:hint="default" w:ascii="Times New Roman" w:hAnsi="Times New Roman" w:eastAsia="方正仿宋_GBK"/>
          <w:caps w:val="0"/>
          <w:smallCaps w:val="0"/>
          <w:color w:val="auto"/>
          <w:kern w:val="0"/>
          <w:sz w:val="24"/>
          <w:szCs w:val="24"/>
          <w:highlight w:val="none"/>
          <w:lang w:val="en-GB"/>
        </w:rPr>
        <w:t>在不违反特定的法律变更规定的情况下，如在本协议期间发生一般性法律变更，</w:t>
      </w:r>
      <w:r>
        <w:rPr>
          <w:rFonts w:hint="eastAsia" w:ascii="Times New Roman" w:hAnsi="Times New Roman" w:eastAsia="方正仿宋_GBK"/>
          <w:caps w:val="0"/>
          <w:smallCaps w:val="0"/>
          <w:color w:val="auto"/>
          <w:kern w:val="0"/>
          <w:sz w:val="24"/>
          <w:szCs w:val="24"/>
          <w:highlight w:val="none"/>
          <w:lang w:val="en-GB" w:eastAsia="zh-CN"/>
        </w:rPr>
        <w:t>乙方</w:t>
      </w:r>
      <w:r>
        <w:rPr>
          <w:rFonts w:hint="default" w:ascii="Times New Roman" w:hAnsi="Times New Roman" w:eastAsia="方正仿宋_GBK"/>
          <w:caps w:val="0"/>
          <w:smallCaps w:val="0"/>
          <w:color w:val="auto"/>
          <w:kern w:val="0"/>
          <w:sz w:val="24"/>
          <w:szCs w:val="24"/>
          <w:highlight w:val="none"/>
          <w:lang w:val="en-GB"/>
        </w:rPr>
        <w:t>应自负费用遵守该一般性法律变更。</w:t>
      </w:r>
    </w:p>
    <w:p w14:paraId="5DFC416F">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aps w:val="0"/>
          <w:smallCaps w:val="0"/>
          <w:color w:val="auto"/>
          <w:kern w:val="0"/>
          <w:sz w:val="24"/>
          <w:szCs w:val="24"/>
          <w:highlight w:val="none"/>
          <w:lang w:val="en-GB"/>
        </w:rPr>
      </w:pPr>
      <w:r>
        <w:rPr>
          <w:rFonts w:hint="default" w:ascii="Times New Roman" w:hAnsi="Times New Roman" w:eastAsia="方正仿宋_GBK"/>
          <w:caps w:val="0"/>
          <w:smallCaps w:val="0"/>
          <w:color w:val="auto"/>
          <w:kern w:val="0"/>
          <w:sz w:val="24"/>
          <w:szCs w:val="24"/>
          <w:highlight w:val="none"/>
          <w:lang w:val="en-GB"/>
        </w:rPr>
        <w:t>但如下列情况的一般性法律变更对</w:t>
      </w:r>
      <w:r>
        <w:rPr>
          <w:rFonts w:hint="eastAsia" w:ascii="Times New Roman" w:hAnsi="Times New Roman" w:eastAsia="方正仿宋_GBK"/>
          <w:caps w:val="0"/>
          <w:smallCaps w:val="0"/>
          <w:color w:val="auto"/>
          <w:kern w:val="0"/>
          <w:sz w:val="24"/>
          <w:szCs w:val="24"/>
          <w:highlight w:val="none"/>
          <w:lang w:val="en-GB" w:eastAsia="zh-CN"/>
        </w:rPr>
        <w:t>乙方</w:t>
      </w:r>
      <w:r>
        <w:rPr>
          <w:rFonts w:hint="default" w:ascii="Times New Roman" w:hAnsi="Times New Roman" w:eastAsia="方正仿宋_GBK"/>
          <w:caps w:val="0"/>
          <w:smallCaps w:val="0"/>
          <w:color w:val="auto"/>
          <w:kern w:val="0"/>
          <w:sz w:val="24"/>
          <w:szCs w:val="24"/>
          <w:highlight w:val="none"/>
          <w:lang w:val="en-GB"/>
        </w:rPr>
        <w:t>的经济地位造成严重不利影响，导致经营者对项目的投资、经营成本超过人民币</w:t>
      </w:r>
      <w:r>
        <w:rPr>
          <w:rFonts w:hint="eastAsia" w:ascii="Times New Roman" w:hAnsi="Times New Roman" w:eastAsia="方正仿宋_GBK"/>
          <w:caps w:val="0"/>
          <w:smallCaps w:val="0"/>
          <w:color w:val="auto"/>
          <w:kern w:val="0"/>
          <w:sz w:val="24"/>
          <w:szCs w:val="24"/>
          <w:highlight w:val="none"/>
          <w:lang w:val="en-US" w:eastAsia="zh-CN"/>
        </w:rPr>
        <w:t>500</w:t>
      </w:r>
      <w:r>
        <w:rPr>
          <w:rFonts w:hint="default" w:ascii="Times New Roman" w:hAnsi="Times New Roman" w:eastAsia="方正仿宋_GBK"/>
          <w:caps w:val="0"/>
          <w:smallCaps w:val="0"/>
          <w:color w:val="auto"/>
          <w:kern w:val="0"/>
          <w:sz w:val="24"/>
          <w:szCs w:val="24"/>
          <w:highlight w:val="none"/>
          <w:lang w:val="en-GB"/>
        </w:rPr>
        <w:t>万元，则乙方有权要求甲方通过价格调整或延长特许经营期</w:t>
      </w:r>
      <w:r>
        <w:rPr>
          <w:rFonts w:hint="eastAsia" w:ascii="Times New Roman" w:hAnsi="Times New Roman" w:eastAsia="方正仿宋_GBK"/>
          <w:caps w:val="0"/>
          <w:smallCaps w:val="0"/>
          <w:color w:val="auto"/>
          <w:kern w:val="0"/>
          <w:sz w:val="24"/>
          <w:szCs w:val="24"/>
          <w:highlight w:val="none"/>
          <w:lang w:val="en-GB"/>
        </w:rPr>
        <w:t>等</w:t>
      </w:r>
      <w:r>
        <w:rPr>
          <w:rFonts w:hint="default" w:ascii="Times New Roman" w:hAnsi="Times New Roman" w:eastAsia="方正仿宋_GBK"/>
          <w:caps w:val="0"/>
          <w:smallCaps w:val="0"/>
          <w:color w:val="auto"/>
          <w:kern w:val="0"/>
          <w:sz w:val="24"/>
          <w:szCs w:val="24"/>
          <w:highlight w:val="none"/>
          <w:lang w:val="en-GB"/>
        </w:rPr>
        <w:t>方式使乙方的经济地位恢复至如同未受到法律变更的影响一般</w:t>
      </w:r>
      <w:r>
        <w:rPr>
          <w:rFonts w:hint="eastAsia" w:ascii="Times New Roman" w:hAnsi="Times New Roman" w:eastAsia="方正仿宋_GBK"/>
          <w:caps w:val="0"/>
          <w:smallCaps w:val="0"/>
          <w:color w:val="auto"/>
          <w:kern w:val="0"/>
          <w:sz w:val="24"/>
          <w:szCs w:val="24"/>
          <w:highlight w:val="none"/>
          <w:lang w:val="en-GB"/>
        </w:rPr>
        <w:t>：</w:t>
      </w:r>
    </w:p>
    <w:p w14:paraId="5057B5D6">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1" w:firstLine="480" w:firstLineChars="200"/>
        <w:rPr>
          <w:rFonts w:hint="default" w:ascii="Times New Roman" w:hAnsi="Times New Roman" w:eastAsia="方正仿宋_GBK" w:cs="Times New Roman"/>
          <w:bCs/>
          <w:caps w:val="0"/>
          <w:smallCaps w:val="0"/>
          <w:color w:val="auto"/>
          <w:kern w:val="2"/>
          <w:sz w:val="24"/>
          <w:szCs w:val="24"/>
          <w:highlight w:val="none"/>
          <w:lang w:val="en-GB"/>
        </w:rPr>
      </w:pPr>
      <w:r>
        <w:rPr>
          <w:rFonts w:hint="default" w:ascii="Times New Roman" w:hAnsi="Times New Roman" w:eastAsia="方正仿宋_GBK" w:cs="Times New Roman"/>
          <w:b w:val="0"/>
          <w:bCs w:val="0"/>
          <w:caps w:val="0"/>
          <w:smallCaps w:val="0"/>
          <w:color w:val="auto"/>
          <w:kern w:val="2"/>
          <w:sz w:val="24"/>
          <w:szCs w:val="24"/>
          <w:highlight w:val="none"/>
          <w:lang w:val="en-US" w:eastAsia="zh-CN" w:bidi="ar-SA"/>
        </w:rPr>
        <w:t>（1）</w:t>
      </w:r>
      <w:r>
        <w:rPr>
          <w:rFonts w:hint="default" w:ascii="Times New Roman" w:hAnsi="Times New Roman" w:eastAsia="方正仿宋_GBK" w:cs="Times New Roman"/>
          <w:bCs/>
          <w:caps w:val="0"/>
          <w:smallCaps w:val="0"/>
          <w:color w:val="auto"/>
          <w:kern w:val="2"/>
          <w:sz w:val="24"/>
          <w:szCs w:val="24"/>
          <w:highlight w:val="none"/>
          <w:lang w:val="en-GB"/>
        </w:rPr>
        <w:t>税收和补贴</w:t>
      </w:r>
      <w:r>
        <w:rPr>
          <w:rFonts w:hint="eastAsia" w:ascii="Times New Roman" w:hAnsi="Times New Roman" w:eastAsia="方正仿宋_GBK" w:cs="Times New Roman"/>
          <w:bCs/>
          <w:caps w:val="0"/>
          <w:smallCaps w:val="0"/>
          <w:color w:val="auto"/>
          <w:kern w:val="2"/>
          <w:sz w:val="24"/>
          <w:szCs w:val="24"/>
          <w:highlight w:val="none"/>
          <w:lang w:val="en-GB"/>
        </w:rPr>
        <w:t>规则</w:t>
      </w:r>
      <w:r>
        <w:rPr>
          <w:rFonts w:hint="default" w:ascii="Times New Roman" w:hAnsi="Times New Roman" w:eastAsia="方正仿宋_GBK" w:cs="Times New Roman"/>
          <w:bCs/>
          <w:caps w:val="0"/>
          <w:smallCaps w:val="0"/>
          <w:color w:val="auto"/>
          <w:kern w:val="2"/>
          <w:sz w:val="24"/>
          <w:szCs w:val="24"/>
          <w:highlight w:val="none"/>
          <w:lang w:val="en-GB"/>
        </w:rPr>
        <w:t>变更，即</w:t>
      </w:r>
      <w:r>
        <w:rPr>
          <w:rFonts w:hint="eastAsia" w:ascii="Times New Roman" w:hAnsi="Times New Roman" w:eastAsia="方正仿宋_GBK" w:cs="Times New Roman"/>
          <w:bCs/>
          <w:caps w:val="0"/>
          <w:smallCaps w:val="0"/>
          <w:color w:val="auto"/>
          <w:kern w:val="2"/>
          <w:sz w:val="24"/>
          <w:szCs w:val="24"/>
          <w:highlight w:val="none"/>
          <w:lang w:val="en-GB"/>
        </w:rPr>
        <w:t>适用于项目的</w:t>
      </w:r>
      <w:r>
        <w:rPr>
          <w:rFonts w:hint="default" w:ascii="Times New Roman" w:hAnsi="Times New Roman" w:eastAsia="方正仿宋_GBK" w:cs="Times New Roman"/>
          <w:bCs/>
          <w:caps w:val="0"/>
          <w:smallCaps w:val="0"/>
          <w:color w:val="auto"/>
          <w:kern w:val="2"/>
          <w:sz w:val="24"/>
          <w:szCs w:val="24"/>
          <w:highlight w:val="none"/>
          <w:lang w:val="en-GB"/>
        </w:rPr>
        <w:t>税收优惠</w:t>
      </w:r>
      <w:r>
        <w:rPr>
          <w:rFonts w:hint="eastAsia" w:ascii="Times New Roman" w:hAnsi="Times New Roman" w:eastAsia="方正仿宋_GBK" w:cs="Times New Roman"/>
          <w:bCs/>
          <w:caps w:val="0"/>
          <w:smallCaps w:val="0"/>
          <w:color w:val="auto"/>
          <w:kern w:val="2"/>
          <w:sz w:val="24"/>
          <w:szCs w:val="24"/>
          <w:highlight w:val="none"/>
          <w:lang w:val="en-GB" w:eastAsia="zh-CN"/>
        </w:rPr>
        <w:t>政策</w:t>
      </w:r>
      <w:r>
        <w:rPr>
          <w:rFonts w:hint="default" w:ascii="Times New Roman" w:hAnsi="Times New Roman" w:eastAsia="方正仿宋_GBK" w:cs="Times New Roman"/>
          <w:bCs/>
          <w:caps w:val="0"/>
          <w:smallCaps w:val="0"/>
          <w:color w:val="auto"/>
          <w:kern w:val="2"/>
          <w:sz w:val="24"/>
          <w:szCs w:val="24"/>
          <w:highlight w:val="none"/>
          <w:lang w:val="en-GB"/>
        </w:rPr>
        <w:t>和补贴利益改变；</w:t>
      </w:r>
    </w:p>
    <w:p w14:paraId="77F9CCDD">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1" w:firstLine="480" w:firstLineChars="200"/>
        <w:rPr>
          <w:rFonts w:hint="default" w:ascii="Times New Roman" w:hAnsi="Times New Roman" w:eastAsia="方正仿宋_GBK"/>
          <w:caps w:val="0"/>
          <w:smallCaps w:val="0"/>
          <w:color w:val="auto"/>
          <w:kern w:val="0"/>
          <w:sz w:val="24"/>
          <w:szCs w:val="24"/>
          <w:highlight w:val="none"/>
          <w:lang w:val="en-GB"/>
        </w:rPr>
      </w:pPr>
      <w:r>
        <w:rPr>
          <w:rFonts w:hint="default" w:ascii="Times New Roman" w:hAnsi="Times New Roman" w:eastAsia="方正仿宋_GBK"/>
          <w:b w:val="0"/>
          <w:bCs w:val="0"/>
          <w:caps w:val="0"/>
          <w:smallCaps w:val="0"/>
          <w:color w:val="auto"/>
          <w:kern w:val="0"/>
          <w:sz w:val="24"/>
          <w:szCs w:val="24"/>
          <w:highlight w:val="none"/>
          <w:lang w:val="en-US" w:eastAsia="zh-CN" w:bidi="ar-SA"/>
        </w:rPr>
        <w:t>（2）</w:t>
      </w:r>
      <w:r>
        <w:rPr>
          <w:rFonts w:hint="default" w:ascii="Times New Roman" w:hAnsi="Times New Roman" w:eastAsia="方正仿宋_GBK" w:cs="Times New Roman"/>
          <w:bCs/>
          <w:caps w:val="0"/>
          <w:smallCaps w:val="0"/>
          <w:color w:val="auto"/>
          <w:kern w:val="2"/>
          <w:sz w:val="24"/>
          <w:szCs w:val="24"/>
          <w:highlight w:val="none"/>
          <w:lang w:val="en-GB"/>
        </w:rPr>
        <w:t>环境保护、职业病防护和安全生产等相关</w:t>
      </w:r>
      <w:r>
        <w:rPr>
          <w:rFonts w:hint="eastAsia" w:ascii="Times New Roman" w:hAnsi="Times New Roman" w:eastAsia="方正仿宋_GBK" w:cs="Times New Roman"/>
          <w:bCs/>
          <w:caps w:val="0"/>
          <w:smallCaps w:val="0"/>
          <w:color w:val="auto"/>
          <w:kern w:val="2"/>
          <w:sz w:val="24"/>
          <w:szCs w:val="24"/>
          <w:highlight w:val="none"/>
          <w:lang w:val="en-GB"/>
        </w:rPr>
        <w:t>规范</w:t>
      </w:r>
      <w:r>
        <w:rPr>
          <w:rFonts w:hint="default" w:ascii="Times New Roman" w:hAnsi="Times New Roman" w:eastAsia="方正仿宋_GBK" w:cs="Times New Roman"/>
          <w:bCs/>
          <w:caps w:val="0"/>
          <w:smallCaps w:val="0"/>
          <w:color w:val="auto"/>
          <w:kern w:val="2"/>
          <w:sz w:val="24"/>
          <w:szCs w:val="24"/>
          <w:highlight w:val="none"/>
          <w:lang w:val="en-GB"/>
        </w:rPr>
        <w:t>变更，例如环</w:t>
      </w:r>
      <w:r>
        <w:rPr>
          <w:rFonts w:hint="default" w:ascii="Times New Roman" w:hAnsi="Times New Roman" w:eastAsia="方正仿宋_GBK"/>
          <w:caps w:val="0"/>
          <w:smallCaps w:val="0"/>
          <w:color w:val="auto"/>
          <w:kern w:val="0"/>
          <w:sz w:val="24"/>
          <w:szCs w:val="24"/>
          <w:highlight w:val="none"/>
          <w:lang w:val="en-GB"/>
        </w:rPr>
        <w:t>保、劳工、技术</w:t>
      </w:r>
      <w:r>
        <w:rPr>
          <w:rFonts w:hint="eastAsia" w:ascii="Times New Roman" w:hAnsi="Times New Roman" w:eastAsia="方正仿宋_GBK"/>
          <w:caps w:val="0"/>
          <w:smallCaps w:val="0"/>
          <w:color w:val="auto"/>
          <w:kern w:val="0"/>
          <w:sz w:val="24"/>
          <w:szCs w:val="24"/>
          <w:highlight w:val="none"/>
          <w:lang w:val="en-GB"/>
        </w:rPr>
        <w:t>标准、</w:t>
      </w:r>
      <w:r>
        <w:rPr>
          <w:rFonts w:hint="default" w:ascii="Times New Roman" w:hAnsi="Times New Roman" w:eastAsia="方正仿宋_GBK"/>
          <w:caps w:val="0"/>
          <w:smallCaps w:val="0"/>
          <w:color w:val="auto"/>
          <w:kern w:val="0"/>
          <w:sz w:val="24"/>
          <w:szCs w:val="24"/>
          <w:highlight w:val="none"/>
          <w:lang w:val="en-GB"/>
        </w:rPr>
        <w:t>规范等变动</w:t>
      </w:r>
      <w:r>
        <w:rPr>
          <w:rFonts w:hint="eastAsia" w:ascii="Times New Roman" w:hAnsi="Times New Roman" w:eastAsia="方正仿宋_GBK"/>
          <w:caps w:val="0"/>
          <w:smallCaps w:val="0"/>
          <w:color w:val="auto"/>
          <w:kern w:val="0"/>
          <w:sz w:val="24"/>
          <w:szCs w:val="24"/>
          <w:highlight w:val="none"/>
          <w:lang w:val="en-GB"/>
        </w:rPr>
        <w:t>；</w:t>
      </w:r>
    </w:p>
    <w:p w14:paraId="4E82D6A7">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1" w:firstLine="480" w:firstLineChars="200"/>
        <w:rPr>
          <w:rFonts w:hint="default" w:ascii="Times New Roman" w:hAnsi="Times New Roman" w:eastAsia="方正仿宋_GBK"/>
          <w:caps w:val="0"/>
          <w:smallCaps w:val="0"/>
          <w:color w:val="auto"/>
          <w:kern w:val="0"/>
          <w:sz w:val="24"/>
          <w:szCs w:val="24"/>
          <w:highlight w:val="none"/>
          <w:lang w:val="en-GB"/>
        </w:rPr>
      </w:pPr>
      <w:r>
        <w:rPr>
          <w:rFonts w:hint="default" w:ascii="Times New Roman" w:hAnsi="Times New Roman" w:eastAsia="方正仿宋_GBK"/>
          <w:b w:val="0"/>
          <w:bCs w:val="0"/>
          <w:caps w:val="0"/>
          <w:smallCaps w:val="0"/>
          <w:color w:val="auto"/>
          <w:kern w:val="0"/>
          <w:sz w:val="24"/>
          <w:szCs w:val="24"/>
          <w:highlight w:val="none"/>
          <w:lang w:val="en-US" w:eastAsia="zh-CN" w:bidi="ar-SA"/>
        </w:rPr>
        <w:t>（3）</w:t>
      </w:r>
      <w:r>
        <w:rPr>
          <w:rFonts w:hint="eastAsia" w:ascii="Times New Roman" w:hAnsi="Times New Roman" w:eastAsia="方正仿宋_GBK"/>
          <w:caps w:val="0"/>
          <w:smallCaps w:val="0"/>
          <w:color w:val="auto"/>
          <w:kern w:val="0"/>
          <w:sz w:val="24"/>
          <w:szCs w:val="24"/>
          <w:highlight w:val="none"/>
          <w:lang w:val="en-GB"/>
        </w:rPr>
        <w:t>【说明：</w:t>
      </w:r>
      <w:r>
        <w:rPr>
          <w:rFonts w:hint="eastAsia" w:ascii="Times New Roman" w:hAnsi="Times New Roman" w:eastAsia="方正仿宋_GBK" w:cs="Times New Roman"/>
          <w:bCs/>
          <w:caps w:val="0"/>
          <w:smallCaps w:val="0"/>
          <w:color w:val="auto"/>
          <w:kern w:val="2"/>
          <w:sz w:val="24"/>
          <w:szCs w:val="24"/>
          <w:highlight w:val="none"/>
          <w:lang w:val="en-GB"/>
        </w:rPr>
        <w:t>协议</w:t>
      </w:r>
      <w:r>
        <w:rPr>
          <w:rFonts w:hint="eastAsia" w:ascii="Times New Roman" w:hAnsi="Times New Roman" w:eastAsia="方正仿宋_GBK"/>
          <w:caps w:val="0"/>
          <w:smallCaps w:val="0"/>
          <w:color w:val="auto"/>
          <w:kern w:val="0"/>
          <w:sz w:val="24"/>
          <w:szCs w:val="24"/>
          <w:highlight w:val="none"/>
          <w:lang w:val="en-GB"/>
        </w:rPr>
        <w:t>各方可以在此协商和补充列入其他会导致项目成本测算时的基本数据发生变化的情形】</w:t>
      </w:r>
      <w:r>
        <w:rPr>
          <w:rFonts w:hint="default" w:ascii="Times New Roman" w:hAnsi="Times New Roman" w:eastAsia="方正仿宋_GBK"/>
          <w:caps w:val="0"/>
          <w:smallCaps w:val="0"/>
          <w:color w:val="auto"/>
          <w:kern w:val="0"/>
          <w:sz w:val="24"/>
          <w:szCs w:val="24"/>
          <w:highlight w:val="none"/>
          <w:lang w:val="en-GB"/>
        </w:rPr>
        <w:t>。</w:t>
      </w:r>
    </w:p>
    <w:p w14:paraId="088F93D6">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outlineLvl w:val="2"/>
        <w:rPr>
          <w:rFonts w:hint="eastAsia" w:ascii="Times New Roman" w:hAnsi="Times New Roman" w:eastAsia="方正仿宋_GBK" w:cs="Times New Roman"/>
          <w:b/>
          <w:caps w:val="0"/>
          <w:smallCaps w:val="0"/>
          <w:color w:val="auto"/>
          <w:kern w:val="2"/>
          <w:sz w:val="24"/>
          <w:szCs w:val="24"/>
          <w:highlight w:val="none"/>
          <w:lang w:val="en-US" w:eastAsia="zh-CN" w:bidi="ar-SA"/>
        </w:rPr>
      </w:pPr>
      <w:bookmarkStart w:id="361" w:name="_Toc30487959"/>
      <w:bookmarkStart w:id="362" w:name="_Toc30487538"/>
      <w:bookmarkStart w:id="363" w:name="_Toc30392299"/>
      <w:bookmarkStart w:id="364" w:name="_Toc30576260"/>
      <w:bookmarkStart w:id="365" w:name="_Toc30389022"/>
      <w:bookmarkStart w:id="366" w:name="_Toc55386703"/>
      <w:bookmarkStart w:id="367" w:name="_Toc30389518"/>
      <w:bookmarkStart w:id="368" w:name="_Toc30574428"/>
      <w:bookmarkStart w:id="369" w:name="_Toc30389760"/>
      <w:bookmarkStart w:id="370" w:name="_Toc30574639"/>
      <w:bookmarkStart w:id="371" w:name="_Toc30318433"/>
      <w:bookmarkStart w:id="372" w:name="_Toc30392060"/>
      <w:bookmarkStart w:id="373" w:name="_Toc30301248"/>
      <w:bookmarkStart w:id="374" w:name="_Toc55756921"/>
      <w:bookmarkStart w:id="375" w:name="_Toc30487749"/>
      <w:bookmarkStart w:id="376" w:name="_Toc30576874"/>
      <w:bookmarkStart w:id="377" w:name="_Toc30583192"/>
      <w:bookmarkStart w:id="378" w:name="_Toc30389959"/>
      <w:bookmarkStart w:id="379" w:name="_Toc30390184"/>
      <w:bookmarkStart w:id="380" w:name="_Toc30393018"/>
      <w:bookmarkStart w:id="381" w:name="_Toc30577087"/>
      <w:r>
        <w:rPr>
          <w:rFonts w:hint="eastAsia" w:ascii="Times New Roman" w:hAnsi="Times New Roman" w:eastAsia="方正仿宋_GBK" w:cs="Times New Roman"/>
          <w:b/>
          <w:caps w:val="0"/>
          <w:smallCaps w:val="0"/>
          <w:color w:val="auto"/>
          <w:kern w:val="2"/>
          <w:sz w:val="24"/>
          <w:szCs w:val="24"/>
          <w:highlight w:val="none"/>
          <w:lang w:val="en-US" w:eastAsia="zh-CN" w:bidi="ar-SA"/>
        </w:rPr>
        <w:t>3.特定的法律变更</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14:paraId="7F18D60B">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1" w:firstLine="480" w:firstLineChars="200"/>
        <w:rPr>
          <w:rFonts w:hint="default" w:ascii="Times New Roman" w:hAnsi="Times New Roman" w:eastAsia="方正仿宋_GBK" w:cs="Times New Roman"/>
          <w:bCs/>
          <w:caps w:val="0"/>
          <w:smallCaps w:val="0"/>
          <w:color w:val="auto"/>
          <w:kern w:val="2"/>
          <w:sz w:val="24"/>
          <w:szCs w:val="24"/>
          <w:highlight w:val="none"/>
          <w:lang w:val="en-GB"/>
        </w:rPr>
      </w:pPr>
      <w:r>
        <w:rPr>
          <w:rFonts w:hint="default" w:ascii="Times New Roman" w:hAnsi="Times New Roman" w:eastAsia="方正仿宋_GBK" w:cs="Times New Roman"/>
          <w:b w:val="0"/>
          <w:bCs w:val="0"/>
          <w:caps w:val="0"/>
          <w:smallCaps w:val="0"/>
          <w:color w:val="auto"/>
          <w:kern w:val="2"/>
          <w:sz w:val="24"/>
          <w:szCs w:val="24"/>
          <w:highlight w:val="none"/>
          <w:lang w:val="en-US" w:eastAsia="zh-CN" w:bidi="ar-SA"/>
        </w:rPr>
        <w:t>（1）</w:t>
      </w:r>
      <w:r>
        <w:rPr>
          <w:rFonts w:hint="default" w:ascii="Times New Roman" w:hAnsi="Times New Roman" w:eastAsia="方正仿宋_GBK" w:cs="Times New Roman"/>
          <w:bCs/>
          <w:caps w:val="0"/>
          <w:smallCaps w:val="0"/>
          <w:color w:val="auto"/>
          <w:kern w:val="2"/>
          <w:sz w:val="24"/>
          <w:szCs w:val="24"/>
          <w:highlight w:val="none"/>
          <w:lang w:val="en-GB"/>
        </w:rPr>
        <w:t>特定的法律变更</w:t>
      </w:r>
    </w:p>
    <w:p w14:paraId="7280D47C">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default" w:ascii="Times New Roman" w:hAnsi="Times New Roman" w:eastAsia="方正仿宋_GBK"/>
          <w:caps w:val="0"/>
          <w:smallCaps w:val="0"/>
          <w:color w:val="auto"/>
          <w:kern w:val="2"/>
          <w:sz w:val="24"/>
          <w:szCs w:val="24"/>
          <w:highlight w:val="none"/>
        </w:rPr>
        <w:t>特定的法律变更指，</w:t>
      </w:r>
      <w:r>
        <w:rPr>
          <w:rFonts w:hint="eastAsia" w:ascii="Times New Roman" w:hAnsi="Times New Roman" w:eastAsia="方正仿宋_GBK"/>
          <w:caps w:val="0"/>
          <w:smallCaps w:val="0"/>
          <w:color w:val="auto"/>
          <w:kern w:val="2"/>
          <w:sz w:val="24"/>
          <w:szCs w:val="24"/>
          <w:highlight w:val="none"/>
        </w:rPr>
        <w:t>相关</w:t>
      </w:r>
      <w:r>
        <w:rPr>
          <w:rFonts w:hint="default" w:ascii="Times New Roman" w:hAnsi="Times New Roman" w:eastAsia="方正仿宋_GBK"/>
          <w:caps w:val="0"/>
          <w:smallCaps w:val="0"/>
          <w:color w:val="auto"/>
          <w:kern w:val="2"/>
          <w:sz w:val="24"/>
          <w:szCs w:val="24"/>
          <w:highlight w:val="none"/>
        </w:rPr>
        <w:t>条款</w:t>
      </w:r>
      <w:r>
        <w:rPr>
          <w:rFonts w:hint="eastAsia" w:ascii="Times New Roman" w:hAnsi="Times New Roman" w:eastAsia="方正仿宋_GBK"/>
          <w:caps w:val="0"/>
          <w:smallCaps w:val="0"/>
          <w:color w:val="auto"/>
          <w:kern w:val="2"/>
          <w:sz w:val="24"/>
          <w:szCs w:val="24"/>
          <w:highlight w:val="none"/>
        </w:rPr>
        <w:t>属于</w:t>
      </w:r>
      <w:r>
        <w:rPr>
          <w:rFonts w:hint="default" w:ascii="Times New Roman" w:hAnsi="Times New Roman" w:eastAsia="方正仿宋_GBK"/>
          <w:caps w:val="0"/>
          <w:smallCaps w:val="0"/>
          <w:color w:val="auto"/>
          <w:kern w:val="2"/>
          <w:sz w:val="24"/>
          <w:szCs w:val="24"/>
          <w:highlight w:val="none"/>
        </w:rPr>
        <w:t>以下情况的一项法律变更：</w:t>
      </w:r>
    </w:p>
    <w:p w14:paraId="6294A1D9">
      <w:pPr>
        <w:keepNext w:val="0"/>
        <w:keepLines w:val="0"/>
        <w:pageBreakBefore w:val="0"/>
        <w:widowControl w:val="0"/>
        <w:numPr>
          <w:ilvl w:val="0"/>
          <w:numId w:val="0"/>
        </w:numPr>
        <w:kinsoku/>
        <w:wordWrap/>
        <w:overflowPunct/>
        <w:topLinePunct w:val="0"/>
        <w:bidi w:val="0"/>
        <w:adjustRightInd w:val="0"/>
        <w:snapToGrid w:val="0"/>
        <w:spacing w:before="0" w:beforeLines="0" w:after="0" w:afterLines="0" w:line="360" w:lineRule="auto"/>
        <w:ind w:firstLine="480" w:firstLineChars="200"/>
        <w:jc w:val="both"/>
        <w:rPr>
          <w:rFonts w:ascii="Times New Roman" w:hAnsi="Times New Roman" w:eastAsia="方正仿宋_GBK" w:cs="Times New Roman"/>
          <w:caps w:val="0"/>
          <w:smallCaps w:val="0"/>
          <w:color w:val="auto"/>
          <w:kern w:val="2"/>
          <w:sz w:val="24"/>
          <w:szCs w:val="24"/>
          <w:highlight w:val="none"/>
          <w:lang w:val="en-US" w:eastAsia="zh-CN" w:bidi="ar-SA"/>
        </w:rPr>
      </w:pPr>
      <w:r>
        <w:rPr>
          <w:rFonts w:hint="eastAsia" w:ascii="Times New Roman" w:hAnsi="Times New Roman" w:eastAsia="方正仿宋_GBK" w:cs="Times New Roman"/>
          <w:caps w:val="0"/>
          <w:smallCaps w:val="0"/>
          <w:color w:val="auto"/>
          <w:kern w:val="2"/>
          <w:sz w:val="24"/>
          <w:szCs w:val="24"/>
          <w:highlight w:val="none"/>
          <w:lang w:val="en-US" w:eastAsia="zh-CN" w:bidi="ar-SA"/>
        </w:rPr>
        <w:t>a.</w:t>
      </w:r>
      <w:r>
        <w:rPr>
          <w:rFonts w:ascii="Times New Roman" w:hAnsi="Times New Roman" w:eastAsia="方正仿宋_GBK" w:cs="Times New Roman"/>
          <w:caps w:val="0"/>
          <w:smallCaps w:val="0"/>
          <w:color w:val="auto"/>
          <w:kern w:val="2"/>
          <w:sz w:val="24"/>
          <w:szCs w:val="24"/>
          <w:highlight w:val="none"/>
          <w:lang w:val="en-US" w:eastAsia="zh-CN" w:bidi="ar-SA"/>
        </w:rPr>
        <w:t>适用于本项目，而非</w:t>
      </w:r>
      <w:r>
        <w:rPr>
          <w:rFonts w:hint="eastAsia" w:ascii="Times New Roman" w:hAnsi="Times New Roman" w:eastAsia="方正仿宋_GBK" w:cs="Times New Roman"/>
          <w:caps w:val="0"/>
          <w:smallCaps w:val="0"/>
          <w:color w:val="auto"/>
          <w:kern w:val="2"/>
          <w:sz w:val="24"/>
          <w:szCs w:val="24"/>
          <w:highlight w:val="none"/>
          <w:lang w:val="en-US" w:eastAsia="zh-CN" w:bidi="ar-SA"/>
        </w:rPr>
        <w:t>普遍适用于相关规则制定者所辖行政区内所有</w:t>
      </w:r>
      <w:r>
        <w:rPr>
          <w:rFonts w:ascii="Times New Roman" w:hAnsi="Times New Roman" w:eastAsia="方正仿宋_GBK" w:cs="Times New Roman"/>
          <w:caps w:val="0"/>
          <w:smallCaps w:val="0"/>
          <w:color w:val="auto"/>
          <w:kern w:val="2"/>
          <w:sz w:val="24"/>
          <w:szCs w:val="24"/>
          <w:highlight w:val="none"/>
          <w:lang w:val="en-US" w:eastAsia="zh-CN" w:bidi="ar-SA"/>
        </w:rPr>
        <w:t>同类项目；和/或</w:t>
      </w:r>
    </w:p>
    <w:p w14:paraId="2A742072">
      <w:pPr>
        <w:keepNext w:val="0"/>
        <w:keepLines w:val="0"/>
        <w:pageBreakBefore w:val="0"/>
        <w:widowControl w:val="0"/>
        <w:numPr>
          <w:ilvl w:val="0"/>
          <w:numId w:val="0"/>
        </w:numPr>
        <w:kinsoku/>
        <w:wordWrap/>
        <w:overflowPunct/>
        <w:topLinePunct w:val="0"/>
        <w:bidi w:val="0"/>
        <w:adjustRightInd w:val="0"/>
        <w:snapToGrid w:val="0"/>
        <w:spacing w:before="0" w:beforeLines="0" w:after="0" w:afterLines="0" w:line="360" w:lineRule="auto"/>
        <w:ind w:firstLine="480" w:firstLineChars="200"/>
        <w:jc w:val="both"/>
        <w:rPr>
          <w:rFonts w:ascii="Times New Roman" w:hAnsi="Times New Roman" w:eastAsia="方正仿宋_GBK" w:cs="Times New Roman"/>
          <w:caps w:val="0"/>
          <w:smallCaps w:val="0"/>
          <w:color w:val="auto"/>
          <w:kern w:val="2"/>
          <w:sz w:val="24"/>
          <w:szCs w:val="24"/>
          <w:highlight w:val="none"/>
          <w:lang w:val="en-US" w:eastAsia="zh-CN" w:bidi="ar-SA"/>
        </w:rPr>
      </w:pPr>
      <w:r>
        <w:rPr>
          <w:rFonts w:hint="eastAsia" w:ascii="Times New Roman" w:hAnsi="Times New Roman" w:eastAsia="方正仿宋_GBK" w:cs="Times New Roman"/>
          <w:caps w:val="0"/>
          <w:smallCaps w:val="0"/>
          <w:color w:val="auto"/>
          <w:kern w:val="2"/>
          <w:sz w:val="24"/>
          <w:szCs w:val="24"/>
          <w:highlight w:val="none"/>
          <w:lang w:val="en-US" w:eastAsia="zh-CN" w:bidi="ar-SA"/>
        </w:rPr>
        <w:t>b.</w:t>
      </w:r>
      <w:r>
        <w:rPr>
          <w:rFonts w:ascii="Times New Roman" w:hAnsi="Times New Roman" w:eastAsia="方正仿宋_GBK" w:cs="Times New Roman"/>
          <w:caps w:val="0"/>
          <w:smallCaps w:val="0"/>
          <w:color w:val="auto"/>
          <w:kern w:val="2"/>
          <w:sz w:val="24"/>
          <w:szCs w:val="24"/>
          <w:highlight w:val="none"/>
          <w:lang w:val="en-US" w:eastAsia="zh-CN" w:bidi="ar-SA"/>
        </w:rPr>
        <w:t>适用于</w:t>
      </w:r>
      <w:r>
        <w:rPr>
          <w:rFonts w:hint="eastAsia" w:ascii="Times New Roman" w:hAnsi="Times New Roman" w:eastAsia="方正仿宋_GBK" w:cs="Times New Roman"/>
          <w:caps w:val="0"/>
          <w:smallCaps w:val="0"/>
          <w:color w:val="auto"/>
          <w:kern w:val="2"/>
          <w:sz w:val="24"/>
          <w:szCs w:val="24"/>
          <w:highlight w:val="none"/>
          <w:lang w:val="en-US" w:eastAsia="zh-CN" w:bidi="ar-SA"/>
        </w:rPr>
        <w:t>乙方</w:t>
      </w:r>
      <w:r>
        <w:rPr>
          <w:rFonts w:ascii="Times New Roman" w:hAnsi="Times New Roman" w:eastAsia="方正仿宋_GBK" w:cs="Times New Roman"/>
          <w:caps w:val="0"/>
          <w:smallCaps w:val="0"/>
          <w:color w:val="auto"/>
          <w:kern w:val="2"/>
          <w:sz w:val="24"/>
          <w:szCs w:val="24"/>
          <w:highlight w:val="none"/>
          <w:lang w:val="en-US" w:eastAsia="zh-CN" w:bidi="ar-SA"/>
        </w:rPr>
        <w:t>，而非</w:t>
      </w:r>
      <w:r>
        <w:rPr>
          <w:rFonts w:hint="eastAsia" w:ascii="Times New Roman" w:hAnsi="Times New Roman" w:eastAsia="方正仿宋_GBK" w:cs="Times New Roman"/>
          <w:caps w:val="0"/>
          <w:smallCaps w:val="0"/>
          <w:color w:val="auto"/>
          <w:kern w:val="2"/>
          <w:sz w:val="24"/>
          <w:szCs w:val="24"/>
          <w:highlight w:val="none"/>
          <w:lang w:val="en-US" w:eastAsia="zh-CN" w:bidi="ar-SA"/>
        </w:rPr>
        <w:t>普遍适用于相关规则制定者所辖行政区内所有同行业</w:t>
      </w:r>
      <w:r>
        <w:rPr>
          <w:rFonts w:ascii="Times New Roman" w:hAnsi="Times New Roman" w:eastAsia="方正仿宋_GBK" w:cs="Times New Roman"/>
          <w:caps w:val="0"/>
          <w:smallCaps w:val="0"/>
          <w:color w:val="auto"/>
          <w:kern w:val="2"/>
          <w:sz w:val="24"/>
          <w:szCs w:val="24"/>
          <w:highlight w:val="none"/>
          <w:lang w:val="en-US" w:eastAsia="zh-CN" w:bidi="ar-SA"/>
        </w:rPr>
        <w:t>实体；和/或</w:t>
      </w:r>
    </w:p>
    <w:p w14:paraId="26967878">
      <w:pPr>
        <w:keepNext w:val="0"/>
        <w:keepLines w:val="0"/>
        <w:pageBreakBefore w:val="0"/>
        <w:widowControl w:val="0"/>
        <w:numPr>
          <w:ilvl w:val="0"/>
          <w:numId w:val="0"/>
        </w:numPr>
        <w:kinsoku/>
        <w:wordWrap/>
        <w:overflowPunct/>
        <w:topLinePunct w:val="0"/>
        <w:bidi w:val="0"/>
        <w:adjustRightInd w:val="0"/>
        <w:snapToGrid w:val="0"/>
        <w:spacing w:before="0" w:beforeLines="0" w:after="0" w:afterLines="0" w:line="360" w:lineRule="auto"/>
        <w:ind w:firstLine="480" w:firstLineChars="200"/>
        <w:jc w:val="both"/>
        <w:rPr>
          <w:rFonts w:ascii="Times New Roman" w:hAnsi="Times New Roman" w:eastAsia="方正仿宋_GBK" w:cs="Times New Roman"/>
          <w:caps w:val="0"/>
          <w:smallCaps w:val="0"/>
          <w:color w:val="auto"/>
          <w:kern w:val="2"/>
          <w:sz w:val="24"/>
          <w:szCs w:val="24"/>
          <w:highlight w:val="none"/>
          <w:lang w:val="en-US" w:eastAsia="zh-CN" w:bidi="ar-SA"/>
        </w:rPr>
      </w:pPr>
      <w:r>
        <w:rPr>
          <w:rFonts w:hint="eastAsia" w:ascii="Times New Roman" w:hAnsi="Times New Roman" w:eastAsia="方正仿宋_GBK" w:cs="Times New Roman"/>
          <w:caps w:val="0"/>
          <w:smallCaps w:val="0"/>
          <w:color w:val="auto"/>
          <w:kern w:val="2"/>
          <w:sz w:val="24"/>
          <w:szCs w:val="24"/>
          <w:highlight w:val="none"/>
          <w:lang w:val="en-US" w:eastAsia="zh-CN" w:bidi="ar-SA"/>
        </w:rPr>
        <w:t>c.系由政府</w:t>
      </w:r>
      <w:r>
        <w:rPr>
          <w:rFonts w:ascii="Times New Roman" w:hAnsi="Times New Roman" w:eastAsia="方正仿宋_GBK" w:cs="Times New Roman"/>
          <w:caps w:val="0"/>
          <w:smallCaps w:val="0"/>
          <w:color w:val="auto"/>
          <w:kern w:val="2"/>
          <w:sz w:val="24"/>
          <w:szCs w:val="24"/>
          <w:highlight w:val="none"/>
          <w:lang w:val="en-US" w:eastAsia="zh-CN" w:bidi="ar-SA"/>
        </w:rPr>
        <w:t>本级和/或下级政府</w:t>
      </w:r>
      <w:r>
        <w:rPr>
          <w:rFonts w:hint="eastAsia" w:ascii="Times New Roman" w:hAnsi="Times New Roman" w:eastAsia="方正仿宋_GBK" w:cs="Times New Roman"/>
          <w:caps w:val="0"/>
          <w:smallCaps w:val="0"/>
          <w:color w:val="auto"/>
          <w:kern w:val="2"/>
          <w:sz w:val="24"/>
          <w:szCs w:val="24"/>
          <w:highlight w:val="none"/>
          <w:lang w:val="en-US" w:eastAsia="zh-CN" w:bidi="ar-SA"/>
        </w:rPr>
        <w:t>部门及人民代表大会所颁布</w:t>
      </w:r>
      <w:r>
        <w:rPr>
          <w:rFonts w:ascii="Times New Roman" w:hAnsi="Times New Roman" w:eastAsia="方正仿宋_GBK" w:cs="Times New Roman"/>
          <w:caps w:val="0"/>
          <w:smallCaps w:val="0"/>
          <w:color w:val="auto"/>
          <w:kern w:val="2"/>
          <w:sz w:val="24"/>
          <w:szCs w:val="24"/>
          <w:highlight w:val="none"/>
          <w:lang w:val="en-US" w:eastAsia="zh-CN" w:bidi="ar-SA"/>
        </w:rPr>
        <w:t>。</w:t>
      </w:r>
    </w:p>
    <w:p w14:paraId="690D94FB">
      <w:pPr>
        <w:keepNext w:val="0"/>
        <w:keepLines w:val="0"/>
        <w:pageBreakBefore w:val="0"/>
        <w:widowControl w:val="0"/>
        <w:tabs>
          <w:tab w:val="left" w:pos="993"/>
          <w:tab w:val="left" w:pos="1276"/>
        </w:tabs>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snapToGrid w:val="0"/>
          <w:color w:val="auto"/>
          <w:kern w:val="2"/>
          <w:sz w:val="24"/>
          <w:szCs w:val="24"/>
          <w:highlight w:val="none"/>
        </w:rPr>
      </w:pPr>
      <w:r>
        <w:rPr>
          <w:rFonts w:hint="default" w:ascii="Times New Roman" w:hAnsi="Times New Roman" w:eastAsia="方正仿宋_GBK"/>
          <w:caps w:val="0"/>
          <w:smallCaps w:val="0"/>
          <w:color w:val="auto"/>
          <w:kern w:val="2"/>
          <w:sz w:val="24"/>
          <w:szCs w:val="24"/>
          <w:highlight w:val="none"/>
        </w:rPr>
        <w:t>如已发生或即将发生特定的法律变更，则任何一方可致</w:t>
      </w:r>
      <w:r>
        <w:rPr>
          <w:rFonts w:hint="eastAsia" w:ascii="Times New Roman" w:hAnsi="Times New Roman" w:eastAsia="方正仿宋_GBK"/>
          <w:caps w:val="0"/>
          <w:smallCaps w:val="0"/>
          <w:color w:val="auto"/>
          <w:kern w:val="2"/>
          <w:sz w:val="24"/>
          <w:szCs w:val="24"/>
          <w:highlight w:val="none"/>
        </w:rPr>
        <w:t>沟通</w:t>
      </w:r>
      <w:r>
        <w:rPr>
          <w:rFonts w:hint="default" w:ascii="Times New Roman" w:hAnsi="Times New Roman" w:eastAsia="方正仿宋_GBK"/>
          <w:caps w:val="0"/>
          <w:smallCaps w:val="0"/>
          <w:color w:val="auto"/>
          <w:kern w:val="2"/>
          <w:sz w:val="24"/>
          <w:szCs w:val="24"/>
          <w:highlight w:val="none"/>
        </w:rPr>
        <w:t>函</w:t>
      </w:r>
      <w:r>
        <w:rPr>
          <w:rFonts w:hint="eastAsia" w:ascii="Times New Roman" w:hAnsi="Times New Roman" w:eastAsia="方正仿宋_GBK"/>
          <w:caps w:val="0"/>
          <w:smallCaps w:val="0"/>
          <w:color w:val="auto"/>
          <w:kern w:val="2"/>
          <w:sz w:val="24"/>
          <w:szCs w:val="24"/>
          <w:highlight w:val="none"/>
        </w:rPr>
        <w:t>于</w:t>
      </w:r>
      <w:r>
        <w:rPr>
          <w:rFonts w:hint="default" w:ascii="Times New Roman" w:hAnsi="Times New Roman" w:eastAsia="方正仿宋_GBK"/>
          <w:caps w:val="0"/>
          <w:smallCaps w:val="0"/>
          <w:color w:val="auto"/>
          <w:kern w:val="2"/>
          <w:sz w:val="24"/>
          <w:szCs w:val="24"/>
          <w:highlight w:val="none"/>
        </w:rPr>
        <w:t>另一方表明对其可能造成后果的意见，并详述其对下述各项的意见：</w:t>
      </w:r>
    </w:p>
    <w:p w14:paraId="6B09F961">
      <w:pPr>
        <w:keepNext w:val="0"/>
        <w:keepLines w:val="0"/>
        <w:pageBreakBefore w:val="0"/>
        <w:widowControl w:val="0"/>
        <w:numPr>
          <w:ilvl w:val="0"/>
          <w:numId w:val="0"/>
        </w:numPr>
        <w:kinsoku/>
        <w:wordWrap/>
        <w:overflowPunct/>
        <w:topLinePunct w:val="0"/>
        <w:bidi w:val="0"/>
        <w:adjustRightInd w:val="0"/>
        <w:snapToGrid w:val="0"/>
        <w:spacing w:before="0" w:beforeLines="0" w:after="0" w:afterLines="0" w:line="360" w:lineRule="auto"/>
        <w:ind w:firstLine="480" w:firstLineChars="200"/>
        <w:jc w:val="both"/>
        <w:rPr>
          <w:rFonts w:ascii="Times New Roman" w:hAnsi="Times New Roman" w:eastAsia="方正仿宋_GBK" w:cs="Times New Roman"/>
          <w:caps w:val="0"/>
          <w:smallCaps w:val="0"/>
          <w:color w:val="auto"/>
          <w:kern w:val="2"/>
          <w:sz w:val="24"/>
          <w:szCs w:val="24"/>
          <w:highlight w:val="none"/>
          <w:lang w:val="en-US" w:eastAsia="zh-CN" w:bidi="ar-SA"/>
        </w:rPr>
      </w:pPr>
      <w:r>
        <w:rPr>
          <w:rFonts w:hint="eastAsia" w:ascii="Times New Roman" w:hAnsi="Times New Roman" w:eastAsia="方正仿宋_GBK" w:cs="Times New Roman"/>
          <w:caps w:val="0"/>
          <w:smallCaps w:val="0"/>
          <w:color w:val="auto"/>
          <w:kern w:val="2"/>
          <w:sz w:val="24"/>
          <w:szCs w:val="24"/>
          <w:highlight w:val="none"/>
          <w:lang w:val="en-US" w:eastAsia="zh-CN" w:bidi="ar-SA"/>
        </w:rPr>
        <w:t>a.</w:t>
      </w:r>
      <w:r>
        <w:rPr>
          <w:rFonts w:ascii="Times New Roman" w:hAnsi="Times New Roman" w:eastAsia="方正仿宋_GBK" w:cs="Times New Roman"/>
          <w:caps w:val="0"/>
          <w:smallCaps w:val="0"/>
          <w:color w:val="auto"/>
          <w:kern w:val="2"/>
          <w:sz w:val="24"/>
          <w:szCs w:val="24"/>
          <w:highlight w:val="none"/>
          <w:lang w:val="en-US" w:eastAsia="zh-CN" w:bidi="ar-SA"/>
        </w:rPr>
        <w:t>对项目运营的任何必要变动；</w:t>
      </w:r>
    </w:p>
    <w:p w14:paraId="472C5F36">
      <w:pPr>
        <w:keepNext w:val="0"/>
        <w:keepLines w:val="0"/>
        <w:pageBreakBefore w:val="0"/>
        <w:widowControl w:val="0"/>
        <w:numPr>
          <w:ilvl w:val="0"/>
          <w:numId w:val="0"/>
        </w:numPr>
        <w:kinsoku/>
        <w:wordWrap/>
        <w:overflowPunct/>
        <w:topLinePunct w:val="0"/>
        <w:bidi w:val="0"/>
        <w:adjustRightInd w:val="0"/>
        <w:snapToGrid w:val="0"/>
        <w:spacing w:before="0" w:beforeLines="0" w:after="0" w:afterLines="0" w:line="360" w:lineRule="auto"/>
        <w:ind w:firstLine="480" w:firstLineChars="200"/>
        <w:jc w:val="both"/>
        <w:rPr>
          <w:rFonts w:ascii="Times New Roman" w:hAnsi="Times New Roman" w:eastAsia="方正仿宋_GBK" w:cs="Times New Roman"/>
          <w:caps w:val="0"/>
          <w:smallCaps w:val="0"/>
          <w:color w:val="auto"/>
          <w:kern w:val="2"/>
          <w:sz w:val="24"/>
          <w:szCs w:val="24"/>
          <w:highlight w:val="none"/>
          <w:lang w:val="en-US" w:eastAsia="zh-CN" w:bidi="ar-SA"/>
        </w:rPr>
      </w:pPr>
      <w:r>
        <w:rPr>
          <w:rFonts w:hint="eastAsia" w:ascii="Times New Roman" w:hAnsi="Times New Roman" w:eastAsia="方正仿宋_GBK" w:cs="Times New Roman"/>
          <w:caps w:val="0"/>
          <w:smallCaps w:val="0"/>
          <w:color w:val="auto"/>
          <w:kern w:val="2"/>
          <w:sz w:val="24"/>
          <w:szCs w:val="24"/>
          <w:highlight w:val="none"/>
          <w:lang w:val="en-US" w:eastAsia="zh-CN" w:bidi="ar-SA"/>
        </w:rPr>
        <w:t>b.</w:t>
      </w:r>
      <w:r>
        <w:rPr>
          <w:rFonts w:ascii="Times New Roman" w:hAnsi="Times New Roman" w:eastAsia="方正仿宋_GBK" w:cs="Times New Roman"/>
          <w:caps w:val="0"/>
          <w:smallCaps w:val="0"/>
          <w:color w:val="auto"/>
          <w:kern w:val="2"/>
          <w:sz w:val="24"/>
          <w:szCs w:val="24"/>
          <w:highlight w:val="none"/>
          <w:lang w:val="en-US" w:eastAsia="zh-CN" w:bidi="ar-SA"/>
        </w:rPr>
        <w:t>是否需对本协议的条款进行任何变更，以适应特定的法律变更；</w:t>
      </w:r>
    </w:p>
    <w:p w14:paraId="093CB3CC">
      <w:pPr>
        <w:keepNext w:val="0"/>
        <w:keepLines w:val="0"/>
        <w:pageBreakBefore w:val="0"/>
        <w:widowControl w:val="0"/>
        <w:numPr>
          <w:ilvl w:val="0"/>
          <w:numId w:val="0"/>
        </w:numPr>
        <w:kinsoku/>
        <w:wordWrap/>
        <w:overflowPunct/>
        <w:topLinePunct w:val="0"/>
        <w:bidi w:val="0"/>
        <w:adjustRightInd w:val="0"/>
        <w:snapToGrid w:val="0"/>
        <w:spacing w:before="0" w:beforeLines="0" w:after="0" w:afterLines="0" w:line="360" w:lineRule="auto"/>
        <w:ind w:firstLine="480" w:firstLineChars="200"/>
        <w:jc w:val="both"/>
        <w:rPr>
          <w:rFonts w:ascii="Times New Roman" w:hAnsi="Times New Roman" w:eastAsia="方正仿宋_GBK" w:cs="Times New Roman"/>
          <w:caps w:val="0"/>
          <w:smallCaps w:val="0"/>
          <w:color w:val="auto"/>
          <w:kern w:val="2"/>
          <w:sz w:val="24"/>
          <w:szCs w:val="24"/>
          <w:highlight w:val="none"/>
          <w:lang w:val="en-US" w:eastAsia="zh-CN" w:bidi="ar-SA"/>
        </w:rPr>
      </w:pPr>
      <w:r>
        <w:rPr>
          <w:rFonts w:hint="eastAsia" w:ascii="Times New Roman" w:hAnsi="Times New Roman" w:eastAsia="方正仿宋_GBK" w:cs="Times New Roman"/>
          <w:caps w:val="0"/>
          <w:smallCaps w:val="0"/>
          <w:color w:val="auto"/>
          <w:kern w:val="2"/>
          <w:sz w:val="24"/>
          <w:szCs w:val="24"/>
          <w:highlight w:val="none"/>
          <w:lang w:val="en-US" w:eastAsia="zh-CN" w:bidi="ar-SA"/>
        </w:rPr>
        <w:t>c.</w:t>
      </w:r>
      <w:r>
        <w:rPr>
          <w:rFonts w:ascii="Times New Roman" w:hAnsi="Times New Roman" w:eastAsia="方正仿宋_GBK" w:cs="Times New Roman"/>
          <w:caps w:val="0"/>
          <w:smallCaps w:val="0"/>
          <w:color w:val="auto"/>
          <w:kern w:val="2"/>
          <w:sz w:val="24"/>
          <w:szCs w:val="24"/>
          <w:highlight w:val="none"/>
          <w:lang w:val="en-US" w:eastAsia="zh-CN" w:bidi="ar-SA"/>
        </w:rPr>
        <w:t>在实施任何有关的特定的法律变更期间是否需解除对某些义务的遵守；</w:t>
      </w:r>
    </w:p>
    <w:p w14:paraId="4A70FD71">
      <w:pPr>
        <w:keepNext w:val="0"/>
        <w:keepLines w:val="0"/>
        <w:pageBreakBefore w:val="0"/>
        <w:widowControl w:val="0"/>
        <w:numPr>
          <w:ilvl w:val="0"/>
          <w:numId w:val="0"/>
        </w:numPr>
        <w:kinsoku/>
        <w:wordWrap/>
        <w:overflowPunct/>
        <w:topLinePunct w:val="0"/>
        <w:bidi w:val="0"/>
        <w:adjustRightInd w:val="0"/>
        <w:snapToGrid w:val="0"/>
        <w:spacing w:before="0" w:beforeLines="0" w:after="0" w:afterLines="0" w:line="360" w:lineRule="auto"/>
        <w:ind w:firstLine="480" w:firstLineChars="200"/>
        <w:jc w:val="both"/>
        <w:rPr>
          <w:rFonts w:ascii="Times New Roman" w:hAnsi="Times New Roman" w:eastAsia="方正仿宋_GBK" w:cs="Times New Roman"/>
          <w:caps w:val="0"/>
          <w:smallCaps w:val="0"/>
          <w:color w:val="auto"/>
          <w:kern w:val="2"/>
          <w:sz w:val="24"/>
          <w:szCs w:val="24"/>
          <w:highlight w:val="none"/>
          <w:lang w:val="en-US" w:eastAsia="zh-CN" w:bidi="ar-SA"/>
        </w:rPr>
      </w:pPr>
      <w:r>
        <w:rPr>
          <w:rFonts w:hint="eastAsia" w:ascii="Times New Roman" w:hAnsi="Times New Roman" w:eastAsia="方正仿宋_GBK" w:cs="Times New Roman"/>
          <w:caps w:val="0"/>
          <w:smallCaps w:val="0"/>
          <w:color w:val="auto"/>
          <w:kern w:val="2"/>
          <w:sz w:val="24"/>
          <w:szCs w:val="24"/>
          <w:highlight w:val="none"/>
          <w:lang w:val="en-US" w:eastAsia="zh-CN" w:bidi="ar-SA"/>
        </w:rPr>
        <w:t>d.</w:t>
      </w:r>
      <w:r>
        <w:rPr>
          <w:rFonts w:ascii="Times New Roman" w:hAnsi="Times New Roman" w:eastAsia="方正仿宋_GBK" w:cs="Times New Roman"/>
          <w:caps w:val="0"/>
          <w:smallCaps w:val="0"/>
          <w:color w:val="auto"/>
          <w:kern w:val="2"/>
          <w:sz w:val="24"/>
          <w:szCs w:val="24"/>
          <w:highlight w:val="none"/>
          <w:lang w:val="en-US" w:eastAsia="zh-CN" w:bidi="ar-SA"/>
        </w:rPr>
        <w:t>因相关特定的法律变更导致的任何项目成本的预计变动、收益损失及资本支出的变化。</w:t>
      </w:r>
    </w:p>
    <w:p w14:paraId="17B2FFAF">
      <w:pPr>
        <w:keepNext w:val="0"/>
        <w:keepLines w:val="0"/>
        <w:pageBreakBefore w:val="0"/>
        <w:widowControl w:val="0"/>
        <w:kinsoku/>
        <w:wordWrap/>
        <w:overflowPunct/>
        <w:topLinePunct w:val="0"/>
        <w:bidi w:val="0"/>
        <w:adjustRightInd/>
        <w:snapToGrid/>
        <w:spacing w:before="0" w:beforeLines="0" w:beforeAutospacing="0" w:after="0" w:afterLines="0" w:afterAutospacing="0" w:line="360" w:lineRule="auto"/>
        <w:ind w:firstLine="480" w:firstLineChars="200"/>
        <w:jc w:val="both"/>
        <w:rPr>
          <w:rFonts w:hint="default" w:ascii="Times New Roman" w:hAnsi="Times New Roman" w:eastAsia="方正仿宋_GBK" w:cs="Times New Roman"/>
          <w:caps w:val="0"/>
          <w:smallCaps w:val="0"/>
          <w:snapToGrid w:val="0"/>
          <w:color w:val="auto"/>
          <w:kern w:val="2"/>
          <w:sz w:val="24"/>
          <w:szCs w:val="24"/>
          <w:highlight w:val="none"/>
          <w:lang w:val="en-GB"/>
        </w:rPr>
      </w:pPr>
      <w:r>
        <w:rPr>
          <w:rFonts w:hint="default" w:ascii="Times New Roman" w:hAnsi="Times New Roman" w:eastAsia="方正仿宋_GBK" w:cs="Times New Roman"/>
          <w:caps w:val="0"/>
          <w:smallCaps w:val="0"/>
          <w:snapToGrid w:val="0"/>
          <w:color w:val="auto"/>
          <w:kern w:val="2"/>
          <w:sz w:val="24"/>
          <w:szCs w:val="24"/>
          <w:highlight w:val="none"/>
          <w:lang w:val="en-GB"/>
        </w:rPr>
        <w:t>就每种情况，发出沟通函一方均应提出相关变动的全面具体的描述。</w:t>
      </w:r>
    </w:p>
    <w:p w14:paraId="4643BCEA">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1" w:firstLine="480" w:firstLineChars="200"/>
        <w:rPr>
          <w:rFonts w:hint="default" w:ascii="Times New Roman" w:hAnsi="Times New Roman" w:eastAsia="方正仿宋_GBK" w:cs="Times New Roman"/>
          <w:bCs/>
          <w:caps w:val="0"/>
          <w:smallCaps w:val="0"/>
          <w:color w:val="auto"/>
          <w:kern w:val="2"/>
          <w:sz w:val="24"/>
          <w:szCs w:val="24"/>
          <w:highlight w:val="none"/>
          <w:lang w:val="en-GB"/>
        </w:rPr>
      </w:pPr>
      <w:r>
        <w:rPr>
          <w:rFonts w:hint="default" w:ascii="Times New Roman" w:hAnsi="Times New Roman" w:eastAsia="方正仿宋_GBK" w:cs="Times New Roman"/>
          <w:b w:val="0"/>
          <w:bCs w:val="0"/>
          <w:caps w:val="0"/>
          <w:smallCaps w:val="0"/>
          <w:color w:val="auto"/>
          <w:kern w:val="2"/>
          <w:sz w:val="24"/>
          <w:szCs w:val="24"/>
          <w:highlight w:val="none"/>
          <w:lang w:val="en-US" w:eastAsia="zh-CN" w:bidi="ar-SA"/>
        </w:rPr>
        <w:t>（2）</w:t>
      </w:r>
      <w:r>
        <w:rPr>
          <w:rFonts w:hint="default" w:ascii="Times New Roman" w:hAnsi="Times New Roman" w:eastAsia="方正仿宋_GBK" w:cs="Times New Roman"/>
          <w:bCs/>
          <w:caps w:val="0"/>
          <w:smallCaps w:val="0"/>
          <w:color w:val="auto"/>
          <w:kern w:val="2"/>
          <w:sz w:val="24"/>
          <w:szCs w:val="24"/>
          <w:highlight w:val="none"/>
          <w:lang w:val="en-GB"/>
        </w:rPr>
        <w:t>特定法律变更的处理</w:t>
      </w:r>
    </w:p>
    <w:p w14:paraId="7DCA0243">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snapToGrid w:val="0"/>
          <w:color w:val="auto"/>
          <w:kern w:val="2"/>
          <w:sz w:val="24"/>
          <w:szCs w:val="24"/>
          <w:highlight w:val="none"/>
        </w:rPr>
      </w:pPr>
      <w:r>
        <w:rPr>
          <w:rFonts w:hint="default" w:ascii="Times New Roman" w:hAnsi="Times New Roman" w:eastAsia="方正仿宋_GBK"/>
          <w:caps w:val="0"/>
          <w:smallCaps w:val="0"/>
          <w:snapToGrid w:val="0"/>
          <w:color w:val="auto"/>
          <w:kern w:val="2"/>
          <w:sz w:val="24"/>
          <w:szCs w:val="24"/>
          <w:highlight w:val="none"/>
        </w:rPr>
        <w:t>在收到任何一方</w:t>
      </w:r>
      <w:r>
        <w:rPr>
          <w:rFonts w:hint="eastAsia" w:ascii="Times New Roman" w:hAnsi="Times New Roman" w:eastAsia="方正仿宋_GBK"/>
          <w:caps w:val="0"/>
          <w:smallCaps w:val="0"/>
          <w:snapToGrid w:val="0"/>
          <w:color w:val="auto"/>
          <w:kern w:val="2"/>
          <w:sz w:val="24"/>
          <w:szCs w:val="24"/>
          <w:highlight w:val="none"/>
        </w:rPr>
        <w:t>发出</w:t>
      </w:r>
      <w:r>
        <w:rPr>
          <w:rFonts w:hint="default" w:ascii="Times New Roman" w:hAnsi="Times New Roman" w:eastAsia="方正仿宋_GBK"/>
          <w:caps w:val="0"/>
          <w:smallCaps w:val="0"/>
          <w:snapToGrid w:val="0"/>
          <w:color w:val="auto"/>
          <w:kern w:val="2"/>
          <w:sz w:val="24"/>
          <w:szCs w:val="24"/>
          <w:highlight w:val="none"/>
        </w:rPr>
        <w:t>的</w:t>
      </w:r>
      <w:r>
        <w:rPr>
          <w:rFonts w:hint="eastAsia" w:ascii="Times New Roman" w:hAnsi="Times New Roman" w:eastAsia="方正仿宋_GBK"/>
          <w:caps w:val="0"/>
          <w:smallCaps w:val="0"/>
          <w:snapToGrid w:val="0"/>
          <w:color w:val="auto"/>
          <w:kern w:val="2"/>
          <w:sz w:val="24"/>
          <w:szCs w:val="24"/>
          <w:highlight w:val="none"/>
        </w:rPr>
        <w:t>关于发生特定法律变更事件的</w:t>
      </w:r>
      <w:r>
        <w:rPr>
          <w:rFonts w:hint="default" w:ascii="Times New Roman" w:hAnsi="Times New Roman" w:eastAsia="方正仿宋_GBK"/>
          <w:caps w:val="0"/>
          <w:smallCaps w:val="0"/>
          <w:snapToGrid w:val="0"/>
          <w:color w:val="auto"/>
          <w:kern w:val="2"/>
          <w:sz w:val="24"/>
          <w:szCs w:val="24"/>
          <w:highlight w:val="none"/>
        </w:rPr>
        <w:t>通知后，双方应在可能的情况下尽快就上述第（1）项所述的问题，以及</w:t>
      </w:r>
      <w:r>
        <w:rPr>
          <w:rFonts w:hint="eastAsia" w:ascii="Times New Roman" w:hAnsi="Times New Roman" w:eastAsia="方正仿宋_GBK"/>
          <w:caps w:val="0"/>
          <w:smallCaps w:val="0"/>
          <w:color w:val="auto"/>
          <w:kern w:val="28"/>
          <w:sz w:val="24"/>
          <w:szCs w:val="24"/>
          <w:highlight w:val="none"/>
          <w:lang w:eastAsia="zh-CN"/>
        </w:rPr>
        <w:t>乙方</w:t>
      </w:r>
      <w:r>
        <w:rPr>
          <w:rFonts w:hint="default" w:ascii="Times New Roman" w:hAnsi="Times New Roman" w:eastAsia="方正仿宋_GBK"/>
          <w:caps w:val="0"/>
          <w:smallCaps w:val="0"/>
          <w:snapToGrid w:val="0"/>
          <w:color w:val="auto"/>
          <w:kern w:val="2"/>
          <w:sz w:val="24"/>
          <w:szCs w:val="24"/>
          <w:highlight w:val="none"/>
        </w:rPr>
        <w:t>可以减轻</w:t>
      </w:r>
      <w:r>
        <w:rPr>
          <w:rFonts w:hint="default" w:ascii="Times New Roman" w:hAnsi="Times New Roman" w:eastAsia="方正仿宋_GBK"/>
          <w:caps w:val="0"/>
          <w:smallCaps w:val="0"/>
          <w:color w:val="auto"/>
          <w:kern w:val="28"/>
          <w:sz w:val="24"/>
          <w:szCs w:val="24"/>
          <w:highlight w:val="none"/>
        </w:rPr>
        <w:t>特定的法律变更</w:t>
      </w:r>
      <w:r>
        <w:rPr>
          <w:rFonts w:hint="default" w:ascii="Times New Roman" w:hAnsi="Times New Roman" w:eastAsia="方正仿宋_GBK"/>
          <w:caps w:val="0"/>
          <w:smallCaps w:val="0"/>
          <w:snapToGrid w:val="0"/>
          <w:color w:val="auto"/>
          <w:kern w:val="2"/>
          <w:sz w:val="24"/>
          <w:szCs w:val="24"/>
          <w:highlight w:val="none"/>
        </w:rPr>
        <w:t>所带来</w:t>
      </w:r>
      <w:r>
        <w:rPr>
          <w:rFonts w:hint="eastAsia" w:ascii="Times New Roman" w:hAnsi="Times New Roman" w:eastAsia="方正仿宋_GBK"/>
          <w:caps w:val="0"/>
          <w:smallCaps w:val="0"/>
          <w:snapToGrid w:val="0"/>
          <w:color w:val="auto"/>
          <w:kern w:val="2"/>
          <w:sz w:val="24"/>
          <w:szCs w:val="24"/>
          <w:highlight w:val="none"/>
        </w:rPr>
        <w:t>不利</w:t>
      </w:r>
      <w:r>
        <w:rPr>
          <w:rFonts w:hint="default" w:ascii="Times New Roman" w:hAnsi="Times New Roman" w:eastAsia="方正仿宋_GBK"/>
          <w:caps w:val="0"/>
          <w:smallCaps w:val="0"/>
          <w:snapToGrid w:val="0"/>
          <w:color w:val="auto"/>
          <w:kern w:val="2"/>
          <w:sz w:val="24"/>
          <w:szCs w:val="24"/>
          <w:highlight w:val="none"/>
        </w:rPr>
        <w:t>后果的任何方法进行讨论并达成协议。</w:t>
      </w:r>
    </w:p>
    <w:p w14:paraId="6D044C8B">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8"/>
          <w:szCs w:val="28"/>
          <w:highlight w:val="none"/>
          <w:lang w:val="en-GB"/>
        </w:rPr>
      </w:pPr>
      <w:r>
        <w:rPr>
          <w:rFonts w:hint="default" w:ascii="Times New Roman" w:hAnsi="Times New Roman" w:eastAsia="方正仿宋_GBK"/>
          <w:caps w:val="0"/>
          <w:smallCaps w:val="0"/>
          <w:snapToGrid w:val="0"/>
          <w:color w:val="auto"/>
          <w:kern w:val="2"/>
          <w:sz w:val="24"/>
          <w:szCs w:val="24"/>
          <w:highlight w:val="none"/>
        </w:rPr>
        <w:t>如双方</w:t>
      </w:r>
      <w:r>
        <w:rPr>
          <w:rFonts w:hint="eastAsia" w:ascii="Times New Roman" w:hAnsi="Times New Roman" w:eastAsia="方正仿宋_GBK"/>
          <w:caps w:val="0"/>
          <w:smallCaps w:val="0"/>
          <w:snapToGrid w:val="0"/>
          <w:color w:val="auto"/>
          <w:kern w:val="2"/>
          <w:sz w:val="24"/>
          <w:szCs w:val="24"/>
          <w:highlight w:val="none"/>
        </w:rPr>
        <w:t>均认可</w:t>
      </w:r>
      <w:r>
        <w:rPr>
          <w:rFonts w:hint="default" w:ascii="Times New Roman" w:hAnsi="Times New Roman" w:eastAsia="方正仿宋_GBK"/>
          <w:caps w:val="0"/>
          <w:smallCaps w:val="0"/>
          <w:snapToGrid w:val="0"/>
          <w:color w:val="auto"/>
          <w:kern w:val="2"/>
          <w:sz w:val="24"/>
          <w:szCs w:val="24"/>
          <w:highlight w:val="none"/>
        </w:rPr>
        <w:t>，或</w:t>
      </w:r>
      <w:r>
        <w:rPr>
          <w:rFonts w:hint="eastAsia" w:ascii="Times New Roman" w:hAnsi="Times New Roman" w:eastAsia="方正仿宋_GBK"/>
          <w:caps w:val="0"/>
          <w:smallCaps w:val="0"/>
          <w:snapToGrid w:val="0"/>
          <w:color w:val="auto"/>
          <w:kern w:val="2"/>
          <w:sz w:val="24"/>
          <w:szCs w:val="24"/>
          <w:highlight w:val="none"/>
        </w:rPr>
        <w:t>经</w:t>
      </w:r>
      <w:r>
        <w:rPr>
          <w:rFonts w:hint="default" w:ascii="Times New Roman" w:hAnsi="Times New Roman" w:eastAsia="方正仿宋_GBK"/>
          <w:caps w:val="0"/>
          <w:smallCaps w:val="0"/>
          <w:snapToGrid w:val="0"/>
          <w:color w:val="auto"/>
          <w:kern w:val="2"/>
          <w:sz w:val="24"/>
          <w:szCs w:val="24"/>
          <w:highlight w:val="none"/>
        </w:rPr>
        <w:t>争议解决程序确定</w:t>
      </w:r>
      <w:r>
        <w:rPr>
          <w:rFonts w:hint="eastAsia" w:ascii="Times New Roman" w:hAnsi="Times New Roman" w:eastAsia="方正仿宋_GBK"/>
          <w:caps w:val="0"/>
          <w:smallCaps w:val="0"/>
          <w:snapToGrid w:val="0"/>
          <w:color w:val="auto"/>
          <w:kern w:val="2"/>
          <w:sz w:val="24"/>
          <w:szCs w:val="24"/>
          <w:highlight w:val="none"/>
          <w:lang w:eastAsia="zh-CN"/>
        </w:rPr>
        <w:t>乙方</w:t>
      </w:r>
      <w:r>
        <w:rPr>
          <w:rFonts w:hint="default" w:ascii="Times New Roman" w:hAnsi="Times New Roman" w:eastAsia="方正仿宋_GBK"/>
          <w:caps w:val="0"/>
          <w:smallCaps w:val="0"/>
          <w:snapToGrid w:val="0"/>
          <w:color w:val="auto"/>
          <w:kern w:val="2"/>
          <w:sz w:val="24"/>
          <w:szCs w:val="24"/>
          <w:highlight w:val="none"/>
        </w:rPr>
        <w:t>因某一特定的法律变更须追加资本支出，则甲方应当</w:t>
      </w:r>
      <w:r>
        <w:rPr>
          <w:rFonts w:hint="default" w:ascii="Times New Roman" w:hAnsi="Times New Roman" w:eastAsia="方正仿宋_GBK"/>
          <w:caps w:val="0"/>
          <w:smallCaps w:val="0"/>
          <w:color w:val="auto"/>
          <w:kern w:val="2"/>
          <w:sz w:val="24"/>
          <w:szCs w:val="24"/>
          <w:highlight w:val="none"/>
          <w:lang w:val="en-GB"/>
        </w:rPr>
        <w:t>通过</w:t>
      </w:r>
      <w:r>
        <w:rPr>
          <w:rFonts w:hint="eastAsia" w:ascii="Times New Roman" w:hAnsi="Times New Roman" w:eastAsia="方正仿宋_GBK"/>
          <w:caps w:val="0"/>
          <w:smallCaps w:val="0"/>
          <w:color w:val="auto"/>
          <w:kern w:val="2"/>
          <w:sz w:val="24"/>
          <w:szCs w:val="24"/>
          <w:highlight w:val="none"/>
          <w:lang w:val="en-GB"/>
        </w:rPr>
        <w:t>上调</w:t>
      </w:r>
      <w:r>
        <w:rPr>
          <w:rFonts w:hint="eastAsia" w:ascii="Times New Roman" w:hAnsi="Times New Roman" w:eastAsia="方正仿宋_GBK"/>
          <w:caps w:val="0"/>
          <w:smallCaps w:val="0"/>
          <w:color w:val="auto"/>
          <w:kern w:val="2"/>
          <w:sz w:val="24"/>
          <w:szCs w:val="24"/>
          <w:highlight w:val="none"/>
          <w:lang w:val="en-US" w:eastAsia="zh-CN"/>
        </w:rPr>
        <w:t>污水处理服务费</w:t>
      </w:r>
      <w:r>
        <w:rPr>
          <w:rFonts w:hint="eastAsia" w:ascii="Times New Roman" w:hAnsi="Times New Roman" w:eastAsia="方正仿宋_GBK"/>
          <w:caps w:val="0"/>
          <w:smallCaps w:val="0"/>
          <w:color w:val="auto"/>
          <w:kern w:val="2"/>
          <w:sz w:val="24"/>
          <w:szCs w:val="24"/>
          <w:highlight w:val="none"/>
          <w:lang w:val="en-GB"/>
        </w:rPr>
        <w:t>价格、</w:t>
      </w:r>
      <w:r>
        <w:rPr>
          <w:rFonts w:hint="default" w:ascii="Times New Roman" w:hAnsi="Times New Roman" w:eastAsia="方正仿宋_GBK"/>
          <w:caps w:val="0"/>
          <w:smallCaps w:val="0"/>
          <w:color w:val="auto"/>
          <w:kern w:val="2"/>
          <w:sz w:val="24"/>
          <w:szCs w:val="24"/>
          <w:highlight w:val="none"/>
          <w:lang w:val="en-GB"/>
        </w:rPr>
        <w:t>延长特许经营期</w:t>
      </w:r>
      <w:r>
        <w:rPr>
          <w:rFonts w:hint="eastAsia" w:ascii="Times New Roman" w:hAnsi="Times New Roman" w:eastAsia="方正仿宋_GBK"/>
          <w:caps w:val="0"/>
          <w:smallCaps w:val="0"/>
          <w:color w:val="auto"/>
          <w:kern w:val="2"/>
          <w:sz w:val="24"/>
          <w:szCs w:val="24"/>
          <w:highlight w:val="none"/>
          <w:lang w:val="en-GB"/>
        </w:rPr>
        <w:t>、给予项目扩建的优先权或执行行政复议决定或生效法院判决、仲裁裁决等</w:t>
      </w:r>
      <w:r>
        <w:rPr>
          <w:rFonts w:hint="default" w:ascii="Times New Roman" w:hAnsi="Times New Roman" w:eastAsia="方正仿宋_GBK"/>
          <w:caps w:val="0"/>
          <w:smallCaps w:val="0"/>
          <w:color w:val="auto"/>
          <w:kern w:val="2"/>
          <w:sz w:val="24"/>
          <w:szCs w:val="24"/>
          <w:highlight w:val="none"/>
          <w:lang w:val="en-GB"/>
        </w:rPr>
        <w:t>方式使乙方的经济地位恢复至如同未</w:t>
      </w:r>
      <w:r>
        <w:rPr>
          <w:rFonts w:hint="eastAsia" w:ascii="Times New Roman" w:hAnsi="Times New Roman" w:eastAsia="方正仿宋_GBK"/>
          <w:caps w:val="0"/>
          <w:smallCaps w:val="0"/>
          <w:color w:val="auto"/>
          <w:kern w:val="2"/>
          <w:sz w:val="24"/>
          <w:szCs w:val="24"/>
          <w:highlight w:val="none"/>
          <w:lang w:val="en-GB"/>
        </w:rPr>
        <w:t>发生该等</w:t>
      </w:r>
      <w:r>
        <w:rPr>
          <w:rFonts w:hint="default" w:ascii="Times New Roman" w:hAnsi="Times New Roman" w:eastAsia="方正仿宋_GBK"/>
          <w:caps w:val="0"/>
          <w:smallCaps w:val="0"/>
          <w:color w:val="auto"/>
          <w:kern w:val="2"/>
          <w:sz w:val="24"/>
          <w:szCs w:val="24"/>
          <w:highlight w:val="none"/>
          <w:lang w:val="en-GB"/>
        </w:rPr>
        <w:t>变更一般。</w:t>
      </w:r>
      <w:r>
        <w:rPr>
          <w:rFonts w:hint="default" w:ascii="Times New Roman" w:hAnsi="Times New Roman" w:eastAsia="方正仿宋_GBK"/>
          <w:caps w:val="0"/>
          <w:smallCaps w:val="0"/>
          <w:color w:val="auto"/>
          <w:kern w:val="2"/>
          <w:sz w:val="28"/>
          <w:szCs w:val="28"/>
          <w:highlight w:val="none"/>
          <w:lang w:val="en-GB"/>
        </w:rPr>
        <w:br w:type="page"/>
      </w:r>
    </w:p>
    <w:p w14:paraId="7735F23C">
      <w:pPr>
        <w:keepNext w:val="0"/>
        <w:keepLines w:val="0"/>
        <w:pageBreakBefore w:val="0"/>
        <w:widowControl w:val="0"/>
        <w:numPr>
          <w:ilvl w:val="0"/>
          <w:numId w:val="0"/>
        </w:numPr>
        <w:kinsoku/>
        <w:wordWrap/>
        <w:overflowPunct/>
        <w:topLinePunct w:val="0"/>
        <w:bidi w:val="0"/>
        <w:spacing w:before="0" w:after="0" w:line="360" w:lineRule="auto"/>
        <w:ind w:left="0" w:firstLine="0"/>
        <w:jc w:val="center"/>
        <w:outlineLvl w:val="0"/>
        <w:rPr>
          <w:rFonts w:hint="eastAsia" w:ascii="Times New Roman" w:hAnsi="Times New Roman" w:eastAsia="方正黑体_GBK" w:cs="方正黑体_GBK"/>
          <w:caps w:val="0"/>
          <w:smallCaps w:val="0"/>
          <w:color w:val="auto"/>
          <w:kern w:val="2"/>
          <w:sz w:val="28"/>
          <w:szCs w:val="28"/>
          <w:highlight w:val="none"/>
          <w:lang w:val="en-US" w:eastAsia="zh-CN" w:bidi="ar-SA"/>
        </w:rPr>
      </w:pPr>
      <w:bookmarkStart w:id="382" w:name="_Toc11259"/>
      <w:bookmarkStart w:id="383" w:name="_Toc405146884"/>
      <w:bookmarkStart w:id="384" w:name="_Toc25125"/>
      <w:bookmarkStart w:id="385" w:name="_Toc536995538"/>
      <w:r>
        <w:rPr>
          <w:rFonts w:hint="eastAsia" w:ascii="Times New Roman" w:hAnsi="Times New Roman" w:eastAsia="方正黑体_GBK" w:cs="方正黑体_GBK"/>
          <w:caps w:val="0"/>
          <w:smallCaps w:val="0"/>
          <w:color w:val="auto"/>
          <w:kern w:val="2"/>
          <w:sz w:val="28"/>
          <w:szCs w:val="28"/>
          <w:highlight w:val="none"/>
          <w:lang w:val="en-US" w:eastAsia="zh-CN" w:bidi="ar-SA"/>
        </w:rPr>
        <w:t>第十章 特许经营协议解除</w:t>
      </w:r>
      <w:bookmarkEnd w:id="382"/>
      <w:bookmarkEnd w:id="383"/>
      <w:bookmarkEnd w:id="384"/>
      <w:bookmarkEnd w:id="385"/>
    </w:p>
    <w:p w14:paraId="5D4EE4B9">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386" w:name="_Toc9721"/>
      <w:bookmarkStart w:id="387" w:name="_Toc19634"/>
      <w:bookmarkStart w:id="388" w:name="_Toc402428971"/>
      <w:bookmarkStart w:id="389" w:name="_Toc405146885"/>
      <w:bookmarkStart w:id="390" w:name="_Toc1835968308"/>
      <w:r>
        <w:rPr>
          <w:rFonts w:hint="eastAsia" w:ascii="Times New Roman" w:hAnsi="Times New Roman" w:eastAsia="方正黑体_GBK" w:cs="方正黑体_GBK"/>
          <w:bCs/>
          <w:caps w:val="0"/>
          <w:smallCaps w:val="0"/>
          <w:color w:val="auto"/>
          <w:kern w:val="2"/>
          <w:sz w:val="28"/>
          <w:szCs w:val="28"/>
          <w:highlight w:val="none"/>
          <w:lang w:val="en-US" w:eastAsia="zh-CN" w:bidi="ar-SA"/>
        </w:rPr>
        <w:t>第53条 协议解除的事由</w:t>
      </w:r>
      <w:bookmarkEnd w:id="386"/>
      <w:bookmarkEnd w:id="387"/>
      <w:bookmarkEnd w:id="388"/>
      <w:bookmarkEnd w:id="389"/>
      <w:bookmarkEnd w:id="390"/>
    </w:p>
    <w:p w14:paraId="66AE2B3C">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567"/>
        <w:outlineLvl w:val="2"/>
        <w:rPr>
          <w:rFonts w:hint="default"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1.</w:t>
      </w:r>
      <w:r>
        <w:rPr>
          <w:rFonts w:hint="default" w:ascii="Times New Roman" w:hAnsi="Times New Roman" w:eastAsia="方正仿宋_GBK" w:cs="Times New Roman"/>
          <w:b/>
          <w:caps w:val="0"/>
          <w:smallCaps w:val="0"/>
          <w:color w:val="auto"/>
          <w:kern w:val="2"/>
          <w:sz w:val="24"/>
          <w:szCs w:val="24"/>
          <w:highlight w:val="none"/>
          <w:lang w:val="en-US" w:eastAsia="zh-CN" w:bidi="ar-SA"/>
        </w:rPr>
        <w:t>协议解除事由</w:t>
      </w:r>
    </w:p>
    <w:p w14:paraId="5D48A6A6">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eastAsia" w:ascii="Times New Roman" w:hAnsi="Times New Roman" w:eastAsia="方正仿宋_GBK"/>
          <w:caps w:val="0"/>
          <w:smallCaps w:val="0"/>
          <w:color w:val="auto"/>
          <w:kern w:val="2"/>
          <w:sz w:val="24"/>
          <w:szCs w:val="24"/>
          <w:highlight w:val="none"/>
        </w:rPr>
      </w:pPr>
      <w:r>
        <w:rPr>
          <w:rFonts w:hint="default" w:ascii="Times New Roman" w:hAnsi="Times New Roman" w:eastAsia="方正仿宋_GBK"/>
          <w:caps w:val="0"/>
          <w:smallCaps w:val="0"/>
          <w:color w:val="auto"/>
          <w:kern w:val="2"/>
          <w:sz w:val="24"/>
          <w:szCs w:val="24"/>
          <w:highlight w:val="none"/>
        </w:rPr>
        <w:t>发生以下事件时，本协议可依法解除：</w:t>
      </w:r>
    </w:p>
    <w:p w14:paraId="410D621E">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1" w:firstLine="567" w:firstLineChars="0"/>
        <w:rPr>
          <w:rFonts w:hint="default" w:ascii="Times New Roman" w:hAnsi="Times New Roman" w:eastAsia="方正仿宋_GBK"/>
          <w:bCs/>
          <w:caps w:val="0"/>
          <w:smallCaps w:val="0"/>
          <w:color w:val="auto"/>
          <w:kern w:val="2"/>
          <w:sz w:val="24"/>
          <w:szCs w:val="24"/>
          <w:highlight w:val="none"/>
        </w:rPr>
      </w:pPr>
      <w:r>
        <w:rPr>
          <w:rFonts w:hint="default" w:ascii="Times New Roman" w:hAnsi="Times New Roman" w:eastAsia="方正仿宋_GBK"/>
          <w:b w:val="0"/>
          <w:bCs w:val="0"/>
          <w:caps w:val="0"/>
          <w:smallCaps w:val="0"/>
          <w:color w:val="auto"/>
          <w:kern w:val="2"/>
          <w:sz w:val="24"/>
          <w:szCs w:val="24"/>
          <w:highlight w:val="none"/>
          <w:lang w:val="en-US" w:eastAsia="zh-CN" w:bidi="ar-SA"/>
        </w:rPr>
        <w:t>（1）</w:t>
      </w:r>
      <w:r>
        <w:rPr>
          <w:rFonts w:hint="default" w:ascii="Times New Roman" w:hAnsi="Times New Roman" w:eastAsia="方正仿宋_GBK"/>
          <w:bCs/>
          <w:caps w:val="0"/>
          <w:smallCaps w:val="0"/>
          <w:color w:val="auto"/>
          <w:kern w:val="2"/>
          <w:sz w:val="24"/>
          <w:szCs w:val="24"/>
          <w:highlight w:val="none"/>
        </w:rPr>
        <w:t>发生不可抗力事件，导致</w:t>
      </w:r>
      <w:r>
        <w:rPr>
          <w:rFonts w:hint="eastAsia" w:ascii="Times New Roman" w:hAnsi="Times New Roman" w:eastAsia="方正仿宋_GBK"/>
          <w:bCs/>
          <w:caps w:val="0"/>
          <w:smallCaps w:val="0"/>
          <w:color w:val="auto"/>
          <w:kern w:val="2"/>
          <w:sz w:val="24"/>
          <w:szCs w:val="24"/>
          <w:highlight w:val="none"/>
        </w:rPr>
        <w:t>一方无法履行本</w:t>
      </w:r>
      <w:r>
        <w:rPr>
          <w:rFonts w:hint="default" w:ascii="Times New Roman" w:hAnsi="Times New Roman" w:eastAsia="方正仿宋_GBK"/>
          <w:bCs/>
          <w:caps w:val="0"/>
          <w:smallCaps w:val="0"/>
          <w:color w:val="auto"/>
          <w:kern w:val="2"/>
          <w:sz w:val="24"/>
          <w:szCs w:val="24"/>
          <w:highlight w:val="none"/>
        </w:rPr>
        <w:t>协议</w:t>
      </w:r>
      <w:r>
        <w:rPr>
          <w:rFonts w:hint="eastAsia" w:ascii="Times New Roman" w:hAnsi="Times New Roman" w:eastAsia="方正仿宋_GBK"/>
          <w:bCs/>
          <w:caps w:val="0"/>
          <w:smallCaps w:val="0"/>
          <w:color w:val="auto"/>
          <w:kern w:val="2"/>
          <w:sz w:val="24"/>
          <w:szCs w:val="24"/>
          <w:highlight w:val="none"/>
        </w:rPr>
        <w:t>下主要义务达到</w:t>
      </w:r>
      <w:r>
        <w:rPr>
          <w:rFonts w:hint="eastAsia" w:ascii="Times New Roman" w:hAnsi="Times New Roman" w:eastAsia="方正仿宋_GBK"/>
          <w:bCs/>
          <w:caps w:val="0"/>
          <w:smallCaps w:val="0"/>
          <w:color w:val="auto"/>
          <w:kern w:val="2"/>
          <w:sz w:val="24"/>
          <w:szCs w:val="24"/>
          <w:highlight w:val="none"/>
          <w:lang w:val="en-US" w:eastAsia="zh-CN"/>
        </w:rPr>
        <w:t>180</w:t>
      </w:r>
      <w:r>
        <w:rPr>
          <w:rFonts w:hint="eastAsia" w:ascii="Times New Roman" w:hAnsi="Times New Roman" w:eastAsia="方正仿宋_GBK"/>
          <w:bCs/>
          <w:caps w:val="0"/>
          <w:smallCaps w:val="0"/>
          <w:color w:val="auto"/>
          <w:kern w:val="2"/>
          <w:sz w:val="24"/>
          <w:szCs w:val="24"/>
          <w:highlight w:val="none"/>
        </w:rPr>
        <w:t>天或导致</w:t>
      </w:r>
      <w:r>
        <w:rPr>
          <w:rFonts w:hint="eastAsia" w:ascii="Times New Roman" w:hAnsi="Times New Roman" w:eastAsia="方正仿宋_GBK" w:cs="Times New Roman"/>
          <w:caps w:val="0"/>
          <w:smallCaps w:val="0"/>
          <w:color w:val="auto"/>
          <w:kern w:val="0"/>
          <w:sz w:val="24"/>
          <w:szCs w:val="24"/>
          <w:highlight w:val="none"/>
        </w:rPr>
        <w:t>项目</w:t>
      </w:r>
      <w:r>
        <w:rPr>
          <w:rFonts w:hint="eastAsia" w:ascii="Times New Roman" w:hAnsi="Times New Roman" w:eastAsia="方正仿宋_GBK"/>
          <w:bCs/>
          <w:caps w:val="0"/>
          <w:smallCaps w:val="0"/>
          <w:color w:val="auto"/>
          <w:kern w:val="2"/>
          <w:sz w:val="24"/>
          <w:szCs w:val="24"/>
          <w:highlight w:val="none"/>
        </w:rPr>
        <w:t>资产无法修复，且</w:t>
      </w:r>
      <w:r>
        <w:rPr>
          <w:rFonts w:hint="default" w:ascii="Times New Roman" w:hAnsi="Times New Roman" w:eastAsia="方正仿宋_GBK"/>
          <w:bCs/>
          <w:caps w:val="0"/>
          <w:smallCaps w:val="0"/>
          <w:color w:val="auto"/>
          <w:kern w:val="2"/>
          <w:sz w:val="24"/>
          <w:szCs w:val="24"/>
          <w:highlight w:val="none"/>
        </w:rPr>
        <w:t>各方</w:t>
      </w:r>
      <w:r>
        <w:rPr>
          <w:rFonts w:hint="eastAsia" w:ascii="Times New Roman" w:hAnsi="Times New Roman" w:eastAsia="方正仿宋_GBK"/>
          <w:bCs/>
          <w:caps w:val="0"/>
          <w:smallCaps w:val="0"/>
          <w:color w:val="auto"/>
          <w:kern w:val="2"/>
          <w:sz w:val="24"/>
          <w:szCs w:val="24"/>
          <w:highlight w:val="none"/>
        </w:rPr>
        <w:t>在不可抗力事件发生后的</w:t>
      </w:r>
      <w:r>
        <w:rPr>
          <w:rFonts w:hint="eastAsia" w:ascii="Times New Roman" w:hAnsi="Times New Roman" w:eastAsia="方正仿宋_GBK"/>
          <w:bCs/>
          <w:caps w:val="0"/>
          <w:smallCaps w:val="0"/>
          <w:color w:val="auto"/>
          <w:kern w:val="2"/>
          <w:sz w:val="24"/>
          <w:szCs w:val="24"/>
          <w:highlight w:val="none"/>
          <w:lang w:val="en-US" w:eastAsia="zh-CN"/>
        </w:rPr>
        <w:t>60</w:t>
      </w:r>
      <w:r>
        <w:rPr>
          <w:rFonts w:hint="eastAsia" w:ascii="Times New Roman" w:hAnsi="Times New Roman" w:eastAsia="方正仿宋_GBK"/>
          <w:bCs/>
          <w:caps w:val="0"/>
          <w:smallCaps w:val="0"/>
          <w:color w:val="auto"/>
          <w:kern w:val="2"/>
          <w:sz w:val="24"/>
          <w:szCs w:val="24"/>
          <w:highlight w:val="none"/>
        </w:rPr>
        <w:t>天内</w:t>
      </w:r>
      <w:r>
        <w:rPr>
          <w:rFonts w:hint="default" w:ascii="Times New Roman" w:hAnsi="Times New Roman" w:eastAsia="方正仿宋_GBK"/>
          <w:bCs/>
          <w:caps w:val="0"/>
          <w:smallCaps w:val="0"/>
          <w:color w:val="auto"/>
          <w:kern w:val="2"/>
          <w:sz w:val="24"/>
          <w:szCs w:val="24"/>
          <w:highlight w:val="none"/>
        </w:rPr>
        <w:t>不能就协议变更达成一致</w:t>
      </w:r>
      <w:r>
        <w:rPr>
          <w:rFonts w:hint="eastAsia" w:ascii="Times New Roman" w:hAnsi="Times New Roman" w:eastAsia="方正仿宋_GBK"/>
          <w:bCs/>
          <w:caps w:val="0"/>
          <w:smallCaps w:val="0"/>
          <w:color w:val="auto"/>
          <w:kern w:val="2"/>
          <w:sz w:val="24"/>
          <w:szCs w:val="24"/>
          <w:highlight w:val="none"/>
        </w:rPr>
        <w:t>；</w:t>
      </w:r>
    </w:p>
    <w:p w14:paraId="2F438F82">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1" w:firstLine="567" w:firstLineChars="0"/>
        <w:rPr>
          <w:rFonts w:hint="default" w:ascii="Times New Roman" w:hAnsi="Times New Roman" w:eastAsia="方正仿宋_GBK"/>
          <w:bCs/>
          <w:caps w:val="0"/>
          <w:smallCaps w:val="0"/>
          <w:color w:val="auto"/>
          <w:kern w:val="2"/>
          <w:sz w:val="24"/>
          <w:szCs w:val="24"/>
          <w:highlight w:val="none"/>
        </w:rPr>
      </w:pPr>
      <w:r>
        <w:rPr>
          <w:rFonts w:hint="default" w:ascii="Times New Roman" w:hAnsi="Times New Roman" w:eastAsia="方正仿宋_GBK"/>
          <w:b w:val="0"/>
          <w:bCs w:val="0"/>
          <w:caps w:val="0"/>
          <w:smallCaps w:val="0"/>
          <w:color w:val="auto"/>
          <w:kern w:val="2"/>
          <w:sz w:val="24"/>
          <w:szCs w:val="24"/>
          <w:highlight w:val="none"/>
          <w:lang w:val="en-US" w:eastAsia="zh-CN" w:bidi="ar-SA"/>
        </w:rPr>
        <w:t>（2）</w:t>
      </w:r>
      <w:r>
        <w:rPr>
          <w:rFonts w:hint="default" w:ascii="Times New Roman" w:hAnsi="Times New Roman" w:eastAsia="方正仿宋_GBK"/>
          <w:bCs/>
          <w:caps w:val="0"/>
          <w:smallCaps w:val="0"/>
          <w:color w:val="auto"/>
          <w:kern w:val="2"/>
          <w:sz w:val="24"/>
          <w:szCs w:val="24"/>
          <w:highlight w:val="none"/>
        </w:rPr>
        <w:t>发生</w:t>
      </w:r>
      <w:r>
        <w:rPr>
          <w:rFonts w:hint="default" w:ascii="Times New Roman" w:hAnsi="Times New Roman" w:eastAsia="方正仿宋_GBK" w:cs="Times New Roman"/>
          <w:caps w:val="0"/>
          <w:smallCaps w:val="0"/>
          <w:color w:val="auto"/>
          <w:kern w:val="0"/>
          <w:sz w:val="24"/>
          <w:szCs w:val="24"/>
          <w:highlight w:val="none"/>
        </w:rPr>
        <w:t>情势</w:t>
      </w:r>
      <w:r>
        <w:rPr>
          <w:rFonts w:hint="default" w:ascii="Times New Roman" w:hAnsi="Times New Roman" w:eastAsia="方正仿宋_GBK"/>
          <w:bCs/>
          <w:caps w:val="0"/>
          <w:smallCaps w:val="0"/>
          <w:color w:val="auto"/>
          <w:kern w:val="2"/>
          <w:sz w:val="24"/>
          <w:szCs w:val="24"/>
          <w:highlight w:val="none"/>
        </w:rPr>
        <w:t>变更</w:t>
      </w:r>
      <w:r>
        <w:rPr>
          <w:rFonts w:hint="eastAsia" w:ascii="Times New Roman" w:hAnsi="Times New Roman" w:eastAsia="方正仿宋_GBK"/>
          <w:bCs/>
          <w:caps w:val="0"/>
          <w:smallCaps w:val="0"/>
          <w:color w:val="auto"/>
          <w:kern w:val="2"/>
          <w:sz w:val="24"/>
          <w:szCs w:val="24"/>
          <w:highlight w:val="none"/>
        </w:rPr>
        <w:t>事件</w:t>
      </w:r>
      <w:r>
        <w:rPr>
          <w:rFonts w:hint="default" w:ascii="Times New Roman" w:hAnsi="Times New Roman" w:eastAsia="方正仿宋_GBK"/>
          <w:bCs/>
          <w:caps w:val="0"/>
          <w:smallCaps w:val="0"/>
          <w:color w:val="auto"/>
          <w:kern w:val="2"/>
          <w:sz w:val="24"/>
          <w:szCs w:val="24"/>
          <w:highlight w:val="none"/>
        </w:rPr>
        <w:t>，各方不能就协议变更达成一致</w:t>
      </w:r>
      <w:r>
        <w:rPr>
          <w:rFonts w:hint="eastAsia" w:ascii="Times New Roman" w:hAnsi="Times New Roman" w:eastAsia="方正仿宋_GBK"/>
          <w:bCs/>
          <w:caps w:val="0"/>
          <w:smallCaps w:val="0"/>
          <w:color w:val="auto"/>
          <w:kern w:val="2"/>
          <w:sz w:val="24"/>
          <w:szCs w:val="24"/>
          <w:highlight w:val="none"/>
        </w:rPr>
        <w:t>；</w:t>
      </w:r>
    </w:p>
    <w:p w14:paraId="0FE51D00">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1" w:firstLine="567" w:firstLineChars="0"/>
        <w:rPr>
          <w:rFonts w:hint="default" w:ascii="Times New Roman" w:hAnsi="Times New Roman" w:eastAsia="方正仿宋_GBK"/>
          <w:bCs/>
          <w:caps w:val="0"/>
          <w:smallCaps w:val="0"/>
          <w:color w:val="auto"/>
          <w:kern w:val="2"/>
          <w:sz w:val="24"/>
          <w:szCs w:val="24"/>
          <w:highlight w:val="none"/>
        </w:rPr>
      </w:pPr>
      <w:r>
        <w:rPr>
          <w:rFonts w:hint="default" w:ascii="Times New Roman" w:hAnsi="Times New Roman" w:eastAsia="方正仿宋_GBK"/>
          <w:b w:val="0"/>
          <w:bCs w:val="0"/>
          <w:caps w:val="0"/>
          <w:smallCaps w:val="0"/>
          <w:color w:val="auto"/>
          <w:kern w:val="2"/>
          <w:sz w:val="24"/>
          <w:szCs w:val="24"/>
          <w:highlight w:val="none"/>
          <w:lang w:val="en-US" w:eastAsia="zh-CN" w:bidi="ar-SA"/>
        </w:rPr>
        <w:t>（3）</w:t>
      </w:r>
      <w:r>
        <w:rPr>
          <w:rFonts w:hint="default" w:ascii="Times New Roman" w:hAnsi="Times New Roman" w:eastAsia="方正仿宋_GBK"/>
          <w:bCs/>
          <w:caps w:val="0"/>
          <w:smallCaps w:val="0"/>
          <w:color w:val="auto"/>
          <w:kern w:val="2"/>
          <w:sz w:val="24"/>
          <w:szCs w:val="24"/>
          <w:highlight w:val="none"/>
        </w:rPr>
        <w:t>发生法律变更对</w:t>
      </w:r>
      <w:r>
        <w:rPr>
          <w:rFonts w:hint="eastAsia" w:ascii="Times New Roman" w:hAnsi="Times New Roman" w:eastAsia="方正仿宋_GBK"/>
          <w:bCs/>
          <w:caps w:val="0"/>
          <w:smallCaps w:val="0"/>
          <w:color w:val="auto"/>
          <w:kern w:val="2"/>
          <w:sz w:val="24"/>
          <w:szCs w:val="24"/>
          <w:highlight w:val="none"/>
        </w:rPr>
        <w:t>乙方</w:t>
      </w:r>
      <w:r>
        <w:rPr>
          <w:rFonts w:hint="default" w:ascii="Times New Roman" w:hAnsi="Times New Roman" w:eastAsia="方正仿宋_GBK"/>
          <w:bCs/>
          <w:caps w:val="0"/>
          <w:smallCaps w:val="0"/>
          <w:color w:val="auto"/>
          <w:kern w:val="2"/>
          <w:sz w:val="24"/>
          <w:szCs w:val="24"/>
          <w:highlight w:val="none"/>
        </w:rPr>
        <w:t>造成重大不利影响，双方不能提出对</w:t>
      </w:r>
      <w:r>
        <w:rPr>
          <w:rFonts w:hint="eastAsia" w:ascii="Times New Roman" w:hAnsi="Times New Roman" w:eastAsia="方正仿宋_GBK"/>
          <w:bCs/>
          <w:caps w:val="0"/>
          <w:smallCaps w:val="0"/>
          <w:color w:val="auto"/>
          <w:kern w:val="2"/>
          <w:sz w:val="24"/>
          <w:szCs w:val="24"/>
          <w:highlight w:val="none"/>
        </w:rPr>
        <w:t>乙方</w:t>
      </w:r>
      <w:r>
        <w:rPr>
          <w:rFonts w:hint="default" w:ascii="Times New Roman" w:hAnsi="Times New Roman" w:eastAsia="方正仿宋_GBK"/>
          <w:bCs/>
          <w:caps w:val="0"/>
          <w:smallCaps w:val="0"/>
          <w:color w:val="auto"/>
          <w:kern w:val="2"/>
          <w:sz w:val="24"/>
          <w:szCs w:val="24"/>
          <w:highlight w:val="none"/>
        </w:rPr>
        <w:t>给予经济补偿的合理方案且双方不能就重新谈判达成一致，</w:t>
      </w:r>
      <w:r>
        <w:rPr>
          <w:rFonts w:hint="eastAsia" w:ascii="Times New Roman" w:hAnsi="Times New Roman" w:eastAsia="方正仿宋_GBK"/>
          <w:bCs/>
          <w:caps w:val="0"/>
          <w:smallCaps w:val="0"/>
          <w:color w:val="auto"/>
          <w:kern w:val="2"/>
          <w:sz w:val="24"/>
          <w:szCs w:val="24"/>
          <w:highlight w:val="none"/>
        </w:rPr>
        <w:t>乙方</w:t>
      </w:r>
      <w:r>
        <w:rPr>
          <w:rFonts w:hint="default" w:ascii="Times New Roman" w:hAnsi="Times New Roman" w:eastAsia="方正仿宋_GBK"/>
          <w:bCs/>
          <w:caps w:val="0"/>
          <w:smallCaps w:val="0"/>
          <w:color w:val="auto"/>
          <w:kern w:val="2"/>
          <w:sz w:val="24"/>
          <w:szCs w:val="24"/>
          <w:highlight w:val="none"/>
        </w:rPr>
        <w:t>订立协议的根本目的无法实现，</w:t>
      </w:r>
      <w:r>
        <w:rPr>
          <w:rFonts w:hint="eastAsia" w:ascii="Times New Roman" w:hAnsi="Times New Roman" w:eastAsia="方正仿宋_GBK"/>
          <w:bCs/>
          <w:caps w:val="0"/>
          <w:smallCaps w:val="0"/>
          <w:color w:val="auto"/>
          <w:kern w:val="2"/>
          <w:sz w:val="24"/>
          <w:szCs w:val="24"/>
          <w:highlight w:val="none"/>
        </w:rPr>
        <w:t>乙方</w:t>
      </w:r>
      <w:r>
        <w:rPr>
          <w:rFonts w:hint="default" w:ascii="Times New Roman" w:hAnsi="Times New Roman" w:eastAsia="方正仿宋_GBK"/>
          <w:bCs/>
          <w:caps w:val="0"/>
          <w:smallCaps w:val="0"/>
          <w:color w:val="auto"/>
          <w:kern w:val="2"/>
          <w:sz w:val="24"/>
          <w:szCs w:val="24"/>
          <w:highlight w:val="none"/>
        </w:rPr>
        <w:t>可以解除协议；</w:t>
      </w:r>
    </w:p>
    <w:p w14:paraId="594506EE">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1" w:firstLine="567" w:firstLineChars="0"/>
        <w:rPr>
          <w:rFonts w:hint="default" w:ascii="Times New Roman" w:hAnsi="Times New Roman" w:eastAsia="方正仿宋_GBK"/>
          <w:bCs/>
          <w:caps w:val="0"/>
          <w:smallCaps w:val="0"/>
          <w:color w:val="auto"/>
          <w:kern w:val="2"/>
          <w:sz w:val="24"/>
          <w:szCs w:val="24"/>
          <w:highlight w:val="none"/>
        </w:rPr>
      </w:pPr>
      <w:r>
        <w:rPr>
          <w:rFonts w:hint="default" w:ascii="Times New Roman" w:hAnsi="Times New Roman" w:eastAsia="方正仿宋_GBK"/>
          <w:b w:val="0"/>
          <w:bCs w:val="0"/>
          <w:caps w:val="0"/>
          <w:smallCaps w:val="0"/>
          <w:color w:val="auto"/>
          <w:kern w:val="2"/>
          <w:sz w:val="24"/>
          <w:szCs w:val="24"/>
          <w:highlight w:val="none"/>
          <w:lang w:val="en-US" w:eastAsia="zh-CN" w:bidi="ar-SA"/>
        </w:rPr>
        <w:t>（4）</w:t>
      </w:r>
      <w:r>
        <w:rPr>
          <w:rFonts w:hint="eastAsia" w:ascii="Times New Roman" w:hAnsi="Times New Roman" w:eastAsia="方正仿宋_GBK"/>
          <w:bCs/>
          <w:caps w:val="0"/>
          <w:smallCaps w:val="0"/>
          <w:color w:val="auto"/>
          <w:kern w:val="2"/>
          <w:sz w:val="24"/>
          <w:szCs w:val="24"/>
          <w:highlight w:val="none"/>
        </w:rPr>
        <w:t>项目实施所必</w:t>
      </w:r>
      <w:r>
        <w:rPr>
          <w:rFonts w:hint="eastAsia" w:ascii="Times New Roman" w:hAnsi="Times New Roman" w:eastAsia="方正仿宋_GBK"/>
          <w:bCs/>
          <w:caps w:val="0"/>
          <w:smallCaps w:val="0"/>
          <w:color w:val="auto"/>
          <w:kern w:val="2"/>
          <w:sz w:val="24"/>
          <w:szCs w:val="24"/>
          <w:highlight w:val="none"/>
          <w:lang w:eastAsia="zh-CN"/>
        </w:rPr>
        <w:t>需</w:t>
      </w:r>
      <w:r>
        <w:rPr>
          <w:rFonts w:hint="eastAsia" w:ascii="Times New Roman" w:hAnsi="Times New Roman" w:eastAsia="方正仿宋_GBK"/>
          <w:bCs/>
          <w:caps w:val="0"/>
          <w:smallCaps w:val="0"/>
          <w:color w:val="auto"/>
          <w:kern w:val="2"/>
          <w:sz w:val="24"/>
          <w:szCs w:val="24"/>
          <w:highlight w:val="none"/>
        </w:rPr>
        <w:t>的应由行政部门批准或备案的事项非因乙方原因而在合理时间内无法获得批准或完成备案，且双方在合理期限内未能协商一致的，乙方可以解除本协议；</w:t>
      </w:r>
    </w:p>
    <w:p w14:paraId="7484C77A">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1" w:firstLine="567" w:firstLineChars="0"/>
        <w:rPr>
          <w:rFonts w:hint="default" w:ascii="Times New Roman" w:hAnsi="Times New Roman" w:eastAsia="方正仿宋_GBK"/>
          <w:bCs/>
          <w:caps w:val="0"/>
          <w:smallCaps w:val="0"/>
          <w:color w:val="auto"/>
          <w:kern w:val="2"/>
          <w:sz w:val="24"/>
          <w:szCs w:val="24"/>
          <w:highlight w:val="none"/>
        </w:rPr>
      </w:pPr>
      <w:r>
        <w:rPr>
          <w:rFonts w:hint="default" w:ascii="Times New Roman" w:hAnsi="Times New Roman" w:eastAsia="方正仿宋_GBK"/>
          <w:b w:val="0"/>
          <w:bCs w:val="0"/>
          <w:caps w:val="0"/>
          <w:smallCaps w:val="0"/>
          <w:color w:val="auto"/>
          <w:kern w:val="2"/>
          <w:sz w:val="24"/>
          <w:szCs w:val="24"/>
          <w:highlight w:val="none"/>
          <w:lang w:val="en-US" w:eastAsia="zh-CN" w:bidi="ar-SA"/>
        </w:rPr>
        <w:t>（5）</w:t>
      </w:r>
      <w:r>
        <w:rPr>
          <w:rFonts w:hint="default" w:ascii="Times New Roman" w:hAnsi="Times New Roman" w:eastAsia="方正仿宋_GBK"/>
          <w:bCs/>
          <w:caps w:val="0"/>
          <w:smallCaps w:val="0"/>
          <w:color w:val="auto"/>
          <w:kern w:val="2"/>
          <w:sz w:val="24"/>
          <w:szCs w:val="24"/>
          <w:highlight w:val="none"/>
        </w:rPr>
        <w:t>协议一方严重违约，导致协议目的无法实现</w:t>
      </w:r>
      <w:r>
        <w:rPr>
          <w:rFonts w:hint="eastAsia" w:ascii="Times New Roman" w:hAnsi="Times New Roman" w:eastAsia="方正仿宋_GBK"/>
          <w:bCs/>
          <w:caps w:val="0"/>
          <w:smallCaps w:val="0"/>
          <w:color w:val="auto"/>
          <w:kern w:val="2"/>
          <w:sz w:val="24"/>
          <w:szCs w:val="24"/>
          <w:highlight w:val="none"/>
        </w:rPr>
        <w:t>；</w:t>
      </w:r>
    </w:p>
    <w:p w14:paraId="3E4A2D86">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1" w:firstLine="567" w:firstLineChars="0"/>
        <w:rPr>
          <w:rFonts w:hint="default" w:ascii="Times New Roman" w:hAnsi="Times New Roman" w:eastAsia="方正仿宋_GBK"/>
          <w:bCs/>
          <w:caps w:val="0"/>
          <w:smallCaps w:val="0"/>
          <w:color w:val="auto"/>
          <w:kern w:val="2"/>
          <w:sz w:val="24"/>
          <w:szCs w:val="24"/>
          <w:highlight w:val="none"/>
        </w:rPr>
      </w:pPr>
      <w:r>
        <w:rPr>
          <w:rFonts w:hint="default" w:ascii="Times New Roman" w:hAnsi="Times New Roman" w:eastAsia="方正仿宋_GBK"/>
          <w:b w:val="0"/>
          <w:bCs w:val="0"/>
          <w:caps w:val="0"/>
          <w:smallCaps w:val="0"/>
          <w:color w:val="auto"/>
          <w:kern w:val="2"/>
          <w:sz w:val="24"/>
          <w:szCs w:val="24"/>
          <w:highlight w:val="none"/>
          <w:lang w:val="en-US" w:eastAsia="zh-CN" w:bidi="ar-SA"/>
        </w:rPr>
        <w:t>（6）</w:t>
      </w:r>
      <w:r>
        <w:rPr>
          <w:rFonts w:hint="eastAsia" w:ascii="Times New Roman" w:hAnsi="Times New Roman" w:eastAsia="方正仿宋_GBK"/>
          <w:bCs/>
          <w:caps w:val="0"/>
          <w:smallCaps w:val="0"/>
          <w:color w:val="auto"/>
          <w:kern w:val="2"/>
          <w:sz w:val="24"/>
          <w:szCs w:val="24"/>
          <w:highlight w:val="none"/>
        </w:rPr>
        <w:t>项目被征收、征用；</w:t>
      </w:r>
    </w:p>
    <w:p w14:paraId="07067647">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1" w:firstLine="567" w:firstLineChars="0"/>
        <w:rPr>
          <w:rFonts w:hint="default" w:ascii="Times New Roman" w:hAnsi="Times New Roman" w:eastAsia="方正仿宋_GBK"/>
          <w:bCs/>
          <w:caps w:val="0"/>
          <w:smallCaps w:val="0"/>
          <w:color w:val="auto"/>
          <w:kern w:val="2"/>
          <w:sz w:val="24"/>
          <w:szCs w:val="24"/>
          <w:highlight w:val="none"/>
        </w:rPr>
      </w:pPr>
      <w:bookmarkStart w:id="391" w:name="_Toc401128549"/>
      <w:r>
        <w:rPr>
          <w:rFonts w:hint="default" w:ascii="Times New Roman" w:hAnsi="Times New Roman" w:eastAsia="方正仿宋_GBK"/>
          <w:b w:val="0"/>
          <w:bCs w:val="0"/>
          <w:caps w:val="0"/>
          <w:smallCaps w:val="0"/>
          <w:color w:val="auto"/>
          <w:kern w:val="2"/>
          <w:sz w:val="24"/>
          <w:szCs w:val="24"/>
          <w:highlight w:val="none"/>
          <w:lang w:val="en-US" w:eastAsia="zh-CN" w:bidi="ar-SA"/>
        </w:rPr>
        <w:t>（7）</w:t>
      </w:r>
      <w:r>
        <w:rPr>
          <w:rFonts w:hint="eastAsia" w:ascii="Times New Roman" w:hAnsi="Times New Roman" w:eastAsia="方正仿宋_GBK"/>
          <w:bCs/>
          <w:caps w:val="0"/>
          <w:smallCaps w:val="0"/>
          <w:color w:val="auto"/>
          <w:kern w:val="2"/>
          <w:sz w:val="24"/>
          <w:szCs w:val="24"/>
          <w:highlight w:val="none"/>
          <w:lang w:eastAsia="zh-CN"/>
        </w:rPr>
        <w:t>乙方</w:t>
      </w:r>
      <w:r>
        <w:rPr>
          <w:rFonts w:hint="eastAsia" w:ascii="Times New Roman" w:hAnsi="Times New Roman" w:eastAsia="方正仿宋_GBK"/>
          <w:bCs/>
          <w:caps w:val="0"/>
          <w:smallCaps w:val="0"/>
          <w:color w:val="auto"/>
          <w:kern w:val="2"/>
          <w:sz w:val="24"/>
          <w:szCs w:val="24"/>
          <w:highlight w:val="none"/>
        </w:rPr>
        <w:t>进入</w:t>
      </w:r>
      <w:r>
        <w:rPr>
          <w:rFonts w:hint="default" w:ascii="Times New Roman" w:hAnsi="Times New Roman" w:eastAsia="方正仿宋_GBK"/>
          <w:bCs/>
          <w:caps w:val="0"/>
          <w:smallCaps w:val="0"/>
          <w:color w:val="auto"/>
          <w:kern w:val="2"/>
          <w:sz w:val="24"/>
          <w:szCs w:val="24"/>
          <w:highlight w:val="none"/>
        </w:rPr>
        <w:t>破产清算</w:t>
      </w:r>
      <w:r>
        <w:rPr>
          <w:rFonts w:hint="eastAsia" w:ascii="Times New Roman" w:hAnsi="Times New Roman" w:eastAsia="方正仿宋_GBK"/>
          <w:bCs/>
          <w:caps w:val="0"/>
          <w:smallCaps w:val="0"/>
          <w:color w:val="auto"/>
          <w:kern w:val="2"/>
          <w:sz w:val="24"/>
          <w:szCs w:val="24"/>
          <w:highlight w:val="none"/>
        </w:rPr>
        <w:t>程序，甲方可以解除本协议；</w:t>
      </w:r>
    </w:p>
    <w:p w14:paraId="39C47C3E">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1" w:firstLine="567" w:firstLineChars="0"/>
        <w:rPr>
          <w:rFonts w:hint="default" w:ascii="Times New Roman" w:hAnsi="Times New Roman" w:eastAsia="方正仿宋_GBK"/>
          <w:bCs/>
          <w:caps w:val="0"/>
          <w:smallCaps w:val="0"/>
          <w:color w:val="auto"/>
          <w:kern w:val="2"/>
          <w:sz w:val="24"/>
          <w:szCs w:val="24"/>
          <w:highlight w:val="none"/>
        </w:rPr>
      </w:pPr>
      <w:r>
        <w:rPr>
          <w:rFonts w:hint="default" w:ascii="Times New Roman" w:hAnsi="Times New Roman" w:eastAsia="方正仿宋_GBK"/>
          <w:b w:val="0"/>
          <w:bCs w:val="0"/>
          <w:caps w:val="0"/>
          <w:smallCaps w:val="0"/>
          <w:color w:val="auto"/>
          <w:kern w:val="2"/>
          <w:sz w:val="24"/>
          <w:szCs w:val="24"/>
          <w:highlight w:val="none"/>
          <w:lang w:val="en-US" w:eastAsia="zh-CN" w:bidi="ar-SA"/>
        </w:rPr>
        <w:t>（8）</w:t>
      </w:r>
      <w:r>
        <w:rPr>
          <w:rFonts w:hint="default" w:ascii="Times New Roman" w:hAnsi="Times New Roman" w:eastAsia="方正仿宋_GBK"/>
          <w:bCs/>
          <w:caps w:val="0"/>
          <w:smallCaps w:val="0"/>
          <w:color w:val="auto"/>
          <w:kern w:val="2"/>
          <w:sz w:val="24"/>
          <w:szCs w:val="24"/>
          <w:highlight w:val="none"/>
        </w:rPr>
        <w:t>法律</w:t>
      </w:r>
      <w:r>
        <w:rPr>
          <w:rFonts w:hint="eastAsia" w:ascii="Times New Roman" w:hAnsi="Times New Roman" w:eastAsia="方正仿宋_GBK"/>
          <w:bCs/>
          <w:caps w:val="0"/>
          <w:smallCaps w:val="0"/>
          <w:color w:val="auto"/>
          <w:kern w:val="2"/>
          <w:sz w:val="24"/>
          <w:szCs w:val="24"/>
          <w:highlight w:val="none"/>
        </w:rPr>
        <w:t>、行政法规</w:t>
      </w:r>
      <w:r>
        <w:rPr>
          <w:rFonts w:hint="default" w:ascii="Times New Roman" w:hAnsi="Times New Roman" w:eastAsia="方正仿宋_GBK"/>
          <w:bCs/>
          <w:caps w:val="0"/>
          <w:smallCaps w:val="0"/>
          <w:color w:val="auto"/>
          <w:kern w:val="2"/>
          <w:sz w:val="24"/>
          <w:szCs w:val="24"/>
          <w:highlight w:val="none"/>
        </w:rPr>
        <w:t>规定或</w:t>
      </w:r>
      <w:bookmarkEnd w:id="391"/>
      <w:r>
        <w:rPr>
          <w:rFonts w:hint="default" w:ascii="Times New Roman" w:hAnsi="Times New Roman" w:eastAsia="方正仿宋_GBK"/>
          <w:bCs/>
          <w:caps w:val="0"/>
          <w:smallCaps w:val="0"/>
          <w:color w:val="auto"/>
          <w:kern w:val="2"/>
          <w:sz w:val="24"/>
          <w:szCs w:val="24"/>
          <w:highlight w:val="none"/>
        </w:rPr>
        <w:t>协议各方约定的其他事由。</w:t>
      </w:r>
    </w:p>
    <w:p w14:paraId="0F48BB0B">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567"/>
        <w:outlineLvl w:val="2"/>
        <w:rPr>
          <w:rFonts w:hint="eastAsia"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2.乙方违约导致的解除</w:t>
      </w:r>
    </w:p>
    <w:p w14:paraId="36EB685B">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下述每一条款所述事件，如果不是由于甲方或由于不可抗力、法律变更或情势变更所致，即构成乙方违约事件。如果在收到甲方发出的要求纠正违约的通知后</w:t>
      </w:r>
      <w:r>
        <w:rPr>
          <w:rFonts w:hint="eastAsia" w:ascii="Times New Roman" w:hAnsi="Times New Roman" w:eastAsia="方正仿宋_GBK"/>
          <w:caps w:val="0"/>
          <w:smallCaps w:val="0"/>
          <w:color w:val="auto"/>
          <w:kern w:val="0"/>
          <w:sz w:val="24"/>
          <w:szCs w:val="24"/>
          <w:highlight w:val="none"/>
          <w:lang w:eastAsia="zh-CN"/>
        </w:rPr>
        <w:t>3</w:t>
      </w:r>
      <w:r>
        <w:rPr>
          <w:rFonts w:hint="eastAsia" w:ascii="Times New Roman" w:hAnsi="Times New Roman" w:eastAsia="方正仿宋_GBK"/>
          <w:caps w:val="0"/>
          <w:smallCaps w:val="0"/>
          <w:color w:val="auto"/>
          <w:kern w:val="0"/>
          <w:sz w:val="24"/>
          <w:szCs w:val="24"/>
          <w:highlight w:val="none"/>
          <w:lang w:val="en-US" w:eastAsia="zh-CN"/>
        </w:rPr>
        <w:t>0</w:t>
      </w:r>
      <w:r>
        <w:rPr>
          <w:rFonts w:hint="eastAsia" w:ascii="Times New Roman" w:hAnsi="Times New Roman" w:eastAsia="方正仿宋_GBK"/>
          <w:caps w:val="0"/>
          <w:smallCaps w:val="0"/>
          <w:color w:val="auto"/>
          <w:kern w:val="0"/>
          <w:sz w:val="24"/>
          <w:szCs w:val="24"/>
          <w:highlight w:val="none"/>
        </w:rPr>
        <w:t>天内乙方违约事件未得到纠正，甲方有权经书面通知解除本协议：</w:t>
      </w:r>
    </w:p>
    <w:p w14:paraId="0C5F4EFA">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1" w:firstLine="567" w:firstLineChars="0"/>
        <w:rPr>
          <w:rFonts w:hint="eastAsia" w:ascii="Times New Roman" w:hAnsi="Times New Roman" w:eastAsia="方正仿宋_GBK" w:cs="Times New Roman"/>
          <w:bCs/>
          <w:caps w:val="0"/>
          <w:smallCaps w:val="0"/>
          <w:color w:val="auto"/>
          <w:kern w:val="2"/>
          <w:sz w:val="24"/>
          <w:szCs w:val="24"/>
          <w:highlight w:val="none"/>
        </w:rPr>
      </w:pPr>
      <w:r>
        <w:rPr>
          <w:rFonts w:hint="default" w:ascii="Times New Roman" w:hAnsi="Times New Roman" w:eastAsia="方正仿宋_GBK" w:cs="Times New Roman"/>
          <w:b w:val="0"/>
          <w:bCs w:val="0"/>
          <w:caps w:val="0"/>
          <w:smallCaps w:val="0"/>
          <w:color w:val="auto"/>
          <w:kern w:val="2"/>
          <w:sz w:val="24"/>
          <w:szCs w:val="24"/>
          <w:highlight w:val="none"/>
          <w:lang w:val="en-US" w:eastAsia="zh-CN" w:bidi="ar-SA"/>
        </w:rPr>
        <w:t>（1）</w:t>
      </w:r>
      <w:r>
        <w:rPr>
          <w:rFonts w:hint="eastAsia" w:ascii="Times New Roman" w:hAnsi="Times New Roman" w:eastAsia="方正仿宋_GBK" w:cs="Times New Roman"/>
          <w:bCs/>
          <w:caps w:val="0"/>
          <w:smallCaps w:val="0"/>
          <w:color w:val="auto"/>
          <w:kern w:val="2"/>
          <w:sz w:val="24"/>
          <w:szCs w:val="24"/>
          <w:highlight w:val="none"/>
        </w:rPr>
        <w:t>乙方主动放弃对项目的运营超过</w:t>
      </w:r>
      <w:r>
        <w:rPr>
          <w:rFonts w:hint="eastAsia" w:ascii="Times New Roman" w:hAnsi="Times New Roman" w:eastAsia="方正仿宋_GBK" w:cs="Times New Roman"/>
          <w:bCs/>
          <w:caps w:val="0"/>
          <w:smallCaps w:val="0"/>
          <w:color w:val="auto"/>
          <w:kern w:val="2"/>
          <w:sz w:val="24"/>
          <w:szCs w:val="24"/>
          <w:highlight w:val="none"/>
          <w:lang w:eastAsia="zh-CN"/>
        </w:rPr>
        <w:t>1</w:t>
      </w:r>
      <w:r>
        <w:rPr>
          <w:rFonts w:hint="eastAsia" w:ascii="Times New Roman" w:hAnsi="Times New Roman" w:eastAsia="方正仿宋_GBK" w:cs="Times New Roman"/>
          <w:bCs/>
          <w:caps w:val="0"/>
          <w:smallCaps w:val="0"/>
          <w:color w:val="auto"/>
          <w:kern w:val="2"/>
          <w:sz w:val="24"/>
          <w:szCs w:val="24"/>
          <w:highlight w:val="none"/>
          <w:lang w:val="en-US" w:eastAsia="zh-CN"/>
        </w:rPr>
        <w:t>0</w:t>
      </w:r>
      <w:r>
        <w:rPr>
          <w:rFonts w:hint="eastAsia" w:ascii="Times New Roman" w:hAnsi="Times New Roman" w:eastAsia="方正仿宋_GBK" w:cs="Times New Roman"/>
          <w:bCs/>
          <w:caps w:val="0"/>
          <w:smallCaps w:val="0"/>
          <w:color w:val="auto"/>
          <w:kern w:val="2"/>
          <w:sz w:val="24"/>
          <w:szCs w:val="24"/>
          <w:highlight w:val="none"/>
        </w:rPr>
        <w:t>天时间；</w:t>
      </w:r>
    </w:p>
    <w:p w14:paraId="5DE18422">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1" w:firstLine="567" w:firstLineChars="0"/>
        <w:rPr>
          <w:rFonts w:hint="eastAsia" w:ascii="Times New Roman" w:hAnsi="Times New Roman" w:eastAsia="方正仿宋_GBK" w:cs="Times New Roman"/>
          <w:bCs/>
          <w:caps w:val="0"/>
          <w:smallCaps w:val="0"/>
          <w:color w:val="auto"/>
          <w:kern w:val="2"/>
          <w:sz w:val="24"/>
          <w:szCs w:val="24"/>
          <w:highlight w:val="none"/>
        </w:rPr>
      </w:pPr>
      <w:r>
        <w:rPr>
          <w:rFonts w:hint="default" w:ascii="Times New Roman" w:hAnsi="Times New Roman" w:eastAsia="方正仿宋_GBK" w:cs="Times New Roman"/>
          <w:b w:val="0"/>
          <w:bCs w:val="0"/>
          <w:caps w:val="0"/>
          <w:smallCaps w:val="0"/>
          <w:color w:val="auto"/>
          <w:kern w:val="2"/>
          <w:sz w:val="24"/>
          <w:szCs w:val="24"/>
          <w:highlight w:val="none"/>
          <w:lang w:val="en-US" w:eastAsia="zh-CN" w:bidi="ar-SA"/>
        </w:rPr>
        <w:t>（2）</w:t>
      </w:r>
      <w:r>
        <w:rPr>
          <w:rFonts w:hint="eastAsia" w:ascii="Times New Roman" w:hAnsi="Times New Roman" w:eastAsia="方正仿宋_GBK" w:cs="Times New Roman"/>
          <w:bCs/>
          <w:caps w:val="0"/>
          <w:smallCaps w:val="0"/>
          <w:color w:val="auto"/>
          <w:kern w:val="2"/>
          <w:sz w:val="24"/>
          <w:szCs w:val="24"/>
          <w:highlight w:val="none"/>
        </w:rPr>
        <w:t>乙方被裁定进入破产程序，或资不抵债或停止对外支付，或其它类似的情形；</w:t>
      </w:r>
    </w:p>
    <w:p w14:paraId="3A58B90E">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1" w:firstLine="567" w:firstLineChars="0"/>
        <w:rPr>
          <w:rFonts w:hint="eastAsia" w:ascii="Times New Roman" w:hAnsi="Times New Roman" w:eastAsia="方正仿宋_GBK" w:cs="Times New Roman"/>
          <w:bCs/>
          <w:caps w:val="0"/>
          <w:smallCaps w:val="0"/>
          <w:color w:val="auto"/>
          <w:kern w:val="2"/>
          <w:sz w:val="24"/>
          <w:szCs w:val="24"/>
          <w:highlight w:val="none"/>
        </w:rPr>
      </w:pPr>
      <w:r>
        <w:rPr>
          <w:rFonts w:hint="default" w:ascii="Times New Roman" w:hAnsi="Times New Roman" w:eastAsia="方正仿宋_GBK" w:cs="Times New Roman"/>
          <w:b w:val="0"/>
          <w:bCs w:val="0"/>
          <w:caps w:val="0"/>
          <w:smallCaps w:val="0"/>
          <w:color w:val="auto"/>
          <w:kern w:val="2"/>
          <w:sz w:val="24"/>
          <w:szCs w:val="24"/>
          <w:highlight w:val="none"/>
          <w:lang w:val="en-US" w:eastAsia="zh-CN" w:bidi="ar-SA"/>
        </w:rPr>
        <w:t>（3）</w:t>
      </w:r>
      <w:r>
        <w:rPr>
          <w:rFonts w:hint="eastAsia" w:ascii="Times New Roman" w:hAnsi="Times New Roman" w:eastAsia="方正仿宋_GBK" w:cs="Times New Roman"/>
          <w:bCs/>
          <w:caps w:val="0"/>
          <w:smallCaps w:val="0"/>
          <w:color w:val="auto"/>
          <w:kern w:val="2"/>
          <w:sz w:val="24"/>
          <w:szCs w:val="24"/>
          <w:highlight w:val="none"/>
        </w:rPr>
        <w:t>乙方发生根本违约导致本协议目的不能实现，且在甲方就此发出通知后的</w:t>
      </w:r>
      <w:r>
        <w:rPr>
          <w:rFonts w:hint="eastAsia" w:ascii="Times New Roman" w:hAnsi="Times New Roman" w:eastAsia="方正仿宋_GBK" w:cs="Times New Roman"/>
          <w:bCs/>
          <w:caps w:val="0"/>
          <w:smallCaps w:val="0"/>
          <w:color w:val="auto"/>
          <w:kern w:val="2"/>
          <w:sz w:val="24"/>
          <w:szCs w:val="24"/>
          <w:highlight w:val="none"/>
          <w:lang w:eastAsia="zh-CN"/>
        </w:rPr>
        <w:t>3</w:t>
      </w:r>
      <w:r>
        <w:rPr>
          <w:rFonts w:hint="eastAsia" w:ascii="Times New Roman" w:hAnsi="Times New Roman" w:eastAsia="方正仿宋_GBK" w:cs="Times New Roman"/>
          <w:bCs/>
          <w:caps w:val="0"/>
          <w:smallCaps w:val="0"/>
          <w:color w:val="auto"/>
          <w:kern w:val="2"/>
          <w:sz w:val="24"/>
          <w:szCs w:val="24"/>
          <w:highlight w:val="none"/>
          <w:lang w:val="en-US" w:eastAsia="zh-CN"/>
        </w:rPr>
        <w:t>0</w:t>
      </w:r>
      <w:r>
        <w:rPr>
          <w:rFonts w:hint="eastAsia" w:ascii="Times New Roman" w:hAnsi="Times New Roman" w:eastAsia="方正仿宋_GBK" w:cs="Times New Roman"/>
          <w:bCs/>
          <w:caps w:val="0"/>
          <w:smallCaps w:val="0"/>
          <w:color w:val="auto"/>
          <w:kern w:val="2"/>
          <w:sz w:val="24"/>
          <w:szCs w:val="24"/>
          <w:highlight w:val="none"/>
        </w:rPr>
        <w:t>天内仍未对违约采取补救措施；</w:t>
      </w:r>
    </w:p>
    <w:p w14:paraId="4B9832DD">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1" w:firstLine="567" w:firstLineChars="0"/>
        <w:rPr>
          <w:rFonts w:hint="eastAsia" w:ascii="Times New Roman" w:hAnsi="Times New Roman" w:eastAsia="方正仿宋_GBK" w:cs="Times New Roman"/>
          <w:bCs/>
          <w:caps w:val="0"/>
          <w:smallCaps w:val="0"/>
          <w:color w:val="auto"/>
          <w:kern w:val="2"/>
          <w:sz w:val="24"/>
          <w:szCs w:val="24"/>
          <w:highlight w:val="none"/>
        </w:rPr>
      </w:pPr>
      <w:r>
        <w:rPr>
          <w:rFonts w:hint="default" w:ascii="Times New Roman" w:hAnsi="Times New Roman" w:eastAsia="方正仿宋_GBK" w:cs="Times New Roman"/>
          <w:b w:val="0"/>
          <w:bCs w:val="0"/>
          <w:caps w:val="0"/>
          <w:smallCaps w:val="0"/>
          <w:color w:val="auto"/>
          <w:kern w:val="2"/>
          <w:sz w:val="24"/>
          <w:szCs w:val="24"/>
          <w:highlight w:val="none"/>
          <w:lang w:val="en-US" w:eastAsia="zh-CN" w:bidi="ar-SA"/>
        </w:rPr>
        <w:t>（4）</w:t>
      </w:r>
      <w:r>
        <w:rPr>
          <w:rFonts w:hint="eastAsia" w:ascii="Times New Roman" w:hAnsi="Times New Roman" w:eastAsia="方正仿宋_GBK" w:cs="Times New Roman"/>
          <w:bCs/>
          <w:caps w:val="0"/>
          <w:smallCaps w:val="0"/>
          <w:color w:val="auto"/>
          <w:kern w:val="2"/>
          <w:sz w:val="24"/>
          <w:szCs w:val="24"/>
          <w:highlight w:val="none"/>
        </w:rPr>
        <w:t>贷款人根据融资文件宣布乙方违约，并且根据融资文件采取了补救措施导致本协议无法继续履行的；</w:t>
      </w:r>
    </w:p>
    <w:p w14:paraId="55780FC6">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1" w:firstLine="567" w:firstLineChars="0"/>
        <w:rPr>
          <w:rFonts w:hint="eastAsia" w:ascii="Times New Roman" w:hAnsi="Times New Roman" w:eastAsia="方正仿宋_GBK" w:cs="Times New Roman"/>
          <w:bCs/>
          <w:caps w:val="0"/>
          <w:smallCaps w:val="0"/>
          <w:color w:val="auto"/>
          <w:kern w:val="2"/>
          <w:sz w:val="24"/>
          <w:szCs w:val="24"/>
          <w:highlight w:val="none"/>
          <w:lang w:eastAsia="zh-CN"/>
        </w:rPr>
      </w:pPr>
      <w:r>
        <w:rPr>
          <w:rFonts w:hint="default" w:ascii="Times New Roman" w:hAnsi="Times New Roman" w:eastAsia="方正仿宋_GBK" w:cs="Times New Roman"/>
          <w:b w:val="0"/>
          <w:bCs w:val="0"/>
          <w:caps w:val="0"/>
          <w:smallCaps w:val="0"/>
          <w:color w:val="auto"/>
          <w:kern w:val="2"/>
          <w:sz w:val="24"/>
          <w:szCs w:val="24"/>
          <w:highlight w:val="none"/>
          <w:lang w:val="en-US" w:eastAsia="zh-CN" w:bidi="ar-SA"/>
        </w:rPr>
        <w:t>（5）</w:t>
      </w:r>
      <w:r>
        <w:rPr>
          <w:rFonts w:hint="eastAsia" w:ascii="Times New Roman" w:hAnsi="Times New Roman" w:eastAsia="方正仿宋_GBK" w:cs="Times New Roman"/>
          <w:bCs/>
          <w:caps w:val="0"/>
          <w:smallCaps w:val="0"/>
          <w:color w:val="auto"/>
          <w:kern w:val="2"/>
          <w:sz w:val="24"/>
          <w:szCs w:val="24"/>
          <w:highlight w:val="none"/>
        </w:rPr>
        <w:t>乙方在本协议所作的声明被证实在做出时存在实质方面的不属实，或在本协议中所做出的保证无法实现并且该等不属实声明和不能实现的保证严重影响本协议项下的项目的顺利进行，导致本协议的目的不能实现</w:t>
      </w:r>
      <w:r>
        <w:rPr>
          <w:rFonts w:hint="eastAsia" w:ascii="Times New Roman" w:hAnsi="Times New Roman" w:eastAsia="方正仿宋_GBK" w:cs="Times New Roman"/>
          <w:bCs/>
          <w:caps w:val="0"/>
          <w:smallCaps w:val="0"/>
          <w:color w:val="auto"/>
          <w:kern w:val="2"/>
          <w:sz w:val="24"/>
          <w:szCs w:val="24"/>
          <w:highlight w:val="none"/>
          <w:lang w:eastAsia="zh-CN"/>
        </w:rPr>
        <w:t>；</w:t>
      </w:r>
    </w:p>
    <w:p w14:paraId="6E24C8A2">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1" w:firstLine="567" w:firstLineChars="0"/>
        <w:rPr>
          <w:rFonts w:hint="eastAsia" w:ascii="Times New Roman" w:hAnsi="Times New Roman" w:eastAsia="方正仿宋_GBK" w:cs="Times New Roman"/>
          <w:bCs/>
          <w:caps w:val="0"/>
          <w:smallCaps w:val="0"/>
          <w:color w:val="auto"/>
          <w:kern w:val="2"/>
          <w:sz w:val="24"/>
          <w:szCs w:val="24"/>
          <w:highlight w:val="none"/>
          <w:lang w:eastAsia="zh-CN"/>
        </w:rPr>
      </w:pPr>
      <w:r>
        <w:rPr>
          <w:rFonts w:hint="eastAsia" w:ascii="Times New Roman" w:hAnsi="Times New Roman" w:eastAsia="方正仿宋_GBK" w:cs="Times New Roman"/>
          <w:bCs/>
          <w:caps w:val="0"/>
          <w:smallCaps w:val="0"/>
          <w:color w:val="auto"/>
          <w:kern w:val="2"/>
          <w:sz w:val="24"/>
          <w:szCs w:val="24"/>
          <w:highlight w:val="none"/>
          <w:lang w:eastAsia="zh-CN"/>
        </w:rPr>
        <w:t>（</w:t>
      </w:r>
      <w:r>
        <w:rPr>
          <w:rFonts w:hint="eastAsia" w:ascii="Times New Roman" w:hAnsi="Times New Roman" w:eastAsia="方正仿宋_GBK" w:cs="Times New Roman"/>
          <w:bCs/>
          <w:caps w:val="0"/>
          <w:smallCaps w:val="0"/>
          <w:color w:val="auto"/>
          <w:kern w:val="2"/>
          <w:sz w:val="24"/>
          <w:szCs w:val="24"/>
          <w:highlight w:val="none"/>
          <w:lang w:val="en-US" w:eastAsia="zh-CN"/>
        </w:rPr>
        <w:t>6</w:t>
      </w:r>
      <w:r>
        <w:rPr>
          <w:rFonts w:hint="eastAsia" w:ascii="Times New Roman" w:hAnsi="Times New Roman" w:eastAsia="方正仿宋_GBK" w:cs="Times New Roman"/>
          <w:bCs/>
          <w:caps w:val="0"/>
          <w:smallCaps w:val="0"/>
          <w:color w:val="auto"/>
          <w:kern w:val="2"/>
          <w:sz w:val="24"/>
          <w:szCs w:val="24"/>
          <w:highlight w:val="none"/>
          <w:lang w:eastAsia="zh-CN"/>
        </w:rPr>
        <w:t>）</w:t>
      </w:r>
      <w:r>
        <w:rPr>
          <w:rFonts w:hint="eastAsia" w:ascii="Times New Roman" w:hAnsi="Times New Roman" w:eastAsia="方正仿宋_GBK" w:cs="Times New Roman"/>
          <w:bCs/>
          <w:color w:val="auto"/>
          <w:kern w:val="2"/>
          <w:sz w:val="24"/>
          <w:szCs w:val="24"/>
          <w:highlight w:val="none"/>
          <w:lang w:val="en-US" w:eastAsia="zh-CN"/>
        </w:rPr>
        <w:t>乙方未按本协议约定时间支付特许经营权转让费，且延期超过90天仍未支付的</w:t>
      </w:r>
      <w:r>
        <w:rPr>
          <w:rFonts w:hint="eastAsia" w:ascii="Times New Roman" w:hAnsi="Times New Roman" w:eastAsia="方正仿宋_GBK" w:cs="Times New Roman"/>
          <w:bCs/>
          <w:caps w:val="0"/>
          <w:smallCaps w:val="0"/>
          <w:color w:val="auto"/>
          <w:kern w:val="2"/>
          <w:sz w:val="24"/>
          <w:szCs w:val="24"/>
          <w:highlight w:val="none"/>
          <w:lang w:eastAsia="zh-CN"/>
        </w:rPr>
        <w:t>；</w:t>
      </w:r>
    </w:p>
    <w:p w14:paraId="12AC17EA">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1" w:firstLine="567" w:firstLineChars="0"/>
        <w:rPr>
          <w:rFonts w:hint="eastAsia" w:ascii="Times New Roman" w:hAnsi="Times New Roman" w:eastAsia="方正仿宋_GBK" w:cs="Times New Roman"/>
          <w:bCs/>
          <w:caps w:val="0"/>
          <w:smallCaps w:val="0"/>
          <w:color w:val="auto"/>
          <w:kern w:val="2"/>
          <w:sz w:val="24"/>
          <w:szCs w:val="24"/>
          <w:highlight w:val="none"/>
        </w:rPr>
      </w:pPr>
      <w:r>
        <w:rPr>
          <w:rFonts w:hint="eastAsia" w:ascii="Times New Roman" w:hAnsi="Times New Roman" w:eastAsia="方正仿宋_GBK" w:cs="Times New Roman"/>
          <w:bCs/>
          <w:caps w:val="0"/>
          <w:smallCaps w:val="0"/>
          <w:color w:val="auto"/>
          <w:kern w:val="2"/>
          <w:sz w:val="24"/>
          <w:szCs w:val="24"/>
          <w:highlight w:val="none"/>
          <w:lang w:eastAsia="zh-CN"/>
        </w:rPr>
        <w:t>（</w:t>
      </w:r>
      <w:r>
        <w:rPr>
          <w:rFonts w:hint="eastAsia" w:ascii="Times New Roman" w:hAnsi="Times New Roman" w:eastAsia="方正仿宋_GBK" w:cs="Times New Roman"/>
          <w:bCs/>
          <w:caps w:val="0"/>
          <w:smallCaps w:val="0"/>
          <w:color w:val="auto"/>
          <w:kern w:val="2"/>
          <w:sz w:val="24"/>
          <w:szCs w:val="24"/>
          <w:highlight w:val="none"/>
          <w:lang w:val="en-US" w:eastAsia="zh-CN"/>
        </w:rPr>
        <w:t>7</w:t>
      </w:r>
      <w:r>
        <w:rPr>
          <w:rFonts w:hint="eastAsia" w:ascii="Times New Roman" w:hAnsi="Times New Roman" w:eastAsia="方正仿宋_GBK" w:cs="Times New Roman"/>
          <w:bCs/>
          <w:caps w:val="0"/>
          <w:smallCaps w:val="0"/>
          <w:color w:val="auto"/>
          <w:kern w:val="2"/>
          <w:sz w:val="24"/>
          <w:szCs w:val="24"/>
          <w:highlight w:val="none"/>
          <w:lang w:eastAsia="zh-CN"/>
        </w:rPr>
        <w:t>）</w:t>
      </w:r>
      <w:r>
        <w:rPr>
          <w:rFonts w:hint="eastAsia" w:ascii="Times New Roman" w:hAnsi="Times New Roman" w:eastAsia="方正仿宋_GBK" w:cs="Times New Roman"/>
          <w:bCs/>
          <w:caps w:val="0"/>
          <w:smallCaps w:val="0"/>
          <w:color w:val="auto"/>
          <w:kern w:val="2"/>
          <w:sz w:val="24"/>
          <w:szCs w:val="24"/>
          <w:highlight w:val="none"/>
          <w:lang w:val="en-US" w:eastAsia="zh-CN"/>
        </w:rPr>
        <w:t>乙方未按本协议约定时间提交履约保函，且</w:t>
      </w:r>
      <w:r>
        <w:rPr>
          <w:rFonts w:hint="eastAsia" w:ascii="Times New Roman" w:hAnsi="Times New Roman" w:eastAsia="方正仿宋_GBK" w:cs="Times New Roman"/>
          <w:bCs/>
          <w:color w:val="auto"/>
          <w:kern w:val="2"/>
          <w:sz w:val="24"/>
          <w:szCs w:val="24"/>
          <w:highlight w:val="none"/>
          <w:lang w:val="en-US" w:eastAsia="zh-CN"/>
        </w:rPr>
        <w:t>延期超过90天仍未提交的。</w:t>
      </w:r>
    </w:p>
    <w:p w14:paraId="4E4B65B0">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567"/>
        <w:outlineLvl w:val="2"/>
        <w:rPr>
          <w:rFonts w:hint="eastAsia"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3.甲方违约导致的解除</w:t>
      </w:r>
    </w:p>
    <w:p w14:paraId="54F9E25C">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（1）如果不是由于乙方违约或由于不可抗力、法律变更、情势变更，甲方发生对本协议的实质性违约导致乙方签署本协议的目的无法实现，即构成甲方违约事件。如果在收到乙方发出的要求纠正违约的通知后</w:t>
      </w:r>
      <w:r>
        <w:rPr>
          <w:rFonts w:hint="eastAsia" w:ascii="Times New Roman" w:hAnsi="Times New Roman" w:eastAsia="方正仿宋_GBK"/>
          <w:caps w:val="0"/>
          <w:smallCaps w:val="0"/>
          <w:color w:val="auto"/>
          <w:kern w:val="0"/>
          <w:sz w:val="24"/>
          <w:szCs w:val="24"/>
          <w:highlight w:val="none"/>
          <w:lang w:eastAsia="zh-CN"/>
        </w:rPr>
        <w:t>3</w:t>
      </w:r>
      <w:r>
        <w:rPr>
          <w:rFonts w:hint="eastAsia" w:ascii="Times New Roman" w:hAnsi="Times New Roman" w:eastAsia="方正仿宋_GBK"/>
          <w:caps w:val="0"/>
          <w:smallCaps w:val="0"/>
          <w:color w:val="auto"/>
          <w:kern w:val="0"/>
          <w:sz w:val="24"/>
          <w:szCs w:val="24"/>
          <w:highlight w:val="none"/>
          <w:lang w:val="en-US" w:eastAsia="zh-CN"/>
        </w:rPr>
        <w:t>0</w:t>
      </w:r>
      <w:r>
        <w:rPr>
          <w:rFonts w:hint="eastAsia" w:ascii="Times New Roman" w:hAnsi="Times New Roman" w:eastAsia="方正仿宋_GBK"/>
          <w:caps w:val="0"/>
          <w:smallCaps w:val="0"/>
          <w:color w:val="auto"/>
          <w:kern w:val="0"/>
          <w:sz w:val="24"/>
          <w:szCs w:val="24"/>
          <w:highlight w:val="none"/>
        </w:rPr>
        <w:t>天内甲方违约事件未得到纠正，则乙方有权经书面通知解除本协议。</w:t>
      </w:r>
    </w:p>
    <w:p w14:paraId="172107FB">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（2）甲方在本协议项下的实质性违约情形，包括但不限于：</w:t>
      </w:r>
    </w:p>
    <w:p w14:paraId="18A692A7">
      <w:pPr>
        <w:keepNext w:val="0"/>
        <w:keepLines w:val="0"/>
        <w:pageBreakBefore w:val="0"/>
        <w:widowControl w:val="0"/>
        <w:numPr>
          <w:ilvl w:val="1"/>
          <w:numId w:val="0"/>
        </w:numPr>
        <w:kinsoku/>
        <w:wordWrap/>
        <w:overflowPunct/>
        <w:topLinePunct w:val="0"/>
        <w:bidi w:val="0"/>
        <w:adjustRightInd w:val="0"/>
        <w:snapToGrid w:val="0"/>
        <w:spacing w:before="0" w:beforeLines="0" w:after="0" w:afterLines="0" w:line="360" w:lineRule="auto"/>
        <w:ind w:firstLine="567" w:firstLineChars="0"/>
        <w:jc w:val="both"/>
        <w:rPr>
          <w:rFonts w:ascii="Times New Roman" w:hAnsi="Times New Roman" w:eastAsia="方正仿宋_GBK" w:cs="Times New Roman"/>
          <w:caps w:val="0"/>
          <w:smallCaps w:val="0"/>
          <w:color w:val="auto"/>
          <w:kern w:val="2"/>
          <w:sz w:val="24"/>
          <w:szCs w:val="24"/>
          <w:highlight w:val="none"/>
          <w:lang w:val="en-US" w:eastAsia="zh-CN" w:bidi="ar-SA"/>
        </w:rPr>
      </w:pPr>
      <w:r>
        <w:rPr>
          <w:rFonts w:hint="eastAsia" w:ascii="Times New Roman" w:hAnsi="Times New Roman" w:eastAsia="方正仿宋_GBK" w:cs="Times New Roman"/>
          <w:caps w:val="0"/>
          <w:smallCaps w:val="0"/>
          <w:color w:val="auto"/>
          <w:kern w:val="2"/>
          <w:sz w:val="24"/>
          <w:szCs w:val="24"/>
          <w:highlight w:val="none"/>
          <w:lang w:val="en-US" w:eastAsia="zh-CN" w:bidi="ar-SA"/>
        </w:rPr>
        <w:t>a.甲方擅自撤销已授予乙方的特许经营相关权利或将乙方已获授权的特许经营相关权利重复授予第三方，或其他实质性违反本协议排他性约定的情形；</w:t>
      </w:r>
    </w:p>
    <w:p w14:paraId="340C3FC8">
      <w:pPr>
        <w:keepNext w:val="0"/>
        <w:keepLines w:val="0"/>
        <w:pageBreakBefore w:val="0"/>
        <w:widowControl w:val="0"/>
        <w:numPr>
          <w:ilvl w:val="1"/>
          <w:numId w:val="0"/>
        </w:numPr>
        <w:kinsoku/>
        <w:wordWrap/>
        <w:overflowPunct/>
        <w:topLinePunct w:val="0"/>
        <w:bidi w:val="0"/>
        <w:adjustRightInd w:val="0"/>
        <w:snapToGrid w:val="0"/>
        <w:spacing w:before="0" w:beforeLines="0" w:after="0" w:afterLines="0" w:line="360" w:lineRule="auto"/>
        <w:ind w:firstLine="567" w:firstLineChars="0"/>
        <w:jc w:val="both"/>
        <w:rPr>
          <w:rFonts w:ascii="Times New Roman" w:hAnsi="Times New Roman" w:eastAsia="方正仿宋_GBK" w:cs="Times New Roman"/>
          <w:caps w:val="0"/>
          <w:smallCaps w:val="0"/>
          <w:color w:val="auto"/>
          <w:kern w:val="2"/>
          <w:sz w:val="24"/>
          <w:szCs w:val="24"/>
          <w:highlight w:val="none"/>
          <w:lang w:val="en-US" w:eastAsia="zh-CN" w:bidi="ar-SA"/>
        </w:rPr>
      </w:pPr>
      <w:r>
        <w:rPr>
          <w:rFonts w:hint="eastAsia" w:ascii="Times New Roman" w:hAnsi="Times New Roman" w:eastAsia="方正仿宋_GBK" w:cs="Times New Roman"/>
          <w:caps w:val="0"/>
          <w:smallCaps w:val="0"/>
          <w:color w:val="auto"/>
          <w:kern w:val="2"/>
          <w:sz w:val="24"/>
          <w:szCs w:val="24"/>
          <w:highlight w:val="none"/>
          <w:lang w:val="en-US" w:eastAsia="zh-CN" w:bidi="ar-SA"/>
        </w:rPr>
        <w:t>b.</w:t>
      </w:r>
      <w:r>
        <w:rPr>
          <w:rFonts w:ascii="Times New Roman" w:hAnsi="Times New Roman" w:eastAsia="方正仿宋_GBK" w:cs="Times New Roman"/>
          <w:caps w:val="0"/>
          <w:smallCaps w:val="0"/>
          <w:color w:val="auto"/>
          <w:kern w:val="2"/>
          <w:sz w:val="24"/>
          <w:szCs w:val="24"/>
          <w:highlight w:val="none"/>
          <w:lang w:val="en-US" w:eastAsia="zh-CN" w:bidi="ar-SA"/>
        </w:rPr>
        <w:t>采用由政府或其依法授权机构向</w:t>
      </w:r>
      <w:r>
        <w:rPr>
          <w:rFonts w:hint="eastAsia" w:ascii="Times New Roman" w:hAnsi="Times New Roman" w:eastAsia="方正仿宋_GBK" w:cs="Times New Roman"/>
          <w:caps w:val="0"/>
          <w:smallCaps w:val="0"/>
          <w:color w:val="auto"/>
          <w:kern w:val="2"/>
          <w:sz w:val="24"/>
          <w:szCs w:val="24"/>
          <w:highlight w:val="none"/>
          <w:lang w:val="en-US" w:eastAsia="zh-CN" w:bidi="ar-SA"/>
        </w:rPr>
        <w:t>最终</w:t>
      </w:r>
      <w:r>
        <w:rPr>
          <w:rFonts w:ascii="Times New Roman" w:hAnsi="Times New Roman" w:eastAsia="方正仿宋_GBK" w:cs="Times New Roman"/>
          <w:caps w:val="0"/>
          <w:smallCaps w:val="0"/>
          <w:color w:val="auto"/>
          <w:kern w:val="2"/>
          <w:sz w:val="24"/>
          <w:szCs w:val="24"/>
          <w:highlight w:val="none"/>
          <w:lang w:val="en-US" w:eastAsia="zh-CN" w:bidi="ar-SA"/>
        </w:rPr>
        <w:t>用户收费</w:t>
      </w:r>
      <w:r>
        <w:rPr>
          <w:rFonts w:hint="eastAsia" w:ascii="Times New Roman" w:hAnsi="Times New Roman" w:eastAsia="方正仿宋_GBK" w:cs="Times New Roman"/>
          <w:caps w:val="0"/>
          <w:smallCaps w:val="0"/>
          <w:color w:val="auto"/>
          <w:kern w:val="2"/>
          <w:sz w:val="24"/>
          <w:szCs w:val="24"/>
          <w:highlight w:val="none"/>
          <w:lang w:val="en-US" w:eastAsia="zh-CN" w:bidi="ar-SA"/>
        </w:rPr>
        <w:t>并向乙方支付项目经营性收入的</w:t>
      </w:r>
      <w:r>
        <w:rPr>
          <w:rFonts w:ascii="Times New Roman" w:hAnsi="Times New Roman" w:eastAsia="方正仿宋_GBK" w:cs="Times New Roman"/>
          <w:caps w:val="0"/>
          <w:smallCaps w:val="0"/>
          <w:color w:val="auto"/>
          <w:kern w:val="2"/>
          <w:sz w:val="24"/>
          <w:szCs w:val="24"/>
          <w:highlight w:val="none"/>
          <w:lang w:val="en-US" w:eastAsia="zh-CN" w:bidi="ar-SA"/>
        </w:rPr>
        <w:t>，甲方或甲方指定主体延期付费超过</w:t>
      </w:r>
      <w:r>
        <w:rPr>
          <w:rFonts w:hint="eastAsia" w:ascii="Times New Roman" w:hAnsi="Times New Roman" w:eastAsia="方正仿宋_GBK" w:cs="Times New Roman"/>
          <w:caps w:val="0"/>
          <w:smallCaps w:val="0"/>
          <w:color w:val="auto"/>
          <w:kern w:val="2"/>
          <w:sz w:val="24"/>
          <w:szCs w:val="24"/>
          <w:highlight w:val="none"/>
          <w:lang w:val="en-US" w:eastAsia="zh-CN" w:bidi="ar-SA"/>
        </w:rPr>
        <w:t>1</w:t>
      </w:r>
      <w:r>
        <w:rPr>
          <w:rFonts w:ascii="Times New Roman" w:hAnsi="Times New Roman" w:eastAsia="方正仿宋_GBK" w:cs="Times New Roman"/>
          <w:caps w:val="0"/>
          <w:smallCaps w:val="0"/>
          <w:color w:val="auto"/>
          <w:kern w:val="2"/>
          <w:sz w:val="24"/>
          <w:szCs w:val="24"/>
          <w:highlight w:val="none"/>
          <w:lang w:val="en-US" w:eastAsia="zh-CN" w:bidi="ar-SA"/>
        </w:rPr>
        <w:t>80</w:t>
      </w:r>
      <w:r>
        <w:rPr>
          <w:rFonts w:hint="eastAsia" w:ascii="Times New Roman" w:hAnsi="Times New Roman" w:eastAsia="方正仿宋_GBK" w:cs="Times New Roman"/>
          <w:caps w:val="0"/>
          <w:smallCaps w:val="0"/>
          <w:color w:val="auto"/>
          <w:kern w:val="2"/>
          <w:sz w:val="24"/>
          <w:szCs w:val="24"/>
          <w:highlight w:val="none"/>
          <w:lang w:val="en-US" w:eastAsia="zh-CN" w:bidi="ar-SA"/>
        </w:rPr>
        <w:t>日；</w:t>
      </w:r>
    </w:p>
    <w:p w14:paraId="419179A9">
      <w:pPr>
        <w:keepNext w:val="0"/>
        <w:keepLines w:val="0"/>
        <w:pageBreakBefore w:val="0"/>
        <w:widowControl w:val="0"/>
        <w:numPr>
          <w:ilvl w:val="1"/>
          <w:numId w:val="0"/>
        </w:numPr>
        <w:kinsoku/>
        <w:wordWrap/>
        <w:overflowPunct/>
        <w:topLinePunct w:val="0"/>
        <w:bidi w:val="0"/>
        <w:adjustRightInd w:val="0"/>
        <w:snapToGrid w:val="0"/>
        <w:spacing w:before="0" w:beforeLines="0" w:after="0" w:afterLines="0" w:line="360" w:lineRule="auto"/>
        <w:ind w:firstLine="567" w:firstLineChars="0"/>
        <w:jc w:val="both"/>
        <w:rPr>
          <w:rFonts w:hint="eastAsia" w:ascii="Times New Roman" w:hAnsi="Times New Roman" w:eastAsia="方正仿宋_GBK" w:cs="Times New Roman"/>
          <w:caps w:val="0"/>
          <w:smallCaps w:val="0"/>
          <w:color w:val="auto"/>
          <w:kern w:val="2"/>
          <w:sz w:val="24"/>
          <w:szCs w:val="24"/>
          <w:highlight w:val="none"/>
          <w:lang w:val="en-US" w:eastAsia="zh-CN" w:bidi="ar-SA"/>
        </w:rPr>
      </w:pPr>
      <w:r>
        <w:rPr>
          <w:rFonts w:hint="eastAsia" w:ascii="Times New Roman" w:hAnsi="Times New Roman" w:eastAsia="方正仿宋_GBK" w:cs="Times New Roman"/>
          <w:caps w:val="0"/>
          <w:smallCaps w:val="0"/>
          <w:color w:val="auto"/>
          <w:kern w:val="2"/>
          <w:sz w:val="24"/>
          <w:szCs w:val="24"/>
          <w:highlight w:val="none"/>
          <w:lang w:val="en-US" w:eastAsia="zh-CN" w:bidi="ar-SA"/>
        </w:rPr>
        <w:t>c.甲方在本协议所作的声明被证实在做出时存在实质方面的不属实，或在本协议中所做出的保证无法实现并且该等不属实声明和不能实现的保证严重影响本协议项下的项目的顺利进行，导致乙方签订本协议的目的不能实现。</w:t>
      </w:r>
    </w:p>
    <w:p w14:paraId="6B18D550">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567"/>
        <w:outlineLvl w:val="2"/>
        <w:rPr>
          <w:rFonts w:hint="eastAsia"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4.不可抗力导致的解除</w:t>
      </w:r>
    </w:p>
    <w:p w14:paraId="57D3E400">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本协议生效后，如果</w:t>
      </w:r>
      <w:r>
        <w:rPr>
          <w:rFonts w:hint="default" w:ascii="Times New Roman" w:hAnsi="Times New Roman" w:eastAsia="方正仿宋_GBK"/>
          <w:bCs/>
          <w:caps w:val="0"/>
          <w:smallCaps w:val="0"/>
          <w:color w:val="auto"/>
          <w:kern w:val="2"/>
          <w:sz w:val="24"/>
          <w:szCs w:val="24"/>
          <w:highlight w:val="none"/>
        </w:rPr>
        <w:t>发生不可抗力事件，导致</w:t>
      </w:r>
      <w:r>
        <w:rPr>
          <w:rFonts w:hint="eastAsia" w:ascii="Times New Roman" w:hAnsi="Times New Roman" w:eastAsia="方正仿宋_GBK"/>
          <w:bCs/>
          <w:caps w:val="0"/>
          <w:smallCaps w:val="0"/>
          <w:color w:val="auto"/>
          <w:kern w:val="2"/>
          <w:sz w:val="24"/>
          <w:szCs w:val="24"/>
          <w:highlight w:val="none"/>
        </w:rPr>
        <w:t>一方无法履行本</w:t>
      </w:r>
      <w:r>
        <w:rPr>
          <w:rFonts w:hint="default" w:ascii="Times New Roman" w:hAnsi="Times New Roman" w:eastAsia="方正仿宋_GBK"/>
          <w:bCs/>
          <w:caps w:val="0"/>
          <w:smallCaps w:val="0"/>
          <w:color w:val="auto"/>
          <w:kern w:val="2"/>
          <w:sz w:val="24"/>
          <w:szCs w:val="24"/>
          <w:highlight w:val="none"/>
        </w:rPr>
        <w:t>协议</w:t>
      </w:r>
      <w:r>
        <w:rPr>
          <w:rFonts w:hint="eastAsia" w:ascii="Times New Roman" w:hAnsi="Times New Roman" w:eastAsia="方正仿宋_GBK"/>
          <w:bCs/>
          <w:caps w:val="0"/>
          <w:smallCaps w:val="0"/>
          <w:color w:val="auto"/>
          <w:kern w:val="2"/>
          <w:sz w:val="24"/>
          <w:szCs w:val="24"/>
          <w:highlight w:val="none"/>
        </w:rPr>
        <w:t>下主要义务，且</w:t>
      </w:r>
      <w:r>
        <w:rPr>
          <w:rFonts w:hint="default" w:ascii="Times New Roman" w:hAnsi="Times New Roman" w:eastAsia="方正仿宋_GBK"/>
          <w:bCs/>
          <w:caps w:val="0"/>
          <w:smallCaps w:val="0"/>
          <w:color w:val="auto"/>
          <w:kern w:val="2"/>
          <w:sz w:val="24"/>
          <w:szCs w:val="24"/>
          <w:highlight w:val="none"/>
        </w:rPr>
        <w:t>各方不能就协议变更达成一致</w:t>
      </w:r>
      <w:r>
        <w:rPr>
          <w:rFonts w:hint="eastAsia" w:ascii="Times New Roman" w:hAnsi="Times New Roman" w:eastAsia="方正仿宋_GBK"/>
          <w:bCs/>
          <w:caps w:val="0"/>
          <w:smallCaps w:val="0"/>
          <w:color w:val="auto"/>
          <w:kern w:val="2"/>
          <w:sz w:val="24"/>
          <w:szCs w:val="24"/>
          <w:highlight w:val="none"/>
        </w:rPr>
        <w:t>，则任何</w:t>
      </w:r>
      <w:r>
        <w:rPr>
          <w:rFonts w:hint="eastAsia" w:ascii="Times New Roman" w:hAnsi="Times New Roman" w:eastAsia="方正仿宋_GBK"/>
          <w:caps w:val="0"/>
          <w:smallCaps w:val="0"/>
          <w:color w:val="auto"/>
          <w:kern w:val="0"/>
          <w:sz w:val="24"/>
          <w:szCs w:val="24"/>
          <w:highlight w:val="none"/>
        </w:rPr>
        <w:t>一方有权解除本协议，且有权解除协议的一方应向另一方送达因不可抗力事件解除本协议的通知，届时本协议应在本协议约定的不可抗力解除通知期限届满之时终止。</w:t>
      </w:r>
    </w:p>
    <w:p w14:paraId="4D1209BA">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567"/>
        <w:outlineLvl w:val="2"/>
        <w:rPr>
          <w:rFonts w:hint="eastAsia"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5.法律变更导致的解除</w:t>
      </w:r>
    </w:p>
    <w:p w14:paraId="47DD43FC">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eastAsia" w:ascii="Times New Roman" w:hAnsi="Times New Roman" w:eastAsia="方正仿宋_GBK"/>
          <w:caps w:val="0"/>
          <w:smallCaps w:val="0"/>
          <w:color w:val="auto"/>
          <w:kern w:val="2"/>
          <w:sz w:val="24"/>
          <w:szCs w:val="24"/>
          <w:highlight w:val="none"/>
        </w:rPr>
      </w:pPr>
      <w:r>
        <w:rPr>
          <w:rFonts w:hint="default" w:ascii="Times New Roman" w:hAnsi="Times New Roman" w:eastAsia="方正仿宋_GBK"/>
          <w:caps w:val="0"/>
          <w:smallCaps w:val="0"/>
          <w:color w:val="auto"/>
          <w:kern w:val="0"/>
          <w:sz w:val="24"/>
          <w:szCs w:val="24"/>
          <w:highlight w:val="none"/>
        </w:rPr>
        <w:t>如果因法律变更导致本协议履行的可行性受到严重不利影响，双方应就如何继续履行本协议进行协商。如果双方无法在</w:t>
      </w:r>
      <w:r>
        <w:rPr>
          <w:rFonts w:hint="eastAsia" w:ascii="Times New Roman" w:hAnsi="Times New Roman" w:eastAsia="方正仿宋_GBK"/>
          <w:caps w:val="0"/>
          <w:smallCaps w:val="0"/>
          <w:color w:val="auto"/>
          <w:kern w:val="0"/>
          <w:sz w:val="24"/>
          <w:szCs w:val="24"/>
          <w:highlight w:val="none"/>
          <w:lang w:eastAsia="zh-CN"/>
        </w:rPr>
        <w:t>3</w:t>
      </w:r>
      <w:r>
        <w:rPr>
          <w:rFonts w:hint="eastAsia" w:ascii="Times New Roman" w:hAnsi="Times New Roman" w:eastAsia="方正仿宋_GBK"/>
          <w:caps w:val="0"/>
          <w:smallCaps w:val="0"/>
          <w:color w:val="auto"/>
          <w:kern w:val="0"/>
          <w:sz w:val="24"/>
          <w:szCs w:val="24"/>
          <w:highlight w:val="none"/>
          <w:lang w:val="en-US" w:eastAsia="zh-CN"/>
        </w:rPr>
        <w:t>0</w:t>
      </w:r>
      <w:r>
        <w:rPr>
          <w:rFonts w:hint="eastAsia" w:ascii="Times New Roman" w:hAnsi="Times New Roman" w:eastAsia="方正仿宋_GBK"/>
          <w:caps w:val="0"/>
          <w:smallCaps w:val="0"/>
          <w:color w:val="auto"/>
          <w:kern w:val="0"/>
          <w:sz w:val="24"/>
          <w:szCs w:val="24"/>
          <w:highlight w:val="none"/>
        </w:rPr>
        <w:t>日</w:t>
      </w:r>
      <w:r>
        <w:rPr>
          <w:rFonts w:hint="default" w:ascii="Times New Roman" w:hAnsi="Times New Roman" w:eastAsia="方正仿宋_GBK"/>
          <w:caps w:val="0"/>
          <w:smallCaps w:val="0"/>
          <w:color w:val="auto"/>
          <w:kern w:val="0"/>
          <w:sz w:val="24"/>
          <w:szCs w:val="24"/>
          <w:highlight w:val="none"/>
        </w:rPr>
        <w:t>内或双方同意的更长时间内就如何继续履行本协议达成一致意见，</w:t>
      </w:r>
      <w:r>
        <w:rPr>
          <w:rFonts w:hint="eastAsia" w:ascii="Times New Roman" w:hAnsi="Times New Roman" w:eastAsia="方正仿宋_GBK"/>
          <w:caps w:val="0"/>
          <w:smallCaps w:val="0"/>
          <w:color w:val="auto"/>
          <w:kern w:val="0"/>
          <w:sz w:val="24"/>
          <w:szCs w:val="24"/>
          <w:highlight w:val="none"/>
        </w:rPr>
        <w:t>乙方</w:t>
      </w:r>
      <w:r>
        <w:rPr>
          <w:rFonts w:hint="default" w:ascii="Times New Roman" w:hAnsi="Times New Roman" w:eastAsia="方正仿宋_GBK"/>
          <w:caps w:val="0"/>
          <w:smallCaps w:val="0"/>
          <w:color w:val="auto"/>
          <w:kern w:val="0"/>
          <w:sz w:val="24"/>
          <w:szCs w:val="24"/>
          <w:highlight w:val="none"/>
        </w:rPr>
        <w:t>有权就该等不利影响进行评估，并向</w:t>
      </w:r>
      <w:r>
        <w:rPr>
          <w:rFonts w:hint="eastAsia" w:ascii="Times New Roman" w:hAnsi="Times New Roman" w:eastAsia="方正仿宋_GBK"/>
          <w:caps w:val="0"/>
          <w:smallCaps w:val="0"/>
          <w:color w:val="auto"/>
          <w:kern w:val="0"/>
          <w:sz w:val="24"/>
          <w:szCs w:val="24"/>
          <w:highlight w:val="none"/>
        </w:rPr>
        <w:t>甲方</w:t>
      </w:r>
      <w:r>
        <w:rPr>
          <w:rFonts w:hint="default" w:ascii="Times New Roman" w:hAnsi="Times New Roman" w:eastAsia="方正仿宋_GBK"/>
          <w:caps w:val="0"/>
          <w:smallCaps w:val="0"/>
          <w:color w:val="auto"/>
          <w:kern w:val="0"/>
          <w:sz w:val="24"/>
          <w:szCs w:val="24"/>
          <w:highlight w:val="none"/>
        </w:rPr>
        <w:t>提交评估报告。</w:t>
      </w:r>
      <w:r>
        <w:rPr>
          <w:rFonts w:hint="eastAsia" w:ascii="Times New Roman" w:hAnsi="Times New Roman" w:eastAsia="方正仿宋_GBK"/>
          <w:caps w:val="0"/>
          <w:smallCaps w:val="0"/>
          <w:color w:val="auto"/>
          <w:kern w:val="0"/>
          <w:sz w:val="24"/>
          <w:szCs w:val="24"/>
          <w:highlight w:val="none"/>
        </w:rPr>
        <w:t>乙方提交评估报告后明确提出要求解除本协议的情况下，甲方</w:t>
      </w:r>
      <w:r>
        <w:rPr>
          <w:rFonts w:hint="default" w:ascii="Times New Roman" w:hAnsi="Times New Roman" w:eastAsia="方正仿宋_GBK"/>
          <w:caps w:val="0"/>
          <w:smallCaps w:val="0"/>
          <w:color w:val="auto"/>
          <w:kern w:val="0"/>
          <w:sz w:val="24"/>
          <w:szCs w:val="24"/>
          <w:highlight w:val="none"/>
        </w:rPr>
        <w:t>应于收到</w:t>
      </w:r>
      <w:r>
        <w:rPr>
          <w:rFonts w:hint="eastAsia" w:ascii="Times New Roman" w:hAnsi="Times New Roman" w:eastAsia="方正仿宋_GBK"/>
          <w:caps w:val="0"/>
          <w:smallCaps w:val="0"/>
          <w:color w:val="auto"/>
          <w:kern w:val="0"/>
          <w:sz w:val="24"/>
          <w:szCs w:val="24"/>
          <w:highlight w:val="none"/>
        </w:rPr>
        <w:t>乙方</w:t>
      </w:r>
      <w:r>
        <w:rPr>
          <w:rFonts w:hint="default" w:ascii="Times New Roman" w:hAnsi="Times New Roman" w:eastAsia="方正仿宋_GBK"/>
          <w:caps w:val="0"/>
          <w:smallCaps w:val="0"/>
          <w:color w:val="auto"/>
          <w:kern w:val="0"/>
          <w:sz w:val="24"/>
          <w:szCs w:val="24"/>
          <w:highlight w:val="none"/>
        </w:rPr>
        <w:t>的评估报告之日起</w:t>
      </w:r>
      <w:r>
        <w:rPr>
          <w:rFonts w:hint="eastAsia" w:ascii="Times New Roman" w:hAnsi="Times New Roman" w:eastAsia="方正仿宋_GBK"/>
          <w:caps w:val="0"/>
          <w:smallCaps w:val="0"/>
          <w:color w:val="auto"/>
          <w:kern w:val="0"/>
          <w:sz w:val="24"/>
          <w:szCs w:val="24"/>
          <w:highlight w:val="none"/>
          <w:lang w:eastAsia="zh-CN"/>
        </w:rPr>
        <w:t>3</w:t>
      </w:r>
      <w:r>
        <w:rPr>
          <w:rFonts w:hint="eastAsia" w:ascii="Times New Roman" w:hAnsi="Times New Roman" w:eastAsia="方正仿宋_GBK"/>
          <w:caps w:val="0"/>
          <w:smallCaps w:val="0"/>
          <w:color w:val="auto"/>
          <w:kern w:val="0"/>
          <w:sz w:val="24"/>
          <w:szCs w:val="24"/>
          <w:highlight w:val="none"/>
          <w:lang w:val="en-US" w:eastAsia="zh-CN"/>
        </w:rPr>
        <w:t>0</w:t>
      </w:r>
      <w:r>
        <w:rPr>
          <w:rFonts w:hint="eastAsia" w:ascii="Times New Roman" w:hAnsi="Times New Roman" w:eastAsia="方正仿宋_GBK"/>
          <w:caps w:val="0"/>
          <w:smallCaps w:val="0"/>
          <w:color w:val="auto"/>
          <w:kern w:val="0"/>
          <w:sz w:val="24"/>
          <w:szCs w:val="24"/>
          <w:highlight w:val="none"/>
        </w:rPr>
        <w:t>日</w:t>
      </w:r>
      <w:r>
        <w:rPr>
          <w:rFonts w:hint="default" w:ascii="Times New Roman" w:hAnsi="Times New Roman" w:eastAsia="方正仿宋_GBK"/>
          <w:caps w:val="0"/>
          <w:smallCaps w:val="0"/>
          <w:color w:val="auto"/>
          <w:kern w:val="0"/>
          <w:sz w:val="24"/>
          <w:szCs w:val="24"/>
          <w:highlight w:val="none"/>
        </w:rPr>
        <w:t>内或双方同意的更长时间内给予同意或提出反对意见。在</w:t>
      </w:r>
      <w:r>
        <w:rPr>
          <w:rFonts w:hint="eastAsia" w:ascii="Times New Roman" w:hAnsi="Times New Roman" w:eastAsia="方正仿宋_GBK"/>
          <w:caps w:val="0"/>
          <w:smallCaps w:val="0"/>
          <w:color w:val="auto"/>
          <w:kern w:val="0"/>
          <w:sz w:val="24"/>
          <w:szCs w:val="24"/>
          <w:highlight w:val="none"/>
        </w:rPr>
        <w:t>甲方不</w:t>
      </w:r>
      <w:r>
        <w:rPr>
          <w:rFonts w:hint="default" w:ascii="Times New Roman" w:hAnsi="Times New Roman" w:eastAsia="方正仿宋_GBK"/>
          <w:caps w:val="0"/>
          <w:smallCaps w:val="0"/>
          <w:color w:val="auto"/>
          <w:kern w:val="0"/>
          <w:sz w:val="24"/>
          <w:szCs w:val="24"/>
          <w:highlight w:val="none"/>
        </w:rPr>
        <w:t>同意</w:t>
      </w:r>
      <w:r>
        <w:rPr>
          <w:rFonts w:hint="eastAsia" w:ascii="Times New Roman" w:hAnsi="Times New Roman" w:eastAsia="方正仿宋_GBK"/>
          <w:caps w:val="0"/>
          <w:smallCaps w:val="0"/>
          <w:color w:val="auto"/>
          <w:kern w:val="0"/>
          <w:sz w:val="24"/>
          <w:szCs w:val="24"/>
          <w:highlight w:val="none"/>
        </w:rPr>
        <w:t>解除协议但双方未能在后续的</w:t>
      </w:r>
      <w:r>
        <w:rPr>
          <w:rFonts w:hint="eastAsia" w:ascii="Times New Roman" w:hAnsi="Times New Roman" w:eastAsia="方正仿宋_GBK"/>
          <w:caps w:val="0"/>
          <w:smallCaps w:val="0"/>
          <w:color w:val="auto"/>
          <w:kern w:val="0"/>
          <w:sz w:val="24"/>
          <w:szCs w:val="24"/>
          <w:highlight w:val="none"/>
          <w:lang w:eastAsia="zh-CN"/>
        </w:rPr>
        <w:t>3</w:t>
      </w:r>
      <w:r>
        <w:rPr>
          <w:rFonts w:hint="eastAsia" w:ascii="Times New Roman" w:hAnsi="Times New Roman" w:eastAsia="方正仿宋_GBK"/>
          <w:caps w:val="0"/>
          <w:smallCaps w:val="0"/>
          <w:color w:val="auto"/>
          <w:kern w:val="0"/>
          <w:sz w:val="24"/>
          <w:szCs w:val="24"/>
          <w:highlight w:val="none"/>
          <w:lang w:val="en-US" w:eastAsia="zh-CN"/>
        </w:rPr>
        <w:t>0</w:t>
      </w:r>
      <w:r>
        <w:rPr>
          <w:rFonts w:hint="eastAsia" w:ascii="Times New Roman" w:hAnsi="Times New Roman" w:eastAsia="方正仿宋_GBK"/>
          <w:caps w:val="0"/>
          <w:smallCaps w:val="0"/>
          <w:color w:val="auto"/>
          <w:kern w:val="0"/>
          <w:sz w:val="24"/>
          <w:szCs w:val="24"/>
          <w:highlight w:val="none"/>
        </w:rPr>
        <w:t>日内达成继续履行本协议方案</w:t>
      </w:r>
      <w:r>
        <w:rPr>
          <w:rFonts w:hint="default" w:ascii="Times New Roman" w:hAnsi="Times New Roman" w:eastAsia="方正仿宋_GBK"/>
          <w:caps w:val="0"/>
          <w:smallCaps w:val="0"/>
          <w:color w:val="auto"/>
          <w:kern w:val="0"/>
          <w:sz w:val="24"/>
          <w:szCs w:val="24"/>
          <w:highlight w:val="none"/>
        </w:rPr>
        <w:t>的情况下，</w:t>
      </w:r>
      <w:r>
        <w:rPr>
          <w:rFonts w:hint="eastAsia" w:ascii="Times New Roman" w:hAnsi="Times New Roman" w:eastAsia="方正仿宋_GBK"/>
          <w:caps w:val="0"/>
          <w:smallCaps w:val="0"/>
          <w:color w:val="auto"/>
          <w:kern w:val="0"/>
          <w:sz w:val="24"/>
          <w:szCs w:val="24"/>
          <w:highlight w:val="none"/>
        </w:rPr>
        <w:t>乙方</w:t>
      </w:r>
      <w:r>
        <w:rPr>
          <w:rFonts w:hint="default" w:ascii="Times New Roman" w:hAnsi="Times New Roman" w:eastAsia="方正仿宋_GBK"/>
          <w:caps w:val="0"/>
          <w:smallCaps w:val="0"/>
          <w:color w:val="auto"/>
          <w:kern w:val="0"/>
          <w:sz w:val="24"/>
          <w:szCs w:val="24"/>
          <w:highlight w:val="none"/>
        </w:rPr>
        <w:t>有权发出</w:t>
      </w:r>
      <w:r>
        <w:rPr>
          <w:rFonts w:hint="eastAsia" w:ascii="Times New Roman" w:hAnsi="Times New Roman" w:eastAsia="方正仿宋_GBK"/>
          <w:caps w:val="0"/>
          <w:smallCaps w:val="0"/>
          <w:color w:val="auto"/>
          <w:kern w:val="0"/>
          <w:sz w:val="24"/>
          <w:szCs w:val="24"/>
          <w:highlight w:val="none"/>
        </w:rPr>
        <w:t>解除</w:t>
      </w:r>
      <w:r>
        <w:rPr>
          <w:rFonts w:hint="default" w:ascii="Times New Roman" w:hAnsi="Times New Roman" w:eastAsia="方正仿宋_GBK"/>
          <w:caps w:val="0"/>
          <w:smallCaps w:val="0"/>
          <w:color w:val="auto"/>
          <w:kern w:val="0"/>
          <w:sz w:val="24"/>
          <w:szCs w:val="24"/>
          <w:highlight w:val="none"/>
        </w:rPr>
        <w:t>通知</w:t>
      </w:r>
      <w:r>
        <w:rPr>
          <w:rFonts w:hint="eastAsia" w:ascii="Times New Roman" w:hAnsi="Times New Roman" w:eastAsia="方正仿宋_GBK"/>
          <w:caps w:val="0"/>
          <w:smallCaps w:val="0"/>
          <w:color w:val="auto"/>
          <w:kern w:val="0"/>
          <w:sz w:val="24"/>
          <w:szCs w:val="24"/>
          <w:highlight w:val="none"/>
        </w:rPr>
        <w:t>解除本协议</w:t>
      </w:r>
      <w:r>
        <w:rPr>
          <w:rFonts w:hint="default" w:ascii="Times New Roman" w:hAnsi="Times New Roman" w:eastAsia="方正仿宋_GBK"/>
          <w:caps w:val="0"/>
          <w:smallCaps w:val="0"/>
          <w:color w:val="auto"/>
          <w:kern w:val="2"/>
          <w:sz w:val="24"/>
          <w:szCs w:val="24"/>
          <w:highlight w:val="none"/>
        </w:rPr>
        <w:t>。</w:t>
      </w:r>
    </w:p>
    <w:p w14:paraId="22E1A8E3">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392" w:name="_Toc16366"/>
      <w:bookmarkStart w:id="393" w:name="_Toc405146886"/>
      <w:bookmarkStart w:id="394" w:name="_Toc3548"/>
      <w:bookmarkStart w:id="395" w:name="_Toc108514076"/>
      <w:r>
        <w:rPr>
          <w:rFonts w:hint="eastAsia" w:ascii="Times New Roman" w:hAnsi="Times New Roman" w:eastAsia="方正黑体_GBK" w:cs="方正黑体_GBK"/>
          <w:bCs/>
          <w:caps w:val="0"/>
          <w:smallCaps w:val="0"/>
          <w:color w:val="auto"/>
          <w:kern w:val="2"/>
          <w:sz w:val="28"/>
          <w:szCs w:val="28"/>
          <w:highlight w:val="none"/>
          <w:lang w:val="en-US" w:eastAsia="zh-CN" w:bidi="ar-SA"/>
        </w:rPr>
        <w:t>第54条 协议的解除程序</w:t>
      </w:r>
      <w:bookmarkEnd w:id="392"/>
      <w:bookmarkEnd w:id="393"/>
      <w:bookmarkEnd w:id="394"/>
      <w:bookmarkEnd w:id="395"/>
    </w:p>
    <w:p w14:paraId="4AC01782">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outlineLvl w:val="2"/>
        <w:rPr>
          <w:rFonts w:hint="eastAsia" w:ascii="Times New Roman" w:hAnsi="Times New Roman" w:eastAsia="方正仿宋_GBK" w:cs="Times New Roman"/>
          <w:b/>
          <w:caps w:val="0"/>
          <w:smallCaps w:val="0"/>
          <w:color w:val="auto"/>
          <w:kern w:val="2"/>
          <w:sz w:val="24"/>
          <w:szCs w:val="24"/>
          <w:highlight w:val="none"/>
          <w:lang w:val="en-US" w:eastAsia="zh-CN" w:bidi="ar-SA"/>
        </w:rPr>
      </w:pPr>
      <w:bookmarkStart w:id="396" w:name="_Toc149470792"/>
      <w:r>
        <w:rPr>
          <w:rFonts w:hint="eastAsia" w:ascii="Times New Roman" w:hAnsi="Times New Roman" w:eastAsia="方正仿宋_GBK" w:cs="Times New Roman"/>
          <w:b/>
          <w:caps w:val="0"/>
          <w:smallCaps w:val="0"/>
          <w:color w:val="auto"/>
          <w:kern w:val="2"/>
          <w:sz w:val="24"/>
          <w:szCs w:val="24"/>
          <w:highlight w:val="none"/>
          <w:lang w:val="en-US" w:eastAsia="zh-CN" w:bidi="ar-SA"/>
        </w:rPr>
        <w:t>1.解除协议的意向通知</w:t>
      </w:r>
      <w:bookmarkEnd w:id="396"/>
    </w:p>
    <w:p w14:paraId="298976E3">
      <w:pPr>
        <w:keepNext w:val="0"/>
        <w:keepLines w:val="0"/>
        <w:pageBreakBefore w:val="0"/>
        <w:widowControl w:val="0"/>
        <w:numPr>
          <w:ilvl w:val="0"/>
          <w:numId w:val="0"/>
        </w:numPr>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caps w:val="0"/>
          <w:smallCaps w:val="0"/>
          <w:color w:val="auto"/>
          <w:kern w:val="0"/>
          <w:sz w:val="24"/>
          <w:szCs w:val="24"/>
          <w:highlight w:val="none"/>
          <w:lang w:val="en-US" w:eastAsia="zh-CN" w:bidi="ar-SA"/>
        </w:rPr>
        <w:t>（1）</w:t>
      </w:r>
      <w:r>
        <w:rPr>
          <w:rFonts w:hint="default" w:ascii="Times New Roman" w:hAnsi="Times New Roman" w:eastAsia="方正仿宋_GBK" w:cs="Times New Roman"/>
          <w:caps w:val="0"/>
          <w:smallCaps w:val="0"/>
          <w:color w:val="auto"/>
          <w:kern w:val="0"/>
          <w:sz w:val="24"/>
          <w:szCs w:val="24"/>
          <w:highlight w:val="none"/>
        </w:rPr>
        <w:t>甲方或乙方按照本协议上述约定有权解除本协议时，应首先发出意向通知，应表述引起发出该通知的对方违约事件的合理详细的情况及拟提前解除本协议的原因。</w:t>
      </w:r>
    </w:p>
    <w:p w14:paraId="59427341">
      <w:pPr>
        <w:keepNext w:val="0"/>
        <w:keepLines w:val="0"/>
        <w:pageBreakBefore w:val="0"/>
        <w:widowControl w:val="0"/>
        <w:numPr>
          <w:ilvl w:val="0"/>
          <w:numId w:val="0"/>
        </w:numPr>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caps w:val="0"/>
          <w:smallCaps w:val="0"/>
          <w:color w:val="auto"/>
          <w:kern w:val="0"/>
          <w:sz w:val="24"/>
          <w:szCs w:val="24"/>
          <w:highlight w:val="none"/>
          <w:lang w:val="en-US" w:eastAsia="zh-CN" w:bidi="ar-SA"/>
        </w:rPr>
        <w:t>（2）</w:t>
      </w:r>
      <w:r>
        <w:rPr>
          <w:rFonts w:hint="default" w:ascii="Times New Roman" w:hAnsi="Times New Roman" w:eastAsia="方正仿宋_GBK" w:cs="Times New Roman"/>
          <w:caps w:val="0"/>
          <w:smallCaps w:val="0"/>
          <w:color w:val="auto"/>
          <w:kern w:val="0"/>
          <w:sz w:val="24"/>
          <w:szCs w:val="24"/>
          <w:highlight w:val="none"/>
        </w:rPr>
        <w:t>在解除协议的意向通知发出之后，甲</w:t>
      </w:r>
      <w:r>
        <w:rPr>
          <w:rFonts w:hint="default" w:ascii="Times New Roman" w:hAnsi="Times New Roman" w:eastAsia="方正仿宋_GBK" w:cs="Times New Roman"/>
          <w:caps w:val="0"/>
          <w:smallCaps w:val="0"/>
          <w:color w:val="auto"/>
          <w:kern w:val="0"/>
          <w:sz w:val="24"/>
          <w:szCs w:val="24"/>
          <w:highlight w:val="none"/>
          <w:lang w:eastAsia="zh-CN"/>
        </w:rPr>
        <w:t>、</w:t>
      </w:r>
      <w:r>
        <w:rPr>
          <w:rFonts w:hint="default" w:ascii="Times New Roman" w:hAnsi="Times New Roman" w:eastAsia="方正仿宋_GBK" w:cs="Times New Roman"/>
          <w:caps w:val="0"/>
          <w:smallCaps w:val="0"/>
          <w:color w:val="auto"/>
          <w:kern w:val="0"/>
          <w:sz w:val="24"/>
          <w:szCs w:val="24"/>
          <w:highlight w:val="none"/>
        </w:rPr>
        <w:t>乙双方应在</w:t>
      </w:r>
      <w:r>
        <w:rPr>
          <w:rFonts w:hint="eastAsia" w:ascii="Times New Roman" w:hAnsi="Times New Roman" w:eastAsia="方正仿宋_GBK" w:cs="Times New Roman"/>
          <w:caps w:val="0"/>
          <w:smallCaps w:val="0"/>
          <w:color w:val="auto"/>
          <w:kern w:val="0"/>
          <w:sz w:val="24"/>
          <w:szCs w:val="24"/>
          <w:highlight w:val="none"/>
          <w:lang w:eastAsia="zh-CN"/>
        </w:rPr>
        <w:t>1</w:t>
      </w:r>
      <w:r>
        <w:rPr>
          <w:rFonts w:hint="eastAsia" w:ascii="Times New Roman" w:hAnsi="Times New Roman" w:eastAsia="方正仿宋_GBK" w:cs="Times New Roman"/>
          <w:caps w:val="0"/>
          <w:smallCaps w:val="0"/>
          <w:color w:val="auto"/>
          <w:kern w:val="0"/>
          <w:sz w:val="24"/>
          <w:szCs w:val="24"/>
          <w:highlight w:val="none"/>
          <w:lang w:val="en-US" w:eastAsia="zh-CN"/>
        </w:rPr>
        <w:t>20</w:t>
      </w:r>
      <w:r>
        <w:rPr>
          <w:rFonts w:hint="default" w:ascii="Times New Roman" w:hAnsi="Times New Roman" w:eastAsia="方正仿宋_GBK" w:cs="Times New Roman"/>
          <w:caps w:val="0"/>
          <w:smallCaps w:val="0"/>
          <w:color w:val="auto"/>
          <w:kern w:val="0"/>
          <w:sz w:val="24"/>
          <w:szCs w:val="24"/>
          <w:highlight w:val="none"/>
        </w:rPr>
        <w:t>日之内或双方同意的更长时间内</w:t>
      </w:r>
      <w:r>
        <w:rPr>
          <w:rFonts w:hint="default" w:ascii="Times New Roman" w:hAnsi="Times New Roman" w:eastAsia="方正仿宋_GBK" w:cs="Times New Roman"/>
          <w:caps w:val="0"/>
          <w:smallCaps w:val="0"/>
          <w:color w:val="auto"/>
          <w:kern w:val="0"/>
          <w:sz w:val="24"/>
          <w:szCs w:val="24"/>
          <w:highlight w:val="none"/>
          <w:lang w:eastAsia="zh-CN"/>
        </w:rPr>
        <w:t>（</w:t>
      </w:r>
      <w:r>
        <w:rPr>
          <w:rFonts w:hint="default" w:ascii="Times New Roman" w:hAnsi="Times New Roman" w:eastAsia="方正仿宋_GBK" w:cs="Times New Roman"/>
          <w:caps w:val="0"/>
          <w:smallCaps w:val="0"/>
          <w:color w:val="auto"/>
          <w:kern w:val="0"/>
          <w:sz w:val="24"/>
          <w:szCs w:val="24"/>
          <w:highlight w:val="none"/>
        </w:rPr>
        <w:t>以下简称</w:t>
      </w:r>
      <w:r>
        <w:rPr>
          <w:rFonts w:hint="eastAsia" w:ascii="方正仿宋_GBK" w:hAnsi="方正仿宋_GBK" w:eastAsia="方正仿宋_GBK" w:cs="方正仿宋_GBK"/>
          <w:caps w:val="0"/>
          <w:smallCaps w:val="0"/>
          <w:color w:val="auto"/>
          <w:kern w:val="0"/>
          <w:sz w:val="24"/>
          <w:szCs w:val="24"/>
          <w:highlight w:val="none"/>
          <w:lang w:eastAsia="zh-CN"/>
        </w:rPr>
        <w:t>“</w:t>
      </w:r>
      <w:r>
        <w:rPr>
          <w:rFonts w:hint="eastAsia" w:ascii="方正仿宋_GBK" w:hAnsi="方正仿宋_GBK" w:eastAsia="方正仿宋_GBK" w:cs="方正仿宋_GBK"/>
          <w:caps w:val="0"/>
          <w:smallCaps w:val="0"/>
          <w:color w:val="auto"/>
          <w:kern w:val="0"/>
          <w:sz w:val="24"/>
          <w:szCs w:val="24"/>
          <w:highlight w:val="none"/>
        </w:rPr>
        <w:t>协商期</w:t>
      </w:r>
      <w:r>
        <w:rPr>
          <w:rFonts w:hint="eastAsia" w:ascii="方正仿宋_GBK" w:hAnsi="方正仿宋_GBK" w:eastAsia="方正仿宋_GBK" w:cs="方正仿宋_GBK"/>
          <w:caps w:val="0"/>
          <w:smallCaps w:val="0"/>
          <w:color w:val="auto"/>
          <w:kern w:val="0"/>
          <w:sz w:val="24"/>
          <w:szCs w:val="24"/>
          <w:highlight w:val="none"/>
          <w:lang w:eastAsia="zh-CN"/>
        </w:rPr>
        <w:t>”</w:t>
      </w:r>
      <w:r>
        <w:rPr>
          <w:rFonts w:hint="default" w:ascii="Times New Roman" w:hAnsi="Times New Roman" w:eastAsia="方正仿宋_GBK" w:cs="Times New Roman"/>
          <w:caps w:val="0"/>
          <w:smallCaps w:val="0"/>
          <w:color w:val="auto"/>
          <w:kern w:val="0"/>
          <w:sz w:val="24"/>
          <w:szCs w:val="24"/>
          <w:highlight w:val="none"/>
          <w:lang w:eastAsia="zh-CN"/>
        </w:rPr>
        <w:t>）</w:t>
      </w:r>
      <w:r>
        <w:rPr>
          <w:rFonts w:hint="default" w:ascii="Times New Roman" w:hAnsi="Times New Roman" w:eastAsia="方正仿宋_GBK" w:cs="Times New Roman"/>
          <w:caps w:val="0"/>
          <w:smallCaps w:val="0"/>
          <w:color w:val="auto"/>
          <w:kern w:val="0"/>
          <w:sz w:val="24"/>
          <w:szCs w:val="24"/>
          <w:highlight w:val="none"/>
        </w:rPr>
        <w:t>协商避免本协议终止的措施。</w:t>
      </w:r>
    </w:p>
    <w:p w14:paraId="4883A055">
      <w:pPr>
        <w:keepNext w:val="0"/>
        <w:keepLines w:val="0"/>
        <w:pageBreakBefore w:val="0"/>
        <w:widowControl w:val="0"/>
        <w:numPr>
          <w:ilvl w:val="0"/>
          <w:numId w:val="0"/>
        </w:numPr>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caps w:val="0"/>
          <w:smallCaps w:val="0"/>
          <w:color w:val="auto"/>
          <w:kern w:val="0"/>
          <w:sz w:val="24"/>
          <w:szCs w:val="24"/>
          <w:highlight w:val="none"/>
          <w:lang w:val="en-US" w:eastAsia="zh-CN" w:bidi="ar-SA"/>
        </w:rPr>
        <w:t>（3）</w:t>
      </w:r>
      <w:r>
        <w:rPr>
          <w:rFonts w:hint="default" w:ascii="Times New Roman" w:hAnsi="Times New Roman" w:eastAsia="方正仿宋_GBK" w:cs="Times New Roman"/>
          <w:caps w:val="0"/>
          <w:smallCaps w:val="0"/>
          <w:color w:val="auto"/>
          <w:kern w:val="0"/>
          <w:sz w:val="24"/>
          <w:szCs w:val="24"/>
          <w:highlight w:val="none"/>
        </w:rPr>
        <w:t>如果甲</w:t>
      </w:r>
      <w:r>
        <w:rPr>
          <w:rFonts w:hint="default" w:ascii="Times New Roman" w:hAnsi="Times New Roman" w:eastAsia="方正仿宋_GBK" w:cs="Times New Roman"/>
          <w:caps w:val="0"/>
          <w:smallCaps w:val="0"/>
          <w:color w:val="auto"/>
          <w:kern w:val="0"/>
          <w:sz w:val="24"/>
          <w:szCs w:val="24"/>
          <w:highlight w:val="none"/>
          <w:lang w:eastAsia="zh-CN"/>
        </w:rPr>
        <w:t>、</w:t>
      </w:r>
      <w:r>
        <w:rPr>
          <w:rFonts w:hint="default" w:ascii="Times New Roman" w:hAnsi="Times New Roman" w:eastAsia="方正仿宋_GBK" w:cs="Times New Roman"/>
          <w:caps w:val="0"/>
          <w:smallCaps w:val="0"/>
          <w:color w:val="auto"/>
          <w:kern w:val="0"/>
          <w:sz w:val="24"/>
          <w:szCs w:val="24"/>
          <w:highlight w:val="none"/>
        </w:rPr>
        <w:t>乙双方就将要采取的措施达成一致意见，并且/或者违约方在协商期内纠正了违约事件，终止意向通知应立即自动失效。</w:t>
      </w:r>
    </w:p>
    <w:p w14:paraId="794B5078">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outlineLvl w:val="2"/>
        <w:rPr>
          <w:rFonts w:hint="eastAsia" w:ascii="Times New Roman" w:hAnsi="Times New Roman" w:eastAsia="方正仿宋_GBK" w:cs="Times New Roman"/>
          <w:b/>
          <w:caps w:val="0"/>
          <w:smallCaps w:val="0"/>
          <w:color w:val="auto"/>
          <w:kern w:val="2"/>
          <w:sz w:val="24"/>
          <w:szCs w:val="24"/>
          <w:highlight w:val="none"/>
          <w:lang w:val="en-US" w:eastAsia="zh-CN" w:bidi="ar-SA"/>
        </w:rPr>
      </w:pPr>
      <w:bookmarkStart w:id="397" w:name="_bookmark191"/>
      <w:bookmarkEnd w:id="397"/>
      <w:bookmarkStart w:id="398" w:name="_bookmark134"/>
      <w:bookmarkEnd w:id="398"/>
      <w:bookmarkStart w:id="399" w:name="_Toc149470793"/>
      <w:r>
        <w:rPr>
          <w:rFonts w:hint="eastAsia" w:ascii="Times New Roman" w:hAnsi="Times New Roman" w:eastAsia="方正仿宋_GBK" w:cs="Times New Roman"/>
          <w:b/>
          <w:caps w:val="0"/>
          <w:smallCaps w:val="0"/>
          <w:color w:val="auto"/>
          <w:kern w:val="2"/>
          <w:sz w:val="24"/>
          <w:szCs w:val="24"/>
          <w:highlight w:val="none"/>
          <w:lang w:val="en-US" w:eastAsia="zh-CN" w:bidi="ar-SA"/>
        </w:rPr>
        <w:t>2.解除协议的通知</w:t>
      </w:r>
      <w:bookmarkEnd w:id="399"/>
    </w:p>
    <w:p w14:paraId="3A923B98">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在终止意向通知发出后，在协商期满时，除非甲</w:t>
      </w:r>
      <w:r>
        <w:rPr>
          <w:rFonts w:hint="eastAsia" w:ascii="Times New Roman" w:hAnsi="Times New Roman" w:eastAsia="方正仿宋_GBK"/>
          <w:caps w:val="0"/>
          <w:smallCaps w:val="0"/>
          <w:color w:val="auto"/>
          <w:kern w:val="2"/>
          <w:sz w:val="24"/>
          <w:szCs w:val="24"/>
          <w:highlight w:val="none"/>
          <w:lang w:eastAsia="zh-CN"/>
        </w:rPr>
        <w:t>、</w:t>
      </w:r>
      <w:r>
        <w:rPr>
          <w:rFonts w:hint="eastAsia" w:ascii="Times New Roman" w:hAnsi="Times New Roman" w:eastAsia="方正仿宋_GBK"/>
          <w:caps w:val="0"/>
          <w:smallCaps w:val="0"/>
          <w:color w:val="auto"/>
          <w:kern w:val="2"/>
          <w:sz w:val="24"/>
          <w:szCs w:val="24"/>
          <w:highlight w:val="none"/>
        </w:rPr>
        <w:t>乙双方达成继续履行本协议的一致意见或导致发出终止意向通知的违约事件得到纠正，否则发出终止意向通知的一方有权发出终止通知，本协议按照终止通知中载明的日期终止。</w:t>
      </w:r>
    </w:p>
    <w:p w14:paraId="714CE67E">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outlineLvl w:val="2"/>
        <w:rPr>
          <w:rFonts w:hint="eastAsia"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3.解除后果</w:t>
      </w:r>
    </w:p>
    <w:p w14:paraId="3F5BEF43">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eastAsia" w:ascii="Times New Roman" w:hAnsi="Times New Roman" w:eastAsia="方正仿宋_GBK"/>
          <w:caps w:val="0"/>
          <w:smallCaps w:val="0"/>
          <w:color w:val="auto"/>
          <w:kern w:val="2"/>
          <w:sz w:val="28"/>
          <w:szCs w:val="28"/>
          <w:highlight w:val="none"/>
        </w:rPr>
      </w:pPr>
      <w:r>
        <w:rPr>
          <w:rFonts w:hint="eastAsia" w:ascii="Times New Roman" w:hAnsi="Times New Roman" w:eastAsia="方正仿宋_GBK"/>
          <w:caps w:val="0"/>
          <w:smallCaps w:val="0"/>
          <w:color w:val="auto"/>
          <w:kern w:val="2"/>
          <w:sz w:val="24"/>
          <w:szCs w:val="24"/>
          <w:highlight w:val="none"/>
        </w:rPr>
        <w:t>本协议解除后，双方应根据本协议第</w:t>
      </w:r>
      <w:r>
        <w:rPr>
          <w:rFonts w:hint="eastAsia" w:ascii="Times New Roman" w:hAnsi="Times New Roman" w:eastAsia="方正仿宋_GBK"/>
          <w:caps w:val="0"/>
          <w:smallCaps w:val="0"/>
          <w:color w:val="auto"/>
          <w:kern w:val="2"/>
          <w:sz w:val="24"/>
          <w:szCs w:val="24"/>
          <w:highlight w:val="none"/>
          <w:lang w:eastAsia="zh-CN"/>
        </w:rPr>
        <w:t>5</w:t>
      </w:r>
      <w:r>
        <w:rPr>
          <w:rFonts w:hint="eastAsia" w:ascii="Times New Roman" w:hAnsi="Times New Roman" w:eastAsia="方正仿宋_GBK"/>
          <w:caps w:val="0"/>
          <w:smallCaps w:val="0"/>
          <w:color w:val="auto"/>
          <w:kern w:val="2"/>
          <w:sz w:val="24"/>
          <w:szCs w:val="24"/>
          <w:highlight w:val="none"/>
          <w:lang w:val="en-US" w:eastAsia="zh-CN"/>
        </w:rPr>
        <w:t>8</w:t>
      </w:r>
      <w:r>
        <w:rPr>
          <w:rFonts w:hint="eastAsia" w:ascii="Times New Roman" w:hAnsi="Times New Roman" w:eastAsia="方正仿宋_GBK"/>
          <w:caps w:val="0"/>
          <w:smallCaps w:val="0"/>
          <w:color w:val="auto"/>
          <w:kern w:val="2"/>
          <w:sz w:val="24"/>
          <w:szCs w:val="24"/>
          <w:highlight w:val="none"/>
        </w:rPr>
        <w:t>条的约定进行项目的移交，乙方有权根据第</w:t>
      </w:r>
      <w:r>
        <w:rPr>
          <w:rFonts w:hint="eastAsia" w:ascii="Times New Roman" w:hAnsi="Times New Roman" w:eastAsia="方正仿宋_GBK"/>
          <w:caps w:val="0"/>
          <w:smallCaps w:val="0"/>
          <w:color w:val="auto"/>
          <w:kern w:val="2"/>
          <w:sz w:val="24"/>
          <w:szCs w:val="24"/>
          <w:highlight w:val="none"/>
          <w:lang w:eastAsia="zh-CN"/>
        </w:rPr>
        <w:t>5</w:t>
      </w:r>
      <w:r>
        <w:rPr>
          <w:rFonts w:hint="eastAsia" w:ascii="Times New Roman" w:hAnsi="Times New Roman" w:eastAsia="方正仿宋_GBK"/>
          <w:caps w:val="0"/>
          <w:smallCaps w:val="0"/>
          <w:color w:val="auto"/>
          <w:kern w:val="2"/>
          <w:sz w:val="24"/>
          <w:szCs w:val="24"/>
          <w:highlight w:val="none"/>
          <w:lang w:val="en-US" w:eastAsia="zh-CN"/>
        </w:rPr>
        <w:t>5</w:t>
      </w:r>
      <w:r>
        <w:rPr>
          <w:rFonts w:hint="eastAsia" w:ascii="Times New Roman" w:hAnsi="Times New Roman" w:eastAsia="方正仿宋_GBK"/>
          <w:caps w:val="0"/>
          <w:smallCaps w:val="0"/>
          <w:color w:val="auto"/>
          <w:kern w:val="2"/>
          <w:sz w:val="24"/>
          <w:szCs w:val="24"/>
          <w:highlight w:val="none"/>
        </w:rPr>
        <w:t>条的约定获得补偿。在项目移交前，乙方有权继续按照本协议的约定标准运营项目并按照本协议的约定标准获得收益，或在项目已无法运营的情况下</w:t>
      </w:r>
      <w:r>
        <w:rPr>
          <w:rFonts w:hint="eastAsia" w:ascii="Times New Roman" w:hAnsi="Times New Roman" w:eastAsia="方正仿宋_GBK" w:cs="Times New Roman"/>
          <w:bCs w:val="0"/>
          <w:caps w:val="0"/>
          <w:smallCaps w:val="0"/>
          <w:color w:val="auto"/>
          <w:kern w:val="2"/>
          <w:sz w:val="24"/>
          <w:szCs w:val="24"/>
          <w:highlight w:val="none"/>
        </w:rPr>
        <w:t>基于诚实信用原则和谨慎运营惯例合理地对项目资产进行保管、维护和运行并自解除日由甲方承担此期间保管、维护和运行的合理成本和乙方的合理收益</w:t>
      </w:r>
      <w:r>
        <w:rPr>
          <w:rFonts w:hint="eastAsia" w:ascii="Times New Roman" w:hAnsi="Times New Roman" w:eastAsia="方正仿宋_GBK"/>
          <w:caps w:val="0"/>
          <w:smallCaps w:val="0"/>
          <w:color w:val="auto"/>
          <w:kern w:val="2"/>
          <w:sz w:val="24"/>
          <w:szCs w:val="24"/>
          <w:highlight w:val="none"/>
        </w:rPr>
        <w:t>。甲方在支付补偿时，有权将乙方应当根据本协议承担的违约责任金额从应支付的补偿中进行扣除。</w:t>
      </w:r>
    </w:p>
    <w:p w14:paraId="3F798B58">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400" w:name="_Toc13889"/>
      <w:bookmarkStart w:id="401" w:name="_Toc33530441"/>
      <w:bookmarkStart w:id="402" w:name="_Toc17608"/>
      <w:bookmarkStart w:id="403" w:name="_Toc405146887"/>
      <w:r>
        <w:rPr>
          <w:rFonts w:hint="eastAsia" w:ascii="Times New Roman" w:hAnsi="Times New Roman" w:eastAsia="方正黑体_GBK" w:cs="方正黑体_GBK"/>
          <w:bCs/>
          <w:caps w:val="0"/>
          <w:smallCaps w:val="0"/>
          <w:color w:val="auto"/>
          <w:kern w:val="2"/>
          <w:sz w:val="28"/>
          <w:szCs w:val="28"/>
          <w:highlight w:val="none"/>
          <w:lang w:val="en-US" w:eastAsia="zh-CN" w:bidi="ar-SA"/>
        </w:rPr>
        <w:t>第55条 协议解除后的财务安排</w:t>
      </w:r>
      <w:bookmarkEnd w:id="400"/>
      <w:bookmarkEnd w:id="401"/>
      <w:bookmarkEnd w:id="402"/>
      <w:bookmarkEnd w:id="403"/>
    </w:p>
    <w:p w14:paraId="28D60338">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567"/>
        <w:outlineLvl w:val="2"/>
        <w:rPr>
          <w:rFonts w:ascii="Times New Roman" w:hAnsi="Times New Roman" w:eastAsia="方正仿宋_GBK" w:cs="Times New Roman"/>
          <w:b/>
          <w:bCs/>
          <w:caps w:val="0"/>
          <w:smallCaps w:val="0"/>
          <w:color w:val="auto"/>
          <w:kern w:val="2"/>
          <w:sz w:val="24"/>
          <w:szCs w:val="24"/>
          <w:highlight w:val="none"/>
          <w:lang w:val="en-US" w:eastAsia="zh-CN" w:bidi="ar-SA"/>
        </w:rPr>
      </w:pPr>
      <w:bookmarkStart w:id="404" w:name="_Hlk152430840"/>
      <w:bookmarkStart w:id="405" w:name="_Toc405146888"/>
      <w:r>
        <w:rPr>
          <w:rFonts w:hint="default" w:ascii="Times New Roman" w:hAnsi="Times New Roman" w:eastAsia="宋体" w:cs="Times New Roman"/>
          <w:b/>
          <w:bCs/>
          <w:caps w:val="0"/>
          <w:smallCaps w:val="0"/>
          <w:color w:val="auto"/>
          <w:kern w:val="2"/>
          <w:sz w:val="24"/>
          <w:szCs w:val="24"/>
          <w:highlight w:val="none"/>
          <w:lang w:val="en-US" w:eastAsia="zh-CN" w:bidi="ar-SA"/>
        </w:rPr>
        <w:t>1.</w:t>
      </w:r>
      <w:r>
        <w:rPr>
          <w:rFonts w:hint="eastAsia" w:ascii="Times New Roman" w:hAnsi="Times New Roman" w:eastAsia="方正仿宋_GBK" w:cs="Times New Roman"/>
          <w:b/>
          <w:bCs/>
          <w:caps w:val="0"/>
          <w:smallCaps w:val="0"/>
          <w:color w:val="auto"/>
          <w:kern w:val="2"/>
          <w:sz w:val="24"/>
          <w:szCs w:val="24"/>
          <w:highlight w:val="none"/>
          <w:lang w:val="en-US" w:eastAsia="zh-CN" w:bidi="ar-SA"/>
        </w:rPr>
        <w:t>乙方违约导致的终止</w:t>
      </w:r>
    </w:p>
    <w:p w14:paraId="01AEEC74">
      <w:pPr>
        <w:keepNext w:val="0"/>
        <w:keepLines w:val="0"/>
        <w:pageBreakBefore w:val="0"/>
        <w:widowControl w:val="0"/>
        <w:numPr>
          <w:ilvl w:val="0"/>
          <w:numId w:val="4"/>
        </w:numPr>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eastAsia" w:ascii="Times New Roman" w:hAnsi="Times New Roman" w:eastAsia="方正仿宋_GBK"/>
          <w:bCs/>
          <w:caps w:val="0"/>
          <w:smallCaps w:val="0"/>
          <w:color w:val="auto"/>
          <w:kern w:val="2"/>
          <w:sz w:val="24"/>
          <w:szCs w:val="24"/>
          <w:highlight w:val="none"/>
        </w:rPr>
      </w:pPr>
      <w:r>
        <w:rPr>
          <w:rFonts w:hint="eastAsia" w:ascii="Times New Roman" w:hAnsi="Times New Roman" w:eastAsia="方正仿宋_GBK"/>
          <w:bCs/>
          <w:caps w:val="0"/>
          <w:smallCaps w:val="0"/>
          <w:color w:val="auto"/>
          <w:kern w:val="2"/>
          <w:sz w:val="24"/>
          <w:szCs w:val="24"/>
          <w:highlight w:val="none"/>
        </w:rPr>
        <w:t>如果甲方由于乙方未能按照</w:t>
      </w:r>
      <w:r>
        <w:rPr>
          <w:rFonts w:hint="eastAsia" w:ascii="Times New Roman" w:hAnsi="Times New Roman" w:eastAsia="方正仿宋_GBK"/>
          <w:bCs/>
          <w:caps w:val="0"/>
          <w:smallCaps w:val="0"/>
          <w:color w:val="auto"/>
          <w:kern w:val="2"/>
          <w:sz w:val="24"/>
          <w:szCs w:val="24"/>
          <w:highlight w:val="none"/>
          <w:lang w:val="en-US" w:eastAsia="zh-CN"/>
        </w:rPr>
        <w:t>本协议约定</w:t>
      </w:r>
      <w:r>
        <w:rPr>
          <w:rFonts w:hint="eastAsia" w:ascii="Times New Roman" w:hAnsi="Times New Roman" w:eastAsia="方正仿宋_GBK"/>
          <w:bCs/>
          <w:caps w:val="0"/>
          <w:smallCaps w:val="0"/>
          <w:color w:val="auto"/>
          <w:kern w:val="2"/>
          <w:sz w:val="24"/>
          <w:szCs w:val="24"/>
          <w:highlight w:val="none"/>
        </w:rPr>
        <w:t>提交履约保证金而终止本协议，则甲方有权没收投标保证金的全部金额。</w:t>
      </w:r>
    </w:p>
    <w:p w14:paraId="509E6318">
      <w:pPr>
        <w:keepNext w:val="0"/>
        <w:keepLines w:val="0"/>
        <w:pageBreakBefore w:val="0"/>
        <w:widowControl w:val="0"/>
        <w:numPr>
          <w:ilvl w:val="0"/>
          <w:numId w:val="4"/>
        </w:numPr>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bCs/>
          <w:caps w:val="0"/>
          <w:smallCaps w:val="0"/>
          <w:color w:val="auto"/>
          <w:kern w:val="2"/>
          <w:sz w:val="24"/>
          <w:szCs w:val="24"/>
          <w:highlight w:val="none"/>
        </w:rPr>
      </w:pPr>
      <w:r>
        <w:rPr>
          <w:rFonts w:hint="eastAsia" w:ascii="Times New Roman" w:hAnsi="Times New Roman" w:eastAsia="方正仿宋_GBK"/>
          <w:bCs/>
          <w:caps w:val="0"/>
          <w:smallCaps w:val="0"/>
          <w:color w:val="auto"/>
          <w:kern w:val="2"/>
          <w:sz w:val="24"/>
          <w:szCs w:val="24"/>
          <w:highlight w:val="none"/>
        </w:rPr>
        <w:t>如果甲方因第</w:t>
      </w:r>
      <w:r>
        <w:rPr>
          <w:rFonts w:hint="eastAsia" w:ascii="Times New Roman" w:hAnsi="Times New Roman" w:eastAsia="方正仿宋_GBK" w:cs="Times New Roman"/>
          <w:caps w:val="0"/>
          <w:smallCaps w:val="0"/>
          <w:color w:val="auto"/>
          <w:kern w:val="0"/>
          <w:sz w:val="24"/>
          <w:szCs w:val="24"/>
          <w:highlight w:val="none"/>
          <w:lang w:val="en-US" w:eastAsia="zh-CN"/>
        </w:rPr>
        <w:t>53</w:t>
      </w:r>
      <w:r>
        <w:rPr>
          <w:rFonts w:hint="eastAsia" w:ascii="Times New Roman" w:hAnsi="Times New Roman" w:eastAsia="方正仿宋_GBK"/>
          <w:bCs/>
          <w:caps w:val="0"/>
          <w:smallCaps w:val="0"/>
          <w:color w:val="auto"/>
          <w:kern w:val="2"/>
          <w:sz w:val="24"/>
          <w:szCs w:val="24"/>
          <w:highlight w:val="none"/>
        </w:rPr>
        <w:t>条规定的乙方的其他违约事件而终止本协议，则甲方或其指定的执行机构应获得乙方对项目的所有权利、所有权和利益，但甲方或其指定的执行机构应按本协议约定向乙方支付相应的补偿金额。</w:t>
      </w:r>
    </w:p>
    <w:p w14:paraId="148C6FB0">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567"/>
        <w:outlineLvl w:val="2"/>
        <w:rPr>
          <w:rFonts w:ascii="Times New Roman" w:hAnsi="Times New Roman" w:eastAsia="方正仿宋_GBK" w:cs="Times New Roman"/>
          <w:b/>
          <w:bCs/>
          <w:caps w:val="0"/>
          <w:smallCaps w:val="0"/>
          <w:color w:val="auto"/>
          <w:kern w:val="2"/>
          <w:sz w:val="24"/>
          <w:szCs w:val="24"/>
          <w:highlight w:val="none"/>
          <w:lang w:val="en-US" w:eastAsia="zh-CN" w:bidi="ar-SA"/>
        </w:rPr>
      </w:pPr>
      <w:r>
        <w:rPr>
          <w:rFonts w:hint="default" w:ascii="Times New Roman" w:hAnsi="Times New Roman" w:eastAsia="宋体" w:cs="Times New Roman"/>
          <w:b/>
          <w:bCs/>
          <w:caps w:val="0"/>
          <w:smallCaps w:val="0"/>
          <w:color w:val="auto"/>
          <w:kern w:val="2"/>
          <w:sz w:val="24"/>
          <w:szCs w:val="24"/>
          <w:highlight w:val="none"/>
          <w:lang w:val="en-US" w:eastAsia="zh-CN" w:bidi="ar-SA"/>
        </w:rPr>
        <w:t>2.</w:t>
      </w:r>
      <w:r>
        <w:rPr>
          <w:rFonts w:hint="eastAsia" w:ascii="Times New Roman" w:hAnsi="Times New Roman" w:eastAsia="方正仿宋_GBK" w:cs="Times New Roman"/>
          <w:b/>
          <w:bCs/>
          <w:caps w:val="0"/>
          <w:smallCaps w:val="0"/>
          <w:color w:val="auto"/>
          <w:kern w:val="2"/>
          <w:sz w:val="24"/>
          <w:szCs w:val="24"/>
          <w:highlight w:val="none"/>
          <w:lang w:val="en-US" w:eastAsia="zh-CN" w:bidi="ar-SA"/>
        </w:rPr>
        <w:t>甲方违约导致的终止</w:t>
      </w:r>
    </w:p>
    <w:p w14:paraId="4DB7935B">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bCs/>
          <w:caps w:val="0"/>
          <w:smallCaps w:val="0"/>
          <w:color w:val="auto"/>
          <w:kern w:val="2"/>
          <w:sz w:val="24"/>
          <w:szCs w:val="24"/>
          <w:highlight w:val="none"/>
        </w:rPr>
      </w:pPr>
      <w:r>
        <w:rPr>
          <w:rFonts w:hint="eastAsia" w:ascii="Times New Roman" w:hAnsi="Times New Roman" w:eastAsia="方正仿宋_GBK"/>
          <w:bCs/>
          <w:caps w:val="0"/>
          <w:smallCaps w:val="0"/>
          <w:color w:val="auto"/>
          <w:kern w:val="2"/>
          <w:sz w:val="24"/>
          <w:szCs w:val="24"/>
          <w:highlight w:val="none"/>
        </w:rPr>
        <w:t>如果乙方因第</w:t>
      </w:r>
      <w:r>
        <w:rPr>
          <w:rFonts w:hint="eastAsia" w:ascii="Times New Roman" w:hAnsi="Times New Roman" w:eastAsia="方正仿宋_GBK"/>
          <w:bCs/>
          <w:caps w:val="0"/>
          <w:smallCaps w:val="0"/>
          <w:color w:val="auto"/>
          <w:kern w:val="2"/>
          <w:sz w:val="24"/>
          <w:szCs w:val="24"/>
          <w:highlight w:val="none"/>
          <w:lang w:val="en-US" w:eastAsia="zh-CN"/>
        </w:rPr>
        <w:t>53</w:t>
      </w:r>
      <w:r>
        <w:rPr>
          <w:rFonts w:hint="eastAsia" w:ascii="Times New Roman" w:hAnsi="Times New Roman" w:eastAsia="方正仿宋_GBK"/>
          <w:bCs/>
          <w:caps w:val="0"/>
          <w:smallCaps w:val="0"/>
          <w:color w:val="auto"/>
          <w:kern w:val="2"/>
          <w:sz w:val="24"/>
          <w:szCs w:val="24"/>
          <w:highlight w:val="none"/>
        </w:rPr>
        <w:t>条规定的甲方违约事件终止本协议，则乙方有权要求将项目运营移交至甲方或其指定的执行机构，且甲方届时有义务接收项目运营。如发生此种情形，甲方或其指定的执行机构应向乙方支付相应的补偿金额。</w:t>
      </w:r>
    </w:p>
    <w:p w14:paraId="30263D3E">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567"/>
        <w:outlineLvl w:val="2"/>
        <w:rPr>
          <w:rFonts w:ascii="Times New Roman" w:hAnsi="Times New Roman" w:eastAsia="方正仿宋_GBK" w:cs="Times New Roman"/>
          <w:b/>
          <w:bCs/>
          <w:caps w:val="0"/>
          <w:smallCaps w:val="0"/>
          <w:color w:val="auto"/>
          <w:kern w:val="2"/>
          <w:sz w:val="24"/>
          <w:szCs w:val="24"/>
          <w:highlight w:val="none"/>
          <w:lang w:val="en-US" w:eastAsia="zh-CN" w:bidi="ar-SA"/>
        </w:rPr>
      </w:pPr>
      <w:r>
        <w:rPr>
          <w:rFonts w:hint="default" w:ascii="Times New Roman" w:hAnsi="Times New Roman" w:eastAsia="宋体" w:cs="Times New Roman"/>
          <w:b/>
          <w:bCs/>
          <w:caps w:val="0"/>
          <w:smallCaps w:val="0"/>
          <w:color w:val="auto"/>
          <w:kern w:val="2"/>
          <w:sz w:val="24"/>
          <w:szCs w:val="24"/>
          <w:highlight w:val="none"/>
          <w:lang w:val="en-US" w:eastAsia="zh-CN" w:bidi="ar-SA"/>
        </w:rPr>
        <w:t>3.</w:t>
      </w:r>
      <w:r>
        <w:rPr>
          <w:rFonts w:hint="eastAsia" w:ascii="Times New Roman" w:hAnsi="Times New Roman" w:eastAsia="方正仿宋_GBK" w:cs="Times New Roman"/>
          <w:b/>
          <w:bCs/>
          <w:caps w:val="0"/>
          <w:smallCaps w:val="0"/>
          <w:color w:val="auto"/>
          <w:kern w:val="2"/>
          <w:sz w:val="24"/>
          <w:szCs w:val="24"/>
          <w:highlight w:val="none"/>
          <w:lang w:val="en-US" w:eastAsia="zh-CN" w:bidi="ar-SA"/>
        </w:rPr>
        <w:t>因不可抗力导致的终止</w:t>
      </w:r>
    </w:p>
    <w:p w14:paraId="7EBA46D2">
      <w:pPr>
        <w:keepNext w:val="0"/>
        <w:keepLines w:val="0"/>
        <w:pageBreakBefore w:val="0"/>
        <w:widowControl w:val="0"/>
        <w:numPr>
          <w:ilvl w:val="0"/>
          <w:numId w:val="0"/>
        </w:numPr>
        <w:tabs>
          <w:tab w:val="left" w:pos="1421"/>
        </w:tabs>
        <w:kinsoku/>
        <w:wordWrap/>
        <w:overflowPunct/>
        <w:topLinePunct w:val="0"/>
        <w:bidi w:val="0"/>
        <w:adjustRightInd w:val="0"/>
        <w:snapToGrid w:val="0"/>
        <w:spacing w:before="0" w:beforeLines="0" w:after="0" w:afterLines="0" w:line="360" w:lineRule="auto"/>
        <w:ind w:firstLine="567" w:firstLineChars="0"/>
        <w:rPr>
          <w:rFonts w:hint="default" w:ascii="Times New Roman" w:hAnsi="Times New Roman" w:eastAsia="方正仿宋_GBK"/>
          <w:bCs/>
          <w:caps w:val="0"/>
          <w:smallCaps w:val="0"/>
          <w:color w:val="auto"/>
          <w:kern w:val="2"/>
          <w:sz w:val="24"/>
          <w:szCs w:val="24"/>
          <w:highlight w:val="none"/>
        </w:rPr>
      </w:pPr>
      <w:r>
        <w:rPr>
          <w:rFonts w:hint="eastAsia" w:ascii="Times New Roman" w:hAnsi="Times New Roman" w:eastAsia="方正仿宋_GBK"/>
          <w:bCs/>
          <w:caps w:val="0"/>
          <w:smallCaps w:val="0"/>
          <w:color w:val="auto"/>
          <w:kern w:val="2"/>
          <w:sz w:val="24"/>
          <w:szCs w:val="24"/>
          <w:highlight w:val="none"/>
          <w:lang w:val="en-US" w:eastAsia="zh-CN" w:bidi="ar-SA"/>
        </w:rPr>
        <w:t>（1）</w:t>
      </w:r>
      <w:r>
        <w:rPr>
          <w:rFonts w:hint="eastAsia" w:ascii="Times New Roman" w:hAnsi="Times New Roman" w:eastAsia="方正仿宋_GBK"/>
          <w:bCs/>
          <w:caps w:val="0"/>
          <w:smallCaps w:val="0"/>
          <w:color w:val="auto"/>
          <w:kern w:val="2"/>
          <w:sz w:val="24"/>
          <w:szCs w:val="24"/>
          <w:highlight w:val="none"/>
        </w:rPr>
        <w:t>如果出现不可抗力事件之后，任何一方选择终止本协议，则甲方应向乙方支付相应的补偿金额。甲方支付上述金额前，乙方有权但无义务向甲方或其指定的执行机构移交项目。</w:t>
      </w:r>
    </w:p>
    <w:p w14:paraId="66BC13DD">
      <w:pPr>
        <w:keepNext w:val="0"/>
        <w:keepLines w:val="0"/>
        <w:pageBreakBefore w:val="0"/>
        <w:widowControl w:val="0"/>
        <w:numPr>
          <w:ilvl w:val="0"/>
          <w:numId w:val="0"/>
        </w:numPr>
        <w:tabs>
          <w:tab w:val="left" w:pos="1421"/>
        </w:tabs>
        <w:kinsoku/>
        <w:wordWrap/>
        <w:overflowPunct/>
        <w:topLinePunct w:val="0"/>
        <w:bidi w:val="0"/>
        <w:adjustRightInd w:val="0"/>
        <w:snapToGrid w:val="0"/>
        <w:spacing w:before="0" w:beforeLines="0" w:after="0" w:afterLines="0" w:line="360" w:lineRule="auto"/>
        <w:ind w:firstLine="567" w:firstLineChars="0"/>
        <w:rPr>
          <w:rFonts w:hint="default" w:ascii="Times New Roman" w:hAnsi="Times New Roman" w:eastAsia="方正仿宋_GBK"/>
          <w:bCs/>
          <w:caps w:val="0"/>
          <w:smallCaps w:val="0"/>
          <w:color w:val="auto"/>
          <w:kern w:val="2"/>
          <w:sz w:val="24"/>
          <w:szCs w:val="24"/>
          <w:highlight w:val="none"/>
        </w:rPr>
      </w:pPr>
      <w:r>
        <w:rPr>
          <w:rFonts w:hint="eastAsia" w:ascii="Times New Roman" w:hAnsi="Times New Roman" w:eastAsia="方正仿宋_GBK"/>
          <w:bCs/>
          <w:caps w:val="0"/>
          <w:smallCaps w:val="0"/>
          <w:color w:val="auto"/>
          <w:kern w:val="2"/>
          <w:sz w:val="24"/>
          <w:szCs w:val="24"/>
          <w:highlight w:val="none"/>
          <w:lang w:val="en-US" w:eastAsia="zh-CN" w:bidi="ar-SA"/>
        </w:rPr>
        <w:t>（2）</w:t>
      </w:r>
      <w:r>
        <w:rPr>
          <w:rFonts w:hint="eastAsia" w:ascii="Times New Roman" w:hAnsi="Times New Roman" w:eastAsia="方正仿宋_GBK"/>
          <w:bCs/>
          <w:caps w:val="0"/>
          <w:smallCaps w:val="0"/>
          <w:color w:val="auto"/>
          <w:kern w:val="2"/>
          <w:sz w:val="24"/>
          <w:szCs w:val="24"/>
          <w:highlight w:val="none"/>
        </w:rPr>
        <w:t>如果出现不可抗力事件之后，由于乙方的过错不能完成项目的恢复导致甲方终止本协议，则甲方或其指定的执行机构应立即获得对项目资产的所有权利和利益，且甲方或其指定的执行机构应向乙方支付相应的补偿金额并扣除甲方为恢复项目运行而需支付的合理费用的【</w:t>
      </w:r>
      <w:r>
        <w:rPr>
          <w:rFonts w:hint="eastAsia" w:ascii="Times New Roman" w:hAnsi="Times New Roman" w:eastAsia="方正仿宋_GBK"/>
          <w:bCs/>
          <w:caps w:val="0"/>
          <w:smallCaps w:val="0"/>
          <w:color w:val="auto"/>
          <w:kern w:val="2"/>
          <w:sz w:val="24"/>
          <w:szCs w:val="24"/>
          <w:highlight w:val="none"/>
          <w:lang w:val="en-US" w:eastAsia="zh-CN"/>
        </w:rPr>
        <w:t>50</w:t>
      </w:r>
      <w:r>
        <w:rPr>
          <w:rFonts w:hint="eastAsia" w:ascii="Times New Roman" w:hAnsi="Times New Roman" w:eastAsia="方正仿宋_GBK"/>
          <w:bCs/>
          <w:caps w:val="0"/>
          <w:smallCaps w:val="0"/>
          <w:color w:val="auto"/>
          <w:kern w:val="2"/>
          <w:sz w:val="24"/>
          <w:szCs w:val="24"/>
          <w:highlight w:val="none"/>
        </w:rPr>
        <w:t>%】，或在修复已经属于不经济或不现实的情况下，扣除因乙方过错造成的损失扩大的金额。甲方支付上述金额之后，乙方应向甲方或其指定的执行机构移交项目。</w:t>
      </w:r>
    </w:p>
    <w:p w14:paraId="6522E61F">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567"/>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default" w:ascii="Times New Roman" w:hAnsi="Times New Roman" w:eastAsia="宋体" w:cs="Times New Roman"/>
          <w:b/>
          <w:caps w:val="0"/>
          <w:smallCaps w:val="0"/>
          <w:color w:val="auto"/>
          <w:kern w:val="2"/>
          <w:sz w:val="24"/>
          <w:szCs w:val="24"/>
          <w:highlight w:val="none"/>
          <w:lang w:val="en-US" w:eastAsia="zh-CN" w:bidi="ar-SA"/>
        </w:rPr>
        <w:t>4.</w:t>
      </w:r>
      <w:r>
        <w:rPr>
          <w:rFonts w:hint="eastAsia" w:ascii="Times New Roman" w:hAnsi="Times New Roman" w:eastAsia="方正仿宋_GBK" w:cs="Times New Roman"/>
          <w:b/>
          <w:caps w:val="0"/>
          <w:smallCaps w:val="0"/>
          <w:color w:val="auto"/>
          <w:kern w:val="2"/>
          <w:sz w:val="24"/>
          <w:szCs w:val="24"/>
          <w:highlight w:val="none"/>
          <w:lang w:val="en-US" w:eastAsia="zh-CN" w:bidi="ar-SA"/>
        </w:rPr>
        <w:t>其他</w:t>
      </w:r>
      <w:r>
        <w:rPr>
          <w:rFonts w:hint="eastAsia" w:ascii="Times New Roman" w:hAnsi="Times New Roman" w:eastAsia="方正仿宋_GBK" w:cs="Times New Roman"/>
          <w:b/>
          <w:bCs/>
          <w:caps w:val="0"/>
          <w:smallCaps w:val="0"/>
          <w:color w:val="auto"/>
          <w:kern w:val="2"/>
          <w:sz w:val="24"/>
          <w:szCs w:val="24"/>
          <w:highlight w:val="none"/>
          <w:lang w:val="en-US" w:eastAsia="zh-CN" w:bidi="ar-SA"/>
        </w:rPr>
        <w:t>事件</w:t>
      </w:r>
      <w:r>
        <w:rPr>
          <w:rFonts w:hint="eastAsia" w:ascii="Times New Roman" w:hAnsi="Times New Roman" w:eastAsia="方正仿宋_GBK" w:cs="Times New Roman"/>
          <w:b/>
          <w:caps w:val="0"/>
          <w:smallCaps w:val="0"/>
          <w:color w:val="auto"/>
          <w:kern w:val="2"/>
          <w:sz w:val="24"/>
          <w:szCs w:val="24"/>
          <w:highlight w:val="none"/>
          <w:lang w:val="en-US" w:eastAsia="zh-CN" w:bidi="ar-SA"/>
        </w:rPr>
        <w:t>导致的终止</w:t>
      </w:r>
    </w:p>
    <w:p w14:paraId="2AFECDBC">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bCs/>
          <w:caps w:val="0"/>
          <w:smallCaps w:val="0"/>
          <w:color w:val="auto"/>
          <w:kern w:val="2"/>
          <w:sz w:val="24"/>
          <w:szCs w:val="24"/>
          <w:highlight w:val="none"/>
        </w:rPr>
      </w:pPr>
      <w:r>
        <w:rPr>
          <w:rFonts w:hint="eastAsia" w:ascii="Times New Roman" w:hAnsi="Times New Roman" w:eastAsia="方正仿宋_GBK"/>
          <w:bCs/>
          <w:caps w:val="0"/>
          <w:smallCaps w:val="0"/>
          <w:color w:val="auto"/>
          <w:kern w:val="2"/>
          <w:sz w:val="24"/>
          <w:szCs w:val="24"/>
          <w:highlight w:val="none"/>
        </w:rPr>
        <w:t>如果因第</w:t>
      </w:r>
      <w:r>
        <w:rPr>
          <w:rFonts w:hint="eastAsia" w:ascii="Times New Roman" w:hAnsi="Times New Roman" w:eastAsia="方正仿宋_GBK"/>
          <w:bCs/>
          <w:caps w:val="0"/>
          <w:smallCaps w:val="0"/>
          <w:color w:val="auto"/>
          <w:kern w:val="2"/>
          <w:sz w:val="24"/>
          <w:szCs w:val="24"/>
          <w:highlight w:val="none"/>
          <w:lang w:val="en-US" w:eastAsia="zh-CN"/>
        </w:rPr>
        <w:t>53</w:t>
      </w:r>
      <w:r>
        <w:rPr>
          <w:rFonts w:hint="eastAsia" w:ascii="Times New Roman" w:hAnsi="Times New Roman" w:eastAsia="方正仿宋_GBK"/>
          <w:bCs/>
          <w:caps w:val="0"/>
          <w:smallCaps w:val="0"/>
          <w:color w:val="auto"/>
          <w:kern w:val="2"/>
          <w:sz w:val="24"/>
          <w:szCs w:val="24"/>
          <w:highlight w:val="none"/>
        </w:rPr>
        <w:t>条所</w:t>
      </w:r>
      <w:r>
        <w:rPr>
          <w:rFonts w:hint="eastAsia" w:ascii="Times New Roman" w:hAnsi="Times New Roman" w:eastAsia="方正仿宋_GBK"/>
          <w:bCs/>
          <w:caps w:val="0"/>
          <w:smallCaps w:val="0"/>
          <w:color w:val="auto"/>
          <w:kern w:val="2"/>
          <w:sz w:val="24"/>
          <w:szCs w:val="24"/>
          <w:highlight w:val="none"/>
          <w:lang w:eastAsia="zh-CN"/>
        </w:rPr>
        <w:t>“</w:t>
      </w:r>
      <w:r>
        <w:rPr>
          <w:rFonts w:hint="eastAsia" w:ascii="Times New Roman" w:hAnsi="Times New Roman" w:eastAsia="方正仿宋_GBK"/>
          <w:bCs/>
          <w:caps w:val="0"/>
          <w:smallCaps w:val="0"/>
          <w:color w:val="auto"/>
          <w:kern w:val="2"/>
          <w:sz w:val="24"/>
          <w:szCs w:val="24"/>
          <w:highlight w:val="none"/>
          <w:lang w:val="en-US" w:eastAsia="zh-CN"/>
        </w:rPr>
        <w:t>法律变更</w:t>
      </w:r>
      <w:r>
        <w:rPr>
          <w:rFonts w:hint="eastAsia" w:ascii="Times New Roman" w:hAnsi="Times New Roman" w:eastAsia="方正仿宋_GBK"/>
          <w:bCs/>
          <w:caps w:val="0"/>
          <w:smallCaps w:val="0"/>
          <w:color w:val="auto"/>
          <w:kern w:val="2"/>
          <w:sz w:val="24"/>
          <w:szCs w:val="24"/>
          <w:highlight w:val="none"/>
          <w:lang w:eastAsia="zh-CN"/>
        </w:rPr>
        <w:t>”</w:t>
      </w:r>
      <w:r>
        <w:rPr>
          <w:rFonts w:hint="eastAsia" w:ascii="Times New Roman" w:hAnsi="Times New Roman" w:eastAsia="方正仿宋_GBK"/>
          <w:bCs/>
          <w:caps w:val="0"/>
          <w:smallCaps w:val="0"/>
          <w:color w:val="auto"/>
          <w:kern w:val="2"/>
          <w:sz w:val="24"/>
          <w:szCs w:val="24"/>
          <w:highlight w:val="none"/>
        </w:rPr>
        <w:t>述事件导致本协议终止，甲方应向乙方支付相应的补偿金额，乙方向甲方或其指定的执行机构移交项目。</w:t>
      </w:r>
    </w:p>
    <w:p w14:paraId="3817EF1E">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567"/>
        <w:outlineLvl w:val="2"/>
        <w:rPr>
          <w:rFonts w:ascii="Times New Roman" w:hAnsi="Times New Roman" w:eastAsia="方正仿宋_GBK" w:cs="Times New Roman"/>
          <w:b/>
          <w:caps w:val="0"/>
          <w:smallCaps w:val="0"/>
          <w:color w:val="auto"/>
          <w:kern w:val="2"/>
          <w:sz w:val="24"/>
          <w:szCs w:val="24"/>
          <w:highlight w:val="none"/>
          <w:lang w:val="en-US" w:eastAsia="zh-CN" w:bidi="ar-SA"/>
        </w:rPr>
      </w:pPr>
      <w:bookmarkStart w:id="406" w:name="_Toc100461260"/>
      <w:r>
        <w:rPr>
          <w:rFonts w:hint="default" w:ascii="Times New Roman" w:hAnsi="Times New Roman" w:eastAsia="宋体" w:cs="Times New Roman"/>
          <w:b/>
          <w:caps w:val="0"/>
          <w:smallCaps w:val="0"/>
          <w:color w:val="auto"/>
          <w:kern w:val="2"/>
          <w:sz w:val="24"/>
          <w:szCs w:val="24"/>
          <w:highlight w:val="none"/>
          <w:lang w:val="en-US" w:eastAsia="zh-CN" w:bidi="ar-SA"/>
        </w:rPr>
        <w:t>5.</w:t>
      </w:r>
      <w:r>
        <w:rPr>
          <w:rFonts w:hint="eastAsia" w:ascii="Times New Roman" w:hAnsi="Times New Roman" w:eastAsia="方正仿宋_GBK" w:cs="Times New Roman"/>
          <w:b/>
          <w:caps w:val="0"/>
          <w:smallCaps w:val="0"/>
          <w:color w:val="auto"/>
          <w:kern w:val="2"/>
          <w:sz w:val="24"/>
          <w:szCs w:val="24"/>
          <w:highlight w:val="none"/>
          <w:lang w:val="en-US" w:eastAsia="zh-CN" w:bidi="ar-SA"/>
        </w:rPr>
        <w:t>保险赔款的使用</w:t>
      </w:r>
      <w:bookmarkEnd w:id="406"/>
    </w:p>
    <w:p w14:paraId="316FA626">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bCs/>
          <w:caps w:val="0"/>
          <w:smallCaps w:val="0"/>
          <w:color w:val="auto"/>
          <w:kern w:val="2"/>
          <w:sz w:val="24"/>
          <w:szCs w:val="24"/>
          <w:highlight w:val="none"/>
        </w:rPr>
      </w:pPr>
      <w:r>
        <w:rPr>
          <w:rFonts w:hint="eastAsia" w:ascii="Times New Roman" w:hAnsi="Times New Roman" w:eastAsia="方正仿宋_GBK"/>
          <w:bCs/>
          <w:caps w:val="0"/>
          <w:smallCaps w:val="0"/>
          <w:color w:val="auto"/>
          <w:kern w:val="2"/>
          <w:sz w:val="24"/>
          <w:szCs w:val="24"/>
          <w:highlight w:val="none"/>
        </w:rPr>
        <w:t>无论何时，由于不可抗力致使本协议终止，乙方有权根据保险合同得到项目保险的保单项下的付款，如果该保险赔款不被用于项目的恢复或修理，则除非法律、行政法规另有规定，乙方应将该保险赔款优先按照下述顺序进行使用：</w:t>
      </w:r>
    </w:p>
    <w:p w14:paraId="06413E7A">
      <w:pPr>
        <w:keepNext w:val="0"/>
        <w:keepLines w:val="0"/>
        <w:pageBreakBefore w:val="0"/>
        <w:widowControl w:val="0"/>
        <w:numPr>
          <w:ilvl w:val="0"/>
          <w:numId w:val="0"/>
        </w:numPr>
        <w:kinsoku/>
        <w:wordWrap/>
        <w:overflowPunct/>
        <w:topLinePunct w:val="0"/>
        <w:bidi w:val="0"/>
        <w:adjustRightInd/>
        <w:snapToGrid/>
        <w:spacing w:before="0" w:beforeLines="0" w:after="0" w:afterLines="0" w:line="360" w:lineRule="auto"/>
        <w:ind w:firstLine="568" w:firstLineChars="0"/>
        <w:rPr>
          <w:rFonts w:hint="default" w:ascii="Times New Roman" w:hAnsi="Times New Roman" w:eastAsia="方正仿宋_GBK"/>
          <w:bCs/>
          <w:caps w:val="0"/>
          <w:smallCaps w:val="0"/>
          <w:color w:val="auto"/>
          <w:kern w:val="2"/>
          <w:sz w:val="24"/>
          <w:szCs w:val="24"/>
          <w:highlight w:val="none"/>
        </w:rPr>
      </w:pPr>
      <w:r>
        <w:rPr>
          <w:rFonts w:hint="eastAsia" w:ascii="Times New Roman" w:hAnsi="Times New Roman" w:eastAsia="方正仿宋_GBK"/>
          <w:bCs/>
          <w:caps w:val="0"/>
          <w:smallCaps w:val="0"/>
          <w:color w:val="auto"/>
          <w:kern w:val="2"/>
          <w:sz w:val="24"/>
          <w:szCs w:val="24"/>
          <w:highlight w:val="none"/>
          <w:lang w:val="en-US" w:eastAsia="zh-CN" w:bidi="ar-SA"/>
        </w:rPr>
        <w:t>（1）</w:t>
      </w:r>
      <w:r>
        <w:rPr>
          <w:rFonts w:hint="eastAsia" w:ascii="Times New Roman" w:hAnsi="Times New Roman" w:eastAsia="方正仿宋_GBK"/>
          <w:bCs/>
          <w:caps w:val="0"/>
          <w:smallCaps w:val="0"/>
          <w:color w:val="auto"/>
          <w:kern w:val="2"/>
          <w:sz w:val="24"/>
          <w:szCs w:val="24"/>
          <w:highlight w:val="none"/>
        </w:rPr>
        <w:t>支付</w:t>
      </w:r>
      <w:r>
        <w:rPr>
          <w:rFonts w:hint="eastAsia" w:ascii="Times New Roman" w:hAnsi="Times New Roman" w:eastAsia="方正仿宋_GBK"/>
          <w:bCs/>
          <w:caps w:val="0"/>
          <w:smallCaps w:val="0"/>
          <w:color w:val="auto"/>
          <w:kern w:val="2"/>
          <w:sz w:val="24"/>
          <w:szCs w:val="24"/>
          <w:highlight w:val="none"/>
          <w:lang w:val="en-US" w:eastAsia="zh-CN"/>
        </w:rPr>
        <w:t>工人</w:t>
      </w:r>
      <w:r>
        <w:rPr>
          <w:rFonts w:hint="eastAsia" w:ascii="Times New Roman" w:hAnsi="Times New Roman" w:eastAsia="方正仿宋_GBK"/>
          <w:bCs/>
          <w:caps w:val="0"/>
          <w:smallCaps w:val="0"/>
          <w:color w:val="auto"/>
          <w:kern w:val="2"/>
          <w:sz w:val="24"/>
          <w:szCs w:val="24"/>
          <w:highlight w:val="none"/>
        </w:rPr>
        <w:t>工资；</w:t>
      </w:r>
    </w:p>
    <w:p w14:paraId="78DB4863">
      <w:pPr>
        <w:keepNext w:val="0"/>
        <w:keepLines w:val="0"/>
        <w:pageBreakBefore w:val="0"/>
        <w:widowControl w:val="0"/>
        <w:numPr>
          <w:ilvl w:val="0"/>
          <w:numId w:val="0"/>
        </w:numPr>
        <w:kinsoku/>
        <w:wordWrap/>
        <w:overflowPunct/>
        <w:topLinePunct w:val="0"/>
        <w:bidi w:val="0"/>
        <w:adjustRightInd/>
        <w:snapToGrid/>
        <w:spacing w:before="0" w:beforeLines="0" w:after="0" w:afterLines="0" w:line="360" w:lineRule="auto"/>
        <w:ind w:firstLine="568" w:firstLineChars="0"/>
        <w:rPr>
          <w:rFonts w:hint="default" w:ascii="Times New Roman" w:hAnsi="Times New Roman" w:eastAsia="方正仿宋_GBK"/>
          <w:bCs/>
          <w:caps w:val="0"/>
          <w:smallCaps w:val="0"/>
          <w:color w:val="auto"/>
          <w:kern w:val="2"/>
          <w:sz w:val="24"/>
          <w:szCs w:val="24"/>
          <w:highlight w:val="none"/>
        </w:rPr>
      </w:pPr>
      <w:r>
        <w:rPr>
          <w:rFonts w:hint="eastAsia" w:ascii="Times New Roman" w:hAnsi="Times New Roman" w:eastAsia="方正仿宋_GBK"/>
          <w:bCs/>
          <w:caps w:val="0"/>
          <w:smallCaps w:val="0"/>
          <w:color w:val="auto"/>
          <w:kern w:val="2"/>
          <w:sz w:val="24"/>
          <w:szCs w:val="24"/>
          <w:highlight w:val="none"/>
          <w:lang w:val="en-US" w:eastAsia="zh-CN" w:bidi="ar-SA"/>
        </w:rPr>
        <w:t>（2）</w:t>
      </w:r>
      <w:r>
        <w:rPr>
          <w:rFonts w:hint="eastAsia" w:ascii="Times New Roman" w:hAnsi="Times New Roman" w:eastAsia="方正仿宋_GBK"/>
          <w:bCs/>
          <w:caps w:val="0"/>
          <w:smallCaps w:val="0"/>
          <w:color w:val="auto"/>
          <w:kern w:val="2"/>
          <w:sz w:val="24"/>
          <w:szCs w:val="24"/>
          <w:highlight w:val="none"/>
        </w:rPr>
        <w:t>偿还乙方欠付的非其关联方的合同款项；</w:t>
      </w:r>
    </w:p>
    <w:p w14:paraId="50A8EFD0">
      <w:pPr>
        <w:keepNext w:val="0"/>
        <w:keepLines w:val="0"/>
        <w:pageBreakBefore w:val="0"/>
        <w:widowControl w:val="0"/>
        <w:numPr>
          <w:ilvl w:val="0"/>
          <w:numId w:val="0"/>
        </w:numPr>
        <w:kinsoku/>
        <w:wordWrap/>
        <w:overflowPunct/>
        <w:topLinePunct w:val="0"/>
        <w:bidi w:val="0"/>
        <w:adjustRightInd/>
        <w:snapToGrid/>
        <w:spacing w:before="0" w:beforeLines="0" w:after="0" w:afterLines="0" w:line="360" w:lineRule="auto"/>
        <w:ind w:firstLine="568" w:firstLineChars="0"/>
        <w:rPr>
          <w:rFonts w:hint="default" w:ascii="Times New Roman" w:hAnsi="Times New Roman" w:eastAsia="方正仿宋_GBK"/>
          <w:bCs/>
          <w:caps w:val="0"/>
          <w:smallCaps w:val="0"/>
          <w:color w:val="auto"/>
          <w:kern w:val="2"/>
          <w:sz w:val="24"/>
          <w:szCs w:val="24"/>
          <w:highlight w:val="none"/>
        </w:rPr>
      </w:pPr>
      <w:r>
        <w:rPr>
          <w:rFonts w:hint="eastAsia" w:ascii="Times New Roman" w:hAnsi="Times New Roman" w:eastAsia="方正仿宋_GBK"/>
          <w:bCs/>
          <w:caps w:val="0"/>
          <w:smallCaps w:val="0"/>
          <w:color w:val="auto"/>
          <w:kern w:val="2"/>
          <w:sz w:val="24"/>
          <w:szCs w:val="24"/>
          <w:highlight w:val="none"/>
          <w:lang w:val="en-US" w:eastAsia="zh-CN" w:bidi="ar-SA"/>
        </w:rPr>
        <w:t>（3）</w:t>
      </w:r>
      <w:r>
        <w:rPr>
          <w:rFonts w:hint="eastAsia" w:ascii="Times New Roman" w:hAnsi="Times New Roman" w:eastAsia="方正仿宋_GBK"/>
          <w:bCs/>
          <w:caps w:val="0"/>
          <w:smallCaps w:val="0"/>
          <w:color w:val="auto"/>
          <w:kern w:val="2"/>
          <w:sz w:val="24"/>
          <w:szCs w:val="24"/>
          <w:highlight w:val="none"/>
        </w:rPr>
        <w:t>偿还银行贷款；</w:t>
      </w:r>
    </w:p>
    <w:p w14:paraId="1F87416F">
      <w:pPr>
        <w:keepNext w:val="0"/>
        <w:keepLines w:val="0"/>
        <w:pageBreakBefore w:val="0"/>
        <w:widowControl w:val="0"/>
        <w:numPr>
          <w:ilvl w:val="0"/>
          <w:numId w:val="0"/>
        </w:numPr>
        <w:kinsoku/>
        <w:wordWrap/>
        <w:overflowPunct/>
        <w:topLinePunct w:val="0"/>
        <w:bidi w:val="0"/>
        <w:adjustRightInd/>
        <w:snapToGrid/>
        <w:spacing w:before="0" w:beforeLines="0" w:after="0" w:afterLines="0" w:line="360" w:lineRule="auto"/>
        <w:ind w:firstLine="568" w:firstLineChars="0"/>
        <w:rPr>
          <w:rFonts w:hint="default" w:ascii="Times New Roman" w:hAnsi="Times New Roman" w:eastAsia="方正仿宋_GBK"/>
          <w:bCs/>
          <w:caps w:val="0"/>
          <w:smallCaps w:val="0"/>
          <w:color w:val="auto"/>
          <w:kern w:val="2"/>
          <w:sz w:val="24"/>
          <w:szCs w:val="24"/>
          <w:highlight w:val="none"/>
        </w:rPr>
      </w:pPr>
      <w:r>
        <w:rPr>
          <w:rFonts w:hint="eastAsia" w:ascii="Times New Roman" w:hAnsi="Times New Roman" w:eastAsia="方正仿宋_GBK"/>
          <w:bCs/>
          <w:caps w:val="0"/>
          <w:smallCaps w:val="0"/>
          <w:color w:val="auto"/>
          <w:kern w:val="2"/>
          <w:sz w:val="24"/>
          <w:szCs w:val="24"/>
          <w:highlight w:val="none"/>
          <w:lang w:val="en-US" w:eastAsia="zh-CN" w:bidi="ar-SA"/>
        </w:rPr>
        <w:t>（4）</w:t>
      </w:r>
      <w:r>
        <w:rPr>
          <w:rFonts w:hint="eastAsia" w:ascii="Times New Roman" w:hAnsi="Times New Roman" w:eastAsia="方正仿宋_GBK"/>
          <w:bCs/>
          <w:caps w:val="0"/>
          <w:smallCaps w:val="0"/>
          <w:color w:val="auto"/>
          <w:kern w:val="2"/>
          <w:sz w:val="24"/>
          <w:szCs w:val="24"/>
          <w:highlight w:val="none"/>
        </w:rPr>
        <w:t>减少根据本协议补偿表应由甲方向乙方支付的补偿。</w:t>
      </w:r>
    </w:p>
    <w:p w14:paraId="4C1C15CD">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567"/>
        <w:outlineLvl w:val="2"/>
        <w:rPr>
          <w:rFonts w:ascii="Times New Roman" w:hAnsi="Times New Roman" w:eastAsia="方正仿宋_GBK" w:cs="Times New Roman"/>
          <w:b/>
          <w:bCs/>
          <w:caps w:val="0"/>
          <w:smallCaps w:val="0"/>
          <w:color w:val="auto"/>
          <w:kern w:val="2"/>
          <w:sz w:val="24"/>
          <w:szCs w:val="24"/>
          <w:highlight w:val="none"/>
          <w:lang w:val="en-US" w:eastAsia="zh-CN" w:bidi="ar-SA"/>
        </w:rPr>
      </w:pPr>
      <w:r>
        <w:rPr>
          <w:rFonts w:hint="default" w:ascii="Times New Roman" w:hAnsi="Times New Roman" w:eastAsia="宋体" w:cs="Times New Roman"/>
          <w:b/>
          <w:bCs/>
          <w:caps w:val="0"/>
          <w:smallCaps w:val="0"/>
          <w:color w:val="auto"/>
          <w:kern w:val="2"/>
          <w:sz w:val="24"/>
          <w:szCs w:val="24"/>
          <w:highlight w:val="none"/>
          <w:lang w:val="en-US" w:eastAsia="zh-CN" w:bidi="ar-SA"/>
        </w:rPr>
        <w:t>6.</w:t>
      </w:r>
      <w:r>
        <w:rPr>
          <w:rFonts w:hint="eastAsia" w:ascii="Times New Roman" w:hAnsi="Times New Roman" w:eastAsia="方正仿宋_GBK" w:cs="Times New Roman"/>
          <w:b/>
          <w:bCs/>
          <w:caps w:val="0"/>
          <w:smallCaps w:val="0"/>
          <w:color w:val="auto"/>
          <w:kern w:val="2"/>
          <w:sz w:val="24"/>
          <w:szCs w:val="24"/>
          <w:highlight w:val="none"/>
          <w:lang w:val="en-US" w:eastAsia="zh-CN" w:bidi="ar-SA"/>
        </w:rPr>
        <w:t>补偿金额和补偿表</w:t>
      </w:r>
    </w:p>
    <w:p w14:paraId="1F02A068">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eastAsia" w:ascii="Times New Roman" w:hAnsi="Times New Roman" w:eastAsia="方正仿宋_GBK"/>
          <w:bCs/>
          <w:caps w:val="0"/>
          <w:smallCaps w:val="0"/>
          <w:color w:val="auto"/>
          <w:kern w:val="2"/>
          <w:sz w:val="24"/>
          <w:szCs w:val="24"/>
          <w:highlight w:val="none"/>
        </w:rPr>
      </w:pPr>
      <w:r>
        <w:rPr>
          <w:rFonts w:hint="eastAsia" w:ascii="Times New Roman" w:hAnsi="Times New Roman" w:eastAsia="方正仿宋_GBK"/>
          <w:bCs/>
          <w:caps w:val="0"/>
          <w:smallCaps w:val="0"/>
          <w:color w:val="auto"/>
          <w:kern w:val="2"/>
          <w:sz w:val="24"/>
          <w:szCs w:val="24"/>
          <w:highlight w:val="none"/>
        </w:rPr>
        <w:t>甲</w:t>
      </w:r>
      <w:r>
        <w:rPr>
          <w:rFonts w:hint="eastAsia" w:ascii="Times New Roman" w:hAnsi="Times New Roman" w:eastAsia="方正仿宋_GBK"/>
          <w:bCs/>
          <w:caps w:val="0"/>
          <w:smallCaps w:val="0"/>
          <w:color w:val="auto"/>
          <w:kern w:val="2"/>
          <w:sz w:val="24"/>
          <w:szCs w:val="24"/>
          <w:highlight w:val="none"/>
          <w:lang w:eastAsia="zh-CN"/>
        </w:rPr>
        <w:t>、</w:t>
      </w:r>
      <w:r>
        <w:rPr>
          <w:rFonts w:hint="eastAsia" w:ascii="Times New Roman" w:hAnsi="Times New Roman" w:eastAsia="方正仿宋_GBK"/>
          <w:bCs/>
          <w:caps w:val="0"/>
          <w:smallCaps w:val="0"/>
          <w:color w:val="auto"/>
          <w:kern w:val="2"/>
          <w:sz w:val="24"/>
          <w:szCs w:val="24"/>
          <w:highlight w:val="none"/>
        </w:rPr>
        <w:t>乙双方同意按以下约定的协议解除终止补偿表计算补偿金额。</w:t>
      </w:r>
    </w:p>
    <w:p w14:paraId="7ED140B1">
      <w:pPr>
        <w:keepNext w:val="0"/>
        <w:keepLines w:val="0"/>
        <w:pageBreakBefore w:val="0"/>
        <w:widowControl w:val="0"/>
        <w:kinsoku/>
        <w:wordWrap/>
        <w:overflowPunct/>
        <w:topLinePunct w:val="0"/>
        <w:autoSpaceDE w:val="0"/>
        <w:autoSpaceDN w:val="0"/>
        <w:bidi w:val="0"/>
        <w:adjustRightInd w:val="0"/>
        <w:snapToGrid w:val="0"/>
        <w:spacing w:before="0" w:beforeLines="0" w:beforeAutospacing="0" w:after="0" w:afterLines="0" w:afterAutospacing="0" w:line="360" w:lineRule="auto"/>
        <w:ind w:firstLine="0" w:firstLineChars="0"/>
        <w:jc w:val="center"/>
        <w:rPr>
          <w:rFonts w:hint="default" w:ascii="Times New Roman" w:hAnsi="Times New Roman" w:eastAsia="方正仿宋_GBK" w:cs="Times New Roman"/>
          <w:b/>
          <w:bCs w:val="0"/>
          <w:caps w:val="0"/>
          <w:smallCaps w:val="0"/>
          <w:color w:val="auto"/>
          <w:kern w:val="2"/>
          <w:sz w:val="24"/>
          <w:szCs w:val="24"/>
          <w:highlight w:val="none"/>
        </w:rPr>
      </w:pPr>
      <w:r>
        <w:rPr>
          <w:rFonts w:hint="default" w:ascii="Times New Roman" w:hAnsi="Times New Roman" w:eastAsia="方正仿宋_GBK" w:cs="Times New Roman"/>
          <w:b/>
          <w:bCs w:val="0"/>
          <w:caps w:val="0"/>
          <w:smallCaps w:val="0"/>
          <w:color w:val="auto"/>
          <w:kern w:val="2"/>
          <w:sz w:val="24"/>
          <w:szCs w:val="24"/>
          <w:highlight w:val="none"/>
          <w:lang w:val="en-US" w:eastAsia="zh-CN"/>
        </w:rPr>
        <w:t xml:space="preserve">表10-1 </w:t>
      </w:r>
      <w:r>
        <w:rPr>
          <w:rFonts w:hint="default" w:ascii="Times New Roman" w:hAnsi="Times New Roman" w:eastAsia="方正仿宋_GBK" w:cs="Times New Roman"/>
          <w:b/>
          <w:bCs w:val="0"/>
          <w:caps w:val="0"/>
          <w:smallCaps w:val="0"/>
          <w:color w:val="auto"/>
          <w:kern w:val="2"/>
          <w:sz w:val="24"/>
          <w:szCs w:val="24"/>
          <w:highlight w:val="none"/>
        </w:rPr>
        <w:t>协议解除终止补偿表</w:t>
      </w:r>
    </w:p>
    <w:tbl>
      <w:tblPr>
        <w:tblStyle w:val="36"/>
        <w:tblpPr w:leftFromText="180" w:rightFromText="180" w:vertAnchor="text" w:tblpXSpec="center" w:tblpY="1"/>
        <w:tblOverlap w:val="never"/>
        <w:tblW w:w="50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60"/>
        <w:gridCol w:w="4190"/>
        <w:gridCol w:w="3803"/>
      </w:tblGrid>
      <w:tr w14:paraId="31C44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atLeast"/>
          <w:tblHeader/>
          <w:jc w:val="center"/>
        </w:trPr>
        <w:tc>
          <w:tcPr>
            <w:tcW w:w="434" w:type="pct"/>
            <w:shd w:val="clear" w:color="auto" w:fill="F1F1F1"/>
            <w:noWrap w:val="0"/>
            <w:vAlign w:val="center"/>
          </w:tcPr>
          <w:p w14:paraId="1C5986D5">
            <w:pPr>
              <w:adjustRightInd w:val="0"/>
              <w:snapToGrid w:val="0"/>
              <w:spacing w:before="0" w:beforeLines="0" w:after="0" w:afterLines="0" w:line="240" w:lineRule="auto"/>
              <w:ind w:firstLine="0" w:firstLineChars="0"/>
              <w:jc w:val="center"/>
              <w:rPr>
                <w:rFonts w:hint="default" w:ascii="Times New Roman" w:hAnsi="Times New Roman" w:eastAsia="方正仿宋_GBK" w:cs="Times New Roman"/>
                <w:b/>
                <w:bCs/>
                <w:color w:val="auto"/>
                <w:kern w:val="2"/>
                <w:sz w:val="22"/>
                <w:szCs w:val="22"/>
                <w:highlight w:val="none"/>
              </w:rPr>
            </w:pPr>
            <w:r>
              <w:rPr>
                <w:rFonts w:hint="default" w:ascii="Times New Roman" w:hAnsi="Times New Roman" w:eastAsia="方正仿宋_GBK" w:cs="Times New Roman"/>
                <w:b/>
                <w:bCs/>
                <w:color w:val="auto"/>
                <w:kern w:val="2"/>
                <w:sz w:val="22"/>
                <w:szCs w:val="22"/>
                <w:highlight w:val="none"/>
              </w:rPr>
              <w:t>序号</w:t>
            </w:r>
          </w:p>
        </w:tc>
        <w:tc>
          <w:tcPr>
            <w:tcW w:w="2393" w:type="pct"/>
            <w:shd w:val="clear" w:color="auto" w:fill="F1F1F1"/>
            <w:noWrap w:val="0"/>
            <w:vAlign w:val="center"/>
          </w:tcPr>
          <w:p w14:paraId="5D836553">
            <w:pPr>
              <w:adjustRightInd w:val="0"/>
              <w:snapToGrid w:val="0"/>
              <w:spacing w:before="0" w:beforeLines="0" w:after="0" w:afterLines="0" w:line="240" w:lineRule="auto"/>
              <w:ind w:firstLine="0" w:firstLineChars="0"/>
              <w:jc w:val="center"/>
              <w:rPr>
                <w:rFonts w:hint="default" w:ascii="Times New Roman" w:hAnsi="Times New Roman" w:eastAsia="方正仿宋_GBK" w:cs="Times New Roman"/>
                <w:b/>
                <w:bCs/>
                <w:color w:val="auto"/>
                <w:kern w:val="2"/>
                <w:sz w:val="22"/>
                <w:szCs w:val="22"/>
                <w:highlight w:val="none"/>
              </w:rPr>
            </w:pPr>
            <w:r>
              <w:rPr>
                <w:rFonts w:hint="default" w:ascii="Times New Roman" w:hAnsi="Times New Roman" w:eastAsia="方正仿宋_GBK" w:cs="Times New Roman"/>
                <w:b/>
                <w:bCs/>
                <w:color w:val="auto"/>
                <w:kern w:val="2"/>
                <w:sz w:val="22"/>
                <w:szCs w:val="22"/>
                <w:highlight w:val="none"/>
              </w:rPr>
              <w:t>特许经营协议提前终止情形</w:t>
            </w:r>
          </w:p>
        </w:tc>
        <w:tc>
          <w:tcPr>
            <w:tcW w:w="2172" w:type="pct"/>
            <w:shd w:val="clear" w:color="auto" w:fill="F1F1F1"/>
            <w:noWrap w:val="0"/>
            <w:vAlign w:val="center"/>
          </w:tcPr>
          <w:p w14:paraId="4E4235E2">
            <w:pPr>
              <w:adjustRightInd w:val="0"/>
              <w:snapToGrid w:val="0"/>
              <w:spacing w:before="0" w:beforeLines="0" w:after="0" w:afterLines="0" w:line="240" w:lineRule="auto"/>
              <w:ind w:firstLine="0" w:firstLineChars="0"/>
              <w:jc w:val="center"/>
              <w:rPr>
                <w:rFonts w:hint="default" w:ascii="Times New Roman" w:hAnsi="Times New Roman" w:eastAsia="方正仿宋_GBK" w:cs="Times New Roman"/>
                <w:b/>
                <w:bCs/>
                <w:color w:val="auto"/>
                <w:kern w:val="2"/>
                <w:sz w:val="22"/>
                <w:szCs w:val="22"/>
                <w:highlight w:val="none"/>
              </w:rPr>
            </w:pPr>
            <w:r>
              <w:rPr>
                <w:rFonts w:hint="default" w:ascii="Times New Roman" w:hAnsi="Times New Roman" w:eastAsia="方正仿宋_GBK" w:cs="Times New Roman"/>
                <w:b/>
                <w:bCs/>
                <w:color w:val="auto"/>
                <w:kern w:val="2"/>
                <w:sz w:val="22"/>
                <w:szCs w:val="22"/>
                <w:highlight w:val="none"/>
              </w:rPr>
              <w:t>终止补偿金</w:t>
            </w:r>
          </w:p>
        </w:tc>
      </w:tr>
      <w:tr w14:paraId="590DC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atLeast"/>
          <w:jc w:val="center"/>
        </w:trPr>
        <w:tc>
          <w:tcPr>
            <w:tcW w:w="434" w:type="pct"/>
            <w:vMerge w:val="restart"/>
            <w:noWrap w:val="0"/>
            <w:vAlign w:val="center"/>
          </w:tcPr>
          <w:p w14:paraId="49301100">
            <w:pPr>
              <w:adjustRightInd w:val="0"/>
              <w:snapToGrid w:val="0"/>
              <w:spacing w:before="0" w:beforeLines="0" w:after="0" w:afterLines="0" w:line="240" w:lineRule="auto"/>
              <w:ind w:firstLine="0" w:firstLineChars="0"/>
              <w:jc w:val="center"/>
              <w:rPr>
                <w:rFonts w:hint="default" w:ascii="Times New Roman" w:hAnsi="Times New Roman" w:eastAsia="方正仿宋_GBK" w:cs="Times New Roman"/>
                <w:color w:val="auto"/>
                <w:kern w:val="2"/>
                <w:sz w:val="22"/>
                <w:szCs w:val="22"/>
                <w:highlight w:val="none"/>
              </w:rPr>
            </w:pPr>
            <w:r>
              <w:rPr>
                <w:rFonts w:hint="default" w:ascii="Times New Roman" w:hAnsi="Times New Roman" w:eastAsia="方正仿宋_GBK" w:cs="Times New Roman"/>
                <w:color w:val="auto"/>
                <w:kern w:val="2"/>
                <w:sz w:val="22"/>
                <w:szCs w:val="22"/>
                <w:highlight w:val="none"/>
              </w:rPr>
              <w:t>1</w:t>
            </w:r>
          </w:p>
        </w:tc>
        <w:tc>
          <w:tcPr>
            <w:tcW w:w="2393" w:type="pct"/>
            <w:vMerge w:val="restart"/>
            <w:noWrap w:val="0"/>
            <w:vAlign w:val="center"/>
          </w:tcPr>
          <w:p w14:paraId="16F4CC63">
            <w:pPr>
              <w:adjustRightInd w:val="0"/>
              <w:snapToGrid w:val="0"/>
              <w:spacing w:before="0" w:beforeLines="0" w:after="0" w:afterLines="0" w:line="240" w:lineRule="auto"/>
              <w:ind w:firstLine="0" w:firstLineChars="0"/>
              <w:jc w:val="center"/>
              <w:rPr>
                <w:rFonts w:hint="default" w:ascii="Times New Roman" w:hAnsi="Times New Roman" w:eastAsia="方正仿宋_GBK" w:cs="Times New Roman"/>
                <w:color w:val="auto"/>
                <w:kern w:val="2"/>
                <w:sz w:val="22"/>
                <w:szCs w:val="22"/>
                <w:highlight w:val="none"/>
              </w:rPr>
            </w:pPr>
            <w:r>
              <w:rPr>
                <w:rFonts w:hint="default" w:ascii="Times New Roman" w:hAnsi="Times New Roman" w:eastAsia="方正仿宋_GBK" w:cs="Times New Roman"/>
                <w:color w:val="auto"/>
                <w:kern w:val="2"/>
                <w:sz w:val="22"/>
                <w:szCs w:val="22"/>
                <w:highlight w:val="none"/>
                <w:lang w:val="en-US" w:eastAsia="zh-CN"/>
              </w:rPr>
              <w:t>乙方</w:t>
            </w:r>
            <w:r>
              <w:rPr>
                <w:rFonts w:hint="default" w:ascii="Times New Roman" w:hAnsi="Times New Roman" w:eastAsia="方正仿宋_GBK" w:cs="Times New Roman"/>
                <w:color w:val="auto"/>
                <w:kern w:val="2"/>
                <w:sz w:val="22"/>
                <w:szCs w:val="22"/>
                <w:highlight w:val="none"/>
              </w:rPr>
              <w:t>违约</w:t>
            </w:r>
          </w:p>
        </w:tc>
        <w:tc>
          <w:tcPr>
            <w:tcW w:w="2172" w:type="pct"/>
            <w:noWrap w:val="0"/>
            <w:vAlign w:val="center"/>
          </w:tcPr>
          <w:p w14:paraId="101BF1EC">
            <w:pPr>
              <w:adjustRightInd w:val="0"/>
              <w:snapToGrid w:val="0"/>
              <w:spacing w:before="0" w:beforeLines="0" w:after="0" w:afterLines="0" w:line="240" w:lineRule="auto"/>
              <w:ind w:firstLine="0" w:firstLineChars="0"/>
              <w:jc w:val="center"/>
              <w:rPr>
                <w:rFonts w:hint="default" w:ascii="Times New Roman" w:hAnsi="Times New Roman" w:eastAsia="方正仿宋_GBK" w:cs="Times New Roman"/>
                <w:color w:val="auto"/>
                <w:kern w:val="2"/>
                <w:sz w:val="22"/>
                <w:szCs w:val="22"/>
                <w:highlight w:val="none"/>
              </w:rPr>
            </w:pPr>
            <w:r>
              <w:rPr>
                <w:rFonts w:hint="default" w:ascii="Times New Roman" w:hAnsi="Times New Roman" w:eastAsia="方正仿宋_GBK" w:cs="Times New Roman"/>
                <w:color w:val="auto"/>
                <w:kern w:val="2"/>
                <w:sz w:val="22"/>
                <w:szCs w:val="22"/>
                <w:highlight w:val="none"/>
                <w:lang w:val="en-US" w:eastAsia="zh-CN"/>
              </w:rPr>
              <w:t>A</w:t>
            </w:r>
            <w:r>
              <w:rPr>
                <w:rFonts w:hint="default" w:ascii="Times New Roman" w:hAnsi="Times New Roman" w:eastAsia="方正仿宋_GBK" w:cs="Times New Roman"/>
                <w:color w:val="auto"/>
                <w:kern w:val="2"/>
                <w:sz w:val="22"/>
                <w:szCs w:val="22"/>
                <w:highlight w:val="none"/>
              </w:rPr>
              <w:t>-D</w:t>
            </w:r>
          </w:p>
        </w:tc>
      </w:tr>
      <w:tr w14:paraId="60681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atLeast"/>
          <w:jc w:val="center"/>
        </w:trPr>
        <w:tc>
          <w:tcPr>
            <w:tcW w:w="434" w:type="pct"/>
            <w:vMerge w:val="restart"/>
            <w:noWrap w:val="0"/>
            <w:vAlign w:val="center"/>
          </w:tcPr>
          <w:p w14:paraId="2691CDBE">
            <w:pPr>
              <w:adjustRightInd w:val="0"/>
              <w:snapToGrid w:val="0"/>
              <w:spacing w:before="0" w:beforeLines="0" w:after="0" w:afterLines="0" w:line="240" w:lineRule="auto"/>
              <w:ind w:firstLine="0" w:firstLineChars="0"/>
              <w:jc w:val="center"/>
              <w:rPr>
                <w:rFonts w:hint="default" w:ascii="Times New Roman" w:hAnsi="Times New Roman" w:eastAsia="方正仿宋_GBK" w:cs="Times New Roman"/>
                <w:color w:val="auto"/>
                <w:kern w:val="2"/>
                <w:sz w:val="22"/>
                <w:szCs w:val="22"/>
                <w:highlight w:val="none"/>
              </w:rPr>
            </w:pPr>
            <w:r>
              <w:rPr>
                <w:rFonts w:hint="default" w:ascii="Times New Roman" w:hAnsi="Times New Roman" w:eastAsia="方正仿宋_GBK" w:cs="Times New Roman"/>
                <w:color w:val="auto"/>
                <w:kern w:val="2"/>
                <w:sz w:val="22"/>
                <w:szCs w:val="22"/>
                <w:highlight w:val="none"/>
              </w:rPr>
              <w:t>2</w:t>
            </w:r>
          </w:p>
        </w:tc>
        <w:tc>
          <w:tcPr>
            <w:tcW w:w="2393" w:type="pct"/>
            <w:vMerge w:val="restart"/>
            <w:noWrap w:val="0"/>
            <w:vAlign w:val="center"/>
          </w:tcPr>
          <w:p w14:paraId="590E54A1">
            <w:pPr>
              <w:adjustRightInd w:val="0"/>
              <w:snapToGrid w:val="0"/>
              <w:spacing w:before="0" w:beforeLines="0" w:after="0" w:afterLines="0" w:line="240" w:lineRule="auto"/>
              <w:ind w:firstLine="0" w:firstLineChars="0"/>
              <w:jc w:val="center"/>
              <w:rPr>
                <w:rFonts w:hint="default" w:ascii="Times New Roman" w:hAnsi="Times New Roman" w:eastAsia="方正仿宋_GBK" w:cs="Times New Roman"/>
                <w:color w:val="auto"/>
                <w:kern w:val="2"/>
                <w:sz w:val="22"/>
                <w:szCs w:val="22"/>
                <w:highlight w:val="none"/>
              </w:rPr>
            </w:pPr>
            <w:r>
              <w:rPr>
                <w:rFonts w:hint="default" w:ascii="Times New Roman" w:hAnsi="Times New Roman" w:eastAsia="方正仿宋_GBK" w:cs="Times New Roman"/>
                <w:color w:val="auto"/>
                <w:kern w:val="2"/>
                <w:sz w:val="22"/>
                <w:szCs w:val="22"/>
                <w:highlight w:val="none"/>
                <w:lang w:val="en-US" w:eastAsia="zh-CN"/>
              </w:rPr>
              <w:t>甲方</w:t>
            </w:r>
            <w:r>
              <w:rPr>
                <w:rFonts w:hint="default" w:ascii="Times New Roman" w:hAnsi="Times New Roman" w:eastAsia="方正仿宋_GBK" w:cs="Times New Roman"/>
                <w:color w:val="auto"/>
                <w:kern w:val="2"/>
                <w:sz w:val="22"/>
                <w:szCs w:val="22"/>
                <w:highlight w:val="none"/>
              </w:rPr>
              <w:t>违约</w:t>
            </w:r>
          </w:p>
        </w:tc>
        <w:tc>
          <w:tcPr>
            <w:tcW w:w="2172" w:type="pct"/>
            <w:noWrap w:val="0"/>
            <w:vAlign w:val="center"/>
          </w:tcPr>
          <w:p w14:paraId="77E2ED80">
            <w:pPr>
              <w:adjustRightInd w:val="0"/>
              <w:snapToGrid w:val="0"/>
              <w:spacing w:before="0" w:beforeLines="0" w:after="0" w:afterLines="0" w:line="240" w:lineRule="auto"/>
              <w:ind w:firstLine="0" w:firstLineChars="0"/>
              <w:jc w:val="center"/>
              <w:rPr>
                <w:rFonts w:hint="default" w:ascii="Times New Roman" w:hAnsi="Times New Roman" w:eastAsia="方正仿宋_GBK" w:cs="Times New Roman"/>
                <w:color w:val="auto"/>
                <w:kern w:val="2"/>
                <w:sz w:val="22"/>
                <w:szCs w:val="22"/>
                <w:highlight w:val="none"/>
              </w:rPr>
            </w:pPr>
            <w:r>
              <w:rPr>
                <w:rFonts w:hint="default" w:ascii="Times New Roman" w:hAnsi="Times New Roman" w:eastAsia="方正仿宋_GBK" w:cs="Times New Roman"/>
                <w:color w:val="auto"/>
                <w:kern w:val="2"/>
                <w:sz w:val="22"/>
                <w:szCs w:val="22"/>
                <w:highlight w:val="none"/>
                <w:lang w:val="en-US" w:eastAsia="zh-CN"/>
              </w:rPr>
              <w:t>A</w:t>
            </w:r>
            <w:r>
              <w:rPr>
                <w:rFonts w:hint="default" w:ascii="Times New Roman" w:hAnsi="Times New Roman" w:eastAsia="方正仿宋_GBK" w:cs="Times New Roman"/>
                <w:color w:val="auto"/>
                <w:kern w:val="2"/>
                <w:sz w:val="22"/>
                <w:szCs w:val="22"/>
                <w:highlight w:val="none"/>
              </w:rPr>
              <w:t>+C+D</w:t>
            </w:r>
          </w:p>
        </w:tc>
      </w:tr>
      <w:tr w14:paraId="1332C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atLeast"/>
          <w:jc w:val="center"/>
        </w:trPr>
        <w:tc>
          <w:tcPr>
            <w:tcW w:w="434" w:type="pct"/>
            <w:vMerge w:val="restart"/>
            <w:noWrap w:val="0"/>
            <w:vAlign w:val="center"/>
          </w:tcPr>
          <w:p w14:paraId="672160E5">
            <w:pPr>
              <w:adjustRightInd w:val="0"/>
              <w:snapToGrid w:val="0"/>
              <w:spacing w:before="0" w:beforeLines="0" w:after="0" w:afterLines="0" w:line="240" w:lineRule="auto"/>
              <w:ind w:firstLine="0" w:firstLineChars="0"/>
              <w:jc w:val="center"/>
              <w:rPr>
                <w:rFonts w:hint="default" w:ascii="Times New Roman" w:hAnsi="Times New Roman" w:eastAsia="方正仿宋_GBK" w:cs="Times New Roman"/>
                <w:color w:val="auto"/>
                <w:kern w:val="2"/>
                <w:sz w:val="22"/>
                <w:szCs w:val="22"/>
                <w:highlight w:val="none"/>
              </w:rPr>
            </w:pPr>
            <w:r>
              <w:rPr>
                <w:rFonts w:hint="default" w:ascii="Times New Roman" w:hAnsi="Times New Roman" w:eastAsia="方正仿宋_GBK" w:cs="Times New Roman"/>
                <w:color w:val="auto"/>
                <w:kern w:val="2"/>
                <w:sz w:val="22"/>
                <w:szCs w:val="22"/>
                <w:highlight w:val="none"/>
              </w:rPr>
              <w:t>3</w:t>
            </w:r>
          </w:p>
        </w:tc>
        <w:tc>
          <w:tcPr>
            <w:tcW w:w="2393" w:type="pct"/>
            <w:vMerge w:val="restart"/>
            <w:noWrap w:val="0"/>
            <w:vAlign w:val="center"/>
          </w:tcPr>
          <w:p w14:paraId="3B1184CB">
            <w:pPr>
              <w:adjustRightInd w:val="0"/>
              <w:snapToGrid w:val="0"/>
              <w:spacing w:before="0" w:beforeLines="0" w:after="0" w:afterLines="0" w:line="240" w:lineRule="auto"/>
              <w:ind w:firstLine="0" w:firstLineChars="0"/>
              <w:jc w:val="center"/>
              <w:rPr>
                <w:rFonts w:hint="default" w:ascii="Times New Roman" w:hAnsi="Times New Roman" w:eastAsia="方正仿宋_GBK" w:cs="Times New Roman"/>
                <w:color w:val="auto"/>
                <w:kern w:val="2"/>
                <w:sz w:val="22"/>
                <w:szCs w:val="22"/>
                <w:highlight w:val="none"/>
              </w:rPr>
            </w:pPr>
            <w:r>
              <w:rPr>
                <w:rFonts w:hint="default" w:ascii="Times New Roman" w:hAnsi="Times New Roman" w:eastAsia="方正仿宋_GBK" w:cs="Times New Roman"/>
                <w:color w:val="auto"/>
                <w:kern w:val="2"/>
                <w:sz w:val="22"/>
                <w:szCs w:val="22"/>
                <w:highlight w:val="none"/>
              </w:rPr>
              <w:t>双方协商</w:t>
            </w:r>
          </w:p>
        </w:tc>
        <w:tc>
          <w:tcPr>
            <w:tcW w:w="2172" w:type="pct"/>
            <w:noWrap w:val="0"/>
            <w:vAlign w:val="center"/>
          </w:tcPr>
          <w:p w14:paraId="6400A7FD">
            <w:pPr>
              <w:adjustRightInd w:val="0"/>
              <w:snapToGrid w:val="0"/>
              <w:spacing w:before="0" w:beforeLines="0" w:after="0" w:afterLines="0" w:line="240" w:lineRule="auto"/>
              <w:ind w:firstLine="0" w:firstLineChars="0"/>
              <w:jc w:val="center"/>
              <w:rPr>
                <w:rFonts w:hint="default" w:ascii="Times New Roman" w:hAnsi="Times New Roman" w:eastAsia="方正仿宋_GBK" w:cs="Times New Roman"/>
                <w:color w:val="auto"/>
                <w:kern w:val="2"/>
                <w:sz w:val="22"/>
                <w:szCs w:val="22"/>
                <w:highlight w:val="none"/>
                <w:lang w:eastAsia="zh-CN"/>
              </w:rPr>
            </w:pPr>
            <w:r>
              <w:rPr>
                <w:rFonts w:hint="default" w:ascii="Times New Roman" w:hAnsi="Times New Roman" w:eastAsia="方正仿宋_GBK" w:cs="Times New Roman"/>
                <w:color w:val="auto"/>
                <w:kern w:val="2"/>
                <w:sz w:val="22"/>
                <w:szCs w:val="22"/>
                <w:highlight w:val="none"/>
                <w:lang w:val="en-US" w:eastAsia="zh-CN"/>
              </w:rPr>
              <w:t>A</w:t>
            </w:r>
          </w:p>
        </w:tc>
      </w:tr>
      <w:tr w14:paraId="616DB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atLeast"/>
          <w:jc w:val="center"/>
        </w:trPr>
        <w:tc>
          <w:tcPr>
            <w:tcW w:w="434" w:type="pct"/>
            <w:vMerge w:val="restart"/>
            <w:noWrap w:val="0"/>
            <w:vAlign w:val="center"/>
          </w:tcPr>
          <w:p w14:paraId="45D2EBFF">
            <w:pPr>
              <w:adjustRightInd w:val="0"/>
              <w:snapToGrid w:val="0"/>
              <w:spacing w:before="0" w:beforeLines="0" w:after="0" w:afterLines="0" w:line="240" w:lineRule="auto"/>
              <w:ind w:firstLine="0" w:firstLineChars="0"/>
              <w:jc w:val="center"/>
              <w:rPr>
                <w:rFonts w:hint="default" w:ascii="Times New Roman" w:hAnsi="Times New Roman" w:eastAsia="方正仿宋_GBK" w:cs="Times New Roman"/>
                <w:color w:val="auto"/>
                <w:kern w:val="2"/>
                <w:sz w:val="22"/>
                <w:szCs w:val="22"/>
                <w:highlight w:val="none"/>
              </w:rPr>
            </w:pPr>
            <w:r>
              <w:rPr>
                <w:rFonts w:hint="default" w:ascii="Times New Roman" w:hAnsi="Times New Roman" w:eastAsia="方正仿宋_GBK" w:cs="Times New Roman"/>
                <w:color w:val="auto"/>
                <w:kern w:val="2"/>
                <w:sz w:val="22"/>
                <w:szCs w:val="22"/>
                <w:highlight w:val="none"/>
              </w:rPr>
              <w:t>4</w:t>
            </w:r>
          </w:p>
        </w:tc>
        <w:tc>
          <w:tcPr>
            <w:tcW w:w="2393" w:type="pct"/>
            <w:vMerge w:val="restart"/>
            <w:noWrap w:val="0"/>
            <w:vAlign w:val="center"/>
          </w:tcPr>
          <w:p w14:paraId="7599EBA4">
            <w:pPr>
              <w:adjustRightInd w:val="0"/>
              <w:snapToGrid w:val="0"/>
              <w:spacing w:before="0" w:beforeLines="0" w:after="0" w:afterLines="0" w:line="240" w:lineRule="auto"/>
              <w:ind w:firstLine="0" w:firstLineChars="0"/>
              <w:jc w:val="center"/>
              <w:rPr>
                <w:rFonts w:hint="default" w:ascii="Times New Roman" w:hAnsi="Times New Roman" w:eastAsia="方正仿宋_GBK" w:cs="Times New Roman"/>
                <w:color w:val="auto"/>
                <w:kern w:val="2"/>
                <w:sz w:val="22"/>
                <w:szCs w:val="22"/>
                <w:highlight w:val="none"/>
              </w:rPr>
            </w:pPr>
            <w:r>
              <w:rPr>
                <w:rFonts w:hint="default" w:ascii="Times New Roman" w:hAnsi="Times New Roman" w:eastAsia="方正仿宋_GBK" w:cs="Times New Roman"/>
                <w:color w:val="auto"/>
                <w:kern w:val="2"/>
                <w:sz w:val="22"/>
                <w:szCs w:val="22"/>
                <w:highlight w:val="none"/>
              </w:rPr>
              <w:t>自然不可抗力</w:t>
            </w:r>
          </w:p>
        </w:tc>
        <w:tc>
          <w:tcPr>
            <w:tcW w:w="2172" w:type="pct"/>
            <w:noWrap w:val="0"/>
            <w:vAlign w:val="center"/>
          </w:tcPr>
          <w:p w14:paraId="79841860">
            <w:pPr>
              <w:adjustRightInd w:val="0"/>
              <w:snapToGrid w:val="0"/>
              <w:spacing w:before="0" w:beforeLines="0" w:after="0" w:afterLines="0" w:line="240" w:lineRule="auto"/>
              <w:ind w:firstLine="0" w:firstLineChars="0"/>
              <w:jc w:val="center"/>
              <w:rPr>
                <w:rFonts w:hint="default" w:ascii="Times New Roman" w:hAnsi="Times New Roman" w:eastAsia="方正仿宋_GBK" w:cs="Times New Roman"/>
                <w:color w:val="auto"/>
                <w:kern w:val="2"/>
                <w:sz w:val="22"/>
                <w:szCs w:val="22"/>
                <w:highlight w:val="none"/>
              </w:rPr>
            </w:pPr>
            <w:r>
              <w:rPr>
                <w:rFonts w:hint="default" w:ascii="Times New Roman" w:hAnsi="Times New Roman" w:eastAsia="方正仿宋_GBK" w:cs="Times New Roman"/>
                <w:color w:val="auto"/>
                <w:kern w:val="2"/>
                <w:sz w:val="22"/>
                <w:szCs w:val="22"/>
                <w:highlight w:val="none"/>
              </w:rPr>
              <w:t>（E-F-G）/2</w:t>
            </w:r>
          </w:p>
        </w:tc>
      </w:tr>
      <w:tr w14:paraId="47B44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atLeast"/>
          <w:jc w:val="center"/>
        </w:trPr>
        <w:tc>
          <w:tcPr>
            <w:tcW w:w="434" w:type="pct"/>
            <w:noWrap w:val="0"/>
            <w:vAlign w:val="center"/>
          </w:tcPr>
          <w:p w14:paraId="7961C151">
            <w:pPr>
              <w:adjustRightInd w:val="0"/>
              <w:snapToGrid w:val="0"/>
              <w:spacing w:before="0" w:beforeLines="0" w:after="0" w:afterLines="0" w:line="240" w:lineRule="auto"/>
              <w:ind w:firstLine="0" w:firstLineChars="0"/>
              <w:jc w:val="center"/>
              <w:rPr>
                <w:rFonts w:hint="default" w:ascii="Times New Roman" w:hAnsi="Times New Roman" w:eastAsia="方正仿宋_GBK" w:cs="Times New Roman"/>
                <w:color w:val="auto"/>
                <w:kern w:val="2"/>
                <w:sz w:val="22"/>
                <w:szCs w:val="22"/>
                <w:highlight w:val="none"/>
              </w:rPr>
            </w:pPr>
            <w:r>
              <w:rPr>
                <w:rFonts w:hint="default" w:ascii="Times New Roman" w:hAnsi="Times New Roman" w:eastAsia="方正仿宋_GBK" w:cs="Times New Roman"/>
                <w:color w:val="auto"/>
                <w:kern w:val="2"/>
                <w:sz w:val="22"/>
                <w:szCs w:val="22"/>
                <w:highlight w:val="none"/>
              </w:rPr>
              <w:t>5</w:t>
            </w:r>
          </w:p>
        </w:tc>
        <w:tc>
          <w:tcPr>
            <w:tcW w:w="2393" w:type="pct"/>
            <w:noWrap w:val="0"/>
            <w:vAlign w:val="center"/>
          </w:tcPr>
          <w:p w14:paraId="6743AFAA">
            <w:pPr>
              <w:adjustRightInd w:val="0"/>
              <w:snapToGrid w:val="0"/>
              <w:spacing w:before="0" w:beforeLines="0" w:after="0" w:afterLines="0" w:line="240" w:lineRule="auto"/>
              <w:ind w:firstLine="0" w:firstLineChars="0"/>
              <w:jc w:val="center"/>
              <w:rPr>
                <w:rFonts w:hint="default" w:ascii="Times New Roman" w:hAnsi="Times New Roman" w:eastAsia="方正仿宋_GBK" w:cs="Times New Roman"/>
                <w:color w:val="auto"/>
                <w:kern w:val="2"/>
                <w:sz w:val="22"/>
                <w:szCs w:val="22"/>
                <w:highlight w:val="none"/>
              </w:rPr>
            </w:pPr>
            <w:r>
              <w:rPr>
                <w:rFonts w:hint="default" w:ascii="Times New Roman" w:hAnsi="Times New Roman" w:eastAsia="方正仿宋_GBK" w:cs="Times New Roman"/>
                <w:color w:val="auto"/>
                <w:kern w:val="2"/>
                <w:sz w:val="22"/>
                <w:szCs w:val="22"/>
                <w:highlight w:val="none"/>
              </w:rPr>
              <w:t>法律、法规、政策变更</w:t>
            </w:r>
          </w:p>
        </w:tc>
        <w:tc>
          <w:tcPr>
            <w:tcW w:w="2172" w:type="pct"/>
            <w:noWrap w:val="0"/>
            <w:vAlign w:val="center"/>
          </w:tcPr>
          <w:p w14:paraId="27BDBE92">
            <w:pPr>
              <w:adjustRightInd w:val="0"/>
              <w:snapToGrid w:val="0"/>
              <w:spacing w:before="0" w:beforeLines="0" w:after="0" w:afterLines="0" w:line="240" w:lineRule="auto"/>
              <w:ind w:firstLine="0" w:firstLineChars="0"/>
              <w:jc w:val="center"/>
              <w:rPr>
                <w:rFonts w:hint="default" w:ascii="Times New Roman" w:hAnsi="Times New Roman" w:eastAsia="方正仿宋_GBK" w:cs="Times New Roman"/>
                <w:color w:val="auto"/>
                <w:kern w:val="2"/>
                <w:sz w:val="22"/>
                <w:szCs w:val="22"/>
                <w:highlight w:val="none"/>
                <w:lang w:eastAsia="zh-CN"/>
              </w:rPr>
            </w:pPr>
            <w:r>
              <w:rPr>
                <w:rFonts w:hint="default" w:ascii="Times New Roman" w:hAnsi="Times New Roman" w:eastAsia="方正仿宋_GBK" w:cs="Times New Roman"/>
                <w:color w:val="auto"/>
                <w:kern w:val="2"/>
                <w:sz w:val="22"/>
                <w:szCs w:val="22"/>
                <w:highlight w:val="none"/>
                <w:lang w:val="en-US" w:eastAsia="zh-CN"/>
              </w:rPr>
              <w:t>A</w:t>
            </w:r>
          </w:p>
        </w:tc>
      </w:tr>
      <w:tr w14:paraId="60CF2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atLeast"/>
          <w:jc w:val="center"/>
        </w:trPr>
        <w:tc>
          <w:tcPr>
            <w:tcW w:w="434" w:type="pct"/>
            <w:noWrap w:val="0"/>
            <w:vAlign w:val="center"/>
          </w:tcPr>
          <w:p w14:paraId="0BCB159C">
            <w:pPr>
              <w:adjustRightInd w:val="0"/>
              <w:snapToGrid w:val="0"/>
              <w:spacing w:before="0" w:beforeLines="0" w:after="0" w:afterLines="0" w:line="240" w:lineRule="auto"/>
              <w:ind w:firstLine="0" w:firstLineChars="0"/>
              <w:jc w:val="center"/>
              <w:rPr>
                <w:rFonts w:hint="default" w:ascii="Times New Roman" w:hAnsi="Times New Roman" w:eastAsia="方正仿宋_GBK" w:cs="Times New Roman"/>
                <w:color w:val="auto"/>
                <w:kern w:val="2"/>
                <w:sz w:val="22"/>
                <w:szCs w:val="22"/>
                <w:highlight w:val="none"/>
              </w:rPr>
            </w:pPr>
            <w:r>
              <w:rPr>
                <w:rFonts w:hint="default" w:ascii="Times New Roman" w:hAnsi="Times New Roman" w:eastAsia="方正仿宋_GBK" w:cs="Times New Roman"/>
                <w:color w:val="auto"/>
                <w:kern w:val="2"/>
                <w:sz w:val="22"/>
                <w:szCs w:val="22"/>
                <w:highlight w:val="none"/>
              </w:rPr>
              <w:t>说明</w:t>
            </w:r>
          </w:p>
        </w:tc>
        <w:tc>
          <w:tcPr>
            <w:tcW w:w="4565" w:type="pct"/>
            <w:gridSpan w:val="2"/>
            <w:noWrap w:val="0"/>
            <w:vAlign w:val="center"/>
          </w:tcPr>
          <w:p w14:paraId="7A03C2B2">
            <w:pPr>
              <w:adjustRightInd w:val="0"/>
              <w:snapToGrid w:val="0"/>
              <w:spacing w:before="0" w:beforeLines="0" w:after="0" w:afterLines="0" w:line="240" w:lineRule="auto"/>
              <w:ind w:firstLine="0" w:firstLineChars="0"/>
              <w:jc w:val="left"/>
              <w:rPr>
                <w:rFonts w:hint="default" w:ascii="Times New Roman" w:hAnsi="Times New Roman" w:eastAsia="方正仿宋_GBK" w:cs="Times New Roman"/>
                <w:color w:val="auto"/>
                <w:kern w:val="2"/>
                <w:sz w:val="22"/>
                <w:szCs w:val="22"/>
                <w:highlight w:val="none"/>
              </w:rPr>
            </w:pPr>
            <w:r>
              <w:rPr>
                <w:rFonts w:hint="default" w:ascii="Times New Roman" w:hAnsi="Times New Roman" w:eastAsia="方正仿宋_GBK" w:cs="Times New Roman"/>
                <w:color w:val="auto"/>
                <w:kern w:val="2"/>
                <w:sz w:val="22"/>
                <w:szCs w:val="22"/>
                <w:highlight w:val="none"/>
              </w:rPr>
              <w:t>若按照对应公式计算的终止补偿金为负数，那么</w:t>
            </w:r>
            <w:r>
              <w:rPr>
                <w:rFonts w:hint="default" w:ascii="Times New Roman" w:hAnsi="Times New Roman" w:eastAsia="方正仿宋_GBK" w:cs="Times New Roman"/>
                <w:color w:val="auto"/>
                <w:kern w:val="2"/>
                <w:sz w:val="22"/>
                <w:szCs w:val="22"/>
                <w:highlight w:val="none"/>
                <w:lang w:eastAsia="zh-CN"/>
              </w:rPr>
              <w:t>特许经营者/</w:t>
            </w:r>
            <w:r>
              <w:rPr>
                <w:rFonts w:hint="eastAsia" w:ascii="Times New Roman" w:hAnsi="Times New Roman" w:eastAsia="方正仿宋_GBK" w:cs="Times New Roman"/>
                <w:color w:val="auto"/>
                <w:kern w:val="2"/>
                <w:sz w:val="22"/>
                <w:szCs w:val="22"/>
                <w:highlight w:val="none"/>
                <w:lang w:eastAsia="zh-CN"/>
              </w:rPr>
              <w:t>乙方</w:t>
            </w:r>
            <w:r>
              <w:rPr>
                <w:rFonts w:hint="default" w:ascii="Times New Roman" w:hAnsi="Times New Roman" w:eastAsia="方正仿宋_GBK" w:cs="Times New Roman"/>
                <w:color w:val="auto"/>
                <w:kern w:val="2"/>
                <w:sz w:val="22"/>
                <w:szCs w:val="22"/>
                <w:highlight w:val="none"/>
              </w:rPr>
              <w:t>应向政府方支付上述负数的绝对值。</w:t>
            </w:r>
          </w:p>
        </w:tc>
      </w:tr>
    </w:tbl>
    <w:p w14:paraId="00FEF943">
      <w:pPr>
        <w:adjustRightInd w:val="0"/>
        <w:snapToGrid w:val="0"/>
        <w:spacing w:before="0" w:beforeLines="0" w:after="0" w:afterLines="0" w:line="360" w:lineRule="auto"/>
        <w:ind w:firstLine="480" w:firstLineChars="200"/>
        <w:rPr>
          <w:rFonts w:hint="default" w:ascii="Times New Roman" w:hAnsi="Times New Roman" w:eastAsia="方正仿宋_GBK" w:cs="Times New Roman"/>
          <w:color w:val="auto"/>
          <w:kern w:val="2"/>
          <w:sz w:val="24"/>
          <w:szCs w:val="24"/>
          <w:highlight w:val="none"/>
        </w:rPr>
      </w:pPr>
      <w:r>
        <w:rPr>
          <w:rFonts w:hint="default" w:ascii="Times New Roman" w:hAnsi="Times New Roman" w:eastAsia="方正仿宋_GBK" w:cs="Times New Roman"/>
          <w:color w:val="auto"/>
          <w:kern w:val="2"/>
          <w:sz w:val="24"/>
          <w:szCs w:val="24"/>
          <w:highlight w:val="none"/>
        </w:rPr>
        <w:t>其中：</w:t>
      </w:r>
    </w:p>
    <w:p w14:paraId="208164C1">
      <w:pPr>
        <w:adjustRightInd w:val="0"/>
        <w:snapToGrid w:val="0"/>
        <w:spacing w:before="0" w:beforeLines="0" w:after="0" w:afterLines="0" w:line="360" w:lineRule="auto"/>
        <w:ind w:firstLine="480" w:firstLineChars="200"/>
        <w:rPr>
          <w:rFonts w:hint="default" w:ascii="Times New Roman" w:hAnsi="Times New Roman" w:eastAsia="方正仿宋_GBK" w:cs="Times New Roman"/>
          <w:color w:val="auto"/>
          <w:kern w:val="2"/>
          <w:sz w:val="24"/>
          <w:szCs w:val="24"/>
          <w:highlight w:val="none"/>
        </w:rPr>
      </w:pPr>
      <w:r>
        <w:rPr>
          <w:rFonts w:hint="default" w:ascii="Times New Roman" w:hAnsi="Times New Roman" w:eastAsia="方正仿宋_GBK" w:cs="Times New Roman"/>
          <w:color w:val="auto"/>
          <w:kern w:val="2"/>
          <w:sz w:val="24"/>
          <w:szCs w:val="24"/>
          <w:highlight w:val="none"/>
          <w:lang w:val="en-US" w:eastAsia="zh-CN"/>
        </w:rPr>
        <w:t>A</w:t>
      </w:r>
      <w:r>
        <w:rPr>
          <w:rFonts w:hint="default" w:ascii="Times New Roman" w:hAnsi="Times New Roman" w:eastAsia="方正仿宋_GBK" w:cs="Times New Roman"/>
          <w:color w:val="auto"/>
          <w:kern w:val="2"/>
          <w:sz w:val="24"/>
          <w:szCs w:val="24"/>
          <w:highlight w:val="none"/>
        </w:rPr>
        <w:t>：为①~②之和</w:t>
      </w:r>
    </w:p>
    <w:p w14:paraId="3411F31D">
      <w:pPr>
        <w:widowControl w:val="0"/>
        <w:numPr>
          <w:ilvl w:val="0"/>
          <w:numId w:val="0"/>
        </w:numPr>
        <w:adjustRightInd w:val="0"/>
        <w:snapToGrid w:val="0"/>
        <w:spacing w:before="0" w:beforeLines="0" w:after="0" w:afterLines="0" w:line="360" w:lineRule="auto"/>
        <w:ind w:left="0" w:firstLine="480" w:firstLineChars="200"/>
        <w:jc w:val="both"/>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①为项目特许经营权转让费×特许经营期剩余年限/特许经营期</w:t>
      </w:r>
    </w:p>
    <w:p w14:paraId="34A3983D">
      <w:pPr>
        <w:adjustRightInd w:val="0"/>
        <w:snapToGrid w:val="0"/>
        <w:spacing w:before="0" w:beforeLines="0" w:after="0" w:afterLines="0" w:line="360" w:lineRule="auto"/>
        <w:ind w:firstLine="480" w:firstLineChars="200"/>
        <w:rPr>
          <w:rFonts w:hint="default" w:ascii="Times New Roman" w:hAnsi="Times New Roman" w:eastAsia="方正仿宋_GBK" w:cs="Times New Roman"/>
          <w:color w:val="auto"/>
          <w:kern w:val="2"/>
          <w:sz w:val="24"/>
          <w:szCs w:val="24"/>
          <w:highlight w:val="none"/>
        </w:rPr>
      </w:pPr>
      <w:r>
        <w:rPr>
          <w:rFonts w:hint="default" w:ascii="Times New Roman" w:hAnsi="Times New Roman" w:eastAsia="方正仿宋_GBK" w:cs="Times New Roman"/>
          <w:color w:val="auto"/>
          <w:kern w:val="2"/>
          <w:sz w:val="24"/>
          <w:szCs w:val="24"/>
          <w:highlight w:val="none"/>
        </w:rPr>
        <w:t>②备品备件及其他合理评估值。</w:t>
      </w:r>
    </w:p>
    <w:p w14:paraId="430AFC0E">
      <w:pPr>
        <w:adjustRightInd w:val="0"/>
        <w:snapToGrid w:val="0"/>
        <w:spacing w:before="0" w:beforeLines="0" w:after="0" w:afterLines="0" w:line="360" w:lineRule="auto"/>
        <w:ind w:firstLine="480" w:firstLineChars="200"/>
        <w:rPr>
          <w:rFonts w:hint="default" w:ascii="Times New Roman" w:hAnsi="Times New Roman" w:eastAsia="方正仿宋_GBK" w:cs="Times New Roman"/>
          <w:color w:val="auto"/>
          <w:kern w:val="2"/>
          <w:sz w:val="24"/>
          <w:szCs w:val="24"/>
          <w:highlight w:val="none"/>
        </w:rPr>
      </w:pPr>
      <w:r>
        <w:rPr>
          <w:rFonts w:hint="default" w:ascii="Times New Roman" w:hAnsi="Times New Roman" w:eastAsia="方正仿宋_GBK" w:cs="Times New Roman"/>
          <w:color w:val="auto"/>
          <w:kern w:val="2"/>
          <w:sz w:val="24"/>
          <w:szCs w:val="24"/>
          <w:highlight w:val="none"/>
        </w:rPr>
        <w:t>C：提前终止所发生第三方的费用（工程、采购服务合同提前终止补偿、解除劳动合同补偿金等）；</w:t>
      </w:r>
    </w:p>
    <w:p w14:paraId="196E063D">
      <w:pPr>
        <w:adjustRightInd w:val="0"/>
        <w:snapToGrid w:val="0"/>
        <w:spacing w:before="0" w:beforeLines="0" w:after="0" w:afterLines="0" w:line="360" w:lineRule="auto"/>
        <w:ind w:firstLine="480" w:firstLineChars="200"/>
        <w:rPr>
          <w:rFonts w:hint="default" w:ascii="Times New Roman" w:hAnsi="Times New Roman" w:eastAsia="方正仿宋_GBK" w:cs="Times New Roman"/>
          <w:color w:val="auto"/>
          <w:kern w:val="2"/>
          <w:sz w:val="24"/>
          <w:szCs w:val="24"/>
          <w:highlight w:val="none"/>
        </w:rPr>
      </w:pPr>
      <w:r>
        <w:rPr>
          <w:rFonts w:hint="default" w:ascii="Times New Roman" w:hAnsi="Times New Roman" w:eastAsia="方正仿宋_GBK" w:cs="Times New Roman"/>
          <w:color w:val="auto"/>
          <w:kern w:val="2"/>
          <w:sz w:val="24"/>
          <w:szCs w:val="24"/>
          <w:highlight w:val="none"/>
        </w:rPr>
        <w:t>D：项目违约赔偿金，取值为</w:t>
      </w:r>
      <w:r>
        <w:rPr>
          <w:rFonts w:hint="eastAsia" w:ascii="Times New Roman" w:hAnsi="Times New Roman" w:eastAsia="方正仿宋_GBK" w:cs="Times New Roman"/>
          <w:color w:val="auto"/>
          <w:kern w:val="2"/>
          <w:sz w:val="24"/>
          <w:szCs w:val="24"/>
          <w:highlight w:val="none"/>
          <w:lang w:eastAsia="zh-CN"/>
        </w:rPr>
        <w:t>2</w:t>
      </w:r>
      <w:r>
        <w:rPr>
          <w:rFonts w:hint="default" w:ascii="Times New Roman" w:hAnsi="Times New Roman" w:eastAsia="方正仿宋_GBK" w:cs="Times New Roman"/>
          <w:color w:val="auto"/>
          <w:kern w:val="2"/>
          <w:sz w:val="24"/>
          <w:szCs w:val="24"/>
          <w:highlight w:val="none"/>
        </w:rPr>
        <w:t>000万元；</w:t>
      </w:r>
    </w:p>
    <w:p w14:paraId="02CD61B8">
      <w:pPr>
        <w:adjustRightInd w:val="0"/>
        <w:snapToGrid w:val="0"/>
        <w:spacing w:before="0" w:beforeLines="0" w:after="0" w:afterLines="0" w:line="360" w:lineRule="auto"/>
        <w:ind w:firstLine="480" w:firstLineChars="200"/>
        <w:rPr>
          <w:rFonts w:hint="default" w:ascii="Times New Roman" w:hAnsi="Times New Roman" w:eastAsia="方正仿宋_GBK" w:cs="Times New Roman"/>
          <w:color w:val="auto"/>
          <w:kern w:val="2"/>
          <w:sz w:val="24"/>
          <w:szCs w:val="24"/>
          <w:highlight w:val="none"/>
        </w:rPr>
      </w:pPr>
      <w:r>
        <w:rPr>
          <w:rFonts w:hint="default" w:ascii="Times New Roman" w:hAnsi="Times New Roman" w:eastAsia="方正仿宋_GBK" w:cs="Times New Roman"/>
          <w:color w:val="auto"/>
          <w:kern w:val="2"/>
          <w:sz w:val="24"/>
          <w:szCs w:val="24"/>
          <w:highlight w:val="none"/>
        </w:rPr>
        <w:t>E：为经审计的</w:t>
      </w:r>
      <w:r>
        <w:rPr>
          <w:rFonts w:hint="default" w:ascii="Times New Roman" w:hAnsi="Times New Roman" w:eastAsia="方正仿宋_GBK" w:cs="Times New Roman"/>
          <w:color w:val="auto"/>
          <w:kern w:val="2"/>
          <w:sz w:val="24"/>
          <w:szCs w:val="24"/>
          <w:highlight w:val="none"/>
          <w:lang w:val="en-US" w:eastAsia="zh-CN"/>
        </w:rPr>
        <w:t>乙方</w:t>
      </w:r>
      <w:r>
        <w:rPr>
          <w:rFonts w:hint="default" w:ascii="Times New Roman" w:hAnsi="Times New Roman" w:eastAsia="方正仿宋_GBK" w:cs="Times New Roman"/>
          <w:color w:val="auto"/>
          <w:kern w:val="2"/>
          <w:sz w:val="24"/>
          <w:szCs w:val="24"/>
          <w:highlight w:val="none"/>
        </w:rPr>
        <w:t>账面资产净值；</w:t>
      </w:r>
    </w:p>
    <w:p w14:paraId="279D0A62">
      <w:pPr>
        <w:adjustRightInd w:val="0"/>
        <w:snapToGrid w:val="0"/>
        <w:spacing w:before="0" w:beforeLines="0" w:after="0" w:afterLines="0" w:line="360" w:lineRule="auto"/>
        <w:ind w:firstLine="480" w:firstLineChars="200"/>
        <w:rPr>
          <w:rFonts w:hint="default" w:ascii="Times New Roman" w:hAnsi="Times New Roman" w:eastAsia="方正仿宋_GBK" w:cs="Times New Roman"/>
          <w:color w:val="auto"/>
          <w:kern w:val="2"/>
          <w:sz w:val="24"/>
          <w:szCs w:val="24"/>
          <w:highlight w:val="none"/>
        </w:rPr>
      </w:pPr>
      <w:r>
        <w:rPr>
          <w:rFonts w:hint="default" w:ascii="Times New Roman" w:hAnsi="Times New Roman" w:eastAsia="方正仿宋_GBK" w:cs="Times New Roman"/>
          <w:color w:val="auto"/>
          <w:kern w:val="2"/>
          <w:sz w:val="24"/>
          <w:szCs w:val="24"/>
          <w:highlight w:val="none"/>
        </w:rPr>
        <w:t>F：发生不可抗力情形时，根据</w:t>
      </w:r>
      <w:r>
        <w:rPr>
          <w:rFonts w:hint="default" w:ascii="Times New Roman" w:hAnsi="Times New Roman" w:eastAsia="方正仿宋_GBK" w:cs="Times New Roman"/>
          <w:color w:val="auto"/>
          <w:kern w:val="2"/>
          <w:sz w:val="24"/>
          <w:szCs w:val="24"/>
          <w:highlight w:val="none"/>
          <w:lang w:val="en-US" w:eastAsia="zh-CN"/>
        </w:rPr>
        <w:t>本协议</w:t>
      </w:r>
      <w:r>
        <w:rPr>
          <w:rFonts w:hint="default" w:ascii="Times New Roman" w:hAnsi="Times New Roman" w:eastAsia="方正仿宋_GBK" w:cs="Times New Roman"/>
          <w:color w:val="auto"/>
          <w:kern w:val="2"/>
          <w:sz w:val="24"/>
          <w:szCs w:val="24"/>
          <w:highlight w:val="none"/>
        </w:rPr>
        <w:t>及相关保险合同约定，</w:t>
      </w:r>
      <w:r>
        <w:rPr>
          <w:rFonts w:hint="default" w:ascii="Times New Roman" w:hAnsi="Times New Roman" w:eastAsia="方正仿宋_GBK" w:cs="Times New Roman"/>
          <w:color w:val="auto"/>
          <w:kern w:val="2"/>
          <w:sz w:val="24"/>
          <w:szCs w:val="24"/>
          <w:highlight w:val="none"/>
          <w:lang w:val="en-US" w:eastAsia="zh-CN"/>
        </w:rPr>
        <w:t>乙方</w:t>
      </w:r>
      <w:r>
        <w:rPr>
          <w:rFonts w:hint="default" w:ascii="Times New Roman" w:hAnsi="Times New Roman" w:eastAsia="方正仿宋_GBK" w:cs="Times New Roman"/>
          <w:color w:val="auto"/>
          <w:kern w:val="2"/>
          <w:sz w:val="24"/>
          <w:szCs w:val="24"/>
          <w:highlight w:val="none"/>
        </w:rPr>
        <w:t>实际获得的保险赔款；</w:t>
      </w:r>
    </w:p>
    <w:p w14:paraId="695000F0">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s="Times New Roman"/>
          <w:bCs/>
          <w:caps w:val="0"/>
          <w:smallCaps w:val="0"/>
          <w:color w:val="auto"/>
          <w:kern w:val="2"/>
          <w:sz w:val="24"/>
          <w:szCs w:val="24"/>
          <w:highlight w:val="none"/>
        </w:rPr>
      </w:pPr>
      <w:r>
        <w:rPr>
          <w:rFonts w:hint="default" w:ascii="Times New Roman" w:hAnsi="Times New Roman" w:eastAsia="方正仿宋_GBK" w:cs="Times New Roman"/>
          <w:color w:val="auto"/>
          <w:kern w:val="2"/>
          <w:sz w:val="24"/>
          <w:szCs w:val="24"/>
          <w:highlight w:val="none"/>
        </w:rPr>
        <w:t>G：发生不可抗力情形时，因</w:t>
      </w:r>
      <w:r>
        <w:rPr>
          <w:rFonts w:hint="default" w:ascii="Times New Roman" w:hAnsi="Times New Roman" w:eastAsia="方正仿宋_GBK" w:cs="Times New Roman"/>
          <w:color w:val="auto"/>
          <w:kern w:val="2"/>
          <w:sz w:val="24"/>
          <w:szCs w:val="24"/>
          <w:highlight w:val="none"/>
          <w:lang w:val="en-US" w:eastAsia="zh-CN"/>
        </w:rPr>
        <w:t>乙方</w:t>
      </w:r>
      <w:r>
        <w:rPr>
          <w:rFonts w:hint="default" w:ascii="Times New Roman" w:hAnsi="Times New Roman" w:eastAsia="方正仿宋_GBK" w:cs="Times New Roman"/>
          <w:color w:val="auto"/>
          <w:kern w:val="2"/>
          <w:sz w:val="24"/>
          <w:szCs w:val="24"/>
          <w:highlight w:val="none"/>
        </w:rPr>
        <w:t>投保不足，导致所获保险赔款无法使项目设施恢复到出险前的正常状态和价值的恢复性建设费用缺额部分（如有）。</w:t>
      </w:r>
    </w:p>
    <w:p w14:paraId="56EFD083">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0" w:firstLineChars="0"/>
        <w:rPr>
          <w:rFonts w:hint="default" w:ascii="Times New Roman" w:hAnsi="Times New Roman" w:eastAsia="方正仿宋_GBK"/>
          <w:caps w:val="0"/>
          <w:smallCaps w:val="0"/>
          <w:color w:val="auto"/>
          <w:kern w:val="2"/>
          <w:sz w:val="28"/>
          <w:szCs w:val="28"/>
          <w:highlight w:val="none"/>
        </w:rPr>
      </w:pPr>
    </w:p>
    <w:p w14:paraId="023208E4">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407" w:name="_Toc17333"/>
      <w:bookmarkStart w:id="408" w:name="_Toc1100494841"/>
      <w:bookmarkStart w:id="409" w:name="_Toc26910"/>
      <w:r>
        <w:rPr>
          <w:rFonts w:hint="eastAsia" w:ascii="Times New Roman" w:hAnsi="Times New Roman" w:eastAsia="方正黑体_GBK" w:cs="方正黑体_GBK"/>
          <w:bCs/>
          <w:caps w:val="0"/>
          <w:smallCaps w:val="0"/>
          <w:color w:val="auto"/>
          <w:kern w:val="2"/>
          <w:sz w:val="28"/>
          <w:szCs w:val="28"/>
          <w:highlight w:val="none"/>
          <w:lang w:val="en-US" w:eastAsia="zh-CN" w:bidi="ar-SA"/>
        </w:rPr>
        <w:t>第56条 协议解除后的项目</w:t>
      </w:r>
      <w:bookmarkEnd w:id="404"/>
      <w:r>
        <w:rPr>
          <w:rFonts w:hint="eastAsia" w:ascii="Times New Roman" w:hAnsi="Times New Roman" w:eastAsia="方正黑体_GBK" w:cs="方正黑体_GBK"/>
          <w:bCs/>
          <w:caps w:val="0"/>
          <w:smallCaps w:val="0"/>
          <w:color w:val="auto"/>
          <w:kern w:val="2"/>
          <w:sz w:val="28"/>
          <w:szCs w:val="28"/>
          <w:highlight w:val="none"/>
          <w:lang w:val="en-US" w:eastAsia="zh-CN" w:bidi="ar-SA"/>
        </w:rPr>
        <w:t>移交</w:t>
      </w:r>
      <w:bookmarkEnd w:id="405"/>
      <w:bookmarkEnd w:id="407"/>
      <w:bookmarkEnd w:id="408"/>
      <w:bookmarkEnd w:id="409"/>
    </w:p>
    <w:p w14:paraId="51D3E753">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本协议提前解除</w:t>
      </w:r>
      <w:r>
        <w:rPr>
          <w:rFonts w:hint="default" w:ascii="Times New Roman" w:hAnsi="Times New Roman" w:eastAsia="方正仿宋_GBK"/>
          <w:caps w:val="0"/>
          <w:smallCaps w:val="0"/>
          <w:color w:val="auto"/>
          <w:kern w:val="0"/>
          <w:sz w:val="24"/>
          <w:szCs w:val="24"/>
          <w:highlight w:val="none"/>
        </w:rPr>
        <w:t>后，双方应按照第</w:t>
      </w:r>
      <w:r>
        <w:rPr>
          <w:rFonts w:hint="eastAsia" w:ascii="Times New Roman" w:hAnsi="Times New Roman" w:eastAsia="方正仿宋_GBK"/>
          <w:caps w:val="0"/>
          <w:smallCaps w:val="0"/>
          <w:color w:val="auto"/>
          <w:kern w:val="0"/>
          <w:sz w:val="24"/>
          <w:szCs w:val="24"/>
          <w:highlight w:val="none"/>
          <w:lang w:eastAsia="zh-CN"/>
        </w:rPr>
        <w:t>5</w:t>
      </w:r>
      <w:r>
        <w:rPr>
          <w:rFonts w:hint="eastAsia" w:ascii="Times New Roman" w:hAnsi="Times New Roman" w:eastAsia="方正仿宋_GBK"/>
          <w:caps w:val="0"/>
          <w:smallCaps w:val="0"/>
          <w:color w:val="auto"/>
          <w:kern w:val="0"/>
          <w:sz w:val="24"/>
          <w:szCs w:val="24"/>
          <w:highlight w:val="none"/>
          <w:lang w:val="en-US" w:eastAsia="zh-CN"/>
        </w:rPr>
        <w:t>8</w:t>
      </w:r>
      <w:r>
        <w:rPr>
          <w:rFonts w:hint="eastAsia" w:ascii="Times New Roman" w:hAnsi="Times New Roman" w:eastAsia="方正仿宋_GBK"/>
          <w:caps w:val="0"/>
          <w:smallCaps w:val="0"/>
          <w:color w:val="auto"/>
          <w:kern w:val="0"/>
          <w:sz w:val="24"/>
          <w:szCs w:val="24"/>
          <w:highlight w:val="none"/>
        </w:rPr>
        <w:t>条</w:t>
      </w:r>
      <w:r>
        <w:rPr>
          <w:rFonts w:hint="default" w:ascii="Times New Roman" w:hAnsi="Times New Roman" w:eastAsia="方正仿宋_GBK"/>
          <w:caps w:val="0"/>
          <w:smallCaps w:val="0"/>
          <w:color w:val="auto"/>
          <w:kern w:val="0"/>
          <w:sz w:val="24"/>
          <w:szCs w:val="24"/>
          <w:highlight w:val="none"/>
        </w:rPr>
        <w:t>规定的程序完成移交。</w:t>
      </w:r>
    </w:p>
    <w:p w14:paraId="4C7D2C06">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560" w:firstLineChars="200"/>
        <w:rPr>
          <w:rFonts w:hint="default" w:ascii="Times New Roman" w:hAnsi="Times New Roman" w:eastAsia="方正仿宋_GBK"/>
          <w:caps w:val="0"/>
          <w:smallCaps w:val="0"/>
          <w:color w:val="auto"/>
          <w:kern w:val="0"/>
          <w:sz w:val="28"/>
          <w:szCs w:val="28"/>
          <w:highlight w:val="none"/>
        </w:rPr>
      </w:pPr>
    </w:p>
    <w:p w14:paraId="2E9E7618">
      <w:pPr>
        <w:numPr>
          <w:ilvl w:val="0"/>
          <w:numId w:val="0"/>
        </w:numPr>
        <w:spacing w:before="156" w:after="156"/>
        <w:ind w:left="0" w:firstLine="0"/>
        <w:jc w:val="center"/>
        <w:outlineLvl w:val="0"/>
        <w:rPr>
          <w:rFonts w:hint="eastAsia" w:ascii="Times New Roman" w:hAnsi="Times New Roman" w:eastAsia="方正黑体_GBK" w:cs="方正黑体_GBK"/>
          <w:caps w:val="0"/>
          <w:smallCaps w:val="0"/>
          <w:color w:val="auto"/>
          <w:kern w:val="2"/>
          <w:sz w:val="28"/>
          <w:szCs w:val="28"/>
          <w:highlight w:val="none"/>
          <w:lang w:val="en-US" w:eastAsia="zh-CN" w:bidi="ar-SA"/>
        </w:rPr>
      </w:pPr>
      <w:r>
        <w:rPr>
          <w:rFonts w:ascii="Times New Roman" w:hAnsi="Times New Roman" w:eastAsia="方正仿宋_GBK" w:cs="Times New Roman"/>
          <w:caps w:val="0"/>
          <w:smallCaps w:val="0"/>
          <w:color w:val="auto"/>
          <w:kern w:val="0"/>
          <w:sz w:val="28"/>
          <w:szCs w:val="28"/>
          <w:highlight w:val="none"/>
          <w:lang w:val="en-US" w:eastAsia="zh-CN" w:bidi="ar-SA"/>
        </w:rPr>
        <w:br w:type="page"/>
      </w:r>
      <w:bookmarkStart w:id="410" w:name="_Toc1703283299"/>
      <w:bookmarkStart w:id="411" w:name="_Toc1819"/>
      <w:bookmarkStart w:id="412" w:name="_Toc15670"/>
      <w:r>
        <w:rPr>
          <w:rFonts w:hint="eastAsia" w:ascii="Times New Roman" w:hAnsi="Times New Roman" w:eastAsia="方正黑体_GBK" w:cs="方正黑体_GBK"/>
          <w:caps w:val="0"/>
          <w:smallCaps w:val="0"/>
          <w:color w:val="auto"/>
          <w:kern w:val="2"/>
          <w:sz w:val="28"/>
          <w:szCs w:val="28"/>
          <w:highlight w:val="none"/>
          <w:lang w:val="en-US" w:eastAsia="zh-CN" w:bidi="ar-SA"/>
        </w:rPr>
        <w:t>第十一章 项目公司移交项目设施及权益</w:t>
      </w:r>
      <w:bookmarkEnd w:id="410"/>
      <w:bookmarkEnd w:id="411"/>
      <w:bookmarkEnd w:id="412"/>
    </w:p>
    <w:p w14:paraId="0001A205">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413" w:name="_Toc12370"/>
      <w:bookmarkStart w:id="414" w:name="_Toc21598"/>
      <w:bookmarkStart w:id="415" w:name="_Toc405146868"/>
      <w:bookmarkStart w:id="416" w:name="_Toc60744412"/>
      <w:bookmarkStart w:id="417" w:name="_Toc402428945"/>
      <w:r>
        <w:rPr>
          <w:rFonts w:hint="eastAsia" w:ascii="Times New Roman" w:hAnsi="Times New Roman" w:eastAsia="方正黑体_GBK" w:cs="方正黑体_GBK"/>
          <w:bCs/>
          <w:caps w:val="0"/>
          <w:smallCaps w:val="0"/>
          <w:color w:val="auto"/>
          <w:kern w:val="2"/>
          <w:sz w:val="28"/>
          <w:szCs w:val="28"/>
          <w:highlight w:val="none"/>
          <w:lang w:val="en-US" w:eastAsia="zh-CN" w:bidi="ar-SA"/>
        </w:rPr>
        <w:t>第57条 项目设施移交前过渡期</w:t>
      </w:r>
      <w:bookmarkEnd w:id="413"/>
      <w:bookmarkEnd w:id="414"/>
      <w:bookmarkEnd w:id="415"/>
      <w:bookmarkEnd w:id="416"/>
      <w:bookmarkEnd w:id="417"/>
    </w:p>
    <w:p w14:paraId="0A7A79D7">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567"/>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1.移交委员会</w:t>
      </w:r>
    </w:p>
    <w:p w14:paraId="34E0E412">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aps w:val="0"/>
          <w:smallCaps w:val="0"/>
          <w:color w:val="auto"/>
          <w:kern w:val="0"/>
          <w:sz w:val="24"/>
          <w:szCs w:val="28"/>
          <w:highlight w:val="none"/>
        </w:rPr>
      </w:pPr>
      <w:r>
        <w:rPr>
          <w:rFonts w:hint="eastAsia" w:ascii="Times New Roman" w:hAnsi="Times New Roman" w:eastAsia="方正仿宋_GBK"/>
          <w:caps w:val="0"/>
          <w:smallCaps w:val="0"/>
          <w:color w:val="auto"/>
          <w:kern w:val="0"/>
          <w:sz w:val="24"/>
          <w:szCs w:val="28"/>
          <w:highlight w:val="none"/>
        </w:rPr>
        <w:t>在特许经营协议解除</w:t>
      </w:r>
      <w:r>
        <w:rPr>
          <w:rFonts w:hint="eastAsia" w:ascii="Times New Roman" w:hAnsi="Times New Roman" w:eastAsia="方正仿宋_GBK"/>
          <w:caps w:val="0"/>
          <w:smallCaps w:val="0"/>
          <w:color w:val="auto"/>
          <w:kern w:val="0"/>
          <w:sz w:val="24"/>
          <w:szCs w:val="28"/>
          <w:highlight w:val="none"/>
          <w:lang w:val="en-US" w:eastAsia="zh-CN"/>
        </w:rPr>
        <w:t>180</w:t>
      </w:r>
      <w:r>
        <w:rPr>
          <w:rFonts w:hint="eastAsia" w:ascii="Times New Roman" w:hAnsi="Times New Roman" w:eastAsia="方正仿宋_GBK"/>
          <w:caps w:val="0"/>
          <w:smallCaps w:val="0"/>
          <w:color w:val="auto"/>
          <w:kern w:val="0"/>
          <w:sz w:val="24"/>
          <w:szCs w:val="28"/>
          <w:highlight w:val="none"/>
        </w:rPr>
        <w:t>天内或期满终止前的第</w:t>
      </w:r>
      <w:r>
        <w:rPr>
          <w:rFonts w:hint="eastAsia" w:ascii="Times New Roman" w:hAnsi="Times New Roman" w:eastAsia="方正仿宋_GBK"/>
          <w:caps w:val="0"/>
          <w:smallCaps w:val="0"/>
          <w:color w:val="auto"/>
          <w:kern w:val="0"/>
          <w:sz w:val="24"/>
          <w:szCs w:val="28"/>
          <w:highlight w:val="none"/>
          <w:lang w:val="en-US" w:eastAsia="zh-CN"/>
        </w:rPr>
        <w:t>12</w:t>
      </w:r>
      <w:r>
        <w:rPr>
          <w:rFonts w:hint="default" w:ascii="Times New Roman" w:hAnsi="Times New Roman" w:eastAsia="方正仿宋_GBK"/>
          <w:caps w:val="0"/>
          <w:smallCaps w:val="0"/>
          <w:color w:val="auto"/>
          <w:kern w:val="0"/>
          <w:sz w:val="24"/>
          <w:szCs w:val="28"/>
          <w:highlight w:val="none"/>
        </w:rPr>
        <w:t>个月，由甲方和乙方各自派员组成移交委员会</w:t>
      </w:r>
      <w:r>
        <w:rPr>
          <w:rFonts w:hint="eastAsia" w:ascii="Times New Roman" w:hAnsi="Times New Roman" w:eastAsia="方正仿宋_GBK"/>
          <w:caps w:val="0"/>
          <w:smallCaps w:val="0"/>
          <w:color w:val="auto"/>
          <w:kern w:val="0"/>
          <w:sz w:val="24"/>
          <w:szCs w:val="28"/>
          <w:highlight w:val="none"/>
        </w:rPr>
        <w:t>并制定该委员会议事规则</w:t>
      </w:r>
      <w:r>
        <w:rPr>
          <w:rFonts w:hint="eastAsia" w:ascii="Times New Roman" w:hAnsi="Times New Roman" w:eastAsia="方正仿宋_GBK"/>
          <w:caps w:val="0"/>
          <w:smallCaps w:val="0"/>
          <w:color w:val="auto"/>
          <w:kern w:val="0"/>
          <w:sz w:val="24"/>
          <w:szCs w:val="28"/>
          <w:highlight w:val="none"/>
          <w:lang w:val="en-US" w:eastAsia="zh-CN"/>
        </w:rPr>
        <w:t>及移交方案</w:t>
      </w:r>
      <w:r>
        <w:rPr>
          <w:rFonts w:hint="default" w:ascii="Times New Roman" w:hAnsi="Times New Roman" w:eastAsia="方正仿宋_GBK"/>
          <w:caps w:val="0"/>
          <w:smallCaps w:val="0"/>
          <w:color w:val="auto"/>
          <w:kern w:val="0"/>
          <w:sz w:val="24"/>
          <w:szCs w:val="28"/>
          <w:highlight w:val="none"/>
        </w:rPr>
        <w:t>。移交委员会中甲</w:t>
      </w:r>
      <w:r>
        <w:rPr>
          <w:rFonts w:hint="eastAsia" w:ascii="Times New Roman" w:hAnsi="Times New Roman" w:eastAsia="方正仿宋_GBK"/>
          <w:caps w:val="0"/>
          <w:smallCaps w:val="0"/>
          <w:color w:val="auto"/>
          <w:kern w:val="0"/>
          <w:sz w:val="24"/>
          <w:szCs w:val="28"/>
          <w:highlight w:val="none"/>
          <w:lang w:eastAsia="zh-CN"/>
        </w:rPr>
        <w:t>、</w:t>
      </w:r>
      <w:r>
        <w:rPr>
          <w:rFonts w:hint="default" w:ascii="Times New Roman" w:hAnsi="Times New Roman" w:eastAsia="方正仿宋_GBK"/>
          <w:caps w:val="0"/>
          <w:smallCaps w:val="0"/>
          <w:color w:val="auto"/>
          <w:kern w:val="0"/>
          <w:sz w:val="24"/>
          <w:szCs w:val="28"/>
          <w:highlight w:val="none"/>
        </w:rPr>
        <w:t>乙双方代表人数应当相同，移交委员会主任委员由甲方人员担任。移交委员会具体负责和办理移交工作，包括组织必要的会议会谈并商定设施移交的详尽程序</w:t>
      </w:r>
      <w:r>
        <w:rPr>
          <w:rFonts w:hint="eastAsia" w:ascii="Times New Roman" w:hAnsi="Times New Roman" w:eastAsia="方正仿宋_GBK"/>
          <w:caps w:val="0"/>
          <w:smallCaps w:val="0"/>
          <w:color w:val="auto"/>
          <w:kern w:val="0"/>
          <w:sz w:val="24"/>
          <w:szCs w:val="28"/>
          <w:highlight w:val="none"/>
        </w:rPr>
        <w:t>等。</w:t>
      </w:r>
    </w:p>
    <w:p w14:paraId="01F1414B">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567"/>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2.商定移交程序</w:t>
      </w:r>
    </w:p>
    <w:p w14:paraId="29C32955">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aps w:val="0"/>
          <w:smallCaps w:val="0"/>
          <w:color w:val="auto"/>
          <w:kern w:val="0"/>
          <w:sz w:val="24"/>
          <w:szCs w:val="28"/>
          <w:highlight w:val="none"/>
        </w:rPr>
      </w:pPr>
      <w:r>
        <w:rPr>
          <w:rFonts w:hint="eastAsia" w:ascii="Times New Roman" w:hAnsi="Times New Roman" w:eastAsia="方正仿宋_GBK"/>
          <w:caps w:val="0"/>
          <w:smallCaps w:val="0"/>
          <w:color w:val="auto"/>
          <w:kern w:val="0"/>
          <w:sz w:val="24"/>
          <w:szCs w:val="28"/>
          <w:highlight w:val="none"/>
        </w:rPr>
        <w:t>移交委员会应在移交日期</w:t>
      </w:r>
      <w:r>
        <w:rPr>
          <w:rFonts w:hint="eastAsia" w:ascii="Times New Roman" w:hAnsi="Times New Roman" w:eastAsia="方正仿宋_GBK"/>
          <w:caps w:val="0"/>
          <w:smallCaps w:val="0"/>
          <w:color w:val="auto"/>
          <w:kern w:val="0"/>
          <w:sz w:val="24"/>
          <w:szCs w:val="28"/>
          <w:highlight w:val="none"/>
          <w:lang w:val="en-US" w:eastAsia="zh-CN"/>
        </w:rPr>
        <w:t>6</w:t>
      </w:r>
      <w:r>
        <w:rPr>
          <w:rFonts w:hint="default" w:ascii="Times New Roman" w:hAnsi="Times New Roman" w:eastAsia="方正仿宋_GBK"/>
          <w:caps w:val="0"/>
          <w:smallCaps w:val="0"/>
          <w:color w:val="auto"/>
          <w:kern w:val="0"/>
          <w:sz w:val="24"/>
          <w:szCs w:val="28"/>
          <w:highlight w:val="none"/>
        </w:rPr>
        <w:t>个月前商定移交的</w:t>
      </w:r>
      <w:r>
        <w:rPr>
          <w:rFonts w:hint="eastAsia" w:ascii="Times New Roman" w:hAnsi="Times New Roman" w:eastAsia="方正仿宋_GBK"/>
          <w:caps w:val="0"/>
          <w:smallCaps w:val="0"/>
          <w:color w:val="auto"/>
          <w:kern w:val="0"/>
          <w:sz w:val="24"/>
          <w:szCs w:val="28"/>
          <w:highlight w:val="none"/>
        </w:rPr>
        <w:t>项目设施、</w:t>
      </w:r>
      <w:r>
        <w:rPr>
          <w:rFonts w:hint="default" w:ascii="Times New Roman" w:hAnsi="Times New Roman" w:eastAsia="方正仿宋_GBK"/>
          <w:caps w:val="0"/>
          <w:smallCaps w:val="0"/>
          <w:color w:val="auto"/>
          <w:kern w:val="0"/>
          <w:sz w:val="24"/>
          <w:szCs w:val="28"/>
          <w:highlight w:val="none"/>
        </w:rPr>
        <w:t>备品备件的详细清单和移交程序。</w:t>
      </w:r>
    </w:p>
    <w:p w14:paraId="5592491E">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567"/>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3.移交前</w:t>
      </w:r>
      <w:r>
        <w:rPr>
          <w:rFonts w:ascii="Times New Roman" w:hAnsi="Times New Roman" w:eastAsia="方正仿宋_GBK" w:cs="Times New Roman"/>
          <w:b/>
          <w:caps w:val="0"/>
          <w:smallCaps w:val="0"/>
          <w:color w:val="auto"/>
          <w:kern w:val="2"/>
          <w:sz w:val="24"/>
          <w:szCs w:val="24"/>
          <w:highlight w:val="none"/>
          <w:lang w:val="en-US" w:eastAsia="zh-CN" w:bidi="ar-SA"/>
        </w:rPr>
        <w:t>恢复性大修和性能测试</w:t>
      </w:r>
    </w:p>
    <w:p w14:paraId="0B891423">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aps w:val="0"/>
          <w:smallCaps w:val="0"/>
          <w:color w:val="auto"/>
          <w:kern w:val="0"/>
          <w:sz w:val="24"/>
          <w:szCs w:val="28"/>
          <w:highlight w:val="none"/>
        </w:rPr>
      </w:pPr>
      <w:r>
        <w:rPr>
          <w:rFonts w:hint="eastAsia" w:ascii="Times New Roman" w:hAnsi="Times New Roman" w:eastAsia="方正仿宋_GBK"/>
          <w:caps w:val="0"/>
          <w:smallCaps w:val="0"/>
          <w:color w:val="auto"/>
          <w:kern w:val="0"/>
          <w:sz w:val="24"/>
          <w:szCs w:val="28"/>
          <w:highlight w:val="none"/>
        </w:rPr>
        <w:t>（1）移交前</w:t>
      </w:r>
      <w:r>
        <w:rPr>
          <w:rFonts w:hint="default" w:ascii="Times New Roman" w:hAnsi="Times New Roman" w:eastAsia="方正仿宋_GBK"/>
          <w:caps w:val="0"/>
          <w:smallCaps w:val="0"/>
          <w:color w:val="auto"/>
          <w:kern w:val="0"/>
          <w:sz w:val="24"/>
          <w:szCs w:val="28"/>
          <w:highlight w:val="none"/>
        </w:rPr>
        <w:t>恢复性大修</w:t>
      </w:r>
    </w:p>
    <w:p w14:paraId="4FEF90B0">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aps w:val="0"/>
          <w:smallCaps w:val="0"/>
          <w:color w:val="auto"/>
          <w:kern w:val="0"/>
          <w:sz w:val="24"/>
          <w:szCs w:val="28"/>
          <w:highlight w:val="none"/>
          <w:u w:val="none"/>
        </w:rPr>
      </w:pPr>
      <w:r>
        <w:rPr>
          <w:rFonts w:hint="eastAsia" w:ascii="Times New Roman" w:hAnsi="Times New Roman" w:eastAsia="方正仿宋_GBK"/>
          <w:caps w:val="0"/>
          <w:smallCaps w:val="0"/>
          <w:color w:val="auto"/>
          <w:kern w:val="0"/>
          <w:sz w:val="24"/>
          <w:szCs w:val="28"/>
          <w:highlight w:val="none"/>
          <w:u w:val="none"/>
        </w:rPr>
        <w:t>根据</w:t>
      </w:r>
      <w:r>
        <w:rPr>
          <w:rFonts w:hint="default" w:ascii="Times New Roman" w:hAnsi="Times New Roman" w:eastAsia="方正仿宋_GBK"/>
          <w:caps w:val="0"/>
          <w:smallCaps w:val="0"/>
          <w:color w:val="auto"/>
          <w:kern w:val="0"/>
          <w:sz w:val="24"/>
          <w:szCs w:val="28"/>
          <w:highlight w:val="none"/>
          <w:u w:val="none"/>
        </w:rPr>
        <w:t>移交委员会商定的</w:t>
      </w:r>
      <w:r>
        <w:rPr>
          <w:rFonts w:hint="eastAsia" w:ascii="Times New Roman" w:hAnsi="Times New Roman" w:eastAsia="方正仿宋_GBK"/>
          <w:caps w:val="0"/>
          <w:smallCaps w:val="0"/>
          <w:color w:val="auto"/>
          <w:kern w:val="0"/>
          <w:sz w:val="24"/>
          <w:szCs w:val="28"/>
          <w:highlight w:val="none"/>
          <w:u w:val="none"/>
        </w:rPr>
        <w:t>移交前</w:t>
      </w:r>
      <w:r>
        <w:rPr>
          <w:rFonts w:hint="default" w:ascii="Times New Roman" w:hAnsi="Times New Roman" w:eastAsia="方正仿宋_GBK"/>
          <w:caps w:val="0"/>
          <w:smallCaps w:val="0"/>
          <w:color w:val="auto"/>
          <w:kern w:val="0"/>
          <w:sz w:val="24"/>
          <w:szCs w:val="28"/>
          <w:highlight w:val="none"/>
          <w:u w:val="none"/>
        </w:rPr>
        <w:t>最后恢复性大修计划</w:t>
      </w:r>
      <w:r>
        <w:rPr>
          <w:rFonts w:hint="eastAsia" w:ascii="Times New Roman" w:hAnsi="Times New Roman" w:eastAsia="方正仿宋_GBK"/>
          <w:caps w:val="0"/>
          <w:smallCaps w:val="0"/>
          <w:color w:val="auto"/>
          <w:kern w:val="0"/>
          <w:sz w:val="24"/>
          <w:szCs w:val="28"/>
          <w:highlight w:val="none"/>
          <w:u w:val="none"/>
          <w:lang w:val="en-US" w:eastAsia="zh-CN"/>
        </w:rPr>
        <w:t>及验收标准</w:t>
      </w:r>
      <w:r>
        <w:rPr>
          <w:rFonts w:hint="eastAsia" w:ascii="Times New Roman" w:hAnsi="Times New Roman" w:eastAsia="方正仿宋_GBK"/>
          <w:caps w:val="0"/>
          <w:smallCaps w:val="0"/>
          <w:color w:val="auto"/>
          <w:kern w:val="0"/>
          <w:sz w:val="24"/>
          <w:szCs w:val="28"/>
          <w:highlight w:val="none"/>
          <w:u w:val="none"/>
        </w:rPr>
        <w:t>，乙方须</w:t>
      </w:r>
      <w:r>
        <w:rPr>
          <w:rFonts w:hint="default" w:ascii="Times New Roman" w:hAnsi="Times New Roman" w:eastAsia="方正仿宋_GBK"/>
          <w:caps w:val="0"/>
          <w:smallCaps w:val="0"/>
          <w:color w:val="auto"/>
          <w:kern w:val="0"/>
          <w:sz w:val="24"/>
          <w:szCs w:val="28"/>
          <w:highlight w:val="none"/>
          <w:u w:val="none"/>
        </w:rPr>
        <w:t>对项目设施进行大修，</w:t>
      </w:r>
      <w:r>
        <w:rPr>
          <w:rFonts w:hint="eastAsia" w:ascii="Times New Roman" w:hAnsi="Times New Roman" w:eastAsia="方正仿宋_GBK"/>
          <w:caps w:val="0"/>
          <w:smallCaps w:val="0"/>
          <w:color w:val="auto"/>
          <w:kern w:val="0"/>
          <w:sz w:val="24"/>
          <w:szCs w:val="28"/>
          <w:highlight w:val="none"/>
          <w:u w:val="none"/>
        </w:rPr>
        <w:t>并在移交日六（6）个月</w:t>
      </w:r>
      <w:r>
        <w:rPr>
          <w:rFonts w:hint="default" w:ascii="Times New Roman" w:hAnsi="Times New Roman" w:eastAsia="方正仿宋_GBK"/>
          <w:caps w:val="0"/>
          <w:smallCaps w:val="0"/>
          <w:color w:val="auto"/>
          <w:kern w:val="0"/>
          <w:sz w:val="24"/>
          <w:szCs w:val="28"/>
          <w:highlight w:val="none"/>
          <w:u w:val="none"/>
        </w:rPr>
        <w:t>之前完成。</w:t>
      </w:r>
    </w:p>
    <w:p w14:paraId="53018851">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aps w:val="0"/>
          <w:smallCaps w:val="0"/>
          <w:color w:val="auto"/>
          <w:kern w:val="0"/>
          <w:sz w:val="24"/>
          <w:szCs w:val="28"/>
          <w:highlight w:val="none"/>
        </w:rPr>
      </w:pPr>
      <w:r>
        <w:rPr>
          <w:rFonts w:hint="eastAsia" w:ascii="Times New Roman" w:hAnsi="Times New Roman" w:eastAsia="方正仿宋_GBK"/>
          <w:caps w:val="0"/>
          <w:smallCaps w:val="0"/>
          <w:color w:val="auto"/>
          <w:kern w:val="0"/>
          <w:sz w:val="24"/>
          <w:szCs w:val="28"/>
          <w:highlight w:val="none"/>
        </w:rPr>
        <w:t>（</w:t>
      </w:r>
      <w:r>
        <w:rPr>
          <w:rFonts w:hint="default" w:ascii="Times New Roman" w:hAnsi="Times New Roman" w:eastAsia="方正仿宋_GBK"/>
          <w:caps w:val="0"/>
          <w:smallCaps w:val="0"/>
          <w:color w:val="auto"/>
          <w:kern w:val="0"/>
          <w:sz w:val="24"/>
          <w:szCs w:val="28"/>
          <w:highlight w:val="none"/>
        </w:rPr>
        <w:t>2）</w:t>
      </w:r>
      <w:r>
        <w:rPr>
          <w:rFonts w:hint="eastAsia" w:ascii="Times New Roman" w:hAnsi="Times New Roman" w:eastAsia="方正仿宋_GBK"/>
          <w:caps w:val="0"/>
          <w:smallCaps w:val="0"/>
          <w:color w:val="auto"/>
          <w:kern w:val="0"/>
          <w:sz w:val="24"/>
          <w:szCs w:val="28"/>
          <w:highlight w:val="none"/>
        </w:rPr>
        <w:t>移交前</w:t>
      </w:r>
      <w:r>
        <w:rPr>
          <w:rFonts w:hint="default" w:ascii="Times New Roman" w:hAnsi="Times New Roman" w:eastAsia="方正仿宋_GBK"/>
          <w:caps w:val="0"/>
          <w:smallCaps w:val="0"/>
          <w:color w:val="auto"/>
          <w:kern w:val="0"/>
          <w:sz w:val="24"/>
          <w:szCs w:val="28"/>
          <w:highlight w:val="none"/>
        </w:rPr>
        <w:t>恢复性大修应包括：</w:t>
      </w:r>
      <w:r>
        <w:rPr>
          <w:rFonts w:hint="eastAsia" w:ascii="Times New Roman" w:hAnsi="Times New Roman" w:eastAsia="方正仿宋_GBK"/>
          <w:caps w:val="0"/>
          <w:smallCaps w:val="0"/>
          <w:color w:val="auto"/>
          <w:kern w:val="0"/>
          <w:sz w:val="24"/>
          <w:szCs w:val="28"/>
          <w:highlight w:val="none"/>
        </w:rPr>
        <w:t>对厂区构筑物、设备、电气自控、管网配套、附属设施</w:t>
      </w:r>
      <w:r>
        <w:rPr>
          <w:rFonts w:hint="eastAsia" w:ascii="Times New Roman" w:hAnsi="Times New Roman" w:eastAsia="方正仿宋_GBK"/>
          <w:caps w:val="0"/>
          <w:smallCaps w:val="0"/>
          <w:color w:val="auto"/>
          <w:kern w:val="0"/>
          <w:sz w:val="24"/>
          <w:szCs w:val="28"/>
          <w:highlight w:val="none"/>
          <w:lang w:val="en-US" w:eastAsia="zh-CN"/>
        </w:rPr>
        <w:t>等全部建（构）筑物、设备设施</w:t>
      </w:r>
      <w:r>
        <w:rPr>
          <w:rFonts w:hint="eastAsia" w:ascii="Times New Roman" w:hAnsi="Times New Roman" w:eastAsia="方正仿宋_GBK"/>
          <w:caps w:val="0"/>
          <w:smallCaps w:val="0"/>
          <w:color w:val="auto"/>
          <w:kern w:val="0"/>
          <w:sz w:val="24"/>
          <w:szCs w:val="28"/>
          <w:highlight w:val="none"/>
        </w:rPr>
        <w:t>开展恢复性大修</w:t>
      </w:r>
      <w:r>
        <w:rPr>
          <w:rFonts w:hint="eastAsia" w:ascii="Times New Roman" w:hAnsi="Times New Roman" w:eastAsia="方正仿宋_GBK"/>
          <w:caps w:val="0"/>
          <w:smallCaps w:val="0"/>
          <w:color w:val="auto"/>
          <w:kern w:val="0"/>
          <w:sz w:val="24"/>
          <w:szCs w:val="28"/>
          <w:highlight w:val="none"/>
          <w:lang w:eastAsia="zh-CN"/>
        </w:rPr>
        <w:t>，恢复设计处理能力、设备性能达标、无安全隐患、</w:t>
      </w:r>
      <w:r>
        <w:rPr>
          <w:rFonts w:hint="eastAsia" w:ascii="Times New Roman" w:hAnsi="Times New Roman" w:eastAsia="方正仿宋_GBK"/>
          <w:caps w:val="0"/>
          <w:smallCaps w:val="0"/>
          <w:color w:val="auto"/>
          <w:kern w:val="0"/>
          <w:sz w:val="24"/>
          <w:szCs w:val="28"/>
          <w:highlight w:val="none"/>
          <w:lang w:val="en-US" w:eastAsia="zh-CN"/>
        </w:rPr>
        <w:t>消除现存缺陷、</w:t>
      </w:r>
      <w:r>
        <w:rPr>
          <w:rFonts w:hint="eastAsia" w:ascii="Times New Roman" w:hAnsi="Times New Roman" w:eastAsia="方正仿宋_GBK"/>
          <w:caps w:val="0"/>
          <w:smallCaps w:val="0"/>
          <w:color w:val="auto"/>
          <w:kern w:val="0"/>
          <w:sz w:val="24"/>
          <w:szCs w:val="28"/>
          <w:highlight w:val="none"/>
          <w:lang w:eastAsia="zh-CN"/>
        </w:rPr>
        <w:t>符合环保验收标准、完整移交甲方，</w:t>
      </w:r>
      <w:r>
        <w:rPr>
          <w:rFonts w:hint="eastAsia" w:ascii="Times New Roman" w:hAnsi="Times New Roman" w:eastAsia="方正仿宋_GBK"/>
          <w:caps w:val="0"/>
          <w:smallCaps w:val="0"/>
          <w:color w:val="auto"/>
          <w:kern w:val="0"/>
          <w:sz w:val="24"/>
          <w:szCs w:val="28"/>
          <w:highlight w:val="none"/>
          <w:lang w:val="en-US" w:eastAsia="zh-CN"/>
        </w:rPr>
        <w:t>其中</w:t>
      </w:r>
      <w:r>
        <w:rPr>
          <w:rFonts w:hint="eastAsia" w:ascii="Times New Roman" w:hAnsi="Times New Roman" w:eastAsia="方正仿宋_GBK"/>
          <w:caps w:val="0"/>
          <w:smallCaps w:val="0"/>
          <w:color w:val="auto"/>
          <w:kern w:val="0"/>
          <w:sz w:val="24"/>
          <w:szCs w:val="28"/>
          <w:highlight w:val="none"/>
          <w:lang w:eastAsia="zh-CN"/>
        </w:rPr>
        <w:t>污水处理厂</w:t>
      </w:r>
      <w:r>
        <w:rPr>
          <w:rFonts w:hint="eastAsia" w:ascii="Times New Roman" w:hAnsi="Times New Roman" w:eastAsia="方正仿宋_GBK"/>
          <w:caps w:val="0"/>
          <w:smallCaps w:val="0"/>
          <w:color w:val="auto"/>
          <w:kern w:val="0"/>
          <w:sz w:val="24"/>
          <w:szCs w:val="28"/>
          <w:highlight w:val="none"/>
          <w:lang w:val="en-US" w:eastAsia="zh-CN"/>
        </w:rPr>
        <w:t>及泵站</w:t>
      </w:r>
      <w:r>
        <w:rPr>
          <w:rFonts w:hint="eastAsia" w:ascii="Times New Roman" w:hAnsi="Times New Roman" w:eastAsia="方正仿宋_GBK"/>
          <w:caps w:val="0"/>
          <w:smallCaps w:val="0"/>
          <w:color w:val="auto"/>
          <w:kern w:val="0"/>
          <w:sz w:val="24"/>
          <w:szCs w:val="28"/>
          <w:highlight w:val="none"/>
          <w:lang w:eastAsia="zh-CN"/>
        </w:rPr>
        <w:t>关键设备的完好率达到百分之九十五（95%）、其他设备的完好率达到百分之九十（90%）、构筑物完好。若乙方怠于履行或不完全履行前述义务，则甲方有权指定第三方代为实施，所涉费用从特许经营期限的履约保函中予以提取，不足部分甲方有权向乙方追偿。</w:t>
      </w:r>
    </w:p>
    <w:p w14:paraId="4633E9A3">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eastAsia" w:ascii="Times New Roman" w:hAnsi="Times New Roman" w:eastAsia="方正仿宋_GBK"/>
          <w:caps w:val="0"/>
          <w:smallCaps w:val="0"/>
          <w:color w:val="auto"/>
          <w:kern w:val="0"/>
          <w:sz w:val="24"/>
          <w:szCs w:val="28"/>
          <w:highlight w:val="none"/>
        </w:rPr>
      </w:pPr>
      <w:r>
        <w:rPr>
          <w:rFonts w:hint="eastAsia" w:ascii="Times New Roman" w:hAnsi="Times New Roman" w:eastAsia="方正仿宋_GBK"/>
          <w:caps w:val="0"/>
          <w:smallCaps w:val="0"/>
          <w:color w:val="auto"/>
          <w:kern w:val="0"/>
          <w:sz w:val="24"/>
          <w:szCs w:val="28"/>
          <w:highlight w:val="none"/>
        </w:rPr>
        <w:t>（</w:t>
      </w:r>
      <w:r>
        <w:rPr>
          <w:rFonts w:hint="default" w:ascii="Times New Roman" w:hAnsi="Times New Roman" w:eastAsia="方正仿宋_GBK"/>
          <w:caps w:val="0"/>
          <w:smallCaps w:val="0"/>
          <w:color w:val="auto"/>
          <w:kern w:val="0"/>
          <w:sz w:val="24"/>
          <w:szCs w:val="28"/>
          <w:highlight w:val="none"/>
        </w:rPr>
        <w:t>3）</w:t>
      </w:r>
      <w:r>
        <w:rPr>
          <w:rFonts w:hint="eastAsia" w:ascii="Times New Roman" w:hAnsi="Times New Roman" w:eastAsia="方正仿宋_GBK"/>
          <w:caps w:val="0"/>
          <w:smallCaps w:val="0"/>
          <w:color w:val="auto"/>
          <w:kern w:val="0"/>
          <w:sz w:val="24"/>
          <w:szCs w:val="28"/>
          <w:highlight w:val="none"/>
        </w:rPr>
        <w:t>移交前的性能测试准备及要求：</w:t>
      </w:r>
    </w:p>
    <w:p w14:paraId="5D98DCD3">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eastAsia" w:ascii="Times New Roman" w:hAnsi="Times New Roman" w:eastAsia="方正仿宋_GBK"/>
          <w:caps w:val="0"/>
          <w:smallCaps w:val="0"/>
          <w:color w:val="auto"/>
          <w:kern w:val="0"/>
          <w:sz w:val="24"/>
          <w:szCs w:val="28"/>
          <w:highlight w:val="none"/>
        </w:rPr>
      </w:pPr>
      <w:r>
        <w:rPr>
          <w:rFonts w:hint="eastAsia" w:ascii="Times New Roman" w:hAnsi="Times New Roman" w:eastAsia="方正仿宋_GBK"/>
          <w:caps w:val="0"/>
          <w:smallCaps w:val="0"/>
          <w:color w:val="auto"/>
          <w:kern w:val="0"/>
          <w:sz w:val="24"/>
          <w:szCs w:val="28"/>
          <w:highlight w:val="none"/>
        </w:rPr>
        <w:t>最后恢复性大修后并在移交日之前，</w:t>
      </w:r>
      <w:r>
        <w:rPr>
          <w:rFonts w:hint="eastAsia" w:ascii="Times New Roman" w:hAnsi="Times New Roman" w:eastAsia="方正仿宋_GBK"/>
          <w:caps w:val="0"/>
          <w:smallCaps w:val="0"/>
          <w:color w:val="auto"/>
          <w:kern w:val="0"/>
          <w:sz w:val="24"/>
          <w:szCs w:val="28"/>
          <w:highlight w:val="none"/>
          <w:lang w:eastAsia="zh-CN"/>
        </w:rPr>
        <w:t>乙方</w:t>
      </w:r>
      <w:r>
        <w:rPr>
          <w:rFonts w:hint="eastAsia" w:ascii="Times New Roman" w:hAnsi="Times New Roman" w:eastAsia="方正仿宋_GBK"/>
          <w:caps w:val="0"/>
          <w:smallCaps w:val="0"/>
          <w:color w:val="auto"/>
          <w:kern w:val="0"/>
          <w:sz w:val="24"/>
          <w:szCs w:val="28"/>
          <w:highlight w:val="none"/>
        </w:rPr>
        <w:t>应提前10日书面通知</w:t>
      </w:r>
      <w:r>
        <w:rPr>
          <w:rFonts w:hint="eastAsia" w:ascii="Times New Roman" w:hAnsi="Times New Roman" w:eastAsia="方正仿宋_GBK"/>
          <w:caps w:val="0"/>
          <w:smallCaps w:val="0"/>
          <w:color w:val="auto"/>
          <w:kern w:val="0"/>
          <w:sz w:val="24"/>
          <w:szCs w:val="28"/>
          <w:highlight w:val="none"/>
          <w:lang w:val="en-US" w:eastAsia="zh-CN"/>
        </w:rPr>
        <w:t>甲方</w:t>
      </w:r>
      <w:r>
        <w:rPr>
          <w:rFonts w:hint="eastAsia" w:ascii="Times New Roman" w:hAnsi="Times New Roman" w:eastAsia="方正仿宋_GBK"/>
          <w:caps w:val="0"/>
          <w:smallCaps w:val="0"/>
          <w:color w:val="auto"/>
          <w:kern w:val="0"/>
          <w:sz w:val="24"/>
          <w:szCs w:val="28"/>
          <w:highlight w:val="none"/>
        </w:rPr>
        <w:t>代表到场时进行项目设施的性能测试。测试所得性能参数应</w:t>
      </w:r>
      <w:r>
        <w:rPr>
          <w:rFonts w:hint="eastAsia" w:ascii="Times New Roman" w:hAnsi="Times New Roman" w:eastAsia="方正仿宋_GBK"/>
          <w:caps w:val="0"/>
          <w:smallCaps w:val="0"/>
          <w:color w:val="auto"/>
          <w:kern w:val="0"/>
          <w:sz w:val="24"/>
          <w:szCs w:val="28"/>
          <w:highlight w:val="none"/>
          <w:lang w:val="en-US" w:eastAsia="zh-CN"/>
        </w:rPr>
        <w:t>符合设计文件列明</w:t>
      </w:r>
      <w:r>
        <w:rPr>
          <w:rFonts w:hint="eastAsia" w:ascii="Times New Roman" w:hAnsi="Times New Roman" w:eastAsia="方正仿宋_GBK"/>
          <w:caps w:val="0"/>
          <w:smallCaps w:val="0"/>
          <w:color w:val="auto"/>
          <w:kern w:val="0"/>
          <w:sz w:val="24"/>
          <w:szCs w:val="28"/>
          <w:highlight w:val="none"/>
        </w:rPr>
        <w:t>的保证功能标准</w:t>
      </w:r>
      <w:r>
        <w:rPr>
          <w:rFonts w:hint="eastAsia" w:ascii="Times New Roman" w:hAnsi="Times New Roman" w:eastAsia="方正仿宋_GBK"/>
          <w:caps w:val="0"/>
          <w:smallCaps w:val="0"/>
          <w:color w:val="auto"/>
          <w:kern w:val="0"/>
          <w:sz w:val="24"/>
          <w:szCs w:val="28"/>
          <w:highlight w:val="none"/>
          <w:lang w:eastAsia="zh-CN"/>
        </w:rPr>
        <w:t>，</w:t>
      </w:r>
      <w:r>
        <w:rPr>
          <w:rFonts w:hint="eastAsia" w:ascii="Times New Roman" w:hAnsi="Times New Roman" w:eastAsia="方正仿宋_GBK"/>
          <w:caps w:val="0"/>
          <w:smallCaps w:val="0"/>
          <w:color w:val="auto"/>
          <w:kern w:val="0"/>
          <w:sz w:val="24"/>
          <w:szCs w:val="28"/>
          <w:highlight w:val="none"/>
          <w:lang w:val="en-US" w:eastAsia="zh-CN"/>
        </w:rPr>
        <w:t>包括但不限于建设执行标准和技术规范</w:t>
      </w:r>
      <w:r>
        <w:rPr>
          <w:rFonts w:hint="eastAsia" w:ascii="Times New Roman" w:hAnsi="Times New Roman" w:eastAsia="方正仿宋_GBK"/>
          <w:caps w:val="0"/>
          <w:smallCaps w:val="0"/>
          <w:color w:val="auto"/>
          <w:kern w:val="0"/>
          <w:sz w:val="24"/>
          <w:szCs w:val="28"/>
          <w:highlight w:val="none"/>
        </w:rPr>
        <w:t>。</w:t>
      </w:r>
    </w:p>
    <w:p w14:paraId="6700591E">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eastAsia" w:ascii="Times New Roman" w:hAnsi="Times New Roman" w:eastAsia="方正仿宋_GBK"/>
          <w:caps w:val="0"/>
          <w:smallCaps w:val="0"/>
          <w:color w:val="auto"/>
          <w:kern w:val="0"/>
          <w:sz w:val="28"/>
          <w:szCs w:val="32"/>
          <w:highlight w:val="none"/>
        </w:rPr>
      </w:pPr>
      <w:r>
        <w:rPr>
          <w:rFonts w:hint="eastAsia" w:ascii="Times New Roman" w:hAnsi="Times New Roman" w:eastAsia="方正仿宋_GBK"/>
          <w:caps w:val="0"/>
          <w:smallCaps w:val="0"/>
          <w:color w:val="auto"/>
          <w:kern w:val="0"/>
          <w:sz w:val="24"/>
          <w:szCs w:val="28"/>
          <w:highlight w:val="none"/>
        </w:rPr>
        <w:t>如果未达到</w:t>
      </w:r>
      <w:r>
        <w:rPr>
          <w:rFonts w:hint="eastAsia" w:ascii="Times New Roman" w:hAnsi="Times New Roman" w:eastAsia="方正仿宋_GBK"/>
          <w:caps w:val="0"/>
          <w:smallCaps w:val="0"/>
          <w:color w:val="auto"/>
          <w:kern w:val="0"/>
          <w:sz w:val="24"/>
          <w:szCs w:val="28"/>
          <w:highlight w:val="none"/>
          <w:lang w:val="en-US" w:eastAsia="zh-CN"/>
        </w:rPr>
        <w:t>上述</w:t>
      </w:r>
      <w:r>
        <w:rPr>
          <w:rFonts w:hint="eastAsia" w:ascii="Times New Roman" w:hAnsi="Times New Roman" w:eastAsia="方正仿宋_GBK"/>
          <w:caps w:val="0"/>
          <w:smallCaps w:val="0"/>
          <w:color w:val="auto"/>
          <w:kern w:val="0"/>
          <w:sz w:val="24"/>
          <w:szCs w:val="28"/>
          <w:highlight w:val="none"/>
        </w:rPr>
        <w:t>参数标准，</w:t>
      </w:r>
      <w:r>
        <w:rPr>
          <w:rFonts w:hint="eastAsia" w:ascii="Times New Roman" w:hAnsi="Times New Roman" w:eastAsia="方正仿宋_GBK"/>
          <w:caps w:val="0"/>
          <w:smallCaps w:val="0"/>
          <w:color w:val="auto"/>
          <w:kern w:val="0"/>
          <w:sz w:val="24"/>
          <w:szCs w:val="28"/>
          <w:highlight w:val="none"/>
          <w:lang w:val="en-US" w:eastAsia="zh-CN"/>
        </w:rPr>
        <w:t>乙方</w:t>
      </w:r>
      <w:r>
        <w:rPr>
          <w:rFonts w:hint="eastAsia" w:ascii="Times New Roman" w:hAnsi="Times New Roman" w:eastAsia="方正仿宋_GBK"/>
          <w:caps w:val="0"/>
          <w:smallCaps w:val="0"/>
          <w:color w:val="auto"/>
          <w:kern w:val="0"/>
          <w:sz w:val="24"/>
          <w:szCs w:val="28"/>
          <w:highlight w:val="none"/>
        </w:rPr>
        <w:t>应修正项目设施的任何缺陷，并重新进行性能测试。如果</w:t>
      </w:r>
      <w:r>
        <w:rPr>
          <w:rFonts w:hint="eastAsia" w:ascii="Times New Roman" w:hAnsi="Times New Roman" w:eastAsia="方正仿宋_GBK"/>
          <w:caps w:val="0"/>
          <w:smallCaps w:val="0"/>
          <w:color w:val="auto"/>
          <w:kern w:val="0"/>
          <w:sz w:val="24"/>
          <w:szCs w:val="28"/>
          <w:highlight w:val="none"/>
          <w:lang w:val="en-US" w:eastAsia="zh-CN"/>
        </w:rPr>
        <w:t>乙方不</w:t>
      </w:r>
      <w:r>
        <w:rPr>
          <w:rFonts w:hint="eastAsia" w:ascii="Times New Roman" w:hAnsi="Times New Roman" w:eastAsia="方正仿宋_GBK"/>
          <w:caps w:val="0"/>
          <w:smallCaps w:val="0"/>
          <w:color w:val="auto"/>
          <w:kern w:val="0"/>
          <w:sz w:val="24"/>
          <w:szCs w:val="28"/>
          <w:highlight w:val="none"/>
        </w:rPr>
        <w:t>能在合理的时间内修正任何上述缺陷，</w:t>
      </w:r>
      <w:r>
        <w:rPr>
          <w:rFonts w:hint="eastAsia" w:ascii="Times New Roman" w:hAnsi="Times New Roman" w:eastAsia="方正仿宋_GBK"/>
          <w:caps w:val="0"/>
          <w:smallCaps w:val="0"/>
          <w:color w:val="auto"/>
          <w:kern w:val="0"/>
          <w:sz w:val="24"/>
          <w:szCs w:val="28"/>
          <w:highlight w:val="none"/>
          <w:lang w:val="en-US" w:eastAsia="zh-CN"/>
        </w:rPr>
        <w:t>甲方</w:t>
      </w:r>
      <w:r>
        <w:rPr>
          <w:rFonts w:hint="eastAsia" w:ascii="Times New Roman" w:hAnsi="Times New Roman" w:eastAsia="方正仿宋_GBK"/>
          <w:caps w:val="0"/>
          <w:smallCaps w:val="0"/>
          <w:color w:val="auto"/>
          <w:kern w:val="0"/>
          <w:sz w:val="24"/>
          <w:szCs w:val="28"/>
          <w:highlight w:val="none"/>
        </w:rPr>
        <w:t>可以自行修正，由</w:t>
      </w:r>
      <w:r>
        <w:rPr>
          <w:rFonts w:hint="eastAsia" w:ascii="Times New Roman" w:hAnsi="Times New Roman" w:eastAsia="方正仿宋_GBK"/>
          <w:caps w:val="0"/>
          <w:smallCaps w:val="0"/>
          <w:color w:val="auto"/>
          <w:kern w:val="0"/>
          <w:sz w:val="24"/>
          <w:szCs w:val="28"/>
          <w:highlight w:val="none"/>
          <w:lang w:val="en-US" w:eastAsia="zh-CN"/>
        </w:rPr>
        <w:t>乙方</w:t>
      </w:r>
      <w:r>
        <w:rPr>
          <w:rFonts w:hint="eastAsia" w:ascii="Times New Roman" w:hAnsi="Times New Roman" w:eastAsia="方正仿宋_GBK"/>
          <w:caps w:val="0"/>
          <w:smallCaps w:val="0"/>
          <w:color w:val="auto"/>
          <w:kern w:val="0"/>
          <w:sz w:val="24"/>
          <w:szCs w:val="28"/>
          <w:highlight w:val="none"/>
        </w:rPr>
        <w:t>承担风险和费用。所涉费用从</w:t>
      </w:r>
      <w:r>
        <w:rPr>
          <w:rFonts w:hint="eastAsia" w:ascii="Times New Roman" w:hAnsi="Times New Roman" w:eastAsia="方正仿宋_GBK"/>
          <w:caps w:val="0"/>
          <w:smallCaps w:val="0"/>
          <w:color w:val="auto"/>
          <w:kern w:val="0"/>
          <w:sz w:val="24"/>
          <w:szCs w:val="28"/>
          <w:highlight w:val="none"/>
          <w:lang w:eastAsia="zh-CN"/>
        </w:rPr>
        <w:t>特许经营期</w:t>
      </w:r>
      <w:r>
        <w:rPr>
          <w:rFonts w:hint="eastAsia" w:ascii="Times New Roman" w:hAnsi="Times New Roman" w:eastAsia="方正仿宋_GBK"/>
          <w:caps w:val="0"/>
          <w:smallCaps w:val="0"/>
          <w:color w:val="auto"/>
          <w:kern w:val="0"/>
          <w:sz w:val="24"/>
          <w:szCs w:val="28"/>
          <w:highlight w:val="none"/>
        </w:rPr>
        <w:t>限的履约保函中予以提取，不足部分甲方有权向乙方追偿。</w:t>
      </w:r>
    </w:p>
    <w:p w14:paraId="007D05C9">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560" w:firstLineChars="200"/>
        <w:textAlignment w:val="baseline"/>
        <w:rPr>
          <w:rFonts w:hint="default" w:ascii="Times New Roman" w:hAnsi="Times New Roman" w:eastAsia="方正仿宋_GBK"/>
          <w:caps w:val="0"/>
          <w:smallCaps w:val="0"/>
          <w:color w:val="auto"/>
          <w:kern w:val="0"/>
          <w:sz w:val="28"/>
          <w:szCs w:val="32"/>
          <w:highlight w:val="none"/>
        </w:rPr>
      </w:pPr>
    </w:p>
    <w:p w14:paraId="0ED2867D">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418" w:name="_Toc16701"/>
      <w:bookmarkStart w:id="419" w:name="_Toc1069600764"/>
      <w:bookmarkStart w:id="420" w:name="_Toc10372"/>
      <w:bookmarkStart w:id="421" w:name="_Toc405146869"/>
      <w:bookmarkStart w:id="422" w:name="_Toc402428946"/>
      <w:r>
        <w:rPr>
          <w:rFonts w:hint="eastAsia" w:ascii="Times New Roman" w:hAnsi="Times New Roman" w:eastAsia="方正黑体_GBK" w:cs="方正黑体_GBK"/>
          <w:bCs/>
          <w:caps w:val="0"/>
          <w:smallCaps w:val="0"/>
          <w:color w:val="auto"/>
          <w:kern w:val="2"/>
          <w:sz w:val="28"/>
          <w:szCs w:val="28"/>
          <w:highlight w:val="none"/>
          <w:lang w:val="en-US" w:eastAsia="zh-CN" w:bidi="ar-SA"/>
        </w:rPr>
        <w:t>第58条 项目设施及权益移交</w:t>
      </w:r>
      <w:bookmarkEnd w:id="418"/>
      <w:bookmarkEnd w:id="419"/>
      <w:bookmarkEnd w:id="420"/>
      <w:bookmarkEnd w:id="421"/>
      <w:bookmarkEnd w:id="422"/>
    </w:p>
    <w:p w14:paraId="174CBBF9">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jc w:val="both"/>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default" w:ascii="Times New Roman" w:hAnsi="Times New Roman" w:eastAsia="方正仿宋_GBK" w:cs="Times New Roman"/>
          <w:b/>
          <w:caps w:val="0"/>
          <w:smallCaps w:val="0"/>
          <w:color w:val="auto"/>
          <w:kern w:val="2"/>
          <w:sz w:val="24"/>
          <w:szCs w:val="24"/>
          <w:highlight w:val="none"/>
          <w:lang w:val="en-US" w:eastAsia="zh-CN" w:bidi="ar-SA"/>
        </w:rPr>
        <w:t>1.移交方式</w:t>
      </w:r>
    </w:p>
    <w:p w14:paraId="2ABC1840">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lang w:eastAsia="zh-CN"/>
        </w:rPr>
      </w:pPr>
      <w:r>
        <w:rPr>
          <w:rFonts w:hint="default" w:ascii="Times New Roman" w:hAnsi="Times New Roman" w:eastAsia="仿宋" w:cs="Times New Roman"/>
          <w:color w:val="auto"/>
          <w:kern w:val="2"/>
          <w:sz w:val="24"/>
          <w:szCs w:val="24"/>
          <w:highlight w:val="none"/>
        </w:rPr>
        <w:t>在移交日，乙方应向接收人无偿、完整地移交项目资产和相关权益</w:t>
      </w:r>
      <w:r>
        <w:rPr>
          <w:rFonts w:hint="default" w:ascii="Times New Roman" w:hAnsi="Times New Roman" w:eastAsia="方正仿宋_GBK" w:cs="Times New Roman"/>
          <w:caps w:val="0"/>
          <w:smallCaps w:val="0"/>
          <w:color w:val="auto"/>
          <w:kern w:val="0"/>
          <w:sz w:val="24"/>
          <w:szCs w:val="24"/>
          <w:highlight w:val="none"/>
          <w:lang w:eastAsia="zh-CN"/>
        </w:rPr>
        <w:t>。</w:t>
      </w:r>
    </w:p>
    <w:p w14:paraId="4F9E6714">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jc w:val="both"/>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default" w:ascii="Times New Roman" w:hAnsi="Times New Roman" w:eastAsia="方正仿宋_GBK" w:cs="Times New Roman"/>
          <w:b/>
          <w:caps w:val="0"/>
          <w:smallCaps w:val="0"/>
          <w:color w:val="auto"/>
          <w:kern w:val="2"/>
          <w:sz w:val="24"/>
          <w:szCs w:val="24"/>
          <w:highlight w:val="none"/>
          <w:lang w:val="en-US" w:eastAsia="zh-CN" w:bidi="ar-SA"/>
        </w:rPr>
        <w:t>2.</w:t>
      </w:r>
      <w:r>
        <w:rPr>
          <w:rFonts w:ascii="Times New Roman" w:hAnsi="Times New Roman" w:eastAsia="方正仿宋_GBK" w:cs="Times New Roman"/>
          <w:b/>
          <w:caps w:val="0"/>
          <w:smallCaps w:val="0"/>
          <w:color w:val="auto"/>
          <w:kern w:val="2"/>
          <w:sz w:val="24"/>
          <w:szCs w:val="24"/>
          <w:highlight w:val="none"/>
          <w:lang w:val="en-US" w:eastAsia="zh-CN" w:bidi="ar-SA"/>
        </w:rPr>
        <w:t>移交范围</w:t>
      </w:r>
    </w:p>
    <w:p w14:paraId="07FCB0A6">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lang w:eastAsia="zh-CN"/>
        </w:rPr>
      </w:pPr>
      <w:r>
        <w:rPr>
          <w:rFonts w:hint="default" w:ascii="Times New Roman" w:hAnsi="Times New Roman" w:eastAsia="方正仿宋_GBK" w:cs="Times New Roman"/>
          <w:caps w:val="0"/>
          <w:smallCaps w:val="0"/>
          <w:color w:val="auto"/>
          <w:kern w:val="0"/>
          <w:sz w:val="24"/>
          <w:szCs w:val="24"/>
          <w:highlight w:val="none"/>
        </w:rPr>
        <w:t>（1）本项目移交日为</w:t>
      </w:r>
      <w:r>
        <w:rPr>
          <w:rFonts w:hint="default" w:ascii="Times New Roman" w:hAnsi="Times New Roman" w:eastAsia="方正仿宋_GBK" w:cs="Times New Roman"/>
          <w:caps w:val="0"/>
          <w:smallCaps w:val="0"/>
          <w:color w:val="auto"/>
          <w:kern w:val="0"/>
          <w:sz w:val="24"/>
          <w:szCs w:val="24"/>
          <w:highlight w:val="none"/>
          <w:lang w:val="en-US" w:eastAsia="zh-CN"/>
        </w:rPr>
        <w:t>特许经营期满日或提前终止日</w:t>
      </w:r>
      <w:r>
        <w:rPr>
          <w:rFonts w:hint="default" w:ascii="Times New Roman" w:hAnsi="Times New Roman" w:eastAsia="方正仿宋_GBK" w:cs="Times New Roman"/>
          <w:caps w:val="0"/>
          <w:smallCaps w:val="0"/>
          <w:color w:val="auto"/>
          <w:kern w:val="0"/>
          <w:sz w:val="24"/>
          <w:szCs w:val="24"/>
          <w:highlight w:val="none"/>
        </w:rPr>
        <w:t>。在本项目移交日，乙方应向甲方或其指定单位完好移交乙方对本项目的所有资产和权益，移交范围具体</w:t>
      </w:r>
      <w:r>
        <w:rPr>
          <w:rFonts w:hint="default" w:ascii="Times New Roman" w:hAnsi="Times New Roman" w:eastAsia="方正仿宋_GBK" w:cs="Times New Roman"/>
          <w:caps w:val="0"/>
          <w:smallCaps w:val="0"/>
          <w:color w:val="auto"/>
          <w:kern w:val="0"/>
          <w:sz w:val="24"/>
          <w:szCs w:val="24"/>
          <w:highlight w:val="none"/>
          <w:lang w:val="en-US" w:eastAsia="zh-CN"/>
        </w:rPr>
        <w:t>包括</w:t>
      </w:r>
      <w:r>
        <w:rPr>
          <w:rFonts w:hint="default" w:ascii="Times New Roman" w:hAnsi="Times New Roman" w:eastAsia="方正仿宋_GBK" w:cs="Times New Roman"/>
          <w:caps w:val="0"/>
          <w:smallCaps w:val="0"/>
          <w:color w:val="auto"/>
          <w:kern w:val="0"/>
          <w:sz w:val="24"/>
          <w:szCs w:val="24"/>
          <w:highlight w:val="none"/>
          <w:lang w:eastAsia="zh-CN"/>
        </w:rPr>
        <w:t>：</w:t>
      </w:r>
    </w:p>
    <w:p w14:paraId="494E8E39">
      <w:pPr>
        <w:tabs>
          <w:tab w:val="left" w:pos="142"/>
        </w:tabs>
        <w:autoSpaceDE w:val="0"/>
        <w:autoSpaceDN w:val="0"/>
        <w:adjustRightInd w:val="0"/>
        <w:snapToGrid w:val="0"/>
        <w:spacing w:before="0" w:beforeLines="0" w:after="0" w:afterLines="0" w:line="360" w:lineRule="auto"/>
        <w:ind w:firstLine="480" w:firstLineChars="200"/>
        <w:textAlignment w:val="baseline"/>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aps w:val="0"/>
          <w:smallCaps w:val="0"/>
          <w:color w:val="auto"/>
          <w:kern w:val="0"/>
          <w:sz w:val="24"/>
          <w:szCs w:val="24"/>
          <w:highlight w:val="none"/>
          <w:lang w:val="en-US" w:eastAsia="zh-CN"/>
        </w:rPr>
        <w:t>①</w:t>
      </w:r>
      <w:r>
        <w:rPr>
          <w:rFonts w:hint="default" w:ascii="Times New Roman" w:hAnsi="Times New Roman" w:eastAsia="方正仿宋_GBK" w:cs="Times New Roman"/>
          <w:color w:val="auto"/>
          <w:kern w:val="0"/>
          <w:sz w:val="24"/>
          <w:szCs w:val="24"/>
          <w:highlight w:val="none"/>
        </w:rPr>
        <w:t>项目</w:t>
      </w:r>
      <w:r>
        <w:rPr>
          <w:rFonts w:hint="default" w:ascii="Times New Roman" w:hAnsi="Times New Roman" w:eastAsia="方正仿宋_GBK" w:cs="Times New Roman"/>
          <w:color w:val="auto"/>
          <w:kern w:val="0"/>
          <w:sz w:val="24"/>
          <w:szCs w:val="24"/>
          <w:highlight w:val="none"/>
          <w:lang w:val="en-US" w:eastAsia="zh-CN"/>
        </w:rPr>
        <w:t>特许经营</w:t>
      </w:r>
      <w:r>
        <w:rPr>
          <w:rFonts w:hint="default" w:ascii="Times New Roman" w:hAnsi="Times New Roman" w:eastAsia="方正仿宋_GBK" w:cs="Times New Roman"/>
          <w:color w:val="auto"/>
          <w:kern w:val="0"/>
          <w:sz w:val="24"/>
          <w:szCs w:val="24"/>
          <w:highlight w:val="none"/>
        </w:rPr>
        <w:t>权及污水处理厂、</w:t>
      </w:r>
      <w:r>
        <w:rPr>
          <w:rFonts w:hint="eastAsia" w:ascii="Times New Roman" w:hAnsi="Times New Roman" w:eastAsia="方正仿宋_GBK" w:cs="Times New Roman"/>
          <w:color w:val="auto"/>
          <w:kern w:val="0"/>
          <w:sz w:val="24"/>
          <w:szCs w:val="24"/>
          <w:highlight w:val="none"/>
          <w:lang w:val="en-US" w:eastAsia="zh-CN"/>
        </w:rPr>
        <w:t>泵站、配套</w:t>
      </w:r>
      <w:r>
        <w:rPr>
          <w:rFonts w:hint="default" w:ascii="Times New Roman" w:hAnsi="Times New Roman" w:eastAsia="方正仿宋_GBK" w:cs="Times New Roman"/>
          <w:color w:val="auto"/>
          <w:kern w:val="0"/>
          <w:sz w:val="24"/>
          <w:szCs w:val="24"/>
          <w:highlight w:val="none"/>
        </w:rPr>
        <w:t>管网等项目</w:t>
      </w:r>
      <w:r>
        <w:rPr>
          <w:rFonts w:hint="default" w:ascii="Times New Roman" w:hAnsi="Times New Roman" w:eastAsia="方正仿宋_GBK" w:cs="Times New Roman"/>
          <w:color w:val="auto"/>
          <w:kern w:val="0"/>
          <w:sz w:val="24"/>
          <w:szCs w:val="24"/>
          <w:highlight w:val="none"/>
          <w:lang w:val="en-US" w:eastAsia="zh-CN"/>
        </w:rPr>
        <w:t>全部</w:t>
      </w:r>
      <w:r>
        <w:rPr>
          <w:rFonts w:hint="default" w:ascii="Times New Roman" w:hAnsi="Times New Roman" w:eastAsia="方正仿宋_GBK" w:cs="Times New Roman"/>
          <w:color w:val="auto"/>
          <w:kern w:val="0"/>
          <w:sz w:val="24"/>
          <w:szCs w:val="24"/>
          <w:highlight w:val="none"/>
        </w:rPr>
        <w:t>设施；</w:t>
      </w:r>
    </w:p>
    <w:p w14:paraId="45D45806">
      <w:pPr>
        <w:tabs>
          <w:tab w:val="left" w:pos="142"/>
        </w:tabs>
        <w:autoSpaceDE w:val="0"/>
        <w:autoSpaceDN w:val="0"/>
        <w:adjustRightInd w:val="0"/>
        <w:snapToGrid w:val="0"/>
        <w:spacing w:before="0" w:beforeLines="0" w:after="0" w:afterLines="0" w:line="360" w:lineRule="auto"/>
        <w:ind w:firstLine="480" w:firstLineChars="200"/>
        <w:textAlignment w:val="baseline"/>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lang w:eastAsia="zh-CN"/>
        </w:rPr>
        <w:t>②</w:t>
      </w:r>
      <w:r>
        <w:rPr>
          <w:rFonts w:hint="default" w:ascii="Times New Roman" w:hAnsi="Times New Roman" w:eastAsia="方正仿宋_GBK" w:cs="Times New Roman"/>
          <w:color w:val="auto"/>
          <w:kern w:val="0"/>
          <w:sz w:val="24"/>
          <w:szCs w:val="24"/>
          <w:highlight w:val="none"/>
        </w:rPr>
        <w:t>本项目土地的占用、使用及收益权；</w:t>
      </w:r>
    </w:p>
    <w:p w14:paraId="1EA0BB47">
      <w:pPr>
        <w:tabs>
          <w:tab w:val="left" w:pos="142"/>
        </w:tabs>
        <w:autoSpaceDE w:val="0"/>
        <w:autoSpaceDN w:val="0"/>
        <w:adjustRightInd w:val="0"/>
        <w:snapToGrid w:val="0"/>
        <w:spacing w:before="0" w:beforeLines="0" w:after="0" w:afterLines="0" w:line="360" w:lineRule="auto"/>
        <w:ind w:firstLine="480" w:firstLineChars="200"/>
        <w:textAlignment w:val="baseline"/>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lang w:val="en-US" w:eastAsia="zh-CN"/>
        </w:rPr>
        <w:t>③</w:t>
      </w:r>
      <w:r>
        <w:rPr>
          <w:rFonts w:hint="default" w:ascii="Times New Roman" w:hAnsi="Times New Roman" w:eastAsia="方正仿宋_GBK" w:cs="Times New Roman"/>
          <w:color w:val="auto"/>
          <w:kern w:val="0"/>
          <w:sz w:val="24"/>
          <w:szCs w:val="24"/>
          <w:highlight w:val="none"/>
        </w:rPr>
        <w:t>甲方可以合理要求的，且此前乙方未按照</w:t>
      </w:r>
      <w:r>
        <w:rPr>
          <w:rFonts w:hint="eastAsia" w:ascii="Times New Roman" w:hAnsi="Times New Roman" w:eastAsia="方正仿宋_GBK" w:cs="Times New Roman"/>
          <w:color w:val="auto"/>
          <w:kern w:val="0"/>
          <w:sz w:val="24"/>
          <w:szCs w:val="24"/>
          <w:highlight w:val="none"/>
          <w:lang w:eastAsia="zh-CN"/>
        </w:rPr>
        <w:t>本协议</w:t>
      </w:r>
      <w:r>
        <w:rPr>
          <w:rFonts w:hint="default" w:ascii="Times New Roman" w:hAnsi="Times New Roman" w:eastAsia="方正仿宋_GBK" w:cs="Times New Roman"/>
          <w:color w:val="auto"/>
          <w:kern w:val="0"/>
          <w:sz w:val="24"/>
          <w:szCs w:val="24"/>
          <w:highlight w:val="none"/>
        </w:rPr>
        <w:t>约定交付的投资、融资、设计、建设、验收、运营、维护、修理记录、移交记录和其他资料，以使其能够直接或通过其指定机构继续本项目的运营；</w:t>
      </w:r>
    </w:p>
    <w:p w14:paraId="4E367253">
      <w:pPr>
        <w:tabs>
          <w:tab w:val="left" w:pos="142"/>
        </w:tabs>
        <w:autoSpaceDE w:val="0"/>
        <w:autoSpaceDN w:val="0"/>
        <w:adjustRightInd w:val="0"/>
        <w:snapToGrid w:val="0"/>
        <w:spacing w:before="0" w:beforeLines="0" w:after="0" w:afterLines="0" w:line="360" w:lineRule="auto"/>
        <w:ind w:firstLine="480" w:firstLineChars="200"/>
        <w:textAlignment w:val="baseline"/>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lang w:eastAsia="zh-CN"/>
        </w:rPr>
        <w:t>④</w:t>
      </w:r>
      <w:r>
        <w:rPr>
          <w:rFonts w:hint="default" w:ascii="Times New Roman" w:hAnsi="Times New Roman" w:eastAsia="方正仿宋_GBK" w:cs="Times New Roman"/>
          <w:color w:val="auto"/>
          <w:kern w:val="0"/>
          <w:sz w:val="24"/>
          <w:szCs w:val="24"/>
          <w:highlight w:val="none"/>
        </w:rPr>
        <w:t>与本项目设施使用相关的机器、装置、零部件、备品备件、化学品以及其他动产；</w:t>
      </w:r>
    </w:p>
    <w:p w14:paraId="64F4C05E">
      <w:pPr>
        <w:tabs>
          <w:tab w:val="left" w:pos="142"/>
        </w:tabs>
        <w:autoSpaceDE w:val="0"/>
        <w:autoSpaceDN w:val="0"/>
        <w:adjustRightInd w:val="0"/>
        <w:snapToGrid w:val="0"/>
        <w:spacing w:before="0" w:beforeLines="0" w:after="0" w:afterLines="0" w:line="360" w:lineRule="auto"/>
        <w:ind w:firstLine="480" w:firstLineChars="200"/>
        <w:textAlignment w:val="baseline"/>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lang w:eastAsia="zh-CN"/>
        </w:rPr>
        <w:t>⑤</w:t>
      </w:r>
      <w:r>
        <w:rPr>
          <w:rFonts w:hint="default" w:ascii="Times New Roman" w:hAnsi="Times New Roman" w:eastAsia="方正仿宋_GBK" w:cs="Times New Roman"/>
          <w:color w:val="auto"/>
          <w:kern w:val="0"/>
          <w:sz w:val="24"/>
          <w:szCs w:val="24"/>
          <w:highlight w:val="none"/>
        </w:rPr>
        <w:t>运营维护本项目设施所要求的所有技术和技术诀窍、知识产权等无形资产（包括以任何许可方式取得的，乙方不拥有相应知识产权的除外），其中就知识产权移交问题，双方另有约定的除外；</w:t>
      </w:r>
    </w:p>
    <w:p w14:paraId="4A3E7E57">
      <w:pPr>
        <w:tabs>
          <w:tab w:val="left" w:pos="142"/>
        </w:tabs>
        <w:autoSpaceDE w:val="0"/>
        <w:autoSpaceDN w:val="0"/>
        <w:adjustRightInd w:val="0"/>
        <w:snapToGrid w:val="0"/>
        <w:spacing w:before="0" w:beforeLines="0" w:after="0" w:afterLines="0" w:line="360" w:lineRule="auto"/>
        <w:ind w:firstLine="480" w:firstLineChars="200"/>
        <w:textAlignment w:val="baseline"/>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lang w:val="en-US" w:eastAsia="zh-CN"/>
        </w:rPr>
        <w:t>⑥</w:t>
      </w:r>
      <w:r>
        <w:rPr>
          <w:rFonts w:hint="default" w:ascii="Times New Roman" w:hAnsi="Times New Roman" w:eastAsia="方正仿宋_GBK" w:cs="Times New Roman"/>
          <w:color w:val="auto"/>
          <w:kern w:val="0"/>
          <w:sz w:val="24"/>
          <w:szCs w:val="24"/>
          <w:highlight w:val="none"/>
        </w:rPr>
        <w:t>正在使用的各类管理章程和运营手册，包括专有技术、生产档案、技术档案、文秘档案、图书资料、设计图纸、文件和其他资料，以使本项目能平稳正常地继续运营；</w:t>
      </w:r>
    </w:p>
    <w:p w14:paraId="49F6AD0A">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lang w:eastAsia="zh-CN"/>
        </w:rPr>
      </w:pPr>
      <w:r>
        <w:rPr>
          <w:rFonts w:hint="default" w:ascii="Times New Roman" w:hAnsi="Times New Roman" w:eastAsia="方正仿宋_GBK" w:cs="Times New Roman"/>
          <w:color w:val="auto"/>
          <w:kern w:val="0"/>
          <w:sz w:val="24"/>
          <w:szCs w:val="24"/>
          <w:highlight w:val="none"/>
          <w:lang w:eastAsia="zh-CN"/>
        </w:rPr>
        <w:t>⑦</w:t>
      </w:r>
      <w:r>
        <w:rPr>
          <w:rFonts w:hint="default" w:ascii="Times New Roman" w:hAnsi="Times New Roman" w:eastAsia="方正仿宋_GBK" w:cs="Times New Roman"/>
          <w:color w:val="auto"/>
          <w:kern w:val="0"/>
          <w:sz w:val="24"/>
          <w:szCs w:val="24"/>
          <w:highlight w:val="none"/>
        </w:rPr>
        <w:t>所有尚未到期的质量和安全保证、保险和其他合同利益</w:t>
      </w:r>
      <w:r>
        <w:rPr>
          <w:rFonts w:hint="default" w:ascii="Times New Roman" w:hAnsi="Times New Roman" w:eastAsia="方正仿宋_GBK" w:cs="Times New Roman"/>
          <w:caps w:val="0"/>
          <w:smallCaps w:val="0"/>
          <w:color w:val="auto"/>
          <w:kern w:val="0"/>
          <w:sz w:val="24"/>
          <w:szCs w:val="24"/>
          <w:highlight w:val="none"/>
          <w:lang w:eastAsia="zh-CN"/>
        </w:rPr>
        <w:t>；</w:t>
      </w:r>
    </w:p>
    <w:p w14:paraId="16348C85">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lang w:eastAsia="zh-CN"/>
        </w:rPr>
      </w:pPr>
      <w:r>
        <w:rPr>
          <w:rFonts w:hint="default" w:ascii="Times New Roman" w:hAnsi="Times New Roman" w:eastAsia="方正仿宋_GBK" w:cs="Times New Roman"/>
          <w:caps w:val="0"/>
          <w:smallCaps w:val="0"/>
          <w:color w:val="auto"/>
          <w:kern w:val="0"/>
          <w:sz w:val="24"/>
          <w:szCs w:val="24"/>
          <w:highlight w:val="none"/>
          <w:lang w:val="en-US" w:eastAsia="zh-CN"/>
        </w:rPr>
        <w:t>⑧政府合理要求的其他物品与资料。</w:t>
      </w:r>
    </w:p>
    <w:p w14:paraId="74CFC583">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caps w:val="0"/>
          <w:smallCaps w:val="0"/>
          <w:color w:val="auto"/>
          <w:kern w:val="0"/>
          <w:sz w:val="24"/>
          <w:szCs w:val="24"/>
          <w:highlight w:val="none"/>
        </w:rPr>
        <w:t>（2）上述移交不应附带任何负债或违约、侵权责任，不应设有任何抵押、质押等担保权益或产权约束，亦不得存在任何种类和性质的索赔权。所有与移交的设施、权益、文件等有关的负债、违约、侵权责任、抵押、质押等担保权益、产权约束或索赔权，应由乙方全部清偿、赔偿或解除完毕。</w:t>
      </w:r>
    </w:p>
    <w:p w14:paraId="3E558A9E">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jc w:val="both"/>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default" w:ascii="Times New Roman" w:hAnsi="Times New Roman" w:eastAsia="方正仿宋_GBK" w:cs="Times New Roman"/>
          <w:b/>
          <w:caps w:val="0"/>
          <w:smallCaps w:val="0"/>
          <w:color w:val="auto"/>
          <w:kern w:val="2"/>
          <w:sz w:val="24"/>
          <w:szCs w:val="24"/>
          <w:highlight w:val="none"/>
          <w:lang w:val="en-US" w:eastAsia="zh-CN" w:bidi="ar-SA"/>
        </w:rPr>
        <w:t>3.备品备件</w:t>
      </w:r>
    </w:p>
    <w:p w14:paraId="0B40D7DD">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caps w:val="0"/>
          <w:smallCaps w:val="0"/>
          <w:color w:val="auto"/>
          <w:kern w:val="0"/>
          <w:sz w:val="24"/>
          <w:szCs w:val="24"/>
          <w:highlight w:val="none"/>
        </w:rPr>
        <w:t>在本项目移交日，乙方应向甲方或其指定单位无偿移交足够</w:t>
      </w:r>
      <w:r>
        <w:rPr>
          <w:rFonts w:hint="eastAsia" w:ascii="Times New Roman" w:hAnsi="Times New Roman" w:eastAsia="方正仿宋_GBK" w:cs="Times New Roman"/>
          <w:caps w:val="0"/>
          <w:smallCaps w:val="0"/>
          <w:color w:val="auto"/>
          <w:kern w:val="0"/>
          <w:sz w:val="24"/>
          <w:szCs w:val="24"/>
          <w:highlight w:val="none"/>
          <w:u w:val="single"/>
          <w:lang w:val="en-US" w:eastAsia="zh-CN"/>
        </w:rPr>
        <w:t>3</w:t>
      </w:r>
      <w:r>
        <w:rPr>
          <w:rFonts w:hint="default" w:ascii="Times New Roman" w:hAnsi="Times New Roman" w:eastAsia="方正仿宋_GBK" w:cs="Times New Roman"/>
          <w:caps w:val="0"/>
          <w:smallCaps w:val="0"/>
          <w:color w:val="auto"/>
          <w:kern w:val="0"/>
          <w:sz w:val="24"/>
          <w:szCs w:val="24"/>
          <w:highlight w:val="none"/>
        </w:rPr>
        <w:t>个月使用的消耗性备品备件和事故抢修的备品备件。所有零配件、备品备件应至少具有与乙方于交付设备时从设备制造厂商取得的备件相同的质量和标准并符合相同的技术规格要求。</w:t>
      </w:r>
    </w:p>
    <w:p w14:paraId="7FD8DD6F">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jc w:val="both"/>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default" w:ascii="Times New Roman" w:hAnsi="Times New Roman" w:eastAsia="方正仿宋_GBK" w:cs="Times New Roman"/>
          <w:b/>
          <w:caps w:val="0"/>
          <w:smallCaps w:val="0"/>
          <w:color w:val="auto"/>
          <w:kern w:val="2"/>
          <w:sz w:val="24"/>
          <w:szCs w:val="24"/>
          <w:highlight w:val="none"/>
          <w:lang w:val="en-US" w:eastAsia="zh-CN" w:bidi="ar-SA"/>
        </w:rPr>
        <w:t>4.</w:t>
      </w:r>
      <w:r>
        <w:rPr>
          <w:rFonts w:ascii="Times New Roman" w:hAnsi="Times New Roman" w:eastAsia="方正仿宋_GBK" w:cs="Times New Roman"/>
          <w:b/>
          <w:caps w:val="0"/>
          <w:smallCaps w:val="0"/>
          <w:color w:val="auto"/>
          <w:kern w:val="2"/>
          <w:sz w:val="24"/>
          <w:szCs w:val="24"/>
          <w:highlight w:val="none"/>
          <w:lang w:val="en-US" w:eastAsia="zh-CN" w:bidi="ar-SA"/>
        </w:rPr>
        <w:t>保证、保险、技术的转让</w:t>
      </w:r>
    </w:p>
    <w:p w14:paraId="2B3801E3">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caps w:val="0"/>
          <w:smallCaps w:val="0"/>
          <w:color w:val="auto"/>
          <w:kern w:val="0"/>
          <w:sz w:val="24"/>
          <w:szCs w:val="24"/>
          <w:highlight w:val="none"/>
        </w:rPr>
        <w:t>（1）移交时，乙方应将所移交本项目的所有项目设施的承包商、制造商和供应商提供的尚未期满的担保及保证，全部无偿转让至甲方，并负责完成相关转让手续以保证该等转让的合法性和有效性。</w:t>
      </w:r>
    </w:p>
    <w:p w14:paraId="130C2AF4">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caps w:val="0"/>
          <w:smallCaps w:val="0"/>
          <w:color w:val="auto"/>
          <w:kern w:val="0"/>
          <w:sz w:val="24"/>
          <w:szCs w:val="24"/>
          <w:highlight w:val="none"/>
        </w:rPr>
        <w:t>（2）移交时，乙方应将所有保险合同无偿转让至甲方。</w:t>
      </w:r>
    </w:p>
    <w:p w14:paraId="424B9C9C">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caps w:val="0"/>
          <w:smallCaps w:val="0"/>
          <w:color w:val="auto"/>
          <w:kern w:val="0"/>
          <w:sz w:val="24"/>
          <w:szCs w:val="24"/>
          <w:highlight w:val="none"/>
        </w:rPr>
        <w:t>（3）知识产权的移交。</w:t>
      </w:r>
      <w:bookmarkStart w:id="423" w:name="_Hlk162526356"/>
      <w:r>
        <w:rPr>
          <w:rFonts w:hint="default" w:ascii="Times New Roman" w:hAnsi="Times New Roman" w:eastAsia="方正仿宋_GBK" w:cs="Times New Roman"/>
          <w:caps w:val="0"/>
          <w:smallCaps w:val="0"/>
          <w:color w:val="auto"/>
          <w:kern w:val="0"/>
          <w:sz w:val="24"/>
          <w:szCs w:val="24"/>
          <w:highlight w:val="none"/>
        </w:rPr>
        <w:t>双方应在移交日前达成协议，届时将本项目所必须使用知识产权及其他技术的所有权或使用许可移交至甲方，以确保项目正常运营</w:t>
      </w:r>
      <w:bookmarkEnd w:id="423"/>
      <w:r>
        <w:rPr>
          <w:rFonts w:hint="default" w:ascii="Times New Roman" w:hAnsi="Times New Roman" w:eastAsia="方正仿宋_GBK" w:cs="Times New Roman"/>
          <w:caps w:val="0"/>
          <w:smallCaps w:val="0"/>
          <w:color w:val="auto"/>
          <w:kern w:val="0"/>
          <w:sz w:val="24"/>
          <w:szCs w:val="24"/>
          <w:highlight w:val="none"/>
        </w:rPr>
        <w:t>，且甲方不因此遭受权利人索赔。</w:t>
      </w:r>
    </w:p>
    <w:p w14:paraId="26442EEF">
      <w:pPr>
        <w:widowControl w:val="0"/>
        <w:numPr>
          <w:ilvl w:val="2"/>
          <w:numId w:val="0"/>
        </w:numPr>
        <w:adjustRightInd w:val="0"/>
        <w:snapToGrid w:val="0"/>
        <w:spacing w:before="0" w:beforeLines="0" w:after="0" w:afterLines="0" w:line="360" w:lineRule="auto"/>
        <w:ind w:firstLine="480" w:firstLineChars="200"/>
        <w:jc w:val="both"/>
        <w:outlineLvl w:val="2"/>
        <w:rPr>
          <w:rFonts w:ascii="Times New Roman" w:hAnsi="Times New Roman" w:eastAsia="方正仿宋_GBK" w:cs="Times New Roman"/>
          <w:b/>
          <w:color w:val="auto"/>
          <w:kern w:val="2"/>
          <w:sz w:val="24"/>
          <w:szCs w:val="24"/>
          <w:highlight w:val="none"/>
          <w:lang w:val="en-US" w:eastAsia="zh-CN" w:bidi="ar-SA"/>
        </w:rPr>
      </w:pPr>
      <w:r>
        <w:rPr>
          <w:rFonts w:hint="eastAsia" w:ascii="Times New Roman" w:hAnsi="Times New Roman" w:eastAsia="方正仿宋_GBK" w:cs="Times New Roman"/>
          <w:b/>
          <w:color w:val="auto"/>
          <w:kern w:val="2"/>
          <w:sz w:val="24"/>
          <w:szCs w:val="24"/>
          <w:highlight w:val="none"/>
          <w:lang w:val="en-US" w:eastAsia="zh-CN" w:bidi="ar-SA"/>
        </w:rPr>
        <w:t>5.</w:t>
      </w:r>
      <w:r>
        <w:rPr>
          <w:rFonts w:hint="default" w:ascii="Times New Roman" w:hAnsi="Times New Roman" w:eastAsia="方正仿宋_GBK" w:cs="Times New Roman"/>
          <w:b/>
          <w:color w:val="auto"/>
          <w:kern w:val="2"/>
          <w:sz w:val="24"/>
          <w:szCs w:val="24"/>
          <w:highlight w:val="none"/>
          <w:lang w:val="en-US" w:eastAsia="zh-CN" w:bidi="ar-SA"/>
        </w:rPr>
        <w:t>相关合同期限及责任承担</w:t>
      </w:r>
    </w:p>
    <w:p w14:paraId="163FD609">
      <w:pPr>
        <w:tabs>
          <w:tab w:val="left" w:pos="142"/>
        </w:tabs>
        <w:autoSpaceDE w:val="0"/>
        <w:autoSpaceDN w:val="0"/>
        <w:adjustRightInd w:val="0"/>
        <w:snapToGrid w:val="0"/>
        <w:spacing w:before="0" w:beforeLines="0" w:after="0" w:afterLines="0" w:line="360" w:lineRule="auto"/>
        <w:ind w:firstLine="480" w:firstLineChars="0"/>
        <w:textAlignment w:val="baseline"/>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rPr>
        <w:t>乙方在与第三方签订运营维护合同、设备合同及其他合同时，应使该等合同的有效期届满日不超过本项目</w:t>
      </w:r>
      <w:r>
        <w:rPr>
          <w:rFonts w:hint="eastAsia" w:ascii="Times New Roman" w:hAnsi="Times New Roman" w:eastAsia="方正仿宋_GBK" w:cs="Times New Roman"/>
          <w:color w:val="auto"/>
          <w:kern w:val="0"/>
          <w:sz w:val="24"/>
          <w:szCs w:val="24"/>
          <w:highlight w:val="none"/>
          <w:lang w:eastAsia="zh-CN"/>
        </w:rPr>
        <w:t>特许经营期</w:t>
      </w:r>
      <w:r>
        <w:rPr>
          <w:rFonts w:hint="default" w:ascii="Times New Roman" w:hAnsi="Times New Roman" w:eastAsia="方正仿宋_GBK" w:cs="Times New Roman"/>
          <w:color w:val="auto"/>
          <w:kern w:val="0"/>
          <w:sz w:val="24"/>
          <w:szCs w:val="24"/>
          <w:highlight w:val="none"/>
        </w:rPr>
        <w:t>限届满日。</w:t>
      </w:r>
    </w:p>
    <w:p w14:paraId="7F87B2DF">
      <w:pPr>
        <w:keepNext w:val="0"/>
        <w:keepLines w:val="0"/>
        <w:pageBreakBefore w:val="0"/>
        <w:widowControl/>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0"/>
        <w:textAlignment w:val="baseline"/>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color w:val="auto"/>
          <w:kern w:val="0"/>
          <w:sz w:val="24"/>
          <w:szCs w:val="24"/>
          <w:highlight w:val="none"/>
        </w:rPr>
        <w:t>如在移交日前，乙方需签订运营维护合同、设备合同及其他合同且该等合同在本项目</w:t>
      </w:r>
      <w:r>
        <w:rPr>
          <w:rFonts w:hint="eastAsia" w:ascii="Times New Roman" w:hAnsi="Times New Roman" w:eastAsia="方正仿宋_GBK" w:cs="Times New Roman"/>
          <w:color w:val="auto"/>
          <w:kern w:val="0"/>
          <w:sz w:val="24"/>
          <w:szCs w:val="24"/>
          <w:highlight w:val="none"/>
          <w:lang w:eastAsia="zh-CN"/>
        </w:rPr>
        <w:t>特许经营期</w:t>
      </w:r>
      <w:r>
        <w:rPr>
          <w:rFonts w:hint="default" w:ascii="Times New Roman" w:hAnsi="Times New Roman" w:eastAsia="方正仿宋_GBK" w:cs="Times New Roman"/>
          <w:color w:val="auto"/>
          <w:kern w:val="0"/>
          <w:sz w:val="24"/>
          <w:szCs w:val="24"/>
          <w:highlight w:val="none"/>
        </w:rPr>
        <w:t>届满后仍为有效的，则乙方应在该等合同签订前报经甲方同意。未经甲方同意的，由乙方承担相应责任。</w:t>
      </w:r>
    </w:p>
    <w:p w14:paraId="262465D7">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jc w:val="both"/>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6</w:t>
      </w:r>
      <w:r>
        <w:rPr>
          <w:rFonts w:hint="default" w:ascii="Times New Roman" w:hAnsi="Times New Roman" w:eastAsia="方正仿宋_GBK" w:cs="Times New Roman"/>
          <w:b/>
          <w:caps w:val="0"/>
          <w:smallCaps w:val="0"/>
          <w:color w:val="auto"/>
          <w:kern w:val="2"/>
          <w:sz w:val="24"/>
          <w:szCs w:val="24"/>
          <w:highlight w:val="none"/>
          <w:lang w:val="en-US" w:eastAsia="zh-CN" w:bidi="ar-SA"/>
        </w:rPr>
        <w:t>.移交验收</w:t>
      </w:r>
    </w:p>
    <w:p w14:paraId="42C2227C">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caps w:val="0"/>
          <w:smallCaps w:val="0"/>
          <w:color w:val="auto"/>
          <w:kern w:val="0"/>
          <w:sz w:val="24"/>
          <w:szCs w:val="24"/>
          <w:highlight w:val="none"/>
        </w:rPr>
        <w:t>在移交日，移交委员会应进行所有项目设施的移交验收。乙方有责任使测试所得各项性能参数都能符合其最后一次设备大修后的各项指标</w:t>
      </w:r>
      <w:r>
        <w:rPr>
          <w:rFonts w:hint="eastAsia" w:ascii="Times New Roman" w:hAnsi="Times New Roman" w:eastAsia="方正仿宋_GBK" w:cs="Times New Roman"/>
          <w:caps w:val="0"/>
          <w:smallCaps w:val="0"/>
          <w:color w:val="auto"/>
          <w:kern w:val="0"/>
          <w:sz w:val="24"/>
          <w:szCs w:val="24"/>
          <w:highlight w:val="none"/>
          <w:lang w:eastAsia="zh-CN"/>
        </w:rPr>
        <w:t>要求。</w:t>
      </w:r>
    </w:p>
    <w:p w14:paraId="19C2188E">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jc w:val="both"/>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7</w:t>
      </w:r>
      <w:r>
        <w:rPr>
          <w:rFonts w:hint="default" w:ascii="Times New Roman" w:hAnsi="Times New Roman" w:eastAsia="方正仿宋_GBK" w:cs="Times New Roman"/>
          <w:b/>
          <w:caps w:val="0"/>
          <w:smallCaps w:val="0"/>
          <w:color w:val="auto"/>
          <w:kern w:val="2"/>
          <w:sz w:val="24"/>
          <w:szCs w:val="24"/>
          <w:highlight w:val="none"/>
          <w:lang w:val="en-US" w:eastAsia="zh-CN" w:bidi="ar-SA"/>
        </w:rPr>
        <w:t>.</w:t>
      </w:r>
      <w:r>
        <w:rPr>
          <w:rFonts w:ascii="Times New Roman" w:hAnsi="Times New Roman" w:eastAsia="方正仿宋_GBK" w:cs="Times New Roman"/>
          <w:b/>
          <w:caps w:val="0"/>
          <w:smallCaps w:val="0"/>
          <w:color w:val="auto"/>
          <w:kern w:val="2"/>
          <w:sz w:val="24"/>
          <w:szCs w:val="24"/>
          <w:highlight w:val="none"/>
          <w:lang w:val="en-US" w:eastAsia="zh-CN" w:bidi="ar-SA"/>
        </w:rPr>
        <w:t>人员和人员培训</w:t>
      </w:r>
    </w:p>
    <w:p w14:paraId="0A75C54E">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caps w:val="0"/>
          <w:smallCaps w:val="0"/>
          <w:color w:val="auto"/>
          <w:kern w:val="0"/>
          <w:sz w:val="24"/>
          <w:szCs w:val="24"/>
          <w:highlight w:val="none"/>
        </w:rPr>
        <w:t>乙方应在移交日</w:t>
      </w:r>
      <w:r>
        <w:rPr>
          <w:rFonts w:hint="default" w:ascii="Times New Roman" w:hAnsi="Times New Roman" w:eastAsia="方正仿宋_GBK" w:cs="Times New Roman"/>
          <w:caps w:val="0"/>
          <w:smallCaps w:val="0"/>
          <w:color w:val="auto"/>
          <w:kern w:val="0"/>
          <w:sz w:val="24"/>
          <w:szCs w:val="24"/>
          <w:highlight w:val="none"/>
          <w:lang w:val="en-US" w:eastAsia="zh-CN"/>
        </w:rPr>
        <w:t>6</w:t>
      </w:r>
      <w:r>
        <w:rPr>
          <w:rFonts w:hint="default" w:ascii="Times New Roman" w:hAnsi="Times New Roman" w:eastAsia="方正仿宋_GBK" w:cs="Times New Roman"/>
          <w:caps w:val="0"/>
          <w:smallCaps w:val="0"/>
          <w:color w:val="auto"/>
          <w:kern w:val="0"/>
          <w:sz w:val="24"/>
          <w:szCs w:val="24"/>
          <w:highlight w:val="none"/>
        </w:rPr>
        <w:t>个月前提交一份当时的乙方员工名单，包括每位员工的资格、职位和收入的细节。甲方有权选择在移交日后优先继续聘用全部或部分员工。</w:t>
      </w:r>
    </w:p>
    <w:p w14:paraId="73D7FB09">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lang w:eastAsia="zh-CN"/>
        </w:rPr>
      </w:pPr>
      <w:r>
        <w:rPr>
          <w:rFonts w:hint="default" w:ascii="Times New Roman" w:hAnsi="Times New Roman" w:eastAsia="方正仿宋_GBK" w:cs="Times New Roman"/>
          <w:caps w:val="0"/>
          <w:smallCaps w:val="0"/>
          <w:color w:val="auto"/>
          <w:kern w:val="0"/>
          <w:sz w:val="24"/>
          <w:szCs w:val="24"/>
          <w:highlight w:val="none"/>
        </w:rPr>
        <w:t>甲方或其指定机构需要在移交日前派驻人员到项目设施所在地进行培训或学习的，应在移交日</w:t>
      </w:r>
      <w:r>
        <w:rPr>
          <w:rFonts w:hint="default" w:ascii="Times New Roman" w:hAnsi="Times New Roman" w:eastAsia="方正仿宋_GBK" w:cs="Times New Roman"/>
          <w:caps w:val="0"/>
          <w:smallCaps w:val="0"/>
          <w:color w:val="auto"/>
          <w:kern w:val="0"/>
          <w:sz w:val="24"/>
          <w:szCs w:val="24"/>
          <w:highlight w:val="none"/>
          <w:lang w:val="en-US" w:eastAsia="zh-CN"/>
        </w:rPr>
        <w:t>6</w:t>
      </w:r>
      <w:r>
        <w:rPr>
          <w:rFonts w:hint="default" w:ascii="Times New Roman" w:hAnsi="Times New Roman" w:eastAsia="方正仿宋_GBK" w:cs="Times New Roman"/>
          <w:caps w:val="0"/>
          <w:smallCaps w:val="0"/>
          <w:color w:val="auto"/>
          <w:kern w:val="0"/>
          <w:sz w:val="24"/>
          <w:szCs w:val="24"/>
          <w:highlight w:val="none"/>
        </w:rPr>
        <w:t>个月前向乙方说明情况及拟派驻人员名单，乙方负责为上述人员提供培训，使之达到熟练操作和管理要求。作为移交的一部分，甲方和乙方应联合考试，以确定被指定人员经过培训合格，可以接管本项目的独立运营维护。乙方免费负责为上述人员提供培训</w:t>
      </w:r>
      <w:r>
        <w:rPr>
          <w:rFonts w:hint="default" w:ascii="Times New Roman" w:hAnsi="Times New Roman" w:eastAsia="方正仿宋_GBK" w:cs="Times New Roman"/>
          <w:caps w:val="0"/>
          <w:smallCaps w:val="0"/>
          <w:color w:val="auto"/>
          <w:kern w:val="0"/>
          <w:sz w:val="24"/>
          <w:szCs w:val="24"/>
          <w:highlight w:val="none"/>
          <w:lang w:eastAsia="zh-CN"/>
        </w:rPr>
        <w:t>。</w:t>
      </w:r>
    </w:p>
    <w:p w14:paraId="1DBFBBEF">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caps w:val="0"/>
          <w:smallCaps w:val="0"/>
          <w:color w:val="auto"/>
          <w:kern w:val="0"/>
          <w:sz w:val="24"/>
          <w:szCs w:val="24"/>
          <w:highlight w:val="none"/>
        </w:rPr>
        <w:t>移交后，乙方有义务免费提供不低于</w:t>
      </w:r>
      <w:r>
        <w:rPr>
          <w:rFonts w:hint="default" w:ascii="Times New Roman" w:hAnsi="Times New Roman" w:eastAsia="方正仿宋_GBK" w:cs="Times New Roman"/>
          <w:caps w:val="0"/>
          <w:smallCaps w:val="0"/>
          <w:color w:val="auto"/>
          <w:kern w:val="0"/>
          <w:sz w:val="24"/>
          <w:szCs w:val="24"/>
          <w:highlight w:val="none"/>
          <w:lang w:val="en-US" w:eastAsia="zh-CN"/>
        </w:rPr>
        <w:t>12</w:t>
      </w:r>
      <w:r>
        <w:rPr>
          <w:rFonts w:hint="default" w:ascii="Times New Roman" w:hAnsi="Times New Roman" w:eastAsia="方正仿宋_GBK" w:cs="Times New Roman"/>
          <w:caps w:val="0"/>
          <w:smallCaps w:val="0"/>
          <w:color w:val="auto"/>
          <w:kern w:val="0"/>
          <w:sz w:val="24"/>
          <w:szCs w:val="24"/>
          <w:highlight w:val="none"/>
        </w:rPr>
        <w:t>个月的技术支持。</w:t>
      </w:r>
    </w:p>
    <w:p w14:paraId="2AD38128">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jc w:val="both"/>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8</w:t>
      </w:r>
      <w:r>
        <w:rPr>
          <w:rFonts w:hint="default" w:ascii="Times New Roman" w:hAnsi="Times New Roman" w:eastAsia="方正仿宋_GBK" w:cs="Times New Roman"/>
          <w:b/>
          <w:caps w:val="0"/>
          <w:smallCaps w:val="0"/>
          <w:color w:val="auto"/>
          <w:kern w:val="2"/>
          <w:sz w:val="24"/>
          <w:szCs w:val="24"/>
          <w:highlight w:val="none"/>
          <w:lang w:val="en-US" w:eastAsia="zh-CN" w:bidi="ar-SA"/>
        </w:rPr>
        <w:t>.</w:t>
      </w:r>
      <w:r>
        <w:rPr>
          <w:rFonts w:ascii="Times New Roman" w:hAnsi="Times New Roman" w:eastAsia="方正仿宋_GBK" w:cs="Times New Roman"/>
          <w:b/>
          <w:caps w:val="0"/>
          <w:smallCaps w:val="0"/>
          <w:color w:val="auto"/>
          <w:kern w:val="2"/>
          <w:sz w:val="24"/>
          <w:szCs w:val="24"/>
          <w:highlight w:val="none"/>
          <w:lang w:val="en-US" w:eastAsia="zh-CN" w:bidi="ar-SA"/>
        </w:rPr>
        <w:t>移交费用</w:t>
      </w:r>
    </w:p>
    <w:p w14:paraId="24918D82">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caps w:val="0"/>
          <w:smallCaps w:val="0"/>
          <w:color w:val="auto"/>
          <w:kern w:val="0"/>
          <w:sz w:val="24"/>
          <w:szCs w:val="24"/>
          <w:highlight w:val="none"/>
        </w:rPr>
        <w:t>除本协议另有约定外，乙方应承担向甲方移交发生的费用和支出。如果乙方未按本协议约定的范围和内容进行移交，甲方为此发生支出或遭受损失的，乙方应予以赔偿。</w:t>
      </w:r>
    </w:p>
    <w:p w14:paraId="46D375D8">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jc w:val="both"/>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9</w:t>
      </w:r>
      <w:r>
        <w:rPr>
          <w:rFonts w:hint="default" w:ascii="Times New Roman" w:hAnsi="Times New Roman" w:eastAsia="方正仿宋_GBK" w:cs="Times New Roman"/>
          <w:b/>
          <w:caps w:val="0"/>
          <w:smallCaps w:val="0"/>
          <w:color w:val="auto"/>
          <w:kern w:val="2"/>
          <w:sz w:val="24"/>
          <w:szCs w:val="24"/>
          <w:highlight w:val="none"/>
          <w:lang w:val="en-US" w:eastAsia="zh-CN" w:bidi="ar-SA"/>
        </w:rPr>
        <w:t>.</w:t>
      </w:r>
      <w:r>
        <w:rPr>
          <w:rFonts w:ascii="Times New Roman" w:hAnsi="Times New Roman" w:eastAsia="方正仿宋_GBK" w:cs="Times New Roman"/>
          <w:b/>
          <w:caps w:val="0"/>
          <w:smallCaps w:val="0"/>
          <w:color w:val="auto"/>
          <w:kern w:val="2"/>
          <w:sz w:val="24"/>
          <w:szCs w:val="24"/>
          <w:highlight w:val="none"/>
          <w:lang w:val="en-US" w:eastAsia="zh-CN" w:bidi="ar-SA"/>
        </w:rPr>
        <w:t>移交效力</w:t>
      </w:r>
    </w:p>
    <w:p w14:paraId="32ACAD16">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caps w:val="0"/>
          <w:smallCaps w:val="0"/>
          <w:color w:val="auto"/>
          <w:kern w:val="0"/>
          <w:sz w:val="24"/>
          <w:szCs w:val="24"/>
          <w:highlight w:val="none"/>
        </w:rPr>
        <w:t>（1）自移交日起，乙方在本协议项下的权益即行终止。</w:t>
      </w:r>
    </w:p>
    <w:p w14:paraId="58114293">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caps w:val="0"/>
          <w:smallCaps w:val="0"/>
          <w:color w:val="auto"/>
          <w:kern w:val="0"/>
          <w:sz w:val="24"/>
          <w:szCs w:val="24"/>
          <w:highlight w:val="none"/>
        </w:rPr>
        <w:t>（2）自移交日起，本项目的相关权益均转移至甲方。</w:t>
      </w:r>
    </w:p>
    <w:p w14:paraId="545377B5">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caps w:val="0"/>
          <w:smallCaps w:val="0"/>
          <w:color w:val="auto"/>
          <w:kern w:val="0"/>
          <w:sz w:val="24"/>
          <w:szCs w:val="24"/>
          <w:highlight w:val="none"/>
        </w:rPr>
        <w:t>（3）自移交日起，由甲方全面负责本项目的运营和维护。</w:t>
      </w:r>
    </w:p>
    <w:p w14:paraId="19C63CF1">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caps w:val="0"/>
          <w:smallCaps w:val="0"/>
          <w:color w:val="auto"/>
          <w:kern w:val="0"/>
          <w:sz w:val="24"/>
          <w:szCs w:val="24"/>
          <w:highlight w:val="none"/>
        </w:rPr>
        <w:t>（4）双方在本协议项下未履行完毕的其他权利和义务应当继续履行。</w:t>
      </w:r>
    </w:p>
    <w:p w14:paraId="5AD3AD79">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424" w:name="_Toc402428947"/>
      <w:bookmarkStart w:id="425" w:name="_Toc30043"/>
      <w:bookmarkStart w:id="426" w:name="_Toc451258947"/>
      <w:bookmarkStart w:id="427" w:name="_Toc405146870"/>
      <w:bookmarkStart w:id="428" w:name="_Toc11347"/>
      <w:r>
        <w:rPr>
          <w:rFonts w:hint="eastAsia" w:ascii="Times New Roman" w:hAnsi="Times New Roman" w:eastAsia="方正黑体_GBK" w:cs="方正黑体_GBK"/>
          <w:bCs/>
          <w:caps w:val="0"/>
          <w:smallCaps w:val="0"/>
          <w:color w:val="auto"/>
          <w:kern w:val="2"/>
          <w:sz w:val="28"/>
          <w:szCs w:val="28"/>
          <w:highlight w:val="none"/>
          <w:lang w:val="en-US" w:eastAsia="zh-CN" w:bidi="ar-SA"/>
        </w:rPr>
        <w:t>第59条 移交质量保证</w:t>
      </w:r>
      <w:bookmarkEnd w:id="424"/>
      <w:bookmarkEnd w:id="425"/>
      <w:bookmarkEnd w:id="426"/>
      <w:bookmarkEnd w:id="427"/>
      <w:bookmarkEnd w:id="428"/>
    </w:p>
    <w:p w14:paraId="3F4F706F">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outlineLvl w:val="2"/>
        <w:rPr>
          <w:rFonts w:hint="default"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1.移交日本项目的状况</w:t>
      </w:r>
    </w:p>
    <w:p w14:paraId="5623AFB7">
      <w:pPr>
        <w:tabs>
          <w:tab w:val="left" w:pos="142"/>
        </w:tabs>
        <w:autoSpaceDE w:val="0"/>
        <w:autoSpaceDN w:val="0"/>
        <w:adjustRightInd w:val="0"/>
        <w:snapToGrid w:val="0"/>
        <w:spacing w:before="50" w:beforeLines="50" w:after="50" w:afterLines="50" w:line="360" w:lineRule="auto"/>
        <w:ind w:firstLine="480" w:firstLineChars="200"/>
        <w:textAlignment w:val="baseline"/>
        <w:rPr>
          <w:rFonts w:hint="default" w:ascii="Times New Roman" w:hAnsi="Times New Roman" w:eastAsia="方正仿宋_GBK" w:cs="Times New Roman"/>
          <w:b w:val="0"/>
          <w:caps w:val="0"/>
          <w:smallCaps w:val="0"/>
          <w:color w:val="auto"/>
          <w:kern w:val="0"/>
          <w:sz w:val="24"/>
          <w:szCs w:val="24"/>
          <w:highlight w:val="none"/>
          <w:lang w:val="en-US" w:eastAsia="zh-CN" w:bidi="ar-SA"/>
        </w:rPr>
      </w:pPr>
      <w:r>
        <w:rPr>
          <w:rFonts w:hint="default" w:ascii="Times New Roman" w:hAnsi="Times New Roman" w:eastAsia="方正仿宋_GBK" w:cs="Times New Roman"/>
          <w:b w:val="0"/>
          <w:caps w:val="0"/>
          <w:smallCaps w:val="0"/>
          <w:color w:val="auto"/>
          <w:kern w:val="0"/>
          <w:sz w:val="24"/>
          <w:szCs w:val="24"/>
          <w:highlight w:val="none"/>
          <w:lang w:val="en-US" w:eastAsia="zh-CN" w:bidi="ar-SA"/>
        </w:rPr>
        <w:t>在移交日，乙方应保证本项目：</w:t>
      </w:r>
    </w:p>
    <w:p w14:paraId="7E065607">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b w:val="0"/>
          <w:caps w:val="0"/>
          <w:smallCaps w:val="0"/>
          <w:color w:val="auto"/>
          <w:kern w:val="0"/>
          <w:sz w:val="24"/>
          <w:szCs w:val="24"/>
          <w:highlight w:val="none"/>
          <w:lang w:val="en-US" w:eastAsia="zh-CN" w:bidi="ar-SA"/>
        </w:rPr>
      </w:pPr>
      <w:r>
        <w:rPr>
          <w:rFonts w:hint="default" w:ascii="Times New Roman" w:hAnsi="Times New Roman" w:eastAsia="方正仿宋_GBK" w:cs="Times New Roman"/>
          <w:b w:val="0"/>
          <w:caps w:val="0"/>
          <w:smallCaps w:val="0"/>
          <w:color w:val="auto"/>
          <w:kern w:val="0"/>
          <w:sz w:val="24"/>
          <w:szCs w:val="24"/>
          <w:highlight w:val="none"/>
          <w:lang w:val="en-US" w:eastAsia="zh-CN" w:bidi="ar-SA"/>
        </w:rPr>
        <w:t>（1）处于良好的运营状况，无法律纠纷和瑕疵，得到良好维护，正常损耗除外；</w:t>
      </w:r>
    </w:p>
    <w:p w14:paraId="3CA26284">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b w:val="0"/>
          <w:caps w:val="0"/>
          <w:smallCaps w:val="0"/>
          <w:color w:val="auto"/>
          <w:kern w:val="0"/>
          <w:sz w:val="24"/>
          <w:szCs w:val="24"/>
          <w:highlight w:val="none"/>
          <w:lang w:val="en-US" w:eastAsia="zh-CN" w:bidi="ar-SA"/>
        </w:rPr>
      </w:pPr>
      <w:r>
        <w:rPr>
          <w:rFonts w:hint="default" w:ascii="Times New Roman" w:hAnsi="Times New Roman" w:eastAsia="方正仿宋_GBK" w:cs="Times New Roman"/>
          <w:b w:val="0"/>
          <w:caps w:val="0"/>
          <w:smallCaps w:val="0"/>
          <w:color w:val="auto"/>
          <w:kern w:val="0"/>
          <w:sz w:val="24"/>
          <w:szCs w:val="24"/>
          <w:highlight w:val="none"/>
          <w:lang w:val="en-US" w:eastAsia="zh-CN" w:bidi="ar-SA"/>
        </w:rPr>
        <w:t>（2）移交的资产和权益未设置有任何抵押、质押等权利限制或产权限制，亦不存在任何种类的索赔；</w:t>
      </w:r>
    </w:p>
    <w:p w14:paraId="7C1B2AC0">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b w:val="0"/>
          <w:caps w:val="0"/>
          <w:smallCaps w:val="0"/>
          <w:color w:val="auto"/>
          <w:kern w:val="0"/>
          <w:sz w:val="24"/>
          <w:szCs w:val="24"/>
          <w:highlight w:val="none"/>
          <w:lang w:val="en-US" w:eastAsia="zh-CN" w:bidi="ar-SA"/>
        </w:rPr>
      </w:pPr>
      <w:r>
        <w:rPr>
          <w:rFonts w:hint="default" w:ascii="Times New Roman" w:hAnsi="Times New Roman" w:eastAsia="方正仿宋_GBK" w:cs="Times New Roman"/>
          <w:b w:val="0"/>
          <w:caps w:val="0"/>
          <w:smallCaps w:val="0"/>
          <w:color w:val="auto"/>
          <w:kern w:val="0"/>
          <w:sz w:val="24"/>
          <w:szCs w:val="24"/>
          <w:highlight w:val="none"/>
          <w:lang w:val="en-US" w:eastAsia="zh-CN" w:bidi="ar-SA"/>
        </w:rPr>
        <w:t>（3）符合</w:t>
      </w:r>
      <w:r>
        <w:rPr>
          <w:rFonts w:hint="eastAsia" w:ascii="Times New Roman" w:hAnsi="Times New Roman" w:eastAsia="方正仿宋_GBK" w:cs="Times New Roman"/>
          <w:b w:val="0"/>
          <w:caps w:val="0"/>
          <w:smallCaps w:val="0"/>
          <w:color w:val="auto"/>
          <w:kern w:val="0"/>
          <w:sz w:val="24"/>
          <w:szCs w:val="24"/>
          <w:highlight w:val="none"/>
          <w:lang w:val="en-US" w:eastAsia="zh-CN" w:bidi="ar-SA"/>
        </w:rPr>
        <w:t>本协议</w:t>
      </w:r>
      <w:r>
        <w:rPr>
          <w:rFonts w:hint="default" w:ascii="Times New Roman" w:hAnsi="Times New Roman" w:eastAsia="方正仿宋_GBK" w:cs="Times New Roman"/>
          <w:b w:val="0"/>
          <w:caps w:val="0"/>
          <w:smallCaps w:val="0"/>
          <w:color w:val="auto"/>
          <w:kern w:val="0"/>
          <w:sz w:val="24"/>
          <w:szCs w:val="24"/>
          <w:highlight w:val="none"/>
          <w:lang w:val="en-US" w:eastAsia="zh-CN" w:bidi="ar-SA"/>
        </w:rPr>
        <w:t>约定的安全和环境标准；和</w:t>
      </w:r>
    </w:p>
    <w:p w14:paraId="19986207">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b w:val="0"/>
          <w:caps w:val="0"/>
          <w:smallCaps w:val="0"/>
          <w:color w:val="auto"/>
          <w:kern w:val="0"/>
          <w:sz w:val="24"/>
          <w:szCs w:val="24"/>
          <w:highlight w:val="none"/>
          <w:lang w:val="en-US" w:eastAsia="zh-CN" w:bidi="ar-SA"/>
        </w:rPr>
      </w:pPr>
      <w:r>
        <w:rPr>
          <w:rFonts w:hint="default" w:ascii="Times New Roman" w:hAnsi="Times New Roman" w:eastAsia="方正仿宋_GBK" w:cs="Times New Roman"/>
          <w:b w:val="0"/>
          <w:caps w:val="0"/>
          <w:smallCaps w:val="0"/>
          <w:color w:val="auto"/>
          <w:kern w:val="0"/>
          <w:sz w:val="24"/>
          <w:szCs w:val="24"/>
          <w:highlight w:val="none"/>
          <w:lang w:val="en-US" w:eastAsia="zh-CN" w:bidi="ar-SA"/>
        </w:rPr>
        <w:t>（4）符合</w:t>
      </w:r>
      <w:r>
        <w:rPr>
          <w:rFonts w:hint="eastAsia" w:ascii="Times New Roman" w:hAnsi="Times New Roman" w:eastAsia="方正仿宋_GBK" w:cs="Times New Roman"/>
          <w:b w:val="0"/>
          <w:caps w:val="0"/>
          <w:smallCaps w:val="0"/>
          <w:color w:val="auto"/>
          <w:kern w:val="0"/>
          <w:sz w:val="24"/>
          <w:szCs w:val="24"/>
          <w:highlight w:val="none"/>
          <w:lang w:val="en-US" w:eastAsia="zh-CN" w:bidi="ar-SA"/>
        </w:rPr>
        <w:t>本协议</w:t>
      </w:r>
      <w:r>
        <w:rPr>
          <w:rFonts w:hint="default" w:ascii="Times New Roman" w:hAnsi="Times New Roman" w:eastAsia="方正仿宋_GBK" w:cs="Times New Roman"/>
          <w:b w:val="0"/>
          <w:caps w:val="0"/>
          <w:smallCaps w:val="0"/>
          <w:color w:val="auto"/>
          <w:kern w:val="0"/>
          <w:sz w:val="24"/>
          <w:szCs w:val="24"/>
          <w:highlight w:val="none"/>
          <w:lang w:val="en-US" w:eastAsia="zh-CN" w:bidi="ar-SA"/>
        </w:rPr>
        <w:t>中约定的</w:t>
      </w:r>
      <w:r>
        <w:rPr>
          <w:rFonts w:hint="default" w:ascii="Times New Roman" w:hAnsi="Times New Roman" w:eastAsia="方正仿宋_GBK" w:cs="Times New Roman"/>
          <w:caps w:val="0"/>
          <w:smallCaps w:val="0"/>
          <w:color w:val="auto"/>
          <w:kern w:val="0"/>
          <w:sz w:val="24"/>
          <w:szCs w:val="24"/>
          <w:highlight w:val="none"/>
          <w:lang w:val="en-US" w:eastAsia="zh-CN"/>
        </w:rPr>
        <w:t>移交</w:t>
      </w:r>
      <w:r>
        <w:rPr>
          <w:rFonts w:hint="default" w:ascii="Times New Roman" w:hAnsi="Times New Roman" w:eastAsia="方正仿宋_GBK" w:cs="Times New Roman"/>
          <w:b w:val="0"/>
          <w:caps w:val="0"/>
          <w:smallCaps w:val="0"/>
          <w:color w:val="auto"/>
          <w:kern w:val="0"/>
          <w:sz w:val="24"/>
          <w:szCs w:val="24"/>
          <w:highlight w:val="none"/>
          <w:lang w:val="en-US" w:eastAsia="zh-CN" w:bidi="ar-SA"/>
        </w:rPr>
        <w:t>标准。</w:t>
      </w:r>
    </w:p>
    <w:p w14:paraId="3E88997B">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2.</w:t>
      </w:r>
      <w:r>
        <w:rPr>
          <w:rFonts w:ascii="Times New Roman" w:hAnsi="Times New Roman" w:eastAsia="方正仿宋_GBK" w:cs="Times New Roman"/>
          <w:b/>
          <w:caps w:val="0"/>
          <w:smallCaps w:val="0"/>
          <w:color w:val="auto"/>
          <w:kern w:val="2"/>
          <w:sz w:val="24"/>
          <w:szCs w:val="24"/>
          <w:highlight w:val="none"/>
          <w:lang w:val="en-US" w:eastAsia="zh-CN" w:bidi="ar-SA"/>
        </w:rPr>
        <w:t>缺陷责任期</w:t>
      </w:r>
    </w:p>
    <w:p w14:paraId="6E5DF89B">
      <w:pPr>
        <w:tabs>
          <w:tab w:val="left" w:pos="142"/>
        </w:tabs>
        <w:autoSpaceDE w:val="0"/>
        <w:autoSpaceDN w:val="0"/>
        <w:adjustRightInd w:val="0"/>
        <w:snapToGrid w:val="0"/>
        <w:spacing w:before="0" w:beforeLines="0" w:after="0" w:afterLines="0" w:line="360" w:lineRule="auto"/>
        <w:ind w:firstLine="480" w:firstLineChars="200"/>
        <w:textAlignment w:val="baseline"/>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aps w:val="0"/>
          <w:smallCaps w:val="0"/>
          <w:color w:val="auto"/>
          <w:kern w:val="0"/>
          <w:sz w:val="24"/>
          <w:szCs w:val="24"/>
          <w:highlight w:val="none"/>
        </w:rPr>
        <w:t>移交后本项目设施的缺陷责任期为本项目移交日后</w:t>
      </w:r>
      <w:r>
        <w:rPr>
          <w:rFonts w:hint="default" w:ascii="Times New Roman" w:hAnsi="Times New Roman" w:eastAsia="方正仿宋_GBK" w:cs="Times New Roman"/>
          <w:caps w:val="0"/>
          <w:smallCaps w:val="0"/>
          <w:color w:val="auto"/>
          <w:kern w:val="0"/>
          <w:sz w:val="24"/>
          <w:szCs w:val="24"/>
          <w:highlight w:val="none"/>
          <w:lang w:val="en-US" w:eastAsia="zh-CN"/>
        </w:rPr>
        <w:t>12</w:t>
      </w:r>
      <w:r>
        <w:rPr>
          <w:rFonts w:hint="default" w:ascii="Times New Roman" w:hAnsi="Times New Roman" w:eastAsia="方正仿宋_GBK" w:cs="Times New Roman"/>
          <w:caps w:val="0"/>
          <w:smallCaps w:val="0"/>
          <w:color w:val="auto"/>
          <w:kern w:val="0"/>
          <w:sz w:val="24"/>
          <w:szCs w:val="24"/>
          <w:highlight w:val="none"/>
        </w:rPr>
        <w:t>个月。</w:t>
      </w:r>
      <w:r>
        <w:rPr>
          <w:rFonts w:hint="eastAsia" w:ascii="Times New Roman" w:hAnsi="Times New Roman" w:eastAsia="方正仿宋_GBK" w:cs="Times New Roman"/>
          <w:caps w:val="0"/>
          <w:smallCaps w:val="0"/>
          <w:color w:val="auto"/>
          <w:kern w:val="0"/>
          <w:sz w:val="24"/>
          <w:szCs w:val="24"/>
          <w:highlight w:val="none"/>
          <w:lang w:val="en-US" w:eastAsia="zh-CN"/>
        </w:rPr>
        <w:t>乙方</w:t>
      </w:r>
      <w:r>
        <w:rPr>
          <w:rFonts w:hint="default" w:ascii="Times New Roman" w:hAnsi="Times New Roman" w:eastAsia="方正仿宋_GBK" w:cs="Times New Roman"/>
          <w:color w:val="auto"/>
          <w:kern w:val="0"/>
          <w:sz w:val="24"/>
          <w:szCs w:val="24"/>
          <w:highlight w:val="none"/>
        </w:rPr>
        <w:t>承担由原材料、工艺、施工、运营或管理缺陷或</w:t>
      </w:r>
      <w:r>
        <w:rPr>
          <w:rFonts w:hint="eastAsia" w:ascii="Times New Roman" w:hAnsi="Times New Roman" w:eastAsia="方正仿宋_GBK" w:cs="Times New Roman"/>
          <w:color w:val="auto"/>
          <w:kern w:val="0"/>
          <w:sz w:val="24"/>
          <w:szCs w:val="24"/>
          <w:highlight w:val="none"/>
          <w:lang w:val="en-US" w:eastAsia="zh-CN"/>
        </w:rPr>
        <w:t>特许经营</w:t>
      </w:r>
      <w:r>
        <w:rPr>
          <w:rFonts w:hint="default" w:ascii="Times New Roman" w:hAnsi="Times New Roman" w:eastAsia="方正仿宋_GBK" w:cs="Times New Roman"/>
          <w:color w:val="auto"/>
          <w:kern w:val="0"/>
          <w:sz w:val="24"/>
          <w:szCs w:val="24"/>
          <w:highlight w:val="none"/>
        </w:rPr>
        <w:t>期内乙方的任何违约行为造成的项目设施任何部分出现的任何缺陷或损坏（正常磨损除外）及/或环境污染的修复责任。</w:t>
      </w:r>
    </w:p>
    <w:p w14:paraId="5AC6B3C1">
      <w:pPr>
        <w:keepNext w:val="0"/>
        <w:keepLines w:val="0"/>
        <w:pageBreakBefore w:val="0"/>
        <w:widowControl w:val="0"/>
        <w:tabs>
          <w:tab w:val="left" w:pos="142"/>
        </w:tabs>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rPr>
        <w:t>甲方发现任何上述缺陷或损坏及/或环境污染的发生后应及时通知乙方。在任何情况下，上述通知最迟应在上述</w:t>
      </w:r>
      <w:r>
        <w:rPr>
          <w:rFonts w:hint="eastAsia" w:ascii="Times New Roman" w:hAnsi="Times New Roman" w:eastAsia="方正仿宋_GBK" w:cs="Times New Roman"/>
          <w:b w:val="0"/>
          <w:color w:val="auto"/>
          <w:kern w:val="0"/>
          <w:sz w:val="24"/>
          <w:szCs w:val="24"/>
          <w:highlight w:val="none"/>
          <w:u w:val="none"/>
          <w:lang w:val="en-US" w:eastAsia="zh-CN"/>
        </w:rPr>
        <w:t>缺陷责任期</w:t>
      </w:r>
      <w:r>
        <w:rPr>
          <w:rFonts w:hint="default" w:ascii="Times New Roman" w:hAnsi="Times New Roman" w:eastAsia="方正仿宋_GBK" w:cs="Times New Roman"/>
          <w:color w:val="auto"/>
          <w:kern w:val="0"/>
          <w:sz w:val="24"/>
          <w:szCs w:val="24"/>
          <w:highlight w:val="none"/>
        </w:rPr>
        <w:t>届满前</w:t>
      </w:r>
      <w:r>
        <w:rPr>
          <w:rFonts w:hint="eastAsia" w:ascii="Times New Roman" w:hAnsi="Times New Roman" w:eastAsia="方正仿宋_GBK" w:cs="Times New Roman"/>
          <w:b w:val="0"/>
          <w:color w:val="auto"/>
          <w:kern w:val="0"/>
          <w:sz w:val="24"/>
          <w:szCs w:val="24"/>
          <w:highlight w:val="none"/>
          <w:u w:val="none"/>
          <w:lang w:eastAsia="zh-CN"/>
        </w:rPr>
        <w:t>3</w:t>
      </w:r>
      <w:r>
        <w:rPr>
          <w:rFonts w:hint="default" w:ascii="Times New Roman" w:hAnsi="Times New Roman" w:eastAsia="方正仿宋_GBK" w:cs="Times New Roman"/>
          <w:color w:val="auto"/>
          <w:kern w:val="0"/>
          <w:sz w:val="24"/>
          <w:szCs w:val="24"/>
          <w:highlight w:val="none"/>
        </w:rPr>
        <w:t>个月发出。收到该通知后，乙方应尽快自费修正缺陷。如果乙方在收到甲方通知后</w:t>
      </w:r>
      <w:r>
        <w:rPr>
          <w:rFonts w:hint="eastAsia" w:ascii="Times New Roman" w:hAnsi="Times New Roman" w:eastAsia="方正仿宋_GBK" w:cs="Times New Roman"/>
          <w:color w:val="auto"/>
          <w:kern w:val="0"/>
          <w:sz w:val="24"/>
          <w:szCs w:val="24"/>
          <w:highlight w:val="none"/>
          <w:lang w:val="en-US" w:eastAsia="zh-CN"/>
        </w:rPr>
        <w:t>10</w:t>
      </w:r>
      <w:r>
        <w:rPr>
          <w:rFonts w:hint="default" w:ascii="Times New Roman" w:hAnsi="Times New Roman" w:eastAsia="方正仿宋_GBK" w:cs="Times New Roman"/>
          <w:color w:val="auto"/>
          <w:kern w:val="0"/>
          <w:sz w:val="24"/>
          <w:szCs w:val="24"/>
          <w:highlight w:val="none"/>
        </w:rPr>
        <w:t>日内不能或拒绝修正缺陷，甲方有权自行或聘请第三方修正上述缺陷。在该情形下，乙方应承担合理且必要的修理费用，甲方有权选择扣除或提取移交履约担保中的相应金额用以支付此项费用。</w:t>
      </w:r>
    </w:p>
    <w:p w14:paraId="55977326">
      <w:pPr>
        <w:widowControl/>
        <w:numPr>
          <w:ilvl w:val="2"/>
          <w:numId w:val="0"/>
        </w:numPr>
        <w:autoSpaceDE/>
        <w:autoSpaceDN/>
        <w:adjustRightInd w:val="0"/>
        <w:snapToGrid w:val="0"/>
        <w:spacing w:before="156" w:beforeLines="50" w:after="156" w:afterLines="50" w:line="360" w:lineRule="auto"/>
        <w:ind w:firstLine="480" w:firstLineChars="200"/>
        <w:textAlignment w:val="auto"/>
        <w:outlineLvl w:val="2"/>
        <w:rPr>
          <w:rFonts w:hint="default" w:ascii="Times New Roman" w:hAnsi="Times New Roman" w:eastAsia="方正仿宋_GBK" w:cs="Times New Roman"/>
          <w:b/>
          <w:color w:val="auto"/>
          <w:kern w:val="2"/>
          <w:sz w:val="24"/>
          <w:szCs w:val="24"/>
          <w:highlight w:val="none"/>
          <w:lang w:val="en-US" w:eastAsia="zh-CN" w:bidi="ar-SA"/>
        </w:rPr>
      </w:pPr>
      <w:r>
        <w:rPr>
          <w:rFonts w:hint="default" w:ascii="Times New Roman" w:hAnsi="Times New Roman" w:eastAsia="方正仿宋_GBK" w:cs="Times New Roman"/>
          <w:b/>
          <w:color w:val="auto"/>
          <w:kern w:val="2"/>
          <w:sz w:val="24"/>
          <w:szCs w:val="24"/>
          <w:highlight w:val="none"/>
          <w:lang w:val="en-US" w:eastAsia="zh-CN" w:bidi="ar-SA"/>
        </w:rPr>
        <w:t>3.未能修复缺陷或损害的赔偿</w:t>
      </w:r>
    </w:p>
    <w:p w14:paraId="38CA24B9">
      <w:pPr>
        <w:keepNext w:val="0"/>
        <w:keepLines w:val="0"/>
        <w:pageBreakBefore w:val="0"/>
        <w:widowControl w:val="0"/>
        <w:tabs>
          <w:tab w:val="left" w:pos="142"/>
        </w:tabs>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textAlignment w:val="baseline"/>
        <w:rPr>
          <w:rFonts w:hint="eastAsia"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color w:val="auto"/>
          <w:kern w:val="0"/>
          <w:sz w:val="24"/>
          <w:szCs w:val="24"/>
          <w:highlight w:val="none"/>
        </w:rPr>
        <w:t>如果为符合</w:t>
      </w:r>
      <w:r>
        <w:rPr>
          <w:rFonts w:hint="default" w:ascii="Times New Roman" w:hAnsi="Times New Roman" w:eastAsia="方正仿宋_GBK" w:cs="Times New Roman"/>
          <w:color w:val="auto"/>
          <w:kern w:val="0"/>
          <w:sz w:val="24"/>
          <w:szCs w:val="24"/>
          <w:highlight w:val="none"/>
          <w:lang w:val="en-US" w:eastAsia="zh-CN"/>
        </w:rPr>
        <w:t>本协议</w:t>
      </w:r>
      <w:r>
        <w:rPr>
          <w:rFonts w:hint="default" w:ascii="Times New Roman" w:hAnsi="Times New Roman" w:eastAsia="方正仿宋_GBK" w:cs="Times New Roman"/>
          <w:color w:val="auto"/>
          <w:kern w:val="0"/>
          <w:sz w:val="24"/>
          <w:szCs w:val="24"/>
          <w:highlight w:val="none"/>
        </w:rPr>
        <w:t>约定的标准所需进行的对本项目设施缺陷或损害及/或环境污染责任的修复无法实施或不合理地增加负担或过于昂贵</w:t>
      </w:r>
      <w:r>
        <w:rPr>
          <w:rFonts w:hint="eastAsia" w:ascii="Times New Roman" w:hAnsi="Times New Roman" w:eastAsia="方正仿宋_GBK" w:cs="Times New Roman"/>
          <w:color w:val="auto"/>
          <w:kern w:val="0"/>
          <w:sz w:val="24"/>
          <w:szCs w:val="24"/>
          <w:highlight w:val="none"/>
          <w:lang w:eastAsia="zh-CN"/>
        </w:rPr>
        <w:t>，</w:t>
      </w:r>
      <w:r>
        <w:rPr>
          <w:rFonts w:hint="default" w:ascii="Times New Roman" w:hAnsi="Times New Roman" w:eastAsia="方正仿宋_GBK" w:cs="Times New Roman"/>
          <w:color w:val="auto"/>
          <w:kern w:val="0"/>
          <w:sz w:val="24"/>
          <w:szCs w:val="24"/>
          <w:highlight w:val="none"/>
        </w:rPr>
        <w:t>则甲方有权因本项目的性能指标降低而获得补偿，并可选择扣除或提取移交履约担保的方式实现上述补偿</w:t>
      </w:r>
      <w:r>
        <w:rPr>
          <w:rFonts w:hint="default" w:ascii="Times New Roman" w:hAnsi="Times New Roman" w:eastAsia="方正仿宋_GBK" w:cs="Times New Roman"/>
          <w:color w:val="auto"/>
          <w:kern w:val="0"/>
          <w:sz w:val="24"/>
          <w:szCs w:val="24"/>
          <w:highlight w:val="none"/>
          <w:lang w:eastAsia="zh-CN"/>
        </w:rPr>
        <w:t>。</w:t>
      </w:r>
    </w:p>
    <w:p w14:paraId="497EE30C">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480" w:firstLineChars="200"/>
        <w:outlineLvl w:val="2"/>
        <w:rPr>
          <w:rFonts w:hint="eastAsia" w:ascii="Times New Roman" w:hAnsi="Times New Roman" w:eastAsia="方正仿宋_GBK" w:cs="Times New Roman"/>
          <w:b/>
          <w:caps w:val="0"/>
          <w:smallCaps w:val="0"/>
          <w:color w:val="auto"/>
          <w:kern w:val="2"/>
          <w:sz w:val="24"/>
          <w:szCs w:val="24"/>
          <w:highlight w:val="none"/>
          <w:lang w:val="en-US" w:eastAsia="zh-CN" w:bidi="ar-SA"/>
        </w:rPr>
      </w:pPr>
      <w:bookmarkStart w:id="429" w:name="_Hlk162598558"/>
      <w:r>
        <w:rPr>
          <w:rFonts w:hint="default" w:ascii="Times New Roman" w:hAnsi="Times New Roman" w:eastAsia="方正仿宋_GBK" w:cs="Times New Roman"/>
          <w:b/>
          <w:caps w:val="0"/>
          <w:smallCaps w:val="0"/>
          <w:color w:val="auto"/>
          <w:kern w:val="2"/>
          <w:sz w:val="24"/>
          <w:szCs w:val="24"/>
          <w:highlight w:val="none"/>
          <w:lang w:val="en-US" w:eastAsia="zh-CN" w:bidi="ar-SA"/>
        </w:rPr>
        <w:t>4.</w:t>
      </w:r>
      <w:r>
        <w:rPr>
          <w:rFonts w:hint="eastAsia" w:ascii="Times New Roman" w:hAnsi="Times New Roman" w:eastAsia="方正仿宋_GBK" w:cs="Times New Roman"/>
          <w:b/>
          <w:caps w:val="0"/>
          <w:smallCaps w:val="0"/>
          <w:color w:val="auto"/>
          <w:kern w:val="2"/>
          <w:sz w:val="24"/>
          <w:szCs w:val="24"/>
          <w:highlight w:val="none"/>
          <w:lang w:val="en-US" w:eastAsia="zh-CN" w:bidi="ar-SA"/>
        </w:rPr>
        <w:t>移交</w:t>
      </w:r>
      <w:r>
        <w:rPr>
          <w:rFonts w:hint="default" w:ascii="Times New Roman" w:hAnsi="Times New Roman" w:eastAsia="方正仿宋_GBK" w:cs="Times New Roman"/>
          <w:b/>
          <w:caps w:val="0"/>
          <w:smallCaps w:val="0"/>
          <w:color w:val="auto"/>
          <w:kern w:val="2"/>
          <w:sz w:val="24"/>
          <w:szCs w:val="24"/>
          <w:highlight w:val="none"/>
          <w:lang w:val="en-US" w:eastAsia="zh-CN" w:bidi="ar-SA"/>
        </w:rPr>
        <w:t>履约担保</w:t>
      </w:r>
    </w:p>
    <w:bookmarkEnd w:id="429"/>
    <w:p w14:paraId="630554DA">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（1）</w:t>
      </w:r>
      <w:r>
        <w:rPr>
          <w:rFonts w:hint="default" w:ascii="Times New Roman" w:hAnsi="Times New Roman" w:eastAsia="方正仿宋_GBK"/>
          <w:caps w:val="0"/>
          <w:smallCaps w:val="0"/>
          <w:color w:val="auto"/>
          <w:kern w:val="0"/>
          <w:sz w:val="24"/>
          <w:szCs w:val="24"/>
          <w:highlight w:val="none"/>
        </w:rPr>
        <w:t>在本项目移交日前</w:t>
      </w:r>
      <w:r>
        <w:rPr>
          <w:rFonts w:hint="eastAsia" w:ascii="Times New Roman" w:hAnsi="Times New Roman" w:eastAsia="方正仿宋_GBK"/>
          <w:caps w:val="0"/>
          <w:smallCaps w:val="0"/>
          <w:color w:val="auto"/>
          <w:kern w:val="0"/>
          <w:sz w:val="24"/>
          <w:szCs w:val="24"/>
          <w:highlight w:val="none"/>
          <w:lang w:val="en-US" w:eastAsia="zh-CN"/>
        </w:rPr>
        <w:t>12个月内</w:t>
      </w:r>
      <w:r>
        <w:rPr>
          <w:rFonts w:hint="default" w:ascii="Times New Roman" w:hAnsi="Times New Roman" w:eastAsia="方正仿宋_GBK"/>
          <w:caps w:val="0"/>
          <w:smallCaps w:val="0"/>
          <w:color w:val="auto"/>
          <w:kern w:val="0"/>
          <w:sz w:val="24"/>
          <w:szCs w:val="24"/>
          <w:highlight w:val="none"/>
        </w:rPr>
        <w:t>，乙方须按本</w:t>
      </w:r>
      <w:r>
        <w:rPr>
          <w:rFonts w:hint="eastAsia" w:ascii="Times New Roman" w:hAnsi="Times New Roman" w:eastAsia="方正仿宋_GBK"/>
          <w:caps w:val="0"/>
          <w:smallCaps w:val="0"/>
          <w:color w:val="auto"/>
          <w:kern w:val="0"/>
          <w:sz w:val="24"/>
          <w:szCs w:val="24"/>
          <w:highlight w:val="none"/>
        </w:rPr>
        <w:t>协议</w:t>
      </w:r>
      <w:r>
        <w:rPr>
          <w:rFonts w:hint="default" w:ascii="Times New Roman" w:hAnsi="Times New Roman" w:eastAsia="方正仿宋_GBK"/>
          <w:caps w:val="0"/>
          <w:smallCaps w:val="0"/>
          <w:color w:val="auto"/>
          <w:kern w:val="0"/>
          <w:sz w:val="24"/>
          <w:szCs w:val="24"/>
          <w:highlight w:val="none"/>
        </w:rPr>
        <w:t>的格式或甲方同意的其他格式向甲方提交一份由金融机构开具的移交</w:t>
      </w:r>
      <w:r>
        <w:rPr>
          <w:rFonts w:hint="eastAsia" w:ascii="Times New Roman" w:hAnsi="Times New Roman" w:eastAsia="方正仿宋_GBK"/>
          <w:caps w:val="0"/>
          <w:smallCaps w:val="0"/>
          <w:color w:val="auto"/>
          <w:kern w:val="0"/>
          <w:sz w:val="24"/>
          <w:szCs w:val="24"/>
          <w:highlight w:val="none"/>
        </w:rPr>
        <w:t>履约</w:t>
      </w:r>
      <w:r>
        <w:rPr>
          <w:rFonts w:hint="default" w:ascii="Times New Roman" w:hAnsi="Times New Roman" w:eastAsia="方正仿宋_GBK"/>
          <w:caps w:val="0"/>
          <w:smallCaps w:val="0"/>
          <w:color w:val="auto"/>
          <w:kern w:val="0"/>
          <w:sz w:val="24"/>
          <w:szCs w:val="24"/>
          <w:highlight w:val="none"/>
        </w:rPr>
        <w:t>保函，专门用以保障项目正常移交</w:t>
      </w:r>
      <w:r>
        <w:rPr>
          <w:rFonts w:hint="eastAsia" w:ascii="Times New Roman" w:hAnsi="Times New Roman" w:eastAsia="方正仿宋_GBK"/>
          <w:caps w:val="0"/>
          <w:smallCaps w:val="0"/>
          <w:color w:val="auto"/>
          <w:kern w:val="0"/>
          <w:sz w:val="24"/>
          <w:szCs w:val="24"/>
          <w:highlight w:val="none"/>
        </w:rPr>
        <w:t>；该</w:t>
      </w:r>
      <w:r>
        <w:rPr>
          <w:rFonts w:hint="default" w:ascii="Times New Roman" w:hAnsi="Times New Roman" w:eastAsia="方正仿宋_GBK"/>
          <w:caps w:val="0"/>
          <w:smallCaps w:val="0"/>
          <w:color w:val="auto"/>
          <w:kern w:val="0"/>
          <w:sz w:val="24"/>
          <w:szCs w:val="24"/>
          <w:highlight w:val="none"/>
        </w:rPr>
        <w:t>保函的金额为人民币</w:t>
      </w:r>
      <w:r>
        <w:rPr>
          <w:rFonts w:hint="eastAsia" w:ascii="Times New Roman" w:hAnsi="Times New Roman" w:eastAsia="方正仿宋_GBK"/>
          <w:caps w:val="0"/>
          <w:smallCaps w:val="0"/>
          <w:color w:val="auto"/>
          <w:kern w:val="0"/>
          <w:sz w:val="24"/>
          <w:szCs w:val="24"/>
          <w:highlight w:val="none"/>
          <w:lang w:val="en-US" w:eastAsia="zh-CN"/>
        </w:rPr>
        <w:t>壹仟万</w:t>
      </w:r>
      <w:r>
        <w:rPr>
          <w:rFonts w:hint="default" w:ascii="Times New Roman" w:hAnsi="Times New Roman" w:eastAsia="方正仿宋_GBK"/>
          <w:caps w:val="0"/>
          <w:smallCaps w:val="0"/>
          <w:color w:val="auto"/>
          <w:kern w:val="0"/>
          <w:sz w:val="24"/>
          <w:szCs w:val="24"/>
          <w:highlight w:val="none"/>
        </w:rPr>
        <w:t>元。</w:t>
      </w:r>
    </w:p>
    <w:p w14:paraId="6DB87079">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（2）</w:t>
      </w:r>
      <w:r>
        <w:rPr>
          <w:rFonts w:hint="default" w:ascii="Times New Roman" w:hAnsi="Times New Roman" w:eastAsia="方正仿宋_GBK"/>
          <w:caps w:val="0"/>
          <w:smallCaps w:val="0"/>
          <w:color w:val="auto"/>
          <w:kern w:val="0"/>
          <w:sz w:val="24"/>
          <w:szCs w:val="24"/>
          <w:highlight w:val="none"/>
        </w:rPr>
        <w:t>该保函有效期须至项目移交后</w:t>
      </w:r>
      <w:r>
        <w:rPr>
          <w:rFonts w:hint="eastAsia" w:ascii="Times New Roman" w:hAnsi="Times New Roman" w:eastAsia="方正仿宋_GBK"/>
          <w:caps w:val="0"/>
          <w:smallCaps w:val="0"/>
          <w:color w:val="auto"/>
          <w:kern w:val="0"/>
          <w:sz w:val="24"/>
          <w:szCs w:val="24"/>
          <w:highlight w:val="none"/>
          <w:lang w:val="en-US" w:eastAsia="zh-CN"/>
        </w:rPr>
        <w:t>12</w:t>
      </w:r>
      <w:r>
        <w:rPr>
          <w:rFonts w:hint="default" w:ascii="Times New Roman" w:hAnsi="Times New Roman" w:eastAsia="方正仿宋_GBK"/>
          <w:caps w:val="0"/>
          <w:smallCaps w:val="0"/>
          <w:color w:val="auto"/>
          <w:kern w:val="0"/>
          <w:sz w:val="24"/>
          <w:szCs w:val="24"/>
          <w:highlight w:val="none"/>
        </w:rPr>
        <w:t>个月，移交委员会或甲方有权根据项目实际情况延长至不超过</w:t>
      </w:r>
      <w:r>
        <w:rPr>
          <w:rFonts w:hint="eastAsia" w:ascii="Times New Roman" w:hAnsi="Times New Roman" w:eastAsia="方正仿宋_GBK"/>
          <w:caps w:val="0"/>
          <w:smallCaps w:val="0"/>
          <w:color w:val="auto"/>
          <w:kern w:val="0"/>
          <w:sz w:val="24"/>
          <w:szCs w:val="24"/>
          <w:highlight w:val="none"/>
          <w:u w:val="single"/>
          <w:lang w:val="en-US" w:eastAsia="zh-CN"/>
        </w:rPr>
        <w:t>6</w:t>
      </w:r>
      <w:r>
        <w:rPr>
          <w:rFonts w:hint="default" w:ascii="Times New Roman" w:hAnsi="Times New Roman" w:eastAsia="方正仿宋_GBK"/>
          <w:caps w:val="0"/>
          <w:smallCaps w:val="0"/>
          <w:color w:val="auto"/>
          <w:kern w:val="0"/>
          <w:sz w:val="24"/>
          <w:szCs w:val="24"/>
          <w:highlight w:val="none"/>
        </w:rPr>
        <w:t>个月。该保函除本</w:t>
      </w:r>
      <w:r>
        <w:rPr>
          <w:rFonts w:hint="eastAsia" w:ascii="Times New Roman" w:hAnsi="Times New Roman" w:eastAsia="方正仿宋_GBK"/>
          <w:caps w:val="0"/>
          <w:smallCaps w:val="0"/>
          <w:color w:val="auto"/>
          <w:kern w:val="0"/>
          <w:sz w:val="24"/>
          <w:szCs w:val="24"/>
          <w:highlight w:val="none"/>
        </w:rPr>
        <w:t>协议</w:t>
      </w:r>
      <w:r>
        <w:rPr>
          <w:rFonts w:hint="default" w:ascii="Times New Roman" w:hAnsi="Times New Roman" w:eastAsia="方正仿宋_GBK"/>
          <w:caps w:val="0"/>
          <w:smallCaps w:val="0"/>
          <w:color w:val="auto"/>
          <w:kern w:val="0"/>
          <w:sz w:val="24"/>
          <w:szCs w:val="24"/>
          <w:highlight w:val="none"/>
        </w:rPr>
        <w:t>约定外的其他要求和兑取条件等事项由移交委员会届时确定。</w:t>
      </w:r>
    </w:p>
    <w:p w14:paraId="5B37E102">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aps w:val="0"/>
          <w:smallCaps w:val="0"/>
          <w:color w:val="auto"/>
          <w:kern w:val="0"/>
          <w:sz w:val="28"/>
          <w:szCs w:val="32"/>
          <w:highlight w:val="none"/>
        </w:rPr>
      </w:pPr>
      <w:r>
        <w:rPr>
          <w:rFonts w:hint="eastAsia" w:ascii="Times New Roman" w:hAnsi="Times New Roman" w:eastAsia="方正仿宋_GBK"/>
          <w:caps w:val="0"/>
          <w:smallCaps w:val="0"/>
          <w:color w:val="auto"/>
          <w:kern w:val="0"/>
          <w:sz w:val="24"/>
          <w:szCs w:val="24"/>
          <w:highlight w:val="none"/>
        </w:rPr>
        <w:t>（3）</w:t>
      </w:r>
      <w:r>
        <w:rPr>
          <w:rFonts w:hint="default" w:ascii="Times New Roman" w:hAnsi="Times New Roman" w:eastAsia="方正仿宋_GBK"/>
          <w:caps w:val="0"/>
          <w:smallCaps w:val="0"/>
          <w:color w:val="auto"/>
          <w:kern w:val="0"/>
          <w:sz w:val="24"/>
          <w:szCs w:val="24"/>
          <w:highlight w:val="none"/>
        </w:rPr>
        <w:t>项目移交结</w:t>
      </w:r>
      <w:r>
        <w:rPr>
          <w:rFonts w:hint="eastAsia" w:ascii="Times New Roman" w:hAnsi="Times New Roman" w:eastAsia="方正仿宋_GBK"/>
          <w:caps w:val="0"/>
          <w:smallCaps w:val="0"/>
          <w:color w:val="auto"/>
          <w:kern w:val="0"/>
          <w:sz w:val="24"/>
          <w:szCs w:val="24"/>
          <w:highlight w:val="none"/>
          <w:lang w:eastAsia="zh-CN"/>
        </w:rPr>
        <w:t>束后</w:t>
      </w:r>
      <w:r>
        <w:rPr>
          <w:rFonts w:hint="default" w:ascii="Times New Roman" w:hAnsi="Times New Roman" w:eastAsia="方正仿宋_GBK"/>
          <w:caps w:val="0"/>
          <w:smallCaps w:val="0"/>
          <w:color w:val="auto"/>
          <w:kern w:val="0"/>
          <w:sz w:val="24"/>
          <w:szCs w:val="24"/>
          <w:highlight w:val="none"/>
        </w:rPr>
        <w:t>，甲方有权从保函中直接兑取因乙方违约造成的直接或间接损失所对应的金额</w:t>
      </w:r>
      <w:r>
        <w:rPr>
          <w:rFonts w:hint="eastAsia" w:ascii="Times New Roman" w:hAnsi="Times New Roman" w:eastAsia="方正仿宋_GBK"/>
          <w:caps w:val="0"/>
          <w:smallCaps w:val="0"/>
          <w:color w:val="auto"/>
          <w:kern w:val="0"/>
          <w:sz w:val="24"/>
          <w:szCs w:val="24"/>
          <w:highlight w:val="none"/>
        </w:rPr>
        <w:t>。</w:t>
      </w:r>
    </w:p>
    <w:p w14:paraId="5CD16310">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430" w:name="_Toc405146871"/>
      <w:bookmarkStart w:id="431" w:name="_Toc16060"/>
      <w:bookmarkStart w:id="432" w:name="_Toc30947"/>
      <w:bookmarkStart w:id="433" w:name="_Toc692051698"/>
      <w:r>
        <w:rPr>
          <w:rFonts w:hint="eastAsia" w:ascii="Times New Roman" w:hAnsi="Times New Roman" w:eastAsia="方正黑体_GBK" w:cs="方正黑体_GBK"/>
          <w:bCs/>
          <w:caps w:val="0"/>
          <w:smallCaps w:val="0"/>
          <w:color w:val="auto"/>
          <w:kern w:val="2"/>
          <w:sz w:val="28"/>
          <w:szCs w:val="28"/>
          <w:highlight w:val="none"/>
          <w:lang w:val="en-US" w:eastAsia="zh-CN" w:bidi="ar-SA"/>
        </w:rPr>
        <w:t>第60条 项目设施移交</w:t>
      </w:r>
      <w:bookmarkEnd w:id="430"/>
      <w:r>
        <w:rPr>
          <w:rFonts w:hint="eastAsia" w:ascii="Times New Roman" w:hAnsi="Times New Roman" w:eastAsia="方正黑体_GBK" w:cs="方正黑体_GBK"/>
          <w:bCs/>
          <w:caps w:val="0"/>
          <w:smallCaps w:val="0"/>
          <w:color w:val="auto"/>
          <w:kern w:val="2"/>
          <w:sz w:val="28"/>
          <w:szCs w:val="28"/>
          <w:highlight w:val="none"/>
          <w:lang w:val="en-US" w:eastAsia="zh-CN" w:bidi="ar-SA"/>
        </w:rPr>
        <w:t>其他事项</w:t>
      </w:r>
      <w:bookmarkEnd w:id="431"/>
      <w:bookmarkEnd w:id="432"/>
      <w:bookmarkEnd w:id="433"/>
    </w:p>
    <w:p w14:paraId="6801F2C7">
      <w:pPr>
        <w:numPr>
          <w:ilvl w:val="2"/>
          <w:numId w:val="0"/>
        </w:numPr>
        <w:adjustRightInd w:val="0"/>
        <w:snapToGrid w:val="0"/>
        <w:spacing w:before="0" w:beforeLines="0" w:after="0" w:afterLines="0" w:line="360" w:lineRule="auto"/>
        <w:ind w:firstLine="480" w:firstLineChars="200"/>
        <w:outlineLvl w:val="2"/>
        <w:rPr>
          <w:rFonts w:ascii="Times New Roman" w:hAnsi="Times New Roman" w:eastAsia="方正仿宋_GBK" w:cs="Times New Roman"/>
          <w:b/>
          <w:color w:val="auto"/>
          <w:kern w:val="2"/>
          <w:sz w:val="24"/>
          <w:szCs w:val="24"/>
          <w:highlight w:val="none"/>
          <w:lang w:val="en-US" w:eastAsia="zh-CN" w:bidi="ar-SA"/>
        </w:rPr>
      </w:pPr>
      <w:r>
        <w:rPr>
          <w:rFonts w:hint="default" w:ascii="Times New Roman" w:hAnsi="Times New Roman" w:eastAsia="方正仿宋_GBK" w:cs="Times New Roman"/>
          <w:b/>
          <w:color w:val="auto"/>
          <w:kern w:val="2"/>
          <w:sz w:val="24"/>
          <w:szCs w:val="24"/>
          <w:highlight w:val="none"/>
          <w:lang w:val="en-US" w:eastAsia="zh-CN" w:bidi="ar-SA"/>
        </w:rPr>
        <w:t>1.移走乙方相关的物品</w:t>
      </w:r>
    </w:p>
    <w:p w14:paraId="069930FB">
      <w:pPr>
        <w:tabs>
          <w:tab w:val="left" w:pos="142"/>
        </w:tabs>
        <w:autoSpaceDE w:val="0"/>
        <w:autoSpaceDN w:val="0"/>
        <w:adjustRightInd w:val="0"/>
        <w:snapToGrid w:val="0"/>
        <w:spacing w:before="0" w:beforeLines="0" w:after="0" w:afterLines="0" w:line="360" w:lineRule="auto"/>
        <w:ind w:firstLine="480" w:firstLineChars="0"/>
        <w:textAlignment w:val="baseline"/>
        <w:rPr>
          <w:rFonts w:hint="eastAsia" w:ascii="Times New Roman" w:hAnsi="Times New Roman" w:eastAsia="方正仿宋_GBK" w:cs="Times New Roman"/>
          <w:color w:val="auto"/>
          <w:kern w:val="0"/>
          <w:sz w:val="24"/>
          <w:szCs w:val="24"/>
          <w:highlight w:val="none"/>
        </w:rPr>
      </w:pPr>
      <w:r>
        <w:rPr>
          <w:rFonts w:hint="eastAsia" w:ascii="Times New Roman" w:hAnsi="Times New Roman" w:eastAsia="方正仿宋_GBK" w:cs="Times New Roman"/>
          <w:color w:val="auto"/>
          <w:kern w:val="0"/>
          <w:sz w:val="24"/>
          <w:szCs w:val="24"/>
          <w:highlight w:val="none"/>
        </w:rPr>
        <w:t>除非双方另有约定，乙方应于移交日后</w:t>
      </w:r>
      <w:r>
        <w:rPr>
          <w:rFonts w:hint="eastAsia" w:ascii="Times New Roman" w:hAnsi="Times New Roman" w:eastAsia="方正仿宋_GBK" w:cs="Times New Roman"/>
          <w:b w:val="0"/>
          <w:color w:val="auto"/>
          <w:kern w:val="0"/>
          <w:sz w:val="24"/>
          <w:szCs w:val="24"/>
          <w:highlight w:val="none"/>
          <w:u w:val="none"/>
          <w:lang w:eastAsia="zh-CN"/>
        </w:rPr>
        <w:t>3</w:t>
      </w:r>
      <w:r>
        <w:rPr>
          <w:rFonts w:hint="eastAsia" w:ascii="Times New Roman" w:hAnsi="Times New Roman" w:eastAsia="方正仿宋_GBK" w:cs="Times New Roman"/>
          <w:b w:val="0"/>
          <w:color w:val="auto"/>
          <w:kern w:val="0"/>
          <w:sz w:val="24"/>
          <w:szCs w:val="24"/>
          <w:highlight w:val="none"/>
          <w:u w:val="none"/>
          <w:lang w:val="en-US" w:eastAsia="zh-CN"/>
        </w:rPr>
        <w:t>0</w:t>
      </w:r>
      <w:r>
        <w:rPr>
          <w:rFonts w:hint="eastAsia" w:ascii="Times New Roman" w:hAnsi="Times New Roman" w:eastAsia="方正仿宋_GBK" w:cs="Times New Roman"/>
          <w:color w:val="auto"/>
          <w:kern w:val="0"/>
          <w:sz w:val="24"/>
          <w:szCs w:val="24"/>
          <w:highlight w:val="none"/>
        </w:rPr>
        <w:t>日内，自费从场地移走仅限于乙方员工的个人用品以及与本项目运营维护无关的物品，不包括移交清单所列的项目设备、备品备件、技术资料或者项目设施运营维护的必需物品。如果乙方在上述时间内没有移走这些物品，甲方在通知乙方后，可以移走并将物品转运至适当的地点以便安全保管。乙方应承担搬移、运输和保管的合理费用和风险。</w:t>
      </w:r>
    </w:p>
    <w:p w14:paraId="51AE5B52">
      <w:pPr>
        <w:numPr>
          <w:ilvl w:val="2"/>
          <w:numId w:val="0"/>
        </w:numPr>
        <w:adjustRightInd w:val="0"/>
        <w:snapToGrid w:val="0"/>
        <w:spacing w:before="0" w:beforeLines="0" w:after="0" w:afterLines="0" w:line="360" w:lineRule="auto"/>
        <w:ind w:firstLine="480" w:firstLineChars="200"/>
        <w:outlineLvl w:val="2"/>
        <w:rPr>
          <w:rFonts w:ascii="Times New Roman" w:hAnsi="Times New Roman" w:eastAsia="方正仿宋_GBK" w:cs="Times New Roman"/>
          <w:b/>
          <w:color w:val="auto"/>
          <w:kern w:val="2"/>
          <w:sz w:val="24"/>
          <w:szCs w:val="24"/>
          <w:highlight w:val="none"/>
          <w:lang w:val="en-US" w:eastAsia="zh-CN" w:bidi="ar-SA"/>
        </w:rPr>
      </w:pPr>
      <w:r>
        <w:rPr>
          <w:rFonts w:hint="default" w:ascii="Times New Roman" w:hAnsi="Times New Roman" w:eastAsia="方正仿宋_GBK" w:cs="Times New Roman"/>
          <w:b/>
          <w:color w:val="auto"/>
          <w:kern w:val="2"/>
          <w:sz w:val="24"/>
          <w:szCs w:val="24"/>
          <w:highlight w:val="none"/>
          <w:lang w:val="en-US" w:eastAsia="zh-CN" w:bidi="ar-SA"/>
        </w:rPr>
        <w:t>2.风险转移</w:t>
      </w:r>
    </w:p>
    <w:p w14:paraId="2C7A6973">
      <w:pPr>
        <w:tabs>
          <w:tab w:val="left" w:pos="142"/>
        </w:tabs>
        <w:autoSpaceDE w:val="0"/>
        <w:autoSpaceDN w:val="0"/>
        <w:adjustRightInd w:val="0"/>
        <w:snapToGrid w:val="0"/>
        <w:spacing w:before="0" w:beforeLines="0" w:after="0" w:afterLines="0" w:line="360" w:lineRule="auto"/>
        <w:ind w:firstLine="480" w:firstLineChars="0"/>
        <w:textAlignment w:val="baseline"/>
        <w:rPr>
          <w:rFonts w:hint="eastAsia" w:ascii="Times New Roman" w:hAnsi="Times New Roman" w:eastAsia="方正仿宋_GBK" w:cs="Times New Roman"/>
          <w:color w:val="auto"/>
          <w:kern w:val="0"/>
          <w:sz w:val="24"/>
          <w:szCs w:val="24"/>
          <w:highlight w:val="none"/>
        </w:rPr>
      </w:pPr>
      <w:r>
        <w:rPr>
          <w:rFonts w:hint="eastAsia" w:ascii="Times New Roman" w:hAnsi="Times New Roman" w:eastAsia="方正仿宋_GBK" w:cs="Times New Roman"/>
          <w:color w:val="auto"/>
          <w:kern w:val="0"/>
          <w:sz w:val="24"/>
          <w:szCs w:val="24"/>
          <w:highlight w:val="none"/>
        </w:rPr>
        <w:t>乙方应承担移交日前项目设施的全部或部分损失或损坏的风险，除非损失或损坏是不可抗力或由甲方的违约所致。自移交日起，项目设施损失的风险由接收人承担。</w:t>
      </w:r>
    </w:p>
    <w:p w14:paraId="2A0EF0F9">
      <w:pPr>
        <w:numPr>
          <w:ilvl w:val="2"/>
          <w:numId w:val="0"/>
        </w:numPr>
        <w:adjustRightInd w:val="0"/>
        <w:snapToGrid w:val="0"/>
        <w:spacing w:before="0" w:beforeLines="0" w:after="0" w:afterLines="0" w:line="360" w:lineRule="auto"/>
        <w:ind w:firstLine="480" w:firstLineChars="200"/>
        <w:outlineLvl w:val="2"/>
        <w:rPr>
          <w:rFonts w:ascii="Times New Roman" w:hAnsi="Times New Roman" w:eastAsia="方正仿宋_GBK" w:cs="Times New Roman"/>
          <w:b/>
          <w:color w:val="auto"/>
          <w:kern w:val="2"/>
          <w:sz w:val="24"/>
          <w:szCs w:val="24"/>
          <w:highlight w:val="none"/>
          <w:lang w:val="en-US" w:eastAsia="zh-CN" w:bidi="ar-SA"/>
        </w:rPr>
      </w:pPr>
      <w:r>
        <w:rPr>
          <w:rFonts w:hint="eastAsia" w:ascii="Times New Roman" w:hAnsi="Times New Roman" w:eastAsia="方正仿宋_GBK" w:cs="Times New Roman"/>
          <w:b/>
          <w:color w:val="auto"/>
          <w:kern w:val="2"/>
          <w:sz w:val="24"/>
          <w:szCs w:val="24"/>
          <w:highlight w:val="none"/>
          <w:lang w:val="en-US" w:eastAsia="zh-CN" w:bidi="ar-SA"/>
        </w:rPr>
        <w:t>3.</w:t>
      </w:r>
      <w:r>
        <w:rPr>
          <w:rFonts w:hint="default" w:ascii="Times New Roman" w:hAnsi="Times New Roman" w:eastAsia="方正仿宋_GBK" w:cs="Times New Roman"/>
          <w:b/>
          <w:color w:val="auto"/>
          <w:kern w:val="2"/>
          <w:sz w:val="24"/>
          <w:szCs w:val="24"/>
          <w:highlight w:val="none"/>
          <w:lang w:val="en-US" w:eastAsia="zh-CN" w:bidi="ar-SA"/>
        </w:rPr>
        <w:t>移交费用和批准</w:t>
      </w:r>
    </w:p>
    <w:p w14:paraId="2D27F32B">
      <w:pPr>
        <w:tabs>
          <w:tab w:val="left" w:pos="142"/>
        </w:tabs>
        <w:autoSpaceDE w:val="0"/>
        <w:autoSpaceDN w:val="0"/>
        <w:adjustRightInd w:val="0"/>
        <w:snapToGrid w:val="0"/>
        <w:spacing w:before="0" w:beforeLines="0" w:after="0" w:afterLines="0" w:line="360" w:lineRule="auto"/>
        <w:ind w:firstLine="480" w:firstLineChars="0"/>
        <w:textAlignment w:val="baseline"/>
        <w:rPr>
          <w:rFonts w:hint="default" w:ascii="仿宋" w:hAnsi="仿宋" w:eastAsia="仿宋"/>
          <w:color w:val="auto"/>
          <w:kern w:val="2"/>
          <w:sz w:val="24"/>
          <w:szCs w:val="24"/>
          <w:highlight w:val="none"/>
        </w:rPr>
      </w:pPr>
      <w:r>
        <w:rPr>
          <w:rFonts w:hint="eastAsia" w:ascii="仿宋" w:hAnsi="仿宋" w:eastAsia="仿宋"/>
          <w:color w:val="auto"/>
          <w:kern w:val="2"/>
          <w:sz w:val="24"/>
          <w:szCs w:val="24"/>
          <w:highlight w:val="none"/>
        </w:rPr>
        <w:t>甲方及乙方应负责各自的因移交和转让发生的费用。甲方应自费获得所有的批准或使之生效，并采取其他</w:t>
      </w:r>
      <w:r>
        <w:rPr>
          <w:rFonts w:hint="eastAsia" w:ascii="Times New Roman" w:hAnsi="Times New Roman" w:eastAsia="方正仿宋_GBK" w:cs="Times New Roman"/>
          <w:color w:val="auto"/>
          <w:kern w:val="0"/>
          <w:sz w:val="24"/>
          <w:szCs w:val="24"/>
          <w:highlight w:val="none"/>
        </w:rPr>
        <w:t>可能</w:t>
      </w:r>
      <w:r>
        <w:rPr>
          <w:rFonts w:hint="eastAsia" w:ascii="仿宋" w:hAnsi="仿宋" w:eastAsia="仿宋"/>
          <w:color w:val="auto"/>
          <w:kern w:val="2"/>
          <w:sz w:val="24"/>
          <w:szCs w:val="24"/>
          <w:highlight w:val="none"/>
        </w:rPr>
        <w:t>为</w:t>
      </w:r>
      <w:r>
        <w:rPr>
          <w:rFonts w:hint="eastAsia" w:ascii="Times New Roman" w:hAnsi="Times New Roman" w:eastAsia="方正仿宋_GBK" w:cs="Times New Roman"/>
          <w:color w:val="auto"/>
          <w:kern w:val="0"/>
          <w:sz w:val="24"/>
          <w:szCs w:val="24"/>
          <w:highlight w:val="none"/>
        </w:rPr>
        <w:t>移交</w:t>
      </w:r>
      <w:r>
        <w:rPr>
          <w:rFonts w:hint="eastAsia" w:ascii="仿宋" w:hAnsi="仿宋" w:eastAsia="仿宋"/>
          <w:color w:val="auto"/>
          <w:kern w:val="2"/>
          <w:sz w:val="24"/>
          <w:szCs w:val="24"/>
          <w:highlight w:val="none"/>
        </w:rPr>
        <w:t>和转让所必需的行动。如果乙方未按</w:t>
      </w:r>
      <w:r>
        <w:rPr>
          <w:rFonts w:hint="eastAsia" w:ascii="仿宋" w:hAnsi="仿宋" w:eastAsia="仿宋"/>
          <w:color w:val="auto"/>
          <w:kern w:val="2"/>
          <w:sz w:val="24"/>
          <w:szCs w:val="24"/>
          <w:highlight w:val="none"/>
          <w:lang w:eastAsia="zh-CN"/>
        </w:rPr>
        <w:t>本协议</w:t>
      </w:r>
      <w:r>
        <w:rPr>
          <w:rFonts w:hint="eastAsia" w:ascii="仿宋" w:hAnsi="仿宋" w:eastAsia="仿宋"/>
          <w:color w:val="auto"/>
          <w:kern w:val="2"/>
          <w:sz w:val="24"/>
          <w:szCs w:val="24"/>
          <w:highlight w:val="none"/>
        </w:rPr>
        <w:t>约定的范围和内容进行移交，甲方为此发生额外支出或遭受损失的，甲方有权从运维履约担保及移交履约担保中扣除相应的金额。</w:t>
      </w:r>
    </w:p>
    <w:p w14:paraId="3CE7779B">
      <w:pPr>
        <w:widowControl/>
        <w:tabs>
          <w:tab w:val="left" w:pos="142"/>
        </w:tabs>
        <w:autoSpaceDE w:val="0"/>
        <w:autoSpaceDN w:val="0"/>
        <w:adjustRightInd w:val="0"/>
        <w:snapToGrid w:val="0"/>
        <w:spacing w:before="0" w:beforeLines="0" w:after="0" w:afterLines="0" w:line="360" w:lineRule="auto"/>
        <w:ind w:firstLine="480" w:firstLineChars="0"/>
        <w:jc w:val="left"/>
        <w:textAlignment w:val="baseline"/>
        <w:rPr>
          <w:rFonts w:hint="default" w:ascii="仿宋" w:hAnsi="仿宋" w:eastAsia="仿宋"/>
          <w:color w:val="auto"/>
          <w:kern w:val="2"/>
          <w:sz w:val="20"/>
          <w:szCs w:val="28"/>
          <w:highlight w:val="none"/>
          <w:lang w:val="en-US" w:eastAsia="zh-CN"/>
        </w:rPr>
      </w:pPr>
      <w:r>
        <w:rPr>
          <w:rFonts w:hint="eastAsia" w:ascii="仿宋" w:hAnsi="仿宋" w:eastAsia="仿宋"/>
          <w:color w:val="auto"/>
          <w:kern w:val="2"/>
          <w:sz w:val="24"/>
          <w:szCs w:val="24"/>
          <w:highlight w:val="none"/>
        </w:rPr>
        <w:t>与移交和转让有关的税收承担，</w:t>
      </w:r>
      <w:r>
        <w:rPr>
          <w:rFonts w:hint="eastAsia" w:ascii="仿宋" w:hAnsi="仿宋" w:eastAsia="仿宋"/>
          <w:color w:val="auto"/>
          <w:kern w:val="2"/>
          <w:sz w:val="24"/>
          <w:szCs w:val="24"/>
          <w:highlight w:val="none"/>
          <w:lang w:val="en-US" w:eastAsia="zh-CN"/>
        </w:rPr>
        <w:t>按照法定纳税主体原则，谁缴纳谁承担。</w:t>
      </w:r>
    </w:p>
    <w:p w14:paraId="698AF8D9">
      <w:pPr>
        <w:numPr>
          <w:ilvl w:val="2"/>
          <w:numId w:val="0"/>
        </w:numPr>
        <w:adjustRightInd w:val="0"/>
        <w:snapToGrid w:val="0"/>
        <w:spacing w:before="0" w:beforeLines="0" w:after="0" w:afterLines="0" w:line="360" w:lineRule="auto"/>
        <w:ind w:firstLine="480" w:firstLineChars="200"/>
        <w:outlineLvl w:val="2"/>
        <w:rPr>
          <w:rFonts w:hint="default" w:ascii="Times New Roman" w:hAnsi="Times New Roman" w:eastAsia="方正仿宋_GBK" w:cs="Times New Roman"/>
          <w:b/>
          <w:color w:val="auto"/>
          <w:kern w:val="2"/>
          <w:sz w:val="24"/>
          <w:szCs w:val="24"/>
          <w:highlight w:val="none"/>
          <w:lang w:val="en-US" w:eastAsia="zh-CN" w:bidi="ar-SA"/>
        </w:rPr>
      </w:pPr>
      <w:r>
        <w:rPr>
          <w:rFonts w:hint="eastAsia" w:ascii="Times New Roman" w:hAnsi="Times New Roman" w:eastAsia="方正仿宋_GBK" w:cs="Times New Roman"/>
          <w:b/>
          <w:color w:val="auto"/>
          <w:kern w:val="2"/>
          <w:sz w:val="24"/>
          <w:szCs w:val="24"/>
          <w:highlight w:val="none"/>
          <w:lang w:val="en-US" w:eastAsia="zh-CN" w:bidi="ar-SA"/>
        </w:rPr>
        <w:t>4.</w:t>
      </w:r>
      <w:r>
        <w:rPr>
          <w:rFonts w:hint="default" w:ascii="Times New Roman" w:hAnsi="Times New Roman" w:eastAsia="方正仿宋_GBK" w:cs="Times New Roman"/>
          <w:b/>
          <w:color w:val="auto"/>
          <w:kern w:val="2"/>
          <w:sz w:val="24"/>
          <w:szCs w:val="24"/>
          <w:highlight w:val="none"/>
          <w:lang w:val="en-US" w:eastAsia="zh-CN" w:bidi="ar-SA"/>
        </w:rPr>
        <w:t>项目提前终止时的移交</w:t>
      </w:r>
    </w:p>
    <w:p w14:paraId="4597A135">
      <w:pPr>
        <w:tabs>
          <w:tab w:val="left" w:pos="142"/>
        </w:tabs>
        <w:autoSpaceDE w:val="0"/>
        <w:autoSpaceDN w:val="0"/>
        <w:adjustRightInd w:val="0"/>
        <w:snapToGrid w:val="0"/>
        <w:spacing w:before="0" w:beforeLines="0" w:after="0" w:afterLines="0" w:line="360" w:lineRule="auto"/>
        <w:ind w:firstLine="480" w:firstLineChars="200"/>
        <w:textAlignment w:val="baseline"/>
        <w:rPr>
          <w:rFonts w:hint="eastAsia" w:ascii="仿宋" w:hAnsi="仿宋" w:eastAsia="仿宋"/>
          <w:color w:val="auto"/>
          <w:kern w:val="2"/>
          <w:sz w:val="24"/>
          <w:szCs w:val="24"/>
          <w:highlight w:val="none"/>
        </w:rPr>
      </w:pPr>
      <w:r>
        <w:rPr>
          <w:rFonts w:hint="eastAsia" w:ascii="仿宋" w:hAnsi="仿宋" w:eastAsia="仿宋"/>
          <w:color w:val="auto"/>
          <w:kern w:val="2"/>
          <w:sz w:val="24"/>
          <w:szCs w:val="24"/>
          <w:highlight w:val="none"/>
          <w:lang w:eastAsia="zh-CN"/>
        </w:rPr>
        <w:t>特许经营期</w:t>
      </w:r>
      <w:r>
        <w:rPr>
          <w:rFonts w:hint="eastAsia" w:ascii="仿宋" w:hAnsi="仿宋" w:eastAsia="仿宋"/>
          <w:color w:val="auto"/>
          <w:kern w:val="2"/>
          <w:sz w:val="24"/>
          <w:szCs w:val="24"/>
          <w:highlight w:val="none"/>
        </w:rPr>
        <w:t>届满前项目提前终止，乙方向接收人移交项目的，双方参照</w:t>
      </w:r>
      <w:r>
        <w:rPr>
          <w:rFonts w:hint="eastAsia" w:ascii="仿宋" w:hAnsi="仿宋" w:eastAsia="仿宋"/>
          <w:color w:val="auto"/>
          <w:kern w:val="2"/>
          <w:sz w:val="24"/>
          <w:szCs w:val="24"/>
          <w:highlight w:val="none"/>
          <w:lang w:eastAsia="zh-CN"/>
        </w:rPr>
        <w:t>特许经营期</w:t>
      </w:r>
      <w:r>
        <w:rPr>
          <w:rFonts w:hint="eastAsia" w:ascii="仿宋" w:hAnsi="仿宋" w:eastAsia="仿宋"/>
          <w:color w:val="auto"/>
          <w:kern w:val="2"/>
          <w:sz w:val="24"/>
          <w:szCs w:val="24"/>
          <w:highlight w:val="none"/>
        </w:rPr>
        <w:t>届满时移交的相关</w:t>
      </w:r>
      <w:r>
        <w:rPr>
          <w:rFonts w:hint="eastAsia" w:ascii="仿宋" w:hAnsi="仿宋" w:eastAsia="仿宋" w:cs="Times New Roman"/>
          <w:color w:val="auto"/>
          <w:kern w:val="2"/>
          <w:sz w:val="24"/>
          <w:szCs w:val="24"/>
          <w:highlight w:val="none"/>
        </w:rPr>
        <w:t>约定</w:t>
      </w:r>
      <w:r>
        <w:rPr>
          <w:rFonts w:hint="eastAsia" w:ascii="仿宋" w:hAnsi="仿宋" w:eastAsia="仿宋"/>
          <w:color w:val="auto"/>
          <w:kern w:val="2"/>
          <w:sz w:val="24"/>
          <w:szCs w:val="24"/>
          <w:highlight w:val="none"/>
        </w:rPr>
        <w:t>确定项目移交方式、移交程序和移交要求。</w:t>
      </w:r>
    </w:p>
    <w:p w14:paraId="00830AA7">
      <w:pPr>
        <w:numPr>
          <w:ilvl w:val="2"/>
          <w:numId w:val="0"/>
        </w:numPr>
        <w:adjustRightInd w:val="0"/>
        <w:snapToGrid w:val="0"/>
        <w:spacing w:before="0" w:beforeLines="0" w:after="0" w:afterLines="0" w:line="360" w:lineRule="auto"/>
        <w:ind w:firstLine="480" w:firstLineChars="200"/>
        <w:outlineLvl w:val="2"/>
        <w:rPr>
          <w:rFonts w:ascii="Times New Roman" w:hAnsi="Times New Roman" w:eastAsia="方正仿宋_GBK" w:cs="Times New Roman"/>
          <w:b/>
          <w:color w:val="auto"/>
          <w:kern w:val="2"/>
          <w:sz w:val="24"/>
          <w:szCs w:val="24"/>
          <w:highlight w:val="none"/>
          <w:lang w:val="en-US" w:eastAsia="zh-CN" w:bidi="ar-SA"/>
        </w:rPr>
      </w:pPr>
      <w:r>
        <w:rPr>
          <w:rFonts w:hint="eastAsia" w:ascii="Times New Roman" w:hAnsi="Times New Roman" w:eastAsia="方正仿宋_GBK" w:cs="Times New Roman"/>
          <w:b/>
          <w:color w:val="auto"/>
          <w:kern w:val="2"/>
          <w:sz w:val="24"/>
          <w:szCs w:val="24"/>
          <w:highlight w:val="none"/>
          <w:lang w:val="en-US" w:eastAsia="zh-CN" w:bidi="ar-SA"/>
        </w:rPr>
        <w:t>5.本协议</w:t>
      </w:r>
      <w:r>
        <w:rPr>
          <w:rFonts w:hint="default" w:ascii="Times New Roman" w:hAnsi="Times New Roman" w:eastAsia="方正仿宋_GBK" w:cs="Times New Roman"/>
          <w:b/>
          <w:color w:val="auto"/>
          <w:kern w:val="2"/>
          <w:sz w:val="24"/>
          <w:szCs w:val="24"/>
          <w:highlight w:val="none"/>
          <w:lang w:val="en-US" w:eastAsia="zh-CN" w:bidi="ar-SA"/>
        </w:rPr>
        <w:t>移交后的效力</w:t>
      </w:r>
    </w:p>
    <w:p w14:paraId="6CF66BE8">
      <w:pPr>
        <w:tabs>
          <w:tab w:val="left" w:pos="142"/>
        </w:tabs>
        <w:autoSpaceDE w:val="0"/>
        <w:autoSpaceDN w:val="0"/>
        <w:adjustRightInd w:val="0"/>
        <w:snapToGrid w:val="0"/>
        <w:spacing w:before="0" w:beforeLines="0" w:after="0" w:afterLines="0" w:line="360" w:lineRule="auto"/>
        <w:ind w:firstLine="480" w:firstLineChars="200"/>
        <w:textAlignment w:val="baseline"/>
        <w:rPr>
          <w:rFonts w:hint="eastAsia" w:ascii="仿宋" w:hAnsi="仿宋" w:eastAsia="仿宋"/>
          <w:color w:val="auto"/>
          <w:kern w:val="2"/>
          <w:sz w:val="24"/>
          <w:szCs w:val="24"/>
          <w:highlight w:val="none"/>
        </w:rPr>
      </w:pPr>
      <w:r>
        <w:rPr>
          <w:rFonts w:hint="eastAsia" w:ascii="仿宋" w:hAnsi="仿宋" w:eastAsia="仿宋"/>
          <w:color w:val="auto"/>
          <w:kern w:val="2"/>
          <w:sz w:val="24"/>
          <w:szCs w:val="24"/>
          <w:highlight w:val="none"/>
        </w:rPr>
        <w:t>自移交日起，除</w:t>
      </w:r>
      <w:r>
        <w:rPr>
          <w:rFonts w:hint="eastAsia" w:ascii="仿宋" w:hAnsi="仿宋" w:eastAsia="仿宋"/>
          <w:color w:val="auto"/>
          <w:kern w:val="2"/>
          <w:sz w:val="24"/>
          <w:szCs w:val="24"/>
          <w:highlight w:val="none"/>
          <w:lang w:eastAsia="zh-CN"/>
        </w:rPr>
        <w:t>本协议</w:t>
      </w:r>
      <w:r>
        <w:rPr>
          <w:rFonts w:hint="eastAsia" w:ascii="仿宋" w:hAnsi="仿宋" w:eastAsia="仿宋"/>
          <w:color w:val="auto"/>
          <w:kern w:val="2"/>
          <w:sz w:val="24"/>
          <w:szCs w:val="24"/>
          <w:highlight w:val="none"/>
        </w:rPr>
        <w:t>另有</w:t>
      </w:r>
      <w:r>
        <w:rPr>
          <w:rFonts w:hint="eastAsia" w:ascii="Times New Roman" w:hAnsi="Times New Roman" w:eastAsia="方正仿宋_GBK" w:cs="Times New Roman"/>
          <w:color w:val="auto"/>
          <w:kern w:val="0"/>
          <w:sz w:val="24"/>
          <w:szCs w:val="24"/>
          <w:highlight w:val="none"/>
        </w:rPr>
        <w:t>约定</w:t>
      </w:r>
      <w:r>
        <w:rPr>
          <w:rFonts w:hint="eastAsia" w:ascii="仿宋" w:hAnsi="仿宋" w:eastAsia="仿宋"/>
          <w:color w:val="auto"/>
          <w:kern w:val="2"/>
          <w:sz w:val="24"/>
          <w:szCs w:val="24"/>
          <w:highlight w:val="none"/>
        </w:rPr>
        <w:t>外，乙方在</w:t>
      </w:r>
      <w:r>
        <w:rPr>
          <w:rFonts w:hint="eastAsia" w:ascii="仿宋" w:hAnsi="仿宋" w:eastAsia="仿宋"/>
          <w:color w:val="auto"/>
          <w:kern w:val="2"/>
          <w:sz w:val="24"/>
          <w:szCs w:val="24"/>
          <w:highlight w:val="none"/>
          <w:lang w:eastAsia="zh-CN"/>
        </w:rPr>
        <w:t>本协议</w:t>
      </w:r>
      <w:r>
        <w:rPr>
          <w:rFonts w:hint="eastAsia" w:ascii="仿宋" w:hAnsi="仿宋" w:eastAsia="仿宋"/>
          <w:color w:val="auto"/>
          <w:kern w:val="2"/>
          <w:sz w:val="24"/>
          <w:szCs w:val="24"/>
          <w:highlight w:val="none"/>
        </w:rPr>
        <w:t>项下的权利和义务即应终止，但双方于移交日前发生及未偿付的债务除外。</w:t>
      </w:r>
    </w:p>
    <w:p w14:paraId="62EA117C">
      <w:pPr>
        <w:numPr>
          <w:ilvl w:val="2"/>
          <w:numId w:val="0"/>
        </w:numPr>
        <w:adjustRightInd w:val="0"/>
        <w:snapToGrid w:val="0"/>
        <w:spacing w:before="0" w:beforeLines="0" w:after="0" w:afterLines="0" w:line="360" w:lineRule="auto"/>
        <w:ind w:firstLine="480" w:firstLineChars="200"/>
        <w:outlineLvl w:val="2"/>
        <w:rPr>
          <w:rFonts w:ascii="Times New Roman" w:hAnsi="Times New Roman" w:eastAsia="方正仿宋_GBK" w:cs="Times New Roman"/>
          <w:b/>
          <w:color w:val="auto"/>
          <w:kern w:val="2"/>
          <w:sz w:val="24"/>
          <w:szCs w:val="24"/>
          <w:highlight w:val="none"/>
          <w:lang w:val="en-US" w:eastAsia="zh-CN" w:bidi="ar-SA"/>
        </w:rPr>
      </w:pPr>
      <w:r>
        <w:rPr>
          <w:rFonts w:hint="eastAsia" w:ascii="Times New Roman" w:hAnsi="Times New Roman" w:eastAsia="方正仿宋_GBK" w:cs="Times New Roman"/>
          <w:b/>
          <w:color w:val="auto"/>
          <w:kern w:val="2"/>
          <w:sz w:val="24"/>
          <w:szCs w:val="24"/>
          <w:highlight w:val="none"/>
          <w:lang w:val="en-US" w:eastAsia="zh-CN" w:bidi="ar-SA"/>
        </w:rPr>
        <w:t>6.</w:t>
      </w:r>
      <w:r>
        <w:rPr>
          <w:rFonts w:hint="default" w:ascii="Times New Roman" w:hAnsi="Times New Roman" w:eastAsia="方正仿宋_GBK" w:cs="Times New Roman"/>
          <w:b/>
          <w:color w:val="auto"/>
          <w:kern w:val="2"/>
          <w:sz w:val="24"/>
          <w:szCs w:val="24"/>
          <w:highlight w:val="none"/>
          <w:lang w:val="en-US" w:eastAsia="zh-CN" w:bidi="ar-SA"/>
        </w:rPr>
        <w:t>移交违约和处理</w:t>
      </w:r>
    </w:p>
    <w:p w14:paraId="5C73D0DC">
      <w:pPr>
        <w:tabs>
          <w:tab w:val="left" w:pos="142"/>
        </w:tabs>
        <w:autoSpaceDE w:val="0"/>
        <w:autoSpaceDN w:val="0"/>
        <w:adjustRightInd w:val="0"/>
        <w:snapToGrid w:val="0"/>
        <w:spacing w:before="0" w:beforeLines="0" w:after="0" w:afterLines="0" w:line="360" w:lineRule="auto"/>
        <w:ind w:firstLine="480" w:firstLineChars="200"/>
        <w:textAlignment w:val="baseline"/>
        <w:rPr>
          <w:rFonts w:hint="eastAsia" w:ascii="仿宋" w:hAnsi="仿宋" w:eastAsia="仿宋" w:cs="Times New Roman"/>
          <w:color w:val="auto"/>
          <w:kern w:val="2"/>
          <w:sz w:val="24"/>
          <w:szCs w:val="24"/>
          <w:highlight w:val="none"/>
        </w:rPr>
      </w:pPr>
      <w:r>
        <w:rPr>
          <w:rFonts w:hint="eastAsia" w:ascii="仿宋" w:hAnsi="仿宋" w:eastAsia="仿宋" w:cs="Times New Roman"/>
          <w:color w:val="auto"/>
          <w:kern w:val="2"/>
          <w:sz w:val="24"/>
          <w:szCs w:val="24"/>
          <w:highlight w:val="none"/>
          <w:lang w:eastAsia="zh-CN"/>
        </w:rPr>
        <w:t>（</w:t>
      </w:r>
      <w:r>
        <w:rPr>
          <w:rFonts w:hint="eastAsia" w:ascii="仿宋" w:hAnsi="仿宋" w:eastAsia="仿宋" w:cs="Times New Roman"/>
          <w:color w:val="auto"/>
          <w:kern w:val="2"/>
          <w:sz w:val="24"/>
          <w:szCs w:val="24"/>
          <w:highlight w:val="none"/>
          <w:lang w:val="en-US" w:eastAsia="zh-CN"/>
        </w:rPr>
        <w:t>1</w:t>
      </w:r>
      <w:r>
        <w:rPr>
          <w:rFonts w:hint="eastAsia" w:ascii="仿宋" w:hAnsi="仿宋" w:eastAsia="仿宋" w:cs="Times New Roman"/>
          <w:color w:val="auto"/>
          <w:kern w:val="2"/>
          <w:sz w:val="24"/>
          <w:szCs w:val="24"/>
          <w:highlight w:val="none"/>
          <w:lang w:eastAsia="zh-CN"/>
        </w:rPr>
        <w:t>）</w:t>
      </w:r>
      <w:r>
        <w:rPr>
          <w:rFonts w:hint="eastAsia" w:ascii="仿宋" w:hAnsi="仿宋" w:eastAsia="仿宋" w:cs="Times New Roman"/>
          <w:color w:val="auto"/>
          <w:kern w:val="2"/>
          <w:sz w:val="24"/>
          <w:szCs w:val="24"/>
          <w:highlight w:val="none"/>
        </w:rPr>
        <w:t>因甲方原因未完成移交的，构成甲方违约，由此增加的移交费用由甲方承担，如造成其他损失的甲方应当另行承担赔偿责任。</w:t>
      </w:r>
    </w:p>
    <w:p w14:paraId="7839307E">
      <w:pPr>
        <w:keepNext w:val="0"/>
        <w:keepLines w:val="0"/>
        <w:pageBreakBefore w:val="0"/>
        <w:widowControl/>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eastAsia" w:ascii="仿宋" w:hAnsi="仿宋" w:eastAsia="仿宋" w:cs="Times New Roman"/>
          <w:color w:val="auto"/>
          <w:kern w:val="2"/>
          <w:sz w:val="24"/>
          <w:szCs w:val="24"/>
          <w:highlight w:val="none"/>
        </w:rPr>
      </w:pPr>
      <w:r>
        <w:rPr>
          <w:rFonts w:hint="eastAsia" w:ascii="仿宋" w:hAnsi="仿宋" w:eastAsia="仿宋" w:cs="Times New Roman"/>
          <w:color w:val="auto"/>
          <w:kern w:val="2"/>
          <w:sz w:val="24"/>
          <w:szCs w:val="24"/>
          <w:highlight w:val="none"/>
          <w:lang w:eastAsia="zh-CN"/>
        </w:rPr>
        <w:t>（</w:t>
      </w:r>
      <w:r>
        <w:rPr>
          <w:rFonts w:hint="eastAsia" w:ascii="仿宋" w:hAnsi="仿宋" w:eastAsia="仿宋" w:cs="Times New Roman"/>
          <w:color w:val="auto"/>
          <w:kern w:val="2"/>
          <w:sz w:val="24"/>
          <w:szCs w:val="24"/>
          <w:highlight w:val="none"/>
          <w:lang w:val="en-US" w:eastAsia="zh-CN"/>
        </w:rPr>
        <w:t>2</w:t>
      </w:r>
      <w:r>
        <w:rPr>
          <w:rFonts w:hint="eastAsia" w:ascii="仿宋" w:hAnsi="仿宋" w:eastAsia="仿宋" w:cs="Times New Roman"/>
          <w:color w:val="auto"/>
          <w:kern w:val="2"/>
          <w:sz w:val="24"/>
          <w:szCs w:val="24"/>
          <w:highlight w:val="none"/>
          <w:lang w:eastAsia="zh-CN"/>
        </w:rPr>
        <w:t>）</w:t>
      </w:r>
      <w:r>
        <w:rPr>
          <w:rFonts w:hint="eastAsia" w:ascii="仿宋" w:hAnsi="仿宋" w:eastAsia="仿宋" w:cs="Times New Roman"/>
          <w:color w:val="auto"/>
          <w:kern w:val="2"/>
          <w:sz w:val="24"/>
          <w:szCs w:val="24"/>
          <w:highlight w:val="none"/>
        </w:rPr>
        <w:t>因乙方原因未按照</w:t>
      </w:r>
      <w:r>
        <w:rPr>
          <w:rFonts w:hint="eastAsia" w:ascii="仿宋" w:hAnsi="仿宋" w:eastAsia="仿宋" w:cs="Times New Roman"/>
          <w:color w:val="auto"/>
          <w:kern w:val="2"/>
          <w:sz w:val="24"/>
          <w:szCs w:val="24"/>
          <w:highlight w:val="none"/>
          <w:lang w:eastAsia="zh-CN"/>
        </w:rPr>
        <w:t>本协议</w:t>
      </w:r>
      <w:r>
        <w:rPr>
          <w:rFonts w:hint="eastAsia" w:ascii="仿宋" w:hAnsi="仿宋" w:eastAsia="仿宋" w:cs="Times New Roman"/>
          <w:color w:val="auto"/>
          <w:kern w:val="2"/>
          <w:sz w:val="24"/>
          <w:szCs w:val="24"/>
          <w:highlight w:val="none"/>
        </w:rPr>
        <w:t>约定的时间和要求完成移交的，构成乙方违约，由此增加的移交费用由乙方承担，如造成其他损失的乙方应当另行承担赔偿责任。</w:t>
      </w:r>
    </w:p>
    <w:p w14:paraId="236ABE7E">
      <w:pPr>
        <w:keepNext w:val="0"/>
        <w:keepLines w:val="0"/>
        <w:pageBreakBefore w:val="0"/>
        <w:widowControl w:val="0"/>
        <w:numPr>
          <w:ilvl w:val="0"/>
          <w:numId w:val="0"/>
        </w:numPr>
        <w:kinsoku/>
        <w:wordWrap/>
        <w:overflowPunct/>
        <w:topLinePunct w:val="0"/>
        <w:bidi w:val="0"/>
        <w:spacing w:before="0" w:after="0" w:line="360" w:lineRule="auto"/>
        <w:ind w:left="0" w:firstLine="0"/>
        <w:jc w:val="center"/>
        <w:outlineLvl w:val="0"/>
        <w:rPr>
          <w:rFonts w:hint="eastAsia" w:ascii="Times New Roman" w:hAnsi="Times New Roman" w:eastAsia="方正黑体_GBK" w:cs="方正黑体_GBK"/>
          <w:caps w:val="0"/>
          <w:smallCaps w:val="0"/>
          <w:color w:val="auto"/>
          <w:kern w:val="2"/>
          <w:sz w:val="28"/>
          <w:szCs w:val="28"/>
          <w:highlight w:val="none"/>
          <w:lang w:val="en-US" w:eastAsia="zh-CN" w:bidi="ar-SA"/>
        </w:rPr>
      </w:pPr>
      <w:r>
        <w:rPr>
          <w:rFonts w:hint="eastAsia" w:ascii="Times New Roman" w:hAnsi="Times New Roman" w:eastAsia="方正仿宋_GBK" w:cs="Times New Roman"/>
          <w:caps w:val="0"/>
          <w:smallCaps w:val="0"/>
          <w:color w:val="auto"/>
          <w:kern w:val="0"/>
          <w:sz w:val="28"/>
          <w:szCs w:val="32"/>
          <w:highlight w:val="none"/>
          <w:lang w:val="en-US" w:eastAsia="zh-CN" w:bidi="ar-SA"/>
        </w:rPr>
        <w:br w:type="page"/>
      </w:r>
      <w:bookmarkStart w:id="434" w:name="_Toc677359527"/>
      <w:bookmarkStart w:id="435" w:name="_Toc28572"/>
      <w:bookmarkStart w:id="436" w:name="_Toc29606"/>
      <w:r>
        <w:rPr>
          <w:rFonts w:hint="eastAsia" w:ascii="Times New Roman" w:hAnsi="Times New Roman" w:eastAsia="方正黑体_GBK" w:cs="方正黑体_GBK"/>
          <w:caps w:val="0"/>
          <w:smallCaps w:val="0"/>
          <w:color w:val="auto"/>
          <w:kern w:val="2"/>
          <w:sz w:val="28"/>
          <w:szCs w:val="28"/>
          <w:highlight w:val="none"/>
          <w:lang w:val="en-US" w:eastAsia="zh-CN" w:bidi="ar-SA"/>
        </w:rPr>
        <w:t>第十二章 违约责任</w:t>
      </w:r>
      <w:bookmarkEnd w:id="434"/>
      <w:bookmarkEnd w:id="435"/>
      <w:bookmarkEnd w:id="436"/>
    </w:p>
    <w:p w14:paraId="6A9892EC">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437" w:name="_Toc405146891"/>
      <w:bookmarkStart w:id="438" w:name="_Toc26808"/>
      <w:bookmarkStart w:id="439" w:name="_Toc15204"/>
      <w:bookmarkStart w:id="440" w:name="_Toc402428977"/>
      <w:bookmarkStart w:id="441" w:name="_Toc168265904"/>
      <w:r>
        <w:rPr>
          <w:rFonts w:hint="eastAsia" w:ascii="Times New Roman" w:hAnsi="Times New Roman" w:eastAsia="方正黑体_GBK" w:cs="方正黑体_GBK"/>
          <w:bCs/>
          <w:caps w:val="0"/>
          <w:smallCaps w:val="0"/>
          <w:color w:val="auto"/>
          <w:kern w:val="2"/>
          <w:sz w:val="28"/>
          <w:szCs w:val="28"/>
          <w:highlight w:val="none"/>
          <w:lang w:val="en-US" w:eastAsia="zh-CN" w:bidi="ar-SA"/>
        </w:rPr>
        <w:t>第61条 违约</w:t>
      </w:r>
      <w:bookmarkEnd w:id="437"/>
      <w:bookmarkEnd w:id="438"/>
      <w:bookmarkEnd w:id="439"/>
      <w:bookmarkEnd w:id="440"/>
      <w:bookmarkEnd w:id="441"/>
    </w:p>
    <w:p w14:paraId="2FD64AD1">
      <w:pPr>
        <w:keepNext w:val="0"/>
        <w:keepLines w:val="0"/>
        <w:pageBreakBefore w:val="0"/>
        <w:widowControl w:val="0"/>
        <w:numPr>
          <w:ilvl w:val="0"/>
          <w:numId w:val="0"/>
        </w:numPr>
        <w:tabs>
          <w:tab w:val="left" w:pos="142"/>
        </w:tabs>
        <w:kinsoku/>
        <w:wordWrap/>
        <w:overflowPunct/>
        <w:topLinePunct w:val="0"/>
        <w:autoSpaceDE w:val="0"/>
        <w:autoSpaceDN w:val="0"/>
        <w:bidi w:val="0"/>
        <w:adjustRightInd w:val="0"/>
        <w:snapToGrid w:val="0"/>
        <w:spacing w:before="0" w:beforeLines="0" w:after="0" w:afterLines="0" w:line="360" w:lineRule="auto"/>
        <w:ind w:left="0" w:firstLine="560" w:firstLineChars="0"/>
        <w:textAlignment w:val="baseline"/>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b w:val="0"/>
          <w:bCs w:val="0"/>
          <w:caps w:val="0"/>
          <w:smallCaps w:val="0"/>
          <w:color w:val="auto"/>
          <w:kern w:val="0"/>
          <w:sz w:val="24"/>
          <w:szCs w:val="24"/>
          <w:highlight w:val="none"/>
          <w:lang w:val="en-US" w:eastAsia="zh-CN" w:bidi="ar-SA"/>
        </w:rPr>
        <w:t>1.</w:t>
      </w:r>
      <w:r>
        <w:rPr>
          <w:rFonts w:hint="eastAsia" w:ascii="Times New Roman" w:hAnsi="Times New Roman" w:eastAsia="方正仿宋_GBK"/>
          <w:caps w:val="0"/>
          <w:smallCaps w:val="0"/>
          <w:color w:val="auto"/>
          <w:kern w:val="0"/>
          <w:sz w:val="24"/>
          <w:szCs w:val="24"/>
          <w:highlight w:val="none"/>
        </w:rPr>
        <w:t>除非法律、行政法规另有规定或本协议另有约定，本协议任何一方不履行本协议义务或履行本协议义务不符合约定的，即构成违约并应承担违约责任，但履行本协议不符合约定系由对方违约的结果自然造成或因对方违约而己方无法控制或无法避免地造成的除外。</w:t>
      </w:r>
    </w:p>
    <w:p w14:paraId="39F5ED01">
      <w:pPr>
        <w:keepNext w:val="0"/>
        <w:keepLines w:val="0"/>
        <w:pageBreakBefore w:val="0"/>
        <w:widowControl w:val="0"/>
        <w:numPr>
          <w:ilvl w:val="0"/>
          <w:numId w:val="0"/>
        </w:numPr>
        <w:tabs>
          <w:tab w:val="left" w:pos="142"/>
        </w:tabs>
        <w:kinsoku/>
        <w:wordWrap/>
        <w:overflowPunct/>
        <w:topLinePunct w:val="0"/>
        <w:autoSpaceDE w:val="0"/>
        <w:autoSpaceDN w:val="0"/>
        <w:bidi w:val="0"/>
        <w:adjustRightInd w:val="0"/>
        <w:snapToGrid w:val="0"/>
        <w:spacing w:before="0" w:beforeLines="0" w:after="0" w:afterLines="0" w:line="360" w:lineRule="auto"/>
        <w:ind w:left="0" w:firstLine="560" w:firstLineChars="0"/>
        <w:textAlignment w:val="baseline"/>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b w:val="0"/>
          <w:bCs w:val="0"/>
          <w:caps w:val="0"/>
          <w:smallCaps w:val="0"/>
          <w:color w:val="auto"/>
          <w:kern w:val="0"/>
          <w:sz w:val="24"/>
          <w:szCs w:val="24"/>
          <w:highlight w:val="none"/>
          <w:lang w:val="en-US" w:eastAsia="zh-CN" w:bidi="ar-SA"/>
        </w:rPr>
        <w:t>2.</w:t>
      </w:r>
      <w:r>
        <w:rPr>
          <w:rFonts w:hint="eastAsia" w:ascii="Times New Roman" w:hAnsi="Times New Roman" w:eastAsia="方正仿宋_GBK"/>
          <w:caps w:val="0"/>
          <w:smallCaps w:val="0"/>
          <w:color w:val="auto"/>
          <w:kern w:val="0"/>
          <w:sz w:val="24"/>
          <w:szCs w:val="24"/>
          <w:highlight w:val="none"/>
        </w:rPr>
        <w:t>协议任何一方出现违约情形的，守约方有权向违约方发出书面改正通知，要求违约方在收到通知后</w:t>
      </w:r>
      <w:r>
        <w:rPr>
          <w:rFonts w:hint="eastAsia" w:ascii="Times New Roman" w:hAnsi="Times New Roman" w:eastAsia="方正仿宋_GBK"/>
          <w:caps w:val="0"/>
          <w:smallCaps w:val="0"/>
          <w:color w:val="auto"/>
          <w:kern w:val="0"/>
          <w:sz w:val="24"/>
          <w:szCs w:val="24"/>
          <w:highlight w:val="none"/>
          <w:lang w:val="en-US" w:eastAsia="zh-CN"/>
        </w:rPr>
        <w:t>30</w:t>
      </w:r>
      <w:r>
        <w:rPr>
          <w:rFonts w:hint="eastAsia" w:ascii="Times New Roman" w:hAnsi="Times New Roman" w:eastAsia="方正仿宋_GBK"/>
          <w:caps w:val="0"/>
          <w:smallCaps w:val="0"/>
          <w:color w:val="auto"/>
          <w:kern w:val="0"/>
          <w:sz w:val="24"/>
          <w:szCs w:val="24"/>
          <w:highlight w:val="none"/>
        </w:rPr>
        <w:t>日内</w:t>
      </w:r>
      <w:r>
        <w:rPr>
          <w:rFonts w:hint="default" w:ascii="Times New Roman" w:hAnsi="Times New Roman" w:eastAsia="方正仿宋_GBK"/>
          <w:caps w:val="0"/>
          <w:smallCaps w:val="0"/>
          <w:color w:val="auto"/>
          <w:kern w:val="0"/>
          <w:sz w:val="24"/>
          <w:szCs w:val="24"/>
          <w:highlight w:val="none"/>
        </w:rPr>
        <w:t>改正其违约行为</w:t>
      </w:r>
      <w:r>
        <w:rPr>
          <w:rFonts w:hint="eastAsia" w:ascii="Times New Roman" w:hAnsi="Times New Roman" w:eastAsia="方正仿宋_GBK"/>
          <w:caps w:val="0"/>
          <w:smallCaps w:val="0"/>
          <w:color w:val="auto"/>
          <w:kern w:val="0"/>
          <w:sz w:val="24"/>
          <w:szCs w:val="24"/>
          <w:highlight w:val="none"/>
        </w:rPr>
        <w:t>，承担继续履行、采取补救措施或者赔偿损失等违约责任。</w:t>
      </w:r>
    </w:p>
    <w:p w14:paraId="28191B02">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442" w:name="_Toc27781"/>
      <w:bookmarkStart w:id="443" w:name="_Toc67666035"/>
      <w:bookmarkStart w:id="444" w:name="_Toc405146892"/>
      <w:bookmarkStart w:id="445" w:name="_Toc1379"/>
      <w:r>
        <w:rPr>
          <w:rFonts w:hint="eastAsia" w:ascii="Times New Roman" w:hAnsi="Times New Roman" w:eastAsia="方正黑体_GBK" w:cs="方正黑体_GBK"/>
          <w:bCs/>
          <w:caps w:val="0"/>
          <w:smallCaps w:val="0"/>
          <w:color w:val="auto"/>
          <w:kern w:val="2"/>
          <w:sz w:val="28"/>
          <w:szCs w:val="28"/>
          <w:highlight w:val="none"/>
          <w:lang w:val="en-US" w:eastAsia="zh-CN" w:bidi="ar-SA"/>
        </w:rPr>
        <w:t>第62条 违约责任</w:t>
      </w:r>
      <w:bookmarkEnd w:id="442"/>
      <w:bookmarkEnd w:id="443"/>
      <w:bookmarkEnd w:id="444"/>
      <w:bookmarkEnd w:id="445"/>
    </w:p>
    <w:p w14:paraId="6EC975D5">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567"/>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default" w:ascii="Times New Roman" w:hAnsi="Times New Roman" w:eastAsia="宋体" w:cs="Times New Roman"/>
          <w:b/>
          <w:caps w:val="0"/>
          <w:smallCaps w:val="0"/>
          <w:color w:val="auto"/>
          <w:kern w:val="2"/>
          <w:sz w:val="24"/>
          <w:szCs w:val="24"/>
          <w:highlight w:val="none"/>
          <w:lang w:val="en-US" w:eastAsia="zh-CN" w:bidi="ar-SA"/>
        </w:rPr>
        <w:t>1.</w:t>
      </w:r>
      <w:r>
        <w:rPr>
          <w:rFonts w:hint="eastAsia" w:ascii="Times New Roman" w:hAnsi="Times New Roman" w:eastAsia="方正仿宋_GBK" w:cs="Times New Roman"/>
          <w:b/>
          <w:caps w:val="0"/>
          <w:smallCaps w:val="0"/>
          <w:color w:val="auto"/>
          <w:kern w:val="2"/>
          <w:sz w:val="24"/>
          <w:szCs w:val="24"/>
          <w:highlight w:val="none"/>
          <w:lang w:val="en-US" w:eastAsia="zh-CN" w:bidi="ar-SA"/>
        </w:rPr>
        <w:t>甲方的违约责任</w:t>
      </w:r>
    </w:p>
    <w:p w14:paraId="61A0EC2B">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1" w:firstLine="567" w:firstLineChars="0"/>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b w:val="0"/>
          <w:bCs w:val="0"/>
          <w:caps w:val="0"/>
          <w:smallCaps w:val="0"/>
          <w:color w:val="auto"/>
          <w:kern w:val="0"/>
          <w:sz w:val="24"/>
          <w:szCs w:val="24"/>
          <w:highlight w:val="none"/>
          <w:lang w:val="en-US" w:eastAsia="zh-CN" w:bidi="ar-SA"/>
        </w:rPr>
        <w:t>（1）</w:t>
      </w:r>
      <w:r>
        <w:rPr>
          <w:rFonts w:hint="eastAsia" w:ascii="Times New Roman" w:hAnsi="Times New Roman" w:eastAsia="方正仿宋_GBK" w:cs="Times New Roman"/>
          <w:caps w:val="0"/>
          <w:smallCaps w:val="0"/>
          <w:color w:val="auto"/>
          <w:kern w:val="0"/>
          <w:sz w:val="24"/>
          <w:szCs w:val="24"/>
          <w:highlight w:val="none"/>
          <w:lang w:val="en-US" w:eastAsia="zh-CN"/>
        </w:rPr>
        <w:t>特许经营期初，</w:t>
      </w:r>
      <w:r>
        <w:rPr>
          <w:rFonts w:hint="eastAsia" w:ascii="Times New Roman" w:hAnsi="Times New Roman" w:eastAsia="方正仿宋_GBK" w:cs="Times New Roman"/>
          <w:caps w:val="0"/>
          <w:smallCaps w:val="0"/>
          <w:color w:val="auto"/>
          <w:kern w:val="0"/>
          <w:sz w:val="24"/>
          <w:szCs w:val="24"/>
          <w:highlight w:val="none"/>
        </w:rPr>
        <w:t>甲方</w:t>
      </w:r>
      <w:r>
        <w:rPr>
          <w:rFonts w:hint="eastAsia" w:ascii="Times New Roman" w:hAnsi="Times New Roman" w:eastAsia="方正仿宋_GBK" w:cs="Times New Roman"/>
          <w:caps w:val="0"/>
          <w:smallCaps w:val="0"/>
          <w:color w:val="auto"/>
          <w:kern w:val="0"/>
          <w:sz w:val="24"/>
          <w:szCs w:val="24"/>
          <w:highlight w:val="none"/>
          <w:lang w:val="en-US" w:eastAsia="zh-CN"/>
        </w:rPr>
        <w:t>未按本协议约定向乙方移交资产的</w:t>
      </w:r>
      <w:r>
        <w:rPr>
          <w:rFonts w:hint="eastAsia" w:ascii="Times New Roman" w:hAnsi="Times New Roman" w:eastAsia="方正仿宋_GBK" w:cs="Times New Roman"/>
          <w:caps w:val="0"/>
          <w:smallCaps w:val="0"/>
          <w:color w:val="auto"/>
          <w:kern w:val="0"/>
          <w:sz w:val="24"/>
          <w:szCs w:val="24"/>
          <w:highlight w:val="none"/>
        </w:rPr>
        <w:t>，就此等迟延期间，应当相应延长乙方特许经营</w:t>
      </w:r>
      <w:r>
        <w:rPr>
          <w:rFonts w:hint="eastAsia" w:ascii="Times New Roman" w:hAnsi="Times New Roman" w:eastAsia="方正仿宋_GBK" w:cs="Times New Roman"/>
          <w:caps w:val="0"/>
          <w:smallCaps w:val="0"/>
          <w:color w:val="auto"/>
          <w:kern w:val="0"/>
          <w:sz w:val="24"/>
          <w:szCs w:val="24"/>
          <w:highlight w:val="none"/>
          <w:lang w:eastAsia="zh-CN"/>
        </w:rPr>
        <w:t>期</w:t>
      </w:r>
      <w:r>
        <w:rPr>
          <w:rFonts w:hint="eastAsia" w:ascii="Times New Roman" w:hAnsi="Times New Roman" w:eastAsia="方正仿宋_GBK" w:cs="Times New Roman"/>
          <w:caps w:val="0"/>
          <w:smallCaps w:val="0"/>
          <w:color w:val="auto"/>
          <w:kern w:val="0"/>
          <w:sz w:val="24"/>
          <w:szCs w:val="24"/>
          <w:highlight w:val="none"/>
        </w:rPr>
        <w:t>限。</w:t>
      </w:r>
    </w:p>
    <w:p w14:paraId="194C0ABA">
      <w:pPr>
        <w:keepNext w:val="0"/>
        <w:keepLines w:val="0"/>
        <w:pageBreakBefore w:val="0"/>
        <w:widowControl w:val="0"/>
        <w:numPr>
          <w:ilvl w:val="0"/>
          <w:numId w:val="0"/>
        </w:numPr>
        <w:tabs>
          <w:tab w:val="left" w:pos="993"/>
          <w:tab w:val="left" w:pos="1134"/>
        </w:tabs>
        <w:kinsoku/>
        <w:wordWrap/>
        <w:overflowPunct/>
        <w:topLinePunct w:val="0"/>
        <w:bidi w:val="0"/>
        <w:adjustRightInd w:val="0"/>
        <w:snapToGrid w:val="0"/>
        <w:spacing w:before="0" w:beforeLines="0" w:after="0" w:afterLines="0" w:line="360" w:lineRule="auto"/>
        <w:ind w:left="1" w:firstLine="567" w:firstLineChars="0"/>
        <w:rPr>
          <w:rFonts w:hint="default" w:ascii="Times New Roman" w:hAnsi="Times New Roman" w:eastAsia="方正仿宋_GBK"/>
          <w:caps w:val="0"/>
          <w:smallCaps w:val="0"/>
          <w:color w:val="auto"/>
          <w:kern w:val="0"/>
          <w:sz w:val="24"/>
          <w:szCs w:val="24"/>
          <w:highlight w:val="none"/>
        </w:rPr>
      </w:pPr>
      <w:r>
        <w:rPr>
          <w:rFonts w:hint="default" w:ascii="Times New Roman" w:hAnsi="Times New Roman" w:eastAsia="方正仿宋_GBK"/>
          <w:b w:val="0"/>
          <w:bCs w:val="0"/>
          <w:caps w:val="0"/>
          <w:smallCaps w:val="0"/>
          <w:color w:val="auto"/>
          <w:kern w:val="0"/>
          <w:sz w:val="24"/>
          <w:szCs w:val="24"/>
          <w:highlight w:val="none"/>
          <w:lang w:val="en-US" w:eastAsia="zh-CN" w:bidi="ar-SA"/>
        </w:rPr>
        <w:t>（2）</w:t>
      </w:r>
      <w:r>
        <w:rPr>
          <w:rFonts w:hint="eastAsia" w:ascii="Times New Roman" w:hAnsi="Times New Roman" w:eastAsia="方正仿宋_GBK"/>
          <w:caps w:val="0"/>
          <w:smallCaps w:val="0"/>
          <w:color w:val="auto"/>
          <w:kern w:val="0"/>
          <w:sz w:val="24"/>
          <w:szCs w:val="24"/>
          <w:highlight w:val="none"/>
          <w:lang w:val="en-US" w:eastAsia="zh-CN"/>
        </w:rPr>
        <w:t>甲方</w:t>
      </w:r>
      <w:r>
        <w:rPr>
          <w:rFonts w:hint="eastAsia" w:ascii="Times New Roman" w:hAnsi="Times New Roman" w:eastAsia="方正仿宋_GBK"/>
          <w:caps w:val="0"/>
          <w:smallCaps w:val="0"/>
          <w:color w:val="auto"/>
          <w:kern w:val="0"/>
          <w:sz w:val="24"/>
          <w:szCs w:val="24"/>
          <w:highlight w:val="none"/>
        </w:rPr>
        <w:t>未能按时向</w:t>
      </w:r>
      <w:r>
        <w:rPr>
          <w:rFonts w:hint="eastAsia" w:ascii="Times New Roman" w:hAnsi="Times New Roman" w:eastAsia="方正仿宋_GBK"/>
          <w:caps w:val="0"/>
          <w:smallCaps w:val="0"/>
          <w:color w:val="auto"/>
          <w:kern w:val="0"/>
          <w:sz w:val="24"/>
          <w:szCs w:val="24"/>
          <w:highlight w:val="none"/>
          <w:lang w:val="en-US" w:eastAsia="zh-CN"/>
        </w:rPr>
        <w:t>乙方支付</w:t>
      </w:r>
      <w:r>
        <w:rPr>
          <w:rFonts w:hint="eastAsia" w:ascii="Times New Roman" w:hAnsi="Times New Roman" w:eastAsia="方正仿宋_GBK"/>
          <w:caps w:val="0"/>
          <w:smallCaps w:val="0"/>
          <w:color w:val="auto"/>
          <w:kern w:val="0"/>
          <w:sz w:val="24"/>
          <w:szCs w:val="24"/>
          <w:highlight w:val="none"/>
        </w:rPr>
        <w:t>相应的污水处理服务费，</w:t>
      </w:r>
      <w:r>
        <w:rPr>
          <w:rFonts w:hint="eastAsia" w:ascii="Times New Roman" w:hAnsi="Times New Roman" w:eastAsia="方正仿宋_GBK"/>
          <w:caps w:val="0"/>
          <w:smallCaps w:val="0"/>
          <w:color w:val="auto"/>
          <w:kern w:val="0"/>
          <w:sz w:val="24"/>
          <w:szCs w:val="24"/>
          <w:highlight w:val="none"/>
          <w:lang w:val="en-US" w:eastAsia="zh-CN"/>
        </w:rPr>
        <w:t>乙方</w:t>
      </w:r>
      <w:r>
        <w:rPr>
          <w:rFonts w:hint="eastAsia" w:ascii="Times New Roman" w:hAnsi="Times New Roman" w:eastAsia="方正仿宋_GBK"/>
          <w:caps w:val="0"/>
          <w:smallCaps w:val="0"/>
          <w:color w:val="auto"/>
          <w:kern w:val="0"/>
          <w:sz w:val="24"/>
          <w:szCs w:val="24"/>
          <w:highlight w:val="none"/>
        </w:rPr>
        <w:t>有权发出催告，如在催告通知后三十（30）日内仍未能支付的，则除应支付应付未付的污水处理服务费外，还应支付违约金。自催告通知送达后的第三十一（31）日起，以污水处理服务费应付未付的金额为基数，按每日万分之三的利率向</w:t>
      </w:r>
      <w:r>
        <w:rPr>
          <w:rFonts w:hint="eastAsia" w:ascii="Times New Roman" w:hAnsi="Times New Roman" w:eastAsia="方正仿宋_GBK"/>
          <w:caps w:val="0"/>
          <w:smallCaps w:val="0"/>
          <w:color w:val="auto"/>
          <w:kern w:val="0"/>
          <w:sz w:val="24"/>
          <w:szCs w:val="24"/>
          <w:highlight w:val="none"/>
          <w:lang w:val="en-US" w:eastAsia="zh-CN"/>
        </w:rPr>
        <w:t>乙方</w:t>
      </w:r>
      <w:r>
        <w:rPr>
          <w:rFonts w:hint="eastAsia" w:ascii="Times New Roman" w:hAnsi="Times New Roman" w:eastAsia="方正仿宋_GBK"/>
          <w:caps w:val="0"/>
          <w:smallCaps w:val="0"/>
          <w:color w:val="auto"/>
          <w:kern w:val="0"/>
          <w:sz w:val="24"/>
          <w:szCs w:val="24"/>
          <w:highlight w:val="none"/>
        </w:rPr>
        <w:t>支付应付未付金额产生的违约金。</w:t>
      </w:r>
    </w:p>
    <w:p w14:paraId="4CA99F87">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567"/>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default" w:ascii="Times New Roman" w:hAnsi="Times New Roman" w:eastAsia="宋体" w:cs="Times New Roman"/>
          <w:b/>
          <w:caps w:val="0"/>
          <w:smallCaps w:val="0"/>
          <w:color w:val="auto"/>
          <w:kern w:val="2"/>
          <w:sz w:val="24"/>
          <w:szCs w:val="24"/>
          <w:highlight w:val="none"/>
          <w:lang w:val="en-US" w:eastAsia="zh-CN" w:bidi="ar-SA"/>
        </w:rPr>
        <w:t>2.</w:t>
      </w:r>
      <w:r>
        <w:rPr>
          <w:rFonts w:hint="eastAsia" w:ascii="Times New Roman" w:hAnsi="Times New Roman" w:eastAsia="方正仿宋_GBK" w:cs="Times New Roman"/>
          <w:b/>
          <w:caps w:val="0"/>
          <w:smallCaps w:val="0"/>
          <w:color w:val="auto"/>
          <w:kern w:val="2"/>
          <w:sz w:val="24"/>
          <w:szCs w:val="24"/>
          <w:highlight w:val="none"/>
          <w:lang w:val="en-US" w:eastAsia="zh-CN" w:bidi="ar-SA"/>
        </w:rPr>
        <w:t>乙方的违约责任</w:t>
      </w:r>
    </w:p>
    <w:p w14:paraId="1688B22C">
      <w:pPr>
        <w:keepNext w:val="0"/>
        <w:keepLines w:val="0"/>
        <w:pageBreakBefore w:val="0"/>
        <w:widowControl w:val="0"/>
        <w:numPr>
          <w:ilvl w:val="0"/>
          <w:numId w:val="0"/>
        </w:numPr>
        <w:tabs>
          <w:tab w:val="left" w:pos="142"/>
        </w:tabs>
        <w:kinsoku/>
        <w:wordWrap/>
        <w:overflowPunct/>
        <w:topLinePunct w:val="0"/>
        <w:autoSpaceDE w:val="0"/>
        <w:autoSpaceDN w:val="0"/>
        <w:bidi w:val="0"/>
        <w:adjustRightInd w:val="0"/>
        <w:snapToGrid w:val="0"/>
        <w:spacing w:before="0" w:beforeLines="0" w:after="0" w:afterLines="0" w:line="360" w:lineRule="auto"/>
        <w:ind w:left="0" w:firstLine="560" w:firstLineChars="0"/>
        <w:textAlignment w:val="baseline"/>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b w:val="0"/>
          <w:bCs w:val="0"/>
          <w:caps w:val="0"/>
          <w:smallCaps w:val="0"/>
          <w:color w:val="auto"/>
          <w:kern w:val="0"/>
          <w:sz w:val="24"/>
          <w:szCs w:val="24"/>
          <w:highlight w:val="none"/>
          <w:lang w:val="en-US" w:eastAsia="zh-CN" w:bidi="ar-SA"/>
        </w:rPr>
        <w:t>（1）</w:t>
      </w:r>
      <w:r>
        <w:rPr>
          <w:rFonts w:hint="default" w:ascii="Times New Roman" w:hAnsi="Times New Roman" w:eastAsia="方正仿宋_GBK" w:cs="Times New Roman"/>
          <w:caps w:val="0"/>
          <w:smallCaps w:val="0"/>
          <w:color w:val="auto"/>
          <w:kern w:val="0"/>
          <w:sz w:val="24"/>
          <w:szCs w:val="24"/>
          <w:highlight w:val="none"/>
        </w:rPr>
        <w:t>若</w:t>
      </w:r>
      <w:r>
        <w:rPr>
          <w:rFonts w:hint="default" w:ascii="Times New Roman" w:hAnsi="Times New Roman" w:eastAsia="方正仿宋_GBK" w:cs="Times New Roman"/>
          <w:caps w:val="0"/>
          <w:smallCaps w:val="0"/>
          <w:color w:val="auto"/>
          <w:kern w:val="0"/>
          <w:sz w:val="24"/>
          <w:szCs w:val="24"/>
          <w:highlight w:val="none"/>
          <w:lang w:val="en-US" w:eastAsia="zh-CN"/>
        </w:rPr>
        <w:t>乙方</w:t>
      </w:r>
      <w:r>
        <w:rPr>
          <w:rFonts w:hint="default" w:ascii="Times New Roman" w:hAnsi="Times New Roman" w:eastAsia="方正仿宋_GBK" w:cs="Times New Roman"/>
          <w:caps w:val="0"/>
          <w:smallCaps w:val="0"/>
          <w:color w:val="auto"/>
          <w:kern w:val="0"/>
          <w:sz w:val="24"/>
          <w:szCs w:val="24"/>
          <w:highlight w:val="none"/>
        </w:rPr>
        <w:t>因自身原因未能按</w:t>
      </w:r>
      <w:r>
        <w:rPr>
          <w:rFonts w:hint="default" w:ascii="Times New Roman" w:hAnsi="Times New Roman" w:eastAsia="方正仿宋_GBK" w:cs="Times New Roman"/>
          <w:caps w:val="0"/>
          <w:smallCaps w:val="0"/>
          <w:color w:val="auto"/>
          <w:kern w:val="0"/>
          <w:sz w:val="24"/>
          <w:szCs w:val="24"/>
          <w:highlight w:val="none"/>
          <w:lang w:val="en-US" w:eastAsia="zh-CN"/>
        </w:rPr>
        <w:t>本协议</w:t>
      </w:r>
      <w:r>
        <w:rPr>
          <w:rFonts w:hint="default" w:ascii="Times New Roman" w:hAnsi="Times New Roman" w:eastAsia="方正仿宋_GBK" w:cs="Times New Roman"/>
          <w:caps w:val="0"/>
          <w:smallCaps w:val="0"/>
          <w:color w:val="auto"/>
          <w:kern w:val="0"/>
          <w:sz w:val="24"/>
          <w:szCs w:val="24"/>
          <w:highlight w:val="none"/>
        </w:rPr>
        <w:t>约定将特许经营权转让费及运营所需资金筹措拨付到位，则向</w:t>
      </w:r>
      <w:r>
        <w:rPr>
          <w:rFonts w:hint="default" w:ascii="Times New Roman" w:hAnsi="Times New Roman" w:eastAsia="方正仿宋_GBK" w:cs="Times New Roman"/>
          <w:caps w:val="0"/>
          <w:smallCaps w:val="0"/>
          <w:color w:val="auto"/>
          <w:kern w:val="0"/>
          <w:sz w:val="24"/>
          <w:szCs w:val="24"/>
          <w:highlight w:val="none"/>
          <w:lang w:val="en-US" w:eastAsia="zh-CN"/>
        </w:rPr>
        <w:t>甲</w:t>
      </w:r>
      <w:r>
        <w:rPr>
          <w:rFonts w:hint="default" w:ascii="Times New Roman" w:hAnsi="Times New Roman" w:eastAsia="方正仿宋_GBK" w:cs="Times New Roman"/>
          <w:caps w:val="0"/>
          <w:smallCaps w:val="0"/>
          <w:color w:val="auto"/>
          <w:kern w:val="0"/>
          <w:sz w:val="24"/>
          <w:szCs w:val="24"/>
          <w:highlight w:val="none"/>
        </w:rPr>
        <w:t>方承担项目未到位资金每日万分之三的违约金，违约金额累计不超过项目投资的百分之三（3%），延误期不计取财务费用。违约超过三（3）个月期限，政府方有权取消中标特许经营者的中标资格，并没收</w:t>
      </w:r>
      <w:r>
        <w:rPr>
          <w:rFonts w:hint="default" w:ascii="Times New Roman" w:hAnsi="Times New Roman" w:eastAsia="方正仿宋_GBK" w:cs="Times New Roman"/>
          <w:caps w:val="0"/>
          <w:smallCaps w:val="0"/>
          <w:color w:val="auto"/>
          <w:kern w:val="0"/>
          <w:sz w:val="24"/>
          <w:szCs w:val="24"/>
          <w:highlight w:val="none"/>
          <w:lang w:val="en-US" w:eastAsia="zh-CN"/>
        </w:rPr>
        <w:t>投标保证金及运营维护</w:t>
      </w:r>
      <w:r>
        <w:rPr>
          <w:rFonts w:hint="default" w:ascii="Times New Roman" w:hAnsi="Times New Roman" w:eastAsia="方正仿宋_GBK" w:cs="Times New Roman"/>
          <w:caps w:val="0"/>
          <w:smallCaps w:val="0"/>
          <w:color w:val="auto"/>
          <w:kern w:val="0"/>
          <w:sz w:val="24"/>
          <w:szCs w:val="24"/>
          <w:highlight w:val="none"/>
        </w:rPr>
        <w:t>履约保函。</w:t>
      </w:r>
    </w:p>
    <w:p w14:paraId="3A904A3C">
      <w:pPr>
        <w:keepNext w:val="0"/>
        <w:keepLines w:val="0"/>
        <w:pageBreakBefore w:val="0"/>
        <w:widowControl w:val="0"/>
        <w:numPr>
          <w:ilvl w:val="0"/>
          <w:numId w:val="0"/>
        </w:numPr>
        <w:tabs>
          <w:tab w:val="left" w:pos="142"/>
        </w:tabs>
        <w:kinsoku/>
        <w:wordWrap/>
        <w:overflowPunct/>
        <w:topLinePunct w:val="0"/>
        <w:autoSpaceDE w:val="0"/>
        <w:autoSpaceDN w:val="0"/>
        <w:bidi w:val="0"/>
        <w:adjustRightInd w:val="0"/>
        <w:snapToGrid w:val="0"/>
        <w:spacing w:before="0" w:beforeLines="0" w:after="0" w:afterLines="0" w:line="360" w:lineRule="auto"/>
        <w:ind w:left="0" w:firstLine="560" w:firstLineChars="0"/>
        <w:textAlignment w:val="baseline"/>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b w:val="0"/>
          <w:bCs w:val="0"/>
          <w:caps w:val="0"/>
          <w:smallCaps w:val="0"/>
          <w:color w:val="auto"/>
          <w:kern w:val="0"/>
          <w:sz w:val="24"/>
          <w:szCs w:val="24"/>
          <w:highlight w:val="none"/>
          <w:lang w:val="en-US" w:eastAsia="zh-CN" w:bidi="ar-SA"/>
        </w:rPr>
        <w:t>（2）</w:t>
      </w:r>
      <w:r>
        <w:rPr>
          <w:rFonts w:hint="default" w:ascii="Times New Roman" w:hAnsi="Times New Roman" w:eastAsia="方正仿宋_GBK" w:cs="Times New Roman"/>
          <w:color w:val="auto"/>
          <w:kern w:val="2"/>
          <w:sz w:val="24"/>
          <w:szCs w:val="24"/>
          <w:highlight w:val="none"/>
        </w:rPr>
        <w:t>若</w:t>
      </w:r>
      <w:r>
        <w:rPr>
          <w:rFonts w:hint="default" w:ascii="Times New Roman" w:hAnsi="Times New Roman" w:eastAsia="方正仿宋_GBK" w:cs="Times New Roman"/>
          <w:color w:val="auto"/>
          <w:kern w:val="2"/>
          <w:sz w:val="24"/>
          <w:szCs w:val="24"/>
          <w:highlight w:val="none"/>
          <w:lang w:val="en-US" w:eastAsia="zh-CN"/>
        </w:rPr>
        <w:t>乙方</w:t>
      </w:r>
      <w:r>
        <w:rPr>
          <w:rFonts w:hint="default" w:ascii="Times New Roman" w:hAnsi="Times New Roman" w:eastAsia="方正仿宋_GBK" w:cs="Times New Roman"/>
          <w:color w:val="auto"/>
          <w:kern w:val="2"/>
          <w:sz w:val="24"/>
          <w:szCs w:val="24"/>
          <w:highlight w:val="none"/>
        </w:rPr>
        <w:t>未按照</w:t>
      </w:r>
      <w:r>
        <w:rPr>
          <w:rFonts w:hint="default" w:ascii="Times New Roman" w:hAnsi="Times New Roman" w:eastAsia="方正仿宋_GBK" w:cs="Times New Roman"/>
          <w:color w:val="auto"/>
          <w:kern w:val="2"/>
          <w:sz w:val="24"/>
          <w:szCs w:val="24"/>
          <w:highlight w:val="none"/>
          <w:lang w:val="en-US" w:eastAsia="zh-CN"/>
        </w:rPr>
        <w:t>本协议</w:t>
      </w:r>
      <w:r>
        <w:rPr>
          <w:rFonts w:hint="default" w:ascii="Times New Roman" w:hAnsi="Times New Roman" w:eastAsia="方正仿宋_GBK" w:cs="Times New Roman"/>
          <w:color w:val="auto"/>
          <w:kern w:val="2"/>
          <w:sz w:val="24"/>
          <w:szCs w:val="24"/>
          <w:highlight w:val="none"/>
        </w:rPr>
        <w:t>约定提交履约保函，则向</w:t>
      </w:r>
      <w:r>
        <w:rPr>
          <w:rFonts w:hint="default" w:ascii="Times New Roman" w:hAnsi="Times New Roman" w:eastAsia="方正仿宋_GBK" w:cs="Times New Roman"/>
          <w:color w:val="auto"/>
          <w:kern w:val="2"/>
          <w:sz w:val="24"/>
          <w:szCs w:val="24"/>
          <w:highlight w:val="none"/>
          <w:lang w:val="en-US" w:eastAsia="zh-CN"/>
        </w:rPr>
        <w:t>甲方</w:t>
      </w:r>
      <w:r>
        <w:rPr>
          <w:rFonts w:hint="default" w:ascii="Times New Roman" w:hAnsi="Times New Roman" w:eastAsia="方正仿宋_GBK" w:cs="Times New Roman"/>
          <w:color w:val="auto"/>
          <w:kern w:val="2"/>
          <w:sz w:val="24"/>
          <w:szCs w:val="24"/>
          <w:highlight w:val="none"/>
        </w:rPr>
        <w:t>承担未到位的履约保函资金每日万分之三的违约金，违约金额累计不超过</w:t>
      </w:r>
      <w:r>
        <w:rPr>
          <w:rFonts w:hint="default" w:ascii="Times New Roman" w:hAnsi="Times New Roman" w:eastAsia="方正仿宋_GBK" w:cs="Times New Roman"/>
          <w:color w:val="auto"/>
          <w:kern w:val="2"/>
          <w:sz w:val="24"/>
          <w:szCs w:val="24"/>
          <w:highlight w:val="none"/>
          <w:lang w:val="en-US" w:eastAsia="zh-CN"/>
        </w:rPr>
        <w:t>保函金额</w:t>
      </w:r>
      <w:r>
        <w:rPr>
          <w:rFonts w:hint="default" w:ascii="Times New Roman" w:hAnsi="Times New Roman" w:eastAsia="方正仿宋_GBK" w:cs="Times New Roman"/>
          <w:color w:val="auto"/>
          <w:kern w:val="2"/>
          <w:sz w:val="24"/>
          <w:szCs w:val="24"/>
          <w:highlight w:val="none"/>
        </w:rPr>
        <w:t>的百分之三（3%），延误期不计取财务费用。违约</w:t>
      </w:r>
      <w:r>
        <w:rPr>
          <w:rFonts w:hint="eastAsia" w:ascii="Times New Roman" w:hAnsi="Times New Roman" w:eastAsia="方正仿宋_GBK" w:cs="Times New Roman"/>
          <w:color w:val="auto"/>
          <w:kern w:val="0"/>
          <w:sz w:val="24"/>
          <w:szCs w:val="24"/>
          <w:highlight w:val="none"/>
        </w:rPr>
        <w:t>超过</w:t>
      </w:r>
      <w:r>
        <w:rPr>
          <w:rFonts w:hint="default" w:ascii="Times New Roman" w:hAnsi="Times New Roman" w:eastAsia="方正仿宋_GBK" w:cs="Times New Roman"/>
          <w:color w:val="auto"/>
          <w:kern w:val="2"/>
          <w:sz w:val="24"/>
          <w:szCs w:val="24"/>
          <w:highlight w:val="none"/>
        </w:rPr>
        <w:t>三（3）个月期限，政府方有权取消中标特许经营者的中标资格或按照</w:t>
      </w:r>
      <w:r>
        <w:rPr>
          <w:rFonts w:hint="default" w:ascii="Times New Roman" w:hAnsi="Times New Roman" w:eastAsia="方正仿宋_GBK" w:cs="Times New Roman"/>
          <w:color w:val="auto"/>
          <w:kern w:val="2"/>
          <w:sz w:val="24"/>
          <w:szCs w:val="24"/>
          <w:highlight w:val="none"/>
          <w:lang w:eastAsia="zh-CN"/>
        </w:rPr>
        <w:t>特许经营者/</w:t>
      </w:r>
      <w:r>
        <w:rPr>
          <w:rFonts w:hint="eastAsia" w:ascii="Times New Roman" w:hAnsi="Times New Roman" w:eastAsia="方正仿宋_GBK" w:cs="Times New Roman"/>
          <w:color w:val="auto"/>
          <w:kern w:val="2"/>
          <w:sz w:val="24"/>
          <w:szCs w:val="24"/>
          <w:highlight w:val="none"/>
          <w:lang w:eastAsia="zh-CN"/>
        </w:rPr>
        <w:t>乙方</w:t>
      </w:r>
      <w:r>
        <w:rPr>
          <w:rFonts w:hint="default" w:ascii="Times New Roman" w:hAnsi="Times New Roman" w:eastAsia="方正仿宋_GBK" w:cs="Times New Roman"/>
          <w:color w:val="auto"/>
          <w:kern w:val="2"/>
          <w:sz w:val="24"/>
          <w:szCs w:val="24"/>
          <w:highlight w:val="none"/>
        </w:rPr>
        <w:t>违约进行提前终止</w:t>
      </w:r>
      <w:r>
        <w:rPr>
          <w:rFonts w:hint="default" w:ascii="Times New Roman" w:hAnsi="Times New Roman" w:eastAsia="方正仿宋_GBK" w:cs="Times New Roman"/>
          <w:caps w:val="0"/>
          <w:smallCaps w:val="0"/>
          <w:color w:val="auto"/>
          <w:kern w:val="0"/>
          <w:sz w:val="24"/>
          <w:szCs w:val="24"/>
          <w:highlight w:val="none"/>
        </w:rPr>
        <w:t>。</w:t>
      </w:r>
    </w:p>
    <w:p w14:paraId="0B714487">
      <w:pPr>
        <w:keepNext w:val="0"/>
        <w:keepLines w:val="0"/>
        <w:pageBreakBefore w:val="0"/>
        <w:widowControl w:val="0"/>
        <w:numPr>
          <w:ilvl w:val="0"/>
          <w:numId w:val="0"/>
        </w:numPr>
        <w:tabs>
          <w:tab w:val="left" w:pos="142"/>
        </w:tabs>
        <w:kinsoku/>
        <w:wordWrap/>
        <w:overflowPunct/>
        <w:topLinePunct w:val="0"/>
        <w:autoSpaceDE w:val="0"/>
        <w:autoSpaceDN w:val="0"/>
        <w:bidi w:val="0"/>
        <w:adjustRightInd w:val="0"/>
        <w:snapToGrid w:val="0"/>
        <w:spacing w:before="0" w:beforeLines="0" w:after="0" w:afterLines="0" w:line="360" w:lineRule="auto"/>
        <w:ind w:left="0" w:firstLine="560" w:firstLineChars="0"/>
        <w:textAlignment w:val="baseline"/>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b w:val="0"/>
          <w:bCs w:val="0"/>
          <w:caps w:val="0"/>
          <w:smallCaps w:val="0"/>
          <w:color w:val="auto"/>
          <w:kern w:val="0"/>
          <w:sz w:val="24"/>
          <w:szCs w:val="24"/>
          <w:highlight w:val="none"/>
          <w:lang w:val="en-US" w:eastAsia="zh-CN" w:bidi="ar-SA"/>
        </w:rPr>
        <w:t>（3）</w:t>
      </w:r>
      <w:r>
        <w:rPr>
          <w:rFonts w:hint="default" w:ascii="Times New Roman" w:hAnsi="Times New Roman" w:eastAsia="方正仿宋_GBK" w:cs="Times New Roman"/>
          <w:caps w:val="0"/>
          <w:smallCaps w:val="0"/>
          <w:color w:val="auto"/>
          <w:kern w:val="0"/>
          <w:sz w:val="24"/>
          <w:szCs w:val="24"/>
          <w:highlight w:val="none"/>
          <w:lang w:val="en-US" w:eastAsia="zh-CN"/>
        </w:rPr>
        <w:t>若乙方未按照本协议约定负责</w:t>
      </w:r>
      <w:r>
        <w:rPr>
          <w:rFonts w:hint="default" w:ascii="Times New Roman" w:hAnsi="Times New Roman" w:eastAsia="方正仿宋_GBK" w:cs="Times New Roman"/>
          <w:color w:val="auto"/>
          <w:kern w:val="2"/>
          <w:sz w:val="24"/>
          <w:szCs w:val="24"/>
          <w:highlight w:val="none"/>
        </w:rPr>
        <w:t>本项目的投资、</w:t>
      </w:r>
      <w:r>
        <w:rPr>
          <w:rFonts w:hint="default" w:ascii="Times New Roman" w:hAnsi="Times New Roman" w:eastAsia="方正仿宋_GBK" w:cs="Times New Roman"/>
          <w:color w:val="auto"/>
          <w:kern w:val="2"/>
          <w:sz w:val="24"/>
          <w:szCs w:val="24"/>
          <w:highlight w:val="none"/>
          <w:lang w:val="en-US" w:eastAsia="zh-CN"/>
        </w:rPr>
        <w:t>转让费支付</w:t>
      </w:r>
      <w:r>
        <w:rPr>
          <w:rFonts w:hint="default" w:ascii="Times New Roman" w:hAnsi="Times New Roman" w:eastAsia="方正仿宋_GBK" w:cs="Times New Roman"/>
          <w:color w:val="auto"/>
          <w:kern w:val="2"/>
          <w:sz w:val="24"/>
          <w:szCs w:val="24"/>
          <w:highlight w:val="none"/>
        </w:rPr>
        <w:t>、运营维护，履行合同项下的义务，包括</w:t>
      </w:r>
      <w:r>
        <w:rPr>
          <w:rFonts w:hint="eastAsia" w:ascii="Times New Roman" w:hAnsi="Times New Roman" w:eastAsia="方正仿宋_GBK" w:cs="Times New Roman"/>
          <w:color w:val="auto"/>
          <w:kern w:val="2"/>
          <w:sz w:val="24"/>
          <w:szCs w:val="24"/>
          <w:highlight w:val="none"/>
          <w:lang w:val="en-US" w:eastAsia="zh-CN"/>
        </w:rPr>
        <w:t>但不限于</w:t>
      </w:r>
      <w:r>
        <w:rPr>
          <w:rFonts w:hint="default" w:ascii="Times New Roman" w:hAnsi="Times New Roman" w:eastAsia="方正仿宋_GBK" w:cs="Times New Roman"/>
          <w:color w:val="auto"/>
          <w:kern w:val="2"/>
          <w:sz w:val="24"/>
          <w:szCs w:val="24"/>
          <w:highlight w:val="none"/>
        </w:rPr>
        <w:t>投资、</w:t>
      </w:r>
      <w:r>
        <w:rPr>
          <w:rFonts w:hint="default" w:ascii="Times New Roman" w:hAnsi="Times New Roman" w:eastAsia="方正仿宋_GBK" w:cs="Times New Roman"/>
          <w:color w:val="auto"/>
          <w:kern w:val="2"/>
          <w:sz w:val="24"/>
          <w:szCs w:val="24"/>
          <w:highlight w:val="none"/>
          <w:lang w:val="en-US" w:eastAsia="zh-CN"/>
        </w:rPr>
        <w:t>合同管理</w:t>
      </w:r>
      <w:r>
        <w:rPr>
          <w:rFonts w:hint="default" w:ascii="Times New Roman" w:hAnsi="Times New Roman" w:eastAsia="方正仿宋_GBK" w:cs="Times New Roman"/>
          <w:color w:val="auto"/>
          <w:kern w:val="2"/>
          <w:sz w:val="24"/>
          <w:szCs w:val="24"/>
          <w:highlight w:val="none"/>
        </w:rPr>
        <w:t>、财务管理、环境保护、档案信息管理、运营维护、项目移交等工作，</w:t>
      </w:r>
      <w:r>
        <w:rPr>
          <w:rFonts w:hint="default" w:ascii="Times New Roman" w:hAnsi="Times New Roman" w:eastAsia="方正仿宋_GBK" w:cs="Times New Roman"/>
          <w:color w:val="auto"/>
          <w:kern w:val="2"/>
          <w:sz w:val="24"/>
          <w:szCs w:val="24"/>
          <w:highlight w:val="none"/>
          <w:lang w:val="en-US" w:eastAsia="zh-CN"/>
        </w:rPr>
        <w:t>甲方</w:t>
      </w:r>
      <w:r>
        <w:rPr>
          <w:rFonts w:hint="default" w:ascii="Times New Roman" w:hAnsi="Times New Roman" w:eastAsia="方正仿宋_GBK" w:cs="Times New Roman"/>
          <w:color w:val="auto"/>
          <w:kern w:val="2"/>
          <w:sz w:val="24"/>
          <w:szCs w:val="24"/>
          <w:highlight w:val="none"/>
        </w:rPr>
        <w:t>有权根据</w:t>
      </w:r>
      <w:r>
        <w:rPr>
          <w:rFonts w:hint="eastAsia" w:ascii="Times New Roman" w:hAnsi="Times New Roman" w:eastAsia="方正仿宋_GBK" w:cs="Times New Roman"/>
          <w:color w:val="auto"/>
          <w:kern w:val="2"/>
          <w:sz w:val="24"/>
          <w:szCs w:val="24"/>
          <w:highlight w:val="none"/>
          <w:lang w:val="en-US" w:eastAsia="zh-CN"/>
        </w:rPr>
        <w:t>乙方未履约</w:t>
      </w:r>
      <w:r>
        <w:rPr>
          <w:rFonts w:hint="default" w:ascii="Times New Roman" w:hAnsi="Times New Roman" w:eastAsia="方正仿宋_GBK" w:cs="Times New Roman"/>
          <w:color w:val="auto"/>
          <w:kern w:val="2"/>
          <w:sz w:val="24"/>
          <w:szCs w:val="24"/>
          <w:highlight w:val="none"/>
          <w:lang w:val="en-US" w:eastAsia="zh-CN"/>
        </w:rPr>
        <w:t>造成甲方的损失</w:t>
      </w:r>
      <w:r>
        <w:rPr>
          <w:rFonts w:hint="default" w:ascii="Times New Roman" w:hAnsi="Times New Roman" w:eastAsia="方正仿宋_GBK" w:cs="Times New Roman"/>
          <w:color w:val="auto"/>
          <w:kern w:val="2"/>
          <w:sz w:val="24"/>
          <w:szCs w:val="24"/>
          <w:highlight w:val="none"/>
        </w:rPr>
        <w:t>提取相应的履约保函</w:t>
      </w:r>
      <w:r>
        <w:rPr>
          <w:rFonts w:hint="default" w:ascii="Times New Roman" w:hAnsi="Times New Roman" w:eastAsia="方正仿宋_GBK" w:cs="Times New Roman"/>
          <w:color w:val="auto"/>
          <w:kern w:val="2"/>
          <w:sz w:val="24"/>
          <w:szCs w:val="24"/>
          <w:highlight w:val="none"/>
          <w:lang w:eastAsia="zh-CN"/>
        </w:rPr>
        <w:t>。</w:t>
      </w:r>
    </w:p>
    <w:p w14:paraId="487B0B44">
      <w:pPr>
        <w:keepNext w:val="0"/>
        <w:keepLines w:val="0"/>
        <w:pageBreakBefore w:val="0"/>
        <w:widowControl w:val="0"/>
        <w:numPr>
          <w:ilvl w:val="0"/>
          <w:numId w:val="0"/>
        </w:numPr>
        <w:tabs>
          <w:tab w:val="left" w:pos="142"/>
        </w:tabs>
        <w:kinsoku/>
        <w:wordWrap/>
        <w:overflowPunct/>
        <w:topLinePunct w:val="0"/>
        <w:autoSpaceDE w:val="0"/>
        <w:autoSpaceDN w:val="0"/>
        <w:bidi w:val="0"/>
        <w:adjustRightInd w:val="0"/>
        <w:snapToGrid w:val="0"/>
        <w:spacing w:before="0" w:beforeLines="0" w:after="0" w:afterLines="0" w:line="360" w:lineRule="auto"/>
        <w:ind w:left="0" w:firstLine="560" w:firstLineChars="0"/>
        <w:textAlignment w:val="baseline"/>
        <w:rPr>
          <w:rFonts w:hint="default" w:ascii="Times New Roman" w:hAnsi="Times New Roman" w:eastAsia="方正仿宋_GBK" w:cs="Times New Roman"/>
          <w:caps w:val="0"/>
          <w:smallCaps w:val="0"/>
          <w:color w:val="auto"/>
          <w:kern w:val="0"/>
          <w:sz w:val="24"/>
          <w:szCs w:val="24"/>
          <w:highlight w:val="none"/>
        </w:rPr>
      </w:pPr>
      <w:r>
        <w:rPr>
          <w:rFonts w:hint="default" w:ascii="Times New Roman" w:hAnsi="Times New Roman" w:eastAsia="方正仿宋_GBK" w:cs="Times New Roman"/>
          <w:b w:val="0"/>
          <w:bCs w:val="0"/>
          <w:caps w:val="0"/>
          <w:smallCaps w:val="0"/>
          <w:color w:val="auto"/>
          <w:kern w:val="0"/>
          <w:sz w:val="24"/>
          <w:szCs w:val="24"/>
          <w:highlight w:val="none"/>
          <w:lang w:val="en-US" w:eastAsia="zh-CN" w:bidi="ar-SA"/>
        </w:rPr>
        <w:t>（4）</w:t>
      </w:r>
      <w:r>
        <w:rPr>
          <w:rFonts w:hint="default" w:ascii="Times New Roman" w:hAnsi="Times New Roman" w:eastAsia="方正仿宋_GBK" w:cs="Times New Roman"/>
          <w:caps w:val="0"/>
          <w:smallCaps w:val="0"/>
          <w:color w:val="auto"/>
          <w:kern w:val="0"/>
          <w:sz w:val="24"/>
          <w:szCs w:val="24"/>
          <w:highlight w:val="none"/>
        </w:rPr>
        <w:t>对于乙方违约情形未约定违约责任的，乙方应依法承担违约责任，但政府方就该等未约定违约责任的情形对乙方依法实施了行政处罚的除外。</w:t>
      </w:r>
    </w:p>
    <w:p w14:paraId="3DDA1AAB">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567"/>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default" w:ascii="Times New Roman" w:hAnsi="Times New Roman" w:eastAsia="宋体" w:cs="Times New Roman"/>
          <w:b/>
          <w:caps w:val="0"/>
          <w:smallCaps w:val="0"/>
          <w:color w:val="auto"/>
          <w:kern w:val="2"/>
          <w:sz w:val="24"/>
          <w:szCs w:val="24"/>
          <w:highlight w:val="none"/>
          <w:lang w:val="en-US" w:eastAsia="zh-CN" w:bidi="ar-SA"/>
        </w:rPr>
        <w:t>3.</w:t>
      </w:r>
      <w:r>
        <w:rPr>
          <w:rFonts w:hint="eastAsia" w:ascii="Times New Roman" w:hAnsi="Times New Roman" w:eastAsia="方正仿宋_GBK" w:cs="Times New Roman"/>
          <w:b/>
          <w:caps w:val="0"/>
          <w:smallCaps w:val="0"/>
          <w:color w:val="auto"/>
          <w:kern w:val="2"/>
          <w:sz w:val="24"/>
          <w:szCs w:val="24"/>
          <w:highlight w:val="none"/>
          <w:lang w:val="en-US" w:eastAsia="zh-CN" w:bidi="ar-SA"/>
        </w:rPr>
        <w:t>间接损失不赔</w:t>
      </w:r>
    </w:p>
    <w:p w14:paraId="6B722A76">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在任何情况下，各方仅对对方的直接损失承担违约责任，而不对根据本协议产生的或与其相关的任何违约情形而导致对方的任何间接的、商誉的、附带的、从属的或惩罚性的损失负赔偿责任，但法律和行政法规另有规定的除外。</w:t>
      </w:r>
    </w:p>
    <w:p w14:paraId="36BA7522">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567"/>
        <w:outlineLvl w:val="2"/>
        <w:rPr>
          <w:rFonts w:ascii="Times New Roman" w:hAnsi="Times New Roman" w:eastAsia="方正仿宋_GBK" w:cs="Times New Roman"/>
          <w:b/>
          <w:caps w:val="0"/>
          <w:smallCaps w:val="0"/>
          <w:color w:val="auto"/>
          <w:kern w:val="2"/>
          <w:sz w:val="24"/>
          <w:szCs w:val="24"/>
          <w:highlight w:val="none"/>
          <w:lang w:val="en-US" w:eastAsia="zh-CN" w:bidi="ar-SA"/>
        </w:rPr>
      </w:pPr>
      <w:r>
        <w:rPr>
          <w:rFonts w:hint="default" w:ascii="Times New Roman" w:hAnsi="Times New Roman" w:eastAsia="宋体" w:cs="Times New Roman"/>
          <w:b/>
          <w:caps w:val="0"/>
          <w:smallCaps w:val="0"/>
          <w:color w:val="auto"/>
          <w:kern w:val="2"/>
          <w:sz w:val="24"/>
          <w:szCs w:val="24"/>
          <w:highlight w:val="none"/>
          <w:lang w:val="en-US" w:eastAsia="zh-CN" w:bidi="ar-SA"/>
        </w:rPr>
        <w:t>4.</w:t>
      </w:r>
      <w:r>
        <w:rPr>
          <w:rFonts w:hint="eastAsia" w:ascii="Times New Roman" w:hAnsi="Times New Roman" w:eastAsia="方正仿宋_GBK" w:cs="Times New Roman"/>
          <w:b/>
          <w:caps w:val="0"/>
          <w:smallCaps w:val="0"/>
          <w:color w:val="auto"/>
          <w:kern w:val="2"/>
          <w:sz w:val="24"/>
          <w:szCs w:val="24"/>
          <w:highlight w:val="none"/>
          <w:lang w:val="en-US" w:eastAsia="zh-CN" w:bidi="ar-SA"/>
        </w:rPr>
        <w:t>责任上限</w:t>
      </w:r>
    </w:p>
    <w:p w14:paraId="607AF00E">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aps w:val="0"/>
          <w:smallCaps w:val="0"/>
          <w:color w:val="auto"/>
          <w:kern w:val="0"/>
          <w:sz w:val="24"/>
          <w:szCs w:val="24"/>
          <w:highlight w:val="none"/>
        </w:rPr>
      </w:pPr>
      <w:r>
        <w:rPr>
          <w:rFonts w:hint="eastAsia" w:ascii="Times New Roman" w:hAnsi="Times New Roman" w:eastAsia="方正仿宋_GBK"/>
          <w:caps w:val="0"/>
          <w:smallCaps w:val="0"/>
          <w:color w:val="auto"/>
          <w:kern w:val="0"/>
          <w:sz w:val="24"/>
          <w:szCs w:val="24"/>
          <w:highlight w:val="none"/>
        </w:rPr>
        <w:t>除非本协议另有约定，乙方对甲方的违约金总额不应超过乙方通过项目运营已经实际收取到的项目收入的</w:t>
      </w:r>
      <w:r>
        <w:rPr>
          <w:rFonts w:hint="eastAsia" w:ascii="Times New Roman" w:hAnsi="Times New Roman" w:eastAsia="方正仿宋_GBK"/>
          <w:caps w:val="0"/>
          <w:smallCaps w:val="0"/>
          <w:color w:val="auto"/>
          <w:kern w:val="0"/>
          <w:sz w:val="24"/>
          <w:szCs w:val="24"/>
          <w:highlight w:val="none"/>
          <w:lang w:val="en-US" w:eastAsia="zh-CN"/>
        </w:rPr>
        <w:t>30</w:t>
      </w:r>
      <w:r>
        <w:rPr>
          <w:rFonts w:hint="default" w:ascii="Times New Roman" w:hAnsi="Times New Roman" w:eastAsia="方正仿宋_GBK"/>
          <w:caps w:val="0"/>
          <w:smallCaps w:val="0"/>
          <w:color w:val="auto"/>
          <w:kern w:val="0"/>
          <w:sz w:val="24"/>
          <w:szCs w:val="24"/>
          <w:highlight w:val="none"/>
        </w:rPr>
        <w:t>%</w:t>
      </w:r>
      <w:r>
        <w:rPr>
          <w:rFonts w:hint="eastAsia" w:ascii="Times New Roman" w:hAnsi="Times New Roman" w:eastAsia="方正仿宋_GBK"/>
          <w:caps w:val="0"/>
          <w:smallCaps w:val="0"/>
          <w:color w:val="auto"/>
          <w:kern w:val="0"/>
          <w:sz w:val="24"/>
          <w:szCs w:val="24"/>
          <w:highlight w:val="none"/>
        </w:rPr>
        <w:t>或乙方向甲方递交的履约保函金额（以孰高者为准）。</w:t>
      </w:r>
    </w:p>
    <w:p w14:paraId="26CF970E">
      <w:pPr>
        <w:numPr>
          <w:ilvl w:val="0"/>
          <w:numId w:val="0"/>
        </w:numPr>
        <w:spacing w:before="156" w:after="156"/>
        <w:ind w:left="0" w:firstLine="0"/>
        <w:jc w:val="center"/>
        <w:outlineLvl w:val="0"/>
        <w:rPr>
          <w:rFonts w:hint="eastAsia" w:ascii="Times New Roman" w:hAnsi="Times New Roman" w:eastAsia="方正黑体_GBK" w:cs="方正黑体_GBK"/>
          <w:caps w:val="0"/>
          <w:smallCaps w:val="0"/>
          <w:color w:val="auto"/>
          <w:kern w:val="2"/>
          <w:sz w:val="28"/>
          <w:szCs w:val="28"/>
          <w:highlight w:val="none"/>
          <w:lang w:val="en-US" w:eastAsia="zh-CN" w:bidi="ar-SA"/>
        </w:rPr>
      </w:pPr>
      <w:r>
        <w:rPr>
          <w:rFonts w:ascii="Times New Roman" w:hAnsi="Times New Roman" w:eastAsia="方正仿宋_GBK" w:cs="Times New Roman"/>
          <w:caps w:val="0"/>
          <w:smallCaps w:val="0"/>
          <w:color w:val="auto"/>
          <w:kern w:val="0"/>
          <w:sz w:val="28"/>
          <w:szCs w:val="28"/>
          <w:highlight w:val="none"/>
          <w:lang w:val="en-US" w:eastAsia="zh-CN" w:bidi="ar-SA"/>
        </w:rPr>
        <w:br w:type="page"/>
      </w:r>
      <w:bookmarkStart w:id="446" w:name="_Toc19626"/>
      <w:bookmarkStart w:id="447" w:name="_Toc182571816"/>
      <w:bookmarkStart w:id="448" w:name="_Toc30702"/>
      <w:r>
        <w:rPr>
          <w:rFonts w:hint="eastAsia" w:ascii="Times New Roman" w:hAnsi="Times New Roman" w:eastAsia="方正黑体_GBK" w:cs="方正黑体_GBK"/>
          <w:caps w:val="0"/>
          <w:smallCaps w:val="0"/>
          <w:color w:val="auto"/>
          <w:kern w:val="2"/>
          <w:sz w:val="28"/>
          <w:szCs w:val="28"/>
          <w:highlight w:val="none"/>
          <w:lang w:val="en-US" w:eastAsia="zh-CN" w:bidi="ar-SA"/>
        </w:rPr>
        <w:t>第十三章 争议解决</w:t>
      </w:r>
      <w:bookmarkEnd w:id="446"/>
      <w:bookmarkEnd w:id="447"/>
      <w:bookmarkEnd w:id="448"/>
    </w:p>
    <w:p w14:paraId="26F40143">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449" w:name="_Toc1133923870"/>
      <w:bookmarkStart w:id="450" w:name="_Toc402428981"/>
      <w:bookmarkStart w:id="451" w:name="_Toc21017"/>
      <w:bookmarkStart w:id="452" w:name="_Toc32461"/>
      <w:bookmarkStart w:id="453" w:name="_Toc405146895"/>
      <w:r>
        <w:rPr>
          <w:rFonts w:hint="eastAsia" w:ascii="Times New Roman" w:hAnsi="Times New Roman" w:eastAsia="方正黑体_GBK" w:cs="方正黑体_GBK"/>
          <w:bCs/>
          <w:caps w:val="0"/>
          <w:smallCaps w:val="0"/>
          <w:color w:val="auto"/>
          <w:kern w:val="2"/>
          <w:sz w:val="28"/>
          <w:szCs w:val="28"/>
          <w:highlight w:val="none"/>
          <w:lang w:val="en-US" w:eastAsia="zh-CN" w:bidi="ar-SA"/>
        </w:rPr>
        <w:t>第63条 争议解决方式</w:t>
      </w:r>
      <w:bookmarkEnd w:id="449"/>
      <w:bookmarkEnd w:id="450"/>
      <w:bookmarkEnd w:id="451"/>
      <w:bookmarkEnd w:id="452"/>
      <w:bookmarkEnd w:id="453"/>
    </w:p>
    <w:p w14:paraId="4BC9AD8F">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567"/>
        <w:outlineLvl w:val="2"/>
        <w:rPr>
          <w:rFonts w:ascii="Times New Roman" w:hAnsi="Times New Roman" w:eastAsia="方正仿宋_GBK" w:cs="Times New Roman"/>
          <w:b/>
          <w:caps w:val="0"/>
          <w:smallCaps w:val="0"/>
          <w:color w:val="auto"/>
          <w:kern w:val="2"/>
          <w:sz w:val="24"/>
          <w:szCs w:val="24"/>
          <w:highlight w:val="none"/>
          <w:lang w:val="en-US" w:eastAsia="zh-CN" w:bidi="ar-SA"/>
        </w:rPr>
      </w:pPr>
      <w:bookmarkStart w:id="454" w:name="_Toc149470843"/>
      <w:bookmarkStart w:id="455" w:name="_Toc405146896"/>
      <w:bookmarkStart w:id="456" w:name="_Toc402428982"/>
      <w:r>
        <w:rPr>
          <w:rFonts w:hint="default" w:ascii="Times New Roman" w:hAnsi="Times New Roman" w:eastAsia="宋体" w:cs="Times New Roman"/>
          <w:b/>
          <w:caps w:val="0"/>
          <w:smallCaps w:val="0"/>
          <w:color w:val="auto"/>
          <w:kern w:val="2"/>
          <w:sz w:val="24"/>
          <w:szCs w:val="24"/>
          <w:highlight w:val="none"/>
          <w:lang w:val="en-US" w:eastAsia="zh-CN" w:bidi="ar-SA"/>
        </w:rPr>
        <w:t>1.</w:t>
      </w:r>
      <w:r>
        <w:rPr>
          <w:rFonts w:hint="eastAsia" w:ascii="Times New Roman" w:hAnsi="Times New Roman" w:eastAsia="方正仿宋_GBK" w:cs="Times New Roman"/>
          <w:b/>
          <w:caps w:val="0"/>
          <w:smallCaps w:val="0"/>
          <w:color w:val="auto"/>
          <w:kern w:val="2"/>
          <w:sz w:val="24"/>
          <w:szCs w:val="24"/>
          <w:highlight w:val="none"/>
          <w:lang w:val="en-US" w:eastAsia="zh-CN" w:bidi="ar-SA"/>
        </w:rPr>
        <w:t>协商解决分歧</w:t>
      </w:r>
      <w:bookmarkEnd w:id="454"/>
    </w:p>
    <w:p w14:paraId="09A644D5">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aps w:val="0"/>
          <w:smallCaps w:val="0"/>
          <w:color w:val="auto"/>
          <w:kern w:val="0"/>
          <w:sz w:val="24"/>
          <w:szCs w:val="24"/>
          <w:highlight w:val="none"/>
          <w:lang w:val="en-US" w:eastAsia="zh-CN"/>
        </w:rPr>
      </w:pPr>
      <w:r>
        <w:rPr>
          <w:rFonts w:hint="eastAsia" w:ascii="Times New Roman" w:hAnsi="Times New Roman" w:eastAsia="方正仿宋_GBK"/>
          <w:caps w:val="0"/>
          <w:smallCaps w:val="0"/>
          <w:color w:val="auto"/>
          <w:kern w:val="0"/>
          <w:sz w:val="24"/>
          <w:szCs w:val="24"/>
          <w:highlight w:val="none"/>
        </w:rPr>
        <w:t>若甲</w:t>
      </w:r>
      <w:r>
        <w:rPr>
          <w:rFonts w:hint="eastAsia" w:ascii="Times New Roman" w:hAnsi="Times New Roman" w:eastAsia="方正仿宋_GBK"/>
          <w:caps w:val="0"/>
          <w:smallCaps w:val="0"/>
          <w:color w:val="auto"/>
          <w:kern w:val="0"/>
          <w:sz w:val="24"/>
          <w:szCs w:val="24"/>
          <w:highlight w:val="none"/>
          <w:lang w:eastAsia="zh-CN"/>
        </w:rPr>
        <w:t>、</w:t>
      </w:r>
      <w:r>
        <w:rPr>
          <w:rFonts w:hint="eastAsia" w:ascii="Times New Roman" w:hAnsi="Times New Roman" w:eastAsia="方正仿宋_GBK"/>
          <w:caps w:val="0"/>
          <w:smallCaps w:val="0"/>
          <w:color w:val="auto"/>
          <w:kern w:val="0"/>
          <w:sz w:val="24"/>
          <w:szCs w:val="24"/>
          <w:highlight w:val="none"/>
        </w:rPr>
        <w:t>乙双方对于由于本协议条款引起或与本协议有关的条款的解释，包括关于其存在、有效或终止的任何问题产生任何争议，应尽力通过友好协商解决、调解等形式解决该等争议。</w:t>
      </w:r>
    </w:p>
    <w:p w14:paraId="65B1CE1D">
      <w:pPr>
        <w:keepNext w:val="0"/>
        <w:keepLines w:val="0"/>
        <w:pageBreakBefore w:val="0"/>
        <w:widowControl w:val="0"/>
        <w:numPr>
          <w:ilvl w:val="2"/>
          <w:numId w:val="0"/>
        </w:numPr>
        <w:kinsoku/>
        <w:wordWrap/>
        <w:overflowPunct/>
        <w:topLinePunct w:val="0"/>
        <w:bidi w:val="0"/>
        <w:adjustRightInd w:val="0"/>
        <w:snapToGrid w:val="0"/>
        <w:spacing w:before="0" w:beforeLines="0" w:after="0" w:afterLines="0" w:line="360" w:lineRule="auto"/>
        <w:ind w:firstLine="567"/>
        <w:outlineLvl w:val="2"/>
        <w:rPr>
          <w:rFonts w:ascii="Times New Roman" w:hAnsi="Times New Roman" w:eastAsia="方正仿宋_GBK" w:cs="Times New Roman"/>
          <w:b/>
          <w:caps w:val="0"/>
          <w:smallCaps w:val="0"/>
          <w:color w:val="auto"/>
          <w:kern w:val="2"/>
          <w:sz w:val="24"/>
          <w:szCs w:val="24"/>
          <w:highlight w:val="none"/>
          <w:lang w:val="en-US" w:eastAsia="zh-CN" w:bidi="ar-SA"/>
        </w:rPr>
      </w:pPr>
      <w:bookmarkStart w:id="457" w:name="_bookmark175"/>
      <w:bookmarkEnd w:id="457"/>
      <w:bookmarkStart w:id="458" w:name="_bookmark195"/>
      <w:bookmarkEnd w:id="458"/>
      <w:r>
        <w:rPr>
          <w:rFonts w:hint="default" w:ascii="Times New Roman" w:hAnsi="Times New Roman" w:eastAsia="宋体" w:cs="Times New Roman"/>
          <w:b/>
          <w:caps w:val="0"/>
          <w:smallCaps w:val="0"/>
          <w:color w:val="auto"/>
          <w:kern w:val="2"/>
          <w:sz w:val="24"/>
          <w:szCs w:val="24"/>
          <w:highlight w:val="none"/>
          <w:lang w:val="en-US" w:eastAsia="zh-CN" w:bidi="ar-SA"/>
        </w:rPr>
        <w:t>2.</w:t>
      </w:r>
      <w:r>
        <w:rPr>
          <w:rFonts w:hint="eastAsia" w:ascii="Times New Roman" w:hAnsi="Times New Roman" w:eastAsia="方正仿宋_GBK" w:cs="Times New Roman"/>
          <w:b/>
          <w:caps w:val="0"/>
          <w:smallCaps w:val="0"/>
          <w:color w:val="auto"/>
          <w:kern w:val="2"/>
          <w:sz w:val="24"/>
          <w:szCs w:val="24"/>
          <w:highlight w:val="none"/>
          <w:lang w:val="en-US" w:eastAsia="zh-CN" w:bidi="ar-SA"/>
        </w:rPr>
        <w:t>争议解决方式</w:t>
      </w:r>
    </w:p>
    <w:p w14:paraId="7396BDD6">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default"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0"/>
          <w:sz w:val="24"/>
          <w:szCs w:val="24"/>
          <w:highlight w:val="none"/>
        </w:rPr>
        <w:t>除本协议另有规定，若在尝试友好协商解决后</w:t>
      </w:r>
      <w:r>
        <w:rPr>
          <w:rFonts w:hint="eastAsia" w:ascii="Times New Roman" w:hAnsi="Times New Roman" w:eastAsia="方正仿宋_GBK"/>
          <w:caps w:val="0"/>
          <w:smallCaps w:val="0"/>
          <w:color w:val="auto"/>
          <w:kern w:val="0"/>
          <w:sz w:val="24"/>
          <w:szCs w:val="24"/>
          <w:highlight w:val="none"/>
          <w:lang w:val="en-US" w:eastAsia="zh-CN"/>
        </w:rPr>
        <w:t>60</w:t>
      </w:r>
      <w:r>
        <w:rPr>
          <w:rFonts w:hint="eastAsia" w:ascii="Times New Roman" w:hAnsi="Times New Roman" w:eastAsia="方正仿宋_GBK"/>
          <w:caps w:val="0"/>
          <w:smallCaps w:val="0"/>
          <w:color w:val="auto"/>
          <w:kern w:val="0"/>
          <w:sz w:val="24"/>
          <w:szCs w:val="24"/>
          <w:highlight w:val="none"/>
        </w:rPr>
        <w:t>日内该争议未能得到友好协商解决，则除依法依规提起行政复议外，本协议各方可依法将争议提交有管辖权的</w:t>
      </w:r>
      <w:r>
        <w:rPr>
          <w:rFonts w:hint="eastAsia" w:ascii="Times New Roman" w:hAnsi="Times New Roman" w:eastAsia="方正仿宋_GBK"/>
          <w:caps w:val="0"/>
          <w:smallCaps w:val="0"/>
          <w:color w:val="auto"/>
          <w:kern w:val="0"/>
          <w:sz w:val="24"/>
          <w:szCs w:val="24"/>
          <w:highlight w:val="none"/>
          <w:lang w:val="en-US" w:eastAsia="zh-CN"/>
        </w:rPr>
        <w:t>项目所在地</w:t>
      </w:r>
      <w:r>
        <w:rPr>
          <w:rFonts w:hint="eastAsia" w:ascii="Times New Roman" w:hAnsi="Times New Roman" w:eastAsia="方正仿宋_GBK"/>
          <w:caps w:val="0"/>
          <w:smallCaps w:val="0"/>
          <w:color w:val="auto"/>
          <w:kern w:val="0"/>
          <w:sz w:val="24"/>
          <w:szCs w:val="24"/>
          <w:highlight w:val="none"/>
        </w:rPr>
        <w:t>人民法院进行诉讼。</w:t>
      </w:r>
    </w:p>
    <w:p w14:paraId="4CE1F976">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eastAsia" w:ascii="Times New Roman" w:hAnsi="Times New Roman" w:eastAsia="方正仿宋_GBK"/>
          <w:caps w:val="0"/>
          <w:smallCaps w:val="0"/>
          <w:color w:val="auto"/>
          <w:kern w:val="2"/>
          <w:sz w:val="24"/>
          <w:szCs w:val="24"/>
          <w:highlight w:val="none"/>
        </w:rPr>
      </w:pPr>
      <w:r>
        <w:rPr>
          <w:rFonts w:hint="eastAsia" w:ascii="Times New Roman" w:hAnsi="Times New Roman" w:eastAsia="方正仿宋_GBK"/>
          <w:caps w:val="0"/>
          <w:smallCaps w:val="0"/>
          <w:color w:val="auto"/>
          <w:kern w:val="2"/>
          <w:sz w:val="24"/>
          <w:szCs w:val="24"/>
          <w:highlight w:val="none"/>
        </w:rPr>
        <w:t>尽管有前述约定，本协议各方特别确认前述争议解决条款仅适用于本协议下的争议，而不能自动适用于与履行本项目相关的其他协议。</w:t>
      </w:r>
    </w:p>
    <w:p w14:paraId="1081A77E">
      <w:pPr>
        <w:keepNext w:val="0"/>
        <w:keepLines w:val="0"/>
        <w:pageBreakBefore w:val="0"/>
        <w:widowControl w:val="0"/>
        <w:kinsoku/>
        <w:wordWrap/>
        <w:overflowPunct/>
        <w:topLinePunct w:val="0"/>
        <w:bidi w:val="0"/>
        <w:adjustRightInd w:val="0"/>
        <w:snapToGrid w:val="0"/>
        <w:spacing w:before="0" w:beforeLines="0" w:beforeAutospacing="0" w:after="0" w:afterLines="0" w:afterAutospacing="0" w:line="360" w:lineRule="auto"/>
        <w:ind w:firstLine="480" w:firstLineChars="200"/>
        <w:rPr>
          <w:rFonts w:hint="eastAsia" w:ascii="Times New Roman" w:hAnsi="Times New Roman" w:eastAsia="方正仿宋_GBK"/>
          <w:caps w:val="0"/>
          <w:smallCaps w:val="0"/>
          <w:color w:val="auto"/>
          <w:kern w:val="2"/>
          <w:sz w:val="28"/>
          <w:szCs w:val="28"/>
          <w:highlight w:val="none"/>
        </w:rPr>
      </w:pPr>
      <w:r>
        <w:rPr>
          <w:rFonts w:hint="eastAsia" w:ascii="Times New Roman" w:hAnsi="Times New Roman" w:eastAsia="方正仿宋_GBK"/>
          <w:caps w:val="0"/>
          <w:smallCaps w:val="0"/>
          <w:color w:val="auto"/>
          <w:kern w:val="2"/>
          <w:sz w:val="24"/>
          <w:szCs w:val="24"/>
          <w:highlight w:val="none"/>
        </w:rPr>
        <w:t>本条约定不得减损外国投资者根据其本国与中国之间有效的投资协定将相关争端提交国际投资仲裁程序的权利。</w:t>
      </w:r>
    </w:p>
    <w:p w14:paraId="3163ADA6">
      <w:pPr>
        <w:keepNext w:val="0"/>
        <w:keepLines w:val="0"/>
        <w:pageBreakBefore w:val="0"/>
        <w:widowControl w:val="0"/>
        <w:numPr>
          <w:ilvl w:val="0"/>
          <w:numId w:val="0"/>
        </w:numPr>
        <w:kinsoku/>
        <w:wordWrap/>
        <w:overflowPunct/>
        <w:topLinePunct w:val="0"/>
        <w:bidi w:val="0"/>
        <w:adjustRightInd/>
        <w:snapToGrid/>
        <w:spacing w:before="0" w:beforeLines="0" w:beforeAutospacing="0" w:after="0" w:afterLines="0" w:afterAutospacing="0" w:line="360" w:lineRule="auto"/>
        <w:ind w:firstLine="560" w:firstLineChars="200"/>
        <w:jc w:val="both"/>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459" w:name="_Toc10522"/>
      <w:bookmarkStart w:id="460" w:name="_Toc19428"/>
      <w:bookmarkStart w:id="461" w:name="_Toc121532250"/>
      <w:r>
        <w:rPr>
          <w:rFonts w:hint="eastAsia" w:ascii="Times New Roman" w:hAnsi="Times New Roman" w:eastAsia="方正黑体_GBK" w:cs="方正黑体_GBK"/>
          <w:bCs/>
          <w:caps w:val="0"/>
          <w:smallCaps w:val="0"/>
          <w:color w:val="auto"/>
          <w:kern w:val="2"/>
          <w:sz w:val="28"/>
          <w:szCs w:val="28"/>
          <w:highlight w:val="none"/>
          <w:lang w:val="en-US" w:eastAsia="zh-CN" w:bidi="ar-SA"/>
        </w:rPr>
        <w:t>第64条 争议期间的协议履行</w:t>
      </w:r>
      <w:bookmarkEnd w:id="455"/>
      <w:bookmarkEnd w:id="456"/>
      <w:bookmarkEnd w:id="459"/>
      <w:bookmarkEnd w:id="460"/>
      <w:bookmarkEnd w:id="461"/>
    </w:p>
    <w:p w14:paraId="00EBCF4C">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aps w:val="0"/>
          <w:smallCaps w:val="0"/>
          <w:color w:val="auto"/>
          <w:kern w:val="0"/>
          <w:sz w:val="24"/>
          <w:szCs w:val="28"/>
          <w:highlight w:val="none"/>
        </w:rPr>
      </w:pPr>
      <w:r>
        <w:rPr>
          <w:rFonts w:hint="eastAsia" w:ascii="Times New Roman" w:hAnsi="Times New Roman" w:eastAsia="方正仿宋_GBK"/>
          <w:caps w:val="0"/>
          <w:smallCaps w:val="0"/>
          <w:color w:val="auto"/>
          <w:kern w:val="0"/>
          <w:sz w:val="24"/>
          <w:szCs w:val="24"/>
          <w:highlight w:val="none"/>
        </w:rPr>
        <w:t>争议解决期间协议各方对协议无争议的部分应继续履行；除适用法律规定或另有约定外，任何一方不得以发生争议为由，停止项目运营服务、停止支付费用、停止项目运营支持服务或采取其他影响公共利益的措施。</w:t>
      </w:r>
    </w:p>
    <w:p w14:paraId="1F01C5D4">
      <w:pPr>
        <w:numPr>
          <w:ilvl w:val="0"/>
          <w:numId w:val="0"/>
        </w:numPr>
        <w:spacing w:before="156" w:after="156"/>
        <w:ind w:left="0" w:firstLine="0"/>
        <w:jc w:val="center"/>
        <w:outlineLvl w:val="0"/>
        <w:rPr>
          <w:rFonts w:hint="eastAsia" w:ascii="Times New Roman" w:hAnsi="Times New Roman" w:eastAsia="方正黑体_GBK" w:cs="方正黑体_GBK"/>
          <w:caps w:val="0"/>
          <w:smallCaps w:val="0"/>
          <w:color w:val="auto"/>
          <w:kern w:val="2"/>
          <w:sz w:val="28"/>
          <w:szCs w:val="28"/>
          <w:highlight w:val="none"/>
          <w:lang w:val="en-US" w:eastAsia="zh-CN" w:bidi="ar-SA"/>
        </w:rPr>
      </w:pPr>
      <w:r>
        <w:rPr>
          <w:rFonts w:ascii="Times New Roman" w:hAnsi="Times New Roman" w:eastAsia="方正仿宋_GBK" w:cs="Times New Roman"/>
          <w:caps w:val="0"/>
          <w:smallCaps w:val="0"/>
          <w:color w:val="auto"/>
          <w:kern w:val="2"/>
          <w:sz w:val="28"/>
          <w:szCs w:val="32"/>
          <w:highlight w:val="none"/>
          <w:lang w:val="en-US" w:eastAsia="zh-CN" w:bidi="ar-SA"/>
        </w:rPr>
        <w:br w:type="page"/>
      </w:r>
      <w:bookmarkStart w:id="462" w:name="_Toc402428984"/>
      <w:bookmarkStart w:id="463" w:name="_Toc402347775"/>
      <w:bookmarkStart w:id="464" w:name="_Toc405146897"/>
      <w:bookmarkStart w:id="465" w:name="_Toc32450"/>
      <w:bookmarkStart w:id="466" w:name="_Toc11404"/>
      <w:bookmarkStart w:id="467" w:name="_Toc402355505"/>
      <w:bookmarkStart w:id="468" w:name="_Toc1868791831"/>
      <w:r>
        <w:rPr>
          <w:rFonts w:hint="eastAsia" w:ascii="Times New Roman" w:hAnsi="Times New Roman" w:eastAsia="方正黑体_GBK" w:cs="方正黑体_GBK"/>
          <w:caps w:val="0"/>
          <w:smallCaps w:val="0"/>
          <w:color w:val="auto"/>
          <w:kern w:val="2"/>
          <w:sz w:val="28"/>
          <w:szCs w:val="28"/>
          <w:highlight w:val="none"/>
          <w:lang w:val="en-US" w:eastAsia="zh-CN" w:bidi="ar-SA"/>
        </w:rPr>
        <w:t>第十四章 其他约定</w:t>
      </w:r>
      <w:bookmarkEnd w:id="462"/>
      <w:bookmarkEnd w:id="463"/>
      <w:bookmarkEnd w:id="464"/>
      <w:bookmarkEnd w:id="465"/>
      <w:bookmarkEnd w:id="466"/>
      <w:bookmarkEnd w:id="467"/>
      <w:bookmarkEnd w:id="468"/>
    </w:p>
    <w:p w14:paraId="7B99CB69">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469" w:name="_Toc310280462"/>
      <w:bookmarkStart w:id="470" w:name="_Toc405146898"/>
      <w:bookmarkStart w:id="471" w:name="_Toc11177"/>
      <w:bookmarkStart w:id="472" w:name="_Toc31761"/>
      <w:r>
        <w:rPr>
          <w:rFonts w:hint="eastAsia" w:ascii="Times New Roman" w:hAnsi="Times New Roman" w:eastAsia="方正黑体_GBK" w:cs="方正黑体_GBK"/>
          <w:bCs/>
          <w:caps w:val="0"/>
          <w:smallCaps w:val="0"/>
          <w:color w:val="auto"/>
          <w:kern w:val="2"/>
          <w:sz w:val="28"/>
          <w:szCs w:val="28"/>
          <w:highlight w:val="none"/>
          <w:lang w:val="en-US" w:eastAsia="zh-CN" w:bidi="ar-SA"/>
        </w:rPr>
        <w:t>第65条 协议变更与修订</w:t>
      </w:r>
      <w:bookmarkEnd w:id="469"/>
      <w:bookmarkEnd w:id="470"/>
      <w:bookmarkEnd w:id="471"/>
      <w:bookmarkEnd w:id="472"/>
    </w:p>
    <w:p w14:paraId="3E8E1B6E">
      <w:pPr>
        <w:widowControl/>
        <w:numPr>
          <w:ilvl w:val="2"/>
          <w:numId w:val="0"/>
        </w:numPr>
        <w:autoSpaceDE/>
        <w:autoSpaceDN/>
        <w:adjustRightInd w:val="0"/>
        <w:snapToGrid w:val="0"/>
        <w:spacing w:before="156" w:beforeLines="50" w:after="156" w:afterLines="50" w:line="360" w:lineRule="auto"/>
        <w:ind w:firstLine="480" w:firstLineChars="200"/>
        <w:textAlignment w:val="auto"/>
        <w:outlineLvl w:val="2"/>
        <w:rPr>
          <w:rFonts w:hint="eastAsia" w:ascii="Times New Roman" w:hAnsi="Times New Roman" w:eastAsia="方正仿宋_GBK" w:cs="Times New Roman"/>
          <w:b/>
          <w:caps w:val="0"/>
          <w:smallCaps w:val="0"/>
          <w:color w:val="auto"/>
          <w:kern w:val="0"/>
          <w:sz w:val="28"/>
          <w:szCs w:val="32"/>
          <w:highlight w:val="none"/>
          <w:lang w:val="en-US" w:eastAsia="zh-CN" w:bidi="ar-SA"/>
        </w:rPr>
      </w:pPr>
      <w:r>
        <w:rPr>
          <w:rFonts w:hint="default" w:ascii="Times New Roman" w:hAnsi="Times New Roman" w:eastAsia="方正仿宋_GBK" w:cs="Times New Roman"/>
          <w:b/>
          <w:bCs w:val="0"/>
          <w:caps w:val="0"/>
          <w:smallCaps w:val="0"/>
          <w:color w:val="auto"/>
          <w:kern w:val="2"/>
          <w:sz w:val="24"/>
          <w:szCs w:val="24"/>
          <w:highlight w:val="none"/>
          <w:lang w:val="en-US" w:eastAsia="zh-CN" w:bidi="ar-SA"/>
        </w:rPr>
        <w:t>1.特许经营协议变更的触发条件</w:t>
      </w:r>
    </w:p>
    <w:p w14:paraId="677B6466">
      <w:pPr>
        <w:tabs>
          <w:tab w:val="left" w:pos="142"/>
        </w:tabs>
        <w:autoSpaceDE w:val="0"/>
        <w:autoSpaceDN w:val="0"/>
        <w:adjustRightInd w:val="0"/>
        <w:snapToGrid w:val="0"/>
        <w:spacing w:before="0" w:beforeLines="0" w:after="0" w:afterLines="0" w:line="360" w:lineRule="auto"/>
        <w:ind w:firstLine="480" w:firstLineChars="200"/>
        <w:textAlignment w:val="baseline"/>
        <w:rPr>
          <w:rFonts w:hint="eastAsia" w:ascii="Times New Roman" w:hAnsi="Times New Roman" w:eastAsia="方正仿宋_GBK" w:cs="Times New Roman"/>
          <w:color w:val="auto"/>
          <w:kern w:val="0"/>
          <w:sz w:val="24"/>
          <w:szCs w:val="24"/>
          <w:highlight w:val="none"/>
        </w:rPr>
      </w:pPr>
      <w:r>
        <w:rPr>
          <w:rFonts w:hint="eastAsia" w:ascii="Times New Roman" w:hAnsi="Times New Roman" w:eastAsia="方正仿宋_GBK" w:cs="Times New Roman"/>
          <w:color w:val="auto"/>
          <w:kern w:val="0"/>
          <w:sz w:val="24"/>
          <w:szCs w:val="24"/>
          <w:highlight w:val="none"/>
        </w:rPr>
        <w:t>特许经营期内，特许经营协议可以作出修改、补充或变更，本项目</w:t>
      </w:r>
      <w:r>
        <w:rPr>
          <w:rFonts w:hint="eastAsia" w:ascii="Times New Roman" w:hAnsi="Times New Roman" w:eastAsia="方正仿宋_GBK" w:cs="Times New Roman"/>
          <w:color w:val="auto"/>
          <w:kern w:val="0"/>
          <w:sz w:val="24"/>
          <w:szCs w:val="24"/>
          <w:highlight w:val="none"/>
          <w:lang w:val="en-US" w:eastAsia="zh-CN"/>
        </w:rPr>
        <w:t>特许经营协议</w:t>
      </w:r>
      <w:r>
        <w:rPr>
          <w:rFonts w:hint="eastAsia" w:ascii="Times New Roman" w:hAnsi="Times New Roman" w:eastAsia="方正仿宋_GBK" w:cs="Times New Roman"/>
          <w:color w:val="auto"/>
          <w:kern w:val="0"/>
          <w:sz w:val="24"/>
          <w:szCs w:val="24"/>
          <w:highlight w:val="none"/>
        </w:rPr>
        <w:t>变更的触发条件包括：</w:t>
      </w:r>
    </w:p>
    <w:p w14:paraId="74D06ACB">
      <w:pPr>
        <w:numPr>
          <w:ilvl w:val="0"/>
          <w:numId w:val="0"/>
        </w:numPr>
        <w:tabs>
          <w:tab w:val="left" w:pos="142"/>
        </w:tabs>
        <w:autoSpaceDE w:val="0"/>
        <w:autoSpaceDN w:val="0"/>
        <w:adjustRightInd w:val="0"/>
        <w:snapToGrid w:val="0"/>
        <w:spacing w:before="0" w:beforeLines="0" w:after="0" w:afterLines="0" w:line="360" w:lineRule="auto"/>
        <w:ind w:firstLine="480" w:firstLineChars="200"/>
        <w:textAlignment w:val="baseline"/>
        <w:rPr>
          <w:rFonts w:hint="eastAsia" w:ascii="Times New Roman" w:hAnsi="Times New Roman" w:eastAsia="方正仿宋_GBK" w:cs="Times New Roman"/>
          <w:color w:val="auto"/>
          <w:kern w:val="0"/>
          <w:sz w:val="24"/>
          <w:szCs w:val="24"/>
          <w:highlight w:val="none"/>
        </w:rPr>
      </w:pPr>
      <w:r>
        <w:rPr>
          <w:rFonts w:hint="eastAsia" w:ascii="Times New Roman" w:hAnsi="Times New Roman" w:eastAsia="方正仿宋_GBK" w:cs="Times New Roman"/>
          <w:color w:val="auto"/>
          <w:kern w:val="0"/>
          <w:sz w:val="24"/>
          <w:szCs w:val="24"/>
          <w:highlight w:val="none"/>
          <w:lang w:val="en-US" w:eastAsia="zh-CN"/>
        </w:rPr>
        <w:t>①</w:t>
      </w:r>
      <w:r>
        <w:rPr>
          <w:rFonts w:hint="eastAsia" w:ascii="Times New Roman" w:hAnsi="Times New Roman" w:eastAsia="方正仿宋_GBK" w:cs="Times New Roman"/>
          <w:color w:val="auto"/>
          <w:kern w:val="0"/>
          <w:sz w:val="24"/>
          <w:szCs w:val="24"/>
          <w:highlight w:val="none"/>
        </w:rPr>
        <w:t>法律政策规定所产生的变更；</w:t>
      </w:r>
    </w:p>
    <w:p w14:paraId="37E50379">
      <w:pPr>
        <w:numPr>
          <w:ilvl w:val="0"/>
          <w:numId w:val="0"/>
        </w:numPr>
        <w:tabs>
          <w:tab w:val="left" w:pos="142"/>
        </w:tabs>
        <w:autoSpaceDE w:val="0"/>
        <w:autoSpaceDN w:val="0"/>
        <w:adjustRightInd w:val="0"/>
        <w:snapToGrid w:val="0"/>
        <w:spacing w:before="0" w:beforeLines="0" w:after="0" w:afterLines="0" w:line="360" w:lineRule="auto"/>
        <w:ind w:firstLine="480" w:firstLineChars="200"/>
        <w:textAlignment w:val="baseline"/>
        <w:rPr>
          <w:rFonts w:hint="eastAsia" w:ascii="Times New Roman" w:hAnsi="Times New Roman" w:eastAsia="方正仿宋_GBK" w:cs="Times New Roman"/>
          <w:color w:val="auto"/>
          <w:kern w:val="0"/>
          <w:sz w:val="24"/>
          <w:szCs w:val="24"/>
          <w:highlight w:val="none"/>
        </w:rPr>
      </w:pPr>
      <w:r>
        <w:rPr>
          <w:rFonts w:hint="eastAsia" w:ascii="Times New Roman" w:hAnsi="Times New Roman" w:eastAsia="方正仿宋_GBK" w:cs="Times New Roman"/>
          <w:color w:val="auto"/>
          <w:kern w:val="0"/>
          <w:sz w:val="24"/>
          <w:szCs w:val="24"/>
          <w:highlight w:val="none"/>
          <w:lang w:val="en-US" w:eastAsia="zh-CN"/>
        </w:rPr>
        <w:t>②协议</w:t>
      </w:r>
      <w:r>
        <w:rPr>
          <w:rFonts w:hint="eastAsia" w:ascii="Times New Roman" w:hAnsi="Times New Roman" w:eastAsia="方正仿宋_GBK" w:cs="Times New Roman"/>
          <w:color w:val="auto"/>
          <w:kern w:val="0"/>
          <w:sz w:val="24"/>
          <w:szCs w:val="24"/>
          <w:highlight w:val="none"/>
        </w:rPr>
        <w:t>条款侵害社会公众利益；</w:t>
      </w:r>
    </w:p>
    <w:p w14:paraId="74B69CC0">
      <w:pPr>
        <w:numPr>
          <w:ilvl w:val="0"/>
          <w:numId w:val="0"/>
        </w:numPr>
        <w:tabs>
          <w:tab w:val="left" w:pos="142"/>
        </w:tabs>
        <w:autoSpaceDE w:val="0"/>
        <w:autoSpaceDN w:val="0"/>
        <w:adjustRightInd w:val="0"/>
        <w:snapToGrid w:val="0"/>
        <w:spacing w:before="0" w:beforeLines="0" w:after="0" w:afterLines="0" w:line="360" w:lineRule="auto"/>
        <w:ind w:firstLine="480" w:firstLineChars="200"/>
        <w:textAlignment w:val="baseline"/>
        <w:rPr>
          <w:rFonts w:hint="eastAsia" w:ascii="Times New Roman" w:hAnsi="Times New Roman" w:eastAsia="方正仿宋_GBK" w:cs="Times New Roman"/>
          <w:color w:val="auto"/>
          <w:kern w:val="0"/>
          <w:sz w:val="24"/>
          <w:szCs w:val="24"/>
          <w:highlight w:val="none"/>
        </w:rPr>
      </w:pPr>
      <w:r>
        <w:rPr>
          <w:rFonts w:hint="eastAsia" w:ascii="Times New Roman" w:hAnsi="Times New Roman" w:eastAsia="方正仿宋_GBK" w:cs="Times New Roman"/>
          <w:color w:val="auto"/>
          <w:kern w:val="0"/>
          <w:sz w:val="24"/>
          <w:szCs w:val="24"/>
          <w:highlight w:val="none"/>
          <w:lang w:val="en-US" w:eastAsia="zh-CN"/>
        </w:rPr>
        <w:t>③</w:t>
      </w:r>
      <w:r>
        <w:rPr>
          <w:rFonts w:hint="eastAsia" w:ascii="Times New Roman" w:hAnsi="Times New Roman" w:eastAsia="方正仿宋_GBK" w:cs="Times New Roman"/>
          <w:color w:val="auto"/>
          <w:kern w:val="0"/>
          <w:sz w:val="24"/>
          <w:szCs w:val="24"/>
          <w:highlight w:val="none"/>
        </w:rPr>
        <w:t>因</w:t>
      </w:r>
      <w:r>
        <w:rPr>
          <w:rFonts w:hint="eastAsia" w:ascii="Times New Roman" w:hAnsi="Times New Roman" w:eastAsia="方正仿宋_GBK" w:cs="Times New Roman"/>
          <w:color w:val="auto"/>
          <w:kern w:val="0"/>
          <w:sz w:val="24"/>
          <w:szCs w:val="24"/>
          <w:highlight w:val="none"/>
          <w:lang w:val="en-US" w:eastAsia="zh-CN"/>
        </w:rPr>
        <w:t>协议</w:t>
      </w:r>
      <w:r>
        <w:rPr>
          <w:rFonts w:hint="eastAsia" w:ascii="Times New Roman" w:hAnsi="Times New Roman" w:eastAsia="方正仿宋_GBK" w:cs="Times New Roman"/>
          <w:color w:val="auto"/>
          <w:kern w:val="0"/>
          <w:sz w:val="24"/>
          <w:szCs w:val="24"/>
          <w:highlight w:val="none"/>
        </w:rPr>
        <w:t>条款的规定，特许经营者难以持续运营本项目；</w:t>
      </w:r>
    </w:p>
    <w:p w14:paraId="1FC5424B">
      <w:pPr>
        <w:numPr>
          <w:ilvl w:val="0"/>
          <w:numId w:val="0"/>
        </w:numPr>
        <w:tabs>
          <w:tab w:val="left" w:pos="142"/>
        </w:tabs>
        <w:autoSpaceDE w:val="0"/>
        <w:autoSpaceDN w:val="0"/>
        <w:adjustRightInd w:val="0"/>
        <w:snapToGrid w:val="0"/>
        <w:spacing w:before="0" w:beforeLines="0" w:after="0" w:afterLines="0" w:line="360" w:lineRule="auto"/>
        <w:ind w:firstLine="480" w:firstLineChars="200"/>
        <w:textAlignment w:val="baseline"/>
        <w:rPr>
          <w:rFonts w:hint="eastAsia" w:ascii="Times New Roman" w:hAnsi="Times New Roman" w:eastAsia="方正仿宋_GBK" w:cs="Times New Roman"/>
          <w:color w:val="auto"/>
          <w:kern w:val="0"/>
          <w:sz w:val="24"/>
          <w:szCs w:val="24"/>
          <w:highlight w:val="none"/>
        </w:rPr>
      </w:pPr>
      <w:r>
        <w:rPr>
          <w:rFonts w:hint="eastAsia" w:ascii="Times New Roman" w:hAnsi="Times New Roman" w:eastAsia="方正仿宋_GBK" w:cs="Times New Roman"/>
          <w:color w:val="auto"/>
          <w:kern w:val="0"/>
          <w:sz w:val="24"/>
          <w:szCs w:val="24"/>
          <w:highlight w:val="none"/>
          <w:lang w:val="en-US" w:eastAsia="zh-CN"/>
        </w:rPr>
        <w:t>④</w:t>
      </w:r>
      <w:r>
        <w:rPr>
          <w:rFonts w:hint="eastAsia" w:ascii="Times New Roman" w:hAnsi="Times New Roman" w:eastAsia="方正仿宋_GBK" w:cs="Times New Roman"/>
          <w:color w:val="auto"/>
          <w:kern w:val="0"/>
          <w:sz w:val="24"/>
          <w:szCs w:val="24"/>
          <w:highlight w:val="none"/>
        </w:rPr>
        <w:t>特许经营中期评估提出的必要的变更；</w:t>
      </w:r>
    </w:p>
    <w:p w14:paraId="537EE642">
      <w:pPr>
        <w:numPr>
          <w:ilvl w:val="0"/>
          <w:numId w:val="0"/>
        </w:numPr>
        <w:tabs>
          <w:tab w:val="left" w:pos="142"/>
        </w:tabs>
        <w:autoSpaceDE w:val="0"/>
        <w:autoSpaceDN w:val="0"/>
        <w:adjustRightInd w:val="0"/>
        <w:snapToGrid w:val="0"/>
        <w:spacing w:before="0" w:beforeLines="0" w:after="0" w:afterLines="0" w:line="360" w:lineRule="auto"/>
        <w:ind w:firstLine="480" w:firstLineChars="200"/>
        <w:textAlignment w:val="baseline"/>
        <w:rPr>
          <w:rFonts w:hint="eastAsia" w:ascii="Times New Roman" w:hAnsi="Times New Roman" w:eastAsia="方正仿宋_GBK" w:cs="Times New Roman"/>
          <w:color w:val="auto"/>
          <w:kern w:val="0"/>
          <w:sz w:val="24"/>
          <w:szCs w:val="24"/>
          <w:highlight w:val="none"/>
        </w:rPr>
      </w:pPr>
      <w:r>
        <w:rPr>
          <w:rFonts w:hint="eastAsia" w:ascii="Times New Roman" w:hAnsi="Times New Roman" w:eastAsia="方正仿宋_GBK" w:cs="Times New Roman"/>
          <w:color w:val="auto"/>
          <w:kern w:val="0"/>
          <w:sz w:val="24"/>
          <w:szCs w:val="24"/>
          <w:highlight w:val="none"/>
          <w:lang w:val="en-US" w:eastAsia="zh-CN"/>
        </w:rPr>
        <w:t>⑤</w:t>
      </w:r>
      <w:r>
        <w:rPr>
          <w:rFonts w:hint="eastAsia" w:ascii="Times New Roman" w:hAnsi="Times New Roman" w:eastAsia="方正仿宋_GBK" w:cs="Times New Roman"/>
          <w:color w:val="auto"/>
          <w:kern w:val="0"/>
          <w:sz w:val="24"/>
          <w:szCs w:val="24"/>
          <w:highlight w:val="none"/>
        </w:rPr>
        <w:t>双方协商一致对合同进行变更。</w:t>
      </w:r>
    </w:p>
    <w:p w14:paraId="7BEE6813">
      <w:pPr>
        <w:numPr>
          <w:ilvl w:val="2"/>
          <w:numId w:val="0"/>
        </w:numPr>
        <w:adjustRightInd w:val="0"/>
        <w:snapToGrid w:val="0"/>
        <w:spacing w:before="0" w:beforeLines="0" w:after="0" w:afterLines="0" w:line="360" w:lineRule="auto"/>
        <w:ind w:firstLineChars="200"/>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2.未经双方书面同意，任何一方不得对本协议进行单方修改或变更。</w:t>
      </w:r>
    </w:p>
    <w:p w14:paraId="5F3166AC">
      <w:pPr>
        <w:numPr>
          <w:ilvl w:val="2"/>
          <w:numId w:val="0"/>
        </w:numPr>
        <w:adjustRightInd w:val="0"/>
        <w:snapToGrid w:val="0"/>
        <w:spacing w:before="0" w:beforeLines="0" w:after="0" w:afterLines="0" w:line="360" w:lineRule="auto"/>
        <w:ind w:firstLineChars="200"/>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3.本协议任何修改、补充或变更必须经双方协商一致并签字盖章后方具有法律约束力。如果根据届时有效的适用法律的规定而需要政府有关部门审查批准的，则自政府有关部门审查批准之日起相应变更对甲、乙双方产生约束力。</w:t>
      </w:r>
    </w:p>
    <w:p w14:paraId="497FB41A">
      <w:pPr>
        <w:numPr>
          <w:ilvl w:val="2"/>
          <w:numId w:val="0"/>
        </w:numPr>
        <w:adjustRightInd w:val="0"/>
        <w:snapToGrid w:val="0"/>
        <w:spacing w:before="0" w:beforeLines="0" w:after="0" w:afterLines="0" w:line="360" w:lineRule="auto"/>
        <w:ind w:firstLineChars="200"/>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4.本协议未尽事宜，由双方另行签署补充协议。</w:t>
      </w:r>
    </w:p>
    <w:p w14:paraId="652FB2E0">
      <w:pPr>
        <w:numPr>
          <w:ilvl w:val="2"/>
          <w:numId w:val="0"/>
        </w:numPr>
        <w:adjustRightInd w:val="0"/>
        <w:snapToGrid w:val="0"/>
        <w:spacing w:before="0" w:beforeLines="0" w:after="0" w:afterLines="0" w:line="360" w:lineRule="auto"/>
        <w:ind w:firstLineChars="200"/>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5.特许经营期内，如果本协议的任何条款不合法、无效或不能执行，则</w:t>
      </w:r>
    </w:p>
    <w:p w14:paraId="01A9117B">
      <w:pPr>
        <w:numPr>
          <w:ilvl w:val="2"/>
          <w:numId w:val="0"/>
        </w:numPr>
        <w:adjustRightInd w:val="0"/>
        <w:snapToGrid w:val="0"/>
        <w:spacing w:before="0" w:beforeLines="0" w:after="0" w:afterLines="0" w:line="360" w:lineRule="auto"/>
        <w:ind w:firstLineChars="200"/>
        <w:outlineLvl w:val="2"/>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（1）并不影响其他条款的效力和执行；</w:t>
      </w:r>
    </w:p>
    <w:p w14:paraId="5AD5165A">
      <w:pPr>
        <w:numPr>
          <w:ilvl w:val="2"/>
          <w:numId w:val="0"/>
        </w:numPr>
        <w:adjustRightInd w:val="0"/>
        <w:snapToGrid w:val="0"/>
        <w:spacing w:before="0" w:beforeLines="0" w:after="0" w:afterLines="0" w:line="360" w:lineRule="auto"/>
        <w:ind w:firstLineChars="200"/>
        <w:outlineLvl w:val="2"/>
        <w:rPr>
          <w:rFonts w:hint="eastAsia" w:ascii="Times New Roman" w:hAnsi="Times New Roman" w:eastAsia="方正仿宋_GBK" w:cs="Times New Roman"/>
          <w:b w:val="0"/>
          <w:bCs/>
          <w:caps w:val="0"/>
          <w:smallCaps w:val="0"/>
          <w:color w:val="auto"/>
          <w:kern w:val="2"/>
          <w:sz w:val="24"/>
          <w:szCs w:val="24"/>
          <w:highlight w:val="none"/>
          <w:lang w:val="en-US" w:eastAsia="zh-CN" w:bidi="ar-SA"/>
        </w:rPr>
      </w:pPr>
      <w:r>
        <w:rPr>
          <w:rFonts w:hint="eastAsia" w:ascii="Times New Roman" w:hAnsi="Times New Roman" w:eastAsia="方正仿宋_GBK" w:cs="Times New Roman"/>
          <w:b w:val="0"/>
          <w:bCs/>
          <w:color w:val="auto"/>
          <w:kern w:val="2"/>
          <w:sz w:val="24"/>
          <w:szCs w:val="24"/>
          <w:highlight w:val="none"/>
          <w:lang w:val="en-US" w:eastAsia="zh-CN" w:bidi="ar-SA"/>
        </w:rPr>
        <w:t>（2）双方应商定对不合法、无效或不能执行的条款进行修改，使之合法、有效、合理并可执行。</w:t>
      </w:r>
      <w:r>
        <w:rPr>
          <w:rFonts w:hint="eastAsia" w:ascii="Times New Roman" w:hAnsi="Times New Roman" w:eastAsia="方正仿宋_GBK" w:cs="Times New Roman"/>
          <w:b w:val="0"/>
          <w:bCs/>
          <w:caps w:val="0"/>
          <w:smallCaps w:val="0"/>
          <w:color w:val="auto"/>
          <w:kern w:val="2"/>
          <w:sz w:val="24"/>
          <w:szCs w:val="24"/>
          <w:highlight w:val="none"/>
          <w:lang w:val="en-US" w:eastAsia="zh-CN" w:bidi="ar-SA"/>
        </w:rPr>
        <w:t>甲方和乙方确认的对本协议的有效的修改、补充或变更的书面文件或书面材料，均与本协议具有同等法律效力。如其内容与本协议存在冲突或矛盾的部分，以修改、补充或变更的内容为准。</w:t>
      </w:r>
    </w:p>
    <w:p w14:paraId="4A549AB2">
      <w:pPr>
        <w:widowControl/>
        <w:numPr>
          <w:ilvl w:val="0"/>
          <w:numId w:val="0"/>
        </w:numPr>
        <w:adjustRightInd/>
        <w:snapToGrid/>
        <w:spacing w:before="0" w:beforeLines="0" w:after="0" w:afterLines="0" w:line="360" w:lineRule="auto"/>
        <w:ind w:firstLine="560" w:firstLineChars="200"/>
        <w:jc w:val="both"/>
        <w:outlineLvl w:val="1"/>
        <w:rPr>
          <w:rFonts w:hint="eastAsia" w:ascii="Times New Roman" w:hAnsi="Times New Roman" w:eastAsia="方正黑体_GBK" w:cs="方正黑体_GBK"/>
          <w:b w:val="0"/>
          <w:bCs/>
          <w:color w:val="auto"/>
          <w:kern w:val="2"/>
          <w:sz w:val="28"/>
          <w:szCs w:val="28"/>
          <w:highlight w:val="none"/>
          <w:lang w:val="en-US" w:eastAsia="zh-CN" w:bidi="ar-SA"/>
        </w:rPr>
      </w:pPr>
      <w:bookmarkStart w:id="473" w:name="_Toc27013"/>
      <w:r>
        <w:rPr>
          <w:rFonts w:hint="eastAsia" w:ascii="Times New Roman" w:hAnsi="Times New Roman" w:eastAsia="方正黑体_GBK" w:cs="方正黑体_GBK"/>
          <w:b w:val="0"/>
          <w:bCs/>
          <w:caps w:val="0"/>
          <w:smallCaps w:val="0"/>
          <w:color w:val="auto"/>
          <w:kern w:val="2"/>
          <w:sz w:val="28"/>
          <w:szCs w:val="28"/>
          <w:highlight w:val="none"/>
          <w:lang w:val="en-US" w:eastAsia="zh-CN" w:bidi="ar-SA"/>
        </w:rPr>
        <w:t xml:space="preserve">第66条 </w:t>
      </w:r>
      <w:r>
        <w:rPr>
          <w:rFonts w:hint="eastAsia" w:ascii="Times New Roman" w:hAnsi="Times New Roman" w:eastAsia="方正黑体_GBK" w:cs="方正黑体_GBK"/>
          <w:b w:val="0"/>
          <w:bCs/>
          <w:color w:val="auto"/>
          <w:kern w:val="2"/>
          <w:sz w:val="28"/>
          <w:szCs w:val="28"/>
          <w:highlight w:val="none"/>
          <w:lang w:val="en-US" w:eastAsia="zh-CN" w:bidi="ar-SA"/>
        </w:rPr>
        <w:t>合同的转让</w:t>
      </w:r>
      <w:bookmarkEnd w:id="473"/>
    </w:p>
    <w:p w14:paraId="270C194A">
      <w:pPr>
        <w:numPr>
          <w:ilvl w:val="2"/>
          <w:numId w:val="0"/>
        </w:numPr>
        <w:adjustRightInd w:val="0"/>
        <w:snapToGrid w:val="0"/>
        <w:spacing w:before="0" w:beforeLines="0" w:after="0" w:afterLines="0" w:line="360" w:lineRule="auto"/>
        <w:ind w:firstLine="567"/>
        <w:outlineLvl w:val="2"/>
        <w:rPr>
          <w:rFonts w:hint="default" w:ascii="Times New Roman" w:hAnsi="Times New Roman" w:eastAsia="方正仿宋_GBK" w:cs="Times New Roman"/>
          <w:b/>
          <w:color w:val="auto"/>
          <w:kern w:val="2"/>
          <w:sz w:val="24"/>
          <w:szCs w:val="24"/>
          <w:highlight w:val="none"/>
          <w:lang w:val="en-US" w:eastAsia="zh-CN" w:bidi="ar-SA"/>
        </w:rPr>
      </w:pPr>
      <w:r>
        <w:rPr>
          <w:rFonts w:hint="default" w:ascii="Times New Roman" w:hAnsi="Times New Roman" w:eastAsia="方正仿宋_GBK" w:cs="Times New Roman"/>
          <w:b/>
          <w:color w:val="auto"/>
          <w:kern w:val="2"/>
          <w:sz w:val="24"/>
          <w:szCs w:val="24"/>
          <w:highlight w:val="none"/>
          <w:lang w:val="en-US" w:eastAsia="zh-CN" w:bidi="ar-SA"/>
        </w:rPr>
        <w:t>1.甲方的转让</w:t>
      </w:r>
    </w:p>
    <w:p w14:paraId="0DBB73D3">
      <w:pPr>
        <w:widowControl w:val="0"/>
        <w:tabs>
          <w:tab w:val="left" w:pos="142"/>
        </w:tabs>
        <w:autoSpaceDE w:val="0"/>
        <w:autoSpaceDN w:val="0"/>
        <w:adjustRightInd w:val="0"/>
        <w:snapToGrid w:val="0"/>
        <w:spacing w:before="0" w:beforeLines="0" w:after="0" w:afterLines="0" w:line="360" w:lineRule="auto"/>
        <w:ind w:firstLine="480" w:firstLineChars="200"/>
        <w:textAlignment w:val="baseline"/>
        <w:rPr>
          <w:rFonts w:hint="eastAsia" w:ascii="Times New Roman" w:hAnsi="Times New Roman" w:eastAsia="方正仿宋_GBK" w:cs="Times New Roman"/>
          <w:color w:val="auto"/>
          <w:kern w:val="0"/>
          <w:sz w:val="24"/>
          <w:szCs w:val="24"/>
          <w:highlight w:val="none"/>
        </w:rPr>
      </w:pPr>
      <w:r>
        <w:rPr>
          <w:rFonts w:hint="eastAsia" w:ascii="Times New Roman" w:hAnsi="Times New Roman" w:eastAsia="方正仿宋_GBK" w:cs="Times New Roman"/>
          <w:color w:val="auto"/>
          <w:kern w:val="0"/>
          <w:sz w:val="24"/>
          <w:szCs w:val="24"/>
          <w:highlight w:val="none"/>
        </w:rPr>
        <w:t>（1）甲方可将</w:t>
      </w:r>
      <w:bookmarkStart w:id="474" w:name="_Hlk5612455"/>
      <w:r>
        <w:rPr>
          <w:rFonts w:hint="eastAsia" w:ascii="Times New Roman" w:hAnsi="Times New Roman" w:eastAsia="方正仿宋_GBK" w:cs="Times New Roman"/>
          <w:b w:val="0"/>
          <w:bCs w:val="0"/>
          <w:color w:val="auto"/>
          <w:kern w:val="0"/>
          <w:sz w:val="24"/>
          <w:szCs w:val="24"/>
          <w:highlight w:val="none"/>
          <w:lang w:eastAsia="zh-CN"/>
        </w:rPr>
        <w:t>本协议</w:t>
      </w:r>
      <w:r>
        <w:rPr>
          <w:rFonts w:hint="eastAsia" w:ascii="Times New Roman" w:hAnsi="Times New Roman" w:eastAsia="方正仿宋_GBK" w:cs="Times New Roman"/>
          <w:color w:val="auto"/>
          <w:kern w:val="0"/>
          <w:sz w:val="24"/>
          <w:szCs w:val="24"/>
          <w:highlight w:val="none"/>
        </w:rPr>
        <w:t>或与本项目有关的其他协议项</w:t>
      </w:r>
      <w:bookmarkEnd w:id="474"/>
      <w:r>
        <w:rPr>
          <w:rFonts w:hint="eastAsia" w:ascii="Times New Roman" w:hAnsi="Times New Roman" w:eastAsia="方正仿宋_GBK" w:cs="Times New Roman"/>
          <w:color w:val="auto"/>
          <w:kern w:val="0"/>
          <w:sz w:val="24"/>
          <w:szCs w:val="24"/>
          <w:highlight w:val="none"/>
        </w:rPr>
        <w:t>下的全部或部分权利或义务转让给本级人民政府指定的政府机构或部门，但受让合同的政府机构或部门应当具备：</w:t>
      </w:r>
    </w:p>
    <w:p w14:paraId="54E951FA">
      <w:pPr>
        <w:widowControl w:val="0"/>
        <w:tabs>
          <w:tab w:val="left" w:pos="142"/>
        </w:tabs>
        <w:autoSpaceDE w:val="0"/>
        <w:autoSpaceDN w:val="0"/>
        <w:adjustRightInd w:val="0"/>
        <w:snapToGrid w:val="0"/>
        <w:spacing w:before="0" w:beforeLines="0" w:after="0" w:afterLines="0" w:line="360" w:lineRule="auto"/>
        <w:ind w:firstLine="480" w:firstLineChars="200"/>
        <w:textAlignment w:val="baseline"/>
        <w:rPr>
          <w:rFonts w:hint="eastAsia" w:ascii="Times New Roman" w:hAnsi="Times New Roman" w:eastAsia="方正仿宋_GBK" w:cs="Times New Roman"/>
          <w:color w:val="auto"/>
          <w:kern w:val="0"/>
          <w:sz w:val="24"/>
          <w:szCs w:val="24"/>
          <w:highlight w:val="none"/>
        </w:rPr>
      </w:pPr>
      <w:r>
        <w:rPr>
          <w:rFonts w:hint="eastAsia" w:ascii="Times New Roman" w:hAnsi="Times New Roman" w:eastAsia="方正仿宋_GBK" w:cs="Times New Roman"/>
          <w:color w:val="auto"/>
          <w:kern w:val="0"/>
          <w:sz w:val="24"/>
          <w:szCs w:val="24"/>
          <w:highlight w:val="none"/>
          <w:lang w:eastAsia="zh-CN"/>
        </w:rPr>
        <w:t>a.</w:t>
      </w:r>
      <w:r>
        <w:rPr>
          <w:rFonts w:hint="eastAsia" w:ascii="Times New Roman" w:hAnsi="Times New Roman" w:eastAsia="方正仿宋_GBK" w:cs="Times New Roman"/>
          <w:color w:val="auto"/>
          <w:kern w:val="0"/>
          <w:sz w:val="24"/>
          <w:szCs w:val="24"/>
          <w:highlight w:val="none"/>
        </w:rPr>
        <w:t>具有承担甲方在</w:t>
      </w:r>
      <w:bookmarkStart w:id="475" w:name="_Hlk5612462"/>
      <w:r>
        <w:rPr>
          <w:rFonts w:hint="eastAsia" w:ascii="Times New Roman" w:hAnsi="Times New Roman" w:eastAsia="方正仿宋_GBK" w:cs="Times New Roman"/>
          <w:b w:val="0"/>
          <w:bCs w:val="0"/>
          <w:color w:val="auto"/>
          <w:kern w:val="0"/>
          <w:sz w:val="24"/>
          <w:szCs w:val="24"/>
          <w:highlight w:val="none"/>
          <w:lang w:eastAsia="zh-CN"/>
        </w:rPr>
        <w:t>本协议</w:t>
      </w:r>
      <w:r>
        <w:rPr>
          <w:rFonts w:hint="eastAsia" w:ascii="Times New Roman" w:hAnsi="Times New Roman" w:eastAsia="方正仿宋_GBK" w:cs="Times New Roman"/>
          <w:color w:val="auto"/>
          <w:kern w:val="0"/>
          <w:sz w:val="24"/>
          <w:szCs w:val="24"/>
          <w:highlight w:val="none"/>
        </w:rPr>
        <w:t>及其他相关协议</w:t>
      </w:r>
      <w:bookmarkEnd w:id="475"/>
      <w:r>
        <w:rPr>
          <w:rFonts w:hint="eastAsia" w:ascii="Times New Roman" w:hAnsi="Times New Roman" w:eastAsia="方正仿宋_GBK" w:cs="Times New Roman"/>
          <w:color w:val="auto"/>
          <w:kern w:val="0"/>
          <w:sz w:val="24"/>
          <w:szCs w:val="24"/>
          <w:highlight w:val="none"/>
        </w:rPr>
        <w:t>项下所承担的所有权利、义务和责任的能力和授权；以及</w:t>
      </w:r>
    </w:p>
    <w:p w14:paraId="25F8846B">
      <w:pPr>
        <w:widowControl w:val="0"/>
        <w:tabs>
          <w:tab w:val="left" w:pos="142"/>
        </w:tabs>
        <w:autoSpaceDE w:val="0"/>
        <w:autoSpaceDN w:val="0"/>
        <w:adjustRightInd w:val="0"/>
        <w:snapToGrid w:val="0"/>
        <w:spacing w:before="0" w:beforeLines="0" w:after="0" w:afterLines="0" w:line="360" w:lineRule="auto"/>
        <w:ind w:firstLine="480" w:firstLineChars="200"/>
        <w:textAlignment w:val="baseline"/>
        <w:rPr>
          <w:rFonts w:hint="eastAsia" w:ascii="Times New Roman" w:hAnsi="Times New Roman" w:eastAsia="方正仿宋_GBK" w:cs="Times New Roman"/>
          <w:color w:val="auto"/>
          <w:kern w:val="0"/>
          <w:sz w:val="24"/>
          <w:szCs w:val="24"/>
          <w:highlight w:val="none"/>
        </w:rPr>
      </w:pPr>
      <w:r>
        <w:rPr>
          <w:rFonts w:hint="eastAsia" w:ascii="Times New Roman" w:hAnsi="Times New Roman" w:eastAsia="方正仿宋_GBK" w:cs="Times New Roman"/>
          <w:color w:val="auto"/>
          <w:kern w:val="0"/>
          <w:sz w:val="24"/>
          <w:szCs w:val="24"/>
          <w:highlight w:val="none"/>
          <w:lang w:eastAsia="zh-CN"/>
        </w:rPr>
        <w:t>b.</w:t>
      </w:r>
      <w:r>
        <w:rPr>
          <w:rFonts w:hint="eastAsia" w:ascii="Times New Roman" w:hAnsi="Times New Roman" w:eastAsia="方正仿宋_GBK" w:cs="Times New Roman"/>
          <w:color w:val="auto"/>
          <w:kern w:val="0"/>
          <w:sz w:val="24"/>
          <w:szCs w:val="24"/>
          <w:highlight w:val="none"/>
        </w:rPr>
        <w:t>承继并继续履行甲方在</w:t>
      </w:r>
      <w:bookmarkStart w:id="476" w:name="_Hlk5612470"/>
      <w:r>
        <w:rPr>
          <w:rFonts w:hint="eastAsia" w:ascii="Times New Roman" w:hAnsi="Times New Roman" w:eastAsia="方正仿宋_GBK" w:cs="Times New Roman"/>
          <w:b w:val="0"/>
          <w:bCs w:val="0"/>
          <w:color w:val="auto"/>
          <w:kern w:val="0"/>
          <w:sz w:val="24"/>
          <w:szCs w:val="24"/>
          <w:highlight w:val="none"/>
          <w:lang w:eastAsia="zh-CN"/>
        </w:rPr>
        <w:t>本协议</w:t>
      </w:r>
      <w:r>
        <w:rPr>
          <w:rFonts w:hint="eastAsia" w:ascii="Times New Roman" w:hAnsi="Times New Roman" w:eastAsia="方正仿宋_GBK" w:cs="Times New Roman"/>
          <w:color w:val="auto"/>
          <w:kern w:val="0"/>
          <w:sz w:val="24"/>
          <w:szCs w:val="24"/>
          <w:highlight w:val="none"/>
        </w:rPr>
        <w:t>及其他相关协议</w:t>
      </w:r>
      <w:bookmarkEnd w:id="476"/>
      <w:r>
        <w:rPr>
          <w:rFonts w:hint="eastAsia" w:ascii="Times New Roman" w:hAnsi="Times New Roman" w:eastAsia="方正仿宋_GBK" w:cs="Times New Roman"/>
          <w:color w:val="auto"/>
          <w:kern w:val="0"/>
          <w:sz w:val="24"/>
          <w:szCs w:val="24"/>
          <w:highlight w:val="none"/>
        </w:rPr>
        <w:t>项下的义务。</w:t>
      </w:r>
    </w:p>
    <w:p w14:paraId="44CE5F7E">
      <w:pPr>
        <w:widowControl w:val="0"/>
        <w:tabs>
          <w:tab w:val="left" w:pos="142"/>
        </w:tabs>
        <w:autoSpaceDE w:val="0"/>
        <w:autoSpaceDN w:val="0"/>
        <w:adjustRightInd w:val="0"/>
        <w:snapToGrid w:val="0"/>
        <w:spacing w:before="0" w:beforeLines="0" w:after="0" w:afterLines="0" w:line="360" w:lineRule="auto"/>
        <w:ind w:firstLine="480" w:firstLineChars="200"/>
        <w:textAlignment w:val="baseline"/>
        <w:rPr>
          <w:rFonts w:hint="eastAsia" w:ascii="Times New Roman" w:hAnsi="Times New Roman" w:eastAsia="方正仿宋_GBK" w:cs="Times New Roman"/>
          <w:color w:val="auto"/>
          <w:kern w:val="0"/>
          <w:sz w:val="24"/>
          <w:szCs w:val="24"/>
          <w:highlight w:val="none"/>
        </w:rPr>
      </w:pPr>
      <w:r>
        <w:rPr>
          <w:rFonts w:hint="eastAsia" w:ascii="Times New Roman" w:hAnsi="Times New Roman" w:eastAsia="方正仿宋_GBK" w:cs="Times New Roman"/>
          <w:color w:val="auto"/>
          <w:kern w:val="0"/>
          <w:sz w:val="24"/>
          <w:szCs w:val="24"/>
          <w:highlight w:val="none"/>
        </w:rPr>
        <w:t>（2）除</w:t>
      </w:r>
      <w:r>
        <w:rPr>
          <w:rFonts w:hint="eastAsia" w:ascii="Times New Roman" w:hAnsi="Times New Roman" w:eastAsia="方正仿宋_GBK" w:cs="Times New Roman"/>
          <w:b w:val="0"/>
          <w:bCs w:val="0"/>
          <w:color w:val="auto"/>
          <w:kern w:val="0"/>
          <w:sz w:val="24"/>
          <w:szCs w:val="24"/>
          <w:highlight w:val="none"/>
          <w:lang w:eastAsia="zh-CN"/>
        </w:rPr>
        <w:t>“</w:t>
      </w:r>
      <w:r>
        <w:rPr>
          <w:rFonts w:hint="eastAsia" w:ascii="Times New Roman" w:hAnsi="Times New Roman" w:eastAsia="方正仿宋_GBK" w:cs="Times New Roman"/>
          <w:b w:val="0"/>
          <w:bCs w:val="0"/>
          <w:color w:val="auto"/>
          <w:kern w:val="0"/>
          <w:sz w:val="24"/>
          <w:szCs w:val="24"/>
          <w:highlight w:val="none"/>
          <w:lang w:val="en-US" w:eastAsia="zh-CN"/>
        </w:rPr>
        <w:t>甲方的转让</w:t>
      </w:r>
      <w:r>
        <w:rPr>
          <w:rFonts w:hint="eastAsia" w:ascii="Times New Roman" w:hAnsi="Times New Roman" w:eastAsia="方正仿宋_GBK" w:cs="Times New Roman"/>
          <w:b w:val="0"/>
          <w:bCs w:val="0"/>
          <w:color w:val="auto"/>
          <w:kern w:val="0"/>
          <w:sz w:val="24"/>
          <w:szCs w:val="24"/>
          <w:highlight w:val="none"/>
        </w:rPr>
        <w:t>第（1）项</w:t>
      </w:r>
      <w:r>
        <w:rPr>
          <w:rFonts w:hint="eastAsia" w:ascii="Times New Roman" w:hAnsi="Times New Roman" w:eastAsia="方正仿宋_GBK" w:cs="Times New Roman"/>
          <w:b w:val="0"/>
          <w:bCs w:val="0"/>
          <w:color w:val="auto"/>
          <w:kern w:val="0"/>
          <w:sz w:val="24"/>
          <w:szCs w:val="24"/>
          <w:highlight w:val="none"/>
          <w:lang w:eastAsia="zh-CN"/>
        </w:rPr>
        <w:t>”</w:t>
      </w:r>
      <w:r>
        <w:rPr>
          <w:rFonts w:hint="eastAsia" w:ascii="Times New Roman" w:hAnsi="Times New Roman" w:eastAsia="方正仿宋_GBK" w:cs="Times New Roman"/>
          <w:color w:val="auto"/>
          <w:kern w:val="0"/>
          <w:sz w:val="24"/>
          <w:szCs w:val="24"/>
          <w:highlight w:val="none"/>
        </w:rPr>
        <w:t>甲方的转让外，未经乙方事先书面同意，甲方不得转让其在</w:t>
      </w:r>
      <w:bookmarkStart w:id="477" w:name="_Hlk5612484"/>
      <w:r>
        <w:rPr>
          <w:rFonts w:hint="eastAsia" w:ascii="Times New Roman" w:hAnsi="Times New Roman" w:eastAsia="方正仿宋_GBK" w:cs="Times New Roman"/>
          <w:b w:val="0"/>
          <w:bCs w:val="0"/>
          <w:color w:val="auto"/>
          <w:kern w:val="0"/>
          <w:sz w:val="24"/>
          <w:szCs w:val="24"/>
          <w:highlight w:val="none"/>
          <w:lang w:eastAsia="zh-CN"/>
        </w:rPr>
        <w:t>本协议</w:t>
      </w:r>
      <w:r>
        <w:rPr>
          <w:rFonts w:hint="eastAsia" w:ascii="Times New Roman" w:hAnsi="Times New Roman" w:eastAsia="方正仿宋_GBK" w:cs="Times New Roman"/>
          <w:color w:val="auto"/>
          <w:kern w:val="0"/>
          <w:sz w:val="24"/>
          <w:szCs w:val="24"/>
          <w:highlight w:val="none"/>
        </w:rPr>
        <w:t>或与本项目有关的其他协议</w:t>
      </w:r>
      <w:bookmarkEnd w:id="477"/>
      <w:r>
        <w:rPr>
          <w:rFonts w:hint="eastAsia" w:ascii="Times New Roman" w:hAnsi="Times New Roman" w:eastAsia="方正仿宋_GBK" w:cs="Times New Roman"/>
          <w:color w:val="auto"/>
          <w:kern w:val="0"/>
          <w:sz w:val="24"/>
          <w:szCs w:val="24"/>
          <w:highlight w:val="none"/>
        </w:rPr>
        <w:t>项下全部或部分的权利或义务。</w:t>
      </w:r>
    </w:p>
    <w:p w14:paraId="35048239">
      <w:pPr>
        <w:numPr>
          <w:ilvl w:val="2"/>
          <w:numId w:val="0"/>
        </w:numPr>
        <w:adjustRightInd w:val="0"/>
        <w:snapToGrid w:val="0"/>
        <w:spacing w:before="0" w:beforeLines="0" w:after="0" w:afterLines="0" w:line="360" w:lineRule="auto"/>
        <w:ind w:firstLine="567"/>
        <w:outlineLvl w:val="2"/>
        <w:rPr>
          <w:rFonts w:ascii="Times New Roman" w:hAnsi="Times New Roman" w:eastAsia="方正仿宋_GBK" w:cs="Times New Roman"/>
          <w:b/>
          <w:color w:val="auto"/>
          <w:kern w:val="2"/>
          <w:sz w:val="24"/>
          <w:szCs w:val="24"/>
          <w:highlight w:val="none"/>
          <w:lang w:val="en-US" w:eastAsia="zh-CN" w:bidi="ar-SA"/>
        </w:rPr>
      </w:pPr>
      <w:r>
        <w:rPr>
          <w:rFonts w:hint="eastAsia" w:ascii="Times New Roman" w:hAnsi="Times New Roman" w:eastAsia="方正仿宋_GBK" w:cs="Times New Roman"/>
          <w:b/>
          <w:color w:val="auto"/>
          <w:kern w:val="2"/>
          <w:sz w:val="24"/>
          <w:szCs w:val="24"/>
          <w:highlight w:val="none"/>
          <w:lang w:val="en-US" w:eastAsia="zh-CN" w:bidi="ar-SA"/>
        </w:rPr>
        <w:t>2.</w:t>
      </w:r>
      <w:r>
        <w:rPr>
          <w:rFonts w:hint="default" w:ascii="Times New Roman" w:hAnsi="Times New Roman" w:eastAsia="方正仿宋_GBK" w:cs="Times New Roman"/>
          <w:b/>
          <w:color w:val="auto"/>
          <w:kern w:val="2"/>
          <w:sz w:val="24"/>
          <w:szCs w:val="24"/>
          <w:highlight w:val="none"/>
          <w:lang w:val="en-US" w:eastAsia="zh-CN" w:bidi="ar-SA"/>
        </w:rPr>
        <w:t>乙方的转让</w:t>
      </w:r>
    </w:p>
    <w:p w14:paraId="29722194">
      <w:pPr>
        <w:widowControl w:val="0"/>
        <w:tabs>
          <w:tab w:val="left" w:pos="142"/>
        </w:tabs>
        <w:autoSpaceDE w:val="0"/>
        <w:autoSpaceDN w:val="0"/>
        <w:adjustRightInd w:val="0"/>
        <w:snapToGrid w:val="0"/>
        <w:spacing w:before="0" w:beforeLines="0" w:after="0" w:afterLines="0" w:line="360" w:lineRule="auto"/>
        <w:ind w:firstLine="480" w:firstLineChars="200"/>
        <w:textAlignment w:val="baseline"/>
        <w:rPr>
          <w:rFonts w:hint="eastAsia" w:ascii="Times New Roman" w:hAnsi="Times New Roman" w:eastAsia="方正仿宋_GBK" w:cs="Times New Roman"/>
          <w:color w:val="auto"/>
          <w:kern w:val="0"/>
          <w:sz w:val="24"/>
          <w:szCs w:val="24"/>
          <w:highlight w:val="none"/>
        </w:rPr>
      </w:pPr>
      <w:r>
        <w:rPr>
          <w:rFonts w:hint="eastAsia" w:ascii="Times New Roman" w:hAnsi="Times New Roman" w:eastAsia="方正仿宋_GBK" w:cs="Times New Roman"/>
          <w:color w:val="auto"/>
          <w:kern w:val="0"/>
          <w:sz w:val="24"/>
          <w:szCs w:val="24"/>
          <w:highlight w:val="none"/>
        </w:rPr>
        <w:t>未经甲方事先书面同意，乙方不得就其在</w:t>
      </w:r>
      <w:r>
        <w:rPr>
          <w:rFonts w:hint="eastAsia" w:ascii="Times New Roman" w:hAnsi="Times New Roman" w:eastAsia="方正仿宋_GBK" w:cs="Times New Roman"/>
          <w:color w:val="auto"/>
          <w:kern w:val="0"/>
          <w:sz w:val="24"/>
          <w:szCs w:val="24"/>
          <w:highlight w:val="none"/>
          <w:lang w:eastAsia="zh-CN"/>
        </w:rPr>
        <w:t>本协议</w:t>
      </w:r>
      <w:r>
        <w:rPr>
          <w:rFonts w:hint="eastAsia" w:ascii="Times New Roman" w:hAnsi="Times New Roman" w:eastAsia="方正仿宋_GBK" w:cs="Times New Roman"/>
          <w:color w:val="auto"/>
          <w:kern w:val="0"/>
          <w:sz w:val="24"/>
          <w:szCs w:val="24"/>
          <w:highlight w:val="none"/>
        </w:rPr>
        <w:t>或与本项目有关的其他协议项下的全部或部分权利或义务进行转让。经甲方书面同意情形下，受让方应当具备：</w:t>
      </w:r>
    </w:p>
    <w:p w14:paraId="739FF66A">
      <w:pPr>
        <w:widowControl w:val="0"/>
        <w:tabs>
          <w:tab w:val="left" w:pos="142"/>
        </w:tabs>
        <w:autoSpaceDE w:val="0"/>
        <w:autoSpaceDN w:val="0"/>
        <w:adjustRightInd w:val="0"/>
        <w:snapToGrid w:val="0"/>
        <w:spacing w:before="0" w:beforeLines="0" w:after="0" w:afterLines="0" w:line="360" w:lineRule="auto"/>
        <w:ind w:firstLine="480" w:firstLineChars="200"/>
        <w:textAlignment w:val="baseline"/>
        <w:rPr>
          <w:rFonts w:hint="eastAsia" w:ascii="Times New Roman" w:hAnsi="Times New Roman" w:eastAsia="方正仿宋_GBK" w:cs="Times New Roman"/>
          <w:color w:val="auto"/>
          <w:kern w:val="0"/>
          <w:sz w:val="24"/>
          <w:szCs w:val="24"/>
          <w:highlight w:val="none"/>
        </w:rPr>
      </w:pPr>
      <w:r>
        <w:rPr>
          <w:rFonts w:hint="eastAsia" w:ascii="Times New Roman" w:hAnsi="Times New Roman" w:eastAsia="方正仿宋_GBK" w:cs="Times New Roman"/>
          <w:color w:val="auto"/>
          <w:kern w:val="0"/>
          <w:sz w:val="24"/>
          <w:szCs w:val="24"/>
          <w:highlight w:val="none"/>
        </w:rPr>
        <w:t>a</w:t>
      </w:r>
      <w:r>
        <w:rPr>
          <w:rFonts w:hint="eastAsia" w:ascii="Times New Roman" w:hAnsi="Times New Roman" w:eastAsia="方正仿宋_GBK" w:cs="Times New Roman"/>
          <w:color w:val="auto"/>
          <w:kern w:val="0"/>
          <w:sz w:val="24"/>
          <w:szCs w:val="24"/>
          <w:highlight w:val="none"/>
          <w:lang w:val="en-US" w:eastAsia="zh-CN"/>
        </w:rPr>
        <w:t>.</w:t>
      </w:r>
      <w:r>
        <w:rPr>
          <w:rFonts w:hint="eastAsia" w:ascii="Times New Roman" w:hAnsi="Times New Roman" w:eastAsia="方正仿宋_GBK" w:cs="Times New Roman"/>
          <w:color w:val="auto"/>
          <w:kern w:val="0"/>
          <w:sz w:val="24"/>
          <w:szCs w:val="24"/>
          <w:highlight w:val="none"/>
        </w:rPr>
        <w:t>具有承担乙方在</w:t>
      </w:r>
      <w:bookmarkStart w:id="478" w:name="_Hlk5612507"/>
      <w:r>
        <w:rPr>
          <w:rFonts w:hint="eastAsia" w:ascii="Times New Roman" w:hAnsi="Times New Roman" w:eastAsia="方正仿宋_GBK" w:cs="Times New Roman"/>
          <w:color w:val="auto"/>
          <w:kern w:val="0"/>
          <w:sz w:val="24"/>
          <w:szCs w:val="24"/>
          <w:highlight w:val="none"/>
          <w:lang w:eastAsia="zh-CN"/>
        </w:rPr>
        <w:t>本协议</w:t>
      </w:r>
      <w:r>
        <w:rPr>
          <w:rFonts w:hint="eastAsia" w:ascii="Times New Roman" w:hAnsi="Times New Roman" w:eastAsia="方正仿宋_GBK" w:cs="Times New Roman"/>
          <w:color w:val="auto"/>
          <w:kern w:val="0"/>
          <w:sz w:val="24"/>
          <w:szCs w:val="24"/>
          <w:highlight w:val="none"/>
        </w:rPr>
        <w:t>及其他相关协议项下</w:t>
      </w:r>
      <w:bookmarkEnd w:id="478"/>
      <w:r>
        <w:rPr>
          <w:rFonts w:hint="eastAsia" w:ascii="Times New Roman" w:hAnsi="Times New Roman" w:eastAsia="方正仿宋_GBK" w:cs="Times New Roman"/>
          <w:color w:val="auto"/>
          <w:kern w:val="0"/>
          <w:sz w:val="24"/>
          <w:szCs w:val="24"/>
          <w:highlight w:val="none"/>
        </w:rPr>
        <w:t>所承担的所有权利、义务和责任的能力和授权；以及</w:t>
      </w:r>
    </w:p>
    <w:p w14:paraId="6BF61B39">
      <w:pPr>
        <w:tabs>
          <w:tab w:val="left" w:pos="142"/>
        </w:tabs>
        <w:adjustRightInd w:val="0"/>
        <w:snapToGrid w:val="0"/>
        <w:spacing w:before="0" w:beforeLines="50" w:after="0" w:afterLines="5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eastAsia="zh-CN"/>
        </w:rPr>
        <w:t>b</w:t>
      </w:r>
      <w:r>
        <w:rPr>
          <w:rFonts w:hint="eastAsia" w:ascii="Times New Roman" w:hAnsi="Times New Roman" w:eastAsia="方正仿宋_GBK" w:cs="Times New Roman"/>
          <w:color w:val="auto"/>
          <w:kern w:val="0"/>
          <w:sz w:val="24"/>
          <w:szCs w:val="24"/>
          <w:highlight w:val="none"/>
          <w:lang w:val="en-US" w:eastAsia="zh-CN"/>
        </w:rPr>
        <w:t>.</w:t>
      </w:r>
      <w:r>
        <w:rPr>
          <w:rFonts w:hint="eastAsia" w:ascii="Times New Roman" w:hAnsi="Times New Roman" w:eastAsia="方正仿宋_GBK" w:cs="Times New Roman"/>
          <w:color w:val="auto"/>
          <w:kern w:val="0"/>
          <w:sz w:val="24"/>
          <w:szCs w:val="24"/>
          <w:highlight w:val="none"/>
        </w:rPr>
        <w:t>承继并继续履行乙方</w:t>
      </w:r>
      <w:bookmarkStart w:id="479" w:name="_Hlk5612519"/>
      <w:r>
        <w:rPr>
          <w:rFonts w:hint="eastAsia" w:ascii="Times New Roman" w:hAnsi="Times New Roman" w:eastAsia="方正仿宋_GBK" w:cs="Times New Roman"/>
          <w:color w:val="auto"/>
          <w:kern w:val="0"/>
          <w:sz w:val="24"/>
          <w:szCs w:val="24"/>
          <w:highlight w:val="none"/>
        </w:rPr>
        <w:t>在</w:t>
      </w:r>
      <w:r>
        <w:rPr>
          <w:rFonts w:hint="eastAsia" w:ascii="Times New Roman" w:hAnsi="Times New Roman" w:eastAsia="方正仿宋_GBK" w:cs="Times New Roman"/>
          <w:color w:val="auto"/>
          <w:kern w:val="0"/>
          <w:sz w:val="24"/>
          <w:szCs w:val="24"/>
          <w:highlight w:val="none"/>
          <w:lang w:eastAsia="zh-CN"/>
        </w:rPr>
        <w:t>本协议</w:t>
      </w:r>
      <w:r>
        <w:rPr>
          <w:rFonts w:hint="eastAsia" w:ascii="Times New Roman" w:hAnsi="Times New Roman" w:eastAsia="方正仿宋_GBK" w:cs="Times New Roman"/>
          <w:color w:val="auto"/>
          <w:kern w:val="0"/>
          <w:sz w:val="24"/>
          <w:szCs w:val="24"/>
          <w:highlight w:val="none"/>
        </w:rPr>
        <w:t>及其他相关协议项下</w:t>
      </w:r>
      <w:bookmarkEnd w:id="479"/>
      <w:r>
        <w:rPr>
          <w:rFonts w:hint="eastAsia" w:ascii="Times New Roman" w:hAnsi="Times New Roman" w:eastAsia="方正仿宋_GBK" w:cs="Times New Roman"/>
          <w:color w:val="auto"/>
          <w:kern w:val="0"/>
          <w:sz w:val="24"/>
          <w:szCs w:val="24"/>
          <w:highlight w:val="none"/>
        </w:rPr>
        <w:t>的义务。</w:t>
      </w:r>
    </w:p>
    <w:p w14:paraId="10A72A8D">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480" w:name="_Toc1059819783"/>
      <w:bookmarkStart w:id="481" w:name="_Toc21891"/>
      <w:bookmarkStart w:id="482" w:name="_Toc25356"/>
      <w:bookmarkStart w:id="483" w:name="_Toc405146900"/>
      <w:r>
        <w:rPr>
          <w:rFonts w:hint="eastAsia" w:ascii="Times New Roman" w:hAnsi="Times New Roman" w:eastAsia="方正黑体_GBK" w:cs="方正黑体_GBK"/>
          <w:bCs/>
          <w:caps w:val="0"/>
          <w:smallCaps w:val="0"/>
          <w:color w:val="auto"/>
          <w:kern w:val="2"/>
          <w:sz w:val="28"/>
          <w:szCs w:val="28"/>
          <w:highlight w:val="none"/>
          <w:lang w:val="en-US" w:eastAsia="zh-CN" w:bidi="ar-SA"/>
        </w:rPr>
        <w:t>第67条 保密</w:t>
      </w:r>
      <w:bookmarkEnd w:id="480"/>
      <w:bookmarkEnd w:id="481"/>
      <w:bookmarkEnd w:id="482"/>
      <w:bookmarkEnd w:id="483"/>
    </w:p>
    <w:p w14:paraId="01F13C24">
      <w:pPr>
        <w:numPr>
          <w:ilvl w:val="2"/>
          <w:numId w:val="0"/>
        </w:numPr>
        <w:adjustRightInd w:val="0"/>
        <w:snapToGrid w:val="0"/>
        <w:spacing w:before="156" w:beforeLines="50" w:after="156" w:afterLines="50" w:line="360" w:lineRule="auto"/>
        <w:ind w:firstLine="567"/>
        <w:outlineLvl w:val="2"/>
        <w:rPr>
          <w:rFonts w:hint="eastAsia"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1.对文件的权利</w:t>
      </w:r>
    </w:p>
    <w:p w14:paraId="30ACAEF1">
      <w:pPr>
        <w:keepNext w:val="0"/>
        <w:keepLines w:val="0"/>
        <w:pageBreakBefore w:val="0"/>
        <w:widowControl/>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eastAsia"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rPr>
        <w:t>（1）甲方的文件</w:t>
      </w:r>
    </w:p>
    <w:p w14:paraId="7C9AD568">
      <w:pPr>
        <w:keepNext w:val="0"/>
        <w:keepLines w:val="0"/>
        <w:pageBreakBefore w:val="0"/>
        <w:widowControl/>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eastAsia"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rPr>
        <w:t>由甲方向乙方提供的文件和计算机程序及其他一切文件，或者主要在这些文件和计算机程序的基础上制作的文件和程序，应属于甲方的财产。这一规定适用于上述文件和</w:t>
      </w:r>
      <w:r>
        <w:rPr>
          <w:rFonts w:hint="eastAsia" w:ascii="Times New Roman" w:hAnsi="Times New Roman" w:eastAsia="方正仿宋_GBK" w:cs="Times New Roman"/>
          <w:caps w:val="0"/>
          <w:smallCaps w:val="0"/>
          <w:color w:val="auto"/>
          <w:kern w:val="0"/>
          <w:sz w:val="24"/>
          <w:szCs w:val="24"/>
          <w:highlight w:val="none"/>
          <w:lang w:eastAsia="zh-CN"/>
        </w:rPr>
        <w:t>计算机</w:t>
      </w:r>
      <w:r>
        <w:rPr>
          <w:rFonts w:hint="eastAsia" w:ascii="Times New Roman" w:hAnsi="Times New Roman" w:eastAsia="方正仿宋_GBK" w:cs="Times New Roman"/>
          <w:caps w:val="0"/>
          <w:smallCaps w:val="0"/>
          <w:color w:val="auto"/>
          <w:kern w:val="0"/>
          <w:sz w:val="24"/>
          <w:szCs w:val="24"/>
          <w:highlight w:val="none"/>
        </w:rPr>
        <w:t>程序的所有复制件。这些文件、计算机程序或其复制件只能由乙方用于本项目之目的。除非甲方和乙方另有约定，否则这类文件、计算机程序或其复制件应在</w:t>
      </w:r>
      <w:r>
        <w:rPr>
          <w:rFonts w:hint="eastAsia" w:ascii="Times New Roman" w:hAnsi="Times New Roman" w:eastAsia="方正仿宋_GBK" w:cs="Times New Roman"/>
          <w:caps w:val="0"/>
          <w:smallCaps w:val="0"/>
          <w:color w:val="auto"/>
          <w:kern w:val="0"/>
          <w:sz w:val="24"/>
          <w:szCs w:val="24"/>
          <w:highlight w:val="none"/>
          <w:lang w:val="en-US" w:eastAsia="zh-CN"/>
        </w:rPr>
        <w:t>特许经营期</w:t>
      </w:r>
      <w:r>
        <w:rPr>
          <w:rFonts w:hint="eastAsia" w:ascii="Times New Roman" w:hAnsi="Times New Roman" w:eastAsia="方正仿宋_GBK" w:cs="Times New Roman"/>
          <w:caps w:val="0"/>
          <w:smallCaps w:val="0"/>
          <w:color w:val="auto"/>
          <w:kern w:val="0"/>
          <w:sz w:val="24"/>
          <w:szCs w:val="24"/>
          <w:highlight w:val="none"/>
        </w:rPr>
        <w:t>结束之际移交给甲方。</w:t>
      </w:r>
    </w:p>
    <w:p w14:paraId="48ECB9D7">
      <w:pPr>
        <w:keepNext w:val="0"/>
        <w:keepLines w:val="0"/>
        <w:pageBreakBefore w:val="0"/>
        <w:widowControl/>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eastAsia"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rPr>
        <w:t>（2）乙方的文件</w:t>
      </w:r>
    </w:p>
    <w:p w14:paraId="334C7FFA">
      <w:pPr>
        <w:keepNext w:val="0"/>
        <w:keepLines w:val="0"/>
        <w:pageBreakBefore w:val="0"/>
        <w:widowControl/>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eastAsia"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rPr>
        <w:t>由乙方向甲方提供的文件和计算机程序及其他文件，应属于乙方的财产。这些文件、计算机程序或其复制件只能由甲方用于本项目之目的。除非甲方和乙方另有约定，否则这类文件、计算机程序或其复制件应在</w:t>
      </w:r>
      <w:r>
        <w:rPr>
          <w:rFonts w:hint="eastAsia" w:ascii="Times New Roman" w:hAnsi="Times New Roman" w:eastAsia="方正仿宋_GBK" w:cs="Times New Roman"/>
          <w:caps w:val="0"/>
          <w:smallCaps w:val="0"/>
          <w:color w:val="auto"/>
          <w:kern w:val="0"/>
          <w:sz w:val="24"/>
          <w:szCs w:val="24"/>
          <w:highlight w:val="none"/>
          <w:lang w:val="en-US" w:eastAsia="zh-CN"/>
        </w:rPr>
        <w:t>特许经营期</w:t>
      </w:r>
      <w:r>
        <w:rPr>
          <w:rFonts w:hint="eastAsia" w:ascii="Times New Roman" w:hAnsi="Times New Roman" w:eastAsia="方正仿宋_GBK" w:cs="Times New Roman"/>
          <w:caps w:val="0"/>
          <w:smallCaps w:val="0"/>
          <w:color w:val="auto"/>
          <w:kern w:val="0"/>
          <w:sz w:val="24"/>
          <w:szCs w:val="24"/>
          <w:highlight w:val="none"/>
        </w:rPr>
        <w:t>结束之际移交给乙方。</w:t>
      </w:r>
    </w:p>
    <w:p w14:paraId="68021303">
      <w:pPr>
        <w:keepNext w:val="0"/>
        <w:keepLines w:val="0"/>
        <w:pageBreakBefore w:val="0"/>
        <w:widowControl/>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eastAsia"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rPr>
        <w:t>（3）遵守规定</w:t>
      </w:r>
    </w:p>
    <w:p w14:paraId="5C45E7A1">
      <w:pPr>
        <w:keepNext w:val="0"/>
        <w:keepLines w:val="0"/>
        <w:pageBreakBefore w:val="0"/>
        <w:widowControl/>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eastAsia"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rPr>
        <w:t>双方应确保各自接触到这些文件、计算机程序及其复制件的有关人员遵守本条款对文件的权利和保密的约定。</w:t>
      </w:r>
    </w:p>
    <w:p w14:paraId="55F83B66">
      <w:pPr>
        <w:numPr>
          <w:ilvl w:val="2"/>
          <w:numId w:val="0"/>
        </w:numPr>
        <w:adjustRightInd w:val="0"/>
        <w:snapToGrid w:val="0"/>
        <w:spacing w:before="156" w:beforeLines="50" w:after="156" w:afterLines="50" w:line="360" w:lineRule="auto"/>
        <w:ind w:firstLine="567"/>
        <w:outlineLvl w:val="2"/>
        <w:rPr>
          <w:rFonts w:hint="eastAsia" w:ascii="Times New Roman" w:hAnsi="Times New Roman" w:eastAsia="方正仿宋_GBK" w:cs="Times New Roman"/>
          <w:b/>
          <w:caps w:val="0"/>
          <w:smallCaps w:val="0"/>
          <w:color w:val="auto"/>
          <w:kern w:val="2"/>
          <w:sz w:val="24"/>
          <w:szCs w:val="24"/>
          <w:highlight w:val="none"/>
          <w:lang w:val="en-US" w:eastAsia="zh-CN" w:bidi="ar-SA"/>
        </w:rPr>
      </w:pPr>
      <w:r>
        <w:rPr>
          <w:rFonts w:hint="eastAsia" w:ascii="Times New Roman" w:hAnsi="Times New Roman" w:eastAsia="方正仿宋_GBK" w:cs="Times New Roman"/>
          <w:b/>
          <w:caps w:val="0"/>
          <w:smallCaps w:val="0"/>
          <w:color w:val="auto"/>
          <w:kern w:val="2"/>
          <w:sz w:val="24"/>
          <w:szCs w:val="24"/>
          <w:highlight w:val="none"/>
          <w:lang w:val="en-US" w:eastAsia="zh-CN" w:bidi="ar-SA"/>
        </w:rPr>
        <w:t>2.保密</w:t>
      </w:r>
    </w:p>
    <w:p w14:paraId="7156E7C0">
      <w:pPr>
        <w:keepNext w:val="0"/>
        <w:keepLines w:val="0"/>
        <w:pageBreakBefore w:val="0"/>
        <w:widowControl/>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eastAsia"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rPr>
        <w:t>任何一方或其员工、承包商、供应商、顾问获得的所有项目相关的材料和文件（不论是财务、技术或其他方面），未经另一方书面同意，在</w:t>
      </w:r>
      <w:r>
        <w:rPr>
          <w:rFonts w:hint="eastAsia" w:ascii="Times New Roman" w:hAnsi="Times New Roman" w:eastAsia="方正仿宋_GBK" w:cs="Times New Roman"/>
          <w:caps w:val="0"/>
          <w:smallCaps w:val="0"/>
          <w:color w:val="auto"/>
          <w:kern w:val="0"/>
          <w:sz w:val="24"/>
          <w:szCs w:val="24"/>
          <w:highlight w:val="none"/>
          <w:lang w:val="en-US" w:eastAsia="zh-CN"/>
        </w:rPr>
        <w:t>特许经营期</w:t>
      </w:r>
      <w:r>
        <w:rPr>
          <w:rFonts w:hint="eastAsia" w:ascii="Times New Roman" w:hAnsi="Times New Roman" w:eastAsia="方正仿宋_GBK" w:cs="Times New Roman"/>
          <w:caps w:val="0"/>
          <w:smallCaps w:val="0"/>
          <w:color w:val="auto"/>
          <w:kern w:val="0"/>
          <w:sz w:val="24"/>
          <w:szCs w:val="24"/>
          <w:highlight w:val="none"/>
        </w:rPr>
        <w:t>内及</w:t>
      </w:r>
      <w:r>
        <w:rPr>
          <w:rFonts w:hint="eastAsia" w:ascii="Times New Roman" w:hAnsi="Times New Roman" w:eastAsia="方正仿宋_GBK" w:cs="Times New Roman"/>
          <w:caps w:val="0"/>
          <w:smallCaps w:val="0"/>
          <w:color w:val="auto"/>
          <w:kern w:val="0"/>
          <w:sz w:val="24"/>
          <w:szCs w:val="24"/>
          <w:highlight w:val="none"/>
          <w:lang w:val="en-US" w:eastAsia="zh-CN"/>
        </w:rPr>
        <w:t>特许经营期</w:t>
      </w:r>
      <w:r>
        <w:rPr>
          <w:rFonts w:hint="eastAsia" w:ascii="Times New Roman" w:hAnsi="Times New Roman" w:eastAsia="方正仿宋_GBK" w:cs="Times New Roman"/>
          <w:caps w:val="0"/>
          <w:smallCaps w:val="0"/>
          <w:color w:val="auto"/>
          <w:kern w:val="0"/>
          <w:sz w:val="24"/>
          <w:szCs w:val="24"/>
          <w:highlight w:val="none"/>
        </w:rPr>
        <w:t>结束后的</w:t>
      </w:r>
      <w:r>
        <w:rPr>
          <w:rFonts w:hint="eastAsia" w:ascii="Times New Roman" w:hAnsi="Times New Roman" w:eastAsia="方正仿宋_GBK" w:cs="Times New Roman"/>
          <w:caps w:val="0"/>
          <w:smallCaps w:val="0"/>
          <w:color w:val="auto"/>
          <w:kern w:val="0"/>
          <w:sz w:val="24"/>
          <w:szCs w:val="24"/>
          <w:highlight w:val="none"/>
          <w:lang w:eastAsia="zh-CN"/>
        </w:rPr>
        <w:t>3</w:t>
      </w:r>
      <w:r>
        <w:rPr>
          <w:rFonts w:hint="eastAsia" w:ascii="Times New Roman" w:hAnsi="Times New Roman" w:eastAsia="方正仿宋_GBK" w:cs="Times New Roman"/>
          <w:caps w:val="0"/>
          <w:smallCaps w:val="0"/>
          <w:color w:val="auto"/>
          <w:kern w:val="0"/>
          <w:sz w:val="24"/>
          <w:szCs w:val="24"/>
          <w:highlight w:val="none"/>
        </w:rPr>
        <w:t>年内不得向第三方透露或公开，但下列情形除外：</w:t>
      </w:r>
    </w:p>
    <w:p w14:paraId="5335635B">
      <w:pPr>
        <w:keepNext w:val="0"/>
        <w:keepLines w:val="0"/>
        <w:pageBreakBefore w:val="0"/>
        <w:widowControl/>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eastAsia"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rPr>
        <w:t>（1）在签署</w:t>
      </w:r>
      <w:r>
        <w:rPr>
          <w:rFonts w:hint="eastAsia" w:ascii="Times New Roman" w:hAnsi="Times New Roman" w:eastAsia="方正仿宋_GBK" w:cs="Times New Roman"/>
          <w:caps w:val="0"/>
          <w:smallCaps w:val="0"/>
          <w:color w:val="auto"/>
          <w:kern w:val="0"/>
          <w:sz w:val="24"/>
          <w:szCs w:val="24"/>
          <w:highlight w:val="none"/>
          <w:lang w:eastAsia="zh-CN"/>
        </w:rPr>
        <w:t>本协议</w:t>
      </w:r>
      <w:r>
        <w:rPr>
          <w:rFonts w:hint="eastAsia" w:ascii="Times New Roman" w:hAnsi="Times New Roman" w:eastAsia="方正仿宋_GBK" w:cs="Times New Roman"/>
          <w:caps w:val="0"/>
          <w:smallCaps w:val="0"/>
          <w:color w:val="auto"/>
          <w:kern w:val="0"/>
          <w:sz w:val="24"/>
          <w:szCs w:val="24"/>
          <w:highlight w:val="none"/>
        </w:rPr>
        <w:t>同时或之前，一方已经通过合法渠道获取的有关信息；</w:t>
      </w:r>
    </w:p>
    <w:p w14:paraId="1573D173">
      <w:pPr>
        <w:keepNext w:val="0"/>
        <w:keepLines w:val="0"/>
        <w:pageBreakBefore w:val="0"/>
        <w:widowControl/>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eastAsia"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rPr>
        <w:t>（2）在一方披露之前，已经公开或能够从公开领域获取的有关信息；</w:t>
      </w:r>
    </w:p>
    <w:p w14:paraId="56926B75">
      <w:pPr>
        <w:keepNext w:val="0"/>
        <w:keepLines w:val="0"/>
        <w:pageBreakBefore w:val="0"/>
        <w:widowControl/>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eastAsia"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rPr>
        <w:t>（3）一方事先取得另一方同意或经另一方授权而公开的信息；</w:t>
      </w:r>
    </w:p>
    <w:p w14:paraId="4472C243">
      <w:pPr>
        <w:keepNext w:val="0"/>
        <w:keepLines w:val="0"/>
        <w:pageBreakBefore w:val="0"/>
        <w:widowControl/>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eastAsia"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rPr>
        <w:t>（4）为本项目实施需要，甲方向相关政府部门或监管主体或顾问机构等提供的相关文件和信息；</w:t>
      </w:r>
    </w:p>
    <w:p w14:paraId="5E11D9CD">
      <w:pPr>
        <w:keepNext w:val="0"/>
        <w:keepLines w:val="0"/>
        <w:pageBreakBefore w:val="0"/>
        <w:widowControl/>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eastAsia"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rPr>
        <w:t>（5）为本项目实施需要，乙方向金融机构进行融资时提供的相关文件和信息；</w:t>
      </w:r>
    </w:p>
    <w:p w14:paraId="5D67C713">
      <w:pPr>
        <w:keepNext w:val="0"/>
        <w:keepLines w:val="0"/>
        <w:pageBreakBefore w:val="0"/>
        <w:widowControl/>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eastAsia" w:ascii="Times New Roman" w:hAnsi="Times New Roman" w:eastAsia="方正仿宋_GBK" w:cs="Times New Roman"/>
          <w:caps w:val="0"/>
          <w:smallCaps w:val="0"/>
          <w:color w:val="auto"/>
          <w:kern w:val="0"/>
          <w:sz w:val="24"/>
          <w:szCs w:val="24"/>
          <w:highlight w:val="none"/>
        </w:rPr>
      </w:pPr>
      <w:r>
        <w:rPr>
          <w:rFonts w:hint="eastAsia" w:ascii="Times New Roman" w:hAnsi="Times New Roman" w:eastAsia="方正仿宋_GBK" w:cs="Times New Roman"/>
          <w:caps w:val="0"/>
          <w:smallCaps w:val="0"/>
          <w:color w:val="auto"/>
          <w:kern w:val="0"/>
          <w:sz w:val="24"/>
          <w:szCs w:val="24"/>
          <w:highlight w:val="none"/>
        </w:rPr>
        <w:t>（6）根据适用法律及相关监管要求必须披露的文件或信息。</w:t>
      </w:r>
    </w:p>
    <w:p w14:paraId="3220BFC1">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484" w:name="_Toc402428989"/>
      <w:bookmarkStart w:id="485" w:name="_Toc405146902"/>
      <w:bookmarkStart w:id="486" w:name="_Toc1526064836"/>
      <w:bookmarkStart w:id="487" w:name="_Toc12412"/>
      <w:bookmarkStart w:id="488" w:name="_Toc28436"/>
      <w:r>
        <w:rPr>
          <w:rFonts w:hint="eastAsia" w:ascii="Times New Roman" w:hAnsi="Times New Roman" w:eastAsia="方正黑体_GBK" w:cs="方正黑体_GBK"/>
          <w:bCs/>
          <w:caps w:val="0"/>
          <w:smallCaps w:val="0"/>
          <w:color w:val="auto"/>
          <w:kern w:val="2"/>
          <w:sz w:val="28"/>
          <w:szCs w:val="28"/>
          <w:highlight w:val="none"/>
          <w:lang w:val="en-US" w:eastAsia="zh-CN" w:bidi="ar-SA"/>
        </w:rPr>
        <w:t xml:space="preserve">第68条 </w:t>
      </w:r>
      <w:bookmarkEnd w:id="484"/>
      <w:bookmarkEnd w:id="485"/>
      <w:bookmarkEnd w:id="486"/>
      <w:bookmarkEnd w:id="487"/>
      <w:bookmarkStart w:id="489" w:name="_Toc1337379671"/>
      <w:bookmarkStart w:id="490" w:name="_Toc5971"/>
      <w:bookmarkStart w:id="491" w:name="_Toc405146903"/>
      <w:r>
        <w:rPr>
          <w:rFonts w:hint="eastAsia" w:ascii="Times New Roman" w:hAnsi="Times New Roman" w:eastAsia="方正黑体_GBK" w:cs="方正黑体_GBK"/>
          <w:bCs/>
          <w:caps w:val="0"/>
          <w:smallCaps w:val="0"/>
          <w:color w:val="auto"/>
          <w:kern w:val="2"/>
          <w:sz w:val="28"/>
          <w:szCs w:val="28"/>
          <w:highlight w:val="none"/>
          <w:lang w:val="en-US" w:eastAsia="zh-CN" w:bidi="ar-SA"/>
        </w:rPr>
        <w:t>不弃权</w:t>
      </w:r>
      <w:bookmarkEnd w:id="488"/>
      <w:bookmarkEnd w:id="489"/>
      <w:bookmarkEnd w:id="490"/>
      <w:bookmarkEnd w:id="491"/>
    </w:p>
    <w:p w14:paraId="4065DE51">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aps w:val="0"/>
          <w:smallCaps w:val="0"/>
          <w:color w:val="auto"/>
          <w:kern w:val="0"/>
          <w:sz w:val="24"/>
          <w:szCs w:val="28"/>
          <w:highlight w:val="none"/>
        </w:rPr>
      </w:pPr>
      <w:r>
        <w:rPr>
          <w:rFonts w:hint="eastAsia" w:ascii="Times New Roman" w:hAnsi="Times New Roman" w:eastAsia="方正仿宋_GBK"/>
          <w:caps w:val="0"/>
          <w:smallCaps w:val="0"/>
          <w:color w:val="auto"/>
          <w:kern w:val="0"/>
          <w:sz w:val="24"/>
          <w:szCs w:val="28"/>
          <w:highlight w:val="none"/>
        </w:rPr>
        <w:t>任何一方均不被视为放弃本协议中的任何条款，除非一方以书面形式作出放弃。任何一方未坚持严格履行本协议中的任何条款，或未行使其本协议中规定的任何权利，均不应被视为对任何上述条款的放弃或对今后行使任何上述权利的放弃。</w:t>
      </w:r>
    </w:p>
    <w:p w14:paraId="0D4DD534">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492" w:name="_Toc405146904"/>
      <w:bookmarkStart w:id="493" w:name="_Toc27478"/>
      <w:bookmarkStart w:id="494" w:name="_Toc12923"/>
      <w:bookmarkStart w:id="495" w:name="_Toc1358136321"/>
      <w:r>
        <w:rPr>
          <w:rFonts w:hint="eastAsia" w:ascii="Times New Roman" w:hAnsi="Times New Roman" w:eastAsia="方正黑体_GBK" w:cs="方正黑体_GBK"/>
          <w:bCs/>
          <w:caps w:val="0"/>
          <w:smallCaps w:val="0"/>
          <w:color w:val="auto"/>
          <w:kern w:val="2"/>
          <w:sz w:val="28"/>
          <w:szCs w:val="28"/>
          <w:highlight w:val="none"/>
          <w:lang w:val="en-US" w:eastAsia="zh-CN" w:bidi="ar-SA"/>
        </w:rPr>
        <w:t>第69条 通知</w:t>
      </w:r>
      <w:bookmarkEnd w:id="492"/>
      <w:bookmarkEnd w:id="493"/>
      <w:bookmarkEnd w:id="494"/>
      <w:bookmarkEnd w:id="495"/>
    </w:p>
    <w:p w14:paraId="714ECF01">
      <w:pPr>
        <w:tabs>
          <w:tab w:val="left" w:pos="142"/>
        </w:tabs>
        <w:autoSpaceDE w:val="0"/>
        <w:autoSpaceDN w:val="0"/>
        <w:adjustRightInd w:val="0"/>
        <w:snapToGrid w:val="0"/>
        <w:spacing w:before="0" w:beforeLines="0" w:after="0" w:afterLines="0" w:line="360" w:lineRule="auto"/>
        <w:ind w:firstLine="560" w:firstLineChars="0"/>
        <w:textAlignment w:val="baseline"/>
        <w:rPr>
          <w:rFonts w:hint="eastAsia" w:ascii="Times New Roman" w:hAnsi="Times New Roman" w:eastAsia="方正仿宋_GBK" w:cs="Times New Roman"/>
          <w:color w:val="auto"/>
          <w:kern w:val="0"/>
          <w:sz w:val="24"/>
          <w:szCs w:val="28"/>
          <w:highlight w:val="none"/>
        </w:rPr>
      </w:pPr>
      <w:r>
        <w:rPr>
          <w:rFonts w:hint="eastAsia" w:ascii="Times New Roman" w:hAnsi="Times New Roman" w:eastAsia="方正仿宋_GBK" w:cs="Times New Roman"/>
          <w:color w:val="auto"/>
          <w:kern w:val="0"/>
          <w:sz w:val="24"/>
          <w:szCs w:val="28"/>
          <w:highlight w:val="none"/>
          <w:lang w:val="en-US" w:eastAsia="zh-CN"/>
        </w:rPr>
        <w:t>1.</w:t>
      </w:r>
      <w:r>
        <w:rPr>
          <w:rFonts w:hint="eastAsia" w:ascii="Times New Roman" w:hAnsi="Times New Roman" w:eastAsia="方正仿宋_GBK" w:cs="Times New Roman"/>
          <w:color w:val="auto"/>
          <w:kern w:val="0"/>
          <w:sz w:val="24"/>
          <w:szCs w:val="28"/>
          <w:highlight w:val="none"/>
          <w:lang w:eastAsia="zh-CN"/>
        </w:rPr>
        <w:t>本协议</w:t>
      </w:r>
      <w:r>
        <w:rPr>
          <w:rFonts w:hint="eastAsia" w:ascii="Times New Roman" w:hAnsi="Times New Roman" w:eastAsia="方正仿宋_GBK" w:cs="Times New Roman"/>
          <w:color w:val="auto"/>
          <w:kern w:val="0"/>
          <w:sz w:val="24"/>
          <w:szCs w:val="28"/>
          <w:highlight w:val="none"/>
        </w:rPr>
        <w:t>项下的通知应以中文书写，并通过特快专递、邮寄或电子邮件等方式按下列地址送至或发至各方：</w:t>
      </w:r>
    </w:p>
    <w:p w14:paraId="72777911">
      <w:pPr>
        <w:tabs>
          <w:tab w:val="left" w:pos="142"/>
        </w:tabs>
        <w:autoSpaceDE w:val="0"/>
        <w:autoSpaceDN w:val="0"/>
        <w:adjustRightInd w:val="0"/>
        <w:snapToGrid w:val="0"/>
        <w:spacing w:before="0" w:beforeLines="0" w:after="0" w:afterLines="0" w:line="360" w:lineRule="auto"/>
        <w:ind w:firstLine="560" w:firstLineChars="0"/>
        <w:textAlignment w:val="baseline"/>
        <w:rPr>
          <w:rFonts w:hint="eastAsia" w:ascii="Times New Roman" w:hAnsi="Times New Roman" w:eastAsia="方正仿宋_GBK" w:cs="Times New Roman"/>
          <w:b/>
          <w:bCs/>
          <w:color w:val="auto"/>
          <w:kern w:val="0"/>
          <w:sz w:val="24"/>
          <w:szCs w:val="28"/>
          <w:highlight w:val="none"/>
        </w:rPr>
      </w:pPr>
      <w:r>
        <w:rPr>
          <w:rFonts w:hint="eastAsia" w:ascii="Times New Roman" w:hAnsi="Times New Roman" w:eastAsia="方正仿宋_GBK" w:cs="Times New Roman"/>
          <w:b/>
          <w:bCs/>
          <w:color w:val="auto"/>
          <w:kern w:val="0"/>
          <w:sz w:val="24"/>
          <w:szCs w:val="28"/>
          <w:highlight w:val="none"/>
        </w:rPr>
        <w:t>甲方：</w:t>
      </w:r>
    </w:p>
    <w:p w14:paraId="392E258F">
      <w:pPr>
        <w:tabs>
          <w:tab w:val="left" w:pos="142"/>
        </w:tabs>
        <w:autoSpaceDE w:val="0"/>
        <w:autoSpaceDN w:val="0"/>
        <w:adjustRightInd w:val="0"/>
        <w:snapToGrid w:val="0"/>
        <w:spacing w:before="0" w:beforeLines="0" w:after="0" w:afterLines="0" w:line="360" w:lineRule="auto"/>
        <w:ind w:firstLine="560" w:firstLineChars="0"/>
        <w:textAlignment w:val="baseline"/>
        <w:rPr>
          <w:rFonts w:hint="eastAsia" w:ascii="Times New Roman" w:hAnsi="Times New Roman" w:eastAsia="方正仿宋_GBK" w:cs="Times New Roman"/>
          <w:color w:val="auto"/>
          <w:kern w:val="0"/>
          <w:sz w:val="24"/>
          <w:szCs w:val="28"/>
          <w:highlight w:val="none"/>
        </w:rPr>
      </w:pPr>
      <w:r>
        <w:rPr>
          <w:rFonts w:hint="eastAsia" w:ascii="Times New Roman" w:hAnsi="Times New Roman" w:eastAsia="方正仿宋_GBK" w:cs="Times New Roman"/>
          <w:color w:val="auto"/>
          <w:kern w:val="0"/>
          <w:sz w:val="24"/>
          <w:szCs w:val="28"/>
          <w:highlight w:val="none"/>
        </w:rPr>
        <w:t>地址：</w:t>
      </w:r>
    </w:p>
    <w:p w14:paraId="78F2A970">
      <w:pPr>
        <w:tabs>
          <w:tab w:val="left" w:pos="142"/>
        </w:tabs>
        <w:autoSpaceDE w:val="0"/>
        <w:autoSpaceDN w:val="0"/>
        <w:adjustRightInd w:val="0"/>
        <w:snapToGrid w:val="0"/>
        <w:spacing w:before="0" w:beforeLines="0" w:after="0" w:afterLines="0" w:line="360" w:lineRule="auto"/>
        <w:ind w:firstLine="560" w:firstLineChars="0"/>
        <w:textAlignment w:val="baseline"/>
        <w:rPr>
          <w:rFonts w:hint="eastAsia" w:ascii="Times New Roman" w:hAnsi="Times New Roman" w:eastAsia="方正仿宋_GBK" w:cs="Times New Roman"/>
          <w:color w:val="auto"/>
          <w:kern w:val="0"/>
          <w:sz w:val="24"/>
          <w:szCs w:val="28"/>
          <w:highlight w:val="none"/>
        </w:rPr>
      </w:pPr>
      <w:r>
        <w:rPr>
          <w:rFonts w:hint="eastAsia" w:ascii="Times New Roman" w:hAnsi="Times New Roman" w:eastAsia="方正仿宋_GBK" w:cs="Times New Roman"/>
          <w:color w:val="auto"/>
          <w:kern w:val="0"/>
          <w:sz w:val="24"/>
          <w:szCs w:val="28"/>
          <w:highlight w:val="none"/>
        </w:rPr>
        <w:t xml:space="preserve">邮编： </w:t>
      </w:r>
    </w:p>
    <w:p w14:paraId="115E6598">
      <w:pPr>
        <w:tabs>
          <w:tab w:val="left" w:pos="142"/>
        </w:tabs>
        <w:autoSpaceDE w:val="0"/>
        <w:autoSpaceDN w:val="0"/>
        <w:adjustRightInd w:val="0"/>
        <w:snapToGrid w:val="0"/>
        <w:spacing w:before="0" w:beforeLines="0" w:after="0" w:afterLines="0" w:line="360" w:lineRule="auto"/>
        <w:ind w:firstLine="560" w:firstLineChars="0"/>
        <w:textAlignment w:val="baseline"/>
        <w:rPr>
          <w:rFonts w:hint="eastAsia" w:ascii="Times New Roman" w:hAnsi="Times New Roman" w:eastAsia="方正仿宋_GBK" w:cs="Times New Roman"/>
          <w:color w:val="auto"/>
          <w:kern w:val="0"/>
          <w:sz w:val="24"/>
          <w:szCs w:val="28"/>
          <w:highlight w:val="none"/>
        </w:rPr>
      </w:pPr>
      <w:r>
        <w:rPr>
          <w:rFonts w:hint="eastAsia" w:ascii="Times New Roman" w:hAnsi="Times New Roman" w:eastAsia="方正仿宋_GBK" w:cs="Times New Roman"/>
          <w:color w:val="auto"/>
          <w:kern w:val="0"/>
          <w:sz w:val="24"/>
          <w:szCs w:val="28"/>
          <w:highlight w:val="none"/>
        </w:rPr>
        <w:t xml:space="preserve">收件人： </w:t>
      </w:r>
    </w:p>
    <w:p w14:paraId="52905E89">
      <w:pPr>
        <w:tabs>
          <w:tab w:val="left" w:pos="142"/>
        </w:tabs>
        <w:autoSpaceDE w:val="0"/>
        <w:autoSpaceDN w:val="0"/>
        <w:adjustRightInd w:val="0"/>
        <w:snapToGrid w:val="0"/>
        <w:spacing w:before="0" w:beforeLines="0" w:after="0" w:afterLines="0" w:line="360" w:lineRule="auto"/>
        <w:ind w:firstLine="560" w:firstLineChars="0"/>
        <w:textAlignment w:val="baseline"/>
        <w:rPr>
          <w:rFonts w:hint="eastAsia" w:ascii="Times New Roman" w:hAnsi="Times New Roman" w:eastAsia="方正仿宋_GBK" w:cs="Times New Roman"/>
          <w:color w:val="auto"/>
          <w:kern w:val="0"/>
          <w:sz w:val="24"/>
          <w:szCs w:val="28"/>
          <w:highlight w:val="none"/>
        </w:rPr>
      </w:pPr>
      <w:r>
        <w:rPr>
          <w:rFonts w:hint="eastAsia" w:ascii="Times New Roman" w:hAnsi="Times New Roman" w:eastAsia="方正仿宋_GBK" w:cs="Times New Roman"/>
          <w:color w:val="auto"/>
          <w:kern w:val="0"/>
          <w:sz w:val="24"/>
          <w:szCs w:val="28"/>
          <w:highlight w:val="none"/>
        </w:rPr>
        <w:t>电子邮箱：</w:t>
      </w:r>
    </w:p>
    <w:p w14:paraId="152DC93C">
      <w:pPr>
        <w:tabs>
          <w:tab w:val="left" w:pos="142"/>
        </w:tabs>
        <w:autoSpaceDE w:val="0"/>
        <w:autoSpaceDN w:val="0"/>
        <w:adjustRightInd w:val="0"/>
        <w:snapToGrid w:val="0"/>
        <w:spacing w:before="0" w:beforeLines="0" w:after="0" w:afterLines="0" w:line="360" w:lineRule="auto"/>
        <w:ind w:firstLine="560" w:firstLineChars="0"/>
        <w:textAlignment w:val="baseline"/>
        <w:rPr>
          <w:rFonts w:hint="eastAsia" w:ascii="Times New Roman" w:hAnsi="Times New Roman" w:eastAsia="方正仿宋_GBK" w:cs="Times New Roman"/>
          <w:b/>
          <w:bCs/>
          <w:color w:val="auto"/>
          <w:kern w:val="0"/>
          <w:sz w:val="24"/>
          <w:szCs w:val="28"/>
          <w:highlight w:val="none"/>
        </w:rPr>
      </w:pPr>
      <w:r>
        <w:rPr>
          <w:rFonts w:hint="eastAsia" w:ascii="Times New Roman" w:hAnsi="Times New Roman" w:eastAsia="方正仿宋_GBK" w:cs="Times New Roman"/>
          <w:b/>
          <w:bCs/>
          <w:color w:val="auto"/>
          <w:kern w:val="0"/>
          <w:sz w:val="24"/>
          <w:szCs w:val="28"/>
          <w:highlight w:val="none"/>
        </w:rPr>
        <w:t>乙方：</w:t>
      </w:r>
    </w:p>
    <w:p w14:paraId="02571179">
      <w:pPr>
        <w:tabs>
          <w:tab w:val="left" w:pos="142"/>
        </w:tabs>
        <w:autoSpaceDE w:val="0"/>
        <w:autoSpaceDN w:val="0"/>
        <w:adjustRightInd w:val="0"/>
        <w:snapToGrid w:val="0"/>
        <w:spacing w:before="0" w:beforeLines="0" w:after="0" w:afterLines="0" w:line="360" w:lineRule="auto"/>
        <w:ind w:firstLine="560" w:firstLineChars="0"/>
        <w:textAlignment w:val="baseline"/>
        <w:rPr>
          <w:rFonts w:hint="eastAsia" w:ascii="Times New Roman" w:hAnsi="Times New Roman" w:eastAsia="方正仿宋_GBK" w:cs="Times New Roman"/>
          <w:color w:val="auto"/>
          <w:kern w:val="0"/>
          <w:sz w:val="24"/>
          <w:szCs w:val="28"/>
          <w:highlight w:val="none"/>
        </w:rPr>
      </w:pPr>
      <w:r>
        <w:rPr>
          <w:rFonts w:hint="eastAsia" w:ascii="Times New Roman" w:hAnsi="Times New Roman" w:eastAsia="方正仿宋_GBK" w:cs="Times New Roman"/>
          <w:color w:val="auto"/>
          <w:kern w:val="0"/>
          <w:sz w:val="24"/>
          <w:szCs w:val="28"/>
          <w:highlight w:val="none"/>
        </w:rPr>
        <w:t>地址：</w:t>
      </w:r>
    </w:p>
    <w:p w14:paraId="37AE2095">
      <w:pPr>
        <w:tabs>
          <w:tab w:val="left" w:pos="142"/>
        </w:tabs>
        <w:autoSpaceDE w:val="0"/>
        <w:autoSpaceDN w:val="0"/>
        <w:adjustRightInd w:val="0"/>
        <w:snapToGrid w:val="0"/>
        <w:spacing w:before="0" w:beforeLines="0" w:after="0" w:afterLines="0" w:line="360" w:lineRule="auto"/>
        <w:ind w:firstLine="560" w:firstLineChars="0"/>
        <w:textAlignment w:val="baseline"/>
        <w:rPr>
          <w:rFonts w:hint="eastAsia" w:ascii="Times New Roman" w:hAnsi="Times New Roman" w:eastAsia="方正仿宋_GBK" w:cs="Times New Roman"/>
          <w:color w:val="auto"/>
          <w:kern w:val="0"/>
          <w:sz w:val="24"/>
          <w:szCs w:val="28"/>
          <w:highlight w:val="none"/>
        </w:rPr>
      </w:pPr>
      <w:r>
        <w:rPr>
          <w:rFonts w:hint="eastAsia" w:ascii="Times New Roman" w:hAnsi="Times New Roman" w:eastAsia="方正仿宋_GBK" w:cs="Times New Roman"/>
          <w:color w:val="auto"/>
          <w:kern w:val="0"/>
          <w:sz w:val="24"/>
          <w:szCs w:val="28"/>
          <w:highlight w:val="none"/>
        </w:rPr>
        <w:t xml:space="preserve">邮编： </w:t>
      </w:r>
    </w:p>
    <w:p w14:paraId="78D5762A">
      <w:pPr>
        <w:tabs>
          <w:tab w:val="left" w:pos="142"/>
        </w:tabs>
        <w:autoSpaceDE w:val="0"/>
        <w:autoSpaceDN w:val="0"/>
        <w:adjustRightInd w:val="0"/>
        <w:snapToGrid w:val="0"/>
        <w:spacing w:before="0" w:beforeLines="0" w:after="0" w:afterLines="0" w:line="360" w:lineRule="auto"/>
        <w:ind w:firstLine="560" w:firstLineChars="0"/>
        <w:textAlignment w:val="baseline"/>
        <w:rPr>
          <w:rFonts w:hint="eastAsia" w:ascii="Times New Roman" w:hAnsi="Times New Roman" w:eastAsia="方正仿宋_GBK" w:cs="Times New Roman"/>
          <w:color w:val="auto"/>
          <w:kern w:val="0"/>
          <w:sz w:val="24"/>
          <w:szCs w:val="28"/>
          <w:highlight w:val="none"/>
        </w:rPr>
      </w:pPr>
      <w:r>
        <w:rPr>
          <w:rFonts w:hint="eastAsia" w:ascii="Times New Roman" w:hAnsi="Times New Roman" w:eastAsia="方正仿宋_GBK" w:cs="Times New Roman"/>
          <w:color w:val="auto"/>
          <w:kern w:val="0"/>
          <w:sz w:val="24"/>
          <w:szCs w:val="28"/>
          <w:highlight w:val="none"/>
        </w:rPr>
        <w:t xml:space="preserve">收件人： </w:t>
      </w:r>
    </w:p>
    <w:p w14:paraId="046A21CE">
      <w:pPr>
        <w:tabs>
          <w:tab w:val="left" w:pos="142"/>
        </w:tabs>
        <w:autoSpaceDE w:val="0"/>
        <w:autoSpaceDN w:val="0"/>
        <w:adjustRightInd w:val="0"/>
        <w:snapToGrid w:val="0"/>
        <w:spacing w:before="0" w:beforeLines="0" w:after="0" w:afterLines="0" w:line="360" w:lineRule="auto"/>
        <w:ind w:firstLine="560" w:firstLineChars="0"/>
        <w:textAlignment w:val="baseline"/>
        <w:rPr>
          <w:rFonts w:hint="eastAsia" w:ascii="Times New Roman" w:hAnsi="Times New Roman" w:eastAsia="方正仿宋_GBK" w:cs="Times New Roman"/>
          <w:color w:val="auto"/>
          <w:kern w:val="0"/>
          <w:sz w:val="24"/>
          <w:szCs w:val="28"/>
          <w:highlight w:val="none"/>
        </w:rPr>
      </w:pPr>
      <w:r>
        <w:rPr>
          <w:rFonts w:hint="eastAsia" w:ascii="Times New Roman" w:hAnsi="Times New Roman" w:eastAsia="方正仿宋_GBK" w:cs="Times New Roman"/>
          <w:color w:val="auto"/>
          <w:kern w:val="0"/>
          <w:sz w:val="24"/>
          <w:szCs w:val="28"/>
          <w:highlight w:val="none"/>
        </w:rPr>
        <w:t>电子邮箱：</w:t>
      </w:r>
    </w:p>
    <w:p w14:paraId="78B65BCC">
      <w:pPr>
        <w:tabs>
          <w:tab w:val="left" w:pos="142"/>
        </w:tabs>
        <w:autoSpaceDE w:val="0"/>
        <w:autoSpaceDN w:val="0"/>
        <w:adjustRightInd w:val="0"/>
        <w:snapToGrid w:val="0"/>
        <w:spacing w:before="0" w:beforeLines="0" w:after="0" w:afterLines="0" w:line="360" w:lineRule="auto"/>
        <w:ind w:firstLine="560" w:firstLineChars="0"/>
        <w:textAlignment w:val="baseline"/>
        <w:rPr>
          <w:rFonts w:hint="eastAsia" w:ascii="Times New Roman" w:hAnsi="Times New Roman" w:eastAsia="方正仿宋_GBK" w:cs="Times New Roman"/>
          <w:color w:val="auto"/>
          <w:kern w:val="0"/>
          <w:sz w:val="24"/>
          <w:szCs w:val="28"/>
          <w:highlight w:val="none"/>
        </w:rPr>
      </w:pPr>
      <w:r>
        <w:rPr>
          <w:rFonts w:hint="eastAsia" w:ascii="Times New Roman" w:hAnsi="Times New Roman" w:eastAsia="方正仿宋_GBK" w:cs="Times New Roman"/>
          <w:color w:val="auto"/>
          <w:kern w:val="0"/>
          <w:sz w:val="24"/>
          <w:szCs w:val="28"/>
          <w:highlight w:val="none"/>
          <w:lang w:eastAsia="zh-CN"/>
        </w:rPr>
        <w:t>2</w:t>
      </w:r>
      <w:r>
        <w:rPr>
          <w:rFonts w:hint="eastAsia" w:ascii="Times New Roman" w:hAnsi="Times New Roman" w:eastAsia="方正仿宋_GBK" w:cs="Times New Roman"/>
          <w:color w:val="auto"/>
          <w:kern w:val="0"/>
          <w:sz w:val="24"/>
          <w:szCs w:val="28"/>
          <w:highlight w:val="none"/>
          <w:lang w:val="en-US" w:eastAsia="zh-CN"/>
        </w:rPr>
        <w:t>.</w:t>
      </w:r>
      <w:r>
        <w:rPr>
          <w:rFonts w:hint="eastAsia" w:ascii="Times New Roman" w:hAnsi="Times New Roman" w:eastAsia="方正仿宋_GBK" w:cs="Times New Roman"/>
          <w:color w:val="auto"/>
          <w:kern w:val="0"/>
          <w:sz w:val="24"/>
          <w:szCs w:val="28"/>
          <w:highlight w:val="none"/>
        </w:rPr>
        <w:t>下列情况应视为已送达：</w:t>
      </w:r>
    </w:p>
    <w:p w14:paraId="35A2DAEB">
      <w:pPr>
        <w:tabs>
          <w:tab w:val="left" w:pos="142"/>
        </w:tabs>
        <w:autoSpaceDE w:val="0"/>
        <w:autoSpaceDN w:val="0"/>
        <w:adjustRightInd w:val="0"/>
        <w:snapToGrid w:val="0"/>
        <w:spacing w:before="0" w:beforeLines="0" w:after="0" w:afterLines="0" w:line="360" w:lineRule="auto"/>
        <w:ind w:firstLine="560" w:firstLineChars="0"/>
        <w:textAlignment w:val="baseline"/>
        <w:rPr>
          <w:rFonts w:hint="eastAsia" w:ascii="Times New Roman" w:hAnsi="Times New Roman" w:eastAsia="方正仿宋_GBK" w:cs="Times New Roman"/>
          <w:color w:val="auto"/>
          <w:kern w:val="0"/>
          <w:sz w:val="24"/>
          <w:szCs w:val="28"/>
          <w:highlight w:val="none"/>
        </w:rPr>
      </w:pPr>
      <w:r>
        <w:rPr>
          <w:rFonts w:hint="eastAsia" w:ascii="Times New Roman" w:hAnsi="Times New Roman" w:eastAsia="方正仿宋_GBK" w:cs="Times New Roman"/>
          <w:color w:val="auto"/>
          <w:kern w:val="0"/>
          <w:sz w:val="24"/>
          <w:szCs w:val="28"/>
          <w:highlight w:val="none"/>
        </w:rPr>
        <w:t>（1）若采用专人提交或邮寄方式（挂号、要求回执），在寄送至上述地址时；</w:t>
      </w:r>
    </w:p>
    <w:p w14:paraId="73859B45">
      <w:pPr>
        <w:tabs>
          <w:tab w:val="left" w:pos="142"/>
        </w:tabs>
        <w:autoSpaceDE w:val="0"/>
        <w:autoSpaceDN w:val="0"/>
        <w:adjustRightInd w:val="0"/>
        <w:snapToGrid w:val="0"/>
        <w:spacing w:before="0" w:beforeLines="0" w:after="0" w:afterLines="0" w:line="360" w:lineRule="auto"/>
        <w:ind w:firstLine="560" w:firstLineChars="0"/>
        <w:textAlignment w:val="baseline"/>
        <w:rPr>
          <w:rFonts w:hint="eastAsia" w:ascii="Times New Roman" w:hAnsi="Times New Roman" w:eastAsia="方正仿宋_GBK" w:cs="Times New Roman"/>
          <w:color w:val="auto"/>
          <w:kern w:val="0"/>
          <w:sz w:val="24"/>
          <w:szCs w:val="28"/>
          <w:highlight w:val="none"/>
        </w:rPr>
      </w:pPr>
      <w:r>
        <w:rPr>
          <w:rFonts w:hint="eastAsia" w:ascii="Times New Roman" w:hAnsi="Times New Roman" w:eastAsia="方正仿宋_GBK" w:cs="Times New Roman"/>
          <w:color w:val="auto"/>
          <w:kern w:val="0"/>
          <w:sz w:val="24"/>
          <w:szCs w:val="28"/>
          <w:highlight w:val="none"/>
        </w:rPr>
        <w:t>（2）如采用电子邮件形式，在准确发送至上述电子邮箱即为送达；</w:t>
      </w:r>
    </w:p>
    <w:p w14:paraId="37783C38">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eastAsia" w:ascii="Times New Roman" w:hAnsi="Times New Roman" w:eastAsia="方正仿宋_GBK" w:cs="Times New Roman"/>
          <w:caps w:val="0"/>
          <w:smallCaps w:val="0"/>
          <w:color w:val="auto"/>
          <w:kern w:val="0"/>
          <w:sz w:val="24"/>
          <w:szCs w:val="28"/>
          <w:highlight w:val="none"/>
        </w:rPr>
      </w:pPr>
      <w:r>
        <w:rPr>
          <w:rFonts w:hint="eastAsia" w:ascii="Times New Roman" w:hAnsi="Times New Roman" w:eastAsia="方正仿宋_GBK" w:cs="Times New Roman"/>
          <w:color w:val="auto"/>
          <w:kern w:val="0"/>
          <w:sz w:val="24"/>
          <w:szCs w:val="28"/>
          <w:highlight w:val="none"/>
          <w:lang w:eastAsia="zh-CN"/>
        </w:rPr>
        <w:t>3</w:t>
      </w:r>
      <w:r>
        <w:rPr>
          <w:rFonts w:hint="eastAsia" w:ascii="Times New Roman" w:hAnsi="Times New Roman" w:eastAsia="方正仿宋_GBK" w:cs="Times New Roman"/>
          <w:color w:val="auto"/>
          <w:kern w:val="0"/>
          <w:sz w:val="24"/>
          <w:szCs w:val="28"/>
          <w:highlight w:val="none"/>
          <w:lang w:val="en-US" w:eastAsia="zh-CN"/>
        </w:rPr>
        <w:t>.</w:t>
      </w:r>
      <w:r>
        <w:rPr>
          <w:rFonts w:hint="eastAsia" w:ascii="Times New Roman" w:hAnsi="Times New Roman" w:eastAsia="方正仿宋_GBK" w:cs="Times New Roman"/>
          <w:color w:val="auto"/>
          <w:kern w:val="0"/>
          <w:sz w:val="24"/>
          <w:szCs w:val="28"/>
          <w:highlight w:val="none"/>
        </w:rPr>
        <w:t>如果一方的地址或收件人或电子邮箱更改时，应在新地址或新收件人或新电子邮箱启用</w:t>
      </w:r>
      <w:r>
        <w:rPr>
          <w:rFonts w:hint="eastAsia" w:ascii="Times New Roman" w:hAnsi="Times New Roman" w:eastAsia="方正仿宋_GBK" w:cs="Times New Roman"/>
          <w:b w:val="0"/>
          <w:color w:val="auto"/>
          <w:kern w:val="0"/>
          <w:sz w:val="24"/>
          <w:szCs w:val="28"/>
          <w:highlight w:val="none"/>
          <w:u w:val="none"/>
          <w:lang w:eastAsia="zh-CN"/>
        </w:rPr>
        <w:t>1</w:t>
      </w:r>
      <w:r>
        <w:rPr>
          <w:rFonts w:hint="eastAsia" w:ascii="Times New Roman" w:hAnsi="Times New Roman" w:eastAsia="方正仿宋_GBK" w:cs="Times New Roman"/>
          <w:b w:val="0"/>
          <w:color w:val="auto"/>
          <w:kern w:val="0"/>
          <w:sz w:val="24"/>
          <w:szCs w:val="28"/>
          <w:highlight w:val="none"/>
          <w:u w:val="none"/>
          <w:lang w:val="en-US" w:eastAsia="zh-CN"/>
        </w:rPr>
        <w:t>0</w:t>
      </w:r>
      <w:r>
        <w:rPr>
          <w:rFonts w:hint="eastAsia" w:ascii="Times New Roman" w:hAnsi="Times New Roman" w:eastAsia="方正仿宋_GBK" w:cs="Times New Roman"/>
          <w:color w:val="auto"/>
          <w:kern w:val="0"/>
          <w:sz w:val="24"/>
          <w:szCs w:val="28"/>
          <w:highlight w:val="none"/>
        </w:rPr>
        <w:t>日前以上述通知方式通知另一方，否则应仍以原地址、原收件人和原电子邮箱为准。</w:t>
      </w:r>
    </w:p>
    <w:p w14:paraId="38E41757">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496" w:name="_Toc405146905"/>
      <w:bookmarkStart w:id="497" w:name="_Toc3372"/>
      <w:bookmarkStart w:id="498" w:name="_Toc1738157259"/>
      <w:bookmarkStart w:id="499" w:name="_Toc14066"/>
      <w:r>
        <w:rPr>
          <w:rFonts w:hint="eastAsia" w:ascii="Times New Roman" w:hAnsi="Times New Roman" w:eastAsia="方正黑体_GBK" w:cs="方正黑体_GBK"/>
          <w:bCs/>
          <w:caps w:val="0"/>
          <w:smallCaps w:val="0"/>
          <w:color w:val="auto"/>
          <w:kern w:val="2"/>
          <w:sz w:val="28"/>
          <w:szCs w:val="28"/>
          <w:highlight w:val="none"/>
          <w:lang w:val="en-US" w:eastAsia="zh-CN" w:bidi="ar-SA"/>
        </w:rPr>
        <w:t>第70条 法律</w:t>
      </w:r>
      <w:bookmarkEnd w:id="496"/>
      <w:r>
        <w:rPr>
          <w:rFonts w:hint="eastAsia" w:ascii="Times New Roman" w:hAnsi="Times New Roman" w:eastAsia="方正黑体_GBK" w:cs="方正黑体_GBK"/>
          <w:bCs/>
          <w:caps w:val="0"/>
          <w:smallCaps w:val="0"/>
          <w:color w:val="auto"/>
          <w:kern w:val="2"/>
          <w:sz w:val="28"/>
          <w:szCs w:val="28"/>
          <w:highlight w:val="none"/>
          <w:lang w:val="en-US" w:eastAsia="zh-CN" w:bidi="ar-SA"/>
        </w:rPr>
        <w:t>适用</w:t>
      </w:r>
      <w:bookmarkEnd w:id="497"/>
      <w:bookmarkEnd w:id="498"/>
      <w:bookmarkEnd w:id="499"/>
    </w:p>
    <w:p w14:paraId="6A8FC4F1">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default" w:ascii="Times New Roman" w:hAnsi="Times New Roman" w:eastAsia="方正仿宋_GBK"/>
          <w:caps w:val="0"/>
          <w:smallCaps w:val="0"/>
          <w:color w:val="auto"/>
          <w:kern w:val="0"/>
          <w:sz w:val="28"/>
          <w:szCs w:val="32"/>
          <w:highlight w:val="none"/>
        </w:rPr>
      </w:pPr>
      <w:r>
        <w:rPr>
          <w:rFonts w:hint="eastAsia" w:ascii="Times New Roman" w:hAnsi="Times New Roman" w:eastAsia="方正仿宋_GBK" w:cs="Times New Roman"/>
          <w:caps w:val="0"/>
          <w:smallCaps w:val="0"/>
          <w:color w:val="auto"/>
          <w:kern w:val="0"/>
          <w:sz w:val="24"/>
          <w:szCs w:val="28"/>
          <w:highlight w:val="none"/>
          <w:lang w:val="en-US" w:eastAsia="zh-CN"/>
        </w:rPr>
        <w:t>本</w:t>
      </w:r>
      <w:r>
        <w:rPr>
          <w:rFonts w:hint="eastAsia" w:ascii="Times New Roman" w:hAnsi="Times New Roman" w:eastAsia="方正仿宋_GBK" w:cs="Times New Roman"/>
          <w:caps w:val="0"/>
          <w:smallCaps w:val="0"/>
          <w:color w:val="auto"/>
          <w:kern w:val="0"/>
          <w:sz w:val="24"/>
          <w:szCs w:val="28"/>
          <w:highlight w:val="none"/>
        </w:rPr>
        <w:t>协议适用中华人民共和国法律。</w:t>
      </w:r>
    </w:p>
    <w:p w14:paraId="0673FC33">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500" w:name="_Toc522766865"/>
      <w:bookmarkStart w:id="501" w:name="_Toc26382"/>
      <w:bookmarkStart w:id="502" w:name="_Toc405146906"/>
      <w:bookmarkStart w:id="503" w:name="_Toc28325"/>
      <w:r>
        <w:rPr>
          <w:rFonts w:hint="eastAsia" w:ascii="Times New Roman" w:hAnsi="Times New Roman" w:eastAsia="方正黑体_GBK" w:cs="方正黑体_GBK"/>
          <w:bCs/>
          <w:caps w:val="0"/>
          <w:smallCaps w:val="0"/>
          <w:color w:val="auto"/>
          <w:kern w:val="2"/>
          <w:sz w:val="28"/>
          <w:szCs w:val="28"/>
          <w:highlight w:val="none"/>
          <w:lang w:val="en-US" w:eastAsia="zh-CN" w:bidi="ar-SA"/>
        </w:rPr>
        <w:t>第71条 适用语言</w:t>
      </w:r>
      <w:bookmarkEnd w:id="500"/>
      <w:bookmarkEnd w:id="501"/>
      <w:bookmarkEnd w:id="502"/>
      <w:bookmarkEnd w:id="503"/>
    </w:p>
    <w:p w14:paraId="4AF5DB52">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eastAsia" w:ascii="Times New Roman" w:hAnsi="Times New Roman" w:eastAsia="方正仿宋_GBK" w:cs="Times New Roman"/>
          <w:caps w:val="0"/>
          <w:smallCaps w:val="0"/>
          <w:color w:val="auto"/>
          <w:kern w:val="0"/>
          <w:sz w:val="24"/>
          <w:szCs w:val="28"/>
          <w:highlight w:val="none"/>
          <w:lang w:val="en-US" w:eastAsia="zh-CN"/>
        </w:rPr>
      </w:pPr>
      <w:r>
        <w:rPr>
          <w:rFonts w:hint="eastAsia" w:ascii="Times New Roman" w:hAnsi="Times New Roman" w:eastAsia="方正仿宋_GBK" w:cs="Times New Roman"/>
          <w:caps w:val="0"/>
          <w:smallCaps w:val="0"/>
          <w:color w:val="auto"/>
          <w:kern w:val="0"/>
          <w:sz w:val="24"/>
          <w:szCs w:val="28"/>
          <w:highlight w:val="none"/>
          <w:lang w:val="en-US" w:eastAsia="zh-CN"/>
        </w:rPr>
        <w:t>本协议以中文书写。</w:t>
      </w:r>
    </w:p>
    <w:p w14:paraId="6A567353">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504" w:name="_Toc885265823"/>
      <w:bookmarkStart w:id="505" w:name="_Toc9447"/>
      <w:bookmarkStart w:id="506" w:name="_Toc405146907"/>
      <w:bookmarkStart w:id="507" w:name="_Toc4153"/>
      <w:r>
        <w:rPr>
          <w:rFonts w:hint="eastAsia" w:ascii="Times New Roman" w:hAnsi="Times New Roman" w:eastAsia="方正黑体_GBK" w:cs="方正黑体_GBK"/>
          <w:bCs/>
          <w:caps w:val="0"/>
          <w:smallCaps w:val="0"/>
          <w:color w:val="auto"/>
          <w:kern w:val="2"/>
          <w:sz w:val="28"/>
          <w:szCs w:val="28"/>
          <w:highlight w:val="none"/>
          <w:lang w:val="en-US" w:eastAsia="zh-CN" w:bidi="ar-SA"/>
        </w:rPr>
        <w:t>第72条 适用货币</w:t>
      </w:r>
      <w:bookmarkEnd w:id="504"/>
      <w:bookmarkEnd w:id="505"/>
      <w:bookmarkEnd w:id="506"/>
      <w:bookmarkEnd w:id="507"/>
    </w:p>
    <w:p w14:paraId="6A8887AC">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eastAsia" w:ascii="Times New Roman" w:hAnsi="Times New Roman" w:eastAsia="方正仿宋_GBK" w:cs="Times New Roman"/>
          <w:caps w:val="0"/>
          <w:smallCaps w:val="0"/>
          <w:color w:val="auto"/>
          <w:kern w:val="0"/>
          <w:sz w:val="24"/>
          <w:szCs w:val="28"/>
          <w:highlight w:val="none"/>
          <w:lang w:val="en-US" w:eastAsia="zh-CN"/>
        </w:rPr>
      </w:pPr>
      <w:r>
        <w:rPr>
          <w:rFonts w:hint="eastAsia" w:ascii="Times New Roman" w:hAnsi="Times New Roman" w:eastAsia="方正仿宋_GBK" w:cs="Times New Roman"/>
          <w:caps w:val="0"/>
          <w:smallCaps w:val="0"/>
          <w:color w:val="auto"/>
          <w:kern w:val="0"/>
          <w:sz w:val="24"/>
          <w:szCs w:val="28"/>
          <w:highlight w:val="none"/>
          <w:lang w:val="en-US" w:eastAsia="zh-CN"/>
        </w:rPr>
        <w:t>本</w:t>
      </w:r>
      <w:r>
        <w:rPr>
          <w:rFonts w:hint="eastAsia" w:ascii="Times New Roman" w:hAnsi="Times New Roman" w:eastAsia="方正仿宋_GBK" w:cs="Times New Roman"/>
          <w:caps w:val="0"/>
          <w:smallCaps w:val="0"/>
          <w:color w:val="auto"/>
          <w:kern w:val="0"/>
          <w:sz w:val="24"/>
          <w:szCs w:val="28"/>
          <w:highlight w:val="none"/>
        </w:rPr>
        <w:t>协议所涉及经济行为采用的支付货币</w:t>
      </w:r>
      <w:r>
        <w:rPr>
          <w:rFonts w:hint="eastAsia" w:ascii="Times New Roman" w:hAnsi="Times New Roman" w:eastAsia="方正仿宋_GBK" w:cs="Times New Roman"/>
          <w:caps w:val="0"/>
          <w:smallCaps w:val="0"/>
          <w:color w:val="auto"/>
          <w:kern w:val="0"/>
          <w:sz w:val="24"/>
          <w:szCs w:val="28"/>
          <w:highlight w:val="none"/>
          <w:lang w:val="en-US" w:eastAsia="zh-CN"/>
        </w:rPr>
        <w:t>为人民币。</w:t>
      </w:r>
    </w:p>
    <w:p w14:paraId="3002F8A3">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60" w:lineRule="auto"/>
        <w:ind w:firstLine="560" w:firstLineChars="200"/>
        <w:jc w:val="both"/>
        <w:textAlignment w:val="auto"/>
        <w:outlineLvl w:val="1"/>
        <w:rPr>
          <w:rFonts w:hint="eastAsia" w:ascii="Times New Roman" w:hAnsi="Times New Roman" w:eastAsia="方正黑体_GBK" w:cs="方正黑体_GBK"/>
          <w:bCs/>
          <w:caps w:val="0"/>
          <w:smallCaps w:val="0"/>
          <w:color w:val="auto"/>
          <w:kern w:val="2"/>
          <w:sz w:val="28"/>
          <w:szCs w:val="28"/>
          <w:highlight w:val="none"/>
          <w:lang w:val="en-US" w:eastAsia="zh-CN" w:bidi="ar-SA"/>
        </w:rPr>
      </w:pPr>
      <w:bookmarkStart w:id="508" w:name="_Toc402428991"/>
      <w:bookmarkStart w:id="509" w:name="_Toc405146908"/>
      <w:bookmarkStart w:id="510" w:name="_Toc21049"/>
      <w:bookmarkStart w:id="511" w:name="_Toc9021"/>
      <w:bookmarkStart w:id="512" w:name="_Toc404845504"/>
      <w:r>
        <w:rPr>
          <w:rFonts w:hint="eastAsia" w:ascii="Times New Roman" w:hAnsi="Times New Roman" w:eastAsia="方正黑体_GBK" w:cs="方正黑体_GBK"/>
          <w:bCs/>
          <w:caps w:val="0"/>
          <w:smallCaps w:val="0"/>
          <w:color w:val="auto"/>
          <w:kern w:val="2"/>
          <w:sz w:val="28"/>
          <w:szCs w:val="28"/>
          <w:highlight w:val="none"/>
          <w:lang w:val="en-US" w:eastAsia="zh-CN" w:bidi="ar-SA"/>
        </w:rPr>
        <w:t>第73条 协议份数</w:t>
      </w:r>
      <w:bookmarkEnd w:id="508"/>
      <w:bookmarkEnd w:id="509"/>
      <w:bookmarkEnd w:id="510"/>
      <w:bookmarkEnd w:id="511"/>
      <w:bookmarkEnd w:id="512"/>
    </w:p>
    <w:p w14:paraId="1A4EA728">
      <w:pPr>
        <w:keepNext w:val="0"/>
        <w:keepLines w:val="0"/>
        <w:pageBreakBefore w:val="0"/>
        <w:widowControl w:val="0"/>
        <w:tabs>
          <w:tab w:val="left" w:pos="142"/>
        </w:tabs>
        <w:kinsoku/>
        <w:wordWrap/>
        <w:overflowPunct/>
        <w:topLinePunct w:val="0"/>
        <w:autoSpaceDE w:val="0"/>
        <w:autoSpaceDN w:val="0"/>
        <w:bidi w:val="0"/>
        <w:adjustRightInd w:val="0"/>
        <w:snapToGrid w:val="0"/>
        <w:spacing w:before="0" w:beforeLines="0" w:beforeAutospacing="0" w:after="0" w:afterLines="0" w:afterAutospacing="0" w:line="360" w:lineRule="auto"/>
        <w:ind w:firstLine="480" w:firstLineChars="200"/>
        <w:textAlignment w:val="baseline"/>
        <w:rPr>
          <w:rFonts w:hint="eastAsia" w:ascii="Times New Roman" w:hAnsi="Times New Roman" w:eastAsia="方正仿宋_GBK" w:cs="Times New Roman"/>
          <w:color w:val="auto"/>
          <w:kern w:val="0"/>
          <w:sz w:val="24"/>
          <w:szCs w:val="28"/>
          <w:highlight w:val="none"/>
        </w:rPr>
      </w:pPr>
      <w:r>
        <w:rPr>
          <w:rFonts w:hint="eastAsia" w:ascii="Times New Roman" w:hAnsi="Times New Roman" w:eastAsia="方正仿宋_GBK" w:cs="Times New Roman"/>
          <w:color w:val="auto"/>
          <w:kern w:val="0"/>
          <w:sz w:val="24"/>
          <w:szCs w:val="28"/>
          <w:highlight w:val="none"/>
        </w:rPr>
        <w:t>本合同一式</w:t>
      </w:r>
      <w:r>
        <w:rPr>
          <w:rFonts w:hint="eastAsia" w:ascii="Times New Roman" w:hAnsi="Times New Roman" w:eastAsia="方正仿宋_GBK" w:cs="Times New Roman"/>
          <w:b w:val="0"/>
          <w:color w:val="auto"/>
          <w:kern w:val="0"/>
          <w:sz w:val="24"/>
          <w:szCs w:val="28"/>
          <w:highlight w:val="none"/>
          <w:u w:val="none"/>
        </w:rPr>
        <w:t xml:space="preserve">    </w:t>
      </w:r>
      <w:r>
        <w:rPr>
          <w:rFonts w:hint="eastAsia" w:ascii="Times New Roman" w:hAnsi="Times New Roman" w:eastAsia="方正仿宋_GBK" w:cs="Times New Roman"/>
          <w:color w:val="auto"/>
          <w:kern w:val="0"/>
          <w:sz w:val="24"/>
          <w:szCs w:val="28"/>
          <w:highlight w:val="none"/>
        </w:rPr>
        <w:t>份，各执</w:t>
      </w:r>
      <w:r>
        <w:rPr>
          <w:rFonts w:hint="eastAsia" w:ascii="Times New Roman" w:hAnsi="Times New Roman" w:eastAsia="方正仿宋_GBK" w:cs="Times New Roman"/>
          <w:b w:val="0"/>
          <w:color w:val="auto"/>
          <w:kern w:val="0"/>
          <w:sz w:val="24"/>
          <w:szCs w:val="28"/>
          <w:highlight w:val="none"/>
          <w:u w:val="none"/>
        </w:rPr>
        <w:t xml:space="preserve">    </w:t>
      </w:r>
      <w:r>
        <w:rPr>
          <w:rFonts w:hint="eastAsia" w:ascii="Times New Roman" w:hAnsi="Times New Roman" w:eastAsia="方正仿宋_GBK" w:cs="Times New Roman"/>
          <w:color w:val="auto"/>
          <w:kern w:val="0"/>
          <w:sz w:val="24"/>
          <w:szCs w:val="28"/>
          <w:highlight w:val="none"/>
        </w:rPr>
        <w:t>份，各份合同具有同等法律效力。</w:t>
      </w:r>
    </w:p>
    <w:p w14:paraId="3E575EB7">
      <w:pPr>
        <w:widowControl/>
        <w:numPr>
          <w:ilvl w:val="0"/>
          <w:numId w:val="0"/>
        </w:numPr>
        <w:adjustRightInd/>
        <w:snapToGrid/>
        <w:spacing w:before="0" w:beforeLines="0" w:after="0" w:afterLines="0" w:line="360" w:lineRule="auto"/>
        <w:ind w:firstLine="560" w:firstLineChars="200"/>
        <w:jc w:val="both"/>
        <w:outlineLvl w:val="1"/>
        <w:rPr>
          <w:rFonts w:hint="eastAsia" w:ascii="Times New Roman" w:hAnsi="Times New Roman" w:eastAsia="方正黑体_GBK" w:cs="方正黑体_GBK"/>
          <w:b w:val="0"/>
          <w:bCs/>
          <w:color w:val="auto"/>
          <w:kern w:val="2"/>
          <w:sz w:val="28"/>
          <w:szCs w:val="28"/>
          <w:highlight w:val="none"/>
          <w:lang w:val="en-US" w:eastAsia="zh-CN" w:bidi="ar-SA"/>
        </w:rPr>
      </w:pPr>
      <w:bookmarkStart w:id="513" w:name="_Toc22876"/>
      <w:r>
        <w:rPr>
          <w:rFonts w:hint="eastAsia" w:ascii="Times New Roman" w:hAnsi="Times New Roman" w:eastAsia="方正黑体_GBK" w:cs="方正黑体_GBK"/>
          <w:b w:val="0"/>
          <w:bCs/>
          <w:color w:val="auto"/>
          <w:kern w:val="2"/>
          <w:sz w:val="28"/>
          <w:szCs w:val="28"/>
          <w:highlight w:val="none"/>
          <w:lang w:val="en-US" w:eastAsia="zh-CN" w:bidi="ar-SA"/>
        </w:rPr>
        <w:t>第74条 合同生效</w:t>
      </w:r>
      <w:bookmarkEnd w:id="513"/>
    </w:p>
    <w:p w14:paraId="770C68D9">
      <w:pPr>
        <w:adjustRightInd w:val="0"/>
        <w:snapToGrid w:val="0"/>
        <w:spacing w:before="80" w:beforeLines="50" w:after="80" w:afterLines="50" w:line="360" w:lineRule="auto"/>
        <w:ind w:firstLine="424" w:firstLineChars="177"/>
        <w:rPr>
          <w:rFonts w:hint="default" w:ascii="仿宋" w:hAnsi="仿宋" w:eastAsia="仿宋"/>
          <w:color w:val="auto"/>
          <w:kern w:val="2"/>
          <w:sz w:val="24"/>
          <w:szCs w:val="24"/>
          <w:highlight w:val="none"/>
        </w:rPr>
      </w:pPr>
      <w:r>
        <w:rPr>
          <w:rFonts w:hint="eastAsia" w:ascii="仿宋" w:hAnsi="仿宋" w:eastAsia="仿宋"/>
          <w:color w:val="auto"/>
          <w:kern w:val="2"/>
          <w:sz w:val="24"/>
          <w:szCs w:val="24"/>
          <w:highlight w:val="none"/>
        </w:rPr>
        <w:t>本合同自甲、乙双方法定代表人或授权代表签字，并加盖公章之日起正式生效。</w:t>
      </w:r>
      <w:bookmarkStart w:id="514" w:name="_Hlk525545339"/>
    </w:p>
    <w:bookmarkEnd w:id="514"/>
    <w:p w14:paraId="31A78085">
      <w:pPr>
        <w:tabs>
          <w:tab w:val="left" w:pos="142"/>
        </w:tabs>
        <w:autoSpaceDE w:val="0"/>
        <w:autoSpaceDN w:val="0"/>
        <w:adjustRightInd w:val="0"/>
        <w:snapToGrid w:val="0"/>
        <w:spacing w:before="50" w:beforeLines="50" w:after="50" w:afterLines="50" w:line="360" w:lineRule="auto"/>
        <w:ind w:firstLine="560" w:firstLineChars="200"/>
        <w:textAlignment w:val="baseline"/>
        <w:rPr>
          <w:rFonts w:hint="eastAsia" w:ascii="Times New Roman" w:hAnsi="Times New Roman" w:eastAsia="方正黑体_GBK" w:cs="方正黑体_GBK"/>
          <w:bCs/>
          <w:caps w:val="0"/>
          <w:smallCaps w:val="0"/>
          <w:color w:val="auto"/>
          <w:kern w:val="2"/>
          <w:sz w:val="28"/>
          <w:szCs w:val="28"/>
          <w:highlight w:val="none"/>
        </w:rPr>
      </w:pPr>
      <w:bookmarkStart w:id="515" w:name="_Toc28134"/>
      <w:bookmarkStart w:id="516" w:name="_Toc405146909"/>
      <w:bookmarkStart w:id="517" w:name="_Toc402428992"/>
      <w:bookmarkStart w:id="518" w:name="_Toc545865552"/>
      <w:r>
        <w:rPr>
          <w:rFonts w:hint="eastAsia" w:ascii="Times New Roman" w:hAnsi="Times New Roman" w:eastAsia="方正黑体_GBK" w:cs="方正黑体_GBK"/>
          <w:bCs/>
          <w:caps w:val="0"/>
          <w:smallCaps w:val="0"/>
          <w:color w:val="auto"/>
          <w:kern w:val="2"/>
          <w:sz w:val="28"/>
          <w:szCs w:val="28"/>
          <w:highlight w:val="none"/>
          <w:lang w:val="en-US" w:eastAsia="zh-CN" w:bidi="ar-SA"/>
        </w:rPr>
        <w:t xml:space="preserve">第75条 </w:t>
      </w:r>
      <w:r>
        <w:rPr>
          <w:rFonts w:hint="eastAsia" w:ascii="Times New Roman" w:hAnsi="Times New Roman" w:eastAsia="方正黑体_GBK" w:cs="方正黑体_GBK"/>
          <w:bCs/>
          <w:caps w:val="0"/>
          <w:smallCaps w:val="0"/>
          <w:color w:val="auto"/>
          <w:kern w:val="2"/>
          <w:sz w:val="28"/>
          <w:szCs w:val="28"/>
          <w:highlight w:val="none"/>
        </w:rPr>
        <w:t>协议附件</w:t>
      </w:r>
      <w:bookmarkEnd w:id="515"/>
      <w:bookmarkEnd w:id="516"/>
      <w:bookmarkEnd w:id="517"/>
      <w:bookmarkEnd w:id="518"/>
    </w:p>
    <w:p w14:paraId="3819151E">
      <w:pPr>
        <w:keepNext w:val="0"/>
        <w:keepLines w:val="0"/>
        <w:pageBreakBefore w:val="0"/>
        <w:widowControl/>
        <w:kinsoku/>
        <w:wordWrap/>
        <w:overflowPunct/>
        <w:topLinePunct w:val="0"/>
        <w:autoSpaceDE/>
        <w:autoSpaceDN/>
        <w:bidi w:val="0"/>
        <w:adjustRightInd w:val="0"/>
        <w:snapToGrid w:val="0"/>
        <w:spacing w:before="80" w:beforeLines="0" w:beforeAutospacing="0" w:after="80" w:afterLines="0" w:afterAutospacing="0" w:line="360" w:lineRule="auto"/>
        <w:ind w:firstLine="424" w:firstLineChars="177"/>
        <w:textAlignment w:val="auto"/>
        <w:rPr>
          <w:rFonts w:hint="eastAsia" w:ascii="仿宋" w:hAnsi="仿宋" w:eastAsia="仿宋" w:cs="Times New Roman"/>
          <w:caps w:val="0"/>
          <w:smallCaps w:val="0"/>
          <w:color w:val="auto"/>
          <w:kern w:val="2"/>
          <w:sz w:val="24"/>
          <w:szCs w:val="24"/>
          <w:highlight w:val="none"/>
        </w:rPr>
      </w:pPr>
      <w:r>
        <w:rPr>
          <w:rFonts w:hint="eastAsia" w:ascii="仿宋" w:hAnsi="仿宋" w:eastAsia="仿宋" w:cs="Times New Roman"/>
          <w:caps w:val="0"/>
          <w:smallCaps w:val="0"/>
          <w:color w:val="auto"/>
          <w:kern w:val="2"/>
          <w:sz w:val="24"/>
          <w:szCs w:val="24"/>
          <w:highlight w:val="none"/>
        </w:rPr>
        <w:t>【说明：特许经营协议可列示协议附件名称。】</w:t>
      </w:r>
    </w:p>
    <w:p w14:paraId="3207E67B">
      <w:pPr>
        <w:adjustRightInd w:val="0"/>
        <w:snapToGrid w:val="0"/>
        <w:spacing w:before="80" w:beforeLines="50" w:after="80" w:afterLines="50" w:line="360" w:lineRule="auto"/>
        <w:ind w:firstLine="424" w:firstLineChars="177"/>
        <w:rPr>
          <w:rFonts w:hint="eastAsia" w:ascii="仿宋" w:hAnsi="仿宋" w:eastAsia="仿宋" w:cs="Times New Roman"/>
          <w:color w:val="auto"/>
          <w:kern w:val="2"/>
          <w:sz w:val="24"/>
          <w:szCs w:val="24"/>
          <w:highlight w:val="none"/>
        </w:rPr>
      </w:pPr>
      <w:r>
        <w:rPr>
          <w:rFonts w:hint="eastAsia" w:ascii="仿宋" w:hAnsi="仿宋" w:eastAsia="仿宋" w:cs="Times New Roman"/>
          <w:color w:val="auto"/>
          <w:kern w:val="2"/>
          <w:sz w:val="24"/>
          <w:szCs w:val="24"/>
          <w:highlight w:val="none"/>
        </w:rPr>
        <w:t>（以下无正文）</w:t>
      </w:r>
    </w:p>
    <w:p w14:paraId="762B9CB6">
      <w:pPr>
        <w:adjustRightInd w:val="0"/>
        <w:snapToGrid w:val="0"/>
        <w:spacing w:before="80" w:beforeLines="50" w:after="80" w:afterLines="50" w:line="360" w:lineRule="auto"/>
        <w:ind w:firstLine="424" w:firstLineChars="177"/>
        <w:rPr>
          <w:rFonts w:hint="eastAsia" w:ascii="仿宋" w:hAnsi="仿宋" w:eastAsia="仿宋" w:cs="Times New Roman"/>
          <w:color w:val="auto"/>
          <w:kern w:val="2"/>
          <w:sz w:val="24"/>
          <w:szCs w:val="24"/>
          <w:highlight w:val="none"/>
        </w:rPr>
      </w:pPr>
    </w:p>
    <w:p w14:paraId="61FF936E">
      <w:pPr>
        <w:adjustRightInd w:val="0"/>
        <w:snapToGrid w:val="0"/>
        <w:spacing w:before="80" w:beforeLines="50" w:after="80" w:afterLines="50" w:line="360" w:lineRule="auto"/>
        <w:ind w:firstLine="424" w:firstLineChars="177"/>
        <w:rPr>
          <w:rFonts w:hint="eastAsia" w:ascii="仿宋" w:hAnsi="仿宋" w:eastAsia="仿宋" w:cs="Times New Roman"/>
          <w:b w:val="0"/>
          <w:color w:val="auto"/>
          <w:kern w:val="2"/>
          <w:sz w:val="24"/>
          <w:szCs w:val="24"/>
          <w:highlight w:val="none"/>
        </w:rPr>
      </w:pPr>
      <w:r>
        <w:rPr>
          <w:rFonts w:hint="eastAsia" w:ascii="仿宋" w:hAnsi="仿宋" w:eastAsia="仿宋" w:cs="Times New Roman"/>
          <w:b w:val="0"/>
          <w:color w:val="auto"/>
          <w:kern w:val="2"/>
          <w:sz w:val="24"/>
          <w:szCs w:val="24"/>
          <w:highlight w:val="none"/>
        </w:rPr>
        <w:t>甲方：</w:t>
      </w:r>
    </w:p>
    <w:p w14:paraId="4D358987">
      <w:pPr>
        <w:adjustRightInd w:val="0"/>
        <w:snapToGrid w:val="0"/>
        <w:spacing w:before="80" w:beforeLines="50" w:after="80" w:afterLines="50" w:line="360" w:lineRule="auto"/>
        <w:ind w:firstLine="424" w:firstLineChars="177"/>
        <w:rPr>
          <w:rFonts w:hint="eastAsia" w:ascii="仿宋" w:hAnsi="仿宋" w:eastAsia="仿宋" w:cs="Times New Roman"/>
          <w:color w:val="auto"/>
          <w:kern w:val="2"/>
          <w:sz w:val="24"/>
          <w:szCs w:val="24"/>
          <w:highlight w:val="none"/>
        </w:rPr>
      </w:pPr>
      <w:r>
        <w:rPr>
          <w:rFonts w:hint="eastAsia" w:ascii="仿宋" w:hAnsi="仿宋" w:eastAsia="仿宋" w:cs="Times New Roman"/>
          <w:color w:val="auto"/>
          <w:kern w:val="2"/>
          <w:sz w:val="24"/>
          <w:szCs w:val="24"/>
          <w:highlight w:val="none"/>
        </w:rPr>
        <w:t>法定代表人：</w:t>
      </w:r>
    </w:p>
    <w:p w14:paraId="0AC637FB">
      <w:pPr>
        <w:adjustRightInd w:val="0"/>
        <w:snapToGrid w:val="0"/>
        <w:spacing w:before="80" w:beforeLines="50" w:after="80" w:afterLines="50" w:line="360" w:lineRule="auto"/>
        <w:ind w:firstLine="424" w:firstLineChars="177"/>
        <w:rPr>
          <w:rFonts w:hint="eastAsia" w:ascii="仿宋" w:hAnsi="仿宋" w:eastAsia="仿宋" w:cs="Times New Roman"/>
          <w:color w:val="auto"/>
          <w:kern w:val="2"/>
          <w:sz w:val="24"/>
          <w:szCs w:val="24"/>
          <w:highlight w:val="none"/>
        </w:rPr>
      </w:pPr>
      <w:r>
        <w:rPr>
          <w:rFonts w:hint="eastAsia" w:ascii="仿宋" w:hAnsi="仿宋" w:eastAsia="仿宋" w:cs="Times New Roman"/>
          <w:color w:val="auto"/>
          <w:kern w:val="2"/>
          <w:sz w:val="24"/>
          <w:szCs w:val="24"/>
          <w:highlight w:val="none"/>
        </w:rPr>
        <w:t>授权签字代表：</w:t>
      </w:r>
    </w:p>
    <w:p w14:paraId="1773C495">
      <w:pPr>
        <w:adjustRightInd w:val="0"/>
        <w:snapToGrid w:val="0"/>
        <w:spacing w:before="80" w:beforeLines="50" w:after="80" w:afterLines="50" w:line="360" w:lineRule="auto"/>
        <w:ind w:firstLine="424" w:firstLineChars="177"/>
        <w:rPr>
          <w:rFonts w:hint="eastAsia" w:ascii="仿宋" w:hAnsi="仿宋" w:eastAsia="仿宋" w:cs="Times New Roman"/>
          <w:color w:val="auto"/>
          <w:kern w:val="2"/>
          <w:sz w:val="24"/>
          <w:szCs w:val="24"/>
          <w:highlight w:val="none"/>
          <w:lang w:val="en-US" w:eastAsia="zh-CN"/>
        </w:rPr>
      </w:pPr>
      <w:r>
        <w:rPr>
          <w:rFonts w:hint="eastAsia" w:ascii="仿宋" w:hAnsi="仿宋" w:eastAsia="仿宋" w:cs="Times New Roman"/>
          <w:color w:val="auto"/>
          <w:kern w:val="2"/>
          <w:sz w:val="24"/>
          <w:szCs w:val="24"/>
          <w:highlight w:val="none"/>
          <w:lang w:val="en-US" w:eastAsia="zh-CN"/>
        </w:rPr>
        <w:t>日期：</w:t>
      </w:r>
    </w:p>
    <w:p w14:paraId="3033A440">
      <w:pPr>
        <w:adjustRightInd w:val="0"/>
        <w:snapToGrid w:val="0"/>
        <w:spacing w:before="80" w:beforeLines="50" w:after="80" w:afterLines="50" w:line="360" w:lineRule="auto"/>
        <w:ind w:firstLine="424" w:firstLineChars="177"/>
        <w:rPr>
          <w:rFonts w:hint="default" w:ascii="仿宋" w:hAnsi="仿宋" w:eastAsia="仿宋" w:cs="Times New Roman"/>
          <w:color w:val="auto"/>
          <w:kern w:val="2"/>
          <w:sz w:val="24"/>
          <w:szCs w:val="24"/>
          <w:highlight w:val="none"/>
        </w:rPr>
      </w:pPr>
    </w:p>
    <w:p w14:paraId="4480A7CA">
      <w:pPr>
        <w:adjustRightInd w:val="0"/>
        <w:snapToGrid w:val="0"/>
        <w:spacing w:before="80" w:beforeLines="50" w:after="80" w:afterLines="50" w:line="360" w:lineRule="auto"/>
        <w:ind w:firstLine="424" w:firstLineChars="177"/>
        <w:rPr>
          <w:rFonts w:hint="eastAsia" w:ascii="仿宋" w:hAnsi="仿宋" w:eastAsia="仿宋" w:cs="Times New Roman"/>
          <w:b w:val="0"/>
          <w:color w:val="auto"/>
          <w:kern w:val="2"/>
          <w:sz w:val="24"/>
          <w:szCs w:val="24"/>
          <w:highlight w:val="none"/>
        </w:rPr>
      </w:pPr>
      <w:r>
        <w:rPr>
          <w:rFonts w:hint="eastAsia" w:ascii="仿宋" w:hAnsi="仿宋" w:eastAsia="仿宋" w:cs="Times New Roman"/>
          <w:b w:val="0"/>
          <w:color w:val="auto"/>
          <w:kern w:val="2"/>
          <w:sz w:val="24"/>
          <w:szCs w:val="24"/>
          <w:highlight w:val="none"/>
        </w:rPr>
        <w:t>乙方：</w:t>
      </w:r>
    </w:p>
    <w:p w14:paraId="7C930066">
      <w:pPr>
        <w:adjustRightInd w:val="0"/>
        <w:snapToGrid w:val="0"/>
        <w:spacing w:before="80" w:beforeLines="50" w:after="80" w:afterLines="50" w:line="360" w:lineRule="auto"/>
        <w:ind w:firstLine="424" w:firstLineChars="177"/>
        <w:rPr>
          <w:rFonts w:hint="eastAsia" w:ascii="仿宋" w:hAnsi="仿宋" w:eastAsia="仿宋" w:cs="Times New Roman"/>
          <w:color w:val="auto"/>
          <w:kern w:val="2"/>
          <w:sz w:val="24"/>
          <w:szCs w:val="24"/>
          <w:highlight w:val="none"/>
        </w:rPr>
      </w:pPr>
      <w:r>
        <w:rPr>
          <w:rFonts w:hint="eastAsia" w:ascii="仿宋" w:hAnsi="仿宋" w:eastAsia="仿宋" w:cs="Times New Roman"/>
          <w:color w:val="auto"/>
          <w:kern w:val="2"/>
          <w:sz w:val="24"/>
          <w:szCs w:val="24"/>
          <w:highlight w:val="none"/>
        </w:rPr>
        <w:t>法定代表人：</w:t>
      </w:r>
    </w:p>
    <w:p w14:paraId="55A85A00">
      <w:pPr>
        <w:keepNext w:val="0"/>
        <w:keepLines w:val="0"/>
        <w:pageBreakBefore w:val="0"/>
        <w:widowControl/>
        <w:kinsoku/>
        <w:wordWrap/>
        <w:overflowPunct/>
        <w:topLinePunct w:val="0"/>
        <w:bidi w:val="0"/>
        <w:adjustRightInd w:val="0"/>
        <w:snapToGrid w:val="0"/>
        <w:spacing w:before="80" w:beforeLines="0" w:beforeAutospacing="0" w:after="80" w:afterLines="0" w:afterAutospacing="0" w:line="360" w:lineRule="auto"/>
        <w:ind w:firstLine="424" w:firstLineChars="177"/>
        <w:rPr>
          <w:rFonts w:hint="eastAsia" w:ascii="仿宋" w:hAnsi="仿宋" w:eastAsia="仿宋" w:cs="Times New Roman"/>
          <w:color w:val="auto"/>
          <w:kern w:val="2"/>
          <w:sz w:val="24"/>
          <w:szCs w:val="24"/>
          <w:highlight w:val="none"/>
        </w:rPr>
      </w:pPr>
      <w:r>
        <w:rPr>
          <w:rFonts w:hint="eastAsia" w:ascii="仿宋" w:hAnsi="仿宋" w:eastAsia="仿宋" w:cs="Times New Roman"/>
          <w:color w:val="auto"/>
          <w:kern w:val="2"/>
          <w:sz w:val="24"/>
          <w:szCs w:val="24"/>
          <w:highlight w:val="none"/>
        </w:rPr>
        <w:t>授权签字代表：</w:t>
      </w:r>
    </w:p>
    <w:p w14:paraId="5E85FCCD">
      <w:pPr>
        <w:keepNext w:val="0"/>
        <w:keepLines w:val="0"/>
        <w:pageBreakBefore w:val="0"/>
        <w:widowControl/>
        <w:kinsoku/>
        <w:wordWrap/>
        <w:overflowPunct/>
        <w:topLinePunct w:val="0"/>
        <w:bidi w:val="0"/>
        <w:adjustRightInd w:val="0"/>
        <w:snapToGrid w:val="0"/>
        <w:spacing w:before="80" w:beforeLines="0" w:beforeAutospacing="0" w:after="80" w:afterLines="0" w:afterAutospacing="0" w:line="360" w:lineRule="auto"/>
        <w:ind w:firstLine="424" w:firstLineChars="177"/>
        <w:rPr>
          <w:rFonts w:hint="eastAsia" w:ascii="仿宋" w:hAnsi="仿宋" w:eastAsia="仿宋" w:cs="Times New Roman"/>
          <w:color w:val="auto"/>
          <w:kern w:val="2"/>
          <w:sz w:val="24"/>
          <w:szCs w:val="24"/>
          <w:highlight w:val="none"/>
          <w:lang w:val="en-US" w:eastAsia="zh-CN"/>
        </w:rPr>
      </w:pPr>
      <w:r>
        <w:rPr>
          <w:rFonts w:hint="eastAsia" w:ascii="仿宋" w:hAnsi="仿宋" w:eastAsia="仿宋" w:cs="Times New Roman"/>
          <w:color w:val="auto"/>
          <w:kern w:val="2"/>
          <w:sz w:val="24"/>
          <w:szCs w:val="24"/>
          <w:highlight w:val="none"/>
          <w:lang w:val="en-US" w:eastAsia="zh-CN"/>
        </w:rPr>
        <w:t>日期：</w:t>
      </w:r>
    </w:p>
    <w:p w14:paraId="6CAE01B4">
      <w:pPr>
        <w:widowControl/>
        <w:numPr>
          <w:ilvl w:val="0"/>
          <w:numId w:val="0"/>
        </w:numPr>
        <w:adjustRightInd/>
        <w:snapToGrid/>
        <w:spacing w:before="0" w:beforeLines="0" w:after="0" w:afterLines="0" w:line="360" w:lineRule="auto"/>
        <w:ind w:firstLine="480" w:firstLineChars="200"/>
        <w:jc w:val="both"/>
        <w:outlineLvl w:val="1"/>
        <w:rPr>
          <w:rFonts w:hint="eastAsia" w:ascii="Times New Roman" w:hAnsi="Times New Roman" w:eastAsia="方正黑体_GBK" w:cs="方正黑体_GBK"/>
          <w:bCs/>
          <w:color w:val="auto"/>
          <w:kern w:val="2"/>
          <w:sz w:val="28"/>
          <w:szCs w:val="28"/>
          <w:highlight w:val="none"/>
          <w:lang w:val="en-US" w:eastAsia="zh-CN" w:bidi="ar-SA"/>
        </w:rPr>
      </w:pPr>
      <w:r>
        <w:rPr>
          <w:rFonts w:hint="eastAsia" w:ascii="Times New Roman" w:hAnsi="Times New Roman" w:eastAsia="方正黑体_GBK" w:cs="Times New Roman"/>
          <w:bCs/>
          <w:color w:val="auto"/>
          <w:kern w:val="2"/>
          <w:sz w:val="24"/>
          <w:szCs w:val="24"/>
          <w:highlight w:val="none"/>
          <w:lang w:val="en-US" w:eastAsia="zh-CN" w:bidi="ar-SA"/>
        </w:rPr>
        <w:br w:type="page"/>
      </w:r>
      <w:bookmarkStart w:id="519" w:name="_Toc9805"/>
      <w:r>
        <w:rPr>
          <w:rFonts w:hint="eastAsia" w:ascii="Times New Roman" w:hAnsi="Times New Roman" w:eastAsia="方正黑体_GBK" w:cs="方正黑体_GBK"/>
          <w:bCs/>
          <w:color w:val="auto"/>
          <w:kern w:val="2"/>
          <w:sz w:val="28"/>
          <w:szCs w:val="28"/>
          <w:highlight w:val="none"/>
          <w:lang w:val="en-US" w:eastAsia="zh-CN" w:bidi="ar-SA"/>
        </w:rPr>
        <w:t>附件1：政府授权文件</w:t>
      </w:r>
      <w:bookmarkEnd w:id="519"/>
    </w:p>
    <w:p w14:paraId="57630434">
      <w:pPr>
        <w:adjustRightInd w:val="0"/>
        <w:snapToGrid w:val="0"/>
        <w:spacing w:before="80" w:beforeLines="50" w:after="80" w:afterLines="50" w:line="360" w:lineRule="auto"/>
        <w:ind w:firstLine="424" w:firstLineChars="177"/>
        <w:rPr>
          <w:rFonts w:hint="eastAsia" w:ascii="仿宋" w:hAnsi="仿宋" w:eastAsia="仿宋" w:cs="Times New Roman"/>
          <w:color w:val="auto"/>
          <w:kern w:val="2"/>
          <w:sz w:val="24"/>
          <w:szCs w:val="24"/>
          <w:highlight w:val="none"/>
          <w:lang w:val="en-US" w:eastAsia="zh-CN"/>
        </w:rPr>
      </w:pPr>
      <w:r>
        <w:rPr>
          <w:rFonts w:hint="eastAsia" w:ascii="仿宋" w:hAnsi="仿宋" w:eastAsia="仿宋" w:cs="Times New Roman"/>
          <w:color w:val="auto"/>
          <w:kern w:val="2"/>
          <w:sz w:val="24"/>
          <w:szCs w:val="24"/>
          <w:highlight w:val="none"/>
          <w:lang w:val="en-US" w:eastAsia="zh-CN"/>
        </w:rPr>
        <w:t>另附。</w:t>
      </w:r>
    </w:p>
    <w:p w14:paraId="2C44D608">
      <w:pPr>
        <w:keepNext w:val="0"/>
        <w:keepLines w:val="0"/>
        <w:pageBreakBefore w:val="0"/>
        <w:widowControl w:val="0"/>
        <w:kinsoku/>
        <w:wordWrap/>
        <w:overflowPunct/>
        <w:topLinePunct w:val="0"/>
        <w:autoSpaceDE/>
        <w:autoSpaceDN/>
        <w:bidi w:val="0"/>
        <w:adjustRightInd/>
        <w:snapToGrid/>
        <w:spacing w:before="0" w:beforeLines="0" w:after="313" w:afterLines="100" w:line="360" w:lineRule="auto"/>
        <w:ind w:firstLine="0" w:firstLineChars="0"/>
        <w:jc w:val="both"/>
        <w:textAlignment w:val="auto"/>
        <w:rPr>
          <w:rFonts w:hint="eastAsia" w:ascii="方正公文小标宋" w:hAnsi="方正公文小标宋" w:eastAsia="方正公文小标宋" w:cs="方正公文小标宋"/>
          <w:b w:val="0"/>
          <w:bCs/>
          <w:color w:val="auto"/>
          <w:kern w:val="2"/>
          <w:sz w:val="36"/>
          <w:szCs w:val="36"/>
          <w:highlight w:val="none"/>
          <w:lang w:val="en-US" w:eastAsia="zh-CN"/>
        </w:rPr>
      </w:pPr>
    </w:p>
    <w:p w14:paraId="73AE2E87">
      <w:pPr>
        <w:widowControl/>
        <w:shd w:val="clear" w:color="auto" w:fill="FFFFFF"/>
        <w:wordWrap w:val="0"/>
        <w:adjustRightInd w:val="0"/>
        <w:snapToGrid w:val="0"/>
        <w:spacing w:before="50" w:beforeLines="50" w:beforeAutospacing="0" w:after="50" w:afterLines="50" w:afterAutospacing="0" w:line="360" w:lineRule="auto"/>
        <w:ind w:firstLine="560" w:firstLineChars="200"/>
        <w:jc w:val="right"/>
        <w:rPr>
          <w:rFonts w:hint="default" w:ascii="Times New Roman" w:hAnsi="Times New Roman" w:eastAsia="楷体" w:cs="Times New Roman"/>
          <w:color w:val="auto"/>
          <w:kern w:val="0"/>
          <w:sz w:val="28"/>
          <w:szCs w:val="28"/>
          <w:highlight w:val="none"/>
          <w:lang w:val="en-US" w:eastAsia="zh-CN" w:bidi="ar-SA"/>
        </w:rPr>
      </w:pPr>
      <w:r>
        <w:rPr>
          <w:rFonts w:hint="eastAsia" w:ascii="Times New Roman" w:hAnsi="Times New Roman" w:eastAsia="楷体" w:cs="Times New Roman"/>
          <w:color w:val="auto"/>
          <w:kern w:val="0"/>
          <w:sz w:val="28"/>
          <w:szCs w:val="28"/>
          <w:highlight w:val="none"/>
          <w:lang w:val="en-US" w:eastAsia="zh-CN" w:bidi="ar-SA"/>
        </w:rPr>
        <w:t xml:space="preserve">  </w:t>
      </w:r>
    </w:p>
    <w:p w14:paraId="0F034DAD">
      <w:pPr>
        <w:adjustRightInd w:val="0"/>
        <w:snapToGrid w:val="0"/>
        <w:spacing w:before="80" w:beforeLines="50" w:after="80" w:afterLines="50" w:line="360" w:lineRule="auto"/>
        <w:ind w:firstLine="495" w:firstLineChars="177"/>
        <w:rPr>
          <w:rFonts w:hint="eastAsia" w:ascii="仿宋" w:hAnsi="仿宋" w:eastAsia="仿宋"/>
          <w:color w:val="auto"/>
          <w:kern w:val="2"/>
          <w:sz w:val="28"/>
          <w:szCs w:val="28"/>
          <w:highlight w:val="none"/>
          <w:lang w:val="en-US" w:eastAsia="zh-CN"/>
        </w:rPr>
      </w:pPr>
    </w:p>
    <w:p w14:paraId="430798C7">
      <w:pPr>
        <w:widowControl/>
        <w:numPr>
          <w:ilvl w:val="0"/>
          <w:numId w:val="0"/>
        </w:numPr>
        <w:adjustRightInd/>
        <w:snapToGrid/>
        <w:spacing w:before="0" w:beforeLines="0" w:after="0" w:afterLines="0" w:line="360" w:lineRule="auto"/>
        <w:ind w:firstLine="560" w:firstLineChars="200"/>
        <w:jc w:val="both"/>
        <w:outlineLvl w:val="1"/>
        <w:rPr>
          <w:rFonts w:hint="eastAsia" w:ascii="Times New Roman" w:hAnsi="Times New Roman" w:eastAsia="方正黑体_GBK" w:cs="方正黑体_GBK"/>
          <w:bCs/>
          <w:color w:val="auto"/>
          <w:kern w:val="2"/>
          <w:sz w:val="28"/>
          <w:szCs w:val="28"/>
          <w:highlight w:val="none"/>
          <w:lang w:val="en-US" w:eastAsia="zh-CN" w:bidi="ar-SA"/>
        </w:rPr>
        <w:sectPr>
          <w:footerReference r:id="rId22" w:type="default"/>
          <w:pgSz w:w="11906" w:h="16838"/>
          <w:pgMar w:top="1984" w:right="1616" w:bottom="1984" w:left="1616" w:header="851" w:footer="0" w:gutter="0"/>
          <w:pgNumType w:fmt="decimal" w:start="1"/>
          <w:cols w:space="720" w:num="1"/>
          <w:docGrid w:type="linesAndChars" w:linePitch="312" w:charSpace="0"/>
        </w:sectPr>
      </w:pPr>
      <w:bookmarkStart w:id="520" w:name="_Toc10625"/>
    </w:p>
    <w:p w14:paraId="1D096064">
      <w:pPr>
        <w:widowControl/>
        <w:numPr>
          <w:ilvl w:val="0"/>
          <w:numId w:val="0"/>
        </w:numPr>
        <w:adjustRightInd/>
        <w:snapToGrid/>
        <w:spacing w:before="0" w:beforeLines="0" w:after="0" w:afterLines="0" w:line="360" w:lineRule="auto"/>
        <w:ind w:firstLine="560" w:firstLineChars="200"/>
        <w:jc w:val="both"/>
        <w:outlineLvl w:val="1"/>
        <w:rPr>
          <w:rFonts w:hint="eastAsia" w:ascii="Times New Roman" w:hAnsi="Times New Roman" w:eastAsia="方正黑体_GBK" w:cs="方正黑体_GBK"/>
          <w:bCs/>
          <w:color w:val="auto"/>
          <w:kern w:val="2"/>
          <w:sz w:val="28"/>
          <w:szCs w:val="28"/>
          <w:highlight w:val="none"/>
          <w:lang w:val="en-US" w:eastAsia="zh-CN" w:bidi="ar-SA"/>
        </w:rPr>
      </w:pPr>
      <w:r>
        <w:rPr>
          <w:rFonts w:hint="eastAsia" w:ascii="Times New Roman" w:hAnsi="Times New Roman" w:eastAsia="方正黑体_GBK" w:cs="方正黑体_GBK"/>
          <w:bCs/>
          <w:color w:val="auto"/>
          <w:kern w:val="2"/>
          <w:sz w:val="28"/>
          <w:szCs w:val="28"/>
          <w:highlight w:val="none"/>
          <w:lang w:val="en-US" w:eastAsia="zh-CN" w:bidi="ar-SA"/>
        </w:rPr>
        <w:t>附件2：《污水处理设施项目设施清单》</w:t>
      </w:r>
      <w:bookmarkEnd w:id="520"/>
    </w:p>
    <w:p w14:paraId="29B912CC">
      <w:pPr>
        <w:adjustRightInd w:val="0"/>
        <w:snapToGrid w:val="0"/>
        <w:spacing w:before="80" w:beforeLines="50" w:after="80" w:afterLines="50" w:line="360" w:lineRule="auto"/>
        <w:ind w:firstLine="424" w:firstLineChars="177"/>
        <w:rPr>
          <w:rFonts w:hint="eastAsia" w:ascii="仿宋" w:hAnsi="仿宋" w:eastAsia="仿宋" w:cs="Times New Roman"/>
          <w:color w:val="auto"/>
          <w:kern w:val="2"/>
          <w:sz w:val="24"/>
          <w:szCs w:val="24"/>
          <w:highlight w:val="none"/>
          <w:lang w:val="en-US" w:eastAsia="zh-CN"/>
        </w:rPr>
      </w:pPr>
      <w:r>
        <w:rPr>
          <w:rFonts w:hint="eastAsia" w:ascii="仿宋" w:hAnsi="仿宋" w:eastAsia="仿宋" w:cs="Times New Roman"/>
          <w:color w:val="auto"/>
          <w:kern w:val="2"/>
          <w:sz w:val="24"/>
          <w:szCs w:val="24"/>
          <w:highlight w:val="none"/>
          <w:lang w:val="en-US" w:eastAsia="zh-CN"/>
        </w:rPr>
        <w:t>另附。</w:t>
      </w:r>
    </w:p>
    <w:p w14:paraId="4491E428">
      <w:pPr>
        <w:adjustRightInd w:val="0"/>
        <w:snapToGrid w:val="0"/>
        <w:spacing w:before="80" w:beforeLines="50" w:after="80" w:afterLines="50" w:line="360" w:lineRule="auto"/>
        <w:ind w:firstLine="495" w:firstLineChars="177"/>
        <w:rPr>
          <w:rFonts w:hint="eastAsia" w:ascii="仿宋" w:hAnsi="仿宋" w:eastAsia="仿宋" w:cs="方正黑体_GBK"/>
          <w:color w:val="auto"/>
          <w:kern w:val="2"/>
          <w:sz w:val="28"/>
          <w:szCs w:val="28"/>
          <w:highlight w:val="none"/>
          <w:lang w:val="en-US" w:eastAsia="zh-CN"/>
        </w:rPr>
      </w:pPr>
    </w:p>
    <w:p w14:paraId="6B61B40A">
      <w:pPr>
        <w:widowControl/>
        <w:numPr>
          <w:ilvl w:val="0"/>
          <w:numId w:val="0"/>
        </w:numPr>
        <w:adjustRightInd/>
        <w:snapToGrid/>
        <w:spacing w:before="0" w:beforeLines="0" w:after="0" w:afterLines="0" w:line="360" w:lineRule="auto"/>
        <w:ind w:firstLine="560" w:firstLineChars="200"/>
        <w:jc w:val="both"/>
        <w:outlineLvl w:val="1"/>
        <w:rPr>
          <w:rFonts w:hint="eastAsia" w:ascii="Times New Roman" w:hAnsi="Times New Roman" w:eastAsia="方正黑体_GBK" w:cs="方正黑体_GBK"/>
          <w:bCs/>
          <w:color w:val="auto"/>
          <w:kern w:val="2"/>
          <w:sz w:val="28"/>
          <w:szCs w:val="28"/>
          <w:highlight w:val="none"/>
          <w:lang w:val="en-US" w:eastAsia="zh-CN" w:bidi="ar-SA"/>
        </w:rPr>
      </w:pPr>
      <w:r>
        <w:rPr>
          <w:rFonts w:hint="eastAsia" w:ascii="Times New Roman" w:hAnsi="Times New Roman" w:eastAsia="方正黑体_GBK" w:cs="方正黑体_GBK"/>
          <w:bCs/>
          <w:color w:val="auto"/>
          <w:kern w:val="2"/>
          <w:sz w:val="28"/>
          <w:szCs w:val="28"/>
          <w:highlight w:val="none"/>
          <w:lang w:val="en-US" w:eastAsia="zh-CN" w:bidi="ar-SA"/>
        </w:rPr>
        <w:br w:type="page"/>
      </w:r>
      <w:bookmarkStart w:id="521" w:name="_Toc31228"/>
      <w:r>
        <w:rPr>
          <w:rFonts w:hint="eastAsia" w:ascii="Times New Roman" w:hAnsi="Times New Roman" w:eastAsia="方正黑体_GBK" w:cs="方正黑体_GBK"/>
          <w:bCs/>
          <w:color w:val="auto"/>
          <w:kern w:val="2"/>
          <w:sz w:val="28"/>
          <w:szCs w:val="28"/>
          <w:highlight w:val="none"/>
          <w:lang w:val="en-US" w:eastAsia="zh-CN" w:bidi="ar-SA"/>
        </w:rPr>
        <w:t>附件3：污水处理服务费定价和调价方案</w:t>
      </w:r>
      <w:bookmarkEnd w:id="521"/>
    </w:p>
    <w:p w14:paraId="6A78F5A2">
      <w:pPr>
        <w:adjustRightInd w:val="0"/>
        <w:snapToGrid w:val="0"/>
        <w:spacing w:before="50" w:beforeLines="0" w:after="50" w:afterLines="0" w:line="360" w:lineRule="auto"/>
        <w:ind w:firstLine="560" w:firstLineChars="200"/>
        <w:rPr>
          <w:rFonts w:hint="eastAsia" w:ascii="方正仿宋_GBK" w:hAnsi="方正仿宋_GBK" w:eastAsia="方正仿宋_GBK" w:cs="方正仿宋_GBK"/>
          <w:b/>
          <w:bCs/>
          <w:color w:val="auto"/>
          <w:kern w:val="0"/>
          <w:sz w:val="28"/>
          <w:szCs w:val="28"/>
          <w:highlight w:val="none"/>
          <w:lang w:val="en-US" w:eastAsia="zh-CN"/>
        </w:rPr>
      </w:pPr>
      <w:r>
        <w:rPr>
          <w:rFonts w:hint="eastAsia" w:ascii="方正仿宋_GBK" w:hAnsi="方正仿宋_GBK" w:eastAsia="方正仿宋_GBK" w:cs="方正仿宋_GBK"/>
          <w:b/>
          <w:bCs/>
          <w:color w:val="auto"/>
          <w:kern w:val="0"/>
          <w:sz w:val="28"/>
          <w:szCs w:val="28"/>
          <w:highlight w:val="none"/>
          <w:lang w:val="en-US" w:eastAsia="zh-CN"/>
        </w:rPr>
        <w:t>一、期初污水处理服务价格</w:t>
      </w:r>
    </w:p>
    <w:p w14:paraId="7F6D7340">
      <w:pPr>
        <w:adjustRightInd w:val="0"/>
        <w:snapToGrid w:val="0"/>
        <w:spacing w:before="50" w:beforeLines="0" w:after="50" w:afterLines="0" w:line="360" w:lineRule="auto"/>
        <w:ind w:firstLine="480" w:firstLineChars="200"/>
        <w:jc w:val="both"/>
        <w:rPr>
          <w:rFonts w:hint="default" w:ascii="Times New Roman" w:hAnsi="Times New Roman" w:eastAsia="方正仿宋_GBK" w:cs="Times New Roman"/>
          <w:color w:val="auto"/>
          <w:kern w:val="0"/>
          <w:sz w:val="24"/>
          <w:szCs w:val="24"/>
          <w:highlight w:val="none"/>
          <w:vertAlign w:val="baseline"/>
          <w:lang w:val="en-US" w:eastAsia="zh-CN"/>
        </w:rPr>
      </w:pPr>
      <w:r>
        <w:rPr>
          <w:rFonts w:hint="default" w:ascii="Times New Roman" w:hAnsi="Times New Roman" w:eastAsia="方正仿宋_GBK" w:cs="Times New Roman"/>
          <w:color w:val="auto"/>
          <w:kern w:val="0"/>
          <w:sz w:val="24"/>
          <w:szCs w:val="24"/>
          <w:highlight w:val="none"/>
        </w:rPr>
        <w:t>本项目采用特许经营模式，政府应统筹使用缴入国库的污水处理费，按照合同约定向</w:t>
      </w:r>
      <w:r>
        <w:rPr>
          <w:rFonts w:hint="eastAsia" w:ascii="Times New Roman" w:hAnsi="Times New Roman" w:eastAsia="方正仿宋_GBK" w:cs="Times New Roman"/>
          <w:color w:val="auto"/>
          <w:kern w:val="0"/>
          <w:sz w:val="24"/>
          <w:szCs w:val="24"/>
          <w:highlight w:val="none"/>
          <w:lang w:val="en-US" w:eastAsia="zh-CN"/>
        </w:rPr>
        <w:t>乙方</w:t>
      </w:r>
      <w:r>
        <w:rPr>
          <w:rFonts w:hint="default" w:ascii="Times New Roman" w:hAnsi="Times New Roman" w:eastAsia="方正仿宋_GBK" w:cs="Times New Roman"/>
          <w:color w:val="auto"/>
          <w:kern w:val="0"/>
          <w:sz w:val="24"/>
          <w:szCs w:val="24"/>
          <w:highlight w:val="none"/>
        </w:rPr>
        <w:t>支付</w:t>
      </w:r>
      <w:r>
        <w:rPr>
          <w:rFonts w:hint="eastAsia" w:ascii="Times New Roman" w:hAnsi="Times New Roman" w:eastAsia="方正仿宋_GBK" w:cs="Times New Roman"/>
          <w:color w:val="auto"/>
          <w:kern w:val="0"/>
          <w:sz w:val="24"/>
          <w:szCs w:val="24"/>
          <w:highlight w:val="none"/>
          <w:lang w:eastAsia="zh-CN"/>
        </w:rPr>
        <w:t>污水处理</w:t>
      </w:r>
      <w:r>
        <w:rPr>
          <w:rFonts w:hint="default" w:ascii="Times New Roman" w:hAnsi="Times New Roman" w:eastAsia="方正仿宋_GBK" w:cs="Times New Roman"/>
          <w:color w:val="auto"/>
          <w:kern w:val="0"/>
          <w:sz w:val="24"/>
          <w:szCs w:val="24"/>
          <w:highlight w:val="none"/>
        </w:rPr>
        <w:t>服务费。</w:t>
      </w:r>
      <w:r>
        <w:rPr>
          <w:rFonts w:hint="default" w:ascii="Times New Roman" w:hAnsi="Times New Roman" w:eastAsia="方正仿宋_GBK" w:cs="Times New Roman"/>
          <w:color w:val="auto"/>
          <w:kern w:val="0"/>
          <w:sz w:val="24"/>
          <w:szCs w:val="24"/>
          <w:highlight w:val="none"/>
          <w:vertAlign w:val="baseline"/>
          <w:lang w:val="en-US" w:eastAsia="zh-CN"/>
        </w:rPr>
        <w:t>本项目特许经营期初污水处理服务费单价</w:t>
      </w:r>
      <w:r>
        <w:rPr>
          <w:rFonts w:hint="eastAsia" w:ascii="Times New Roman" w:hAnsi="Times New Roman" w:eastAsia="方正仿宋_GBK" w:cs="Times New Roman"/>
          <w:color w:val="auto"/>
          <w:kern w:val="0"/>
          <w:sz w:val="24"/>
          <w:szCs w:val="24"/>
          <w:highlight w:val="none"/>
          <w:vertAlign w:val="baseline"/>
          <w:lang w:val="en-US" w:eastAsia="zh-CN"/>
        </w:rPr>
        <w:t>为初始污水处理服务费单价×（1-中标优惠率）。其中，初始污水处理服务费单价为1.63元/立方米，中标优惠率为</w:t>
      </w:r>
      <w:r>
        <w:rPr>
          <w:rFonts w:hint="eastAsia" w:ascii="Times New Roman" w:hAnsi="Times New Roman" w:eastAsia="方正仿宋_GBK" w:cs="Times New Roman"/>
          <w:color w:val="auto"/>
          <w:kern w:val="0"/>
          <w:sz w:val="24"/>
          <w:szCs w:val="24"/>
          <w:highlight w:val="none"/>
          <w:u w:val="single"/>
          <w:vertAlign w:val="baseline"/>
          <w:lang w:val="en-US" w:eastAsia="zh-CN"/>
        </w:rPr>
        <w:t xml:space="preserve">    </w:t>
      </w:r>
      <w:r>
        <w:rPr>
          <w:rFonts w:hint="eastAsia" w:ascii="Times New Roman" w:hAnsi="Times New Roman" w:eastAsia="方正仿宋_GBK" w:cs="Times New Roman"/>
          <w:color w:val="auto"/>
          <w:kern w:val="0"/>
          <w:sz w:val="24"/>
          <w:szCs w:val="24"/>
          <w:highlight w:val="none"/>
          <w:vertAlign w:val="baseline"/>
          <w:lang w:val="en-US" w:eastAsia="zh-CN"/>
        </w:rPr>
        <w:t>%。特许经营期初污水处理服务费单价</w:t>
      </w:r>
      <w:r>
        <w:rPr>
          <w:rFonts w:hint="default" w:ascii="Times New Roman" w:hAnsi="Times New Roman" w:eastAsia="方正仿宋_GBK" w:cs="Times New Roman"/>
          <w:color w:val="auto"/>
          <w:kern w:val="0"/>
          <w:sz w:val="24"/>
          <w:szCs w:val="24"/>
          <w:highlight w:val="none"/>
          <w:vertAlign w:val="baseline"/>
          <w:lang w:val="en-US" w:eastAsia="zh-CN"/>
        </w:rPr>
        <w:t>在第一个调价周期内不作调整。</w:t>
      </w:r>
    </w:p>
    <w:p w14:paraId="0EA5C519">
      <w:pPr>
        <w:adjustRightInd w:val="0"/>
        <w:snapToGrid w:val="0"/>
        <w:spacing w:before="50" w:beforeLines="0" w:after="50" w:afterLines="0" w:line="360" w:lineRule="auto"/>
        <w:ind w:firstLine="560" w:firstLineChars="200"/>
        <w:rPr>
          <w:rFonts w:hint="eastAsia" w:ascii="方正仿宋_GBK" w:hAnsi="方正仿宋_GBK" w:eastAsia="方正仿宋_GBK" w:cs="方正仿宋_GBK"/>
          <w:b/>
          <w:bCs/>
          <w:color w:val="auto"/>
          <w:kern w:val="0"/>
          <w:sz w:val="28"/>
          <w:szCs w:val="28"/>
          <w:highlight w:val="none"/>
          <w:lang w:val="en-US" w:eastAsia="zh-CN"/>
        </w:rPr>
      </w:pPr>
      <w:r>
        <w:rPr>
          <w:rFonts w:hint="eastAsia" w:ascii="方正仿宋_GBK" w:hAnsi="方正仿宋_GBK" w:eastAsia="方正仿宋_GBK" w:cs="方正仿宋_GBK"/>
          <w:b/>
          <w:bCs/>
          <w:color w:val="auto"/>
          <w:kern w:val="0"/>
          <w:sz w:val="28"/>
          <w:szCs w:val="28"/>
          <w:highlight w:val="none"/>
          <w:vertAlign w:val="baseline"/>
          <w:lang w:val="en-US" w:eastAsia="zh-CN"/>
        </w:rPr>
        <w:t>二、</w:t>
      </w:r>
      <w:r>
        <w:rPr>
          <w:rFonts w:hint="eastAsia" w:ascii="方正仿宋_GBK" w:hAnsi="方正仿宋_GBK" w:eastAsia="方正仿宋_GBK" w:cs="方正仿宋_GBK"/>
          <w:b/>
          <w:bCs/>
          <w:color w:val="auto"/>
          <w:kern w:val="0"/>
          <w:sz w:val="28"/>
          <w:szCs w:val="28"/>
          <w:highlight w:val="none"/>
          <w:lang w:val="en-US" w:eastAsia="zh-CN"/>
        </w:rPr>
        <w:t>污水处理服务费调价机制</w:t>
      </w:r>
    </w:p>
    <w:p w14:paraId="77DA1084">
      <w:pPr>
        <w:adjustRightInd w:val="0"/>
        <w:snapToGrid w:val="0"/>
        <w:spacing w:before="50" w:beforeLines="0" w:after="50" w:afterLines="0" w:line="360" w:lineRule="auto"/>
        <w:ind w:firstLine="480" w:firstLineChars="200"/>
        <w:rPr>
          <w:rFonts w:hint="eastAsia" w:ascii="Times New Roman" w:hAnsi="Times New Roman" w:eastAsia="方正仿宋_GBK" w:cs="Times New Roman"/>
          <w:b/>
          <w:color w:val="auto"/>
          <w:kern w:val="2"/>
          <w:sz w:val="24"/>
          <w:szCs w:val="24"/>
          <w:highlight w:val="none"/>
          <w:lang w:val="en-US" w:eastAsia="zh-CN"/>
        </w:rPr>
      </w:pPr>
      <w:r>
        <w:rPr>
          <w:rFonts w:hint="eastAsia" w:ascii="Times New Roman" w:hAnsi="Times New Roman" w:eastAsia="方正仿宋_GBK" w:cs="Times New Roman"/>
          <w:b/>
          <w:color w:val="auto"/>
          <w:kern w:val="2"/>
          <w:sz w:val="24"/>
          <w:szCs w:val="24"/>
          <w:highlight w:val="none"/>
          <w:lang w:val="en-US" w:eastAsia="zh-CN"/>
        </w:rPr>
        <w:t>（一）从特许经营协议生效日起，发生以下任何一项条件，乙方可向甲方申请调整污水处理服务费价格：</w:t>
      </w:r>
    </w:p>
    <w:p w14:paraId="4877F861">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1.从特许经营协议生效之日起每3年为一个付费成本审计核定周期，实施机构组织对乙方开展一次付费成本审计，付费成本按照本协议约定的付费成本核定范围和方式确定，当乙方单位污水处理付费成本比上一轮审计核定周期波动幅度超过20%时（特许经营期初单位污水处理付费成本以初始污水处理服务费单价×（1-中标优惠率）为基数），或多个成本审计核定周期累计幅度达到20%时。</w:t>
      </w:r>
    </w:p>
    <w:p w14:paraId="3EC7E150">
      <w:pPr>
        <w:adjustRightInd w:val="0"/>
        <w:snapToGrid w:val="0"/>
        <w:spacing w:before="50" w:beforeLines="0" w:after="50" w:afterLines="0" w:line="360" w:lineRule="auto"/>
        <w:ind w:firstLine="480" w:firstLineChars="200"/>
        <w:rPr>
          <w:rFonts w:hint="eastAsia" w:ascii="Times New Roman" w:hAnsi="Times New Roman" w:eastAsia="方正仿宋_GBK" w:cs="Times New Roman"/>
          <w:b w:val="0"/>
          <w:bCs/>
          <w:color w:val="auto"/>
          <w:kern w:val="2"/>
          <w:sz w:val="24"/>
          <w:szCs w:val="24"/>
          <w:highlight w:val="none"/>
          <w:lang w:val="en-US" w:eastAsia="zh-CN" w:bidi="ar-SA"/>
        </w:rPr>
      </w:pPr>
      <w:r>
        <w:rPr>
          <w:rFonts w:hint="eastAsia" w:ascii="Times New Roman" w:hAnsi="Times New Roman" w:eastAsia="方正仿宋_GBK" w:cs="Times New Roman"/>
          <w:color w:val="auto"/>
          <w:kern w:val="0"/>
          <w:sz w:val="24"/>
          <w:szCs w:val="24"/>
          <w:highlight w:val="none"/>
          <w:lang w:val="en-US" w:eastAsia="zh-CN"/>
        </w:rPr>
        <w:t>2.</w:t>
      </w:r>
      <w:r>
        <w:rPr>
          <w:rFonts w:hint="eastAsia" w:ascii="Times New Roman" w:hAnsi="Times New Roman" w:eastAsia="方正仿宋_GBK" w:cs="Times New Roman"/>
          <w:b w:val="0"/>
          <w:bCs/>
          <w:color w:val="auto"/>
          <w:kern w:val="2"/>
          <w:sz w:val="24"/>
          <w:szCs w:val="24"/>
          <w:highlight w:val="none"/>
          <w:lang w:val="en-US" w:eastAsia="zh-CN" w:bidi="ar-SA"/>
        </w:rPr>
        <w:t>发生特许经营协议第33条情形时。</w:t>
      </w:r>
    </w:p>
    <w:p w14:paraId="7DB8A6BE">
      <w:pPr>
        <w:adjustRightInd w:val="0"/>
        <w:snapToGrid w:val="0"/>
        <w:spacing w:before="50" w:beforeLines="0" w:after="50" w:afterLines="0" w:line="360" w:lineRule="auto"/>
        <w:ind w:firstLine="480" w:firstLineChars="200"/>
        <w:rPr>
          <w:rFonts w:hint="eastAsia" w:ascii="Times New Roman" w:hAnsi="Times New Roman" w:eastAsia="方正仿宋_GBK" w:cs="Times New Roman"/>
          <w:b/>
          <w:bCs w:val="0"/>
          <w:color w:val="auto"/>
          <w:kern w:val="2"/>
          <w:sz w:val="24"/>
          <w:szCs w:val="24"/>
          <w:highlight w:val="none"/>
          <w:lang w:val="en-US" w:eastAsia="zh-CN" w:bidi="ar-SA"/>
        </w:rPr>
      </w:pPr>
      <w:r>
        <w:rPr>
          <w:rFonts w:hint="eastAsia" w:ascii="Times New Roman" w:hAnsi="Times New Roman" w:eastAsia="方正仿宋_GBK" w:cs="Times New Roman"/>
          <w:b/>
          <w:bCs w:val="0"/>
          <w:color w:val="auto"/>
          <w:kern w:val="2"/>
          <w:sz w:val="24"/>
          <w:szCs w:val="24"/>
          <w:highlight w:val="none"/>
          <w:lang w:val="en-US" w:eastAsia="zh-CN" w:bidi="ar-SA"/>
        </w:rPr>
        <w:t>（二）调价的基本程序</w:t>
      </w:r>
    </w:p>
    <w:p w14:paraId="3EF2E2BF">
      <w:pPr>
        <w:adjustRightInd w:val="0"/>
        <w:snapToGrid w:val="0"/>
        <w:spacing w:before="50" w:beforeLines="0" w:after="50" w:afterLines="0" w:line="360" w:lineRule="auto"/>
        <w:ind w:firstLine="480" w:firstLineChars="200"/>
        <w:rPr>
          <w:rFonts w:hint="default" w:ascii="Times New Roman" w:hAnsi="Times New Roman" w:eastAsia="方正仿宋_GBK" w:cs="Times New Roman"/>
          <w:b w:val="0"/>
          <w:bCs w:val="0"/>
          <w:color w:val="auto"/>
          <w:kern w:val="0"/>
          <w:sz w:val="24"/>
          <w:szCs w:val="24"/>
          <w:highlight w:val="none"/>
          <w:lang w:val="en-US" w:eastAsia="zh-CN" w:bidi="ar-SA"/>
        </w:rPr>
      </w:pPr>
      <w:r>
        <w:rPr>
          <w:rFonts w:hint="eastAsia" w:ascii="Times New Roman" w:hAnsi="Times New Roman" w:eastAsia="方正仿宋_GBK" w:cs="Times New Roman"/>
          <w:color w:val="auto"/>
          <w:kern w:val="0"/>
          <w:sz w:val="24"/>
          <w:szCs w:val="24"/>
          <w:highlight w:val="none"/>
          <w:lang w:val="en-US" w:eastAsia="zh-CN"/>
        </w:rPr>
        <w:t>触发调价条件后，由特许经营者提出污水处理服务费价格调整书面建议，由实施机构启动调价工作，由实施机构组织对乙方的付费成本进行审计，区审计局依法对特许经营活动进行审计，结合审计情况，确定新的污水处理服务费价格，报区政府同意后实施。</w:t>
      </w:r>
    </w:p>
    <w:p w14:paraId="0F10D356">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b/>
          <w:bCs w:val="0"/>
          <w:color w:val="auto"/>
          <w:kern w:val="2"/>
          <w:sz w:val="24"/>
          <w:szCs w:val="24"/>
          <w:highlight w:val="none"/>
          <w:lang w:val="en-US" w:eastAsia="zh-CN" w:bidi="ar-SA"/>
        </w:rPr>
        <w:t>（三）污水处理服务费调价机制</w:t>
      </w:r>
    </w:p>
    <w:p w14:paraId="7A50E1B2">
      <w:pPr>
        <w:adjustRightInd w:val="0"/>
        <w:snapToGrid w:val="0"/>
        <w:spacing w:before="50" w:beforeLines="0" w:after="50" w:afterLines="0" w:line="360" w:lineRule="auto"/>
        <w:ind w:firstLine="480" w:firstLineChars="200"/>
        <w:rPr>
          <w:rFonts w:hint="default" w:ascii="Times New Roman" w:hAnsi="Times New Roman" w:eastAsia="方正仿宋_GBK" w:cs="Times New Roman"/>
          <w:b/>
          <w:bCs/>
          <w:color w:val="auto"/>
          <w:kern w:val="0"/>
          <w:sz w:val="24"/>
          <w:szCs w:val="24"/>
          <w:highlight w:val="none"/>
          <w:lang w:val="en-US" w:eastAsia="zh-CN"/>
        </w:rPr>
      </w:pPr>
      <w:r>
        <w:rPr>
          <w:rFonts w:hint="eastAsia" w:ascii="Times New Roman" w:hAnsi="Times New Roman" w:eastAsia="方正仿宋_GBK" w:cs="Times New Roman"/>
          <w:b/>
          <w:bCs/>
          <w:color w:val="auto"/>
          <w:kern w:val="0"/>
          <w:sz w:val="24"/>
          <w:szCs w:val="24"/>
          <w:highlight w:val="none"/>
          <w:lang w:val="en-US" w:eastAsia="zh-CN"/>
        </w:rPr>
        <w:t>1.污水处理付费成本的核定范围</w:t>
      </w:r>
    </w:p>
    <w:p w14:paraId="7A8B387C">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污水处理付费成本包括无形资产（特许经营权）摊销、运营成本、财务费用、税费和合理利润。其中：</w:t>
      </w:r>
    </w:p>
    <w:p w14:paraId="26AA4B55">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（1）无形资产（特许经营权）摊销是指乙方为了获取特许经营权支付的特许经营权转让费，按照特许经营期限提取的摊销费用。</w:t>
      </w:r>
    </w:p>
    <w:p w14:paraId="6187A7F5">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2）运营成本是指污水处理厂对进厂污水进行处理直至达标排放过程中发生的全部费用，以及进水和出水的管输、泵站运行维护费用。包括人员费用、水电费、药剂费、维修费、管理费等（不含污泥运输处置费、设备重置费）。</w:t>
      </w:r>
    </w:p>
    <w:p w14:paraId="0139A9D4">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（3）财务费用是指污水处理企业为获得特许经营权和运营筹集资金发生的费用，包括财务支出及相关的手续费等。</w:t>
      </w:r>
    </w:p>
    <w:p w14:paraId="05AACA86">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（4）税费指污水处理企业依法需要交纳的各种税费。包括增值税、企业所得税、土地税、房产税等。</w:t>
      </w:r>
    </w:p>
    <w:p w14:paraId="49968FB9">
      <w:pPr>
        <w:adjustRightInd w:val="0"/>
        <w:snapToGrid w:val="0"/>
        <w:spacing w:before="50" w:beforeLines="0" w:after="50" w:afterLines="0" w:line="360" w:lineRule="auto"/>
        <w:ind w:firstLine="480" w:firstLineChars="200"/>
        <w:rPr>
          <w:rFonts w:hint="default"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（5）合理利润是指投资和运营污水处理厂获得的合理利润。</w:t>
      </w:r>
    </w:p>
    <w:p w14:paraId="2BC38AE8">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（6）下列费用不得计入付费成本核定范围：</w:t>
      </w:r>
    </w:p>
    <w:p w14:paraId="1DD25720">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①非持续、非正常生产经营活动发生的费用。</w:t>
      </w:r>
    </w:p>
    <w:p w14:paraId="432D22EC">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②与污水处理生产经营活动无关的费用以及虽与污水处理生产经营活动有关，但有专项资金来源予以补偿的费用。</w:t>
      </w:r>
    </w:p>
    <w:p w14:paraId="3FBD92CA">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③超出管理费用列支范围而以“管理费”名义列支的各种费用，包括向行政主管部门上交的费用、向出资人支付的利润分成等。</w:t>
      </w:r>
    </w:p>
    <w:p w14:paraId="242BDD7A">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④明显超出城镇污水处理生产经营活动正常需要的固定资产折旧。</w:t>
      </w:r>
    </w:p>
    <w:p w14:paraId="0D059899">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⑤固定资产盘亏、报废、毁损、闲置和出售的净损失。</w:t>
      </w:r>
    </w:p>
    <w:p w14:paraId="4B896810">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⑥滞纳金、违约金、罚款和公益性捐赠。</w:t>
      </w:r>
    </w:p>
    <w:p w14:paraId="4508359E">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⑦超标排污缴纳的环保税。</w:t>
      </w:r>
    </w:p>
    <w:p w14:paraId="1051CECD">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⑧对外投资。</w:t>
      </w:r>
    </w:p>
    <w:p w14:paraId="36ECD931">
      <w:pPr>
        <w:adjustRightInd w:val="0"/>
        <w:snapToGrid w:val="0"/>
        <w:spacing w:before="50" w:beforeLines="0" w:after="50" w:afterLines="0" w:line="360" w:lineRule="auto"/>
        <w:ind w:firstLine="480" w:firstLineChars="200"/>
        <w:rPr>
          <w:rFonts w:hint="default"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⑨与本项目不相关的支出。</w:t>
      </w:r>
    </w:p>
    <w:p w14:paraId="1000D79B">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⑩其他不合理支出。</w:t>
      </w:r>
    </w:p>
    <w:p w14:paraId="6018E016">
      <w:pPr>
        <w:adjustRightInd w:val="0"/>
        <w:snapToGrid w:val="0"/>
        <w:spacing w:before="50" w:beforeLines="0" w:after="50" w:afterLines="0" w:line="360" w:lineRule="auto"/>
        <w:ind w:firstLine="480" w:firstLineChars="200"/>
        <w:rPr>
          <w:rFonts w:hint="eastAsia" w:ascii="Times New Roman" w:hAnsi="Times New Roman" w:eastAsia="方正仿宋_GBK" w:cs="Times New Roman"/>
          <w:b/>
          <w:bCs/>
          <w:color w:val="auto"/>
          <w:kern w:val="0"/>
          <w:sz w:val="24"/>
          <w:szCs w:val="24"/>
          <w:highlight w:val="none"/>
          <w:lang w:val="en-US" w:eastAsia="zh-CN"/>
        </w:rPr>
      </w:pPr>
      <w:r>
        <w:rPr>
          <w:rFonts w:hint="eastAsia" w:ascii="Times New Roman" w:hAnsi="Times New Roman" w:eastAsia="方正仿宋_GBK" w:cs="Times New Roman"/>
          <w:b/>
          <w:bCs/>
          <w:color w:val="auto"/>
          <w:kern w:val="0"/>
          <w:sz w:val="24"/>
          <w:szCs w:val="24"/>
          <w:highlight w:val="none"/>
          <w:lang w:val="en-US" w:eastAsia="zh-CN"/>
        </w:rPr>
        <w:t>2.付费成本核定办法</w:t>
      </w:r>
    </w:p>
    <w:p w14:paraId="1544F9F1">
      <w:pPr>
        <w:adjustRightInd w:val="0"/>
        <w:snapToGrid w:val="0"/>
        <w:spacing w:before="50" w:beforeLines="0" w:after="50" w:afterLines="0" w:line="360" w:lineRule="auto"/>
        <w:ind w:firstLine="480" w:firstLineChars="200"/>
        <w:rPr>
          <w:rFonts w:hint="default"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b w:val="0"/>
          <w:bCs w:val="0"/>
          <w:color w:val="auto"/>
          <w:kern w:val="0"/>
          <w:sz w:val="24"/>
          <w:szCs w:val="24"/>
          <w:highlight w:val="none"/>
          <w:lang w:val="en-US" w:eastAsia="zh-CN"/>
        </w:rPr>
        <w:t>（1）</w:t>
      </w:r>
      <w:r>
        <w:rPr>
          <w:rFonts w:hint="eastAsia" w:ascii="Times New Roman" w:hAnsi="Times New Roman" w:eastAsia="方正仿宋_GBK" w:cs="Times New Roman"/>
          <w:color w:val="auto"/>
          <w:kern w:val="0"/>
          <w:sz w:val="24"/>
          <w:szCs w:val="24"/>
          <w:highlight w:val="none"/>
          <w:lang w:val="en-US" w:eastAsia="zh-CN"/>
        </w:rPr>
        <w:t>无形资产（特许经营权）摊销，按照乙方支付的特许经营权转让费，按照特许经营期限均匀摊销；其他无形资产、固定资产投入经甲方书面同意后由乙方投资，按照剩余特许经营期年限均匀摊销、折旧，否则均不得提取摊销、折旧。</w:t>
      </w:r>
    </w:p>
    <w:p w14:paraId="3E74F708">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（2）运营成本</w:t>
      </w:r>
    </w:p>
    <w:p w14:paraId="78EC1B48">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①人员费用原则上根据岗位设置据实核定，但在岗职工平均工资不得超过江都区城镇在岗职工平均工资水平（超过江都区城镇在岗职工平均工资水平的，按照江都区城镇在岗职工平均工资水平核定），乙方进场后需提交一份满足运营的人员方案，包括人员构成、数量及工资水平，人员数量不得超过建标〔2001〕77号定员标准的下限值，经甲方同意后实施，否则人员费用按照实施方案测算对应年份的水平计入。</w:t>
      </w:r>
    </w:p>
    <w:p w14:paraId="4734961E">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污水处理企业为投资者或在岗职工支付的补充保险（补充养老保险、补充医疗保险）、商业保险、企业年金不得计入付费成本核定范围。</w:t>
      </w:r>
    </w:p>
    <w:p w14:paraId="3E5A6CB0">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②水电费。以费用核定核价周期内经审计的实际使用水费、电费为基础，核定单位水费、电费成本。</w:t>
      </w:r>
    </w:p>
    <w:p w14:paraId="0A3DFFFA">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③药剂费。参照江苏省物价局省住房和城乡建设厅关于印发《江苏省城镇污水处理定价成本监审办法》的通知（苏价规〔2016〕5号）和省物价局关于印发《江苏省政府制定价格成本监审通则》的通知（苏价规〔2018〕3号）等文件核定药剂费。</w:t>
      </w:r>
    </w:p>
    <w:p w14:paraId="3601E275">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④日常维修费。根据费用核定核价周期内日常维修费实际发生金额占工程建安及设备资产原值比例的平均值核定，不得超过1%，超过1%的部分不纳入核价。</w:t>
      </w:r>
    </w:p>
    <w:p w14:paraId="46660ADC">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⑤其他运营费用，包括化验费、保险费、绿化费、物业费、管理费等支出，以费用核定核价周期内经审计的实际发生金额为基础，核定成本，不得超过上述①-④合计加上年摊销折旧费用合计的10%，超出10%的部分不纳入核价。</w:t>
      </w:r>
    </w:p>
    <w:p w14:paraId="60416396">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（3）财务费用中贷款利息（不含资本化利息）根据实际贷款额及与金融机构签订的借款合同约定的利率核定，长期贷款利率不得超过5年期以上LPR，短期贷款利率不超过1年期LPR，超出的部分不纳入核价。</w:t>
      </w:r>
    </w:p>
    <w:p w14:paraId="0FD9FC22">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中长期贷款总额超过特许经营转让费的80%，按照转让费的80%核定，未达到80%，据实核定。</w:t>
      </w:r>
    </w:p>
    <w:p w14:paraId="7A109B18">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（4）各项税费按照核价周期内实际缴纳的税费情况核定。</w:t>
      </w:r>
    </w:p>
    <w:p w14:paraId="49E0A83A">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（5）合理利润按照净资产收益率的方式核定，净资产收益率按照当期“5年期以上LPR加权平均值+100BP”确定。</w:t>
      </w:r>
    </w:p>
    <w:p w14:paraId="50675910">
      <w:pPr>
        <w:adjustRightInd w:val="0"/>
        <w:snapToGrid w:val="0"/>
        <w:spacing w:before="50" w:beforeLines="0" w:after="50" w:afterLines="0" w:line="360" w:lineRule="auto"/>
        <w:ind w:firstLine="480" w:firstLineChars="200"/>
        <w:rPr>
          <w:rFonts w:hint="eastAsia" w:ascii="Times New Roman" w:hAnsi="Times New Roman" w:eastAsia="方正仿宋_GBK" w:cs="Times New Roman"/>
          <w:b/>
          <w:bCs/>
          <w:color w:val="auto"/>
          <w:kern w:val="0"/>
          <w:sz w:val="24"/>
          <w:szCs w:val="24"/>
          <w:highlight w:val="none"/>
          <w:lang w:val="en-US" w:eastAsia="zh-CN"/>
        </w:rPr>
      </w:pPr>
      <w:r>
        <w:rPr>
          <w:rFonts w:hint="eastAsia" w:ascii="Times New Roman" w:hAnsi="Times New Roman" w:eastAsia="方正仿宋_GBK" w:cs="Times New Roman"/>
          <w:b/>
          <w:bCs/>
          <w:color w:val="auto"/>
          <w:kern w:val="0"/>
          <w:sz w:val="24"/>
          <w:szCs w:val="24"/>
          <w:highlight w:val="none"/>
          <w:lang w:val="en-US" w:eastAsia="zh-CN"/>
        </w:rPr>
        <w:t>3.污水处理量</w:t>
      </w:r>
    </w:p>
    <w:p w14:paraId="12C30800">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按照核价周期内实际发生的污水处理量。</w:t>
      </w:r>
    </w:p>
    <w:p w14:paraId="55E1C7BB">
      <w:pPr>
        <w:adjustRightInd w:val="0"/>
        <w:snapToGrid w:val="0"/>
        <w:spacing w:before="50" w:beforeLines="0" w:after="50" w:afterLines="0" w:line="360" w:lineRule="auto"/>
        <w:ind w:firstLine="480" w:firstLineChars="200"/>
        <w:rPr>
          <w:rFonts w:hint="eastAsia" w:ascii="Times New Roman" w:hAnsi="Times New Roman" w:eastAsia="方正仿宋_GBK" w:cs="Times New Roman"/>
          <w:b/>
          <w:bCs/>
          <w:color w:val="auto"/>
          <w:kern w:val="0"/>
          <w:sz w:val="24"/>
          <w:szCs w:val="24"/>
          <w:highlight w:val="none"/>
          <w:lang w:val="en-US" w:eastAsia="zh-CN"/>
        </w:rPr>
      </w:pPr>
      <w:r>
        <w:rPr>
          <w:rFonts w:hint="eastAsia" w:ascii="Times New Roman" w:hAnsi="Times New Roman" w:eastAsia="方正仿宋_GBK" w:cs="Times New Roman"/>
          <w:b/>
          <w:bCs/>
          <w:color w:val="auto"/>
          <w:kern w:val="0"/>
          <w:sz w:val="24"/>
          <w:szCs w:val="24"/>
          <w:highlight w:val="none"/>
          <w:lang w:val="en-US" w:eastAsia="zh-CN"/>
        </w:rPr>
        <w:t>4.污水处理服务费单价</w:t>
      </w:r>
    </w:p>
    <w:p w14:paraId="698C5DDF">
      <w:pPr>
        <w:adjustRightInd w:val="0"/>
        <w:snapToGrid w:val="0"/>
        <w:spacing w:before="50" w:beforeLines="0" w:after="50" w:afterLines="0" w:line="360" w:lineRule="auto"/>
        <w:ind w:firstLine="480" w:firstLineChars="200"/>
        <w:rPr>
          <w:rFonts w:hint="default"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根据上述</w:t>
      </w:r>
      <w:r>
        <w:rPr>
          <w:rFonts w:hint="eastAsia" w:ascii="Times New Roman" w:hAnsi="Times New Roman" w:eastAsia="方正仿宋_GBK" w:cs="Times New Roman"/>
          <w:color w:val="auto"/>
          <w:kern w:val="0"/>
          <w:sz w:val="24"/>
          <w:szCs w:val="24"/>
          <w:highlight w:val="none"/>
        </w:rPr>
        <w:t>付费成本核定办法</w:t>
      </w:r>
      <w:r>
        <w:rPr>
          <w:rFonts w:hint="eastAsia" w:ascii="Times New Roman" w:hAnsi="Times New Roman" w:eastAsia="方正仿宋_GBK" w:cs="Times New Roman"/>
          <w:color w:val="auto"/>
          <w:kern w:val="0"/>
          <w:sz w:val="24"/>
          <w:szCs w:val="24"/>
          <w:highlight w:val="none"/>
          <w:lang w:val="en-US" w:eastAsia="zh-CN"/>
        </w:rPr>
        <w:t>确定全成本及合理利润后，在最终确定调整后的水价时考虑乙方投标报价优惠率，调整后的污水处理服务费单价如下：</w:t>
      </w:r>
    </w:p>
    <w:p w14:paraId="7C78FBF6">
      <w:pPr>
        <w:adjustRightInd w:val="0"/>
        <w:snapToGrid w:val="0"/>
        <w:spacing w:before="50" w:beforeLines="0" w:after="50" w:afterLines="0" w:line="360" w:lineRule="auto"/>
        <w:ind w:firstLine="480" w:firstLineChars="200"/>
        <w:rPr>
          <w:rFonts w:hint="eastAsia" w:ascii="Times New Roman" w:hAnsi="Times New Roman" w:eastAsia="方正仿宋_GBK" w:cs="Times New Roman"/>
          <w:b/>
          <w:bCs/>
          <w:color w:val="auto"/>
          <w:kern w:val="0"/>
          <w:sz w:val="24"/>
          <w:szCs w:val="24"/>
          <w:highlight w:val="none"/>
          <w:lang w:val="en-US" w:eastAsia="zh-CN"/>
        </w:rPr>
      </w:pPr>
      <w:r>
        <w:rPr>
          <w:rFonts w:hint="eastAsia" w:ascii="Times New Roman" w:hAnsi="Times New Roman" w:eastAsia="方正仿宋_GBK" w:cs="Times New Roman"/>
          <w:b/>
          <w:bCs/>
          <w:color w:val="auto"/>
          <w:kern w:val="0"/>
          <w:sz w:val="24"/>
          <w:szCs w:val="24"/>
          <w:highlight w:val="none"/>
          <w:lang w:val="en-US" w:eastAsia="zh-CN"/>
        </w:rPr>
        <w:t>污水处理服务费单价=[（核定周期的全成本及合理利润总额）/核价周期内实际发生的污水处理量]×（1-中标优惠率）</w:t>
      </w:r>
    </w:p>
    <w:p w14:paraId="5D5690C7">
      <w:pPr>
        <w:adjustRightInd w:val="0"/>
        <w:snapToGrid w:val="0"/>
        <w:spacing w:before="50" w:beforeLines="0" w:after="50" w:afterLines="0" w:line="360" w:lineRule="auto"/>
        <w:ind w:firstLine="480" w:firstLineChars="200"/>
        <w:rPr>
          <w:rFonts w:hint="eastAsia" w:ascii="Times New Roman" w:hAnsi="Times New Roman" w:eastAsia="方正仿宋_GBK" w:cs="Times New Roman"/>
          <w:b/>
          <w:bCs/>
          <w:color w:val="auto"/>
          <w:kern w:val="0"/>
          <w:sz w:val="24"/>
          <w:szCs w:val="24"/>
          <w:highlight w:val="none"/>
          <w:lang w:val="en-US" w:eastAsia="zh-CN"/>
        </w:rPr>
      </w:pPr>
      <w:r>
        <w:rPr>
          <w:rFonts w:hint="eastAsia" w:ascii="Times New Roman" w:hAnsi="Times New Roman" w:eastAsia="方正仿宋_GBK" w:cs="Times New Roman"/>
          <w:b/>
          <w:bCs/>
          <w:color w:val="auto"/>
          <w:kern w:val="0"/>
          <w:sz w:val="24"/>
          <w:szCs w:val="24"/>
          <w:highlight w:val="none"/>
          <w:lang w:val="en-US" w:eastAsia="zh-CN"/>
        </w:rPr>
        <w:t>5.新价格执行时间</w:t>
      </w:r>
    </w:p>
    <w:p w14:paraId="4275BE80">
      <w:pPr>
        <w:adjustRightInd w:val="0"/>
        <w:snapToGrid w:val="0"/>
        <w:spacing w:before="50" w:beforeLines="0" w:after="50" w:afterLines="0" w:line="360" w:lineRule="auto"/>
        <w:ind w:firstLine="480" w:firstLineChars="200"/>
        <w:rPr>
          <w:rFonts w:hint="default"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（1）触发第1条调价条件，付费成本审计核定</w:t>
      </w:r>
      <w:r>
        <w:rPr>
          <w:rFonts w:hint="eastAsia" w:ascii="Times New Roman" w:hAnsi="Times New Roman" w:eastAsia="方正仿宋_GBK" w:cs="Times New Roman"/>
          <w:b w:val="0"/>
          <w:color w:val="auto"/>
          <w:kern w:val="0"/>
          <w:sz w:val="24"/>
          <w:szCs w:val="24"/>
          <w:highlight w:val="none"/>
          <w:lang w:val="en-US" w:eastAsia="zh-CN"/>
        </w:rPr>
        <w:t>周期结束后的6个月内完成新的污水处理服务费价格的核定，在本轮付费成本审计核定周期结束后的次年1月1日起执行新付费标准，在新付费标准未核定前，暂按原价格付费，新付费标准核定后，对前述本轮付费成本核定周期结束后次年1月1日至新付费标准确定期间的付费重新核对结算，多退少补。</w:t>
      </w:r>
    </w:p>
    <w:p w14:paraId="0F9DEFE6">
      <w:pPr>
        <w:adjustRightInd w:val="0"/>
        <w:snapToGrid w:val="0"/>
        <w:spacing w:before="50" w:beforeLines="0" w:after="50" w:afterLines="0" w:line="360" w:lineRule="auto"/>
        <w:ind w:firstLine="480" w:firstLineChars="200"/>
        <w:rPr>
          <w:rFonts w:hint="eastAsia"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（2）触发第2条调价条件，</w:t>
      </w:r>
      <w:r>
        <w:rPr>
          <w:rFonts w:hint="eastAsia" w:ascii="Times New Roman" w:hAnsi="Times New Roman" w:eastAsia="方正仿宋_GBK" w:cs="Times New Roman"/>
          <w:b w:val="0"/>
          <w:color w:val="auto"/>
          <w:kern w:val="0"/>
          <w:sz w:val="24"/>
          <w:szCs w:val="24"/>
          <w:highlight w:val="none"/>
          <w:lang w:val="en-US" w:eastAsia="zh-CN"/>
        </w:rPr>
        <w:t>乙方向甲方申请调整污水处理服务费价格之日起6个月内完成新的污水处理服务费价格的核定，6个月结束后执行新付费标准。</w:t>
      </w:r>
    </w:p>
    <w:p w14:paraId="4FB28464">
      <w:pPr>
        <w:widowControl/>
        <w:adjustRightInd/>
        <w:snapToGrid/>
        <w:spacing w:before="0" w:beforeLines="0" w:after="0" w:afterLines="0" w:line="360" w:lineRule="auto"/>
        <w:ind w:firstLine="560" w:firstLineChars="200"/>
        <w:jc w:val="both"/>
        <w:outlineLvl w:val="1"/>
        <w:rPr>
          <w:rFonts w:hint="eastAsia" w:ascii="Times New Roman" w:hAnsi="Times New Roman" w:eastAsia="方正黑体_GBK" w:cs="方正黑体_GBK"/>
          <w:bCs/>
          <w:color w:val="auto"/>
          <w:kern w:val="2"/>
          <w:sz w:val="28"/>
          <w:szCs w:val="28"/>
          <w:highlight w:val="none"/>
          <w:lang w:val="en-US" w:eastAsia="zh-CN" w:bidi="ar-SA"/>
        </w:rPr>
      </w:pPr>
      <w:r>
        <w:rPr>
          <w:rFonts w:hint="default" w:ascii="Times New Roman" w:hAnsi="Times New Roman" w:eastAsia="方正黑体_GBK" w:cs="方正黑体_GBK"/>
          <w:bCs/>
          <w:color w:val="auto"/>
          <w:kern w:val="2"/>
          <w:sz w:val="28"/>
          <w:szCs w:val="28"/>
          <w:highlight w:val="none"/>
          <w:lang w:val="en-US" w:eastAsia="zh-CN" w:bidi="ar-SA"/>
        </w:rPr>
        <w:br w:type="page"/>
      </w:r>
      <w:bookmarkStart w:id="522" w:name="_Toc29110"/>
      <w:r>
        <w:rPr>
          <w:rFonts w:hint="eastAsia" w:ascii="Times New Roman" w:hAnsi="Times New Roman" w:eastAsia="方正黑体_GBK" w:cs="方正黑体_GBK"/>
          <w:bCs/>
          <w:color w:val="auto"/>
          <w:kern w:val="2"/>
          <w:sz w:val="28"/>
          <w:szCs w:val="28"/>
          <w:highlight w:val="none"/>
          <w:lang w:val="en-US" w:eastAsia="zh-CN" w:bidi="ar-SA"/>
        </w:rPr>
        <w:t>附件4：运营期绩效考核方案</w:t>
      </w:r>
      <w:bookmarkEnd w:id="522"/>
    </w:p>
    <w:p w14:paraId="58D8E6E6">
      <w:pPr>
        <w:adjustRightInd/>
        <w:snapToGrid/>
        <w:spacing w:before="50" w:beforeLines="50" w:after="50" w:afterLines="50" w:line="360" w:lineRule="auto"/>
        <w:ind w:firstLine="0" w:firstLineChars="0"/>
        <w:jc w:val="center"/>
        <w:outlineLvl w:val="9"/>
        <w:rPr>
          <w:rFonts w:hint="eastAsia" w:ascii="方正仿宋_GBK" w:hAnsi="方正仿宋_GBK" w:eastAsia="方正仿宋_GBK" w:cs="方正仿宋_GBK"/>
          <w:b/>
          <w:bCs/>
          <w:color w:val="auto"/>
          <w:kern w:val="2"/>
          <w:sz w:val="32"/>
          <w:szCs w:val="32"/>
          <w:highlight w:val="none"/>
          <w:lang w:val="en-US" w:eastAsia="zh-CN"/>
        </w:rPr>
      </w:pPr>
      <w:r>
        <w:rPr>
          <w:rFonts w:hint="eastAsia" w:ascii="方正仿宋_GBK" w:hAnsi="方正仿宋_GBK" w:eastAsia="方正仿宋_GBK" w:cs="方正仿宋_GBK"/>
          <w:b/>
          <w:bCs/>
          <w:color w:val="auto"/>
          <w:kern w:val="2"/>
          <w:sz w:val="32"/>
          <w:szCs w:val="32"/>
          <w:highlight w:val="none"/>
          <w:lang w:val="en-US" w:eastAsia="zh-CN"/>
        </w:rPr>
        <w:t>运营期绩效考核方案</w:t>
      </w:r>
    </w:p>
    <w:p w14:paraId="0A3B908C">
      <w:pPr>
        <w:adjustRightInd/>
        <w:snapToGrid/>
        <w:spacing w:before="0" w:beforeLines="0" w:after="0" w:afterLines="0" w:line="240" w:lineRule="auto"/>
        <w:ind w:firstLine="480" w:firstLineChars="0"/>
        <w:outlineLvl w:val="9"/>
        <w:rPr>
          <w:rFonts w:hint="default" w:ascii="方正仿宋_GBK" w:hAnsi="方正仿宋_GBK" w:eastAsia="方正仿宋_GBK" w:cs="方正仿宋_GBK"/>
          <w:b/>
          <w:bCs/>
          <w:color w:val="auto"/>
          <w:kern w:val="0"/>
          <w:sz w:val="28"/>
          <w:szCs w:val="28"/>
          <w:highlight w:val="none"/>
        </w:rPr>
      </w:pPr>
      <w:r>
        <w:rPr>
          <w:rFonts w:hint="eastAsia" w:ascii="方正仿宋_GBK" w:hAnsi="方正仿宋_GBK" w:eastAsia="方正仿宋_GBK" w:cs="方正仿宋_GBK"/>
          <w:b/>
          <w:bCs/>
          <w:color w:val="auto"/>
          <w:kern w:val="0"/>
          <w:sz w:val="28"/>
          <w:szCs w:val="28"/>
          <w:highlight w:val="none"/>
          <w:lang w:val="en-US" w:eastAsia="zh-CN"/>
        </w:rPr>
        <w:t>一、</w:t>
      </w:r>
      <w:r>
        <w:rPr>
          <w:rFonts w:hint="default" w:ascii="方正仿宋_GBK" w:hAnsi="方正仿宋_GBK" w:eastAsia="方正仿宋_GBK" w:cs="方正仿宋_GBK"/>
          <w:b/>
          <w:bCs/>
          <w:color w:val="auto"/>
          <w:kern w:val="0"/>
          <w:sz w:val="28"/>
          <w:szCs w:val="28"/>
          <w:highlight w:val="none"/>
        </w:rPr>
        <w:t>运营</w:t>
      </w:r>
      <w:r>
        <w:rPr>
          <w:rFonts w:hint="default" w:ascii="方正仿宋_GBK" w:hAnsi="方正仿宋_GBK" w:eastAsia="方正仿宋_GBK" w:cs="方正仿宋_GBK"/>
          <w:b/>
          <w:bCs/>
          <w:color w:val="auto"/>
          <w:kern w:val="0"/>
          <w:sz w:val="28"/>
          <w:szCs w:val="28"/>
          <w:highlight w:val="none"/>
          <w:lang w:val="en-US" w:eastAsia="zh-CN"/>
        </w:rPr>
        <w:t>管理</w:t>
      </w:r>
      <w:r>
        <w:rPr>
          <w:rFonts w:hint="default" w:ascii="方正仿宋_GBK" w:hAnsi="方正仿宋_GBK" w:eastAsia="方正仿宋_GBK" w:cs="方正仿宋_GBK"/>
          <w:b/>
          <w:bCs/>
          <w:color w:val="auto"/>
          <w:kern w:val="0"/>
          <w:sz w:val="28"/>
          <w:szCs w:val="28"/>
          <w:highlight w:val="none"/>
        </w:rPr>
        <w:t>绩效考核内容</w:t>
      </w:r>
    </w:p>
    <w:p w14:paraId="33ABE78F">
      <w:pPr>
        <w:widowControl/>
        <w:shd w:val="clear" w:color="auto" w:fill="FFFFFF"/>
        <w:adjustRightInd w:val="0"/>
        <w:snapToGrid w:val="0"/>
        <w:spacing w:before="50" w:beforeLines="0" w:beforeAutospacing="0" w:after="50" w:afterLines="0" w:afterAutospacing="0" w:line="360" w:lineRule="auto"/>
        <w:ind w:firstLine="480" w:firstLineChars="200"/>
        <w:jc w:val="both"/>
        <w:rPr>
          <w:rFonts w:hint="default" w:ascii="Times New Roman" w:hAnsi="Times New Roman" w:eastAsia="方正仿宋_GBK" w:cs="Times New Roman"/>
          <w:color w:val="auto"/>
          <w:kern w:val="0"/>
          <w:sz w:val="24"/>
          <w:szCs w:val="24"/>
          <w:highlight w:val="none"/>
          <w:lang w:val="en-US" w:eastAsia="zh-CN" w:bidi="ar-SA"/>
        </w:rPr>
      </w:pPr>
      <w:r>
        <w:rPr>
          <w:rFonts w:hint="default" w:ascii="Times New Roman" w:hAnsi="Times New Roman" w:eastAsia="方正仿宋_GBK" w:cs="Times New Roman"/>
          <w:color w:val="auto"/>
          <w:kern w:val="0"/>
          <w:sz w:val="24"/>
          <w:szCs w:val="24"/>
          <w:highlight w:val="none"/>
          <w:lang w:val="en-US" w:eastAsia="zh-CN" w:bidi="ar-SA"/>
        </w:rPr>
        <w:t>特许经营期内，</w:t>
      </w:r>
      <w:r>
        <w:rPr>
          <w:rFonts w:hint="eastAsia" w:ascii="Times New Roman" w:hAnsi="Times New Roman" w:eastAsia="方正仿宋_GBK" w:cs="Times New Roman"/>
          <w:color w:val="auto"/>
          <w:kern w:val="0"/>
          <w:sz w:val="24"/>
          <w:szCs w:val="24"/>
          <w:highlight w:val="none"/>
          <w:lang w:val="en-US" w:eastAsia="zh-CN" w:bidi="ar-SA"/>
        </w:rPr>
        <w:t>甲方</w:t>
      </w:r>
      <w:r>
        <w:rPr>
          <w:rFonts w:hint="default" w:ascii="Times New Roman" w:hAnsi="Times New Roman" w:eastAsia="方正仿宋_GBK" w:cs="Times New Roman"/>
          <w:color w:val="auto"/>
          <w:kern w:val="0"/>
          <w:sz w:val="24"/>
          <w:szCs w:val="24"/>
          <w:highlight w:val="none"/>
          <w:lang w:val="en-US" w:eastAsia="zh-CN" w:bidi="ar-SA"/>
        </w:rPr>
        <w:t>或其指定机构按照合同规定及相关法律、法规对</w:t>
      </w:r>
      <w:r>
        <w:rPr>
          <w:rFonts w:hint="eastAsia" w:ascii="Times New Roman" w:hAnsi="Times New Roman" w:eastAsia="方正仿宋_GBK" w:cs="Times New Roman"/>
          <w:color w:val="auto"/>
          <w:kern w:val="0"/>
          <w:sz w:val="24"/>
          <w:szCs w:val="24"/>
          <w:highlight w:val="none"/>
          <w:lang w:val="en-US" w:eastAsia="zh-CN" w:bidi="ar-SA"/>
        </w:rPr>
        <w:t>乙方</w:t>
      </w:r>
      <w:r>
        <w:rPr>
          <w:rFonts w:hint="default" w:ascii="Times New Roman" w:hAnsi="Times New Roman" w:eastAsia="方正仿宋_GBK" w:cs="Times New Roman"/>
          <w:color w:val="auto"/>
          <w:kern w:val="0"/>
          <w:sz w:val="24"/>
          <w:szCs w:val="24"/>
          <w:highlight w:val="none"/>
          <w:lang w:val="en-US" w:eastAsia="zh-CN" w:bidi="ar-SA"/>
        </w:rPr>
        <w:t>运营管理绩效水平进行考核评分，并将考核结果与污水处理服务费的支付挂钩。</w:t>
      </w:r>
    </w:p>
    <w:p w14:paraId="3C41E927">
      <w:pPr>
        <w:widowControl/>
        <w:shd w:val="clear" w:color="auto" w:fill="FFFFFF"/>
        <w:adjustRightInd w:val="0"/>
        <w:snapToGrid w:val="0"/>
        <w:spacing w:before="50" w:beforeLines="0" w:beforeAutospacing="0" w:after="50" w:afterLines="0" w:afterAutospacing="0" w:line="360" w:lineRule="auto"/>
        <w:ind w:firstLine="480" w:firstLineChars="200"/>
        <w:jc w:val="both"/>
        <w:rPr>
          <w:rFonts w:hint="default" w:ascii="Times New Roman" w:hAnsi="Times New Roman" w:eastAsia="方正仿宋_GBK" w:cs="Times New Roman"/>
          <w:color w:val="auto"/>
          <w:kern w:val="0"/>
          <w:sz w:val="24"/>
          <w:szCs w:val="24"/>
          <w:highlight w:val="none"/>
          <w:lang w:val="en-US" w:eastAsia="zh-CN" w:bidi="ar-SA"/>
        </w:rPr>
      </w:pPr>
      <w:r>
        <w:rPr>
          <w:rFonts w:hint="default" w:ascii="Times New Roman" w:hAnsi="Times New Roman" w:eastAsia="方正仿宋_GBK" w:cs="Times New Roman"/>
          <w:color w:val="auto"/>
          <w:kern w:val="0"/>
          <w:sz w:val="24"/>
          <w:szCs w:val="24"/>
          <w:highlight w:val="none"/>
          <w:lang w:val="en-US" w:eastAsia="zh-CN" w:bidi="ar-SA"/>
        </w:rPr>
        <w:t>考核内容：运营管理考核每季度定期进行一次，在《江苏省城镇污水处理厂运行管理考核标准》（苏城建〔2020〕202号文）基础上，对原指标体系进行优化调整，年度考核结果为季度考核结果的平均值</w:t>
      </w:r>
      <w:r>
        <w:rPr>
          <w:rFonts w:hint="eastAsia" w:ascii="Times New Roman" w:hAnsi="Times New Roman" w:eastAsia="方正仿宋_GBK" w:cs="Times New Roman"/>
          <w:color w:val="auto"/>
          <w:kern w:val="0"/>
          <w:sz w:val="24"/>
          <w:szCs w:val="24"/>
          <w:highlight w:val="none"/>
          <w:lang w:val="en-US" w:eastAsia="zh-CN" w:bidi="ar-SA"/>
        </w:rPr>
        <w:t>。</w:t>
      </w:r>
    </w:p>
    <w:p w14:paraId="1F3AE5EE">
      <w:pPr>
        <w:widowControl/>
        <w:shd w:val="clear" w:color="auto" w:fill="FFFFFF"/>
        <w:adjustRightInd w:val="0"/>
        <w:snapToGrid w:val="0"/>
        <w:spacing w:before="50" w:beforeLines="0" w:beforeAutospacing="0" w:after="50" w:afterLines="0" w:afterAutospacing="0" w:line="360" w:lineRule="auto"/>
        <w:ind w:firstLine="480" w:firstLineChars="200"/>
        <w:jc w:val="both"/>
        <w:rPr>
          <w:rFonts w:hint="default" w:ascii="Times New Roman" w:hAnsi="Times New Roman" w:eastAsia="方正仿宋_GBK" w:cs="Times New Roman"/>
          <w:color w:val="auto"/>
          <w:kern w:val="0"/>
          <w:sz w:val="24"/>
          <w:szCs w:val="24"/>
          <w:highlight w:val="none"/>
          <w:lang w:val="en-US" w:eastAsia="zh-CN" w:bidi="ar-SA"/>
        </w:rPr>
      </w:pPr>
      <w:r>
        <w:rPr>
          <w:rFonts w:hint="default" w:ascii="Times New Roman" w:hAnsi="Times New Roman" w:eastAsia="方正仿宋_GBK" w:cs="Times New Roman"/>
          <w:color w:val="auto"/>
          <w:kern w:val="0"/>
          <w:sz w:val="24"/>
          <w:szCs w:val="24"/>
          <w:highlight w:val="none"/>
          <w:lang w:val="en-US" w:eastAsia="zh-CN" w:bidi="ar-SA"/>
        </w:rPr>
        <w:t>此外，每季度实施机构还有权对项目运行情况进行不定期抽查，主要考核处理厂/处理设施是否运行、出水水质是否达标，抽查结果与考核评分挂钩。</w:t>
      </w:r>
    </w:p>
    <w:p w14:paraId="2F0CA94F">
      <w:pPr>
        <w:adjustRightInd/>
        <w:snapToGrid/>
        <w:spacing w:before="0" w:beforeLines="0" w:after="0" w:afterLines="0" w:line="240" w:lineRule="auto"/>
        <w:ind w:firstLine="480" w:firstLineChars="0"/>
        <w:outlineLvl w:val="9"/>
        <w:rPr>
          <w:rFonts w:hint="default" w:ascii="方正仿宋_GBK" w:hAnsi="方正仿宋_GBK" w:eastAsia="方正仿宋_GBK" w:cs="方正仿宋_GBK"/>
          <w:b/>
          <w:bCs/>
          <w:color w:val="auto"/>
          <w:kern w:val="0"/>
          <w:sz w:val="28"/>
          <w:szCs w:val="28"/>
          <w:highlight w:val="none"/>
        </w:rPr>
      </w:pPr>
      <w:r>
        <w:rPr>
          <w:rFonts w:hint="eastAsia" w:ascii="方正仿宋_GBK" w:hAnsi="方正仿宋_GBK" w:eastAsia="方正仿宋_GBK" w:cs="方正仿宋_GBK"/>
          <w:b/>
          <w:bCs/>
          <w:color w:val="auto"/>
          <w:kern w:val="0"/>
          <w:sz w:val="28"/>
          <w:szCs w:val="28"/>
          <w:highlight w:val="none"/>
          <w:lang w:eastAsia="zh-CN"/>
        </w:rPr>
        <w:t>二、</w:t>
      </w:r>
      <w:r>
        <w:rPr>
          <w:rFonts w:hint="default" w:ascii="方正仿宋_GBK" w:hAnsi="方正仿宋_GBK" w:eastAsia="方正仿宋_GBK" w:cs="方正仿宋_GBK"/>
          <w:b/>
          <w:bCs/>
          <w:color w:val="auto"/>
          <w:kern w:val="0"/>
          <w:sz w:val="28"/>
          <w:szCs w:val="28"/>
          <w:highlight w:val="none"/>
        </w:rPr>
        <w:t>考核结果的应用</w:t>
      </w:r>
    </w:p>
    <w:p w14:paraId="3D8AF34A">
      <w:pPr>
        <w:adjustRightInd w:val="0"/>
        <w:snapToGrid w:val="0"/>
        <w:spacing w:before="50" w:beforeLines="0" w:after="50" w:afterLines="0" w:line="360" w:lineRule="auto"/>
        <w:ind w:firstLine="480" w:firstLineChars="200"/>
        <w:rPr>
          <w:rFonts w:hint="default" w:ascii="Times New Roman" w:hAnsi="Times New Roman" w:eastAsia="方正仿宋_GBK" w:cs="Times New Roman"/>
          <w:color w:val="auto"/>
          <w:kern w:val="0"/>
          <w:sz w:val="24"/>
          <w:szCs w:val="24"/>
          <w:highlight w:val="none"/>
          <w:lang w:val="en-US" w:eastAsia="zh-CN" w:bidi="ar-SA"/>
        </w:rPr>
      </w:pPr>
      <w:r>
        <w:rPr>
          <w:rFonts w:hint="eastAsia" w:ascii="Times New Roman" w:hAnsi="Times New Roman" w:eastAsia="方正仿宋_GBK" w:cs="Times New Roman"/>
          <w:color w:val="auto"/>
          <w:kern w:val="0"/>
          <w:sz w:val="24"/>
          <w:szCs w:val="24"/>
          <w:highlight w:val="none"/>
          <w:lang w:val="en-US" w:eastAsia="zh-CN" w:bidi="ar-SA"/>
        </w:rPr>
        <w:t>1.</w:t>
      </w:r>
      <w:r>
        <w:rPr>
          <w:rFonts w:hint="default" w:ascii="Times New Roman" w:hAnsi="Times New Roman" w:eastAsia="方正仿宋_GBK" w:cs="Times New Roman"/>
          <w:color w:val="auto"/>
          <w:kern w:val="0"/>
          <w:sz w:val="24"/>
          <w:szCs w:val="24"/>
          <w:highlight w:val="none"/>
          <w:lang w:val="en-US" w:eastAsia="zh-CN" w:bidi="ar-SA"/>
        </w:rPr>
        <w:t>本项目污水处理服务费的支付与绩效考核结果挂钩</w:t>
      </w:r>
    </w:p>
    <w:p w14:paraId="0854D988">
      <w:pPr>
        <w:adjustRightInd w:val="0"/>
        <w:snapToGrid w:val="0"/>
        <w:spacing w:before="50" w:beforeLines="0" w:after="50" w:afterLines="0" w:line="360" w:lineRule="auto"/>
        <w:ind w:firstLine="480" w:firstLineChars="200"/>
        <w:rPr>
          <w:rFonts w:hint="default" w:ascii="Times New Roman" w:hAnsi="Times New Roman" w:eastAsia="方正仿宋_GBK" w:cs="Times New Roman"/>
          <w:color w:val="auto"/>
          <w:kern w:val="0"/>
          <w:sz w:val="24"/>
          <w:szCs w:val="24"/>
          <w:highlight w:val="none"/>
          <w:lang w:val="en-US" w:eastAsia="zh-CN" w:bidi="ar-SA"/>
        </w:rPr>
      </w:pPr>
      <w:r>
        <w:rPr>
          <w:rFonts w:hint="default" w:ascii="Times New Roman" w:hAnsi="Times New Roman" w:eastAsia="方正仿宋_GBK" w:cs="Times New Roman"/>
          <w:color w:val="auto"/>
          <w:kern w:val="0"/>
          <w:sz w:val="24"/>
          <w:szCs w:val="24"/>
          <w:highlight w:val="none"/>
          <w:lang w:val="en-US" w:eastAsia="zh-CN" w:bidi="ar-SA"/>
        </w:rPr>
        <w:t>年度污水处理服务费=污水处理服务费单价×年度实际污水处理量×绩效考核系数α</w:t>
      </w:r>
    </w:p>
    <w:p w14:paraId="01550A12">
      <w:pPr>
        <w:adjustRightInd w:val="0"/>
        <w:snapToGrid w:val="0"/>
        <w:spacing w:before="50" w:beforeLines="0" w:after="50" w:afterLines="0" w:line="360" w:lineRule="auto"/>
        <w:ind w:firstLine="480" w:firstLineChars="200"/>
        <w:rPr>
          <w:rFonts w:hint="default" w:ascii="Times New Roman" w:hAnsi="Times New Roman" w:eastAsia="方正仿宋_GBK" w:cs="Times New Roman"/>
          <w:color w:val="auto"/>
          <w:kern w:val="0"/>
          <w:sz w:val="24"/>
          <w:szCs w:val="24"/>
          <w:highlight w:val="none"/>
          <w:lang w:val="en-US" w:eastAsia="zh-CN" w:bidi="ar-SA"/>
        </w:rPr>
      </w:pPr>
      <w:r>
        <w:rPr>
          <w:rFonts w:hint="default" w:ascii="Times New Roman" w:hAnsi="Times New Roman" w:eastAsia="方正仿宋_GBK" w:cs="Times New Roman"/>
          <w:color w:val="auto"/>
          <w:kern w:val="0"/>
          <w:sz w:val="24"/>
          <w:szCs w:val="24"/>
          <w:highlight w:val="none"/>
          <w:lang w:val="en-US" w:eastAsia="zh-CN" w:bidi="ar-SA"/>
        </w:rPr>
        <w:t>在运营年度末（第4个季度）付费时应结合绩效考核结果支付。</w:t>
      </w:r>
    </w:p>
    <w:p w14:paraId="7F5F0414">
      <w:pPr>
        <w:widowControl w:val="0"/>
        <w:adjustRightInd w:val="0"/>
        <w:snapToGrid w:val="0"/>
        <w:spacing w:before="0" w:beforeLines="0" w:after="0" w:afterLines="0" w:line="360" w:lineRule="auto"/>
        <w:ind w:firstLine="480" w:firstLineChars="200"/>
        <w:rPr>
          <w:rFonts w:hint="default" w:ascii="Times New Roman" w:hAnsi="Times New Roman" w:eastAsia="方正仿宋_GBK" w:cs="Times New Roman"/>
          <w:color w:val="auto"/>
          <w:kern w:val="0"/>
          <w:sz w:val="24"/>
          <w:szCs w:val="24"/>
          <w:highlight w:val="none"/>
          <w:lang w:val="en-US" w:eastAsia="zh-CN" w:bidi="ar-SA"/>
        </w:rPr>
      </w:pPr>
      <w:r>
        <w:rPr>
          <w:rFonts w:hint="eastAsia" w:ascii="Times New Roman" w:hAnsi="Times New Roman" w:eastAsia="方正仿宋_GBK" w:cs="Times New Roman"/>
          <w:color w:val="auto"/>
          <w:kern w:val="0"/>
          <w:sz w:val="24"/>
          <w:szCs w:val="24"/>
          <w:highlight w:val="none"/>
          <w:lang w:val="en-US" w:eastAsia="zh-CN" w:bidi="ar-SA"/>
        </w:rPr>
        <w:t>2.</w:t>
      </w:r>
      <w:r>
        <w:rPr>
          <w:rFonts w:hint="default" w:ascii="Times New Roman" w:hAnsi="Times New Roman" w:eastAsia="方正仿宋_GBK" w:cs="Times New Roman"/>
          <w:color w:val="auto"/>
          <w:kern w:val="0"/>
          <w:sz w:val="24"/>
          <w:szCs w:val="24"/>
          <w:highlight w:val="none"/>
          <w:lang w:val="en-US" w:eastAsia="zh-CN" w:bidi="ar-SA"/>
        </w:rPr>
        <w:t>污水处理厂运营管理绩效考核系数</w:t>
      </w:r>
      <w:r>
        <w:rPr>
          <w:rFonts w:hint="default" w:ascii="Times New Roman" w:hAnsi="Times New Roman" w:eastAsia="方正仿宋_GBK" w:cs="Times New Roman"/>
          <w:i w:val="0"/>
          <w:iCs w:val="0"/>
          <w:color w:val="auto"/>
          <w:kern w:val="0"/>
          <w:sz w:val="24"/>
          <w:szCs w:val="24"/>
          <w:highlight w:val="none"/>
          <w:lang w:val="en-US" w:eastAsia="zh-CN" w:bidi="ar-SA"/>
        </w:rPr>
        <w:t>α</w:t>
      </w:r>
      <w:r>
        <w:rPr>
          <w:rFonts w:hint="default" w:ascii="Times New Roman" w:hAnsi="Times New Roman" w:eastAsia="方正仿宋_GBK" w:cs="Times New Roman"/>
          <w:color w:val="auto"/>
          <w:kern w:val="0"/>
          <w:sz w:val="24"/>
          <w:szCs w:val="24"/>
          <w:highlight w:val="none"/>
          <w:lang w:val="en-US" w:eastAsia="zh-CN" w:bidi="ar-SA"/>
        </w:rPr>
        <w:t>与其考核得分挂钩，实际挂钩系数按下表换算：</w:t>
      </w:r>
    </w:p>
    <w:p w14:paraId="33A15FFD">
      <w:pPr>
        <w:adjustRightInd/>
        <w:snapToGrid/>
        <w:spacing w:before="0" w:beforeLines="0" w:after="0" w:afterLines="0" w:line="360" w:lineRule="auto"/>
        <w:ind w:firstLine="440" w:firstLineChars="200"/>
        <w:jc w:val="center"/>
        <w:rPr>
          <w:rFonts w:hint="default" w:ascii="Times New Roman" w:hAnsi="Times New Roman" w:eastAsia="方正仿宋_GBK" w:cs="Times New Roman"/>
          <w:b/>
          <w:bCs w:val="0"/>
          <w:color w:val="auto"/>
          <w:kern w:val="2"/>
          <w:sz w:val="22"/>
          <w:szCs w:val="22"/>
          <w:highlight w:val="none"/>
        </w:rPr>
      </w:pPr>
      <w:r>
        <w:rPr>
          <w:rFonts w:hint="eastAsia" w:ascii="Times New Roman" w:hAnsi="Times New Roman" w:eastAsia="方正仿宋_GBK" w:cs="Times New Roman"/>
          <w:b/>
          <w:bCs w:val="0"/>
          <w:color w:val="auto"/>
          <w:kern w:val="2"/>
          <w:sz w:val="22"/>
          <w:szCs w:val="22"/>
          <w:highlight w:val="none"/>
          <w:lang w:val="en-US" w:eastAsia="zh-CN"/>
        </w:rPr>
        <w:t xml:space="preserve">附表4-1 </w:t>
      </w:r>
      <w:r>
        <w:rPr>
          <w:rFonts w:hint="default" w:ascii="Times New Roman" w:hAnsi="Times New Roman" w:eastAsia="方正仿宋_GBK" w:cs="Times New Roman"/>
          <w:b/>
          <w:bCs w:val="0"/>
          <w:color w:val="auto"/>
          <w:kern w:val="2"/>
          <w:sz w:val="22"/>
          <w:szCs w:val="22"/>
          <w:highlight w:val="none"/>
        </w:rPr>
        <w:t>污水处理厂运营管理</w:t>
      </w:r>
      <w:r>
        <w:rPr>
          <w:rFonts w:hint="default" w:ascii="Times New Roman" w:hAnsi="Times New Roman" w:eastAsia="方正仿宋_GBK" w:cs="Times New Roman"/>
          <w:b/>
          <w:bCs w:val="0"/>
          <w:color w:val="auto"/>
          <w:kern w:val="2"/>
          <w:sz w:val="22"/>
          <w:szCs w:val="22"/>
          <w:highlight w:val="none"/>
          <w:lang w:val="en-US" w:eastAsia="zh-CN"/>
        </w:rPr>
        <w:t>考核</w:t>
      </w:r>
      <w:r>
        <w:rPr>
          <w:rFonts w:hint="default" w:ascii="Times New Roman" w:hAnsi="Times New Roman" w:eastAsia="方正仿宋_GBK" w:cs="Times New Roman"/>
          <w:b/>
          <w:bCs w:val="0"/>
          <w:color w:val="auto"/>
          <w:kern w:val="2"/>
          <w:sz w:val="22"/>
          <w:szCs w:val="22"/>
          <w:highlight w:val="none"/>
        </w:rPr>
        <w:t>系数（α）表</w:t>
      </w:r>
    </w:p>
    <w:tbl>
      <w:tblPr>
        <w:tblStyle w:val="37"/>
        <w:tblW w:w="44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8"/>
        <w:gridCol w:w="2786"/>
        <w:gridCol w:w="3758"/>
      </w:tblGrid>
      <w:tr w14:paraId="33C1B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blHeader/>
          <w:jc w:val="center"/>
        </w:trPr>
        <w:tc>
          <w:tcPr>
            <w:tcW w:w="906" w:type="pct"/>
            <w:shd w:val="clear" w:color="auto" w:fill="D7D7D7"/>
            <w:noWrap w:val="0"/>
            <w:vAlign w:val="center"/>
          </w:tcPr>
          <w:p w14:paraId="411C4EDF">
            <w:pPr>
              <w:adjustRightInd/>
              <w:snapToGrid/>
              <w:spacing w:before="0" w:beforeLines="0" w:after="0" w:afterLines="0" w:line="240" w:lineRule="auto"/>
              <w:ind w:firstLine="0" w:firstLineChars="0"/>
              <w:jc w:val="center"/>
              <w:rPr>
                <w:rFonts w:hint="default" w:ascii="Times New Roman" w:hAnsi="Times New Roman" w:eastAsia="方正仿宋_GBK" w:cs="Times New Roman"/>
                <w:b/>
                <w:color w:val="auto"/>
                <w:kern w:val="0"/>
                <w:sz w:val="21"/>
                <w:szCs w:val="21"/>
                <w:highlight w:val="none"/>
              </w:rPr>
            </w:pPr>
            <w:r>
              <w:rPr>
                <w:rFonts w:hint="default" w:ascii="Times New Roman" w:hAnsi="Times New Roman" w:eastAsia="方正仿宋_GBK" w:cs="Times New Roman"/>
                <w:b/>
                <w:color w:val="auto"/>
                <w:kern w:val="0"/>
                <w:sz w:val="21"/>
                <w:szCs w:val="21"/>
                <w:highlight w:val="none"/>
              </w:rPr>
              <w:t>序号</w:t>
            </w:r>
          </w:p>
        </w:tc>
        <w:tc>
          <w:tcPr>
            <w:tcW w:w="1743" w:type="pct"/>
            <w:shd w:val="clear" w:color="auto" w:fill="D7D7D7"/>
            <w:noWrap w:val="0"/>
            <w:vAlign w:val="center"/>
          </w:tcPr>
          <w:p w14:paraId="4836B360">
            <w:pPr>
              <w:adjustRightInd/>
              <w:snapToGrid/>
              <w:spacing w:before="0" w:beforeLines="0" w:after="0" w:afterLines="0" w:line="240" w:lineRule="auto"/>
              <w:ind w:firstLine="0" w:firstLineChars="0"/>
              <w:jc w:val="center"/>
              <w:rPr>
                <w:rFonts w:hint="default" w:ascii="Times New Roman" w:hAnsi="Times New Roman" w:eastAsia="方正仿宋_GBK" w:cs="Times New Roman"/>
                <w:b/>
                <w:color w:val="auto"/>
                <w:kern w:val="0"/>
                <w:sz w:val="21"/>
                <w:szCs w:val="21"/>
                <w:highlight w:val="none"/>
              </w:rPr>
            </w:pPr>
            <w:r>
              <w:rPr>
                <w:rFonts w:hint="default" w:ascii="Times New Roman" w:hAnsi="Times New Roman" w:eastAsia="方正仿宋_GBK" w:cs="Times New Roman"/>
                <w:b/>
                <w:color w:val="auto"/>
                <w:kern w:val="0"/>
                <w:sz w:val="21"/>
                <w:szCs w:val="21"/>
                <w:highlight w:val="none"/>
              </w:rPr>
              <w:t>得分</w:t>
            </w:r>
            <w:r>
              <w:rPr>
                <w:rFonts w:hint="default" w:ascii="Times New Roman" w:hAnsi="Times New Roman" w:eastAsia="方正仿宋_GBK" w:cs="Times New Roman"/>
                <w:b/>
                <w:bCs/>
                <w:color w:val="auto"/>
                <w:kern w:val="2"/>
                <w:sz w:val="21"/>
                <w:szCs w:val="21"/>
                <w:highlight w:val="none"/>
              </w:rPr>
              <w:t>（</w:t>
            </w:r>
            <w:r>
              <w:rPr>
                <w:rFonts w:hint="default" w:ascii="Times New Roman" w:hAnsi="Times New Roman" w:eastAsia="方正仿宋_GBK" w:cs="Times New Roman"/>
                <w:b/>
                <w:color w:val="auto"/>
                <w:kern w:val="0"/>
                <w:sz w:val="21"/>
                <w:szCs w:val="21"/>
                <w:highlight w:val="none"/>
              </w:rPr>
              <w:t>T</w:t>
            </w:r>
            <w:r>
              <w:rPr>
                <w:rFonts w:hint="default" w:ascii="Times New Roman" w:hAnsi="Times New Roman" w:eastAsia="方正仿宋_GBK" w:cs="Times New Roman"/>
                <w:b/>
                <w:bCs/>
                <w:color w:val="auto"/>
                <w:kern w:val="2"/>
                <w:sz w:val="21"/>
                <w:szCs w:val="21"/>
                <w:highlight w:val="none"/>
              </w:rPr>
              <w:t>）</w:t>
            </w:r>
          </w:p>
        </w:tc>
        <w:tc>
          <w:tcPr>
            <w:tcW w:w="2351" w:type="pct"/>
            <w:shd w:val="clear" w:color="auto" w:fill="D7D7D7"/>
            <w:noWrap w:val="0"/>
            <w:vAlign w:val="center"/>
          </w:tcPr>
          <w:p w14:paraId="10E15083">
            <w:pPr>
              <w:adjustRightInd/>
              <w:snapToGrid/>
              <w:spacing w:before="0" w:beforeLines="0" w:after="0" w:afterLines="0" w:line="240" w:lineRule="auto"/>
              <w:ind w:firstLine="0" w:firstLineChars="0"/>
              <w:jc w:val="center"/>
              <w:rPr>
                <w:rFonts w:hint="default" w:ascii="Times New Roman" w:hAnsi="Times New Roman" w:eastAsia="方正仿宋_GBK" w:cs="Times New Roman"/>
                <w:b/>
                <w:color w:val="auto"/>
                <w:kern w:val="0"/>
                <w:sz w:val="21"/>
                <w:szCs w:val="21"/>
                <w:highlight w:val="none"/>
              </w:rPr>
            </w:pPr>
            <w:r>
              <w:rPr>
                <w:rFonts w:hint="default" w:ascii="Times New Roman" w:hAnsi="Times New Roman" w:eastAsia="方正仿宋_GBK" w:cs="Times New Roman"/>
                <w:b/>
                <w:color w:val="auto"/>
                <w:kern w:val="0"/>
                <w:sz w:val="21"/>
                <w:szCs w:val="21"/>
                <w:highlight w:val="none"/>
                <w:lang w:val="en-US" w:eastAsia="zh-CN"/>
              </w:rPr>
              <w:t>考核</w:t>
            </w:r>
            <w:r>
              <w:rPr>
                <w:rFonts w:hint="default" w:ascii="Times New Roman" w:hAnsi="Times New Roman" w:eastAsia="方正仿宋_GBK" w:cs="Times New Roman"/>
                <w:b/>
                <w:color w:val="auto"/>
                <w:kern w:val="0"/>
                <w:sz w:val="21"/>
                <w:szCs w:val="21"/>
                <w:highlight w:val="none"/>
              </w:rPr>
              <w:t>系数（α）</w:t>
            </w:r>
          </w:p>
        </w:tc>
      </w:tr>
      <w:tr w14:paraId="24F8B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6" w:type="pct"/>
            <w:noWrap w:val="0"/>
            <w:vAlign w:val="center"/>
          </w:tcPr>
          <w:p w14:paraId="30A1C63A">
            <w:pPr>
              <w:adjustRightInd/>
              <w:snapToGrid/>
              <w:spacing w:before="0" w:beforeLines="0" w:after="0" w:afterLines="0" w:line="240" w:lineRule="auto"/>
              <w:ind w:firstLine="0" w:firstLineChars="0"/>
              <w:jc w:val="center"/>
              <w:rPr>
                <w:rFonts w:hint="default" w:ascii="Times New Roman" w:hAnsi="Times New Roman" w:eastAsia="方正仿宋_GBK" w:cs="Times New Roman"/>
                <w:bCs/>
                <w:color w:val="auto"/>
                <w:kern w:val="0"/>
                <w:sz w:val="21"/>
                <w:szCs w:val="21"/>
                <w:highlight w:val="none"/>
              </w:rPr>
            </w:pPr>
            <w:r>
              <w:rPr>
                <w:rFonts w:hint="default" w:ascii="Times New Roman" w:hAnsi="Times New Roman" w:eastAsia="方正仿宋_GBK" w:cs="Times New Roman"/>
                <w:bCs/>
                <w:color w:val="auto"/>
                <w:kern w:val="0"/>
                <w:sz w:val="21"/>
                <w:szCs w:val="21"/>
                <w:highlight w:val="none"/>
              </w:rPr>
              <w:t>1</w:t>
            </w:r>
          </w:p>
        </w:tc>
        <w:tc>
          <w:tcPr>
            <w:tcW w:w="1743" w:type="pct"/>
            <w:noWrap w:val="0"/>
            <w:vAlign w:val="center"/>
          </w:tcPr>
          <w:p w14:paraId="559CC4C2">
            <w:pPr>
              <w:adjustRightInd/>
              <w:snapToGrid/>
              <w:spacing w:before="0" w:beforeLines="0" w:after="0" w:afterLines="0" w:line="240" w:lineRule="auto"/>
              <w:ind w:firstLine="0" w:firstLineChars="0"/>
              <w:jc w:val="center"/>
              <w:rPr>
                <w:rFonts w:hint="default" w:ascii="Times New Roman" w:hAnsi="Times New Roman" w:eastAsia="方正仿宋_GBK" w:cs="Times New Roman"/>
                <w:bCs/>
                <w:color w:val="auto"/>
                <w:kern w:val="0"/>
                <w:sz w:val="21"/>
                <w:szCs w:val="21"/>
                <w:highlight w:val="none"/>
              </w:rPr>
            </w:pPr>
            <w:r>
              <w:rPr>
                <w:rFonts w:hint="default" w:ascii="Times New Roman" w:hAnsi="Times New Roman" w:eastAsia="方正仿宋_GBK" w:cs="Times New Roman"/>
                <w:bCs/>
                <w:color w:val="auto"/>
                <w:kern w:val="0"/>
                <w:sz w:val="21"/>
                <w:szCs w:val="21"/>
                <w:highlight w:val="none"/>
              </w:rPr>
              <w:t>得分≥85</w:t>
            </w:r>
          </w:p>
        </w:tc>
        <w:tc>
          <w:tcPr>
            <w:tcW w:w="2351" w:type="pct"/>
            <w:noWrap w:val="0"/>
            <w:vAlign w:val="center"/>
          </w:tcPr>
          <w:p w14:paraId="43A6A435">
            <w:pPr>
              <w:adjustRightInd/>
              <w:snapToGrid/>
              <w:spacing w:before="0" w:beforeLines="0" w:after="0" w:afterLines="0" w:line="240" w:lineRule="auto"/>
              <w:ind w:firstLine="0" w:firstLineChars="0"/>
              <w:jc w:val="center"/>
              <w:rPr>
                <w:rFonts w:hint="default" w:ascii="Times New Roman" w:hAnsi="Times New Roman" w:eastAsia="方正仿宋_GBK" w:cs="Times New Roman"/>
                <w:bCs/>
                <w:color w:val="auto"/>
                <w:kern w:val="0"/>
                <w:sz w:val="21"/>
                <w:szCs w:val="21"/>
                <w:highlight w:val="none"/>
              </w:rPr>
            </w:pPr>
            <w:r>
              <w:rPr>
                <w:rFonts w:hint="default" w:ascii="Times New Roman" w:hAnsi="Times New Roman" w:eastAsia="方正仿宋_GBK" w:cs="Times New Roman"/>
                <w:bCs/>
                <w:color w:val="auto"/>
                <w:kern w:val="0"/>
                <w:sz w:val="21"/>
                <w:szCs w:val="21"/>
                <w:highlight w:val="none"/>
              </w:rPr>
              <w:t>100%</w:t>
            </w:r>
          </w:p>
        </w:tc>
      </w:tr>
      <w:tr w14:paraId="746C4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6" w:type="pct"/>
            <w:noWrap w:val="0"/>
            <w:vAlign w:val="center"/>
          </w:tcPr>
          <w:p w14:paraId="67484D79">
            <w:pPr>
              <w:adjustRightInd/>
              <w:snapToGrid/>
              <w:spacing w:before="0" w:beforeLines="0" w:after="0" w:afterLines="0" w:line="240" w:lineRule="auto"/>
              <w:ind w:firstLine="0" w:firstLineChars="0"/>
              <w:jc w:val="center"/>
              <w:rPr>
                <w:rFonts w:hint="default" w:ascii="Times New Roman" w:hAnsi="Times New Roman" w:eastAsia="方正仿宋_GBK" w:cs="Times New Roman"/>
                <w:bCs/>
                <w:color w:val="auto"/>
                <w:kern w:val="0"/>
                <w:sz w:val="21"/>
                <w:szCs w:val="21"/>
                <w:highlight w:val="none"/>
              </w:rPr>
            </w:pPr>
            <w:r>
              <w:rPr>
                <w:rFonts w:hint="default" w:ascii="Times New Roman" w:hAnsi="Times New Roman" w:eastAsia="方正仿宋_GBK" w:cs="Times New Roman"/>
                <w:bCs/>
                <w:color w:val="auto"/>
                <w:kern w:val="0"/>
                <w:sz w:val="21"/>
                <w:szCs w:val="21"/>
                <w:highlight w:val="none"/>
              </w:rPr>
              <w:t>2</w:t>
            </w:r>
          </w:p>
        </w:tc>
        <w:tc>
          <w:tcPr>
            <w:tcW w:w="1743" w:type="pct"/>
            <w:noWrap w:val="0"/>
            <w:vAlign w:val="center"/>
          </w:tcPr>
          <w:p w14:paraId="53FF2DFC">
            <w:pPr>
              <w:adjustRightInd/>
              <w:snapToGrid/>
              <w:spacing w:before="0" w:beforeLines="0" w:after="0" w:afterLines="0" w:line="240" w:lineRule="auto"/>
              <w:ind w:firstLine="0" w:firstLineChars="0"/>
              <w:jc w:val="center"/>
              <w:rPr>
                <w:rFonts w:hint="default" w:ascii="Times New Roman" w:hAnsi="Times New Roman" w:eastAsia="方正仿宋_GBK" w:cs="Times New Roman"/>
                <w:bCs/>
                <w:color w:val="auto"/>
                <w:kern w:val="0"/>
                <w:sz w:val="21"/>
                <w:szCs w:val="21"/>
                <w:highlight w:val="none"/>
              </w:rPr>
            </w:pPr>
            <w:r>
              <w:rPr>
                <w:rFonts w:hint="default" w:ascii="Times New Roman" w:hAnsi="Times New Roman" w:eastAsia="方正仿宋_GBK" w:cs="Times New Roman"/>
                <w:bCs/>
                <w:color w:val="auto"/>
                <w:kern w:val="0"/>
                <w:sz w:val="21"/>
                <w:szCs w:val="21"/>
                <w:highlight w:val="none"/>
              </w:rPr>
              <w:t>80≤得分＜85</w:t>
            </w:r>
          </w:p>
        </w:tc>
        <w:tc>
          <w:tcPr>
            <w:tcW w:w="2351" w:type="pct"/>
            <w:noWrap w:val="0"/>
            <w:vAlign w:val="center"/>
          </w:tcPr>
          <w:p w14:paraId="3904B694">
            <w:pPr>
              <w:adjustRightInd/>
              <w:snapToGrid/>
              <w:spacing w:before="0" w:beforeLines="0" w:after="0" w:afterLines="0" w:line="240" w:lineRule="auto"/>
              <w:ind w:firstLine="0" w:firstLineChars="0"/>
              <w:jc w:val="center"/>
              <w:rPr>
                <w:rFonts w:hint="default" w:ascii="Times New Roman" w:hAnsi="Times New Roman" w:eastAsia="方正仿宋_GBK" w:cs="Times New Roman"/>
                <w:bCs/>
                <w:color w:val="auto"/>
                <w:kern w:val="0"/>
                <w:sz w:val="21"/>
                <w:szCs w:val="21"/>
                <w:highlight w:val="none"/>
              </w:rPr>
            </w:pPr>
            <w:r>
              <w:rPr>
                <w:rFonts w:hint="default" w:ascii="Times New Roman" w:hAnsi="Times New Roman" w:eastAsia="方正仿宋_GBK" w:cs="Times New Roman"/>
                <w:bCs/>
                <w:color w:val="auto"/>
                <w:kern w:val="0"/>
                <w:sz w:val="21"/>
                <w:szCs w:val="21"/>
                <w:highlight w:val="none"/>
              </w:rPr>
              <w:t>100%-0.5%×(85-T)</w:t>
            </w:r>
          </w:p>
        </w:tc>
      </w:tr>
      <w:tr w14:paraId="766A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6" w:type="pct"/>
            <w:noWrap w:val="0"/>
            <w:vAlign w:val="center"/>
          </w:tcPr>
          <w:p w14:paraId="745F496E">
            <w:pPr>
              <w:adjustRightInd/>
              <w:snapToGrid/>
              <w:spacing w:before="0" w:beforeLines="0" w:after="0" w:afterLines="0" w:line="240" w:lineRule="auto"/>
              <w:ind w:firstLine="0" w:firstLineChars="0"/>
              <w:jc w:val="center"/>
              <w:rPr>
                <w:rFonts w:hint="default" w:ascii="Times New Roman" w:hAnsi="Times New Roman" w:eastAsia="方正仿宋_GBK" w:cs="Times New Roman"/>
                <w:bCs/>
                <w:color w:val="auto"/>
                <w:kern w:val="0"/>
                <w:sz w:val="21"/>
                <w:szCs w:val="21"/>
                <w:highlight w:val="none"/>
              </w:rPr>
            </w:pPr>
            <w:r>
              <w:rPr>
                <w:rFonts w:hint="default" w:ascii="Times New Roman" w:hAnsi="Times New Roman" w:eastAsia="方正仿宋_GBK" w:cs="Times New Roman"/>
                <w:bCs/>
                <w:color w:val="auto"/>
                <w:kern w:val="0"/>
                <w:sz w:val="21"/>
                <w:szCs w:val="21"/>
                <w:highlight w:val="none"/>
              </w:rPr>
              <w:t>3</w:t>
            </w:r>
          </w:p>
        </w:tc>
        <w:tc>
          <w:tcPr>
            <w:tcW w:w="1743" w:type="pct"/>
            <w:noWrap w:val="0"/>
            <w:vAlign w:val="center"/>
          </w:tcPr>
          <w:p w14:paraId="5E8C708D">
            <w:pPr>
              <w:adjustRightInd/>
              <w:snapToGrid/>
              <w:spacing w:before="0" w:beforeLines="0" w:after="0" w:afterLines="0" w:line="240" w:lineRule="auto"/>
              <w:ind w:firstLine="0" w:firstLineChars="0"/>
              <w:jc w:val="center"/>
              <w:rPr>
                <w:rFonts w:hint="default" w:ascii="Times New Roman" w:hAnsi="Times New Roman" w:eastAsia="方正仿宋_GBK" w:cs="Times New Roman"/>
                <w:bCs/>
                <w:color w:val="auto"/>
                <w:kern w:val="0"/>
                <w:sz w:val="21"/>
                <w:szCs w:val="21"/>
                <w:highlight w:val="none"/>
              </w:rPr>
            </w:pPr>
            <w:r>
              <w:rPr>
                <w:rFonts w:hint="default" w:ascii="Times New Roman" w:hAnsi="Times New Roman" w:eastAsia="方正仿宋_GBK" w:cs="Times New Roman"/>
                <w:bCs/>
                <w:color w:val="auto"/>
                <w:kern w:val="0"/>
                <w:sz w:val="21"/>
                <w:szCs w:val="21"/>
                <w:highlight w:val="none"/>
              </w:rPr>
              <w:t>70≤得分＜80</w:t>
            </w:r>
          </w:p>
        </w:tc>
        <w:tc>
          <w:tcPr>
            <w:tcW w:w="2351" w:type="pct"/>
            <w:noWrap w:val="0"/>
            <w:vAlign w:val="center"/>
          </w:tcPr>
          <w:p w14:paraId="604AFA6C">
            <w:pPr>
              <w:adjustRightInd/>
              <w:snapToGrid/>
              <w:spacing w:before="0" w:beforeLines="0" w:after="0" w:afterLines="0" w:line="240" w:lineRule="auto"/>
              <w:ind w:firstLine="0" w:firstLineChars="0"/>
              <w:jc w:val="center"/>
              <w:rPr>
                <w:rFonts w:hint="default" w:ascii="Times New Roman" w:hAnsi="Times New Roman" w:eastAsia="方正仿宋_GBK" w:cs="Times New Roman"/>
                <w:bCs/>
                <w:color w:val="auto"/>
                <w:kern w:val="0"/>
                <w:sz w:val="21"/>
                <w:szCs w:val="21"/>
                <w:highlight w:val="none"/>
              </w:rPr>
            </w:pPr>
            <w:r>
              <w:rPr>
                <w:rFonts w:hint="default" w:ascii="Times New Roman" w:hAnsi="Times New Roman" w:eastAsia="方正仿宋_GBK" w:cs="Times New Roman"/>
                <w:bCs/>
                <w:color w:val="auto"/>
                <w:kern w:val="0"/>
                <w:sz w:val="21"/>
                <w:szCs w:val="21"/>
                <w:highlight w:val="none"/>
              </w:rPr>
              <w:t>95%-1%×(80-T)</w:t>
            </w:r>
          </w:p>
        </w:tc>
      </w:tr>
      <w:tr w14:paraId="3E1DA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6" w:type="pct"/>
            <w:noWrap w:val="0"/>
            <w:vAlign w:val="center"/>
          </w:tcPr>
          <w:p w14:paraId="6BE0BA85">
            <w:pPr>
              <w:adjustRightInd/>
              <w:snapToGrid/>
              <w:spacing w:before="0" w:beforeLines="0" w:after="0" w:afterLines="0" w:line="240" w:lineRule="auto"/>
              <w:ind w:firstLine="0" w:firstLineChars="0"/>
              <w:jc w:val="center"/>
              <w:rPr>
                <w:rFonts w:hint="default" w:ascii="Times New Roman" w:hAnsi="Times New Roman" w:eastAsia="方正仿宋_GBK" w:cs="Times New Roman"/>
                <w:bCs/>
                <w:color w:val="auto"/>
                <w:kern w:val="0"/>
                <w:sz w:val="21"/>
                <w:szCs w:val="21"/>
                <w:highlight w:val="none"/>
              </w:rPr>
            </w:pPr>
            <w:r>
              <w:rPr>
                <w:rFonts w:hint="default" w:ascii="Times New Roman" w:hAnsi="Times New Roman" w:eastAsia="方正仿宋_GBK" w:cs="Times New Roman"/>
                <w:bCs/>
                <w:color w:val="auto"/>
                <w:kern w:val="0"/>
                <w:sz w:val="21"/>
                <w:szCs w:val="21"/>
                <w:highlight w:val="none"/>
              </w:rPr>
              <w:t>4</w:t>
            </w:r>
          </w:p>
        </w:tc>
        <w:tc>
          <w:tcPr>
            <w:tcW w:w="1743" w:type="pct"/>
            <w:noWrap w:val="0"/>
            <w:vAlign w:val="center"/>
          </w:tcPr>
          <w:p w14:paraId="4F029D5F">
            <w:pPr>
              <w:adjustRightInd/>
              <w:snapToGrid/>
              <w:spacing w:before="0" w:beforeLines="0" w:after="0" w:afterLines="0" w:line="240" w:lineRule="auto"/>
              <w:ind w:firstLine="0" w:firstLineChars="0"/>
              <w:jc w:val="center"/>
              <w:rPr>
                <w:rFonts w:hint="default" w:ascii="Times New Roman" w:hAnsi="Times New Roman" w:eastAsia="方正仿宋_GBK" w:cs="Times New Roman"/>
                <w:bCs/>
                <w:color w:val="auto"/>
                <w:kern w:val="0"/>
                <w:sz w:val="21"/>
                <w:szCs w:val="21"/>
                <w:highlight w:val="none"/>
              </w:rPr>
            </w:pPr>
            <w:r>
              <w:rPr>
                <w:rFonts w:hint="default" w:ascii="Times New Roman" w:hAnsi="Times New Roman" w:eastAsia="方正仿宋_GBK" w:cs="Times New Roman"/>
                <w:bCs/>
                <w:color w:val="auto"/>
                <w:kern w:val="0"/>
                <w:sz w:val="21"/>
                <w:szCs w:val="21"/>
                <w:highlight w:val="none"/>
              </w:rPr>
              <w:t>60≤得分＜70</w:t>
            </w:r>
          </w:p>
        </w:tc>
        <w:tc>
          <w:tcPr>
            <w:tcW w:w="2351" w:type="pct"/>
            <w:noWrap w:val="0"/>
            <w:vAlign w:val="center"/>
          </w:tcPr>
          <w:p w14:paraId="16320A99">
            <w:pPr>
              <w:adjustRightInd/>
              <w:snapToGrid/>
              <w:spacing w:before="0" w:beforeLines="0" w:after="0" w:afterLines="0" w:line="240" w:lineRule="auto"/>
              <w:ind w:firstLine="0" w:firstLineChars="0"/>
              <w:jc w:val="center"/>
              <w:rPr>
                <w:rFonts w:hint="default" w:ascii="Times New Roman" w:hAnsi="Times New Roman" w:eastAsia="方正仿宋_GBK" w:cs="Times New Roman"/>
                <w:bCs/>
                <w:color w:val="auto"/>
                <w:kern w:val="0"/>
                <w:sz w:val="21"/>
                <w:szCs w:val="21"/>
                <w:highlight w:val="none"/>
              </w:rPr>
            </w:pPr>
            <w:r>
              <w:rPr>
                <w:rFonts w:hint="default" w:ascii="Times New Roman" w:hAnsi="Times New Roman" w:eastAsia="方正仿宋_GBK" w:cs="Times New Roman"/>
                <w:bCs/>
                <w:color w:val="auto"/>
                <w:kern w:val="0"/>
                <w:sz w:val="21"/>
                <w:szCs w:val="21"/>
                <w:highlight w:val="none"/>
              </w:rPr>
              <w:t>85%-1.5%×(70-T)</w:t>
            </w:r>
          </w:p>
        </w:tc>
      </w:tr>
      <w:tr w14:paraId="418D7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6" w:type="pct"/>
            <w:noWrap w:val="0"/>
            <w:vAlign w:val="center"/>
          </w:tcPr>
          <w:p w14:paraId="677C6C4E">
            <w:pPr>
              <w:adjustRightInd/>
              <w:snapToGrid/>
              <w:spacing w:before="0" w:beforeLines="0" w:after="0" w:afterLines="0" w:line="240" w:lineRule="auto"/>
              <w:ind w:firstLine="0" w:firstLineChars="0"/>
              <w:jc w:val="center"/>
              <w:rPr>
                <w:rFonts w:hint="default" w:ascii="Times New Roman" w:hAnsi="Times New Roman" w:eastAsia="方正仿宋_GBK" w:cs="Times New Roman"/>
                <w:bCs/>
                <w:color w:val="auto"/>
                <w:kern w:val="0"/>
                <w:sz w:val="21"/>
                <w:szCs w:val="21"/>
                <w:highlight w:val="none"/>
              </w:rPr>
            </w:pPr>
            <w:r>
              <w:rPr>
                <w:rFonts w:hint="default" w:ascii="Times New Roman" w:hAnsi="Times New Roman" w:eastAsia="方正仿宋_GBK" w:cs="Times New Roman"/>
                <w:bCs/>
                <w:color w:val="auto"/>
                <w:kern w:val="0"/>
                <w:sz w:val="21"/>
                <w:szCs w:val="21"/>
                <w:highlight w:val="none"/>
              </w:rPr>
              <w:t>5</w:t>
            </w:r>
          </w:p>
        </w:tc>
        <w:tc>
          <w:tcPr>
            <w:tcW w:w="1743" w:type="pct"/>
            <w:noWrap w:val="0"/>
            <w:vAlign w:val="center"/>
          </w:tcPr>
          <w:p w14:paraId="44C5CE4D">
            <w:pPr>
              <w:adjustRightInd/>
              <w:snapToGrid/>
              <w:spacing w:before="0" w:beforeLines="0" w:after="0" w:afterLines="0" w:line="240" w:lineRule="auto"/>
              <w:ind w:firstLine="0" w:firstLineChars="0"/>
              <w:jc w:val="center"/>
              <w:rPr>
                <w:rFonts w:hint="default" w:ascii="Times New Roman" w:hAnsi="Times New Roman" w:eastAsia="方正仿宋_GBK" w:cs="Times New Roman"/>
                <w:bCs/>
                <w:color w:val="auto"/>
                <w:kern w:val="0"/>
                <w:sz w:val="21"/>
                <w:szCs w:val="21"/>
                <w:highlight w:val="none"/>
              </w:rPr>
            </w:pPr>
            <w:r>
              <w:rPr>
                <w:rFonts w:hint="default" w:ascii="Times New Roman" w:hAnsi="Times New Roman" w:eastAsia="方正仿宋_GBK" w:cs="Times New Roman"/>
                <w:bCs/>
                <w:color w:val="auto"/>
                <w:kern w:val="0"/>
                <w:sz w:val="21"/>
                <w:szCs w:val="21"/>
                <w:highlight w:val="none"/>
              </w:rPr>
              <w:t>得分＜60</w:t>
            </w:r>
          </w:p>
        </w:tc>
        <w:tc>
          <w:tcPr>
            <w:tcW w:w="2351" w:type="pct"/>
            <w:noWrap w:val="0"/>
            <w:vAlign w:val="center"/>
          </w:tcPr>
          <w:p w14:paraId="5F8E43FF">
            <w:pPr>
              <w:adjustRightInd/>
              <w:snapToGrid/>
              <w:spacing w:before="0" w:beforeLines="0" w:after="0" w:afterLines="0" w:line="240" w:lineRule="auto"/>
              <w:ind w:firstLine="0" w:firstLineChars="0"/>
              <w:jc w:val="center"/>
              <w:rPr>
                <w:rFonts w:hint="default" w:ascii="Times New Roman" w:hAnsi="Times New Roman" w:eastAsia="方正仿宋_GBK" w:cs="Times New Roman"/>
                <w:bCs/>
                <w:color w:val="auto"/>
                <w:kern w:val="0"/>
                <w:sz w:val="21"/>
                <w:szCs w:val="21"/>
                <w:highlight w:val="none"/>
              </w:rPr>
            </w:pPr>
            <w:r>
              <w:rPr>
                <w:rFonts w:hint="default" w:ascii="Times New Roman" w:hAnsi="Times New Roman" w:eastAsia="方正仿宋_GBK" w:cs="Times New Roman"/>
                <w:bCs/>
                <w:color w:val="auto"/>
                <w:kern w:val="0"/>
                <w:sz w:val="21"/>
                <w:szCs w:val="21"/>
                <w:highlight w:val="none"/>
              </w:rPr>
              <w:t>50%</w:t>
            </w:r>
          </w:p>
        </w:tc>
      </w:tr>
    </w:tbl>
    <w:p w14:paraId="4600F3F5">
      <w:pPr>
        <w:widowControl/>
        <w:shd w:val="clear" w:color="auto" w:fill="FFFFFF"/>
        <w:adjustRightInd w:val="0"/>
        <w:snapToGrid w:val="0"/>
        <w:spacing w:before="50" w:beforeLines="0" w:beforeAutospacing="0" w:after="50" w:afterLines="0" w:afterAutospacing="0" w:line="360" w:lineRule="auto"/>
        <w:ind w:firstLine="480" w:firstLineChars="200"/>
        <w:jc w:val="both"/>
        <w:rPr>
          <w:rFonts w:hint="default" w:ascii="Times New Roman" w:hAnsi="Times New Roman" w:eastAsia="方正仿宋_GBK" w:cs="Times New Roman"/>
          <w:color w:val="auto"/>
          <w:kern w:val="0"/>
          <w:sz w:val="24"/>
          <w:szCs w:val="24"/>
          <w:highlight w:val="none"/>
          <w:lang w:val="en-US" w:eastAsia="zh-CN" w:bidi="ar-SA"/>
        </w:rPr>
      </w:pPr>
      <w:r>
        <w:rPr>
          <w:rFonts w:hint="default" w:ascii="Times New Roman" w:hAnsi="Times New Roman" w:eastAsia="方正仿宋_GBK" w:cs="Times New Roman"/>
          <w:color w:val="auto"/>
          <w:kern w:val="0"/>
          <w:sz w:val="24"/>
          <w:szCs w:val="24"/>
          <w:highlight w:val="none"/>
          <w:lang w:val="en-US" w:eastAsia="zh-CN" w:bidi="ar-SA"/>
        </w:rPr>
        <w:t>无论何种情况，</w:t>
      </w:r>
      <w:r>
        <w:rPr>
          <w:rFonts w:hint="eastAsia" w:ascii="Times New Roman" w:hAnsi="Times New Roman" w:eastAsia="方正仿宋_GBK" w:cs="Times New Roman"/>
          <w:color w:val="auto"/>
          <w:kern w:val="0"/>
          <w:sz w:val="24"/>
          <w:szCs w:val="24"/>
          <w:highlight w:val="none"/>
          <w:lang w:val="en-US" w:eastAsia="zh-CN" w:bidi="ar-SA"/>
        </w:rPr>
        <w:t>乙方</w:t>
      </w:r>
      <w:r>
        <w:rPr>
          <w:rFonts w:hint="default" w:ascii="Times New Roman" w:hAnsi="Times New Roman" w:eastAsia="方正仿宋_GBK" w:cs="Times New Roman"/>
          <w:color w:val="auto"/>
          <w:kern w:val="0"/>
          <w:sz w:val="24"/>
          <w:szCs w:val="24"/>
          <w:highlight w:val="none"/>
          <w:lang w:val="en-US" w:eastAsia="zh-CN" w:bidi="ar-SA"/>
        </w:rPr>
        <w:t>应及时修复缺陷，否则</w:t>
      </w:r>
      <w:r>
        <w:rPr>
          <w:rFonts w:hint="eastAsia" w:ascii="Times New Roman" w:hAnsi="Times New Roman" w:eastAsia="方正仿宋_GBK" w:cs="Times New Roman"/>
          <w:color w:val="auto"/>
          <w:kern w:val="0"/>
          <w:sz w:val="24"/>
          <w:szCs w:val="24"/>
          <w:highlight w:val="none"/>
          <w:lang w:val="en-US" w:eastAsia="zh-CN" w:bidi="ar-SA"/>
        </w:rPr>
        <w:t>甲方</w:t>
      </w:r>
      <w:r>
        <w:rPr>
          <w:rFonts w:hint="default" w:ascii="Times New Roman" w:hAnsi="Times New Roman" w:eastAsia="方正仿宋_GBK" w:cs="Times New Roman"/>
          <w:color w:val="auto"/>
          <w:kern w:val="0"/>
          <w:sz w:val="24"/>
          <w:szCs w:val="24"/>
          <w:highlight w:val="none"/>
          <w:lang w:val="en-US" w:eastAsia="zh-CN" w:bidi="ar-SA"/>
        </w:rPr>
        <w:t>有权按照</w:t>
      </w:r>
      <w:r>
        <w:rPr>
          <w:rFonts w:hint="eastAsia" w:ascii="Times New Roman" w:hAnsi="Times New Roman" w:eastAsia="方正仿宋_GBK" w:cs="Times New Roman"/>
          <w:color w:val="auto"/>
          <w:kern w:val="0"/>
          <w:sz w:val="24"/>
          <w:szCs w:val="24"/>
          <w:highlight w:val="none"/>
          <w:lang w:val="en-US" w:eastAsia="zh-CN" w:bidi="ar-SA"/>
        </w:rPr>
        <w:t>本协</w:t>
      </w:r>
      <w:r>
        <w:rPr>
          <w:rFonts w:hint="default" w:ascii="Times New Roman" w:hAnsi="Times New Roman" w:eastAsia="方正仿宋_GBK" w:cs="Times New Roman"/>
          <w:color w:val="auto"/>
          <w:kern w:val="0"/>
          <w:sz w:val="24"/>
          <w:szCs w:val="24"/>
          <w:highlight w:val="none"/>
          <w:lang w:val="en-US" w:eastAsia="zh-CN" w:bidi="ar-SA"/>
        </w:rPr>
        <w:t>议约定进行违约处罚。</w:t>
      </w:r>
    </w:p>
    <w:p w14:paraId="53DBD9B0">
      <w:pPr>
        <w:adjustRightInd/>
        <w:snapToGrid/>
        <w:spacing w:before="0" w:beforeLines="0" w:after="0" w:afterLines="0" w:line="240" w:lineRule="auto"/>
        <w:ind w:firstLine="480" w:firstLineChars="0"/>
        <w:outlineLvl w:val="9"/>
        <w:rPr>
          <w:rFonts w:hint="default" w:ascii="方正仿宋_GBK" w:hAnsi="方正仿宋_GBK" w:eastAsia="方正仿宋_GBK" w:cs="方正仿宋_GBK"/>
          <w:b/>
          <w:bCs/>
          <w:color w:val="auto"/>
          <w:kern w:val="0"/>
          <w:sz w:val="28"/>
          <w:szCs w:val="28"/>
          <w:highlight w:val="none"/>
        </w:rPr>
      </w:pPr>
      <w:r>
        <w:rPr>
          <w:rFonts w:hint="eastAsia" w:ascii="方正仿宋_GBK" w:hAnsi="方正仿宋_GBK" w:eastAsia="方正仿宋_GBK" w:cs="方正仿宋_GBK"/>
          <w:b/>
          <w:bCs/>
          <w:color w:val="auto"/>
          <w:kern w:val="0"/>
          <w:sz w:val="28"/>
          <w:szCs w:val="28"/>
          <w:highlight w:val="none"/>
          <w:lang w:val="en-US" w:eastAsia="zh-CN"/>
        </w:rPr>
        <w:t>三、运营</w:t>
      </w:r>
      <w:r>
        <w:rPr>
          <w:rFonts w:hint="default" w:ascii="方正仿宋_GBK" w:hAnsi="方正仿宋_GBK" w:eastAsia="方正仿宋_GBK" w:cs="方正仿宋_GBK"/>
          <w:b/>
          <w:bCs/>
          <w:color w:val="auto"/>
          <w:kern w:val="0"/>
          <w:sz w:val="28"/>
          <w:szCs w:val="28"/>
          <w:highlight w:val="none"/>
        </w:rPr>
        <w:t>绩效考核指标</w:t>
      </w:r>
    </w:p>
    <w:p w14:paraId="02D454D6">
      <w:pPr>
        <w:widowControl/>
        <w:numPr>
          <w:ilvl w:val="0"/>
          <w:numId w:val="0"/>
        </w:numPr>
        <w:ind w:firstLine="0" w:firstLineChars="0"/>
        <w:rPr>
          <w:rFonts w:hint="eastAsia" w:cs="方正黑体_GBK"/>
          <w:color w:val="auto"/>
          <w:kern w:val="2"/>
          <w:sz w:val="28"/>
          <w:szCs w:val="28"/>
          <w:highlight w:val="none"/>
          <w:lang w:val="en-US" w:eastAsia="zh-CN"/>
        </w:rPr>
        <w:sectPr>
          <w:pgSz w:w="11906" w:h="16838"/>
          <w:pgMar w:top="1984" w:right="1616" w:bottom="1984" w:left="1616" w:header="851" w:footer="0" w:gutter="0"/>
          <w:pgNumType w:fmt="decimal"/>
          <w:cols w:space="720" w:num="1"/>
          <w:docGrid w:type="linesAndChars" w:linePitch="312" w:charSpace="0"/>
        </w:sectPr>
      </w:pPr>
    </w:p>
    <w:p w14:paraId="1858536A">
      <w:pPr>
        <w:keepNext/>
        <w:keepLines/>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firstLine="0" w:firstLineChars="0"/>
        <w:jc w:val="center"/>
        <w:textAlignment w:val="auto"/>
        <w:outlineLvl w:val="9"/>
        <w:rPr>
          <w:rFonts w:hint="eastAsia" w:ascii="方正仿宋_GBK" w:hAnsi="方正仿宋_GBK" w:eastAsia="方正仿宋_GBK" w:cs="方正仿宋_GBK"/>
          <w:b/>
          <w:color w:val="auto"/>
          <w:kern w:val="2"/>
          <w:sz w:val="24"/>
          <w:szCs w:val="24"/>
          <w:highlight w:val="none"/>
          <w:lang w:val="en-US" w:eastAsia="zh-CN" w:bidi="ar-SA"/>
        </w:rPr>
      </w:pPr>
      <w:r>
        <w:rPr>
          <w:rFonts w:hint="eastAsia" w:ascii="Times New Roman" w:hAnsi="Times New Roman" w:eastAsia="方正仿宋_GBK" w:cs="Times New Roman"/>
          <w:b/>
          <w:bCs w:val="0"/>
          <w:color w:val="auto"/>
          <w:kern w:val="2"/>
          <w:sz w:val="22"/>
          <w:szCs w:val="22"/>
          <w:highlight w:val="none"/>
          <w:lang w:val="en-US" w:eastAsia="zh-CN"/>
        </w:rPr>
        <w:t xml:space="preserve">附表4-2 </w:t>
      </w:r>
      <w:r>
        <w:rPr>
          <w:rFonts w:hint="eastAsia" w:ascii="方正仿宋_GBK" w:hAnsi="方正仿宋_GBK" w:eastAsia="方正仿宋_GBK" w:cs="方正仿宋_GBK"/>
          <w:b/>
          <w:color w:val="auto"/>
          <w:kern w:val="2"/>
          <w:sz w:val="24"/>
          <w:szCs w:val="24"/>
          <w:highlight w:val="none"/>
          <w:lang w:val="en-US" w:eastAsia="zh-CN" w:bidi="ar-SA"/>
        </w:rPr>
        <w:t>运营绩效考核指标及评分标准</w:t>
      </w:r>
    </w:p>
    <w:tbl>
      <w:tblPr>
        <w:tblStyle w:val="36"/>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4"/>
        <w:gridCol w:w="686"/>
        <w:gridCol w:w="1300"/>
        <w:gridCol w:w="682"/>
        <w:gridCol w:w="4407"/>
        <w:gridCol w:w="4083"/>
        <w:gridCol w:w="601"/>
        <w:gridCol w:w="733"/>
      </w:tblGrid>
      <w:tr w14:paraId="60ECA3C7">
        <w:tblPrEx>
          <w:tblCellMar>
            <w:top w:w="0" w:type="dxa"/>
            <w:left w:w="108" w:type="dxa"/>
            <w:bottom w:w="0" w:type="dxa"/>
            <w:right w:w="108" w:type="dxa"/>
          </w:tblCellMar>
        </w:tblPrEx>
        <w:trPr>
          <w:trHeight w:val="300" w:hRule="atLeast"/>
          <w:tblHeader/>
        </w:trPr>
        <w:tc>
          <w:tcPr>
            <w:tcW w:w="223" w:type="pct"/>
            <w:shd w:val="clear" w:color="auto" w:fill="D9D9D9"/>
            <w:noWrap w:val="0"/>
            <w:vAlign w:val="center"/>
          </w:tcPr>
          <w:p w14:paraId="41FA86DD">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b/>
                <w:bCs/>
                <w:color w:val="auto"/>
                <w:kern w:val="2"/>
                <w:sz w:val="18"/>
                <w:szCs w:val="18"/>
                <w:highlight w:val="none"/>
              </w:rPr>
            </w:pPr>
            <w:r>
              <w:rPr>
                <w:rFonts w:hint="default" w:ascii="Times New Roman" w:hAnsi="Times New Roman" w:eastAsia="方正仿宋_GBK" w:cs="Times New Roman"/>
                <w:b/>
                <w:bCs/>
                <w:color w:val="auto"/>
                <w:kern w:val="0"/>
                <w:sz w:val="18"/>
                <w:szCs w:val="18"/>
                <w:highlight w:val="none"/>
                <w:lang w:bidi="ar"/>
              </w:rPr>
              <w:t>项目名称</w:t>
            </w:r>
          </w:p>
        </w:tc>
        <w:tc>
          <w:tcPr>
            <w:tcW w:w="262" w:type="pct"/>
            <w:shd w:val="clear" w:color="auto" w:fill="D9D9D9"/>
            <w:noWrap w:val="0"/>
            <w:vAlign w:val="center"/>
          </w:tcPr>
          <w:p w14:paraId="6C506151">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b/>
                <w:bCs/>
                <w:color w:val="auto"/>
                <w:kern w:val="2"/>
                <w:sz w:val="18"/>
                <w:szCs w:val="18"/>
                <w:highlight w:val="none"/>
              </w:rPr>
            </w:pPr>
            <w:r>
              <w:rPr>
                <w:rFonts w:hint="default" w:ascii="Times New Roman" w:hAnsi="Times New Roman" w:eastAsia="方正仿宋_GBK" w:cs="Times New Roman"/>
                <w:b/>
                <w:bCs/>
                <w:color w:val="auto"/>
                <w:kern w:val="0"/>
                <w:sz w:val="18"/>
                <w:szCs w:val="18"/>
                <w:highlight w:val="none"/>
                <w:lang w:bidi="ar"/>
              </w:rPr>
              <w:t>项目总分</w:t>
            </w:r>
          </w:p>
        </w:tc>
        <w:tc>
          <w:tcPr>
            <w:tcW w:w="497" w:type="pct"/>
            <w:shd w:val="clear" w:color="auto" w:fill="D9D9D9"/>
            <w:noWrap w:val="0"/>
            <w:vAlign w:val="center"/>
          </w:tcPr>
          <w:p w14:paraId="511FFD60">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b/>
                <w:bCs/>
                <w:color w:val="auto"/>
                <w:kern w:val="2"/>
                <w:sz w:val="18"/>
                <w:szCs w:val="18"/>
                <w:highlight w:val="none"/>
              </w:rPr>
            </w:pPr>
            <w:r>
              <w:rPr>
                <w:rFonts w:hint="default" w:ascii="Times New Roman" w:hAnsi="Times New Roman" w:eastAsia="方正仿宋_GBK" w:cs="Times New Roman"/>
                <w:b/>
                <w:bCs/>
                <w:color w:val="auto"/>
                <w:kern w:val="0"/>
                <w:sz w:val="18"/>
                <w:szCs w:val="18"/>
                <w:highlight w:val="none"/>
                <w:lang w:bidi="ar"/>
              </w:rPr>
              <w:t>评价内容</w:t>
            </w:r>
          </w:p>
        </w:tc>
        <w:tc>
          <w:tcPr>
            <w:tcW w:w="260" w:type="pct"/>
            <w:shd w:val="clear" w:color="auto" w:fill="D9D9D9"/>
            <w:noWrap w:val="0"/>
            <w:vAlign w:val="center"/>
          </w:tcPr>
          <w:p w14:paraId="2BC89174">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b/>
                <w:bCs/>
                <w:color w:val="auto"/>
                <w:kern w:val="0"/>
                <w:sz w:val="18"/>
                <w:szCs w:val="18"/>
                <w:highlight w:val="none"/>
                <w:lang w:bidi="ar"/>
              </w:rPr>
            </w:pPr>
            <w:r>
              <w:rPr>
                <w:rFonts w:hint="default" w:ascii="Times New Roman" w:hAnsi="Times New Roman" w:eastAsia="方正仿宋_GBK" w:cs="Times New Roman"/>
                <w:b/>
                <w:bCs/>
                <w:color w:val="auto"/>
                <w:kern w:val="0"/>
                <w:sz w:val="18"/>
                <w:szCs w:val="18"/>
                <w:highlight w:val="none"/>
                <w:lang w:bidi="ar"/>
              </w:rPr>
              <w:t>分值</w:t>
            </w:r>
          </w:p>
          <w:p w14:paraId="35C67BA5">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b/>
                <w:bCs/>
                <w:color w:val="auto"/>
                <w:kern w:val="0"/>
                <w:sz w:val="18"/>
                <w:szCs w:val="18"/>
                <w:highlight w:val="none"/>
                <w:lang w:bidi="ar"/>
              </w:rPr>
            </w:pPr>
            <w:r>
              <w:rPr>
                <w:rFonts w:hint="default" w:ascii="Times New Roman" w:hAnsi="Times New Roman" w:eastAsia="方正仿宋_GBK" w:cs="Times New Roman"/>
                <w:b/>
                <w:bCs/>
                <w:color w:val="auto"/>
                <w:kern w:val="0"/>
                <w:sz w:val="18"/>
                <w:szCs w:val="18"/>
                <w:highlight w:val="none"/>
                <w:lang w:bidi="ar"/>
              </w:rPr>
              <w:t>（分）</w:t>
            </w:r>
          </w:p>
        </w:tc>
        <w:tc>
          <w:tcPr>
            <w:tcW w:w="1685" w:type="pct"/>
            <w:shd w:val="clear" w:color="auto" w:fill="D9D9D9"/>
            <w:noWrap w:val="0"/>
            <w:vAlign w:val="center"/>
          </w:tcPr>
          <w:p w14:paraId="3208E7D8">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b/>
                <w:bCs/>
                <w:color w:val="auto"/>
                <w:kern w:val="2"/>
                <w:sz w:val="18"/>
                <w:szCs w:val="18"/>
                <w:highlight w:val="none"/>
              </w:rPr>
            </w:pPr>
            <w:r>
              <w:rPr>
                <w:rFonts w:hint="default" w:ascii="Times New Roman" w:hAnsi="Times New Roman" w:eastAsia="方正仿宋_GBK" w:cs="Times New Roman"/>
                <w:b/>
                <w:bCs/>
                <w:color w:val="auto"/>
                <w:kern w:val="0"/>
                <w:sz w:val="18"/>
                <w:szCs w:val="18"/>
                <w:highlight w:val="none"/>
                <w:lang w:bidi="ar"/>
              </w:rPr>
              <w:t>评分标准</w:t>
            </w:r>
          </w:p>
        </w:tc>
        <w:tc>
          <w:tcPr>
            <w:tcW w:w="1561" w:type="pct"/>
            <w:shd w:val="clear" w:color="auto" w:fill="D9D9D9"/>
            <w:noWrap w:val="0"/>
            <w:vAlign w:val="center"/>
          </w:tcPr>
          <w:p w14:paraId="4C1F814D">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b/>
                <w:bCs/>
                <w:color w:val="auto"/>
                <w:kern w:val="2"/>
                <w:sz w:val="18"/>
                <w:szCs w:val="18"/>
                <w:highlight w:val="none"/>
              </w:rPr>
            </w:pPr>
            <w:r>
              <w:rPr>
                <w:rFonts w:hint="default" w:ascii="Times New Roman" w:hAnsi="Times New Roman" w:eastAsia="方正仿宋_GBK" w:cs="Times New Roman"/>
                <w:b/>
                <w:bCs/>
                <w:color w:val="auto"/>
                <w:kern w:val="0"/>
                <w:sz w:val="18"/>
                <w:szCs w:val="18"/>
                <w:highlight w:val="none"/>
                <w:lang w:bidi="ar"/>
              </w:rPr>
              <w:t>评价说明</w:t>
            </w:r>
          </w:p>
        </w:tc>
        <w:tc>
          <w:tcPr>
            <w:tcW w:w="229" w:type="pct"/>
            <w:shd w:val="clear" w:color="auto" w:fill="D9D9D9"/>
            <w:noWrap w:val="0"/>
            <w:vAlign w:val="center"/>
          </w:tcPr>
          <w:p w14:paraId="514B33E5">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b/>
                <w:bCs/>
                <w:color w:val="auto"/>
                <w:kern w:val="2"/>
                <w:sz w:val="18"/>
                <w:szCs w:val="18"/>
                <w:highlight w:val="none"/>
              </w:rPr>
            </w:pPr>
            <w:r>
              <w:rPr>
                <w:rFonts w:hint="default" w:ascii="Times New Roman" w:hAnsi="Times New Roman" w:eastAsia="方正仿宋_GBK" w:cs="Times New Roman"/>
                <w:b/>
                <w:bCs/>
                <w:color w:val="auto"/>
                <w:kern w:val="0"/>
                <w:sz w:val="18"/>
                <w:szCs w:val="18"/>
                <w:highlight w:val="none"/>
                <w:lang w:bidi="ar"/>
              </w:rPr>
              <w:t>评价记录</w:t>
            </w:r>
          </w:p>
        </w:tc>
        <w:tc>
          <w:tcPr>
            <w:tcW w:w="280" w:type="pct"/>
            <w:shd w:val="clear" w:color="auto" w:fill="D9D9D9"/>
            <w:noWrap w:val="0"/>
            <w:vAlign w:val="center"/>
          </w:tcPr>
          <w:p w14:paraId="57F2D446">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b/>
                <w:bCs/>
                <w:color w:val="auto"/>
                <w:kern w:val="2"/>
                <w:sz w:val="18"/>
                <w:szCs w:val="18"/>
                <w:highlight w:val="none"/>
              </w:rPr>
            </w:pPr>
            <w:r>
              <w:rPr>
                <w:rFonts w:hint="default" w:ascii="Times New Roman" w:hAnsi="Times New Roman" w:eastAsia="方正仿宋_GBK" w:cs="Times New Roman"/>
                <w:b/>
                <w:bCs/>
                <w:color w:val="auto"/>
                <w:kern w:val="0"/>
                <w:sz w:val="18"/>
                <w:szCs w:val="18"/>
                <w:highlight w:val="none"/>
                <w:lang w:bidi="ar"/>
              </w:rPr>
              <w:t>得分（分）</w:t>
            </w:r>
          </w:p>
        </w:tc>
      </w:tr>
      <w:tr w14:paraId="18DC6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3" w:type="pct"/>
            <w:vMerge w:val="restart"/>
            <w:noWrap w:val="0"/>
            <w:vAlign w:val="center"/>
          </w:tcPr>
          <w:p w14:paraId="6FD3B623">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0"/>
                <w:sz w:val="18"/>
                <w:szCs w:val="18"/>
                <w:highlight w:val="none"/>
                <w:lang w:bidi="ar"/>
              </w:rPr>
            </w:pPr>
            <w:r>
              <w:rPr>
                <w:rFonts w:hint="default" w:ascii="Times New Roman" w:hAnsi="Times New Roman" w:eastAsia="方正仿宋_GBK" w:cs="Times New Roman"/>
                <w:color w:val="auto"/>
                <w:kern w:val="0"/>
                <w:sz w:val="18"/>
                <w:szCs w:val="18"/>
                <w:highlight w:val="none"/>
                <w:lang w:bidi="ar"/>
              </w:rPr>
              <w:t>污水管理</w:t>
            </w:r>
          </w:p>
        </w:tc>
        <w:tc>
          <w:tcPr>
            <w:tcW w:w="262" w:type="pct"/>
            <w:vMerge w:val="restart"/>
            <w:noWrap w:val="0"/>
            <w:vAlign w:val="center"/>
          </w:tcPr>
          <w:p w14:paraId="3124D36E">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0"/>
                <w:sz w:val="18"/>
                <w:szCs w:val="18"/>
                <w:highlight w:val="none"/>
                <w:lang w:bidi="ar"/>
              </w:rPr>
            </w:pPr>
            <w:r>
              <w:rPr>
                <w:rFonts w:hint="default" w:ascii="Times New Roman" w:hAnsi="Times New Roman" w:eastAsia="方正仿宋_GBK" w:cs="Times New Roman"/>
                <w:color w:val="auto"/>
                <w:kern w:val="0"/>
                <w:sz w:val="18"/>
                <w:szCs w:val="18"/>
                <w:highlight w:val="none"/>
                <w:lang w:bidi="ar"/>
              </w:rPr>
              <w:t>10</w:t>
            </w:r>
          </w:p>
        </w:tc>
        <w:tc>
          <w:tcPr>
            <w:tcW w:w="497" w:type="pct"/>
            <w:noWrap w:val="0"/>
            <w:vAlign w:val="center"/>
          </w:tcPr>
          <w:p w14:paraId="3621E773">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0"/>
                <w:sz w:val="18"/>
                <w:szCs w:val="18"/>
                <w:highlight w:val="none"/>
                <w:lang w:bidi="ar"/>
              </w:rPr>
            </w:pPr>
            <w:r>
              <w:rPr>
                <w:rFonts w:hint="default" w:ascii="Times New Roman" w:hAnsi="Times New Roman" w:eastAsia="方正仿宋_GBK" w:cs="Times New Roman"/>
                <w:color w:val="auto"/>
                <w:kern w:val="0"/>
                <w:sz w:val="18"/>
                <w:szCs w:val="18"/>
                <w:highlight w:val="none"/>
                <w:lang w:bidi="ar"/>
              </w:rPr>
              <w:t>出水水质</w:t>
            </w:r>
          </w:p>
        </w:tc>
        <w:tc>
          <w:tcPr>
            <w:tcW w:w="260" w:type="pct"/>
            <w:noWrap w:val="0"/>
            <w:vAlign w:val="center"/>
          </w:tcPr>
          <w:p w14:paraId="7B0C8BC3">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0"/>
                <w:sz w:val="18"/>
                <w:szCs w:val="18"/>
                <w:highlight w:val="none"/>
                <w:lang w:bidi="ar"/>
              </w:rPr>
            </w:pPr>
            <w:r>
              <w:rPr>
                <w:rFonts w:hint="default" w:ascii="Times New Roman" w:hAnsi="Times New Roman" w:eastAsia="方正仿宋_GBK" w:cs="Times New Roman"/>
                <w:color w:val="auto"/>
                <w:kern w:val="0"/>
                <w:sz w:val="18"/>
                <w:szCs w:val="18"/>
                <w:highlight w:val="none"/>
                <w:lang w:bidi="ar"/>
              </w:rPr>
              <w:t>6</w:t>
            </w:r>
          </w:p>
        </w:tc>
        <w:tc>
          <w:tcPr>
            <w:tcW w:w="1685" w:type="pct"/>
            <w:noWrap w:val="0"/>
            <w:vAlign w:val="center"/>
          </w:tcPr>
          <w:p w14:paraId="0A888074">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0"/>
                <w:sz w:val="18"/>
                <w:szCs w:val="18"/>
                <w:highlight w:val="none"/>
                <w:lang w:bidi="ar"/>
              </w:rPr>
            </w:pPr>
            <w:r>
              <w:rPr>
                <w:rFonts w:hint="default" w:ascii="Times New Roman" w:hAnsi="Times New Roman" w:eastAsia="方正仿宋_GBK" w:cs="Times New Roman"/>
                <w:color w:val="auto"/>
                <w:kern w:val="0"/>
                <w:sz w:val="18"/>
                <w:szCs w:val="18"/>
                <w:highlight w:val="none"/>
                <w:lang w:bidi="ar"/>
              </w:rPr>
              <w:t>（1）本年度污水处理厂污染物每日平均排放值CODcr、BOD</w:t>
            </w:r>
            <w:r>
              <w:rPr>
                <w:rFonts w:hint="default" w:ascii="Times New Roman" w:hAnsi="Times New Roman" w:eastAsia="方正仿宋_GBK" w:cs="Times New Roman"/>
                <w:color w:val="auto"/>
                <w:kern w:val="0"/>
                <w:sz w:val="18"/>
                <w:szCs w:val="18"/>
                <w:highlight w:val="none"/>
                <w:vertAlign w:val="subscript"/>
                <w:lang w:bidi="ar"/>
              </w:rPr>
              <w:t>5</w:t>
            </w:r>
            <w:r>
              <w:rPr>
                <w:rFonts w:hint="default" w:ascii="Times New Roman" w:hAnsi="Times New Roman" w:eastAsia="方正仿宋_GBK" w:cs="Times New Roman"/>
                <w:color w:val="auto"/>
                <w:kern w:val="0"/>
                <w:sz w:val="18"/>
                <w:szCs w:val="18"/>
                <w:highlight w:val="none"/>
                <w:lang w:bidi="ar"/>
              </w:rPr>
              <w:t>、SS、NH</w:t>
            </w:r>
            <w:r>
              <w:rPr>
                <w:rFonts w:hint="default" w:ascii="Times New Roman" w:hAnsi="Times New Roman" w:eastAsia="方正仿宋_GBK" w:cs="Times New Roman"/>
                <w:color w:val="auto"/>
                <w:kern w:val="0"/>
                <w:sz w:val="18"/>
                <w:szCs w:val="18"/>
                <w:highlight w:val="none"/>
                <w:vertAlign w:val="subscript"/>
                <w:lang w:bidi="ar"/>
              </w:rPr>
              <w:t>3</w:t>
            </w:r>
            <w:r>
              <w:rPr>
                <w:rFonts w:hint="default" w:ascii="Times New Roman" w:hAnsi="Times New Roman" w:eastAsia="方正仿宋_GBK" w:cs="Times New Roman"/>
                <w:color w:val="auto"/>
                <w:kern w:val="0"/>
                <w:sz w:val="18"/>
                <w:szCs w:val="18"/>
                <w:highlight w:val="none"/>
                <w:lang w:bidi="ar"/>
              </w:rPr>
              <w:t>-N、TN、TP达标，得6分；（2）每有一天出现一项不达标即认定为一天不达标，扣1分，扣完为止</w:t>
            </w:r>
          </w:p>
        </w:tc>
        <w:tc>
          <w:tcPr>
            <w:tcW w:w="1561" w:type="pct"/>
            <w:noWrap w:val="0"/>
            <w:vAlign w:val="center"/>
          </w:tcPr>
          <w:p w14:paraId="7B46A34B">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0"/>
                <w:sz w:val="18"/>
                <w:szCs w:val="18"/>
                <w:highlight w:val="none"/>
                <w:lang w:bidi="ar"/>
              </w:rPr>
            </w:pPr>
            <w:r>
              <w:rPr>
                <w:rFonts w:hint="default" w:ascii="Times New Roman" w:hAnsi="Times New Roman" w:eastAsia="方正仿宋_GBK" w:cs="Times New Roman"/>
                <w:color w:val="auto"/>
                <w:kern w:val="0"/>
                <w:sz w:val="18"/>
                <w:szCs w:val="18"/>
                <w:highlight w:val="none"/>
                <w:lang w:bidi="ar"/>
              </w:rPr>
              <w:t>查化验分析台账及行业主管部门或生态环境部门的检测报告，并与实际运行现状相结合。污染物排放标准依据环评批复要求</w:t>
            </w:r>
          </w:p>
        </w:tc>
        <w:tc>
          <w:tcPr>
            <w:tcW w:w="229" w:type="pct"/>
            <w:noWrap w:val="0"/>
            <w:vAlign w:val="center"/>
          </w:tcPr>
          <w:p w14:paraId="3E2800C1">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0"/>
                <w:sz w:val="18"/>
                <w:szCs w:val="18"/>
                <w:highlight w:val="none"/>
                <w:lang w:bidi="ar"/>
              </w:rPr>
            </w:pPr>
          </w:p>
        </w:tc>
        <w:tc>
          <w:tcPr>
            <w:tcW w:w="280" w:type="pct"/>
            <w:noWrap w:val="0"/>
            <w:vAlign w:val="center"/>
          </w:tcPr>
          <w:p w14:paraId="25C2BCA7">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0"/>
                <w:sz w:val="18"/>
                <w:szCs w:val="18"/>
                <w:highlight w:val="none"/>
                <w:lang w:bidi="ar"/>
              </w:rPr>
            </w:pPr>
          </w:p>
        </w:tc>
      </w:tr>
      <w:tr w14:paraId="78658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3" w:type="pct"/>
            <w:vMerge w:val="continue"/>
            <w:noWrap w:val="0"/>
            <w:vAlign w:val="center"/>
          </w:tcPr>
          <w:p w14:paraId="0F8729EB">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0"/>
                <w:sz w:val="18"/>
                <w:szCs w:val="18"/>
                <w:highlight w:val="none"/>
                <w:lang w:bidi="ar"/>
              </w:rPr>
            </w:pPr>
          </w:p>
        </w:tc>
        <w:tc>
          <w:tcPr>
            <w:tcW w:w="262" w:type="pct"/>
            <w:vMerge w:val="continue"/>
            <w:noWrap w:val="0"/>
            <w:vAlign w:val="center"/>
          </w:tcPr>
          <w:p w14:paraId="62061E58">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0"/>
                <w:sz w:val="18"/>
                <w:szCs w:val="18"/>
                <w:highlight w:val="none"/>
                <w:lang w:bidi="ar"/>
              </w:rPr>
            </w:pPr>
          </w:p>
        </w:tc>
        <w:tc>
          <w:tcPr>
            <w:tcW w:w="497" w:type="pct"/>
            <w:noWrap w:val="0"/>
            <w:vAlign w:val="center"/>
          </w:tcPr>
          <w:p w14:paraId="2C03CF81">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进出水在线监控仪表</w:t>
            </w:r>
          </w:p>
        </w:tc>
        <w:tc>
          <w:tcPr>
            <w:tcW w:w="260" w:type="pct"/>
            <w:noWrap w:val="0"/>
            <w:vAlign w:val="center"/>
          </w:tcPr>
          <w:p w14:paraId="758D0839">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4</w:t>
            </w:r>
          </w:p>
        </w:tc>
        <w:tc>
          <w:tcPr>
            <w:tcW w:w="1685" w:type="pct"/>
            <w:noWrap w:val="0"/>
            <w:vAlign w:val="center"/>
          </w:tcPr>
          <w:p w14:paraId="7054CC4E">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1）安装进出水在线监控仪表且能正常运行，日常维护、校准到位的，得4分；（2）仪表未配备或运行不正常，每有一台扣0.5分，扣完为止；（3）进水水质在线监控仪表受返回负荷影响导致数据失真，每有一台扣0.5分，扣完为止</w:t>
            </w:r>
          </w:p>
        </w:tc>
        <w:tc>
          <w:tcPr>
            <w:tcW w:w="1561" w:type="pct"/>
            <w:noWrap w:val="0"/>
            <w:vAlign w:val="center"/>
          </w:tcPr>
          <w:p w14:paraId="5D604930">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现场查看污水处理厂信息管理平台、生态环境部门联网的在线进出水流量计、CODcr、NH</w:t>
            </w:r>
            <w:r>
              <w:rPr>
                <w:rFonts w:hint="default" w:ascii="Times New Roman" w:hAnsi="Times New Roman" w:eastAsia="方正仿宋_GBK" w:cs="Times New Roman"/>
                <w:color w:val="auto"/>
                <w:kern w:val="0"/>
                <w:sz w:val="18"/>
                <w:szCs w:val="18"/>
                <w:highlight w:val="none"/>
                <w:vertAlign w:val="subscript"/>
                <w:lang w:bidi="ar"/>
              </w:rPr>
              <w:t>3</w:t>
            </w:r>
            <w:r>
              <w:rPr>
                <w:rFonts w:hint="default" w:ascii="Times New Roman" w:hAnsi="Times New Roman" w:eastAsia="方正仿宋_GBK" w:cs="Times New Roman"/>
                <w:color w:val="auto"/>
                <w:kern w:val="0"/>
                <w:sz w:val="18"/>
                <w:szCs w:val="18"/>
                <w:highlight w:val="none"/>
                <w:lang w:bidi="ar"/>
              </w:rPr>
              <w:t>-N、TN、TP、pH等在线监控仪表运行状况</w:t>
            </w:r>
          </w:p>
        </w:tc>
        <w:tc>
          <w:tcPr>
            <w:tcW w:w="229" w:type="pct"/>
            <w:noWrap w:val="0"/>
            <w:vAlign w:val="center"/>
          </w:tcPr>
          <w:p w14:paraId="23BA11D2">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0"/>
                <w:sz w:val="18"/>
                <w:szCs w:val="18"/>
                <w:highlight w:val="none"/>
                <w:lang w:bidi="ar"/>
              </w:rPr>
            </w:pPr>
          </w:p>
        </w:tc>
        <w:tc>
          <w:tcPr>
            <w:tcW w:w="280" w:type="pct"/>
            <w:noWrap w:val="0"/>
            <w:vAlign w:val="center"/>
          </w:tcPr>
          <w:p w14:paraId="799CEB08">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0"/>
                <w:sz w:val="18"/>
                <w:szCs w:val="18"/>
                <w:highlight w:val="none"/>
                <w:lang w:bidi="ar"/>
              </w:rPr>
            </w:pPr>
          </w:p>
        </w:tc>
      </w:tr>
      <w:tr w14:paraId="1C83C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23" w:type="pct"/>
            <w:vMerge w:val="restart"/>
            <w:noWrap w:val="0"/>
            <w:vAlign w:val="center"/>
          </w:tcPr>
          <w:p w14:paraId="5F60F4DD">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污泥管理</w:t>
            </w:r>
          </w:p>
        </w:tc>
        <w:tc>
          <w:tcPr>
            <w:tcW w:w="262" w:type="pct"/>
            <w:vMerge w:val="restart"/>
            <w:noWrap w:val="0"/>
            <w:vAlign w:val="center"/>
          </w:tcPr>
          <w:p w14:paraId="0A1ADC41">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10</w:t>
            </w:r>
          </w:p>
        </w:tc>
        <w:tc>
          <w:tcPr>
            <w:tcW w:w="497" w:type="pct"/>
            <w:noWrap w:val="0"/>
            <w:vAlign w:val="center"/>
          </w:tcPr>
          <w:p w14:paraId="7FDEC781">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污泥安全处置量</w:t>
            </w:r>
          </w:p>
        </w:tc>
        <w:tc>
          <w:tcPr>
            <w:tcW w:w="260" w:type="pct"/>
            <w:noWrap w:val="0"/>
            <w:vAlign w:val="center"/>
          </w:tcPr>
          <w:p w14:paraId="1AEF97C2">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2</w:t>
            </w:r>
          </w:p>
        </w:tc>
        <w:tc>
          <w:tcPr>
            <w:tcW w:w="1685" w:type="pct"/>
            <w:noWrap w:val="0"/>
            <w:vAlign w:val="center"/>
          </w:tcPr>
          <w:p w14:paraId="214508A9">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得分=2分×污泥安全处置率</w:t>
            </w:r>
          </w:p>
        </w:tc>
        <w:tc>
          <w:tcPr>
            <w:tcW w:w="1561" w:type="pct"/>
            <w:noWrap w:val="0"/>
            <w:vAlign w:val="center"/>
          </w:tcPr>
          <w:p w14:paraId="53BE9881">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污泥安全处置率=（评价期内采用永久性污泥处置设施安全处置总量/评价期内污泥总产生量）×100%</w:t>
            </w:r>
          </w:p>
        </w:tc>
        <w:tc>
          <w:tcPr>
            <w:tcW w:w="229" w:type="pct"/>
            <w:noWrap w:val="0"/>
            <w:vAlign w:val="center"/>
          </w:tcPr>
          <w:p w14:paraId="29463F1E">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0B8A742B">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73364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trPr>
        <w:tc>
          <w:tcPr>
            <w:tcW w:w="223" w:type="pct"/>
            <w:vMerge w:val="continue"/>
            <w:noWrap w:val="0"/>
            <w:vAlign w:val="center"/>
          </w:tcPr>
          <w:p w14:paraId="0E971BAB">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62" w:type="pct"/>
            <w:vMerge w:val="continue"/>
            <w:noWrap w:val="0"/>
            <w:vAlign w:val="center"/>
          </w:tcPr>
          <w:p w14:paraId="5A3F2657">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497" w:type="pct"/>
            <w:noWrap w:val="0"/>
            <w:vAlign w:val="center"/>
          </w:tcPr>
          <w:p w14:paraId="01A562B7">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污泥运输及处置</w:t>
            </w:r>
          </w:p>
        </w:tc>
        <w:tc>
          <w:tcPr>
            <w:tcW w:w="260" w:type="pct"/>
            <w:noWrap w:val="0"/>
            <w:vAlign w:val="center"/>
          </w:tcPr>
          <w:p w14:paraId="5DE8BA35">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4</w:t>
            </w:r>
          </w:p>
        </w:tc>
        <w:tc>
          <w:tcPr>
            <w:tcW w:w="1685" w:type="pct"/>
            <w:noWrap w:val="0"/>
            <w:vAlign w:val="center"/>
          </w:tcPr>
          <w:p w14:paraId="5354ED29">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（1）采用永久性污泥处置设施确保污泥安全稳定处置，合同有效、运输规范、处理及时，不扣分；（2）处置方式不规范，扣2分；（3）处理不及时造成污泥堆积，扣2分</w:t>
            </w:r>
          </w:p>
        </w:tc>
        <w:tc>
          <w:tcPr>
            <w:tcW w:w="1561" w:type="pct"/>
            <w:noWrap w:val="0"/>
            <w:vAlign w:val="center"/>
          </w:tcPr>
          <w:p w14:paraId="65A1FFE7">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查现场和污泥处置（含污泥外运）合同、污泥运输情况、污泥出厂单据，污泥处置单位出具的收费票据等</w:t>
            </w:r>
          </w:p>
        </w:tc>
        <w:tc>
          <w:tcPr>
            <w:tcW w:w="229" w:type="pct"/>
            <w:noWrap w:val="0"/>
            <w:vAlign w:val="center"/>
          </w:tcPr>
          <w:p w14:paraId="0AABF0F3">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76ACEA60">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4E8E2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223" w:type="pct"/>
            <w:vMerge w:val="continue"/>
            <w:noWrap w:val="0"/>
            <w:vAlign w:val="center"/>
          </w:tcPr>
          <w:p w14:paraId="7E3F78F0">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62" w:type="pct"/>
            <w:vMerge w:val="continue"/>
            <w:noWrap w:val="0"/>
            <w:vAlign w:val="center"/>
          </w:tcPr>
          <w:p w14:paraId="3A493EBD">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497" w:type="pct"/>
            <w:noWrap w:val="0"/>
            <w:vAlign w:val="center"/>
          </w:tcPr>
          <w:p w14:paraId="1665836E">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污泥处理质量</w:t>
            </w:r>
          </w:p>
        </w:tc>
        <w:tc>
          <w:tcPr>
            <w:tcW w:w="260" w:type="pct"/>
            <w:noWrap w:val="0"/>
            <w:vAlign w:val="center"/>
          </w:tcPr>
          <w:p w14:paraId="19BEB9E9">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2</w:t>
            </w:r>
          </w:p>
        </w:tc>
        <w:tc>
          <w:tcPr>
            <w:tcW w:w="1685" w:type="pct"/>
            <w:noWrap w:val="0"/>
            <w:vAlign w:val="center"/>
          </w:tcPr>
          <w:p w14:paraId="519D8293">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（1）年平均污泥含水率≤80%，得2分；（2）80%＜年平均污泥含水率≤82%，得1分；（3）年平均污泥含水率＞82%，不得分</w:t>
            </w:r>
          </w:p>
        </w:tc>
        <w:tc>
          <w:tcPr>
            <w:tcW w:w="1561" w:type="pct"/>
            <w:noWrap w:val="0"/>
            <w:vAlign w:val="center"/>
          </w:tcPr>
          <w:p w14:paraId="2B5255EB">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查现场、污泥含水率化验台账和年度汇总资料</w:t>
            </w:r>
          </w:p>
        </w:tc>
        <w:tc>
          <w:tcPr>
            <w:tcW w:w="229" w:type="pct"/>
            <w:noWrap w:val="0"/>
            <w:vAlign w:val="center"/>
          </w:tcPr>
          <w:p w14:paraId="08B338F4">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61EC1082">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0BC4D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223" w:type="pct"/>
            <w:vMerge w:val="continue"/>
            <w:noWrap w:val="0"/>
            <w:vAlign w:val="center"/>
          </w:tcPr>
          <w:p w14:paraId="2A0AE0D9">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62" w:type="pct"/>
            <w:vMerge w:val="continue"/>
            <w:noWrap w:val="0"/>
            <w:vAlign w:val="center"/>
          </w:tcPr>
          <w:p w14:paraId="72D18DD3">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497" w:type="pct"/>
            <w:noWrap w:val="0"/>
            <w:vAlign w:val="center"/>
          </w:tcPr>
          <w:p w14:paraId="33ADA1B3">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污泥处理设施</w:t>
            </w:r>
          </w:p>
        </w:tc>
        <w:tc>
          <w:tcPr>
            <w:tcW w:w="260" w:type="pct"/>
            <w:noWrap w:val="0"/>
            <w:vAlign w:val="center"/>
          </w:tcPr>
          <w:p w14:paraId="4309885A">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2</w:t>
            </w:r>
          </w:p>
        </w:tc>
        <w:tc>
          <w:tcPr>
            <w:tcW w:w="1685" w:type="pct"/>
            <w:noWrap w:val="0"/>
            <w:vAlign w:val="center"/>
          </w:tcPr>
          <w:p w14:paraId="1EFF373F">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每发现一个问题点扣0.5分，扣完为止</w:t>
            </w:r>
          </w:p>
        </w:tc>
        <w:tc>
          <w:tcPr>
            <w:tcW w:w="1561" w:type="pct"/>
            <w:noWrap w:val="0"/>
            <w:vAlign w:val="center"/>
          </w:tcPr>
          <w:p w14:paraId="031F855C">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现场查看污泥处理设施</w:t>
            </w:r>
          </w:p>
        </w:tc>
        <w:tc>
          <w:tcPr>
            <w:tcW w:w="229" w:type="pct"/>
            <w:noWrap w:val="0"/>
            <w:vAlign w:val="center"/>
          </w:tcPr>
          <w:p w14:paraId="67D5D44B">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09072B3F">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134A0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223" w:type="pct"/>
            <w:vMerge w:val="restart"/>
            <w:noWrap w:val="0"/>
            <w:vAlign w:val="center"/>
          </w:tcPr>
          <w:p w14:paraId="08D5D261">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生产运行管理</w:t>
            </w:r>
          </w:p>
        </w:tc>
        <w:tc>
          <w:tcPr>
            <w:tcW w:w="262" w:type="pct"/>
            <w:vMerge w:val="restart"/>
            <w:noWrap w:val="0"/>
            <w:vAlign w:val="center"/>
          </w:tcPr>
          <w:p w14:paraId="461CB39D">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15</w:t>
            </w:r>
          </w:p>
        </w:tc>
        <w:tc>
          <w:tcPr>
            <w:tcW w:w="497" w:type="pct"/>
            <w:noWrap w:val="0"/>
            <w:vAlign w:val="center"/>
          </w:tcPr>
          <w:p w14:paraId="5551F4F0">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人员培训</w:t>
            </w:r>
          </w:p>
        </w:tc>
        <w:tc>
          <w:tcPr>
            <w:tcW w:w="260" w:type="pct"/>
            <w:noWrap w:val="0"/>
            <w:vAlign w:val="center"/>
          </w:tcPr>
          <w:p w14:paraId="0A99871D">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3</w:t>
            </w:r>
          </w:p>
        </w:tc>
        <w:tc>
          <w:tcPr>
            <w:tcW w:w="1685" w:type="pct"/>
            <w:noWrap w:val="0"/>
            <w:vAlign w:val="center"/>
          </w:tcPr>
          <w:p w14:paraId="4FB9E47A">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定期对从业人员培训相关专业知识、安全知识、基本技能，使其具备承担污水处理工作必需的能力，每年培训不少于4次，每少1次扣1分，扣完为止</w:t>
            </w:r>
          </w:p>
        </w:tc>
        <w:tc>
          <w:tcPr>
            <w:tcW w:w="1561" w:type="pct"/>
            <w:noWrap w:val="0"/>
            <w:vAlign w:val="center"/>
          </w:tcPr>
          <w:p w14:paraId="1FC77129">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查询公司员工学习、培训记录，是否掌握对应岗位的专业知识，可以确保污水处理厂平稳运行</w:t>
            </w:r>
          </w:p>
        </w:tc>
        <w:tc>
          <w:tcPr>
            <w:tcW w:w="229" w:type="pct"/>
            <w:noWrap w:val="0"/>
            <w:vAlign w:val="center"/>
          </w:tcPr>
          <w:p w14:paraId="2BD0FEF5">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4DE128D8">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6C1C0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trPr>
        <w:tc>
          <w:tcPr>
            <w:tcW w:w="223" w:type="pct"/>
            <w:vMerge w:val="continue"/>
            <w:noWrap w:val="0"/>
            <w:vAlign w:val="center"/>
          </w:tcPr>
          <w:p w14:paraId="69C14261">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62" w:type="pct"/>
            <w:vMerge w:val="continue"/>
            <w:noWrap w:val="0"/>
            <w:vAlign w:val="center"/>
          </w:tcPr>
          <w:p w14:paraId="438B307C">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497" w:type="pct"/>
            <w:noWrap w:val="0"/>
            <w:vAlign w:val="center"/>
          </w:tcPr>
          <w:p w14:paraId="1DD6734A">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生产计划及实施</w:t>
            </w:r>
          </w:p>
        </w:tc>
        <w:tc>
          <w:tcPr>
            <w:tcW w:w="260" w:type="pct"/>
            <w:noWrap w:val="0"/>
            <w:vAlign w:val="center"/>
          </w:tcPr>
          <w:p w14:paraId="02BD1E25">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4</w:t>
            </w:r>
          </w:p>
        </w:tc>
        <w:tc>
          <w:tcPr>
            <w:tcW w:w="1685" w:type="pct"/>
            <w:noWrap w:val="0"/>
            <w:vAlign w:val="center"/>
          </w:tcPr>
          <w:p w14:paraId="3E3908A5">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（1）有科学、合理的年度、月度生产计划，并按计划有序实施，得4分；（2）有科学、合理的年度、月度生产计划，但未按计划有序实施，得2分；（3）无科学、合理的年度、月度生产计划，不得分</w:t>
            </w:r>
          </w:p>
        </w:tc>
        <w:tc>
          <w:tcPr>
            <w:tcW w:w="1561" w:type="pct"/>
            <w:noWrap w:val="0"/>
            <w:vAlign w:val="center"/>
          </w:tcPr>
          <w:p w14:paraId="368FEB3E">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查年度、月度生产计划及实施情况</w:t>
            </w:r>
          </w:p>
        </w:tc>
        <w:tc>
          <w:tcPr>
            <w:tcW w:w="229" w:type="pct"/>
            <w:noWrap w:val="0"/>
            <w:vAlign w:val="center"/>
          </w:tcPr>
          <w:p w14:paraId="7A89A99A">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7BCF9302">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0B12D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trPr>
        <w:tc>
          <w:tcPr>
            <w:tcW w:w="223" w:type="pct"/>
            <w:vMerge w:val="continue"/>
            <w:noWrap w:val="0"/>
            <w:vAlign w:val="center"/>
          </w:tcPr>
          <w:p w14:paraId="7A4DB706">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62" w:type="pct"/>
            <w:vMerge w:val="continue"/>
            <w:noWrap w:val="0"/>
            <w:vAlign w:val="center"/>
          </w:tcPr>
          <w:p w14:paraId="5728EC76">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497" w:type="pct"/>
            <w:noWrap w:val="0"/>
            <w:vAlign w:val="center"/>
          </w:tcPr>
          <w:p w14:paraId="5B3697EF">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0"/>
                <w:sz w:val="18"/>
                <w:szCs w:val="18"/>
                <w:highlight w:val="none"/>
                <w:lang w:bidi="ar"/>
              </w:rPr>
            </w:pPr>
            <w:r>
              <w:rPr>
                <w:rFonts w:hint="default" w:ascii="Times New Roman" w:hAnsi="Times New Roman" w:eastAsia="方正仿宋_GBK" w:cs="Times New Roman"/>
                <w:color w:val="auto"/>
                <w:kern w:val="0"/>
                <w:sz w:val="18"/>
                <w:szCs w:val="18"/>
                <w:highlight w:val="none"/>
                <w:lang w:bidi="ar"/>
              </w:rPr>
              <w:t>工艺管理</w:t>
            </w:r>
          </w:p>
        </w:tc>
        <w:tc>
          <w:tcPr>
            <w:tcW w:w="260" w:type="pct"/>
            <w:noWrap w:val="0"/>
            <w:vAlign w:val="center"/>
          </w:tcPr>
          <w:p w14:paraId="22389EE0">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0"/>
                <w:sz w:val="18"/>
                <w:szCs w:val="18"/>
                <w:highlight w:val="none"/>
                <w:lang w:bidi="ar"/>
              </w:rPr>
            </w:pPr>
            <w:r>
              <w:rPr>
                <w:rFonts w:hint="default" w:ascii="Times New Roman" w:hAnsi="Times New Roman" w:eastAsia="方正仿宋_GBK" w:cs="Times New Roman"/>
                <w:color w:val="auto"/>
                <w:kern w:val="0"/>
                <w:sz w:val="18"/>
                <w:szCs w:val="18"/>
                <w:highlight w:val="none"/>
                <w:lang w:bidi="ar"/>
              </w:rPr>
              <w:t>4</w:t>
            </w:r>
          </w:p>
        </w:tc>
        <w:tc>
          <w:tcPr>
            <w:tcW w:w="1685" w:type="pct"/>
            <w:noWrap w:val="0"/>
            <w:vAlign w:val="center"/>
          </w:tcPr>
          <w:p w14:paraId="2DB4547C">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0"/>
                <w:sz w:val="18"/>
                <w:szCs w:val="18"/>
                <w:highlight w:val="none"/>
                <w:lang w:bidi="ar"/>
              </w:rPr>
            </w:pPr>
            <w:r>
              <w:rPr>
                <w:rFonts w:hint="default" w:ascii="Times New Roman" w:hAnsi="Times New Roman" w:eastAsia="方正仿宋_GBK" w:cs="Times New Roman"/>
                <w:color w:val="auto"/>
                <w:kern w:val="0"/>
                <w:sz w:val="18"/>
                <w:szCs w:val="18"/>
                <w:highlight w:val="none"/>
                <w:lang w:bidi="ar"/>
              </w:rPr>
              <w:t>有全面、详细的工艺运行管理规定、调控方案、应急措施，以及年度、季度工艺运行分析报告，得4分；每少一项扣1分，扣完为止</w:t>
            </w:r>
          </w:p>
        </w:tc>
        <w:tc>
          <w:tcPr>
            <w:tcW w:w="1561" w:type="pct"/>
            <w:noWrap w:val="0"/>
            <w:vAlign w:val="center"/>
          </w:tcPr>
          <w:p w14:paraId="7220B6A6">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0"/>
                <w:sz w:val="18"/>
                <w:szCs w:val="18"/>
                <w:highlight w:val="none"/>
                <w:lang w:bidi="ar"/>
              </w:rPr>
            </w:pPr>
            <w:r>
              <w:rPr>
                <w:rFonts w:hint="default" w:ascii="Times New Roman" w:hAnsi="Times New Roman" w:eastAsia="方正仿宋_GBK" w:cs="Times New Roman"/>
                <w:color w:val="auto"/>
                <w:kern w:val="0"/>
                <w:sz w:val="18"/>
                <w:szCs w:val="18"/>
                <w:highlight w:val="none"/>
                <w:lang w:bidi="ar"/>
              </w:rPr>
              <w:t>查年度、季度工艺运行分析报告、工艺运行管理规定、调控方案、应急措施等</w:t>
            </w:r>
          </w:p>
        </w:tc>
        <w:tc>
          <w:tcPr>
            <w:tcW w:w="229" w:type="pct"/>
            <w:noWrap w:val="0"/>
            <w:vAlign w:val="center"/>
          </w:tcPr>
          <w:p w14:paraId="6D709997">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01FA6F8C">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43F33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223" w:type="pct"/>
            <w:vMerge w:val="continue"/>
            <w:noWrap w:val="0"/>
            <w:vAlign w:val="center"/>
          </w:tcPr>
          <w:p w14:paraId="403E6E86">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62" w:type="pct"/>
            <w:vMerge w:val="continue"/>
            <w:noWrap w:val="0"/>
            <w:vAlign w:val="center"/>
          </w:tcPr>
          <w:p w14:paraId="3ABFC0B2">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497" w:type="pct"/>
            <w:noWrap w:val="0"/>
            <w:vAlign w:val="center"/>
          </w:tcPr>
          <w:p w14:paraId="6CB8AC57">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再生水回用</w:t>
            </w:r>
          </w:p>
        </w:tc>
        <w:tc>
          <w:tcPr>
            <w:tcW w:w="260" w:type="pct"/>
            <w:noWrap w:val="0"/>
            <w:vAlign w:val="center"/>
          </w:tcPr>
          <w:p w14:paraId="64AB55D2">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2</w:t>
            </w:r>
          </w:p>
        </w:tc>
        <w:tc>
          <w:tcPr>
            <w:tcW w:w="1685" w:type="pct"/>
            <w:noWrap w:val="0"/>
            <w:vAlign w:val="center"/>
          </w:tcPr>
          <w:p w14:paraId="6B7C414F">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（1）厂内回用及厂外回用，得2分；（2）无再生水回用不得分</w:t>
            </w:r>
          </w:p>
        </w:tc>
        <w:tc>
          <w:tcPr>
            <w:tcW w:w="1561" w:type="pct"/>
            <w:noWrap w:val="0"/>
            <w:vAlign w:val="center"/>
          </w:tcPr>
          <w:p w14:paraId="141A6873">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厂内回用于脱水机冲洗、绿化浇灌、道路喷洒等；厂外回用于景观、工业等，需有再生水回用相关配套工程</w:t>
            </w:r>
          </w:p>
        </w:tc>
        <w:tc>
          <w:tcPr>
            <w:tcW w:w="229" w:type="pct"/>
            <w:noWrap w:val="0"/>
            <w:vAlign w:val="center"/>
          </w:tcPr>
          <w:p w14:paraId="40CC26A6">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54618C9E">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4742E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223" w:type="pct"/>
            <w:vMerge w:val="continue"/>
            <w:noWrap w:val="0"/>
            <w:vAlign w:val="center"/>
          </w:tcPr>
          <w:p w14:paraId="280092BD">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62" w:type="pct"/>
            <w:vMerge w:val="continue"/>
            <w:noWrap w:val="0"/>
            <w:vAlign w:val="center"/>
          </w:tcPr>
          <w:p w14:paraId="2CC92A51">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497" w:type="pct"/>
            <w:noWrap w:val="0"/>
            <w:vAlign w:val="center"/>
          </w:tcPr>
          <w:p w14:paraId="2A7F8611">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消毒与除臭</w:t>
            </w:r>
          </w:p>
        </w:tc>
        <w:tc>
          <w:tcPr>
            <w:tcW w:w="260" w:type="pct"/>
            <w:noWrap w:val="0"/>
            <w:vAlign w:val="center"/>
          </w:tcPr>
          <w:p w14:paraId="29F060E1">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2</w:t>
            </w:r>
          </w:p>
        </w:tc>
        <w:tc>
          <w:tcPr>
            <w:tcW w:w="1685" w:type="pct"/>
            <w:noWrap w:val="0"/>
            <w:vAlign w:val="center"/>
          </w:tcPr>
          <w:p w14:paraId="65E6C968">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（1）消毒、除臭设施运行状况良好，并有规范的安全运行场所和防护措施，不扣分；（2）设施运行状况一般，或安全防护措施不完善，每有一处扣1分，扣完为止</w:t>
            </w:r>
          </w:p>
        </w:tc>
        <w:tc>
          <w:tcPr>
            <w:tcW w:w="1561" w:type="pct"/>
            <w:noWrap w:val="0"/>
            <w:vAlign w:val="center"/>
          </w:tcPr>
          <w:p w14:paraId="4C32401B">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臭氧、二氧化氯、次氯酸钠、紫外等消毒方式按国家相关规定安全运行并做好安全防护</w:t>
            </w:r>
          </w:p>
        </w:tc>
        <w:tc>
          <w:tcPr>
            <w:tcW w:w="229" w:type="pct"/>
            <w:noWrap w:val="0"/>
            <w:vAlign w:val="center"/>
          </w:tcPr>
          <w:p w14:paraId="68DA2FF7">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1476867B">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1DDD4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223" w:type="pct"/>
            <w:vMerge w:val="restart"/>
            <w:noWrap w:val="0"/>
            <w:vAlign w:val="center"/>
          </w:tcPr>
          <w:p w14:paraId="222ED9E3">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台账管理</w:t>
            </w:r>
          </w:p>
        </w:tc>
        <w:tc>
          <w:tcPr>
            <w:tcW w:w="262" w:type="pct"/>
            <w:vMerge w:val="restart"/>
            <w:noWrap w:val="0"/>
            <w:vAlign w:val="center"/>
          </w:tcPr>
          <w:p w14:paraId="793A58E1">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10</w:t>
            </w:r>
          </w:p>
        </w:tc>
        <w:tc>
          <w:tcPr>
            <w:tcW w:w="497" w:type="pct"/>
            <w:noWrap w:val="0"/>
            <w:vAlign w:val="center"/>
          </w:tcPr>
          <w:p w14:paraId="3A4171F9">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污水台账</w:t>
            </w:r>
          </w:p>
        </w:tc>
        <w:tc>
          <w:tcPr>
            <w:tcW w:w="260" w:type="pct"/>
            <w:noWrap w:val="0"/>
            <w:vAlign w:val="center"/>
          </w:tcPr>
          <w:p w14:paraId="001E0A1A">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8</w:t>
            </w:r>
          </w:p>
        </w:tc>
        <w:tc>
          <w:tcPr>
            <w:tcW w:w="1685" w:type="pct"/>
            <w:noWrap w:val="0"/>
            <w:vAlign w:val="center"/>
          </w:tcPr>
          <w:p w14:paraId="7D6FC627">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（1）台账记录齐全、真实可信，不扣分；（2）台账记录不齐全，每缺一处扣1分，扣完为止；（3）记录数据不真实不得分或无台账，本项不得分</w:t>
            </w:r>
          </w:p>
        </w:tc>
        <w:tc>
          <w:tcPr>
            <w:tcW w:w="1561" w:type="pct"/>
            <w:noWrap w:val="0"/>
            <w:vAlign w:val="center"/>
          </w:tcPr>
          <w:p w14:paraId="71BA3F15">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按照省市相关污水处理厂评价规定，有污水台账、污泥台账、设备及在线仪表台账，台账记录可采用纸质或电子形式</w:t>
            </w:r>
          </w:p>
        </w:tc>
        <w:tc>
          <w:tcPr>
            <w:tcW w:w="229" w:type="pct"/>
            <w:noWrap w:val="0"/>
            <w:vAlign w:val="center"/>
          </w:tcPr>
          <w:p w14:paraId="2CBC8F2A">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6434C1D6">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4005C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7" w:hRule="atLeast"/>
        </w:trPr>
        <w:tc>
          <w:tcPr>
            <w:tcW w:w="223" w:type="pct"/>
            <w:vMerge w:val="continue"/>
            <w:noWrap w:val="0"/>
            <w:vAlign w:val="center"/>
          </w:tcPr>
          <w:p w14:paraId="6CBA84F7">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62" w:type="pct"/>
            <w:vMerge w:val="continue"/>
            <w:noWrap w:val="0"/>
            <w:vAlign w:val="center"/>
          </w:tcPr>
          <w:p w14:paraId="32E240A2">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497" w:type="pct"/>
            <w:noWrap w:val="0"/>
            <w:vAlign w:val="center"/>
          </w:tcPr>
          <w:p w14:paraId="55F62968">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档案管理</w:t>
            </w:r>
          </w:p>
        </w:tc>
        <w:tc>
          <w:tcPr>
            <w:tcW w:w="260" w:type="pct"/>
            <w:noWrap w:val="0"/>
            <w:vAlign w:val="center"/>
          </w:tcPr>
          <w:p w14:paraId="6CE0E82F">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2</w:t>
            </w:r>
          </w:p>
        </w:tc>
        <w:tc>
          <w:tcPr>
            <w:tcW w:w="1685" w:type="pct"/>
            <w:noWrap w:val="0"/>
            <w:vAlign w:val="center"/>
          </w:tcPr>
          <w:p w14:paraId="173DE413">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1）配备专（兼）职档案管理人员，得0.5分；否则不得分；（2）资料完整、齐全，月报、年报统计真实可信，运行记录等档案资料妥善保管，得1分；无月报、年报统计，得0.5分；否则不得分；（3）档案保管期限不低于三年，得0.5分；否则不得分（运行不足三年的污水处理厂本项默认满分）</w:t>
            </w:r>
          </w:p>
        </w:tc>
        <w:tc>
          <w:tcPr>
            <w:tcW w:w="1561" w:type="pct"/>
            <w:noWrap w:val="0"/>
            <w:vAlign w:val="center"/>
          </w:tcPr>
          <w:p w14:paraId="16CE600A">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建立有生产运行、水质、设备、材料管理、技术管理、安全、财务、人事等档案。按时做好各岗位运行记录和统计报表；做好月报、年报统计；数据应准确无误，字迹清晰，妥善保管。运行记录保管期限不低于三年，统计报表应长期保存。依据《江苏省城镇污水处理厂运行台账范本》</w:t>
            </w:r>
          </w:p>
        </w:tc>
        <w:tc>
          <w:tcPr>
            <w:tcW w:w="229" w:type="pct"/>
            <w:noWrap w:val="0"/>
            <w:vAlign w:val="center"/>
          </w:tcPr>
          <w:p w14:paraId="1B548C09">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6296CD0B">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1ECF4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223" w:type="pct"/>
            <w:vMerge w:val="restart"/>
            <w:noWrap w:val="0"/>
            <w:vAlign w:val="center"/>
          </w:tcPr>
          <w:p w14:paraId="66149A4B">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成本管理</w:t>
            </w:r>
          </w:p>
        </w:tc>
        <w:tc>
          <w:tcPr>
            <w:tcW w:w="262" w:type="pct"/>
            <w:vMerge w:val="restart"/>
            <w:noWrap w:val="0"/>
            <w:vAlign w:val="center"/>
          </w:tcPr>
          <w:p w14:paraId="0392FAA4">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13</w:t>
            </w:r>
          </w:p>
        </w:tc>
        <w:tc>
          <w:tcPr>
            <w:tcW w:w="497" w:type="pct"/>
            <w:noWrap w:val="0"/>
            <w:vAlign w:val="center"/>
          </w:tcPr>
          <w:p w14:paraId="06E30E5E">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能耗一览表</w:t>
            </w:r>
          </w:p>
        </w:tc>
        <w:tc>
          <w:tcPr>
            <w:tcW w:w="260" w:type="pct"/>
            <w:noWrap w:val="0"/>
            <w:vAlign w:val="center"/>
          </w:tcPr>
          <w:p w14:paraId="67A3D4BA">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2</w:t>
            </w:r>
          </w:p>
        </w:tc>
        <w:tc>
          <w:tcPr>
            <w:tcW w:w="1685" w:type="pct"/>
            <w:noWrap w:val="0"/>
            <w:vAlign w:val="center"/>
          </w:tcPr>
          <w:p w14:paraId="5F9B8714">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污水处理运行单位耗电一览表完整、真实、准确，得2分；不完整，得1分；不真实不得分</w:t>
            </w:r>
          </w:p>
        </w:tc>
        <w:tc>
          <w:tcPr>
            <w:tcW w:w="1561" w:type="pct"/>
            <w:noWrap w:val="0"/>
            <w:vAlign w:val="center"/>
          </w:tcPr>
          <w:p w14:paraId="57826B7A">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查年度、月度运行单位耗电一览表</w:t>
            </w:r>
          </w:p>
        </w:tc>
        <w:tc>
          <w:tcPr>
            <w:tcW w:w="229" w:type="pct"/>
            <w:noWrap w:val="0"/>
            <w:vAlign w:val="center"/>
          </w:tcPr>
          <w:p w14:paraId="34DF8C83">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32E0641F">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0644C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trPr>
        <w:tc>
          <w:tcPr>
            <w:tcW w:w="223" w:type="pct"/>
            <w:vMerge w:val="continue"/>
            <w:noWrap w:val="0"/>
            <w:vAlign w:val="center"/>
          </w:tcPr>
          <w:p w14:paraId="12ED5E67">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62" w:type="pct"/>
            <w:vMerge w:val="continue"/>
            <w:noWrap w:val="0"/>
            <w:vAlign w:val="center"/>
          </w:tcPr>
          <w:p w14:paraId="2CAC39B3">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497" w:type="pct"/>
            <w:noWrap w:val="0"/>
            <w:vAlign w:val="center"/>
          </w:tcPr>
          <w:p w14:paraId="789CB7A7">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污水处理能耗</w:t>
            </w:r>
          </w:p>
        </w:tc>
        <w:tc>
          <w:tcPr>
            <w:tcW w:w="260" w:type="pct"/>
            <w:noWrap w:val="0"/>
            <w:vAlign w:val="center"/>
          </w:tcPr>
          <w:p w14:paraId="16C35B68">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2</w:t>
            </w:r>
          </w:p>
        </w:tc>
        <w:tc>
          <w:tcPr>
            <w:tcW w:w="1685" w:type="pct"/>
            <w:noWrap w:val="0"/>
            <w:vAlign w:val="center"/>
          </w:tcPr>
          <w:p w14:paraId="047D5644">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按污水处理厂不同规模、不同排放标准分类评分，小于或等于规定值，得2分；高于规定值上限5%以内，得1.5分；10%以内，得1分；20%以内，得0.5分；20%以上，不得分</w:t>
            </w:r>
          </w:p>
        </w:tc>
        <w:tc>
          <w:tcPr>
            <w:tcW w:w="1561" w:type="pct"/>
            <w:noWrap w:val="0"/>
            <w:vAlign w:val="center"/>
          </w:tcPr>
          <w:p w14:paraId="154597FD">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详见《江苏省城镇污水处理厂运行管理评价标准-附表1》。查电费单据、污水处理水量年报等</w:t>
            </w:r>
          </w:p>
        </w:tc>
        <w:tc>
          <w:tcPr>
            <w:tcW w:w="229" w:type="pct"/>
            <w:noWrap w:val="0"/>
            <w:vAlign w:val="center"/>
          </w:tcPr>
          <w:p w14:paraId="7EBE881A">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21D42C16">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38E94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223" w:type="pct"/>
            <w:vMerge w:val="continue"/>
            <w:noWrap w:val="0"/>
            <w:vAlign w:val="center"/>
          </w:tcPr>
          <w:p w14:paraId="68F4B877">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62" w:type="pct"/>
            <w:vMerge w:val="continue"/>
            <w:noWrap w:val="0"/>
            <w:vAlign w:val="center"/>
          </w:tcPr>
          <w:p w14:paraId="6C523452">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497" w:type="pct"/>
            <w:noWrap w:val="0"/>
            <w:vAlign w:val="center"/>
          </w:tcPr>
          <w:p w14:paraId="64E8E2C7">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污水处理药耗</w:t>
            </w:r>
          </w:p>
        </w:tc>
        <w:tc>
          <w:tcPr>
            <w:tcW w:w="260" w:type="pct"/>
            <w:noWrap w:val="0"/>
            <w:vAlign w:val="center"/>
          </w:tcPr>
          <w:p w14:paraId="1AB8A277">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2</w:t>
            </w:r>
          </w:p>
        </w:tc>
        <w:tc>
          <w:tcPr>
            <w:tcW w:w="1685" w:type="pct"/>
            <w:noWrap w:val="0"/>
            <w:vAlign w:val="center"/>
          </w:tcPr>
          <w:p w14:paraId="66E44469">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药剂选择合理、质量满足运行要求，投加点位布设合理，有运行药剂统计一览表，得2分；每有一项不符合扣1分，扣完为止</w:t>
            </w:r>
          </w:p>
        </w:tc>
        <w:tc>
          <w:tcPr>
            <w:tcW w:w="1561" w:type="pct"/>
            <w:noWrap w:val="0"/>
            <w:vAlign w:val="center"/>
          </w:tcPr>
          <w:p w14:paraId="6B04718F">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查年度、月度运行药耗统计表及药剂投加现场</w:t>
            </w:r>
          </w:p>
        </w:tc>
        <w:tc>
          <w:tcPr>
            <w:tcW w:w="229" w:type="pct"/>
            <w:noWrap w:val="0"/>
            <w:vAlign w:val="center"/>
          </w:tcPr>
          <w:p w14:paraId="6D116031">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44FFB14D">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6C903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223" w:type="pct"/>
            <w:vMerge w:val="continue"/>
            <w:shd w:val="clear" w:color="auto" w:fill="auto"/>
            <w:noWrap w:val="0"/>
            <w:vAlign w:val="center"/>
          </w:tcPr>
          <w:p w14:paraId="4BD9B9BD">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62" w:type="pct"/>
            <w:vMerge w:val="continue"/>
            <w:shd w:val="clear" w:color="auto" w:fill="auto"/>
            <w:noWrap w:val="0"/>
            <w:vAlign w:val="center"/>
          </w:tcPr>
          <w:p w14:paraId="01765952">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497" w:type="pct"/>
            <w:shd w:val="clear" w:color="auto" w:fill="FFFFFF"/>
            <w:noWrap w:val="0"/>
            <w:vAlign w:val="center"/>
          </w:tcPr>
          <w:p w14:paraId="2921E479">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成本一览表</w:t>
            </w:r>
          </w:p>
        </w:tc>
        <w:tc>
          <w:tcPr>
            <w:tcW w:w="260" w:type="pct"/>
            <w:shd w:val="clear" w:color="auto" w:fill="FFFFFF"/>
            <w:noWrap w:val="0"/>
            <w:vAlign w:val="center"/>
          </w:tcPr>
          <w:p w14:paraId="684FEA03">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2</w:t>
            </w:r>
          </w:p>
        </w:tc>
        <w:tc>
          <w:tcPr>
            <w:tcW w:w="1685" w:type="pct"/>
            <w:shd w:val="clear" w:color="auto" w:fill="FFFFFF"/>
            <w:noWrap w:val="0"/>
            <w:vAlign w:val="center"/>
          </w:tcPr>
          <w:p w14:paraId="6004518E">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将审计报告</w:t>
            </w:r>
            <w:r>
              <w:rPr>
                <w:rFonts w:hint="default" w:ascii="Times New Roman" w:hAnsi="Times New Roman" w:eastAsia="方正仿宋_GBK" w:cs="Times New Roman"/>
                <w:color w:val="auto"/>
                <w:kern w:val="0"/>
                <w:sz w:val="18"/>
                <w:szCs w:val="18"/>
                <w:highlight w:val="none"/>
                <w:lang w:eastAsia="zh-CN" w:bidi="ar"/>
              </w:rPr>
              <w:t>中</w:t>
            </w:r>
            <w:r>
              <w:rPr>
                <w:rFonts w:hint="default" w:ascii="Times New Roman" w:hAnsi="Times New Roman" w:eastAsia="方正仿宋_GBK" w:cs="Times New Roman"/>
                <w:color w:val="auto"/>
                <w:kern w:val="0"/>
                <w:sz w:val="18"/>
                <w:szCs w:val="18"/>
                <w:highlight w:val="none"/>
                <w:lang w:bidi="ar"/>
              </w:rPr>
              <w:t>的运行成本与年度预算报告的成本相比较，实际运营成本低于等于预算成本的，得2分，每高于预算成本2%扣0.5分，满分2分扣完为止</w:t>
            </w:r>
          </w:p>
        </w:tc>
        <w:tc>
          <w:tcPr>
            <w:tcW w:w="1561" w:type="pct"/>
            <w:shd w:val="clear" w:color="auto" w:fill="FFFFFF"/>
            <w:noWrap w:val="0"/>
            <w:vAlign w:val="center"/>
          </w:tcPr>
          <w:p w14:paraId="1687F66A">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查阅年度审计报告和年度预算文件</w:t>
            </w:r>
          </w:p>
        </w:tc>
        <w:tc>
          <w:tcPr>
            <w:tcW w:w="229" w:type="pct"/>
            <w:noWrap w:val="0"/>
            <w:vAlign w:val="center"/>
          </w:tcPr>
          <w:p w14:paraId="77E248CF">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61CB02B5">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7A193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trPr>
        <w:tc>
          <w:tcPr>
            <w:tcW w:w="223" w:type="pct"/>
            <w:vMerge w:val="continue"/>
            <w:noWrap w:val="0"/>
            <w:vAlign w:val="center"/>
          </w:tcPr>
          <w:p w14:paraId="3F6095D1">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62" w:type="pct"/>
            <w:vMerge w:val="continue"/>
            <w:noWrap w:val="0"/>
            <w:vAlign w:val="center"/>
          </w:tcPr>
          <w:p w14:paraId="53DBEEBC">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497" w:type="pct"/>
            <w:noWrap w:val="0"/>
            <w:vAlign w:val="center"/>
          </w:tcPr>
          <w:p w14:paraId="004069E6">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污水处理成本</w:t>
            </w:r>
          </w:p>
        </w:tc>
        <w:tc>
          <w:tcPr>
            <w:tcW w:w="260" w:type="pct"/>
            <w:noWrap w:val="0"/>
            <w:vAlign w:val="center"/>
          </w:tcPr>
          <w:p w14:paraId="4F3C1FF2">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2"/>
                <w:sz w:val="18"/>
                <w:szCs w:val="18"/>
                <w:highlight w:val="none"/>
              </w:rPr>
              <w:t>5</w:t>
            </w:r>
          </w:p>
        </w:tc>
        <w:tc>
          <w:tcPr>
            <w:tcW w:w="1685" w:type="pct"/>
            <w:noWrap w:val="0"/>
            <w:vAlign w:val="center"/>
          </w:tcPr>
          <w:p w14:paraId="1F089BB3">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按污水处理厂不同规模、不同排放标准分类评分。小于或等于规定值，得5分；高于规定值5%以内得4分；10%以内得3分；20%以内得1分；20%以上不得分</w:t>
            </w:r>
          </w:p>
        </w:tc>
        <w:tc>
          <w:tcPr>
            <w:tcW w:w="1561" w:type="pct"/>
            <w:noWrap w:val="0"/>
            <w:vAlign w:val="center"/>
          </w:tcPr>
          <w:p w14:paraId="38173F45">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详见《江苏省城镇污水处理厂运行管理评价标准-附表2》。查污水处理成本相关资料</w:t>
            </w:r>
          </w:p>
        </w:tc>
        <w:tc>
          <w:tcPr>
            <w:tcW w:w="229" w:type="pct"/>
            <w:noWrap w:val="0"/>
            <w:vAlign w:val="center"/>
          </w:tcPr>
          <w:p w14:paraId="78BBD873">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4E13976C">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0D6F7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223" w:type="pct"/>
            <w:vMerge w:val="restart"/>
            <w:noWrap w:val="0"/>
            <w:vAlign w:val="center"/>
          </w:tcPr>
          <w:p w14:paraId="572D0B06">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水质与检验</w:t>
            </w:r>
          </w:p>
        </w:tc>
        <w:tc>
          <w:tcPr>
            <w:tcW w:w="262" w:type="pct"/>
            <w:vMerge w:val="restart"/>
            <w:noWrap w:val="0"/>
            <w:vAlign w:val="center"/>
          </w:tcPr>
          <w:p w14:paraId="6B3FB6B4">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10</w:t>
            </w:r>
          </w:p>
        </w:tc>
        <w:tc>
          <w:tcPr>
            <w:tcW w:w="497" w:type="pct"/>
            <w:noWrap w:val="0"/>
            <w:vAlign w:val="center"/>
          </w:tcPr>
          <w:p w14:paraId="0A81911D">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化验室配备</w:t>
            </w:r>
          </w:p>
        </w:tc>
        <w:tc>
          <w:tcPr>
            <w:tcW w:w="260" w:type="pct"/>
            <w:noWrap w:val="0"/>
            <w:vAlign w:val="center"/>
          </w:tcPr>
          <w:p w14:paraId="74C41D09">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3</w:t>
            </w:r>
          </w:p>
        </w:tc>
        <w:tc>
          <w:tcPr>
            <w:tcW w:w="1685" w:type="pct"/>
            <w:noWrap w:val="0"/>
            <w:vAlign w:val="center"/>
          </w:tcPr>
          <w:p w14:paraId="67E04EDC">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1）配备化验室和检测仪器设备，正常开展常规项目检测的，不扣分；（2）配备化验室和检测仪器设备，但不能正常工作，或检测仪器设备配备不足的，常规项目每缺1项扣1分，扣完为止；（3）未配备化验室和检测仪器设备，扣3分。本项扣完为止</w:t>
            </w:r>
          </w:p>
        </w:tc>
        <w:tc>
          <w:tcPr>
            <w:tcW w:w="1561" w:type="pct"/>
            <w:noWrap w:val="0"/>
            <w:vAlign w:val="center"/>
          </w:tcPr>
          <w:p w14:paraId="0ED05C8F">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污水处理厂运行应有化验数据的支撑和指导，应配备化验室。同一城市的多个污水处理厂，可共用综合分析中心，但污水处理厂内用于常规化验项目如CODcr、NH</w:t>
            </w:r>
            <w:r>
              <w:rPr>
                <w:rFonts w:hint="default" w:ascii="Times New Roman" w:hAnsi="Times New Roman" w:eastAsia="方正仿宋_GBK" w:cs="Times New Roman"/>
                <w:color w:val="auto"/>
                <w:kern w:val="0"/>
                <w:sz w:val="18"/>
                <w:szCs w:val="18"/>
                <w:highlight w:val="none"/>
                <w:vertAlign w:val="subscript"/>
                <w:lang w:bidi="ar"/>
              </w:rPr>
              <w:t>3</w:t>
            </w:r>
            <w:r>
              <w:rPr>
                <w:rFonts w:hint="default" w:ascii="Times New Roman" w:hAnsi="Times New Roman" w:eastAsia="方正仿宋_GBK" w:cs="Times New Roman"/>
                <w:color w:val="auto"/>
                <w:kern w:val="0"/>
                <w:sz w:val="18"/>
                <w:szCs w:val="18"/>
                <w:highlight w:val="none"/>
                <w:lang w:bidi="ar"/>
              </w:rPr>
              <w:t>-N、TP、TN的检测设备应配备齐全并具备检测能力。实验室管理应符合相关要求</w:t>
            </w:r>
          </w:p>
        </w:tc>
        <w:tc>
          <w:tcPr>
            <w:tcW w:w="229" w:type="pct"/>
            <w:noWrap w:val="0"/>
            <w:vAlign w:val="center"/>
          </w:tcPr>
          <w:p w14:paraId="13BAA1FE">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67D4B165">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7CFFE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223" w:type="pct"/>
            <w:vMerge w:val="continue"/>
            <w:noWrap w:val="0"/>
            <w:vAlign w:val="center"/>
          </w:tcPr>
          <w:p w14:paraId="3F498F99">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62" w:type="pct"/>
            <w:vMerge w:val="continue"/>
            <w:noWrap w:val="0"/>
            <w:vAlign w:val="center"/>
          </w:tcPr>
          <w:p w14:paraId="616BB79F">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497" w:type="pct"/>
            <w:noWrap w:val="0"/>
            <w:vAlign w:val="center"/>
          </w:tcPr>
          <w:p w14:paraId="5E0A9C20">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化验项目及频次</w:t>
            </w:r>
          </w:p>
        </w:tc>
        <w:tc>
          <w:tcPr>
            <w:tcW w:w="260" w:type="pct"/>
            <w:noWrap w:val="0"/>
            <w:vAlign w:val="center"/>
          </w:tcPr>
          <w:p w14:paraId="390A2C9E">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3</w:t>
            </w:r>
          </w:p>
        </w:tc>
        <w:tc>
          <w:tcPr>
            <w:tcW w:w="1685" w:type="pct"/>
            <w:noWrap w:val="0"/>
            <w:vAlign w:val="center"/>
          </w:tcPr>
          <w:p w14:paraId="1EDD7C45">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（1）化验项目齐全且频次符合行业指导要求，不扣分；（2）化验项目每少1项扣0.5分，频次每少1次扣0.1分，扣完为止；（3）未开展化验工作，扣3分。本项扣完为止</w:t>
            </w:r>
          </w:p>
        </w:tc>
        <w:tc>
          <w:tcPr>
            <w:tcW w:w="1561" w:type="pct"/>
            <w:noWrap w:val="0"/>
            <w:vAlign w:val="center"/>
          </w:tcPr>
          <w:p w14:paraId="27F5D72A">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查验化验台账，化验项目及频次依据CJJ60《城市污水处理厂运行、维护及其安全技术规程》要求</w:t>
            </w:r>
          </w:p>
        </w:tc>
        <w:tc>
          <w:tcPr>
            <w:tcW w:w="229" w:type="pct"/>
            <w:noWrap w:val="0"/>
            <w:vAlign w:val="center"/>
          </w:tcPr>
          <w:p w14:paraId="13578931">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4AE062C2">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676C9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23" w:type="pct"/>
            <w:vMerge w:val="continue"/>
            <w:noWrap w:val="0"/>
            <w:vAlign w:val="center"/>
          </w:tcPr>
          <w:p w14:paraId="35228E65">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62" w:type="pct"/>
            <w:vMerge w:val="continue"/>
            <w:noWrap w:val="0"/>
            <w:vAlign w:val="center"/>
          </w:tcPr>
          <w:p w14:paraId="78E31FB6">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497" w:type="pct"/>
            <w:noWrap w:val="0"/>
            <w:vAlign w:val="center"/>
          </w:tcPr>
          <w:p w14:paraId="5B679FC9">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化验分析方法</w:t>
            </w:r>
          </w:p>
        </w:tc>
        <w:tc>
          <w:tcPr>
            <w:tcW w:w="260" w:type="pct"/>
            <w:noWrap w:val="0"/>
            <w:vAlign w:val="center"/>
          </w:tcPr>
          <w:p w14:paraId="1AB87911">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2</w:t>
            </w:r>
          </w:p>
        </w:tc>
        <w:tc>
          <w:tcPr>
            <w:tcW w:w="1685" w:type="pct"/>
            <w:noWrap w:val="0"/>
            <w:vAlign w:val="center"/>
          </w:tcPr>
          <w:p w14:paraId="514597B4">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（1）采用现行的国家或行业检验分析方法，得2分；（2）每有一项不符合扣0.5分，扣完为止</w:t>
            </w:r>
          </w:p>
        </w:tc>
        <w:tc>
          <w:tcPr>
            <w:tcW w:w="1561" w:type="pct"/>
            <w:noWrap w:val="0"/>
            <w:vAlign w:val="center"/>
          </w:tcPr>
          <w:p w14:paraId="766A4CA4">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查化验原始记录和现场。详见《江苏省城镇污水处理厂运行管理评价标准-附表3》</w:t>
            </w:r>
          </w:p>
        </w:tc>
        <w:tc>
          <w:tcPr>
            <w:tcW w:w="229" w:type="pct"/>
            <w:noWrap w:val="0"/>
            <w:vAlign w:val="center"/>
          </w:tcPr>
          <w:p w14:paraId="23E8D4EC">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659ED186">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02532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223" w:type="pct"/>
            <w:vMerge w:val="continue"/>
            <w:noWrap w:val="0"/>
            <w:vAlign w:val="center"/>
          </w:tcPr>
          <w:p w14:paraId="37681146">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62" w:type="pct"/>
            <w:vMerge w:val="continue"/>
            <w:noWrap w:val="0"/>
            <w:vAlign w:val="center"/>
          </w:tcPr>
          <w:p w14:paraId="0F140C80">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497" w:type="pct"/>
            <w:noWrap w:val="0"/>
            <w:vAlign w:val="center"/>
          </w:tcPr>
          <w:p w14:paraId="27866BB8">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化验质量控制</w:t>
            </w:r>
          </w:p>
        </w:tc>
        <w:tc>
          <w:tcPr>
            <w:tcW w:w="260" w:type="pct"/>
            <w:noWrap w:val="0"/>
            <w:vAlign w:val="center"/>
          </w:tcPr>
          <w:p w14:paraId="7766F658">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2</w:t>
            </w:r>
          </w:p>
        </w:tc>
        <w:tc>
          <w:tcPr>
            <w:tcW w:w="1685" w:type="pct"/>
            <w:noWrap w:val="0"/>
            <w:vAlign w:val="center"/>
          </w:tcPr>
          <w:p w14:paraId="759D097E">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发现1项不符合扣1分，扣完为止</w:t>
            </w:r>
          </w:p>
        </w:tc>
        <w:tc>
          <w:tcPr>
            <w:tcW w:w="1561" w:type="pct"/>
            <w:noWrap w:val="0"/>
            <w:vAlign w:val="center"/>
          </w:tcPr>
          <w:p w14:paraId="20DC9DEB">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化验室内部应建立健全水质分析质量保证制度；每日样品需定期进行精密度（平行双样）和准确度（加标回收）控制，定期进行标准样品、仪器设备的量值溯源，并完整保存记录</w:t>
            </w:r>
          </w:p>
        </w:tc>
        <w:tc>
          <w:tcPr>
            <w:tcW w:w="229" w:type="pct"/>
            <w:noWrap w:val="0"/>
            <w:vAlign w:val="center"/>
          </w:tcPr>
          <w:p w14:paraId="2B1C911F">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2F2DFEFA">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64FF5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223" w:type="pct"/>
            <w:vMerge w:val="restart"/>
            <w:noWrap w:val="0"/>
            <w:vAlign w:val="center"/>
          </w:tcPr>
          <w:p w14:paraId="06FA4FCA">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设备管理</w:t>
            </w:r>
          </w:p>
        </w:tc>
        <w:tc>
          <w:tcPr>
            <w:tcW w:w="262" w:type="pct"/>
            <w:vMerge w:val="restart"/>
            <w:noWrap w:val="0"/>
            <w:vAlign w:val="center"/>
          </w:tcPr>
          <w:p w14:paraId="0363DF3C">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12</w:t>
            </w:r>
          </w:p>
        </w:tc>
        <w:tc>
          <w:tcPr>
            <w:tcW w:w="497" w:type="pct"/>
            <w:noWrap w:val="0"/>
            <w:vAlign w:val="center"/>
          </w:tcPr>
          <w:p w14:paraId="2B776E8B">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设备运行</w:t>
            </w:r>
          </w:p>
        </w:tc>
        <w:tc>
          <w:tcPr>
            <w:tcW w:w="260" w:type="pct"/>
            <w:noWrap w:val="0"/>
            <w:vAlign w:val="center"/>
          </w:tcPr>
          <w:p w14:paraId="72F8AF38">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4</w:t>
            </w:r>
          </w:p>
        </w:tc>
        <w:tc>
          <w:tcPr>
            <w:tcW w:w="1685" w:type="pct"/>
            <w:noWrap w:val="0"/>
            <w:vAlign w:val="center"/>
          </w:tcPr>
          <w:p w14:paraId="09832833">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每有一项不符合扣0.5分，扣完为止</w:t>
            </w:r>
          </w:p>
        </w:tc>
        <w:tc>
          <w:tcPr>
            <w:tcW w:w="1561" w:type="pct"/>
            <w:noWrap w:val="0"/>
            <w:vAlign w:val="center"/>
          </w:tcPr>
          <w:p w14:paraId="5E2FDE9D">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现场抽查设备，确保设备外观整洁；螺栓齐全牢固；设备无腐蚀，无渗漏，润滑充分；电气设备符合安全要求；附属设备工作正常；整机运行平稳可靠；仪器仪表准确灵敏；使用高效节能设备</w:t>
            </w:r>
          </w:p>
        </w:tc>
        <w:tc>
          <w:tcPr>
            <w:tcW w:w="229" w:type="pct"/>
            <w:noWrap w:val="0"/>
            <w:vAlign w:val="center"/>
          </w:tcPr>
          <w:p w14:paraId="72A4B24F">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53099807">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24440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223" w:type="pct"/>
            <w:vMerge w:val="continue"/>
            <w:noWrap w:val="0"/>
            <w:vAlign w:val="center"/>
          </w:tcPr>
          <w:p w14:paraId="5B09E55E">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62" w:type="pct"/>
            <w:vMerge w:val="continue"/>
            <w:noWrap w:val="0"/>
            <w:vAlign w:val="center"/>
          </w:tcPr>
          <w:p w14:paraId="71D757BA">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497" w:type="pct"/>
            <w:noWrap w:val="0"/>
            <w:vAlign w:val="center"/>
          </w:tcPr>
          <w:p w14:paraId="483EE535">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设备完好度</w:t>
            </w:r>
          </w:p>
        </w:tc>
        <w:tc>
          <w:tcPr>
            <w:tcW w:w="260" w:type="pct"/>
            <w:noWrap w:val="0"/>
            <w:vAlign w:val="center"/>
          </w:tcPr>
          <w:p w14:paraId="5D82AE44">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4</w:t>
            </w:r>
          </w:p>
        </w:tc>
        <w:tc>
          <w:tcPr>
            <w:tcW w:w="1685" w:type="pct"/>
            <w:noWrap w:val="0"/>
            <w:vAlign w:val="center"/>
          </w:tcPr>
          <w:p w14:paraId="52ABA11B">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设备完好率以95%为基准，每低1%扣1分，共4分，不足1%的以1%计算，扣完为止</w:t>
            </w:r>
          </w:p>
        </w:tc>
        <w:tc>
          <w:tcPr>
            <w:tcW w:w="1561" w:type="pct"/>
            <w:noWrap w:val="0"/>
            <w:vAlign w:val="center"/>
          </w:tcPr>
          <w:p w14:paraId="13AC4623">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检查项目设备台账，设备完好率=Σ单台主要设备当月完好时长/当月主要设备定额运行总时长×100%。主要设备是指按设备重要性分级要求评估的A、B类设备</w:t>
            </w:r>
          </w:p>
        </w:tc>
        <w:tc>
          <w:tcPr>
            <w:tcW w:w="229" w:type="pct"/>
            <w:noWrap w:val="0"/>
            <w:vAlign w:val="center"/>
          </w:tcPr>
          <w:p w14:paraId="171966A9">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4A7ABC84">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228DC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223" w:type="pct"/>
            <w:vMerge w:val="continue"/>
            <w:noWrap w:val="0"/>
            <w:vAlign w:val="center"/>
          </w:tcPr>
          <w:p w14:paraId="19F23D6C">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62" w:type="pct"/>
            <w:vMerge w:val="continue"/>
            <w:noWrap w:val="0"/>
            <w:vAlign w:val="center"/>
          </w:tcPr>
          <w:p w14:paraId="53CC455A">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497" w:type="pct"/>
            <w:noWrap w:val="0"/>
            <w:vAlign w:val="center"/>
          </w:tcPr>
          <w:p w14:paraId="41E3FE37">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备品备件</w:t>
            </w:r>
          </w:p>
        </w:tc>
        <w:tc>
          <w:tcPr>
            <w:tcW w:w="260" w:type="pct"/>
            <w:noWrap w:val="0"/>
            <w:vAlign w:val="center"/>
          </w:tcPr>
          <w:p w14:paraId="7A4A1A4A">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1</w:t>
            </w:r>
          </w:p>
        </w:tc>
        <w:tc>
          <w:tcPr>
            <w:tcW w:w="1685" w:type="pct"/>
            <w:noWrap w:val="0"/>
            <w:vAlign w:val="center"/>
          </w:tcPr>
          <w:p w14:paraId="07E7CAAF">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（1）遵循备品备件原则，记录及时、准确、可靠，得1分；（2）备品备件的记录不及时、准确、可信，扣0.5分；（3）备品备件不足的，不得分</w:t>
            </w:r>
          </w:p>
        </w:tc>
        <w:tc>
          <w:tcPr>
            <w:tcW w:w="1561" w:type="pct"/>
            <w:noWrap w:val="0"/>
            <w:vAlign w:val="center"/>
          </w:tcPr>
          <w:p w14:paraId="49044F32">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现场查看备件，备品备件原则是少品种，低限量，关键必备；备品的分类编号、名称、规格型号、使用设备编号、单位、库存量、单价、购买厂商、订货周期等应记录齐全。较大件必须注明重量、耗材材质、需润滑设备必须有润滑油型号等</w:t>
            </w:r>
          </w:p>
        </w:tc>
        <w:tc>
          <w:tcPr>
            <w:tcW w:w="229" w:type="pct"/>
            <w:noWrap w:val="0"/>
            <w:vAlign w:val="center"/>
          </w:tcPr>
          <w:p w14:paraId="54555C79">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616DA3A9">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1999F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trPr>
        <w:tc>
          <w:tcPr>
            <w:tcW w:w="223" w:type="pct"/>
            <w:vMerge w:val="continue"/>
            <w:noWrap w:val="0"/>
            <w:vAlign w:val="center"/>
          </w:tcPr>
          <w:p w14:paraId="4C0D1036">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62" w:type="pct"/>
            <w:vMerge w:val="continue"/>
            <w:noWrap w:val="0"/>
            <w:vAlign w:val="center"/>
          </w:tcPr>
          <w:p w14:paraId="504521DA">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497" w:type="pct"/>
            <w:noWrap w:val="0"/>
            <w:vAlign w:val="center"/>
          </w:tcPr>
          <w:p w14:paraId="741D0B3C">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在线监测仪表</w:t>
            </w:r>
          </w:p>
        </w:tc>
        <w:tc>
          <w:tcPr>
            <w:tcW w:w="260" w:type="pct"/>
            <w:noWrap w:val="0"/>
            <w:vAlign w:val="center"/>
          </w:tcPr>
          <w:p w14:paraId="5735F137">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3</w:t>
            </w:r>
          </w:p>
        </w:tc>
        <w:tc>
          <w:tcPr>
            <w:tcW w:w="1685" w:type="pct"/>
            <w:noWrap w:val="0"/>
            <w:vAlign w:val="center"/>
          </w:tcPr>
          <w:p w14:paraId="018E6934">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1）在线仪表按工艺要求布设，且维护保养、校准到位，运行正常，得3分；（2）每有一套在线仪表不按工艺要求布设，扣0.5分，扣完为止；（3）每有一套在线仪表未按要求进行维护保养、校准，扣0.5分，扣完为止；（4）在线仪表的完好率、运转率达不到要求的，各扣0.5分</w:t>
            </w:r>
          </w:p>
        </w:tc>
        <w:tc>
          <w:tcPr>
            <w:tcW w:w="1561" w:type="pct"/>
            <w:noWrap w:val="0"/>
            <w:vAlign w:val="center"/>
          </w:tcPr>
          <w:p w14:paraId="2180292E">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现场查看工艺流程中指导生产的在线仪表如液位计、pH计、ORP、DO、NH</w:t>
            </w:r>
            <w:r>
              <w:rPr>
                <w:rFonts w:hint="default" w:ascii="Times New Roman" w:hAnsi="Times New Roman" w:eastAsia="方正仿宋_GBK" w:cs="Times New Roman"/>
                <w:color w:val="auto"/>
                <w:kern w:val="0"/>
                <w:sz w:val="18"/>
                <w:szCs w:val="18"/>
                <w:highlight w:val="none"/>
                <w:vertAlign w:val="subscript"/>
                <w:lang w:bidi="ar"/>
              </w:rPr>
              <w:t>3</w:t>
            </w:r>
            <w:r>
              <w:rPr>
                <w:rFonts w:hint="default" w:ascii="Times New Roman" w:hAnsi="Times New Roman" w:eastAsia="方正仿宋_GBK" w:cs="Times New Roman"/>
                <w:color w:val="auto"/>
                <w:kern w:val="0"/>
                <w:sz w:val="18"/>
                <w:szCs w:val="18"/>
                <w:highlight w:val="none"/>
                <w:lang w:bidi="ar"/>
              </w:rPr>
              <w:t>-N、MLSS、TP等是否按工艺要求布设，显示是否正常，仪表的完好率不应小于70%。鼓励根据实际情况安装NO</w:t>
            </w:r>
            <w:r>
              <w:rPr>
                <w:rFonts w:hint="default" w:ascii="Times New Roman" w:hAnsi="Times New Roman" w:eastAsia="方正仿宋_GBK" w:cs="Times New Roman"/>
                <w:color w:val="auto"/>
                <w:kern w:val="0"/>
                <w:sz w:val="18"/>
                <w:szCs w:val="18"/>
                <w:highlight w:val="none"/>
                <w:vertAlign w:val="subscript"/>
                <w:lang w:bidi="ar"/>
              </w:rPr>
              <w:t>3</w:t>
            </w:r>
            <w:r>
              <w:rPr>
                <w:rFonts w:hint="default" w:ascii="Times New Roman" w:hAnsi="Times New Roman" w:eastAsia="方正仿宋_GBK" w:cs="Times New Roman"/>
                <w:color w:val="auto"/>
                <w:kern w:val="0"/>
                <w:sz w:val="18"/>
                <w:szCs w:val="18"/>
                <w:highlight w:val="none"/>
                <w:vertAlign w:val="superscript"/>
                <w:lang w:bidi="ar"/>
              </w:rPr>
              <w:t>-</w:t>
            </w:r>
            <w:r>
              <w:rPr>
                <w:rFonts w:hint="default" w:ascii="Times New Roman" w:hAnsi="Times New Roman" w:eastAsia="方正仿宋_GBK" w:cs="Times New Roman"/>
                <w:color w:val="auto"/>
                <w:kern w:val="0"/>
                <w:sz w:val="18"/>
                <w:szCs w:val="18"/>
                <w:highlight w:val="none"/>
                <w:lang w:bidi="ar"/>
              </w:rPr>
              <w:t>-N、磷酸盐等过程控制仪表</w:t>
            </w:r>
          </w:p>
        </w:tc>
        <w:tc>
          <w:tcPr>
            <w:tcW w:w="229" w:type="pct"/>
            <w:noWrap w:val="0"/>
            <w:vAlign w:val="center"/>
          </w:tcPr>
          <w:p w14:paraId="32ECDF06">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00CEE8D6">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0614F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223" w:type="pct"/>
            <w:vMerge w:val="restart"/>
            <w:noWrap w:val="0"/>
            <w:vAlign w:val="center"/>
          </w:tcPr>
          <w:p w14:paraId="4B762822">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安全管理</w:t>
            </w:r>
          </w:p>
        </w:tc>
        <w:tc>
          <w:tcPr>
            <w:tcW w:w="262" w:type="pct"/>
            <w:vMerge w:val="restart"/>
            <w:noWrap w:val="0"/>
            <w:vAlign w:val="center"/>
          </w:tcPr>
          <w:p w14:paraId="0E9BB183">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12</w:t>
            </w:r>
          </w:p>
        </w:tc>
        <w:tc>
          <w:tcPr>
            <w:tcW w:w="497" w:type="pct"/>
            <w:noWrap w:val="0"/>
            <w:vAlign w:val="center"/>
          </w:tcPr>
          <w:p w14:paraId="0895782B">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安全管理制度</w:t>
            </w:r>
          </w:p>
        </w:tc>
        <w:tc>
          <w:tcPr>
            <w:tcW w:w="260" w:type="pct"/>
            <w:noWrap w:val="0"/>
            <w:vAlign w:val="center"/>
          </w:tcPr>
          <w:p w14:paraId="54FFDD1E">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2</w:t>
            </w:r>
          </w:p>
        </w:tc>
        <w:tc>
          <w:tcPr>
            <w:tcW w:w="1685" w:type="pct"/>
            <w:noWrap w:val="0"/>
            <w:vAlign w:val="center"/>
          </w:tcPr>
          <w:p w14:paraId="029B0E1B">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每缺一项扣0.5分，扣完为止。发生安全生产事故的，本项不得分</w:t>
            </w:r>
          </w:p>
        </w:tc>
        <w:tc>
          <w:tcPr>
            <w:tcW w:w="1561" w:type="pct"/>
            <w:noWrap w:val="0"/>
            <w:vAlign w:val="center"/>
          </w:tcPr>
          <w:p w14:paraId="32D0D147">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有健全的各级安全管理机构；安全规章制度；有限空间作业制度；安全检查记录齐全；发现安全隐患有积极的响应措施并能及时解决；安全检查台账及安全隐患排除记录齐全</w:t>
            </w:r>
          </w:p>
        </w:tc>
        <w:tc>
          <w:tcPr>
            <w:tcW w:w="229" w:type="pct"/>
            <w:noWrap w:val="0"/>
            <w:vAlign w:val="center"/>
          </w:tcPr>
          <w:p w14:paraId="44600650">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7EE7A1FC">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2D95C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223" w:type="pct"/>
            <w:vMerge w:val="continue"/>
            <w:noWrap w:val="0"/>
            <w:vAlign w:val="center"/>
          </w:tcPr>
          <w:p w14:paraId="35D2024D">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62" w:type="pct"/>
            <w:vMerge w:val="continue"/>
            <w:noWrap w:val="0"/>
            <w:vAlign w:val="center"/>
          </w:tcPr>
          <w:p w14:paraId="6CFF2566">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497" w:type="pct"/>
            <w:noWrap w:val="0"/>
            <w:vAlign w:val="center"/>
          </w:tcPr>
          <w:p w14:paraId="6E531200">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安全规程及防护</w:t>
            </w:r>
          </w:p>
        </w:tc>
        <w:tc>
          <w:tcPr>
            <w:tcW w:w="260" w:type="pct"/>
            <w:noWrap w:val="0"/>
            <w:vAlign w:val="center"/>
          </w:tcPr>
          <w:p w14:paraId="491B4BD0">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2</w:t>
            </w:r>
          </w:p>
        </w:tc>
        <w:tc>
          <w:tcPr>
            <w:tcW w:w="1685" w:type="pct"/>
            <w:noWrap w:val="0"/>
            <w:vAlign w:val="center"/>
          </w:tcPr>
          <w:p w14:paraId="510E4B12">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每缺一项扣0.5分，扣完为止。发生安全生产事故的，本项不得分</w:t>
            </w:r>
          </w:p>
        </w:tc>
        <w:tc>
          <w:tcPr>
            <w:tcW w:w="1561" w:type="pct"/>
            <w:noWrap w:val="0"/>
            <w:vAlign w:val="center"/>
          </w:tcPr>
          <w:p w14:paraId="4B14CB85">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操作规程齐全、到位；岗位人员有必要的安全保护措施；必要场所有安全警示牌；有毒、有害场所有安全防护仪器、仪表、器具配备；有限空间作业应根据国家相关规定进行审批、操作，人员职业防护到位等</w:t>
            </w:r>
          </w:p>
        </w:tc>
        <w:tc>
          <w:tcPr>
            <w:tcW w:w="229" w:type="pct"/>
            <w:noWrap w:val="0"/>
            <w:vAlign w:val="center"/>
          </w:tcPr>
          <w:p w14:paraId="536F5489">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5176BB96">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23769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223" w:type="pct"/>
            <w:vMerge w:val="continue"/>
            <w:noWrap w:val="0"/>
            <w:vAlign w:val="center"/>
          </w:tcPr>
          <w:p w14:paraId="318AAE8F">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62" w:type="pct"/>
            <w:vMerge w:val="continue"/>
            <w:noWrap w:val="0"/>
            <w:vAlign w:val="center"/>
          </w:tcPr>
          <w:p w14:paraId="3DFE8080">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497" w:type="pct"/>
            <w:noWrap w:val="0"/>
            <w:vAlign w:val="center"/>
          </w:tcPr>
          <w:p w14:paraId="5794E9DF">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安全培训</w:t>
            </w:r>
          </w:p>
        </w:tc>
        <w:tc>
          <w:tcPr>
            <w:tcW w:w="260" w:type="pct"/>
            <w:noWrap w:val="0"/>
            <w:vAlign w:val="center"/>
          </w:tcPr>
          <w:p w14:paraId="5904E2E2">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3</w:t>
            </w:r>
          </w:p>
        </w:tc>
        <w:tc>
          <w:tcPr>
            <w:tcW w:w="1685" w:type="pct"/>
            <w:noWrap w:val="0"/>
            <w:vAlign w:val="center"/>
          </w:tcPr>
          <w:p w14:paraId="21CE9BB6">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每缺一项扣0.5分，扣完为止</w:t>
            </w:r>
          </w:p>
        </w:tc>
        <w:tc>
          <w:tcPr>
            <w:tcW w:w="1561" w:type="pct"/>
            <w:noWrap w:val="0"/>
            <w:vAlign w:val="center"/>
          </w:tcPr>
          <w:p w14:paraId="288730B1">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安全培训要有年度、月度计划，并结合工作岗位对职工进行安全教育，安全教育台账齐全规范；厂主管领导和安全负责人应按要求接受安全培训并取得安全培训证书</w:t>
            </w:r>
          </w:p>
        </w:tc>
        <w:tc>
          <w:tcPr>
            <w:tcW w:w="229" w:type="pct"/>
            <w:noWrap w:val="0"/>
            <w:vAlign w:val="center"/>
          </w:tcPr>
          <w:p w14:paraId="53CFFADF">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1C0913CF">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63A68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223" w:type="pct"/>
            <w:vMerge w:val="continue"/>
            <w:noWrap w:val="0"/>
            <w:vAlign w:val="center"/>
          </w:tcPr>
          <w:p w14:paraId="00EDC92E">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62" w:type="pct"/>
            <w:vMerge w:val="continue"/>
            <w:noWrap w:val="0"/>
            <w:vAlign w:val="center"/>
          </w:tcPr>
          <w:p w14:paraId="6BA8EDB3">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497" w:type="pct"/>
            <w:noWrap w:val="0"/>
            <w:vAlign w:val="center"/>
          </w:tcPr>
          <w:p w14:paraId="668405C6">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危化品管理</w:t>
            </w:r>
          </w:p>
        </w:tc>
        <w:tc>
          <w:tcPr>
            <w:tcW w:w="260" w:type="pct"/>
            <w:noWrap w:val="0"/>
            <w:vAlign w:val="center"/>
          </w:tcPr>
          <w:p w14:paraId="1947500D">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3</w:t>
            </w:r>
          </w:p>
        </w:tc>
        <w:tc>
          <w:tcPr>
            <w:tcW w:w="1685" w:type="pct"/>
            <w:noWrap w:val="0"/>
            <w:vAlign w:val="center"/>
          </w:tcPr>
          <w:p w14:paraId="7002BFD9">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按国家相关要求做好危化品购买、运输、储存、使用等管理，有相应的安全管理规定，现场安全防护到位，得</w:t>
            </w:r>
            <w:r>
              <w:rPr>
                <w:rFonts w:hint="default" w:ascii="Times New Roman" w:hAnsi="Times New Roman" w:eastAsia="方正仿宋_GBK" w:cs="Times New Roman"/>
                <w:color w:val="auto"/>
                <w:kern w:val="0"/>
                <w:sz w:val="18"/>
                <w:szCs w:val="18"/>
                <w:highlight w:val="none"/>
                <w:lang w:eastAsia="zh-CN" w:bidi="ar"/>
              </w:rPr>
              <w:t>3</w:t>
            </w:r>
            <w:r>
              <w:rPr>
                <w:rFonts w:hint="default" w:ascii="Times New Roman" w:hAnsi="Times New Roman" w:eastAsia="方正仿宋_GBK" w:cs="Times New Roman"/>
                <w:color w:val="auto"/>
                <w:kern w:val="0"/>
                <w:sz w:val="18"/>
                <w:szCs w:val="18"/>
                <w:highlight w:val="none"/>
                <w:lang w:bidi="ar"/>
              </w:rPr>
              <w:t>分，否则酌情扣分。发生安全生产事故的，本项不得分</w:t>
            </w:r>
          </w:p>
        </w:tc>
        <w:tc>
          <w:tcPr>
            <w:tcW w:w="1561" w:type="pct"/>
            <w:noWrap w:val="0"/>
            <w:vAlign w:val="center"/>
          </w:tcPr>
          <w:p w14:paraId="394D419C">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危化品的管理应严格执行国家</w:t>
            </w:r>
            <w:r>
              <w:rPr>
                <w:rFonts w:hint="default" w:ascii="Times New Roman" w:hAnsi="Times New Roman" w:eastAsia="方正仿宋_GBK" w:cs="Times New Roman"/>
                <w:color w:val="auto"/>
                <w:kern w:val="0"/>
                <w:sz w:val="18"/>
                <w:szCs w:val="18"/>
                <w:highlight w:val="none"/>
                <w:lang w:eastAsia="zh-CN" w:bidi="ar"/>
              </w:rPr>
              <w:t>《危险化学品安全管理条例》</w:t>
            </w:r>
            <w:r>
              <w:rPr>
                <w:rFonts w:hint="default" w:ascii="Times New Roman" w:hAnsi="Times New Roman" w:eastAsia="方正仿宋_GBK" w:cs="Times New Roman"/>
                <w:color w:val="auto"/>
                <w:kern w:val="0"/>
                <w:sz w:val="18"/>
                <w:szCs w:val="18"/>
                <w:highlight w:val="none"/>
                <w:lang w:bidi="ar"/>
              </w:rPr>
              <w:t>等规定。查看危化品购买、运输、存放、领用管理等相关记录，检查危化品使用现场</w:t>
            </w:r>
          </w:p>
        </w:tc>
        <w:tc>
          <w:tcPr>
            <w:tcW w:w="229" w:type="pct"/>
            <w:noWrap w:val="0"/>
            <w:vAlign w:val="center"/>
          </w:tcPr>
          <w:p w14:paraId="7DE01460">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390410BC">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21307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223" w:type="pct"/>
            <w:vMerge w:val="continue"/>
            <w:noWrap w:val="0"/>
            <w:vAlign w:val="center"/>
          </w:tcPr>
          <w:p w14:paraId="213D438C">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62" w:type="pct"/>
            <w:vMerge w:val="continue"/>
            <w:noWrap w:val="0"/>
            <w:vAlign w:val="center"/>
          </w:tcPr>
          <w:p w14:paraId="124BEA81">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497" w:type="pct"/>
            <w:noWrap w:val="0"/>
            <w:vAlign w:val="center"/>
          </w:tcPr>
          <w:p w14:paraId="56BD0752">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应急预案</w:t>
            </w:r>
          </w:p>
        </w:tc>
        <w:tc>
          <w:tcPr>
            <w:tcW w:w="260" w:type="pct"/>
            <w:noWrap w:val="0"/>
            <w:vAlign w:val="center"/>
          </w:tcPr>
          <w:p w14:paraId="23DD5375">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2</w:t>
            </w:r>
          </w:p>
        </w:tc>
        <w:tc>
          <w:tcPr>
            <w:tcW w:w="1685" w:type="pct"/>
            <w:noWrap w:val="0"/>
            <w:vAlign w:val="center"/>
          </w:tcPr>
          <w:p w14:paraId="3313F1A0">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（1）建立污水处理厂应急预案，应急处置设备正常、防护器具完好，定期组织演练，台账记录齐全，得2分；（2）有应急预案未定期组织演练，得1分；（3）无应急预案不得分</w:t>
            </w:r>
          </w:p>
        </w:tc>
        <w:tc>
          <w:tcPr>
            <w:tcW w:w="1561" w:type="pct"/>
            <w:noWrap w:val="0"/>
            <w:vAlign w:val="center"/>
          </w:tcPr>
          <w:p w14:paraId="0D776620">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应急预案应包括水质、管道、电器、停电等突发事故及火灾、爆炸、中毒等重大安全事故的专项预案，并根据实际情况，定期组织演练</w:t>
            </w:r>
          </w:p>
        </w:tc>
        <w:tc>
          <w:tcPr>
            <w:tcW w:w="229" w:type="pct"/>
            <w:noWrap w:val="0"/>
            <w:vAlign w:val="center"/>
          </w:tcPr>
          <w:p w14:paraId="587744EF">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100B3820">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6D5D5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223" w:type="pct"/>
            <w:vMerge w:val="restart"/>
            <w:noWrap w:val="0"/>
            <w:vAlign w:val="center"/>
          </w:tcPr>
          <w:p w14:paraId="731F5506">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厂容厂貌</w:t>
            </w:r>
          </w:p>
        </w:tc>
        <w:tc>
          <w:tcPr>
            <w:tcW w:w="262" w:type="pct"/>
            <w:vMerge w:val="restart"/>
            <w:noWrap w:val="0"/>
            <w:vAlign w:val="center"/>
          </w:tcPr>
          <w:p w14:paraId="055401EF">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3</w:t>
            </w:r>
          </w:p>
        </w:tc>
        <w:tc>
          <w:tcPr>
            <w:tcW w:w="497" w:type="pct"/>
            <w:noWrap w:val="0"/>
            <w:vAlign w:val="center"/>
          </w:tcPr>
          <w:p w14:paraId="1E229F06">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室外</w:t>
            </w:r>
          </w:p>
        </w:tc>
        <w:tc>
          <w:tcPr>
            <w:tcW w:w="260" w:type="pct"/>
            <w:noWrap w:val="0"/>
            <w:vAlign w:val="center"/>
          </w:tcPr>
          <w:p w14:paraId="5EA5E182">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1</w:t>
            </w:r>
          </w:p>
        </w:tc>
        <w:tc>
          <w:tcPr>
            <w:tcW w:w="1685" w:type="pct"/>
            <w:noWrap w:val="0"/>
            <w:vAlign w:val="center"/>
          </w:tcPr>
          <w:p w14:paraId="29068432">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每有一项不符合扣0.2分，扣完为止</w:t>
            </w:r>
          </w:p>
        </w:tc>
        <w:tc>
          <w:tcPr>
            <w:tcW w:w="1561" w:type="pct"/>
            <w:noWrap w:val="0"/>
            <w:vAlign w:val="center"/>
          </w:tcPr>
          <w:p w14:paraId="54B63668">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建筑物外观整洁、无明显的破损和渗漏；厂内道路完好、通畅，无破损；各种管道色标明显，厂内照明设施完好等；厂内绿化养护较好，无死亡缺损现象</w:t>
            </w:r>
          </w:p>
        </w:tc>
        <w:tc>
          <w:tcPr>
            <w:tcW w:w="229" w:type="pct"/>
            <w:noWrap w:val="0"/>
            <w:vAlign w:val="center"/>
          </w:tcPr>
          <w:p w14:paraId="5EE949CA">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3111855B">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6E813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223" w:type="pct"/>
            <w:vMerge w:val="continue"/>
            <w:noWrap w:val="0"/>
            <w:vAlign w:val="center"/>
          </w:tcPr>
          <w:p w14:paraId="2D457E11">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62" w:type="pct"/>
            <w:vMerge w:val="continue"/>
            <w:noWrap w:val="0"/>
            <w:vAlign w:val="center"/>
          </w:tcPr>
          <w:p w14:paraId="4C934385">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497" w:type="pct"/>
            <w:noWrap w:val="0"/>
            <w:vAlign w:val="center"/>
          </w:tcPr>
          <w:p w14:paraId="6FE24684">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室内</w:t>
            </w:r>
          </w:p>
        </w:tc>
        <w:tc>
          <w:tcPr>
            <w:tcW w:w="260" w:type="pct"/>
            <w:noWrap w:val="0"/>
            <w:vAlign w:val="center"/>
          </w:tcPr>
          <w:p w14:paraId="5F24EEF0">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1</w:t>
            </w:r>
          </w:p>
        </w:tc>
        <w:tc>
          <w:tcPr>
            <w:tcW w:w="1685" w:type="pct"/>
            <w:noWrap w:val="0"/>
            <w:vAlign w:val="center"/>
          </w:tcPr>
          <w:p w14:paraId="4D84023A">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每有一项不符合扣0.2分，扣完为止</w:t>
            </w:r>
          </w:p>
        </w:tc>
        <w:tc>
          <w:tcPr>
            <w:tcW w:w="1561" w:type="pct"/>
            <w:noWrap w:val="0"/>
            <w:vAlign w:val="center"/>
          </w:tcPr>
          <w:p w14:paraId="7404529C">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办公室、值班室、操作室、机房内物品摆放整齐，卫生整洁，照明齐全有效；门、窗、玻璃明亮无破损，操作工具摆放整齐；淋浴室、卫生间设施齐全；操作人员着装整齐、干净、文明礼貌</w:t>
            </w:r>
          </w:p>
        </w:tc>
        <w:tc>
          <w:tcPr>
            <w:tcW w:w="229" w:type="pct"/>
            <w:noWrap w:val="0"/>
            <w:vAlign w:val="center"/>
          </w:tcPr>
          <w:p w14:paraId="33FE8124">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2EE86854">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0F77B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223" w:type="pct"/>
            <w:vMerge w:val="continue"/>
            <w:noWrap w:val="0"/>
            <w:vAlign w:val="center"/>
          </w:tcPr>
          <w:p w14:paraId="539BA0FD">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62" w:type="pct"/>
            <w:vMerge w:val="continue"/>
            <w:noWrap w:val="0"/>
            <w:vAlign w:val="center"/>
          </w:tcPr>
          <w:p w14:paraId="7590BEDA">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497" w:type="pct"/>
            <w:noWrap w:val="0"/>
            <w:vAlign w:val="center"/>
          </w:tcPr>
          <w:p w14:paraId="4650827A">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构筑物</w:t>
            </w:r>
          </w:p>
        </w:tc>
        <w:tc>
          <w:tcPr>
            <w:tcW w:w="260" w:type="pct"/>
            <w:noWrap w:val="0"/>
            <w:vAlign w:val="center"/>
          </w:tcPr>
          <w:p w14:paraId="70687355">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1</w:t>
            </w:r>
          </w:p>
        </w:tc>
        <w:tc>
          <w:tcPr>
            <w:tcW w:w="1685" w:type="pct"/>
            <w:noWrap w:val="0"/>
            <w:vAlign w:val="center"/>
          </w:tcPr>
          <w:p w14:paraId="0C8D558E">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每有一项不符合扣0.2分，扣完为止</w:t>
            </w:r>
          </w:p>
        </w:tc>
        <w:tc>
          <w:tcPr>
            <w:tcW w:w="1561" w:type="pct"/>
            <w:noWrap w:val="0"/>
            <w:vAlign w:val="center"/>
          </w:tcPr>
          <w:p w14:paraId="54282AAC">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构筑物无渗漏；漆面良好无锈蚀；堰口、池壁保持清洁、完好、出水均匀；池面清洁</w:t>
            </w:r>
          </w:p>
        </w:tc>
        <w:tc>
          <w:tcPr>
            <w:tcW w:w="229" w:type="pct"/>
            <w:noWrap w:val="0"/>
            <w:vAlign w:val="center"/>
          </w:tcPr>
          <w:p w14:paraId="2F790944">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601E15AB">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1754D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223" w:type="pct"/>
            <w:vMerge w:val="restart"/>
            <w:noWrap w:val="0"/>
            <w:vAlign w:val="center"/>
          </w:tcPr>
          <w:p w14:paraId="793A3380">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制度建设</w:t>
            </w:r>
          </w:p>
        </w:tc>
        <w:tc>
          <w:tcPr>
            <w:tcW w:w="262" w:type="pct"/>
            <w:vMerge w:val="restart"/>
            <w:noWrap w:val="0"/>
            <w:vAlign w:val="center"/>
          </w:tcPr>
          <w:p w14:paraId="0C9C9CDC">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5</w:t>
            </w:r>
          </w:p>
        </w:tc>
        <w:tc>
          <w:tcPr>
            <w:tcW w:w="497" w:type="pct"/>
            <w:noWrap w:val="0"/>
            <w:vAlign w:val="center"/>
          </w:tcPr>
          <w:p w14:paraId="5F6BAE0F">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操作管理</w:t>
            </w:r>
          </w:p>
        </w:tc>
        <w:tc>
          <w:tcPr>
            <w:tcW w:w="260" w:type="pct"/>
            <w:noWrap w:val="0"/>
            <w:vAlign w:val="center"/>
          </w:tcPr>
          <w:p w14:paraId="266D45BA">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2</w:t>
            </w:r>
          </w:p>
        </w:tc>
        <w:tc>
          <w:tcPr>
            <w:tcW w:w="1685" w:type="pct"/>
            <w:noWrap w:val="0"/>
            <w:vAlign w:val="center"/>
          </w:tcPr>
          <w:p w14:paraId="61CEFE72">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每缺一项扣0.2分，扣完为止</w:t>
            </w:r>
          </w:p>
        </w:tc>
        <w:tc>
          <w:tcPr>
            <w:tcW w:w="1561" w:type="pct"/>
            <w:noWrap w:val="0"/>
            <w:vAlign w:val="center"/>
          </w:tcPr>
          <w:p w14:paraId="2A48183E">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构筑物、设备、岗位、安全的各项操作规程应健全、科学、完善；各工艺、工段操作规程；各工艺、工段安全操作规程、防护规程；生产管理制度、岗位责任制度、设备管理制度、化验室管理制度、岗位工作职责均应齐备</w:t>
            </w:r>
          </w:p>
        </w:tc>
        <w:tc>
          <w:tcPr>
            <w:tcW w:w="229" w:type="pct"/>
            <w:noWrap w:val="0"/>
            <w:vAlign w:val="center"/>
          </w:tcPr>
          <w:p w14:paraId="5B1185AC">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61026824">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21F95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223" w:type="pct"/>
            <w:vMerge w:val="continue"/>
            <w:noWrap w:val="0"/>
            <w:vAlign w:val="center"/>
          </w:tcPr>
          <w:p w14:paraId="60E06C21">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0"/>
                <w:sz w:val="18"/>
                <w:szCs w:val="18"/>
                <w:highlight w:val="none"/>
                <w:lang w:bidi="ar"/>
              </w:rPr>
            </w:pPr>
          </w:p>
        </w:tc>
        <w:tc>
          <w:tcPr>
            <w:tcW w:w="262" w:type="pct"/>
            <w:vMerge w:val="continue"/>
            <w:noWrap w:val="0"/>
            <w:vAlign w:val="center"/>
          </w:tcPr>
          <w:p w14:paraId="334F6ABD">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0"/>
                <w:sz w:val="18"/>
                <w:szCs w:val="18"/>
                <w:highlight w:val="none"/>
                <w:lang w:bidi="ar"/>
              </w:rPr>
            </w:pPr>
          </w:p>
        </w:tc>
        <w:tc>
          <w:tcPr>
            <w:tcW w:w="497" w:type="pct"/>
            <w:noWrap w:val="0"/>
            <w:vAlign w:val="center"/>
          </w:tcPr>
          <w:p w14:paraId="17DC83E1">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0"/>
                <w:sz w:val="18"/>
                <w:szCs w:val="18"/>
                <w:highlight w:val="none"/>
                <w:lang w:bidi="ar"/>
              </w:rPr>
            </w:pPr>
            <w:r>
              <w:rPr>
                <w:rFonts w:hint="default" w:ascii="Times New Roman" w:hAnsi="Times New Roman" w:eastAsia="方正仿宋_GBK" w:cs="Times New Roman"/>
                <w:color w:val="auto"/>
                <w:kern w:val="0"/>
                <w:sz w:val="18"/>
                <w:szCs w:val="18"/>
                <w:highlight w:val="none"/>
                <w:lang w:bidi="ar"/>
              </w:rPr>
              <w:t>考核制度</w:t>
            </w:r>
          </w:p>
        </w:tc>
        <w:tc>
          <w:tcPr>
            <w:tcW w:w="260" w:type="pct"/>
            <w:noWrap w:val="0"/>
            <w:vAlign w:val="center"/>
          </w:tcPr>
          <w:p w14:paraId="1A38A0AC">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0"/>
                <w:sz w:val="18"/>
                <w:szCs w:val="18"/>
                <w:highlight w:val="none"/>
                <w:lang w:bidi="ar"/>
              </w:rPr>
            </w:pPr>
            <w:r>
              <w:rPr>
                <w:rFonts w:hint="default" w:ascii="Times New Roman" w:hAnsi="Times New Roman" w:eastAsia="方正仿宋_GBK" w:cs="Times New Roman"/>
                <w:color w:val="auto"/>
                <w:kern w:val="0"/>
                <w:sz w:val="18"/>
                <w:szCs w:val="18"/>
                <w:highlight w:val="none"/>
                <w:lang w:bidi="ar"/>
              </w:rPr>
              <w:t>1</w:t>
            </w:r>
          </w:p>
        </w:tc>
        <w:tc>
          <w:tcPr>
            <w:tcW w:w="1685" w:type="pct"/>
            <w:noWrap w:val="0"/>
            <w:vAlign w:val="center"/>
          </w:tcPr>
          <w:p w14:paraId="58ACCA6B">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0"/>
                <w:sz w:val="18"/>
                <w:szCs w:val="18"/>
                <w:highlight w:val="none"/>
                <w:lang w:bidi="ar"/>
              </w:rPr>
            </w:pPr>
            <w:r>
              <w:rPr>
                <w:rFonts w:hint="default" w:ascii="Times New Roman" w:hAnsi="Times New Roman" w:eastAsia="方正仿宋_GBK" w:cs="Times New Roman"/>
                <w:color w:val="auto"/>
                <w:kern w:val="0"/>
                <w:sz w:val="18"/>
                <w:szCs w:val="18"/>
                <w:highlight w:val="none"/>
                <w:lang w:bidi="ar"/>
              </w:rPr>
              <w:t>（1）有完善的考核制度并能很好地实施，得1分；</w:t>
            </w:r>
          </w:p>
          <w:p w14:paraId="3C4DD186">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0"/>
                <w:sz w:val="18"/>
                <w:szCs w:val="18"/>
                <w:highlight w:val="none"/>
                <w:lang w:bidi="ar"/>
              </w:rPr>
            </w:pPr>
            <w:r>
              <w:rPr>
                <w:rFonts w:hint="default" w:ascii="Times New Roman" w:hAnsi="Times New Roman" w:eastAsia="方正仿宋_GBK" w:cs="Times New Roman"/>
                <w:color w:val="auto"/>
                <w:kern w:val="0"/>
                <w:sz w:val="18"/>
                <w:szCs w:val="18"/>
                <w:highlight w:val="none"/>
                <w:lang w:bidi="ar"/>
              </w:rPr>
              <w:t>（2）有考核制度但未能很好地实施，得0.5分；</w:t>
            </w:r>
          </w:p>
          <w:p w14:paraId="467A0786">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0"/>
                <w:sz w:val="18"/>
                <w:szCs w:val="18"/>
                <w:highlight w:val="none"/>
                <w:lang w:bidi="ar"/>
              </w:rPr>
            </w:pPr>
            <w:r>
              <w:rPr>
                <w:rFonts w:hint="default" w:ascii="Times New Roman" w:hAnsi="Times New Roman" w:eastAsia="方正仿宋_GBK" w:cs="Times New Roman"/>
                <w:color w:val="auto"/>
                <w:kern w:val="0"/>
                <w:sz w:val="18"/>
                <w:szCs w:val="18"/>
                <w:highlight w:val="none"/>
                <w:lang w:bidi="ar"/>
              </w:rPr>
              <w:t>（3）无考核制度不得分</w:t>
            </w:r>
          </w:p>
        </w:tc>
        <w:tc>
          <w:tcPr>
            <w:tcW w:w="1561" w:type="pct"/>
            <w:noWrap w:val="0"/>
            <w:vAlign w:val="center"/>
          </w:tcPr>
          <w:p w14:paraId="4CB62A49">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0"/>
                <w:sz w:val="18"/>
                <w:szCs w:val="18"/>
                <w:highlight w:val="none"/>
                <w:lang w:bidi="ar"/>
              </w:rPr>
            </w:pPr>
            <w:r>
              <w:rPr>
                <w:rFonts w:hint="default" w:ascii="Times New Roman" w:hAnsi="Times New Roman" w:eastAsia="方正仿宋_GBK" w:cs="Times New Roman"/>
                <w:color w:val="auto"/>
                <w:kern w:val="0"/>
                <w:sz w:val="18"/>
                <w:szCs w:val="18"/>
                <w:highlight w:val="none"/>
                <w:lang w:bidi="ar"/>
              </w:rPr>
              <w:t>查考核制度及实施情况</w:t>
            </w:r>
          </w:p>
        </w:tc>
        <w:tc>
          <w:tcPr>
            <w:tcW w:w="229" w:type="pct"/>
            <w:noWrap w:val="0"/>
            <w:vAlign w:val="center"/>
          </w:tcPr>
          <w:p w14:paraId="15CF6267">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4BE8EA06">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14860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trPr>
        <w:tc>
          <w:tcPr>
            <w:tcW w:w="223" w:type="pct"/>
            <w:vMerge w:val="continue"/>
            <w:noWrap w:val="0"/>
            <w:vAlign w:val="center"/>
          </w:tcPr>
          <w:p w14:paraId="4C241253">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62" w:type="pct"/>
            <w:vMerge w:val="continue"/>
            <w:noWrap w:val="0"/>
            <w:vAlign w:val="center"/>
          </w:tcPr>
          <w:p w14:paraId="23EDF4DD">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497" w:type="pct"/>
            <w:noWrap w:val="0"/>
            <w:vAlign w:val="center"/>
          </w:tcPr>
          <w:p w14:paraId="5CFA626A">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信息建设</w:t>
            </w:r>
          </w:p>
        </w:tc>
        <w:tc>
          <w:tcPr>
            <w:tcW w:w="260" w:type="pct"/>
            <w:noWrap w:val="0"/>
            <w:vAlign w:val="center"/>
          </w:tcPr>
          <w:p w14:paraId="485B96F7">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2</w:t>
            </w:r>
          </w:p>
        </w:tc>
        <w:tc>
          <w:tcPr>
            <w:tcW w:w="1685" w:type="pct"/>
            <w:noWrap w:val="0"/>
            <w:vAlign w:val="center"/>
          </w:tcPr>
          <w:p w14:paraId="3D7A8FCD">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（1）有服务生产的信息化平台；网上上报</w:t>
            </w:r>
            <w:r>
              <w:rPr>
                <w:rFonts w:hint="default" w:ascii="Times New Roman" w:hAnsi="Times New Roman" w:eastAsia="方正仿宋_GBK" w:cs="Times New Roman"/>
                <w:color w:val="auto"/>
                <w:kern w:val="0"/>
                <w:sz w:val="18"/>
                <w:szCs w:val="18"/>
                <w:highlight w:val="none"/>
                <w:lang w:eastAsia="zh-CN" w:bidi="ar"/>
              </w:rPr>
              <w:t>住房和城乡建设部</w:t>
            </w:r>
            <w:r>
              <w:rPr>
                <w:rFonts w:hint="default" w:ascii="Times New Roman" w:hAnsi="Times New Roman" w:eastAsia="方正仿宋_GBK" w:cs="Times New Roman"/>
                <w:color w:val="auto"/>
                <w:kern w:val="0"/>
                <w:sz w:val="18"/>
                <w:szCs w:val="18"/>
                <w:highlight w:val="none"/>
                <w:lang w:bidi="ar"/>
              </w:rPr>
              <w:t>、省</w:t>
            </w:r>
            <w:r>
              <w:rPr>
                <w:rFonts w:hint="default" w:ascii="Times New Roman" w:hAnsi="Times New Roman" w:eastAsia="方正仿宋_GBK" w:cs="Times New Roman"/>
                <w:color w:val="auto"/>
                <w:kern w:val="0"/>
                <w:sz w:val="18"/>
                <w:szCs w:val="18"/>
                <w:highlight w:val="none"/>
                <w:lang w:eastAsia="zh-CN" w:bidi="ar"/>
              </w:rPr>
              <w:t>住房和城乡建设厅</w:t>
            </w:r>
            <w:r>
              <w:rPr>
                <w:rFonts w:hint="default" w:ascii="Times New Roman" w:hAnsi="Times New Roman" w:eastAsia="方正仿宋_GBK" w:cs="Times New Roman"/>
                <w:color w:val="auto"/>
                <w:kern w:val="0"/>
                <w:sz w:val="18"/>
                <w:szCs w:val="18"/>
                <w:highlight w:val="none"/>
                <w:lang w:bidi="ar"/>
              </w:rPr>
              <w:t>运营信息，数据真实可信，并及时按月上报，得1分；（2）能有效运用信息平台，不断提高分析能力和技术水平，得1分，否则不得分</w:t>
            </w:r>
          </w:p>
        </w:tc>
        <w:tc>
          <w:tcPr>
            <w:tcW w:w="1561" w:type="pct"/>
            <w:noWrap w:val="0"/>
            <w:vAlign w:val="center"/>
          </w:tcPr>
          <w:p w14:paraId="677D09C1">
            <w:pPr>
              <w:adjustRightInd/>
              <w:snapToGrid/>
              <w:spacing w:before="0" w:beforeLines="0" w:after="0" w:afterLines="0" w:line="240" w:lineRule="auto"/>
              <w:ind w:firstLine="0" w:firstLineChars="0"/>
              <w:textAlignment w:val="center"/>
              <w:rPr>
                <w:rFonts w:hint="default" w:ascii="Times New Roman" w:hAnsi="Times New Roman" w:eastAsia="方正仿宋_GBK" w:cs="Times New Roman"/>
                <w:color w:val="auto"/>
                <w:kern w:val="2"/>
                <w:sz w:val="18"/>
                <w:szCs w:val="18"/>
                <w:highlight w:val="none"/>
              </w:rPr>
            </w:pPr>
            <w:r>
              <w:rPr>
                <w:rFonts w:hint="default" w:ascii="Times New Roman" w:hAnsi="Times New Roman" w:eastAsia="方正仿宋_GBK" w:cs="Times New Roman"/>
                <w:color w:val="auto"/>
                <w:kern w:val="0"/>
                <w:sz w:val="18"/>
                <w:szCs w:val="18"/>
                <w:highlight w:val="none"/>
                <w:lang w:bidi="ar"/>
              </w:rPr>
              <w:t>包括内部信息传递、信息上报；对内、对外信息管理；网上上报信息指《全国城镇污水处理管理信息系统》</w:t>
            </w:r>
            <w:r>
              <w:rPr>
                <w:rFonts w:hint="default" w:ascii="Times New Roman" w:hAnsi="Times New Roman" w:eastAsia="方正仿宋_GBK" w:cs="Times New Roman"/>
                <w:color w:val="auto"/>
                <w:kern w:val="0"/>
                <w:sz w:val="18"/>
                <w:szCs w:val="18"/>
                <w:highlight w:val="none"/>
                <w:lang w:eastAsia="zh-CN" w:bidi="ar"/>
              </w:rPr>
              <w:t>等</w:t>
            </w:r>
            <w:r>
              <w:rPr>
                <w:rFonts w:hint="default" w:ascii="Times New Roman" w:hAnsi="Times New Roman" w:eastAsia="方正仿宋_GBK" w:cs="Times New Roman"/>
                <w:color w:val="auto"/>
                <w:kern w:val="0"/>
                <w:sz w:val="18"/>
                <w:szCs w:val="18"/>
                <w:highlight w:val="none"/>
                <w:lang w:bidi="ar"/>
              </w:rPr>
              <w:t>规定的上报信息</w:t>
            </w:r>
          </w:p>
        </w:tc>
        <w:tc>
          <w:tcPr>
            <w:tcW w:w="229" w:type="pct"/>
            <w:noWrap w:val="0"/>
            <w:vAlign w:val="center"/>
          </w:tcPr>
          <w:p w14:paraId="7113DF22">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c>
          <w:tcPr>
            <w:tcW w:w="280" w:type="pct"/>
            <w:noWrap w:val="0"/>
            <w:vAlign w:val="center"/>
          </w:tcPr>
          <w:p w14:paraId="34659F6D">
            <w:pPr>
              <w:adjustRightInd/>
              <w:snapToGrid/>
              <w:spacing w:before="0" w:beforeLines="0" w:after="0" w:afterLines="0" w:line="240" w:lineRule="auto"/>
              <w:ind w:firstLine="0" w:firstLineChars="0"/>
              <w:jc w:val="center"/>
              <w:rPr>
                <w:rFonts w:hint="default" w:ascii="Times New Roman" w:hAnsi="Times New Roman" w:eastAsia="方正仿宋_GBK" w:cs="Times New Roman"/>
                <w:color w:val="auto"/>
                <w:kern w:val="2"/>
                <w:sz w:val="18"/>
                <w:szCs w:val="18"/>
                <w:highlight w:val="none"/>
              </w:rPr>
            </w:pPr>
          </w:p>
        </w:tc>
      </w:tr>
      <w:tr w14:paraId="730DE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223" w:type="pct"/>
            <w:noWrap w:val="0"/>
            <w:vAlign w:val="center"/>
          </w:tcPr>
          <w:p w14:paraId="1D8B2CC6">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b/>
                <w:bCs/>
                <w:color w:val="auto"/>
                <w:kern w:val="2"/>
                <w:sz w:val="18"/>
                <w:szCs w:val="18"/>
                <w:highlight w:val="none"/>
              </w:rPr>
            </w:pPr>
            <w:r>
              <w:rPr>
                <w:rFonts w:hint="default" w:ascii="Times New Roman" w:hAnsi="Times New Roman" w:eastAsia="方正仿宋_GBK" w:cs="Times New Roman"/>
                <w:b/>
                <w:bCs/>
                <w:color w:val="auto"/>
                <w:kern w:val="0"/>
                <w:sz w:val="18"/>
                <w:szCs w:val="18"/>
                <w:highlight w:val="none"/>
                <w:lang w:bidi="ar"/>
              </w:rPr>
              <w:t>合计</w:t>
            </w:r>
          </w:p>
        </w:tc>
        <w:tc>
          <w:tcPr>
            <w:tcW w:w="262" w:type="pct"/>
            <w:noWrap w:val="0"/>
            <w:vAlign w:val="center"/>
          </w:tcPr>
          <w:p w14:paraId="561809D2">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b/>
                <w:bCs/>
                <w:color w:val="auto"/>
                <w:kern w:val="2"/>
                <w:sz w:val="18"/>
                <w:szCs w:val="18"/>
                <w:highlight w:val="none"/>
              </w:rPr>
            </w:pPr>
            <w:r>
              <w:rPr>
                <w:rFonts w:hint="default" w:ascii="Times New Roman" w:hAnsi="Times New Roman" w:eastAsia="方正仿宋_GBK" w:cs="Times New Roman"/>
                <w:b/>
                <w:bCs/>
                <w:color w:val="auto"/>
                <w:kern w:val="0"/>
                <w:sz w:val="18"/>
                <w:szCs w:val="18"/>
                <w:highlight w:val="none"/>
                <w:lang w:bidi="ar"/>
              </w:rPr>
              <w:t>100</w:t>
            </w:r>
          </w:p>
        </w:tc>
        <w:tc>
          <w:tcPr>
            <w:tcW w:w="497" w:type="pct"/>
            <w:noWrap w:val="0"/>
            <w:vAlign w:val="center"/>
          </w:tcPr>
          <w:p w14:paraId="6F85BE6E">
            <w:pPr>
              <w:adjustRightInd/>
              <w:snapToGrid/>
              <w:spacing w:before="0" w:beforeLines="0" w:after="0" w:afterLines="0" w:line="240" w:lineRule="auto"/>
              <w:ind w:firstLine="0" w:firstLineChars="0"/>
              <w:jc w:val="center"/>
              <w:rPr>
                <w:rFonts w:hint="default" w:ascii="Times New Roman" w:hAnsi="Times New Roman" w:eastAsia="方正仿宋_GBK" w:cs="Times New Roman"/>
                <w:b/>
                <w:bCs/>
                <w:color w:val="auto"/>
                <w:kern w:val="2"/>
                <w:sz w:val="18"/>
                <w:szCs w:val="18"/>
                <w:highlight w:val="none"/>
              </w:rPr>
            </w:pPr>
          </w:p>
        </w:tc>
        <w:tc>
          <w:tcPr>
            <w:tcW w:w="260" w:type="pct"/>
            <w:noWrap w:val="0"/>
            <w:vAlign w:val="center"/>
          </w:tcPr>
          <w:p w14:paraId="098C7554">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b/>
                <w:bCs/>
                <w:color w:val="auto"/>
                <w:kern w:val="2"/>
                <w:sz w:val="18"/>
                <w:szCs w:val="18"/>
                <w:highlight w:val="none"/>
              </w:rPr>
            </w:pPr>
            <w:r>
              <w:rPr>
                <w:rFonts w:hint="default" w:ascii="Times New Roman" w:hAnsi="Times New Roman" w:eastAsia="方正仿宋_GBK" w:cs="Times New Roman"/>
                <w:b/>
                <w:bCs/>
                <w:color w:val="auto"/>
                <w:kern w:val="0"/>
                <w:sz w:val="18"/>
                <w:szCs w:val="18"/>
                <w:highlight w:val="none"/>
                <w:lang w:bidi="ar"/>
              </w:rPr>
              <w:t>100</w:t>
            </w:r>
          </w:p>
        </w:tc>
        <w:tc>
          <w:tcPr>
            <w:tcW w:w="1685" w:type="pct"/>
            <w:noWrap w:val="0"/>
            <w:vAlign w:val="center"/>
          </w:tcPr>
          <w:p w14:paraId="5EC40ECE">
            <w:pPr>
              <w:adjustRightInd/>
              <w:snapToGrid/>
              <w:spacing w:before="0" w:beforeLines="0" w:after="0" w:afterLines="0" w:line="240" w:lineRule="auto"/>
              <w:ind w:firstLine="0" w:firstLineChars="0"/>
              <w:jc w:val="center"/>
              <w:rPr>
                <w:rFonts w:hint="default" w:ascii="Times New Roman" w:hAnsi="Times New Roman" w:eastAsia="方正仿宋_GBK" w:cs="Times New Roman"/>
                <w:b/>
                <w:bCs/>
                <w:color w:val="auto"/>
                <w:kern w:val="2"/>
                <w:sz w:val="18"/>
                <w:szCs w:val="18"/>
                <w:highlight w:val="none"/>
              </w:rPr>
            </w:pPr>
          </w:p>
        </w:tc>
        <w:tc>
          <w:tcPr>
            <w:tcW w:w="1561" w:type="pct"/>
            <w:noWrap w:val="0"/>
            <w:vAlign w:val="center"/>
          </w:tcPr>
          <w:p w14:paraId="6AC5B82D">
            <w:pPr>
              <w:adjustRightInd/>
              <w:snapToGrid/>
              <w:spacing w:before="0" w:beforeLines="0" w:after="0" w:afterLines="0" w:line="240" w:lineRule="auto"/>
              <w:ind w:firstLine="0" w:firstLineChars="0"/>
              <w:jc w:val="center"/>
              <w:rPr>
                <w:rFonts w:hint="default" w:ascii="Times New Roman" w:hAnsi="Times New Roman" w:eastAsia="方正仿宋_GBK" w:cs="Times New Roman"/>
                <w:b/>
                <w:bCs/>
                <w:color w:val="auto"/>
                <w:kern w:val="2"/>
                <w:sz w:val="18"/>
                <w:szCs w:val="18"/>
                <w:highlight w:val="none"/>
              </w:rPr>
            </w:pPr>
          </w:p>
        </w:tc>
        <w:tc>
          <w:tcPr>
            <w:tcW w:w="229" w:type="pct"/>
            <w:noWrap w:val="0"/>
            <w:vAlign w:val="center"/>
          </w:tcPr>
          <w:p w14:paraId="7D7A27E5">
            <w:pPr>
              <w:adjustRightInd/>
              <w:snapToGrid/>
              <w:spacing w:before="0" w:beforeLines="0" w:after="0" w:afterLines="0" w:line="240" w:lineRule="auto"/>
              <w:ind w:firstLine="0" w:firstLineChars="0"/>
              <w:jc w:val="center"/>
              <w:rPr>
                <w:rFonts w:hint="default" w:ascii="Times New Roman" w:hAnsi="Times New Roman" w:eastAsia="方正仿宋_GBK" w:cs="Times New Roman"/>
                <w:b/>
                <w:bCs/>
                <w:color w:val="auto"/>
                <w:kern w:val="2"/>
                <w:sz w:val="18"/>
                <w:szCs w:val="18"/>
                <w:highlight w:val="none"/>
              </w:rPr>
            </w:pPr>
          </w:p>
        </w:tc>
        <w:tc>
          <w:tcPr>
            <w:tcW w:w="280" w:type="pct"/>
            <w:noWrap/>
            <w:vAlign w:val="center"/>
          </w:tcPr>
          <w:p w14:paraId="13F37750">
            <w:pPr>
              <w:adjustRightInd/>
              <w:snapToGrid/>
              <w:spacing w:before="0" w:beforeLines="0" w:after="0" w:afterLines="0" w:line="240" w:lineRule="auto"/>
              <w:ind w:firstLine="0" w:firstLineChars="0"/>
              <w:rPr>
                <w:rFonts w:hint="default" w:ascii="Times New Roman" w:hAnsi="Times New Roman" w:eastAsia="方正仿宋_GBK" w:cs="Times New Roman"/>
                <w:color w:val="auto"/>
                <w:kern w:val="2"/>
                <w:sz w:val="18"/>
                <w:szCs w:val="18"/>
                <w:highlight w:val="none"/>
              </w:rPr>
            </w:pPr>
          </w:p>
        </w:tc>
      </w:tr>
      <w:tr w14:paraId="31BEB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85" w:type="pct"/>
            <w:gridSpan w:val="2"/>
            <w:noWrap w:val="0"/>
            <w:vAlign w:val="center"/>
          </w:tcPr>
          <w:p w14:paraId="0128DCF2">
            <w:pPr>
              <w:adjustRightInd/>
              <w:snapToGrid/>
              <w:spacing w:before="0" w:beforeLines="0" w:after="0" w:afterLines="0" w:line="240" w:lineRule="auto"/>
              <w:ind w:firstLine="0" w:firstLineChars="0"/>
              <w:jc w:val="center"/>
              <w:textAlignment w:val="center"/>
              <w:rPr>
                <w:rFonts w:hint="default" w:ascii="Times New Roman" w:hAnsi="Times New Roman" w:eastAsia="方正仿宋_GBK" w:cs="Times New Roman"/>
                <w:b/>
                <w:bCs/>
                <w:color w:val="auto"/>
                <w:kern w:val="0"/>
                <w:sz w:val="18"/>
                <w:szCs w:val="18"/>
                <w:highlight w:val="none"/>
                <w:lang w:bidi="ar"/>
              </w:rPr>
            </w:pPr>
            <w:r>
              <w:rPr>
                <w:rFonts w:hint="default" w:ascii="Times New Roman" w:hAnsi="Times New Roman" w:eastAsia="方正仿宋_GBK" w:cs="Times New Roman"/>
                <w:b/>
                <w:bCs/>
                <w:color w:val="auto"/>
                <w:kern w:val="0"/>
                <w:sz w:val="18"/>
                <w:szCs w:val="18"/>
                <w:highlight w:val="none"/>
                <w:lang w:bidi="ar"/>
              </w:rPr>
              <w:t>附加分项</w:t>
            </w:r>
          </w:p>
        </w:tc>
        <w:tc>
          <w:tcPr>
            <w:tcW w:w="4514" w:type="pct"/>
            <w:gridSpan w:val="6"/>
            <w:noWrap w:val="0"/>
            <w:vAlign w:val="center"/>
          </w:tcPr>
          <w:p w14:paraId="30B19472">
            <w:pPr>
              <w:adjustRightInd/>
              <w:snapToGrid/>
              <w:spacing w:before="0" w:beforeLines="0" w:after="0" w:afterLines="0" w:line="240" w:lineRule="auto"/>
              <w:ind w:firstLine="0" w:firstLineChars="0"/>
              <w:rPr>
                <w:rFonts w:hint="default" w:ascii="Times New Roman" w:hAnsi="Times New Roman" w:eastAsia="方正仿宋_GBK" w:cs="Times New Roman"/>
                <w:color w:val="auto"/>
                <w:kern w:val="0"/>
                <w:sz w:val="18"/>
                <w:szCs w:val="18"/>
                <w:highlight w:val="none"/>
                <w:lang w:bidi="ar"/>
              </w:rPr>
            </w:pPr>
            <w:r>
              <w:rPr>
                <w:rFonts w:hint="default" w:ascii="Times New Roman" w:hAnsi="Times New Roman" w:eastAsia="方正仿宋_GBK" w:cs="Times New Roman"/>
                <w:color w:val="auto"/>
                <w:kern w:val="0"/>
                <w:sz w:val="18"/>
                <w:szCs w:val="18"/>
                <w:highlight w:val="none"/>
                <w:lang w:bidi="ar"/>
              </w:rPr>
              <w:t>因污水处理厂运维成绩突出，受市级及以上媒体专题表扬，每次加1分，如上述事项涉及在绿色低碳领域、技术改造和创新方面取得显著成效的，额外加1分，累计不得超过3分。</w:t>
            </w:r>
          </w:p>
        </w:tc>
      </w:tr>
    </w:tbl>
    <w:p w14:paraId="62952161">
      <w:pPr>
        <w:adjustRightInd/>
        <w:snapToGrid/>
        <w:spacing w:before="50" w:beforeLines="50" w:after="50" w:afterLines="50" w:line="360" w:lineRule="auto"/>
        <w:ind w:firstLine="0" w:firstLineChars="0"/>
        <w:outlineLvl w:val="9"/>
        <w:rPr>
          <w:rFonts w:hint="eastAsia" w:ascii="仿宋" w:hAnsi="仿宋" w:eastAsia="仿宋" w:cs="方正黑体_GBK"/>
          <w:color w:val="auto"/>
          <w:kern w:val="2"/>
          <w:sz w:val="28"/>
          <w:szCs w:val="28"/>
          <w:highlight w:val="none"/>
          <w:lang w:val="en-US" w:eastAsia="zh-CN"/>
        </w:rPr>
      </w:pPr>
    </w:p>
    <w:p w14:paraId="40E92F9D">
      <w:pPr>
        <w:widowControl/>
        <w:numPr>
          <w:ilvl w:val="0"/>
          <w:numId w:val="0"/>
        </w:numPr>
        <w:ind w:firstLine="0" w:firstLineChars="0"/>
        <w:rPr>
          <w:rFonts w:hint="eastAsia" w:cs="方正黑体_GBK"/>
          <w:color w:val="auto"/>
          <w:kern w:val="2"/>
          <w:sz w:val="28"/>
          <w:szCs w:val="28"/>
          <w:highlight w:val="none"/>
          <w:lang w:val="en-US" w:eastAsia="zh-CN"/>
        </w:rPr>
        <w:sectPr>
          <w:pgSz w:w="16838" w:h="11906" w:orient="landscape"/>
          <w:pgMar w:top="1616" w:right="1984" w:bottom="1616" w:left="1984" w:header="851" w:footer="0" w:gutter="0"/>
          <w:pgNumType w:fmt="decimal"/>
          <w:cols w:space="720" w:num="1"/>
          <w:docGrid w:type="linesAndChars" w:linePitch="312" w:charSpace="0"/>
        </w:sectPr>
      </w:pPr>
    </w:p>
    <w:p w14:paraId="37EC9C97">
      <w:pPr>
        <w:widowControl/>
        <w:numPr>
          <w:ilvl w:val="0"/>
          <w:numId w:val="0"/>
        </w:numPr>
        <w:adjustRightInd/>
        <w:snapToGrid/>
        <w:spacing w:before="0" w:beforeLines="0" w:after="0" w:afterLines="0" w:line="360" w:lineRule="auto"/>
        <w:ind w:firstLine="0" w:firstLineChars="0"/>
        <w:jc w:val="both"/>
        <w:outlineLvl w:val="1"/>
        <w:rPr>
          <w:rFonts w:hint="eastAsia" w:ascii="Times New Roman" w:hAnsi="Times New Roman" w:eastAsia="方正黑体_GBK" w:cs="方正黑体_GBK"/>
          <w:b w:val="0"/>
          <w:bCs/>
          <w:color w:val="auto"/>
          <w:kern w:val="2"/>
          <w:sz w:val="28"/>
          <w:szCs w:val="28"/>
          <w:highlight w:val="none"/>
          <w:lang w:val="en-US" w:eastAsia="zh-CN" w:bidi="ar-SA"/>
        </w:rPr>
      </w:pPr>
      <w:bookmarkStart w:id="523" w:name="_Toc10425"/>
      <w:r>
        <w:rPr>
          <w:rFonts w:hint="eastAsia" w:ascii="Times New Roman" w:hAnsi="Times New Roman" w:eastAsia="方正黑体_GBK" w:cs="方正黑体_GBK"/>
          <w:bCs/>
          <w:color w:val="auto"/>
          <w:kern w:val="2"/>
          <w:sz w:val="28"/>
          <w:szCs w:val="28"/>
          <w:highlight w:val="none"/>
          <w:lang w:val="en-US" w:eastAsia="zh-CN" w:bidi="ar-SA"/>
        </w:rPr>
        <w:t>附件5：</w:t>
      </w:r>
      <w:r>
        <w:rPr>
          <w:rFonts w:hint="eastAsia" w:ascii="Times New Roman" w:hAnsi="Times New Roman" w:eastAsia="方正黑体_GBK" w:cs="方正黑体_GBK"/>
          <w:b w:val="0"/>
          <w:bCs/>
          <w:color w:val="auto"/>
          <w:kern w:val="2"/>
          <w:sz w:val="28"/>
          <w:szCs w:val="28"/>
          <w:highlight w:val="none"/>
          <w:lang w:val="en-US" w:eastAsia="zh-CN" w:bidi="ar-SA"/>
        </w:rPr>
        <w:t>《污水处理服务协议》</w:t>
      </w:r>
      <w:bookmarkEnd w:id="523"/>
    </w:p>
    <w:p w14:paraId="4F9C357F">
      <w:pPr>
        <w:adjustRightInd w:val="0"/>
        <w:snapToGrid w:val="0"/>
        <w:spacing w:before="80" w:beforeLines="50" w:after="80" w:afterLines="50" w:line="360" w:lineRule="auto"/>
        <w:ind w:firstLine="424" w:firstLineChars="177"/>
        <w:rPr>
          <w:rFonts w:hint="eastAsia" w:ascii="仿宋" w:hAnsi="仿宋" w:eastAsia="仿宋" w:cs="Times New Roman"/>
          <w:color w:val="auto"/>
          <w:kern w:val="2"/>
          <w:sz w:val="24"/>
          <w:szCs w:val="24"/>
          <w:highlight w:val="none"/>
          <w:lang w:val="en-US"/>
        </w:rPr>
      </w:pPr>
      <w:r>
        <w:rPr>
          <w:rFonts w:hint="eastAsia" w:ascii="仿宋" w:hAnsi="仿宋" w:eastAsia="仿宋" w:cs="Times New Roman"/>
          <w:b w:val="0"/>
          <w:bCs w:val="0"/>
          <w:color w:val="auto"/>
          <w:kern w:val="2"/>
          <w:sz w:val="24"/>
          <w:szCs w:val="24"/>
          <w:highlight w:val="none"/>
          <w:lang w:val="en-US" w:eastAsia="zh-CN" w:bidi="ar-SA"/>
        </w:rPr>
        <w:t>另附。</w:t>
      </w:r>
    </w:p>
    <w:p w14:paraId="7CB0C576">
      <w:pPr>
        <w:rPr>
          <w:color w:val="auto"/>
          <w:highlight w:val="none"/>
        </w:rPr>
        <w:sectPr>
          <w:headerReference r:id="rId23" w:type="default"/>
          <w:footerReference r:id="rId24" w:type="default"/>
          <w:pgSz w:w="11906" w:h="16838"/>
          <w:pgMar w:top="1440" w:right="1797" w:bottom="1440" w:left="1797" w:header="851" w:footer="992" w:gutter="0"/>
          <w:cols w:space="720" w:num="1"/>
          <w:docGrid w:linePitch="360" w:charSpace="0"/>
        </w:sectPr>
      </w:pPr>
    </w:p>
    <w:p w14:paraId="7F2DD73B">
      <w:pPr>
        <w:spacing w:before="80" w:after="80" w:line="360" w:lineRule="auto"/>
        <w:jc w:val="center"/>
        <w:rPr>
          <w:rFonts w:hint="default" w:ascii="华文中宋" w:hAnsi="华文中宋" w:eastAsia="华文中宋" w:cs="Times New Roman"/>
          <w:b/>
          <w:color w:val="auto"/>
          <w:kern w:val="2"/>
          <w:sz w:val="44"/>
          <w:szCs w:val="28"/>
          <w:highlight w:val="none"/>
        </w:rPr>
      </w:pPr>
      <w:r>
        <w:rPr>
          <w:rFonts w:hint="eastAsia" w:ascii="华文中宋" w:hAnsi="华文中宋" w:eastAsia="华文中宋" w:cs="Times New Roman"/>
          <w:b/>
          <w:color w:val="auto"/>
          <w:kern w:val="2"/>
          <w:sz w:val="44"/>
          <w:szCs w:val="28"/>
          <w:highlight w:val="none"/>
          <w:lang w:eastAsia="zh-CN"/>
        </w:rPr>
        <w:t>江都城区污水处理设施</w:t>
      </w:r>
      <w:r>
        <w:rPr>
          <w:rFonts w:hint="eastAsia" w:ascii="华文中宋" w:hAnsi="华文中宋" w:eastAsia="华文中宋" w:cs="Times New Roman"/>
          <w:b/>
          <w:color w:val="auto"/>
          <w:kern w:val="2"/>
          <w:sz w:val="44"/>
          <w:szCs w:val="28"/>
          <w:highlight w:val="none"/>
        </w:rPr>
        <w:t>特许经营项目</w:t>
      </w:r>
    </w:p>
    <w:p w14:paraId="2E933D7B">
      <w:pPr>
        <w:spacing w:before="80" w:after="80" w:line="360" w:lineRule="auto"/>
        <w:jc w:val="center"/>
        <w:rPr>
          <w:rFonts w:hint="eastAsia" w:ascii="华文中宋" w:hAnsi="华文中宋" w:eastAsia="华文中宋" w:cs="Times New Roman"/>
          <w:b/>
          <w:color w:val="auto"/>
          <w:kern w:val="2"/>
          <w:sz w:val="44"/>
          <w:szCs w:val="28"/>
          <w:highlight w:val="none"/>
        </w:rPr>
      </w:pPr>
    </w:p>
    <w:p w14:paraId="011F83CA">
      <w:pPr>
        <w:spacing w:before="80" w:after="80" w:line="360" w:lineRule="auto"/>
        <w:jc w:val="center"/>
        <w:rPr>
          <w:rFonts w:hint="default" w:ascii="华文中宋" w:hAnsi="华文中宋" w:eastAsia="华文中宋" w:cs="Times New Roman"/>
          <w:b/>
          <w:color w:val="auto"/>
          <w:kern w:val="2"/>
          <w:sz w:val="44"/>
          <w:szCs w:val="28"/>
          <w:highlight w:val="none"/>
        </w:rPr>
      </w:pPr>
      <w:r>
        <w:rPr>
          <w:rFonts w:hint="eastAsia" w:ascii="华文中宋" w:hAnsi="华文中宋" w:eastAsia="华文中宋" w:cs="Times New Roman"/>
          <w:b/>
          <w:color w:val="auto"/>
          <w:kern w:val="2"/>
          <w:sz w:val="44"/>
          <w:szCs w:val="28"/>
          <w:highlight w:val="none"/>
          <w:lang w:val="en-US" w:eastAsia="zh-CN"/>
        </w:rPr>
        <w:t>污水处理</w:t>
      </w:r>
      <w:r>
        <w:rPr>
          <w:rFonts w:hint="eastAsia" w:ascii="华文中宋" w:hAnsi="华文中宋" w:eastAsia="华文中宋" w:cs="Times New Roman"/>
          <w:b/>
          <w:color w:val="auto"/>
          <w:kern w:val="2"/>
          <w:sz w:val="44"/>
          <w:szCs w:val="28"/>
          <w:highlight w:val="none"/>
        </w:rPr>
        <w:t>服务协议</w:t>
      </w:r>
    </w:p>
    <w:p w14:paraId="17CEED92">
      <w:pPr>
        <w:spacing w:before="163" w:after="24" w:line="500" w:lineRule="exact"/>
        <w:ind w:firstLine="1800" w:firstLineChars="600"/>
        <w:rPr>
          <w:rFonts w:hint="default" w:ascii="仿宋" w:hAnsi="仿宋" w:eastAsia="仿宋" w:cs="Times New Roman"/>
          <w:color w:val="auto"/>
          <w:kern w:val="2"/>
          <w:sz w:val="30"/>
          <w:highlight w:val="none"/>
        </w:rPr>
      </w:pPr>
    </w:p>
    <w:p w14:paraId="4ED9AB1E">
      <w:pPr>
        <w:spacing w:before="163" w:after="24" w:line="500" w:lineRule="exact"/>
        <w:ind w:firstLine="1800" w:firstLineChars="600"/>
        <w:rPr>
          <w:rFonts w:hint="default" w:ascii="仿宋" w:hAnsi="仿宋" w:eastAsia="仿宋" w:cs="Times New Roman"/>
          <w:color w:val="auto"/>
          <w:kern w:val="2"/>
          <w:sz w:val="30"/>
          <w:highlight w:val="none"/>
        </w:rPr>
      </w:pPr>
    </w:p>
    <w:p w14:paraId="0ABF7BDE">
      <w:pPr>
        <w:spacing w:before="163" w:after="24" w:line="500" w:lineRule="exact"/>
        <w:ind w:firstLine="1800" w:firstLineChars="600"/>
        <w:rPr>
          <w:rFonts w:hint="default" w:ascii="仿宋" w:hAnsi="仿宋" w:eastAsia="仿宋" w:cs="Times New Roman"/>
          <w:color w:val="auto"/>
          <w:kern w:val="2"/>
          <w:sz w:val="30"/>
          <w:highlight w:val="none"/>
        </w:rPr>
      </w:pPr>
    </w:p>
    <w:p w14:paraId="645A038F">
      <w:pPr>
        <w:spacing w:before="163" w:after="24" w:line="500" w:lineRule="exact"/>
        <w:ind w:firstLine="1800" w:firstLineChars="600"/>
        <w:rPr>
          <w:rFonts w:hint="default" w:ascii="仿宋" w:hAnsi="仿宋" w:eastAsia="仿宋" w:cs="Times New Roman"/>
          <w:color w:val="auto"/>
          <w:kern w:val="2"/>
          <w:sz w:val="30"/>
          <w:highlight w:val="none"/>
        </w:rPr>
      </w:pPr>
    </w:p>
    <w:p w14:paraId="69C63B7F">
      <w:pPr>
        <w:spacing w:before="163" w:after="24" w:line="500" w:lineRule="exact"/>
        <w:rPr>
          <w:rFonts w:hint="default" w:ascii="仿宋" w:hAnsi="仿宋" w:eastAsia="仿宋" w:cs="Times New Roman"/>
          <w:color w:val="auto"/>
          <w:kern w:val="2"/>
          <w:sz w:val="30"/>
          <w:highlight w:val="none"/>
        </w:rPr>
      </w:pPr>
    </w:p>
    <w:p w14:paraId="0BEF33B9">
      <w:pPr>
        <w:spacing w:before="163" w:after="24" w:line="500" w:lineRule="exact"/>
        <w:rPr>
          <w:rFonts w:hint="eastAsia" w:ascii="仿宋" w:hAnsi="仿宋" w:eastAsia="仿宋" w:cs="Times New Roman"/>
          <w:color w:val="auto"/>
          <w:kern w:val="2"/>
          <w:sz w:val="30"/>
          <w:highlight w:val="none"/>
        </w:rPr>
      </w:pPr>
    </w:p>
    <w:p w14:paraId="11FD548C">
      <w:pPr>
        <w:adjustRightInd w:val="0"/>
        <w:snapToGrid w:val="0"/>
        <w:spacing w:before="163" w:after="24" w:line="500" w:lineRule="exact"/>
        <w:ind w:leftChars="-1" w:hanging="2"/>
        <w:jc w:val="center"/>
        <w:rPr>
          <w:rFonts w:hint="default" w:ascii="仿宋" w:hAnsi="仿宋" w:eastAsia="仿宋" w:cs="Times New Roman"/>
          <w:b/>
          <w:color w:val="auto"/>
          <w:kern w:val="2"/>
          <w:sz w:val="30"/>
          <w:highlight w:val="none"/>
        </w:rPr>
      </w:pPr>
      <w:r>
        <w:rPr>
          <w:rFonts w:hint="eastAsia" w:ascii="仿宋" w:hAnsi="仿宋" w:eastAsia="仿宋" w:cs="Times New Roman"/>
          <w:b/>
          <w:color w:val="auto"/>
          <w:kern w:val="2"/>
          <w:sz w:val="30"/>
          <w:highlight w:val="none"/>
        </w:rPr>
        <w:t>甲方：_</w:t>
      </w:r>
      <w:r>
        <w:rPr>
          <w:rFonts w:hint="default" w:ascii="仿宋" w:hAnsi="仿宋" w:eastAsia="仿宋" w:cs="Times New Roman"/>
          <w:b/>
          <w:color w:val="auto"/>
          <w:kern w:val="2"/>
          <w:sz w:val="30"/>
          <w:highlight w:val="none"/>
        </w:rPr>
        <w:t>_____________________</w:t>
      </w:r>
    </w:p>
    <w:p w14:paraId="4458AA1B">
      <w:pPr>
        <w:adjustRightInd w:val="0"/>
        <w:snapToGrid w:val="0"/>
        <w:spacing w:before="163" w:after="24" w:line="500" w:lineRule="exact"/>
        <w:ind w:leftChars="-1" w:hanging="2"/>
        <w:jc w:val="center"/>
        <w:rPr>
          <w:rFonts w:hint="default" w:ascii="仿宋" w:hAnsi="仿宋" w:eastAsia="仿宋" w:cs="Times New Roman"/>
          <w:b/>
          <w:color w:val="auto"/>
          <w:kern w:val="2"/>
          <w:sz w:val="30"/>
          <w:highlight w:val="none"/>
        </w:rPr>
      </w:pPr>
      <w:r>
        <w:rPr>
          <w:rFonts w:hint="eastAsia" w:ascii="仿宋" w:hAnsi="仿宋" w:eastAsia="仿宋" w:cs="Times New Roman"/>
          <w:b/>
          <w:color w:val="auto"/>
          <w:kern w:val="2"/>
          <w:sz w:val="30"/>
          <w:highlight w:val="none"/>
        </w:rPr>
        <w:t>乙方：_</w:t>
      </w:r>
      <w:r>
        <w:rPr>
          <w:rFonts w:hint="default" w:ascii="仿宋" w:hAnsi="仿宋" w:eastAsia="仿宋" w:cs="Times New Roman"/>
          <w:b/>
          <w:color w:val="auto"/>
          <w:kern w:val="2"/>
          <w:sz w:val="30"/>
          <w:highlight w:val="none"/>
        </w:rPr>
        <w:t>_____________________</w:t>
      </w:r>
    </w:p>
    <w:p w14:paraId="483D5920">
      <w:pPr>
        <w:adjustRightInd w:val="0"/>
        <w:snapToGrid w:val="0"/>
        <w:spacing w:before="163" w:after="24" w:line="500" w:lineRule="exact"/>
        <w:ind w:leftChars="-1" w:hanging="2"/>
        <w:jc w:val="center"/>
        <w:rPr>
          <w:rFonts w:hint="default" w:ascii="仿宋" w:hAnsi="仿宋" w:eastAsia="仿宋" w:cs="Times New Roman"/>
          <w:b/>
          <w:color w:val="auto"/>
          <w:kern w:val="2"/>
          <w:sz w:val="30"/>
          <w:highlight w:val="none"/>
        </w:rPr>
      </w:pPr>
    </w:p>
    <w:p w14:paraId="4B4985EC">
      <w:pPr>
        <w:adjustRightInd w:val="0"/>
        <w:snapToGrid w:val="0"/>
        <w:spacing w:before="163" w:line="500" w:lineRule="exact"/>
        <w:ind w:leftChars="-1" w:hanging="2"/>
        <w:jc w:val="center"/>
        <w:rPr>
          <w:rFonts w:hint="eastAsia" w:ascii="仿宋" w:hAnsi="仿宋" w:eastAsia="仿宋" w:cs="Times New Roman"/>
          <w:b/>
          <w:color w:val="auto"/>
          <w:kern w:val="2"/>
          <w:sz w:val="30"/>
          <w:highlight w:val="none"/>
        </w:rPr>
      </w:pPr>
      <w:r>
        <w:rPr>
          <w:rFonts w:hint="eastAsia" w:ascii="仿宋" w:hAnsi="仿宋" w:eastAsia="仿宋" w:cs="Times New Roman"/>
          <w:b/>
          <w:color w:val="auto"/>
          <w:kern w:val="2"/>
          <w:sz w:val="30"/>
          <w:highlight w:val="none"/>
        </w:rPr>
        <w:t>签订日期：</w:t>
      </w:r>
      <w:r>
        <w:rPr>
          <w:rFonts w:hint="eastAsia" w:ascii="仿宋_GB2312" w:hAnsi="宋体" w:eastAsia="仿宋_GB2312" w:cs="Times New Roman"/>
          <w:b/>
          <w:color w:val="auto"/>
          <w:kern w:val="2"/>
          <w:sz w:val="30"/>
          <w:szCs w:val="30"/>
          <w:highlight w:val="none"/>
          <w:u w:val="single"/>
        </w:rPr>
        <w:t xml:space="preserve">    </w:t>
      </w:r>
      <w:r>
        <w:rPr>
          <w:rFonts w:hint="eastAsia" w:ascii="仿宋" w:hAnsi="仿宋" w:eastAsia="仿宋" w:cs="Times New Roman"/>
          <w:b/>
          <w:color w:val="auto"/>
          <w:kern w:val="2"/>
          <w:sz w:val="30"/>
          <w:highlight w:val="none"/>
        </w:rPr>
        <w:t>年</w:t>
      </w:r>
      <w:r>
        <w:rPr>
          <w:rFonts w:hint="eastAsia" w:ascii="仿宋_GB2312" w:hAnsi="宋体" w:eastAsia="仿宋_GB2312" w:cs="Times New Roman"/>
          <w:b/>
          <w:color w:val="auto"/>
          <w:kern w:val="2"/>
          <w:sz w:val="30"/>
          <w:szCs w:val="30"/>
          <w:highlight w:val="none"/>
          <w:u w:val="single"/>
        </w:rPr>
        <w:t xml:space="preserve">    </w:t>
      </w:r>
      <w:r>
        <w:rPr>
          <w:rFonts w:hint="eastAsia" w:ascii="仿宋" w:hAnsi="仿宋" w:eastAsia="仿宋" w:cs="Times New Roman"/>
          <w:b/>
          <w:color w:val="auto"/>
          <w:kern w:val="2"/>
          <w:sz w:val="30"/>
          <w:highlight w:val="none"/>
        </w:rPr>
        <w:t>月</w:t>
      </w:r>
      <w:r>
        <w:rPr>
          <w:rFonts w:hint="eastAsia" w:ascii="仿宋_GB2312" w:hAnsi="宋体" w:eastAsia="仿宋_GB2312" w:cs="Times New Roman"/>
          <w:b/>
          <w:color w:val="auto"/>
          <w:kern w:val="2"/>
          <w:sz w:val="30"/>
          <w:szCs w:val="30"/>
          <w:highlight w:val="none"/>
          <w:u w:val="single"/>
        </w:rPr>
        <w:t xml:space="preserve">    </w:t>
      </w:r>
      <w:r>
        <w:rPr>
          <w:rFonts w:hint="eastAsia" w:ascii="仿宋" w:hAnsi="仿宋" w:eastAsia="仿宋" w:cs="Times New Roman"/>
          <w:b/>
          <w:color w:val="auto"/>
          <w:kern w:val="2"/>
          <w:sz w:val="30"/>
          <w:highlight w:val="none"/>
        </w:rPr>
        <w:t>日</w:t>
      </w:r>
    </w:p>
    <w:p w14:paraId="6754970E">
      <w:pPr>
        <w:spacing w:before="80" w:after="80" w:line="360" w:lineRule="auto"/>
        <w:jc w:val="center"/>
        <w:rPr>
          <w:rFonts w:hint="default" w:ascii="华文中宋" w:hAnsi="华文中宋" w:eastAsia="华文中宋" w:cs="Times New Roman"/>
          <w:b/>
          <w:color w:val="auto"/>
          <w:kern w:val="2"/>
          <w:sz w:val="32"/>
          <w:szCs w:val="28"/>
          <w:highlight w:val="none"/>
        </w:rPr>
      </w:pPr>
    </w:p>
    <w:p w14:paraId="69742550">
      <w:pPr>
        <w:spacing w:before="80" w:after="80" w:line="276" w:lineRule="auto"/>
        <w:jc w:val="center"/>
        <w:rPr>
          <w:rFonts w:ascii="华文中宋" w:hAnsi="华文中宋" w:eastAsia="华文中宋"/>
          <w:color w:val="auto"/>
          <w:sz w:val="32"/>
          <w:szCs w:val="28"/>
          <w:highlight w:val="none"/>
        </w:rPr>
        <w:sectPr>
          <w:footerReference r:id="rId25" w:type="default"/>
          <w:pgSz w:w="11906" w:h="16838"/>
          <w:pgMar w:top="1440" w:right="1800" w:bottom="1440" w:left="1800" w:header="851" w:footer="992" w:gutter="0"/>
          <w:cols w:space="720" w:num="1"/>
          <w:titlePg/>
          <w:docGrid w:type="lines" w:linePitch="312" w:charSpace="0"/>
        </w:sectPr>
      </w:pPr>
    </w:p>
    <w:p w14:paraId="1C0F6DE8">
      <w:pPr>
        <w:spacing w:before="80" w:after="80" w:line="276" w:lineRule="auto"/>
        <w:jc w:val="center"/>
        <w:rPr>
          <w:rFonts w:hint="default" w:eastAsia="宋体" w:cs="Times New Roman"/>
          <w:color w:val="auto"/>
          <w:kern w:val="2"/>
          <w:highlight w:val="none"/>
        </w:rPr>
      </w:pPr>
      <w:r>
        <w:rPr>
          <w:rFonts w:hint="eastAsia" w:ascii="华文中宋" w:hAnsi="华文中宋" w:eastAsia="华文中宋" w:cs="Times New Roman"/>
          <w:color w:val="auto"/>
          <w:kern w:val="2"/>
          <w:sz w:val="36"/>
          <w:szCs w:val="32"/>
          <w:highlight w:val="none"/>
        </w:rPr>
        <w:t>目录</w:t>
      </w:r>
      <w:r>
        <w:rPr>
          <w:rFonts w:hint="default" w:ascii="华文中宋" w:hAnsi="华文中宋" w:eastAsia="华文中宋" w:cs="Times New Roman"/>
          <w:color w:val="auto"/>
          <w:kern w:val="2"/>
          <w:sz w:val="32"/>
          <w:szCs w:val="28"/>
          <w:highlight w:val="none"/>
        </w:rPr>
        <w:fldChar w:fldCharType="begin"/>
      </w:r>
      <w:r>
        <w:rPr>
          <w:rFonts w:hint="default" w:ascii="华文中宋" w:hAnsi="华文中宋" w:eastAsia="华文中宋" w:cs="Times New Roman"/>
          <w:color w:val="auto"/>
          <w:kern w:val="2"/>
          <w:sz w:val="32"/>
          <w:szCs w:val="28"/>
          <w:highlight w:val="none"/>
        </w:rPr>
        <w:instrText xml:space="preserve"> TOC \o "1-2" \h \z \u </w:instrText>
      </w:r>
      <w:r>
        <w:rPr>
          <w:rFonts w:hint="default" w:ascii="华文中宋" w:hAnsi="华文中宋" w:eastAsia="华文中宋" w:cs="Times New Roman"/>
          <w:color w:val="auto"/>
          <w:kern w:val="2"/>
          <w:sz w:val="32"/>
          <w:szCs w:val="28"/>
          <w:highlight w:val="none"/>
        </w:rPr>
        <w:fldChar w:fldCharType="separate"/>
      </w:r>
    </w:p>
    <w:p w14:paraId="38A28E3A">
      <w:pPr>
        <w:keepNext w:val="0"/>
        <w:keepLines w:val="0"/>
        <w:pageBreakBefore w:val="0"/>
        <w:widowControl w:val="0"/>
        <w:tabs>
          <w:tab w:val="left" w:pos="1050"/>
          <w:tab w:val="right" w:leader="dot" w:pos="8296"/>
        </w:tabs>
        <w:kinsoku/>
        <w:wordWrap/>
        <w:overflowPunct/>
        <w:topLinePunct w:val="0"/>
        <w:autoSpaceDE/>
        <w:autoSpaceDN/>
        <w:bidi w:val="0"/>
        <w:adjustRightInd/>
        <w:snapToGrid/>
        <w:spacing w:line="360" w:lineRule="auto"/>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"_Toc22234157"</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第一章</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 xml:space="preserve"> 定义与解释</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_Toc22234157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1</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1D9E114D">
      <w:pPr>
        <w:keepNext w:val="0"/>
        <w:keepLines w:val="0"/>
        <w:pageBreakBefore w:val="0"/>
        <w:widowControl w:val="0"/>
        <w:tabs>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"_Toc22234158"</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第1条   定义</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_Toc22234158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1</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158FBFE4">
      <w:pPr>
        <w:keepNext w:val="0"/>
        <w:keepLines w:val="0"/>
        <w:pageBreakBefore w:val="0"/>
        <w:widowControl w:val="0"/>
        <w:tabs>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"_Toc22234159"</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第2条   解释</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_Toc22234159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3</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3FED3043">
      <w:pPr>
        <w:keepNext w:val="0"/>
        <w:keepLines w:val="0"/>
        <w:pageBreakBefore w:val="0"/>
        <w:widowControl w:val="0"/>
        <w:tabs>
          <w:tab w:val="left" w:pos="1050"/>
          <w:tab w:val="right" w:leader="dot" w:pos="8296"/>
        </w:tabs>
        <w:kinsoku/>
        <w:wordWrap/>
        <w:overflowPunct/>
        <w:topLinePunct w:val="0"/>
        <w:autoSpaceDE/>
        <w:autoSpaceDN/>
        <w:bidi w:val="0"/>
        <w:adjustRightInd/>
        <w:snapToGrid/>
        <w:spacing w:line="360" w:lineRule="auto"/>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"_Toc22234160"</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第二章</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协议的生效和有效期</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_Toc22234160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3</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4E5BE60E">
      <w:pPr>
        <w:keepNext w:val="0"/>
        <w:keepLines w:val="0"/>
        <w:pageBreakBefore w:val="0"/>
        <w:widowControl w:val="0"/>
        <w:tabs>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"_Toc22234161"</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第3条   生效日</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_Toc22234161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3</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2F16EA5A">
      <w:pPr>
        <w:keepNext w:val="0"/>
        <w:keepLines w:val="0"/>
        <w:pageBreakBefore w:val="0"/>
        <w:widowControl w:val="0"/>
        <w:tabs>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"_Toc22234162"</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第4条   有效期</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_Toc22234162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4</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750987EB">
      <w:pPr>
        <w:keepNext w:val="0"/>
        <w:keepLines w:val="0"/>
        <w:pageBreakBefore w:val="0"/>
        <w:widowControl w:val="0"/>
        <w:tabs>
          <w:tab w:val="left" w:pos="1050"/>
          <w:tab w:val="right" w:leader="dot" w:pos="8296"/>
        </w:tabs>
        <w:kinsoku/>
        <w:wordWrap/>
        <w:overflowPunct/>
        <w:topLinePunct w:val="0"/>
        <w:autoSpaceDE/>
        <w:autoSpaceDN/>
        <w:bidi w:val="0"/>
        <w:adjustRightInd/>
        <w:snapToGrid/>
        <w:spacing w:line="360" w:lineRule="auto"/>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"_Toc22234163"</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第三章</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污水水质、管网、污泥、噪声及臭气标准</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_Toc22234163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4</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3C5299F2">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"_Toc22234164"</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第5条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进水及出水水质标准</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_Toc22234164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4</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71DEAE0F">
      <w:pPr>
        <w:keepNext w:val="0"/>
        <w:keepLines w:val="0"/>
        <w:pageBreakBefore w:val="0"/>
        <w:widowControl w:val="0"/>
        <w:tabs>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"_Toc22234165"</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第6条 污水管网运营维护标准</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_Toc22234165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4</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75A8E7E6">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"_Toc22234166"</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第7条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污泥出厂标准</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_Toc22234166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5</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44D58C8E">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"_Toc22234167"</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第8条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噪声、臭气标准</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_Toc22234167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5</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39F9F3BD">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"_Toc22234168"</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第9条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对新标准的执行</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_Toc22234168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5</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16DFF598">
      <w:pPr>
        <w:keepNext w:val="0"/>
        <w:keepLines w:val="0"/>
        <w:pageBreakBefore w:val="0"/>
        <w:widowControl w:val="0"/>
        <w:tabs>
          <w:tab w:val="left" w:pos="1050"/>
          <w:tab w:val="right" w:leader="dot" w:pos="8296"/>
        </w:tabs>
        <w:kinsoku/>
        <w:wordWrap/>
        <w:overflowPunct/>
        <w:topLinePunct w:val="0"/>
        <w:autoSpaceDE/>
        <w:autoSpaceDN/>
        <w:bidi w:val="0"/>
        <w:adjustRightInd/>
        <w:snapToGrid/>
        <w:spacing w:line="360" w:lineRule="auto"/>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"_Toc22234169"</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第四章</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检测、检查及处理</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_Toc22234169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5</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4D54EF03">
      <w:pPr>
        <w:keepNext w:val="0"/>
        <w:keepLines w:val="0"/>
        <w:pageBreakBefore w:val="0"/>
        <w:widowControl w:val="0"/>
        <w:tabs>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"_Toc22234170"</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第10条 乙方检测义务</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_Toc22234170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5</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02C00F4D">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"_Toc22234171"</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第11条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检测依据</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_Toc22234171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6</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32C4A1ED">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"_Toc22234172"</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第12条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进水和出水水质的日常检测、定期检测和在线检测</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_Toc22234172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6</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376D2358">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"_Toc22234173"</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第13条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检测结果的报告</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_Toc22234173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7</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4359FADC">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"_Toc22234174"</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第14条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检查及结果通知</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_Toc22234174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7</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27E7F230">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"_Toc22234175"</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第15条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出水水质不符合标准的处理</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_Toc22234175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9</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3756C70A">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"_Toc22234176"</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第16条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进水不符合标准的处理</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_Toc22234176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9</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7D1FE79C">
      <w:pPr>
        <w:keepNext w:val="0"/>
        <w:keepLines w:val="0"/>
        <w:pageBreakBefore w:val="0"/>
        <w:widowControl w:val="0"/>
        <w:tabs>
          <w:tab w:val="left" w:pos="1050"/>
          <w:tab w:val="right" w:leader="dot" w:pos="8296"/>
        </w:tabs>
        <w:kinsoku/>
        <w:wordWrap/>
        <w:overflowPunct/>
        <w:topLinePunct w:val="0"/>
        <w:autoSpaceDE/>
        <w:autoSpaceDN/>
        <w:bidi w:val="0"/>
        <w:adjustRightInd/>
        <w:snapToGrid/>
        <w:spacing w:line="360" w:lineRule="auto"/>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"_Toc22234177"</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第五章</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污水计量</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_Toc22234177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11</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3F5C61F2">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"_Toc22234178"</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第17条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进、出水流量计</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_Toc22234178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11</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6024D980">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"_Toc22234179"</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第18条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液位计</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_Toc22234179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11</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459C2A39">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"_Toc22234180"</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第19条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流量计计量</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_Toc22234180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12</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7EC4B8E0">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"_Toc22234181"</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第20条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液位控制</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_Toc22234181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14</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4663E1AF">
      <w:pPr>
        <w:keepNext w:val="0"/>
        <w:keepLines w:val="0"/>
        <w:pageBreakBefore w:val="0"/>
        <w:widowControl w:val="0"/>
        <w:tabs>
          <w:tab w:val="left" w:pos="1050"/>
          <w:tab w:val="right" w:leader="dot" w:pos="8296"/>
        </w:tabs>
        <w:kinsoku/>
        <w:wordWrap/>
        <w:overflowPunct/>
        <w:topLinePunct w:val="0"/>
        <w:autoSpaceDE/>
        <w:autoSpaceDN/>
        <w:bidi w:val="0"/>
        <w:adjustRightInd/>
        <w:snapToGrid/>
        <w:spacing w:line="360" w:lineRule="auto"/>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"_Toc22234182"</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第六章</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仪表校准及管理</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_Toc22234182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15</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51E9448E">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"_Toc22234183"</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第21条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测量仪表校准</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_Toc22234183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15</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372CEEFB">
      <w:pPr>
        <w:keepNext w:val="0"/>
        <w:keepLines w:val="0"/>
        <w:pageBreakBefore w:val="0"/>
        <w:widowControl w:val="0"/>
        <w:tabs>
          <w:tab w:val="left" w:pos="1050"/>
          <w:tab w:val="right" w:leader="dot" w:pos="8296"/>
        </w:tabs>
        <w:kinsoku/>
        <w:wordWrap/>
        <w:overflowPunct/>
        <w:topLinePunct w:val="0"/>
        <w:autoSpaceDE/>
        <w:autoSpaceDN/>
        <w:bidi w:val="0"/>
        <w:adjustRightInd/>
        <w:snapToGrid/>
        <w:spacing w:line="360" w:lineRule="auto"/>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"_Toc22234184"</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第七章</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运营维护监管与报告</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_Toc22234184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16</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2D1C812A">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"_Toc22234185"</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第22条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监管</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_Toc22234185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16</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5837ECD0">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"_Toc22234186"</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第23条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运营维护手册</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_Toc22234186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17</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532E7F44">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"_Toc22234187"</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第24条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报告</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_Toc22234187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17</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72B293A8">
      <w:pPr>
        <w:keepNext w:val="0"/>
        <w:keepLines w:val="0"/>
        <w:pageBreakBefore w:val="0"/>
        <w:widowControl w:val="0"/>
        <w:tabs>
          <w:tab w:val="left" w:pos="1050"/>
          <w:tab w:val="right" w:leader="dot" w:pos="8296"/>
        </w:tabs>
        <w:kinsoku/>
        <w:wordWrap/>
        <w:overflowPunct/>
        <w:topLinePunct w:val="0"/>
        <w:autoSpaceDE/>
        <w:autoSpaceDN/>
        <w:bidi w:val="0"/>
        <w:adjustRightInd/>
        <w:snapToGrid/>
        <w:spacing w:line="360" w:lineRule="auto"/>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"_Toc22234188"</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第八章</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 xml:space="preserve">  暂停</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_Toc22234188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18</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03746F65">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"_Toc22234189"</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第25条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计划内暂停</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_Toc22234189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18</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206BABC5">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"_Toc22234190"</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第26条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计划外暂停</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_Toc22234190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19</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357448BC">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"_Toc22234191"</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第27条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暂停服务的恢复</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_Toc22234191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20</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37BBB15D">
      <w:pPr>
        <w:keepNext w:val="0"/>
        <w:keepLines w:val="0"/>
        <w:pageBreakBefore w:val="0"/>
        <w:widowControl w:val="0"/>
        <w:tabs>
          <w:tab w:val="left" w:pos="1050"/>
          <w:tab w:val="right" w:leader="dot" w:pos="8296"/>
        </w:tabs>
        <w:kinsoku/>
        <w:wordWrap/>
        <w:overflowPunct/>
        <w:topLinePunct w:val="0"/>
        <w:autoSpaceDE/>
        <w:autoSpaceDN/>
        <w:bidi w:val="0"/>
        <w:adjustRightInd/>
        <w:snapToGrid/>
        <w:spacing w:line="360" w:lineRule="auto"/>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"_Toc22234192"</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第九章</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 xml:space="preserve">  违约责任</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_Toc22234192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20</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61A88B81">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"_Toc22234193"</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第28条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违约责任</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_Toc22234193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20</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014E8305">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"_Toc22234194"</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第29条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违约金</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_Toc22234194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21</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7B5CA03A">
      <w:pPr>
        <w:keepNext w:val="0"/>
        <w:keepLines w:val="0"/>
        <w:pageBreakBefore w:val="0"/>
        <w:widowControl w:val="0"/>
        <w:tabs>
          <w:tab w:val="left" w:pos="1050"/>
          <w:tab w:val="right" w:leader="dot" w:pos="8296"/>
        </w:tabs>
        <w:kinsoku/>
        <w:wordWrap/>
        <w:overflowPunct/>
        <w:topLinePunct w:val="0"/>
        <w:autoSpaceDE/>
        <w:autoSpaceDN/>
        <w:bidi w:val="0"/>
        <w:adjustRightInd/>
        <w:snapToGrid/>
        <w:spacing w:line="360" w:lineRule="auto"/>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"_Toc22234195"</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第十章</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 xml:space="preserve">  协议的变更、终止</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_Toc22234195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22</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08C2AFBD">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"_Toc22234196"</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第30条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协议的变更</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_Toc22234196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22</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3BE7F404">
      <w:pPr>
        <w:keepNext w:val="0"/>
        <w:keepLines w:val="0"/>
        <w:pageBreakBefore w:val="0"/>
        <w:widowControl w:val="0"/>
        <w:tabs>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"_Toc22234197"</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第31条 终止事件</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_Toc22234197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23</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2D117B93">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"_Toc22234198"</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第32条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因甲方违约的终止</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_Toc22234198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23</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68117B69">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"_Toc22234199"</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第33条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因乙方违约的终止</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_Toc22234199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23</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69DF0483">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"_Toc22234200"</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第34条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提前终止后续处理</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_Toc22234200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24</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48C0A3D4">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hint="default" w:ascii="Times New Roman" w:hAnsi="Times New Roman" w:eastAsia="等线"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"_Toc22234201"</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第35条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提前终止的补偿</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_Toc22234201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24</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7F4E40C4">
      <w:pPr>
        <w:keepNext w:val="0"/>
        <w:keepLines w:val="0"/>
        <w:pageBreakBefore w:val="0"/>
        <w:widowControl w:val="0"/>
        <w:tabs>
          <w:tab w:val="left" w:pos="1470"/>
          <w:tab w:val="right" w:leader="dot" w:pos="8296"/>
        </w:tabs>
        <w:kinsoku/>
        <w:wordWrap/>
        <w:overflowPunct/>
        <w:topLinePunct w:val="0"/>
        <w:autoSpaceDE/>
        <w:autoSpaceDN/>
        <w:bidi w:val="0"/>
        <w:adjustRightInd/>
        <w:snapToGrid/>
        <w:spacing w:line="360" w:lineRule="auto"/>
        <w:ind w:left="420" w:leftChars="200"/>
        <w:jc w:val="both"/>
        <w:textAlignment w:val="auto"/>
        <w:rPr>
          <w:rFonts w:ascii="等线" w:hAnsi="等线" w:eastAsia="等线" w:cs="Times New Roman"/>
          <w:color w:val="auto"/>
          <w:kern w:val="2"/>
          <w:sz w:val="21"/>
          <w:szCs w:val="22"/>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instrText xml:space="preserve">HYPERLINK \l "_Toc22234202"</w:instrText>
      </w:r>
      <w:r>
        <w:rPr>
          <w:rFonts w:hint="default" w:ascii="Times New Roman" w:hAnsi="Times New Roman" w:eastAsia="宋体" w:cs="Times New Roman"/>
          <w:color w:val="auto"/>
          <w:kern w:val="2"/>
          <w:sz w:val="24"/>
          <w:szCs w:val="24"/>
          <w:highlight w:val="none"/>
          <w:u w:val="single"/>
          <w:lang w:val="en-US" w:eastAsia="zh-CN" w:bidi="ar-SA"/>
        </w:rPr>
        <w:instrText xml:space="preserve">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仿宋" w:cs="Times New Roman"/>
          <w:color w:val="auto"/>
          <w:kern w:val="2"/>
          <w:sz w:val="24"/>
          <w:szCs w:val="24"/>
          <w:highlight w:val="none"/>
          <w:u w:val="single"/>
          <w:lang w:val="en-US" w:eastAsia="zh-CN" w:bidi="ar-SA"/>
        </w:rPr>
        <w:t>第36条</w:t>
      </w:r>
      <w:r>
        <w:rPr>
          <w:rFonts w:hint="default" w:ascii="Times New Roman" w:hAnsi="Times New Roman" w:eastAsia="等线" w:cs="Times New Roman"/>
          <w:color w:val="auto"/>
          <w:kern w:val="2"/>
          <w:sz w:val="24"/>
          <w:szCs w:val="24"/>
          <w:highlight w:val="none"/>
          <w:lang w:val="en-US" w:eastAsia="zh-CN" w:bidi="ar-SA"/>
        </w:rPr>
        <w:tab/>
      </w:r>
      <w:r>
        <w:rPr>
          <w:rFonts w:hint="default" w:ascii="Times New Roman" w:hAnsi="Times New Roman" w:eastAsia="仿宋" w:cs="Times New Roman"/>
          <w:color w:val="auto"/>
          <w:kern w:val="2"/>
          <w:sz w:val="24"/>
          <w:szCs w:val="24"/>
          <w:highlight w:val="none"/>
          <w:u w:val="single"/>
          <w:lang w:val="en-US" w:eastAsia="zh-CN" w:bidi="ar-SA"/>
        </w:rPr>
        <w:t>其他条款</w:t>
      </w:r>
      <w:r>
        <w:rPr>
          <w:rFonts w:hint="default" w:ascii="Times New Roman" w:hAnsi="Times New Roman" w:eastAsia="宋体" w:cs="Times New Roman"/>
          <w:color w:val="auto"/>
          <w:kern w:val="2"/>
          <w:sz w:val="24"/>
          <w:szCs w:val="24"/>
          <w:highlight w:val="none"/>
          <w:lang w:val="en-US" w:eastAsia="zh-CN" w:bidi="ar-SA"/>
        </w:rPr>
        <w:tab/>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PAGEREF _Toc22234202 \h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24</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fldChar w:fldCharType="end"/>
      </w:r>
    </w:p>
    <w:p w14:paraId="60980878">
      <w:pPr>
        <w:spacing w:before="80" w:after="80" w:line="360" w:lineRule="auto"/>
        <w:rPr>
          <w:rFonts w:ascii="华文中宋" w:hAnsi="华文中宋" w:eastAsia="华文中宋"/>
          <w:color w:val="auto"/>
          <w:sz w:val="32"/>
          <w:szCs w:val="28"/>
          <w:highlight w:val="none"/>
        </w:rPr>
        <w:sectPr>
          <w:footerReference r:id="rId26" w:type="default"/>
          <w:pgSz w:w="11906" w:h="16838"/>
          <w:pgMar w:top="1440" w:right="1800" w:bottom="1440" w:left="1800" w:header="851" w:footer="992" w:gutter="0"/>
          <w:pgNumType w:fmt="upperRoman" w:start="1"/>
          <w:cols w:space="720" w:num="1"/>
          <w:docGrid w:type="lines" w:linePitch="312" w:charSpace="0"/>
        </w:sectPr>
      </w:pPr>
      <w:r>
        <w:rPr>
          <w:rFonts w:hint="default" w:ascii="华文中宋" w:hAnsi="华文中宋" w:eastAsia="华文中宋" w:cs="Times New Roman"/>
          <w:color w:val="auto"/>
          <w:kern w:val="2"/>
          <w:sz w:val="32"/>
          <w:szCs w:val="28"/>
          <w:highlight w:val="none"/>
        </w:rPr>
        <w:fldChar w:fldCharType="end"/>
      </w:r>
    </w:p>
    <w:p w14:paraId="5FCA8021">
      <w:pPr>
        <w:spacing w:before="80" w:after="80" w:line="360" w:lineRule="auto"/>
        <w:rPr>
          <w:rFonts w:hint="default" w:ascii="仿宋" w:hAnsi="仿宋" w:eastAsia="仿宋" w:cs="Times New Roman"/>
          <w:b/>
          <w:color w:val="auto"/>
          <w:kern w:val="0"/>
          <w:sz w:val="24"/>
          <w:szCs w:val="24"/>
          <w:highlight w:val="none"/>
        </w:rPr>
      </w:pPr>
      <w:r>
        <w:rPr>
          <w:rFonts w:hint="eastAsia" w:ascii="仿宋" w:hAnsi="仿宋" w:eastAsia="仿宋" w:cs="Times New Roman"/>
          <w:b/>
          <w:color w:val="auto"/>
          <w:kern w:val="0"/>
          <w:sz w:val="24"/>
          <w:szCs w:val="24"/>
          <w:highlight w:val="none"/>
        </w:rPr>
        <w:t>本协议由以下双方于</w:t>
      </w:r>
      <w:r>
        <w:rPr>
          <w:rFonts w:hint="eastAsia" w:ascii="仿宋_GB2312" w:hAnsi="宋体" w:eastAsia="仿宋_GB2312" w:cs="Times New Roman"/>
          <w:b/>
          <w:color w:val="auto"/>
          <w:kern w:val="2"/>
          <w:sz w:val="30"/>
          <w:szCs w:val="30"/>
          <w:highlight w:val="none"/>
          <w:u w:val="single"/>
        </w:rPr>
        <w:t xml:space="preserve">    </w:t>
      </w:r>
      <w:r>
        <w:rPr>
          <w:rFonts w:hint="eastAsia" w:ascii="仿宋" w:hAnsi="仿宋" w:eastAsia="仿宋" w:cs="Times New Roman"/>
          <w:b/>
          <w:color w:val="auto"/>
          <w:kern w:val="0"/>
          <w:sz w:val="24"/>
          <w:szCs w:val="24"/>
          <w:highlight w:val="none"/>
        </w:rPr>
        <w:t>年</w:t>
      </w:r>
      <w:r>
        <w:rPr>
          <w:rFonts w:hint="eastAsia" w:ascii="仿宋_GB2312" w:hAnsi="宋体" w:eastAsia="仿宋_GB2312" w:cs="Times New Roman"/>
          <w:b/>
          <w:color w:val="auto"/>
          <w:kern w:val="2"/>
          <w:sz w:val="30"/>
          <w:szCs w:val="30"/>
          <w:highlight w:val="none"/>
          <w:u w:val="single"/>
        </w:rPr>
        <w:t xml:space="preserve">    </w:t>
      </w:r>
      <w:r>
        <w:rPr>
          <w:rFonts w:hint="eastAsia" w:ascii="仿宋" w:hAnsi="仿宋" w:eastAsia="仿宋" w:cs="Times New Roman"/>
          <w:b/>
          <w:color w:val="auto"/>
          <w:kern w:val="0"/>
          <w:sz w:val="24"/>
          <w:szCs w:val="24"/>
          <w:highlight w:val="none"/>
        </w:rPr>
        <w:t>月</w:t>
      </w:r>
      <w:r>
        <w:rPr>
          <w:rFonts w:hint="eastAsia" w:ascii="仿宋_GB2312" w:hAnsi="宋体" w:eastAsia="仿宋_GB2312" w:cs="Times New Roman"/>
          <w:b/>
          <w:color w:val="auto"/>
          <w:kern w:val="2"/>
          <w:sz w:val="30"/>
          <w:szCs w:val="30"/>
          <w:highlight w:val="none"/>
          <w:u w:val="single"/>
        </w:rPr>
        <w:t xml:space="preserve">    </w:t>
      </w:r>
      <w:r>
        <w:rPr>
          <w:rFonts w:hint="eastAsia" w:ascii="仿宋" w:hAnsi="仿宋" w:eastAsia="仿宋" w:cs="Times New Roman"/>
          <w:b/>
          <w:color w:val="auto"/>
          <w:kern w:val="0"/>
          <w:sz w:val="24"/>
          <w:szCs w:val="24"/>
          <w:highlight w:val="none"/>
        </w:rPr>
        <w:t>日在</w:t>
      </w:r>
      <w:r>
        <w:rPr>
          <w:rFonts w:hint="eastAsia" w:ascii="仿宋_GB2312" w:hAnsi="宋体" w:eastAsia="仿宋_GB2312" w:cs="Times New Roman"/>
          <w:b/>
          <w:color w:val="auto"/>
          <w:kern w:val="2"/>
          <w:sz w:val="30"/>
          <w:szCs w:val="30"/>
          <w:highlight w:val="none"/>
          <w:u w:val="single"/>
        </w:rPr>
        <w:t xml:space="preserve">    </w:t>
      </w:r>
      <w:r>
        <w:rPr>
          <w:rFonts w:hint="eastAsia" w:ascii="仿宋" w:hAnsi="仿宋" w:eastAsia="仿宋" w:cs="Times New Roman"/>
          <w:b/>
          <w:color w:val="auto"/>
          <w:kern w:val="0"/>
          <w:sz w:val="24"/>
          <w:szCs w:val="24"/>
          <w:highlight w:val="none"/>
        </w:rPr>
        <w:t>签署：</w:t>
      </w:r>
    </w:p>
    <w:p w14:paraId="7FB3A5FB">
      <w:pPr>
        <w:spacing w:line="480" w:lineRule="auto"/>
        <w:rPr>
          <w:rFonts w:hint="default" w:ascii="仿宋" w:hAnsi="仿宋" w:eastAsia="仿宋" w:cs="Times New Roman"/>
          <w:color w:val="auto"/>
          <w:kern w:val="0"/>
          <w:sz w:val="24"/>
          <w:szCs w:val="24"/>
          <w:highlight w:val="none"/>
        </w:rPr>
      </w:pPr>
    </w:p>
    <w:p w14:paraId="6A1C9012">
      <w:pPr>
        <w:spacing w:line="480" w:lineRule="auto"/>
        <w:rPr>
          <w:rFonts w:hint="default" w:ascii="仿宋" w:hAnsi="仿宋" w:eastAsia="仿宋" w:cs="Times New Roman"/>
          <w:b/>
          <w:color w:val="auto"/>
          <w:kern w:val="0"/>
          <w:sz w:val="24"/>
          <w:szCs w:val="24"/>
          <w:highlight w:val="none"/>
        </w:rPr>
      </w:pPr>
      <w:r>
        <w:rPr>
          <w:rFonts w:hint="eastAsia" w:ascii="仿宋" w:hAnsi="仿宋" w:eastAsia="仿宋" w:cs="Times New Roman"/>
          <w:b/>
          <w:color w:val="auto"/>
          <w:kern w:val="0"/>
          <w:sz w:val="24"/>
          <w:szCs w:val="24"/>
          <w:highlight w:val="none"/>
        </w:rPr>
        <w:t>甲方： 【项目实施机构名称】</w:t>
      </w:r>
    </w:p>
    <w:p w14:paraId="69EFAA0D">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注册地址：</w:t>
      </w:r>
      <w:r>
        <w:rPr>
          <w:rFonts w:hint="eastAsia" w:ascii="仿宋" w:hAnsi="仿宋" w:eastAsia="仿宋" w:cs="Times New Roman"/>
          <w:color w:val="auto"/>
          <w:kern w:val="0"/>
          <w:sz w:val="24"/>
          <w:szCs w:val="24"/>
          <w:highlight w:val="none"/>
          <w:u w:val="single"/>
        </w:rPr>
        <w:t xml:space="preserve">                                             </w:t>
      </w:r>
    </w:p>
    <w:p w14:paraId="201EC8D1">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法定</w:t>
      </w:r>
      <w:r>
        <w:rPr>
          <w:rFonts w:hint="default" w:ascii="仿宋" w:hAnsi="仿宋" w:eastAsia="仿宋" w:cs="Times New Roman"/>
          <w:color w:val="auto"/>
          <w:kern w:val="0"/>
          <w:sz w:val="24"/>
          <w:szCs w:val="24"/>
          <w:highlight w:val="none"/>
        </w:rPr>
        <w:t>代</w:t>
      </w:r>
      <w:r>
        <w:rPr>
          <w:rFonts w:hint="eastAsia" w:ascii="仿宋" w:hAnsi="仿宋" w:eastAsia="仿宋" w:cs="Times New Roman"/>
          <w:color w:val="auto"/>
          <w:kern w:val="0"/>
          <w:sz w:val="24"/>
          <w:szCs w:val="24"/>
          <w:highlight w:val="none"/>
        </w:rPr>
        <w:t>表</w:t>
      </w:r>
      <w:r>
        <w:rPr>
          <w:rFonts w:hint="default" w:ascii="仿宋" w:hAnsi="仿宋" w:eastAsia="仿宋" w:cs="Times New Roman"/>
          <w:color w:val="auto"/>
          <w:kern w:val="0"/>
          <w:sz w:val="24"/>
          <w:szCs w:val="24"/>
          <w:highlight w:val="none"/>
        </w:rPr>
        <w:t>人：</w:t>
      </w:r>
      <w:r>
        <w:rPr>
          <w:rFonts w:hint="eastAsia" w:ascii="仿宋" w:hAnsi="仿宋" w:eastAsia="仿宋" w:cs="Times New Roman"/>
          <w:color w:val="auto"/>
          <w:kern w:val="0"/>
          <w:sz w:val="24"/>
          <w:szCs w:val="24"/>
          <w:highlight w:val="none"/>
          <w:u w:val="single"/>
        </w:rPr>
        <w:t xml:space="preserve">                                           </w:t>
      </w:r>
    </w:p>
    <w:p w14:paraId="3839ED23">
      <w:pPr>
        <w:spacing w:line="480" w:lineRule="auto"/>
        <w:rPr>
          <w:rFonts w:hint="default" w:ascii="仿宋" w:hAnsi="仿宋" w:eastAsia="仿宋" w:cs="Times New Roman"/>
          <w:b/>
          <w:color w:val="auto"/>
          <w:kern w:val="0"/>
          <w:sz w:val="24"/>
          <w:szCs w:val="24"/>
          <w:highlight w:val="none"/>
        </w:rPr>
      </w:pPr>
      <w:r>
        <w:rPr>
          <w:rFonts w:hint="eastAsia" w:ascii="仿宋" w:hAnsi="仿宋" w:eastAsia="仿宋" w:cs="Times New Roman"/>
          <w:b/>
          <w:color w:val="auto"/>
          <w:kern w:val="0"/>
          <w:sz w:val="24"/>
          <w:szCs w:val="24"/>
          <w:highlight w:val="none"/>
        </w:rPr>
        <w:t>乙方：【】</w:t>
      </w:r>
    </w:p>
    <w:p w14:paraId="33FDD4CF">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注册地址：</w:t>
      </w:r>
      <w:r>
        <w:rPr>
          <w:rFonts w:hint="eastAsia" w:ascii="仿宋" w:hAnsi="仿宋" w:eastAsia="仿宋" w:cs="Times New Roman"/>
          <w:color w:val="auto"/>
          <w:kern w:val="0"/>
          <w:sz w:val="24"/>
          <w:szCs w:val="24"/>
          <w:highlight w:val="none"/>
          <w:u w:val="single"/>
        </w:rPr>
        <w:t xml:space="preserve">                                             </w:t>
      </w:r>
      <w:r>
        <w:rPr>
          <w:rFonts w:hint="default" w:ascii="仿宋" w:hAnsi="仿宋" w:eastAsia="仿宋" w:cs="Times New Roman"/>
          <w:color w:val="auto"/>
          <w:kern w:val="0"/>
          <w:sz w:val="24"/>
          <w:szCs w:val="24"/>
          <w:highlight w:val="none"/>
          <w:u w:val="single"/>
        </w:rPr>
        <w:t xml:space="preserve"> </w:t>
      </w:r>
    </w:p>
    <w:p w14:paraId="4EEAF947">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法定</w:t>
      </w:r>
      <w:r>
        <w:rPr>
          <w:rFonts w:hint="default" w:ascii="仿宋" w:hAnsi="仿宋" w:eastAsia="仿宋" w:cs="Times New Roman"/>
          <w:color w:val="auto"/>
          <w:kern w:val="0"/>
          <w:sz w:val="24"/>
          <w:szCs w:val="24"/>
          <w:highlight w:val="none"/>
        </w:rPr>
        <w:t>代</w:t>
      </w:r>
      <w:r>
        <w:rPr>
          <w:rFonts w:hint="eastAsia" w:ascii="仿宋" w:hAnsi="仿宋" w:eastAsia="仿宋" w:cs="Times New Roman"/>
          <w:color w:val="auto"/>
          <w:kern w:val="0"/>
          <w:sz w:val="24"/>
          <w:szCs w:val="24"/>
          <w:highlight w:val="none"/>
        </w:rPr>
        <w:t>表</w:t>
      </w:r>
      <w:r>
        <w:rPr>
          <w:rFonts w:hint="default" w:ascii="仿宋" w:hAnsi="仿宋" w:eastAsia="仿宋" w:cs="Times New Roman"/>
          <w:color w:val="auto"/>
          <w:kern w:val="0"/>
          <w:sz w:val="24"/>
          <w:szCs w:val="24"/>
          <w:highlight w:val="none"/>
        </w:rPr>
        <w:t>人：</w:t>
      </w:r>
      <w:r>
        <w:rPr>
          <w:rFonts w:hint="eastAsia" w:ascii="仿宋" w:hAnsi="仿宋" w:eastAsia="仿宋" w:cs="Times New Roman"/>
          <w:color w:val="auto"/>
          <w:kern w:val="0"/>
          <w:sz w:val="24"/>
          <w:szCs w:val="24"/>
          <w:highlight w:val="none"/>
          <w:u w:val="single"/>
        </w:rPr>
        <w:t xml:space="preserve">                                           </w:t>
      </w:r>
      <w:r>
        <w:rPr>
          <w:rFonts w:hint="default" w:ascii="仿宋" w:hAnsi="仿宋" w:eastAsia="仿宋" w:cs="Times New Roman"/>
          <w:color w:val="auto"/>
          <w:kern w:val="0"/>
          <w:sz w:val="24"/>
          <w:szCs w:val="24"/>
          <w:highlight w:val="none"/>
          <w:u w:val="single"/>
        </w:rPr>
        <w:t xml:space="preserve"> </w:t>
      </w:r>
    </w:p>
    <w:p w14:paraId="2C2A6ABC">
      <w:pPr>
        <w:spacing w:line="480" w:lineRule="auto"/>
        <w:ind w:firstLine="424" w:firstLineChars="177"/>
        <w:rPr>
          <w:rFonts w:hint="default" w:ascii="仿宋" w:hAnsi="仿宋" w:eastAsia="仿宋" w:cs="Times New Roman"/>
          <w:color w:val="auto"/>
          <w:kern w:val="0"/>
          <w:sz w:val="24"/>
          <w:szCs w:val="24"/>
          <w:highlight w:val="none"/>
        </w:rPr>
      </w:pPr>
    </w:p>
    <w:p w14:paraId="528E340C">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甲、乙双方已于    年    月    日签署</w:t>
      </w:r>
      <w:r>
        <w:rPr>
          <w:rFonts w:hint="eastAsia" w:ascii="仿宋" w:hAnsi="仿宋" w:eastAsia="仿宋" w:cs="Times New Roman"/>
          <w:color w:val="auto"/>
          <w:kern w:val="0"/>
          <w:sz w:val="24"/>
          <w:szCs w:val="24"/>
          <w:highlight w:val="none"/>
          <w:lang w:eastAsia="zh-CN"/>
        </w:rPr>
        <w:t>《江都城区污水处理设施特许经营项目特许经营协议》（以下简称《特许经营协议》）</w:t>
      </w:r>
      <w:r>
        <w:rPr>
          <w:rFonts w:hint="eastAsia" w:ascii="仿宋" w:hAnsi="仿宋" w:eastAsia="仿宋" w:cs="Times New Roman"/>
          <w:color w:val="auto"/>
          <w:kern w:val="0"/>
          <w:sz w:val="24"/>
          <w:szCs w:val="24"/>
          <w:highlight w:val="none"/>
        </w:rPr>
        <w:t>。为明确双方在项目运营维护</w:t>
      </w:r>
      <w:r>
        <w:rPr>
          <w:rFonts w:hint="default" w:ascii="仿宋" w:hAnsi="仿宋" w:eastAsia="仿宋" w:cs="Times New Roman"/>
          <w:color w:val="auto"/>
          <w:kern w:val="0"/>
          <w:sz w:val="24"/>
          <w:szCs w:val="24"/>
          <w:highlight w:val="none"/>
        </w:rPr>
        <w:t>过程中的权利义务关系，</w:t>
      </w:r>
      <w:r>
        <w:rPr>
          <w:rFonts w:hint="eastAsia" w:ascii="仿宋" w:hAnsi="仿宋" w:eastAsia="仿宋" w:cs="Times New Roman"/>
          <w:color w:val="auto"/>
          <w:kern w:val="0"/>
          <w:sz w:val="24"/>
          <w:szCs w:val="24"/>
          <w:highlight w:val="none"/>
        </w:rPr>
        <w:t>甲、乙双方根据《中华人民共和国</w:t>
      </w:r>
      <w:r>
        <w:rPr>
          <w:rFonts w:hint="eastAsia" w:ascii="仿宋" w:hAnsi="仿宋" w:eastAsia="仿宋" w:cs="Times New Roman"/>
          <w:color w:val="auto"/>
          <w:kern w:val="0"/>
          <w:sz w:val="24"/>
          <w:szCs w:val="24"/>
          <w:highlight w:val="none"/>
          <w:lang w:val="en-US" w:eastAsia="zh-CN"/>
        </w:rPr>
        <w:t>民法典</w:t>
      </w:r>
      <w:r>
        <w:rPr>
          <w:rFonts w:hint="eastAsia" w:ascii="仿宋" w:hAnsi="仿宋" w:eastAsia="仿宋" w:cs="Times New Roman"/>
          <w:color w:val="auto"/>
          <w:kern w:val="0"/>
          <w:sz w:val="24"/>
          <w:szCs w:val="24"/>
          <w:highlight w:val="none"/>
        </w:rPr>
        <w:t>》等相关规定以及</w:t>
      </w:r>
      <w:r>
        <w:rPr>
          <w:rFonts w:hint="default" w:ascii="仿宋" w:hAnsi="仿宋" w:eastAsia="仿宋" w:cs="Times New Roman"/>
          <w:color w:val="auto"/>
          <w:kern w:val="0"/>
          <w:sz w:val="24"/>
          <w:szCs w:val="24"/>
          <w:highlight w:val="none"/>
        </w:rPr>
        <w:t>《</w:t>
      </w:r>
      <w:r>
        <w:rPr>
          <w:rFonts w:hint="eastAsia" w:ascii="仿宋" w:hAnsi="仿宋" w:eastAsia="仿宋" w:cs="Times New Roman"/>
          <w:color w:val="auto"/>
          <w:kern w:val="0"/>
          <w:sz w:val="24"/>
          <w:szCs w:val="24"/>
          <w:highlight w:val="none"/>
        </w:rPr>
        <w:t>特许经营协议</w:t>
      </w:r>
      <w:r>
        <w:rPr>
          <w:rFonts w:hint="default" w:ascii="仿宋" w:hAnsi="仿宋" w:eastAsia="仿宋" w:cs="Times New Roman"/>
          <w:color w:val="auto"/>
          <w:kern w:val="0"/>
          <w:sz w:val="24"/>
          <w:szCs w:val="24"/>
          <w:highlight w:val="none"/>
        </w:rPr>
        <w:t>》</w:t>
      </w:r>
      <w:r>
        <w:rPr>
          <w:rFonts w:hint="eastAsia" w:ascii="仿宋" w:hAnsi="仿宋" w:eastAsia="仿宋" w:cs="Times New Roman"/>
          <w:color w:val="auto"/>
          <w:kern w:val="0"/>
          <w:sz w:val="24"/>
          <w:szCs w:val="24"/>
          <w:highlight w:val="none"/>
        </w:rPr>
        <w:t>约定，遵循平等、合作、守信的原则，就本项目运营维护相关事项协商一致，共同达成如下协议。</w:t>
      </w:r>
    </w:p>
    <w:p w14:paraId="6316A2DD">
      <w:pPr>
        <w:widowControl/>
        <w:jc w:val="left"/>
        <w:rPr>
          <w:rFonts w:hint="default" w:ascii="仿宋" w:hAnsi="仿宋" w:eastAsia="仿宋" w:cs="Times New Roman"/>
          <w:color w:val="auto"/>
          <w:kern w:val="0"/>
          <w:sz w:val="24"/>
          <w:szCs w:val="24"/>
          <w:highlight w:val="none"/>
        </w:rPr>
      </w:pPr>
    </w:p>
    <w:p w14:paraId="1991F116">
      <w:pPr>
        <w:keepNext/>
        <w:keepLines/>
        <w:widowControl w:val="0"/>
        <w:jc w:val="center"/>
        <w:outlineLvl w:val="0"/>
        <w:rPr>
          <w:rFonts w:ascii="仿宋" w:hAnsi="仿宋" w:eastAsia="仿宋" w:cs="Times New Roman"/>
          <w:b/>
          <w:bCs/>
          <w:color w:val="auto"/>
          <w:kern w:val="44"/>
          <w:sz w:val="30"/>
          <w:szCs w:val="44"/>
          <w:highlight w:val="none"/>
          <w:lang w:val="en-US" w:eastAsia="zh-CN" w:bidi="ar-SA"/>
        </w:rPr>
      </w:pPr>
      <w:bookmarkStart w:id="524" w:name="_Toc22234157"/>
      <w:r>
        <w:rPr>
          <w:rFonts w:hint="eastAsia" w:ascii="仿宋" w:hAnsi="仿宋" w:eastAsia="仿宋" w:cs="Times New Roman"/>
          <w:b/>
          <w:bCs/>
          <w:color w:val="auto"/>
          <w:kern w:val="44"/>
          <w:sz w:val="30"/>
          <w:szCs w:val="44"/>
          <w:highlight w:val="none"/>
          <w:lang w:val="en-US" w:eastAsia="zh-CN" w:bidi="ar-SA"/>
        </w:rPr>
        <w:t>第一章</w:t>
      </w:r>
      <w:r>
        <w:rPr>
          <w:rFonts w:hint="eastAsia" w:ascii="仿宋" w:hAnsi="仿宋" w:eastAsia="仿宋" w:cs="Times New Roman"/>
          <w:b/>
          <w:bCs/>
          <w:color w:val="auto"/>
          <w:kern w:val="44"/>
          <w:sz w:val="30"/>
          <w:szCs w:val="44"/>
          <w:highlight w:val="none"/>
          <w:lang w:val="en-US" w:eastAsia="zh-CN" w:bidi="ar-SA"/>
        </w:rPr>
        <w:tab/>
      </w:r>
      <w:r>
        <w:rPr>
          <w:rFonts w:hint="eastAsia" w:ascii="仿宋" w:hAnsi="仿宋" w:eastAsia="仿宋" w:cs="Times New Roman"/>
          <w:b/>
          <w:bCs/>
          <w:color w:val="auto"/>
          <w:kern w:val="44"/>
          <w:sz w:val="30"/>
          <w:szCs w:val="44"/>
          <w:highlight w:val="none"/>
          <w:lang w:val="en-US" w:eastAsia="zh-CN" w:bidi="ar-SA"/>
        </w:rPr>
        <w:t>定义与解释</w:t>
      </w:r>
      <w:bookmarkEnd w:id="524"/>
    </w:p>
    <w:p w14:paraId="41A4C79F">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25" w:name="_Toc22234158"/>
      <w:r>
        <w:rPr>
          <w:rFonts w:hint="eastAsia" w:ascii="仿宋" w:hAnsi="仿宋" w:eastAsia="仿宋" w:cs="Times New Roman"/>
          <w:b/>
          <w:bCs/>
          <w:color w:val="auto"/>
          <w:kern w:val="0"/>
          <w:sz w:val="28"/>
          <w:szCs w:val="32"/>
          <w:highlight w:val="none"/>
          <w:lang w:val="en-US" w:eastAsia="zh-CN" w:bidi="ar-SA"/>
        </w:rPr>
        <w:t>第1条 定义</w:t>
      </w:r>
      <w:bookmarkEnd w:id="525"/>
    </w:p>
    <w:p w14:paraId="568B7EA7">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除本协议另有约定外，下列术语应具有本款所指的含义；本协议未作特别定义的术语，与《特许经营协议》中的术语具有相同的含义。</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6713"/>
      </w:tblGrid>
      <w:tr w14:paraId="278EE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9" w:type="dxa"/>
            <w:noWrap w:val="0"/>
            <w:vAlign w:val="center"/>
          </w:tcPr>
          <w:p w14:paraId="336A96FC">
            <w:pPr>
              <w:spacing w:line="480" w:lineRule="auto"/>
              <w:jc w:val="center"/>
              <w:rPr>
                <w:rFonts w:hint="default" w:ascii="仿宋" w:hAnsi="仿宋" w:eastAsia="仿宋" w:cs="Times New Roman"/>
                <w:b/>
                <w:color w:val="auto"/>
                <w:kern w:val="0"/>
                <w:sz w:val="24"/>
                <w:szCs w:val="24"/>
                <w:highlight w:val="none"/>
              </w:rPr>
            </w:pPr>
            <w:r>
              <w:rPr>
                <w:rFonts w:hint="eastAsia" w:ascii="仿宋" w:hAnsi="仿宋" w:eastAsia="仿宋" w:cs="Times New Roman"/>
                <w:b/>
                <w:color w:val="auto"/>
                <w:kern w:val="0"/>
                <w:sz w:val="24"/>
                <w:szCs w:val="24"/>
                <w:highlight w:val="none"/>
              </w:rPr>
              <w:t>术语</w:t>
            </w:r>
          </w:p>
        </w:tc>
        <w:tc>
          <w:tcPr>
            <w:tcW w:w="6713" w:type="dxa"/>
            <w:noWrap w:val="0"/>
            <w:vAlign w:val="center"/>
          </w:tcPr>
          <w:p w14:paraId="6AF3CBAA">
            <w:pPr>
              <w:spacing w:line="480" w:lineRule="auto"/>
              <w:jc w:val="center"/>
              <w:rPr>
                <w:rFonts w:hint="default" w:ascii="仿宋" w:hAnsi="仿宋" w:eastAsia="仿宋" w:cs="Times New Roman"/>
                <w:b/>
                <w:color w:val="auto"/>
                <w:kern w:val="0"/>
                <w:sz w:val="24"/>
                <w:szCs w:val="24"/>
                <w:highlight w:val="none"/>
              </w:rPr>
            </w:pPr>
            <w:r>
              <w:rPr>
                <w:rFonts w:hint="eastAsia" w:ascii="仿宋" w:hAnsi="仿宋" w:eastAsia="仿宋" w:cs="Times New Roman"/>
                <w:b/>
                <w:color w:val="auto"/>
                <w:kern w:val="0"/>
                <w:sz w:val="24"/>
                <w:szCs w:val="24"/>
                <w:highlight w:val="none"/>
              </w:rPr>
              <w:t>定义</w:t>
            </w:r>
          </w:p>
        </w:tc>
      </w:tr>
      <w:tr w14:paraId="65569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9" w:type="dxa"/>
            <w:noWrap w:val="0"/>
            <w:vAlign w:val="center"/>
          </w:tcPr>
          <w:p w14:paraId="24259E07">
            <w:pPr>
              <w:spacing w:line="480" w:lineRule="auto"/>
              <w:jc w:val="center"/>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本协议</w:t>
            </w:r>
          </w:p>
        </w:tc>
        <w:tc>
          <w:tcPr>
            <w:tcW w:w="6713" w:type="dxa"/>
            <w:noWrap w:val="0"/>
            <w:vAlign w:val="center"/>
          </w:tcPr>
          <w:p w14:paraId="08E88C97">
            <w:pPr>
              <w:spacing w:line="480" w:lineRule="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指甲、乙双方共同签署的《</w:t>
            </w:r>
            <w:r>
              <w:rPr>
                <w:rFonts w:hint="eastAsia" w:ascii="仿宋" w:hAnsi="仿宋" w:eastAsia="仿宋" w:cs="Times New Roman"/>
                <w:color w:val="auto"/>
                <w:kern w:val="0"/>
                <w:sz w:val="24"/>
                <w:szCs w:val="24"/>
                <w:highlight w:val="none"/>
                <w:lang w:eastAsia="zh-CN"/>
              </w:rPr>
              <w:t>江都城区污水处理设施</w:t>
            </w:r>
            <w:r>
              <w:rPr>
                <w:rFonts w:hint="eastAsia" w:ascii="仿宋" w:hAnsi="仿宋" w:eastAsia="仿宋" w:cs="Times New Roman"/>
                <w:color w:val="auto"/>
                <w:kern w:val="0"/>
                <w:sz w:val="24"/>
                <w:szCs w:val="24"/>
                <w:highlight w:val="none"/>
              </w:rPr>
              <w:t>特许经营项目</w:t>
            </w:r>
            <w:r>
              <w:rPr>
                <w:rFonts w:hint="eastAsia" w:ascii="仿宋" w:hAnsi="仿宋" w:eastAsia="仿宋" w:cs="Times New Roman"/>
                <w:color w:val="auto"/>
                <w:kern w:val="0"/>
                <w:sz w:val="24"/>
                <w:szCs w:val="24"/>
                <w:highlight w:val="none"/>
                <w:lang w:val="en-US" w:eastAsia="zh-CN"/>
              </w:rPr>
              <w:t>污水处理服务</w:t>
            </w:r>
            <w:r>
              <w:rPr>
                <w:rFonts w:hint="eastAsia" w:ascii="仿宋" w:hAnsi="仿宋" w:eastAsia="仿宋" w:cs="Times New Roman"/>
                <w:color w:val="auto"/>
                <w:kern w:val="0"/>
                <w:sz w:val="24"/>
                <w:szCs w:val="24"/>
                <w:highlight w:val="none"/>
              </w:rPr>
              <w:t>协议》，以及日后可能签署的任何前述协议之补充/修改协议和附件。</w:t>
            </w:r>
          </w:p>
        </w:tc>
      </w:tr>
      <w:tr w14:paraId="43B24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9" w:type="dxa"/>
            <w:noWrap w:val="0"/>
            <w:vAlign w:val="center"/>
          </w:tcPr>
          <w:p w14:paraId="416F2E58">
            <w:pPr>
              <w:spacing w:line="480" w:lineRule="auto"/>
              <w:jc w:val="center"/>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设计水量</w:t>
            </w:r>
          </w:p>
        </w:tc>
        <w:tc>
          <w:tcPr>
            <w:tcW w:w="6713" w:type="dxa"/>
            <w:noWrap w:val="0"/>
            <w:vAlign w:val="center"/>
          </w:tcPr>
          <w:p w14:paraId="3C5E623D">
            <w:pPr>
              <w:spacing w:line="480" w:lineRule="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指经政府相关部门批复的本污水处理厂设计日处理规模。本协议约定的设计水量为日均</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12万</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吨。</w:t>
            </w:r>
          </w:p>
        </w:tc>
      </w:tr>
      <w:tr w14:paraId="2CA0E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9" w:type="dxa"/>
            <w:noWrap w:val="0"/>
            <w:vAlign w:val="center"/>
          </w:tcPr>
          <w:p w14:paraId="420B2A75">
            <w:pPr>
              <w:spacing w:line="480" w:lineRule="auto"/>
              <w:jc w:val="center"/>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实测水量</w:t>
            </w:r>
          </w:p>
        </w:tc>
        <w:tc>
          <w:tcPr>
            <w:tcW w:w="6713" w:type="dxa"/>
            <w:noWrap w:val="0"/>
            <w:vAlign w:val="center"/>
          </w:tcPr>
          <w:p w14:paraId="057621A7">
            <w:pPr>
              <w:spacing w:line="480" w:lineRule="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指在污水处理厂出水流量计上测得的每日实际污水处理量。</w:t>
            </w:r>
          </w:p>
        </w:tc>
      </w:tr>
      <w:tr w14:paraId="33C74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9" w:type="dxa"/>
            <w:noWrap w:val="0"/>
            <w:vAlign w:val="center"/>
          </w:tcPr>
          <w:p w14:paraId="5EBE28B9">
            <w:pPr>
              <w:spacing w:line="480" w:lineRule="auto"/>
              <w:jc w:val="center"/>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进水</w:t>
            </w:r>
          </w:p>
        </w:tc>
        <w:tc>
          <w:tcPr>
            <w:tcW w:w="6713" w:type="dxa"/>
            <w:noWrap w:val="0"/>
            <w:vAlign w:val="center"/>
          </w:tcPr>
          <w:p w14:paraId="25B03D9A">
            <w:pPr>
              <w:spacing w:line="480" w:lineRule="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指纳入本项目合作范围内的管网接收点引入的污水。</w:t>
            </w:r>
          </w:p>
        </w:tc>
      </w:tr>
      <w:tr w14:paraId="61469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9" w:type="dxa"/>
            <w:noWrap w:val="0"/>
            <w:vAlign w:val="center"/>
          </w:tcPr>
          <w:p w14:paraId="13507192">
            <w:pPr>
              <w:spacing w:line="480" w:lineRule="auto"/>
              <w:jc w:val="center"/>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接收点</w:t>
            </w:r>
          </w:p>
        </w:tc>
        <w:tc>
          <w:tcPr>
            <w:tcW w:w="6713" w:type="dxa"/>
            <w:noWrap w:val="0"/>
            <w:vAlign w:val="center"/>
          </w:tcPr>
          <w:p w14:paraId="73D10CD1">
            <w:pPr>
              <w:spacing w:line="480" w:lineRule="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指本协议约定污水纳入本项目进水管网的节点，具体指：_</w:t>
            </w:r>
            <w:r>
              <w:rPr>
                <w:rFonts w:hint="default" w:ascii="仿宋" w:hAnsi="仿宋" w:eastAsia="仿宋" w:cs="Times New Roman"/>
                <w:color w:val="auto"/>
                <w:kern w:val="0"/>
                <w:sz w:val="24"/>
                <w:szCs w:val="24"/>
                <w:highlight w:val="none"/>
              </w:rPr>
              <w:t>__________________________________________________</w:t>
            </w:r>
            <w:r>
              <w:rPr>
                <w:rFonts w:hint="eastAsia" w:ascii="仿宋" w:hAnsi="仿宋" w:eastAsia="仿宋" w:cs="Times New Roman"/>
                <w:color w:val="auto"/>
                <w:kern w:val="0"/>
                <w:sz w:val="24"/>
                <w:szCs w:val="24"/>
                <w:highlight w:val="none"/>
              </w:rPr>
              <w:t>。</w:t>
            </w:r>
          </w:p>
        </w:tc>
      </w:tr>
      <w:tr w14:paraId="632F1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9" w:type="dxa"/>
            <w:noWrap w:val="0"/>
            <w:vAlign w:val="center"/>
          </w:tcPr>
          <w:p w14:paraId="36F6D401">
            <w:pPr>
              <w:spacing w:line="480" w:lineRule="auto"/>
              <w:jc w:val="center"/>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进水采样点</w:t>
            </w:r>
          </w:p>
        </w:tc>
        <w:tc>
          <w:tcPr>
            <w:tcW w:w="6713" w:type="dxa"/>
            <w:noWrap w:val="0"/>
            <w:vAlign w:val="center"/>
          </w:tcPr>
          <w:p w14:paraId="1E6F36E5">
            <w:pPr>
              <w:spacing w:line="480" w:lineRule="auto"/>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指甲方指定的进水水质采样位置</w:t>
            </w:r>
            <w:r>
              <w:rPr>
                <w:rFonts w:hint="eastAsia" w:ascii="仿宋" w:hAnsi="仿宋" w:eastAsia="仿宋" w:cs="Times New Roman"/>
                <w:color w:val="auto"/>
                <w:kern w:val="0"/>
                <w:sz w:val="24"/>
                <w:szCs w:val="24"/>
                <w:highlight w:val="none"/>
              </w:rPr>
              <w:t>，具体指：_</w:t>
            </w:r>
            <w:r>
              <w:rPr>
                <w:rFonts w:hint="default" w:ascii="仿宋" w:hAnsi="仿宋" w:eastAsia="仿宋" w:cs="Times New Roman"/>
                <w:color w:val="auto"/>
                <w:kern w:val="0"/>
                <w:sz w:val="24"/>
                <w:szCs w:val="24"/>
                <w:highlight w:val="none"/>
              </w:rPr>
              <w:t>__________________________________________________</w:t>
            </w:r>
            <w:r>
              <w:rPr>
                <w:rFonts w:hint="eastAsia" w:ascii="仿宋" w:hAnsi="仿宋" w:eastAsia="仿宋" w:cs="Times New Roman"/>
                <w:color w:val="auto"/>
                <w:kern w:val="0"/>
                <w:sz w:val="24"/>
                <w:szCs w:val="24"/>
                <w:highlight w:val="none"/>
              </w:rPr>
              <w:t>。</w:t>
            </w:r>
          </w:p>
        </w:tc>
      </w:tr>
      <w:tr w14:paraId="134E6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9" w:type="dxa"/>
            <w:noWrap w:val="0"/>
            <w:vAlign w:val="center"/>
          </w:tcPr>
          <w:p w14:paraId="38208980">
            <w:pPr>
              <w:spacing w:line="480" w:lineRule="auto"/>
              <w:jc w:val="center"/>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流量计</w:t>
            </w:r>
          </w:p>
        </w:tc>
        <w:tc>
          <w:tcPr>
            <w:tcW w:w="6713" w:type="dxa"/>
            <w:noWrap w:val="0"/>
            <w:vAlign w:val="center"/>
          </w:tcPr>
          <w:p w14:paraId="556FC9D4">
            <w:pPr>
              <w:spacing w:line="480" w:lineRule="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指本协议第1</w:t>
            </w:r>
            <w:r>
              <w:rPr>
                <w:rFonts w:hint="default" w:ascii="仿宋" w:hAnsi="仿宋" w:eastAsia="仿宋" w:cs="Times New Roman"/>
                <w:color w:val="auto"/>
                <w:kern w:val="0"/>
                <w:sz w:val="24"/>
                <w:szCs w:val="24"/>
                <w:highlight w:val="none"/>
              </w:rPr>
              <w:t>7</w:t>
            </w:r>
            <w:r>
              <w:rPr>
                <w:rFonts w:hint="eastAsia" w:ascii="仿宋" w:hAnsi="仿宋" w:eastAsia="仿宋" w:cs="Times New Roman"/>
                <w:color w:val="auto"/>
                <w:kern w:val="0"/>
                <w:sz w:val="24"/>
                <w:szCs w:val="24"/>
                <w:highlight w:val="none"/>
              </w:rPr>
              <w:t>条所述的，用于测量进、出水流量的流量计。</w:t>
            </w:r>
          </w:p>
        </w:tc>
      </w:tr>
      <w:tr w14:paraId="621F4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9" w:type="dxa"/>
            <w:noWrap w:val="0"/>
            <w:vAlign w:val="center"/>
          </w:tcPr>
          <w:p w14:paraId="3008F7DE">
            <w:pPr>
              <w:spacing w:line="480" w:lineRule="auto"/>
              <w:jc w:val="center"/>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进水水质标准</w:t>
            </w:r>
          </w:p>
        </w:tc>
        <w:tc>
          <w:tcPr>
            <w:tcW w:w="6713" w:type="dxa"/>
            <w:noWrap w:val="0"/>
            <w:vAlign w:val="center"/>
          </w:tcPr>
          <w:p w14:paraId="1268D3DF">
            <w:pPr>
              <w:tabs>
                <w:tab w:val="left" w:pos="1890"/>
              </w:tabs>
              <w:spacing w:line="480" w:lineRule="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指本协议第5条约定的进水水质应达到的标准。</w:t>
            </w:r>
          </w:p>
        </w:tc>
      </w:tr>
      <w:tr w14:paraId="4CD18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9" w:type="dxa"/>
            <w:noWrap w:val="0"/>
            <w:vAlign w:val="center"/>
          </w:tcPr>
          <w:p w14:paraId="4FB512E9">
            <w:pPr>
              <w:spacing w:line="480" w:lineRule="auto"/>
              <w:jc w:val="center"/>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出水点</w:t>
            </w:r>
          </w:p>
        </w:tc>
        <w:tc>
          <w:tcPr>
            <w:tcW w:w="6713" w:type="dxa"/>
            <w:noWrap w:val="0"/>
            <w:vAlign w:val="center"/>
          </w:tcPr>
          <w:p w14:paraId="02190737">
            <w:pPr>
              <w:spacing w:line="480" w:lineRule="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指按本协议约定经乙方处理并通过甲方指定排放口排放的出水处，具体指</w:t>
            </w:r>
            <w:r>
              <w:rPr>
                <w:rFonts w:hint="eastAsia" w:ascii="仿宋" w:hAnsi="仿宋" w:eastAsia="仿宋" w:cs="Times New Roman"/>
                <w:color w:val="auto"/>
                <w:kern w:val="0"/>
                <w:sz w:val="24"/>
                <w:szCs w:val="24"/>
                <w:highlight w:val="none"/>
                <w:lang w:eastAsia="zh-CN"/>
              </w:rPr>
              <w:t>：</w:t>
            </w:r>
            <w:r>
              <w:rPr>
                <w:rFonts w:hint="eastAsia" w:ascii="仿宋" w:hAnsi="仿宋" w:eastAsia="仿宋" w:cs="Times New Roman"/>
                <w:color w:val="auto"/>
                <w:kern w:val="0"/>
                <w:sz w:val="24"/>
                <w:szCs w:val="24"/>
                <w:highlight w:val="none"/>
              </w:rPr>
              <w:t>_</w:t>
            </w:r>
            <w:r>
              <w:rPr>
                <w:rFonts w:hint="default" w:ascii="仿宋" w:hAnsi="仿宋" w:eastAsia="仿宋" w:cs="Times New Roman"/>
                <w:color w:val="auto"/>
                <w:kern w:val="0"/>
                <w:sz w:val="24"/>
                <w:szCs w:val="24"/>
                <w:highlight w:val="none"/>
              </w:rPr>
              <w:t>______________________________________</w:t>
            </w:r>
            <w:r>
              <w:rPr>
                <w:rFonts w:hint="eastAsia" w:ascii="仿宋" w:hAnsi="仿宋" w:eastAsia="仿宋" w:cs="Times New Roman"/>
                <w:color w:val="auto"/>
                <w:kern w:val="0"/>
                <w:sz w:val="24"/>
                <w:szCs w:val="24"/>
                <w:highlight w:val="none"/>
              </w:rPr>
              <w:t>。</w:t>
            </w:r>
          </w:p>
        </w:tc>
      </w:tr>
      <w:tr w14:paraId="0A5A4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9" w:type="dxa"/>
            <w:noWrap w:val="0"/>
            <w:vAlign w:val="center"/>
          </w:tcPr>
          <w:p w14:paraId="7EBA4522">
            <w:pPr>
              <w:spacing w:line="480" w:lineRule="auto"/>
              <w:jc w:val="center"/>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出水采样点</w:t>
            </w:r>
          </w:p>
        </w:tc>
        <w:tc>
          <w:tcPr>
            <w:tcW w:w="6713" w:type="dxa"/>
            <w:noWrap w:val="0"/>
            <w:vAlign w:val="center"/>
          </w:tcPr>
          <w:p w14:paraId="3B6C6198">
            <w:pPr>
              <w:spacing w:line="480" w:lineRule="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指甲方指定的出水水质采样位置，具体指：_</w:t>
            </w:r>
            <w:r>
              <w:rPr>
                <w:rFonts w:hint="default" w:ascii="仿宋" w:hAnsi="仿宋" w:eastAsia="仿宋" w:cs="Times New Roman"/>
                <w:color w:val="auto"/>
                <w:kern w:val="0"/>
                <w:sz w:val="24"/>
                <w:szCs w:val="24"/>
                <w:highlight w:val="none"/>
              </w:rPr>
              <w:t>__________________________________________________</w:t>
            </w:r>
            <w:r>
              <w:rPr>
                <w:rFonts w:hint="eastAsia" w:ascii="仿宋" w:hAnsi="仿宋" w:eastAsia="仿宋" w:cs="Times New Roman"/>
                <w:color w:val="auto"/>
                <w:kern w:val="0"/>
                <w:sz w:val="24"/>
                <w:szCs w:val="24"/>
                <w:highlight w:val="none"/>
              </w:rPr>
              <w:t>。</w:t>
            </w:r>
          </w:p>
        </w:tc>
      </w:tr>
      <w:tr w14:paraId="5B8C5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9" w:type="dxa"/>
            <w:noWrap w:val="0"/>
            <w:vAlign w:val="center"/>
          </w:tcPr>
          <w:p w14:paraId="3355B1FB">
            <w:pPr>
              <w:spacing w:line="480" w:lineRule="auto"/>
              <w:jc w:val="center"/>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药剂</w:t>
            </w:r>
          </w:p>
        </w:tc>
        <w:tc>
          <w:tcPr>
            <w:tcW w:w="6713" w:type="dxa"/>
            <w:noWrap w:val="0"/>
            <w:vAlign w:val="center"/>
          </w:tcPr>
          <w:p w14:paraId="464B562F">
            <w:pPr>
              <w:spacing w:line="480" w:lineRule="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指乙方在运营维护过程中用于处理污水的药剂或化学制剂。</w:t>
            </w:r>
          </w:p>
        </w:tc>
      </w:tr>
      <w:tr w14:paraId="6CD5C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9" w:type="dxa"/>
            <w:noWrap w:val="0"/>
            <w:vAlign w:val="center"/>
          </w:tcPr>
          <w:p w14:paraId="50B1B726">
            <w:pPr>
              <w:spacing w:line="480" w:lineRule="auto"/>
              <w:jc w:val="center"/>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污泥采样点</w:t>
            </w:r>
          </w:p>
        </w:tc>
        <w:tc>
          <w:tcPr>
            <w:tcW w:w="6713" w:type="dxa"/>
            <w:noWrap w:val="0"/>
            <w:vAlign w:val="center"/>
          </w:tcPr>
          <w:p w14:paraId="06DD4D5A">
            <w:pPr>
              <w:spacing w:line="480" w:lineRule="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指进行污泥检测采样的污水处理厂脱水设备的出料口。</w:t>
            </w:r>
          </w:p>
        </w:tc>
      </w:tr>
      <w:tr w14:paraId="613B0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9" w:type="dxa"/>
            <w:noWrap w:val="0"/>
            <w:vAlign w:val="center"/>
          </w:tcPr>
          <w:p w14:paraId="6B64DBD9">
            <w:pPr>
              <w:spacing w:line="480" w:lineRule="auto"/>
              <w:jc w:val="center"/>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污泥含水率</w:t>
            </w:r>
          </w:p>
        </w:tc>
        <w:tc>
          <w:tcPr>
            <w:tcW w:w="6713" w:type="dxa"/>
            <w:noWrap w:val="0"/>
            <w:vAlign w:val="center"/>
          </w:tcPr>
          <w:p w14:paraId="0EBA49B3">
            <w:pPr>
              <w:spacing w:line="480" w:lineRule="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指乙方应达到的在污泥采样点采集到的24小时连续采集的污泥混合样的含水率。其中，24小时连续采集是指每周</w:t>
            </w:r>
            <w:r>
              <w:rPr>
                <w:rFonts w:hint="default" w:ascii="仿宋" w:hAnsi="仿宋" w:eastAsia="仿宋" w:cs="Times New Roman"/>
                <w:color w:val="auto"/>
                <w:kern w:val="0"/>
                <w:sz w:val="24"/>
                <w:szCs w:val="24"/>
                <w:highlight w:val="none"/>
              </w:rPr>
              <w:t>7天、</w:t>
            </w:r>
            <w:r>
              <w:rPr>
                <w:rFonts w:hint="eastAsia" w:ascii="仿宋" w:hAnsi="仿宋" w:eastAsia="仿宋" w:cs="Times New Roman"/>
                <w:color w:val="auto"/>
                <w:kern w:val="0"/>
                <w:sz w:val="24"/>
                <w:szCs w:val="24"/>
                <w:highlight w:val="none"/>
              </w:rPr>
              <w:t>一天</w:t>
            </w:r>
            <w:r>
              <w:rPr>
                <w:rFonts w:hint="default" w:ascii="仿宋" w:hAnsi="仿宋" w:eastAsia="仿宋" w:cs="Times New Roman"/>
                <w:color w:val="auto"/>
                <w:kern w:val="0"/>
                <w:sz w:val="24"/>
                <w:szCs w:val="24"/>
                <w:highlight w:val="none"/>
              </w:rPr>
              <w:t>24小时连续进行污泥取样，每个连续的24</w:t>
            </w:r>
            <w:r>
              <w:rPr>
                <w:rFonts w:hint="eastAsia" w:ascii="仿宋" w:hAnsi="仿宋" w:eastAsia="仿宋" w:cs="Times New Roman"/>
                <w:color w:val="auto"/>
                <w:kern w:val="0"/>
                <w:sz w:val="24"/>
                <w:szCs w:val="24"/>
                <w:highlight w:val="none"/>
              </w:rPr>
              <w:t>小时内取样间隔为8小时。</w:t>
            </w:r>
          </w:p>
        </w:tc>
      </w:tr>
      <w:tr w14:paraId="27A36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9" w:type="dxa"/>
            <w:noWrap w:val="0"/>
            <w:vAlign w:val="center"/>
          </w:tcPr>
          <w:p w14:paraId="768064FB">
            <w:pPr>
              <w:spacing w:line="480" w:lineRule="auto"/>
              <w:jc w:val="center"/>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偷排行为</w:t>
            </w:r>
          </w:p>
        </w:tc>
        <w:tc>
          <w:tcPr>
            <w:tcW w:w="6713" w:type="dxa"/>
            <w:noWrap w:val="0"/>
            <w:vAlign w:val="center"/>
          </w:tcPr>
          <w:p w14:paraId="7B5AE891">
            <w:pPr>
              <w:spacing w:line="480" w:lineRule="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指乙方未经甲方书面同意或未按甲方书面意见的要求，将进水或未经处理的或未达标处理的出水直接排放。</w:t>
            </w:r>
          </w:p>
        </w:tc>
      </w:tr>
      <w:tr w14:paraId="1ABDB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9" w:type="dxa"/>
            <w:noWrap w:val="0"/>
            <w:vAlign w:val="center"/>
          </w:tcPr>
          <w:p w14:paraId="2B46724A">
            <w:pPr>
              <w:spacing w:line="480" w:lineRule="auto"/>
              <w:jc w:val="center"/>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控制液位</w:t>
            </w:r>
          </w:p>
        </w:tc>
        <w:tc>
          <w:tcPr>
            <w:tcW w:w="6713" w:type="dxa"/>
            <w:noWrap w:val="0"/>
            <w:vAlign w:val="center"/>
          </w:tcPr>
          <w:p w14:paraId="269B0A15">
            <w:pPr>
              <w:spacing w:line="480" w:lineRule="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指粗格栅入流井液位的上限，为管顶标高以上</w:t>
            </w:r>
            <w:r>
              <w:rPr>
                <w:rFonts w:hint="eastAsia" w:ascii="仿宋" w:hAnsi="仿宋" w:eastAsia="仿宋" w:cs="Times New Roman"/>
                <w:color w:val="auto"/>
                <w:kern w:val="0"/>
                <w:sz w:val="24"/>
                <w:szCs w:val="24"/>
                <w:highlight w:val="none"/>
                <w:lang w:val="en-US" w:eastAsia="zh-CN"/>
              </w:rPr>
              <w:t>1</w:t>
            </w:r>
            <w:r>
              <w:rPr>
                <w:rFonts w:hint="eastAsia" w:ascii="仿宋" w:hAnsi="仿宋" w:eastAsia="仿宋" w:cs="Times New Roman"/>
                <w:color w:val="auto"/>
                <w:kern w:val="0"/>
                <w:sz w:val="24"/>
                <w:szCs w:val="24"/>
                <w:highlight w:val="none"/>
              </w:rPr>
              <w:t>米，乙方必须保证在该水位之下运营，除非本协议另有约定。</w:t>
            </w:r>
          </w:p>
        </w:tc>
      </w:tr>
      <w:tr w14:paraId="71FD4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9" w:type="dxa"/>
            <w:noWrap w:val="0"/>
            <w:vAlign w:val="center"/>
          </w:tcPr>
          <w:p w14:paraId="2A74BE0D">
            <w:pPr>
              <w:spacing w:line="480" w:lineRule="auto"/>
              <w:jc w:val="center"/>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生效日</w:t>
            </w:r>
          </w:p>
        </w:tc>
        <w:tc>
          <w:tcPr>
            <w:tcW w:w="6713" w:type="dxa"/>
            <w:noWrap w:val="0"/>
            <w:vAlign w:val="center"/>
          </w:tcPr>
          <w:p w14:paraId="17EB2A51">
            <w:pPr>
              <w:spacing w:line="480" w:lineRule="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指依据本协议第3条的约定，满足本协议生效条件之日。</w:t>
            </w:r>
          </w:p>
        </w:tc>
      </w:tr>
    </w:tbl>
    <w:p w14:paraId="2316B81D">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26" w:name="_Toc22234159"/>
      <w:r>
        <w:rPr>
          <w:rFonts w:hint="eastAsia" w:ascii="仿宋" w:hAnsi="仿宋" w:eastAsia="仿宋" w:cs="Times New Roman"/>
          <w:b/>
          <w:bCs/>
          <w:color w:val="auto"/>
          <w:kern w:val="0"/>
          <w:sz w:val="28"/>
          <w:szCs w:val="32"/>
          <w:highlight w:val="none"/>
          <w:lang w:val="en-US" w:eastAsia="zh-CN" w:bidi="ar-SA"/>
        </w:rPr>
        <w:t>第2条 解释</w:t>
      </w:r>
      <w:bookmarkEnd w:id="526"/>
    </w:p>
    <w:p w14:paraId="5A771BDC">
      <w:pPr>
        <w:spacing w:before="80" w:after="80" w:line="360" w:lineRule="auto"/>
        <w:ind w:firstLine="477" w:firstLineChars="199"/>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本协议中的标题仅为参考所设，不应影响条文的解释。下列约定同样适用于对本协议进行解释，除非其上下文明确显示其不适用。在本协议中：</w:t>
      </w:r>
    </w:p>
    <w:p w14:paraId="46885B73">
      <w:pPr>
        <w:spacing w:before="80" w:after="80" w:line="360" w:lineRule="auto"/>
        <w:ind w:firstLine="477" w:firstLineChars="199"/>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2.1协议或文件，指包括经修订、更新、补充或替代后的该协议或文件；</w:t>
      </w:r>
    </w:p>
    <w:p w14:paraId="2F26FC4B">
      <w:pPr>
        <w:spacing w:before="80" w:after="80" w:line="360" w:lineRule="auto"/>
        <w:ind w:firstLine="477" w:firstLineChars="199"/>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2.2“元”，指中国的法定货币单位“人民币”；</w:t>
      </w:r>
    </w:p>
    <w:p w14:paraId="0F5DAE7A">
      <w:pPr>
        <w:spacing w:before="80" w:after="80" w:line="360" w:lineRule="auto"/>
        <w:ind w:firstLine="477" w:firstLineChars="199"/>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2.3条款或附件，指本协议的条款或附件；</w:t>
      </w:r>
    </w:p>
    <w:p w14:paraId="09A2D047">
      <w:pPr>
        <w:spacing w:before="80" w:after="80" w:line="360" w:lineRule="auto"/>
        <w:ind w:firstLine="477" w:firstLineChars="199"/>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2.4一方、双方、各方，指本协议中的一方或双方或各方，并且包括经允许的替代该方的主体或该方的受让人；</w:t>
      </w:r>
    </w:p>
    <w:p w14:paraId="2EEE6A04">
      <w:pPr>
        <w:spacing w:before="80" w:after="80" w:line="360" w:lineRule="auto"/>
        <w:ind w:firstLine="477" w:firstLineChars="199"/>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2.5 “包括”，指包括但不限于；</w:t>
      </w:r>
    </w:p>
    <w:p w14:paraId="14271975">
      <w:pPr>
        <w:spacing w:before="80" w:after="80" w:line="360" w:lineRule="auto"/>
        <w:ind w:firstLine="477" w:firstLineChars="199"/>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2.6</w:t>
      </w:r>
      <w:r>
        <w:rPr>
          <w:rFonts w:hint="eastAsia" w:ascii="仿宋" w:hAnsi="仿宋" w:eastAsia="仿宋" w:cs="Times New Roman"/>
          <w:color w:val="auto"/>
          <w:kern w:val="0"/>
          <w:sz w:val="24"/>
          <w:szCs w:val="24"/>
          <w:highlight w:val="none"/>
        </w:rPr>
        <w:t>“以上</w:t>
      </w:r>
      <w:r>
        <w:rPr>
          <w:rFonts w:hint="eastAsia" w:ascii="仿宋" w:hAnsi="仿宋" w:eastAsia="仿宋" w:cs="Times New Roman"/>
          <w:color w:val="auto"/>
          <w:kern w:val="0"/>
          <w:sz w:val="24"/>
          <w:szCs w:val="24"/>
          <w:highlight w:val="none"/>
          <w:lang w:eastAsia="zh-CN"/>
        </w:rPr>
        <w:t>”“</w:t>
      </w:r>
      <w:r>
        <w:rPr>
          <w:rFonts w:hint="eastAsia" w:ascii="仿宋" w:hAnsi="仿宋" w:eastAsia="仿宋" w:cs="Times New Roman"/>
          <w:color w:val="auto"/>
          <w:kern w:val="0"/>
          <w:sz w:val="24"/>
          <w:szCs w:val="24"/>
          <w:highlight w:val="none"/>
        </w:rPr>
        <w:t>以下</w:t>
      </w:r>
      <w:r>
        <w:rPr>
          <w:rFonts w:hint="eastAsia" w:ascii="仿宋" w:hAnsi="仿宋" w:eastAsia="仿宋" w:cs="Times New Roman"/>
          <w:color w:val="auto"/>
          <w:kern w:val="0"/>
          <w:sz w:val="24"/>
          <w:szCs w:val="24"/>
          <w:highlight w:val="none"/>
          <w:lang w:eastAsia="zh-CN"/>
        </w:rPr>
        <w:t>”“</w:t>
      </w:r>
      <w:r>
        <w:rPr>
          <w:rFonts w:hint="eastAsia" w:ascii="仿宋" w:hAnsi="仿宋" w:eastAsia="仿宋" w:cs="Times New Roman"/>
          <w:color w:val="auto"/>
          <w:kern w:val="0"/>
          <w:sz w:val="24"/>
          <w:szCs w:val="24"/>
          <w:highlight w:val="none"/>
        </w:rPr>
        <w:t>以内”或“内”均含本数，“超过</w:t>
      </w:r>
      <w:r>
        <w:rPr>
          <w:rFonts w:hint="eastAsia" w:ascii="仿宋" w:hAnsi="仿宋" w:eastAsia="仿宋" w:cs="Times New Roman"/>
          <w:color w:val="auto"/>
          <w:kern w:val="0"/>
          <w:sz w:val="24"/>
          <w:szCs w:val="24"/>
          <w:highlight w:val="none"/>
          <w:lang w:eastAsia="zh-CN"/>
        </w:rPr>
        <w:t>”“</w:t>
      </w:r>
      <w:r>
        <w:rPr>
          <w:rFonts w:hint="eastAsia" w:ascii="仿宋" w:hAnsi="仿宋" w:eastAsia="仿宋" w:cs="Times New Roman"/>
          <w:color w:val="auto"/>
          <w:kern w:val="0"/>
          <w:sz w:val="24"/>
          <w:szCs w:val="24"/>
          <w:highlight w:val="none"/>
        </w:rPr>
        <w:t>以外”均不含本数；</w:t>
      </w:r>
    </w:p>
    <w:p w14:paraId="4B462571">
      <w:pPr>
        <w:spacing w:before="80" w:after="80" w:line="360" w:lineRule="auto"/>
        <w:ind w:firstLine="477" w:firstLineChars="199"/>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2.7日、月、季、年，均指公历的日、月、季、年；</w:t>
      </w:r>
    </w:p>
    <w:p w14:paraId="0399B634">
      <w:pPr>
        <w:spacing w:before="80" w:after="80" w:line="360" w:lineRule="auto"/>
        <w:ind w:firstLine="477" w:firstLineChars="199"/>
        <w:rPr>
          <w:rFonts w:hint="eastAsia"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w:t>
      </w:r>
      <w:r>
        <w:rPr>
          <w:rFonts w:hint="default" w:ascii="仿宋" w:hAnsi="仿宋" w:eastAsia="仿宋" w:cs="Times New Roman"/>
          <w:color w:val="auto"/>
          <w:kern w:val="0"/>
          <w:sz w:val="24"/>
          <w:szCs w:val="24"/>
          <w:highlight w:val="none"/>
        </w:rPr>
        <w:t>8</w:t>
      </w:r>
      <w:r>
        <w:rPr>
          <w:rFonts w:hint="eastAsia" w:ascii="仿宋" w:hAnsi="仿宋" w:eastAsia="仿宋" w:cs="Times New Roman"/>
          <w:color w:val="auto"/>
          <w:kern w:val="0"/>
          <w:sz w:val="24"/>
          <w:szCs w:val="24"/>
          <w:highlight w:val="none"/>
        </w:rPr>
        <w:t>本协议并不限制或以其他方式影响甲方及其他政府部门行使其法定行政职权。</w:t>
      </w:r>
    </w:p>
    <w:p w14:paraId="72E1141D">
      <w:pPr>
        <w:keepNext/>
        <w:keepLines/>
        <w:widowControl w:val="0"/>
        <w:jc w:val="center"/>
        <w:outlineLvl w:val="0"/>
        <w:rPr>
          <w:rFonts w:ascii="仿宋" w:hAnsi="仿宋" w:eastAsia="仿宋" w:cs="Times New Roman"/>
          <w:b/>
          <w:bCs/>
          <w:color w:val="auto"/>
          <w:kern w:val="44"/>
          <w:sz w:val="30"/>
          <w:szCs w:val="44"/>
          <w:highlight w:val="none"/>
          <w:lang w:val="en-US" w:eastAsia="zh-CN" w:bidi="ar-SA"/>
        </w:rPr>
      </w:pPr>
      <w:bookmarkStart w:id="527" w:name="_Toc22234160"/>
      <w:r>
        <w:rPr>
          <w:rFonts w:hint="eastAsia" w:ascii="仿宋" w:hAnsi="仿宋" w:eastAsia="仿宋" w:cs="Times New Roman"/>
          <w:b/>
          <w:bCs/>
          <w:color w:val="auto"/>
          <w:kern w:val="44"/>
          <w:sz w:val="30"/>
          <w:szCs w:val="44"/>
          <w:highlight w:val="none"/>
          <w:lang w:val="en-US" w:eastAsia="zh-CN" w:bidi="ar-SA"/>
        </w:rPr>
        <w:t>第二章</w:t>
      </w:r>
      <w:r>
        <w:rPr>
          <w:rFonts w:hint="eastAsia" w:ascii="仿宋" w:hAnsi="仿宋" w:eastAsia="仿宋" w:cs="Times New Roman"/>
          <w:b/>
          <w:bCs/>
          <w:color w:val="auto"/>
          <w:kern w:val="44"/>
          <w:sz w:val="30"/>
          <w:szCs w:val="44"/>
          <w:highlight w:val="none"/>
          <w:lang w:val="en-US" w:eastAsia="zh-CN" w:bidi="ar-SA"/>
        </w:rPr>
        <w:tab/>
      </w:r>
      <w:r>
        <w:rPr>
          <w:rFonts w:hint="eastAsia" w:ascii="仿宋" w:hAnsi="仿宋" w:eastAsia="仿宋" w:cs="Times New Roman"/>
          <w:b/>
          <w:bCs/>
          <w:color w:val="auto"/>
          <w:kern w:val="44"/>
          <w:sz w:val="30"/>
          <w:szCs w:val="44"/>
          <w:highlight w:val="none"/>
          <w:lang w:val="en-US" w:eastAsia="zh-CN" w:bidi="ar-SA"/>
        </w:rPr>
        <w:t>协议的生效和有效期</w:t>
      </w:r>
      <w:bookmarkEnd w:id="527"/>
    </w:p>
    <w:p w14:paraId="10DAF9B3">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28" w:name="_Toc22234161"/>
      <w:r>
        <w:rPr>
          <w:rFonts w:hint="eastAsia" w:ascii="仿宋" w:hAnsi="仿宋" w:eastAsia="仿宋" w:cs="Times New Roman"/>
          <w:b/>
          <w:bCs/>
          <w:color w:val="auto"/>
          <w:kern w:val="0"/>
          <w:sz w:val="28"/>
          <w:szCs w:val="32"/>
          <w:highlight w:val="none"/>
          <w:lang w:val="en-US" w:eastAsia="zh-CN" w:bidi="ar-SA"/>
        </w:rPr>
        <w:t>第3条 生效日</w:t>
      </w:r>
      <w:bookmarkEnd w:id="528"/>
      <w:r>
        <w:rPr>
          <w:rFonts w:hint="eastAsia" w:ascii="仿宋" w:hAnsi="仿宋" w:eastAsia="仿宋" w:cs="Times New Roman"/>
          <w:b/>
          <w:bCs/>
          <w:color w:val="auto"/>
          <w:kern w:val="0"/>
          <w:sz w:val="28"/>
          <w:szCs w:val="32"/>
          <w:highlight w:val="none"/>
          <w:lang w:val="en-US" w:eastAsia="zh-CN" w:bidi="ar-SA"/>
        </w:rPr>
        <w:t xml:space="preserve"> </w:t>
      </w:r>
    </w:p>
    <w:p w14:paraId="417F145C">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本协议生效须满足下列条件：</w:t>
      </w:r>
    </w:p>
    <w:p w14:paraId="0A0E793D">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3.1</w:t>
      </w:r>
      <w:r>
        <w:rPr>
          <w:rFonts w:hint="eastAsia" w:ascii="仿宋" w:hAnsi="仿宋" w:eastAsia="仿宋" w:cs="Times New Roman"/>
          <w:color w:val="auto"/>
          <w:kern w:val="0"/>
          <w:sz w:val="24"/>
          <w:szCs w:val="24"/>
          <w:highlight w:val="none"/>
        </w:rPr>
        <w:t>本协议经双方法定代表人或授权代表签字，并加盖公章；</w:t>
      </w:r>
    </w:p>
    <w:p w14:paraId="2334EA47">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3.2</w:t>
      </w:r>
      <w:r>
        <w:rPr>
          <w:rFonts w:hint="eastAsia" w:ascii="仿宋" w:hAnsi="仿宋" w:eastAsia="仿宋" w:cs="Times New Roman"/>
          <w:color w:val="auto"/>
          <w:kern w:val="0"/>
          <w:sz w:val="24"/>
          <w:szCs w:val="24"/>
          <w:highlight w:val="none"/>
        </w:rPr>
        <w:t>《</w:t>
      </w:r>
      <w:r>
        <w:rPr>
          <w:rFonts w:hint="eastAsia" w:ascii="仿宋" w:hAnsi="仿宋" w:eastAsia="仿宋" w:cs="Times New Roman"/>
          <w:color w:val="auto"/>
          <w:kern w:val="0"/>
          <w:sz w:val="24"/>
          <w:szCs w:val="24"/>
          <w:highlight w:val="none"/>
          <w:lang w:val="en-US" w:eastAsia="zh-CN"/>
        </w:rPr>
        <w:t>特许经营协议</w:t>
      </w:r>
      <w:r>
        <w:rPr>
          <w:rFonts w:hint="eastAsia" w:ascii="仿宋" w:hAnsi="仿宋" w:eastAsia="仿宋" w:cs="Times New Roman"/>
          <w:color w:val="auto"/>
          <w:kern w:val="0"/>
          <w:sz w:val="24"/>
          <w:szCs w:val="24"/>
          <w:highlight w:val="none"/>
        </w:rPr>
        <w:t>》生效。</w:t>
      </w:r>
    </w:p>
    <w:p w14:paraId="3C767629">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29" w:name="_Toc22234162"/>
      <w:r>
        <w:rPr>
          <w:rFonts w:hint="eastAsia" w:ascii="仿宋" w:hAnsi="仿宋" w:eastAsia="仿宋" w:cs="Times New Roman"/>
          <w:b/>
          <w:bCs/>
          <w:color w:val="auto"/>
          <w:kern w:val="0"/>
          <w:sz w:val="28"/>
          <w:szCs w:val="32"/>
          <w:highlight w:val="none"/>
          <w:lang w:val="en-US" w:eastAsia="zh-CN" w:bidi="ar-SA"/>
        </w:rPr>
        <w:t>第4条</w:t>
      </w:r>
      <w:r>
        <w:rPr>
          <w:rFonts w:ascii="仿宋" w:hAnsi="仿宋" w:eastAsia="仿宋" w:cs="Times New Roman"/>
          <w:b/>
          <w:bCs/>
          <w:color w:val="auto"/>
          <w:kern w:val="0"/>
          <w:sz w:val="28"/>
          <w:szCs w:val="32"/>
          <w:highlight w:val="none"/>
          <w:lang w:val="en-US" w:eastAsia="zh-CN" w:bidi="ar-SA"/>
        </w:rPr>
        <w:t xml:space="preserve"> </w:t>
      </w:r>
      <w:r>
        <w:rPr>
          <w:rFonts w:hint="eastAsia" w:ascii="仿宋" w:hAnsi="仿宋" w:eastAsia="仿宋" w:cs="Times New Roman"/>
          <w:b/>
          <w:bCs/>
          <w:color w:val="auto"/>
          <w:kern w:val="0"/>
          <w:sz w:val="28"/>
          <w:szCs w:val="32"/>
          <w:highlight w:val="none"/>
          <w:lang w:val="en-US" w:eastAsia="zh-CN" w:bidi="ar-SA"/>
        </w:rPr>
        <w:t>有效期</w:t>
      </w:r>
      <w:bookmarkEnd w:id="529"/>
    </w:p>
    <w:p w14:paraId="3C1E2BB3">
      <w:pPr>
        <w:spacing w:line="480" w:lineRule="auto"/>
        <w:ind w:firstLine="424" w:firstLineChars="177"/>
        <w:rPr>
          <w:rFonts w:hint="eastAsia"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除本协议另有约定外，本协议自生效日起至移交日前保持有效。</w:t>
      </w:r>
    </w:p>
    <w:p w14:paraId="6628F846">
      <w:pPr>
        <w:keepNext/>
        <w:keepLines/>
        <w:widowControl w:val="0"/>
        <w:jc w:val="center"/>
        <w:outlineLvl w:val="0"/>
        <w:rPr>
          <w:rFonts w:ascii="仿宋" w:hAnsi="仿宋" w:eastAsia="仿宋" w:cs="Times New Roman"/>
          <w:b/>
          <w:bCs/>
          <w:color w:val="auto"/>
          <w:kern w:val="44"/>
          <w:sz w:val="30"/>
          <w:szCs w:val="44"/>
          <w:highlight w:val="none"/>
          <w:lang w:val="en-US" w:eastAsia="zh-CN" w:bidi="ar-SA"/>
        </w:rPr>
      </w:pPr>
      <w:bookmarkStart w:id="530" w:name="_Toc22234163"/>
      <w:r>
        <w:rPr>
          <w:rFonts w:hint="eastAsia" w:ascii="仿宋" w:hAnsi="仿宋" w:eastAsia="仿宋" w:cs="Times New Roman"/>
          <w:b/>
          <w:bCs/>
          <w:color w:val="auto"/>
          <w:kern w:val="44"/>
          <w:sz w:val="30"/>
          <w:szCs w:val="44"/>
          <w:highlight w:val="none"/>
          <w:lang w:val="en-US" w:eastAsia="zh-CN" w:bidi="ar-SA"/>
        </w:rPr>
        <w:t>第三章</w:t>
      </w:r>
      <w:r>
        <w:rPr>
          <w:rFonts w:hint="eastAsia" w:ascii="仿宋" w:hAnsi="仿宋" w:eastAsia="仿宋" w:cs="Times New Roman"/>
          <w:b/>
          <w:bCs/>
          <w:color w:val="auto"/>
          <w:kern w:val="44"/>
          <w:sz w:val="30"/>
          <w:szCs w:val="44"/>
          <w:highlight w:val="none"/>
          <w:lang w:val="en-US" w:eastAsia="zh-CN" w:bidi="ar-SA"/>
        </w:rPr>
        <w:tab/>
      </w:r>
      <w:r>
        <w:rPr>
          <w:rFonts w:hint="eastAsia" w:ascii="仿宋" w:hAnsi="仿宋" w:eastAsia="仿宋" w:cs="Times New Roman"/>
          <w:b/>
          <w:bCs/>
          <w:color w:val="auto"/>
          <w:kern w:val="44"/>
          <w:sz w:val="30"/>
          <w:szCs w:val="44"/>
          <w:highlight w:val="none"/>
          <w:lang w:val="en-US" w:eastAsia="zh-CN" w:bidi="ar-SA"/>
        </w:rPr>
        <w:t>污水水质、管网、污泥、噪声及臭气标准</w:t>
      </w:r>
      <w:bookmarkEnd w:id="530"/>
    </w:p>
    <w:p w14:paraId="551F96E9">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31" w:name="_Toc22234164"/>
      <w:r>
        <w:rPr>
          <w:rFonts w:hint="eastAsia" w:ascii="仿宋" w:hAnsi="仿宋" w:eastAsia="仿宋" w:cs="Times New Roman"/>
          <w:b/>
          <w:bCs/>
          <w:color w:val="auto"/>
          <w:kern w:val="0"/>
          <w:sz w:val="28"/>
          <w:szCs w:val="32"/>
          <w:highlight w:val="none"/>
          <w:lang w:val="en-US" w:eastAsia="zh-CN" w:bidi="ar-SA"/>
        </w:rPr>
        <w:t>第</w:t>
      </w:r>
      <w:r>
        <w:rPr>
          <w:rFonts w:ascii="仿宋" w:hAnsi="仿宋" w:eastAsia="仿宋" w:cs="Times New Roman"/>
          <w:b/>
          <w:bCs/>
          <w:color w:val="auto"/>
          <w:kern w:val="0"/>
          <w:sz w:val="28"/>
          <w:szCs w:val="32"/>
          <w:highlight w:val="none"/>
          <w:lang w:val="en-US" w:eastAsia="zh-CN" w:bidi="ar-SA"/>
        </w:rPr>
        <w:t>5</w:t>
      </w:r>
      <w:r>
        <w:rPr>
          <w:rFonts w:hint="eastAsia" w:ascii="仿宋" w:hAnsi="仿宋" w:eastAsia="仿宋" w:cs="Times New Roman"/>
          <w:b/>
          <w:bCs/>
          <w:color w:val="auto"/>
          <w:kern w:val="0"/>
          <w:sz w:val="28"/>
          <w:szCs w:val="32"/>
          <w:highlight w:val="none"/>
          <w:lang w:val="en-US" w:eastAsia="zh-CN" w:bidi="ar-SA"/>
        </w:rPr>
        <w:t>条</w:t>
      </w:r>
      <w:r>
        <w:rPr>
          <w:rFonts w:hint="eastAsia" w:ascii="仿宋" w:hAnsi="仿宋" w:eastAsia="仿宋" w:cs="Times New Roman"/>
          <w:b/>
          <w:bCs/>
          <w:color w:val="auto"/>
          <w:kern w:val="0"/>
          <w:sz w:val="28"/>
          <w:szCs w:val="32"/>
          <w:highlight w:val="none"/>
          <w:lang w:val="en-US" w:eastAsia="zh-CN" w:bidi="ar-SA"/>
        </w:rPr>
        <w:tab/>
      </w:r>
      <w:r>
        <w:rPr>
          <w:rFonts w:hint="eastAsia" w:ascii="仿宋" w:hAnsi="仿宋" w:eastAsia="仿宋" w:cs="Times New Roman"/>
          <w:b/>
          <w:bCs/>
          <w:color w:val="auto"/>
          <w:kern w:val="0"/>
          <w:sz w:val="28"/>
          <w:szCs w:val="32"/>
          <w:highlight w:val="none"/>
          <w:lang w:val="en-US" w:eastAsia="zh-CN" w:bidi="ar-SA"/>
        </w:rPr>
        <w:t>进水及出水水质标准</w:t>
      </w:r>
      <w:bookmarkEnd w:id="531"/>
    </w:p>
    <w:p w14:paraId="4594168A">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5.1</w:t>
      </w:r>
      <w:r>
        <w:rPr>
          <w:rFonts w:hint="eastAsia" w:ascii="仿宋" w:hAnsi="仿宋" w:eastAsia="仿宋" w:cs="Times New Roman"/>
          <w:color w:val="auto"/>
          <w:kern w:val="0"/>
          <w:sz w:val="24"/>
          <w:szCs w:val="24"/>
          <w:highlight w:val="none"/>
        </w:rPr>
        <w:t>进水水质标准</w:t>
      </w:r>
    </w:p>
    <w:p w14:paraId="7B86C65D">
      <w:pPr>
        <w:spacing w:line="480" w:lineRule="auto"/>
        <w:ind w:firstLine="424" w:firstLineChars="177"/>
        <w:rPr>
          <w:rFonts w:hint="eastAsia"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本项目进水水质应符合以下标准：</w:t>
      </w:r>
    </w:p>
    <w:p w14:paraId="0C8334D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Times New Roman"/>
          <w:color w:val="auto"/>
          <w:kern w:val="0"/>
          <w:sz w:val="24"/>
          <w:szCs w:val="24"/>
          <w:highlight w:val="none"/>
          <w:lang w:val="en-US" w:eastAsia="zh-CN"/>
        </w:rPr>
      </w:pPr>
      <w:r>
        <w:rPr>
          <w:rFonts w:hint="eastAsia" w:ascii="仿宋" w:hAnsi="仿宋" w:eastAsia="仿宋" w:cs="Times New Roman"/>
          <w:color w:val="auto"/>
          <w:kern w:val="0"/>
          <w:sz w:val="24"/>
          <w:szCs w:val="24"/>
          <w:highlight w:val="none"/>
          <w:lang w:val="en-US" w:eastAsia="zh-CN"/>
        </w:rPr>
        <w:t>表1  进水水质标准</w:t>
      </w:r>
    </w:p>
    <w:tbl>
      <w:tblPr>
        <w:tblStyle w:val="36"/>
        <w:tblW w:w="70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6"/>
        <w:gridCol w:w="1176"/>
        <w:gridCol w:w="1176"/>
        <w:gridCol w:w="1176"/>
        <w:gridCol w:w="1176"/>
        <w:gridCol w:w="1176"/>
      </w:tblGrid>
      <w:tr w14:paraId="6CE2E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76" w:type="dxa"/>
            <w:noWrap w:val="0"/>
            <w:vAlign w:val="center"/>
          </w:tcPr>
          <w:p w14:paraId="341858B7">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 w:hAnsi="仿宋" w:eastAsia="仿宋" w:cs="Times New Roman"/>
                <w:color w:val="auto"/>
                <w:kern w:val="0"/>
                <w:sz w:val="24"/>
                <w:szCs w:val="24"/>
                <w:highlight w:val="none"/>
                <w:vertAlign w:val="subscript"/>
              </w:rPr>
            </w:pPr>
            <w:r>
              <w:rPr>
                <w:rFonts w:hint="eastAsia" w:ascii="仿宋" w:hAnsi="仿宋" w:eastAsia="仿宋" w:cs="Times New Roman"/>
                <w:color w:val="auto"/>
                <w:kern w:val="0"/>
                <w:sz w:val="24"/>
                <w:szCs w:val="24"/>
                <w:highlight w:val="none"/>
              </w:rPr>
              <w:t>COD</w:t>
            </w:r>
            <w:r>
              <w:rPr>
                <w:rFonts w:hint="eastAsia" w:ascii="仿宋" w:hAnsi="仿宋" w:eastAsia="仿宋" w:cs="Times New Roman"/>
                <w:color w:val="auto"/>
                <w:kern w:val="0"/>
                <w:sz w:val="24"/>
                <w:szCs w:val="24"/>
                <w:highlight w:val="none"/>
                <w:vertAlign w:val="subscript"/>
              </w:rPr>
              <w:t>Cr</w:t>
            </w:r>
          </w:p>
          <w:p w14:paraId="2E911BA0">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（mg/L）</w:t>
            </w:r>
          </w:p>
        </w:tc>
        <w:tc>
          <w:tcPr>
            <w:tcW w:w="1176" w:type="dxa"/>
            <w:noWrap w:val="0"/>
            <w:vAlign w:val="center"/>
          </w:tcPr>
          <w:p w14:paraId="2C911C59">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BOD</w:t>
            </w:r>
            <w:r>
              <w:rPr>
                <w:rFonts w:hint="eastAsia" w:ascii="仿宋" w:hAnsi="仿宋" w:eastAsia="仿宋" w:cs="Times New Roman"/>
                <w:color w:val="auto"/>
                <w:kern w:val="0"/>
                <w:sz w:val="28"/>
                <w:szCs w:val="24"/>
                <w:highlight w:val="none"/>
                <w:vertAlign w:val="subscript"/>
              </w:rPr>
              <w:t>5</w:t>
            </w:r>
          </w:p>
          <w:p w14:paraId="23116915">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（mg/L）</w:t>
            </w:r>
          </w:p>
        </w:tc>
        <w:tc>
          <w:tcPr>
            <w:tcW w:w="1176" w:type="dxa"/>
            <w:noWrap w:val="0"/>
            <w:vAlign w:val="center"/>
          </w:tcPr>
          <w:p w14:paraId="0F141F25">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SS</w:t>
            </w:r>
          </w:p>
          <w:p w14:paraId="2D06E03B">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（mg/L）</w:t>
            </w:r>
          </w:p>
        </w:tc>
        <w:tc>
          <w:tcPr>
            <w:tcW w:w="1176" w:type="dxa"/>
            <w:noWrap w:val="0"/>
            <w:vAlign w:val="center"/>
          </w:tcPr>
          <w:p w14:paraId="6A28C7F2">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NH</w:t>
            </w:r>
            <w:r>
              <w:rPr>
                <w:rFonts w:hint="eastAsia" w:ascii="仿宋" w:hAnsi="仿宋" w:eastAsia="仿宋" w:cs="Times New Roman"/>
                <w:color w:val="auto"/>
                <w:kern w:val="0"/>
                <w:sz w:val="28"/>
                <w:szCs w:val="24"/>
                <w:highlight w:val="none"/>
                <w:vertAlign w:val="subscript"/>
              </w:rPr>
              <w:t>3</w:t>
            </w:r>
            <w:r>
              <w:rPr>
                <w:rFonts w:hint="eastAsia" w:ascii="仿宋" w:hAnsi="仿宋" w:eastAsia="仿宋" w:cs="Times New Roman"/>
                <w:color w:val="auto"/>
                <w:kern w:val="0"/>
                <w:sz w:val="24"/>
                <w:szCs w:val="24"/>
                <w:highlight w:val="none"/>
              </w:rPr>
              <w:t>-N</w:t>
            </w:r>
          </w:p>
          <w:p w14:paraId="16264EAD">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（mg/L）</w:t>
            </w:r>
          </w:p>
        </w:tc>
        <w:tc>
          <w:tcPr>
            <w:tcW w:w="1176" w:type="dxa"/>
            <w:noWrap w:val="0"/>
            <w:vAlign w:val="center"/>
          </w:tcPr>
          <w:p w14:paraId="47CD8D48">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TP</w:t>
            </w:r>
          </w:p>
          <w:p w14:paraId="1532B09F">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（mg/L）</w:t>
            </w:r>
          </w:p>
        </w:tc>
        <w:tc>
          <w:tcPr>
            <w:tcW w:w="1176" w:type="dxa"/>
            <w:noWrap w:val="0"/>
            <w:vAlign w:val="center"/>
          </w:tcPr>
          <w:p w14:paraId="453467F5">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TN</w:t>
            </w:r>
          </w:p>
          <w:p w14:paraId="2A65233A">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（mg/L）</w:t>
            </w:r>
          </w:p>
        </w:tc>
      </w:tr>
      <w:tr w14:paraId="1FBA5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76" w:type="dxa"/>
            <w:noWrap w:val="0"/>
            <w:vAlign w:val="center"/>
          </w:tcPr>
          <w:p w14:paraId="6F50946C">
            <w:pPr>
              <w:spacing w:line="480" w:lineRule="auto"/>
              <w:jc w:val="center"/>
              <w:rPr>
                <w:rFonts w:hint="default" w:ascii="仿宋" w:hAnsi="仿宋" w:eastAsia="仿宋" w:cs="Times New Roman"/>
                <w:color w:val="auto"/>
                <w:kern w:val="0"/>
                <w:sz w:val="24"/>
                <w:szCs w:val="24"/>
                <w:highlight w:val="none"/>
                <w:lang w:val="en-US" w:eastAsia="zh-CN"/>
              </w:rPr>
            </w:pPr>
            <w:r>
              <w:rPr>
                <w:rFonts w:hint="eastAsia" w:ascii="仿宋" w:hAnsi="仿宋" w:eastAsia="仿宋" w:cs="Times New Roman"/>
                <w:color w:val="auto"/>
                <w:kern w:val="0"/>
                <w:sz w:val="24"/>
                <w:szCs w:val="24"/>
                <w:highlight w:val="none"/>
                <w:lang w:val="en-US" w:eastAsia="zh-CN"/>
              </w:rPr>
              <w:t>360</w:t>
            </w:r>
          </w:p>
        </w:tc>
        <w:tc>
          <w:tcPr>
            <w:tcW w:w="1176" w:type="dxa"/>
            <w:noWrap w:val="0"/>
            <w:vAlign w:val="center"/>
          </w:tcPr>
          <w:p w14:paraId="336B1DBA">
            <w:pPr>
              <w:spacing w:line="480" w:lineRule="auto"/>
              <w:jc w:val="center"/>
              <w:rPr>
                <w:rFonts w:hint="default" w:ascii="仿宋" w:hAnsi="仿宋" w:eastAsia="仿宋" w:cs="Times New Roman"/>
                <w:color w:val="auto"/>
                <w:kern w:val="0"/>
                <w:sz w:val="24"/>
                <w:szCs w:val="24"/>
                <w:highlight w:val="none"/>
                <w:lang w:val="en-US" w:eastAsia="zh-CN"/>
              </w:rPr>
            </w:pPr>
            <w:r>
              <w:rPr>
                <w:rFonts w:hint="eastAsia" w:ascii="仿宋" w:hAnsi="仿宋" w:eastAsia="仿宋" w:cs="Times New Roman"/>
                <w:color w:val="auto"/>
                <w:kern w:val="0"/>
                <w:sz w:val="24"/>
                <w:szCs w:val="24"/>
                <w:highlight w:val="none"/>
                <w:lang w:val="en-US" w:eastAsia="zh-CN"/>
              </w:rPr>
              <w:t>120</w:t>
            </w:r>
          </w:p>
        </w:tc>
        <w:tc>
          <w:tcPr>
            <w:tcW w:w="1176" w:type="dxa"/>
            <w:noWrap w:val="0"/>
            <w:vAlign w:val="center"/>
          </w:tcPr>
          <w:p w14:paraId="6E8EAC08">
            <w:pPr>
              <w:spacing w:line="480" w:lineRule="auto"/>
              <w:jc w:val="center"/>
              <w:rPr>
                <w:rFonts w:hint="default" w:ascii="仿宋" w:hAnsi="仿宋" w:eastAsia="仿宋" w:cs="Times New Roman"/>
                <w:color w:val="auto"/>
                <w:kern w:val="0"/>
                <w:sz w:val="24"/>
                <w:szCs w:val="24"/>
                <w:highlight w:val="none"/>
                <w:lang w:val="en-US" w:eastAsia="zh-CN"/>
              </w:rPr>
            </w:pPr>
            <w:r>
              <w:rPr>
                <w:rFonts w:hint="eastAsia" w:ascii="仿宋" w:hAnsi="仿宋" w:eastAsia="仿宋" w:cs="Times New Roman"/>
                <w:color w:val="auto"/>
                <w:kern w:val="0"/>
                <w:sz w:val="24"/>
                <w:szCs w:val="24"/>
                <w:highlight w:val="none"/>
                <w:lang w:val="en-US" w:eastAsia="zh-CN"/>
              </w:rPr>
              <w:t>150</w:t>
            </w:r>
          </w:p>
        </w:tc>
        <w:tc>
          <w:tcPr>
            <w:tcW w:w="1176" w:type="dxa"/>
            <w:noWrap w:val="0"/>
            <w:vAlign w:val="center"/>
          </w:tcPr>
          <w:p w14:paraId="4181582B">
            <w:pPr>
              <w:spacing w:line="480" w:lineRule="auto"/>
              <w:jc w:val="center"/>
              <w:rPr>
                <w:rFonts w:hint="default" w:ascii="仿宋" w:hAnsi="仿宋" w:eastAsia="仿宋" w:cs="Times New Roman"/>
                <w:color w:val="auto"/>
                <w:kern w:val="0"/>
                <w:sz w:val="24"/>
                <w:szCs w:val="24"/>
                <w:highlight w:val="none"/>
                <w:lang w:val="en-US" w:eastAsia="zh-CN"/>
              </w:rPr>
            </w:pPr>
            <w:r>
              <w:rPr>
                <w:rFonts w:hint="eastAsia" w:ascii="仿宋" w:hAnsi="仿宋" w:eastAsia="仿宋" w:cs="Times New Roman"/>
                <w:color w:val="auto"/>
                <w:kern w:val="0"/>
                <w:sz w:val="24"/>
                <w:szCs w:val="24"/>
                <w:highlight w:val="none"/>
                <w:lang w:val="en-US" w:eastAsia="zh-CN"/>
              </w:rPr>
              <w:t>40</w:t>
            </w:r>
          </w:p>
        </w:tc>
        <w:tc>
          <w:tcPr>
            <w:tcW w:w="1176" w:type="dxa"/>
            <w:noWrap w:val="0"/>
            <w:vAlign w:val="center"/>
          </w:tcPr>
          <w:p w14:paraId="0DB23177">
            <w:pPr>
              <w:spacing w:line="480" w:lineRule="auto"/>
              <w:jc w:val="center"/>
              <w:rPr>
                <w:rFonts w:hint="default" w:ascii="仿宋" w:hAnsi="仿宋" w:eastAsia="仿宋" w:cs="Times New Roman"/>
                <w:color w:val="auto"/>
                <w:kern w:val="0"/>
                <w:sz w:val="24"/>
                <w:szCs w:val="24"/>
                <w:highlight w:val="none"/>
                <w:lang w:val="en-US" w:eastAsia="zh-CN"/>
              </w:rPr>
            </w:pPr>
            <w:r>
              <w:rPr>
                <w:rFonts w:hint="eastAsia" w:ascii="仿宋" w:hAnsi="仿宋" w:eastAsia="仿宋" w:cs="Times New Roman"/>
                <w:color w:val="auto"/>
                <w:kern w:val="0"/>
                <w:sz w:val="24"/>
                <w:szCs w:val="24"/>
                <w:highlight w:val="none"/>
                <w:lang w:val="en-US" w:eastAsia="zh-CN"/>
              </w:rPr>
              <w:t>5</w:t>
            </w:r>
          </w:p>
        </w:tc>
        <w:tc>
          <w:tcPr>
            <w:tcW w:w="1176" w:type="dxa"/>
            <w:noWrap w:val="0"/>
            <w:vAlign w:val="center"/>
          </w:tcPr>
          <w:p w14:paraId="560DB601">
            <w:pPr>
              <w:spacing w:line="480" w:lineRule="auto"/>
              <w:jc w:val="center"/>
              <w:rPr>
                <w:rFonts w:hint="default" w:ascii="仿宋" w:hAnsi="仿宋" w:eastAsia="仿宋" w:cs="Times New Roman"/>
                <w:color w:val="auto"/>
                <w:kern w:val="0"/>
                <w:sz w:val="24"/>
                <w:szCs w:val="24"/>
                <w:highlight w:val="none"/>
                <w:lang w:val="en-US" w:eastAsia="zh-CN"/>
              </w:rPr>
            </w:pPr>
            <w:r>
              <w:rPr>
                <w:rFonts w:hint="eastAsia" w:ascii="仿宋" w:hAnsi="仿宋" w:eastAsia="仿宋" w:cs="Times New Roman"/>
                <w:color w:val="auto"/>
                <w:kern w:val="0"/>
                <w:sz w:val="24"/>
                <w:szCs w:val="24"/>
                <w:highlight w:val="none"/>
                <w:lang w:val="en-US" w:eastAsia="zh-CN"/>
              </w:rPr>
              <w:t>50</w:t>
            </w:r>
          </w:p>
        </w:tc>
      </w:tr>
    </w:tbl>
    <w:p w14:paraId="2472F212">
      <w:pPr>
        <w:spacing w:line="480" w:lineRule="auto"/>
        <w:ind w:firstLine="424" w:firstLineChars="177"/>
        <w:rPr>
          <w:rFonts w:hint="default" w:ascii="仿宋" w:hAnsi="仿宋" w:eastAsia="仿宋" w:cs="Times New Roman"/>
          <w:color w:val="auto"/>
          <w:kern w:val="2"/>
          <w:sz w:val="24"/>
          <w:szCs w:val="24"/>
          <w:highlight w:val="none"/>
        </w:rPr>
      </w:pPr>
      <w:r>
        <w:rPr>
          <w:rFonts w:hint="default" w:ascii="仿宋" w:hAnsi="仿宋" w:eastAsia="仿宋" w:cs="Times New Roman"/>
          <w:color w:val="auto"/>
          <w:kern w:val="2"/>
          <w:sz w:val="24"/>
          <w:szCs w:val="24"/>
          <w:highlight w:val="none"/>
        </w:rPr>
        <w:t>5.2</w:t>
      </w:r>
      <w:r>
        <w:rPr>
          <w:rFonts w:hint="eastAsia" w:ascii="仿宋" w:hAnsi="仿宋" w:eastAsia="仿宋" w:cs="Times New Roman"/>
          <w:color w:val="auto"/>
          <w:kern w:val="2"/>
          <w:sz w:val="24"/>
          <w:szCs w:val="24"/>
          <w:highlight w:val="none"/>
        </w:rPr>
        <w:t>出水水质标准</w:t>
      </w:r>
    </w:p>
    <w:p w14:paraId="738E277E">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污水处理厂出水水质执行《城镇污水处理厂污染物排放标准》（DB32/4440-2022）</w:t>
      </w:r>
      <w:r>
        <w:rPr>
          <w:rFonts w:hint="eastAsia" w:ascii="仿宋_GB2312" w:hAnsi="宋体" w:eastAsia="仿宋_GB2312" w:cs="Times New Roman"/>
          <w:b/>
          <w:color w:val="auto"/>
          <w:kern w:val="2"/>
          <w:sz w:val="30"/>
          <w:szCs w:val="30"/>
          <w:highlight w:val="none"/>
          <w:u w:val="single"/>
        </w:rPr>
        <w:t xml:space="preserve"> </w:t>
      </w:r>
      <w:r>
        <w:rPr>
          <w:rFonts w:hint="eastAsia" w:ascii="仿宋_GB2312" w:hAnsi="宋体" w:eastAsia="仿宋_GB2312" w:cs="Times New Roman"/>
          <w:b w:val="0"/>
          <w:bCs/>
          <w:color w:val="auto"/>
          <w:kern w:val="2"/>
          <w:sz w:val="24"/>
          <w:szCs w:val="24"/>
          <w:highlight w:val="none"/>
          <w:u w:val="single"/>
          <w:lang w:val="en-US" w:eastAsia="zh-CN"/>
        </w:rPr>
        <w:t>B</w:t>
      </w:r>
      <w:r>
        <w:rPr>
          <w:rFonts w:hint="eastAsia" w:ascii="仿宋_GB2312" w:hAnsi="宋体" w:eastAsia="仿宋_GB2312" w:cs="Times New Roman"/>
          <w:b/>
          <w:color w:val="auto"/>
          <w:kern w:val="2"/>
          <w:sz w:val="30"/>
          <w:szCs w:val="30"/>
          <w:highlight w:val="none"/>
          <w:u w:val="single"/>
        </w:rPr>
        <w:t xml:space="preserve"> </w:t>
      </w:r>
      <w:r>
        <w:rPr>
          <w:rFonts w:hint="eastAsia" w:ascii="仿宋" w:hAnsi="仿宋" w:eastAsia="仿宋" w:cs="Times New Roman"/>
          <w:color w:val="auto"/>
          <w:kern w:val="0"/>
          <w:sz w:val="24"/>
          <w:szCs w:val="24"/>
          <w:highlight w:val="none"/>
        </w:rPr>
        <w:t>级标准，其主要控制指标应满足下列要求：</w:t>
      </w:r>
    </w:p>
    <w:p w14:paraId="4F94D4B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表</w:t>
      </w:r>
      <w:r>
        <w:rPr>
          <w:rFonts w:hint="eastAsia" w:ascii="仿宋" w:hAnsi="仿宋" w:eastAsia="仿宋" w:cs="Times New Roman"/>
          <w:color w:val="auto"/>
          <w:kern w:val="0"/>
          <w:sz w:val="24"/>
          <w:szCs w:val="24"/>
          <w:highlight w:val="none"/>
          <w:lang w:val="en-US" w:eastAsia="zh-CN"/>
        </w:rPr>
        <w:t>2</w:t>
      </w:r>
      <w:r>
        <w:rPr>
          <w:rFonts w:hint="eastAsia" w:ascii="仿宋" w:hAnsi="仿宋" w:eastAsia="仿宋" w:cs="Times New Roman"/>
          <w:color w:val="auto"/>
          <w:kern w:val="0"/>
          <w:sz w:val="24"/>
          <w:szCs w:val="24"/>
          <w:highlight w:val="none"/>
        </w:rPr>
        <w:t xml:space="preserve">  出水水质主要控制指标表</w:t>
      </w:r>
    </w:p>
    <w:tbl>
      <w:tblPr>
        <w:tblStyle w:val="36"/>
        <w:tblW w:w="86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7"/>
        <w:gridCol w:w="1077"/>
        <w:gridCol w:w="1077"/>
        <w:gridCol w:w="1077"/>
        <w:gridCol w:w="1077"/>
        <w:gridCol w:w="1077"/>
        <w:gridCol w:w="1077"/>
        <w:gridCol w:w="1077"/>
      </w:tblGrid>
      <w:tr w14:paraId="022A6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77" w:type="dxa"/>
            <w:noWrap w:val="0"/>
            <w:vAlign w:val="center"/>
          </w:tcPr>
          <w:p w14:paraId="31855275">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 w:hAnsi="仿宋" w:eastAsia="仿宋" w:cs="Times New Roman"/>
                <w:color w:val="auto"/>
                <w:kern w:val="0"/>
                <w:sz w:val="24"/>
                <w:szCs w:val="24"/>
                <w:highlight w:val="none"/>
                <w:vertAlign w:val="subscript"/>
              </w:rPr>
            </w:pPr>
            <w:r>
              <w:rPr>
                <w:rFonts w:hint="eastAsia" w:ascii="仿宋" w:hAnsi="仿宋" w:eastAsia="仿宋" w:cs="Times New Roman"/>
                <w:color w:val="auto"/>
                <w:kern w:val="0"/>
                <w:sz w:val="24"/>
                <w:szCs w:val="24"/>
                <w:highlight w:val="none"/>
              </w:rPr>
              <w:t>COD</w:t>
            </w:r>
            <w:r>
              <w:rPr>
                <w:rFonts w:hint="eastAsia" w:ascii="仿宋" w:hAnsi="仿宋" w:eastAsia="仿宋" w:cs="Times New Roman"/>
                <w:color w:val="auto"/>
                <w:kern w:val="0"/>
                <w:sz w:val="24"/>
                <w:szCs w:val="24"/>
                <w:highlight w:val="none"/>
                <w:vertAlign w:val="subscript"/>
              </w:rPr>
              <w:t>Cr</w:t>
            </w:r>
          </w:p>
          <w:p w14:paraId="0383E093">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（mg/L）</w:t>
            </w:r>
          </w:p>
        </w:tc>
        <w:tc>
          <w:tcPr>
            <w:tcW w:w="1077" w:type="dxa"/>
            <w:noWrap w:val="0"/>
            <w:vAlign w:val="center"/>
          </w:tcPr>
          <w:p w14:paraId="6290F488">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BOD</w:t>
            </w:r>
            <w:r>
              <w:rPr>
                <w:rFonts w:hint="eastAsia" w:ascii="仿宋" w:hAnsi="仿宋" w:eastAsia="仿宋" w:cs="Times New Roman"/>
                <w:color w:val="auto"/>
                <w:kern w:val="0"/>
                <w:sz w:val="28"/>
                <w:szCs w:val="24"/>
                <w:highlight w:val="none"/>
                <w:vertAlign w:val="subscript"/>
              </w:rPr>
              <w:t>5</w:t>
            </w:r>
          </w:p>
          <w:p w14:paraId="422AC3DF">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（mg/L）</w:t>
            </w:r>
          </w:p>
        </w:tc>
        <w:tc>
          <w:tcPr>
            <w:tcW w:w="1077" w:type="dxa"/>
            <w:noWrap w:val="0"/>
            <w:vAlign w:val="center"/>
          </w:tcPr>
          <w:p w14:paraId="6C7E6112">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SS</w:t>
            </w:r>
          </w:p>
          <w:p w14:paraId="523790AD">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（mg/L）</w:t>
            </w:r>
          </w:p>
        </w:tc>
        <w:tc>
          <w:tcPr>
            <w:tcW w:w="1077" w:type="dxa"/>
            <w:noWrap w:val="0"/>
            <w:vAlign w:val="center"/>
          </w:tcPr>
          <w:p w14:paraId="64D314F4">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NH</w:t>
            </w:r>
            <w:r>
              <w:rPr>
                <w:rFonts w:hint="eastAsia" w:ascii="仿宋" w:hAnsi="仿宋" w:eastAsia="仿宋" w:cs="Times New Roman"/>
                <w:color w:val="auto"/>
                <w:kern w:val="0"/>
                <w:sz w:val="28"/>
                <w:szCs w:val="24"/>
                <w:highlight w:val="none"/>
                <w:vertAlign w:val="subscript"/>
              </w:rPr>
              <w:t>3</w:t>
            </w:r>
            <w:r>
              <w:rPr>
                <w:rFonts w:hint="eastAsia" w:ascii="仿宋" w:hAnsi="仿宋" w:eastAsia="仿宋" w:cs="Times New Roman"/>
                <w:color w:val="auto"/>
                <w:kern w:val="0"/>
                <w:sz w:val="24"/>
                <w:szCs w:val="24"/>
                <w:highlight w:val="none"/>
              </w:rPr>
              <w:t>-N</w:t>
            </w:r>
          </w:p>
          <w:p w14:paraId="79E76887">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（mg/L）</w:t>
            </w:r>
          </w:p>
        </w:tc>
        <w:tc>
          <w:tcPr>
            <w:tcW w:w="1077" w:type="dxa"/>
            <w:noWrap w:val="0"/>
            <w:vAlign w:val="center"/>
          </w:tcPr>
          <w:p w14:paraId="47318993">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TP</w:t>
            </w:r>
          </w:p>
          <w:p w14:paraId="7D01625E">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（mg/L）</w:t>
            </w:r>
          </w:p>
        </w:tc>
        <w:tc>
          <w:tcPr>
            <w:tcW w:w="1077" w:type="dxa"/>
            <w:noWrap w:val="0"/>
            <w:vAlign w:val="center"/>
          </w:tcPr>
          <w:p w14:paraId="4E8A1CEE">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TN</w:t>
            </w:r>
          </w:p>
          <w:p w14:paraId="31924A4E">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（mg/L）</w:t>
            </w:r>
          </w:p>
        </w:tc>
        <w:tc>
          <w:tcPr>
            <w:tcW w:w="1077" w:type="dxa"/>
            <w:noWrap w:val="0"/>
            <w:vAlign w:val="center"/>
          </w:tcPr>
          <w:p w14:paraId="3DC372E7">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粪大肠菌群数（个/L）</w:t>
            </w:r>
          </w:p>
        </w:tc>
        <w:tc>
          <w:tcPr>
            <w:tcW w:w="1077" w:type="dxa"/>
            <w:noWrap w:val="0"/>
            <w:vAlign w:val="center"/>
          </w:tcPr>
          <w:p w14:paraId="0508CB5E">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Times New Roman"/>
                <w:color w:val="auto"/>
                <w:kern w:val="0"/>
                <w:sz w:val="24"/>
                <w:szCs w:val="24"/>
                <w:highlight w:val="none"/>
                <w:lang w:eastAsia="zh-CN"/>
              </w:rPr>
            </w:pPr>
            <w:r>
              <w:rPr>
                <w:rFonts w:hint="eastAsia" w:ascii="仿宋" w:hAnsi="仿宋" w:eastAsia="仿宋" w:cs="Times New Roman"/>
                <w:color w:val="auto"/>
                <w:kern w:val="0"/>
                <w:sz w:val="24"/>
                <w:szCs w:val="24"/>
                <w:highlight w:val="none"/>
                <w:lang w:val="en-US" w:eastAsia="zh-CN"/>
              </w:rPr>
              <w:t>色度</w:t>
            </w:r>
          </w:p>
          <w:p w14:paraId="098C2475">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w:t>
            </w:r>
            <w:r>
              <w:rPr>
                <w:rFonts w:hint="eastAsia" w:ascii="仿宋" w:hAnsi="仿宋" w:eastAsia="仿宋" w:cs="Times New Roman"/>
                <w:color w:val="auto"/>
                <w:kern w:val="0"/>
                <w:sz w:val="24"/>
                <w:szCs w:val="24"/>
                <w:highlight w:val="none"/>
                <w:lang w:val="en-US" w:eastAsia="zh-CN"/>
              </w:rPr>
              <w:t>稀释倍数</w:t>
            </w:r>
            <w:r>
              <w:rPr>
                <w:rFonts w:hint="eastAsia" w:ascii="仿宋" w:hAnsi="仿宋" w:eastAsia="仿宋" w:cs="Times New Roman"/>
                <w:color w:val="auto"/>
                <w:kern w:val="0"/>
                <w:sz w:val="24"/>
                <w:szCs w:val="24"/>
                <w:highlight w:val="none"/>
              </w:rPr>
              <w:t>）</w:t>
            </w:r>
          </w:p>
        </w:tc>
      </w:tr>
      <w:tr w14:paraId="4B776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77" w:type="dxa"/>
            <w:noWrap w:val="0"/>
            <w:vAlign w:val="center"/>
          </w:tcPr>
          <w:p w14:paraId="1D461FF7">
            <w:pPr>
              <w:spacing w:line="480" w:lineRule="auto"/>
              <w:jc w:val="center"/>
              <w:rPr>
                <w:rFonts w:hint="default" w:ascii="仿宋" w:hAnsi="仿宋" w:eastAsia="仿宋" w:cs="Times New Roman"/>
                <w:color w:val="auto"/>
                <w:kern w:val="0"/>
                <w:sz w:val="24"/>
                <w:szCs w:val="24"/>
                <w:highlight w:val="none"/>
                <w:lang w:val="en-US" w:eastAsia="zh-CN"/>
              </w:rPr>
            </w:pPr>
            <w:r>
              <w:rPr>
                <w:rFonts w:hint="eastAsia" w:ascii="仿宋" w:hAnsi="仿宋" w:eastAsia="仿宋" w:cs="Times New Roman"/>
                <w:color w:val="auto"/>
                <w:kern w:val="0"/>
                <w:sz w:val="24"/>
                <w:szCs w:val="24"/>
                <w:highlight w:val="none"/>
                <w:lang w:val="en-US" w:eastAsia="zh-CN"/>
              </w:rPr>
              <w:t>40</w:t>
            </w:r>
          </w:p>
        </w:tc>
        <w:tc>
          <w:tcPr>
            <w:tcW w:w="1077" w:type="dxa"/>
            <w:noWrap w:val="0"/>
            <w:vAlign w:val="center"/>
          </w:tcPr>
          <w:p w14:paraId="2C471B2C">
            <w:pPr>
              <w:spacing w:line="480" w:lineRule="auto"/>
              <w:jc w:val="center"/>
              <w:rPr>
                <w:rFonts w:hint="default" w:ascii="仿宋" w:hAnsi="仿宋" w:eastAsia="仿宋" w:cs="Times New Roman"/>
                <w:color w:val="auto"/>
                <w:kern w:val="0"/>
                <w:sz w:val="24"/>
                <w:szCs w:val="24"/>
                <w:highlight w:val="none"/>
                <w:lang w:val="en-US" w:eastAsia="zh-CN"/>
              </w:rPr>
            </w:pPr>
            <w:r>
              <w:rPr>
                <w:rFonts w:hint="eastAsia" w:ascii="仿宋" w:hAnsi="仿宋" w:eastAsia="仿宋" w:cs="Times New Roman"/>
                <w:color w:val="auto"/>
                <w:kern w:val="0"/>
                <w:sz w:val="24"/>
                <w:szCs w:val="24"/>
                <w:highlight w:val="none"/>
                <w:lang w:val="en-US" w:eastAsia="zh-CN"/>
              </w:rPr>
              <w:t>10</w:t>
            </w:r>
          </w:p>
        </w:tc>
        <w:tc>
          <w:tcPr>
            <w:tcW w:w="1077" w:type="dxa"/>
            <w:noWrap w:val="0"/>
            <w:vAlign w:val="center"/>
          </w:tcPr>
          <w:p w14:paraId="6BE4C90C">
            <w:pPr>
              <w:spacing w:line="480" w:lineRule="auto"/>
              <w:jc w:val="center"/>
              <w:rPr>
                <w:rFonts w:hint="default" w:ascii="仿宋" w:hAnsi="仿宋" w:eastAsia="仿宋" w:cs="Times New Roman"/>
                <w:color w:val="auto"/>
                <w:kern w:val="0"/>
                <w:sz w:val="24"/>
                <w:szCs w:val="24"/>
                <w:highlight w:val="none"/>
                <w:lang w:val="en-US" w:eastAsia="zh-CN"/>
              </w:rPr>
            </w:pPr>
            <w:r>
              <w:rPr>
                <w:rFonts w:hint="eastAsia" w:ascii="仿宋" w:hAnsi="仿宋" w:eastAsia="仿宋" w:cs="Times New Roman"/>
                <w:color w:val="auto"/>
                <w:kern w:val="0"/>
                <w:sz w:val="24"/>
                <w:szCs w:val="24"/>
                <w:highlight w:val="none"/>
                <w:lang w:val="en-US" w:eastAsia="zh-CN"/>
              </w:rPr>
              <w:t>10</w:t>
            </w:r>
          </w:p>
        </w:tc>
        <w:tc>
          <w:tcPr>
            <w:tcW w:w="1077" w:type="dxa"/>
            <w:noWrap w:val="0"/>
            <w:vAlign w:val="center"/>
          </w:tcPr>
          <w:p w14:paraId="7ACA3C80">
            <w:pPr>
              <w:spacing w:line="480" w:lineRule="auto"/>
              <w:jc w:val="center"/>
              <w:rPr>
                <w:rFonts w:hint="eastAsia" w:ascii="仿宋" w:hAnsi="仿宋" w:eastAsia="仿宋" w:cs="Times New Roman"/>
                <w:color w:val="auto"/>
                <w:kern w:val="0"/>
                <w:sz w:val="24"/>
                <w:szCs w:val="24"/>
                <w:highlight w:val="none"/>
                <w:lang w:val="en-US" w:eastAsia="zh-CN"/>
              </w:rPr>
            </w:pPr>
            <w:r>
              <w:rPr>
                <w:rFonts w:hint="eastAsia" w:ascii="仿宋" w:hAnsi="仿宋" w:eastAsia="仿宋" w:cs="Times New Roman"/>
                <w:color w:val="auto"/>
                <w:kern w:val="0"/>
                <w:sz w:val="24"/>
                <w:szCs w:val="24"/>
                <w:highlight w:val="none"/>
                <w:lang w:val="en-US" w:eastAsia="zh-CN"/>
              </w:rPr>
              <w:t>3（5）</w:t>
            </w:r>
          </w:p>
        </w:tc>
        <w:tc>
          <w:tcPr>
            <w:tcW w:w="1077" w:type="dxa"/>
            <w:noWrap w:val="0"/>
            <w:vAlign w:val="center"/>
          </w:tcPr>
          <w:p w14:paraId="1E80F1D8">
            <w:pPr>
              <w:spacing w:line="480" w:lineRule="auto"/>
              <w:jc w:val="center"/>
              <w:rPr>
                <w:rFonts w:hint="default" w:ascii="仿宋" w:hAnsi="仿宋" w:eastAsia="仿宋" w:cs="Times New Roman"/>
                <w:color w:val="auto"/>
                <w:kern w:val="0"/>
                <w:sz w:val="24"/>
                <w:szCs w:val="24"/>
                <w:highlight w:val="none"/>
                <w:lang w:val="en-US" w:eastAsia="zh-CN"/>
              </w:rPr>
            </w:pPr>
            <w:r>
              <w:rPr>
                <w:rFonts w:hint="eastAsia" w:ascii="仿宋" w:hAnsi="仿宋" w:eastAsia="仿宋" w:cs="Times New Roman"/>
                <w:color w:val="auto"/>
                <w:kern w:val="0"/>
                <w:sz w:val="24"/>
                <w:szCs w:val="24"/>
                <w:highlight w:val="none"/>
                <w:lang w:val="en-US" w:eastAsia="zh-CN"/>
              </w:rPr>
              <w:t>0.3</w:t>
            </w:r>
          </w:p>
        </w:tc>
        <w:tc>
          <w:tcPr>
            <w:tcW w:w="1077" w:type="dxa"/>
            <w:noWrap w:val="0"/>
            <w:vAlign w:val="center"/>
          </w:tcPr>
          <w:p w14:paraId="7AA62F6E">
            <w:pPr>
              <w:spacing w:line="480" w:lineRule="auto"/>
              <w:jc w:val="center"/>
              <w:rPr>
                <w:rFonts w:hint="default" w:ascii="仿宋" w:hAnsi="仿宋" w:eastAsia="仿宋" w:cs="Times New Roman"/>
                <w:color w:val="auto"/>
                <w:kern w:val="0"/>
                <w:sz w:val="24"/>
                <w:szCs w:val="24"/>
                <w:highlight w:val="none"/>
                <w:lang w:val="en-US" w:eastAsia="zh-CN"/>
              </w:rPr>
            </w:pPr>
            <w:r>
              <w:rPr>
                <w:rFonts w:hint="eastAsia" w:ascii="仿宋" w:hAnsi="仿宋" w:eastAsia="仿宋" w:cs="Times New Roman"/>
                <w:color w:val="auto"/>
                <w:kern w:val="0"/>
                <w:sz w:val="24"/>
                <w:szCs w:val="24"/>
                <w:highlight w:val="none"/>
                <w:lang w:val="en-US" w:eastAsia="zh-CN"/>
              </w:rPr>
              <w:t>10（12）</w:t>
            </w:r>
          </w:p>
        </w:tc>
        <w:tc>
          <w:tcPr>
            <w:tcW w:w="1077" w:type="dxa"/>
            <w:noWrap w:val="0"/>
            <w:vAlign w:val="center"/>
          </w:tcPr>
          <w:p w14:paraId="24AA3A6D">
            <w:pPr>
              <w:spacing w:line="480" w:lineRule="auto"/>
              <w:jc w:val="center"/>
              <w:rPr>
                <w:rFonts w:hint="eastAsia" w:ascii="仿宋" w:hAnsi="仿宋" w:eastAsia="仿宋" w:cs="Times New Roman"/>
                <w:color w:val="auto"/>
                <w:kern w:val="0"/>
                <w:sz w:val="24"/>
                <w:szCs w:val="24"/>
                <w:highlight w:val="none"/>
                <w:lang w:val="en-US" w:eastAsia="zh-CN"/>
              </w:rPr>
            </w:pPr>
            <w:r>
              <w:rPr>
                <w:rFonts w:hint="eastAsia" w:ascii="仿宋" w:hAnsi="仿宋" w:eastAsia="仿宋" w:cs="Times New Roman"/>
                <w:color w:val="auto"/>
                <w:kern w:val="0"/>
                <w:sz w:val="24"/>
                <w:szCs w:val="24"/>
                <w:highlight w:val="none"/>
                <w:lang w:val="en-US" w:eastAsia="zh-CN"/>
              </w:rPr>
              <w:t>1000</w:t>
            </w:r>
          </w:p>
        </w:tc>
        <w:tc>
          <w:tcPr>
            <w:tcW w:w="1077" w:type="dxa"/>
            <w:noWrap w:val="0"/>
            <w:vAlign w:val="center"/>
          </w:tcPr>
          <w:p w14:paraId="2F294C12">
            <w:pPr>
              <w:spacing w:line="480" w:lineRule="auto"/>
              <w:jc w:val="center"/>
              <w:rPr>
                <w:rFonts w:hint="default" w:ascii="仿宋" w:hAnsi="仿宋" w:eastAsia="仿宋" w:cs="Times New Roman"/>
                <w:color w:val="auto"/>
                <w:kern w:val="0"/>
                <w:sz w:val="24"/>
                <w:szCs w:val="24"/>
                <w:highlight w:val="none"/>
                <w:lang w:val="en-US" w:eastAsia="zh-CN"/>
              </w:rPr>
            </w:pPr>
            <w:r>
              <w:rPr>
                <w:rFonts w:hint="eastAsia" w:ascii="仿宋" w:hAnsi="仿宋" w:eastAsia="仿宋" w:cs="Times New Roman"/>
                <w:color w:val="auto"/>
                <w:kern w:val="0"/>
                <w:sz w:val="24"/>
                <w:szCs w:val="24"/>
                <w:highlight w:val="none"/>
                <w:lang w:val="en-US" w:eastAsia="zh-CN"/>
              </w:rPr>
              <w:t>30</w:t>
            </w:r>
          </w:p>
        </w:tc>
      </w:tr>
    </w:tbl>
    <w:p w14:paraId="5EA3D6F1">
      <w:pPr>
        <w:spacing w:before="80" w:after="80" w:line="360" w:lineRule="auto"/>
        <w:ind w:firstLine="422" w:firstLineChars="176"/>
        <w:rPr>
          <w:rFonts w:hint="default" w:ascii="仿宋" w:hAnsi="仿宋" w:eastAsia="仿宋" w:cs="Times New Roman"/>
          <w:color w:val="auto"/>
          <w:kern w:val="0"/>
          <w:sz w:val="24"/>
          <w:szCs w:val="24"/>
          <w:highlight w:val="none"/>
          <w:lang w:val="en-US" w:eastAsia="zh-CN"/>
        </w:rPr>
      </w:pPr>
      <w:r>
        <w:rPr>
          <w:rFonts w:hint="eastAsia" w:ascii="仿宋" w:hAnsi="仿宋" w:eastAsia="仿宋" w:cs="Times New Roman"/>
          <w:color w:val="auto"/>
          <w:kern w:val="0"/>
          <w:sz w:val="24"/>
          <w:szCs w:val="24"/>
          <w:highlight w:val="none"/>
          <w:lang w:val="en-US" w:eastAsia="zh-CN"/>
        </w:rPr>
        <w:t>注：每年11月1日至次年3月31日执行括号内排放值。</w:t>
      </w:r>
    </w:p>
    <w:p w14:paraId="4498A36A">
      <w:pPr>
        <w:keepNext/>
        <w:keepLines/>
        <w:widowControl w:val="0"/>
        <w:ind w:firstLine="562" w:firstLineChars="200"/>
        <w:jc w:val="both"/>
        <w:outlineLvl w:val="1"/>
        <w:rPr>
          <w:rFonts w:ascii="仿宋" w:hAnsi="仿宋" w:eastAsia="仿宋" w:cs="Times New Roman"/>
          <w:b/>
          <w:bCs/>
          <w:color w:val="auto"/>
          <w:kern w:val="0"/>
          <w:sz w:val="24"/>
          <w:szCs w:val="24"/>
          <w:highlight w:val="none"/>
          <w:lang w:val="en-US" w:eastAsia="zh-CN" w:bidi="ar-SA"/>
        </w:rPr>
      </w:pPr>
      <w:bookmarkStart w:id="532" w:name="_Toc22234165"/>
      <w:r>
        <w:rPr>
          <w:rFonts w:hint="eastAsia" w:ascii="仿宋" w:hAnsi="仿宋" w:eastAsia="仿宋" w:cs="Times New Roman"/>
          <w:b/>
          <w:bCs/>
          <w:color w:val="auto"/>
          <w:kern w:val="0"/>
          <w:sz w:val="28"/>
          <w:szCs w:val="24"/>
          <w:highlight w:val="none"/>
          <w:lang w:val="en-US" w:eastAsia="zh-CN" w:bidi="ar-SA"/>
        </w:rPr>
        <w:t xml:space="preserve">第6条 </w:t>
      </w:r>
      <w:r>
        <w:rPr>
          <w:rFonts w:hint="eastAsia" w:ascii="仿宋" w:hAnsi="仿宋" w:eastAsia="仿宋" w:cs="Times New Roman"/>
          <w:b/>
          <w:bCs/>
          <w:color w:val="auto"/>
          <w:kern w:val="0"/>
          <w:sz w:val="28"/>
          <w:szCs w:val="32"/>
          <w:highlight w:val="none"/>
          <w:lang w:val="en-US" w:eastAsia="zh-CN" w:bidi="ar-SA"/>
        </w:rPr>
        <w:t>污水管网运营维护标准</w:t>
      </w:r>
      <w:bookmarkEnd w:id="532"/>
    </w:p>
    <w:p w14:paraId="399987BF">
      <w:pPr>
        <w:spacing w:before="80" w:after="80" w:line="360" w:lineRule="auto"/>
        <w:ind w:firstLine="480" w:firstLineChars="200"/>
        <w:rPr>
          <w:rFonts w:hint="eastAsia"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在</w:t>
      </w:r>
      <w:r>
        <w:rPr>
          <w:rFonts w:hint="eastAsia" w:ascii="仿宋" w:hAnsi="仿宋" w:eastAsia="仿宋" w:cs="Times New Roman"/>
          <w:color w:val="auto"/>
          <w:kern w:val="0"/>
          <w:sz w:val="24"/>
          <w:szCs w:val="24"/>
          <w:highlight w:val="none"/>
          <w:lang w:val="en-US" w:eastAsia="zh-CN"/>
        </w:rPr>
        <w:t>特许经营期</w:t>
      </w:r>
      <w:r>
        <w:rPr>
          <w:rFonts w:hint="eastAsia" w:ascii="仿宋" w:hAnsi="仿宋" w:eastAsia="仿宋" w:cs="Times New Roman"/>
          <w:color w:val="auto"/>
          <w:kern w:val="0"/>
          <w:sz w:val="24"/>
          <w:szCs w:val="24"/>
          <w:highlight w:val="none"/>
        </w:rPr>
        <w:t>内，由乙方负责项目范围内污水管网设施的运营维护，污水管网的运营和维护应达到《城镇排水管渠与泵站运行、维护及安全技术规程》（CJJ68-2016）</w:t>
      </w:r>
      <w:r>
        <w:rPr>
          <w:rFonts w:hint="default" w:ascii="仿宋" w:hAnsi="仿宋" w:eastAsia="仿宋" w:cs="Times New Roman"/>
          <w:color w:val="auto"/>
          <w:kern w:val="0"/>
          <w:sz w:val="24"/>
          <w:szCs w:val="24"/>
          <w:highlight w:val="none"/>
        </w:rPr>
        <w:t>、</w:t>
      </w:r>
      <w:r>
        <w:rPr>
          <w:rFonts w:hint="eastAsia" w:ascii="仿宋" w:hAnsi="仿宋" w:eastAsia="仿宋" w:cs="Times New Roman"/>
          <w:color w:val="auto"/>
          <w:kern w:val="0"/>
          <w:sz w:val="24"/>
          <w:szCs w:val="24"/>
          <w:highlight w:val="none"/>
        </w:rPr>
        <w:t>《城镇排水管道非开挖修复工程更新工程技术规程》（CJJ/T210-2014）、</w:t>
      </w:r>
      <w:r>
        <w:rPr>
          <w:rFonts w:hint="default" w:ascii="仿宋" w:hAnsi="仿宋" w:eastAsia="仿宋" w:cs="Times New Roman"/>
          <w:color w:val="auto"/>
          <w:kern w:val="0"/>
          <w:sz w:val="24"/>
          <w:szCs w:val="24"/>
          <w:highlight w:val="none"/>
        </w:rPr>
        <w:t>《城镇排水管道维护安全技术规程》（CJJ6-2009）的要求</w:t>
      </w:r>
      <w:r>
        <w:rPr>
          <w:rFonts w:hint="eastAsia" w:ascii="仿宋" w:hAnsi="仿宋" w:eastAsia="仿宋" w:cs="Times New Roman"/>
          <w:color w:val="auto"/>
          <w:kern w:val="0"/>
          <w:sz w:val="24"/>
          <w:szCs w:val="24"/>
          <w:highlight w:val="none"/>
          <w:lang w:eastAsia="zh-CN"/>
        </w:rPr>
        <w:t>，</w:t>
      </w:r>
      <w:r>
        <w:rPr>
          <w:rFonts w:hint="eastAsia" w:ascii="仿宋" w:hAnsi="仿宋" w:eastAsia="仿宋" w:cs="Times New Roman"/>
          <w:color w:val="auto"/>
          <w:kern w:val="0"/>
          <w:sz w:val="24"/>
          <w:szCs w:val="24"/>
          <w:highlight w:val="none"/>
          <w:lang w:val="en-US" w:eastAsia="zh-CN"/>
        </w:rPr>
        <w:t>其中</w:t>
      </w:r>
      <w:r>
        <w:rPr>
          <w:rFonts w:hint="eastAsia" w:ascii="仿宋" w:hAnsi="仿宋" w:eastAsia="仿宋" w:cs="Times New Roman"/>
          <w:color w:val="auto"/>
          <w:kern w:val="0"/>
          <w:sz w:val="24"/>
          <w:szCs w:val="24"/>
          <w:highlight w:val="none"/>
        </w:rPr>
        <w:t>涉及强制性要求</w:t>
      </w:r>
      <w:r>
        <w:rPr>
          <w:rFonts w:hint="eastAsia" w:ascii="仿宋" w:hAnsi="仿宋" w:eastAsia="仿宋" w:cs="Times New Roman"/>
          <w:color w:val="auto"/>
          <w:kern w:val="0"/>
          <w:sz w:val="24"/>
          <w:szCs w:val="24"/>
          <w:highlight w:val="none"/>
          <w:lang w:val="en-US" w:eastAsia="zh-CN"/>
        </w:rPr>
        <w:t>的</w:t>
      </w:r>
      <w:r>
        <w:rPr>
          <w:rFonts w:hint="eastAsia" w:ascii="仿宋" w:hAnsi="仿宋" w:eastAsia="仿宋" w:cs="Times New Roman"/>
          <w:color w:val="auto"/>
          <w:kern w:val="0"/>
          <w:sz w:val="24"/>
          <w:szCs w:val="24"/>
          <w:highlight w:val="none"/>
        </w:rPr>
        <w:t>同步遵照《城乡排水工程项目规范》（GB 55027-2022）执行，与《城乡排水工程项目规范》（GB 55027-2022）不一致条款以《城乡排水工程项目规范》（GB 55027-2022）为准。</w:t>
      </w:r>
    </w:p>
    <w:p w14:paraId="1F1C7F82">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33" w:name="_Toc22234166"/>
      <w:r>
        <w:rPr>
          <w:rFonts w:hint="eastAsia" w:ascii="仿宋" w:hAnsi="仿宋" w:eastAsia="仿宋" w:cs="Times New Roman"/>
          <w:b/>
          <w:bCs/>
          <w:color w:val="auto"/>
          <w:kern w:val="0"/>
          <w:sz w:val="28"/>
          <w:szCs w:val="32"/>
          <w:highlight w:val="none"/>
          <w:lang w:val="en-US" w:eastAsia="zh-CN" w:bidi="ar-SA"/>
        </w:rPr>
        <w:t>第</w:t>
      </w:r>
      <w:r>
        <w:rPr>
          <w:rFonts w:ascii="仿宋" w:hAnsi="仿宋" w:eastAsia="仿宋" w:cs="Times New Roman"/>
          <w:b/>
          <w:bCs/>
          <w:color w:val="auto"/>
          <w:kern w:val="0"/>
          <w:sz w:val="28"/>
          <w:szCs w:val="32"/>
          <w:highlight w:val="none"/>
          <w:lang w:val="en-US" w:eastAsia="zh-CN" w:bidi="ar-SA"/>
        </w:rPr>
        <w:t>7</w:t>
      </w:r>
      <w:r>
        <w:rPr>
          <w:rFonts w:hint="eastAsia" w:ascii="仿宋" w:hAnsi="仿宋" w:eastAsia="仿宋" w:cs="Times New Roman"/>
          <w:b/>
          <w:bCs/>
          <w:color w:val="auto"/>
          <w:kern w:val="0"/>
          <w:sz w:val="28"/>
          <w:szCs w:val="32"/>
          <w:highlight w:val="none"/>
          <w:lang w:val="en-US" w:eastAsia="zh-CN" w:bidi="ar-SA"/>
        </w:rPr>
        <w:t>条</w:t>
      </w:r>
      <w:r>
        <w:rPr>
          <w:rFonts w:hint="eastAsia" w:ascii="仿宋" w:hAnsi="仿宋" w:eastAsia="仿宋" w:cs="Times New Roman"/>
          <w:b/>
          <w:bCs/>
          <w:color w:val="auto"/>
          <w:kern w:val="0"/>
          <w:sz w:val="28"/>
          <w:szCs w:val="32"/>
          <w:highlight w:val="none"/>
          <w:lang w:val="en-US" w:eastAsia="zh-CN" w:bidi="ar-SA"/>
        </w:rPr>
        <w:tab/>
      </w:r>
      <w:r>
        <w:rPr>
          <w:rFonts w:hint="eastAsia" w:ascii="仿宋" w:hAnsi="仿宋" w:eastAsia="仿宋" w:cs="Times New Roman"/>
          <w:b/>
          <w:bCs/>
          <w:color w:val="auto"/>
          <w:kern w:val="0"/>
          <w:sz w:val="28"/>
          <w:szCs w:val="24"/>
          <w:highlight w:val="none"/>
          <w:lang w:val="en-US" w:eastAsia="zh-CN" w:bidi="ar-SA"/>
        </w:rPr>
        <w:t>污泥出厂标准</w:t>
      </w:r>
      <w:bookmarkEnd w:id="533"/>
    </w:p>
    <w:p w14:paraId="1CBB5F17">
      <w:pPr>
        <w:spacing w:line="480" w:lineRule="auto"/>
        <w:ind w:firstLine="480" w:firstLineChars="200"/>
        <w:rPr>
          <w:rFonts w:hint="default" w:ascii="仿宋" w:hAnsi="仿宋" w:eastAsia="仿宋" w:cs="Times New Roman"/>
          <w:color w:val="auto"/>
          <w:kern w:val="0"/>
          <w:sz w:val="24"/>
          <w:szCs w:val="24"/>
          <w:highlight w:val="none"/>
          <w:lang w:val="en-US" w:eastAsia="zh-CN"/>
        </w:rPr>
      </w:pPr>
      <w:r>
        <w:rPr>
          <w:rFonts w:hint="eastAsia" w:ascii="仿宋" w:hAnsi="仿宋" w:eastAsia="仿宋" w:cs="Times New Roman"/>
          <w:color w:val="auto"/>
          <w:kern w:val="0"/>
          <w:sz w:val="24"/>
          <w:szCs w:val="24"/>
          <w:highlight w:val="none"/>
        </w:rPr>
        <w:t>乙方负责</w:t>
      </w:r>
      <w:r>
        <w:rPr>
          <w:rFonts w:hint="eastAsia" w:ascii="仿宋" w:hAnsi="仿宋" w:eastAsia="仿宋" w:cs="Times New Roman"/>
          <w:color w:val="auto"/>
          <w:kern w:val="0"/>
          <w:sz w:val="24"/>
          <w:szCs w:val="24"/>
          <w:highlight w:val="none"/>
          <w:lang w:val="en-US" w:eastAsia="zh-CN"/>
        </w:rPr>
        <w:t>将</w:t>
      </w:r>
      <w:r>
        <w:rPr>
          <w:rFonts w:hint="eastAsia" w:ascii="仿宋" w:hAnsi="仿宋" w:eastAsia="仿宋" w:cs="Times New Roman"/>
          <w:color w:val="auto"/>
          <w:kern w:val="0"/>
          <w:sz w:val="24"/>
          <w:szCs w:val="24"/>
          <w:highlight w:val="none"/>
        </w:rPr>
        <w:t>本项目</w:t>
      </w:r>
      <w:r>
        <w:rPr>
          <w:rFonts w:hint="eastAsia" w:ascii="仿宋" w:hAnsi="仿宋" w:eastAsia="仿宋" w:cs="Times New Roman"/>
          <w:color w:val="auto"/>
          <w:kern w:val="0"/>
          <w:sz w:val="24"/>
          <w:szCs w:val="24"/>
          <w:highlight w:val="none"/>
          <w:lang w:val="en-US" w:eastAsia="zh-CN"/>
        </w:rPr>
        <w:t>污水处理产生的污泥脱水至含水率小于80%；甲方负责通过政府购买服务等公开竞争方式确定污泥处置单位，污泥处置单位负责将污泥从污水处理厂外运至指定污泥处置点，污泥运输费及处置费由甲方与污泥处置单位结算支付。</w:t>
      </w:r>
    </w:p>
    <w:p w14:paraId="64DAD320">
      <w:pPr>
        <w:keepNext/>
        <w:keepLines/>
        <w:widowControl w:val="0"/>
        <w:ind w:firstLine="562" w:firstLineChars="200"/>
        <w:jc w:val="both"/>
        <w:outlineLvl w:val="1"/>
        <w:rPr>
          <w:rFonts w:ascii="仿宋" w:hAnsi="仿宋" w:eastAsia="仿宋" w:cs="Times New Roman"/>
          <w:b w:val="0"/>
          <w:bCs w:val="0"/>
          <w:color w:val="auto"/>
          <w:kern w:val="0"/>
          <w:sz w:val="28"/>
          <w:szCs w:val="32"/>
          <w:highlight w:val="none"/>
          <w:lang w:val="en-US" w:eastAsia="zh-CN" w:bidi="ar-SA"/>
        </w:rPr>
      </w:pPr>
      <w:bookmarkStart w:id="534" w:name="_Toc22234167"/>
      <w:r>
        <w:rPr>
          <w:rFonts w:hint="eastAsia" w:ascii="仿宋" w:hAnsi="仿宋" w:eastAsia="仿宋" w:cs="Times New Roman"/>
          <w:b/>
          <w:bCs/>
          <w:color w:val="auto"/>
          <w:kern w:val="0"/>
          <w:sz w:val="28"/>
          <w:szCs w:val="32"/>
          <w:highlight w:val="none"/>
          <w:lang w:val="en-US" w:eastAsia="zh-CN" w:bidi="ar-SA"/>
        </w:rPr>
        <w:t>第</w:t>
      </w:r>
      <w:r>
        <w:rPr>
          <w:rFonts w:ascii="仿宋" w:hAnsi="仿宋" w:eastAsia="仿宋" w:cs="Times New Roman"/>
          <w:b/>
          <w:bCs/>
          <w:color w:val="auto"/>
          <w:kern w:val="0"/>
          <w:sz w:val="28"/>
          <w:szCs w:val="32"/>
          <w:highlight w:val="none"/>
          <w:lang w:val="en-US" w:eastAsia="zh-CN" w:bidi="ar-SA"/>
        </w:rPr>
        <w:t>8</w:t>
      </w:r>
      <w:r>
        <w:rPr>
          <w:rFonts w:hint="eastAsia" w:ascii="仿宋" w:hAnsi="仿宋" w:eastAsia="仿宋" w:cs="Times New Roman"/>
          <w:b/>
          <w:bCs/>
          <w:color w:val="auto"/>
          <w:kern w:val="0"/>
          <w:sz w:val="28"/>
          <w:szCs w:val="32"/>
          <w:highlight w:val="none"/>
          <w:lang w:val="en-US" w:eastAsia="zh-CN" w:bidi="ar-SA"/>
        </w:rPr>
        <w:t>条</w:t>
      </w:r>
      <w:r>
        <w:rPr>
          <w:rFonts w:hint="eastAsia" w:ascii="仿宋" w:hAnsi="仿宋" w:eastAsia="仿宋" w:cs="Times New Roman"/>
          <w:b/>
          <w:bCs/>
          <w:color w:val="auto"/>
          <w:kern w:val="0"/>
          <w:sz w:val="28"/>
          <w:szCs w:val="32"/>
          <w:highlight w:val="none"/>
          <w:lang w:val="en-US" w:eastAsia="zh-CN" w:bidi="ar-SA"/>
        </w:rPr>
        <w:tab/>
      </w:r>
      <w:r>
        <w:rPr>
          <w:rFonts w:hint="eastAsia" w:ascii="仿宋" w:hAnsi="仿宋" w:eastAsia="仿宋" w:cs="Times New Roman"/>
          <w:b/>
          <w:bCs/>
          <w:color w:val="auto"/>
          <w:kern w:val="0"/>
          <w:sz w:val="28"/>
          <w:szCs w:val="32"/>
          <w:highlight w:val="none"/>
          <w:lang w:val="en-US" w:eastAsia="zh-CN" w:bidi="ar-SA"/>
        </w:rPr>
        <w:t>噪声</w:t>
      </w:r>
      <w:r>
        <w:rPr>
          <w:rFonts w:hint="eastAsia" w:ascii="仿宋" w:hAnsi="仿宋" w:eastAsia="仿宋" w:cs="Times New Roman"/>
          <w:b w:val="0"/>
          <w:bCs w:val="0"/>
          <w:color w:val="auto"/>
          <w:kern w:val="0"/>
          <w:sz w:val="28"/>
          <w:szCs w:val="32"/>
          <w:highlight w:val="none"/>
          <w:lang w:val="en-US" w:eastAsia="zh-CN" w:bidi="ar-SA"/>
        </w:rPr>
        <w:t>、</w:t>
      </w:r>
      <w:r>
        <w:rPr>
          <w:rFonts w:hint="eastAsia" w:ascii="仿宋" w:hAnsi="仿宋" w:eastAsia="仿宋" w:cs="Times New Roman"/>
          <w:b/>
          <w:bCs/>
          <w:color w:val="auto"/>
          <w:kern w:val="0"/>
          <w:sz w:val="28"/>
          <w:szCs w:val="32"/>
          <w:highlight w:val="none"/>
          <w:lang w:val="en-US" w:eastAsia="zh-CN" w:bidi="ar-SA"/>
        </w:rPr>
        <w:t>臭气标准</w:t>
      </w:r>
      <w:bookmarkEnd w:id="534"/>
    </w:p>
    <w:p w14:paraId="51EE463A">
      <w:pPr>
        <w:spacing w:line="480" w:lineRule="auto"/>
        <w:ind w:firstLine="424" w:firstLineChars="177"/>
        <w:rPr>
          <w:rFonts w:hint="eastAsia"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本项目设施范围内噪声执行《工业企业厂界环境噪声排放标准》（</w:t>
      </w:r>
      <w:r>
        <w:rPr>
          <w:rFonts w:hint="eastAsia" w:ascii="仿宋" w:hAnsi="仿宋" w:eastAsia="仿宋" w:cs="Times New Roman"/>
          <w:color w:val="auto"/>
          <w:kern w:val="0"/>
          <w:sz w:val="24"/>
          <w:szCs w:val="24"/>
          <w:highlight w:val="none"/>
          <w:lang w:eastAsia="zh-CN"/>
        </w:rPr>
        <w:t>GB 12348</w:t>
      </w:r>
      <w:r>
        <w:rPr>
          <w:rFonts w:hint="eastAsia" w:ascii="仿宋" w:hAnsi="仿宋" w:eastAsia="仿宋" w:cs="Times New Roman"/>
          <w:color w:val="auto"/>
          <w:kern w:val="0"/>
          <w:sz w:val="24"/>
          <w:szCs w:val="24"/>
          <w:highlight w:val="none"/>
        </w:rPr>
        <w:t>-2008）</w:t>
      </w:r>
      <w:r>
        <w:rPr>
          <w:rFonts w:hint="eastAsia" w:ascii="仿宋" w:hAnsi="仿宋" w:eastAsia="仿宋" w:cs="Times New Roman"/>
          <w:color w:val="auto"/>
          <w:kern w:val="0"/>
          <w:sz w:val="24"/>
          <w:szCs w:val="24"/>
          <w:highlight w:val="none"/>
          <w:lang w:val="en-US" w:eastAsia="zh-CN"/>
        </w:rPr>
        <w:t>中的2类标准要求</w:t>
      </w:r>
      <w:r>
        <w:rPr>
          <w:rFonts w:hint="eastAsia" w:ascii="仿宋" w:hAnsi="仿宋" w:eastAsia="仿宋" w:cs="Times New Roman"/>
          <w:color w:val="auto"/>
          <w:kern w:val="0"/>
          <w:sz w:val="24"/>
          <w:szCs w:val="24"/>
          <w:highlight w:val="none"/>
        </w:rPr>
        <w:t>，并应符合国家标准、行业标准、</w:t>
      </w:r>
      <w:r>
        <w:rPr>
          <w:rFonts w:hint="eastAsia" w:ascii="仿宋" w:hAnsi="仿宋" w:eastAsia="仿宋" w:cs="Times New Roman"/>
          <w:color w:val="auto"/>
          <w:kern w:val="0"/>
          <w:sz w:val="24"/>
          <w:szCs w:val="24"/>
          <w:highlight w:val="none"/>
          <w:lang w:val="en-US" w:eastAsia="zh-CN"/>
        </w:rPr>
        <w:t>江苏</w:t>
      </w:r>
      <w:r>
        <w:rPr>
          <w:rFonts w:hint="eastAsia" w:ascii="仿宋" w:hAnsi="仿宋" w:eastAsia="仿宋" w:cs="Times New Roman"/>
          <w:color w:val="auto"/>
          <w:kern w:val="0"/>
          <w:sz w:val="24"/>
          <w:szCs w:val="24"/>
          <w:highlight w:val="none"/>
        </w:rPr>
        <w:t>省、</w:t>
      </w:r>
      <w:r>
        <w:rPr>
          <w:rFonts w:hint="eastAsia" w:ascii="仿宋" w:hAnsi="仿宋" w:eastAsia="仿宋" w:cs="Times New Roman"/>
          <w:color w:val="auto"/>
          <w:kern w:val="0"/>
          <w:sz w:val="24"/>
          <w:szCs w:val="24"/>
          <w:highlight w:val="none"/>
          <w:lang w:val="en-US" w:eastAsia="zh-CN"/>
        </w:rPr>
        <w:t>扬州</w:t>
      </w:r>
      <w:r>
        <w:rPr>
          <w:rFonts w:hint="eastAsia" w:ascii="仿宋" w:hAnsi="仿宋" w:eastAsia="仿宋" w:cs="Times New Roman"/>
          <w:color w:val="auto"/>
          <w:kern w:val="0"/>
          <w:sz w:val="24"/>
          <w:szCs w:val="24"/>
          <w:highlight w:val="none"/>
        </w:rPr>
        <w:t>市地方标准。</w:t>
      </w:r>
    </w:p>
    <w:p w14:paraId="1569C1E4">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本项目臭气排放执行《城镇污水处理厂污染物排放标准》（</w:t>
      </w:r>
      <w:r>
        <w:rPr>
          <w:rFonts w:hint="eastAsia" w:ascii="仿宋" w:hAnsi="仿宋" w:eastAsia="仿宋" w:cs="Times New Roman"/>
          <w:color w:val="auto"/>
          <w:kern w:val="0"/>
          <w:sz w:val="24"/>
          <w:szCs w:val="24"/>
          <w:highlight w:val="none"/>
          <w:lang w:eastAsia="zh-CN"/>
        </w:rPr>
        <w:t>GB 18918</w:t>
      </w:r>
      <w:r>
        <w:rPr>
          <w:rFonts w:hint="eastAsia" w:ascii="仿宋" w:hAnsi="仿宋" w:eastAsia="仿宋" w:cs="Times New Roman"/>
          <w:color w:val="auto"/>
          <w:kern w:val="0"/>
          <w:sz w:val="24"/>
          <w:szCs w:val="24"/>
          <w:highlight w:val="none"/>
        </w:rPr>
        <w:t>-20</w:t>
      </w:r>
      <w:r>
        <w:rPr>
          <w:rFonts w:hint="eastAsia" w:ascii="仿宋" w:hAnsi="仿宋" w:eastAsia="仿宋" w:cs="Times New Roman"/>
          <w:color w:val="auto"/>
          <w:kern w:val="0"/>
          <w:sz w:val="24"/>
          <w:szCs w:val="24"/>
          <w:highlight w:val="none"/>
          <w:lang w:val="en-US" w:eastAsia="zh-CN"/>
        </w:rPr>
        <w:t>0</w:t>
      </w:r>
      <w:r>
        <w:rPr>
          <w:rFonts w:hint="eastAsia" w:ascii="仿宋" w:hAnsi="仿宋" w:eastAsia="仿宋" w:cs="Times New Roman"/>
          <w:color w:val="auto"/>
          <w:kern w:val="0"/>
          <w:sz w:val="24"/>
          <w:szCs w:val="24"/>
          <w:highlight w:val="none"/>
        </w:rPr>
        <w:t>2），并应符合国家标准、行业标准、</w:t>
      </w:r>
      <w:r>
        <w:rPr>
          <w:rFonts w:hint="eastAsia" w:ascii="仿宋" w:hAnsi="仿宋" w:eastAsia="仿宋" w:cs="Times New Roman"/>
          <w:color w:val="auto"/>
          <w:kern w:val="0"/>
          <w:sz w:val="24"/>
          <w:szCs w:val="24"/>
          <w:highlight w:val="none"/>
          <w:lang w:val="en-US" w:eastAsia="zh-CN"/>
        </w:rPr>
        <w:t>江苏</w:t>
      </w:r>
      <w:r>
        <w:rPr>
          <w:rFonts w:hint="eastAsia" w:ascii="仿宋" w:hAnsi="仿宋" w:eastAsia="仿宋" w:cs="Times New Roman"/>
          <w:color w:val="auto"/>
          <w:kern w:val="0"/>
          <w:sz w:val="24"/>
          <w:szCs w:val="24"/>
          <w:highlight w:val="none"/>
        </w:rPr>
        <w:t>省、</w:t>
      </w:r>
      <w:r>
        <w:rPr>
          <w:rFonts w:hint="eastAsia" w:ascii="仿宋" w:hAnsi="仿宋" w:eastAsia="仿宋" w:cs="Times New Roman"/>
          <w:color w:val="auto"/>
          <w:kern w:val="0"/>
          <w:sz w:val="24"/>
          <w:szCs w:val="24"/>
          <w:highlight w:val="none"/>
          <w:lang w:val="en-US" w:eastAsia="zh-CN"/>
        </w:rPr>
        <w:t>扬州</w:t>
      </w:r>
      <w:r>
        <w:rPr>
          <w:rFonts w:hint="eastAsia" w:ascii="仿宋" w:hAnsi="仿宋" w:eastAsia="仿宋" w:cs="Times New Roman"/>
          <w:color w:val="auto"/>
          <w:kern w:val="0"/>
          <w:sz w:val="24"/>
          <w:szCs w:val="24"/>
          <w:highlight w:val="none"/>
        </w:rPr>
        <w:t>市地方标准。</w:t>
      </w:r>
    </w:p>
    <w:p w14:paraId="26F7595B">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35" w:name="_Toc22234168"/>
      <w:r>
        <w:rPr>
          <w:rFonts w:hint="eastAsia" w:ascii="仿宋" w:hAnsi="仿宋" w:eastAsia="仿宋" w:cs="Times New Roman"/>
          <w:b/>
          <w:bCs/>
          <w:color w:val="auto"/>
          <w:kern w:val="0"/>
          <w:sz w:val="28"/>
          <w:szCs w:val="32"/>
          <w:highlight w:val="none"/>
          <w:lang w:val="en-US" w:eastAsia="zh-CN" w:bidi="ar-SA"/>
        </w:rPr>
        <w:t>第</w:t>
      </w:r>
      <w:r>
        <w:rPr>
          <w:rFonts w:ascii="仿宋" w:hAnsi="仿宋" w:eastAsia="仿宋" w:cs="Times New Roman"/>
          <w:b/>
          <w:bCs/>
          <w:color w:val="auto"/>
          <w:kern w:val="0"/>
          <w:sz w:val="28"/>
          <w:szCs w:val="32"/>
          <w:highlight w:val="none"/>
          <w:lang w:val="en-US" w:eastAsia="zh-CN" w:bidi="ar-SA"/>
        </w:rPr>
        <w:t>9</w:t>
      </w:r>
      <w:r>
        <w:rPr>
          <w:rFonts w:hint="eastAsia" w:ascii="仿宋" w:hAnsi="仿宋" w:eastAsia="仿宋" w:cs="Times New Roman"/>
          <w:b/>
          <w:bCs/>
          <w:color w:val="auto"/>
          <w:kern w:val="0"/>
          <w:sz w:val="28"/>
          <w:szCs w:val="32"/>
          <w:highlight w:val="none"/>
          <w:lang w:val="en-US" w:eastAsia="zh-CN" w:bidi="ar-SA"/>
        </w:rPr>
        <w:t>条</w:t>
      </w:r>
      <w:r>
        <w:rPr>
          <w:rFonts w:hint="eastAsia" w:ascii="仿宋" w:hAnsi="仿宋" w:eastAsia="仿宋" w:cs="Times New Roman"/>
          <w:b/>
          <w:bCs/>
          <w:color w:val="auto"/>
          <w:kern w:val="0"/>
          <w:sz w:val="28"/>
          <w:szCs w:val="32"/>
          <w:highlight w:val="none"/>
          <w:lang w:val="en-US" w:eastAsia="zh-CN" w:bidi="ar-SA"/>
        </w:rPr>
        <w:tab/>
      </w:r>
      <w:r>
        <w:rPr>
          <w:rFonts w:hint="eastAsia" w:ascii="仿宋" w:hAnsi="仿宋" w:eastAsia="仿宋" w:cs="Times New Roman"/>
          <w:b/>
          <w:bCs/>
          <w:color w:val="auto"/>
          <w:kern w:val="0"/>
          <w:sz w:val="28"/>
          <w:szCs w:val="32"/>
          <w:highlight w:val="none"/>
          <w:lang w:val="en-US" w:eastAsia="zh-CN" w:bidi="ar-SA"/>
        </w:rPr>
        <w:t>对新标准的执行</w:t>
      </w:r>
      <w:bookmarkEnd w:id="535"/>
    </w:p>
    <w:p w14:paraId="25D00B32">
      <w:pPr>
        <w:spacing w:line="480" w:lineRule="auto"/>
        <w:ind w:firstLine="480" w:firstLineChars="200"/>
        <w:rPr>
          <w:rFonts w:hint="eastAsia"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协议中约定的乙方应执行或达到的标准如遇国家标准或行业标准、</w:t>
      </w:r>
      <w:r>
        <w:rPr>
          <w:rFonts w:hint="eastAsia" w:ascii="仿宋" w:hAnsi="仿宋" w:eastAsia="仿宋" w:cs="Times New Roman"/>
          <w:color w:val="auto"/>
          <w:kern w:val="0"/>
          <w:sz w:val="24"/>
          <w:szCs w:val="24"/>
          <w:highlight w:val="none"/>
          <w:lang w:val="en-US" w:eastAsia="zh-CN"/>
        </w:rPr>
        <w:t>江苏</w:t>
      </w:r>
      <w:r>
        <w:rPr>
          <w:rFonts w:hint="eastAsia" w:ascii="仿宋" w:hAnsi="仿宋" w:eastAsia="仿宋" w:cs="Times New Roman"/>
          <w:color w:val="auto"/>
          <w:kern w:val="0"/>
          <w:sz w:val="24"/>
          <w:szCs w:val="24"/>
          <w:highlight w:val="none"/>
        </w:rPr>
        <w:t>省、</w:t>
      </w:r>
      <w:r>
        <w:rPr>
          <w:rFonts w:hint="eastAsia" w:ascii="仿宋" w:hAnsi="仿宋" w:eastAsia="仿宋" w:cs="Times New Roman"/>
          <w:color w:val="auto"/>
          <w:kern w:val="0"/>
          <w:sz w:val="24"/>
          <w:szCs w:val="24"/>
          <w:highlight w:val="none"/>
          <w:lang w:val="en-US" w:eastAsia="zh-CN"/>
        </w:rPr>
        <w:t>扬州</w:t>
      </w:r>
      <w:r>
        <w:rPr>
          <w:rFonts w:hint="eastAsia" w:ascii="仿宋" w:hAnsi="仿宋" w:eastAsia="仿宋" w:cs="Times New Roman"/>
          <w:color w:val="auto"/>
          <w:kern w:val="0"/>
          <w:sz w:val="24"/>
          <w:szCs w:val="24"/>
          <w:highlight w:val="none"/>
        </w:rPr>
        <w:t>市地方标准对此有更新或补充或新颁布标准的，乙方应执行并达到该等新的标准。若由于执行新的标准需对项目设施进行技术更新或改造的，则执行《</w:t>
      </w:r>
      <w:r>
        <w:rPr>
          <w:rFonts w:hint="eastAsia" w:ascii="仿宋" w:hAnsi="仿宋" w:eastAsia="仿宋" w:cs="Times New Roman"/>
          <w:color w:val="auto"/>
          <w:kern w:val="0"/>
          <w:sz w:val="24"/>
          <w:szCs w:val="24"/>
          <w:highlight w:val="none"/>
          <w:lang w:val="en-US" w:eastAsia="zh-CN"/>
        </w:rPr>
        <w:t>特许经营协议</w:t>
      </w:r>
      <w:r>
        <w:rPr>
          <w:rFonts w:hint="eastAsia" w:ascii="仿宋" w:hAnsi="仿宋" w:eastAsia="仿宋" w:cs="Times New Roman"/>
          <w:color w:val="auto"/>
          <w:kern w:val="0"/>
          <w:sz w:val="24"/>
          <w:szCs w:val="24"/>
          <w:highlight w:val="none"/>
        </w:rPr>
        <w:t>》第</w:t>
      </w:r>
      <w:r>
        <w:rPr>
          <w:rFonts w:hint="eastAsia" w:ascii="仿宋" w:hAnsi="仿宋" w:eastAsia="仿宋" w:cs="Times New Roman"/>
          <w:color w:val="auto"/>
          <w:kern w:val="0"/>
          <w:sz w:val="24"/>
          <w:szCs w:val="24"/>
          <w:highlight w:val="none"/>
          <w:lang w:val="en-US" w:eastAsia="zh-CN"/>
        </w:rPr>
        <w:t>33条</w:t>
      </w:r>
      <w:r>
        <w:rPr>
          <w:rFonts w:hint="eastAsia" w:ascii="仿宋" w:hAnsi="仿宋" w:eastAsia="仿宋" w:cs="Times New Roman"/>
          <w:color w:val="auto"/>
          <w:kern w:val="0"/>
          <w:sz w:val="24"/>
          <w:szCs w:val="24"/>
          <w:highlight w:val="none"/>
        </w:rPr>
        <w:t>的约定。</w:t>
      </w:r>
    </w:p>
    <w:p w14:paraId="533012F8">
      <w:pPr>
        <w:keepNext/>
        <w:keepLines/>
        <w:widowControl w:val="0"/>
        <w:jc w:val="center"/>
        <w:outlineLvl w:val="0"/>
        <w:rPr>
          <w:rFonts w:ascii="仿宋" w:hAnsi="仿宋" w:eastAsia="仿宋" w:cs="Times New Roman"/>
          <w:b/>
          <w:bCs/>
          <w:color w:val="auto"/>
          <w:kern w:val="44"/>
          <w:sz w:val="30"/>
          <w:szCs w:val="44"/>
          <w:highlight w:val="none"/>
          <w:lang w:val="en-US" w:eastAsia="zh-CN" w:bidi="ar-SA"/>
        </w:rPr>
      </w:pPr>
      <w:bookmarkStart w:id="536" w:name="_Toc22234169"/>
      <w:r>
        <w:rPr>
          <w:rFonts w:hint="eastAsia" w:ascii="仿宋" w:hAnsi="仿宋" w:eastAsia="仿宋" w:cs="Times New Roman"/>
          <w:b/>
          <w:bCs/>
          <w:color w:val="auto"/>
          <w:kern w:val="44"/>
          <w:sz w:val="30"/>
          <w:szCs w:val="44"/>
          <w:highlight w:val="none"/>
          <w:lang w:val="en-US" w:eastAsia="zh-CN" w:bidi="ar-SA"/>
        </w:rPr>
        <w:t>第四章</w:t>
      </w:r>
      <w:r>
        <w:rPr>
          <w:rFonts w:hint="eastAsia" w:ascii="仿宋" w:hAnsi="仿宋" w:eastAsia="仿宋" w:cs="Times New Roman"/>
          <w:b/>
          <w:bCs/>
          <w:color w:val="auto"/>
          <w:kern w:val="44"/>
          <w:sz w:val="30"/>
          <w:szCs w:val="44"/>
          <w:highlight w:val="none"/>
          <w:lang w:val="en-US" w:eastAsia="zh-CN" w:bidi="ar-SA"/>
        </w:rPr>
        <w:tab/>
      </w:r>
      <w:r>
        <w:rPr>
          <w:rFonts w:hint="eastAsia" w:ascii="仿宋" w:hAnsi="仿宋" w:eastAsia="仿宋" w:cs="Times New Roman"/>
          <w:b/>
          <w:bCs/>
          <w:color w:val="auto"/>
          <w:kern w:val="44"/>
          <w:sz w:val="30"/>
          <w:szCs w:val="44"/>
          <w:highlight w:val="none"/>
          <w:lang w:val="en-US" w:eastAsia="zh-CN" w:bidi="ar-SA"/>
        </w:rPr>
        <w:t>检测、检查及处理</w:t>
      </w:r>
      <w:bookmarkEnd w:id="536"/>
    </w:p>
    <w:p w14:paraId="16A50F9A">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37" w:name="_Toc22234170"/>
      <w:r>
        <w:rPr>
          <w:rFonts w:hint="eastAsia" w:ascii="仿宋" w:hAnsi="仿宋" w:eastAsia="仿宋" w:cs="Times New Roman"/>
          <w:b/>
          <w:bCs/>
          <w:color w:val="auto"/>
          <w:kern w:val="0"/>
          <w:sz w:val="28"/>
          <w:szCs w:val="32"/>
          <w:highlight w:val="none"/>
          <w:lang w:val="en-US" w:eastAsia="zh-CN" w:bidi="ar-SA"/>
        </w:rPr>
        <w:t>第1</w:t>
      </w:r>
      <w:r>
        <w:rPr>
          <w:rFonts w:ascii="仿宋" w:hAnsi="仿宋" w:eastAsia="仿宋" w:cs="Times New Roman"/>
          <w:b/>
          <w:bCs/>
          <w:color w:val="auto"/>
          <w:kern w:val="0"/>
          <w:sz w:val="28"/>
          <w:szCs w:val="32"/>
          <w:highlight w:val="none"/>
          <w:lang w:val="en-US" w:eastAsia="zh-CN" w:bidi="ar-SA"/>
        </w:rPr>
        <w:t>0</w:t>
      </w:r>
      <w:r>
        <w:rPr>
          <w:rFonts w:hint="eastAsia" w:ascii="仿宋" w:hAnsi="仿宋" w:eastAsia="仿宋" w:cs="Times New Roman"/>
          <w:b/>
          <w:bCs/>
          <w:color w:val="auto"/>
          <w:kern w:val="0"/>
          <w:sz w:val="28"/>
          <w:szCs w:val="32"/>
          <w:highlight w:val="none"/>
          <w:lang w:val="en-US" w:eastAsia="zh-CN" w:bidi="ar-SA"/>
        </w:rPr>
        <w:t>条 乙方检测义务</w:t>
      </w:r>
      <w:bookmarkEnd w:id="537"/>
    </w:p>
    <w:p w14:paraId="32079ECE">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1</w:t>
      </w:r>
      <w:r>
        <w:rPr>
          <w:rFonts w:hint="default" w:ascii="仿宋" w:hAnsi="仿宋" w:eastAsia="仿宋" w:cs="Times New Roman"/>
          <w:color w:val="auto"/>
          <w:kern w:val="0"/>
          <w:sz w:val="24"/>
          <w:szCs w:val="24"/>
          <w:highlight w:val="none"/>
        </w:rPr>
        <w:t>0</w:t>
      </w:r>
      <w:r>
        <w:rPr>
          <w:rFonts w:hint="eastAsia" w:ascii="仿宋" w:hAnsi="仿宋" w:eastAsia="仿宋" w:cs="Times New Roman"/>
          <w:color w:val="auto"/>
          <w:kern w:val="0"/>
          <w:sz w:val="24"/>
          <w:szCs w:val="24"/>
          <w:highlight w:val="none"/>
        </w:rPr>
        <w:t>.1乙方应按适用法律对本项目污水处理厂进行包括但不限于进水水质、出水水质、污泥等指标的检测。其中污泥含水率通过日常检测确定，进水水质、出水水质应通过日常检测、在线检测确定，检测频次及相关要求应符合《城镇污水处理厂污染物排放标准》（DB32/4440-2022）要求。</w:t>
      </w:r>
    </w:p>
    <w:p w14:paraId="33B74578">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38" w:name="_Toc22234171"/>
      <w:r>
        <w:rPr>
          <w:rFonts w:hint="eastAsia" w:ascii="仿宋" w:hAnsi="仿宋" w:eastAsia="仿宋" w:cs="Times New Roman"/>
          <w:b/>
          <w:bCs/>
          <w:color w:val="auto"/>
          <w:kern w:val="0"/>
          <w:sz w:val="28"/>
          <w:szCs w:val="32"/>
          <w:highlight w:val="none"/>
          <w:lang w:val="en-US" w:eastAsia="zh-CN" w:bidi="ar-SA"/>
        </w:rPr>
        <w:t>第1</w:t>
      </w:r>
      <w:r>
        <w:rPr>
          <w:rFonts w:ascii="仿宋" w:hAnsi="仿宋" w:eastAsia="仿宋" w:cs="Times New Roman"/>
          <w:b/>
          <w:bCs/>
          <w:color w:val="auto"/>
          <w:kern w:val="0"/>
          <w:sz w:val="28"/>
          <w:szCs w:val="32"/>
          <w:highlight w:val="none"/>
          <w:lang w:val="en-US" w:eastAsia="zh-CN" w:bidi="ar-SA"/>
        </w:rPr>
        <w:t>1</w:t>
      </w:r>
      <w:r>
        <w:rPr>
          <w:rFonts w:hint="eastAsia" w:ascii="仿宋" w:hAnsi="仿宋" w:eastAsia="仿宋" w:cs="Times New Roman"/>
          <w:b/>
          <w:bCs/>
          <w:color w:val="auto"/>
          <w:kern w:val="0"/>
          <w:sz w:val="28"/>
          <w:szCs w:val="32"/>
          <w:highlight w:val="none"/>
          <w:lang w:val="en-US" w:eastAsia="zh-CN" w:bidi="ar-SA"/>
        </w:rPr>
        <w:t>条</w:t>
      </w:r>
      <w:r>
        <w:rPr>
          <w:rFonts w:hint="eastAsia" w:ascii="仿宋" w:hAnsi="仿宋" w:eastAsia="仿宋" w:cs="Times New Roman"/>
          <w:b/>
          <w:bCs/>
          <w:color w:val="auto"/>
          <w:kern w:val="0"/>
          <w:sz w:val="28"/>
          <w:szCs w:val="32"/>
          <w:highlight w:val="none"/>
          <w:lang w:val="en-US" w:eastAsia="zh-CN" w:bidi="ar-SA"/>
        </w:rPr>
        <w:tab/>
      </w:r>
      <w:r>
        <w:rPr>
          <w:rFonts w:hint="eastAsia" w:ascii="仿宋" w:hAnsi="仿宋" w:eastAsia="仿宋" w:cs="Times New Roman"/>
          <w:b/>
          <w:bCs/>
          <w:color w:val="auto"/>
          <w:kern w:val="0"/>
          <w:sz w:val="28"/>
          <w:szCs w:val="32"/>
          <w:highlight w:val="none"/>
          <w:lang w:val="en-US" w:eastAsia="zh-CN" w:bidi="ar-SA"/>
        </w:rPr>
        <w:t>检测依据</w:t>
      </w:r>
      <w:bookmarkEnd w:id="538"/>
    </w:p>
    <w:p w14:paraId="43730DAF">
      <w:pPr>
        <w:spacing w:line="480" w:lineRule="auto"/>
        <w:ind w:firstLine="480" w:firstLineChars="200"/>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本协议所述检测指标种类及其检测方法、检测频次等应</w:t>
      </w:r>
      <w:r>
        <w:rPr>
          <w:rFonts w:hint="eastAsia" w:ascii="仿宋" w:hAnsi="仿宋" w:eastAsia="仿宋" w:cs="Times New Roman"/>
          <w:color w:val="auto"/>
          <w:kern w:val="0"/>
          <w:sz w:val="24"/>
          <w:szCs w:val="24"/>
          <w:highlight w:val="none"/>
          <w:lang w:eastAsia="zh-CN"/>
        </w:rPr>
        <w:t>采用</w:t>
      </w:r>
      <w:r>
        <w:rPr>
          <w:rFonts w:hint="eastAsia" w:ascii="仿宋" w:hAnsi="仿宋" w:eastAsia="仿宋" w:cs="Times New Roman"/>
          <w:color w:val="auto"/>
          <w:kern w:val="0"/>
          <w:sz w:val="24"/>
          <w:szCs w:val="24"/>
          <w:highlight w:val="none"/>
        </w:rPr>
        <w:t>本项目实施过程中适用的国家标准或行业标准、</w:t>
      </w:r>
      <w:r>
        <w:rPr>
          <w:rFonts w:hint="eastAsia" w:ascii="仿宋" w:hAnsi="仿宋" w:eastAsia="仿宋" w:cs="Times New Roman"/>
          <w:color w:val="auto"/>
          <w:kern w:val="0"/>
          <w:sz w:val="24"/>
          <w:szCs w:val="24"/>
          <w:highlight w:val="none"/>
          <w:lang w:val="en-US" w:eastAsia="zh-CN"/>
        </w:rPr>
        <w:t>江苏</w:t>
      </w:r>
      <w:r>
        <w:rPr>
          <w:rFonts w:hint="eastAsia" w:ascii="仿宋" w:hAnsi="仿宋" w:eastAsia="仿宋" w:cs="Times New Roman"/>
          <w:color w:val="auto"/>
          <w:kern w:val="0"/>
          <w:sz w:val="24"/>
          <w:szCs w:val="24"/>
          <w:highlight w:val="none"/>
        </w:rPr>
        <w:t>省、</w:t>
      </w:r>
      <w:r>
        <w:rPr>
          <w:rFonts w:hint="eastAsia" w:ascii="仿宋" w:hAnsi="仿宋" w:eastAsia="仿宋" w:cs="Times New Roman"/>
          <w:color w:val="auto"/>
          <w:kern w:val="0"/>
          <w:sz w:val="24"/>
          <w:szCs w:val="24"/>
          <w:highlight w:val="none"/>
          <w:lang w:val="en-US" w:eastAsia="zh-CN"/>
        </w:rPr>
        <w:t>扬州</w:t>
      </w:r>
      <w:r>
        <w:rPr>
          <w:rFonts w:hint="eastAsia" w:ascii="仿宋" w:hAnsi="仿宋" w:eastAsia="仿宋" w:cs="Times New Roman"/>
          <w:color w:val="auto"/>
          <w:kern w:val="0"/>
          <w:sz w:val="24"/>
          <w:szCs w:val="24"/>
          <w:highlight w:val="none"/>
        </w:rPr>
        <w:t>市地方标准中较严的要求，包括但不限于：《水质采样方案设计技术规定》（GB12997-1991）、《水质采样技术指导》（GB12998-1991）、《地表水和污水监测技术规范》（HJ/T91-2002）、《水质采样样品的保存和管理技术规定》（GB12999-1991）、《城镇污水处理厂污染物排放标准》（GB18918-2002）、《城镇污水处理厂污染物排放标准》（DB32/4440-2022）</w:t>
      </w:r>
      <w:r>
        <w:rPr>
          <w:rFonts w:hint="eastAsia" w:ascii="仿宋" w:hAnsi="仿宋" w:eastAsia="仿宋" w:cs="Times New Roman"/>
          <w:color w:val="auto"/>
          <w:kern w:val="0"/>
          <w:sz w:val="24"/>
          <w:szCs w:val="24"/>
          <w:highlight w:val="none"/>
          <w:lang w:eastAsia="zh-CN"/>
        </w:rPr>
        <w:t>、</w:t>
      </w:r>
      <w:r>
        <w:rPr>
          <w:rFonts w:hint="eastAsia" w:ascii="仿宋" w:hAnsi="仿宋" w:eastAsia="仿宋" w:cs="Times New Roman"/>
          <w:color w:val="auto"/>
          <w:kern w:val="0"/>
          <w:sz w:val="24"/>
          <w:szCs w:val="24"/>
          <w:highlight w:val="none"/>
        </w:rPr>
        <w:t>《中华人民共和国强制检定的工作计量器具检定管理办法》（国发〔1987〕</w:t>
      </w:r>
      <w:r>
        <w:rPr>
          <w:rFonts w:hint="eastAsia" w:ascii="仿宋" w:hAnsi="仿宋" w:eastAsia="仿宋" w:cs="Times New Roman"/>
          <w:color w:val="auto"/>
          <w:kern w:val="0"/>
          <w:sz w:val="24"/>
          <w:szCs w:val="24"/>
          <w:highlight w:val="none"/>
          <w:lang w:val="en-US" w:eastAsia="zh-CN"/>
        </w:rPr>
        <w:t>31</w:t>
      </w:r>
      <w:r>
        <w:rPr>
          <w:rFonts w:hint="eastAsia" w:ascii="仿宋" w:hAnsi="仿宋" w:eastAsia="仿宋" w:cs="Times New Roman"/>
          <w:color w:val="auto"/>
          <w:kern w:val="0"/>
          <w:sz w:val="24"/>
          <w:szCs w:val="24"/>
          <w:highlight w:val="none"/>
        </w:rPr>
        <w:t>号）等。</w:t>
      </w:r>
    </w:p>
    <w:p w14:paraId="7A8864FF">
      <w:pPr>
        <w:spacing w:line="480" w:lineRule="auto"/>
        <w:ind w:firstLine="480" w:firstLineChars="200"/>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如遇国家标准或行业标准、</w:t>
      </w:r>
      <w:r>
        <w:rPr>
          <w:rFonts w:hint="eastAsia" w:ascii="仿宋" w:hAnsi="仿宋" w:eastAsia="仿宋" w:cs="Times New Roman"/>
          <w:color w:val="auto"/>
          <w:kern w:val="0"/>
          <w:sz w:val="24"/>
          <w:szCs w:val="24"/>
          <w:highlight w:val="none"/>
          <w:lang w:val="en-US" w:eastAsia="zh-CN"/>
        </w:rPr>
        <w:t>江苏</w:t>
      </w:r>
      <w:r>
        <w:rPr>
          <w:rFonts w:hint="eastAsia" w:ascii="仿宋" w:hAnsi="仿宋" w:eastAsia="仿宋" w:cs="Times New Roman"/>
          <w:color w:val="auto"/>
          <w:kern w:val="0"/>
          <w:sz w:val="24"/>
          <w:szCs w:val="24"/>
          <w:highlight w:val="none"/>
        </w:rPr>
        <w:t>省、</w:t>
      </w:r>
      <w:r>
        <w:rPr>
          <w:rFonts w:hint="eastAsia" w:ascii="仿宋" w:hAnsi="仿宋" w:eastAsia="仿宋" w:cs="Times New Roman"/>
          <w:color w:val="auto"/>
          <w:kern w:val="0"/>
          <w:sz w:val="24"/>
          <w:szCs w:val="24"/>
          <w:highlight w:val="none"/>
          <w:lang w:val="en-US" w:eastAsia="zh-CN"/>
        </w:rPr>
        <w:t>扬州</w:t>
      </w:r>
      <w:r>
        <w:rPr>
          <w:rFonts w:hint="eastAsia" w:ascii="仿宋" w:hAnsi="仿宋" w:eastAsia="仿宋" w:cs="Times New Roman"/>
          <w:color w:val="auto"/>
          <w:kern w:val="0"/>
          <w:sz w:val="24"/>
          <w:szCs w:val="24"/>
          <w:highlight w:val="none"/>
        </w:rPr>
        <w:t>市地方标准对上述标准有更新或补充或新颁布标准的，乙方应执行并达到该等新的标准。</w:t>
      </w:r>
    </w:p>
    <w:p w14:paraId="0AD91A34">
      <w:pPr>
        <w:keepNext/>
        <w:keepLines/>
        <w:widowControl w:val="0"/>
        <w:ind w:firstLine="562" w:firstLineChars="200"/>
        <w:jc w:val="both"/>
        <w:outlineLvl w:val="1"/>
        <w:rPr>
          <w:rFonts w:hint="default" w:ascii="仿宋" w:hAnsi="仿宋" w:eastAsia="仿宋" w:cs="Times New Roman"/>
          <w:b/>
          <w:bCs/>
          <w:color w:val="auto"/>
          <w:kern w:val="0"/>
          <w:sz w:val="28"/>
          <w:szCs w:val="32"/>
          <w:highlight w:val="none"/>
          <w:lang w:val="en-US" w:eastAsia="zh-CN" w:bidi="ar-SA"/>
        </w:rPr>
      </w:pPr>
      <w:bookmarkStart w:id="539" w:name="_Toc22234172"/>
      <w:r>
        <w:rPr>
          <w:rFonts w:hint="eastAsia" w:ascii="仿宋" w:hAnsi="仿宋" w:eastAsia="仿宋" w:cs="Times New Roman"/>
          <w:b/>
          <w:bCs/>
          <w:color w:val="auto"/>
          <w:kern w:val="0"/>
          <w:sz w:val="28"/>
          <w:szCs w:val="32"/>
          <w:highlight w:val="none"/>
          <w:lang w:val="en-US" w:eastAsia="zh-CN" w:bidi="ar-SA"/>
        </w:rPr>
        <w:t>第1</w:t>
      </w:r>
      <w:r>
        <w:rPr>
          <w:rFonts w:ascii="仿宋" w:hAnsi="仿宋" w:eastAsia="仿宋" w:cs="Times New Roman"/>
          <w:b/>
          <w:bCs/>
          <w:color w:val="auto"/>
          <w:kern w:val="0"/>
          <w:sz w:val="28"/>
          <w:szCs w:val="32"/>
          <w:highlight w:val="none"/>
          <w:lang w:val="en-US" w:eastAsia="zh-CN" w:bidi="ar-SA"/>
        </w:rPr>
        <w:t>2</w:t>
      </w:r>
      <w:r>
        <w:rPr>
          <w:rFonts w:hint="eastAsia" w:ascii="仿宋" w:hAnsi="仿宋" w:eastAsia="仿宋" w:cs="Times New Roman"/>
          <w:b/>
          <w:bCs/>
          <w:color w:val="auto"/>
          <w:kern w:val="0"/>
          <w:sz w:val="28"/>
          <w:szCs w:val="32"/>
          <w:highlight w:val="none"/>
          <w:lang w:val="en-US" w:eastAsia="zh-CN" w:bidi="ar-SA"/>
        </w:rPr>
        <w:t>条</w:t>
      </w:r>
      <w:r>
        <w:rPr>
          <w:rFonts w:hint="eastAsia" w:ascii="仿宋" w:hAnsi="仿宋" w:eastAsia="仿宋" w:cs="Times New Roman"/>
          <w:b/>
          <w:bCs/>
          <w:color w:val="auto"/>
          <w:kern w:val="0"/>
          <w:sz w:val="28"/>
          <w:szCs w:val="32"/>
          <w:highlight w:val="none"/>
          <w:lang w:val="en-US" w:eastAsia="zh-CN" w:bidi="ar-SA"/>
        </w:rPr>
        <w:tab/>
      </w:r>
      <w:bookmarkEnd w:id="539"/>
      <w:r>
        <w:rPr>
          <w:rFonts w:hint="eastAsia" w:ascii="仿宋" w:hAnsi="仿宋" w:eastAsia="仿宋" w:cs="Times New Roman"/>
          <w:b/>
          <w:bCs/>
          <w:color w:val="auto"/>
          <w:kern w:val="0"/>
          <w:sz w:val="28"/>
          <w:szCs w:val="32"/>
          <w:highlight w:val="none"/>
          <w:lang w:val="en-US" w:eastAsia="zh-CN" w:bidi="ar-SA"/>
        </w:rPr>
        <w:t>监测内容与要求</w:t>
      </w:r>
    </w:p>
    <w:p w14:paraId="16EE7C1F">
      <w:pPr>
        <w:spacing w:line="480" w:lineRule="auto"/>
        <w:ind w:firstLine="424" w:firstLineChars="177"/>
        <w:rPr>
          <w:rFonts w:hint="eastAsia" w:ascii="仿宋" w:hAnsi="仿宋" w:eastAsia="仿宋" w:cs="Times New Roman"/>
          <w:color w:val="auto"/>
          <w:kern w:val="0"/>
          <w:sz w:val="24"/>
          <w:szCs w:val="24"/>
          <w:highlight w:val="none"/>
          <w:lang w:eastAsia="zh-CN"/>
        </w:rPr>
      </w:pPr>
      <w:r>
        <w:rPr>
          <w:rFonts w:hint="eastAsia" w:ascii="仿宋" w:hAnsi="仿宋" w:eastAsia="仿宋" w:cs="Times New Roman"/>
          <w:color w:val="auto"/>
          <w:kern w:val="0"/>
          <w:sz w:val="24"/>
          <w:szCs w:val="24"/>
          <w:highlight w:val="none"/>
        </w:rPr>
        <w:t>1</w:t>
      </w:r>
      <w:r>
        <w:rPr>
          <w:rFonts w:hint="eastAsia" w:ascii="仿宋" w:hAnsi="仿宋" w:eastAsia="仿宋" w:cs="Times New Roman"/>
          <w:color w:val="auto"/>
          <w:kern w:val="0"/>
          <w:sz w:val="24"/>
          <w:szCs w:val="24"/>
          <w:highlight w:val="none"/>
          <w:lang w:val="en-US" w:eastAsia="zh-CN"/>
        </w:rPr>
        <w:t>2</w:t>
      </w:r>
      <w:r>
        <w:rPr>
          <w:rFonts w:hint="eastAsia" w:ascii="仿宋" w:hAnsi="仿宋" w:eastAsia="仿宋" w:cs="Times New Roman"/>
          <w:color w:val="auto"/>
          <w:kern w:val="0"/>
          <w:sz w:val="24"/>
          <w:szCs w:val="24"/>
          <w:highlight w:val="none"/>
        </w:rPr>
        <w:t>.1乙方应根据本项目所有适用法律和本协议第三章约定的标准及规范要求进行检测</w:t>
      </w:r>
      <w:r>
        <w:rPr>
          <w:rFonts w:hint="eastAsia" w:ascii="仿宋" w:hAnsi="仿宋" w:eastAsia="仿宋" w:cs="Times New Roman"/>
          <w:color w:val="auto"/>
          <w:kern w:val="0"/>
          <w:sz w:val="24"/>
          <w:szCs w:val="24"/>
          <w:highlight w:val="none"/>
          <w:lang w:eastAsia="zh-CN"/>
        </w:rPr>
        <w:t>，并承担相应费用。</w:t>
      </w:r>
    </w:p>
    <w:p w14:paraId="21AE3FB9">
      <w:pPr>
        <w:spacing w:line="480" w:lineRule="auto"/>
        <w:ind w:firstLine="424" w:firstLineChars="177"/>
        <w:rPr>
          <w:rFonts w:hint="eastAsia" w:ascii="仿宋" w:hAnsi="仿宋" w:eastAsia="仿宋" w:cs="Times New Roman"/>
          <w:color w:val="auto"/>
          <w:kern w:val="0"/>
          <w:sz w:val="24"/>
          <w:szCs w:val="24"/>
          <w:highlight w:val="none"/>
          <w:lang w:eastAsia="zh-CN"/>
        </w:rPr>
      </w:pPr>
      <w:r>
        <w:rPr>
          <w:rFonts w:hint="eastAsia" w:ascii="仿宋" w:hAnsi="仿宋" w:eastAsia="仿宋" w:cs="Times New Roman"/>
          <w:color w:val="auto"/>
          <w:kern w:val="0"/>
          <w:sz w:val="24"/>
          <w:szCs w:val="24"/>
          <w:highlight w:val="none"/>
        </w:rPr>
        <w:t>1</w:t>
      </w:r>
      <w:r>
        <w:rPr>
          <w:rFonts w:hint="eastAsia" w:ascii="仿宋" w:hAnsi="仿宋" w:eastAsia="仿宋" w:cs="Times New Roman"/>
          <w:color w:val="auto"/>
          <w:kern w:val="0"/>
          <w:sz w:val="24"/>
          <w:szCs w:val="24"/>
          <w:highlight w:val="none"/>
          <w:lang w:val="en-US" w:eastAsia="zh-CN"/>
        </w:rPr>
        <w:t>2</w:t>
      </w:r>
      <w:r>
        <w:rPr>
          <w:rFonts w:hint="eastAsia" w:ascii="仿宋" w:hAnsi="仿宋" w:eastAsia="仿宋" w:cs="Times New Roman"/>
          <w:color w:val="auto"/>
          <w:kern w:val="0"/>
          <w:sz w:val="24"/>
          <w:szCs w:val="24"/>
          <w:highlight w:val="none"/>
        </w:rPr>
        <w:t>.</w:t>
      </w:r>
      <w:r>
        <w:rPr>
          <w:rFonts w:hint="eastAsia" w:ascii="仿宋" w:hAnsi="仿宋" w:eastAsia="仿宋" w:cs="Times New Roman"/>
          <w:color w:val="auto"/>
          <w:kern w:val="0"/>
          <w:sz w:val="24"/>
          <w:szCs w:val="24"/>
          <w:highlight w:val="none"/>
          <w:lang w:val="en-US" w:eastAsia="zh-CN"/>
        </w:rPr>
        <w:t>2</w:t>
      </w:r>
      <w:r>
        <w:rPr>
          <w:rFonts w:hint="eastAsia" w:ascii="仿宋" w:hAnsi="仿宋" w:eastAsia="仿宋" w:cs="Times New Roman"/>
          <w:color w:val="auto"/>
          <w:kern w:val="0"/>
          <w:sz w:val="24"/>
          <w:szCs w:val="24"/>
          <w:highlight w:val="none"/>
        </w:rPr>
        <w:t>乙方应对每日进出水的化学需氧量（COD</w:t>
      </w:r>
      <w:r>
        <w:rPr>
          <w:rFonts w:hint="eastAsia" w:ascii="仿宋" w:hAnsi="仿宋" w:eastAsia="仿宋" w:cs="Times New Roman"/>
          <w:color w:val="auto"/>
          <w:kern w:val="0"/>
          <w:sz w:val="24"/>
          <w:szCs w:val="24"/>
          <w:highlight w:val="none"/>
          <w:vertAlign w:val="subscript"/>
        </w:rPr>
        <w:t>Cr</w:t>
      </w:r>
      <w:r>
        <w:rPr>
          <w:rFonts w:hint="eastAsia" w:ascii="仿宋" w:hAnsi="仿宋" w:eastAsia="仿宋" w:cs="Times New Roman"/>
          <w:color w:val="auto"/>
          <w:kern w:val="0"/>
          <w:sz w:val="24"/>
          <w:szCs w:val="24"/>
          <w:highlight w:val="none"/>
        </w:rPr>
        <w:t>）、悬浮物（SS）、氨氮（NH</w:t>
      </w:r>
      <w:r>
        <w:rPr>
          <w:rFonts w:hint="eastAsia" w:ascii="仿宋" w:hAnsi="仿宋" w:eastAsia="仿宋" w:cs="Times New Roman"/>
          <w:color w:val="auto"/>
          <w:kern w:val="0"/>
          <w:sz w:val="24"/>
          <w:szCs w:val="24"/>
          <w:highlight w:val="none"/>
          <w:vertAlign w:val="subscript"/>
        </w:rPr>
        <w:t>3</w:t>
      </w:r>
      <w:r>
        <w:rPr>
          <w:rFonts w:hint="eastAsia" w:ascii="仿宋" w:hAnsi="仿宋" w:eastAsia="仿宋" w:cs="Times New Roman"/>
          <w:color w:val="auto"/>
          <w:kern w:val="0"/>
          <w:sz w:val="24"/>
          <w:szCs w:val="24"/>
          <w:highlight w:val="none"/>
        </w:rPr>
        <w:t>-N）、总磷（TP）、总氮（TN）、PH值以及出厂污泥的污泥含水率等指标进行日常取样、监测和分析，对生化需氧量（BOD</w:t>
      </w:r>
      <w:r>
        <w:rPr>
          <w:rFonts w:hint="eastAsia" w:ascii="仿宋" w:hAnsi="仿宋" w:eastAsia="仿宋" w:cs="Times New Roman"/>
          <w:color w:val="auto"/>
          <w:kern w:val="0"/>
          <w:sz w:val="24"/>
          <w:szCs w:val="24"/>
          <w:highlight w:val="none"/>
          <w:vertAlign w:val="subscript"/>
        </w:rPr>
        <w:t>5</w:t>
      </w:r>
      <w:r>
        <w:rPr>
          <w:rFonts w:hint="eastAsia" w:ascii="仿宋" w:hAnsi="仿宋" w:eastAsia="仿宋" w:cs="Times New Roman"/>
          <w:color w:val="auto"/>
          <w:kern w:val="0"/>
          <w:sz w:val="24"/>
          <w:szCs w:val="24"/>
          <w:highlight w:val="none"/>
        </w:rPr>
        <w:t>）每五(5)天监测一次，对出水粪大肠杆菌群数每周监测一次，其他指标的监测按照前述规程的要求予以执行</w:t>
      </w:r>
      <w:r>
        <w:rPr>
          <w:rFonts w:hint="eastAsia" w:ascii="仿宋" w:hAnsi="仿宋" w:eastAsia="仿宋" w:cs="Times New Roman"/>
          <w:color w:val="auto"/>
          <w:kern w:val="0"/>
          <w:sz w:val="24"/>
          <w:szCs w:val="24"/>
          <w:highlight w:val="none"/>
          <w:lang w:eastAsia="zh-CN"/>
        </w:rPr>
        <w:t>。</w:t>
      </w:r>
    </w:p>
    <w:p w14:paraId="63A420CF">
      <w:pPr>
        <w:spacing w:line="480" w:lineRule="auto"/>
        <w:ind w:firstLine="424" w:firstLineChars="177"/>
        <w:rPr>
          <w:rFonts w:hint="eastAsia" w:ascii="仿宋" w:hAnsi="仿宋" w:eastAsia="仿宋" w:cs="Times New Roman"/>
          <w:color w:val="auto"/>
          <w:kern w:val="0"/>
          <w:sz w:val="24"/>
          <w:szCs w:val="24"/>
          <w:highlight w:val="none"/>
          <w:lang w:eastAsia="zh-CN"/>
        </w:rPr>
      </w:pPr>
      <w:r>
        <w:rPr>
          <w:rFonts w:hint="eastAsia" w:ascii="仿宋" w:hAnsi="仿宋" w:eastAsia="仿宋" w:cs="Times New Roman"/>
          <w:color w:val="auto"/>
          <w:kern w:val="0"/>
          <w:sz w:val="24"/>
          <w:szCs w:val="24"/>
          <w:highlight w:val="none"/>
        </w:rPr>
        <w:t>1</w:t>
      </w:r>
      <w:r>
        <w:rPr>
          <w:rFonts w:hint="eastAsia" w:ascii="仿宋" w:hAnsi="仿宋" w:eastAsia="仿宋" w:cs="Times New Roman"/>
          <w:color w:val="auto"/>
          <w:kern w:val="0"/>
          <w:sz w:val="24"/>
          <w:szCs w:val="24"/>
          <w:highlight w:val="none"/>
          <w:lang w:val="en-US" w:eastAsia="zh-CN"/>
        </w:rPr>
        <w:t>2</w:t>
      </w:r>
      <w:r>
        <w:rPr>
          <w:rFonts w:hint="eastAsia" w:ascii="仿宋" w:hAnsi="仿宋" w:eastAsia="仿宋" w:cs="Times New Roman"/>
          <w:color w:val="auto"/>
          <w:kern w:val="0"/>
          <w:sz w:val="24"/>
          <w:szCs w:val="24"/>
          <w:highlight w:val="none"/>
        </w:rPr>
        <w:t>.</w:t>
      </w:r>
      <w:r>
        <w:rPr>
          <w:rFonts w:hint="eastAsia" w:ascii="仿宋" w:hAnsi="仿宋" w:eastAsia="仿宋" w:cs="Times New Roman"/>
          <w:color w:val="auto"/>
          <w:kern w:val="0"/>
          <w:sz w:val="24"/>
          <w:szCs w:val="24"/>
          <w:highlight w:val="none"/>
          <w:lang w:val="en-US" w:eastAsia="zh-CN"/>
        </w:rPr>
        <w:t>3</w:t>
      </w:r>
      <w:r>
        <w:rPr>
          <w:rFonts w:hint="eastAsia" w:ascii="仿宋" w:hAnsi="仿宋" w:eastAsia="仿宋" w:cs="Times New Roman"/>
          <w:color w:val="auto"/>
          <w:kern w:val="0"/>
          <w:sz w:val="24"/>
          <w:szCs w:val="24"/>
          <w:highlight w:val="none"/>
          <w:lang w:eastAsia="zh-CN"/>
        </w:rPr>
        <w:t>进水水样和出水水样均应每日连续二十四（24）小时使用自动采样设备采集水样，采样设备采样间隔不得大于两（2）小时，每日于9：00提取采样设备采集的混合水样。每次提取的水样应分装A、B、C三瓶，A瓶用于乙方自行监测，B瓶留作甲方或其指定的水质监测机构检查，C瓶留作备用水样。每瓶水样应不少于2000ml，瓶上须明确标明采样日期和采样点，进水和出水的备用水样须分开在4℃保存，保存时限为四十八（48）小时。</w:t>
      </w:r>
    </w:p>
    <w:p w14:paraId="25557C15">
      <w:pPr>
        <w:spacing w:line="480" w:lineRule="auto"/>
        <w:ind w:firstLine="424" w:firstLineChars="177"/>
        <w:rPr>
          <w:rFonts w:hint="eastAsia" w:ascii="仿宋" w:hAnsi="仿宋" w:eastAsia="仿宋" w:cs="Times New Roman"/>
          <w:color w:val="auto"/>
          <w:kern w:val="0"/>
          <w:sz w:val="24"/>
          <w:szCs w:val="24"/>
          <w:highlight w:val="none"/>
          <w:lang w:eastAsia="zh-CN"/>
        </w:rPr>
      </w:pPr>
      <w:r>
        <w:rPr>
          <w:rFonts w:hint="eastAsia" w:ascii="仿宋" w:hAnsi="仿宋" w:eastAsia="仿宋" w:cs="Times New Roman"/>
          <w:color w:val="auto"/>
          <w:kern w:val="0"/>
          <w:sz w:val="24"/>
          <w:szCs w:val="24"/>
          <w:highlight w:val="none"/>
        </w:rPr>
        <w:t>1</w:t>
      </w:r>
      <w:r>
        <w:rPr>
          <w:rFonts w:hint="eastAsia" w:ascii="仿宋" w:hAnsi="仿宋" w:eastAsia="仿宋" w:cs="Times New Roman"/>
          <w:color w:val="auto"/>
          <w:kern w:val="0"/>
          <w:sz w:val="24"/>
          <w:szCs w:val="24"/>
          <w:highlight w:val="none"/>
          <w:lang w:val="en-US" w:eastAsia="zh-CN"/>
        </w:rPr>
        <w:t>2</w:t>
      </w:r>
      <w:r>
        <w:rPr>
          <w:rFonts w:hint="eastAsia" w:ascii="仿宋" w:hAnsi="仿宋" w:eastAsia="仿宋" w:cs="Times New Roman"/>
          <w:color w:val="auto"/>
          <w:kern w:val="0"/>
          <w:sz w:val="24"/>
          <w:szCs w:val="24"/>
          <w:highlight w:val="none"/>
        </w:rPr>
        <w:t>.</w:t>
      </w:r>
      <w:r>
        <w:rPr>
          <w:rFonts w:hint="eastAsia" w:ascii="仿宋" w:hAnsi="仿宋" w:eastAsia="仿宋" w:cs="Times New Roman"/>
          <w:color w:val="auto"/>
          <w:kern w:val="0"/>
          <w:sz w:val="24"/>
          <w:szCs w:val="24"/>
          <w:highlight w:val="none"/>
          <w:lang w:val="en-US" w:eastAsia="zh-CN"/>
        </w:rPr>
        <w:t>4</w:t>
      </w:r>
      <w:r>
        <w:rPr>
          <w:rFonts w:hint="eastAsia" w:ascii="仿宋" w:hAnsi="仿宋" w:eastAsia="仿宋" w:cs="Times New Roman"/>
          <w:color w:val="auto"/>
          <w:kern w:val="0"/>
          <w:sz w:val="24"/>
          <w:szCs w:val="24"/>
          <w:highlight w:val="none"/>
          <w:lang w:eastAsia="zh-CN"/>
        </w:rPr>
        <w:t>上述约定的乙方对出水的监测仅作为甲方对乙方的一种监督方式，而不作为甲方对乙方的考核依据，除非甲方同意直接以乙方监测结论作为考核依据。但相关政府部门对乙方及污水处理厂的监督、检查以及监测数据，可直接作为对乙方的考核依据。</w:t>
      </w:r>
    </w:p>
    <w:p w14:paraId="3F9F6446">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40" w:name="_Toc22234173"/>
      <w:r>
        <w:rPr>
          <w:rFonts w:hint="eastAsia" w:ascii="仿宋" w:hAnsi="仿宋" w:eastAsia="仿宋" w:cs="Times New Roman"/>
          <w:b/>
          <w:bCs/>
          <w:color w:val="auto"/>
          <w:kern w:val="0"/>
          <w:sz w:val="28"/>
          <w:szCs w:val="32"/>
          <w:highlight w:val="none"/>
          <w:lang w:val="en-US" w:eastAsia="zh-CN" w:bidi="ar-SA"/>
        </w:rPr>
        <w:t>第1</w:t>
      </w:r>
      <w:r>
        <w:rPr>
          <w:rFonts w:ascii="仿宋" w:hAnsi="仿宋" w:eastAsia="仿宋" w:cs="Times New Roman"/>
          <w:b/>
          <w:bCs/>
          <w:color w:val="auto"/>
          <w:kern w:val="0"/>
          <w:sz w:val="28"/>
          <w:szCs w:val="32"/>
          <w:highlight w:val="none"/>
          <w:lang w:val="en-US" w:eastAsia="zh-CN" w:bidi="ar-SA"/>
        </w:rPr>
        <w:t>3</w:t>
      </w:r>
      <w:r>
        <w:rPr>
          <w:rFonts w:hint="eastAsia" w:ascii="仿宋" w:hAnsi="仿宋" w:eastAsia="仿宋" w:cs="Times New Roman"/>
          <w:b/>
          <w:bCs/>
          <w:color w:val="auto"/>
          <w:kern w:val="0"/>
          <w:sz w:val="28"/>
          <w:szCs w:val="32"/>
          <w:highlight w:val="none"/>
          <w:lang w:val="en-US" w:eastAsia="zh-CN" w:bidi="ar-SA"/>
        </w:rPr>
        <w:t>条</w:t>
      </w:r>
      <w:r>
        <w:rPr>
          <w:rFonts w:hint="eastAsia" w:ascii="仿宋" w:hAnsi="仿宋" w:eastAsia="仿宋" w:cs="Times New Roman"/>
          <w:b/>
          <w:bCs/>
          <w:color w:val="auto"/>
          <w:kern w:val="0"/>
          <w:sz w:val="28"/>
          <w:szCs w:val="32"/>
          <w:highlight w:val="none"/>
          <w:lang w:val="en-US" w:eastAsia="zh-CN" w:bidi="ar-SA"/>
        </w:rPr>
        <w:tab/>
      </w:r>
      <w:r>
        <w:rPr>
          <w:rFonts w:hint="eastAsia" w:ascii="仿宋" w:hAnsi="仿宋" w:eastAsia="仿宋" w:cs="Times New Roman"/>
          <w:b/>
          <w:bCs/>
          <w:color w:val="auto"/>
          <w:kern w:val="0"/>
          <w:sz w:val="28"/>
          <w:szCs w:val="32"/>
          <w:highlight w:val="none"/>
          <w:lang w:val="en-US" w:eastAsia="zh-CN" w:bidi="ar-SA"/>
        </w:rPr>
        <w:t>检测结果的报告</w:t>
      </w:r>
      <w:bookmarkEnd w:id="540"/>
    </w:p>
    <w:p w14:paraId="77A40113">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1</w:t>
      </w:r>
      <w:r>
        <w:rPr>
          <w:rFonts w:hint="default" w:ascii="仿宋" w:hAnsi="仿宋" w:eastAsia="仿宋" w:cs="Times New Roman"/>
          <w:color w:val="auto"/>
          <w:kern w:val="0"/>
          <w:sz w:val="24"/>
          <w:szCs w:val="24"/>
          <w:highlight w:val="none"/>
        </w:rPr>
        <w:t>3</w:t>
      </w:r>
      <w:r>
        <w:rPr>
          <w:rFonts w:hint="eastAsia" w:ascii="仿宋" w:hAnsi="仿宋" w:eastAsia="仿宋" w:cs="Times New Roman"/>
          <w:color w:val="auto"/>
          <w:kern w:val="0"/>
          <w:sz w:val="24"/>
          <w:szCs w:val="24"/>
          <w:highlight w:val="none"/>
        </w:rPr>
        <w:t>.1乙方应记录每次检测的所有结果，并在上述检测完成后在甲方要求的时限内将每日进水和出水的检测结果向甲方或政府相关部门报送。</w:t>
      </w:r>
    </w:p>
    <w:p w14:paraId="6EB1765F">
      <w:pPr>
        <w:spacing w:line="480" w:lineRule="auto"/>
        <w:ind w:firstLine="424" w:firstLineChars="177"/>
        <w:rPr>
          <w:rFonts w:hint="eastAsia" w:ascii="仿宋" w:hAnsi="仿宋" w:eastAsia="仿宋" w:cs="Times New Roman"/>
          <w:color w:val="auto"/>
          <w:kern w:val="0"/>
          <w:sz w:val="24"/>
          <w:szCs w:val="24"/>
          <w:highlight w:val="none"/>
          <w:lang w:eastAsia="zh-CN"/>
        </w:rPr>
      </w:pPr>
      <w:r>
        <w:rPr>
          <w:rFonts w:hint="eastAsia" w:ascii="仿宋" w:hAnsi="仿宋" w:eastAsia="仿宋" w:cs="Times New Roman"/>
          <w:color w:val="auto"/>
          <w:kern w:val="0"/>
          <w:sz w:val="24"/>
          <w:szCs w:val="24"/>
          <w:highlight w:val="none"/>
        </w:rPr>
        <w:t>1</w:t>
      </w:r>
      <w:r>
        <w:rPr>
          <w:rFonts w:hint="default" w:ascii="仿宋" w:hAnsi="仿宋" w:eastAsia="仿宋" w:cs="Times New Roman"/>
          <w:color w:val="auto"/>
          <w:kern w:val="0"/>
          <w:sz w:val="24"/>
          <w:szCs w:val="24"/>
          <w:highlight w:val="none"/>
        </w:rPr>
        <w:t>3</w:t>
      </w:r>
      <w:r>
        <w:rPr>
          <w:rFonts w:hint="eastAsia" w:ascii="仿宋" w:hAnsi="仿宋" w:eastAsia="仿宋" w:cs="Times New Roman"/>
          <w:color w:val="auto"/>
          <w:kern w:val="0"/>
          <w:sz w:val="24"/>
          <w:szCs w:val="24"/>
          <w:highlight w:val="none"/>
        </w:rPr>
        <w:t>.2在任何时候出现下列情形之一项或多项的，乙方应立即通知甲方，且该通知应包括所有有关测试结果以及此等不符合情况所作的其他有关调查结果的详情。通知还可以包括乙方对不符合情况可能持续的期限所作的预测，以及引起该等情况的原因，包括乙方声称任何有关不可抗力或甲方违约事件，或依据《</w:t>
      </w:r>
      <w:r>
        <w:rPr>
          <w:rFonts w:hint="eastAsia" w:ascii="仿宋" w:hAnsi="仿宋" w:eastAsia="仿宋" w:cs="Times New Roman"/>
          <w:color w:val="auto"/>
          <w:kern w:val="0"/>
          <w:sz w:val="24"/>
          <w:szCs w:val="24"/>
          <w:highlight w:val="none"/>
          <w:lang w:val="en-US" w:eastAsia="zh-CN"/>
        </w:rPr>
        <w:t>特许经营协议</w:t>
      </w:r>
      <w:r>
        <w:rPr>
          <w:rFonts w:hint="eastAsia" w:ascii="仿宋" w:hAnsi="仿宋" w:eastAsia="仿宋" w:cs="Times New Roman"/>
          <w:color w:val="auto"/>
          <w:kern w:val="0"/>
          <w:sz w:val="24"/>
          <w:szCs w:val="24"/>
          <w:highlight w:val="none"/>
        </w:rPr>
        <w:t>》约定甲方构成违约的情形和所采取的补救措施等</w:t>
      </w:r>
      <w:r>
        <w:rPr>
          <w:rFonts w:hint="eastAsia" w:ascii="仿宋" w:hAnsi="仿宋" w:eastAsia="仿宋" w:cs="Times New Roman"/>
          <w:color w:val="auto"/>
          <w:kern w:val="0"/>
          <w:sz w:val="24"/>
          <w:szCs w:val="24"/>
          <w:highlight w:val="none"/>
          <w:lang w:eastAsia="zh-CN"/>
        </w:rPr>
        <w:t>。</w:t>
      </w:r>
    </w:p>
    <w:p w14:paraId="3BAB5657">
      <w:pPr>
        <w:spacing w:line="480" w:lineRule="auto"/>
        <w:ind w:firstLine="424" w:firstLineChars="177"/>
        <w:rPr>
          <w:rFonts w:hint="eastAsia" w:ascii="仿宋" w:hAnsi="仿宋" w:eastAsia="仿宋" w:cs="Times New Roman"/>
          <w:color w:val="auto"/>
          <w:kern w:val="0"/>
          <w:sz w:val="24"/>
          <w:szCs w:val="24"/>
          <w:highlight w:val="none"/>
          <w:lang w:eastAsia="zh-CN"/>
        </w:rPr>
      </w:pPr>
      <w:r>
        <w:rPr>
          <w:rFonts w:hint="eastAsia" w:ascii="仿宋" w:hAnsi="仿宋" w:eastAsia="仿宋" w:cs="Times New Roman"/>
          <w:color w:val="auto"/>
          <w:kern w:val="0"/>
          <w:sz w:val="24"/>
          <w:szCs w:val="24"/>
          <w:highlight w:val="none"/>
        </w:rPr>
        <w:t>1</w:t>
      </w:r>
      <w:r>
        <w:rPr>
          <w:rFonts w:hint="default" w:ascii="仿宋" w:hAnsi="仿宋" w:eastAsia="仿宋" w:cs="Times New Roman"/>
          <w:color w:val="auto"/>
          <w:kern w:val="0"/>
          <w:sz w:val="24"/>
          <w:szCs w:val="24"/>
          <w:highlight w:val="none"/>
        </w:rPr>
        <w:t>3</w:t>
      </w:r>
      <w:r>
        <w:rPr>
          <w:rFonts w:hint="eastAsia" w:ascii="仿宋" w:hAnsi="仿宋" w:eastAsia="仿宋" w:cs="Times New Roman"/>
          <w:color w:val="auto"/>
          <w:kern w:val="0"/>
          <w:sz w:val="24"/>
          <w:szCs w:val="24"/>
          <w:highlight w:val="none"/>
        </w:rPr>
        <w:t>.2.1出水采样点的出水水质不符合出水水质标准</w:t>
      </w:r>
      <w:r>
        <w:rPr>
          <w:rFonts w:hint="eastAsia" w:ascii="仿宋" w:hAnsi="仿宋" w:eastAsia="仿宋" w:cs="Times New Roman"/>
          <w:color w:val="auto"/>
          <w:kern w:val="0"/>
          <w:sz w:val="24"/>
          <w:szCs w:val="24"/>
          <w:highlight w:val="none"/>
          <w:lang w:eastAsia="zh-CN"/>
        </w:rPr>
        <w:t>。</w:t>
      </w:r>
    </w:p>
    <w:p w14:paraId="24EE07B5">
      <w:pPr>
        <w:spacing w:line="480" w:lineRule="auto"/>
        <w:ind w:firstLine="424" w:firstLineChars="177"/>
        <w:rPr>
          <w:rFonts w:hint="eastAsia" w:ascii="仿宋" w:hAnsi="仿宋" w:eastAsia="仿宋" w:cs="Times New Roman"/>
          <w:color w:val="auto"/>
          <w:kern w:val="0"/>
          <w:sz w:val="24"/>
          <w:szCs w:val="24"/>
          <w:highlight w:val="none"/>
          <w:lang w:eastAsia="zh-CN"/>
        </w:rPr>
      </w:pPr>
      <w:r>
        <w:rPr>
          <w:rFonts w:hint="eastAsia" w:ascii="仿宋" w:hAnsi="仿宋" w:eastAsia="仿宋" w:cs="Times New Roman"/>
          <w:color w:val="auto"/>
          <w:kern w:val="0"/>
          <w:sz w:val="24"/>
          <w:szCs w:val="24"/>
          <w:highlight w:val="none"/>
        </w:rPr>
        <w:t>1</w:t>
      </w:r>
      <w:r>
        <w:rPr>
          <w:rFonts w:hint="default" w:ascii="仿宋" w:hAnsi="仿宋" w:eastAsia="仿宋" w:cs="Times New Roman"/>
          <w:color w:val="auto"/>
          <w:kern w:val="0"/>
          <w:sz w:val="24"/>
          <w:szCs w:val="24"/>
          <w:highlight w:val="none"/>
        </w:rPr>
        <w:t>3</w:t>
      </w:r>
      <w:r>
        <w:rPr>
          <w:rFonts w:hint="eastAsia" w:ascii="仿宋" w:hAnsi="仿宋" w:eastAsia="仿宋" w:cs="Times New Roman"/>
          <w:color w:val="auto"/>
          <w:kern w:val="0"/>
          <w:sz w:val="24"/>
          <w:szCs w:val="24"/>
          <w:highlight w:val="none"/>
        </w:rPr>
        <w:t>.2.2进水采样点的进水水质不符合进水水质标准，且乙方合理判断会导致出水水质超标的</w:t>
      </w:r>
      <w:r>
        <w:rPr>
          <w:rFonts w:hint="eastAsia" w:ascii="仿宋" w:hAnsi="仿宋" w:eastAsia="仿宋" w:cs="Times New Roman"/>
          <w:color w:val="auto"/>
          <w:kern w:val="0"/>
          <w:sz w:val="24"/>
          <w:szCs w:val="24"/>
          <w:highlight w:val="none"/>
          <w:lang w:eastAsia="zh-CN"/>
        </w:rPr>
        <w:t>。</w:t>
      </w:r>
    </w:p>
    <w:p w14:paraId="74608B16">
      <w:pPr>
        <w:spacing w:line="480" w:lineRule="auto"/>
        <w:ind w:firstLine="424" w:firstLineChars="177"/>
        <w:rPr>
          <w:rFonts w:hint="eastAsia" w:ascii="仿宋" w:hAnsi="仿宋" w:eastAsia="仿宋" w:cs="Times New Roman"/>
          <w:color w:val="auto"/>
          <w:kern w:val="0"/>
          <w:sz w:val="24"/>
          <w:szCs w:val="24"/>
          <w:highlight w:val="none"/>
          <w:lang w:eastAsia="zh-CN"/>
        </w:rPr>
      </w:pPr>
      <w:r>
        <w:rPr>
          <w:rFonts w:hint="eastAsia" w:ascii="仿宋" w:hAnsi="仿宋" w:eastAsia="仿宋" w:cs="Times New Roman"/>
          <w:color w:val="auto"/>
          <w:kern w:val="0"/>
          <w:sz w:val="24"/>
          <w:szCs w:val="24"/>
          <w:highlight w:val="none"/>
        </w:rPr>
        <w:t>1</w:t>
      </w:r>
      <w:r>
        <w:rPr>
          <w:rFonts w:hint="default" w:ascii="仿宋" w:hAnsi="仿宋" w:eastAsia="仿宋" w:cs="Times New Roman"/>
          <w:color w:val="auto"/>
          <w:kern w:val="0"/>
          <w:sz w:val="24"/>
          <w:szCs w:val="24"/>
          <w:highlight w:val="none"/>
        </w:rPr>
        <w:t>3</w:t>
      </w:r>
      <w:r>
        <w:rPr>
          <w:rFonts w:hint="eastAsia" w:ascii="仿宋" w:hAnsi="仿宋" w:eastAsia="仿宋" w:cs="Times New Roman"/>
          <w:color w:val="auto"/>
          <w:kern w:val="0"/>
          <w:sz w:val="24"/>
          <w:szCs w:val="24"/>
          <w:highlight w:val="none"/>
        </w:rPr>
        <w:t>.2.3污泥、噪声及臭气不符合本协议约定标准</w:t>
      </w:r>
      <w:r>
        <w:rPr>
          <w:rFonts w:hint="eastAsia" w:ascii="仿宋" w:hAnsi="仿宋" w:eastAsia="仿宋" w:cs="Times New Roman"/>
          <w:color w:val="auto"/>
          <w:kern w:val="0"/>
          <w:sz w:val="24"/>
          <w:szCs w:val="24"/>
          <w:highlight w:val="none"/>
          <w:lang w:eastAsia="zh-CN"/>
        </w:rPr>
        <w:t>。</w:t>
      </w:r>
    </w:p>
    <w:p w14:paraId="5F1810AC">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41" w:name="_Toc22234174"/>
      <w:r>
        <w:rPr>
          <w:rFonts w:hint="eastAsia" w:ascii="仿宋" w:hAnsi="仿宋" w:eastAsia="仿宋" w:cs="Times New Roman"/>
          <w:b/>
          <w:bCs/>
          <w:color w:val="auto"/>
          <w:kern w:val="0"/>
          <w:sz w:val="28"/>
          <w:szCs w:val="32"/>
          <w:highlight w:val="none"/>
          <w:lang w:val="en-US" w:eastAsia="zh-CN" w:bidi="ar-SA"/>
        </w:rPr>
        <w:t>第</w:t>
      </w:r>
      <w:r>
        <w:rPr>
          <w:rFonts w:ascii="仿宋" w:hAnsi="仿宋" w:eastAsia="仿宋" w:cs="Times New Roman"/>
          <w:b/>
          <w:bCs/>
          <w:color w:val="auto"/>
          <w:kern w:val="0"/>
          <w:sz w:val="28"/>
          <w:szCs w:val="32"/>
          <w:highlight w:val="none"/>
          <w:lang w:val="en-US" w:eastAsia="zh-CN" w:bidi="ar-SA"/>
        </w:rPr>
        <w:t>14</w:t>
      </w:r>
      <w:r>
        <w:rPr>
          <w:rFonts w:hint="eastAsia" w:ascii="仿宋" w:hAnsi="仿宋" w:eastAsia="仿宋" w:cs="Times New Roman"/>
          <w:b/>
          <w:bCs/>
          <w:color w:val="auto"/>
          <w:kern w:val="0"/>
          <w:sz w:val="28"/>
          <w:szCs w:val="32"/>
          <w:highlight w:val="none"/>
          <w:lang w:val="en-US" w:eastAsia="zh-CN" w:bidi="ar-SA"/>
        </w:rPr>
        <w:t>条</w:t>
      </w:r>
      <w:r>
        <w:rPr>
          <w:rFonts w:hint="eastAsia" w:ascii="仿宋" w:hAnsi="仿宋" w:eastAsia="仿宋" w:cs="Times New Roman"/>
          <w:b/>
          <w:bCs/>
          <w:color w:val="auto"/>
          <w:kern w:val="0"/>
          <w:sz w:val="28"/>
          <w:szCs w:val="32"/>
          <w:highlight w:val="none"/>
          <w:lang w:val="en-US" w:eastAsia="zh-CN" w:bidi="ar-SA"/>
        </w:rPr>
        <w:tab/>
      </w:r>
      <w:r>
        <w:rPr>
          <w:rFonts w:hint="eastAsia" w:ascii="仿宋" w:hAnsi="仿宋" w:eastAsia="仿宋" w:cs="Times New Roman"/>
          <w:b/>
          <w:bCs/>
          <w:color w:val="auto"/>
          <w:kern w:val="0"/>
          <w:sz w:val="28"/>
          <w:szCs w:val="32"/>
          <w:highlight w:val="none"/>
          <w:lang w:val="en-US" w:eastAsia="zh-CN" w:bidi="ar-SA"/>
        </w:rPr>
        <w:t>检查及结果通知</w:t>
      </w:r>
      <w:bookmarkEnd w:id="541"/>
    </w:p>
    <w:p w14:paraId="122E23C6">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14</w:t>
      </w:r>
      <w:r>
        <w:rPr>
          <w:rFonts w:hint="eastAsia" w:ascii="仿宋" w:hAnsi="仿宋" w:eastAsia="仿宋" w:cs="Times New Roman"/>
          <w:color w:val="auto"/>
          <w:kern w:val="0"/>
          <w:sz w:val="24"/>
          <w:szCs w:val="24"/>
          <w:highlight w:val="none"/>
        </w:rPr>
        <w:t>.1 甲方有权对本协议约定的出水水质指标进行一项或多项抽检，以核实乙方提供的结果。</w:t>
      </w:r>
    </w:p>
    <w:p w14:paraId="47E884BD">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14</w:t>
      </w:r>
      <w:r>
        <w:rPr>
          <w:rFonts w:hint="eastAsia" w:ascii="仿宋" w:hAnsi="仿宋" w:eastAsia="仿宋" w:cs="Times New Roman"/>
          <w:color w:val="auto"/>
          <w:kern w:val="0"/>
          <w:sz w:val="24"/>
          <w:szCs w:val="24"/>
          <w:highlight w:val="none"/>
        </w:rPr>
        <w:t>.2 甲方自行采取水样时须有乙方人员在场。乙方人员未在甲方告知的采样时间到达现场的，不影响抽检结果的有效性。</w:t>
      </w:r>
    </w:p>
    <w:p w14:paraId="0E63BD5A">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14</w:t>
      </w:r>
      <w:r>
        <w:rPr>
          <w:rFonts w:hint="eastAsia" w:ascii="仿宋" w:hAnsi="仿宋" w:eastAsia="仿宋" w:cs="Times New Roman"/>
          <w:color w:val="auto"/>
          <w:kern w:val="0"/>
          <w:sz w:val="24"/>
          <w:szCs w:val="24"/>
          <w:highlight w:val="none"/>
        </w:rPr>
        <w:t>.3甲方在现场取样前，应通知乙方人员陪同取样，乙方人员应在采样记录单上签字。甲方应在样品的所有应测指标测试完成且有出水水质超标情形下及时将检测结果通知乙方。</w:t>
      </w:r>
    </w:p>
    <w:p w14:paraId="1E5CD432">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14</w:t>
      </w:r>
      <w:r>
        <w:rPr>
          <w:rFonts w:hint="eastAsia" w:ascii="仿宋" w:hAnsi="仿宋" w:eastAsia="仿宋" w:cs="Times New Roman"/>
          <w:color w:val="auto"/>
          <w:kern w:val="0"/>
          <w:sz w:val="24"/>
          <w:szCs w:val="24"/>
          <w:highlight w:val="none"/>
        </w:rPr>
        <w:t>.4 甲方对出水水质指标抽检的结果与乙方自检结果不一致时，乙方对甲方抽检结果有异议的，双方可共同委托经国家认可的具备法定资质的检测机构进行检测并以该检测结果为准。</w:t>
      </w:r>
    </w:p>
    <w:p w14:paraId="724B21EE">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此外，甲方有权独立委托具有相应资质的第三方检测机构对乙方出水水质予以抽检。如经第三方检测机构抽检乙方出水水质超标，且乙方认可该等抽检结果的，则第三方抽检的结果作为本项目评价依据；如乙方对第三方检测机构出具的不达标的检测结果有异议，则乙方可和第三方检测机构共同委托另外一家具备相应资质的检测机构对同一水样重新进行检测，如乙方和第三方检测机构共同聘请的检测机构的检测结果显示超标，则相应的检测费用由乙方承担，检测机构的检测结果作为本项目的评价依据。</w:t>
      </w:r>
    </w:p>
    <w:p w14:paraId="3A0E648C">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14</w:t>
      </w:r>
      <w:r>
        <w:rPr>
          <w:rFonts w:hint="eastAsia" w:ascii="仿宋" w:hAnsi="仿宋" w:eastAsia="仿宋" w:cs="Times New Roman"/>
          <w:color w:val="auto"/>
          <w:kern w:val="0"/>
          <w:sz w:val="24"/>
          <w:szCs w:val="24"/>
          <w:highlight w:val="none"/>
        </w:rPr>
        <w:t>.</w:t>
      </w:r>
      <w:r>
        <w:rPr>
          <w:rFonts w:hint="default" w:ascii="仿宋" w:hAnsi="仿宋" w:eastAsia="仿宋" w:cs="Times New Roman"/>
          <w:color w:val="auto"/>
          <w:kern w:val="0"/>
          <w:sz w:val="24"/>
          <w:szCs w:val="24"/>
          <w:highlight w:val="none"/>
        </w:rPr>
        <w:t>5</w:t>
      </w:r>
      <w:r>
        <w:rPr>
          <w:rFonts w:hint="eastAsia" w:ascii="仿宋" w:hAnsi="仿宋" w:eastAsia="仿宋" w:cs="Times New Roman"/>
          <w:color w:val="auto"/>
          <w:kern w:val="0"/>
          <w:sz w:val="24"/>
          <w:szCs w:val="24"/>
          <w:highlight w:val="none"/>
        </w:rPr>
        <w:t>甲方有权随时对本协议约定的污泥、噪声及臭气指标进行一项或多项抽检，以核实乙方提供的结果。</w:t>
      </w:r>
    </w:p>
    <w:p w14:paraId="638E93DC">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14</w:t>
      </w:r>
      <w:r>
        <w:rPr>
          <w:rFonts w:hint="eastAsia" w:ascii="仿宋" w:hAnsi="仿宋" w:eastAsia="仿宋" w:cs="Times New Roman"/>
          <w:color w:val="auto"/>
          <w:kern w:val="0"/>
          <w:sz w:val="24"/>
          <w:szCs w:val="24"/>
          <w:highlight w:val="none"/>
        </w:rPr>
        <w:t>.</w:t>
      </w:r>
      <w:r>
        <w:rPr>
          <w:rFonts w:hint="default" w:ascii="仿宋" w:hAnsi="仿宋" w:eastAsia="仿宋" w:cs="Times New Roman"/>
          <w:color w:val="auto"/>
          <w:kern w:val="0"/>
          <w:sz w:val="24"/>
          <w:szCs w:val="24"/>
          <w:highlight w:val="none"/>
        </w:rPr>
        <w:t>6</w:t>
      </w:r>
      <w:r>
        <w:rPr>
          <w:rFonts w:hint="eastAsia" w:ascii="仿宋" w:hAnsi="仿宋" w:eastAsia="仿宋" w:cs="Times New Roman"/>
          <w:color w:val="auto"/>
          <w:kern w:val="0"/>
          <w:sz w:val="24"/>
          <w:szCs w:val="24"/>
          <w:highlight w:val="none"/>
        </w:rPr>
        <w:t>甲方对污泥、噪声及臭气抽检的结果与乙方自检结果不一致时，乙方对甲方的污泥抽检结果有异议的，双方可共同委托经国家认可的具备法定资质的检测机构进行检测并以该检测结果为准。如乙方未在甲方将该等检测结果通知送达后</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48</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小时内提出异议，视为同意该检测结果。</w:t>
      </w:r>
    </w:p>
    <w:p w14:paraId="2B0781C9">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14</w:t>
      </w:r>
      <w:r>
        <w:rPr>
          <w:rFonts w:hint="eastAsia" w:ascii="仿宋" w:hAnsi="仿宋" w:eastAsia="仿宋" w:cs="Times New Roman"/>
          <w:color w:val="auto"/>
          <w:kern w:val="0"/>
          <w:sz w:val="24"/>
          <w:szCs w:val="24"/>
          <w:highlight w:val="none"/>
        </w:rPr>
        <w:t>.</w:t>
      </w:r>
      <w:r>
        <w:rPr>
          <w:rFonts w:hint="default" w:ascii="仿宋" w:hAnsi="仿宋" w:eastAsia="仿宋" w:cs="Times New Roman"/>
          <w:color w:val="auto"/>
          <w:kern w:val="0"/>
          <w:sz w:val="24"/>
          <w:szCs w:val="24"/>
          <w:highlight w:val="none"/>
        </w:rPr>
        <w:t>7</w:t>
      </w:r>
      <w:r>
        <w:rPr>
          <w:rFonts w:hint="eastAsia" w:ascii="仿宋" w:hAnsi="仿宋" w:eastAsia="仿宋" w:cs="Times New Roman"/>
          <w:color w:val="auto"/>
          <w:kern w:val="0"/>
          <w:sz w:val="24"/>
          <w:szCs w:val="24"/>
          <w:highlight w:val="none"/>
        </w:rPr>
        <w:t xml:space="preserve"> 乙方根据本协议第</w:t>
      </w:r>
      <w:r>
        <w:rPr>
          <w:rFonts w:hint="default" w:ascii="仿宋" w:hAnsi="仿宋" w:eastAsia="仿宋" w:cs="Times New Roman"/>
          <w:color w:val="auto"/>
          <w:kern w:val="0"/>
          <w:sz w:val="24"/>
          <w:szCs w:val="24"/>
          <w:highlight w:val="none"/>
        </w:rPr>
        <w:t>14</w:t>
      </w:r>
      <w:r>
        <w:rPr>
          <w:rFonts w:hint="eastAsia" w:ascii="仿宋" w:hAnsi="仿宋" w:eastAsia="仿宋" w:cs="Times New Roman"/>
          <w:color w:val="auto"/>
          <w:kern w:val="0"/>
          <w:sz w:val="24"/>
          <w:szCs w:val="24"/>
          <w:highlight w:val="none"/>
        </w:rPr>
        <w:t>.4款和第</w:t>
      </w:r>
      <w:r>
        <w:rPr>
          <w:rFonts w:hint="default" w:ascii="仿宋" w:hAnsi="仿宋" w:eastAsia="仿宋" w:cs="Times New Roman"/>
          <w:color w:val="auto"/>
          <w:kern w:val="0"/>
          <w:sz w:val="24"/>
          <w:szCs w:val="24"/>
          <w:highlight w:val="none"/>
        </w:rPr>
        <w:t>14</w:t>
      </w:r>
      <w:r>
        <w:rPr>
          <w:rFonts w:hint="eastAsia" w:ascii="仿宋" w:hAnsi="仿宋" w:eastAsia="仿宋" w:cs="Times New Roman"/>
          <w:color w:val="auto"/>
          <w:kern w:val="0"/>
          <w:sz w:val="24"/>
          <w:szCs w:val="24"/>
          <w:highlight w:val="none"/>
        </w:rPr>
        <w:t>.</w:t>
      </w:r>
      <w:r>
        <w:rPr>
          <w:rFonts w:hint="default" w:ascii="仿宋" w:hAnsi="仿宋" w:eastAsia="仿宋" w:cs="Times New Roman"/>
          <w:color w:val="auto"/>
          <w:kern w:val="0"/>
          <w:sz w:val="24"/>
          <w:szCs w:val="24"/>
          <w:highlight w:val="none"/>
        </w:rPr>
        <w:t>6</w:t>
      </w:r>
      <w:r>
        <w:rPr>
          <w:rFonts w:hint="eastAsia" w:ascii="仿宋" w:hAnsi="仿宋" w:eastAsia="仿宋" w:cs="Times New Roman"/>
          <w:color w:val="auto"/>
          <w:kern w:val="0"/>
          <w:sz w:val="24"/>
          <w:szCs w:val="24"/>
          <w:highlight w:val="none"/>
        </w:rPr>
        <w:t>款约定的对甲方抽检结果有异议样品的委托检测，相应的检测费用应由乙方承担。如检测的结果表明乙方的检测程序不符合规定、检测设备超出允许误差或其检测结果显示不达标的，则乙方应按照甲方要求立即予以纠正。如检测的结果表明甲方抽检结果错误，检测费用应由甲方承担。</w:t>
      </w:r>
    </w:p>
    <w:p w14:paraId="0F5526CA">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42" w:name="_Toc22234175"/>
      <w:r>
        <w:rPr>
          <w:rFonts w:hint="eastAsia" w:ascii="仿宋" w:hAnsi="仿宋" w:eastAsia="仿宋" w:cs="Times New Roman"/>
          <w:b/>
          <w:bCs/>
          <w:color w:val="auto"/>
          <w:kern w:val="0"/>
          <w:sz w:val="28"/>
          <w:szCs w:val="32"/>
          <w:highlight w:val="none"/>
          <w:lang w:val="en-US" w:eastAsia="zh-CN" w:bidi="ar-SA"/>
        </w:rPr>
        <w:t>第</w:t>
      </w:r>
      <w:r>
        <w:rPr>
          <w:rFonts w:ascii="仿宋" w:hAnsi="仿宋" w:eastAsia="仿宋" w:cs="Times New Roman"/>
          <w:b/>
          <w:bCs/>
          <w:color w:val="auto"/>
          <w:kern w:val="0"/>
          <w:sz w:val="28"/>
          <w:szCs w:val="32"/>
          <w:highlight w:val="none"/>
          <w:lang w:val="en-US" w:eastAsia="zh-CN" w:bidi="ar-SA"/>
        </w:rPr>
        <w:t>15</w:t>
      </w:r>
      <w:r>
        <w:rPr>
          <w:rFonts w:hint="eastAsia" w:ascii="仿宋" w:hAnsi="仿宋" w:eastAsia="仿宋" w:cs="Times New Roman"/>
          <w:b/>
          <w:bCs/>
          <w:color w:val="auto"/>
          <w:kern w:val="0"/>
          <w:sz w:val="28"/>
          <w:szCs w:val="32"/>
          <w:highlight w:val="none"/>
          <w:lang w:val="en-US" w:eastAsia="zh-CN" w:bidi="ar-SA"/>
        </w:rPr>
        <w:t>条</w:t>
      </w:r>
      <w:r>
        <w:rPr>
          <w:rFonts w:ascii="仿宋" w:hAnsi="仿宋" w:eastAsia="仿宋" w:cs="Times New Roman"/>
          <w:b/>
          <w:bCs/>
          <w:color w:val="auto"/>
          <w:kern w:val="0"/>
          <w:sz w:val="28"/>
          <w:szCs w:val="32"/>
          <w:highlight w:val="none"/>
          <w:lang w:val="en-US" w:eastAsia="zh-CN" w:bidi="ar-SA"/>
        </w:rPr>
        <w:t xml:space="preserve"> </w:t>
      </w:r>
      <w:r>
        <w:rPr>
          <w:rFonts w:hint="eastAsia" w:ascii="仿宋" w:hAnsi="仿宋" w:eastAsia="仿宋" w:cs="Times New Roman"/>
          <w:b/>
          <w:bCs/>
          <w:color w:val="auto"/>
          <w:kern w:val="0"/>
          <w:sz w:val="28"/>
          <w:szCs w:val="32"/>
          <w:highlight w:val="none"/>
          <w:lang w:val="en-US" w:eastAsia="zh-CN" w:bidi="ar-SA"/>
        </w:rPr>
        <w:t>出水水质不符合标准的处理</w:t>
      </w:r>
      <w:bookmarkEnd w:id="542"/>
    </w:p>
    <w:p w14:paraId="0376DDDE">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15</w:t>
      </w:r>
      <w:r>
        <w:rPr>
          <w:rFonts w:hint="eastAsia" w:ascii="仿宋" w:hAnsi="仿宋" w:eastAsia="仿宋" w:cs="Times New Roman"/>
          <w:color w:val="auto"/>
          <w:kern w:val="0"/>
          <w:sz w:val="24"/>
          <w:szCs w:val="24"/>
          <w:highlight w:val="none"/>
        </w:rPr>
        <w:t>.1如因可归责于乙方的原因导致乙方经营的污水处理厂的出水水质有一项指标不达标的，即视为本次抽检表明乙方经营的该污水处理厂当日水质不符合出水水质标准，甲方有权要求乙方在规定时间内查找原因，并督促其采取合理的改进或保障措施，以避免二次抽检仍不合格。</w:t>
      </w:r>
    </w:p>
    <w:p w14:paraId="77D270FE">
      <w:pPr>
        <w:spacing w:line="480" w:lineRule="auto"/>
        <w:ind w:firstLine="424" w:firstLineChars="177"/>
        <w:rPr>
          <w:rFonts w:hint="eastAsia"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15.2</w:t>
      </w:r>
      <w:r>
        <w:rPr>
          <w:rFonts w:hint="eastAsia" w:ascii="仿宋" w:hAnsi="仿宋" w:eastAsia="仿宋" w:cs="Times New Roman"/>
          <w:color w:val="auto"/>
          <w:kern w:val="0"/>
          <w:sz w:val="24"/>
          <w:szCs w:val="24"/>
          <w:highlight w:val="none"/>
        </w:rPr>
        <w:t>如下一次抽检仍未达标的，则甲方有权向乙方收取违约金，违约金执行本协议第</w:t>
      </w:r>
      <w:r>
        <w:rPr>
          <w:rFonts w:hint="default" w:ascii="仿宋" w:hAnsi="仿宋" w:eastAsia="仿宋" w:cs="Times New Roman"/>
          <w:color w:val="auto"/>
          <w:kern w:val="0"/>
          <w:sz w:val="24"/>
          <w:szCs w:val="24"/>
          <w:highlight w:val="none"/>
        </w:rPr>
        <w:t>29</w:t>
      </w:r>
      <w:r>
        <w:rPr>
          <w:rFonts w:hint="eastAsia" w:ascii="仿宋" w:hAnsi="仿宋" w:eastAsia="仿宋" w:cs="Times New Roman"/>
          <w:color w:val="auto"/>
          <w:kern w:val="0"/>
          <w:sz w:val="24"/>
          <w:szCs w:val="24"/>
          <w:highlight w:val="none"/>
        </w:rPr>
        <w:t>条的约定。如每个付费周期内出现多次抽检不合格的，则违约金累计计算。甲方有权直接扣除或提取运维履约担保或移交履约担保项下的相应金额。如一个付费周期内，连续</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3</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次或累计</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5</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次未达标时，甲方有权按照《</w:t>
      </w:r>
      <w:r>
        <w:rPr>
          <w:rFonts w:hint="eastAsia" w:ascii="仿宋" w:hAnsi="仿宋" w:eastAsia="仿宋" w:cs="Times New Roman"/>
          <w:color w:val="auto"/>
          <w:kern w:val="0"/>
          <w:sz w:val="24"/>
          <w:szCs w:val="24"/>
          <w:highlight w:val="none"/>
          <w:lang w:val="en-US" w:eastAsia="zh-CN"/>
        </w:rPr>
        <w:t>特许经营协议</w:t>
      </w:r>
      <w:r>
        <w:rPr>
          <w:rFonts w:hint="eastAsia" w:ascii="仿宋" w:hAnsi="仿宋" w:eastAsia="仿宋" w:cs="Times New Roman"/>
          <w:color w:val="auto"/>
          <w:kern w:val="0"/>
          <w:sz w:val="24"/>
          <w:szCs w:val="24"/>
          <w:highlight w:val="none"/>
        </w:rPr>
        <w:t>》的约定介入该污水处理厂的运营维护，同时介入管网的运营维护。</w:t>
      </w:r>
    </w:p>
    <w:p w14:paraId="3A5A5902">
      <w:pPr>
        <w:spacing w:line="480" w:lineRule="auto"/>
        <w:ind w:firstLine="424" w:firstLineChars="177"/>
        <w:rPr>
          <w:rFonts w:hint="eastAsia"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15.3 当发生出水水质不符合标准的情形时，除本协议另有约定外，乙方无权就其在该期间内所提供的污水处理服务取得污水处理服务费。</w:t>
      </w:r>
    </w:p>
    <w:p w14:paraId="7865D4F5">
      <w:pPr>
        <w:spacing w:line="480" w:lineRule="auto"/>
        <w:ind w:firstLine="424" w:firstLineChars="177"/>
        <w:rPr>
          <w:rFonts w:hint="default" w:ascii="仿宋" w:hAnsi="仿宋" w:eastAsia="仿宋" w:cs="Times New Roman"/>
          <w:color w:val="auto"/>
          <w:kern w:val="0"/>
          <w:sz w:val="24"/>
          <w:szCs w:val="24"/>
          <w:highlight w:val="none"/>
          <w:lang w:val="en-US" w:eastAsia="zh-CN"/>
        </w:rPr>
      </w:pPr>
      <w:r>
        <w:rPr>
          <w:rFonts w:hint="eastAsia" w:ascii="仿宋" w:hAnsi="仿宋" w:eastAsia="仿宋" w:cs="Times New Roman"/>
          <w:color w:val="auto"/>
          <w:kern w:val="0"/>
          <w:sz w:val="24"/>
          <w:szCs w:val="24"/>
          <w:highlight w:val="none"/>
          <w:lang w:val="en-US" w:eastAsia="zh-CN"/>
        </w:rPr>
        <w:t>15.4 无论何种原因导致出现出水水质不达标情况，不免除或减轻乙方根据《中华人民共和国水污染防治法》《排污许可管理条例》等法律法规规定应当承担的法律责任。</w:t>
      </w:r>
    </w:p>
    <w:p w14:paraId="1F9C623B">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43" w:name="_Toc22234176"/>
      <w:r>
        <w:rPr>
          <w:rFonts w:hint="eastAsia" w:ascii="仿宋" w:hAnsi="仿宋" w:eastAsia="仿宋" w:cs="Times New Roman"/>
          <w:b/>
          <w:bCs/>
          <w:color w:val="auto"/>
          <w:kern w:val="0"/>
          <w:sz w:val="28"/>
          <w:szCs w:val="32"/>
          <w:highlight w:val="none"/>
          <w:lang w:val="en-US" w:eastAsia="zh-CN" w:bidi="ar-SA"/>
        </w:rPr>
        <w:t>第</w:t>
      </w:r>
      <w:r>
        <w:rPr>
          <w:rFonts w:ascii="仿宋" w:hAnsi="仿宋" w:eastAsia="仿宋" w:cs="Times New Roman"/>
          <w:b/>
          <w:bCs/>
          <w:color w:val="auto"/>
          <w:kern w:val="0"/>
          <w:sz w:val="28"/>
          <w:szCs w:val="32"/>
          <w:highlight w:val="none"/>
          <w:lang w:val="en-US" w:eastAsia="zh-CN" w:bidi="ar-SA"/>
        </w:rPr>
        <w:t>16</w:t>
      </w:r>
      <w:r>
        <w:rPr>
          <w:rFonts w:hint="eastAsia" w:ascii="仿宋" w:hAnsi="仿宋" w:eastAsia="仿宋" w:cs="Times New Roman"/>
          <w:b/>
          <w:bCs/>
          <w:color w:val="auto"/>
          <w:kern w:val="0"/>
          <w:sz w:val="28"/>
          <w:szCs w:val="32"/>
          <w:highlight w:val="none"/>
          <w:lang w:val="en-US" w:eastAsia="zh-CN" w:bidi="ar-SA"/>
        </w:rPr>
        <w:t>条</w:t>
      </w:r>
      <w:r>
        <w:rPr>
          <w:rFonts w:ascii="仿宋" w:hAnsi="仿宋" w:eastAsia="仿宋" w:cs="Times New Roman"/>
          <w:b/>
          <w:bCs/>
          <w:color w:val="auto"/>
          <w:kern w:val="0"/>
          <w:sz w:val="28"/>
          <w:szCs w:val="32"/>
          <w:highlight w:val="none"/>
          <w:lang w:val="en-US" w:eastAsia="zh-CN" w:bidi="ar-SA"/>
        </w:rPr>
        <w:t xml:space="preserve"> </w:t>
      </w:r>
      <w:r>
        <w:rPr>
          <w:rFonts w:hint="eastAsia" w:ascii="仿宋" w:hAnsi="仿宋" w:eastAsia="仿宋" w:cs="Times New Roman"/>
          <w:b/>
          <w:bCs/>
          <w:color w:val="auto"/>
          <w:kern w:val="0"/>
          <w:sz w:val="28"/>
          <w:szCs w:val="32"/>
          <w:highlight w:val="none"/>
          <w:lang w:val="en-US" w:eastAsia="zh-CN" w:bidi="ar-SA"/>
        </w:rPr>
        <w:t>进水不符合标准的处理</w:t>
      </w:r>
      <w:bookmarkEnd w:id="543"/>
    </w:p>
    <w:p w14:paraId="13FFE484">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16</w:t>
      </w:r>
      <w:r>
        <w:rPr>
          <w:rFonts w:hint="eastAsia" w:ascii="仿宋" w:hAnsi="仿宋" w:eastAsia="仿宋" w:cs="Times New Roman"/>
          <w:color w:val="auto"/>
          <w:kern w:val="0"/>
          <w:sz w:val="24"/>
          <w:szCs w:val="24"/>
          <w:highlight w:val="none"/>
        </w:rPr>
        <w:t>.</w:t>
      </w:r>
      <w:r>
        <w:rPr>
          <w:rFonts w:hint="eastAsia" w:ascii="仿宋" w:hAnsi="仿宋" w:eastAsia="仿宋" w:cs="Times New Roman"/>
          <w:color w:val="auto"/>
          <w:kern w:val="0"/>
          <w:sz w:val="24"/>
          <w:szCs w:val="24"/>
          <w:highlight w:val="none"/>
          <w:lang w:val="en-US" w:eastAsia="zh-CN"/>
        </w:rPr>
        <w:t>1</w:t>
      </w:r>
      <w:r>
        <w:rPr>
          <w:rFonts w:hint="eastAsia" w:ascii="仿宋" w:hAnsi="仿宋" w:eastAsia="仿宋" w:cs="Times New Roman"/>
          <w:color w:val="auto"/>
          <w:kern w:val="0"/>
          <w:sz w:val="24"/>
          <w:szCs w:val="24"/>
          <w:highlight w:val="none"/>
        </w:rPr>
        <w:t>乙方发现进水水质超标的，应于当日及时将超标项目检测结果以书面形式向甲方及排水主管部门、环保部门进行报告。甲方应在接到乙方提交的书面报告后</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24</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小时内予以复检，甲方对进水水质检测的结果与乙方自检结果不一致时，乙方对此有异议的，由双方认可的具备法定资质的检测机构于甲方接到乙方前述报告后</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48</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小时内进行检测，最终以该等检测结果为准。其中检测项目为乙方书面报告的超标项目，若复检或检测结果表明进水水质超标，则：</w:t>
      </w:r>
    </w:p>
    <w:p w14:paraId="62B5D48F">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16.1.1若进水水质指标PH值小于6或大于9，或出现重金属等有毒有害物质含量过高等对污水处理厂生化系统</w:t>
      </w:r>
      <w:r>
        <w:rPr>
          <w:rFonts w:hint="eastAsia" w:ascii="仿宋" w:hAnsi="仿宋" w:eastAsia="仿宋" w:cs="Times New Roman"/>
          <w:color w:val="auto"/>
          <w:kern w:val="0"/>
          <w:sz w:val="24"/>
          <w:szCs w:val="24"/>
          <w:highlight w:val="none"/>
        </w:rPr>
        <w:t>可能产生破坏的严重污染情形时，乙方应立即通知甲方，经甲方同意可暂停污水处理服务，该等暂停视为本协议第</w:t>
      </w:r>
      <w:r>
        <w:rPr>
          <w:rFonts w:hint="default" w:ascii="仿宋" w:hAnsi="仿宋" w:eastAsia="仿宋" w:cs="Times New Roman"/>
          <w:color w:val="auto"/>
          <w:kern w:val="0"/>
          <w:sz w:val="24"/>
          <w:szCs w:val="24"/>
          <w:highlight w:val="none"/>
        </w:rPr>
        <w:t>26</w:t>
      </w:r>
      <w:r>
        <w:rPr>
          <w:rFonts w:hint="eastAsia" w:ascii="仿宋" w:hAnsi="仿宋" w:eastAsia="仿宋" w:cs="Times New Roman"/>
          <w:color w:val="auto"/>
          <w:kern w:val="0"/>
          <w:sz w:val="24"/>
          <w:szCs w:val="24"/>
          <w:highlight w:val="none"/>
        </w:rPr>
        <w:t>.2款所述之计划外暂停；</w:t>
      </w:r>
    </w:p>
    <w:p w14:paraId="45FCA4A8">
      <w:pPr>
        <w:spacing w:line="480" w:lineRule="auto"/>
        <w:ind w:firstLine="424" w:firstLineChars="177"/>
        <w:jc w:val="left"/>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16.1.2若</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1</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＜（其他指标实测浓度值÷进水标准值）≤</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1.5</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，在持续超标</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3</w:t>
      </w:r>
      <w:r>
        <w:rPr>
          <w:rFonts w:hint="default"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日内乙方负有确保出水水质符合出水标准之义务；</w:t>
      </w:r>
    </w:p>
    <w:p w14:paraId="192EC967">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16.1.3</w:t>
      </w:r>
      <w:r>
        <w:rPr>
          <w:rFonts w:hint="eastAsia" w:ascii="仿宋" w:hAnsi="仿宋" w:eastAsia="仿宋" w:cs="Times New Roman"/>
          <w:color w:val="auto"/>
          <w:kern w:val="0"/>
          <w:sz w:val="24"/>
          <w:szCs w:val="24"/>
          <w:highlight w:val="none"/>
        </w:rPr>
        <w:t>若</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1.5</w:t>
      </w:r>
      <w:r>
        <w:rPr>
          <w:rFonts w:hint="eastAsia" w:ascii="仿宋" w:hAnsi="仿宋" w:eastAsia="仿宋" w:cs="Times New Roman"/>
          <w:color w:val="auto"/>
          <w:kern w:val="0"/>
          <w:sz w:val="24"/>
          <w:szCs w:val="24"/>
          <w:highlight w:val="none"/>
          <w:u w:val="single"/>
        </w:rPr>
        <w:t xml:space="preserve"> </w:t>
      </w:r>
      <w:r>
        <w:rPr>
          <w:rFonts w:hint="default" w:ascii="仿宋" w:hAnsi="仿宋" w:eastAsia="仿宋" w:cs="Times New Roman"/>
          <w:color w:val="auto"/>
          <w:kern w:val="0"/>
          <w:sz w:val="24"/>
          <w:szCs w:val="24"/>
          <w:highlight w:val="none"/>
        </w:rPr>
        <w:t>＜</w:t>
      </w:r>
      <w:r>
        <w:rPr>
          <w:rFonts w:hint="eastAsia" w:ascii="仿宋" w:hAnsi="仿宋" w:eastAsia="仿宋" w:cs="Times New Roman"/>
          <w:color w:val="auto"/>
          <w:kern w:val="0"/>
          <w:sz w:val="24"/>
          <w:szCs w:val="24"/>
          <w:highlight w:val="none"/>
        </w:rPr>
        <w:t>（</w:t>
      </w:r>
      <w:r>
        <w:rPr>
          <w:rFonts w:hint="default" w:ascii="仿宋" w:hAnsi="仿宋" w:eastAsia="仿宋" w:cs="Times New Roman"/>
          <w:color w:val="auto"/>
          <w:kern w:val="0"/>
          <w:sz w:val="24"/>
          <w:szCs w:val="24"/>
          <w:highlight w:val="none"/>
        </w:rPr>
        <w:t>其他指标实测浓度值</w:t>
      </w:r>
      <w:r>
        <w:rPr>
          <w:rFonts w:hint="eastAsia" w:ascii="仿宋" w:hAnsi="仿宋" w:eastAsia="仿宋" w:cs="Times New Roman"/>
          <w:color w:val="auto"/>
          <w:kern w:val="0"/>
          <w:sz w:val="24"/>
          <w:szCs w:val="24"/>
          <w:highlight w:val="none"/>
        </w:rPr>
        <w:t>÷进水标准值）≤</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3</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，则乙方在进水超标期间应保证出水指标达到经批复的初步设计文件约定的去除率；</w:t>
      </w:r>
    </w:p>
    <w:p w14:paraId="31142063">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16</w:t>
      </w:r>
      <w:r>
        <w:rPr>
          <w:rFonts w:hint="eastAsia" w:ascii="仿宋" w:hAnsi="仿宋" w:eastAsia="仿宋" w:cs="Times New Roman"/>
          <w:color w:val="auto"/>
          <w:kern w:val="0"/>
          <w:sz w:val="24"/>
          <w:szCs w:val="24"/>
          <w:highlight w:val="none"/>
        </w:rPr>
        <w:t>.1.4若（其他指标实测浓度值÷进水标准值）＞</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3</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，乙方仍应尽力处理，但对于出水超标情形免除乙方的违约责任。</w:t>
      </w:r>
    </w:p>
    <w:p w14:paraId="311522F9">
      <w:pPr>
        <w:spacing w:line="480" w:lineRule="auto"/>
        <w:ind w:firstLine="424" w:firstLineChars="177"/>
        <w:rPr>
          <w:rFonts w:hint="default" w:ascii="仿宋" w:hAnsi="仿宋" w:eastAsia="仿宋" w:cs="Times New Roman"/>
          <w:color w:val="auto"/>
          <w:kern w:val="0"/>
          <w:sz w:val="24"/>
          <w:szCs w:val="24"/>
          <w:highlight w:val="none"/>
          <w:lang w:val="en-US" w:eastAsia="zh-CN"/>
        </w:rPr>
      </w:pPr>
      <w:r>
        <w:rPr>
          <w:rFonts w:hint="eastAsia" w:ascii="仿宋" w:hAnsi="仿宋" w:eastAsia="仿宋" w:cs="Times New Roman"/>
          <w:color w:val="auto"/>
          <w:kern w:val="0"/>
          <w:sz w:val="24"/>
          <w:szCs w:val="24"/>
          <w:highlight w:val="none"/>
        </w:rPr>
        <w:t>由于以上原因导致的出水水质超标，可作为</w:t>
      </w:r>
      <w:r>
        <w:rPr>
          <w:rFonts w:hint="eastAsia" w:ascii="仿宋" w:hAnsi="仿宋" w:eastAsia="仿宋" w:cs="Times New Roman"/>
          <w:color w:val="auto"/>
          <w:kern w:val="0"/>
          <w:sz w:val="24"/>
          <w:szCs w:val="24"/>
          <w:highlight w:val="none"/>
          <w:lang w:val="en-US" w:eastAsia="zh-CN"/>
        </w:rPr>
        <w:t>免除</w:t>
      </w:r>
      <w:r>
        <w:rPr>
          <w:rFonts w:hint="eastAsia" w:ascii="仿宋" w:hAnsi="仿宋" w:eastAsia="仿宋" w:cs="Times New Roman"/>
          <w:color w:val="auto"/>
          <w:kern w:val="0"/>
          <w:sz w:val="24"/>
          <w:szCs w:val="24"/>
          <w:highlight w:val="none"/>
        </w:rPr>
        <w:t>乙方</w:t>
      </w:r>
      <w:r>
        <w:rPr>
          <w:rFonts w:hint="eastAsia" w:ascii="仿宋" w:hAnsi="仿宋" w:eastAsia="仿宋" w:cs="Times New Roman"/>
          <w:color w:val="auto"/>
          <w:kern w:val="0"/>
          <w:sz w:val="24"/>
          <w:szCs w:val="24"/>
          <w:highlight w:val="none"/>
          <w:lang w:val="en-US" w:eastAsia="zh-CN"/>
        </w:rPr>
        <w:t>在本协议项下相关责任</w:t>
      </w:r>
      <w:r>
        <w:rPr>
          <w:rFonts w:hint="eastAsia" w:ascii="仿宋" w:hAnsi="仿宋" w:eastAsia="仿宋" w:cs="Times New Roman"/>
          <w:color w:val="auto"/>
          <w:kern w:val="0"/>
          <w:sz w:val="24"/>
          <w:szCs w:val="24"/>
          <w:highlight w:val="none"/>
        </w:rPr>
        <w:t>的依据，在乙方满足本协议约定的其他相关要求的前提下，甲方应按期足额支付乙方服务费。</w:t>
      </w:r>
      <w:r>
        <w:rPr>
          <w:rFonts w:hint="eastAsia" w:ascii="仿宋" w:hAnsi="仿宋" w:eastAsia="仿宋" w:cs="Times New Roman"/>
          <w:color w:val="auto"/>
          <w:kern w:val="0"/>
          <w:sz w:val="24"/>
          <w:szCs w:val="24"/>
          <w:highlight w:val="none"/>
          <w:lang w:val="en-US" w:eastAsia="zh-CN"/>
        </w:rPr>
        <w:t>但</w:t>
      </w:r>
      <w:r>
        <w:rPr>
          <w:rFonts w:hint="eastAsia" w:ascii="仿宋" w:hAnsi="仿宋" w:eastAsia="仿宋" w:cs="Times New Roman"/>
          <w:color w:val="auto"/>
          <w:kern w:val="0"/>
          <w:sz w:val="24"/>
          <w:szCs w:val="24"/>
          <w:highlight w:val="none"/>
        </w:rPr>
        <w:t>进水水质超标不构成乙方出水水质超标的法定免责事由</w:t>
      </w:r>
      <w:r>
        <w:rPr>
          <w:rFonts w:hint="eastAsia" w:ascii="仿宋" w:hAnsi="仿宋" w:eastAsia="仿宋" w:cs="Times New Roman"/>
          <w:color w:val="auto"/>
          <w:kern w:val="0"/>
          <w:sz w:val="24"/>
          <w:szCs w:val="24"/>
          <w:highlight w:val="none"/>
          <w:lang w:eastAsia="zh-CN"/>
        </w:rPr>
        <w:t>。</w:t>
      </w:r>
      <w:r>
        <w:rPr>
          <w:rFonts w:hint="eastAsia" w:ascii="仿宋" w:hAnsi="仿宋" w:eastAsia="仿宋" w:cs="Times New Roman"/>
          <w:color w:val="auto"/>
          <w:kern w:val="0"/>
          <w:sz w:val="24"/>
          <w:szCs w:val="24"/>
          <w:highlight w:val="none"/>
          <w:lang w:val="en-US" w:eastAsia="zh-CN"/>
        </w:rPr>
        <w:t>乙方应建立健全进水水质超标的应急方案，当出现进水水质超标情形时，应立即启动应急机制，确保出水水质达标，否则乙方仍然承担不达标排放的法律责任。</w:t>
      </w:r>
    </w:p>
    <w:p w14:paraId="21583A3F">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16</w:t>
      </w:r>
      <w:r>
        <w:rPr>
          <w:rFonts w:hint="eastAsia" w:ascii="仿宋" w:hAnsi="仿宋" w:eastAsia="仿宋" w:cs="Times New Roman"/>
          <w:color w:val="auto"/>
          <w:kern w:val="0"/>
          <w:sz w:val="24"/>
          <w:szCs w:val="24"/>
          <w:highlight w:val="none"/>
        </w:rPr>
        <w:t>.2进水水质不符合进水标准时，乙方应采取应急处理措施，但仍应按谨慎运营惯例运营污水处理厂，以使污水处理厂发挥最大污水处理能力。</w:t>
      </w:r>
    </w:p>
    <w:p w14:paraId="299B500C">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16</w:t>
      </w:r>
      <w:r>
        <w:rPr>
          <w:rFonts w:hint="eastAsia" w:ascii="仿宋" w:hAnsi="仿宋" w:eastAsia="仿宋" w:cs="Times New Roman"/>
          <w:color w:val="auto"/>
          <w:kern w:val="0"/>
          <w:sz w:val="24"/>
          <w:szCs w:val="24"/>
          <w:highlight w:val="none"/>
        </w:rPr>
        <w:t>.3进水水质长期超标</w:t>
      </w:r>
    </w:p>
    <w:p w14:paraId="62CD6F95">
      <w:pPr>
        <w:spacing w:line="480" w:lineRule="auto"/>
        <w:ind w:firstLine="424" w:firstLineChars="177"/>
        <w:rPr>
          <w:rFonts w:hint="default" w:ascii="仿宋" w:hAnsi="仿宋" w:eastAsia="仿宋" w:cs="Times New Roman"/>
          <w:color w:val="auto"/>
          <w:kern w:val="0"/>
          <w:sz w:val="24"/>
          <w:szCs w:val="24"/>
          <w:highlight w:val="none"/>
          <w:lang w:val="en-US" w:eastAsia="zh-CN"/>
        </w:rPr>
      </w:pPr>
      <w:r>
        <w:rPr>
          <w:rFonts w:hint="default" w:ascii="仿宋" w:hAnsi="仿宋" w:eastAsia="仿宋" w:cs="Times New Roman"/>
          <w:color w:val="auto"/>
          <w:kern w:val="0"/>
          <w:sz w:val="24"/>
          <w:szCs w:val="24"/>
          <w:highlight w:val="none"/>
        </w:rPr>
        <w:t>对于除PH值和有毒有害物质含量之外的任一进水水质指标</w:t>
      </w:r>
      <w:r>
        <w:rPr>
          <w:rFonts w:hint="eastAsia" w:ascii="仿宋" w:hAnsi="仿宋" w:eastAsia="仿宋" w:cs="Times New Roman"/>
          <w:color w:val="auto"/>
          <w:kern w:val="0"/>
          <w:sz w:val="24"/>
          <w:szCs w:val="24"/>
          <w:highlight w:val="none"/>
        </w:rPr>
        <w:t>，若（实测浓度值÷进水标准值）＞</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3</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之情形持续</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7</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日，乙方可向甲方提出申请，通过改变或增加污水处理设施、工艺及设备等方式，尽力与甲方共同寻求污水达标处理的解决方案。</w:t>
      </w:r>
    </w:p>
    <w:p w14:paraId="468FBF41">
      <w:pPr>
        <w:keepNext/>
        <w:keepLines/>
        <w:widowControl w:val="0"/>
        <w:jc w:val="center"/>
        <w:outlineLvl w:val="0"/>
        <w:rPr>
          <w:rFonts w:ascii="仿宋" w:hAnsi="仿宋" w:eastAsia="仿宋" w:cs="Times New Roman"/>
          <w:b/>
          <w:bCs/>
          <w:color w:val="auto"/>
          <w:kern w:val="44"/>
          <w:sz w:val="30"/>
          <w:szCs w:val="44"/>
          <w:highlight w:val="none"/>
          <w:lang w:val="en-US" w:eastAsia="zh-CN" w:bidi="ar-SA"/>
        </w:rPr>
      </w:pPr>
      <w:bookmarkStart w:id="544" w:name="_Toc22234177"/>
      <w:r>
        <w:rPr>
          <w:rFonts w:hint="eastAsia" w:ascii="仿宋" w:hAnsi="仿宋" w:eastAsia="仿宋" w:cs="Times New Roman"/>
          <w:b/>
          <w:bCs/>
          <w:color w:val="auto"/>
          <w:kern w:val="44"/>
          <w:sz w:val="30"/>
          <w:szCs w:val="44"/>
          <w:highlight w:val="none"/>
          <w:lang w:val="en-US" w:eastAsia="zh-CN" w:bidi="ar-SA"/>
        </w:rPr>
        <w:t>第五章</w:t>
      </w:r>
      <w:r>
        <w:rPr>
          <w:rFonts w:hint="eastAsia" w:ascii="仿宋" w:hAnsi="仿宋" w:eastAsia="仿宋" w:cs="Times New Roman"/>
          <w:b/>
          <w:bCs/>
          <w:color w:val="auto"/>
          <w:kern w:val="44"/>
          <w:sz w:val="30"/>
          <w:szCs w:val="44"/>
          <w:highlight w:val="none"/>
          <w:lang w:val="en-US" w:eastAsia="zh-CN" w:bidi="ar-SA"/>
        </w:rPr>
        <w:tab/>
      </w:r>
      <w:r>
        <w:rPr>
          <w:rFonts w:hint="eastAsia" w:ascii="仿宋" w:hAnsi="仿宋" w:eastAsia="仿宋" w:cs="Times New Roman"/>
          <w:b/>
          <w:bCs/>
          <w:color w:val="auto"/>
          <w:kern w:val="44"/>
          <w:sz w:val="30"/>
          <w:szCs w:val="44"/>
          <w:highlight w:val="none"/>
          <w:lang w:val="en-US" w:eastAsia="zh-CN" w:bidi="ar-SA"/>
        </w:rPr>
        <w:t>污水计量</w:t>
      </w:r>
      <w:bookmarkEnd w:id="544"/>
    </w:p>
    <w:p w14:paraId="58510AB5">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45" w:name="_Toc22234178"/>
      <w:r>
        <w:rPr>
          <w:rFonts w:hint="eastAsia" w:ascii="仿宋" w:hAnsi="仿宋" w:eastAsia="仿宋" w:cs="Times New Roman"/>
          <w:b/>
          <w:bCs/>
          <w:color w:val="auto"/>
          <w:kern w:val="0"/>
          <w:sz w:val="28"/>
          <w:szCs w:val="32"/>
          <w:highlight w:val="none"/>
          <w:lang w:val="en-US" w:eastAsia="zh-CN" w:bidi="ar-SA"/>
        </w:rPr>
        <w:t>第</w:t>
      </w:r>
      <w:r>
        <w:rPr>
          <w:rFonts w:ascii="仿宋" w:hAnsi="仿宋" w:eastAsia="仿宋" w:cs="Times New Roman"/>
          <w:b/>
          <w:bCs/>
          <w:color w:val="auto"/>
          <w:kern w:val="0"/>
          <w:sz w:val="28"/>
          <w:szCs w:val="32"/>
          <w:highlight w:val="none"/>
          <w:lang w:val="en-US" w:eastAsia="zh-CN" w:bidi="ar-SA"/>
        </w:rPr>
        <w:t>17</w:t>
      </w:r>
      <w:r>
        <w:rPr>
          <w:rFonts w:hint="eastAsia" w:ascii="仿宋" w:hAnsi="仿宋" w:eastAsia="仿宋" w:cs="Times New Roman"/>
          <w:b/>
          <w:bCs/>
          <w:color w:val="auto"/>
          <w:kern w:val="0"/>
          <w:sz w:val="28"/>
          <w:szCs w:val="32"/>
          <w:highlight w:val="none"/>
          <w:lang w:val="en-US" w:eastAsia="zh-CN" w:bidi="ar-SA"/>
        </w:rPr>
        <w:t>条</w:t>
      </w:r>
      <w:r>
        <w:rPr>
          <w:rFonts w:hint="eastAsia" w:ascii="仿宋" w:hAnsi="仿宋" w:eastAsia="仿宋" w:cs="Times New Roman"/>
          <w:b/>
          <w:bCs/>
          <w:color w:val="auto"/>
          <w:kern w:val="0"/>
          <w:sz w:val="28"/>
          <w:szCs w:val="32"/>
          <w:highlight w:val="none"/>
          <w:lang w:val="en-US" w:eastAsia="zh-CN" w:bidi="ar-SA"/>
        </w:rPr>
        <w:tab/>
      </w:r>
      <w:r>
        <w:rPr>
          <w:rFonts w:hint="eastAsia" w:ascii="仿宋" w:hAnsi="仿宋" w:eastAsia="仿宋" w:cs="Times New Roman"/>
          <w:b/>
          <w:bCs/>
          <w:color w:val="auto"/>
          <w:kern w:val="0"/>
          <w:sz w:val="28"/>
          <w:szCs w:val="32"/>
          <w:highlight w:val="none"/>
          <w:lang w:val="en-US" w:eastAsia="zh-CN" w:bidi="ar-SA"/>
        </w:rPr>
        <w:t>进、出水流量计</w:t>
      </w:r>
      <w:bookmarkEnd w:id="545"/>
    </w:p>
    <w:p w14:paraId="0A43D0A8">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17</w:t>
      </w:r>
      <w:r>
        <w:rPr>
          <w:rFonts w:hint="eastAsia" w:ascii="仿宋" w:hAnsi="仿宋" w:eastAsia="仿宋" w:cs="Times New Roman"/>
          <w:color w:val="auto"/>
          <w:kern w:val="0"/>
          <w:sz w:val="24"/>
          <w:szCs w:val="24"/>
          <w:highlight w:val="none"/>
        </w:rPr>
        <w:t>.1流量计的选用</w:t>
      </w:r>
    </w:p>
    <w:p w14:paraId="57E3E388">
      <w:pPr>
        <w:spacing w:line="480" w:lineRule="auto"/>
        <w:ind w:firstLine="424" w:firstLineChars="177"/>
        <w:rPr>
          <w:rFonts w:hint="default" w:ascii="仿宋" w:hAnsi="仿宋" w:eastAsia="仿宋" w:cs="Times New Roman"/>
          <w:color w:val="auto"/>
          <w:kern w:val="0"/>
          <w:sz w:val="24"/>
          <w:szCs w:val="24"/>
          <w:highlight w:val="none"/>
        </w:rPr>
      </w:pPr>
      <w:bookmarkStart w:id="546" w:name="_项目公司应使用符合适用法律要求的流量计连续测量、计算和记录在进水计量点提取的进"/>
      <w:bookmarkEnd w:id="546"/>
      <w:r>
        <w:rPr>
          <w:rFonts w:hint="eastAsia" w:ascii="仿宋" w:hAnsi="仿宋" w:eastAsia="仿宋" w:cs="Times New Roman"/>
          <w:color w:val="auto"/>
          <w:kern w:val="2"/>
          <w:sz w:val="24"/>
          <w:szCs w:val="24"/>
          <w:highlight w:val="none"/>
        </w:rPr>
        <w:t>乙方应在进水点和出水点连续测量、计算和记录提取的水量。流量计的型号、规格及技术指标应当符合有关计量器具的适用法律规定，并由</w:t>
      </w:r>
      <w:r>
        <w:rPr>
          <w:rFonts w:hint="eastAsia" w:ascii="仿宋" w:hAnsi="仿宋" w:eastAsia="仿宋" w:cs="Times New Roman"/>
          <w:color w:val="auto"/>
          <w:kern w:val="0"/>
          <w:sz w:val="24"/>
          <w:szCs w:val="24"/>
          <w:highlight w:val="none"/>
        </w:rPr>
        <w:t>乙方报甲方及相关行政职能部门批准</w:t>
      </w:r>
      <w:r>
        <w:rPr>
          <w:rFonts w:hint="eastAsia" w:ascii="仿宋" w:hAnsi="仿宋" w:eastAsia="仿宋" w:cs="Times New Roman"/>
          <w:color w:val="auto"/>
          <w:kern w:val="2"/>
          <w:sz w:val="24"/>
          <w:szCs w:val="24"/>
          <w:highlight w:val="none"/>
        </w:rPr>
        <w:t>后方可使用</w:t>
      </w:r>
      <w:r>
        <w:rPr>
          <w:rFonts w:hint="eastAsia" w:ascii="仿宋" w:hAnsi="仿宋" w:eastAsia="仿宋" w:cs="Times New Roman"/>
          <w:color w:val="auto"/>
          <w:kern w:val="0"/>
          <w:sz w:val="24"/>
          <w:szCs w:val="24"/>
          <w:highlight w:val="none"/>
        </w:rPr>
        <w:t>。</w:t>
      </w:r>
    </w:p>
    <w:p w14:paraId="3DD6E2E6">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17</w:t>
      </w:r>
      <w:r>
        <w:rPr>
          <w:rFonts w:hint="eastAsia" w:ascii="仿宋" w:hAnsi="仿宋" w:eastAsia="仿宋" w:cs="Times New Roman"/>
          <w:color w:val="auto"/>
          <w:kern w:val="0"/>
          <w:sz w:val="24"/>
          <w:szCs w:val="24"/>
          <w:highlight w:val="none"/>
        </w:rPr>
        <w:t>.2流量计的首检</w:t>
      </w:r>
    </w:p>
    <w:p w14:paraId="5DED6CD9">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当每一个进、出水流量计首次应用于本项目时，都应在乙方通知甲方参加的情况下，由具备法定资质的检测机构或仪表生产厂家对流量计进行检查、检定和校准，检验合格方能投入使用,产生的费用由乙方承担。</w:t>
      </w:r>
    </w:p>
    <w:p w14:paraId="2461C5EF">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17</w:t>
      </w:r>
      <w:r>
        <w:rPr>
          <w:rFonts w:hint="eastAsia" w:ascii="仿宋" w:hAnsi="仿宋" w:eastAsia="仿宋" w:cs="Times New Roman"/>
          <w:color w:val="auto"/>
          <w:kern w:val="0"/>
          <w:sz w:val="24"/>
          <w:szCs w:val="24"/>
          <w:highlight w:val="none"/>
        </w:rPr>
        <w:t>.3流量计的安装</w:t>
      </w:r>
    </w:p>
    <w:p w14:paraId="02E736EF">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乙方安装、更换、维修流量计时均需提前</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3</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日内书面通知甲方，甲方有权指派代表监督安装、更换、维修流量计的全过程。</w:t>
      </w:r>
    </w:p>
    <w:p w14:paraId="2EA4D559">
      <w:pPr>
        <w:spacing w:line="480" w:lineRule="auto"/>
        <w:ind w:firstLine="424" w:firstLineChars="177"/>
        <w:rPr>
          <w:rFonts w:hint="eastAsia"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本项目设施范围内的污水处理厂的每个进、出水流量计均应被安装在甲方同意的密封、安全和透明的装置内，并按照甲方要求进行保护。</w:t>
      </w:r>
    </w:p>
    <w:p w14:paraId="398968BC">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47" w:name="_Toc22234179"/>
      <w:r>
        <w:rPr>
          <w:rFonts w:hint="eastAsia" w:ascii="仿宋" w:hAnsi="仿宋" w:eastAsia="仿宋" w:cs="Times New Roman"/>
          <w:b/>
          <w:bCs/>
          <w:color w:val="auto"/>
          <w:kern w:val="0"/>
          <w:sz w:val="28"/>
          <w:szCs w:val="32"/>
          <w:highlight w:val="none"/>
          <w:lang w:val="en-US" w:eastAsia="zh-CN" w:bidi="ar-SA"/>
        </w:rPr>
        <w:t>第</w:t>
      </w:r>
      <w:r>
        <w:rPr>
          <w:rFonts w:ascii="仿宋" w:hAnsi="仿宋" w:eastAsia="仿宋" w:cs="Times New Roman"/>
          <w:b/>
          <w:bCs/>
          <w:color w:val="auto"/>
          <w:kern w:val="0"/>
          <w:sz w:val="28"/>
          <w:szCs w:val="32"/>
          <w:highlight w:val="none"/>
          <w:lang w:val="en-US" w:eastAsia="zh-CN" w:bidi="ar-SA"/>
        </w:rPr>
        <w:t>18</w:t>
      </w:r>
      <w:r>
        <w:rPr>
          <w:rFonts w:hint="eastAsia" w:ascii="仿宋" w:hAnsi="仿宋" w:eastAsia="仿宋" w:cs="Times New Roman"/>
          <w:b/>
          <w:bCs/>
          <w:color w:val="auto"/>
          <w:kern w:val="0"/>
          <w:sz w:val="28"/>
          <w:szCs w:val="32"/>
          <w:highlight w:val="none"/>
          <w:lang w:val="en-US" w:eastAsia="zh-CN" w:bidi="ar-SA"/>
        </w:rPr>
        <w:t>条</w:t>
      </w:r>
      <w:r>
        <w:rPr>
          <w:rFonts w:hint="eastAsia" w:ascii="仿宋" w:hAnsi="仿宋" w:eastAsia="仿宋" w:cs="Times New Roman"/>
          <w:b/>
          <w:bCs/>
          <w:color w:val="auto"/>
          <w:kern w:val="0"/>
          <w:sz w:val="28"/>
          <w:szCs w:val="32"/>
          <w:highlight w:val="none"/>
          <w:lang w:val="en-US" w:eastAsia="zh-CN" w:bidi="ar-SA"/>
        </w:rPr>
        <w:tab/>
      </w:r>
      <w:r>
        <w:rPr>
          <w:rFonts w:hint="eastAsia" w:ascii="仿宋" w:hAnsi="仿宋" w:eastAsia="仿宋" w:cs="Times New Roman"/>
          <w:b/>
          <w:bCs/>
          <w:color w:val="auto"/>
          <w:kern w:val="0"/>
          <w:sz w:val="28"/>
          <w:szCs w:val="32"/>
          <w:highlight w:val="none"/>
          <w:lang w:val="en-US" w:eastAsia="zh-CN" w:bidi="ar-SA"/>
        </w:rPr>
        <w:t>液位计</w:t>
      </w:r>
      <w:bookmarkEnd w:id="547"/>
    </w:p>
    <w:p w14:paraId="1485513E">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18</w:t>
      </w:r>
      <w:r>
        <w:rPr>
          <w:rFonts w:hint="eastAsia" w:ascii="仿宋" w:hAnsi="仿宋" w:eastAsia="仿宋" w:cs="Times New Roman"/>
          <w:color w:val="auto"/>
          <w:kern w:val="0"/>
          <w:sz w:val="24"/>
          <w:szCs w:val="24"/>
          <w:highlight w:val="none"/>
        </w:rPr>
        <w:t>.1液位计的选用</w:t>
      </w:r>
    </w:p>
    <w:p w14:paraId="5448987C">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本项目粗格栅井前安装液位计。乙方选购液位计前，须将拟购买之品牌及型号书面报甲方批准，并按前述批准之品牌及型号予以采购。</w:t>
      </w:r>
    </w:p>
    <w:p w14:paraId="3947776B">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18</w:t>
      </w:r>
      <w:r>
        <w:rPr>
          <w:rFonts w:hint="eastAsia" w:ascii="仿宋" w:hAnsi="仿宋" w:eastAsia="仿宋" w:cs="Times New Roman"/>
          <w:color w:val="auto"/>
          <w:kern w:val="0"/>
          <w:sz w:val="24"/>
          <w:szCs w:val="24"/>
          <w:highlight w:val="none"/>
        </w:rPr>
        <w:t>.2液位计的首检</w:t>
      </w:r>
    </w:p>
    <w:p w14:paraId="5F62129D">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每一个液位计首次应用于本项目时，都应在乙方通知甲方参加的情形下，由具备法定资质的检测机构或仪表生产厂家对液位计进行检查、检定和校准，检验合格后方能投入使用，费用由乙方承担。</w:t>
      </w:r>
    </w:p>
    <w:p w14:paraId="54B8E640">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18</w:t>
      </w:r>
      <w:r>
        <w:rPr>
          <w:rFonts w:hint="eastAsia" w:ascii="仿宋" w:hAnsi="仿宋" w:eastAsia="仿宋" w:cs="Times New Roman"/>
          <w:color w:val="auto"/>
          <w:kern w:val="0"/>
          <w:sz w:val="24"/>
          <w:szCs w:val="24"/>
          <w:highlight w:val="none"/>
        </w:rPr>
        <w:t>.3液位计的密封</w:t>
      </w:r>
    </w:p>
    <w:p w14:paraId="3F4165AD">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液位计安装应用于本项目时，应提前</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3</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日通知甲方代表参与安装实施过程；若届时甲方代表未能参加，则视为甲方已参加安装实施。液位计应被安装在密封、安全和透明的装置内，并按照甲方要求进行保护。</w:t>
      </w:r>
    </w:p>
    <w:p w14:paraId="3526B46B">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18</w:t>
      </w:r>
      <w:r>
        <w:rPr>
          <w:rFonts w:hint="eastAsia" w:ascii="仿宋" w:hAnsi="仿宋" w:eastAsia="仿宋" w:cs="Times New Roman"/>
          <w:color w:val="auto"/>
          <w:kern w:val="0"/>
          <w:sz w:val="24"/>
          <w:szCs w:val="24"/>
          <w:highlight w:val="none"/>
        </w:rPr>
        <w:t>.4 计量</w:t>
      </w:r>
    </w:p>
    <w:p w14:paraId="15BFD772">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乙方应对粗格栅入流井液位连续测量、计算和记录。本项目自单体污水处理厂开始运营日当日，液位计将在双方代表在场情况下按本项目控制液位的要求决定基数。</w:t>
      </w:r>
    </w:p>
    <w:p w14:paraId="177B9E5A">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甲方通过在线液位计计量传感装置对液位进行实时监控。若液位计计量传感装置发生故障，则在故障未排除期间，甲方有权随时到液位计安装处对液位进行监控，乙方应给予相应的配合。</w:t>
      </w:r>
    </w:p>
    <w:p w14:paraId="3E8119FD">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48" w:name="_Toc22234180"/>
      <w:r>
        <w:rPr>
          <w:rFonts w:hint="eastAsia" w:ascii="仿宋" w:hAnsi="仿宋" w:eastAsia="仿宋" w:cs="Times New Roman"/>
          <w:b/>
          <w:bCs/>
          <w:color w:val="auto"/>
          <w:kern w:val="0"/>
          <w:sz w:val="28"/>
          <w:szCs w:val="32"/>
          <w:highlight w:val="none"/>
          <w:lang w:val="en-US" w:eastAsia="zh-CN" w:bidi="ar-SA"/>
        </w:rPr>
        <w:t>第</w:t>
      </w:r>
      <w:r>
        <w:rPr>
          <w:rFonts w:ascii="仿宋" w:hAnsi="仿宋" w:eastAsia="仿宋" w:cs="Times New Roman"/>
          <w:b/>
          <w:bCs/>
          <w:color w:val="auto"/>
          <w:kern w:val="0"/>
          <w:sz w:val="28"/>
          <w:szCs w:val="32"/>
          <w:highlight w:val="none"/>
          <w:lang w:val="en-US" w:eastAsia="zh-CN" w:bidi="ar-SA"/>
        </w:rPr>
        <w:t>19</w:t>
      </w:r>
      <w:r>
        <w:rPr>
          <w:rFonts w:hint="eastAsia" w:ascii="仿宋" w:hAnsi="仿宋" w:eastAsia="仿宋" w:cs="Times New Roman"/>
          <w:b/>
          <w:bCs/>
          <w:color w:val="auto"/>
          <w:kern w:val="0"/>
          <w:sz w:val="28"/>
          <w:szCs w:val="32"/>
          <w:highlight w:val="none"/>
          <w:lang w:val="en-US" w:eastAsia="zh-CN" w:bidi="ar-SA"/>
        </w:rPr>
        <w:t>条</w:t>
      </w:r>
      <w:r>
        <w:rPr>
          <w:rFonts w:hint="eastAsia" w:ascii="仿宋" w:hAnsi="仿宋" w:eastAsia="仿宋" w:cs="Times New Roman"/>
          <w:b/>
          <w:bCs/>
          <w:color w:val="auto"/>
          <w:kern w:val="0"/>
          <w:sz w:val="28"/>
          <w:szCs w:val="32"/>
          <w:highlight w:val="none"/>
          <w:lang w:val="en-US" w:eastAsia="zh-CN" w:bidi="ar-SA"/>
        </w:rPr>
        <w:tab/>
      </w:r>
      <w:r>
        <w:rPr>
          <w:rFonts w:hint="eastAsia" w:ascii="仿宋" w:hAnsi="仿宋" w:eastAsia="仿宋" w:cs="Times New Roman"/>
          <w:b/>
          <w:bCs/>
          <w:color w:val="auto"/>
          <w:kern w:val="0"/>
          <w:sz w:val="28"/>
          <w:szCs w:val="32"/>
          <w:highlight w:val="none"/>
          <w:lang w:val="en-US" w:eastAsia="zh-CN" w:bidi="ar-SA"/>
        </w:rPr>
        <w:t>流量计计量</w:t>
      </w:r>
      <w:bookmarkEnd w:id="548"/>
    </w:p>
    <w:p w14:paraId="6360DD82">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19</w:t>
      </w:r>
      <w:r>
        <w:rPr>
          <w:rFonts w:hint="eastAsia" w:ascii="仿宋" w:hAnsi="仿宋" w:eastAsia="仿宋" w:cs="Times New Roman"/>
          <w:color w:val="auto"/>
          <w:kern w:val="0"/>
          <w:sz w:val="24"/>
          <w:szCs w:val="24"/>
          <w:highlight w:val="none"/>
        </w:rPr>
        <w:t>.1乙方应对进、出水流量连续测量、计算和记录。</w:t>
      </w:r>
    </w:p>
    <w:p w14:paraId="0778BC53">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19</w:t>
      </w:r>
      <w:r>
        <w:rPr>
          <w:rFonts w:hint="eastAsia" w:ascii="仿宋" w:hAnsi="仿宋" w:eastAsia="仿宋" w:cs="Times New Roman"/>
          <w:color w:val="auto"/>
          <w:kern w:val="0"/>
          <w:sz w:val="24"/>
          <w:szCs w:val="24"/>
          <w:highlight w:val="none"/>
        </w:rPr>
        <w:t>.2 本项目从第一个运营日起开始计量进、出水流量，每三个运营月届满期间累计流量为该季度的进、出水水量。</w:t>
      </w:r>
    </w:p>
    <w:p w14:paraId="3613FE56">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19</w:t>
      </w:r>
      <w:r>
        <w:rPr>
          <w:rFonts w:hint="eastAsia" w:ascii="仿宋" w:hAnsi="仿宋" w:eastAsia="仿宋" w:cs="Times New Roman"/>
          <w:color w:val="auto"/>
          <w:kern w:val="0"/>
          <w:sz w:val="24"/>
          <w:szCs w:val="24"/>
          <w:highlight w:val="none"/>
        </w:rPr>
        <w:t>.3 除本协议另有约定外，流量计读数不得归零。若因技术原因必须归零时，乙方应至少提前</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3</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日前书面通知甲方，流量计须在双方代表在场的情况下归零。</w:t>
      </w:r>
    </w:p>
    <w:p w14:paraId="4F9347A2">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19</w:t>
      </w:r>
      <w:r>
        <w:rPr>
          <w:rFonts w:hint="eastAsia" w:ascii="仿宋" w:hAnsi="仿宋" w:eastAsia="仿宋" w:cs="Times New Roman"/>
          <w:color w:val="auto"/>
          <w:kern w:val="0"/>
          <w:sz w:val="24"/>
          <w:szCs w:val="24"/>
          <w:highlight w:val="none"/>
        </w:rPr>
        <w:t>.4实测水量</w:t>
      </w:r>
    </w:p>
    <w:p w14:paraId="2F3EA831">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19</w:t>
      </w:r>
      <w:r>
        <w:rPr>
          <w:rFonts w:hint="eastAsia" w:ascii="仿宋" w:hAnsi="仿宋" w:eastAsia="仿宋" w:cs="Times New Roman"/>
          <w:color w:val="auto"/>
          <w:kern w:val="0"/>
          <w:sz w:val="24"/>
          <w:szCs w:val="24"/>
          <w:highlight w:val="none"/>
        </w:rPr>
        <w:t>.4.1实测水量以出水流量计读数为准。若进水流量计读数低于出水流量计读数，则实测水量以进水流量计读数为准。</w:t>
      </w:r>
    </w:p>
    <w:p w14:paraId="321AB70E">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19</w:t>
      </w:r>
      <w:r>
        <w:rPr>
          <w:rFonts w:hint="eastAsia" w:ascii="仿宋" w:hAnsi="仿宋" w:eastAsia="仿宋" w:cs="Times New Roman"/>
          <w:color w:val="auto"/>
          <w:kern w:val="0"/>
          <w:sz w:val="24"/>
          <w:szCs w:val="24"/>
          <w:highlight w:val="none"/>
        </w:rPr>
        <w:t>.4.2若进水流量计读数和出水流量计读数存在明显差异，则尽快检修流量计，实测水量以前</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30</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日的平均实测水量为准。</w:t>
      </w:r>
    </w:p>
    <w:p w14:paraId="227C03F8">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19</w:t>
      </w:r>
      <w:r>
        <w:rPr>
          <w:rFonts w:hint="eastAsia" w:ascii="仿宋" w:hAnsi="仿宋" w:eastAsia="仿宋" w:cs="Times New Roman"/>
          <w:color w:val="auto"/>
          <w:kern w:val="0"/>
          <w:sz w:val="24"/>
          <w:szCs w:val="24"/>
          <w:highlight w:val="none"/>
        </w:rPr>
        <w:t>.4.</w:t>
      </w:r>
      <w:r>
        <w:rPr>
          <w:rFonts w:hint="default" w:ascii="仿宋" w:hAnsi="仿宋" w:eastAsia="仿宋" w:cs="Times New Roman"/>
          <w:color w:val="auto"/>
          <w:kern w:val="0"/>
          <w:sz w:val="24"/>
          <w:szCs w:val="24"/>
          <w:highlight w:val="none"/>
        </w:rPr>
        <w:t>3</w:t>
      </w:r>
      <w:r>
        <w:rPr>
          <w:rFonts w:hint="eastAsia" w:ascii="仿宋" w:hAnsi="仿宋" w:eastAsia="仿宋" w:cs="Times New Roman"/>
          <w:color w:val="auto"/>
          <w:kern w:val="0"/>
          <w:sz w:val="24"/>
          <w:szCs w:val="24"/>
          <w:highlight w:val="none"/>
        </w:rPr>
        <w:t>若出水流量计因不具备工作条件或发生故障等情况暂时不能正常工作时，实测水量以本条所述故障发生之日前</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30</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个运营日内平均实测水量为准；乙方应尽量按本协议第2</w:t>
      </w:r>
      <w:r>
        <w:rPr>
          <w:rFonts w:hint="default" w:ascii="仿宋" w:hAnsi="仿宋" w:eastAsia="仿宋" w:cs="Times New Roman"/>
          <w:color w:val="auto"/>
          <w:kern w:val="0"/>
          <w:sz w:val="24"/>
          <w:szCs w:val="24"/>
          <w:highlight w:val="none"/>
        </w:rPr>
        <w:t>1</w:t>
      </w:r>
      <w:r>
        <w:rPr>
          <w:rFonts w:hint="eastAsia" w:ascii="仿宋" w:hAnsi="仿宋" w:eastAsia="仿宋" w:cs="Times New Roman"/>
          <w:color w:val="auto"/>
          <w:kern w:val="0"/>
          <w:sz w:val="24"/>
          <w:szCs w:val="24"/>
          <w:highlight w:val="none"/>
        </w:rPr>
        <w:t>.5款约定的时间内完成出水流量计的修复，若因乙方原因未能按时完成修复的，则实测水量以</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进水流量计读数</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为准。</w:t>
      </w:r>
    </w:p>
    <w:p w14:paraId="2E91A865">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19</w:t>
      </w:r>
      <w:r>
        <w:rPr>
          <w:rFonts w:hint="eastAsia" w:ascii="仿宋" w:hAnsi="仿宋" w:eastAsia="仿宋" w:cs="Times New Roman"/>
          <w:color w:val="auto"/>
          <w:kern w:val="0"/>
          <w:sz w:val="24"/>
          <w:szCs w:val="24"/>
          <w:highlight w:val="none"/>
        </w:rPr>
        <w:t>.5本协议生效后，</w:t>
      </w:r>
      <w:r>
        <w:rPr>
          <w:rFonts w:hint="eastAsia" w:ascii="仿宋" w:hAnsi="仿宋" w:eastAsia="仿宋" w:cs="Times New Roman"/>
          <w:color w:val="auto"/>
          <w:kern w:val="0"/>
          <w:sz w:val="24"/>
          <w:szCs w:val="24"/>
          <w:highlight w:val="none"/>
          <w:lang w:eastAsia="zh-CN"/>
        </w:rPr>
        <w:t>甲乙双方</w:t>
      </w:r>
      <w:r>
        <w:rPr>
          <w:rFonts w:hint="eastAsia" w:ascii="仿宋" w:hAnsi="仿宋" w:eastAsia="仿宋" w:cs="Times New Roman"/>
          <w:color w:val="auto"/>
          <w:kern w:val="0"/>
          <w:sz w:val="24"/>
          <w:szCs w:val="24"/>
          <w:highlight w:val="none"/>
        </w:rPr>
        <w:t>应于</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7</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日内，联合在进、出水水量计量点对进、出水流量计的读数进行记录并经双方签字确认。如任何一方未参加上述日期的共同读数，另一方可单独读数，并在读数记录单上签字，如该读数未有相反证据证明明显不属实，该读数记录单被视为已得到未参加方的认可。</w:t>
      </w:r>
    </w:p>
    <w:p w14:paraId="12202695">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19</w:t>
      </w:r>
      <w:r>
        <w:rPr>
          <w:rFonts w:hint="eastAsia" w:ascii="仿宋" w:hAnsi="仿宋" w:eastAsia="仿宋" w:cs="Times New Roman"/>
          <w:color w:val="auto"/>
          <w:kern w:val="0"/>
          <w:sz w:val="24"/>
          <w:szCs w:val="24"/>
          <w:highlight w:val="none"/>
        </w:rPr>
        <w:t>.6乙方应在发现进、出水流量计不能正常工作或接到甲方通知后立即委托有资质的机构进行维修及校准，并应在本协议第</w:t>
      </w:r>
      <w:r>
        <w:rPr>
          <w:rFonts w:hint="default" w:ascii="仿宋" w:hAnsi="仿宋" w:eastAsia="仿宋" w:cs="Times New Roman"/>
          <w:color w:val="auto"/>
          <w:kern w:val="0"/>
          <w:sz w:val="24"/>
          <w:szCs w:val="24"/>
          <w:highlight w:val="none"/>
        </w:rPr>
        <w:t>21</w:t>
      </w:r>
      <w:r>
        <w:rPr>
          <w:rFonts w:hint="eastAsia" w:ascii="仿宋" w:hAnsi="仿宋" w:eastAsia="仿宋" w:cs="Times New Roman"/>
          <w:color w:val="auto"/>
          <w:kern w:val="0"/>
          <w:sz w:val="24"/>
          <w:szCs w:val="24"/>
          <w:highlight w:val="none"/>
        </w:rPr>
        <w:t>.5款约定的时间内完成维修及校准工作。</w:t>
      </w:r>
    </w:p>
    <w:p w14:paraId="2FD65819">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19</w:t>
      </w:r>
      <w:r>
        <w:rPr>
          <w:rFonts w:hint="eastAsia" w:ascii="仿宋" w:hAnsi="仿宋" w:eastAsia="仿宋" w:cs="Times New Roman"/>
          <w:color w:val="auto"/>
          <w:kern w:val="0"/>
          <w:sz w:val="24"/>
          <w:szCs w:val="24"/>
          <w:highlight w:val="none"/>
        </w:rPr>
        <w:t>.7在整个</w:t>
      </w:r>
      <w:r>
        <w:rPr>
          <w:rFonts w:hint="eastAsia" w:ascii="仿宋" w:hAnsi="仿宋" w:eastAsia="仿宋" w:cs="Times New Roman"/>
          <w:color w:val="auto"/>
          <w:kern w:val="0"/>
          <w:sz w:val="24"/>
          <w:szCs w:val="24"/>
          <w:highlight w:val="none"/>
          <w:lang w:val="en-US" w:eastAsia="zh-CN"/>
        </w:rPr>
        <w:t>特许经营</w:t>
      </w:r>
      <w:r>
        <w:rPr>
          <w:rFonts w:hint="eastAsia" w:ascii="仿宋" w:hAnsi="仿宋" w:eastAsia="仿宋" w:cs="Times New Roman"/>
          <w:color w:val="auto"/>
          <w:kern w:val="0"/>
          <w:sz w:val="24"/>
          <w:szCs w:val="24"/>
          <w:highlight w:val="none"/>
        </w:rPr>
        <w:t>期内，以后重置或新增的进、出水流量计应按本协议第1</w:t>
      </w:r>
      <w:r>
        <w:rPr>
          <w:rFonts w:hint="default" w:ascii="仿宋" w:hAnsi="仿宋" w:eastAsia="仿宋" w:cs="Times New Roman"/>
          <w:color w:val="auto"/>
          <w:kern w:val="0"/>
          <w:sz w:val="24"/>
          <w:szCs w:val="24"/>
          <w:highlight w:val="none"/>
        </w:rPr>
        <w:t>7</w:t>
      </w:r>
      <w:r>
        <w:rPr>
          <w:rFonts w:hint="eastAsia" w:ascii="仿宋" w:hAnsi="仿宋" w:eastAsia="仿宋" w:cs="Times New Roman"/>
          <w:color w:val="auto"/>
          <w:kern w:val="0"/>
          <w:sz w:val="24"/>
          <w:szCs w:val="24"/>
          <w:highlight w:val="none"/>
        </w:rPr>
        <w:t>条的约定操作。</w:t>
      </w:r>
    </w:p>
    <w:p w14:paraId="32945D98">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19</w:t>
      </w:r>
      <w:r>
        <w:rPr>
          <w:rFonts w:hint="eastAsia" w:ascii="仿宋" w:hAnsi="仿宋" w:eastAsia="仿宋" w:cs="Times New Roman"/>
          <w:color w:val="auto"/>
          <w:kern w:val="0"/>
          <w:sz w:val="24"/>
          <w:szCs w:val="24"/>
          <w:highlight w:val="none"/>
        </w:rPr>
        <w:t>.8 若甲方、乙方任何一方对污水流量计计量水量记录数据存在异议，异议方应向对方发出书面异议通知。双方应于收到通知后5个工作日内共同现场核查仪表运行、封印及历史计量记录，协商处理。协商不成的，双方共同委托具备计量检定资质的第三方机构检定，检定结论为计量争议认定依据。流量计误差超标的，检定费由仪表管护方承担；误差合格的，检定费由异议提出方承担。争议期间暂按原计量数据结算污水处理费，待检定结论出具后，对争议时段费用予以多退少补。若双方无法就第三方检定安排或检定后处理达成一致，则按照《特许经营协议》第 63 条约定的争议解决机制予以解决。</w:t>
      </w:r>
    </w:p>
    <w:p w14:paraId="7427B3DF">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19.9</w:t>
      </w:r>
      <w:r>
        <w:rPr>
          <w:rFonts w:hint="eastAsia" w:ascii="仿宋" w:hAnsi="仿宋" w:eastAsia="仿宋" w:cs="Times New Roman"/>
          <w:color w:val="auto"/>
          <w:kern w:val="2"/>
          <w:sz w:val="24"/>
          <w:highlight w:val="none"/>
        </w:rPr>
        <w:t>若</w:t>
      </w:r>
      <w:r>
        <w:rPr>
          <w:rFonts w:hint="eastAsia" w:ascii="仿宋" w:hAnsi="仿宋" w:eastAsia="仿宋" w:cs="Times New Roman"/>
          <w:color w:val="auto"/>
          <w:kern w:val="0"/>
          <w:sz w:val="24"/>
          <w:szCs w:val="24"/>
          <w:highlight w:val="none"/>
        </w:rPr>
        <w:t>进水流量</w:t>
      </w:r>
      <w:r>
        <w:rPr>
          <w:rFonts w:hint="eastAsia" w:ascii="仿宋" w:hAnsi="仿宋" w:eastAsia="仿宋" w:cs="Times New Roman"/>
          <w:color w:val="auto"/>
          <w:kern w:val="2"/>
          <w:sz w:val="24"/>
          <w:highlight w:val="none"/>
        </w:rPr>
        <w:t>超过设计能力，但不足设计能力的</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110</w:t>
      </w:r>
      <w:r>
        <w:rPr>
          <w:rFonts w:hint="eastAsia" w:ascii="仿宋" w:hAnsi="仿宋" w:eastAsia="仿宋" w:cs="Times New Roman"/>
          <w:color w:val="auto"/>
          <w:kern w:val="0"/>
          <w:sz w:val="24"/>
          <w:szCs w:val="24"/>
          <w:highlight w:val="none"/>
          <w:u w:val="single"/>
        </w:rPr>
        <w:t xml:space="preserve"> </w:t>
      </w:r>
      <w:r>
        <w:rPr>
          <w:rFonts w:hint="default" w:ascii="仿宋" w:hAnsi="仿宋" w:eastAsia="仿宋" w:cs="Times New Roman"/>
          <w:color w:val="auto"/>
          <w:kern w:val="2"/>
          <w:sz w:val="24"/>
          <w:highlight w:val="none"/>
        </w:rPr>
        <w:t>%</w:t>
      </w:r>
      <w:r>
        <w:rPr>
          <w:rFonts w:hint="eastAsia" w:ascii="仿宋" w:hAnsi="仿宋" w:eastAsia="仿宋" w:cs="Times New Roman"/>
          <w:color w:val="auto"/>
          <w:kern w:val="2"/>
          <w:sz w:val="24"/>
          <w:highlight w:val="none"/>
        </w:rPr>
        <w:t>时，乙方应按照污水排放标准进行污水处理，污水处理服务费按照正常情况下的计费方式计算；若进水流量超过设计能力的</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120</w:t>
      </w:r>
      <w:r>
        <w:rPr>
          <w:rFonts w:hint="eastAsia" w:ascii="仿宋" w:hAnsi="仿宋" w:eastAsia="仿宋" w:cs="Times New Roman"/>
          <w:color w:val="auto"/>
          <w:kern w:val="0"/>
          <w:sz w:val="24"/>
          <w:szCs w:val="24"/>
          <w:highlight w:val="none"/>
          <w:u w:val="single"/>
        </w:rPr>
        <w:t xml:space="preserve"> </w:t>
      </w:r>
      <w:r>
        <w:rPr>
          <w:rFonts w:hint="default" w:ascii="仿宋" w:hAnsi="仿宋" w:eastAsia="仿宋" w:cs="Times New Roman"/>
          <w:color w:val="auto"/>
          <w:kern w:val="2"/>
          <w:sz w:val="24"/>
          <w:highlight w:val="none"/>
        </w:rPr>
        <w:t>%</w:t>
      </w:r>
      <w:r>
        <w:rPr>
          <w:rFonts w:hint="eastAsia" w:ascii="仿宋" w:hAnsi="仿宋" w:eastAsia="仿宋" w:cs="Times New Roman"/>
          <w:color w:val="auto"/>
          <w:kern w:val="2"/>
          <w:sz w:val="24"/>
          <w:highlight w:val="none"/>
        </w:rPr>
        <w:t>，乙方应尽最大能力处理超出部分后方可排放，对超出部分的污水处理付费事宜，届时由双方协商予以确定。</w:t>
      </w:r>
    </w:p>
    <w:p w14:paraId="3B070314">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49" w:name="_Toc22234181"/>
      <w:r>
        <w:rPr>
          <w:rFonts w:hint="eastAsia" w:ascii="仿宋" w:hAnsi="仿宋" w:eastAsia="仿宋" w:cs="Times New Roman"/>
          <w:b/>
          <w:bCs/>
          <w:color w:val="auto"/>
          <w:kern w:val="0"/>
          <w:sz w:val="28"/>
          <w:szCs w:val="32"/>
          <w:highlight w:val="none"/>
          <w:lang w:val="en-US" w:eastAsia="zh-CN" w:bidi="ar-SA"/>
        </w:rPr>
        <w:t>第2</w:t>
      </w:r>
      <w:r>
        <w:rPr>
          <w:rFonts w:ascii="仿宋" w:hAnsi="仿宋" w:eastAsia="仿宋" w:cs="Times New Roman"/>
          <w:b/>
          <w:bCs/>
          <w:color w:val="auto"/>
          <w:kern w:val="0"/>
          <w:sz w:val="28"/>
          <w:szCs w:val="32"/>
          <w:highlight w:val="none"/>
          <w:lang w:val="en-US" w:eastAsia="zh-CN" w:bidi="ar-SA"/>
        </w:rPr>
        <w:t>0</w:t>
      </w:r>
      <w:r>
        <w:rPr>
          <w:rFonts w:hint="eastAsia" w:ascii="仿宋" w:hAnsi="仿宋" w:eastAsia="仿宋" w:cs="Times New Roman"/>
          <w:b/>
          <w:bCs/>
          <w:color w:val="auto"/>
          <w:kern w:val="0"/>
          <w:sz w:val="28"/>
          <w:szCs w:val="32"/>
          <w:highlight w:val="none"/>
          <w:lang w:val="en-US" w:eastAsia="zh-CN" w:bidi="ar-SA"/>
        </w:rPr>
        <w:t>条</w:t>
      </w:r>
      <w:r>
        <w:rPr>
          <w:rFonts w:hint="eastAsia" w:ascii="仿宋" w:hAnsi="仿宋" w:eastAsia="仿宋" w:cs="Times New Roman"/>
          <w:b/>
          <w:bCs/>
          <w:color w:val="auto"/>
          <w:kern w:val="0"/>
          <w:sz w:val="28"/>
          <w:szCs w:val="32"/>
          <w:highlight w:val="none"/>
          <w:lang w:val="en-US" w:eastAsia="zh-CN" w:bidi="ar-SA"/>
        </w:rPr>
        <w:tab/>
      </w:r>
      <w:r>
        <w:rPr>
          <w:rFonts w:hint="eastAsia" w:ascii="仿宋" w:hAnsi="仿宋" w:eastAsia="仿宋" w:cs="Times New Roman"/>
          <w:b/>
          <w:bCs/>
          <w:color w:val="auto"/>
          <w:kern w:val="0"/>
          <w:sz w:val="28"/>
          <w:szCs w:val="32"/>
          <w:highlight w:val="none"/>
          <w:lang w:val="en-US" w:eastAsia="zh-CN" w:bidi="ar-SA"/>
        </w:rPr>
        <w:t>液位控制</w:t>
      </w:r>
      <w:bookmarkEnd w:id="549"/>
    </w:p>
    <w:p w14:paraId="4986FAD8">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w:t>
      </w:r>
      <w:r>
        <w:rPr>
          <w:rFonts w:hint="default" w:ascii="仿宋" w:hAnsi="仿宋" w:eastAsia="仿宋" w:cs="Times New Roman"/>
          <w:color w:val="auto"/>
          <w:kern w:val="0"/>
          <w:sz w:val="24"/>
          <w:szCs w:val="24"/>
          <w:highlight w:val="none"/>
        </w:rPr>
        <w:t>0</w:t>
      </w:r>
      <w:r>
        <w:rPr>
          <w:rFonts w:hint="eastAsia" w:ascii="仿宋" w:hAnsi="仿宋" w:eastAsia="仿宋" w:cs="Times New Roman"/>
          <w:color w:val="auto"/>
          <w:kern w:val="0"/>
          <w:sz w:val="24"/>
          <w:szCs w:val="24"/>
          <w:highlight w:val="none"/>
        </w:rPr>
        <w:t>.1乙方应按甲方的要求进行液位控制。项目运营期内每日粗格栅入流井液位低于控制液位累计时间不少于</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2</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小时。除非：</w:t>
      </w:r>
    </w:p>
    <w:p w14:paraId="40A977D6">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w:t>
      </w:r>
      <w:r>
        <w:rPr>
          <w:rFonts w:hint="default" w:ascii="仿宋" w:hAnsi="仿宋" w:eastAsia="仿宋" w:cs="Times New Roman"/>
          <w:color w:val="auto"/>
          <w:kern w:val="0"/>
          <w:sz w:val="24"/>
          <w:szCs w:val="24"/>
          <w:highlight w:val="none"/>
        </w:rPr>
        <w:t>0</w:t>
      </w:r>
      <w:r>
        <w:rPr>
          <w:rFonts w:hint="eastAsia" w:ascii="仿宋" w:hAnsi="仿宋" w:eastAsia="仿宋" w:cs="Times New Roman"/>
          <w:color w:val="auto"/>
          <w:kern w:val="0"/>
          <w:sz w:val="24"/>
          <w:szCs w:val="24"/>
          <w:highlight w:val="none"/>
        </w:rPr>
        <w:t>.1.1实测水量达到设计水量；</w:t>
      </w:r>
    </w:p>
    <w:p w14:paraId="77FCBC87">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w:t>
      </w:r>
      <w:r>
        <w:rPr>
          <w:rFonts w:hint="default" w:ascii="仿宋" w:hAnsi="仿宋" w:eastAsia="仿宋" w:cs="Times New Roman"/>
          <w:color w:val="auto"/>
          <w:kern w:val="0"/>
          <w:sz w:val="24"/>
          <w:szCs w:val="24"/>
          <w:highlight w:val="none"/>
        </w:rPr>
        <w:t>0</w:t>
      </w:r>
      <w:r>
        <w:rPr>
          <w:rFonts w:hint="eastAsia" w:ascii="仿宋" w:hAnsi="仿宋" w:eastAsia="仿宋" w:cs="Times New Roman"/>
          <w:color w:val="auto"/>
          <w:kern w:val="0"/>
          <w:sz w:val="24"/>
          <w:szCs w:val="24"/>
          <w:highlight w:val="none"/>
        </w:rPr>
        <w:t>.1.2在发生计划内暂停以及本协议第</w:t>
      </w:r>
      <w:r>
        <w:rPr>
          <w:rFonts w:hint="default" w:ascii="仿宋" w:hAnsi="仿宋" w:eastAsia="仿宋" w:cs="Times New Roman"/>
          <w:color w:val="auto"/>
          <w:kern w:val="0"/>
          <w:sz w:val="24"/>
          <w:szCs w:val="24"/>
          <w:highlight w:val="none"/>
        </w:rPr>
        <w:t>26</w:t>
      </w:r>
      <w:r>
        <w:rPr>
          <w:rFonts w:hint="eastAsia" w:ascii="仿宋" w:hAnsi="仿宋" w:eastAsia="仿宋" w:cs="Times New Roman"/>
          <w:color w:val="auto"/>
          <w:kern w:val="0"/>
          <w:sz w:val="24"/>
          <w:szCs w:val="24"/>
          <w:highlight w:val="none"/>
        </w:rPr>
        <w:t>.</w:t>
      </w:r>
      <w:r>
        <w:rPr>
          <w:rFonts w:hint="eastAsia" w:ascii="仿宋" w:hAnsi="仿宋" w:eastAsia="仿宋" w:cs="Times New Roman"/>
          <w:color w:val="auto"/>
          <w:kern w:val="0"/>
          <w:sz w:val="24"/>
          <w:szCs w:val="24"/>
          <w:highlight w:val="none"/>
          <w:lang w:eastAsia="zh-CN"/>
        </w:rPr>
        <w:t>1</w:t>
      </w:r>
      <w:r>
        <w:rPr>
          <w:rFonts w:hint="eastAsia" w:ascii="仿宋" w:hAnsi="仿宋" w:eastAsia="仿宋" w:cs="Times New Roman"/>
          <w:color w:val="auto"/>
          <w:kern w:val="0"/>
          <w:sz w:val="24"/>
          <w:szCs w:val="24"/>
          <w:highlight w:val="none"/>
        </w:rPr>
        <w:t>款和第</w:t>
      </w:r>
      <w:r>
        <w:rPr>
          <w:rFonts w:hint="default" w:ascii="仿宋" w:hAnsi="仿宋" w:eastAsia="仿宋" w:cs="Times New Roman"/>
          <w:color w:val="auto"/>
          <w:kern w:val="0"/>
          <w:sz w:val="24"/>
          <w:szCs w:val="24"/>
          <w:highlight w:val="none"/>
        </w:rPr>
        <w:t>26</w:t>
      </w:r>
      <w:r>
        <w:rPr>
          <w:rFonts w:hint="eastAsia" w:ascii="仿宋" w:hAnsi="仿宋" w:eastAsia="仿宋" w:cs="Times New Roman"/>
          <w:color w:val="auto"/>
          <w:kern w:val="0"/>
          <w:sz w:val="24"/>
          <w:szCs w:val="24"/>
          <w:highlight w:val="none"/>
        </w:rPr>
        <w:t>.2款约定之计划外暂停的部分暂停时，实测水量超过剩余设计水量；</w:t>
      </w:r>
    </w:p>
    <w:p w14:paraId="0F2CBFFB">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w:t>
      </w:r>
      <w:r>
        <w:rPr>
          <w:rFonts w:hint="default" w:ascii="仿宋" w:hAnsi="仿宋" w:eastAsia="仿宋" w:cs="Times New Roman"/>
          <w:color w:val="auto"/>
          <w:kern w:val="0"/>
          <w:sz w:val="24"/>
          <w:szCs w:val="24"/>
          <w:highlight w:val="none"/>
        </w:rPr>
        <w:t>0</w:t>
      </w:r>
      <w:r>
        <w:rPr>
          <w:rFonts w:hint="eastAsia" w:ascii="仿宋" w:hAnsi="仿宋" w:eastAsia="仿宋" w:cs="Times New Roman"/>
          <w:color w:val="auto"/>
          <w:kern w:val="0"/>
          <w:sz w:val="24"/>
          <w:szCs w:val="24"/>
          <w:highlight w:val="none"/>
        </w:rPr>
        <w:t>.2甲方确定的警戒液位为管顶标高以上</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0.7</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米。当粗格栅入流井液位超越警戒液位时，乙方应于</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15</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分钟内通知甲方。</w:t>
      </w:r>
    </w:p>
    <w:p w14:paraId="41DF3801">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w:t>
      </w:r>
      <w:r>
        <w:rPr>
          <w:rFonts w:hint="default" w:ascii="仿宋" w:hAnsi="仿宋" w:eastAsia="仿宋" w:cs="Times New Roman"/>
          <w:color w:val="auto"/>
          <w:kern w:val="0"/>
          <w:sz w:val="24"/>
          <w:szCs w:val="24"/>
          <w:highlight w:val="none"/>
        </w:rPr>
        <w:t>0</w:t>
      </w:r>
      <w:r>
        <w:rPr>
          <w:rFonts w:hint="eastAsia" w:ascii="仿宋" w:hAnsi="仿宋" w:eastAsia="仿宋" w:cs="Times New Roman"/>
          <w:color w:val="auto"/>
          <w:kern w:val="0"/>
          <w:sz w:val="24"/>
          <w:szCs w:val="24"/>
          <w:highlight w:val="none"/>
        </w:rPr>
        <w:t>.3特许经营期内，甲方有权根据届时污水处理厂收集范围的变化和污水处理厂实际运行情况对控制液位和警戒液位做调整，并书面通知乙方。乙方在收到该书面通知后应立即参照本协议第2</w:t>
      </w:r>
      <w:r>
        <w:rPr>
          <w:rFonts w:hint="default" w:ascii="仿宋" w:hAnsi="仿宋" w:eastAsia="仿宋" w:cs="Times New Roman"/>
          <w:color w:val="auto"/>
          <w:kern w:val="0"/>
          <w:sz w:val="24"/>
          <w:szCs w:val="24"/>
          <w:highlight w:val="none"/>
        </w:rPr>
        <w:t>0</w:t>
      </w:r>
      <w:r>
        <w:rPr>
          <w:rFonts w:hint="eastAsia" w:ascii="仿宋" w:hAnsi="仿宋" w:eastAsia="仿宋" w:cs="Times New Roman"/>
          <w:color w:val="auto"/>
          <w:kern w:val="0"/>
          <w:sz w:val="24"/>
          <w:szCs w:val="24"/>
          <w:highlight w:val="none"/>
        </w:rPr>
        <w:t>.1款的约定来执行新的控制液位和警戒液位。</w:t>
      </w:r>
    </w:p>
    <w:p w14:paraId="29EC8E17">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w:t>
      </w:r>
      <w:r>
        <w:rPr>
          <w:rFonts w:hint="default" w:ascii="仿宋" w:hAnsi="仿宋" w:eastAsia="仿宋" w:cs="Times New Roman"/>
          <w:color w:val="auto"/>
          <w:kern w:val="0"/>
          <w:sz w:val="24"/>
          <w:szCs w:val="24"/>
          <w:highlight w:val="none"/>
        </w:rPr>
        <w:t>0</w:t>
      </w:r>
      <w:r>
        <w:rPr>
          <w:rFonts w:hint="eastAsia" w:ascii="仿宋" w:hAnsi="仿宋" w:eastAsia="仿宋" w:cs="Times New Roman"/>
          <w:color w:val="auto"/>
          <w:kern w:val="0"/>
          <w:sz w:val="24"/>
          <w:szCs w:val="24"/>
          <w:highlight w:val="none"/>
        </w:rPr>
        <w:t>.4考虑到整体管理的需要，当出现本协议第2</w:t>
      </w:r>
      <w:r>
        <w:rPr>
          <w:rFonts w:hint="default" w:ascii="仿宋" w:hAnsi="仿宋" w:eastAsia="仿宋" w:cs="Times New Roman"/>
          <w:color w:val="auto"/>
          <w:kern w:val="0"/>
          <w:sz w:val="24"/>
          <w:szCs w:val="24"/>
          <w:highlight w:val="none"/>
        </w:rPr>
        <w:t>0</w:t>
      </w:r>
      <w:r>
        <w:rPr>
          <w:rFonts w:hint="eastAsia" w:ascii="仿宋" w:hAnsi="仿宋" w:eastAsia="仿宋" w:cs="Times New Roman"/>
          <w:color w:val="auto"/>
          <w:kern w:val="0"/>
          <w:sz w:val="24"/>
          <w:szCs w:val="24"/>
          <w:highlight w:val="none"/>
        </w:rPr>
        <w:t>.1.1款、第2</w:t>
      </w:r>
      <w:r>
        <w:rPr>
          <w:rFonts w:hint="default" w:ascii="仿宋" w:hAnsi="仿宋" w:eastAsia="仿宋" w:cs="Times New Roman"/>
          <w:color w:val="auto"/>
          <w:kern w:val="0"/>
          <w:sz w:val="24"/>
          <w:szCs w:val="24"/>
          <w:highlight w:val="none"/>
        </w:rPr>
        <w:t>0</w:t>
      </w:r>
      <w:r>
        <w:rPr>
          <w:rFonts w:hint="eastAsia" w:ascii="仿宋" w:hAnsi="仿宋" w:eastAsia="仿宋" w:cs="Times New Roman"/>
          <w:color w:val="auto"/>
          <w:kern w:val="0"/>
          <w:sz w:val="24"/>
          <w:szCs w:val="24"/>
          <w:highlight w:val="none"/>
        </w:rPr>
        <w:t>.1.2款约定之情形时，甲方仍然可要求乙方按照要求进行液位控制，乙方应及时执行。由此产生的相关问题及事项，届时由双方协商确定。</w:t>
      </w:r>
    </w:p>
    <w:p w14:paraId="6AC99B9C">
      <w:pPr>
        <w:spacing w:line="480" w:lineRule="auto"/>
        <w:ind w:firstLine="424" w:firstLineChars="177"/>
        <w:rPr>
          <w:rFonts w:hint="eastAsia"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w:t>
      </w:r>
      <w:r>
        <w:rPr>
          <w:rFonts w:hint="default" w:ascii="仿宋" w:hAnsi="仿宋" w:eastAsia="仿宋" w:cs="Times New Roman"/>
          <w:color w:val="auto"/>
          <w:kern w:val="0"/>
          <w:sz w:val="24"/>
          <w:szCs w:val="24"/>
          <w:highlight w:val="none"/>
        </w:rPr>
        <w:t>0</w:t>
      </w:r>
      <w:r>
        <w:rPr>
          <w:rFonts w:hint="eastAsia" w:ascii="仿宋" w:hAnsi="仿宋" w:eastAsia="仿宋" w:cs="Times New Roman"/>
          <w:color w:val="auto"/>
          <w:kern w:val="0"/>
          <w:sz w:val="24"/>
          <w:szCs w:val="24"/>
          <w:highlight w:val="none"/>
        </w:rPr>
        <w:t>.5若乙方违反本协议第2</w:t>
      </w:r>
      <w:r>
        <w:rPr>
          <w:rFonts w:hint="default" w:ascii="仿宋" w:hAnsi="仿宋" w:eastAsia="仿宋" w:cs="Times New Roman"/>
          <w:color w:val="auto"/>
          <w:kern w:val="0"/>
          <w:sz w:val="24"/>
          <w:szCs w:val="24"/>
          <w:highlight w:val="none"/>
        </w:rPr>
        <w:t>0</w:t>
      </w:r>
      <w:r>
        <w:rPr>
          <w:rFonts w:hint="eastAsia" w:ascii="仿宋" w:hAnsi="仿宋" w:eastAsia="仿宋" w:cs="Times New Roman"/>
          <w:color w:val="auto"/>
          <w:kern w:val="0"/>
          <w:sz w:val="24"/>
          <w:szCs w:val="24"/>
          <w:highlight w:val="none"/>
        </w:rPr>
        <w:t>.1款的约定，乙方应当自甲方发出整改通知之时</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24</w:t>
      </w:r>
      <w:r>
        <w:rPr>
          <w:rFonts w:hint="eastAsia" w:ascii="仿宋" w:hAnsi="仿宋" w:eastAsia="仿宋" w:cs="Times New Roman"/>
          <w:color w:val="auto"/>
          <w:kern w:val="0"/>
          <w:sz w:val="24"/>
          <w:szCs w:val="24"/>
          <w:highlight w:val="none"/>
          <w:u w:val="single"/>
        </w:rPr>
        <w:t xml:space="preserve"> </w:t>
      </w:r>
      <w:r>
        <w:rPr>
          <w:rFonts w:hint="default" w:ascii="仿宋" w:hAnsi="仿宋" w:eastAsia="仿宋" w:cs="Times New Roman"/>
          <w:color w:val="auto"/>
          <w:kern w:val="0"/>
          <w:sz w:val="24"/>
          <w:szCs w:val="24"/>
          <w:highlight w:val="none"/>
        </w:rPr>
        <w:t>小时内恢复到控制液位以下</w:t>
      </w:r>
      <w:r>
        <w:rPr>
          <w:rFonts w:hint="eastAsia" w:ascii="仿宋" w:hAnsi="仿宋" w:eastAsia="仿宋" w:cs="Times New Roman"/>
          <w:color w:val="auto"/>
          <w:kern w:val="0"/>
          <w:sz w:val="24"/>
          <w:szCs w:val="24"/>
          <w:highlight w:val="none"/>
        </w:rPr>
        <w:t>；</w:t>
      </w:r>
      <w:r>
        <w:rPr>
          <w:rFonts w:hint="default" w:ascii="仿宋" w:hAnsi="仿宋" w:eastAsia="仿宋" w:cs="Times New Roman"/>
          <w:color w:val="auto"/>
          <w:kern w:val="0"/>
          <w:sz w:val="24"/>
          <w:szCs w:val="24"/>
          <w:highlight w:val="none"/>
        </w:rPr>
        <w:t xml:space="preserve">若乙方违反本协议第20.2 </w:t>
      </w:r>
      <w:r>
        <w:rPr>
          <w:rFonts w:hint="eastAsia" w:ascii="仿宋" w:hAnsi="仿宋" w:eastAsia="仿宋" w:cs="Times New Roman"/>
          <w:color w:val="auto"/>
          <w:kern w:val="0"/>
          <w:sz w:val="24"/>
          <w:szCs w:val="24"/>
          <w:highlight w:val="none"/>
        </w:rPr>
        <w:t>款</w:t>
      </w:r>
      <w:r>
        <w:rPr>
          <w:rFonts w:hint="default" w:ascii="仿宋" w:hAnsi="仿宋" w:eastAsia="仿宋" w:cs="Times New Roman"/>
          <w:color w:val="auto"/>
          <w:kern w:val="0"/>
          <w:sz w:val="24"/>
          <w:szCs w:val="24"/>
          <w:highlight w:val="none"/>
        </w:rPr>
        <w:t>的约定</w:t>
      </w:r>
      <w:r>
        <w:rPr>
          <w:rFonts w:hint="eastAsia" w:ascii="仿宋" w:hAnsi="仿宋" w:eastAsia="仿宋" w:cs="Times New Roman"/>
          <w:color w:val="auto"/>
          <w:kern w:val="0"/>
          <w:sz w:val="24"/>
          <w:szCs w:val="24"/>
          <w:highlight w:val="none"/>
        </w:rPr>
        <w:t>，</w:t>
      </w:r>
      <w:r>
        <w:rPr>
          <w:rFonts w:hint="default" w:ascii="仿宋" w:hAnsi="仿宋" w:eastAsia="仿宋" w:cs="Times New Roman"/>
          <w:color w:val="auto"/>
          <w:kern w:val="0"/>
          <w:sz w:val="24"/>
          <w:szCs w:val="24"/>
          <w:highlight w:val="none"/>
        </w:rPr>
        <w:t>乙方</w:t>
      </w:r>
      <w:r>
        <w:rPr>
          <w:rFonts w:hint="eastAsia" w:ascii="仿宋" w:hAnsi="仿宋" w:eastAsia="仿宋" w:cs="Times New Roman"/>
          <w:color w:val="auto"/>
          <w:kern w:val="0"/>
          <w:sz w:val="24"/>
          <w:szCs w:val="24"/>
          <w:highlight w:val="none"/>
        </w:rPr>
        <w:t>应当</w:t>
      </w:r>
      <w:r>
        <w:rPr>
          <w:rFonts w:hint="default" w:ascii="仿宋" w:hAnsi="仿宋" w:eastAsia="仿宋" w:cs="Times New Roman"/>
          <w:color w:val="auto"/>
          <w:kern w:val="0"/>
          <w:sz w:val="24"/>
          <w:szCs w:val="24"/>
          <w:highlight w:val="none"/>
        </w:rPr>
        <w:t>自甲方发出</w:t>
      </w:r>
      <w:r>
        <w:rPr>
          <w:rFonts w:hint="eastAsia" w:ascii="仿宋" w:hAnsi="仿宋" w:eastAsia="仿宋" w:cs="Times New Roman"/>
          <w:color w:val="auto"/>
          <w:kern w:val="0"/>
          <w:sz w:val="24"/>
          <w:szCs w:val="24"/>
          <w:highlight w:val="none"/>
        </w:rPr>
        <w:t>整改</w:t>
      </w:r>
      <w:r>
        <w:rPr>
          <w:rFonts w:hint="default" w:ascii="仿宋" w:hAnsi="仿宋" w:eastAsia="仿宋" w:cs="Times New Roman"/>
          <w:color w:val="auto"/>
          <w:kern w:val="0"/>
          <w:sz w:val="24"/>
          <w:szCs w:val="24"/>
          <w:highlight w:val="none"/>
        </w:rPr>
        <w:t>通知之时起</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24</w:t>
      </w:r>
      <w:r>
        <w:rPr>
          <w:rFonts w:hint="eastAsia" w:ascii="仿宋" w:hAnsi="仿宋" w:eastAsia="仿宋" w:cs="Times New Roman"/>
          <w:color w:val="auto"/>
          <w:kern w:val="0"/>
          <w:sz w:val="24"/>
          <w:szCs w:val="24"/>
          <w:highlight w:val="none"/>
          <w:u w:val="single"/>
        </w:rPr>
        <w:t xml:space="preserve"> </w:t>
      </w:r>
      <w:r>
        <w:rPr>
          <w:rFonts w:hint="default" w:ascii="仿宋" w:hAnsi="仿宋" w:eastAsia="仿宋" w:cs="Times New Roman"/>
          <w:color w:val="auto"/>
          <w:kern w:val="0"/>
          <w:sz w:val="24"/>
          <w:szCs w:val="24"/>
          <w:highlight w:val="none"/>
        </w:rPr>
        <w:t>小时内恢复到控制液位以下</w:t>
      </w:r>
      <w:r>
        <w:rPr>
          <w:rFonts w:hint="eastAsia" w:ascii="仿宋" w:hAnsi="仿宋" w:eastAsia="仿宋" w:cs="Times New Roman"/>
          <w:color w:val="auto"/>
          <w:kern w:val="0"/>
          <w:sz w:val="24"/>
          <w:szCs w:val="24"/>
          <w:highlight w:val="none"/>
        </w:rPr>
        <w:t>。</w:t>
      </w:r>
    </w:p>
    <w:p w14:paraId="1CA4276E">
      <w:pPr>
        <w:keepNext/>
        <w:keepLines/>
        <w:widowControl w:val="0"/>
        <w:jc w:val="center"/>
        <w:outlineLvl w:val="0"/>
        <w:rPr>
          <w:rFonts w:ascii="仿宋" w:hAnsi="仿宋" w:eastAsia="仿宋" w:cs="Times New Roman"/>
          <w:b/>
          <w:bCs/>
          <w:color w:val="auto"/>
          <w:kern w:val="44"/>
          <w:sz w:val="30"/>
          <w:szCs w:val="44"/>
          <w:highlight w:val="none"/>
          <w:lang w:val="en-US" w:eastAsia="zh-CN" w:bidi="ar-SA"/>
        </w:rPr>
      </w:pPr>
      <w:bookmarkStart w:id="550" w:name="_Toc22234182"/>
      <w:r>
        <w:rPr>
          <w:rFonts w:hint="eastAsia" w:ascii="仿宋" w:hAnsi="仿宋" w:eastAsia="仿宋" w:cs="Times New Roman"/>
          <w:b/>
          <w:bCs/>
          <w:color w:val="auto"/>
          <w:kern w:val="44"/>
          <w:sz w:val="30"/>
          <w:szCs w:val="44"/>
          <w:highlight w:val="none"/>
          <w:lang w:val="en-US" w:eastAsia="zh-CN" w:bidi="ar-SA"/>
        </w:rPr>
        <w:t>第六章</w:t>
      </w:r>
      <w:r>
        <w:rPr>
          <w:rFonts w:hint="eastAsia" w:ascii="仿宋" w:hAnsi="仿宋" w:eastAsia="仿宋" w:cs="Times New Roman"/>
          <w:b/>
          <w:bCs/>
          <w:color w:val="auto"/>
          <w:kern w:val="44"/>
          <w:sz w:val="30"/>
          <w:szCs w:val="44"/>
          <w:highlight w:val="none"/>
          <w:lang w:val="en-US" w:eastAsia="zh-CN" w:bidi="ar-SA"/>
        </w:rPr>
        <w:tab/>
      </w:r>
      <w:r>
        <w:rPr>
          <w:rFonts w:hint="eastAsia" w:ascii="仿宋" w:hAnsi="仿宋" w:eastAsia="仿宋" w:cs="Times New Roman"/>
          <w:b/>
          <w:bCs/>
          <w:color w:val="auto"/>
          <w:kern w:val="44"/>
          <w:sz w:val="30"/>
          <w:szCs w:val="44"/>
          <w:highlight w:val="none"/>
          <w:lang w:val="en-US" w:eastAsia="zh-CN" w:bidi="ar-SA"/>
        </w:rPr>
        <w:t>仪表校准及管理</w:t>
      </w:r>
      <w:bookmarkEnd w:id="550"/>
    </w:p>
    <w:p w14:paraId="59F78D4B">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51" w:name="_Toc22234183"/>
      <w:r>
        <w:rPr>
          <w:rFonts w:hint="eastAsia" w:ascii="仿宋" w:hAnsi="仿宋" w:eastAsia="仿宋" w:cs="Times New Roman"/>
          <w:b/>
          <w:bCs/>
          <w:color w:val="auto"/>
          <w:kern w:val="0"/>
          <w:sz w:val="28"/>
          <w:szCs w:val="32"/>
          <w:highlight w:val="none"/>
          <w:lang w:val="en-US" w:eastAsia="zh-CN" w:bidi="ar-SA"/>
        </w:rPr>
        <w:t>第2</w:t>
      </w:r>
      <w:r>
        <w:rPr>
          <w:rFonts w:ascii="仿宋" w:hAnsi="仿宋" w:eastAsia="仿宋" w:cs="Times New Roman"/>
          <w:b/>
          <w:bCs/>
          <w:color w:val="auto"/>
          <w:kern w:val="0"/>
          <w:sz w:val="28"/>
          <w:szCs w:val="32"/>
          <w:highlight w:val="none"/>
          <w:lang w:val="en-US" w:eastAsia="zh-CN" w:bidi="ar-SA"/>
        </w:rPr>
        <w:t>1</w:t>
      </w:r>
      <w:r>
        <w:rPr>
          <w:rFonts w:hint="eastAsia" w:ascii="仿宋" w:hAnsi="仿宋" w:eastAsia="仿宋" w:cs="Times New Roman"/>
          <w:b/>
          <w:bCs/>
          <w:color w:val="auto"/>
          <w:kern w:val="0"/>
          <w:sz w:val="28"/>
          <w:szCs w:val="32"/>
          <w:highlight w:val="none"/>
          <w:lang w:val="en-US" w:eastAsia="zh-CN" w:bidi="ar-SA"/>
        </w:rPr>
        <w:t>条</w:t>
      </w:r>
      <w:r>
        <w:rPr>
          <w:rFonts w:hint="eastAsia" w:ascii="仿宋" w:hAnsi="仿宋" w:eastAsia="仿宋" w:cs="Times New Roman"/>
          <w:b/>
          <w:bCs/>
          <w:color w:val="auto"/>
          <w:kern w:val="0"/>
          <w:sz w:val="28"/>
          <w:szCs w:val="32"/>
          <w:highlight w:val="none"/>
          <w:lang w:val="en-US" w:eastAsia="zh-CN" w:bidi="ar-SA"/>
        </w:rPr>
        <w:tab/>
      </w:r>
      <w:r>
        <w:rPr>
          <w:rFonts w:hint="eastAsia" w:ascii="仿宋" w:hAnsi="仿宋" w:eastAsia="仿宋" w:cs="Times New Roman"/>
          <w:b/>
          <w:bCs/>
          <w:color w:val="auto"/>
          <w:kern w:val="0"/>
          <w:sz w:val="28"/>
          <w:szCs w:val="32"/>
          <w:highlight w:val="none"/>
          <w:lang w:val="en-US" w:eastAsia="zh-CN" w:bidi="ar-SA"/>
        </w:rPr>
        <w:t>测量仪表校准</w:t>
      </w:r>
      <w:bookmarkEnd w:id="551"/>
    </w:p>
    <w:p w14:paraId="0C40A523">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w:t>
      </w:r>
      <w:r>
        <w:rPr>
          <w:rFonts w:hint="default" w:ascii="仿宋" w:hAnsi="仿宋" w:eastAsia="仿宋" w:cs="Times New Roman"/>
          <w:color w:val="auto"/>
          <w:kern w:val="0"/>
          <w:sz w:val="24"/>
          <w:szCs w:val="24"/>
          <w:highlight w:val="none"/>
        </w:rPr>
        <w:t>1</w:t>
      </w:r>
      <w:r>
        <w:rPr>
          <w:rFonts w:hint="eastAsia" w:ascii="仿宋" w:hAnsi="仿宋" w:eastAsia="仿宋" w:cs="Times New Roman"/>
          <w:color w:val="auto"/>
          <w:kern w:val="0"/>
          <w:sz w:val="24"/>
          <w:szCs w:val="24"/>
          <w:highlight w:val="none"/>
        </w:rPr>
        <w:t>.1乙方应按照《中华人民共和国强制检定的工作计量器具检定管理办法》（国发〔1987〕</w:t>
      </w:r>
      <w:r>
        <w:rPr>
          <w:rFonts w:hint="eastAsia" w:ascii="仿宋" w:hAnsi="仿宋" w:eastAsia="仿宋" w:cs="Times New Roman"/>
          <w:color w:val="auto"/>
          <w:kern w:val="0"/>
          <w:sz w:val="24"/>
          <w:szCs w:val="24"/>
          <w:highlight w:val="none"/>
          <w:lang w:val="en-US" w:eastAsia="zh-CN"/>
        </w:rPr>
        <w:t>31</w:t>
      </w:r>
      <w:r>
        <w:rPr>
          <w:rFonts w:hint="eastAsia" w:ascii="仿宋" w:hAnsi="仿宋" w:eastAsia="仿宋" w:cs="Times New Roman"/>
          <w:color w:val="auto"/>
          <w:kern w:val="0"/>
          <w:sz w:val="24"/>
          <w:szCs w:val="24"/>
          <w:highlight w:val="none"/>
        </w:rPr>
        <w:t>号）等规定对水质检测设备进行校验。</w:t>
      </w:r>
    </w:p>
    <w:p w14:paraId="40AB6311">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w:t>
      </w:r>
      <w:r>
        <w:rPr>
          <w:rFonts w:hint="default" w:ascii="仿宋" w:hAnsi="仿宋" w:eastAsia="仿宋" w:cs="Times New Roman"/>
          <w:color w:val="auto"/>
          <w:kern w:val="0"/>
          <w:sz w:val="24"/>
          <w:szCs w:val="24"/>
          <w:highlight w:val="none"/>
        </w:rPr>
        <w:t>1</w:t>
      </w:r>
      <w:r>
        <w:rPr>
          <w:rFonts w:hint="eastAsia" w:ascii="仿宋" w:hAnsi="仿宋" w:eastAsia="仿宋" w:cs="Times New Roman"/>
          <w:color w:val="auto"/>
          <w:kern w:val="0"/>
          <w:sz w:val="24"/>
          <w:szCs w:val="24"/>
          <w:highlight w:val="none"/>
        </w:rPr>
        <w:t>.2流量计、液位计和在线检测仪表应按国家规定周期委托具有法定资质的检测机构或仪表生产厂家进行核准，该等核准的费用应由乙方予以承担。</w:t>
      </w:r>
    </w:p>
    <w:p w14:paraId="60E00437">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w:t>
      </w:r>
      <w:r>
        <w:rPr>
          <w:rFonts w:hint="default" w:ascii="仿宋" w:hAnsi="仿宋" w:eastAsia="仿宋" w:cs="Times New Roman"/>
          <w:color w:val="auto"/>
          <w:kern w:val="0"/>
          <w:sz w:val="24"/>
          <w:szCs w:val="24"/>
          <w:highlight w:val="none"/>
        </w:rPr>
        <w:t>1</w:t>
      </w:r>
      <w:r>
        <w:rPr>
          <w:rFonts w:hint="eastAsia" w:ascii="仿宋" w:hAnsi="仿宋" w:eastAsia="仿宋" w:cs="Times New Roman"/>
          <w:color w:val="auto"/>
          <w:kern w:val="0"/>
          <w:sz w:val="24"/>
          <w:szCs w:val="24"/>
          <w:highlight w:val="none"/>
        </w:rPr>
        <w:t>.3 任一方经书面通知对方后，可随时要求对任何流量计、液位计和水质监测仪表进行检查和校准。此等非定期的检查和校准费用由要求进行该等检查和校准的一方承担。但如检查和校准的结果显示有关流量计、液位计、水质监测仪表不准确，则上述费用由乙方自行承担，不计入水价调整依据。</w:t>
      </w:r>
    </w:p>
    <w:p w14:paraId="65BA7412">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w:t>
      </w:r>
      <w:r>
        <w:rPr>
          <w:rFonts w:hint="default" w:ascii="仿宋" w:hAnsi="仿宋" w:eastAsia="仿宋" w:cs="Times New Roman"/>
          <w:color w:val="auto"/>
          <w:kern w:val="0"/>
          <w:sz w:val="24"/>
          <w:szCs w:val="24"/>
          <w:highlight w:val="none"/>
        </w:rPr>
        <w:t>1</w:t>
      </w:r>
      <w:r>
        <w:rPr>
          <w:rFonts w:hint="eastAsia" w:ascii="仿宋" w:hAnsi="仿宋" w:eastAsia="仿宋" w:cs="Times New Roman"/>
          <w:color w:val="auto"/>
          <w:kern w:val="0"/>
          <w:sz w:val="24"/>
          <w:szCs w:val="24"/>
          <w:highlight w:val="none"/>
        </w:rPr>
        <w:t>.4 乙方应记录对流量计、液位计和水质监测仪表每次定期和非定期的检查和校准结果并在收到检测报告后</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7</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日内将该等结果的复印件提供给甲方。</w:t>
      </w:r>
    </w:p>
    <w:p w14:paraId="62258C94">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w:t>
      </w:r>
      <w:r>
        <w:rPr>
          <w:rFonts w:hint="default" w:ascii="仿宋" w:hAnsi="仿宋" w:eastAsia="仿宋" w:cs="Times New Roman"/>
          <w:color w:val="auto"/>
          <w:kern w:val="0"/>
          <w:sz w:val="24"/>
          <w:szCs w:val="24"/>
          <w:highlight w:val="none"/>
        </w:rPr>
        <w:t>1</w:t>
      </w:r>
      <w:r>
        <w:rPr>
          <w:rFonts w:hint="eastAsia" w:ascii="仿宋" w:hAnsi="仿宋" w:eastAsia="仿宋" w:cs="Times New Roman"/>
          <w:color w:val="auto"/>
          <w:kern w:val="0"/>
          <w:sz w:val="24"/>
          <w:szCs w:val="24"/>
          <w:highlight w:val="none"/>
        </w:rPr>
        <w:t>.5 任何一方发现并证明任何流量计、液位计和水质监测仪表或其他仪表不准确的，乙方应委托具备法定资质的检测机构或仪表生产厂家对前述仪表进行检测和校准。乙方应在发现前述仪表不能正常工作或接到甲方通知后立即委托前述机构进行维修及校准，承担相应费用，并应在以下较短时间内完成校准、维修或更换工作：</w:t>
      </w:r>
    </w:p>
    <w:p w14:paraId="2CD1E4D6">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w:t>
      </w:r>
      <w:r>
        <w:rPr>
          <w:rFonts w:hint="default" w:ascii="仿宋" w:hAnsi="仿宋" w:eastAsia="仿宋" w:cs="Times New Roman"/>
          <w:color w:val="auto"/>
          <w:kern w:val="0"/>
          <w:sz w:val="24"/>
          <w:szCs w:val="24"/>
          <w:highlight w:val="none"/>
        </w:rPr>
        <w:t>1</w:t>
      </w:r>
      <w:r>
        <w:rPr>
          <w:rFonts w:hint="eastAsia" w:ascii="仿宋" w:hAnsi="仿宋" w:eastAsia="仿宋" w:cs="Times New Roman"/>
          <w:color w:val="auto"/>
          <w:kern w:val="0"/>
          <w:sz w:val="24"/>
          <w:szCs w:val="24"/>
          <w:highlight w:val="none"/>
        </w:rPr>
        <w:t>.5.1自乙方发现流量计、液位计和水质监测仪表或其他仪表不能正常工作后</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3</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日内或双方书面同意的更长期间内；</w:t>
      </w:r>
    </w:p>
    <w:p w14:paraId="3C31FD19">
      <w:pPr>
        <w:spacing w:line="480" w:lineRule="auto"/>
        <w:ind w:firstLine="424" w:firstLineChars="177"/>
        <w:rPr>
          <w:rFonts w:hint="eastAsia"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w:t>
      </w:r>
      <w:r>
        <w:rPr>
          <w:rFonts w:hint="default" w:ascii="仿宋" w:hAnsi="仿宋" w:eastAsia="仿宋" w:cs="Times New Roman"/>
          <w:color w:val="auto"/>
          <w:kern w:val="0"/>
          <w:sz w:val="24"/>
          <w:szCs w:val="24"/>
          <w:highlight w:val="none"/>
        </w:rPr>
        <w:t>1</w:t>
      </w:r>
      <w:r>
        <w:rPr>
          <w:rFonts w:hint="eastAsia" w:ascii="仿宋" w:hAnsi="仿宋" w:eastAsia="仿宋" w:cs="Times New Roman"/>
          <w:color w:val="auto"/>
          <w:kern w:val="0"/>
          <w:sz w:val="24"/>
          <w:szCs w:val="24"/>
          <w:highlight w:val="none"/>
        </w:rPr>
        <w:t>.5.2自接到甲方通知后</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3</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日内或接到前述通知后双方书面同意的更长的期间内。</w:t>
      </w:r>
    </w:p>
    <w:p w14:paraId="4A5BDFA2">
      <w:pPr>
        <w:keepNext/>
        <w:keepLines/>
        <w:widowControl w:val="0"/>
        <w:jc w:val="center"/>
        <w:outlineLvl w:val="0"/>
        <w:rPr>
          <w:rFonts w:ascii="仿宋" w:hAnsi="仿宋" w:eastAsia="仿宋" w:cs="Times New Roman"/>
          <w:b/>
          <w:bCs/>
          <w:color w:val="auto"/>
          <w:kern w:val="44"/>
          <w:sz w:val="30"/>
          <w:szCs w:val="44"/>
          <w:highlight w:val="none"/>
          <w:lang w:val="en-US" w:eastAsia="zh-CN" w:bidi="ar-SA"/>
        </w:rPr>
      </w:pPr>
      <w:bookmarkStart w:id="552" w:name="_Toc22234184"/>
      <w:r>
        <w:rPr>
          <w:rFonts w:hint="eastAsia" w:ascii="仿宋" w:hAnsi="仿宋" w:eastAsia="仿宋" w:cs="Times New Roman"/>
          <w:b/>
          <w:bCs/>
          <w:color w:val="auto"/>
          <w:kern w:val="44"/>
          <w:sz w:val="30"/>
          <w:szCs w:val="44"/>
          <w:highlight w:val="none"/>
          <w:lang w:val="en-US" w:eastAsia="zh-CN" w:bidi="ar-SA"/>
        </w:rPr>
        <w:t>第七章</w:t>
      </w:r>
      <w:r>
        <w:rPr>
          <w:rFonts w:hint="eastAsia" w:ascii="仿宋" w:hAnsi="仿宋" w:eastAsia="仿宋" w:cs="Times New Roman"/>
          <w:b/>
          <w:bCs/>
          <w:color w:val="auto"/>
          <w:kern w:val="44"/>
          <w:sz w:val="30"/>
          <w:szCs w:val="44"/>
          <w:highlight w:val="none"/>
          <w:lang w:val="en-US" w:eastAsia="zh-CN" w:bidi="ar-SA"/>
        </w:rPr>
        <w:tab/>
      </w:r>
      <w:r>
        <w:rPr>
          <w:rFonts w:hint="eastAsia" w:ascii="仿宋" w:hAnsi="仿宋" w:eastAsia="仿宋" w:cs="Times New Roman"/>
          <w:b/>
          <w:bCs/>
          <w:color w:val="auto"/>
          <w:kern w:val="44"/>
          <w:sz w:val="30"/>
          <w:szCs w:val="44"/>
          <w:highlight w:val="none"/>
          <w:lang w:val="en-US" w:eastAsia="zh-CN" w:bidi="ar-SA"/>
        </w:rPr>
        <w:t>运营维护监管与报告</w:t>
      </w:r>
      <w:bookmarkEnd w:id="552"/>
    </w:p>
    <w:p w14:paraId="44EB4E54">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53" w:name="_Toc22234185"/>
      <w:r>
        <w:rPr>
          <w:rFonts w:hint="eastAsia" w:ascii="仿宋" w:hAnsi="仿宋" w:eastAsia="仿宋" w:cs="Times New Roman"/>
          <w:b/>
          <w:bCs/>
          <w:color w:val="auto"/>
          <w:kern w:val="0"/>
          <w:sz w:val="28"/>
          <w:szCs w:val="32"/>
          <w:highlight w:val="none"/>
          <w:lang w:val="en-US" w:eastAsia="zh-CN" w:bidi="ar-SA"/>
        </w:rPr>
        <w:t>第2</w:t>
      </w:r>
      <w:r>
        <w:rPr>
          <w:rFonts w:ascii="仿宋" w:hAnsi="仿宋" w:eastAsia="仿宋" w:cs="Times New Roman"/>
          <w:b/>
          <w:bCs/>
          <w:color w:val="auto"/>
          <w:kern w:val="0"/>
          <w:sz w:val="28"/>
          <w:szCs w:val="32"/>
          <w:highlight w:val="none"/>
          <w:lang w:val="en-US" w:eastAsia="zh-CN" w:bidi="ar-SA"/>
        </w:rPr>
        <w:t>2</w:t>
      </w:r>
      <w:r>
        <w:rPr>
          <w:rFonts w:hint="eastAsia" w:ascii="仿宋" w:hAnsi="仿宋" w:eastAsia="仿宋" w:cs="Times New Roman"/>
          <w:b/>
          <w:bCs/>
          <w:color w:val="auto"/>
          <w:kern w:val="0"/>
          <w:sz w:val="28"/>
          <w:szCs w:val="32"/>
          <w:highlight w:val="none"/>
          <w:lang w:val="en-US" w:eastAsia="zh-CN" w:bidi="ar-SA"/>
        </w:rPr>
        <w:t>条</w:t>
      </w:r>
      <w:r>
        <w:rPr>
          <w:rFonts w:hint="eastAsia" w:ascii="仿宋" w:hAnsi="仿宋" w:eastAsia="仿宋" w:cs="Times New Roman"/>
          <w:b/>
          <w:bCs/>
          <w:color w:val="auto"/>
          <w:kern w:val="0"/>
          <w:sz w:val="28"/>
          <w:szCs w:val="32"/>
          <w:highlight w:val="none"/>
          <w:lang w:val="en-US" w:eastAsia="zh-CN" w:bidi="ar-SA"/>
        </w:rPr>
        <w:tab/>
      </w:r>
      <w:r>
        <w:rPr>
          <w:rFonts w:hint="eastAsia" w:ascii="仿宋" w:hAnsi="仿宋" w:eastAsia="仿宋" w:cs="Times New Roman"/>
          <w:b/>
          <w:bCs/>
          <w:color w:val="auto"/>
          <w:kern w:val="0"/>
          <w:sz w:val="28"/>
          <w:szCs w:val="32"/>
          <w:highlight w:val="none"/>
          <w:lang w:val="en-US" w:eastAsia="zh-CN" w:bidi="ar-SA"/>
        </w:rPr>
        <w:t>监管</w:t>
      </w:r>
      <w:bookmarkEnd w:id="553"/>
    </w:p>
    <w:p w14:paraId="474D10E5">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w:t>
      </w:r>
      <w:r>
        <w:rPr>
          <w:rFonts w:hint="default" w:ascii="仿宋" w:hAnsi="仿宋" w:eastAsia="仿宋" w:cs="Times New Roman"/>
          <w:color w:val="auto"/>
          <w:kern w:val="0"/>
          <w:sz w:val="24"/>
          <w:szCs w:val="24"/>
          <w:highlight w:val="none"/>
        </w:rPr>
        <w:t>2</w:t>
      </w:r>
      <w:r>
        <w:rPr>
          <w:rFonts w:hint="eastAsia" w:ascii="仿宋" w:hAnsi="仿宋" w:eastAsia="仿宋" w:cs="Times New Roman"/>
          <w:color w:val="auto"/>
          <w:kern w:val="0"/>
          <w:sz w:val="24"/>
          <w:szCs w:val="24"/>
          <w:highlight w:val="none"/>
        </w:rPr>
        <w:t>.1政府部门或其授权机构按照适用法律规定对乙方或污水处理厂、管网进行的监督、管理和检查以及行政处罚，不受本协议约束，亦不构成乙方在本协议项下义务的免除。其对乙方或污水处理厂、管网监管时所形成的数据、报告和决定，可以作为甲方执行本协议所用，除非本协议另有约定。</w:t>
      </w:r>
    </w:p>
    <w:p w14:paraId="69E3BE1A">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22.2</w:t>
      </w:r>
      <w:r>
        <w:rPr>
          <w:rFonts w:hint="eastAsia" w:ascii="仿宋" w:hAnsi="仿宋" w:eastAsia="仿宋" w:cs="Times New Roman"/>
          <w:color w:val="auto"/>
          <w:kern w:val="0"/>
          <w:sz w:val="24"/>
          <w:szCs w:val="24"/>
          <w:highlight w:val="none"/>
        </w:rPr>
        <w:t>甲方有权依据所有适用法律以及本协议和《</w:t>
      </w:r>
      <w:r>
        <w:rPr>
          <w:rFonts w:hint="eastAsia" w:ascii="仿宋" w:hAnsi="仿宋" w:eastAsia="仿宋" w:cs="Times New Roman"/>
          <w:color w:val="auto"/>
          <w:kern w:val="0"/>
          <w:sz w:val="24"/>
          <w:szCs w:val="24"/>
          <w:highlight w:val="none"/>
          <w:lang w:val="en-US" w:eastAsia="zh-CN"/>
        </w:rPr>
        <w:t>运营期绩效考核方案</w:t>
      </w:r>
      <w:r>
        <w:rPr>
          <w:rFonts w:hint="eastAsia" w:ascii="仿宋" w:hAnsi="仿宋" w:eastAsia="仿宋" w:cs="Times New Roman"/>
          <w:color w:val="auto"/>
          <w:kern w:val="0"/>
          <w:sz w:val="24"/>
          <w:szCs w:val="24"/>
          <w:highlight w:val="none"/>
        </w:rPr>
        <w:t>》对乙方以及污水处理厂、污水管网的运营进行监督、检验和评价，包括但不限于下列内容：</w:t>
      </w:r>
    </w:p>
    <w:p w14:paraId="2C848215">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w:t>
      </w:r>
      <w:r>
        <w:rPr>
          <w:rFonts w:hint="default" w:ascii="仿宋" w:hAnsi="仿宋" w:eastAsia="仿宋" w:cs="Times New Roman"/>
          <w:color w:val="auto"/>
          <w:kern w:val="0"/>
          <w:sz w:val="24"/>
          <w:szCs w:val="24"/>
          <w:highlight w:val="none"/>
        </w:rPr>
        <w:t>2</w:t>
      </w:r>
      <w:r>
        <w:rPr>
          <w:rFonts w:hint="eastAsia" w:ascii="仿宋" w:hAnsi="仿宋" w:eastAsia="仿宋" w:cs="Times New Roman"/>
          <w:color w:val="auto"/>
          <w:kern w:val="0"/>
          <w:sz w:val="24"/>
          <w:szCs w:val="24"/>
          <w:highlight w:val="none"/>
        </w:rPr>
        <w:t>.2.1处理水量；</w:t>
      </w:r>
    </w:p>
    <w:p w14:paraId="3BB6AFA3">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w:t>
      </w:r>
      <w:r>
        <w:rPr>
          <w:rFonts w:hint="default" w:ascii="仿宋" w:hAnsi="仿宋" w:eastAsia="仿宋" w:cs="Times New Roman"/>
          <w:color w:val="auto"/>
          <w:kern w:val="0"/>
          <w:sz w:val="24"/>
          <w:szCs w:val="24"/>
          <w:highlight w:val="none"/>
        </w:rPr>
        <w:t>2</w:t>
      </w:r>
      <w:r>
        <w:rPr>
          <w:rFonts w:hint="eastAsia" w:ascii="仿宋" w:hAnsi="仿宋" w:eastAsia="仿宋" w:cs="Times New Roman"/>
          <w:color w:val="auto"/>
          <w:kern w:val="0"/>
          <w:sz w:val="24"/>
          <w:szCs w:val="24"/>
          <w:highlight w:val="none"/>
        </w:rPr>
        <w:t>.2.2出水水质及污泥、噪声及臭气；</w:t>
      </w:r>
    </w:p>
    <w:p w14:paraId="1A712A04">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w:t>
      </w:r>
      <w:r>
        <w:rPr>
          <w:rFonts w:hint="default" w:ascii="仿宋" w:hAnsi="仿宋" w:eastAsia="仿宋" w:cs="Times New Roman"/>
          <w:color w:val="auto"/>
          <w:kern w:val="0"/>
          <w:sz w:val="24"/>
          <w:szCs w:val="24"/>
          <w:highlight w:val="none"/>
        </w:rPr>
        <w:t>2</w:t>
      </w:r>
      <w:r>
        <w:rPr>
          <w:rFonts w:hint="eastAsia" w:ascii="仿宋" w:hAnsi="仿宋" w:eastAsia="仿宋" w:cs="Times New Roman"/>
          <w:color w:val="auto"/>
          <w:kern w:val="0"/>
          <w:sz w:val="24"/>
          <w:szCs w:val="24"/>
          <w:highlight w:val="none"/>
        </w:rPr>
        <w:t>.2.3运行工况；</w:t>
      </w:r>
    </w:p>
    <w:p w14:paraId="4F9B27F8">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w:t>
      </w:r>
      <w:r>
        <w:rPr>
          <w:rFonts w:hint="default" w:ascii="仿宋" w:hAnsi="仿宋" w:eastAsia="仿宋" w:cs="Times New Roman"/>
          <w:color w:val="auto"/>
          <w:kern w:val="0"/>
          <w:sz w:val="24"/>
          <w:szCs w:val="24"/>
          <w:highlight w:val="none"/>
        </w:rPr>
        <w:t>2</w:t>
      </w:r>
      <w:r>
        <w:rPr>
          <w:rFonts w:hint="eastAsia" w:ascii="仿宋" w:hAnsi="仿宋" w:eastAsia="仿宋" w:cs="Times New Roman"/>
          <w:color w:val="auto"/>
          <w:kern w:val="0"/>
          <w:sz w:val="24"/>
          <w:szCs w:val="24"/>
          <w:highlight w:val="none"/>
        </w:rPr>
        <w:t>.2.4安全生产；</w:t>
      </w:r>
    </w:p>
    <w:p w14:paraId="73DB3E20">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w:t>
      </w:r>
      <w:r>
        <w:rPr>
          <w:rFonts w:hint="default" w:ascii="仿宋" w:hAnsi="仿宋" w:eastAsia="仿宋" w:cs="Times New Roman"/>
          <w:color w:val="auto"/>
          <w:kern w:val="0"/>
          <w:sz w:val="24"/>
          <w:szCs w:val="24"/>
          <w:highlight w:val="none"/>
        </w:rPr>
        <w:t>2</w:t>
      </w:r>
      <w:r>
        <w:rPr>
          <w:rFonts w:hint="eastAsia" w:ascii="仿宋" w:hAnsi="仿宋" w:eastAsia="仿宋" w:cs="Times New Roman"/>
          <w:color w:val="auto"/>
          <w:kern w:val="0"/>
          <w:sz w:val="24"/>
          <w:szCs w:val="24"/>
          <w:highlight w:val="none"/>
        </w:rPr>
        <w:t>.2.5清洁生产；</w:t>
      </w:r>
    </w:p>
    <w:p w14:paraId="100DE314">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w:t>
      </w:r>
      <w:r>
        <w:rPr>
          <w:rFonts w:hint="default" w:ascii="仿宋" w:hAnsi="仿宋" w:eastAsia="仿宋" w:cs="Times New Roman"/>
          <w:color w:val="auto"/>
          <w:kern w:val="0"/>
          <w:sz w:val="24"/>
          <w:szCs w:val="24"/>
          <w:highlight w:val="none"/>
        </w:rPr>
        <w:t>2</w:t>
      </w:r>
      <w:r>
        <w:rPr>
          <w:rFonts w:hint="eastAsia" w:ascii="仿宋" w:hAnsi="仿宋" w:eastAsia="仿宋" w:cs="Times New Roman"/>
          <w:color w:val="auto"/>
          <w:kern w:val="0"/>
          <w:sz w:val="24"/>
          <w:szCs w:val="24"/>
          <w:highlight w:val="none"/>
        </w:rPr>
        <w:t>.2.6管道维护质量；</w:t>
      </w:r>
    </w:p>
    <w:p w14:paraId="07AFBA3E">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w:t>
      </w:r>
      <w:r>
        <w:rPr>
          <w:rFonts w:hint="default" w:ascii="仿宋" w:hAnsi="仿宋" w:eastAsia="仿宋" w:cs="Times New Roman"/>
          <w:color w:val="auto"/>
          <w:kern w:val="0"/>
          <w:sz w:val="24"/>
          <w:szCs w:val="24"/>
          <w:highlight w:val="none"/>
        </w:rPr>
        <w:t>2</w:t>
      </w:r>
      <w:r>
        <w:rPr>
          <w:rFonts w:hint="eastAsia" w:ascii="仿宋" w:hAnsi="仿宋" w:eastAsia="仿宋" w:cs="Times New Roman"/>
          <w:color w:val="auto"/>
          <w:kern w:val="0"/>
          <w:sz w:val="24"/>
          <w:szCs w:val="24"/>
          <w:highlight w:val="none"/>
        </w:rPr>
        <w:t>.2.7泵站维护质量；</w:t>
      </w:r>
    </w:p>
    <w:p w14:paraId="4440ADEA">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w:t>
      </w:r>
      <w:r>
        <w:rPr>
          <w:rFonts w:hint="default" w:ascii="仿宋" w:hAnsi="仿宋" w:eastAsia="仿宋" w:cs="Times New Roman"/>
          <w:color w:val="auto"/>
          <w:kern w:val="0"/>
          <w:sz w:val="24"/>
          <w:szCs w:val="24"/>
          <w:highlight w:val="none"/>
        </w:rPr>
        <w:t>2</w:t>
      </w:r>
      <w:r>
        <w:rPr>
          <w:rFonts w:hint="eastAsia" w:ascii="仿宋" w:hAnsi="仿宋" w:eastAsia="仿宋" w:cs="Times New Roman"/>
          <w:color w:val="auto"/>
          <w:kern w:val="0"/>
          <w:sz w:val="24"/>
          <w:szCs w:val="24"/>
          <w:highlight w:val="none"/>
        </w:rPr>
        <w:t>.2.8污泥</w:t>
      </w:r>
      <w:r>
        <w:rPr>
          <w:rFonts w:hint="eastAsia" w:ascii="仿宋" w:hAnsi="仿宋" w:eastAsia="仿宋" w:cs="Times New Roman"/>
          <w:color w:val="auto"/>
          <w:kern w:val="0"/>
          <w:sz w:val="24"/>
          <w:szCs w:val="24"/>
          <w:highlight w:val="none"/>
          <w:lang w:val="en-US" w:eastAsia="zh-CN"/>
        </w:rPr>
        <w:t>脱水</w:t>
      </w:r>
      <w:r>
        <w:rPr>
          <w:rFonts w:hint="eastAsia" w:ascii="仿宋" w:hAnsi="仿宋" w:eastAsia="仿宋" w:cs="Times New Roman"/>
          <w:color w:val="auto"/>
          <w:kern w:val="0"/>
          <w:sz w:val="24"/>
          <w:szCs w:val="24"/>
          <w:highlight w:val="none"/>
        </w:rPr>
        <w:t>情况；</w:t>
      </w:r>
    </w:p>
    <w:p w14:paraId="3AE7AFC9">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w:t>
      </w:r>
      <w:r>
        <w:rPr>
          <w:rFonts w:hint="default" w:ascii="仿宋" w:hAnsi="仿宋" w:eastAsia="仿宋" w:cs="Times New Roman"/>
          <w:color w:val="auto"/>
          <w:kern w:val="0"/>
          <w:sz w:val="24"/>
          <w:szCs w:val="24"/>
          <w:highlight w:val="none"/>
        </w:rPr>
        <w:t>2</w:t>
      </w:r>
      <w:r>
        <w:rPr>
          <w:rFonts w:hint="eastAsia" w:ascii="仿宋" w:hAnsi="仿宋" w:eastAsia="仿宋" w:cs="Times New Roman"/>
          <w:color w:val="auto"/>
          <w:kern w:val="0"/>
          <w:sz w:val="24"/>
          <w:szCs w:val="24"/>
          <w:highlight w:val="none"/>
        </w:rPr>
        <w:t>.2.9报告制度。</w:t>
      </w:r>
    </w:p>
    <w:p w14:paraId="6F556CD9">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2</w:t>
      </w:r>
      <w:r>
        <w:rPr>
          <w:rFonts w:hint="default" w:ascii="仿宋" w:hAnsi="仿宋" w:eastAsia="仿宋" w:cs="Times New Roman"/>
          <w:color w:val="auto"/>
          <w:kern w:val="0"/>
          <w:sz w:val="24"/>
          <w:szCs w:val="24"/>
          <w:highlight w:val="none"/>
        </w:rPr>
        <w:t>2</w:t>
      </w:r>
      <w:r>
        <w:rPr>
          <w:rFonts w:hint="eastAsia" w:ascii="仿宋" w:hAnsi="仿宋" w:eastAsia="仿宋" w:cs="Times New Roman"/>
          <w:color w:val="auto"/>
          <w:kern w:val="0"/>
          <w:sz w:val="24"/>
          <w:szCs w:val="24"/>
          <w:highlight w:val="none"/>
        </w:rPr>
        <w:t>.3 乙方应按照相关规范，负责污水处理厂、管网在线监测设施、设备的安装、运行及维护并承担相关费用，并应实现与甲方及相关政府职能部门的联网，以满足甲方及相关政府职能部门的监管需要。</w:t>
      </w:r>
    </w:p>
    <w:p w14:paraId="2237F02A">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54" w:name="_Toc22234186"/>
      <w:r>
        <w:rPr>
          <w:rFonts w:hint="eastAsia" w:ascii="仿宋" w:hAnsi="仿宋" w:eastAsia="仿宋" w:cs="Times New Roman"/>
          <w:b/>
          <w:bCs/>
          <w:color w:val="auto"/>
          <w:kern w:val="0"/>
          <w:sz w:val="28"/>
          <w:szCs w:val="32"/>
          <w:highlight w:val="none"/>
          <w:lang w:val="en-US" w:eastAsia="zh-CN" w:bidi="ar-SA"/>
        </w:rPr>
        <w:t>第</w:t>
      </w:r>
      <w:r>
        <w:rPr>
          <w:rFonts w:ascii="仿宋" w:hAnsi="仿宋" w:eastAsia="仿宋" w:cs="Times New Roman"/>
          <w:b/>
          <w:bCs/>
          <w:color w:val="auto"/>
          <w:kern w:val="0"/>
          <w:sz w:val="28"/>
          <w:szCs w:val="32"/>
          <w:highlight w:val="none"/>
          <w:lang w:val="en-US" w:eastAsia="zh-CN" w:bidi="ar-SA"/>
        </w:rPr>
        <w:t>23</w:t>
      </w:r>
      <w:r>
        <w:rPr>
          <w:rFonts w:hint="eastAsia" w:ascii="仿宋" w:hAnsi="仿宋" w:eastAsia="仿宋" w:cs="Times New Roman"/>
          <w:b/>
          <w:bCs/>
          <w:color w:val="auto"/>
          <w:kern w:val="0"/>
          <w:sz w:val="28"/>
          <w:szCs w:val="32"/>
          <w:highlight w:val="none"/>
          <w:lang w:val="en-US" w:eastAsia="zh-CN" w:bidi="ar-SA"/>
        </w:rPr>
        <w:t>条</w:t>
      </w:r>
      <w:r>
        <w:rPr>
          <w:rFonts w:hint="eastAsia" w:ascii="仿宋" w:hAnsi="仿宋" w:eastAsia="仿宋" w:cs="Times New Roman"/>
          <w:b/>
          <w:bCs/>
          <w:color w:val="auto"/>
          <w:kern w:val="0"/>
          <w:sz w:val="28"/>
          <w:szCs w:val="32"/>
          <w:highlight w:val="none"/>
          <w:lang w:val="en-US" w:eastAsia="zh-CN" w:bidi="ar-SA"/>
        </w:rPr>
        <w:tab/>
      </w:r>
      <w:r>
        <w:rPr>
          <w:rFonts w:hint="eastAsia" w:ascii="仿宋" w:hAnsi="仿宋" w:eastAsia="仿宋" w:cs="Times New Roman"/>
          <w:b/>
          <w:bCs/>
          <w:color w:val="auto"/>
          <w:kern w:val="0"/>
          <w:sz w:val="28"/>
          <w:szCs w:val="32"/>
          <w:highlight w:val="none"/>
          <w:lang w:val="en-US" w:eastAsia="zh-CN" w:bidi="ar-SA"/>
        </w:rPr>
        <w:t>运营维护手册</w:t>
      </w:r>
      <w:bookmarkEnd w:id="554"/>
    </w:p>
    <w:p w14:paraId="7912064E">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23</w:t>
      </w:r>
      <w:r>
        <w:rPr>
          <w:rFonts w:hint="eastAsia" w:ascii="仿宋" w:hAnsi="仿宋" w:eastAsia="仿宋" w:cs="Times New Roman"/>
          <w:color w:val="auto"/>
          <w:kern w:val="0"/>
          <w:sz w:val="24"/>
          <w:szCs w:val="24"/>
          <w:highlight w:val="none"/>
        </w:rPr>
        <w:t>.1运营维护手册的编制</w:t>
      </w:r>
    </w:p>
    <w:p w14:paraId="140DBF96">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23</w:t>
      </w:r>
      <w:r>
        <w:rPr>
          <w:rFonts w:hint="eastAsia" w:ascii="仿宋" w:hAnsi="仿宋" w:eastAsia="仿宋" w:cs="Times New Roman"/>
          <w:color w:val="auto"/>
          <w:kern w:val="0"/>
          <w:sz w:val="24"/>
          <w:szCs w:val="24"/>
          <w:highlight w:val="none"/>
        </w:rPr>
        <w:t>.1.1在开始运营日之前，乙方应根据适用法律、标准规范和谨慎运营惯例并且按不低于初步设计的内容和要求编制污水处理厂工程、排水管网工程及泵站工程的运营维护手册；运营维护手册报甲方备案后遵照执行。</w:t>
      </w:r>
    </w:p>
    <w:p w14:paraId="0C958188">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23</w:t>
      </w:r>
      <w:r>
        <w:rPr>
          <w:rFonts w:hint="eastAsia" w:ascii="仿宋" w:hAnsi="仿宋" w:eastAsia="仿宋" w:cs="Times New Roman"/>
          <w:color w:val="auto"/>
          <w:kern w:val="0"/>
          <w:sz w:val="24"/>
          <w:szCs w:val="24"/>
          <w:highlight w:val="none"/>
        </w:rPr>
        <w:t>.1.2运营维护手册在</w:t>
      </w:r>
      <w:r>
        <w:rPr>
          <w:rFonts w:hint="eastAsia" w:ascii="仿宋" w:hAnsi="仿宋" w:eastAsia="仿宋" w:cs="Times New Roman"/>
          <w:color w:val="auto"/>
          <w:kern w:val="0"/>
          <w:sz w:val="24"/>
          <w:szCs w:val="24"/>
          <w:highlight w:val="none"/>
          <w:lang w:val="en-US" w:eastAsia="zh-CN"/>
        </w:rPr>
        <w:t>特许经营</w:t>
      </w:r>
      <w:r>
        <w:rPr>
          <w:rFonts w:hint="eastAsia" w:ascii="仿宋" w:hAnsi="仿宋" w:eastAsia="仿宋" w:cs="Times New Roman"/>
          <w:color w:val="auto"/>
          <w:kern w:val="0"/>
          <w:sz w:val="24"/>
          <w:szCs w:val="24"/>
          <w:highlight w:val="none"/>
        </w:rPr>
        <w:t>期内应根据污水处理厂、排水设施运营维护的实际情况随时进行修改、补充和完善，并报甲方备案后遵照执行。</w:t>
      </w:r>
    </w:p>
    <w:p w14:paraId="09D562CD">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23</w:t>
      </w:r>
      <w:r>
        <w:rPr>
          <w:rFonts w:hint="eastAsia" w:ascii="仿宋" w:hAnsi="仿宋" w:eastAsia="仿宋" w:cs="Times New Roman"/>
          <w:color w:val="auto"/>
          <w:kern w:val="0"/>
          <w:sz w:val="24"/>
          <w:szCs w:val="24"/>
          <w:highlight w:val="none"/>
        </w:rPr>
        <w:t>.2运营维护手册的内容</w:t>
      </w:r>
    </w:p>
    <w:p w14:paraId="48B67A18">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23</w:t>
      </w:r>
      <w:r>
        <w:rPr>
          <w:rFonts w:hint="eastAsia" w:ascii="仿宋" w:hAnsi="仿宋" w:eastAsia="仿宋" w:cs="Times New Roman"/>
          <w:color w:val="auto"/>
          <w:kern w:val="0"/>
          <w:sz w:val="24"/>
          <w:szCs w:val="24"/>
          <w:highlight w:val="none"/>
        </w:rPr>
        <w:t>.2.1运营维护手册应包括污水处理厂、排水管网及泵站进行定期和年度检查、日常运行维护、大修维护的程序和计划，以及调整和改进检验及维护安排的程序和计划，并制定应对突发事件的应急预案。</w:t>
      </w:r>
    </w:p>
    <w:p w14:paraId="31CBEB38">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23</w:t>
      </w:r>
      <w:r>
        <w:rPr>
          <w:rFonts w:hint="eastAsia" w:ascii="仿宋" w:hAnsi="仿宋" w:eastAsia="仿宋" w:cs="Times New Roman"/>
          <w:color w:val="auto"/>
          <w:kern w:val="0"/>
          <w:sz w:val="24"/>
          <w:szCs w:val="24"/>
          <w:highlight w:val="none"/>
        </w:rPr>
        <w:t>.2.2运营维护手册应列明污水处理厂、排水管网及泵站正常运营所需的消耗性备品备件和事故抢修的备品备件。</w:t>
      </w:r>
    </w:p>
    <w:p w14:paraId="7D40FB70">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23</w:t>
      </w:r>
      <w:r>
        <w:rPr>
          <w:rFonts w:hint="eastAsia" w:ascii="仿宋" w:hAnsi="仿宋" w:eastAsia="仿宋" w:cs="Times New Roman"/>
          <w:color w:val="auto"/>
          <w:kern w:val="0"/>
          <w:sz w:val="24"/>
          <w:szCs w:val="24"/>
          <w:highlight w:val="none"/>
        </w:rPr>
        <w:t>.2.3运营维护应符合本项目适用法律和中国国家行业规范、标准的要求，保障污水处理厂、排水管网及泵站正常运行的生产管理制度、安全生产制度、水质检验制度。</w:t>
      </w:r>
    </w:p>
    <w:p w14:paraId="252055ED">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55" w:name="_Toc22234187"/>
      <w:r>
        <w:rPr>
          <w:rFonts w:hint="eastAsia" w:ascii="仿宋" w:hAnsi="仿宋" w:eastAsia="仿宋" w:cs="Times New Roman"/>
          <w:b/>
          <w:bCs/>
          <w:color w:val="auto"/>
          <w:kern w:val="0"/>
          <w:sz w:val="28"/>
          <w:szCs w:val="32"/>
          <w:highlight w:val="none"/>
          <w:lang w:val="en-US" w:eastAsia="zh-CN" w:bidi="ar-SA"/>
        </w:rPr>
        <w:t>第</w:t>
      </w:r>
      <w:r>
        <w:rPr>
          <w:rFonts w:ascii="仿宋" w:hAnsi="仿宋" w:eastAsia="仿宋" w:cs="Times New Roman"/>
          <w:b/>
          <w:bCs/>
          <w:color w:val="auto"/>
          <w:kern w:val="0"/>
          <w:sz w:val="28"/>
          <w:szCs w:val="32"/>
          <w:highlight w:val="none"/>
          <w:lang w:val="en-US" w:eastAsia="zh-CN" w:bidi="ar-SA"/>
        </w:rPr>
        <w:t>24</w:t>
      </w:r>
      <w:r>
        <w:rPr>
          <w:rFonts w:hint="eastAsia" w:ascii="仿宋" w:hAnsi="仿宋" w:eastAsia="仿宋" w:cs="Times New Roman"/>
          <w:b/>
          <w:bCs/>
          <w:color w:val="auto"/>
          <w:kern w:val="0"/>
          <w:sz w:val="28"/>
          <w:szCs w:val="32"/>
          <w:highlight w:val="none"/>
          <w:lang w:val="en-US" w:eastAsia="zh-CN" w:bidi="ar-SA"/>
        </w:rPr>
        <w:t>条</w:t>
      </w:r>
      <w:r>
        <w:rPr>
          <w:rFonts w:hint="eastAsia" w:ascii="仿宋" w:hAnsi="仿宋" w:eastAsia="仿宋" w:cs="Times New Roman"/>
          <w:b/>
          <w:bCs/>
          <w:color w:val="auto"/>
          <w:kern w:val="0"/>
          <w:sz w:val="28"/>
          <w:szCs w:val="32"/>
          <w:highlight w:val="none"/>
          <w:lang w:val="en-US" w:eastAsia="zh-CN" w:bidi="ar-SA"/>
        </w:rPr>
        <w:tab/>
      </w:r>
      <w:r>
        <w:rPr>
          <w:rFonts w:hint="eastAsia" w:ascii="仿宋" w:hAnsi="仿宋" w:eastAsia="仿宋" w:cs="Times New Roman"/>
          <w:b/>
          <w:bCs/>
          <w:color w:val="auto"/>
          <w:kern w:val="0"/>
          <w:sz w:val="28"/>
          <w:szCs w:val="32"/>
          <w:highlight w:val="none"/>
          <w:lang w:val="en-US" w:eastAsia="zh-CN" w:bidi="ar-SA"/>
        </w:rPr>
        <w:t>报告</w:t>
      </w:r>
      <w:bookmarkEnd w:id="555"/>
    </w:p>
    <w:p w14:paraId="4869E2C8">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24</w:t>
      </w:r>
      <w:r>
        <w:rPr>
          <w:rFonts w:hint="eastAsia" w:ascii="仿宋" w:hAnsi="仿宋" w:eastAsia="仿宋" w:cs="Times New Roman"/>
          <w:color w:val="auto"/>
          <w:kern w:val="0"/>
          <w:sz w:val="24"/>
          <w:szCs w:val="24"/>
          <w:highlight w:val="none"/>
        </w:rPr>
        <w:t>.1乙方应按照本协议的约定，按甲方的要求如实向其履行如下报告义务，包括但不限于以下内容：</w:t>
      </w:r>
    </w:p>
    <w:p w14:paraId="501AAAEF">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24</w:t>
      </w:r>
      <w:r>
        <w:rPr>
          <w:rFonts w:hint="eastAsia" w:ascii="仿宋" w:hAnsi="仿宋" w:eastAsia="仿宋" w:cs="Times New Roman"/>
          <w:color w:val="auto"/>
          <w:kern w:val="0"/>
          <w:sz w:val="24"/>
          <w:szCs w:val="24"/>
          <w:highlight w:val="none"/>
        </w:rPr>
        <w:t>.1.1日常运营报表，分为月报、季报、半年报和年报；</w:t>
      </w:r>
    </w:p>
    <w:p w14:paraId="0992D3AE">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24</w:t>
      </w:r>
      <w:r>
        <w:rPr>
          <w:rFonts w:hint="eastAsia" w:ascii="仿宋" w:hAnsi="仿宋" w:eastAsia="仿宋" w:cs="Times New Roman"/>
          <w:color w:val="auto"/>
          <w:kern w:val="0"/>
          <w:sz w:val="24"/>
          <w:szCs w:val="24"/>
          <w:highlight w:val="none"/>
        </w:rPr>
        <w:t>.1.2临时报告；</w:t>
      </w:r>
    </w:p>
    <w:p w14:paraId="7E342184">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24</w:t>
      </w:r>
      <w:r>
        <w:rPr>
          <w:rFonts w:hint="eastAsia" w:ascii="仿宋" w:hAnsi="仿宋" w:eastAsia="仿宋" w:cs="Times New Roman"/>
          <w:color w:val="auto"/>
          <w:kern w:val="0"/>
          <w:sz w:val="24"/>
          <w:szCs w:val="24"/>
          <w:highlight w:val="none"/>
        </w:rPr>
        <w:t>.1.3甲方合理要求的其他运营资料。</w:t>
      </w:r>
    </w:p>
    <w:p w14:paraId="05CDBE1C">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以上报告具体内容、表式及上报时间由甲方根据监管的需要予以确定，由甲方驻厂代表负责签收，驻厂代表根据甲方的要求负责对乙方的履约监管。</w:t>
      </w:r>
    </w:p>
    <w:p w14:paraId="2208E2F5">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24</w:t>
      </w:r>
      <w:r>
        <w:rPr>
          <w:rFonts w:hint="eastAsia" w:ascii="仿宋" w:hAnsi="仿宋" w:eastAsia="仿宋" w:cs="Times New Roman"/>
          <w:color w:val="auto"/>
          <w:kern w:val="0"/>
          <w:sz w:val="24"/>
          <w:szCs w:val="24"/>
          <w:highlight w:val="none"/>
        </w:rPr>
        <w:t>.2日常运营报表的内容应包括：</w:t>
      </w:r>
    </w:p>
    <w:p w14:paraId="076FB7E2">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24</w:t>
      </w:r>
      <w:r>
        <w:rPr>
          <w:rFonts w:hint="eastAsia" w:ascii="仿宋" w:hAnsi="仿宋" w:eastAsia="仿宋" w:cs="Times New Roman"/>
          <w:color w:val="auto"/>
          <w:kern w:val="0"/>
          <w:sz w:val="24"/>
          <w:szCs w:val="24"/>
          <w:highlight w:val="none"/>
        </w:rPr>
        <w:t>.2.1运营成本；</w:t>
      </w:r>
    </w:p>
    <w:p w14:paraId="219CABCA">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24</w:t>
      </w:r>
      <w:r>
        <w:rPr>
          <w:rFonts w:hint="eastAsia" w:ascii="仿宋" w:hAnsi="仿宋" w:eastAsia="仿宋" w:cs="Times New Roman"/>
          <w:color w:val="auto"/>
          <w:kern w:val="0"/>
          <w:sz w:val="24"/>
          <w:szCs w:val="24"/>
          <w:highlight w:val="none"/>
        </w:rPr>
        <w:t>.2.2运营维护手册中日常运行维护的内容。包括但不限于：污水处理厂及管网进水量、出水量、</w:t>
      </w:r>
      <w:r>
        <w:rPr>
          <w:rFonts w:hint="eastAsia" w:ascii="仿宋" w:hAnsi="仿宋" w:eastAsia="仿宋" w:cs="Times New Roman"/>
          <w:color w:val="auto"/>
          <w:kern w:val="0"/>
          <w:sz w:val="24"/>
          <w:szCs w:val="24"/>
          <w:highlight w:val="none"/>
          <w:lang w:val="en-US" w:eastAsia="zh-CN"/>
        </w:rPr>
        <w:t>进</w:t>
      </w:r>
      <w:r>
        <w:rPr>
          <w:rFonts w:hint="eastAsia" w:ascii="仿宋" w:hAnsi="仿宋" w:eastAsia="仿宋" w:cs="Times New Roman"/>
          <w:color w:val="auto"/>
          <w:kern w:val="0"/>
          <w:sz w:val="24"/>
          <w:szCs w:val="24"/>
          <w:highlight w:val="none"/>
        </w:rPr>
        <w:t>出水质、泥质及污泥量、设备运转率、设备完好率、设备检修情况、限停产记录、事故抢修等数据。</w:t>
      </w:r>
    </w:p>
    <w:p w14:paraId="176B972D">
      <w:pPr>
        <w:spacing w:line="480" w:lineRule="auto"/>
        <w:ind w:firstLine="424" w:firstLineChars="177"/>
        <w:jc w:val="left"/>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24</w:t>
      </w:r>
      <w:r>
        <w:rPr>
          <w:rFonts w:hint="eastAsia" w:ascii="仿宋" w:hAnsi="仿宋" w:eastAsia="仿宋" w:cs="Times New Roman"/>
          <w:color w:val="auto"/>
          <w:kern w:val="0"/>
          <w:sz w:val="24"/>
          <w:szCs w:val="24"/>
          <w:highlight w:val="none"/>
        </w:rPr>
        <w:t>.3 乙方应于次月的前</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5</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日内向甲方提交月报，季报应于每个季度结束后</w:t>
      </w:r>
      <w:r>
        <w:rPr>
          <w:rFonts w:hint="eastAsia" w:ascii="仿宋" w:hAnsi="仿宋" w:eastAsia="仿宋" w:cs="Times New Roman"/>
          <w:color w:val="auto"/>
          <w:kern w:val="2"/>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10</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eastAsia="zh-CN"/>
        </w:rPr>
        <w:t>日内向甲方提交</w:t>
      </w:r>
      <w:r>
        <w:rPr>
          <w:rFonts w:hint="eastAsia" w:ascii="仿宋" w:hAnsi="仿宋" w:eastAsia="仿宋" w:cs="Times New Roman"/>
          <w:color w:val="auto"/>
          <w:kern w:val="0"/>
          <w:sz w:val="24"/>
          <w:szCs w:val="24"/>
          <w:highlight w:val="none"/>
        </w:rPr>
        <w:t>，半年报应于每个运营年的</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7</w:t>
      </w:r>
      <w:r>
        <w:rPr>
          <w:rFonts w:hint="eastAsia" w:ascii="仿宋" w:hAnsi="仿宋" w:eastAsia="仿宋" w:cs="Times New Roman"/>
          <w:color w:val="auto"/>
          <w:kern w:val="0"/>
          <w:sz w:val="24"/>
          <w:szCs w:val="24"/>
          <w:highlight w:val="none"/>
          <w:u w:val="single"/>
        </w:rPr>
        <w:t xml:space="preserve"> 月 </w:t>
      </w:r>
      <w:r>
        <w:rPr>
          <w:rFonts w:hint="eastAsia" w:ascii="仿宋" w:hAnsi="仿宋" w:eastAsia="仿宋" w:cs="Times New Roman"/>
          <w:color w:val="auto"/>
          <w:kern w:val="0"/>
          <w:sz w:val="24"/>
          <w:szCs w:val="24"/>
          <w:highlight w:val="none"/>
          <w:u w:val="single"/>
          <w:lang w:val="en-US" w:eastAsia="zh-CN"/>
        </w:rPr>
        <w:t>15</w:t>
      </w:r>
      <w:r>
        <w:rPr>
          <w:rFonts w:hint="eastAsia" w:ascii="仿宋" w:hAnsi="仿宋" w:eastAsia="仿宋" w:cs="Times New Roman"/>
          <w:color w:val="auto"/>
          <w:kern w:val="0"/>
          <w:sz w:val="24"/>
          <w:szCs w:val="24"/>
          <w:highlight w:val="none"/>
          <w:u w:val="single"/>
        </w:rPr>
        <w:t xml:space="preserve"> 日</w:t>
      </w:r>
      <w:r>
        <w:rPr>
          <w:rFonts w:hint="eastAsia" w:ascii="仿宋" w:hAnsi="仿宋" w:eastAsia="仿宋" w:cs="Times New Roman"/>
          <w:color w:val="auto"/>
          <w:kern w:val="0"/>
          <w:sz w:val="24"/>
          <w:szCs w:val="24"/>
          <w:highlight w:val="none"/>
        </w:rPr>
        <w:t>之前和次年的</w:t>
      </w:r>
      <w:r>
        <w:rPr>
          <w:rFonts w:hint="eastAsia" w:ascii="仿宋" w:hAnsi="仿宋" w:eastAsia="仿宋" w:cs="Times New Roman"/>
          <w:color w:val="auto"/>
          <w:kern w:val="0"/>
          <w:sz w:val="24"/>
          <w:szCs w:val="24"/>
          <w:highlight w:val="none"/>
          <w:u w:val="single"/>
          <w:lang w:val="en-US" w:eastAsia="zh-CN"/>
        </w:rPr>
        <w:t>1</w:t>
      </w:r>
      <w:r>
        <w:rPr>
          <w:rFonts w:hint="eastAsia" w:ascii="仿宋" w:hAnsi="仿宋" w:eastAsia="仿宋" w:cs="Times New Roman"/>
          <w:color w:val="auto"/>
          <w:kern w:val="0"/>
          <w:sz w:val="24"/>
          <w:szCs w:val="24"/>
          <w:highlight w:val="none"/>
          <w:u w:val="single"/>
        </w:rPr>
        <w:t xml:space="preserve">月 </w:t>
      </w:r>
      <w:r>
        <w:rPr>
          <w:rFonts w:hint="eastAsia" w:ascii="仿宋" w:hAnsi="仿宋" w:eastAsia="仿宋" w:cs="Times New Roman"/>
          <w:color w:val="auto"/>
          <w:kern w:val="0"/>
          <w:sz w:val="24"/>
          <w:szCs w:val="24"/>
          <w:highlight w:val="none"/>
          <w:u w:val="single"/>
          <w:lang w:val="en-US" w:eastAsia="zh-CN"/>
        </w:rPr>
        <w:t>15</w:t>
      </w:r>
      <w:r>
        <w:rPr>
          <w:rFonts w:hint="eastAsia" w:ascii="仿宋" w:hAnsi="仿宋" w:eastAsia="仿宋" w:cs="Times New Roman"/>
          <w:color w:val="auto"/>
          <w:kern w:val="0"/>
          <w:sz w:val="24"/>
          <w:szCs w:val="24"/>
          <w:highlight w:val="none"/>
          <w:u w:val="single"/>
        </w:rPr>
        <w:t xml:space="preserve"> 日</w:t>
      </w:r>
      <w:r>
        <w:rPr>
          <w:rFonts w:hint="eastAsia" w:ascii="仿宋" w:hAnsi="仿宋" w:eastAsia="仿宋" w:cs="Times New Roman"/>
          <w:color w:val="auto"/>
          <w:kern w:val="0"/>
          <w:sz w:val="24"/>
          <w:szCs w:val="24"/>
          <w:highlight w:val="none"/>
        </w:rPr>
        <w:t>之前提交给甲方，年报应于次年的</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1</w:t>
      </w:r>
      <w:r>
        <w:rPr>
          <w:rFonts w:hint="eastAsia" w:ascii="仿宋" w:hAnsi="仿宋" w:eastAsia="仿宋" w:cs="Times New Roman"/>
          <w:color w:val="auto"/>
          <w:kern w:val="0"/>
          <w:sz w:val="24"/>
          <w:szCs w:val="24"/>
          <w:highlight w:val="none"/>
          <w:u w:val="single"/>
        </w:rPr>
        <w:t xml:space="preserve"> 月 </w:t>
      </w:r>
      <w:r>
        <w:rPr>
          <w:rFonts w:hint="eastAsia" w:ascii="仿宋" w:hAnsi="仿宋" w:eastAsia="仿宋" w:cs="Times New Roman"/>
          <w:color w:val="auto"/>
          <w:kern w:val="0"/>
          <w:sz w:val="24"/>
          <w:szCs w:val="24"/>
          <w:highlight w:val="none"/>
          <w:u w:val="single"/>
          <w:lang w:val="en-US" w:eastAsia="zh-CN"/>
        </w:rPr>
        <w:t>31</w:t>
      </w:r>
      <w:r>
        <w:rPr>
          <w:rFonts w:hint="eastAsia" w:ascii="仿宋" w:hAnsi="仿宋" w:eastAsia="仿宋" w:cs="Times New Roman"/>
          <w:color w:val="auto"/>
          <w:kern w:val="0"/>
          <w:sz w:val="24"/>
          <w:szCs w:val="24"/>
          <w:highlight w:val="none"/>
          <w:u w:val="single"/>
        </w:rPr>
        <w:t xml:space="preserve"> 日</w:t>
      </w:r>
      <w:r>
        <w:rPr>
          <w:rFonts w:hint="eastAsia" w:ascii="仿宋" w:hAnsi="仿宋" w:eastAsia="仿宋" w:cs="Times New Roman"/>
          <w:color w:val="auto"/>
          <w:kern w:val="0"/>
          <w:sz w:val="24"/>
          <w:szCs w:val="24"/>
          <w:highlight w:val="none"/>
        </w:rPr>
        <w:t>之前提交给甲方（最后一个运营年的半年报和年报是否需提交以及提交的时点由甲方视情形而定）。</w:t>
      </w:r>
    </w:p>
    <w:p w14:paraId="7BC367B9">
      <w:pPr>
        <w:spacing w:line="480" w:lineRule="auto"/>
        <w:ind w:firstLine="424" w:firstLineChars="177"/>
        <w:rPr>
          <w:rFonts w:hint="eastAsia"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24</w:t>
      </w:r>
      <w:r>
        <w:rPr>
          <w:rFonts w:hint="eastAsia" w:ascii="仿宋" w:hAnsi="仿宋" w:eastAsia="仿宋" w:cs="Times New Roman"/>
          <w:color w:val="auto"/>
          <w:kern w:val="0"/>
          <w:sz w:val="24"/>
          <w:szCs w:val="24"/>
          <w:highlight w:val="none"/>
        </w:rPr>
        <w:t>.4 发生特殊或紧急情况（包括但不限于发生不可抗力、发生事故、水质/污泥超标、未能或将不能按批准的计划方案进行暂停）时，乙方应提交临时报告。</w:t>
      </w:r>
    </w:p>
    <w:p w14:paraId="47048D2F">
      <w:pPr>
        <w:keepNext/>
        <w:keepLines/>
        <w:widowControl w:val="0"/>
        <w:jc w:val="center"/>
        <w:outlineLvl w:val="0"/>
        <w:rPr>
          <w:rFonts w:ascii="仿宋" w:hAnsi="仿宋" w:eastAsia="仿宋" w:cs="Times New Roman"/>
          <w:b/>
          <w:bCs/>
          <w:color w:val="auto"/>
          <w:kern w:val="44"/>
          <w:sz w:val="30"/>
          <w:szCs w:val="44"/>
          <w:highlight w:val="none"/>
          <w:lang w:val="en-US" w:eastAsia="zh-CN" w:bidi="ar-SA"/>
        </w:rPr>
      </w:pPr>
      <w:bookmarkStart w:id="556" w:name="_Toc22234188"/>
      <w:r>
        <w:rPr>
          <w:rFonts w:hint="eastAsia" w:ascii="仿宋" w:hAnsi="仿宋" w:eastAsia="仿宋" w:cs="Times New Roman"/>
          <w:b/>
          <w:bCs/>
          <w:color w:val="auto"/>
          <w:kern w:val="44"/>
          <w:sz w:val="30"/>
          <w:szCs w:val="44"/>
          <w:highlight w:val="none"/>
          <w:lang w:val="en-US" w:eastAsia="zh-CN" w:bidi="ar-SA"/>
        </w:rPr>
        <w:t>第八章</w:t>
      </w:r>
      <w:r>
        <w:rPr>
          <w:rFonts w:hint="eastAsia" w:ascii="仿宋" w:hAnsi="仿宋" w:eastAsia="仿宋" w:cs="Times New Roman"/>
          <w:b/>
          <w:bCs/>
          <w:color w:val="auto"/>
          <w:kern w:val="44"/>
          <w:sz w:val="30"/>
          <w:szCs w:val="44"/>
          <w:highlight w:val="none"/>
          <w:lang w:val="en-US" w:eastAsia="zh-CN" w:bidi="ar-SA"/>
        </w:rPr>
        <w:tab/>
      </w:r>
      <w:r>
        <w:rPr>
          <w:rFonts w:hint="eastAsia" w:ascii="仿宋" w:hAnsi="仿宋" w:eastAsia="仿宋" w:cs="Times New Roman"/>
          <w:b/>
          <w:bCs/>
          <w:color w:val="auto"/>
          <w:kern w:val="44"/>
          <w:sz w:val="30"/>
          <w:szCs w:val="44"/>
          <w:highlight w:val="none"/>
          <w:lang w:val="en-US" w:eastAsia="zh-CN" w:bidi="ar-SA"/>
        </w:rPr>
        <w:t>暂停</w:t>
      </w:r>
      <w:bookmarkEnd w:id="556"/>
    </w:p>
    <w:p w14:paraId="2BA8D7F9">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57" w:name="_Toc22234189"/>
      <w:r>
        <w:rPr>
          <w:rFonts w:hint="eastAsia" w:ascii="仿宋" w:hAnsi="仿宋" w:eastAsia="仿宋" w:cs="Times New Roman"/>
          <w:b/>
          <w:bCs/>
          <w:color w:val="auto"/>
          <w:kern w:val="0"/>
          <w:sz w:val="28"/>
          <w:szCs w:val="32"/>
          <w:highlight w:val="none"/>
          <w:lang w:val="en-US" w:eastAsia="zh-CN" w:bidi="ar-SA"/>
        </w:rPr>
        <w:t>第</w:t>
      </w:r>
      <w:r>
        <w:rPr>
          <w:rFonts w:ascii="仿宋" w:hAnsi="仿宋" w:eastAsia="仿宋" w:cs="Times New Roman"/>
          <w:b/>
          <w:bCs/>
          <w:color w:val="auto"/>
          <w:kern w:val="0"/>
          <w:sz w:val="28"/>
          <w:szCs w:val="32"/>
          <w:highlight w:val="none"/>
          <w:lang w:val="en-US" w:eastAsia="zh-CN" w:bidi="ar-SA"/>
        </w:rPr>
        <w:t>25</w:t>
      </w:r>
      <w:r>
        <w:rPr>
          <w:rFonts w:hint="eastAsia" w:ascii="仿宋" w:hAnsi="仿宋" w:eastAsia="仿宋" w:cs="Times New Roman"/>
          <w:b/>
          <w:bCs/>
          <w:color w:val="auto"/>
          <w:kern w:val="0"/>
          <w:sz w:val="28"/>
          <w:szCs w:val="32"/>
          <w:highlight w:val="none"/>
          <w:lang w:val="en-US" w:eastAsia="zh-CN" w:bidi="ar-SA"/>
        </w:rPr>
        <w:t>条</w:t>
      </w:r>
      <w:r>
        <w:rPr>
          <w:rFonts w:hint="eastAsia" w:ascii="仿宋" w:hAnsi="仿宋" w:eastAsia="仿宋" w:cs="Times New Roman"/>
          <w:b/>
          <w:bCs/>
          <w:color w:val="auto"/>
          <w:kern w:val="0"/>
          <w:sz w:val="28"/>
          <w:szCs w:val="32"/>
          <w:highlight w:val="none"/>
          <w:lang w:val="en-US" w:eastAsia="zh-CN" w:bidi="ar-SA"/>
        </w:rPr>
        <w:tab/>
      </w:r>
      <w:r>
        <w:rPr>
          <w:rFonts w:hint="eastAsia" w:ascii="仿宋" w:hAnsi="仿宋" w:eastAsia="仿宋" w:cs="Times New Roman"/>
          <w:b/>
          <w:bCs/>
          <w:color w:val="auto"/>
          <w:kern w:val="0"/>
          <w:sz w:val="28"/>
          <w:szCs w:val="32"/>
          <w:highlight w:val="none"/>
          <w:lang w:val="en-US" w:eastAsia="zh-CN" w:bidi="ar-SA"/>
        </w:rPr>
        <w:t>计划内暂停</w:t>
      </w:r>
      <w:bookmarkEnd w:id="557"/>
    </w:p>
    <w:p w14:paraId="699E3086">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25</w:t>
      </w:r>
      <w:r>
        <w:rPr>
          <w:rFonts w:hint="eastAsia" w:ascii="仿宋" w:hAnsi="仿宋" w:eastAsia="仿宋" w:cs="Times New Roman"/>
          <w:color w:val="auto"/>
          <w:kern w:val="0"/>
          <w:sz w:val="24"/>
          <w:szCs w:val="24"/>
          <w:highlight w:val="none"/>
        </w:rPr>
        <w:t>.1乙方应于每一运营</w:t>
      </w:r>
      <w:r>
        <w:rPr>
          <w:rFonts w:hint="eastAsia" w:ascii="仿宋" w:hAnsi="仿宋" w:eastAsia="仿宋" w:cs="Times New Roman"/>
          <w:color w:val="auto"/>
          <w:kern w:val="0"/>
          <w:sz w:val="24"/>
          <w:szCs w:val="24"/>
          <w:highlight w:val="none"/>
          <w:lang w:eastAsia="zh-CN"/>
        </w:rPr>
        <w:t>年度</w:t>
      </w:r>
      <w:r>
        <w:rPr>
          <w:rFonts w:hint="eastAsia" w:ascii="仿宋" w:hAnsi="仿宋" w:eastAsia="仿宋" w:cs="Times New Roman"/>
          <w:color w:val="auto"/>
          <w:kern w:val="0"/>
          <w:sz w:val="24"/>
          <w:szCs w:val="24"/>
          <w:highlight w:val="none"/>
        </w:rPr>
        <w:t>开始前一个月向甲方提交该运营年度的计划内暂停时间表。每一运营年计划内暂停服务不得超过</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15</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日。甲方应在该运营年开始前</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15</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日就该时间表作出批准与否的决定，乙方应根据甲方对该时间表的意见作相应修改，直至取得甲方的批准。</w:t>
      </w:r>
    </w:p>
    <w:p w14:paraId="50395CCF">
      <w:pPr>
        <w:spacing w:line="480" w:lineRule="auto"/>
        <w:ind w:firstLine="424" w:firstLineChars="177"/>
        <w:jc w:val="left"/>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25</w:t>
      </w:r>
      <w:r>
        <w:rPr>
          <w:rFonts w:hint="eastAsia" w:ascii="仿宋" w:hAnsi="仿宋" w:eastAsia="仿宋" w:cs="Times New Roman"/>
          <w:color w:val="auto"/>
          <w:kern w:val="0"/>
          <w:sz w:val="24"/>
          <w:szCs w:val="24"/>
          <w:highlight w:val="none"/>
        </w:rPr>
        <w:t>.2乙方根据经甲方批准之时间表实施计划内暂停时，应至少提前</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7</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日书面通知甲方，该通知应包括如下内容：</w:t>
      </w:r>
    </w:p>
    <w:p w14:paraId="7C25A51C">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25</w:t>
      </w:r>
      <w:r>
        <w:rPr>
          <w:rFonts w:hint="eastAsia" w:ascii="仿宋" w:hAnsi="仿宋" w:eastAsia="仿宋" w:cs="Times New Roman"/>
          <w:color w:val="auto"/>
          <w:kern w:val="0"/>
          <w:sz w:val="24"/>
          <w:szCs w:val="24"/>
          <w:highlight w:val="none"/>
        </w:rPr>
        <w:t>.2.1计划内暂停服务的范围和理由；</w:t>
      </w:r>
    </w:p>
    <w:p w14:paraId="003B1AB4">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25</w:t>
      </w:r>
      <w:r>
        <w:rPr>
          <w:rFonts w:hint="eastAsia" w:ascii="仿宋" w:hAnsi="仿宋" w:eastAsia="仿宋" w:cs="Times New Roman"/>
          <w:color w:val="auto"/>
          <w:kern w:val="0"/>
          <w:sz w:val="24"/>
          <w:szCs w:val="24"/>
          <w:highlight w:val="none"/>
        </w:rPr>
        <w:t>.2.2计划内暂停服务的起止时间；</w:t>
      </w:r>
    </w:p>
    <w:p w14:paraId="34A6D3B4">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25</w:t>
      </w:r>
      <w:r>
        <w:rPr>
          <w:rFonts w:hint="eastAsia" w:ascii="仿宋" w:hAnsi="仿宋" w:eastAsia="仿宋" w:cs="Times New Roman"/>
          <w:color w:val="auto"/>
          <w:kern w:val="0"/>
          <w:sz w:val="24"/>
          <w:szCs w:val="24"/>
          <w:highlight w:val="none"/>
        </w:rPr>
        <w:t>.2.3计划内暂停服务期间预计能够处理达标的水量；</w:t>
      </w:r>
    </w:p>
    <w:p w14:paraId="5952714A">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25</w:t>
      </w:r>
      <w:r>
        <w:rPr>
          <w:rFonts w:hint="eastAsia" w:ascii="仿宋" w:hAnsi="仿宋" w:eastAsia="仿宋" w:cs="Times New Roman"/>
          <w:color w:val="auto"/>
          <w:kern w:val="0"/>
          <w:sz w:val="24"/>
          <w:szCs w:val="24"/>
          <w:highlight w:val="none"/>
        </w:rPr>
        <w:t>.2.4恢复污水处理服务的预计时间。</w:t>
      </w:r>
    </w:p>
    <w:p w14:paraId="362B1553">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25</w:t>
      </w:r>
      <w:r>
        <w:rPr>
          <w:rFonts w:hint="eastAsia" w:ascii="仿宋" w:hAnsi="仿宋" w:eastAsia="仿宋" w:cs="Times New Roman"/>
          <w:color w:val="auto"/>
          <w:kern w:val="0"/>
          <w:sz w:val="24"/>
          <w:szCs w:val="24"/>
          <w:highlight w:val="none"/>
        </w:rPr>
        <w:t>.3乙方应尽最大努力确保计划内暂停的影响减到最小，项目设施在计划内暂停服务期间应至少保持日均处理水量达到</w:t>
      </w:r>
      <w:r>
        <w:rPr>
          <w:rFonts w:hint="eastAsia" w:ascii="仿宋" w:hAnsi="仿宋" w:eastAsia="仿宋" w:cs="Times New Roman"/>
          <w:color w:val="auto"/>
          <w:kern w:val="0"/>
          <w:sz w:val="24"/>
          <w:szCs w:val="24"/>
          <w:highlight w:val="none"/>
          <w:lang w:val="en-US" w:eastAsia="zh-CN"/>
        </w:rPr>
        <w:t>设计处理</w:t>
      </w:r>
      <w:r>
        <w:rPr>
          <w:rFonts w:hint="eastAsia" w:ascii="仿宋" w:hAnsi="仿宋" w:eastAsia="仿宋" w:cs="Times New Roman"/>
          <w:color w:val="auto"/>
          <w:kern w:val="0"/>
          <w:sz w:val="24"/>
          <w:szCs w:val="24"/>
          <w:highlight w:val="none"/>
        </w:rPr>
        <w:t>水量的</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50</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%的运营能力。</w:t>
      </w:r>
    </w:p>
    <w:p w14:paraId="5DE343B3">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25</w:t>
      </w:r>
      <w:r>
        <w:rPr>
          <w:rFonts w:hint="eastAsia" w:ascii="仿宋" w:hAnsi="仿宋" w:eastAsia="仿宋" w:cs="Times New Roman"/>
          <w:color w:val="auto"/>
          <w:kern w:val="0"/>
          <w:sz w:val="24"/>
          <w:szCs w:val="24"/>
          <w:highlight w:val="none"/>
        </w:rPr>
        <w:t>.4若乙方因项目设施维护之目的，需要修改经甲方批准的计划内暂停服务时间表，则应提前</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15</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日向甲方提交暂停服务的书面申请，该申请应明确预定的暂停服务起止时间，并附维护期间维持部分运营的措施方案。若该等暂停服务不影响公共利益，则甲方应予以批准。</w:t>
      </w:r>
    </w:p>
    <w:p w14:paraId="3A6459E2">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如乙方计划内暂停的天数超出本协议第</w:t>
      </w:r>
      <w:r>
        <w:rPr>
          <w:rFonts w:hint="default" w:ascii="仿宋" w:hAnsi="仿宋" w:eastAsia="仿宋" w:cs="Times New Roman"/>
          <w:color w:val="auto"/>
          <w:kern w:val="0"/>
          <w:sz w:val="24"/>
          <w:szCs w:val="24"/>
          <w:highlight w:val="none"/>
        </w:rPr>
        <w:t>25</w:t>
      </w:r>
      <w:r>
        <w:rPr>
          <w:rFonts w:hint="eastAsia" w:ascii="仿宋" w:hAnsi="仿宋" w:eastAsia="仿宋" w:cs="Times New Roman"/>
          <w:color w:val="auto"/>
          <w:kern w:val="0"/>
          <w:sz w:val="24"/>
          <w:szCs w:val="24"/>
          <w:highlight w:val="none"/>
        </w:rPr>
        <w:t>.1款约定的上限的，则乙方应在预估暂停期间之前</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15</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日向甲方提交延长暂停期间的书面申请，该申请参照第</w:t>
      </w:r>
      <w:r>
        <w:rPr>
          <w:rFonts w:hint="default" w:ascii="仿宋" w:hAnsi="仿宋" w:eastAsia="仿宋" w:cs="Times New Roman"/>
          <w:color w:val="auto"/>
          <w:kern w:val="0"/>
          <w:sz w:val="24"/>
          <w:szCs w:val="24"/>
          <w:highlight w:val="none"/>
        </w:rPr>
        <w:t>25</w:t>
      </w:r>
      <w:r>
        <w:rPr>
          <w:rFonts w:hint="eastAsia" w:ascii="仿宋" w:hAnsi="仿宋" w:eastAsia="仿宋" w:cs="Times New Roman"/>
          <w:color w:val="auto"/>
          <w:kern w:val="0"/>
          <w:sz w:val="24"/>
          <w:szCs w:val="24"/>
          <w:highlight w:val="none"/>
        </w:rPr>
        <w:t>.2款的有关内容明确拟延长的暂停期间的有关事宜，该等延长暂停期间的申请方案在报经甲方批准后实施。如乙方计划内暂停天数超出第</w:t>
      </w:r>
      <w:r>
        <w:rPr>
          <w:rFonts w:hint="default" w:ascii="仿宋" w:hAnsi="仿宋" w:eastAsia="仿宋" w:cs="Times New Roman"/>
          <w:color w:val="auto"/>
          <w:kern w:val="0"/>
          <w:sz w:val="24"/>
          <w:szCs w:val="24"/>
          <w:highlight w:val="none"/>
        </w:rPr>
        <w:t>25</w:t>
      </w:r>
      <w:r>
        <w:rPr>
          <w:rFonts w:hint="eastAsia" w:ascii="仿宋" w:hAnsi="仿宋" w:eastAsia="仿宋" w:cs="Times New Roman"/>
          <w:color w:val="auto"/>
          <w:kern w:val="0"/>
          <w:sz w:val="24"/>
          <w:szCs w:val="24"/>
          <w:highlight w:val="none"/>
        </w:rPr>
        <w:t>.1款约定的上限，且未按照本款约定提前报经甲方批准的，则视作擅自停运，甲方有权按照本协议第</w:t>
      </w:r>
      <w:r>
        <w:rPr>
          <w:rFonts w:hint="default" w:ascii="仿宋" w:hAnsi="仿宋" w:eastAsia="仿宋" w:cs="Times New Roman"/>
          <w:color w:val="auto"/>
          <w:kern w:val="0"/>
          <w:sz w:val="24"/>
          <w:szCs w:val="24"/>
          <w:highlight w:val="none"/>
        </w:rPr>
        <w:t>29</w:t>
      </w:r>
      <w:r>
        <w:rPr>
          <w:rFonts w:hint="eastAsia" w:ascii="仿宋" w:hAnsi="仿宋" w:eastAsia="仿宋" w:cs="Times New Roman"/>
          <w:color w:val="auto"/>
          <w:kern w:val="0"/>
          <w:sz w:val="24"/>
          <w:szCs w:val="24"/>
          <w:highlight w:val="none"/>
        </w:rPr>
        <w:t>.</w:t>
      </w:r>
      <w:r>
        <w:rPr>
          <w:rFonts w:hint="default" w:ascii="仿宋" w:hAnsi="仿宋" w:eastAsia="仿宋" w:cs="Times New Roman"/>
          <w:color w:val="auto"/>
          <w:kern w:val="0"/>
          <w:sz w:val="24"/>
          <w:szCs w:val="24"/>
          <w:highlight w:val="none"/>
        </w:rPr>
        <w:t>7</w:t>
      </w:r>
      <w:r>
        <w:rPr>
          <w:rFonts w:hint="eastAsia" w:ascii="仿宋" w:hAnsi="仿宋" w:eastAsia="仿宋" w:cs="Times New Roman"/>
          <w:color w:val="auto"/>
          <w:kern w:val="0"/>
          <w:sz w:val="24"/>
          <w:szCs w:val="24"/>
          <w:highlight w:val="none"/>
        </w:rPr>
        <w:t>款的约定计收违约金。</w:t>
      </w:r>
    </w:p>
    <w:p w14:paraId="304469AE">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58" w:name="_Toc22234190"/>
      <w:r>
        <w:rPr>
          <w:rFonts w:hint="eastAsia" w:ascii="仿宋" w:hAnsi="仿宋" w:eastAsia="仿宋" w:cs="Times New Roman"/>
          <w:b/>
          <w:bCs/>
          <w:color w:val="auto"/>
          <w:kern w:val="0"/>
          <w:sz w:val="28"/>
          <w:szCs w:val="32"/>
          <w:highlight w:val="none"/>
          <w:lang w:val="en-US" w:eastAsia="zh-CN" w:bidi="ar-SA"/>
        </w:rPr>
        <w:t>第</w:t>
      </w:r>
      <w:r>
        <w:rPr>
          <w:rFonts w:ascii="仿宋" w:hAnsi="仿宋" w:eastAsia="仿宋" w:cs="Times New Roman"/>
          <w:b/>
          <w:bCs/>
          <w:color w:val="auto"/>
          <w:kern w:val="0"/>
          <w:sz w:val="28"/>
          <w:szCs w:val="32"/>
          <w:highlight w:val="none"/>
          <w:lang w:val="en-US" w:eastAsia="zh-CN" w:bidi="ar-SA"/>
        </w:rPr>
        <w:t>26</w:t>
      </w:r>
      <w:r>
        <w:rPr>
          <w:rFonts w:hint="eastAsia" w:ascii="仿宋" w:hAnsi="仿宋" w:eastAsia="仿宋" w:cs="Times New Roman"/>
          <w:b/>
          <w:bCs/>
          <w:color w:val="auto"/>
          <w:kern w:val="0"/>
          <w:sz w:val="28"/>
          <w:szCs w:val="32"/>
          <w:highlight w:val="none"/>
          <w:lang w:val="en-US" w:eastAsia="zh-CN" w:bidi="ar-SA"/>
        </w:rPr>
        <w:t>条</w:t>
      </w:r>
      <w:r>
        <w:rPr>
          <w:rFonts w:hint="eastAsia" w:ascii="仿宋" w:hAnsi="仿宋" w:eastAsia="仿宋" w:cs="Times New Roman"/>
          <w:b/>
          <w:bCs/>
          <w:color w:val="auto"/>
          <w:kern w:val="0"/>
          <w:sz w:val="28"/>
          <w:szCs w:val="32"/>
          <w:highlight w:val="none"/>
          <w:lang w:val="en-US" w:eastAsia="zh-CN" w:bidi="ar-SA"/>
        </w:rPr>
        <w:tab/>
      </w:r>
      <w:r>
        <w:rPr>
          <w:rFonts w:hint="eastAsia" w:ascii="仿宋" w:hAnsi="仿宋" w:eastAsia="仿宋" w:cs="Times New Roman"/>
          <w:b/>
          <w:bCs/>
          <w:color w:val="auto"/>
          <w:kern w:val="0"/>
          <w:sz w:val="28"/>
          <w:szCs w:val="32"/>
          <w:highlight w:val="none"/>
          <w:lang w:val="en-US" w:eastAsia="zh-CN" w:bidi="ar-SA"/>
        </w:rPr>
        <w:t>计划外暂停</w:t>
      </w:r>
      <w:bookmarkEnd w:id="558"/>
    </w:p>
    <w:p w14:paraId="4C4089AF">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26</w:t>
      </w:r>
      <w:r>
        <w:rPr>
          <w:rFonts w:hint="eastAsia" w:ascii="仿宋" w:hAnsi="仿宋" w:eastAsia="仿宋" w:cs="Times New Roman"/>
          <w:color w:val="auto"/>
          <w:kern w:val="0"/>
          <w:sz w:val="24"/>
          <w:szCs w:val="24"/>
          <w:highlight w:val="none"/>
        </w:rPr>
        <w:t>.l甲方因重大公共利益和公共安全等原因要求乙方全部或部分暂停污水处理服务时，乙方应在接到甲方通知后立即全部或部分暂停。</w:t>
      </w:r>
    </w:p>
    <w:p w14:paraId="49FB2D04">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26</w:t>
      </w:r>
      <w:r>
        <w:rPr>
          <w:rFonts w:hint="eastAsia" w:ascii="仿宋" w:hAnsi="仿宋" w:eastAsia="仿宋" w:cs="Times New Roman"/>
          <w:color w:val="auto"/>
          <w:kern w:val="0"/>
          <w:sz w:val="24"/>
          <w:szCs w:val="24"/>
          <w:highlight w:val="none"/>
        </w:rPr>
        <w:t>.2由于不可抗力事件、进水水质超标以及未经通知之供电中断导致暂停服务时，乙方应在污水处理全部或部分暂停后立即书面通知甲方，该通知中应说明导致暂停的原因、暂停可能持续的时间以及乙方即将要采取的针对性补救措施，并尽快处理突发事件，使项目设施尽快恢复正常运行。甲方应在收到该等通知后及时予以回复。</w:t>
      </w:r>
    </w:p>
    <w:p w14:paraId="540F4685">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26</w:t>
      </w:r>
      <w:r>
        <w:rPr>
          <w:rFonts w:hint="eastAsia" w:ascii="仿宋" w:hAnsi="仿宋" w:eastAsia="仿宋" w:cs="Times New Roman"/>
          <w:color w:val="auto"/>
          <w:kern w:val="0"/>
          <w:sz w:val="24"/>
          <w:szCs w:val="24"/>
          <w:highlight w:val="none"/>
        </w:rPr>
        <w:t>.3由于乙方的原因，未经甲方同意，导致污水处理厂全部或部分暂停服务时，乙方应在</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4</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小时内立即书面通知甲方（如该等全部或部分暂停发生在非工作时段，则乙方应在暂停发生后两小时内先行向甲方进行口头汇报，并应在此之后的第一个工作日第一时间内书面通知甲方），解释该等暂停服务的原因及提出恢复服务的建议。</w:t>
      </w:r>
    </w:p>
    <w:p w14:paraId="44F03248">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乙方应尽最大努力确保暂停发生后</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12</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小时内恢复服务，若该等暂停超过上述时限，则乙方应书面通知甲方，并应尽最大努力使得该等影响减到最小。若某个运营日发生全部暂停且当日累计暂停超出</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4</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小时（含）的导致污水处理厂部分暂停服务时，甲方有权按照本协议第2</w:t>
      </w:r>
      <w:r>
        <w:rPr>
          <w:rFonts w:hint="default" w:ascii="仿宋" w:hAnsi="仿宋" w:eastAsia="仿宋" w:cs="Times New Roman"/>
          <w:color w:val="auto"/>
          <w:kern w:val="0"/>
          <w:sz w:val="24"/>
          <w:szCs w:val="24"/>
          <w:highlight w:val="none"/>
        </w:rPr>
        <w:t>9</w:t>
      </w:r>
      <w:r>
        <w:rPr>
          <w:rFonts w:hint="eastAsia" w:ascii="仿宋" w:hAnsi="仿宋" w:eastAsia="仿宋" w:cs="Times New Roman"/>
          <w:color w:val="auto"/>
          <w:kern w:val="0"/>
          <w:sz w:val="24"/>
          <w:szCs w:val="24"/>
          <w:highlight w:val="none"/>
        </w:rPr>
        <w:t>.</w:t>
      </w:r>
      <w:r>
        <w:rPr>
          <w:rFonts w:hint="eastAsia" w:ascii="仿宋" w:hAnsi="仿宋" w:eastAsia="仿宋" w:cs="Times New Roman"/>
          <w:color w:val="auto"/>
          <w:kern w:val="0"/>
          <w:sz w:val="24"/>
          <w:szCs w:val="24"/>
          <w:highlight w:val="none"/>
          <w:lang w:val="en-US" w:eastAsia="zh-CN"/>
        </w:rPr>
        <w:t>6</w:t>
      </w:r>
      <w:r>
        <w:rPr>
          <w:rFonts w:hint="eastAsia" w:ascii="仿宋" w:hAnsi="仿宋" w:eastAsia="仿宋" w:cs="Times New Roman"/>
          <w:color w:val="auto"/>
          <w:kern w:val="0"/>
          <w:sz w:val="24"/>
          <w:szCs w:val="24"/>
          <w:highlight w:val="none"/>
        </w:rPr>
        <w:t>款的约定计收违约金。</w:t>
      </w:r>
    </w:p>
    <w:p w14:paraId="1B7233D8">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59" w:name="_Toc22234191"/>
      <w:r>
        <w:rPr>
          <w:rFonts w:hint="eastAsia" w:ascii="仿宋" w:hAnsi="仿宋" w:eastAsia="仿宋" w:cs="Times New Roman"/>
          <w:b/>
          <w:bCs/>
          <w:color w:val="auto"/>
          <w:kern w:val="0"/>
          <w:sz w:val="28"/>
          <w:szCs w:val="32"/>
          <w:highlight w:val="none"/>
          <w:lang w:val="en-US" w:eastAsia="zh-CN" w:bidi="ar-SA"/>
        </w:rPr>
        <w:t>第</w:t>
      </w:r>
      <w:r>
        <w:rPr>
          <w:rFonts w:ascii="仿宋" w:hAnsi="仿宋" w:eastAsia="仿宋" w:cs="Times New Roman"/>
          <w:b/>
          <w:bCs/>
          <w:color w:val="auto"/>
          <w:kern w:val="0"/>
          <w:sz w:val="28"/>
          <w:szCs w:val="32"/>
          <w:highlight w:val="none"/>
          <w:lang w:val="en-US" w:eastAsia="zh-CN" w:bidi="ar-SA"/>
        </w:rPr>
        <w:t>27</w:t>
      </w:r>
      <w:r>
        <w:rPr>
          <w:rFonts w:hint="eastAsia" w:ascii="仿宋" w:hAnsi="仿宋" w:eastAsia="仿宋" w:cs="Times New Roman"/>
          <w:b/>
          <w:bCs/>
          <w:color w:val="auto"/>
          <w:kern w:val="0"/>
          <w:sz w:val="28"/>
          <w:szCs w:val="32"/>
          <w:highlight w:val="none"/>
          <w:lang w:val="en-US" w:eastAsia="zh-CN" w:bidi="ar-SA"/>
        </w:rPr>
        <w:t>条</w:t>
      </w:r>
      <w:r>
        <w:rPr>
          <w:rFonts w:hint="eastAsia" w:ascii="仿宋" w:hAnsi="仿宋" w:eastAsia="仿宋" w:cs="Times New Roman"/>
          <w:b/>
          <w:bCs/>
          <w:color w:val="auto"/>
          <w:kern w:val="0"/>
          <w:sz w:val="28"/>
          <w:szCs w:val="32"/>
          <w:highlight w:val="none"/>
          <w:lang w:val="en-US" w:eastAsia="zh-CN" w:bidi="ar-SA"/>
        </w:rPr>
        <w:tab/>
      </w:r>
      <w:r>
        <w:rPr>
          <w:rFonts w:hint="eastAsia" w:ascii="仿宋" w:hAnsi="仿宋" w:eastAsia="仿宋" w:cs="Times New Roman"/>
          <w:b/>
          <w:bCs/>
          <w:color w:val="auto"/>
          <w:kern w:val="0"/>
          <w:sz w:val="28"/>
          <w:szCs w:val="32"/>
          <w:highlight w:val="none"/>
          <w:lang w:val="en-US" w:eastAsia="zh-CN" w:bidi="ar-SA"/>
        </w:rPr>
        <w:t>暂停服务的恢复</w:t>
      </w:r>
      <w:bookmarkEnd w:id="559"/>
    </w:p>
    <w:p w14:paraId="3F9F22EA">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27</w:t>
      </w:r>
      <w:r>
        <w:rPr>
          <w:rFonts w:hint="eastAsia" w:ascii="仿宋" w:hAnsi="仿宋" w:eastAsia="仿宋" w:cs="Times New Roman"/>
          <w:color w:val="auto"/>
          <w:kern w:val="0"/>
          <w:sz w:val="24"/>
          <w:szCs w:val="24"/>
          <w:highlight w:val="none"/>
        </w:rPr>
        <w:t>.l除全部暂停外，乙方部分暂停期间仍负有出水水质符合出水水质标准的义务。</w:t>
      </w:r>
    </w:p>
    <w:p w14:paraId="61C4CED6">
      <w:pPr>
        <w:spacing w:line="480" w:lineRule="auto"/>
        <w:ind w:firstLine="424" w:firstLineChars="177"/>
        <w:rPr>
          <w:rFonts w:hint="eastAsia"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27</w:t>
      </w:r>
      <w:r>
        <w:rPr>
          <w:rFonts w:hint="eastAsia" w:ascii="仿宋" w:hAnsi="仿宋" w:eastAsia="仿宋" w:cs="Times New Roman"/>
          <w:color w:val="auto"/>
          <w:kern w:val="0"/>
          <w:sz w:val="24"/>
          <w:szCs w:val="24"/>
          <w:highlight w:val="none"/>
        </w:rPr>
        <w:t>.2本协议第2</w:t>
      </w:r>
      <w:r>
        <w:rPr>
          <w:rFonts w:hint="default" w:ascii="仿宋" w:hAnsi="仿宋" w:eastAsia="仿宋" w:cs="Times New Roman"/>
          <w:color w:val="auto"/>
          <w:kern w:val="0"/>
          <w:sz w:val="24"/>
          <w:szCs w:val="24"/>
          <w:highlight w:val="none"/>
        </w:rPr>
        <w:t>5</w:t>
      </w:r>
      <w:r>
        <w:rPr>
          <w:rFonts w:hint="eastAsia" w:ascii="仿宋" w:hAnsi="仿宋" w:eastAsia="仿宋" w:cs="Times New Roman"/>
          <w:color w:val="auto"/>
          <w:kern w:val="0"/>
          <w:sz w:val="24"/>
          <w:szCs w:val="24"/>
          <w:highlight w:val="none"/>
        </w:rPr>
        <w:t>条约定的计划内暂停和本协议第</w:t>
      </w:r>
      <w:r>
        <w:rPr>
          <w:rFonts w:hint="default" w:ascii="仿宋" w:hAnsi="仿宋" w:eastAsia="仿宋" w:cs="Times New Roman"/>
          <w:color w:val="auto"/>
          <w:kern w:val="0"/>
          <w:sz w:val="24"/>
          <w:szCs w:val="24"/>
          <w:highlight w:val="none"/>
        </w:rPr>
        <w:t>26</w:t>
      </w:r>
      <w:r>
        <w:rPr>
          <w:rFonts w:hint="eastAsia" w:ascii="仿宋" w:hAnsi="仿宋" w:eastAsia="仿宋" w:cs="Times New Roman"/>
          <w:color w:val="auto"/>
          <w:kern w:val="0"/>
          <w:sz w:val="24"/>
          <w:szCs w:val="24"/>
          <w:highlight w:val="none"/>
        </w:rPr>
        <w:t>.l款和第</w:t>
      </w:r>
      <w:r>
        <w:rPr>
          <w:rFonts w:hint="default" w:ascii="仿宋" w:hAnsi="仿宋" w:eastAsia="仿宋" w:cs="Times New Roman"/>
          <w:color w:val="auto"/>
          <w:kern w:val="0"/>
          <w:sz w:val="24"/>
          <w:szCs w:val="24"/>
          <w:highlight w:val="none"/>
        </w:rPr>
        <w:t>26</w:t>
      </w:r>
      <w:r>
        <w:rPr>
          <w:rFonts w:hint="eastAsia" w:ascii="仿宋" w:hAnsi="仿宋" w:eastAsia="仿宋" w:cs="Times New Roman"/>
          <w:color w:val="auto"/>
          <w:kern w:val="0"/>
          <w:sz w:val="24"/>
          <w:szCs w:val="24"/>
          <w:highlight w:val="none"/>
        </w:rPr>
        <w:t>.2款约定的计划外暂停情形下，在甲方同意的合理期限内，甲方对乙方出水水质超标予以免责。</w:t>
      </w:r>
    </w:p>
    <w:p w14:paraId="75AF3766">
      <w:pPr>
        <w:keepNext/>
        <w:keepLines/>
        <w:widowControl w:val="0"/>
        <w:jc w:val="center"/>
        <w:outlineLvl w:val="0"/>
        <w:rPr>
          <w:rFonts w:ascii="仿宋" w:hAnsi="仿宋" w:eastAsia="仿宋" w:cs="Times New Roman"/>
          <w:b/>
          <w:bCs/>
          <w:color w:val="auto"/>
          <w:kern w:val="44"/>
          <w:sz w:val="30"/>
          <w:szCs w:val="44"/>
          <w:highlight w:val="none"/>
          <w:lang w:val="en-US" w:eastAsia="zh-CN" w:bidi="ar-SA"/>
        </w:rPr>
      </w:pPr>
      <w:bookmarkStart w:id="560" w:name="_Toc22234192"/>
      <w:r>
        <w:rPr>
          <w:rFonts w:hint="eastAsia" w:ascii="仿宋" w:hAnsi="仿宋" w:eastAsia="仿宋" w:cs="Times New Roman"/>
          <w:b/>
          <w:bCs/>
          <w:color w:val="auto"/>
          <w:kern w:val="44"/>
          <w:sz w:val="30"/>
          <w:szCs w:val="44"/>
          <w:highlight w:val="none"/>
          <w:lang w:val="en-US" w:eastAsia="zh-CN" w:bidi="ar-SA"/>
        </w:rPr>
        <w:t>第九章</w:t>
      </w:r>
      <w:r>
        <w:rPr>
          <w:rFonts w:hint="eastAsia" w:ascii="仿宋" w:hAnsi="仿宋" w:eastAsia="仿宋" w:cs="Times New Roman"/>
          <w:b/>
          <w:bCs/>
          <w:color w:val="auto"/>
          <w:kern w:val="44"/>
          <w:sz w:val="30"/>
          <w:szCs w:val="44"/>
          <w:highlight w:val="none"/>
          <w:lang w:val="en-US" w:eastAsia="zh-CN" w:bidi="ar-SA"/>
        </w:rPr>
        <w:tab/>
      </w:r>
      <w:r>
        <w:rPr>
          <w:rFonts w:hint="eastAsia" w:ascii="仿宋" w:hAnsi="仿宋" w:eastAsia="仿宋" w:cs="Times New Roman"/>
          <w:b/>
          <w:bCs/>
          <w:color w:val="auto"/>
          <w:kern w:val="44"/>
          <w:sz w:val="30"/>
          <w:szCs w:val="44"/>
          <w:highlight w:val="none"/>
          <w:lang w:val="en-US" w:eastAsia="zh-CN" w:bidi="ar-SA"/>
        </w:rPr>
        <w:t>违约责任</w:t>
      </w:r>
      <w:bookmarkEnd w:id="560"/>
    </w:p>
    <w:p w14:paraId="6DA7558C">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61" w:name="_Toc22234193"/>
      <w:r>
        <w:rPr>
          <w:rFonts w:hint="eastAsia" w:ascii="仿宋" w:hAnsi="仿宋" w:eastAsia="仿宋" w:cs="Times New Roman"/>
          <w:b/>
          <w:bCs/>
          <w:color w:val="auto"/>
          <w:kern w:val="0"/>
          <w:sz w:val="28"/>
          <w:szCs w:val="32"/>
          <w:highlight w:val="none"/>
          <w:lang w:val="en-US" w:eastAsia="zh-CN" w:bidi="ar-SA"/>
        </w:rPr>
        <w:t>第</w:t>
      </w:r>
      <w:r>
        <w:rPr>
          <w:rFonts w:ascii="仿宋" w:hAnsi="仿宋" w:eastAsia="仿宋" w:cs="Times New Roman"/>
          <w:b/>
          <w:bCs/>
          <w:color w:val="auto"/>
          <w:kern w:val="0"/>
          <w:sz w:val="28"/>
          <w:szCs w:val="32"/>
          <w:highlight w:val="none"/>
          <w:lang w:val="en-US" w:eastAsia="zh-CN" w:bidi="ar-SA"/>
        </w:rPr>
        <w:t>28</w:t>
      </w:r>
      <w:r>
        <w:rPr>
          <w:rFonts w:hint="eastAsia" w:ascii="仿宋" w:hAnsi="仿宋" w:eastAsia="仿宋" w:cs="Times New Roman"/>
          <w:b/>
          <w:bCs/>
          <w:color w:val="auto"/>
          <w:kern w:val="0"/>
          <w:sz w:val="28"/>
          <w:szCs w:val="32"/>
          <w:highlight w:val="none"/>
          <w:lang w:val="en-US" w:eastAsia="zh-CN" w:bidi="ar-SA"/>
        </w:rPr>
        <w:t>条</w:t>
      </w:r>
      <w:r>
        <w:rPr>
          <w:rFonts w:hint="eastAsia" w:ascii="仿宋" w:hAnsi="仿宋" w:eastAsia="仿宋" w:cs="Times New Roman"/>
          <w:b/>
          <w:bCs/>
          <w:color w:val="auto"/>
          <w:kern w:val="0"/>
          <w:sz w:val="28"/>
          <w:szCs w:val="32"/>
          <w:highlight w:val="none"/>
          <w:lang w:val="en-US" w:eastAsia="zh-CN" w:bidi="ar-SA"/>
        </w:rPr>
        <w:tab/>
      </w:r>
      <w:r>
        <w:rPr>
          <w:rFonts w:hint="eastAsia" w:ascii="仿宋" w:hAnsi="仿宋" w:eastAsia="仿宋" w:cs="Times New Roman"/>
          <w:b/>
          <w:bCs/>
          <w:color w:val="auto"/>
          <w:kern w:val="0"/>
          <w:sz w:val="28"/>
          <w:szCs w:val="32"/>
          <w:highlight w:val="none"/>
          <w:lang w:val="en-US" w:eastAsia="zh-CN" w:bidi="ar-SA"/>
        </w:rPr>
        <w:t>违约责任</w:t>
      </w:r>
      <w:bookmarkEnd w:id="561"/>
    </w:p>
    <w:p w14:paraId="7257A5DF">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28</w:t>
      </w:r>
      <w:r>
        <w:rPr>
          <w:rFonts w:hint="eastAsia" w:ascii="仿宋" w:hAnsi="仿宋" w:eastAsia="仿宋" w:cs="Times New Roman"/>
          <w:color w:val="auto"/>
          <w:kern w:val="0"/>
          <w:sz w:val="24"/>
          <w:szCs w:val="24"/>
          <w:highlight w:val="none"/>
        </w:rPr>
        <w:t>.1除本协议另有约定外，当协议一方发生违反本协议的行为而使非违约方遭受任何损害、损失、增加支出或承担额外责任，非违约方有权获得赔偿，该项赔偿由违约方支付。</w:t>
      </w:r>
    </w:p>
    <w:p w14:paraId="21EBAED8">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28</w:t>
      </w:r>
      <w:r>
        <w:rPr>
          <w:rFonts w:hint="eastAsia" w:ascii="仿宋" w:hAnsi="仿宋" w:eastAsia="仿宋" w:cs="Times New Roman"/>
          <w:color w:val="auto"/>
          <w:kern w:val="0"/>
          <w:sz w:val="24"/>
          <w:szCs w:val="24"/>
          <w:highlight w:val="none"/>
        </w:rPr>
        <w:t>.2非违约方必须采取合理措施减轻或最大程度地减少违反本协议引起的损失，并有权从违约方获得为谋求减轻和减少损失而发生的任何合理费用。如非违约方未能采取上款所述措施，违约方可以请求从赔偿金额中扣除本应能够减轻或减少的损失金额。</w:t>
      </w:r>
    </w:p>
    <w:p w14:paraId="6AA62FD2">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28</w:t>
      </w:r>
      <w:r>
        <w:rPr>
          <w:rFonts w:hint="eastAsia" w:ascii="仿宋" w:hAnsi="仿宋" w:eastAsia="仿宋" w:cs="Times New Roman"/>
          <w:color w:val="auto"/>
          <w:kern w:val="0"/>
          <w:sz w:val="24"/>
          <w:szCs w:val="24"/>
          <w:highlight w:val="none"/>
        </w:rPr>
        <w:t>.3如损失是部分由于非违约方的作为或不作为造成的，或产生于应由非违约方承担风险的另一事件，则应从赔偿的数额中扣除这些因素造成的损失。</w:t>
      </w:r>
    </w:p>
    <w:p w14:paraId="5A1AED37">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28</w:t>
      </w:r>
      <w:r>
        <w:rPr>
          <w:rFonts w:hint="eastAsia" w:ascii="仿宋" w:hAnsi="仿宋" w:eastAsia="仿宋" w:cs="Times New Roman"/>
          <w:color w:val="auto"/>
          <w:kern w:val="0"/>
          <w:sz w:val="24"/>
          <w:szCs w:val="24"/>
          <w:highlight w:val="none"/>
        </w:rPr>
        <w:t>.4除非本协议另有约定，各方均不应对另一方的任何间接损失负责。</w:t>
      </w:r>
    </w:p>
    <w:p w14:paraId="7D71D330">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28</w:t>
      </w:r>
      <w:r>
        <w:rPr>
          <w:rFonts w:hint="eastAsia" w:ascii="仿宋" w:hAnsi="仿宋" w:eastAsia="仿宋" w:cs="Times New Roman"/>
          <w:color w:val="auto"/>
          <w:kern w:val="0"/>
          <w:sz w:val="24"/>
          <w:szCs w:val="24"/>
          <w:highlight w:val="none"/>
        </w:rPr>
        <w:t>.5除非本协议另有约定，否则非因乙方原因导致乙方违约或履约不能的，应免除乙方的违约责任。</w:t>
      </w:r>
    </w:p>
    <w:p w14:paraId="7C7717E0">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62" w:name="_Toc22234194"/>
      <w:r>
        <w:rPr>
          <w:rFonts w:hint="eastAsia" w:ascii="仿宋" w:hAnsi="仿宋" w:eastAsia="仿宋" w:cs="Times New Roman"/>
          <w:b/>
          <w:bCs/>
          <w:color w:val="auto"/>
          <w:kern w:val="0"/>
          <w:sz w:val="28"/>
          <w:szCs w:val="32"/>
          <w:highlight w:val="none"/>
          <w:lang w:val="en-US" w:eastAsia="zh-CN" w:bidi="ar-SA"/>
        </w:rPr>
        <w:t>第</w:t>
      </w:r>
      <w:r>
        <w:rPr>
          <w:rFonts w:ascii="仿宋" w:hAnsi="仿宋" w:eastAsia="仿宋" w:cs="Times New Roman"/>
          <w:b/>
          <w:bCs/>
          <w:color w:val="auto"/>
          <w:kern w:val="0"/>
          <w:sz w:val="28"/>
          <w:szCs w:val="32"/>
          <w:highlight w:val="none"/>
          <w:lang w:val="en-US" w:eastAsia="zh-CN" w:bidi="ar-SA"/>
        </w:rPr>
        <w:t>29</w:t>
      </w:r>
      <w:r>
        <w:rPr>
          <w:rFonts w:hint="eastAsia" w:ascii="仿宋" w:hAnsi="仿宋" w:eastAsia="仿宋" w:cs="Times New Roman"/>
          <w:b/>
          <w:bCs/>
          <w:color w:val="auto"/>
          <w:kern w:val="0"/>
          <w:sz w:val="28"/>
          <w:szCs w:val="32"/>
          <w:highlight w:val="none"/>
          <w:lang w:val="en-US" w:eastAsia="zh-CN" w:bidi="ar-SA"/>
        </w:rPr>
        <w:t>条</w:t>
      </w:r>
      <w:r>
        <w:rPr>
          <w:rFonts w:hint="eastAsia" w:ascii="仿宋" w:hAnsi="仿宋" w:eastAsia="仿宋" w:cs="Times New Roman"/>
          <w:b/>
          <w:bCs/>
          <w:color w:val="auto"/>
          <w:kern w:val="0"/>
          <w:sz w:val="28"/>
          <w:szCs w:val="32"/>
          <w:highlight w:val="none"/>
          <w:lang w:val="en-US" w:eastAsia="zh-CN" w:bidi="ar-SA"/>
        </w:rPr>
        <w:tab/>
      </w:r>
      <w:r>
        <w:rPr>
          <w:rFonts w:hint="eastAsia" w:ascii="仿宋" w:hAnsi="仿宋" w:eastAsia="仿宋" w:cs="Times New Roman"/>
          <w:b/>
          <w:bCs/>
          <w:color w:val="auto"/>
          <w:kern w:val="0"/>
          <w:sz w:val="28"/>
          <w:szCs w:val="32"/>
          <w:highlight w:val="none"/>
          <w:lang w:val="en-US" w:eastAsia="zh-CN" w:bidi="ar-SA"/>
        </w:rPr>
        <w:t>违约金</w:t>
      </w:r>
      <w:bookmarkEnd w:id="562"/>
    </w:p>
    <w:p w14:paraId="347D8C6A">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29</w:t>
      </w:r>
      <w:r>
        <w:rPr>
          <w:rFonts w:hint="eastAsia" w:ascii="仿宋" w:hAnsi="仿宋" w:eastAsia="仿宋" w:cs="Times New Roman"/>
          <w:color w:val="auto"/>
          <w:kern w:val="0"/>
          <w:sz w:val="24"/>
          <w:szCs w:val="24"/>
          <w:highlight w:val="none"/>
        </w:rPr>
        <w:t>.1</w:t>
      </w:r>
      <w:r>
        <w:rPr>
          <w:rFonts w:hint="eastAsia" w:ascii="仿宋" w:hAnsi="仿宋" w:eastAsia="仿宋" w:cs="Times New Roman"/>
          <w:color w:val="auto"/>
          <w:kern w:val="0"/>
          <w:sz w:val="24"/>
          <w:szCs w:val="24"/>
          <w:highlight w:val="none"/>
          <w:lang w:val="en-US" w:eastAsia="zh-CN"/>
        </w:rPr>
        <w:t>运营</w:t>
      </w:r>
      <w:r>
        <w:rPr>
          <w:rFonts w:hint="eastAsia" w:ascii="仿宋" w:hAnsi="仿宋" w:eastAsia="仿宋" w:cs="Times New Roman"/>
          <w:color w:val="auto"/>
          <w:kern w:val="0"/>
          <w:sz w:val="24"/>
          <w:szCs w:val="24"/>
          <w:highlight w:val="none"/>
        </w:rPr>
        <w:t>绩效评价</w:t>
      </w:r>
      <w:r>
        <w:rPr>
          <w:rFonts w:hint="eastAsia" w:ascii="仿宋" w:hAnsi="仿宋" w:eastAsia="仿宋" w:cs="Times New Roman"/>
          <w:color w:val="auto"/>
          <w:kern w:val="0"/>
          <w:sz w:val="24"/>
          <w:szCs w:val="24"/>
          <w:highlight w:val="none"/>
          <w:lang w:val="en-US" w:eastAsia="zh-CN"/>
        </w:rPr>
        <w:t>不符合要求的违约金</w:t>
      </w:r>
    </w:p>
    <w:p w14:paraId="3F6113A9">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lang w:val="en-US" w:eastAsia="zh-CN"/>
        </w:rPr>
        <w:t>运营绩效评价结果与污水处理服务费挂钩，按照</w:t>
      </w:r>
      <w:r>
        <w:rPr>
          <w:rFonts w:hint="eastAsia" w:ascii="仿宋" w:hAnsi="仿宋" w:eastAsia="仿宋" w:cs="Times New Roman"/>
          <w:color w:val="auto"/>
          <w:kern w:val="0"/>
          <w:sz w:val="24"/>
          <w:szCs w:val="24"/>
          <w:highlight w:val="none"/>
        </w:rPr>
        <w:t>《</w:t>
      </w:r>
      <w:r>
        <w:rPr>
          <w:rFonts w:hint="eastAsia" w:ascii="仿宋" w:hAnsi="仿宋" w:eastAsia="仿宋" w:cs="Times New Roman"/>
          <w:color w:val="auto"/>
          <w:kern w:val="0"/>
          <w:sz w:val="24"/>
          <w:szCs w:val="24"/>
          <w:highlight w:val="none"/>
          <w:lang w:val="en-US" w:eastAsia="zh-CN"/>
        </w:rPr>
        <w:t>特许经营协议</w:t>
      </w:r>
      <w:r>
        <w:rPr>
          <w:rFonts w:hint="eastAsia" w:ascii="仿宋" w:hAnsi="仿宋" w:eastAsia="仿宋" w:cs="Times New Roman"/>
          <w:color w:val="auto"/>
          <w:kern w:val="0"/>
          <w:sz w:val="24"/>
          <w:szCs w:val="24"/>
          <w:highlight w:val="none"/>
        </w:rPr>
        <w:t>》</w:t>
      </w:r>
      <w:r>
        <w:rPr>
          <w:rFonts w:hint="eastAsia" w:ascii="仿宋" w:hAnsi="仿宋" w:eastAsia="仿宋" w:cs="Times New Roman"/>
          <w:color w:val="auto"/>
          <w:kern w:val="0"/>
          <w:sz w:val="24"/>
          <w:szCs w:val="24"/>
          <w:highlight w:val="none"/>
          <w:lang w:eastAsia="zh-CN"/>
        </w:rPr>
        <w:t>“附件4：运营期绩效考核方案”</w:t>
      </w:r>
      <w:r>
        <w:rPr>
          <w:rFonts w:hint="eastAsia" w:ascii="仿宋" w:hAnsi="仿宋" w:eastAsia="仿宋" w:cs="Times New Roman"/>
          <w:color w:val="auto"/>
          <w:kern w:val="0"/>
          <w:sz w:val="24"/>
          <w:szCs w:val="24"/>
          <w:highlight w:val="none"/>
          <w:lang w:val="en-US" w:eastAsia="zh-CN"/>
        </w:rPr>
        <w:t>的约定执行。</w:t>
      </w:r>
      <w:r>
        <w:rPr>
          <w:rFonts w:hint="eastAsia" w:ascii="仿宋" w:hAnsi="仿宋" w:eastAsia="仿宋" w:cs="Times New Roman"/>
          <w:color w:val="auto"/>
          <w:kern w:val="0"/>
          <w:sz w:val="24"/>
          <w:szCs w:val="24"/>
          <w:highlight w:val="none"/>
        </w:rPr>
        <w:t>当连续</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2</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次得分在</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60</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分以下时，甲方有权按照《特许经营协议》的约定介入本项目的运营，并有权提前终止本协议。</w:t>
      </w:r>
    </w:p>
    <w:p w14:paraId="7BF561EE">
      <w:pPr>
        <w:spacing w:line="480" w:lineRule="auto"/>
        <w:ind w:firstLine="424" w:firstLineChars="177"/>
        <w:jc w:val="left"/>
        <w:rPr>
          <w:rFonts w:hint="default" w:ascii="仿宋" w:hAnsi="仿宋" w:eastAsia="仿宋" w:cs="Times New Roman"/>
          <w:color w:val="auto"/>
          <w:kern w:val="0"/>
          <w:sz w:val="24"/>
          <w:szCs w:val="24"/>
          <w:highlight w:val="none"/>
          <w:lang w:val="en-US"/>
        </w:rPr>
      </w:pPr>
      <w:r>
        <w:rPr>
          <w:rFonts w:hint="default" w:ascii="仿宋" w:hAnsi="仿宋" w:eastAsia="仿宋" w:cs="Times New Roman"/>
          <w:color w:val="auto"/>
          <w:kern w:val="0"/>
          <w:sz w:val="24"/>
          <w:szCs w:val="24"/>
          <w:highlight w:val="none"/>
        </w:rPr>
        <w:t>29</w:t>
      </w:r>
      <w:r>
        <w:rPr>
          <w:rFonts w:hint="eastAsia" w:ascii="仿宋" w:hAnsi="仿宋" w:eastAsia="仿宋" w:cs="Times New Roman"/>
          <w:color w:val="auto"/>
          <w:kern w:val="0"/>
          <w:sz w:val="24"/>
          <w:szCs w:val="24"/>
          <w:highlight w:val="none"/>
        </w:rPr>
        <w:t>.</w:t>
      </w:r>
      <w:r>
        <w:rPr>
          <w:rFonts w:hint="eastAsia" w:ascii="仿宋" w:hAnsi="仿宋" w:eastAsia="仿宋" w:cs="Times New Roman"/>
          <w:color w:val="auto"/>
          <w:kern w:val="0"/>
          <w:sz w:val="24"/>
          <w:szCs w:val="24"/>
          <w:highlight w:val="none"/>
          <w:lang w:val="en-US" w:eastAsia="zh-CN"/>
        </w:rPr>
        <w:t>2出水水质不达标的违约金</w:t>
      </w:r>
    </w:p>
    <w:p w14:paraId="75C2707C">
      <w:pPr>
        <w:spacing w:line="480" w:lineRule="auto"/>
        <w:ind w:firstLine="424" w:firstLineChars="177"/>
        <w:jc w:val="left"/>
        <w:rPr>
          <w:rFonts w:hint="default" w:ascii="仿宋" w:hAnsi="仿宋" w:eastAsia="仿宋" w:cs="Times New Roman"/>
          <w:color w:val="auto"/>
          <w:kern w:val="0"/>
          <w:sz w:val="24"/>
          <w:szCs w:val="24"/>
          <w:highlight w:val="none"/>
          <w:u w:val="single"/>
        </w:rPr>
      </w:pPr>
      <w:r>
        <w:rPr>
          <w:rFonts w:hint="eastAsia" w:ascii="仿宋" w:hAnsi="仿宋" w:eastAsia="仿宋" w:cs="Times New Roman"/>
          <w:color w:val="auto"/>
          <w:kern w:val="0"/>
          <w:sz w:val="24"/>
          <w:szCs w:val="24"/>
          <w:highlight w:val="none"/>
        </w:rPr>
        <w:t>如发生本协议第</w:t>
      </w:r>
      <w:r>
        <w:rPr>
          <w:rFonts w:hint="default" w:ascii="仿宋" w:hAnsi="仿宋" w:eastAsia="仿宋" w:cs="Times New Roman"/>
          <w:color w:val="auto"/>
          <w:kern w:val="0"/>
          <w:sz w:val="24"/>
          <w:szCs w:val="24"/>
          <w:highlight w:val="none"/>
        </w:rPr>
        <w:t>15.1</w:t>
      </w:r>
      <w:r>
        <w:rPr>
          <w:rFonts w:hint="eastAsia" w:ascii="仿宋" w:hAnsi="仿宋" w:eastAsia="仿宋" w:cs="Times New Roman"/>
          <w:color w:val="auto"/>
          <w:kern w:val="0"/>
          <w:sz w:val="24"/>
          <w:szCs w:val="24"/>
          <w:highlight w:val="none"/>
        </w:rPr>
        <w:t>款约定的情形，甲方抽检表明乙方经营的该污水处理厂水质连续两次不符合出水水质标准的，甲方有权向乙方收取违约金，违约金按以下方式计算：</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当日污水处理服务费的50%</w:t>
      </w:r>
      <w:r>
        <w:rPr>
          <w:rFonts w:hint="default"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。该等情形下的违约金可累计计算。</w:t>
      </w:r>
    </w:p>
    <w:p w14:paraId="1A06536E">
      <w:pPr>
        <w:spacing w:line="480" w:lineRule="auto"/>
        <w:ind w:firstLine="424" w:firstLineChars="177"/>
        <w:jc w:val="left"/>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29</w:t>
      </w:r>
      <w:r>
        <w:rPr>
          <w:rFonts w:hint="eastAsia" w:ascii="仿宋" w:hAnsi="仿宋" w:eastAsia="仿宋" w:cs="Times New Roman"/>
          <w:color w:val="auto"/>
          <w:kern w:val="0"/>
          <w:sz w:val="24"/>
          <w:szCs w:val="24"/>
          <w:highlight w:val="none"/>
        </w:rPr>
        <w:t>.</w:t>
      </w:r>
      <w:r>
        <w:rPr>
          <w:rFonts w:hint="eastAsia" w:ascii="仿宋" w:hAnsi="仿宋" w:eastAsia="仿宋" w:cs="Times New Roman"/>
          <w:color w:val="auto"/>
          <w:kern w:val="0"/>
          <w:sz w:val="24"/>
          <w:szCs w:val="24"/>
          <w:highlight w:val="none"/>
          <w:lang w:val="en-US" w:eastAsia="zh-CN"/>
        </w:rPr>
        <w:t>3</w:t>
      </w:r>
      <w:r>
        <w:rPr>
          <w:rFonts w:hint="eastAsia" w:ascii="仿宋" w:hAnsi="仿宋" w:eastAsia="仿宋" w:cs="Times New Roman"/>
          <w:color w:val="auto"/>
          <w:kern w:val="0"/>
          <w:sz w:val="24"/>
          <w:szCs w:val="24"/>
          <w:highlight w:val="none"/>
        </w:rPr>
        <w:t>偷排的违约金</w:t>
      </w:r>
    </w:p>
    <w:p w14:paraId="3670BF2B">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若乙方发生偷排行为，甲方有权向乙方收取违约金，违约金按以下方式计算：</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人民币10万元</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。该等情形下的违约金可累计计算。</w:t>
      </w:r>
    </w:p>
    <w:p w14:paraId="66FE16BA">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29</w:t>
      </w:r>
      <w:r>
        <w:rPr>
          <w:rFonts w:hint="eastAsia" w:ascii="仿宋" w:hAnsi="仿宋" w:eastAsia="仿宋" w:cs="Times New Roman"/>
          <w:color w:val="auto"/>
          <w:kern w:val="0"/>
          <w:sz w:val="24"/>
          <w:szCs w:val="24"/>
          <w:highlight w:val="none"/>
        </w:rPr>
        <w:t>.</w:t>
      </w:r>
      <w:r>
        <w:rPr>
          <w:rFonts w:hint="eastAsia" w:ascii="仿宋" w:hAnsi="仿宋" w:eastAsia="仿宋" w:cs="Times New Roman"/>
          <w:color w:val="auto"/>
          <w:kern w:val="0"/>
          <w:sz w:val="24"/>
          <w:szCs w:val="24"/>
          <w:highlight w:val="none"/>
          <w:lang w:val="en-US" w:eastAsia="zh-CN"/>
        </w:rPr>
        <w:t>4</w:t>
      </w:r>
      <w:r>
        <w:rPr>
          <w:rFonts w:hint="eastAsia" w:ascii="仿宋" w:hAnsi="仿宋" w:eastAsia="仿宋" w:cs="Times New Roman"/>
          <w:color w:val="auto"/>
          <w:kern w:val="0"/>
          <w:sz w:val="24"/>
          <w:szCs w:val="24"/>
          <w:highlight w:val="none"/>
        </w:rPr>
        <w:t>擅自调整流量计、液位计的违约金</w:t>
      </w:r>
    </w:p>
    <w:p w14:paraId="10931454">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乙方擅自调整流量计或修改读数，甲方有权向乙方收取违约金，违约金按以下方式计算：</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人民币5万元</w:t>
      </w:r>
      <w:r>
        <w:rPr>
          <w:rFonts w:hint="default"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。乙方在特许经营期内累计</w:t>
      </w:r>
      <w:r>
        <w:rPr>
          <w:rFonts w:hint="default"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3</w:t>
      </w:r>
      <w:r>
        <w:rPr>
          <w:rFonts w:hint="default"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次出现该等违约行为时，甲方有权提前终止本协议。</w:t>
      </w:r>
    </w:p>
    <w:p w14:paraId="2CDFF9E4">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乙方擅自调整液位计或修改读数，甲方有权向乙方收取违约金，违约金按以下方式计算：</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人民币2万元</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。乙方在特许经营期内累计</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3</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次出现该等违约行为时，甲方有权提前终止本协议。</w:t>
      </w:r>
    </w:p>
    <w:p w14:paraId="5207067F">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29</w:t>
      </w:r>
      <w:r>
        <w:rPr>
          <w:rFonts w:hint="eastAsia" w:ascii="仿宋" w:hAnsi="仿宋" w:eastAsia="仿宋" w:cs="Times New Roman"/>
          <w:color w:val="auto"/>
          <w:kern w:val="0"/>
          <w:sz w:val="24"/>
          <w:szCs w:val="24"/>
          <w:highlight w:val="none"/>
        </w:rPr>
        <w:t>.</w:t>
      </w:r>
      <w:r>
        <w:rPr>
          <w:rFonts w:hint="eastAsia" w:ascii="仿宋" w:hAnsi="仿宋" w:eastAsia="仿宋" w:cs="Times New Roman"/>
          <w:color w:val="auto"/>
          <w:kern w:val="0"/>
          <w:sz w:val="24"/>
          <w:szCs w:val="24"/>
          <w:highlight w:val="none"/>
          <w:lang w:val="en-US" w:eastAsia="zh-CN"/>
        </w:rPr>
        <w:t>5</w:t>
      </w:r>
      <w:r>
        <w:rPr>
          <w:rFonts w:hint="eastAsia" w:ascii="仿宋" w:hAnsi="仿宋" w:eastAsia="仿宋" w:cs="Times New Roman"/>
          <w:color w:val="auto"/>
          <w:kern w:val="0"/>
          <w:sz w:val="24"/>
          <w:szCs w:val="24"/>
          <w:highlight w:val="none"/>
        </w:rPr>
        <w:t>乙方拒不将液位恢复至控制液位或警戒液位以下的违约金</w:t>
      </w:r>
    </w:p>
    <w:p w14:paraId="474FF491">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乙方违反本协议第2</w:t>
      </w:r>
      <w:r>
        <w:rPr>
          <w:rFonts w:hint="default" w:ascii="仿宋" w:hAnsi="仿宋" w:eastAsia="仿宋" w:cs="Times New Roman"/>
          <w:color w:val="auto"/>
          <w:kern w:val="0"/>
          <w:sz w:val="24"/>
          <w:szCs w:val="24"/>
          <w:highlight w:val="none"/>
        </w:rPr>
        <w:t>0</w:t>
      </w:r>
      <w:r>
        <w:rPr>
          <w:rFonts w:hint="eastAsia" w:ascii="仿宋" w:hAnsi="仿宋" w:eastAsia="仿宋" w:cs="Times New Roman"/>
          <w:color w:val="auto"/>
          <w:kern w:val="0"/>
          <w:sz w:val="24"/>
          <w:szCs w:val="24"/>
          <w:highlight w:val="none"/>
        </w:rPr>
        <w:t>.1款的约定，且拒不按照第2</w:t>
      </w:r>
      <w:r>
        <w:rPr>
          <w:rFonts w:hint="default" w:ascii="仿宋" w:hAnsi="仿宋" w:eastAsia="仿宋" w:cs="Times New Roman"/>
          <w:color w:val="auto"/>
          <w:kern w:val="0"/>
          <w:sz w:val="24"/>
          <w:szCs w:val="24"/>
          <w:highlight w:val="none"/>
        </w:rPr>
        <w:t>0</w:t>
      </w:r>
      <w:r>
        <w:rPr>
          <w:rFonts w:hint="eastAsia" w:ascii="仿宋" w:hAnsi="仿宋" w:eastAsia="仿宋" w:cs="Times New Roman"/>
          <w:color w:val="auto"/>
          <w:kern w:val="0"/>
          <w:sz w:val="24"/>
          <w:szCs w:val="24"/>
          <w:highlight w:val="none"/>
        </w:rPr>
        <w:t>.5款的约定将液位恢复至控制液位以下的，甲方有权向乙方收取违约金，违约金按以下方式计算：</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人民币1万元</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。乙方违反本协议第2</w:t>
      </w:r>
      <w:r>
        <w:rPr>
          <w:rFonts w:hint="default" w:ascii="仿宋" w:hAnsi="仿宋" w:eastAsia="仿宋" w:cs="Times New Roman"/>
          <w:color w:val="auto"/>
          <w:kern w:val="0"/>
          <w:sz w:val="24"/>
          <w:szCs w:val="24"/>
          <w:highlight w:val="none"/>
        </w:rPr>
        <w:t>0</w:t>
      </w:r>
      <w:r>
        <w:rPr>
          <w:rFonts w:hint="eastAsia" w:ascii="仿宋" w:hAnsi="仿宋" w:eastAsia="仿宋" w:cs="Times New Roman"/>
          <w:color w:val="auto"/>
          <w:kern w:val="0"/>
          <w:sz w:val="24"/>
          <w:szCs w:val="24"/>
          <w:highlight w:val="none"/>
        </w:rPr>
        <w:t>.2款的约定，且拒不按照第2</w:t>
      </w:r>
      <w:r>
        <w:rPr>
          <w:rFonts w:hint="default" w:ascii="仿宋" w:hAnsi="仿宋" w:eastAsia="仿宋" w:cs="Times New Roman"/>
          <w:color w:val="auto"/>
          <w:kern w:val="0"/>
          <w:sz w:val="24"/>
          <w:szCs w:val="24"/>
          <w:highlight w:val="none"/>
        </w:rPr>
        <w:t>0</w:t>
      </w:r>
      <w:r>
        <w:rPr>
          <w:rFonts w:hint="eastAsia" w:ascii="仿宋" w:hAnsi="仿宋" w:eastAsia="仿宋" w:cs="Times New Roman"/>
          <w:color w:val="auto"/>
          <w:kern w:val="0"/>
          <w:sz w:val="24"/>
          <w:szCs w:val="24"/>
          <w:highlight w:val="none"/>
        </w:rPr>
        <w:t>.5 款的约定将液位恢复至警戒液位以下的，甲方有权向乙方收取违约金，违约金按以下方式计算：</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人民币1万元</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。该等情形下的违约金累计计算。</w:t>
      </w:r>
    </w:p>
    <w:p w14:paraId="34E9D811">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29</w:t>
      </w:r>
      <w:r>
        <w:rPr>
          <w:rFonts w:hint="eastAsia" w:ascii="仿宋" w:hAnsi="仿宋" w:eastAsia="仿宋" w:cs="Times New Roman"/>
          <w:color w:val="auto"/>
          <w:kern w:val="0"/>
          <w:sz w:val="24"/>
          <w:szCs w:val="24"/>
          <w:highlight w:val="none"/>
        </w:rPr>
        <w:t>.</w:t>
      </w:r>
      <w:r>
        <w:rPr>
          <w:rFonts w:hint="eastAsia" w:ascii="仿宋" w:hAnsi="仿宋" w:eastAsia="仿宋" w:cs="Times New Roman"/>
          <w:color w:val="auto"/>
          <w:kern w:val="0"/>
          <w:sz w:val="24"/>
          <w:szCs w:val="24"/>
          <w:highlight w:val="none"/>
          <w:lang w:val="en-US" w:eastAsia="zh-CN"/>
        </w:rPr>
        <w:t>6</w:t>
      </w:r>
      <w:r>
        <w:rPr>
          <w:rFonts w:hint="eastAsia" w:ascii="仿宋" w:hAnsi="仿宋" w:eastAsia="仿宋" w:cs="Times New Roman"/>
          <w:color w:val="auto"/>
          <w:kern w:val="0"/>
          <w:sz w:val="24"/>
          <w:szCs w:val="24"/>
          <w:highlight w:val="none"/>
        </w:rPr>
        <w:t>乙方擅自停运的违约金</w:t>
      </w:r>
    </w:p>
    <w:p w14:paraId="3BFA799A">
      <w:pPr>
        <w:spacing w:line="480" w:lineRule="auto"/>
        <w:ind w:firstLine="480" w:firstLineChars="200"/>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未经甲方事先书面同意，乙方擅自停运的，甲方有权向乙方收取违约金，违约金按以下方式计算：</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每擅自停运1小时支付违约金1万元，不足1小时的按1小时计</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。如一个运营年内出现本协议第</w:t>
      </w:r>
      <w:r>
        <w:rPr>
          <w:rFonts w:hint="default" w:ascii="仿宋" w:hAnsi="仿宋" w:eastAsia="仿宋" w:cs="Times New Roman"/>
          <w:color w:val="auto"/>
          <w:kern w:val="0"/>
          <w:sz w:val="24"/>
          <w:szCs w:val="24"/>
          <w:highlight w:val="none"/>
        </w:rPr>
        <w:t>26</w:t>
      </w:r>
      <w:r>
        <w:rPr>
          <w:rFonts w:hint="eastAsia" w:ascii="仿宋" w:hAnsi="仿宋" w:eastAsia="仿宋" w:cs="Times New Roman"/>
          <w:color w:val="auto"/>
          <w:kern w:val="0"/>
          <w:sz w:val="24"/>
          <w:szCs w:val="24"/>
          <w:highlight w:val="none"/>
        </w:rPr>
        <w:t>.3款所述之暂停持续</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5</w:t>
      </w:r>
      <w:r>
        <w:rPr>
          <w:rFonts w:hint="eastAsia" w:ascii="仿宋" w:hAnsi="仿宋" w:eastAsia="仿宋" w:cs="Times New Roman"/>
          <w:color w:val="auto"/>
          <w:kern w:val="0"/>
          <w:sz w:val="24"/>
          <w:szCs w:val="24"/>
          <w:highlight w:val="none"/>
          <w:u w:val="single"/>
        </w:rPr>
        <w:t xml:space="preserve"> 日</w:t>
      </w:r>
      <w:r>
        <w:rPr>
          <w:rFonts w:hint="eastAsia" w:ascii="仿宋" w:hAnsi="仿宋" w:eastAsia="仿宋" w:cs="Times New Roman"/>
          <w:color w:val="auto"/>
          <w:kern w:val="0"/>
          <w:sz w:val="24"/>
          <w:szCs w:val="24"/>
          <w:highlight w:val="none"/>
        </w:rPr>
        <w:t>或累计达</w:t>
      </w:r>
      <w:r>
        <w:rPr>
          <w:rFonts w:hint="eastAsia" w:ascii="仿宋" w:hAnsi="仿宋" w:eastAsia="仿宋" w:cs="Times New Roman"/>
          <w:color w:val="auto"/>
          <w:kern w:val="0"/>
          <w:sz w:val="24"/>
          <w:szCs w:val="24"/>
          <w:highlight w:val="none"/>
          <w:u w:val="single"/>
          <w:lang w:val="en-US" w:eastAsia="zh-CN"/>
        </w:rPr>
        <w:t>7</w:t>
      </w:r>
      <w:r>
        <w:rPr>
          <w:rFonts w:hint="eastAsia" w:ascii="仿宋" w:hAnsi="仿宋" w:eastAsia="仿宋" w:cs="Times New Roman"/>
          <w:color w:val="auto"/>
          <w:kern w:val="0"/>
          <w:sz w:val="24"/>
          <w:szCs w:val="24"/>
          <w:highlight w:val="none"/>
          <w:u w:val="single"/>
        </w:rPr>
        <w:t>日</w:t>
      </w:r>
      <w:r>
        <w:rPr>
          <w:rFonts w:hint="eastAsia" w:ascii="仿宋" w:hAnsi="仿宋" w:eastAsia="仿宋" w:cs="Times New Roman"/>
          <w:color w:val="auto"/>
          <w:kern w:val="0"/>
          <w:sz w:val="24"/>
          <w:szCs w:val="24"/>
          <w:highlight w:val="none"/>
        </w:rPr>
        <w:t>的，则甲方有权提前终止本协议。</w:t>
      </w:r>
    </w:p>
    <w:p w14:paraId="771255B2">
      <w:pPr>
        <w:spacing w:line="480" w:lineRule="auto"/>
        <w:ind w:firstLine="424" w:firstLineChars="177"/>
        <w:rPr>
          <w:rFonts w:hint="eastAsia"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29.</w:t>
      </w:r>
      <w:r>
        <w:rPr>
          <w:rFonts w:hint="eastAsia" w:ascii="仿宋" w:hAnsi="仿宋" w:eastAsia="仿宋" w:cs="Times New Roman"/>
          <w:color w:val="auto"/>
          <w:kern w:val="0"/>
          <w:sz w:val="24"/>
          <w:szCs w:val="24"/>
          <w:highlight w:val="none"/>
          <w:lang w:val="en-US" w:eastAsia="zh-CN"/>
        </w:rPr>
        <w:t>7</w:t>
      </w:r>
      <w:r>
        <w:rPr>
          <w:rFonts w:hint="eastAsia" w:ascii="仿宋" w:hAnsi="仿宋" w:eastAsia="仿宋" w:cs="Times New Roman"/>
          <w:color w:val="auto"/>
          <w:kern w:val="0"/>
          <w:sz w:val="24"/>
          <w:szCs w:val="24"/>
          <w:highlight w:val="none"/>
        </w:rPr>
        <w:t>如发生</w:t>
      </w:r>
      <w:r>
        <w:rPr>
          <w:rFonts w:hint="eastAsia" w:ascii="仿宋" w:hAnsi="仿宋" w:eastAsia="仿宋" w:cs="Times New Roman"/>
          <w:color w:val="auto"/>
          <w:kern w:val="0"/>
          <w:sz w:val="24"/>
          <w:szCs w:val="24"/>
          <w:highlight w:val="none"/>
          <w:lang w:val="en-US" w:eastAsia="zh-CN"/>
        </w:rPr>
        <w:t>上述</w:t>
      </w:r>
      <w:r>
        <w:rPr>
          <w:rFonts w:hint="eastAsia" w:ascii="仿宋" w:hAnsi="仿宋" w:eastAsia="仿宋" w:cs="Times New Roman"/>
          <w:color w:val="auto"/>
          <w:kern w:val="0"/>
          <w:sz w:val="24"/>
          <w:szCs w:val="24"/>
          <w:highlight w:val="none"/>
        </w:rPr>
        <w:t>乙方应向甲方支付违约金的情形，则甲方有权直接扣除或提取运维履约担保或移交履约担保项下的相应金额。</w:t>
      </w:r>
    </w:p>
    <w:p w14:paraId="456C80E3">
      <w:pPr>
        <w:keepNext/>
        <w:keepLines/>
        <w:widowControl w:val="0"/>
        <w:jc w:val="center"/>
        <w:outlineLvl w:val="0"/>
        <w:rPr>
          <w:rFonts w:ascii="仿宋" w:hAnsi="仿宋" w:eastAsia="仿宋" w:cs="Times New Roman"/>
          <w:b/>
          <w:bCs/>
          <w:color w:val="auto"/>
          <w:kern w:val="44"/>
          <w:sz w:val="30"/>
          <w:szCs w:val="44"/>
          <w:highlight w:val="none"/>
          <w:lang w:val="en-US" w:eastAsia="zh-CN" w:bidi="ar-SA"/>
        </w:rPr>
      </w:pPr>
      <w:bookmarkStart w:id="563" w:name="_Toc22234195"/>
      <w:r>
        <w:rPr>
          <w:rFonts w:hint="eastAsia" w:ascii="仿宋" w:hAnsi="仿宋" w:eastAsia="仿宋" w:cs="Times New Roman"/>
          <w:b/>
          <w:bCs/>
          <w:color w:val="auto"/>
          <w:kern w:val="44"/>
          <w:sz w:val="30"/>
          <w:szCs w:val="44"/>
          <w:highlight w:val="none"/>
          <w:lang w:val="en-US" w:eastAsia="zh-CN" w:bidi="ar-SA"/>
        </w:rPr>
        <w:t>第十章</w:t>
      </w:r>
      <w:r>
        <w:rPr>
          <w:rFonts w:hint="eastAsia" w:ascii="仿宋" w:hAnsi="仿宋" w:eastAsia="仿宋" w:cs="Times New Roman"/>
          <w:b/>
          <w:bCs/>
          <w:color w:val="auto"/>
          <w:kern w:val="44"/>
          <w:sz w:val="30"/>
          <w:szCs w:val="44"/>
          <w:highlight w:val="none"/>
          <w:lang w:val="en-US" w:eastAsia="zh-CN" w:bidi="ar-SA"/>
        </w:rPr>
        <w:tab/>
      </w:r>
      <w:r>
        <w:rPr>
          <w:rFonts w:hint="eastAsia" w:ascii="仿宋" w:hAnsi="仿宋" w:eastAsia="仿宋" w:cs="Times New Roman"/>
          <w:b/>
          <w:bCs/>
          <w:color w:val="auto"/>
          <w:kern w:val="44"/>
          <w:sz w:val="30"/>
          <w:szCs w:val="44"/>
          <w:highlight w:val="none"/>
          <w:lang w:val="en-US" w:eastAsia="zh-CN" w:bidi="ar-SA"/>
        </w:rPr>
        <w:t>协议的变更、终止</w:t>
      </w:r>
      <w:bookmarkEnd w:id="563"/>
    </w:p>
    <w:p w14:paraId="52FD2493">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64" w:name="_Toc22234196"/>
      <w:r>
        <w:rPr>
          <w:rFonts w:hint="eastAsia" w:ascii="仿宋" w:hAnsi="仿宋" w:eastAsia="仿宋" w:cs="Times New Roman"/>
          <w:b/>
          <w:bCs/>
          <w:color w:val="auto"/>
          <w:kern w:val="0"/>
          <w:sz w:val="28"/>
          <w:szCs w:val="32"/>
          <w:highlight w:val="none"/>
          <w:lang w:val="en-US" w:eastAsia="zh-CN" w:bidi="ar-SA"/>
        </w:rPr>
        <w:t>第3</w:t>
      </w:r>
      <w:r>
        <w:rPr>
          <w:rFonts w:ascii="仿宋" w:hAnsi="仿宋" w:eastAsia="仿宋" w:cs="Times New Roman"/>
          <w:b/>
          <w:bCs/>
          <w:color w:val="auto"/>
          <w:kern w:val="0"/>
          <w:sz w:val="28"/>
          <w:szCs w:val="32"/>
          <w:highlight w:val="none"/>
          <w:lang w:val="en-US" w:eastAsia="zh-CN" w:bidi="ar-SA"/>
        </w:rPr>
        <w:t>0</w:t>
      </w:r>
      <w:r>
        <w:rPr>
          <w:rFonts w:hint="eastAsia" w:ascii="仿宋" w:hAnsi="仿宋" w:eastAsia="仿宋" w:cs="Times New Roman"/>
          <w:b/>
          <w:bCs/>
          <w:color w:val="auto"/>
          <w:kern w:val="0"/>
          <w:sz w:val="28"/>
          <w:szCs w:val="32"/>
          <w:highlight w:val="none"/>
          <w:lang w:val="en-US" w:eastAsia="zh-CN" w:bidi="ar-SA"/>
        </w:rPr>
        <w:t>条</w:t>
      </w:r>
      <w:r>
        <w:rPr>
          <w:rFonts w:hint="eastAsia" w:ascii="仿宋" w:hAnsi="仿宋" w:eastAsia="仿宋" w:cs="Times New Roman"/>
          <w:b/>
          <w:bCs/>
          <w:color w:val="auto"/>
          <w:kern w:val="0"/>
          <w:sz w:val="28"/>
          <w:szCs w:val="32"/>
          <w:highlight w:val="none"/>
          <w:lang w:val="en-US" w:eastAsia="zh-CN" w:bidi="ar-SA"/>
        </w:rPr>
        <w:tab/>
      </w:r>
      <w:r>
        <w:rPr>
          <w:rFonts w:hint="eastAsia" w:ascii="仿宋" w:hAnsi="仿宋" w:eastAsia="仿宋" w:cs="Times New Roman"/>
          <w:b/>
          <w:bCs/>
          <w:color w:val="auto"/>
          <w:kern w:val="0"/>
          <w:sz w:val="28"/>
          <w:szCs w:val="32"/>
          <w:highlight w:val="none"/>
          <w:lang w:val="en-US" w:eastAsia="zh-CN" w:bidi="ar-SA"/>
        </w:rPr>
        <w:t>协议的变更</w:t>
      </w:r>
      <w:bookmarkEnd w:id="564"/>
    </w:p>
    <w:p w14:paraId="5D5DEA6A">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3</w:t>
      </w:r>
      <w:r>
        <w:rPr>
          <w:rFonts w:hint="default" w:ascii="仿宋" w:hAnsi="仿宋" w:eastAsia="仿宋" w:cs="Times New Roman"/>
          <w:color w:val="auto"/>
          <w:kern w:val="0"/>
          <w:sz w:val="24"/>
          <w:szCs w:val="24"/>
          <w:highlight w:val="none"/>
        </w:rPr>
        <w:t>0</w:t>
      </w:r>
      <w:r>
        <w:rPr>
          <w:rFonts w:hint="eastAsia" w:ascii="仿宋" w:hAnsi="仿宋" w:eastAsia="仿宋" w:cs="Times New Roman"/>
          <w:color w:val="auto"/>
          <w:kern w:val="0"/>
          <w:sz w:val="24"/>
          <w:szCs w:val="24"/>
          <w:highlight w:val="none"/>
        </w:rPr>
        <w:t>.1本协议未尽事宜，双方可协商解决或另行签订补充协议，补充协议与本协议具有同等法律效力，为本协议不可分割的组成部分。</w:t>
      </w:r>
    </w:p>
    <w:p w14:paraId="432100B2">
      <w:pPr>
        <w:spacing w:line="480" w:lineRule="auto"/>
        <w:ind w:firstLine="424" w:firstLineChars="177"/>
        <w:rPr>
          <w:rFonts w:hint="default" w:ascii="仿宋" w:hAnsi="仿宋" w:eastAsia="仿宋" w:cs="Times New Roman"/>
          <w:color w:val="auto"/>
          <w:kern w:val="2"/>
          <w:highlight w:val="none"/>
        </w:rPr>
      </w:pPr>
      <w:r>
        <w:rPr>
          <w:rFonts w:hint="eastAsia" w:ascii="仿宋" w:hAnsi="仿宋" w:eastAsia="仿宋" w:cs="Times New Roman"/>
          <w:color w:val="auto"/>
          <w:kern w:val="2"/>
          <w:sz w:val="24"/>
          <w:szCs w:val="24"/>
          <w:highlight w:val="none"/>
        </w:rPr>
        <w:t>3</w:t>
      </w:r>
      <w:r>
        <w:rPr>
          <w:rFonts w:hint="default" w:ascii="仿宋" w:hAnsi="仿宋" w:eastAsia="仿宋" w:cs="Times New Roman"/>
          <w:color w:val="auto"/>
          <w:kern w:val="2"/>
          <w:sz w:val="24"/>
          <w:szCs w:val="24"/>
          <w:highlight w:val="none"/>
        </w:rPr>
        <w:t>0</w:t>
      </w:r>
      <w:r>
        <w:rPr>
          <w:rFonts w:hint="eastAsia" w:ascii="仿宋" w:hAnsi="仿宋" w:eastAsia="仿宋" w:cs="Times New Roman"/>
          <w:color w:val="auto"/>
          <w:kern w:val="2"/>
          <w:sz w:val="24"/>
          <w:szCs w:val="24"/>
          <w:highlight w:val="none"/>
        </w:rPr>
        <w:t>.2任何一方未经另一方书面同意不得转让其在本协议项下全部或部分的权利和义务。</w:t>
      </w:r>
    </w:p>
    <w:p w14:paraId="71036E41">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65" w:name="_Toc22234197"/>
      <w:r>
        <w:rPr>
          <w:rFonts w:hint="eastAsia" w:ascii="仿宋" w:hAnsi="仿宋" w:eastAsia="仿宋" w:cs="Times New Roman"/>
          <w:b/>
          <w:bCs/>
          <w:color w:val="auto"/>
          <w:kern w:val="0"/>
          <w:sz w:val="28"/>
          <w:szCs w:val="32"/>
          <w:highlight w:val="none"/>
          <w:lang w:val="en-US" w:eastAsia="zh-CN" w:bidi="ar-SA"/>
        </w:rPr>
        <w:t>第</w:t>
      </w:r>
      <w:r>
        <w:rPr>
          <w:rFonts w:ascii="仿宋" w:hAnsi="仿宋" w:eastAsia="仿宋" w:cs="Times New Roman"/>
          <w:b/>
          <w:bCs/>
          <w:color w:val="auto"/>
          <w:kern w:val="0"/>
          <w:sz w:val="28"/>
          <w:szCs w:val="32"/>
          <w:highlight w:val="none"/>
          <w:lang w:val="en-US" w:eastAsia="zh-CN" w:bidi="ar-SA"/>
        </w:rPr>
        <w:t>31</w:t>
      </w:r>
      <w:r>
        <w:rPr>
          <w:rFonts w:hint="eastAsia" w:ascii="仿宋" w:hAnsi="仿宋" w:eastAsia="仿宋" w:cs="Times New Roman"/>
          <w:b/>
          <w:bCs/>
          <w:color w:val="auto"/>
          <w:kern w:val="0"/>
          <w:sz w:val="28"/>
          <w:szCs w:val="32"/>
          <w:highlight w:val="none"/>
          <w:lang w:val="en-US" w:eastAsia="zh-CN" w:bidi="ar-SA"/>
        </w:rPr>
        <w:t>条 终止事件</w:t>
      </w:r>
      <w:bookmarkEnd w:id="565"/>
      <w:r>
        <w:rPr>
          <w:rFonts w:hint="eastAsia" w:ascii="仿宋" w:hAnsi="仿宋" w:eastAsia="仿宋" w:cs="Times New Roman"/>
          <w:b/>
          <w:bCs/>
          <w:color w:val="auto"/>
          <w:kern w:val="0"/>
          <w:sz w:val="28"/>
          <w:szCs w:val="32"/>
          <w:highlight w:val="none"/>
          <w:lang w:val="en-US" w:eastAsia="zh-CN" w:bidi="ar-SA"/>
        </w:rPr>
        <w:t xml:space="preserve"> </w:t>
      </w:r>
    </w:p>
    <w:p w14:paraId="0AFC45CE">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下列任一事件发生时，本协议终止：</w:t>
      </w:r>
    </w:p>
    <w:p w14:paraId="31056EB4">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31</w:t>
      </w:r>
      <w:r>
        <w:rPr>
          <w:rFonts w:hint="eastAsia" w:ascii="仿宋" w:hAnsi="仿宋" w:eastAsia="仿宋" w:cs="Times New Roman"/>
          <w:color w:val="auto"/>
          <w:kern w:val="0"/>
          <w:sz w:val="24"/>
          <w:szCs w:val="24"/>
          <w:highlight w:val="none"/>
        </w:rPr>
        <w:t>.1 《</w:t>
      </w:r>
      <w:r>
        <w:rPr>
          <w:rFonts w:hint="eastAsia" w:ascii="仿宋" w:hAnsi="仿宋" w:eastAsia="仿宋" w:cs="Times New Roman"/>
          <w:color w:val="auto"/>
          <w:kern w:val="0"/>
          <w:sz w:val="24"/>
          <w:szCs w:val="24"/>
          <w:highlight w:val="none"/>
          <w:lang w:val="en-US" w:eastAsia="zh-CN"/>
        </w:rPr>
        <w:t>特许经营协议</w:t>
      </w:r>
      <w:r>
        <w:rPr>
          <w:rFonts w:hint="eastAsia" w:ascii="仿宋" w:hAnsi="仿宋" w:eastAsia="仿宋" w:cs="Times New Roman"/>
          <w:color w:val="auto"/>
          <w:kern w:val="0"/>
          <w:sz w:val="24"/>
          <w:szCs w:val="24"/>
          <w:highlight w:val="none"/>
        </w:rPr>
        <w:t>》终止；</w:t>
      </w:r>
    </w:p>
    <w:p w14:paraId="5D660CAC">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31</w:t>
      </w:r>
      <w:r>
        <w:rPr>
          <w:rFonts w:hint="eastAsia" w:ascii="仿宋" w:hAnsi="仿宋" w:eastAsia="仿宋" w:cs="Times New Roman"/>
          <w:color w:val="auto"/>
          <w:kern w:val="0"/>
          <w:sz w:val="24"/>
          <w:szCs w:val="24"/>
          <w:highlight w:val="none"/>
        </w:rPr>
        <w:t>.2根据本协议第3</w:t>
      </w:r>
      <w:r>
        <w:rPr>
          <w:rFonts w:hint="default" w:ascii="仿宋" w:hAnsi="仿宋" w:eastAsia="仿宋" w:cs="Times New Roman"/>
          <w:color w:val="auto"/>
          <w:kern w:val="0"/>
          <w:sz w:val="24"/>
          <w:szCs w:val="24"/>
          <w:highlight w:val="none"/>
        </w:rPr>
        <w:t>2</w:t>
      </w:r>
      <w:r>
        <w:rPr>
          <w:rFonts w:hint="eastAsia" w:ascii="仿宋" w:hAnsi="仿宋" w:eastAsia="仿宋" w:cs="Times New Roman"/>
          <w:color w:val="auto"/>
          <w:kern w:val="0"/>
          <w:sz w:val="24"/>
          <w:szCs w:val="24"/>
          <w:highlight w:val="none"/>
        </w:rPr>
        <w:t>条因甲方违约的终止约定，在甲方违约事件后，乙方通知终止本协议；</w:t>
      </w:r>
    </w:p>
    <w:p w14:paraId="0588284D">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31</w:t>
      </w:r>
      <w:r>
        <w:rPr>
          <w:rFonts w:hint="eastAsia" w:ascii="仿宋" w:hAnsi="仿宋" w:eastAsia="仿宋" w:cs="Times New Roman"/>
          <w:color w:val="auto"/>
          <w:kern w:val="0"/>
          <w:sz w:val="24"/>
          <w:szCs w:val="24"/>
          <w:highlight w:val="none"/>
        </w:rPr>
        <w:t>.3根据本协议第3</w:t>
      </w:r>
      <w:r>
        <w:rPr>
          <w:rFonts w:hint="default" w:ascii="仿宋" w:hAnsi="仿宋" w:eastAsia="仿宋" w:cs="Times New Roman"/>
          <w:color w:val="auto"/>
          <w:kern w:val="0"/>
          <w:sz w:val="24"/>
          <w:szCs w:val="24"/>
          <w:highlight w:val="none"/>
        </w:rPr>
        <w:t>3</w:t>
      </w:r>
      <w:r>
        <w:rPr>
          <w:rFonts w:hint="eastAsia" w:ascii="仿宋" w:hAnsi="仿宋" w:eastAsia="仿宋" w:cs="Times New Roman"/>
          <w:color w:val="auto"/>
          <w:kern w:val="0"/>
          <w:sz w:val="24"/>
          <w:szCs w:val="24"/>
          <w:highlight w:val="none"/>
        </w:rPr>
        <w:t>条因乙方违约的终止约定，在乙方违约事件发生后，甲方通知终止本协议。</w:t>
      </w:r>
    </w:p>
    <w:p w14:paraId="318E56A0">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66" w:name="_Toc22234198"/>
      <w:r>
        <w:rPr>
          <w:rFonts w:hint="eastAsia" w:ascii="仿宋" w:hAnsi="仿宋" w:eastAsia="仿宋" w:cs="Times New Roman"/>
          <w:b/>
          <w:bCs/>
          <w:color w:val="auto"/>
          <w:kern w:val="0"/>
          <w:sz w:val="28"/>
          <w:szCs w:val="32"/>
          <w:highlight w:val="none"/>
          <w:lang w:val="en-US" w:eastAsia="zh-CN" w:bidi="ar-SA"/>
        </w:rPr>
        <w:t>第</w:t>
      </w:r>
      <w:r>
        <w:rPr>
          <w:rFonts w:ascii="仿宋" w:hAnsi="仿宋" w:eastAsia="仿宋" w:cs="Times New Roman"/>
          <w:b/>
          <w:bCs/>
          <w:color w:val="auto"/>
          <w:kern w:val="0"/>
          <w:sz w:val="28"/>
          <w:szCs w:val="32"/>
          <w:highlight w:val="none"/>
          <w:lang w:val="en-US" w:eastAsia="zh-CN" w:bidi="ar-SA"/>
        </w:rPr>
        <w:t>32</w:t>
      </w:r>
      <w:r>
        <w:rPr>
          <w:rFonts w:hint="eastAsia" w:ascii="仿宋" w:hAnsi="仿宋" w:eastAsia="仿宋" w:cs="Times New Roman"/>
          <w:b/>
          <w:bCs/>
          <w:color w:val="auto"/>
          <w:kern w:val="0"/>
          <w:sz w:val="28"/>
          <w:szCs w:val="32"/>
          <w:highlight w:val="none"/>
          <w:lang w:val="en-US" w:eastAsia="zh-CN" w:bidi="ar-SA"/>
        </w:rPr>
        <w:t>条</w:t>
      </w:r>
      <w:r>
        <w:rPr>
          <w:rFonts w:hint="eastAsia" w:ascii="仿宋" w:hAnsi="仿宋" w:eastAsia="仿宋" w:cs="Times New Roman"/>
          <w:b/>
          <w:bCs/>
          <w:color w:val="auto"/>
          <w:kern w:val="0"/>
          <w:sz w:val="28"/>
          <w:szCs w:val="32"/>
          <w:highlight w:val="none"/>
          <w:lang w:val="en-US" w:eastAsia="zh-CN" w:bidi="ar-SA"/>
        </w:rPr>
        <w:tab/>
      </w:r>
      <w:r>
        <w:rPr>
          <w:rFonts w:hint="eastAsia" w:ascii="仿宋" w:hAnsi="仿宋" w:eastAsia="仿宋" w:cs="Times New Roman"/>
          <w:b/>
          <w:bCs/>
          <w:color w:val="auto"/>
          <w:kern w:val="0"/>
          <w:sz w:val="28"/>
          <w:szCs w:val="32"/>
          <w:highlight w:val="none"/>
          <w:lang w:val="en-US" w:eastAsia="zh-CN" w:bidi="ar-SA"/>
        </w:rPr>
        <w:t>因甲方违约的终止</w:t>
      </w:r>
      <w:bookmarkEnd w:id="566"/>
    </w:p>
    <w:p w14:paraId="4D432EB6">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下列事件若非因乙方原因或不可抗力事件所致，并且未在规定的时间内得到改正，则应视为甲方违约事件，乙方有权因此向甲方发出终止意向通知：</w:t>
      </w:r>
    </w:p>
    <w:p w14:paraId="5E5B3929">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甲方无正当理由未按《</w:t>
      </w:r>
      <w:r>
        <w:rPr>
          <w:rFonts w:hint="eastAsia" w:ascii="仿宋" w:hAnsi="仿宋" w:eastAsia="仿宋" w:cs="Times New Roman"/>
          <w:color w:val="auto"/>
          <w:kern w:val="0"/>
          <w:sz w:val="24"/>
          <w:szCs w:val="24"/>
          <w:highlight w:val="none"/>
          <w:lang w:val="en-US" w:eastAsia="zh-CN"/>
        </w:rPr>
        <w:t>特许经营协议</w:t>
      </w:r>
      <w:r>
        <w:rPr>
          <w:rFonts w:hint="eastAsia" w:ascii="仿宋" w:hAnsi="仿宋" w:eastAsia="仿宋" w:cs="Times New Roman"/>
          <w:color w:val="auto"/>
          <w:kern w:val="0"/>
          <w:sz w:val="24"/>
          <w:szCs w:val="24"/>
          <w:highlight w:val="none"/>
        </w:rPr>
        <w:t>》第</w:t>
      </w:r>
      <w:r>
        <w:rPr>
          <w:rFonts w:hint="eastAsia" w:ascii="仿宋" w:hAnsi="仿宋" w:eastAsia="仿宋" w:cs="Times New Roman"/>
          <w:color w:val="auto"/>
          <w:kern w:val="0"/>
          <w:sz w:val="24"/>
          <w:szCs w:val="24"/>
          <w:highlight w:val="none"/>
          <w:lang w:val="en-US" w:eastAsia="zh-CN"/>
        </w:rPr>
        <w:t>40</w:t>
      </w:r>
      <w:r>
        <w:rPr>
          <w:rFonts w:hint="eastAsia" w:ascii="仿宋" w:hAnsi="仿宋" w:eastAsia="仿宋" w:cs="Times New Roman"/>
          <w:color w:val="auto"/>
          <w:kern w:val="0"/>
          <w:sz w:val="24"/>
          <w:szCs w:val="24"/>
          <w:highlight w:val="none"/>
        </w:rPr>
        <w:t>条的约定向乙方支付服务费，且逾期超过</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180</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日。</w:t>
      </w:r>
    </w:p>
    <w:p w14:paraId="0B33E3B6">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67" w:name="_Toc22234199"/>
      <w:r>
        <w:rPr>
          <w:rFonts w:hint="eastAsia" w:ascii="仿宋" w:hAnsi="仿宋" w:eastAsia="仿宋" w:cs="Times New Roman"/>
          <w:b/>
          <w:bCs/>
          <w:color w:val="auto"/>
          <w:kern w:val="0"/>
          <w:sz w:val="28"/>
          <w:szCs w:val="32"/>
          <w:highlight w:val="none"/>
          <w:lang w:val="en-US" w:eastAsia="zh-CN" w:bidi="ar-SA"/>
        </w:rPr>
        <w:t>第</w:t>
      </w:r>
      <w:r>
        <w:rPr>
          <w:rFonts w:ascii="仿宋" w:hAnsi="仿宋" w:eastAsia="仿宋" w:cs="Times New Roman"/>
          <w:b/>
          <w:bCs/>
          <w:color w:val="auto"/>
          <w:kern w:val="0"/>
          <w:sz w:val="28"/>
          <w:szCs w:val="32"/>
          <w:highlight w:val="none"/>
          <w:lang w:val="en-US" w:eastAsia="zh-CN" w:bidi="ar-SA"/>
        </w:rPr>
        <w:t>33</w:t>
      </w:r>
      <w:r>
        <w:rPr>
          <w:rFonts w:hint="eastAsia" w:ascii="仿宋" w:hAnsi="仿宋" w:eastAsia="仿宋" w:cs="Times New Roman"/>
          <w:b/>
          <w:bCs/>
          <w:color w:val="auto"/>
          <w:kern w:val="0"/>
          <w:sz w:val="28"/>
          <w:szCs w:val="32"/>
          <w:highlight w:val="none"/>
          <w:lang w:val="en-US" w:eastAsia="zh-CN" w:bidi="ar-SA"/>
        </w:rPr>
        <w:t>条</w:t>
      </w:r>
      <w:r>
        <w:rPr>
          <w:rFonts w:hint="eastAsia" w:ascii="仿宋" w:hAnsi="仿宋" w:eastAsia="仿宋" w:cs="Times New Roman"/>
          <w:b/>
          <w:bCs/>
          <w:color w:val="auto"/>
          <w:kern w:val="0"/>
          <w:sz w:val="28"/>
          <w:szCs w:val="32"/>
          <w:highlight w:val="none"/>
          <w:lang w:val="en-US" w:eastAsia="zh-CN" w:bidi="ar-SA"/>
        </w:rPr>
        <w:tab/>
      </w:r>
      <w:r>
        <w:rPr>
          <w:rFonts w:hint="eastAsia" w:ascii="仿宋" w:hAnsi="仿宋" w:eastAsia="仿宋" w:cs="Times New Roman"/>
          <w:b/>
          <w:bCs/>
          <w:color w:val="auto"/>
          <w:kern w:val="0"/>
          <w:sz w:val="28"/>
          <w:szCs w:val="32"/>
          <w:highlight w:val="none"/>
          <w:lang w:val="en-US" w:eastAsia="zh-CN" w:bidi="ar-SA"/>
        </w:rPr>
        <w:t>因乙方违约的终止</w:t>
      </w:r>
      <w:bookmarkEnd w:id="567"/>
    </w:p>
    <w:p w14:paraId="31CF90D4">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下列任一事件若非因甲方之原因或不可抗力事件所致，并且未在规定的时间内得到改正，则应视为乙方违约事件，甲方有权因此向乙方发出终止意向通知：</w:t>
      </w:r>
    </w:p>
    <w:p w14:paraId="128FAAFA">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33</w:t>
      </w:r>
      <w:r>
        <w:rPr>
          <w:rFonts w:hint="eastAsia" w:ascii="仿宋" w:hAnsi="仿宋" w:eastAsia="仿宋" w:cs="Times New Roman"/>
          <w:color w:val="auto"/>
          <w:kern w:val="0"/>
          <w:sz w:val="24"/>
          <w:szCs w:val="24"/>
          <w:highlight w:val="none"/>
        </w:rPr>
        <w:t>.1依据本协议第</w:t>
      </w:r>
      <w:r>
        <w:rPr>
          <w:rFonts w:hint="default" w:ascii="仿宋" w:hAnsi="仿宋" w:eastAsia="仿宋" w:cs="Times New Roman"/>
          <w:color w:val="auto"/>
          <w:kern w:val="0"/>
          <w:sz w:val="24"/>
          <w:szCs w:val="24"/>
          <w:highlight w:val="none"/>
        </w:rPr>
        <w:t>29</w:t>
      </w:r>
      <w:r>
        <w:rPr>
          <w:rFonts w:hint="eastAsia" w:ascii="仿宋" w:hAnsi="仿宋" w:eastAsia="仿宋" w:cs="Times New Roman"/>
          <w:color w:val="auto"/>
          <w:kern w:val="0"/>
          <w:sz w:val="24"/>
          <w:szCs w:val="24"/>
          <w:highlight w:val="none"/>
        </w:rPr>
        <w:t>.</w:t>
      </w:r>
      <w:r>
        <w:rPr>
          <w:rFonts w:hint="eastAsia" w:ascii="仿宋" w:hAnsi="仿宋" w:eastAsia="仿宋" w:cs="Times New Roman"/>
          <w:color w:val="auto"/>
          <w:kern w:val="0"/>
          <w:sz w:val="24"/>
          <w:szCs w:val="24"/>
          <w:highlight w:val="none"/>
          <w:lang w:val="en-US" w:eastAsia="zh-CN"/>
        </w:rPr>
        <w:t>4</w:t>
      </w:r>
      <w:r>
        <w:rPr>
          <w:rFonts w:hint="eastAsia" w:ascii="仿宋" w:hAnsi="仿宋" w:eastAsia="仿宋" w:cs="Times New Roman"/>
          <w:color w:val="auto"/>
          <w:kern w:val="0"/>
          <w:sz w:val="24"/>
          <w:szCs w:val="24"/>
          <w:highlight w:val="none"/>
        </w:rPr>
        <w:t>款的约定，乙方未经甲方批准而擅自调整流量计、液位计的行为第</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3</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次发生；</w:t>
      </w:r>
    </w:p>
    <w:p w14:paraId="4622865B">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33</w:t>
      </w:r>
      <w:r>
        <w:rPr>
          <w:rFonts w:hint="eastAsia" w:ascii="仿宋" w:hAnsi="仿宋" w:eastAsia="仿宋" w:cs="Times New Roman"/>
          <w:color w:val="auto"/>
          <w:kern w:val="0"/>
          <w:sz w:val="24"/>
          <w:szCs w:val="24"/>
          <w:highlight w:val="none"/>
        </w:rPr>
        <w:t>.2依据本协议第</w:t>
      </w:r>
      <w:r>
        <w:rPr>
          <w:rFonts w:hint="default" w:ascii="仿宋" w:hAnsi="仿宋" w:eastAsia="仿宋" w:cs="Times New Roman"/>
          <w:color w:val="auto"/>
          <w:kern w:val="0"/>
          <w:sz w:val="24"/>
          <w:szCs w:val="24"/>
          <w:highlight w:val="none"/>
        </w:rPr>
        <w:t>29</w:t>
      </w:r>
      <w:r>
        <w:rPr>
          <w:rFonts w:hint="eastAsia" w:ascii="仿宋" w:hAnsi="仿宋" w:eastAsia="仿宋" w:cs="Times New Roman"/>
          <w:color w:val="auto"/>
          <w:kern w:val="0"/>
          <w:sz w:val="24"/>
          <w:szCs w:val="24"/>
          <w:highlight w:val="none"/>
        </w:rPr>
        <w:t>.</w:t>
      </w:r>
      <w:r>
        <w:rPr>
          <w:rFonts w:hint="default" w:ascii="仿宋" w:hAnsi="仿宋" w:eastAsia="仿宋" w:cs="Times New Roman"/>
          <w:color w:val="auto"/>
          <w:kern w:val="0"/>
          <w:sz w:val="24"/>
          <w:szCs w:val="24"/>
          <w:highlight w:val="none"/>
        </w:rPr>
        <w:t>1</w:t>
      </w:r>
      <w:r>
        <w:rPr>
          <w:rFonts w:hint="eastAsia" w:ascii="仿宋" w:hAnsi="仿宋" w:eastAsia="仿宋" w:cs="Times New Roman"/>
          <w:color w:val="auto"/>
          <w:kern w:val="0"/>
          <w:sz w:val="24"/>
          <w:szCs w:val="24"/>
          <w:highlight w:val="none"/>
        </w:rPr>
        <w:t>款的约定，污水处理厂的绩效评价已连续</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2</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次均被判定为“不合格”；</w:t>
      </w:r>
    </w:p>
    <w:p w14:paraId="719B0990">
      <w:pPr>
        <w:spacing w:line="480" w:lineRule="auto"/>
        <w:ind w:firstLine="424" w:firstLineChars="177"/>
        <w:jc w:val="left"/>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33</w:t>
      </w:r>
      <w:r>
        <w:rPr>
          <w:rFonts w:hint="eastAsia" w:ascii="仿宋" w:hAnsi="仿宋" w:eastAsia="仿宋" w:cs="Times New Roman"/>
          <w:color w:val="auto"/>
          <w:kern w:val="0"/>
          <w:sz w:val="24"/>
          <w:szCs w:val="24"/>
          <w:highlight w:val="none"/>
        </w:rPr>
        <w:t>.3一个运营年内出现本协议第</w:t>
      </w:r>
      <w:r>
        <w:rPr>
          <w:rFonts w:hint="default" w:ascii="仿宋" w:hAnsi="仿宋" w:eastAsia="仿宋" w:cs="Times New Roman"/>
          <w:color w:val="auto"/>
          <w:kern w:val="0"/>
          <w:sz w:val="24"/>
          <w:szCs w:val="24"/>
          <w:highlight w:val="none"/>
        </w:rPr>
        <w:t>26</w:t>
      </w:r>
      <w:r>
        <w:rPr>
          <w:rFonts w:hint="eastAsia" w:ascii="仿宋" w:hAnsi="仿宋" w:eastAsia="仿宋" w:cs="Times New Roman"/>
          <w:color w:val="auto"/>
          <w:kern w:val="0"/>
          <w:sz w:val="24"/>
          <w:szCs w:val="24"/>
          <w:highlight w:val="none"/>
        </w:rPr>
        <w:t>.3款所述之暂停已持续</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5</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日或累计达</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u w:val="single"/>
          <w:lang w:val="en-US" w:eastAsia="zh-CN"/>
        </w:rPr>
        <w:t>7</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日。</w:t>
      </w:r>
    </w:p>
    <w:p w14:paraId="3E2C590D">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68" w:name="_Toc22234200"/>
      <w:r>
        <w:rPr>
          <w:rFonts w:hint="eastAsia" w:ascii="仿宋" w:hAnsi="仿宋" w:eastAsia="仿宋" w:cs="Times New Roman"/>
          <w:b/>
          <w:bCs/>
          <w:color w:val="auto"/>
          <w:kern w:val="0"/>
          <w:sz w:val="28"/>
          <w:szCs w:val="32"/>
          <w:highlight w:val="none"/>
          <w:lang w:val="en-US" w:eastAsia="zh-CN" w:bidi="ar-SA"/>
        </w:rPr>
        <w:t>第</w:t>
      </w:r>
      <w:r>
        <w:rPr>
          <w:rFonts w:ascii="仿宋" w:hAnsi="仿宋" w:eastAsia="仿宋" w:cs="Times New Roman"/>
          <w:b/>
          <w:bCs/>
          <w:color w:val="auto"/>
          <w:kern w:val="0"/>
          <w:sz w:val="28"/>
          <w:szCs w:val="32"/>
          <w:highlight w:val="none"/>
          <w:lang w:val="en-US" w:eastAsia="zh-CN" w:bidi="ar-SA"/>
        </w:rPr>
        <w:t>34</w:t>
      </w:r>
      <w:r>
        <w:rPr>
          <w:rFonts w:hint="eastAsia" w:ascii="仿宋" w:hAnsi="仿宋" w:eastAsia="仿宋" w:cs="Times New Roman"/>
          <w:b/>
          <w:bCs/>
          <w:color w:val="auto"/>
          <w:kern w:val="0"/>
          <w:sz w:val="28"/>
          <w:szCs w:val="32"/>
          <w:highlight w:val="none"/>
          <w:lang w:val="en-US" w:eastAsia="zh-CN" w:bidi="ar-SA"/>
        </w:rPr>
        <w:t>条</w:t>
      </w:r>
      <w:r>
        <w:rPr>
          <w:rFonts w:hint="eastAsia" w:ascii="仿宋" w:hAnsi="仿宋" w:eastAsia="仿宋" w:cs="Times New Roman"/>
          <w:b/>
          <w:bCs/>
          <w:color w:val="auto"/>
          <w:kern w:val="0"/>
          <w:sz w:val="28"/>
          <w:szCs w:val="32"/>
          <w:highlight w:val="none"/>
          <w:lang w:val="en-US" w:eastAsia="zh-CN" w:bidi="ar-SA"/>
        </w:rPr>
        <w:tab/>
      </w:r>
      <w:r>
        <w:rPr>
          <w:rFonts w:hint="eastAsia" w:ascii="仿宋" w:hAnsi="仿宋" w:eastAsia="仿宋" w:cs="Times New Roman"/>
          <w:b/>
          <w:bCs/>
          <w:color w:val="auto"/>
          <w:kern w:val="0"/>
          <w:sz w:val="28"/>
          <w:szCs w:val="32"/>
          <w:highlight w:val="none"/>
          <w:lang w:val="en-US" w:eastAsia="zh-CN" w:bidi="ar-SA"/>
        </w:rPr>
        <w:t>提前终止后续处理</w:t>
      </w:r>
      <w:bookmarkEnd w:id="568"/>
    </w:p>
    <w:p w14:paraId="77A227E8">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34</w:t>
      </w:r>
      <w:r>
        <w:rPr>
          <w:rFonts w:hint="eastAsia" w:ascii="仿宋" w:hAnsi="仿宋" w:eastAsia="仿宋" w:cs="Times New Roman"/>
          <w:color w:val="auto"/>
          <w:kern w:val="0"/>
          <w:sz w:val="24"/>
          <w:szCs w:val="24"/>
          <w:highlight w:val="none"/>
        </w:rPr>
        <w:t>.1如本协议提前终止，则按照《</w:t>
      </w:r>
      <w:r>
        <w:rPr>
          <w:rFonts w:hint="eastAsia" w:ascii="仿宋" w:hAnsi="仿宋" w:eastAsia="仿宋" w:cs="Times New Roman"/>
          <w:color w:val="auto"/>
          <w:kern w:val="0"/>
          <w:sz w:val="24"/>
          <w:szCs w:val="24"/>
          <w:highlight w:val="none"/>
          <w:lang w:val="en-US" w:eastAsia="zh-CN"/>
        </w:rPr>
        <w:t>特许经营协议</w:t>
      </w:r>
      <w:r>
        <w:rPr>
          <w:rFonts w:hint="eastAsia" w:ascii="仿宋" w:hAnsi="仿宋" w:eastAsia="仿宋" w:cs="Times New Roman"/>
          <w:color w:val="auto"/>
          <w:kern w:val="0"/>
          <w:sz w:val="24"/>
          <w:szCs w:val="24"/>
          <w:highlight w:val="none"/>
        </w:rPr>
        <w:t>》第</w:t>
      </w:r>
      <w:r>
        <w:rPr>
          <w:rFonts w:hint="eastAsia" w:ascii="仿宋" w:hAnsi="仿宋" w:eastAsia="仿宋" w:cs="Times New Roman"/>
          <w:color w:val="auto"/>
          <w:kern w:val="0"/>
          <w:sz w:val="24"/>
          <w:szCs w:val="24"/>
          <w:highlight w:val="none"/>
          <w:lang w:val="en-US" w:eastAsia="zh-CN"/>
        </w:rPr>
        <w:t>55</w:t>
      </w:r>
      <w:r>
        <w:rPr>
          <w:rFonts w:hint="eastAsia" w:ascii="仿宋" w:hAnsi="仿宋" w:eastAsia="仿宋" w:cs="Times New Roman"/>
          <w:color w:val="auto"/>
          <w:kern w:val="0"/>
          <w:sz w:val="24"/>
          <w:szCs w:val="24"/>
          <w:highlight w:val="none"/>
        </w:rPr>
        <w:t>条的约定执行。</w:t>
      </w:r>
    </w:p>
    <w:p w14:paraId="3726F418">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34</w:t>
      </w:r>
      <w:r>
        <w:rPr>
          <w:rFonts w:hint="eastAsia" w:ascii="仿宋" w:hAnsi="仿宋" w:eastAsia="仿宋" w:cs="Times New Roman"/>
          <w:color w:val="auto"/>
          <w:kern w:val="0"/>
          <w:sz w:val="24"/>
          <w:szCs w:val="24"/>
          <w:highlight w:val="none"/>
        </w:rPr>
        <w:t>.2如《</w:t>
      </w:r>
      <w:r>
        <w:rPr>
          <w:rFonts w:hint="eastAsia" w:ascii="仿宋" w:hAnsi="仿宋" w:eastAsia="仿宋" w:cs="Times New Roman"/>
          <w:color w:val="auto"/>
          <w:kern w:val="0"/>
          <w:sz w:val="24"/>
          <w:szCs w:val="24"/>
          <w:highlight w:val="none"/>
          <w:lang w:val="en-US" w:eastAsia="zh-CN"/>
        </w:rPr>
        <w:t>特许经营协议</w:t>
      </w:r>
      <w:r>
        <w:rPr>
          <w:rFonts w:hint="eastAsia" w:ascii="仿宋" w:hAnsi="仿宋" w:eastAsia="仿宋" w:cs="Times New Roman"/>
          <w:color w:val="auto"/>
          <w:kern w:val="0"/>
          <w:sz w:val="24"/>
          <w:szCs w:val="24"/>
          <w:highlight w:val="none"/>
        </w:rPr>
        <w:t>》提前终止时，则本协议亦同时终止。</w:t>
      </w:r>
    </w:p>
    <w:p w14:paraId="1C4ABB43">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69" w:name="_Toc22234201"/>
      <w:r>
        <w:rPr>
          <w:rFonts w:hint="eastAsia" w:ascii="仿宋" w:hAnsi="仿宋" w:eastAsia="仿宋" w:cs="Times New Roman"/>
          <w:b/>
          <w:bCs/>
          <w:color w:val="auto"/>
          <w:kern w:val="0"/>
          <w:sz w:val="28"/>
          <w:szCs w:val="32"/>
          <w:highlight w:val="none"/>
          <w:lang w:val="en-US" w:eastAsia="zh-CN" w:bidi="ar-SA"/>
        </w:rPr>
        <w:t>第</w:t>
      </w:r>
      <w:r>
        <w:rPr>
          <w:rFonts w:ascii="仿宋" w:hAnsi="仿宋" w:eastAsia="仿宋" w:cs="Times New Roman"/>
          <w:b/>
          <w:bCs/>
          <w:color w:val="auto"/>
          <w:kern w:val="0"/>
          <w:sz w:val="28"/>
          <w:szCs w:val="32"/>
          <w:highlight w:val="none"/>
          <w:lang w:val="en-US" w:eastAsia="zh-CN" w:bidi="ar-SA"/>
        </w:rPr>
        <w:t>35</w:t>
      </w:r>
      <w:r>
        <w:rPr>
          <w:rFonts w:hint="eastAsia" w:ascii="仿宋" w:hAnsi="仿宋" w:eastAsia="仿宋" w:cs="Times New Roman"/>
          <w:b/>
          <w:bCs/>
          <w:color w:val="auto"/>
          <w:kern w:val="0"/>
          <w:sz w:val="28"/>
          <w:szCs w:val="32"/>
          <w:highlight w:val="none"/>
          <w:lang w:val="en-US" w:eastAsia="zh-CN" w:bidi="ar-SA"/>
        </w:rPr>
        <w:t>条</w:t>
      </w:r>
      <w:r>
        <w:rPr>
          <w:rFonts w:hint="eastAsia" w:ascii="仿宋" w:hAnsi="仿宋" w:eastAsia="仿宋" w:cs="Times New Roman"/>
          <w:b/>
          <w:bCs/>
          <w:color w:val="auto"/>
          <w:kern w:val="0"/>
          <w:sz w:val="28"/>
          <w:szCs w:val="32"/>
          <w:highlight w:val="none"/>
          <w:lang w:val="en-US" w:eastAsia="zh-CN" w:bidi="ar-SA"/>
        </w:rPr>
        <w:tab/>
      </w:r>
      <w:r>
        <w:rPr>
          <w:rFonts w:hint="eastAsia" w:ascii="仿宋" w:hAnsi="仿宋" w:eastAsia="仿宋" w:cs="Times New Roman"/>
          <w:b/>
          <w:bCs/>
          <w:color w:val="auto"/>
          <w:kern w:val="0"/>
          <w:sz w:val="28"/>
          <w:szCs w:val="32"/>
          <w:highlight w:val="none"/>
          <w:lang w:val="en-US" w:eastAsia="zh-CN" w:bidi="ar-SA"/>
        </w:rPr>
        <w:t>提前终止的补偿</w:t>
      </w:r>
      <w:bookmarkEnd w:id="569"/>
    </w:p>
    <w:p w14:paraId="5DEDA4EC">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如本协议提前终止的，不影响相应条款违约金的计算和提取。本协议提前终止的，补偿标准按照《特许经营协议》第</w:t>
      </w:r>
      <w:r>
        <w:rPr>
          <w:rFonts w:hint="eastAsia" w:ascii="仿宋" w:hAnsi="仿宋" w:eastAsia="仿宋" w:cs="Times New Roman"/>
          <w:color w:val="auto"/>
          <w:kern w:val="0"/>
          <w:sz w:val="24"/>
          <w:szCs w:val="24"/>
          <w:highlight w:val="none"/>
          <w:lang w:val="en-US" w:eastAsia="zh-CN"/>
        </w:rPr>
        <w:t>55</w:t>
      </w:r>
      <w:r>
        <w:rPr>
          <w:rFonts w:hint="eastAsia" w:ascii="仿宋" w:hAnsi="仿宋" w:eastAsia="仿宋" w:cs="Times New Roman"/>
          <w:color w:val="auto"/>
          <w:kern w:val="0"/>
          <w:sz w:val="24"/>
          <w:szCs w:val="24"/>
          <w:highlight w:val="none"/>
        </w:rPr>
        <w:t>条的约定执行。</w:t>
      </w:r>
    </w:p>
    <w:p w14:paraId="1E676896">
      <w:pPr>
        <w:keepNext/>
        <w:keepLines/>
        <w:widowControl w:val="0"/>
        <w:ind w:firstLine="562" w:firstLineChars="200"/>
        <w:jc w:val="both"/>
        <w:outlineLvl w:val="1"/>
        <w:rPr>
          <w:rFonts w:ascii="仿宋" w:hAnsi="仿宋" w:eastAsia="仿宋" w:cs="Times New Roman"/>
          <w:b/>
          <w:bCs/>
          <w:color w:val="auto"/>
          <w:kern w:val="0"/>
          <w:sz w:val="28"/>
          <w:szCs w:val="32"/>
          <w:highlight w:val="none"/>
          <w:lang w:val="en-US" w:eastAsia="zh-CN" w:bidi="ar-SA"/>
        </w:rPr>
      </w:pPr>
      <w:bookmarkStart w:id="570" w:name="_Toc22234202"/>
      <w:r>
        <w:rPr>
          <w:rFonts w:hint="eastAsia" w:ascii="仿宋" w:hAnsi="仿宋" w:eastAsia="仿宋" w:cs="Times New Roman"/>
          <w:b/>
          <w:bCs/>
          <w:color w:val="auto"/>
          <w:kern w:val="0"/>
          <w:sz w:val="28"/>
          <w:szCs w:val="32"/>
          <w:highlight w:val="none"/>
          <w:lang w:val="en-US" w:eastAsia="zh-CN" w:bidi="ar-SA"/>
        </w:rPr>
        <w:t>第</w:t>
      </w:r>
      <w:r>
        <w:rPr>
          <w:rFonts w:ascii="仿宋" w:hAnsi="仿宋" w:eastAsia="仿宋" w:cs="Times New Roman"/>
          <w:b/>
          <w:bCs/>
          <w:color w:val="auto"/>
          <w:kern w:val="0"/>
          <w:sz w:val="28"/>
          <w:szCs w:val="32"/>
          <w:highlight w:val="none"/>
          <w:lang w:val="en-US" w:eastAsia="zh-CN" w:bidi="ar-SA"/>
        </w:rPr>
        <w:t>36</w:t>
      </w:r>
      <w:r>
        <w:rPr>
          <w:rFonts w:hint="eastAsia" w:ascii="仿宋" w:hAnsi="仿宋" w:eastAsia="仿宋" w:cs="Times New Roman"/>
          <w:b/>
          <w:bCs/>
          <w:color w:val="auto"/>
          <w:kern w:val="0"/>
          <w:sz w:val="28"/>
          <w:szCs w:val="32"/>
          <w:highlight w:val="none"/>
          <w:lang w:val="en-US" w:eastAsia="zh-CN" w:bidi="ar-SA"/>
        </w:rPr>
        <w:t>条</w:t>
      </w:r>
      <w:r>
        <w:rPr>
          <w:rFonts w:hint="eastAsia" w:ascii="仿宋" w:hAnsi="仿宋" w:eastAsia="仿宋" w:cs="Times New Roman"/>
          <w:b/>
          <w:bCs/>
          <w:color w:val="auto"/>
          <w:kern w:val="0"/>
          <w:sz w:val="28"/>
          <w:szCs w:val="32"/>
          <w:highlight w:val="none"/>
          <w:lang w:val="en-US" w:eastAsia="zh-CN" w:bidi="ar-SA"/>
        </w:rPr>
        <w:tab/>
      </w:r>
      <w:r>
        <w:rPr>
          <w:rFonts w:hint="eastAsia" w:ascii="仿宋" w:hAnsi="仿宋" w:eastAsia="仿宋" w:cs="Times New Roman"/>
          <w:b/>
          <w:bCs/>
          <w:color w:val="auto"/>
          <w:kern w:val="0"/>
          <w:sz w:val="28"/>
          <w:szCs w:val="32"/>
          <w:highlight w:val="none"/>
          <w:lang w:val="en-US" w:eastAsia="zh-CN" w:bidi="ar-SA"/>
        </w:rPr>
        <w:t>其他条款</w:t>
      </w:r>
      <w:bookmarkEnd w:id="570"/>
    </w:p>
    <w:p w14:paraId="1D131038">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36.1</w:t>
      </w:r>
      <w:r>
        <w:rPr>
          <w:rFonts w:hint="eastAsia" w:ascii="仿宋" w:hAnsi="仿宋" w:eastAsia="仿宋" w:cs="Times New Roman"/>
          <w:color w:val="auto"/>
          <w:kern w:val="0"/>
          <w:sz w:val="24"/>
          <w:szCs w:val="24"/>
          <w:highlight w:val="none"/>
        </w:rPr>
        <w:t>本协议一式</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份，各执</w:t>
      </w:r>
      <w:r>
        <w:rPr>
          <w:rFonts w:hint="eastAsia" w:ascii="仿宋" w:hAnsi="仿宋" w:eastAsia="仿宋" w:cs="Times New Roman"/>
          <w:color w:val="auto"/>
          <w:kern w:val="0"/>
          <w:sz w:val="24"/>
          <w:szCs w:val="24"/>
          <w:highlight w:val="none"/>
          <w:u w:val="single"/>
        </w:rPr>
        <w:t xml:space="preserve">    </w:t>
      </w:r>
      <w:r>
        <w:rPr>
          <w:rFonts w:hint="eastAsia" w:ascii="仿宋" w:hAnsi="仿宋" w:eastAsia="仿宋" w:cs="Times New Roman"/>
          <w:color w:val="auto"/>
          <w:kern w:val="0"/>
          <w:sz w:val="24"/>
          <w:szCs w:val="24"/>
          <w:highlight w:val="none"/>
        </w:rPr>
        <w:t>份，各份协议具有同等法律效力。</w:t>
      </w:r>
    </w:p>
    <w:p w14:paraId="082D99F1">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36.2</w:t>
      </w:r>
      <w:r>
        <w:rPr>
          <w:rFonts w:hint="eastAsia" w:ascii="仿宋" w:hAnsi="仿宋" w:eastAsia="仿宋" w:cs="Times New Roman"/>
          <w:color w:val="auto"/>
          <w:kern w:val="0"/>
          <w:sz w:val="24"/>
          <w:szCs w:val="24"/>
          <w:highlight w:val="none"/>
        </w:rPr>
        <w:t>本协议所有附件（如有）均构成本协议不可分割的组成部分。</w:t>
      </w:r>
    </w:p>
    <w:p w14:paraId="43641963">
      <w:pPr>
        <w:spacing w:line="480" w:lineRule="auto"/>
        <w:ind w:firstLine="424" w:firstLineChars="177"/>
        <w:rPr>
          <w:rFonts w:hint="default" w:ascii="仿宋" w:hAnsi="仿宋" w:eastAsia="仿宋" w:cs="Times New Roman"/>
          <w:color w:val="auto"/>
          <w:kern w:val="0"/>
          <w:sz w:val="24"/>
          <w:szCs w:val="24"/>
          <w:highlight w:val="none"/>
        </w:rPr>
      </w:pPr>
      <w:r>
        <w:rPr>
          <w:rFonts w:hint="default" w:ascii="仿宋" w:hAnsi="仿宋" w:eastAsia="仿宋" w:cs="Times New Roman"/>
          <w:color w:val="auto"/>
          <w:kern w:val="0"/>
          <w:sz w:val="24"/>
          <w:szCs w:val="24"/>
          <w:highlight w:val="none"/>
        </w:rPr>
        <w:t>36.3</w:t>
      </w:r>
      <w:r>
        <w:rPr>
          <w:rFonts w:hint="eastAsia" w:ascii="仿宋" w:hAnsi="仿宋" w:eastAsia="仿宋" w:cs="Times New Roman"/>
          <w:color w:val="auto"/>
          <w:kern w:val="0"/>
          <w:sz w:val="24"/>
          <w:szCs w:val="24"/>
          <w:highlight w:val="none"/>
        </w:rPr>
        <w:t>本协议未约定事项，按照《特许经营协议》第</w:t>
      </w:r>
      <w:r>
        <w:rPr>
          <w:rFonts w:hint="eastAsia" w:ascii="仿宋" w:hAnsi="仿宋" w:eastAsia="仿宋" w:cs="Times New Roman"/>
          <w:color w:val="auto"/>
          <w:kern w:val="0"/>
          <w:sz w:val="24"/>
          <w:szCs w:val="24"/>
          <w:highlight w:val="none"/>
          <w:lang w:val="en-US" w:eastAsia="zh-CN"/>
        </w:rPr>
        <w:t>5条</w:t>
      </w:r>
      <w:r>
        <w:rPr>
          <w:rFonts w:hint="eastAsia" w:ascii="仿宋" w:hAnsi="仿宋" w:eastAsia="仿宋" w:cs="Times New Roman"/>
          <w:color w:val="auto"/>
          <w:kern w:val="0"/>
          <w:sz w:val="24"/>
          <w:szCs w:val="24"/>
          <w:highlight w:val="none"/>
        </w:rPr>
        <w:t>合同文件体系所确定的协议优先原则予以解释并执行。</w:t>
      </w:r>
    </w:p>
    <w:p w14:paraId="065748F0">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（以下无正文）</w:t>
      </w:r>
    </w:p>
    <w:p w14:paraId="3A59E402">
      <w:pPr>
        <w:spacing w:line="480" w:lineRule="auto"/>
        <w:ind w:firstLine="424" w:firstLineChars="177"/>
        <w:rPr>
          <w:rFonts w:hint="default" w:ascii="仿宋" w:hAnsi="仿宋" w:eastAsia="仿宋" w:cs="Times New Roman"/>
          <w:color w:val="auto"/>
          <w:kern w:val="0"/>
          <w:sz w:val="24"/>
          <w:szCs w:val="24"/>
          <w:highlight w:val="none"/>
        </w:rPr>
      </w:pPr>
    </w:p>
    <w:p w14:paraId="2BE0D458">
      <w:pPr>
        <w:spacing w:line="480" w:lineRule="auto"/>
        <w:ind w:firstLine="426" w:firstLineChars="177"/>
        <w:rPr>
          <w:rFonts w:hint="default" w:ascii="仿宋" w:hAnsi="仿宋" w:eastAsia="仿宋" w:cs="Times New Roman"/>
          <w:b/>
          <w:color w:val="auto"/>
          <w:kern w:val="0"/>
          <w:sz w:val="24"/>
          <w:szCs w:val="24"/>
          <w:highlight w:val="none"/>
        </w:rPr>
      </w:pPr>
      <w:r>
        <w:rPr>
          <w:rFonts w:hint="eastAsia" w:ascii="仿宋" w:hAnsi="仿宋" w:eastAsia="仿宋" w:cs="Times New Roman"/>
          <w:b/>
          <w:color w:val="auto"/>
          <w:kern w:val="0"/>
          <w:sz w:val="24"/>
          <w:szCs w:val="24"/>
          <w:highlight w:val="none"/>
        </w:rPr>
        <w:t>甲方：</w:t>
      </w:r>
    </w:p>
    <w:p w14:paraId="2C8E20C4">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法定代表人：</w:t>
      </w:r>
    </w:p>
    <w:p w14:paraId="6B1C6A53">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授权签字代表：</w:t>
      </w:r>
    </w:p>
    <w:p w14:paraId="3FB03FFE">
      <w:pPr>
        <w:spacing w:line="480" w:lineRule="auto"/>
        <w:ind w:firstLine="424" w:firstLineChars="177"/>
        <w:rPr>
          <w:rFonts w:hint="default" w:ascii="仿宋" w:hAnsi="仿宋" w:eastAsia="仿宋" w:cs="Times New Roman"/>
          <w:color w:val="auto"/>
          <w:kern w:val="0"/>
          <w:sz w:val="24"/>
          <w:szCs w:val="24"/>
          <w:highlight w:val="none"/>
        </w:rPr>
      </w:pPr>
    </w:p>
    <w:p w14:paraId="31D7AAA1">
      <w:pPr>
        <w:spacing w:line="480" w:lineRule="auto"/>
        <w:ind w:firstLine="426" w:firstLineChars="177"/>
        <w:rPr>
          <w:rFonts w:hint="default" w:ascii="仿宋" w:hAnsi="仿宋" w:eastAsia="仿宋" w:cs="Times New Roman"/>
          <w:b/>
          <w:color w:val="auto"/>
          <w:kern w:val="0"/>
          <w:sz w:val="24"/>
          <w:szCs w:val="24"/>
          <w:highlight w:val="none"/>
        </w:rPr>
      </w:pPr>
      <w:r>
        <w:rPr>
          <w:rFonts w:hint="eastAsia" w:ascii="仿宋" w:hAnsi="仿宋" w:eastAsia="仿宋" w:cs="Times New Roman"/>
          <w:b/>
          <w:color w:val="auto"/>
          <w:kern w:val="0"/>
          <w:sz w:val="24"/>
          <w:szCs w:val="24"/>
          <w:highlight w:val="none"/>
        </w:rPr>
        <w:t>乙方：</w:t>
      </w:r>
    </w:p>
    <w:p w14:paraId="27202816">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法定代表人：</w:t>
      </w:r>
    </w:p>
    <w:p w14:paraId="4FA83EDC">
      <w:pPr>
        <w:spacing w:line="480" w:lineRule="auto"/>
        <w:ind w:firstLine="424" w:firstLineChars="177"/>
        <w:rPr>
          <w:rFonts w:hint="default" w:ascii="仿宋" w:hAnsi="仿宋" w:eastAsia="仿宋" w:cs="Times New Roman"/>
          <w:color w:val="auto"/>
          <w:kern w:val="0"/>
          <w:sz w:val="24"/>
          <w:szCs w:val="24"/>
          <w:highlight w:val="none"/>
        </w:rPr>
      </w:pPr>
      <w:r>
        <w:rPr>
          <w:rFonts w:hint="eastAsia" w:ascii="仿宋" w:hAnsi="仿宋" w:eastAsia="仿宋" w:cs="Times New Roman"/>
          <w:color w:val="auto"/>
          <w:kern w:val="0"/>
          <w:sz w:val="24"/>
          <w:szCs w:val="24"/>
          <w:highlight w:val="none"/>
        </w:rPr>
        <w:t>授权签字代表：</w:t>
      </w:r>
    </w:p>
    <w:p w14:paraId="3492DDEE">
      <w:pPr>
        <w:rPr>
          <w:color w:val="auto"/>
          <w:highlight w:val="none"/>
        </w:rPr>
      </w:pPr>
    </w:p>
    <w:p w14:paraId="574A288D">
      <w:pPr>
        <w:pStyle w:val="68"/>
        <w:ind w:left="0" w:firstLine="0"/>
        <w:rPr>
          <w:rFonts w:hint="eastAsia" w:ascii="宋体" w:hAnsi="宋体" w:eastAsia="宋体" w:cs="Times New Roman"/>
          <w:color w:val="auto"/>
          <w:sz w:val="21"/>
          <w:szCs w:val="21"/>
          <w:highlight w:val="none"/>
          <w:lang w:val="en-US" w:eastAsia="zh-CN" w:bidi="ar-SA"/>
        </w:rPr>
      </w:pPr>
    </w:p>
    <w:p w14:paraId="69CDA4AE">
      <w:pPr>
        <w:rPr>
          <w:rFonts w:hint="eastAsia" w:ascii="宋体" w:hAnsi="宋体" w:eastAsia="宋体" w:cs="Times New Roman"/>
          <w:color w:val="auto"/>
          <w:sz w:val="21"/>
          <w:szCs w:val="21"/>
          <w:highlight w:val="none"/>
          <w:lang w:val="en-US" w:eastAsia="zh-CN" w:bidi="ar-SA"/>
        </w:rPr>
      </w:pPr>
    </w:p>
    <w:p w14:paraId="4B2169B5">
      <w:pPr>
        <w:pStyle w:val="2"/>
        <w:keepNext/>
        <w:keepLines/>
        <w:pageBreakBefore w:val="0"/>
        <w:widowControl w:val="0"/>
        <w:numPr>
          <w:ilvl w:val="0"/>
          <w:numId w:val="0"/>
        </w:numPr>
        <w:spacing w:line="360" w:lineRule="auto"/>
        <w:jc w:val="center"/>
        <w:rPr>
          <w:rFonts w:hint="eastAsia" w:ascii="宋体" w:hAnsi="宋体" w:eastAsia="宋体" w:cs="Times New Roman"/>
          <w:b/>
          <w:bCs/>
          <w:color w:val="auto"/>
          <w:sz w:val="44"/>
          <w:szCs w:val="44"/>
          <w:highlight w:val="none"/>
          <w:lang w:val="en-US" w:eastAsia="zh-CN" w:bidi="ar-SA"/>
        </w:rPr>
        <w:sectPr>
          <w:footerReference r:id="rId27" w:type="default"/>
          <w:pgSz w:w="11906" w:h="16838"/>
          <w:pgMar w:top="1440" w:right="1797" w:bottom="1440" w:left="1797" w:header="851" w:footer="992" w:gutter="0"/>
          <w:cols w:space="720" w:num="1"/>
          <w:docGrid w:linePitch="360" w:charSpace="0"/>
        </w:sectPr>
      </w:pPr>
    </w:p>
    <w:p w14:paraId="6C5FE328">
      <w:pPr>
        <w:pStyle w:val="2"/>
        <w:keepNext/>
        <w:keepLines/>
        <w:pageBreakBefore w:val="0"/>
        <w:widowControl w:val="0"/>
        <w:numPr>
          <w:ilvl w:val="0"/>
          <w:numId w:val="0"/>
        </w:numPr>
        <w:spacing w:line="360" w:lineRule="auto"/>
        <w:jc w:val="center"/>
        <w:rPr>
          <w:rFonts w:ascii="宋体" w:hAnsi="宋体"/>
          <w:color w:val="auto"/>
          <w:highlight w:val="none"/>
        </w:rPr>
      </w:pPr>
      <w:r>
        <w:rPr>
          <w:rFonts w:hint="eastAsia" w:ascii="宋体" w:hAnsi="宋体" w:eastAsia="宋体" w:cs="Times New Roman"/>
          <w:b/>
          <w:bCs/>
          <w:color w:val="auto"/>
          <w:sz w:val="44"/>
          <w:szCs w:val="44"/>
          <w:highlight w:val="none"/>
          <w:lang w:val="en-US" w:eastAsia="zh-CN" w:bidi="ar-SA"/>
        </w:rPr>
        <w:t>第四章</w:t>
      </w:r>
      <w:r>
        <w:rPr>
          <w:rFonts w:hint="eastAsia" w:ascii="宋体" w:hAnsi="宋体" w:cs="Times New Roman"/>
          <w:b/>
          <w:bCs/>
          <w:color w:val="auto"/>
          <w:sz w:val="44"/>
          <w:szCs w:val="44"/>
          <w:highlight w:val="none"/>
          <w:lang w:val="en-US" w:eastAsia="zh-CN" w:bidi="ar-SA"/>
        </w:rPr>
        <w:t xml:space="preserve"> </w:t>
      </w:r>
      <w:r>
        <w:rPr>
          <w:rFonts w:hint="eastAsia"/>
          <w:color w:val="auto"/>
          <w:highlight w:val="none"/>
          <w:lang w:val="en-US" w:eastAsia="zh-CN"/>
        </w:rPr>
        <w:t xml:space="preserve"> </w:t>
      </w:r>
      <w:r>
        <w:rPr>
          <w:rFonts w:hint="eastAsia" w:ascii="宋体" w:hAnsi="宋体"/>
          <w:color w:val="auto"/>
          <w:highlight w:val="none"/>
        </w:rPr>
        <w:t>项目需求</w:t>
      </w:r>
    </w:p>
    <w:p w14:paraId="3D62ABFE">
      <w:pPr>
        <w:keepNext w:val="0"/>
        <w:keepLines w:val="0"/>
        <w:pageBreakBefore w:val="0"/>
        <w:widowControl w:val="0"/>
        <w:spacing w:line="360" w:lineRule="auto"/>
        <w:ind w:firstLine="422"/>
        <w:rPr>
          <w:rFonts w:ascii="宋体" w:hAnsi="宋体" w:cs="宋体"/>
          <w:b/>
          <w:bCs/>
          <w:color w:val="auto"/>
          <w:szCs w:val="21"/>
          <w:highlight w:val="none"/>
        </w:rPr>
      </w:pPr>
      <w:r>
        <w:rPr>
          <w:rFonts w:hint="eastAsia"/>
          <w:b/>
          <w:bCs/>
          <w:color w:val="auto"/>
          <w:highlight w:val="none"/>
        </w:rPr>
        <w:t>其他要求</w:t>
      </w:r>
    </w:p>
    <w:p w14:paraId="2F0CEA20">
      <w:pPr>
        <w:spacing w:line="360" w:lineRule="auto"/>
        <w:ind w:firstLine="420"/>
        <w:rPr>
          <w:rFonts w:ascii="宋体" w:hAnsi="宋体" w:cs="宋体"/>
          <w:color w:val="auto"/>
          <w:highlight w:val="none"/>
        </w:rPr>
      </w:pPr>
      <w:r>
        <w:rPr>
          <w:rFonts w:hint="eastAsia" w:ascii="宋体" w:hAnsi="宋体" w:cs="宋体"/>
          <w:color w:val="auto"/>
          <w:highlight w:val="none"/>
        </w:rPr>
        <w:t>严格执行政府采购关于支持节能产品、环境标志产品的相关政策规定。如本次采购的产品属于财政部、国家发展改革委、生态环境部、市场监管总局等部门发布的节能产品、环境标志产品品目清单政府强制采购范围的，供应商必须在响应文件中提供所投产品的相关证书(由国家确定的认证机构出具的、处于有效期之内的节能产品、环境标志产品认证证书)。节能产品、环境标志产品品目清单以递交响应文件截止时已正式公布的最近一期信息为准，</w:t>
      </w:r>
      <w:r>
        <w:rPr>
          <w:rFonts w:hint="eastAsia" w:ascii="宋体" w:hAnsi="宋体" w:cs="宋体"/>
          <w:i/>
          <w:iCs/>
          <w:color w:val="auto"/>
          <w:highlight w:val="none"/>
          <w:u w:val="single"/>
        </w:rPr>
        <w:t>如属政府强制采购产品未提供认证证书的或认证证书提供不全的将视为未实质性响应采购要求</w:t>
      </w:r>
      <w:r>
        <w:rPr>
          <w:rFonts w:hint="eastAsia" w:ascii="宋体" w:hAnsi="宋体" w:cs="宋体"/>
          <w:color w:val="auto"/>
          <w:highlight w:val="none"/>
        </w:rPr>
        <w:t>。其他条件相同情况下，应当优先采购节能产品、环境标志产品。</w:t>
      </w:r>
    </w:p>
    <w:p w14:paraId="4822050B">
      <w:pPr>
        <w:spacing w:line="360" w:lineRule="auto"/>
        <w:ind w:firstLine="420"/>
        <w:rPr>
          <w:rFonts w:cs="Times New Roman"/>
          <w:color w:val="auto"/>
          <w:highlight w:val="none"/>
        </w:rPr>
      </w:pPr>
      <w:r>
        <w:rPr>
          <w:rFonts w:hint="eastAsia" w:ascii="宋体" w:hAnsi="宋体" w:cs="宋体"/>
          <w:color w:val="auto"/>
          <w:highlight w:val="none"/>
        </w:rPr>
        <w:t>供应商对于投标产品的包装应按照“财办库〔2020〕123号关于印发《商品包装政府采购需求标准（试行）》、《快递包装政府采购需求标准（试行）》的通知》”执行。</w:t>
      </w:r>
    </w:p>
    <w:p w14:paraId="320BEB98">
      <w:pPr>
        <w:spacing w:line="360" w:lineRule="auto"/>
        <w:rPr>
          <w:rFonts w:hint="eastAsia"/>
          <w:color w:val="auto"/>
          <w:highlight w:val="none"/>
        </w:rPr>
      </w:pPr>
      <w:r>
        <w:rPr>
          <w:rFonts w:hint="eastAsia" w:cs="Times New Roman"/>
          <w:color w:val="auto"/>
          <w:highlight w:val="none"/>
        </w:rPr>
        <w:t>注：本章内容里斜体且有下划线部分为实质性要求和条件，投标文件不满足的，视为无效投标处理。请各供应商</w:t>
      </w:r>
      <w:r>
        <w:rPr>
          <w:rFonts w:hint="eastAsia"/>
          <w:color w:val="auto"/>
          <w:highlight w:val="none"/>
        </w:rPr>
        <w:t>制作电子投标文件时，将实质性响应的内容在政府采购交易系统“符合证明文件格式”中准确填写或上传。</w:t>
      </w:r>
    </w:p>
    <w:p w14:paraId="52DC1065">
      <w:pPr>
        <w:spacing w:line="360" w:lineRule="auto"/>
        <w:ind w:firstLine="422"/>
        <w:rPr>
          <w:rFonts w:hint="eastAsia"/>
          <w:b/>
          <w:bCs/>
          <w:color w:val="auto"/>
          <w:highlight w:val="none"/>
        </w:rPr>
      </w:pPr>
      <w:r>
        <w:rPr>
          <w:rFonts w:hint="eastAsia"/>
          <w:b/>
          <w:bCs/>
          <w:color w:val="auto"/>
          <w:highlight w:val="none"/>
        </w:rPr>
        <w:t>本项目所属行业：</w:t>
      </w:r>
      <w:r>
        <w:rPr>
          <w:rFonts w:hint="eastAsia"/>
          <w:b/>
          <w:bCs/>
          <w:color w:val="auto"/>
          <w:highlight w:val="none"/>
          <w:lang w:val="en-US" w:eastAsia="zh-CN"/>
        </w:rPr>
        <w:t>其他未列明行业</w:t>
      </w:r>
      <w:r>
        <w:rPr>
          <w:rFonts w:hint="eastAsia"/>
          <w:b/>
          <w:bCs/>
          <w:color w:val="auto"/>
          <w:highlight w:val="none"/>
        </w:rPr>
        <w:t>。</w:t>
      </w:r>
    </w:p>
    <w:p w14:paraId="4692E80B">
      <w:pPr>
        <w:keepNext w:val="0"/>
        <w:keepLines w:val="0"/>
        <w:pageBreakBefore w:val="0"/>
        <w:widowControl w:val="0"/>
        <w:spacing w:line="360" w:lineRule="auto"/>
        <w:ind w:firstLine="422"/>
        <w:jc w:val="left"/>
        <w:rPr>
          <w:rFonts w:hint="eastAsia" w:ascii="宋体" w:hAnsi="宋体" w:eastAsia="宋体" w:cs="宋体"/>
          <w:b/>
          <w:color w:val="auto"/>
          <w:szCs w:val="22"/>
          <w:highlight w:val="none"/>
          <w:lang w:val="en-US"/>
        </w:rPr>
      </w:pPr>
    </w:p>
    <w:p w14:paraId="1274EDBE">
      <w:pPr>
        <w:pStyle w:val="219"/>
        <w:rPr>
          <w:rFonts w:hint="eastAsia"/>
          <w:color w:val="auto"/>
          <w:highlight w:val="none"/>
          <w:lang w:val="en-US" w:eastAsia="zh-CN"/>
        </w:rPr>
      </w:pPr>
    </w:p>
    <w:p w14:paraId="3C8B286B">
      <w:pPr>
        <w:pStyle w:val="3"/>
        <w:keepNext/>
        <w:keepLines/>
        <w:pageBreakBefore w:val="0"/>
        <w:widowControl w:val="0"/>
        <w:kinsoku/>
        <w:wordWrap/>
        <w:overflowPunct/>
        <w:topLinePunct w:val="0"/>
        <w:autoSpaceDE/>
        <w:autoSpaceDN/>
        <w:bidi w:val="0"/>
        <w:adjustRightInd/>
        <w:snapToGrid/>
        <w:spacing w:before="100" w:after="100" w:line="360" w:lineRule="auto"/>
        <w:ind w:firstLine="602" w:firstLineChars="200"/>
        <w:textAlignment w:val="auto"/>
        <w:rPr>
          <w:rFonts w:hint="default" w:ascii="Times New Roman" w:hAnsi="Times New Roman" w:eastAsia="楷体" w:cs="Times New Roman"/>
          <w:color w:val="auto"/>
          <w:sz w:val="30"/>
          <w:szCs w:val="30"/>
          <w:highlight w:val="none"/>
          <w:lang w:val="en-US" w:eastAsia="zh-CN"/>
        </w:rPr>
      </w:pPr>
      <w:bookmarkStart w:id="571" w:name="_Toc21861"/>
      <w:bookmarkStart w:id="572" w:name="_Toc24241"/>
      <w:bookmarkStart w:id="573" w:name="_Toc2667"/>
      <w:bookmarkStart w:id="574" w:name="_Toc9201"/>
      <w:bookmarkStart w:id="575" w:name="_Toc5966"/>
      <w:r>
        <w:rPr>
          <w:rFonts w:hint="default" w:ascii="Times New Roman" w:hAnsi="Times New Roman" w:eastAsia="楷体" w:cs="Times New Roman"/>
          <w:color w:val="auto"/>
          <w:sz w:val="30"/>
          <w:szCs w:val="30"/>
          <w:highlight w:val="none"/>
          <w:lang w:val="en-US" w:eastAsia="zh-CN"/>
        </w:rPr>
        <w:t>（</w:t>
      </w:r>
      <w:r>
        <w:rPr>
          <w:rFonts w:hint="eastAsia" w:ascii="Times New Roman" w:hAnsi="Times New Roman" w:eastAsia="楷体" w:cs="Times New Roman"/>
          <w:color w:val="auto"/>
          <w:sz w:val="30"/>
          <w:szCs w:val="30"/>
          <w:highlight w:val="none"/>
          <w:lang w:val="en-US" w:eastAsia="zh-CN"/>
        </w:rPr>
        <w:t>一</w:t>
      </w:r>
      <w:r>
        <w:rPr>
          <w:rFonts w:hint="default" w:ascii="Times New Roman" w:hAnsi="Times New Roman" w:eastAsia="楷体" w:cs="Times New Roman"/>
          <w:color w:val="auto"/>
          <w:sz w:val="30"/>
          <w:szCs w:val="30"/>
          <w:highlight w:val="none"/>
          <w:lang w:val="en-US" w:eastAsia="zh-CN"/>
        </w:rPr>
        <w:t>）项目概况</w:t>
      </w:r>
      <w:bookmarkEnd w:id="571"/>
      <w:bookmarkEnd w:id="572"/>
      <w:bookmarkEnd w:id="573"/>
      <w:bookmarkEnd w:id="574"/>
      <w:bookmarkEnd w:id="575"/>
    </w:p>
    <w:p w14:paraId="182AF480">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textAlignment w:val="auto"/>
        <w:rPr>
          <w:rFonts w:hint="default" w:ascii="Times New Roman" w:hAnsi="Times New Roman" w:eastAsia="楷体" w:cs="Times New Roman"/>
          <w:b/>
          <w:color w:val="auto"/>
          <w:sz w:val="28"/>
          <w:szCs w:val="28"/>
          <w:highlight w:val="none"/>
          <w:lang w:val="en-US" w:eastAsia="zh-CN"/>
        </w:rPr>
      </w:pPr>
      <w:r>
        <w:rPr>
          <w:rFonts w:hint="default" w:ascii="Times New Roman" w:hAnsi="Times New Roman" w:eastAsia="楷体" w:cs="Times New Roman"/>
          <w:b/>
          <w:color w:val="auto"/>
          <w:sz w:val="28"/>
          <w:szCs w:val="28"/>
          <w:highlight w:val="none"/>
          <w:lang w:val="en-US" w:eastAsia="zh-CN"/>
        </w:rPr>
        <w:t>1、项目实施背景</w:t>
      </w:r>
    </w:p>
    <w:p w14:paraId="6B30DF4D">
      <w:pPr>
        <w:ind w:firstLine="560" w:firstLineChars="200"/>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rPr>
        <w:t>为满足扬州市江都区城镇化发展、排水专项规划及南水北调东线水质保障要求，江都城区先后实施污水处理厂迁建工程与提标改造工程，建成规模为12万m³/d的现代化污水处理设施，配套完善管网、泵站及深度处理单元，并通过增设反硝化滤池等工艺将出水标准提升至江苏省DB32/4440-2022B标准</w:t>
      </w:r>
      <w:r>
        <w:rPr>
          <w:rFonts w:hint="eastAsia" w:ascii="Times New Roman" w:hAnsi="Times New Roman" w:eastAsia="楷体" w:cs="Times New Roman"/>
          <w:color w:val="auto"/>
          <w:sz w:val="28"/>
          <w:szCs w:val="28"/>
          <w:highlight w:val="none"/>
          <w:lang w:eastAsia="zh-CN"/>
        </w:rPr>
        <w:t>。</w:t>
      </w:r>
      <w:r>
        <w:rPr>
          <w:rFonts w:hint="eastAsia" w:ascii="Times New Roman" w:hAnsi="Times New Roman" w:eastAsia="楷体" w:cs="Times New Roman"/>
          <w:color w:val="auto"/>
          <w:sz w:val="28"/>
          <w:szCs w:val="28"/>
          <w:highlight w:val="none"/>
          <w:lang w:val="en-US" w:eastAsia="zh-CN"/>
        </w:rPr>
        <w:t>项目于2022年10月20日开工，2026年6月12日通过竣工验收，目前处于试运行阶段。同时城区内12座提升泵站已全部建成投产。</w:t>
      </w:r>
    </w:p>
    <w:p w14:paraId="06BF4C1D">
      <w:pPr>
        <w:ind w:firstLine="560" w:firstLineChars="200"/>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rPr>
        <w:t>为深入贯彻国家</w:t>
      </w:r>
      <w:r>
        <w:rPr>
          <w:rFonts w:hint="default" w:ascii="Times New Roman" w:hAnsi="Times New Roman" w:eastAsia="楷体" w:cs="Times New Roman"/>
          <w:color w:val="auto"/>
          <w:sz w:val="28"/>
          <w:szCs w:val="28"/>
          <w:highlight w:val="none"/>
          <w:lang w:eastAsia="zh-CN"/>
        </w:rPr>
        <w:t>、</w:t>
      </w:r>
      <w:r>
        <w:rPr>
          <w:rFonts w:hint="default" w:ascii="Times New Roman" w:hAnsi="Times New Roman" w:eastAsia="楷体" w:cs="Times New Roman"/>
          <w:color w:val="auto"/>
          <w:sz w:val="28"/>
          <w:szCs w:val="28"/>
          <w:highlight w:val="none"/>
          <w:lang w:val="en-US" w:eastAsia="zh-CN"/>
        </w:rPr>
        <w:t>省市</w:t>
      </w:r>
      <w:r>
        <w:rPr>
          <w:rFonts w:hint="default" w:ascii="Times New Roman" w:hAnsi="Times New Roman" w:eastAsia="楷体" w:cs="Times New Roman"/>
          <w:color w:val="auto"/>
          <w:sz w:val="28"/>
          <w:szCs w:val="28"/>
          <w:highlight w:val="none"/>
        </w:rPr>
        <w:t>关于盘活存量资产、规范基础设施特许经营管理等政策要求，进一步提升污水处理设施专业化运营水平、优化公共服务供给效率，结合项目存量资产属性与运营管理需求，本项目拟通过特许经营模式引入</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实施市场化、专业化运营，实现环境效益、社会效益与经济效益协同提升。</w:t>
      </w:r>
    </w:p>
    <w:p w14:paraId="1A6B85C1">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textAlignment w:val="auto"/>
        <w:rPr>
          <w:rFonts w:hint="default" w:ascii="Times New Roman" w:hAnsi="Times New Roman" w:eastAsia="楷体" w:cs="Times New Roman"/>
          <w:b/>
          <w:color w:val="auto"/>
          <w:sz w:val="28"/>
          <w:szCs w:val="28"/>
          <w:highlight w:val="none"/>
          <w:lang w:val="en-US" w:eastAsia="zh-CN"/>
        </w:rPr>
      </w:pPr>
      <w:r>
        <w:rPr>
          <w:rFonts w:hint="default" w:ascii="Times New Roman" w:hAnsi="Times New Roman" w:eastAsia="楷体" w:cs="Times New Roman"/>
          <w:b/>
          <w:color w:val="auto"/>
          <w:sz w:val="28"/>
          <w:szCs w:val="28"/>
          <w:highlight w:val="none"/>
          <w:lang w:val="en-US" w:eastAsia="zh-CN"/>
        </w:rPr>
        <w:t>2、项目地点</w:t>
      </w:r>
    </w:p>
    <w:p w14:paraId="4A4DDEB1">
      <w:pPr>
        <w:ind w:firstLine="560" w:firstLineChars="200"/>
        <w:rPr>
          <w:rFonts w:hint="default" w:ascii="Times New Roman" w:hAnsi="Times New Roman" w:eastAsia="楷体" w:cs="Times New Roman"/>
          <w:color w:val="auto"/>
          <w:sz w:val="28"/>
          <w:szCs w:val="28"/>
          <w:highlight w:val="none"/>
          <w:lang w:val="en-US" w:eastAsia="zh-CN"/>
        </w:rPr>
      </w:pPr>
      <w:r>
        <w:rPr>
          <w:rFonts w:hint="default" w:ascii="Times New Roman" w:hAnsi="Times New Roman" w:eastAsia="楷体" w:cs="Times New Roman"/>
          <w:color w:val="auto"/>
          <w:sz w:val="28"/>
          <w:szCs w:val="28"/>
          <w:highlight w:val="none"/>
        </w:rPr>
        <w:t>江都城区污水处理厂位于江都区丁伙镇联盟村，位于京沪高速以东、宁启铁路以南区域内，具体位置为规划杨涵路以东，华山路东延线以南。厂外提升泵站位于江都区仙女镇涵西村，泰山路南侧，老通扬运河以北。</w:t>
      </w:r>
      <w:r>
        <w:rPr>
          <w:rFonts w:hint="eastAsia" w:ascii="Times New Roman" w:hAnsi="Times New Roman" w:eastAsia="楷体" w:cs="Times New Roman"/>
          <w:color w:val="auto"/>
          <w:sz w:val="28"/>
          <w:szCs w:val="28"/>
          <w:highlight w:val="none"/>
          <w:lang w:val="en-US" w:eastAsia="zh-CN"/>
        </w:rPr>
        <w:t>其他12座提升泵站分布在城区位置。</w:t>
      </w:r>
    </w:p>
    <w:p w14:paraId="120218DA">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textAlignment w:val="auto"/>
        <w:rPr>
          <w:rFonts w:hint="default" w:ascii="Times New Roman" w:hAnsi="Times New Roman" w:eastAsia="楷体" w:cs="Times New Roman"/>
          <w:b/>
          <w:color w:val="auto"/>
          <w:sz w:val="28"/>
          <w:szCs w:val="28"/>
          <w:highlight w:val="none"/>
          <w:lang w:val="en-US" w:eastAsia="zh-CN"/>
        </w:rPr>
      </w:pPr>
      <w:r>
        <w:rPr>
          <w:rFonts w:hint="default" w:ascii="Times New Roman" w:hAnsi="Times New Roman" w:eastAsia="楷体" w:cs="Times New Roman"/>
          <w:b/>
          <w:color w:val="auto"/>
          <w:sz w:val="28"/>
          <w:szCs w:val="28"/>
          <w:highlight w:val="none"/>
          <w:lang w:val="en-US" w:eastAsia="zh-CN"/>
        </w:rPr>
        <w:t>3、项目规模</w:t>
      </w:r>
    </w:p>
    <w:p w14:paraId="74318692">
      <w:pPr>
        <w:ind w:firstLine="560" w:firstLineChars="200"/>
        <w:rPr>
          <w:rFonts w:hint="eastAsia" w:ascii="Times New Roman" w:hAnsi="Times New Roman" w:eastAsia="楷体" w:cs="Times New Roman"/>
          <w:color w:val="auto"/>
          <w:sz w:val="28"/>
          <w:szCs w:val="28"/>
          <w:highlight w:val="none"/>
          <w:lang w:eastAsia="zh-CN"/>
        </w:rPr>
      </w:pPr>
      <w:r>
        <w:rPr>
          <w:rFonts w:hint="default" w:ascii="Times New Roman" w:hAnsi="Times New Roman" w:eastAsia="楷体" w:cs="Times New Roman"/>
          <w:color w:val="auto"/>
          <w:sz w:val="28"/>
          <w:szCs w:val="28"/>
          <w:highlight w:val="none"/>
          <w:lang w:val="en-US" w:eastAsia="zh-CN"/>
        </w:rPr>
        <w:t>江都城区污水处理厂</w:t>
      </w:r>
      <w:r>
        <w:rPr>
          <w:rFonts w:hint="default" w:ascii="Times New Roman" w:hAnsi="Times New Roman" w:eastAsia="楷体" w:cs="Times New Roman"/>
          <w:color w:val="auto"/>
          <w:sz w:val="28"/>
          <w:szCs w:val="28"/>
          <w:highlight w:val="none"/>
        </w:rPr>
        <w:t>用地面积约为121.35亩</w:t>
      </w:r>
      <w:r>
        <w:rPr>
          <w:rFonts w:hint="eastAsia" w:ascii="Times New Roman" w:hAnsi="Times New Roman" w:eastAsia="楷体" w:cs="Times New Roman"/>
          <w:color w:val="auto"/>
          <w:sz w:val="28"/>
          <w:szCs w:val="28"/>
          <w:highlight w:val="none"/>
          <w:lang w:eastAsia="zh-CN"/>
        </w:rPr>
        <w:t>（</w:t>
      </w:r>
      <w:r>
        <w:rPr>
          <w:rFonts w:hint="eastAsia" w:ascii="Times New Roman" w:hAnsi="Times New Roman" w:eastAsia="楷体" w:cs="Times New Roman"/>
          <w:color w:val="auto"/>
          <w:sz w:val="28"/>
          <w:szCs w:val="28"/>
          <w:highlight w:val="none"/>
          <w:lang w:val="en-US" w:eastAsia="zh-CN"/>
        </w:rPr>
        <w:t>不含厂外泵站及其他污水泵站用地</w:t>
      </w:r>
      <w:r>
        <w:rPr>
          <w:rFonts w:hint="eastAsia" w:ascii="Times New Roman" w:hAnsi="Times New Roman" w:eastAsia="楷体" w:cs="Times New Roman"/>
          <w:color w:val="auto"/>
          <w:sz w:val="28"/>
          <w:szCs w:val="28"/>
          <w:highlight w:val="none"/>
          <w:lang w:eastAsia="zh-CN"/>
        </w:rPr>
        <w:t>）</w:t>
      </w:r>
      <w:r>
        <w:rPr>
          <w:rFonts w:hint="default" w:ascii="Times New Roman" w:hAnsi="Times New Roman" w:eastAsia="楷体" w:cs="Times New Roman"/>
          <w:color w:val="auto"/>
          <w:sz w:val="28"/>
          <w:szCs w:val="28"/>
          <w:highlight w:val="none"/>
          <w:lang w:eastAsia="zh-CN"/>
        </w:rPr>
        <w:t>，</w:t>
      </w:r>
      <w:r>
        <w:rPr>
          <w:rFonts w:hint="default" w:ascii="Times New Roman" w:hAnsi="Times New Roman" w:eastAsia="楷体" w:cs="Times New Roman"/>
          <w:color w:val="auto"/>
          <w:sz w:val="28"/>
          <w:szCs w:val="28"/>
          <w:highlight w:val="none"/>
          <w:lang w:val="en-US" w:eastAsia="zh-CN"/>
        </w:rPr>
        <w:t>包括</w:t>
      </w:r>
      <w:r>
        <w:rPr>
          <w:rFonts w:hint="default" w:ascii="Times New Roman" w:hAnsi="Times New Roman" w:eastAsia="楷体" w:cs="Times New Roman"/>
          <w:color w:val="auto"/>
          <w:sz w:val="28"/>
          <w:szCs w:val="28"/>
          <w:highlight w:val="none"/>
        </w:rPr>
        <w:t>现代化污水处理设施</w:t>
      </w:r>
      <w:r>
        <w:rPr>
          <w:rFonts w:hint="default" w:ascii="Times New Roman" w:hAnsi="Times New Roman" w:eastAsia="楷体" w:cs="Times New Roman"/>
          <w:color w:val="auto"/>
          <w:sz w:val="28"/>
          <w:szCs w:val="28"/>
          <w:highlight w:val="none"/>
          <w:lang w:eastAsia="zh-CN"/>
        </w:rPr>
        <w:t>、</w:t>
      </w:r>
      <w:r>
        <w:rPr>
          <w:rFonts w:hint="default" w:ascii="Times New Roman" w:hAnsi="Times New Roman" w:eastAsia="楷体" w:cs="Times New Roman"/>
          <w:color w:val="auto"/>
          <w:sz w:val="28"/>
          <w:szCs w:val="28"/>
          <w:highlight w:val="none"/>
        </w:rPr>
        <w:t>深度处理单元</w:t>
      </w:r>
      <w:r>
        <w:rPr>
          <w:rFonts w:hint="default" w:ascii="Times New Roman" w:hAnsi="Times New Roman" w:eastAsia="楷体" w:cs="Times New Roman"/>
          <w:color w:val="auto"/>
          <w:sz w:val="28"/>
          <w:szCs w:val="28"/>
          <w:highlight w:val="none"/>
          <w:lang w:val="en-US" w:eastAsia="zh-CN"/>
        </w:rPr>
        <w:t>及配套</w:t>
      </w:r>
      <w:r>
        <w:rPr>
          <w:rFonts w:hint="default" w:ascii="Times New Roman" w:hAnsi="Times New Roman" w:eastAsia="楷体" w:cs="Times New Roman"/>
          <w:color w:val="auto"/>
          <w:sz w:val="28"/>
          <w:szCs w:val="28"/>
          <w:highlight w:val="none"/>
        </w:rPr>
        <w:t>道路、绿化</w:t>
      </w:r>
      <w:r>
        <w:rPr>
          <w:rFonts w:hint="default" w:ascii="Times New Roman" w:hAnsi="Times New Roman" w:eastAsia="楷体" w:cs="Times New Roman"/>
          <w:color w:val="auto"/>
          <w:sz w:val="28"/>
          <w:szCs w:val="28"/>
          <w:highlight w:val="none"/>
          <w:lang w:val="en-US" w:eastAsia="zh-CN"/>
        </w:rPr>
        <w:t>工程</w:t>
      </w:r>
      <w:r>
        <w:rPr>
          <w:rFonts w:hint="default" w:ascii="Times New Roman" w:hAnsi="Times New Roman" w:eastAsia="楷体" w:cs="Times New Roman"/>
          <w:color w:val="auto"/>
          <w:sz w:val="28"/>
          <w:szCs w:val="28"/>
          <w:highlight w:val="none"/>
        </w:rPr>
        <w:t>，</w:t>
      </w:r>
      <w:r>
        <w:rPr>
          <w:rFonts w:hint="default" w:ascii="Times New Roman" w:hAnsi="Times New Roman" w:eastAsia="楷体" w:cs="Times New Roman"/>
          <w:color w:val="auto"/>
          <w:sz w:val="28"/>
          <w:szCs w:val="28"/>
          <w:highlight w:val="none"/>
          <w:lang w:val="en-US" w:eastAsia="zh-CN"/>
        </w:rPr>
        <w:t>设计污水处理</w:t>
      </w:r>
      <w:r>
        <w:rPr>
          <w:rFonts w:hint="default" w:ascii="Times New Roman" w:hAnsi="Times New Roman" w:eastAsia="楷体" w:cs="Times New Roman"/>
          <w:color w:val="auto"/>
          <w:sz w:val="28"/>
          <w:szCs w:val="28"/>
          <w:highlight w:val="none"/>
        </w:rPr>
        <w:t>规模为12万m³/d</w:t>
      </w:r>
      <w:r>
        <w:rPr>
          <w:rFonts w:hint="eastAsia" w:ascii="Times New Roman" w:hAnsi="Times New Roman" w:eastAsia="楷体" w:cs="Times New Roman"/>
          <w:color w:val="auto"/>
          <w:sz w:val="28"/>
          <w:szCs w:val="28"/>
          <w:highlight w:val="none"/>
          <w:lang w:eastAsia="zh-CN"/>
        </w:rPr>
        <w:t>，</w:t>
      </w:r>
      <w:r>
        <w:rPr>
          <w:rFonts w:hint="eastAsia" w:ascii="Times New Roman" w:hAnsi="Times New Roman" w:eastAsia="楷体" w:cs="Times New Roman"/>
          <w:color w:val="auto"/>
          <w:sz w:val="28"/>
          <w:szCs w:val="28"/>
          <w:highlight w:val="none"/>
          <w:lang w:val="en-US" w:eastAsia="zh-CN"/>
        </w:rPr>
        <w:t>及</w:t>
      </w:r>
      <w:r>
        <w:rPr>
          <w:rFonts w:hint="default" w:ascii="Times New Roman" w:hAnsi="Times New Roman" w:eastAsia="楷体" w:cs="Times New Roman"/>
          <w:color w:val="auto"/>
          <w:sz w:val="28"/>
          <w:szCs w:val="28"/>
          <w:highlight w:val="none"/>
        </w:rPr>
        <w:t>配套管网、</w:t>
      </w:r>
      <w:r>
        <w:rPr>
          <w:rFonts w:hint="eastAsia" w:ascii="Times New Roman" w:hAnsi="Times New Roman" w:eastAsia="楷体" w:cs="Times New Roman"/>
          <w:color w:val="auto"/>
          <w:sz w:val="28"/>
          <w:szCs w:val="28"/>
          <w:highlight w:val="none"/>
          <w:lang w:val="en-US" w:eastAsia="zh-CN"/>
        </w:rPr>
        <w:t>及城区污水处理提升泵站12座。</w:t>
      </w:r>
    </w:p>
    <w:p w14:paraId="646BBC48">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textAlignment w:val="auto"/>
        <w:rPr>
          <w:rFonts w:hint="default" w:ascii="Times New Roman" w:hAnsi="Times New Roman" w:eastAsia="楷体" w:cs="Times New Roman"/>
          <w:b/>
          <w:color w:val="auto"/>
          <w:sz w:val="28"/>
          <w:szCs w:val="28"/>
          <w:highlight w:val="none"/>
          <w:lang w:val="en-US" w:eastAsia="zh-CN"/>
        </w:rPr>
      </w:pPr>
      <w:r>
        <w:rPr>
          <w:rFonts w:hint="default" w:ascii="Times New Roman" w:hAnsi="Times New Roman" w:eastAsia="楷体" w:cs="Times New Roman"/>
          <w:b/>
          <w:color w:val="auto"/>
          <w:sz w:val="28"/>
          <w:szCs w:val="28"/>
          <w:highlight w:val="none"/>
          <w:lang w:val="en-US" w:eastAsia="zh-CN"/>
        </w:rPr>
        <w:t>4、项目处理工艺</w:t>
      </w:r>
    </w:p>
    <w:p w14:paraId="483EE1D1">
      <w:pPr>
        <w:ind w:firstLine="560" w:firstLineChars="200"/>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rPr>
        <w:t>污水处理采用预处理+倒置AAO+AO生物池+二沉池+加介质高效沉淀池十</w:t>
      </w:r>
      <w:r>
        <w:rPr>
          <w:rFonts w:hint="default" w:ascii="Times New Roman" w:hAnsi="Times New Roman" w:eastAsia="楷体" w:cs="Times New Roman"/>
          <w:color w:val="auto"/>
          <w:sz w:val="28"/>
          <w:szCs w:val="28"/>
          <w:highlight w:val="none"/>
          <w:lang w:val="en-US" w:eastAsia="zh-CN"/>
        </w:rPr>
        <w:t>提升泵池</w:t>
      </w:r>
      <w:r>
        <w:rPr>
          <w:rFonts w:hint="default" w:ascii="Times New Roman" w:hAnsi="Times New Roman" w:eastAsia="楷体" w:cs="Times New Roman"/>
          <w:color w:val="auto"/>
          <w:sz w:val="28"/>
          <w:szCs w:val="28"/>
          <w:highlight w:val="none"/>
        </w:rPr>
        <w:t>十</w:t>
      </w:r>
      <w:r>
        <w:rPr>
          <w:rFonts w:hint="default" w:ascii="Times New Roman" w:hAnsi="Times New Roman" w:eastAsia="楷体" w:cs="Times New Roman"/>
          <w:color w:val="auto"/>
          <w:sz w:val="28"/>
          <w:szCs w:val="28"/>
          <w:highlight w:val="none"/>
          <w:lang w:val="en-US" w:eastAsia="zh-CN"/>
        </w:rPr>
        <w:t>反硝化池</w:t>
      </w:r>
      <w:r>
        <w:rPr>
          <w:rFonts w:hint="default" w:ascii="Times New Roman" w:hAnsi="Times New Roman" w:eastAsia="楷体" w:cs="Times New Roman"/>
          <w:color w:val="auto"/>
          <w:sz w:val="28"/>
          <w:szCs w:val="28"/>
          <w:highlight w:val="none"/>
        </w:rPr>
        <w:t>十紫外次氯酸钠联合消毒工艺，污泥采用重力浓缩+离心脱水工艺，除臭采用全过程除臭+生物除臭工艺。</w:t>
      </w:r>
    </w:p>
    <w:p w14:paraId="0855A071">
      <w:pPr>
        <w:rPr>
          <w:rFonts w:hint="default" w:ascii="Times New Roman" w:hAnsi="Times New Roman" w:eastAsia="楷体" w:cs="Times New Roman"/>
          <w:color w:val="auto"/>
          <w:highlight w:val="none"/>
        </w:rPr>
      </w:pPr>
      <w:r>
        <w:rPr>
          <w:rFonts w:hint="default" w:ascii="Times New Roman" w:hAnsi="Times New Roman" w:eastAsia="楷体" w:cs="Times New Roman"/>
          <w:color w:val="auto"/>
          <w:highlight w:val="none"/>
        </w:rPr>
        <w:drawing>
          <wp:inline distT="0" distB="0" distL="114300" distR="114300">
            <wp:extent cx="5273040" cy="2286000"/>
            <wp:effectExtent l="0" t="0" r="381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36"/>
                    <a:stretch>
                      <a:fillRect/>
                    </a:stretch>
                  </pic:blipFill>
                  <pic:spPr>
                    <a:xfrm>
                      <a:off x="0" y="0"/>
                      <a:ext cx="5273040" cy="2286000"/>
                    </a:xfrm>
                    <a:prstGeom prst="rect">
                      <a:avLst/>
                    </a:prstGeom>
                    <a:noFill/>
                    <a:ln>
                      <a:noFill/>
                    </a:ln>
                  </pic:spPr>
                </pic:pic>
              </a:graphicData>
            </a:graphic>
          </wp:inline>
        </w:drawing>
      </w:r>
    </w:p>
    <w:p w14:paraId="642FC3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楷体" w:cs="Times New Roman"/>
          <w:b/>
          <w:bCs/>
          <w:color w:val="auto"/>
          <w:sz w:val="24"/>
          <w:szCs w:val="24"/>
          <w:highlight w:val="none"/>
          <w:lang w:val="en-US" w:eastAsia="zh-CN"/>
        </w:rPr>
      </w:pPr>
      <w:r>
        <w:rPr>
          <w:rFonts w:hint="default" w:ascii="Times New Roman" w:hAnsi="Times New Roman" w:eastAsia="楷体" w:cs="Times New Roman"/>
          <w:b/>
          <w:bCs/>
          <w:color w:val="auto"/>
          <w:sz w:val="24"/>
          <w:szCs w:val="24"/>
          <w:highlight w:val="none"/>
          <w:lang w:val="en-US" w:eastAsia="zh-CN"/>
        </w:rPr>
        <w:t>图1-1 本项目污水处理工艺流程图</w:t>
      </w:r>
    </w:p>
    <w:p w14:paraId="4B6AEE41">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textAlignment w:val="auto"/>
        <w:rPr>
          <w:rFonts w:hint="default" w:ascii="Times New Roman" w:hAnsi="Times New Roman" w:eastAsia="楷体" w:cs="Times New Roman"/>
          <w:b/>
          <w:color w:val="auto"/>
          <w:sz w:val="28"/>
          <w:szCs w:val="28"/>
          <w:highlight w:val="none"/>
          <w:lang w:val="en-US" w:eastAsia="zh-CN"/>
        </w:rPr>
      </w:pPr>
      <w:r>
        <w:rPr>
          <w:rFonts w:hint="default" w:ascii="Times New Roman" w:hAnsi="Times New Roman" w:eastAsia="楷体" w:cs="Times New Roman"/>
          <w:b/>
          <w:color w:val="auto"/>
          <w:sz w:val="28"/>
          <w:szCs w:val="28"/>
          <w:highlight w:val="none"/>
          <w:lang w:val="en-US" w:eastAsia="zh-CN"/>
        </w:rPr>
        <w:t>5、项目排放标准</w:t>
      </w:r>
    </w:p>
    <w:p w14:paraId="5C3BD9A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楷体" w:cs="Times New Roman"/>
          <w:b w:val="0"/>
          <w:bCs w:val="0"/>
          <w:color w:val="auto"/>
          <w:sz w:val="24"/>
          <w:szCs w:val="24"/>
          <w:highlight w:val="none"/>
          <w:lang w:val="en-US" w:eastAsia="zh-CN"/>
        </w:rPr>
      </w:pPr>
      <w:r>
        <w:rPr>
          <w:rFonts w:hint="default" w:ascii="Times New Roman" w:hAnsi="Times New Roman" w:eastAsia="楷体" w:cs="Times New Roman"/>
          <w:color w:val="auto"/>
          <w:sz w:val="28"/>
          <w:szCs w:val="28"/>
          <w:highlight w:val="none"/>
          <w:lang w:val="en-US" w:eastAsia="zh-CN"/>
        </w:rPr>
        <w:t>本项目出水</w:t>
      </w:r>
      <w:r>
        <w:rPr>
          <w:rFonts w:hint="default" w:ascii="Times New Roman" w:hAnsi="Times New Roman" w:eastAsia="楷体" w:cs="Times New Roman"/>
          <w:color w:val="auto"/>
          <w:sz w:val="28"/>
          <w:szCs w:val="28"/>
          <w:highlight w:val="none"/>
        </w:rPr>
        <w:t>水质执行江苏省地方标准《城镇污水处理厂污染物排放标准》（DB32/4440-2022）中B标准</w:t>
      </w:r>
      <w:r>
        <w:rPr>
          <w:rFonts w:hint="default" w:ascii="Times New Roman" w:hAnsi="Times New Roman" w:eastAsia="楷体" w:cs="Times New Roman"/>
          <w:color w:val="auto"/>
          <w:sz w:val="28"/>
          <w:szCs w:val="28"/>
          <w:highlight w:val="none"/>
          <w:lang w:eastAsia="zh-CN"/>
        </w:rPr>
        <w:t>。</w:t>
      </w:r>
    </w:p>
    <w:p w14:paraId="5E397695">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textAlignment w:val="auto"/>
        <w:rPr>
          <w:rFonts w:hint="default" w:ascii="Times New Roman" w:hAnsi="Times New Roman" w:eastAsia="楷体" w:cs="Times New Roman"/>
          <w:b/>
          <w:color w:val="auto"/>
          <w:sz w:val="28"/>
          <w:szCs w:val="28"/>
          <w:highlight w:val="none"/>
          <w:lang w:val="en-US" w:eastAsia="zh-CN"/>
        </w:rPr>
      </w:pPr>
      <w:r>
        <w:rPr>
          <w:rFonts w:hint="default" w:ascii="Times New Roman" w:hAnsi="Times New Roman" w:eastAsia="楷体" w:cs="Times New Roman"/>
          <w:b/>
          <w:color w:val="auto"/>
          <w:sz w:val="28"/>
          <w:szCs w:val="28"/>
          <w:highlight w:val="none"/>
          <w:lang w:val="en-US" w:eastAsia="zh-CN"/>
        </w:rPr>
        <w:t>6、存量资产情况</w:t>
      </w:r>
    </w:p>
    <w:p w14:paraId="3D0881F3">
      <w:pPr>
        <w:ind w:firstLine="560" w:firstLineChars="200"/>
        <w:rPr>
          <w:rFonts w:hint="eastAsia" w:ascii="Times New Roman" w:hAnsi="Times New Roman" w:eastAsia="楷体" w:cs="Times New Roman"/>
          <w:color w:val="auto"/>
          <w:sz w:val="28"/>
          <w:szCs w:val="28"/>
          <w:highlight w:val="none"/>
          <w:lang w:val="en-US" w:eastAsia="zh-CN"/>
        </w:rPr>
      </w:pPr>
      <w:r>
        <w:rPr>
          <w:rFonts w:hint="default" w:ascii="Times New Roman" w:hAnsi="Times New Roman" w:eastAsia="楷体" w:cs="Times New Roman"/>
          <w:color w:val="auto"/>
          <w:sz w:val="28"/>
          <w:szCs w:val="28"/>
          <w:highlight w:val="none"/>
          <w:lang w:val="en-US" w:eastAsia="zh-CN"/>
        </w:rPr>
        <w:t>本项目存量资产包括污水处理厂一座，含污水处理设施、配套道路、绿化工程，设计污水处理规模为12万m³/d</w:t>
      </w:r>
      <w:r>
        <w:rPr>
          <w:rFonts w:hint="eastAsia" w:ascii="Times New Roman" w:hAnsi="Times New Roman" w:eastAsia="楷体" w:cs="Times New Roman"/>
          <w:color w:val="auto"/>
          <w:sz w:val="28"/>
          <w:szCs w:val="28"/>
          <w:highlight w:val="none"/>
          <w:lang w:val="en-US" w:eastAsia="zh-CN"/>
        </w:rPr>
        <w:t>，厂址位于江都区丁伙镇联盟村</w:t>
      </w:r>
      <w:r>
        <w:rPr>
          <w:rFonts w:hint="default" w:ascii="Times New Roman" w:hAnsi="Times New Roman" w:eastAsia="楷体" w:cs="Times New Roman"/>
          <w:color w:val="auto"/>
          <w:sz w:val="28"/>
          <w:szCs w:val="28"/>
          <w:highlight w:val="none"/>
          <w:lang w:val="en-US" w:eastAsia="zh-CN"/>
        </w:rPr>
        <w:t>；厂外污水提升泵站</w:t>
      </w:r>
      <w:r>
        <w:rPr>
          <w:rFonts w:hint="eastAsia" w:ascii="Times New Roman" w:hAnsi="Times New Roman" w:eastAsia="楷体" w:cs="Times New Roman"/>
          <w:color w:val="auto"/>
          <w:sz w:val="28"/>
          <w:szCs w:val="28"/>
          <w:highlight w:val="none"/>
          <w:lang w:val="en-US" w:eastAsia="zh-CN"/>
        </w:rPr>
        <w:t>（涵西提升泵站）</w:t>
      </w:r>
      <w:r>
        <w:rPr>
          <w:rFonts w:hint="default" w:ascii="Times New Roman" w:hAnsi="Times New Roman" w:eastAsia="楷体" w:cs="Times New Roman"/>
          <w:color w:val="auto"/>
          <w:sz w:val="28"/>
          <w:szCs w:val="28"/>
          <w:highlight w:val="none"/>
          <w:lang w:val="en-US" w:eastAsia="zh-CN"/>
        </w:rPr>
        <w:t>一座，设计规模12万m</w:t>
      </w:r>
      <w:r>
        <w:rPr>
          <w:rFonts w:hint="default" w:ascii="Times New Roman" w:hAnsi="Times New Roman" w:eastAsia="楷体" w:cs="Times New Roman"/>
          <w:color w:val="auto"/>
          <w:sz w:val="28"/>
          <w:szCs w:val="28"/>
          <w:highlight w:val="none"/>
          <w:vertAlign w:val="superscript"/>
          <w:lang w:val="en-US" w:eastAsia="zh-CN"/>
        </w:rPr>
        <w:t>3</w:t>
      </w:r>
      <w:r>
        <w:rPr>
          <w:rFonts w:hint="default" w:ascii="Times New Roman" w:hAnsi="Times New Roman" w:eastAsia="楷体" w:cs="Times New Roman"/>
          <w:color w:val="auto"/>
          <w:sz w:val="28"/>
          <w:szCs w:val="28"/>
          <w:highlight w:val="none"/>
          <w:lang w:val="en-US" w:eastAsia="zh-CN"/>
        </w:rPr>
        <w:t>/d</w:t>
      </w:r>
      <w:r>
        <w:rPr>
          <w:rFonts w:hint="eastAsia" w:ascii="Times New Roman" w:hAnsi="Times New Roman" w:eastAsia="楷体" w:cs="Times New Roman"/>
          <w:color w:val="auto"/>
          <w:sz w:val="28"/>
          <w:szCs w:val="28"/>
          <w:highlight w:val="none"/>
          <w:lang w:val="en-US" w:eastAsia="zh-CN"/>
        </w:rPr>
        <w:t>，位于江都区仙女镇涵西村</w:t>
      </w:r>
      <w:r>
        <w:rPr>
          <w:rFonts w:hint="default" w:ascii="Times New Roman" w:hAnsi="Times New Roman" w:eastAsia="楷体" w:cs="Times New Roman"/>
          <w:color w:val="auto"/>
          <w:sz w:val="28"/>
          <w:szCs w:val="28"/>
          <w:highlight w:val="none"/>
          <w:lang w:val="en-US" w:eastAsia="zh-CN"/>
        </w:rPr>
        <w:t>；厂外提升泵站至污水处理厂的污水输送管道，管径为DN1200</w:t>
      </w:r>
      <w:r>
        <w:rPr>
          <w:rFonts w:hint="eastAsia" w:ascii="Times New Roman" w:hAnsi="Times New Roman" w:eastAsia="楷体" w:cs="Times New Roman"/>
          <w:color w:val="auto"/>
          <w:sz w:val="28"/>
          <w:szCs w:val="28"/>
          <w:highlight w:val="none"/>
          <w:lang w:val="en-US" w:eastAsia="zh-CN"/>
        </w:rPr>
        <w:t>，管</w:t>
      </w:r>
      <w:r>
        <w:rPr>
          <w:rFonts w:hint="default" w:ascii="Times New Roman" w:hAnsi="Times New Roman" w:eastAsia="楷体" w:cs="Times New Roman"/>
          <w:color w:val="auto"/>
          <w:sz w:val="28"/>
          <w:szCs w:val="28"/>
          <w:highlight w:val="none"/>
          <w:lang w:val="en-US" w:eastAsia="zh-CN"/>
        </w:rPr>
        <w:t>道总长约3858m；污水处理厂至大涵河的尾水排放管，其中污水处理厂至厂外提升泵站处管道管径为DN1200，管道总长约为3622m，厂外提升泵站至大涵河管道管径为DN1000，管道总长约为1012m。</w:t>
      </w:r>
      <w:r>
        <w:rPr>
          <w:rFonts w:hint="eastAsia" w:ascii="Times New Roman" w:hAnsi="Times New Roman" w:eastAsia="楷体" w:cs="Times New Roman"/>
          <w:color w:val="auto"/>
          <w:sz w:val="28"/>
          <w:szCs w:val="28"/>
          <w:highlight w:val="none"/>
          <w:lang w:val="en-US" w:eastAsia="zh-CN"/>
        </w:rPr>
        <w:t>污水经提升泵站送入污水处理厂集中处理，处理达标后尾水经泵送专用尾水管排放。为了落实厂站一体化，城区内南区泵站、二桥泵站、新通扬泵站、江都桥泵站、双沟污水泵站、黄海南路污水泵站、张纲污水泵站、金湾路污水泵站、物流园污水泵站、金桥石油苑污水泵站、涵西提升泵站和大涵河出水提升泵站全部纳入特许经营实施运营维护管理范围（除本实施方案明确约定的管网外，不含区域内其他管网运维），具体资产清单详见附件2。</w:t>
      </w:r>
    </w:p>
    <w:p w14:paraId="59D94EA8">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textAlignment w:val="auto"/>
        <w:rPr>
          <w:rFonts w:hint="default" w:ascii="Times New Roman" w:hAnsi="Times New Roman" w:eastAsia="楷体" w:cs="Times New Roman"/>
          <w:b/>
          <w:color w:val="auto"/>
          <w:sz w:val="28"/>
          <w:szCs w:val="28"/>
          <w:highlight w:val="none"/>
          <w:lang w:val="en-US" w:eastAsia="zh-CN"/>
        </w:rPr>
      </w:pPr>
      <w:r>
        <w:rPr>
          <w:rFonts w:hint="eastAsia" w:ascii="Times New Roman" w:hAnsi="Times New Roman" w:eastAsia="楷体" w:cs="Times New Roman"/>
          <w:b/>
          <w:color w:val="auto"/>
          <w:sz w:val="28"/>
          <w:szCs w:val="28"/>
          <w:highlight w:val="none"/>
          <w:lang w:val="en-US" w:eastAsia="zh-CN"/>
        </w:rPr>
        <w:t>7、法律依据</w:t>
      </w:r>
    </w:p>
    <w:p w14:paraId="24E0681A">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（1）法律法规依据</w:t>
      </w:r>
    </w:p>
    <w:p w14:paraId="4EC0C7EF">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《中华人民共和国民法典》；</w:t>
      </w:r>
    </w:p>
    <w:p w14:paraId="5ED372A8">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《中华人民共和国招标投标法》；</w:t>
      </w:r>
    </w:p>
    <w:p w14:paraId="046E00E1">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《中华人民共和国招标投标法实施条例》；</w:t>
      </w:r>
    </w:p>
    <w:p w14:paraId="0E4F6332">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《中华人民共和国政府采购法》；</w:t>
      </w:r>
    </w:p>
    <w:p w14:paraId="2A800F73">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《政府采购货物和服务招标投标管理办法》（财政部令第87号）；</w:t>
      </w:r>
    </w:p>
    <w:p w14:paraId="2BEDB82F">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《中华人民共和国生态环境法典》；</w:t>
      </w:r>
    </w:p>
    <w:p w14:paraId="0D61000C">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《政府投资条例》（2019年国务院令第712号）；</w:t>
      </w:r>
    </w:p>
    <w:p w14:paraId="3E8D6AC3">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《基础设施和公用事业特许经营管理办法》（2024年六部委第17号令）。</w:t>
      </w:r>
    </w:p>
    <w:p w14:paraId="5663AC5F">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（2）规范性文件</w:t>
      </w:r>
    </w:p>
    <w:p w14:paraId="228E6510">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《建设项目经济评价方法与参数（第三版）》；</w:t>
      </w:r>
    </w:p>
    <w:p w14:paraId="7D2FF028">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《市政公用设施建设项目经济评价方法与参数（第一版）》；</w:t>
      </w:r>
    </w:p>
    <w:p w14:paraId="16494DF2">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国家现行《企业会计准则》及《企业会计制度》；</w:t>
      </w:r>
    </w:p>
    <w:p w14:paraId="11AACC4E">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《国务院关于鼓励和引导民间投资健康发展的若干意见》（国发〔2010〕13号）；</w:t>
      </w:r>
    </w:p>
    <w:p w14:paraId="4D3B2624">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《江苏省污水处理费征收使用管理实施办法》（苏财规〔2016〕5号）；</w:t>
      </w:r>
    </w:p>
    <w:p w14:paraId="1D820B37">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《关于完善长江经济带污水处理收费机制有关政策的指导意见》（发改价格〔2020〕561号）；</w:t>
      </w:r>
    </w:p>
    <w:p w14:paraId="018AEC49">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《江苏省政府投资管理办法》（苏政发〔2020〕68号）；</w:t>
      </w:r>
    </w:p>
    <w:p w14:paraId="31439E99">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《关于进一步盘活存量资产扩大有效投资的意见》（国办发〔2022〕19号）；</w:t>
      </w:r>
    </w:p>
    <w:p w14:paraId="42DB8536">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《关于进一步做好污水处理收费有关工作的通知》（苏发改价格发〔2022〕1392号）；</w:t>
      </w:r>
    </w:p>
    <w:p w14:paraId="4757D5B2">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国务院办公厅转发国家发展改革委、财政部《关于规范实施政府和社会资本合作新机制的指导意见》（国办函〔2023〕115号）；</w:t>
      </w:r>
    </w:p>
    <w:p w14:paraId="5853C7D8">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国家发展改革委办公厅《关于进一步做好政府和社会资本合作新机制项目规范实施工作的通知》（发改办投资〔2024〕1013号）；</w:t>
      </w:r>
    </w:p>
    <w:p w14:paraId="2EA3832E">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《政府和社会资本合作项目实施方案编写大纲（2024年试行版）》（发改办投资〔2024〕227号）；</w:t>
      </w:r>
    </w:p>
    <w:p w14:paraId="4DAE02DD">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《关于做好全省住房城乡建设领域市政基础设施和公用事业特许经营管理有关工作的通知》（苏建函城〔2026〕15号）；</w:t>
      </w:r>
    </w:p>
    <w:p w14:paraId="4EB1C1AC">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《省政府办公厅关于深化国有资产盘活利用的实施意见》（苏政办发〔2026〕9号）。</w:t>
      </w:r>
    </w:p>
    <w:p w14:paraId="3CF6966A">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（3）其他文件</w:t>
      </w:r>
    </w:p>
    <w:p w14:paraId="51D94802">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《关于推进城镇污水处理厂新一轮提标工作的通知》（苏建函城〔2023〕557号）；</w:t>
      </w:r>
    </w:p>
    <w:p w14:paraId="7EAE1400">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《关于推进城镇污水处理厂新一轮提标工作的通知》（扬提质增效办〔2023〕29号）；</w:t>
      </w:r>
    </w:p>
    <w:p w14:paraId="66621197">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《江都区城镇生活污水处理提质增效“333”行动实施方案》</w:t>
      </w:r>
    </w:p>
    <w:p w14:paraId="11970A29">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《扬州市江都区排水工程专项规划（2018-2035）》；</w:t>
      </w:r>
    </w:p>
    <w:p w14:paraId="11985EB0">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《扬州市江都区“十四五”生态环境保护规划》；</w:t>
      </w:r>
    </w:p>
    <w:p w14:paraId="1602838A">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《江都城区污水处理厂迁建工程可行性研究报告》及批复；</w:t>
      </w:r>
    </w:p>
    <w:p w14:paraId="3714078E">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《江都城区污水处理厂提标工程可行性研究报告》及批复；</w:t>
      </w:r>
    </w:p>
    <w:p w14:paraId="52E601F4">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其他与项目相关的文件资料。</w:t>
      </w:r>
    </w:p>
    <w:p w14:paraId="3842B1E1">
      <w:pPr>
        <w:pStyle w:val="3"/>
        <w:keepNext/>
        <w:keepLines/>
        <w:pageBreakBefore w:val="0"/>
        <w:widowControl w:val="0"/>
        <w:kinsoku/>
        <w:wordWrap/>
        <w:overflowPunct/>
        <w:topLinePunct w:val="0"/>
        <w:autoSpaceDE/>
        <w:autoSpaceDN/>
        <w:bidi w:val="0"/>
        <w:adjustRightInd/>
        <w:snapToGrid/>
        <w:spacing w:before="100" w:after="100" w:line="360" w:lineRule="auto"/>
        <w:ind w:firstLine="602" w:firstLineChars="200"/>
        <w:textAlignment w:val="auto"/>
        <w:rPr>
          <w:rFonts w:hint="default" w:ascii="Times New Roman" w:hAnsi="Times New Roman" w:eastAsia="楷体" w:cs="Times New Roman"/>
          <w:b/>
          <w:color w:val="auto"/>
          <w:sz w:val="30"/>
          <w:szCs w:val="30"/>
          <w:highlight w:val="none"/>
          <w:lang w:val="en-US" w:eastAsia="zh-CN"/>
        </w:rPr>
      </w:pPr>
      <w:bookmarkStart w:id="576" w:name="_Toc8814"/>
      <w:bookmarkStart w:id="577" w:name="_Toc24670"/>
      <w:bookmarkStart w:id="578" w:name="_Toc17912"/>
      <w:bookmarkStart w:id="579" w:name="_Toc25826"/>
      <w:bookmarkStart w:id="580" w:name="_Toc18090"/>
      <w:r>
        <w:rPr>
          <w:rFonts w:hint="default" w:ascii="Times New Roman" w:hAnsi="Times New Roman" w:eastAsia="楷体" w:cs="Times New Roman"/>
          <w:b/>
          <w:color w:val="auto"/>
          <w:sz w:val="30"/>
          <w:szCs w:val="30"/>
          <w:highlight w:val="none"/>
          <w:lang w:eastAsia="zh-CN"/>
        </w:rPr>
        <w:t>（</w:t>
      </w:r>
      <w:r>
        <w:rPr>
          <w:rFonts w:hint="eastAsia" w:ascii="Times New Roman" w:hAnsi="Times New Roman" w:eastAsia="楷体" w:cs="Times New Roman"/>
          <w:b/>
          <w:color w:val="auto"/>
          <w:sz w:val="30"/>
          <w:szCs w:val="30"/>
          <w:highlight w:val="none"/>
          <w:lang w:val="en-US" w:eastAsia="zh-CN"/>
        </w:rPr>
        <w:t>二</w:t>
      </w:r>
      <w:r>
        <w:rPr>
          <w:rFonts w:hint="default" w:ascii="Times New Roman" w:hAnsi="Times New Roman" w:eastAsia="楷体" w:cs="Times New Roman"/>
          <w:b/>
          <w:color w:val="auto"/>
          <w:sz w:val="30"/>
          <w:szCs w:val="30"/>
          <w:highlight w:val="none"/>
          <w:lang w:eastAsia="zh-CN"/>
        </w:rPr>
        <w:t>）</w:t>
      </w:r>
      <w:r>
        <w:rPr>
          <w:rFonts w:hint="default" w:ascii="Times New Roman" w:hAnsi="Times New Roman" w:eastAsia="楷体" w:cs="Times New Roman"/>
          <w:b/>
          <w:color w:val="auto"/>
          <w:sz w:val="30"/>
          <w:szCs w:val="30"/>
          <w:highlight w:val="none"/>
          <w:lang w:val="en-US" w:eastAsia="zh-CN"/>
        </w:rPr>
        <w:t>特许经营内容</w:t>
      </w:r>
      <w:bookmarkEnd w:id="576"/>
      <w:bookmarkEnd w:id="577"/>
      <w:bookmarkEnd w:id="578"/>
      <w:bookmarkEnd w:id="579"/>
      <w:bookmarkEnd w:id="580"/>
    </w:p>
    <w:p w14:paraId="353CB11B">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textAlignment w:val="auto"/>
        <w:rPr>
          <w:rFonts w:hint="default" w:ascii="Times New Roman" w:hAnsi="Times New Roman" w:eastAsia="楷体" w:cs="Times New Roman"/>
          <w:b/>
          <w:color w:val="auto"/>
          <w:sz w:val="28"/>
          <w:szCs w:val="28"/>
          <w:highlight w:val="none"/>
          <w:lang w:val="en-US" w:eastAsia="zh-CN"/>
        </w:rPr>
      </w:pPr>
      <w:r>
        <w:rPr>
          <w:rFonts w:hint="default" w:ascii="Times New Roman" w:hAnsi="Times New Roman" w:eastAsia="楷体" w:cs="Times New Roman"/>
          <w:b/>
          <w:color w:val="auto"/>
          <w:sz w:val="28"/>
          <w:szCs w:val="28"/>
          <w:highlight w:val="none"/>
          <w:lang w:val="en-US" w:eastAsia="zh-CN"/>
        </w:rPr>
        <w:t>1、特许经营实施方式</w:t>
      </w:r>
    </w:p>
    <w:p w14:paraId="7967CAE4">
      <w:pPr>
        <w:ind w:firstLine="560" w:firstLineChars="200"/>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rPr>
        <w:t>本项目采用TOT（转让－运营－移交）模式实施项目，具体模式如下：</w:t>
      </w:r>
      <w:r>
        <w:rPr>
          <w:rFonts w:hint="eastAsia" w:ascii="Times New Roman" w:hAnsi="Times New Roman" w:eastAsia="楷体" w:cs="Times New Roman"/>
          <w:color w:val="auto"/>
          <w:sz w:val="28"/>
          <w:szCs w:val="28"/>
          <w:highlight w:val="none"/>
          <w:lang w:val="en-US" w:eastAsia="zh-CN"/>
        </w:rPr>
        <w:t>政府方授权区住建局为项目实施机构，实施机构</w:t>
      </w:r>
      <w:r>
        <w:rPr>
          <w:rFonts w:hint="default" w:ascii="Times New Roman" w:hAnsi="Times New Roman" w:eastAsia="楷体" w:cs="Times New Roman"/>
          <w:color w:val="auto"/>
          <w:sz w:val="28"/>
          <w:szCs w:val="28"/>
          <w:highlight w:val="none"/>
        </w:rPr>
        <w:t>通过公开</w:t>
      </w:r>
      <w:r>
        <w:rPr>
          <w:rFonts w:hint="eastAsia" w:ascii="Times New Roman" w:hAnsi="Times New Roman" w:eastAsia="楷体" w:cs="Times New Roman"/>
          <w:color w:val="auto"/>
          <w:sz w:val="28"/>
          <w:szCs w:val="28"/>
          <w:highlight w:val="none"/>
          <w:lang w:val="en-US" w:eastAsia="zh-CN"/>
        </w:rPr>
        <w:t>竞争方式</w:t>
      </w:r>
      <w:r>
        <w:rPr>
          <w:rFonts w:hint="default" w:ascii="Times New Roman" w:hAnsi="Times New Roman" w:eastAsia="楷体" w:cs="Times New Roman"/>
          <w:color w:val="auto"/>
          <w:sz w:val="28"/>
          <w:szCs w:val="28"/>
          <w:highlight w:val="none"/>
        </w:rPr>
        <w:t>选定</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w:t>
      </w:r>
      <w:r>
        <w:rPr>
          <w:rFonts w:hint="eastAsia" w:ascii="Times New Roman" w:hAnsi="Times New Roman" w:eastAsia="楷体" w:cs="Times New Roman"/>
          <w:color w:val="auto"/>
          <w:sz w:val="28"/>
          <w:szCs w:val="28"/>
          <w:highlight w:val="none"/>
          <w:lang w:val="en-US" w:eastAsia="zh-CN"/>
        </w:rPr>
        <w:t>特许经营者或</w:t>
      </w:r>
      <w:r>
        <w:rPr>
          <w:rFonts w:hint="default" w:ascii="Times New Roman" w:hAnsi="Times New Roman" w:eastAsia="楷体" w:cs="Times New Roman"/>
          <w:color w:val="auto"/>
          <w:sz w:val="28"/>
          <w:szCs w:val="28"/>
          <w:highlight w:val="none"/>
        </w:rPr>
        <w:t>其</w:t>
      </w:r>
      <w:r>
        <w:rPr>
          <w:rFonts w:hint="eastAsia" w:ascii="Times New Roman" w:hAnsi="Times New Roman" w:eastAsia="楷体" w:cs="Times New Roman"/>
          <w:color w:val="auto"/>
          <w:sz w:val="28"/>
          <w:szCs w:val="28"/>
          <w:highlight w:val="none"/>
          <w:lang w:val="en-US" w:eastAsia="zh-CN"/>
        </w:rPr>
        <w:t>组建的项目公司</w:t>
      </w:r>
      <w:r>
        <w:rPr>
          <w:rFonts w:hint="default" w:ascii="Times New Roman" w:hAnsi="Times New Roman" w:eastAsia="楷体" w:cs="Times New Roman"/>
          <w:color w:val="auto"/>
          <w:sz w:val="28"/>
          <w:szCs w:val="28"/>
          <w:highlight w:val="none"/>
        </w:rPr>
        <w:t>向政府</w:t>
      </w:r>
      <w:r>
        <w:rPr>
          <w:rFonts w:hint="default" w:ascii="Times New Roman" w:hAnsi="Times New Roman" w:eastAsia="楷体" w:cs="Times New Roman"/>
          <w:color w:val="auto"/>
          <w:sz w:val="28"/>
          <w:szCs w:val="28"/>
          <w:highlight w:val="none"/>
          <w:lang w:val="en-US" w:eastAsia="zh-CN"/>
        </w:rPr>
        <w:t>方</w:t>
      </w:r>
      <w:r>
        <w:rPr>
          <w:rFonts w:hint="default" w:ascii="Times New Roman" w:hAnsi="Times New Roman" w:eastAsia="楷体" w:cs="Times New Roman"/>
          <w:color w:val="auto"/>
          <w:sz w:val="28"/>
          <w:szCs w:val="28"/>
          <w:highlight w:val="none"/>
        </w:rPr>
        <w:t>支付特许经营权转让费</w:t>
      </w:r>
      <w:r>
        <w:rPr>
          <w:rFonts w:hint="eastAsia" w:ascii="Times New Roman" w:hAnsi="Times New Roman" w:eastAsia="楷体" w:cs="Times New Roman"/>
          <w:color w:val="auto"/>
          <w:sz w:val="28"/>
          <w:szCs w:val="28"/>
          <w:highlight w:val="none"/>
          <w:lang w:eastAsia="zh-CN"/>
        </w:rPr>
        <w:t>（</w:t>
      </w:r>
      <w:r>
        <w:rPr>
          <w:rFonts w:hint="eastAsia" w:ascii="Times New Roman" w:hAnsi="Times New Roman" w:eastAsia="楷体" w:cs="Times New Roman"/>
          <w:color w:val="auto"/>
          <w:sz w:val="28"/>
          <w:szCs w:val="28"/>
          <w:highlight w:val="none"/>
          <w:lang w:val="en-US" w:eastAsia="zh-CN"/>
        </w:rPr>
        <w:t>经第三方专业机构评估本项目特许经营权转让费为60030万元</w:t>
      </w:r>
      <w:r>
        <w:rPr>
          <w:rFonts w:hint="eastAsia" w:ascii="Times New Roman" w:hAnsi="Times New Roman" w:eastAsia="楷体" w:cs="Times New Roman"/>
          <w:color w:val="auto"/>
          <w:sz w:val="28"/>
          <w:szCs w:val="28"/>
          <w:highlight w:val="none"/>
          <w:lang w:eastAsia="zh-CN"/>
        </w:rPr>
        <w:t>）</w:t>
      </w:r>
      <w:r>
        <w:rPr>
          <w:rFonts w:hint="default" w:ascii="Times New Roman" w:hAnsi="Times New Roman" w:eastAsia="楷体" w:cs="Times New Roman"/>
          <w:color w:val="auto"/>
          <w:sz w:val="28"/>
          <w:szCs w:val="28"/>
          <w:highlight w:val="none"/>
        </w:rPr>
        <w:t>，并获得本项目30年的特许经营权。</w:t>
      </w:r>
      <w:r>
        <w:rPr>
          <w:rFonts w:hint="eastAsia" w:ascii="Times New Roman" w:hAnsi="Times New Roman" w:eastAsia="楷体" w:cs="Times New Roman"/>
          <w:color w:val="auto"/>
          <w:sz w:val="28"/>
          <w:szCs w:val="28"/>
          <w:highlight w:val="none"/>
          <w:lang w:val="en-US" w:eastAsia="zh-CN"/>
        </w:rPr>
        <w:t>在特许经营期内，特许经营者通过项目运营获得政府方支付的污水处理服务费，从而收回成本并获取合理回报。</w:t>
      </w:r>
      <w:r>
        <w:rPr>
          <w:rFonts w:hint="default" w:ascii="Times New Roman" w:hAnsi="Times New Roman" w:eastAsia="楷体" w:cs="Times New Roman"/>
          <w:color w:val="auto"/>
          <w:sz w:val="28"/>
          <w:szCs w:val="28"/>
          <w:highlight w:val="none"/>
        </w:rPr>
        <w:t>特许经营期满后，</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将本项目项下的所有设施及资产无偿</w:t>
      </w:r>
      <w:r>
        <w:rPr>
          <w:rFonts w:hint="eastAsia" w:ascii="Times New Roman" w:hAnsi="Times New Roman" w:eastAsia="楷体" w:cs="Times New Roman"/>
          <w:color w:val="auto"/>
          <w:sz w:val="28"/>
          <w:szCs w:val="28"/>
          <w:highlight w:val="none"/>
          <w:lang w:eastAsia="zh-CN"/>
        </w:rPr>
        <w:t>、</w:t>
      </w:r>
      <w:r>
        <w:rPr>
          <w:rFonts w:hint="eastAsia" w:ascii="Times New Roman" w:hAnsi="Times New Roman" w:eastAsia="楷体" w:cs="Times New Roman"/>
          <w:color w:val="auto"/>
          <w:sz w:val="28"/>
          <w:szCs w:val="28"/>
          <w:highlight w:val="none"/>
          <w:lang w:val="en-US" w:eastAsia="zh-CN"/>
        </w:rPr>
        <w:t>完好地</w:t>
      </w:r>
      <w:r>
        <w:rPr>
          <w:rFonts w:hint="default" w:ascii="Times New Roman" w:hAnsi="Times New Roman" w:eastAsia="楷体" w:cs="Times New Roman"/>
          <w:color w:val="auto"/>
          <w:sz w:val="28"/>
          <w:szCs w:val="28"/>
          <w:highlight w:val="none"/>
        </w:rPr>
        <w:t>移交给政府或指定机构。</w:t>
      </w:r>
    </w:p>
    <w:p w14:paraId="49BD26E4">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textAlignment w:val="auto"/>
        <w:rPr>
          <w:rFonts w:hint="default" w:ascii="Times New Roman" w:hAnsi="Times New Roman" w:eastAsia="楷体" w:cs="Times New Roman"/>
          <w:b/>
          <w:color w:val="auto"/>
          <w:sz w:val="28"/>
          <w:szCs w:val="28"/>
          <w:highlight w:val="none"/>
          <w:lang w:val="en-US" w:eastAsia="zh-CN"/>
        </w:rPr>
      </w:pPr>
      <w:r>
        <w:rPr>
          <w:rFonts w:hint="default" w:ascii="Times New Roman" w:hAnsi="Times New Roman" w:eastAsia="楷体" w:cs="Times New Roman"/>
          <w:b/>
          <w:color w:val="auto"/>
          <w:sz w:val="28"/>
          <w:szCs w:val="28"/>
          <w:highlight w:val="none"/>
          <w:lang w:val="en-US" w:eastAsia="zh-CN"/>
        </w:rPr>
        <w:t>2、特许经营范围</w:t>
      </w:r>
    </w:p>
    <w:p w14:paraId="369C258A">
      <w:pPr>
        <w:ind w:firstLine="560" w:firstLineChars="200"/>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val="en-US" w:eastAsia="zh-CN"/>
        </w:rPr>
        <w:t>本项目污水处理厂</w:t>
      </w:r>
      <w:r>
        <w:rPr>
          <w:rFonts w:hint="eastAsia" w:ascii="Times New Roman" w:hAnsi="Times New Roman" w:eastAsia="楷体" w:cs="Times New Roman"/>
          <w:color w:val="auto"/>
          <w:sz w:val="28"/>
          <w:szCs w:val="28"/>
          <w:highlight w:val="none"/>
          <w:lang w:val="en-US" w:eastAsia="zh-CN"/>
        </w:rPr>
        <w:t>、12座提升泵站及配套管网设施</w:t>
      </w:r>
      <w:r>
        <w:rPr>
          <w:rFonts w:hint="default" w:ascii="Times New Roman" w:hAnsi="Times New Roman" w:eastAsia="楷体" w:cs="Times New Roman"/>
          <w:color w:val="auto"/>
          <w:sz w:val="28"/>
          <w:szCs w:val="28"/>
          <w:highlight w:val="none"/>
        </w:rPr>
        <w:t>处理江都主城区的城镇生活污水，同时兼顾</w:t>
      </w:r>
      <w:r>
        <w:rPr>
          <w:rFonts w:hint="eastAsia" w:ascii="Times New Roman" w:hAnsi="Times New Roman" w:eastAsia="楷体" w:cs="Times New Roman"/>
          <w:color w:val="auto"/>
          <w:sz w:val="28"/>
          <w:szCs w:val="28"/>
          <w:highlight w:val="none"/>
          <w:lang w:val="en-US" w:eastAsia="zh-CN"/>
        </w:rPr>
        <w:t>部分未纳入工业污水处理厂收集处理、可纳管的工业企业废水（工业企业废水排入城镇排水管网应经过预处理达标且获得行业主管部门排放许可）</w:t>
      </w:r>
      <w:r>
        <w:rPr>
          <w:rFonts w:hint="default" w:ascii="Times New Roman" w:hAnsi="Times New Roman" w:eastAsia="楷体" w:cs="Times New Roman"/>
          <w:color w:val="auto"/>
          <w:sz w:val="28"/>
          <w:szCs w:val="28"/>
          <w:highlight w:val="none"/>
        </w:rPr>
        <w:t>。主城区范围：启扬高速公路、京沪高速公路、新都南路、高水河—芒稻河所围合区域</w:t>
      </w:r>
      <w:r>
        <w:rPr>
          <w:rFonts w:hint="eastAsia" w:ascii="Times New Roman" w:hAnsi="Times New Roman" w:eastAsia="楷体" w:cs="Times New Roman"/>
          <w:color w:val="auto"/>
          <w:sz w:val="28"/>
          <w:szCs w:val="28"/>
          <w:highlight w:val="none"/>
          <w:lang w:eastAsia="zh-CN"/>
        </w:rPr>
        <w:t>，</w:t>
      </w:r>
      <w:r>
        <w:rPr>
          <w:rFonts w:hint="eastAsia" w:ascii="Times New Roman" w:hAnsi="Times New Roman" w:eastAsia="楷体" w:cs="Times New Roman"/>
          <w:color w:val="auto"/>
          <w:sz w:val="28"/>
          <w:szCs w:val="28"/>
          <w:highlight w:val="none"/>
          <w:lang w:val="en-US" w:eastAsia="zh-CN"/>
        </w:rPr>
        <w:t>运营维护的资产范围为本实施方案明确的存量资产范围。</w:t>
      </w:r>
    </w:p>
    <w:p w14:paraId="6F2387F4">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textAlignment w:val="auto"/>
        <w:rPr>
          <w:rFonts w:hint="default" w:ascii="Times New Roman" w:hAnsi="Times New Roman" w:eastAsia="楷体" w:cs="Times New Roman"/>
          <w:b/>
          <w:color w:val="auto"/>
          <w:sz w:val="28"/>
          <w:szCs w:val="28"/>
          <w:highlight w:val="none"/>
          <w:lang w:val="en-US" w:eastAsia="zh-CN"/>
        </w:rPr>
      </w:pPr>
      <w:r>
        <w:rPr>
          <w:rFonts w:hint="default" w:ascii="Times New Roman" w:hAnsi="Times New Roman" w:eastAsia="楷体" w:cs="Times New Roman"/>
          <w:b/>
          <w:color w:val="auto"/>
          <w:sz w:val="28"/>
          <w:szCs w:val="28"/>
          <w:highlight w:val="none"/>
          <w:lang w:val="en-US" w:eastAsia="zh-CN"/>
        </w:rPr>
        <w:t>3、特许经营期限</w:t>
      </w:r>
    </w:p>
    <w:p w14:paraId="77540E00">
      <w:pPr>
        <w:ind w:firstLine="560" w:firstLineChars="200"/>
        <w:rPr>
          <w:rFonts w:hint="default" w:ascii="Times New Roman" w:hAnsi="Times New Roman" w:eastAsia="楷体" w:cs="Times New Roman"/>
          <w:color w:val="auto"/>
          <w:sz w:val="28"/>
          <w:szCs w:val="28"/>
          <w:highlight w:val="none"/>
          <w:lang w:val="en-US" w:eastAsia="zh-CN"/>
        </w:rPr>
      </w:pPr>
      <w:r>
        <w:rPr>
          <w:rFonts w:hint="default" w:ascii="Times New Roman" w:hAnsi="Times New Roman" w:eastAsia="楷体" w:cs="Times New Roman"/>
          <w:color w:val="auto"/>
          <w:sz w:val="28"/>
          <w:szCs w:val="28"/>
          <w:highlight w:val="none"/>
          <w:lang w:val="en-US" w:eastAsia="zh-CN"/>
        </w:rPr>
        <w:t>本项目特许经营</w:t>
      </w:r>
      <w:r>
        <w:rPr>
          <w:rFonts w:hint="eastAsia" w:ascii="Times New Roman" w:hAnsi="Times New Roman" w:eastAsia="楷体" w:cs="Times New Roman"/>
          <w:color w:val="auto"/>
          <w:sz w:val="28"/>
          <w:szCs w:val="28"/>
          <w:highlight w:val="none"/>
          <w:lang w:val="en-US" w:eastAsia="zh-CN"/>
        </w:rPr>
        <w:t>期限为</w:t>
      </w:r>
      <w:r>
        <w:rPr>
          <w:rFonts w:hint="default" w:ascii="Times New Roman" w:hAnsi="Times New Roman" w:eastAsia="楷体" w:cs="Times New Roman"/>
          <w:color w:val="auto"/>
          <w:sz w:val="28"/>
          <w:szCs w:val="28"/>
          <w:highlight w:val="none"/>
          <w:lang w:val="en-US" w:eastAsia="zh-CN"/>
        </w:rPr>
        <w:t>30年。</w:t>
      </w:r>
    </w:p>
    <w:p w14:paraId="3A57D8FE">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textAlignment w:val="auto"/>
        <w:rPr>
          <w:rFonts w:hint="default" w:ascii="Times New Roman" w:hAnsi="Times New Roman" w:eastAsia="楷体" w:cs="Times New Roman"/>
          <w:b/>
          <w:color w:val="auto"/>
          <w:sz w:val="28"/>
          <w:szCs w:val="28"/>
          <w:highlight w:val="none"/>
          <w:lang w:val="en-US" w:eastAsia="zh-CN"/>
        </w:rPr>
      </w:pPr>
      <w:r>
        <w:rPr>
          <w:rFonts w:hint="default" w:ascii="Times New Roman" w:hAnsi="Times New Roman" w:eastAsia="楷体" w:cs="Times New Roman"/>
          <w:b/>
          <w:color w:val="auto"/>
          <w:sz w:val="28"/>
          <w:szCs w:val="28"/>
          <w:highlight w:val="none"/>
          <w:lang w:val="en-US" w:eastAsia="zh-CN"/>
        </w:rPr>
        <w:t>4、收费渠道和方式</w:t>
      </w:r>
    </w:p>
    <w:p w14:paraId="41813186">
      <w:pPr>
        <w:ind w:firstLine="560" w:firstLineChars="200"/>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rPr>
        <w:t>本项目采用使用者付费模式。</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通过政府支付代收污水处理费的方式收回</w:t>
      </w:r>
      <w:r>
        <w:rPr>
          <w:rFonts w:hint="default" w:ascii="Times New Roman" w:hAnsi="Times New Roman" w:eastAsia="楷体" w:cs="Times New Roman"/>
          <w:color w:val="auto"/>
          <w:sz w:val="28"/>
          <w:szCs w:val="28"/>
          <w:highlight w:val="none"/>
          <w:lang w:val="en-US" w:eastAsia="zh-CN"/>
        </w:rPr>
        <w:t>投资及</w:t>
      </w:r>
      <w:r>
        <w:rPr>
          <w:rFonts w:hint="default" w:ascii="Times New Roman" w:hAnsi="Times New Roman" w:eastAsia="楷体" w:cs="Times New Roman"/>
          <w:color w:val="auto"/>
          <w:sz w:val="28"/>
          <w:szCs w:val="28"/>
          <w:highlight w:val="none"/>
        </w:rPr>
        <w:t>运营维护成本，并获得合理利润。</w:t>
      </w:r>
    </w:p>
    <w:p w14:paraId="631E64EC">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textAlignment w:val="auto"/>
        <w:rPr>
          <w:rFonts w:hint="default" w:ascii="Times New Roman" w:hAnsi="Times New Roman" w:eastAsia="楷体" w:cs="Times New Roman"/>
          <w:b/>
          <w:color w:val="auto"/>
          <w:sz w:val="28"/>
          <w:szCs w:val="28"/>
          <w:highlight w:val="none"/>
          <w:lang w:val="en-US" w:eastAsia="zh-CN"/>
        </w:rPr>
      </w:pPr>
      <w:r>
        <w:rPr>
          <w:rFonts w:hint="default" w:ascii="Times New Roman" w:hAnsi="Times New Roman" w:eastAsia="楷体" w:cs="Times New Roman"/>
          <w:b/>
          <w:color w:val="auto"/>
          <w:sz w:val="28"/>
          <w:szCs w:val="28"/>
          <w:highlight w:val="none"/>
          <w:lang w:val="en-US" w:eastAsia="zh-CN"/>
        </w:rPr>
        <w:t>5、政府支持情况</w:t>
      </w:r>
    </w:p>
    <w:p w14:paraId="2962A64A">
      <w:pPr>
        <w:ind w:firstLine="560" w:firstLineChars="200"/>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val="en-US" w:eastAsia="zh-CN"/>
        </w:rPr>
        <w:t>本项目为完全使用者付费项目，政府不提供投资支持和运营补贴。政府方负责</w:t>
      </w:r>
      <w:r>
        <w:rPr>
          <w:rFonts w:hint="default" w:ascii="Times New Roman" w:hAnsi="Times New Roman" w:eastAsia="楷体" w:cs="Times New Roman"/>
          <w:color w:val="auto"/>
          <w:sz w:val="28"/>
          <w:szCs w:val="28"/>
          <w:highlight w:val="none"/>
        </w:rPr>
        <w:t>做好与污水处理设施相关单位的衔接工作；</w:t>
      </w:r>
      <w:r>
        <w:rPr>
          <w:rFonts w:hint="eastAsia" w:ascii="Times New Roman" w:hAnsi="Times New Roman" w:eastAsia="楷体" w:cs="Times New Roman"/>
          <w:color w:val="auto"/>
          <w:sz w:val="28"/>
          <w:szCs w:val="28"/>
          <w:highlight w:val="none"/>
          <w:lang w:val="en-US" w:eastAsia="zh-CN"/>
        </w:rPr>
        <w:t>本项目特许经营期初移交给特许经营者时在施工</w:t>
      </w:r>
      <w:r>
        <w:rPr>
          <w:rFonts w:hint="default" w:ascii="Times New Roman" w:hAnsi="Times New Roman" w:eastAsia="楷体" w:cs="Times New Roman"/>
          <w:color w:val="auto"/>
          <w:sz w:val="28"/>
          <w:szCs w:val="28"/>
          <w:highlight w:val="none"/>
        </w:rPr>
        <w:t>责任缺陷期内存在应由施工单位负责</w:t>
      </w:r>
      <w:r>
        <w:rPr>
          <w:rFonts w:hint="default" w:ascii="Times New Roman" w:hAnsi="Times New Roman" w:eastAsia="楷体" w:cs="Times New Roman"/>
          <w:color w:val="auto"/>
          <w:sz w:val="28"/>
          <w:szCs w:val="28"/>
          <w:highlight w:val="none"/>
          <w:lang w:val="en-US" w:eastAsia="zh-CN"/>
        </w:rPr>
        <w:t>修复的质量缺陷</w:t>
      </w:r>
      <w:r>
        <w:rPr>
          <w:rFonts w:hint="default" w:ascii="Times New Roman" w:hAnsi="Times New Roman" w:eastAsia="楷体" w:cs="Times New Roman"/>
          <w:color w:val="auto"/>
          <w:sz w:val="28"/>
          <w:szCs w:val="28"/>
          <w:highlight w:val="none"/>
        </w:rPr>
        <w:t>，</w:t>
      </w:r>
      <w:r>
        <w:rPr>
          <w:rFonts w:hint="default" w:ascii="Times New Roman" w:hAnsi="Times New Roman" w:eastAsia="楷体" w:cs="Times New Roman"/>
          <w:color w:val="auto"/>
          <w:sz w:val="28"/>
          <w:szCs w:val="28"/>
          <w:highlight w:val="none"/>
          <w:lang w:val="en-US" w:eastAsia="zh-CN"/>
        </w:rPr>
        <w:t>由</w:t>
      </w:r>
      <w:r>
        <w:rPr>
          <w:rFonts w:hint="eastAsia" w:ascii="Times New Roman" w:hAnsi="Times New Roman" w:eastAsia="楷体" w:cs="Times New Roman"/>
          <w:color w:val="auto"/>
          <w:sz w:val="28"/>
          <w:szCs w:val="28"/>
          <w:highlight w:val="none"/>
          <w:lang w:val="en-US" w:eastAsia="zh-CN"/>
        </w:rPr>
        <w:t>原建设单位</w:t>
      </w:r>
      <w:r>
        <w:rPr>
          <w:rFonts w:hint="default" w:ascii="Times New Roman" w:hAnsi="Times New Roman" w:eastAsia="楷体" w:cs="Times New Roman"/>
          <w:color w:val="auto"/>
          <w:sz w:val="28"/>
          <w:szCs w:val="28"/>
          <w:highlight w:val="none"/>
          <w:lang w:val="en-US" w:eastAsia="zh-CN"/>
        </w:rPr>
        <w:t>负责督促施工单位负责维修整改</w:t>
      </w:r>
      <w:r>
        <w:rPr>
          <w:rFonts w:hint="default" w:ascii="Times New Roman" w:hAnsi="Times New Roman" w:eastAsia="楷体" w:cs="Times New Roman"/>
          <w:color w:val="auto"/>
          <w:sz w:val="28"/>
          <w:szCs w:val="28"/>
          <w:highlight w:val="none"/>
        </w:rPr>
        <w:t>。</w:t>
      </w:r>
    </w:p>
    <w:p w14:paraId="63FC5E71">
      <w:pPr>
        <w:pStyle w:val="5"/>
        <w:keepNext/>
        <w:keepLines/>
        <w:spacing w:before="0" w:after="0" w:line="360" w:lineRule="auto"/>
        <w:ind w:firstLine="562" w:firstLineChars="200"/>
        <w:rPr>
          <w:rFonts w:hint="default"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6、</w:t>
      </w:r>
      <w:r>
        <w:rPr>
          <w:rFonts w:hint="default" w:ascii="Times New Roman" w:hAnsi="Times New Roman" w:eastAsia="楷体" w:cs="Times New Roman"/>
          <w:color w:val="auto"/>
          <w:sz w:val="28"/>
          <w:szCs w:val="28"/>
          <w:highlight w:val="none"/>
          <w:lang w:val="en-US" w:eastAsia="zh-CN"/>
        </w:rPr>
        <w:t>特许经营排他性和竞争性项目</w:t>
      </w:r>
    </w:p>
    <w:p w14:paraId="087C22CD">
      <w:pPr>
        <w:ind w:firstLine="560" w:firstLineChars="200"/>
        <w:rPr>
          <w:rFonts w:hint="default"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lang w:eastAsia="zh-CN"/>
        </w:rPr>
        <w:t>（</w:t>
      </w:r>
      <w:r>
        <w:rPr>
          <w:rFonts w:hint="eastAsia" w:ascii="Times New Roman" w:hAnsi="Times New Roman" w:eastAsia="楷体" w:cs="Times New Roman"/>
          <w:color w:val="auto"/>
          <w:sz w:val="28"/>
          <w:szCs w:val="28"/>
          <w:highlight w:val="none"/>
          <w:lang w:val="en-US" w:eastAsia="zh-CN"/>
        </w:rPr>
        <w:t>1</w:t>
      </w:r>
      <w:r>
        <w:rPr>
          <w:rFonts w:hint="eastAsia" w:ascii="Times New Roman" w:hAnsi="Times New Roman" w:eastAsia="楷体" w:cs="Times New Roman"/>
          <w:color w:val="auto"/>
          <w:sz w:val="28"/>
          <w:szCs w:val="28"/>
          <w:highlight w:val="none"/>
          <w:lang w:eastAsia="zh-CN"/>
        </w:rPr>
        <w:t>）</w:t>
      </w:r>
      <w:r>
        <w:rPr>
          <w:rFonts w:hint="default" w:ascii="Times New Roman" w:hAnsi="Times New Roman" w:eastAsia="楷体" w:cs="Times New Roman"/>
          <w:color w:val="auto"/>
          <w:sz w:val="28"/>
          <w:szCs w:val="28"/>
          <w:highlight w:val="none"/>
        </w:rPr>
        <w:t>特许经营期内，</w:t>
      </w:r>
      <w:r>
        <w:rPr>
          <w:rFonts w:hint="eastAsia" w:ascii="Times New Roman" w:hAnsi="Times New Roman" w:eastAsia="楷体" w:cs="Times New Roman"/>
          <w:color w:val="auto"/>
          <w:sz w:val="28"/>
          <w:szCs w:val="28"/>
          <w:highlight w:val="none"/>
          <w:lang w:val="en-US" w:eastAsia="zh-CN"/>
        </w:rPr>
        <w:t>实施机构</w:t>
      </w:r>
      <w:r>
        <w:rPr>
          <w:rFonts w:hint="default" w:ascii="Times New Roman" w:hAnsi="Times New Roman" w:eastAsia="楷体" w:cs="Times New Roman"/>
          <w:color w:val="auto"/>
          <w:sz w:val="28"/>
          <w:szCs w:val="28"/>
          <w:highlight w:val="none"/>
        </w:rPr>
        <w:t>和政府部门不以任何方式将已授予</w:t>
      </w:r>
      <w:r>
        <w:rPr>
          <w:rFonts w:hint="eastAsia" w:ascii="Times New Roman" w:hAnsi="Times New Roman" w:eastAsia="楷体" w:cs="Times New Roman"/>
          <w:color w:val="auto"/>
          <w:sz w:val="28"/>
          <w:szCs w:val="28"/>
          <w:highlight w:val="none"/>
          <w:lang w:val="en-US" w:eastAsia="zh-CN"/>
        </w:rPr>
        <w:t>特许经营者</w:t>
      </w:r>
      <w:r>
        <w:rPr>
          <w:rFonts w:hint="default" w:ascii="Times New Roman" w:hAnsi="Times New Roman" w:eastAsia="楷体" w:cs="Times New Roman"/>
          <w:color w:val="auto"/>
          <w:sz w:val="28"/>
          <w:szCs w:val="28"/>
          <w:highlight w:val="none"/>
        </w:rPr>
        <w:t>的本项目特许经营相关权利的全部或部分重复授予第三方，或者以任何方式减少特许经营授权的内容、妨碍</w:t>
      </w:r>
      <w:r>
        <w:rPr>
          <w:rFonts w:hint="eastAsia" w:ascii="Times New Roman" w:hAnsi="Times New Roman" w:eastAsia="楷体" w:cs="Times New Roman"/>
          <w:color w:val="auto"/>
          <w:sz w:val="28"/>
          <w:szCs w:val="28"/>
          <w:highlight w:val="none"/>
          <w:lang w:val="en-US" w:eastAsia="zh-CN"/>
        </w:rPr>
        <w:t>特许经营者</w:t>
      </w:r>
      <w:r>
        <w:rPr>
          <w:rFonts w:hint="default" w:ascii="Times New Roman" w:hAnsi="Times New Roman" w:eastAsia="楷体" w:cs="Times New Roman"/>
          <w:color w:val="auto"/>
          <w:sz w:val="28"/>
          <w:szCs w:val="28"/>
          <w:highlight w:val="none"/>
        </w:rPr>
        <w:t>行使特许经营的相关权利。</w:t>
      </w:r>
    </w:p>
    <w:p w14:paraId="4EE31B0E">
      <w:pPr>
        <w:ind w:firstLine="560" w:firstLineChars="200"/>
        <w:rPr>
          <w:rFonts w:hint="default"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lang w:eastAsia="zh-CN"/>
        </w:rPr>
        <w:t>（</w:t>
      </w:r>
      <w:r>
        <w:rPr>
          <w:rFonts w:hint="eastAsia" w:ascii="Times New Roman" w:hAnsi="Times New Roman" w:eastAsia="楷体" w:cs="Times New Roman"/>
          <w:color w:val="auto"/>
          <w:sz w:val="28"/>
          <w:szCs w:val="28"/>
          <w:highlight w:val="none"/>
          <w:lang w:val="en-US" w:eastAsia="zh-CN"/>
        </w:rPr>
        <w:t>2</w:t>
      </w:r>
      <w:r>
        <w:rPr>
          <w:rFonts w:hint="eastAsia" w:ascii="Times New Roman" w:hAnsi="Times New Roman" w:eastAsia="楷体" w:cs="Times New Roman"/>
          <w:color w:val="auto"/>
          <w:sz w:val="28"/>
          <w:szCs w:val="28"/>
          <w:highlight w:val="none"/>
          <w:lang w:eastAsia="zh-CN"/>
        </w:rPr>
        <w:t>）</w:t>
      </w:r>
      <w:r>
        <w:rPr>
          <w:rFonts w:hint="default" w:ascii="Times New Roman" w:hAnsi="Times New Roman" w:eastAsia="楷体" w:cs="Times New Roman"/>
          <w:color w:val="auto"/>
          <w:sz w:val="28"/>
          <w:szCs w:val="28"/>
          <w:highlight w:val="none"/>
        </w:rPr>
        <w:t>在</w:t>
      </w:r>
      <w:r>
        <w:rPr>
          <w:rFonts w:hint="eastAsia" w:ascii="Times New Roman" w:hAnsi="Times New Roman" w:eastAsia="楷体" w:cs="Times New Roman"/>
          <w:color w:val="auto"/>
          <w:sz w:val="28"/>
          <w:szCs w:val="28"/>
          <w:highlight w:val="none"/>
          <w:lang w:val="en-US" w:eastAsia="zh-CN"/>
        </w:rPr>
        <w:t>特许经营者</w:t>
      </w:r>
      <w:r>
        <w:rPr>
          <w:rFonts w:hint="default" w:ascii="Times New Roman" w:hAnsi="Times New Roman" w:eastAsia="楷体" w:cs="Times New Roman"/>
          <w:color w:val="auto"/>
          <w:sz w:val="28"/>
          <w:szCs w:val="28"/>
          <w:highlight w:val="none"/>
        </w:rPr>
        <w:t>的特许经营相关权利受到第三方实质性妨碍时，</w:t>
      </w:r>
      <w:r>
        <w:rPr>
          <w:rFonts w:hint="eastAsia" w:ascii="Times New Roman" w:hAnsi="Times New Roman" w:eastAsia="楷体" w:cs="Times New Roman"/>
          <w:color w:val="auto"/>
          <w:sz w:val="28"/>
          <w:szCs w:val="28"/>
          <w:highlight w:val="none"/>
          <w:lang w:val="en-US" w:eastAsia="zh-CN"/>
        </w:rPr>
        <w:t>政府方</w:t>
      </w:r>
      <w:r>
        <w:rPr>
          <w:rFonts w:hint="default" w:ascii="Times New Roman" w:hAnsi="Times New Roman" w:eastAsia="楷体" w:cs="Times New Roman"/>
          <w:color w:val="auto"/>
          <w:sz w:val="28"/>
          <w:szCs w:val="28"/>
          <w:highlight w:val="none"/>
        </w:rPr>
        <w:t>应予以排除，但由于</w:t>
      </w:r>
      <w:r>
        <w:rPr>
          <w:rFonts w:hint="eastAsia" w:ascii="Times New Roman" w:hAnsi="Times New Roman" w:eastAsia="楷体" w:cs="Times New Roman"/>
          <w:color w:val="auto"/>
          <w:sz w:val="28"/>
          <w:szCs w:val="28"/>
          <w:highlight w:val="none"/>
          <w:lang w:val="en-US" w:eastAsia="zh-CN"/>
        </w:rPr>
        <w:t>特许经营者</w:t>
      </w:r>
      <w:r>
        <w:rPr>
          <w:rFonts w:hint="default" w:ascii="Times New Roman" w:hAnsi="Times New Roman" w:eastAsia="楷体" w:cs="Times New Roman"/>
          <w:color w:val="auto"/>
          <w:sz w:val="28"/>
          <w:szCs w:val="28"/>
          <w:highlight w:val="none"/>
        </w:rPr>
        <w:t>原因导致的除外。</w:t>
      </w:r>
    </w:p>
    <w:p w14:paraId="07649613">
      <w:pPr>
        <w:ind w:firstLine="560" w:firstLineChars="200"/>
        <w:rPr>
          <w:rFonts w:hint="default"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（3）</w:t>
      </w:r>
      <w:r>
        <w:rPr>
          <w:rFonts w:hint="default" w:ascii="Times New Roman" w:hAnsi="Times New Roman" w:eastAsia="楷体" w:cs="Times New Roman"/>
          <w:color w:val="auto"/>
          <w:sz w:val="28"/>
          <w:szCs w:val="28"/>
          <w:highlight w:val="none"/>
          <w:lang w:val="en-US" w:eastAsia="zh-CN"/>
        </w:rPr>
        <w:t>特许经营期内，如因公共利益原因需要新建竞争性项目，</w:t>
      </w:r>
      <w:r>
        <w:rPr>
          <w:rFonts w:hint="eastAsia" w:ascii="Times New Roman" w:hAnsi="Times New Roman" w:eastAsia="楷体" w:cs="Times New Roman"/>
          <w:color w:val="auto"/>
          <w:sz w:val="28"/>
          <w:szCs w:val="28"/>
          <w:highlight w:val="none"/>
          <w:lang w:val="en-US" w:eastAsia="zh-CN"/>
        </w:rPr>
        <w:t>合作</w:t>
      </w:r>
      <w:r>
        <w:rPr>
          <w:rFonts w:hint="default" w:ascii="Times New Roman" w:hAnsi="Times New Roman" w:eastAsia="楷体" w:cs="Times New Roman"/>
          <w:color w:val="auto"/>
          <w:sz w:val="28"/>
          <w:szCs w:val="28"/>
          <w:highlight w:val="none"/>
          <w:lang w:val="en-US" w:eastAsia="zh-CN"/>
        </w:rPr>
        <w:t>双方本着公共利益和</w:t>
      </w:r>
      <w:r>
        <w:rPr>
          <w:rFonts w:hint="eastAsia" w:ascii="Times New Roman" w:hAnsi="Times New Roman" w:eastAsia="楷体" w:cs="Times New Roman"/>
          <w:color w:val="auto"/>
          <w:sz w:val="28"/>
          <w:szCs w:val="28"/>
          <w:highlight w:val="none"/>
          <w:lang w:val="en-US" w:eastAsia="zh-CN"/>
        </w:rPr>
        <w:t>特许经营者</w:t>
      </w:r>
      <w:r>
        <w:rPr>
          <w:rFonts w:hint="default" w:ascii="Times New Roman" w:hAnsi="Times New Roman" w:eastAsia="楷体" w:cs="Times New Roman"/>
          <w:color w:val="auto"/>
          <w:sz w:val="28"/>
          <w:szCs w:val="28"/>
          <w:highlight w:val="none"/>
          <w:lang w:val="en-US" w:eastAsia="zh-CN"/>
        </w:rPr>
        <w:t>权益并重的原则，具体协商竞争性项目对本项目造成影响的解决方式。</w:t>
      </w:r>
      <w:r>
        <w:rPr>
          <w:rFonts w:hint="eastAsia" w:ascii="Times New Roman" w:hAnsi="Times New Roman" w:eastAsia="楷体" w:cs="Times New Roman"/>
          <w:color w:val="auto"/>
          <w:sz w:val="28"/>
          <w:szCs w:val="28"/>
          <w:highlight w:val="none"/>
          <w:lang w:val="en-US" w:eastAsia="zh-CN"/>
        </w:rPr>
        <w:t>（</w:t>
      </w:r>
      <w:r>
        <w:rPr>
          <w:rFonts w:hint="default" w:ascii="Times New Roman" w:hAnsi="Times New Roman" w:eastAsia="楷体" w:cs="Times New Roman"/>
          <w:color w:val="auto"/>
          <w:sz w:val="28"/>
          <w:szCs w:val="28"/>
          <w:highlight w:val="none"/>
          <w:lang w:val="en-US" w:eastAsia="zh-CN"/>
        </w:rPr>
        <w:t>说明：竞争性项目是指其投资建设将对本项目收入形成不利影响且该等影响在</w:t>
      </w:r>
      <w:r>
        <w:rPr>
          <w:rFonts w:hint="eastAsia" w:ascii="Times New Roman" w:hAnsi="Times New Roman" w:eastAsia="楷体" w:cs="Times New Roman"/>
          <w:color w:val="auto"/>
          <w:sz w:val="28"/>
          <w:szCs w:val="28"/>
          <w:highlight w:val="none"/>
          <w:lang w:val="en-US" w:eastAsia="zh-CN"/>
        </w:rPr>
        <w:t>政府方</w:t>
      </w:r>
      <w:r>
        <w:rPr>
          <w:rFonts w:hint="default" w:ascii="Times New Roman" w:hAnsi="Times New Roman" w:eastAsia="楷体" w:cs="Times New Roman"/>
          <w:color w:val="auto"/>
          <w:sz w:val="28"/>
          <w:szCs w:val="28"/>
          <w:highlight w:val="none"/>
          <w:lang w:val="en-US" w:eastAsia="zh-CN"/>
        </w:rPr>
        <w:t>选择特许经营者时并未要求纳入</w:t>
      </w:r>
      <w:r>
        <w:rPr>
          <w:rFonts w:hint="eastAsia" w:ascii="Times New Roman" w:hAnsi="Times New Roman" w:eastAsia="楷体" w:cs="Times New Roman"/>
          <w:color w:val="auto"/>
          <w:sz w:val="28"/>
          <w:szCs w:val="28"/>
          <w:highlight w:val="none"/>
          <w:lang w:val="en-US" w:eastAsia="zh-CN"/>
        </w:rPr>
        <w:t>特许经营者</w:t>
      </w:r>
      <w:r>
        <w:rPr>
          <w:rFonts w:hint="default" w:ascii="Times New Roman" w:hAnsi="Times New Roman" w:eastAsia="楷体" w:cs="Times New Roman"/>
          <w:color w:val="auto"/>
          <w:sz w:val="28"/>
          <w:szCs w:val="28"/>
          <w:highlight w:val="none"/>
          <w:lang w:val="en-US" w:eastAsia="zh-CN"/>
        </w:rPr>
        <w:t>报价考虑的其他项目</w:t>
      </w:r>
      <w:r>
        <w:rPr>
          <w:rFonts w:hint="eastAsia" w:ascii="Times New Roman" w:hAnsi="Times New Roman" w:eastAsia="楷体" w:cs="Times New Roman"/>
          <w:color w:val="auto"/>
          <w:sz w:val="28"/>
          <w:szCs w:val="28"/>
          <w:highlight w:val="none"/>
          <w:lang w:val="en-US" w:eastAsia="zh-CN"/>
        </w:rPr>
        <w:t>）</w:t>
      </w:r>
      <w:r>
        <w:rPr>
          <w:rFonts w:hint="default" w:ascii="Times New Roman" w:hAnsi="Times New Roman" w:eastAsia="楷体" w:cs="Times New Roman"/>
          <w:color w:val="auto"/>
          <w:sz w:val="28"/>
          <w:szCs w:val="28"/>
          <w:highlight w:val="none"/>
          <w:lang w:val="en-US" w:eastAsia="zh-CN"/>
        </w:rPr>
        <w:t>。</w:t>
      </w:r>
    </w:p>
    <w:p w14:paraId="27C8A9F7">
      <w:pPr>
        <w:pStyle w:val="5"/>
        <w:widowControl w:val="0"/>
        <w:shd w:val="clear" w:color="auto" w:fill="FFFFFF"/>
        <w:spacing w:before="0" w:beforeAutospacing="0" w:after="0" w:afterAutospacing="0" w:line="360" w:lineRule="auto"/>
        <w:ind w:firstLine="602" w:firstLineChars="200"/>
        <w:jc w:val="both"/>
        <w:rPr>
          <w:rFonts w:hint="default" w:ascii="Times New Roman" w:hAnsi="Times New Roman" w:eastAsia="楷体" w:cs="Times New Roman"/>
          <w:color w:val="auto"/>
          <w:sz w:val="30"/>
          <w:szCs w:val="30"/>
          <w:highlight w:val="none"/>
          <w:lang w:val="en-US" w:eastAsia="zh-CN"/>
        </w:rPr>
      </w:pPr>
      <w:r>
        <w:rPr>
          <w:rFonts w:hint="eastAsia" w:ascii="Times New Roman" w:hAnsi="Times New Roman" w:eastAsia="楷体" w:cs="Times New Roman"/>
          <w:color w:val="auto"/>
          <w:sz w:val="30"/>
          <w:szCs w:val="30"/>
          <w:highlight w:val="none"/>
          <w:lang w:val="en-US" w:eastAsia="zh-CN"/>
        </w:rPr>
        <w:t>7</w:t>
      </w:r>
      <w:r>
        <w:rPr>
          <w:rFonts w:hint="default" w:ascii="Times New Roman" w:hAnsi="Times New Roman" w:eastAsia="楷体" w:cs="Times New Roman"/>
          <w:color w:val="auto"/>
          <w:sz w:val="30"/>
          <w:szCs w:val="30"/>
          <w:highlight w:val="none"/>
          <w:lang w:val="en-US" w:eastAsia="zh-CN"/>
        </w:rPr>
        <w:t>、资产权属</w:t>
      </w:r>
    </w:p>
    <w:p w14:paraId="50854B6F">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lang w:val="en-US" w:eastAsia="zh-CN"/>
        </w:rPr>
      </w:pPr>
      <w:r>
        <w:rPr>
          <w:rFonts w:hint="default" w:ascii="Times New Roman" w:hAnsi="Times New Roman" w:eastAsia="楷体" w:cs="Times New Roman"/>
          <w:color w:val="auto"/>
          <w:sz w:val="28"/>
          <w:szCs w:val="28"/>
          <w:highlight w:val="none"/>
        </w:rPr>
        <w:t>特许经营期间，本项目所涉及资产的所有权始终归政府方所有，</w:t>
      </w:r>
      <w:r>
        <w:rPr>
          <w:rFonts w:hint="eastAsia" w:ascii="Times New Roman" w:hAnsi="Times New Roman" w:eastAsia="楷体" w:cs="Times New Roman"/>
          <w:color w:val="auto"/>
          <w:sz w:val="28"/>
          <w:szCs w:val="28"/>
          <w:highlight w:val="none"/>
          <w:lang w:val="en-US" w:eastAsia="zh-CN"/>
        </w:rPr>
        <w:t>特许经营者或其组建的</w:t>
      </w:r>
      <w:r>
        <w:rPr>
          <w:rFonts w:hint="default" w:ascii="Times New Roman" w:hAnsi="Times New Roman" w:eastAsia="楷体" w:cs="Times New Roman"/>
          <w:color w:val="auto"/>
          <w:sz w:val="28"/>
          <w:szCs w:val="28"/>
          <w:highlight w:val="none"/>
          <w:lang w:val="en-US" w:eastAsia="zh-CN"/>
        </w:rPr>
        <w:t>项目公司在特许经营期内对本项目资产具有使用、运营、收益的权利，不得对本项目的特许经营权进行处置，特许经营者或其组建的项目公司可按《特许经营协议》约定享有</w:t>
      </w:r>
      <w:r>
        <w:rPr>
          <w:rFonts w:hint="eastAsia" w:ascii="Times New Roman" w:hAnsi="Times New Roman" w:eastAsia="楷体" w:cs="Times New Roman"/>
          <w:color w:val="auto"/>
          <w:sz w:val="28"/>
          <w:szCs w:val="28"/>
          <w:highlight w:val="none"/>
          <w:lang w:val="en-US" w:eastAsia="zh-CN"/>
        </w:rPr>
        <w:t>以</w:t>
      </w:r>
      <w:r>
        <w:rPr>
          <w:rFonts w:hint="default" w:ascii="Times New Roman" w:hAnsi="Times New Roman" w:eastAsia="楷体" w:cs="Times New Roman"/>
          <w:color w:val="auto"/>
          <w:sz w:val="28"/>
          <w:szCs w:val="28"/>
          <w:highlight w:val="none"/>
          <w:lang w:val="en-US" w:eastAsia="zh-CN"/>
        </w:rPr>
        <w:t>本项目特许经营权</w:t>
      </w:r>
      <w:r>
        <w:rPr>
          <w:rFonts w:hint="eastAsia" w:ascii="Times New Roman" w:hAnsi="Times New Roman" w:eastAsia="楷体" w:cs="Times New Roman"/>
          <w:color w:val="auto"/>
          <w:sz w:val="28"/>
          <w:szCs w:val="28"/>
          <w:highlight w:val="none"/>
          <w:lang w:val="en-US" w:eastAsia="zh-CN"/>
        </w:rPr>
        <w:t>的预期收益</w:t>
      </w:r>
      <w:r>
        <w:rPr>
          <w:rFonts w:hint="default" w:ascii="Times New Roman" w:hAnsi="Times New Roman" w:eastAsia="楷体" w:cs="Times New Roman"/>
          <w:color w:val="auto"/>
          <w:sz w:val="28"/>
          <w:szCs w:val="28"/>
          <w:highlight w:val="none"/>
          <w:lang w:val="en-US" w:eastAsia="zh-CN"/>
        </w:rPr>
        <w:t>设置质押等方式进行融资，相关融资</w:t>
      </w:r>
      <w:r>
        <w:rPr>
          <w:rFonts w:hint="eastAsia" w:ascii="Times New Roman" w:hAnsi="Times New Roman" w:eastAsia="楷体" w:cs="Times New Roman"/>
          <w:color w:val="auto"/>
          <w:sz w:val="28"/>
          <w:szCs w:val="28"/>
          <w:highlight w:val="none"/>
          <w:lang w:val="en-US" w:eastAsia="zh-CN"/>
        </w:rPr>
        <w:t>方案及协议</w:t>
      </w:r>
      <w:r>
        <w:rPr>
          <w:rFonts w:hint="default" w:ascii="Times New Roman" w:hAnsi="Times New Roman" w:eastAsia="楷体" w:cs="Times New Roman"/>
          <w:color w:val="auto"/>
          <w:sz w:val="28"/>
          <w:szCs w:val="28"/>
          <w:highlight w:val="none"/>
          <w:lang w:val="en-US" w:eastAsia="zh-CN"/>
        </w:rPr>
        <w:t>应及时提交给政府方备案。</w:t>
      </w:r>
    </w:p>
    <w:p w14:paraId="4A80DC8D">
      <w:pPr>
        <w:pStyle w:val="3"/>
        <w:keepNext/>
        <w:keepLines/>
        <w:pageBreakBefore w:val="0"/>
        <w:widowControl w:val="0"/>
        <w:kinsoku/>
        <w:wordWrap/>
        <w:overflowPunct/>
        <w:topLinePunct w:val="0"/>
        <w:autoSpaceDE/>
        <w:autoSpaceDN/>
        <w:bidi w:val="0"/>
        <w:adjustRightInd/>
        <w:snapToGrid/>
        <w:spacing w:before="100" w:after="100" w:line="360" w:lineRule="auto"/>
        <w:ind w:firstLine="602" w:firstLineChars="200"/>
        <w:textAlignment w:val="auto"/>
        <w:rPr>
          <w:rFonts w:hint="default" w:ascii="Times New Roman" w:hAnsi="Times New Roman" w:eastAsia="楷体" w:cs="Times New Roman"/>
          <w:b/>
          <w:color w:val="auto"/>
          <w:sz w:val="30"/>
          <w:szCs w:val="30"/>
          <w:highlight w:val="none"/>
          <w:lang w:val="en-US" w:eastAsia="zh-CN"/>
        </w:rPr>
      </w:pPr>
      <w:r>
        <w:rPr>
          <w:rFonts w:hint="default" w:ascii="Times New Roman" w:hAnsi="Times New Roman" w:eastAsia="楷体" w:cs="Times New Roman"/>
          <w:b/>
          <w:color w:val="auto"/>
          <w:sz w:val="30"/>
          <w:szCs w:val="30"/>
          <w:highlight w:val="none"/>
          <w:lang w:eastAsia="zh-CN"/>
        </w:rPr>
        <w:t>（</w:t>
      </w:r>
      <w:r>
        <w:rPr>
          <w:rFonts w:hint="eastAsia" w:ascii="Times New Roman" w:hAnsi="Times New Roman" w:eastAsia="楷体" w:cs="Times New Roman"/>
          <w:b/>
          <w:color w:val="auto"/>
          <w:sz w:val="30"/>
          <w:szCs w:val="30"/>
          <w:highlight w:val="none"/>
          <w:lang w:val="en-US" w:eastAsia="zh-CN"/>
        </w:rPr>
        <w:t>三</w:t>
      </w:r>
      <w:r>
        <w:rPr>
          <w:rFonts w:hint="default" w:ascii="Times New Roman" w:hAnsi="Times New Roman" w:eastAsia="楷体" w:cs="Times New Roman"/>
          <w:b/>
          <w:color w:val="auto"/>
          <w:sz w:val="30"/>
          <w:szCs w:val="30"/>
          <w:highlight w:val="none"/>
          <w:lang w:eastAsia="zh-CN"/>
        </w:rPr>
        <w:t>）</w:t>
      </w:r>
      <w:r>
        <w:rPr>
          <w:rFonts w:hint="default" w:ascii="Times New Roman" w:hAnsi="Times New Roman" w:eastAsia="楷体" w:cs="Times New Roman"/>
          <w:b/>
          <w:color w:val="auto"/>
          <w:sz w:val="30"/>
          <w:szCs w:val="30"/>
          <w:highlight w:val="none"/>
          <w:lang w:val="en-US" w:eastAsia="zh-CN"/>
        </w:rPr>
        <w:t>运营服务内容</w:t>
      </w:r>
    </w:p>
    <w:p w14:paraId="7722EE8E">
      <w:pPr>
        <w:ind w:firstLine="560" w:firstLineChars="200"/>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val="en-US" w:eastAsia="zh-CN"/>
        </w:rPr>
        <w:t>1、</w:t>
      </w:r>
      <w:r>
        <w:rPr>
          <w:rFonts w:hint="default" w:ascii="Times New Roman" w:hAnsi="Times New Roman" w:eastAsia="楷体" w:cs="Times New Roman"/>
          <w:color w:val="auto"/>
          <w:sz w:val="28"/>
          <w:szCs w:val="28"/>
          <w:highlight w:val="none"/>
        </w:rPr>
        <w:t>设施范围：</w:t>
      </w:r>
      <w:r>
        <w:rPr>
          <w:rFonts w:hint="eastAsia" w:ascii="Times New Roman" w:hAnsi="Times New Roman" w:eastAsia="楷体" w:cs="Times New Roman"/>
          <w:color w:val="auto"/>
          <w:sz w:val="28"/>
          <w:szCs w:val="28"/>
          <w:highlight w:val="none"/>
          <w:lang w:val="en-US" w:eastAsia="zh-CN"/>
        </w:rPr>
        <w:t>城区</w:t>
      </w:r>
      <w:r>
        <w:rPr>
          <w:rFonts w:hint="default" w:ascii="Times New Roman" w:hAnsi="Times New Roman" w:eastAsia="楷体" w:cs="Times New Roman"/>
          <w:color w:val="auto"/>
          <w:sz w:val="28"/>
          <w:szCs w:val="28"/>
          <w:highlight w:val="none"/>
          <w:lang w:val="en-US" w:eastAsia="zh-CN"/>
        </w:rPr>
        <w:t>污水处理厂区内</w:t>
      </w:r>
      <w:r>
        <w:rPr>
          <w:rFonts w:hint="default" w:ascii="Times New Roman" w:hAnsi="Times New Roman" w:eastAsia="楷体" w:cs="Times New Roman"/>
          <w:color w:val="auto"/>
          <w:sz w:val="28"/>
          <w:szCs w:val="28"/>
          <w:highlight w:val="none"/>
        </w:rPr>
        <w:t>污水处理设施、</w:t>
      </w:r>
      <w:r>
        <w:rPr>
          <w:rFonts w:hint="default" w:ascii="Times New Roman" w:hAnsi="Times New Roman" w:eastAsia="楷体" w:cs="Times New Roman"/>
          <w:color w:val="auto"/>
          <w:sz w:val="28"/>
          <w:szCs w:val="28"/>
          <w:highlight w:val="none"/>
          <w:lang w:val="en-US" w:eastAsia="zh-CN"/>
        </w:rPr>
        <w:t>道路、绿化及场外</w:t>
      </w:r>
      <w:r>
        <w:rPr>
          <w:rFonts w:hint="default" w:ascii="Times New Roman" w:hAnsi="Times New Roman" w:eastAsia="楷体" w:cs="Times New Roman"/>
          <w:color w:val="auto"/>
          <w:sz w:val="28"/>
          <w:szCs w:val="28"/>
          <w:highlight w:val="none"/>
        </w:rPr>
        <w:t>配套管网</w:t>
      </w:r>
      <w:r>
        <w:rPr>
          <w:rFonts w:hint="eastAsia" w:ascii="Times New Roman" w:hAnsi="Times New Roman" w:eastAsia="楷体" w:cs="Times New Roman"/>
          <w:color w:val="auto"/>
          <w:sz w:val="28"/>
          <w:szCs w:val="28"/>
          <w:highlight w:val="none"/>
          <w:lang w:val="en-US" w:eastAsia="zh-CN"/>
        </w:rPr>
        <w:t>及</w:t>
      </w:r>
      <w:r>
        <w:rPr>
          <w:rFonts w:hint="default" w:ascii="Times New Roman" w:hAnsi="Times New Roman" w:eastAsia="楷体" w:cs="Times New Roman"/>
          <w:color w:val="auto"/>
          <w:sz w:val="28"/>
          <w:szCs w:val="28"/>
          <w:highlight w:val="none"/>
        </w:rPr>
        <w:t>泵站</w:t>
      </w:r>
      <w:r>
        <w:rPr>
          <w:rFonts w:hint="eastAsia" w:ascii="Times New Roman" w:hAnsi="Times New Roman" w:eastAsia="楷体" w:cs="Times New Roman"/>
          <w:color w:val="auto"/>
          <w:sz w:val="28"/>
          <w:szCs w:val="28"/>
          <w:highlight w:val="none"/>
          <w:lang w:eastAsia="zh-CN"/>
        </w:rPr>
        <w:t>（</w:t>
      </w:r>
      <w:r>
        <w:rPr>
          <w:rFonts w:hint="eastAsia" w:ascii="Times New Roman" w:hAnsi="Times New Roman" w:eastAsia="楷体" w:cs="Times New Roman"/>
          <w:color w:val="auto"/>
          <w:sz w:val="28"/>
          <w:szCs w:val="28"/>
          <w:highlight w:val="none"/>
          <w:lang w:val="en-US" w:eastAsia="zh-CN"/>
        </w:rPr>
        <w:t>指</w:t>
      </w:r>
      <w:r>
        <w:rPr>
          <w:rFonts w:hint="eastAsia" w:ascii="Times New Roman" w:hAnsi="Times New Roman" w:eastAsia="楷体" w:cs="Times New Roman"/>
          <w:color w:val="auto"/>
          <w:sz w:val="28"/>
          <w:szCs w:val="28"/>
          <w:highlight w:val="none"/>
          <w:lang w:eastAsia="zh-CN"/>
        </w:rPr>
        <w:t>厂外污水提升泵站一座，设计规模12万m</w:t>
      </w:r>
      <w:r>
        <w:rPr>
          <w:rFonts w:hint="eastAsia" w:ascii="Times New Roman" w:hAnsi="Times New Roman" w:eastAsia="楷体" w:cs="Times New Roman"/>
          <w:color w:val="auto"/>
          <w:sz w:val="28"/>
          <w:szCs w:val="28"/>
          <w:highlight w:val="none"/>
          <w:vertAlign w:val="superscript"/>
          <w:lang w:eastAsia="zh-CN"/>
        </w:rPr>
        <w:t>3</w:t>
      </w:r>
      <w:r>
        <w:rPr>
          <w:rFonts w:hint="eastAsia" w:ascii="Times New Roman" w:hAnsi="Times New Roman" w:eastAsia="楷体" w:cs="Times New Roman"/>
          <w:color w:val="auto"/>
          <w:sz w:val="28"/>
          <w:szCs w:val="28"/>
          <w:highlight w:val="none"/>
          <w:lang w:eastAsia="zh-CN"/>
        </w:rPr>
        <w:t>/d，位于江都区仙女镇涵西村；厂外提升泵站至污水处理厂的污水输送管道，管径为DN1200，管道总长约3858m；污水处理厂至大涵河的尾水排放管，其中污水处理厂至厂外提升泵站处管道管径为DN1200，管道总长约为3622m，厂外提升泵站至大涵河管道管径为DN1000，管道总长约为1012m）；</w:t>
      </w:r>
      <w:r>
        <w:rPr>
          <w:rFonts w:hint="eastAsia" w:ascii="Times New Roman" w:hAnsi="Times New Roman" w:eastAsia="楷体" w:cs="Times New Roman"/>
          <w:color w:val="auto"/>
          <w:sz w:val="28"/>
          <w:szCs w:val="28"/>
          <w:highlight w:val="none"/>
          <w:lang w:val="en-US" w:eastAsia="zh-CN"/>
        </w:rPr>
        <w:t>为了落实厂站一体化，城区内南区泵站、二桥泵站、新通扬泵站、江都桥泵站、双沟污水泵站、黄海南路污水泵站、张纲污水泵站、金湾路污水泵站、物流园污水泵站、金桥石油苑污水泵站、涵西提升泵站和大涵河出水提升泵站全部纳入特许经营实施运营维护管理范围（除本实施方案明确约定的管网外，不含区域内其他管网运维）</w:t>
      </w:r>
      <w:r>
        <w:rPr>
          <w:rFonts w:hint="default" w:ascii="Times New Roman" w:hAnsi="Times New Roman" w:eastAsia="楷体" w:cs="Times New Roman"/>
          <w:color w:val="auto"/>
          <w:sz w:val="28"/>
          <w:szCs w:val="28"/>
          <w:highlight w:val="none"/>
        </w:rPr>
        <w:t>。</w:t>
      </w:r>
    </w:p>
    <w:p w14:paraId="5360C4A5">
      <w:pPr>
        <w:ind w:firstLine="560" w:firstLineChars="200"/>
        <w:rPr>
          <w:rFonts w:hint="default" w:ascii="Times New Roman" w:hAnsi="Times New Roman" w:eastAsia="楷体" w:cs="Times New Roman"/>
          <w:color w:val="auto"/>
          <w:sz w:val="28"/>
          <w:szCs w:val="28"/>
          <w:highlight w:val="none"/>
          <w:lang w:eastAsia="zh-CN"/>
        </w:rPr>
      </w:pPr>
      <w:r>
        <w:rPr>
          <w:rFonts w:hint="default" w:ascii="Times New Roman" w:hAnsi="Times New Roman" w:eastAsia="楷体" w:cs="Times New Roman"/>
          <w:color w:val="auto"/>
          <w:sz w:val="28"/>
          <w:szCs w:val="28"/>
          <w:highlight w:val="none"/>
          <w:lang w:val="en-US" w:eastAsia="zh-CN"/>
        </w:rPr>
        <w:t>2、</w:t>
      </w:r>
      <w:r>
        <w:rPr>
          <w:rFonts w:hint="default" w:ascii="Times New Roman" w:hAnsi="Times New Roman" w:eastAsia="楷体" w:cs="Times New Roman"/>
          <w:color w:val="auto"/>
          <w:sz w:val="28"/>
          <w:szCs w:val="28"/>
          <w:highlight w:val="none"/>
        </w:rPr>
        <w:t>运营维护内容：按约定处理收集到的一般工业废水和生活污水，处理后的污水出水水质需达到江苏省地方标准《城镇污水处理厂污染物排放标准》（DB32/4440-2022）中B标准，脱水后的污泥需达到含水率小于</w:t>
      </w:r>
      <w:r>
        <w:rPr>
          <w:rFonts w:hint="default" w:ascii="Times New Roman" w:hAnsi="Times New Roman" w:eastAsia="楷体" w:cs="Times New Roman"/>
          <w:color w:val="auto"/>
          <w:sz w:val="28"/>
          <w:szCs w:val="28"/>
          <w:highlight w:val="none"/>
          <w:lang w:val="en-US" w:eastAsia="zh-CN"/>
        </w:rPr>
        <w:t>8</w:t>
      </w:r>
      <w:r>
        <w:rPr>
          <w:rFonts w:hint="default" w:ascii="Times New Roman" w:hAnsi="Times New Roman" w:eastAsia="楷体" w:cs="Times New Roman"/>
          <w:color w:val="auto"/>
          <w:sz w:val="28"/>
          <w:szCs w:val="28"/>
          <w:highlight w:val="none"/>
        </w:rPr>
        <w:t>0%的要求</w:t>
      </w:r>
      <w:r>
        <w:rPr>
          <w:rFonts w:hint="eastAsia" w:ascii="Times New Roman" w:hAnsi="Times New Roman" w:eastAsia="楷体" w:cs="Times New Roman"/>
          <w:color w:val="auto"/>
          <w:sz w:val="28"/>
          <w:szCs w:val="28"/>
          <w:highlight w:val="none"/>
          <w:lang w:eastAsia="zh-CN"/>
        </w:rPr>
        <w:t>，</w:t>
      </w:r>
      <w:r>
        <w:rPr>
          <w:rFonts w:hint="eastAsia" w:ascii="Times New Roman" w:hAnsi="Times New Roman" w:eastAsia="楷体" w:cs="Times New Roman"/>
          <w:color w:val="auto"/>
          <w:sz w:val="28"/>
          <w:szCs w:val="28"/>
          <w:highlight w:val="none"/>
          <w:lang w:val="en-US" w:eastAsia="zh-CN"/>
        </w:rPr>
        <w:t>污泥外运及处置由实施机构另行安排单位负责，相关费用不由特许经营者或其组建的项目公司承担。</w:t>
      </w:r>
      <w:r>
        <w:rPr>
          <w:rFonts w:hint="default" w:ascii="Times New Roman" w:hAnsi="Times New Roman" w:eastAsia="楷体" w:cs="Times New Roman"/>
          <w:color w:val="auto"/>
          <w:sz w:val="28"/>
          <w:szCs w:val="28"/>
          <w:highlight w:val="none"/>
        </w:rPr>
        <w:t>特许经营</w:t>
      </w:r>
      <w:r>
        <w:rPr>
          <w:rFonts w:hint="default" w:ascii="Times New Roman" w:hAnsi="Times New Roman" w:eastAsia="楷体" w:cs="Times New Roman"/>
          <w:color w:val="auto"/>
          <w:sz w:val="28"/>
          <w:szCs w:val="28"/>
          <w:highlight w:val="none"/>
          <w:lang w:val="en-US" w:eastAsia="zh-CN"/>
        </w:rPr>
        <w:t>者</w:t>
      </w:r>
      <w:r>
        <w:rPr>
          <w:rFonts w:hint="default" w:ascii="Times New Roman" w:hAnsi="Times New Roman" w:eastAsia="楷体" w:cs="Times New Roman"/>
          <w:color w:val="auto"/>
          <w:sz w:val="28"/>
          <w:szCs w:val="28"/>
          <w:highlight w:val="none"/>
        </w:rPr>
        <w:t>负责污水处理厂工程建筑物、构筑物及其配套的设施设备（</w:t>
      </w:r>
      <w:r>
        <w:rPr>
          <w:rFonts w:hint="eastAsia" w:ascii="Times New Roman" w:hAnsi="Times New Roman" w:eastAsia="楷体" w:cs="Times New Roman"/>
          <w:color w:val="auto"/>
          <w:sz w:val="28"/>
          <w:szCs w:val="28"/>
          <w:highlight w:val="none"/>
          <w:lang w:val="en-US" w:eastAsia="zh-CN"/>
        </w:rPr>
        <w:t>城区内的</w:t>
      </w:r>
      <w:r>
        <w:rPr>
          <w:rFonts w:hint="default" w:ascii="Times New Roman" w:hAnsi="Times New Roman" w:eastAsia="楷体" w:cs="Times New Roman"/>
          <w:color w:val="auto"/>
          <w:sz w:val="28"/>
          <w:szCs w:val="28"/>
          <w:highlight w:val="none"/>
        </w:rPr>
        <w:t>泵站及</w:t>
      </w:r>
      <w:r>
        <w:rPr>
          <w:rFonts w:hint="default" w:ascii="Times New Roman" w:hAnsi="Times New Roman" w:eastAsia="楷体" w:cs="Times New Roman"/>
          <w:color w:val="auto"/>
          <w:sz w:val="28"/>
          <w:szCs w:val="28"/>
          <w:highlight w:val="none"/>
          <w:lang w:val="en-US" w:eastAsia="zh-CN"/>
        </w:rPr>
        <w:t>约定范围内</w:t>
      </w:r>
      <w:r>
        <w:rPr>
          <w:rFonts w:hint="default" w:ascii="Times New Roman" w:hAnsi="Times New Roman" w:eastAsia="楷体" w:cs="Times New Roman"/>
          <w:color w:val="auto"/>
          <w:sz w:val="28"/>
          <w:szCs w:val="28"/>
          <w:highlight w:val="none"/>
        </w:rPr>
        <w:t>管网）的日常维护</w:t>
      </w:r>
      <w:r>
        <w:rPr>
          <w:rFonts w:hint="default" w:ascii="Times New Roman" w:hAnsi="Times New Roman" w:eastAsia="楷体" w:cs="Times New Roman"/>
          <w:color w:val="auto"/>
          <w:sz w:val="28"/>
          <w:szCs w:val="28"/>
          <w:highlight w:val="none"/>
          <w:lang w:val="en-US" w:eastAsia="zh-CN"/>
        </w:rPr>
        <w:t>及修理</w:t>
      </w:r>
      <w:r>
        <w:rPr>
          <w:rFonts w:hint="default" w:ascii="Times New Roman" w:hAnsi="Times New Roman" w:eastAsia="楷体" w:cs="Times New Roman"/>
          <w:color w:val="auto"/>
          <w:sz w:val="28"/>
          <w:szCs w:val="28"/>
          <w:highlight w:val="none"/>
        </w:rPr>
        <w:t>等工作，保证污水处理厂的正常运行。按照谨慎运营惯例处理全部污水并达标排放，对污水收集系统检查与运行维护、对污水处理站点检查与运行维护、对污泥妥善处置、对水质进行检测等</w:t>
      </w:r>
      <w:r>
        <w:rPr>
          <w:rFonts w:hint="default" w:ascii="Times New Roman" w:hAnsi="Times New Roman" w:eastAsia="楷体" w:cs="Times New Roman"/>
          <w:color w:val="auto"/>
          <w:sz w:val="28"/>
          <w:szCs w:val="28"/>
          <w:highlight w:val="none"/>
          <w:lang w:eastAsia="zh-CN"/>
        </w:rPr>
        <w:t>。</w:t>
      </w:r>
    </w:p>
    <w:p w14:paraId="1FB679E6">
      <w:pPr>
        <w:ind w:firstLine="560" w:firstLineChars="200"/>
        <w:rPr>
          <w:rFonts w:hint="default"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lang w:val="en-US" w:eastAsia="zh-CN"/>
        </w:rPr>
        <w:t>3</w:t>
      </w:r>
      <w:r>
        <w:rPr>
          <w:rFonts w:hint="default" w:ascii="Times New Roman" w:hAnsi="Times New Roman" w:eastAsia="楷体" w:cs="Times New Roman"/>
          <w:color w:val="auto"/>
          <w:sz w:val="28"/>
          <w:szCs w:val="28"/>
          <w:highlight w:val="none"/>
          <w:lang w:val="en-US" w:eastAsia="zh-CN"/>
        </w:rPr>
        <w:t>、</w:t>
      </w:r>
      <w:r>
        <w:rPr>
          <w:rFonts w:hint="default" w:ascii="Times New Roman" w:hAnsi="Times New Roman" w:eastAsia="楷体" w:cs="Times New Roman"/>
          <w:color w:val="auto"/>
          <w:sz w:val="28"/>
          <w:szCs w:val="28"/>
          <w:highlight w:val="none"/>
        </w:rPr>
        <w:t>其他必要的协助及配合事项：防洪排涝服务工作、检查督查、数据调研等。</w:t>
      </w:r>
    </w:p>
    <w:p w14:paraId="73068B80">
      <w:pPr>
        <w:pStyle w:val="3"/>
        <w:keepNext/>
        <w:keepLines/>
        <w:pageBreakBefore w:val="0"/>
        <w:widowControl w:val="0"/>
        <w:kinsoku/>
        <w:wordWrap/>
        <w:overflowPunct/>
        <w:topLinePunct w:val="0"/>
        <w:autoSpaceDE/>
        <w:autoSpaceDN/>
        <w:bidi w:val="0"/>
        <w:adjustRightInd/>
        <w:snapToGrid/>
        <w:spacing w:before="100" w:after="100" w:line="360" w:lineRule="auto"/>
        <w:ind w:firstLine="602" w:firstLineChars="200"/>
        <w:textAlignment w:val="auto"/>
        <w:rPr>
          <w:rFonts w:hint="default" w:ascii="Times New Roman" w:hAnsi="Times New Roman" w:eastAsia="楷体" w:cs="Times New Roman"/>
          <w:b/>
          <w:color w:val="auto"/>
          <w:sz w:val="30"/>
          <w:szCs w:val="30"/>
          <w:highlight w:val="none"/>
          <w:lang w:val="en-US" w:eastAsia="zh-CN"/>
        </w:rPr>
      </w:pPr>
      <w:bookmarkStart w:id="581" w:name="_Toc27210"/>
      <w:bookmarkStart w:id="582" w:name="_Toc14391"/>
      <w:bookmarkStart w:id="583" w:name="_Toc12555"/>
      <w:bookmarkStart w:id="584" w:name="_Toc28638"/>
      <w:bookmarkStart w:id="585" w:name="_Toc629"/>
      <w:r>
        <w:rPr>
          <w:rFonts w:hint="default" w:ascii="Times New Roman" w:hAnsi="Times New Roman" w:eastAsia="楷体" w:cs="Times New Roman"/>
          <w:b/>
          <w:color w:val="auto"/>
          <w:sz w:val="30"/>
          <w:szCs w:val="30"/>
          <w:highlight w:val="none"/>
          <w:lang w:eastAsia="zh-CN"/>
        </w:rPr>
        <w:t>（</w:t>
      </w:r>
      <w:r>
        <w:rPr>
          <w:rFonts w:hint="eastAsia" w:ascii="Times New Roman" w:hAnsi="Times New Roman" w:eastAsia="楷体" w:cs="Times New Roman"/>
          <w:b/>
          <w:color w:val="auto"/>
          <w:sz w:val="30"/>
          <w:szCs w:val="30"/>
          <w:highlight w:val="none"/>
          <w:lang w:val="en-US" w:eastAsia="zh-CN"/>
        </w:rPr>
        <w:t>四</w:t>
      </w:r>
      <w:r>
        <w:rPr>
          <w:rFonts w:hint="default" w:ascii="Times New Roman" w:hAnsi="Times New Roman" w:eastAsia="楷体" w:cs="Times New Roman"/>
          <w:b/>
          <w:color w:val="auto"/>
          <w:sz w:val="30"/>
          <w:szCs w:val="30"/>
          <w:highlight w:val="none"/>
          <w:lang w:eastAsia="zh-CN"/>
        </w:rPr>
        <w:t>）</w:t>
      </w:r>
      <w:r>
        <w:rPr>
          <w:rFonts w:hint="default" w:ascii="Times New Roman" w:hAnsi="Times New Roman" w:eastAsia="楷体" w:cs="Times New Roman"/>
          <w:b/>
          <w:color w:val="auto"/>
          <w:sz w:val="30"/>
          <w:szCs w:val="30"/>
          <w:highlight w:val="none"/>
          <w:lang w:val="en-US" w:eastAsia="zh-CN"/>
        </w:rPr>
        <w:t>运营服务标准</w:t>
      </w:r>
      <w:bookmarkEnd w:id="581"/>
      <w:bookmarkEnd w:id="582"/>
      <w:bookmarkEnd w:id="583"/>
      <w:bookmarkEnd w:id="584"/>
      <w:bookmarkEnd w:id="585"/>
    </w:p>
    <w:p w14:paraId="5FA47352">
      <w:pPr>
        <w:ind w:firstLine="560" w:firstLineChars="200"/>
        <w:rPr>
          <w:rFonts w:hint="default" w:ascii="Times New Roman" w:hAnsi="Times New Roman" w:eastAsia="楷体" w:cs="Times New Roman"/>
          <w:color w:val="auto"/>
          <w:sz w:val="28"/>
          <w:szCs w:val="28"/>
          <w:highlight w:val="none"/>
          <w:lang w:val="en-US" w:eastAsia="zh-CN"/>
        </w:rPr>
      </w:pPr>
      <w:r>
        <w:rPr>
          <w:rFonts w:hint="default" w:ascii="Times New Roman" w:hAnsi="Times New Roman" w:eastAsia="楷体" w:cs="Times New Roman"/>
          <w:color w:val="auto"/>
          <w:sz w:val="28"/>
          <w:szCs w:val="28"/>
          <w:highlight w:val="none"/>
          <w:lang w:val="en-US" w:eastAsia="zh-CN"/>
        </w:rPr>
        <w:t>特许经营者按照城镇污水处理规范标准及行业谨慎惯例对所收集的污水进行处理，达标排放；同时，对污水处理厂设施设备、配套管网、泵站等</w:t>
      </w:r>
      <w:r>
        <w:rPr>
          <w:rFonts w:hint="eastAsia" w:ascii="Times New Roman" w:hAnsi="Times New Roman" w:eastAsia="楷体" w:cs="Times New Roman"/>
          <w:color w:val="auto"/>
          <w:sz w:val="28"/>
          <w:szCs w:val="28"/>
          <w:highlight w:val="none"/>
          <w:lang w:val="en-US" w:eastAsia="zh-CN"/>
        </w:rPr>
        <w:t>设施</w:t>
      </w:r>
      <w:r>
        <w:rPr>
          <w:rFonts w:hint="default" w:ascii="Times New Roman" w:hAnsi="Times New Roman" w:eastAsia="楷体" w:cs="Times New Roman"/>
          <w:color w:val="auto"/>
          <w:sz w:val="28"/>
          <w:szCs w:val="28"/>
          <w:highlight w:val="none"/>
          <w:lang w:val="en-US" w:eastAsia="zh-CN"/>
        </w:rPr>
        <w:t>进行运营维护，保障所有设施设备处于良好运行状态。本项目出水</w:t>
      </w:r>
      <w:r>
        <w:rPr>
          <w:rFonts w:hint="default" w:ascii="Times New Roman" w:hAnsi="Times New Roman" w:eastAsia="楷体" w:cs="Times New Roman"/>
          <w:color w:val="auto"/>
          <w:sz w:val="28"/>
          <w:szCs w:val="28"/>
          <w:highlight w:val="none"/>
        </w:rPr>
        <w:t>水质执行江苏省地方标准《城镇污水处理厂污染物排放标准》（DB32/4440-2022）中B标准</w:t>
      </w:r>
      <w:r>
        <w:rPr>
          <w:rFonts w:hint="default" w:ascii="Times New Roman" w:hAnsi="Times New Roman" w:eastAsia="楷体" w:cs="Times New Roman"/>
          <w:color w:val="auto"/>
          <w:sz w:val="28"/>
          <w:szCs w:val="28"/>
          <w:highlight w:val="none"/>
          <w:lang w:eastAsia="zh-CN"/>
        </w:rPr>
        <w:t>。</w:t>
      </w:r>
      <w:r>
        <w:rPr>
          <w:rFonts w:hint="default" w:ascii="Times New Roman" w:hAnsi="Times New Roman" w:eastAsia="楷体" w:cs="Times New Roman"/>
          <w:color w:val="auto"/>
          <w:sz w:val="28"/>
          <w:szCs w:val="28"/>
          <w:highlight w:val="none"/>
          <w:lang w:val="en-US" w:eastAsia="zh-CN"/>
        </w:rPr>
        <w:t>具体指标见下表2-1：</w:t>
      </w:r>
    </w:p>
    <w:p w14:paraId="7889B44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楷体" w:cs="Times New Roman"/>
          <w:b/>
          <w:bCs/>
          <w:color w:val="auto"/>
          <w:sz w:val="24"/>
          <w:szCs w:val="24"/>
          <w:highlight w:val="none"/>
          <w:lang w:val="en-US" w:eastAsia="zh-CN"/>
        </w:rPr>
      </w:pPr>
      <w:r>
        <w:rPr>
          <w:rFonts w:hint="default" w:ascii="Times New Roman" w:hAnsi="Times New Roman" w:eastAsia="楷体" w:cs="Times New Roman"/>
          <w:b/>
          <w:bCs/>
          <w:color w:val="auto"/>
          <w:sz w:val="24"/>
          <w:szCs w:val="24"/>
          <w:highlight w:val="none"/>
          <w:lang w:val="en-US" w:eastAsia="zh-CN"/>
        </w:rPr>
        <w:t>表2-1（1） 基本控制项目（常规污染物）日均排放限值表</w:t>
      </w:r>
    </w:p>
    <w:tbl>
      <w:tblPr>
        <w:tblStyle w:val="36"/>
        <w:tblW w:w="50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8"/>
        <w:gridCol w:w="993"/>
        <w:gridCol w:w="993"/>
        <w:gridCol w:w="993"/>
        <w:gridCol w:w="993"/>
        <w:gridCol w:w="993"/>
        <w:gridCol w:w="815"/>
        <w:gridCol w:w="1171"/>
        <w:gridCol w:w="1001"/>
      </w:tblGrid>
      <w:tr w14:paraId="238F1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E75E4">
            <w:pPr>
              <w:keepNext w:val="0"/>
              <w:keepLines w:val="0"/>
              <w:widowControl/>
              <w:suppressLineNumbers w:val="0"/>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项目</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698E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楷体" w:cs="Times New Roman"/>
                <w:i w:val="0"/>
                <w:iCs w:val="0"/>
                <w:color w:val="auto"/>
                <w:kern w:val="0"/>
                <w:sz w:val="21"/>
                <w:szCs w:val="21"/>
                <w:highlight w:val="none"/>
                <w:u w:val="none"/>
                <w:lang w:val="en-US" w:eastAsia="zh-CN" w:bidi="ar"/>
              </w:rPr>
            </w:pPr>
            <w:r>
              <w:rPr>
                <w:rFonts w:hint="default" w:ascii="Times New Roman" w:hAnsi="Times New Roman" w:eastAsia="楷体" w:cs="Times New Roman"/>
                <w:i w:val="0"/>
                <w:iCs w:val="0"/>
                <w:color w:val="auto"/>
                <w:kern w:val="0"/>
                <w:sz w:val="21"/>
                <w:szCs w:val="21"/>
                <w:highlight w:val="none"/>
                <w:u w:val="none"/>
                <w:lang w:val="en-US" w:eastAsia="zh-CN" w:bidi="ar"/>
              </w:rPr>
              <w:t>CODcr</w:t>
            </w:r>
          </w:p>
          <w:p w14:paraId="3FEC0D3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(mg/l)</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0237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Style w:val="227"/>
                <w:rFonts w:hint="default" w:ascii="Times New Roman" w:hAnsi="Times New Roman" w:eastAsia="楷体" w:cs="Times New Roman"/>
                <w:color w:val="auto"/>
                <w:sz w:val="21"/>
                <w:szCs w:val="21"/>
                <w:highlight w:val="none"/>
                <w:lang w:val="en-US" w:eastAsia="zh-CN" w:bidi="ar"/>
              </w:rPr>
            </w:pPr>
            <w:r>
              <w:rPr>
                <w:rFonts w:hint="default" w:ascii="Times New Roman" w:hAnsi="Times New Roman" w:eastAsia="楷体" w:cs="Times New Roman"/>
                <w:i w:val="0"/>
                <w:iCs w:val="0"/>
                <w:color w:val="auto"/>
                <w:kern w:val="0"/>
                <w:sz w:val="21"/>
                <w:szCs w:val="21"/>
                <w:highlight w:val="none"/>
                <w:u w:val="none"/>
                <w:lang w:val="en-US" w:eastAsia="zh-CN" w:bidi="ar"/>
              </w:rPr>
              <w:t>BOD</w:t>
            </w:r>
            <w:r>
              <w:rPr>
                <w:rStyle w:val="227"/>
                <w:rFonts w:hint="default" w:ascii="Times New Roman" w:hAnsi="Times New Roman" w:eastAsia="楷体" w:cs="Times New Roman"/>
                <w:color w:val="auto"/>
                <w:sz w:val="21"/>
                <w:szCs w:val="21"/>
                <w:highlight w:val="none"/>
                <w:lang w:val="en-US" w:eastAsia="zh-CN" w:bidi="ar"/>
              </w:rPr>
              <w:t>5</w:t>
            </w:r>
          </w:p>
          <w:p w14:paraId="2950853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楷体" w:cs="Times New Roman"/>
                <w:i w:val="0"/>
                <w:iCs w:val="0"/>
                <w:color w:val="auto"/>
                <w:sz w:val="21"/>
                <w:szCs w:val="21"/>
                <w:highlight w:val="none"/>
                <w:u w:val="none"/>
              </w:rPr>
            </w:pPr>
            <w:r>
              <w:rPr>
                <w:rStyle w:val="245"/>
                <w:rFonts w:hint="default" w:ascii="Times New Roman" w:hAnsi="Times New Roman" w:eastAsia="楷体" w:cs="Times New Roman"/>
                <w:color w:val="auto"/>
                <w:sz w:val="21"/>
                <w:szCs w:val="21"/>
                <w:highlight w:val="none"/>
                <w:lang w:val="en-US" w:eastAsia="zh-CN" w:bidi="ar"/>
              </w:rPr>
              <w:t>(mg/l)</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8EAF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楷体" w:cs="Times New Roman"/>
                <w:i w:val="0"/>
                <w:iCs w:val="0"/>
                <w:color w:val="auto"/>
                <w:kern w:val="0"/>
                <w:sz w:val="21"/>
                <w:szCs w:val="21"/>
                <w:highlight w:val="none"/>
                <w:u w:val="none"/>
                <w:lang w:val="en-US" w:eastAsia="zh-CN" w:bidi="ar"/>
              </w:rPr>
            </w:pPr>
            <w:r>
              <w:rPr>
                <w:rFonts w:hint="default" w:ascii="Times New Roman" w:hAnsi="Times New Roman" w:eastAsia="楷体" w:cs="Times New Roman"/>
                <w:i w:val="0"/>
                <w:iCs w:val="0"/>
                <w:color w:val="auto"/>
                <w:kern w:val="0"/>
                <w:sz w:val="21"/>
                <w:szCs w:val="21"/>
                <w:highlight w:val="none"/>
                <w:u w:val="none"/>
                <w:lang w:val="en-US" w:eastAsia="zh-CN" w:bidi="ar"/>
              </w:rPr>
              <w:t>SS</w:t>
            </w:r>
          </w:p>
          <w:p w14:paraId="0DB5E58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(mg/l)</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CAD6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Style w:val="245"/>
                <w:rFonts w:hint="default" w:ascii="Times New Roman" w:hAnsi="Times New Roman" w:eastAsia="楷体" w:cs="Times New Roman"/>
                <w:color w:val="auto"/>
                <w:sz w:val="21"/>
                <w:szCs w:val="21"/>
                <w:highlight w:val="none"/>
                <w:lang w:val="en-US" w:eastAsia="zh-CN" w:bidi="ar"/>
              </w:rPr>
            </w:pPr>
            <w:r>
              <w:rPr>
                <w:rFonts w:hint="default" w:ascii="Times New Roman" w:hAnsi="Times New Roman" w:eastAsia="楷体" w:cs="Times New Roman"/>
                <w:i w:val="0"/>
                <w:iCs w:val="0"/>
                <w:color w:val="auto"/>
                <w:kern w:val="0"/>
                <w:sz w:val="21"/>
                <w:szCs w:val="21"/>
                <w:highlight w:val="none"/>
                <w:u w:val="none"/>
                <w:lang w:val="en-US" w:eastAsia="zh-CN" w:bidi="ar"/>
              </w:rPr>
              <w:t>NH</w:t>
            </w:r>
            <w:r>
              <w:rPr>
                <w:rStyle w:val="227"/>
                <w:rFonts w:hint="default" w:ascii="Times New Roman" w:hAnsi="Times New Roman" w:eastAsia="楷体" w:cs="Times New Roman"/>
                <w:color w:val="auto"/>
                <w:sz w:val="21"/>
                <w:szCs w:val="21"/>
                <w:highlight w:val="none"/>
                <w:lang w:val="en-US" w:eastAsia="zh-CN" w:bidi="ar"/>
              </w:rPr>
              <w:t>3</w:t>
            </w:r>
            <w:r>
              <w:rPr>
                <w:rStyle w:val="245"/>
                <w:rFonts w:hint="default" w:ascii="Times New Roman" w:hAnsi="Times New Roman" w:eastAsia="楷体" w:cs="Times New Roman"/>
                <w:color w:val="auto"/>
                <w:sz w:val="21"/>
                <w:szCs w:val="21"/>
                <w:highlight w:val="none"/>
                <w:lang w:val="en-US" w:eastAsia="zh-CN" w:bidi="ar"/>
              </w:rPr>
              <w:t>-N</w:t>
            </w:r>
          </w:p>
          <w:p w14:paraId="494B085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楷体" w:cs="Times New Roman"/>
                <w:i w:val="0"/>
                <w:iCs w:val="0"/>
                <w:color w:val="auto"/>
                <w:sz w:val="21"/>
                <w:szCs w:val="21"/>
                <w:highlight w:val="none"/>
                <w:u w:val="none"/>
              </w:rPr>
            </w:pPr>
            <w:r>
              <w:rPr>
                <w:rStyle w:val="245"/>
                <w:rFonts w:hint="default" w:ascii="Times New Roman" w:hAnsi="Times New Roman" w:eastAsia="楷体" w:cs="Times New Roman"/>
                <w:color w:val="auto"/>
                <w:sz w:val="21"/>
                <w:szCs w:val="21"/>
                <w:highlight w:val="none"/>
                <w:lang w:val="en-US" w:eastAsia="zh-CN" w:bidi="ar"/>
              </w:rPr>
              <w:t>(mg/l)</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3D6B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楷体" w:cs="Times New Roman"/>
                <w:i w:val="0"/>
                <w:iCs w:val="0"/>
                <w:color w:val="auto"/>
                <w:kern w:val="0"/>
                <w:sz w:val="21"/>
                <w:szCs w:val="21"/>
                <w:highlight w:val="none"/>
                <w:u w:val="none"/>
                <w:lang w:val="en-US" w:eastAsia="zh-CN" w:bidi="ar"/>
              </w:rPr>
            </w:pPr>
            <w:r>
              <w:rPr>
                <w:rFonts w:hint="default" w:ascii="Times New Roman" w:hAnsi="Times New Roman" w:eastAsia="楷体" w:cs="Times New Roman"/>
                <w:i w:val="0"/>
                <w:iCs w:val="0"/>
                <w:color w:val="auto"/>
                <w:kern w:val="0"/>
                <w:sz w:val="21"/>
                <w:szCs w:val="21"/>
                <w:highlight w:val="none"/>
                <w:u w:val="none"/>
                <w:lang w:val="en-US" w:eastAsia="zh-CN" w:bidi="ar"/>
              </w:rPr>
              <w:t>TN</w:t>
            </w:r>
          </w:p>
          <w:p w14:paraId="6EDFF7C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(mg/l)</w:t>
            </w:r>
          </w:p>
        </w:tc>
        <w:tc>
          <w:tcPr>
            <w:tcW w:w="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896B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楷体" w:cs="Times New Roman"/>
                <w:i w:val="0"/>
                <w:iCs w:val="0"/>
                <w:color w:val="auto"/>
                <w:kern w:val="0"/>
                <w:sz w:val="21"/>
                <w:szCs w:val="21"/>
                <w:highlight w:val="none"/>
                <w:u w:val="none"/>
                <w:lang w:val="en-US" w:eastAsia="zh-CN" w:bidi="ar"/>
              </w:rPr>
            </w:pPr>
            <w:r>
              <w:rPr>
                <w:rFonts w:hint="default" w:ascii="Times New Roman" w:hAnsi="Times New Roman" w:eastAsia="楷体" w:cs="Times New Roman"/>
                <w:i w:val="0"/>
                <w:iCs w:val="0"/>
                <w:color w:val="auto"/>
                <w:kern w:val="0"/>
                <w:sz w:val="21"/>
                <w:szCs w:val="21"/>
                <w:highlight w:val="none"/>
                <w:u w:val="none"/>
                <w:lang w:val="en-US" w:eastAsia="zh-CN" w:bidi="ar"/>
              </w:rPr>
              <w:t>TP</w:t>
            </w:r>
          </w:p>
          <w:p w14:paraId="6C2EB92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(mg/l)</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D20C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粪大肠菌群</w:t>
            </w:r>
            <w:r>
              <w:rPr>
                <w:rFonts w:hint="eastAsia" w:ascii="Times New Roman" w:hAnsi="Times New Roman" w:eastAsia="楷体" w:cs="Times New Roman"/>
                <w:i w:val="0"/>
                <w:iCs w:val="0"/>
                <w:color w:val="auto"/>
                <w:kern w:val="0"/>
                <w:sz w:val="21"/>
                <w:szCs w:val="21"/>
                <w:highlight w:val="none"/>
                <w:u w:val="none"/>
                <w:lang w:val="en-US" w:eastAsia="zh-CN" w:bidi="ar"/>
              </w:rPr>
              <w:t>（</w:t>
            </w:r>
            <w:r>
              <w:rPr>
                <w:rFonts w:hint="default" w:ascii="Times New Roman" w:hAnsi="Times New Roman" w:eastAsia="楷体" w:cs="Times New Roman"/>
                <w:i w:val="0"/>
                <w:iCs w:val="0"/>
                <w:color w:val="auto"/>
                <w:kern w:val="0"/>
                <w:sz w:val="21"/>
                <w:szCs w:val="21"/>
                <w:highlight w:val="none"/>
                <w:u w:val="none"/>
                <w:lang w:val="en-US" w:eastAsia="zh-CN" w:bidi="ar"/>
              </w:rPr>
              <w:t>个/L</w:t>
            </w:r>
            <w:r>
              <w:rPr>
                <w:rFonts w:hint="eastAsia" w:ascii="Times New Roman" w:hAnsi="Times New Roman" w:eastAsia="楷体" w:cs="Times New Roman"/>
                <w:i w:val="0"/>
                <w:iCs w:val="0"/>
                <w:color w:val="auto"/>
                <w:kern w:val="0"/>
                <w:sz w:val="21"/>
                <w:szCs w:val="21"/>
                <w:highlight w:val="none"/>
                <w:u w:val="none"/>
                <w:lang w:val="en-US" w:eastAsia="zh-CN" w:bidi="ar"/>
              </w:rPr>
              <w:t>）</w:t>
            </w:r>
          </w:p>
        </w:tc>
        <w:tc>
          <w:tcPr>
            <w:tcW w:w="5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632D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色度（稀释倍数）</w:t>
            </w:r>
          </w:p>
        </w:tc>
      </w:tr>
      <w:tr w14:paraId="1394A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7540B">
            <w:pPr>
              <w:keepNext w:val="0"/>
              <w:keepLines w:val="0"/>
              <w:widowControl/>
              <w:suppressLineNumbers w:val="0"/>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指标</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C0443">
            <w:pPr>
              <w:keepNext w:val="0"/>
              <w:keepLines w:val="0"/>
              <w:widowControl/>
              <w:suppressLineNumbers w:val="0"/>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40</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D4130">
            <w:pPr>
              <w:keepNext w:val="0"/>
              <w:keepLines w:val="0"/>
              <w:widowControl/>
              <w:suppressLineNumbers w:val="0"/>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10</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121A8">
            <w:pPr>
              <w:keepNext w:val="0"/>
              <w:keepLines w:val="0"/>
              <w:widowControl/>
              <w:suppressLineNumbers w:val="0"/>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10</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11766">
            <w:pPr>
              <w:keepNext w:val="0"/>
              <w:keepLines w:val="0"/>
              <w:widowControl/>
              <w:suppressLineNumbers w:val="0"/>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3（5）</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93704">
            <w:pPr>
              <w:keepNext w:val="0"/>
              <w:keepLines w:val="0"/>
              <w:widowControl/>
              <w:suppressLineNumbers w:val="0"/>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10（12）</w:t>
            </w:r>
          </w:p>
        </w:tc>
        <w:tc>
          <w:tcPr>
            <w:tcW w:w="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A1D87">
            <w:pPr>
              <w:keepNext w:val="0"/>
              <w:keepLines w:val="0"/>
              <w:widowControl/>
              <w:suppressLineNumbers w:val="0"/>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0.3</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25C3B">
            <w:pPr>
              <w:keepNext w:val="0"/>
              <w:keepLines w:val="0"/>
              <w:widowControl/>
              <w:suppressLineNumbers w:val="0"/>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1000</w:t>
            </w:r>
          </w:p>
        </w:tc>
        <w:tc>
          <w:tcPr>
            <w:tcW w:w="5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A07AF">
            <w:pPr>
              <w:keepNext w:val="0"/>
              <w:keepLines w:val="0"/>
              <w:widowControl/>
              <w:suppressLineNumbers w:val="0"/>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30</w:t>
            </w:r>
          </w:p>
        </w:tc>
      </w:tr>
    </w:tbl>
    <w:p w14:paraId="0C6AC11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楷体" w:cs="Times New Roman"/>
          <w:b w:val="0"/>
          <w:bCs w:val="0"/>
          <w:color w:val="auto"/>
          <w:sz w:val="24"/>
          <w:szCs w:val="24"/>
          <w:highlight w:val="none"/>
          <w:lang w:val="en-US" w:eastAsia="zh-CN"/>
        </w:rPr>
      </w:pPr>
      <w:r>
        <w:rPr>
          <w:rFonts w:hint="default" w:ascii="Times New Roman" w:hAnsi="Times New Roman" w:eastAsia="楷体" w:cs="Times New Roman"/>
          <w:b w:val="0"/>
          <w:bCs w:val="0"/>
          <w:color w:val="auto"/>
          <w:sz w:val="24"/>
          <w:szCs w:val="24"/>
          <w:highlight w:val="none"/>
          <w:lang w:val="en-US" w:eastAsia="zh-CN"/>
        </w:rPr>
        <w:t>注：每年11月1日至次年3月31日执行括号内排放值。</w:t>
      </w:r>
    </w:p>
    <w:p w14:paraId="482A399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楷体" w:cs="Times New Roman"/>
          <w:b/>
          <w:bCs/>
          <w:color w:val="auto"/>
          <w:sz w:val="24"/>
          <w:szCs w:val="24"/>
          <w:highlight w:val="none"/>
          <w:lang w:val="en-US" w:eastAsia="zh-CN"/>
        </w:rPr>
      </w:pPr>
      <w:r>
        <w:rPr>
          <w:rFonts w:hint="default" w:ascii="Times New Roman" w:hAnsi="Times New Roman" w:eastAsia="楷体" w:cs="Times New Roman"/>
          <w:b/>
          <w:bCs/>
          <w:color w:val="auto"/>
          <w:sz w:val="24"/>
          <w:szCs w:val="24"/>
          <w:highlight w:val="none"/>
          <w:lang w:val="en-US" w:eastAsia="zh-CN"/>
        </w:rPr>
        <w:t>表2-1（2） 四项主要指标常规污染物一次监测排放限值</w:t>
      </w:r>
    </w:p>
    <w:tbl>
      <w:tblPr>
        <w:tblStyle w:val="36"/>
        <w:tblW w:w="50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29"/>
        <w:gridCol w:w="1866"/>
        <w:gridCol w:w="1866"/>
        <w:gridCol w:w="1866"/>
        <w:gridCol w:w="1870"/>
      </w:tblGrid>
      <w:tr w14:paraId="78148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CB1C8">
            <w:pPr>
              <w:keepNext w:val="0"/>
              <w:keepLines w:val="0"/>
              <w:widowControl/>
              <w:suppressLineNumbers w:val="0"/>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项目</w:t>
            </w:r>
          </w:p>
        </w:tc>
        <w:tc>
          <w:tcPr>
            <w:tcW w:w="10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77390">
            <w:pPr>
              <w:keepNext w:val="0"/>
              <w:keepLines w:val="0"/>
              <w:widowControl/>
              <w:suppressLineNumbers w:val="0"/>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CODcr(mg/l)</w:t>
            </w:r>
          </w:p>
        </w:tc>
        <w:tc>
          <w:tcPr>
            <w:tcW w:w="10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27FD9">
            <w:pPr>
              <w:keepNext w:val="0"/>
              <w:keepLines w:val="0"/>
              <w:widowControl/>
              <w:suppressLineNumbers w:val="0"/>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NH</w:t>
            </w:r>
            <w:r>
              <w:rPr>
                <w:rFonts w:hint="default" w:ascii="Times New Roman" w:hAnsi="Times New Roman" w:eastAsia="楷体" w:cs="Times New Roman"/>
                <w:i w:val="0"/>
                <w:iCs w:val="0"/>
                <w:color w:val="auto"/>
                <w:kern w:val="0"/>
                <w:sz w:val="21"/>
                <w:szCs w:val="21"/>
                <w:highlight w:val="none"/>
                <w:u w:val="none"/>
                <w:vertAlign w:val="subscript"/>
                <w:lang w:val="en-US" w:eastAsia="zh-CN" w:bidi="ar"/>
              </w:rPr>
              <w:t>3</w:t>
            </w:r>
            <w:r>
              <w:rPr>
                <w:rFonts w:hint="default" w:ascii="Times New Roman" w:hAnsi="Times New Roman" w:eastAsia="楷体" w:cs="Times New Roman"/>
                <w:i w:val="0"/>
                <w:iCs w:val="0"/>
                <w:color w:val="auto"/>
                <w:kern w:val="0"/>
                <w:sz w:val="21"/>
                <w:szCs w:val="21"/>
                <w:highlight w:val="none"/>
                <w:u w:val="none"/>
                <w:lang w:val="en-US" w:eastAsia="zh-CN" w:bidi="ar"/>
              </w:rPr>
              <w:t>-N(mg/l)</w:t>
            </w:r>
          </w:p>
        </w:tc>
        <w:tc>
          <w:tcPr>
            <w:tcW w:w="10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89F4A">
            <w:pPr>
              <w:keepNext w:val="0"/>
              <w:keepLines w:val="0"/>
              <w:widowControl/>
              <w:suppressLineNumbers w:val="0"/>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TN(mg/l)</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E21CB">
            <w:pPr>
              <w:keepNext w:val="0"/>
              <w:keepLines w:val="0"/>
              <w:widowControl/>
              <w:suppressLineNumbers w:val="0"/>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TP(mg/l)</w:t>
            </w:r>
          </w:p>
        </w:tc>
      </w:tr>
      <w:tr w14:paraId="2D5EE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18E83">
            <w:pPr>
              <w:keepNext w:val="0"/>
              <w:keepLines w:val="0"/>
              <w:widowControl/>
              <w:suppressLineNumbers w:val="0"/>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指标</w:t>
            </w:r>
          </w:p>
        </w:tc>
        <w:tc>
          <w:tcPr>
            <w:tcW w:w="10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1877D">
            <w:pPr>
              <w:keepNext w:val="0"/>
              <w:keepLines w:val="0"/>
              <w:widowControl/>
              <w:suppressLineNumbers w:val="0"/>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60</w:t>
            </w:r>
          </w:p>
        </w:tc>
        <w:tc>
          <w:tcPr>
            <w:tcW w:w="10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CC6DE">
            <w:pPr>
              <w:keepNext w:val="0"/>
              <w:keepLines w:val="0"/>
              <w:widowControl/>
              <w:suppressLineNumbers w:val="0"/>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6（10）</w:t>
            </w:r>
          </w:p>
        </w:tc>
        <w:tc>
          <w:tcPr>
            <w:tcW w:w="10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CEEEC">
            <w:pPr>
              <w:keepNext w:val="0"/>
              <w:keepLines w:val="0"/>
              <w:widowControl/>
              <w:suppressLineNumbers w:val="0"/>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12（15）</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01670">
            <w:pPr>
              <w:keepNext w:val="0"/>
              <w:keepLines w:val="0"/>
              <w:widowControl/>
              <w:suppressLineNumbers w:val="0"/>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0.5</w:t>
            </w:r>
          </w:p>
        </w:tc>
      </w:tr>
    </w:tbl>
    <w:p w14:paraId="46E79F59">
      <w:pPr>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b w:val="0"/>
          <w:bCs w:val="0"/>
          <w:color w:val="auto"/>
          <w:sz w:val="24"/>
          <w:szCs w:val="24"/>
          <w:highlight w:val="none"/>
          <w:lang w:val="en-US" w:eastAsia="zh-CN"/>
        </w:rPr>
        <w:t>注：每年11月1日至次年3月31日执行括号内排放值。</w:t>
      </w:r>
    </w:p>
    <w:p w14:paraId="0FE181C5">
      <w:pPr>
        <w:pStyle w:val="3"/>
        <w:keepNext/>
        <w:keepLines/>
        <w:pageBreakBefore w:val="0"/>
        <w:widowControl w:val="0"/>
        <w:kinsoku/>
        <w:wordWrap/>
        <w:overflowPunct/>
        <w:topLinePunct w:val="0"/>
        <w:autoSpaceDE/>
        <w:autoSpaceDN/>
        <w:bidi w:val="0"/>
        <w:adjustRightInd/>
        <w:snapToGrid/>
        <w:spacing w:before="100" w:after="100" w:line="360" w:lineRule="auto"/>
        <w:ind w:firstLine="602" w:firstLineChars="200"/>
        <w:textAlignment w:val="auto"/>
        <w:rPr>
          <w:rFonts w:hint="default" w:ascii="Times New Roman" w:hAnsi="Times New Roman" w:eastAsia="楷体" w:cs="Times New Roman"/>
          <w:b/>
          <w:color w:val="auto"/>
          <w:sz w:val="30"/>
          <w:szCs w:val="30"/>
          <w:highlight w:val="none"/>
          <w:lang w:val="en-US" w:eastAsia="zh-CN"/>
        </w:rPr>
      </w:pPr>
      <w:bookmarkStart w:id="586" w:name="_Toc31337"/>
      <w:bookmarkStart w:id="587" w:name="_Toc17114"/>
      <w:bookmarkStart w:id="588" w:name="_Toc21971"/>
      <w:bookmarkStart w:id="589" w:name="_Toc6773"/>
      <w:bookmarkStart w:id="590" w:name="_Toc5143"/>
      <w:r>
        <w:rPr>
          <w:rFonts w:hint="default" w:ascii="Times New Roman" w:hAnsi="Times New Roman" w:eastAsia="楷体" w:cs="Times New Roman"/>
          <w:b/>
          <w:color w:val="auto"/>
          <w:sz w:val="30"/>
          <w:szCs w:val="30"/>
          <w:highlight w:val="none"/>
          <w:lang w:eastAsia="zh-CN"/>
        </w:rPr>
        <w:t>（</w:t>
      </w:r>
      <w:r>
        <w:rPr>
          <w:rFonts w:hint="eastAsia" w:ascii="Times New Roman" w:hAnsi="Times New Roman" w:eastAsia="楷体" w:cs="Times New Roman"/>
          <w:b/>
          <w:color w:val="auto"/>
          <w:sz w:val="30"/>
          <w:szCs w:val="30"/>
          <w:highlight w:val="none"/>
          <w:lang w:val="en-US" w:eastAsia="zh-CN"/>
        </w:rPr>
        <w:t>五</w:t>
      </w:r>
      <w:r>
        <w:rPr>
          <w:rFonts w:hint="default" w:ascii="Times New Roman" w:hAnsi="Times New Roman" w:eastAsia="楷体" w:cs="Times New Roman"/>
          <w:b/>
          <w:color w:val="auto"/>
          <w:sz w:val="30"/>
          <w:szCs w:val="30"/>
          <w:highlight w:val="none"/>
          <w:lang w:eastAsia="zh-CN"/>
        </w:rPr>
        <w:t>）</w:t>
      </w:r>
      <w:r>
        <w:rPr>
          <w:rFonts w:hint="default" w:ascii="Times New Roman" w:hAnsi="Times New Roman" w:eastAsia="楷体" w:cs="Times New Roman"/>
          <w:b/>
          <w:color w:val="auto"/>
          <w:sz w:val="30"/>
          <w:szCs w:val="30"/>
          <w:highlight w:val="none"/>
          <w:lang w:val="en-US" w:eastAsia="zh-CN"/>
        </w:rPr>
        <w:t>项目收费渠道和方式</w:t>
      </w:r>
      <w:bookmarkEnd w:id="586"/>
      <w:bookmarkEnd w:id="587"/>
      <w:bookmarkEnd w:id="588"/>
      <w:bookmarkEnd w:id="589"/>
      <w:bookmarkEnd w:id="590"/>
    </w:p>
    <w:p w14:paraId="0D3ABA22">
      <w:pPr>
        <w:pStyle w:val="5"/>
        <w:keepNext w:val="0"/>
        <w:keepLines w:val="0"/>
        <w:pageBreakBefore w:val="0"/>
        <w:widowControl/>
        <w:kinsoku/>
        <w:wordWrap/>
        <w:overflowPunct/>
        <w:topLinePunct w:val="0"/>
        <w:autoSpaceDE/>
        <w:autoSpaceDN/>
        <w:bidi w:val="0"/>
        <w:adjustRightInd/>
        <w:snapToGrid/>
        <w:spacing w:before="20" w:after="20" w:line="360" w:lineRule="auto"/>
        <w:ind w:firstLine="562" w:firstLineChars="200"/>
        <w:textAlignment w:val="auto"/>
        <w:rPr>
          <w:rFonts w:hint="default" w:ascii="Times New Roman" w:hAnsi="Times New Roman" w:eastAsia="楷体" w:cs="Times New Roman"/>
          <w:b/>
          <w:color w:val="auto"/>
          <w:sz w:val="28"/>
          <w:szCs w:val="28"/>
          <w:highlight w:val="none"/>
          <w:lang w:val="en-US" w:eastAsia="zh-CN"/>
        </w:rPr>
      </w:pPr>
      <w:r>
        <w:rPr>
          <w:rFonts w:hint="default" w:ascii="Times New Roman" w:hAnsi="Times New Roman" w:eastAsia="楷体" w:cs="Times New Roman"/>
          <w:b/>
          <w:color w:val="auto"/>
          <w:sz w:val="28"/>
          <w:szCs w:val="28"/>
          <w:highlight w:val="none"/>
          <w:lang w:val="en-US" w:eastAsia="zh-CN"/>
        </w:rPr>
        <w:t>1、项目收费渠道和方式</w:t>
      </w:r>
    </w:p>
    <w:p w14:paraId="0C7CF7FE">
      <w:pPr>
        <w:ind w:firstLine="560" w:firstLineChars="200"/>
        <w:rPr>
          <w:rFonts w:hint="eastAsia" w:ascii="楷体" w:hAnsi="楷体" w:eastAsia="楷体" w:cs="楷体"/>
          <w:color w:val="auto"/>
          <w:sz w:val="28"/>
          <w:szCs w:val="28"/>
          <w:highlight w:val="none"/>
          <w:lang w:eastAsia="zh-CN"/>
        </w:rPr>
      </w:pPr>
      <w:r>
        <w:rPr>
          <w:rFonts w:hint="default" w:ascii="Times New Roman" w:hAnsi="Times New Roman" w:eastAsia="楷体" w:cs="Times New Roman"/>
          <w:color w:val="auto"/>
          <w:sz w:val="28"/>
          <w:szCs w:val="28"/>
          <w:highlight w:val="none"/>
        </w:rPr>
        <w:t>根据《基础设施和公用事业特许经营管理办法》第六条</w:t>
      </w:r>
      <w:r>
        <w:rPr>
          <w:rFonts w:hint="default" w:ascii="Times New Roman" w:hAnsi="Times New Roman" w:eastAsia="楷体" w:cs="Times New Roman"/>
          <w:color w:val="auto"/>
          <w:sz w:val="28"/>
          <w:szCs w:val="28"/>
          <w:highlight w:val="none"/>
          <w:lang w:eastAsia="zh-CN"/>
        </w:rPr>
        <w:t>：</w:t>
      </w:r>
      <w:r>
        <w:rPr>
          <w:rFonts w:hint="eastAsia" w:ascii="楷体" w:hAnsi="楷体" w:eastAsia="楷体" w:cs="楷体"/>
          <w:color w:val="auto"/>
          <w:sz w:val="28"/>
          <w:szCs w:val="28"/>
          <w:highlight w:val="none"/>
          <w:lang w:eastAsia="zh-CN"/>
        </w:rPr>
        <w:t>“</w:t>
      </w:r>
      <w:r>
        <w:rPr>
          <w:rFonts w:hint="eastAsia" w:ascii="楷体" w:hAnsi="楷体" w:eastAsia="楷体" w:cs="楷体"/>
          <w:color w:val="auto"/>
          <w:sz w:val="28"/>
          <w:szCs w:val="28"/>
          <w:highlight w:val="none"/>
        </w:rPr>
        <w:t>第六条 基础设施和公用事业特许经营应当聚焦使用者付费项目，明确收费渠道和方式，项目经营收入具备覆盖建设投资和运营成本并获取一定投资回报的条件，不因采取特许经营而额外新增地方财政未来支出责任。前款所称使用者付费，包括特许经营者直接向用户收费，以及由政府或其依法授权机构代为向用户收费。</w:t>
      </w:r>
      <w:r>
        <w:rPr>
          <w:rFonts w:hint="eastAsia" w:ascii="楷体" w:hAnsi="楷体" w:eastAsia="楷体" w:cs="楷体"/>
          <w:color w:val="auto"/>
          <w:sz w:val="28"/>
          <w:szCs w:val="28"/>
          <w:highlight w:val="none"/>
          <w:lang w:eastAsia="zh-CN"/>
        </w:rPr>
        <w:t>”</w:t>
      </w:r>
    </w:p>
    <w:p w14:paraId="7F5B8373">
      <w:pPr>
        <w:ind w:firstLine="560" w:firstLineChars="200"/>
        <w:rPr>
          <w:rFonts w:hint="default" w:ascii="Times New Roman" w:hAnsi="Times New Roman" w:eastAsia="楷体" w:cs="Times New Roman"/>
          <w:color w:val="auto"/>
          <w:sz w:val="28"/>
          <w:szCs w:val="28"/>
          <w:highlight w:val="none"/>
          <w:lang w:val="en-US" w:eastAsia="zh-CN"/>
        </w:rPr>
      </w:pPr>
      <w:r>
        <w:rPr>
          <w:rFonts w:hint="default" w:ascii="Times New Roman" w:hAnsi="Times New Roman" w:eastAsia="楷体" w:cs="Times New Roman"/>
          <w:color w:val="auto"/>
          <w:sz w:val="28"/>
          <w:szCs w:val="28"/>
          <w:highlight w:val="none"/>
          <w:lang w:val="en-US" w:eastAsia="zh-CN"/>
        </w:rPr>
        <w:t>本项目</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为项目范围内的污水排放单位和</w:t>
      </w:r>
      <w:r>
        <w:rPr>
          <w:rFonts w:hint="default" w:ascii="Times New Roman" w:hAnsi="Times New Roman" w:eastAsia="楷体" w:cs="Times New Roman"/>
          <w:color w:val="auto"/>
          <w:sz w:val="28"/>
          <w:szCs w:val="28"/>
          <w:highlight w:val="none"/>
          <w:lang w:val="en-US" w:eastAsia="zh-CN"/>
        </w:rPr>
        <w:t>居民</w:t>
      </w:r>
      <w:r>
        <w:rPr>
          <w:rFonts w:hint="default" w:ascii="Times New Roman" w:hAnsi="Times New Roman" w:eastAsia="楷体" w:cs="Times New Roman"/>
          <w:color w:val="auto"/>
          <w:sz w:val="28"/>
          <w:szCs w:val="28"/>
          <w:highlight w:val="none"/>
        </w:rPr>
        <w:t>提供污水处理服务，</w:t>
      </w:r>
      <w:r>
        <w:rPr>
          <w:rFonts w:hint="default" w:ascii="Times New Roman" w:hAnsi="Times New Roman" w:eastAsia="楷体" w:cs="Times New Roman"/>
          <w:color w:val="auto"/>
          <w:sz w:val="28"/>
          <w:szCs w:val="28"/>
          <w:highlight w:val="none"/>
          <w:lang w:val="en-US" w:eastAsia="zh-CN"/>
        </w:rPr>
        <w:t>获得污水处理服务费。污水处理费由供水单位在向居民及企事业单位所收取的自来水费中代收</w:t>
      </w:r>
      <w:r>
        <w:rPr>
          <w:rFonts w:hint="default" w:ascii="Times New Roman" w:hAnsi="Times New Roman" w:eastAsia="楷体" w:cs="Times New Roman"/>
          <w:color w:val="auto"/>
          <w:sz w:val="28"/>
          <w:szCs w:val="28"/>
          <w:highlight w:val="none"/>
        </w:rPr>
        <w:t>，</w:t>
      </w:r>
      <w:r>
        <w:rPr>
          <w:rFonts w:hint="default" w:ascii="Times New Roman" w:hAnsi="Times New Roman" w:eastAsia="楷体" w:cs="Times New Roman"/>
          <w:color w:val="auto"/>
          <w:sz w:val="28"/>
          <w:szCs w:val="28"/>
          <w:highlight w:val="none"/>
          <w:lang w:val="en-US" w:eastAsia="zh-CN"/>
        </w:rPr>
        <w:t>实行收支两条线管理。供水单位将代收的污水处理费上缴给财政。实施机构根据特许经营者绩效产出水平和实际污水处理量向财政申请支付污水处理服务费，实行按效、按量付费。</w:t>
      </w:r>
    </w:p>
    <w:p w14:paraId="274F1B15">
      <w:pPr>
        <w:pStyle w:val="5"/>
        <w:spacing w:before="20" w:after="20" w:line="360" w:lineRule="auto"/>
        <w:ind w:firstLine="562" w:firstLineChars="200"/>
        <w:rPr>
          <w:rFonts w:hint="default"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2</w:t>
      </w:r>
      <w:r>
        <w:rPr>
          <w:rFonts w:hint="default" w:ascii="Times New Roman" w:hAnsi="Times New Roman" w:eastAsia="楷体" w:cs="Times New Roman"/>
          <w:color w:val="auto"/>
          <w:sz w:val="28"/>
          <w:szCs w:val="28"/>
          <w:highlight w:val="none"/>
          <w:lang w:val="en-US" w:eastAsia="zh-CN"/>
        </w:rPr>
        <w:t>、项目定价机制和调价机制</w:t>
      </w:r>
    </w:p>
    <w:p w14:paraId="1EA481D4">
      <w:pPr>
        <w:pStyle w:val="34"/>
        <w:widowControl/>
        <w:pBdr>
          <w:top w:val="none" w:color="auto" w:sz="0" w:space="0"/>
          <w:left w:val="none" w:color="auto" w:sz="0" w:space="0"/>
          <w:bottom w:val="none" w:color="auto" w:sz="0" w:space="0"/>
          <w:right w:val="none" w:color="auto" w:sz="0" w:space="0"/>
        </w:pBdr>
        <w:shd w:val="clear" w:color="auto" w:fill="FFFFFF"/>
        <w:spacing w:beforeLines="0" w:beforeAutospacing="0" w:afterLines="0" w:afterAutospacing="0" w:line="360" w:lineRule="auto"/>
        <w:ind w:firstLine="562" w:firstLineChars="200"/>
        <w:jc w:val="left"/>
        <w:rPr>
          <w:rFonts w:hint="default" w:ascii="Times New Roman" w:hAnsi="Times New Roman" w:eastAsia="楷体" w:cs="Times New Roman"/>
          <w:b/>
          <w:bCs/>
          <w:color w:val="auto"/>
          <w:sz w:val="28"/>
          <w:szCs w:val="28"/>
          <w:highlight w:val="none"/>
          <w:lang w:val="en-US" w:eastAsia="zh-CN"/>
        </w:rPr>
      </w:pPr>
      <w:r>
        <w:rPr>
          <w:rFonts w:hint="default" w:ascii="Times New Roman" w:hAnsi="Times New Roman" w:eastAsia="楷体" w:cs="Times New Roman"/>
          <w:b/>
          <w:bCs/>
          <w:color w:val="auto"/>
          <w:sz w:val="28"/>
          <w:szCs w:val="28"/>
          <w:highlight w:val="none"/>
          <w:lang w:eastAsia="zh-CN"/>
        </w:rPr>
        <w:t>（</w:t>
      </w:r>
      <w:r>
        <w:rPr>
          <w:rFonts w:hint="default" w:ascii="Times New Roman" w:hAnsi="Times New Roman" w:eastAsia="楷体" w:cs="Times New Roman"/>
          <w:b/>
          <w:bCs/>
          <w:color w:val="auto"/>
          <w:sz w:val="28"/>
          <w:szCs w:val="28"/>
          <w:highlight w:val="none"/>
          <w:lang w:val="en-US" w:eastAsia="zh-CN"/>
        </w:rPr>
        <w:t>1</w:t>
      </w:r>
      <w:r>
        <w:rPr>
          <w:rFonts w:hint="default" w:ascii="Times New Roman" w:hAnsi="Times New Roman" w:eastAsia="楷体" w:cs="Times New Roman"/>
          <w:b/>
          <w:bCs/>
          <w:color w:val="auto"/>
          <w:sz w:val="28"/>
          <w:szCs w:val="28"/>
          <w:highlight w:val="none"/>
          <w:lang w:eastAsia="zh-CN"/>
        </w:rPr>
        <w:t>）</w:t>
      </w:r>
      <w:r>
        <w:rPr>
          <w:rFonts w:hint="eastAsia" w:ascii="Times New Roman" w:hAnsi="Times New Roman" w:eastAsia="楷体" w:cs="Times New Roman"/>
          <w:b/>
          <w:bCs/>
          <w:color w:val="auto"/>
          <w:sz w:val="28"/>
          <w:szCs w:val="28"/>
          <w:highlight w:val="none"/>
          <w:lang w:val="en-US" w:eastAsia="zh-CN"/>
        </w:rPr>
        <w:t>初始</w:t>
      </w:r>
      <w:r>
        <w:rPr>
          <w:rFonts w:hint="default" w:ascii="Times New Roman" w:hAnsi="Times New Roman" w:eastAsia="楷体" w:cs="Times New Roman"/>
          <w:b/>
          <w:bCs/>
          <w:color w:val="auto"/>
          <w:sz w:val="28"/>
          <w:szCs w:val="28"/>
          <w:highlight w:val="none"/>
          <w:lang w:val="en-US" w:eastAsia="zh-CN"/>
        </w:rPr>
        <w:t>污水处理服务费价格</w:t>
      </w:r>
    </w:p>
    <w:p w14:paraId="568AAC20">
      <w:pPr>
        <w:pStyle w:val="34"/>
        <w:widowControl/>
        <w:pBdr>
          <w:top w:val="none" w:color="auto" w:sz="0" w:space="0"/>
          <w:left w:val="none" w:color="auto" w:sz="0" w:space="0"/>
          <w:bottom w:val="none" w:color="auto" w:sz="0" w:space="0"/>
          <w:right w:val="none" w:color="auto" w:sz="0" w:space="0"/>
        </w:pBdr>
        <w:shd w:val="clear" w:color="auto" w:fill="FFFFFF"/>
        <w:spacing w:beforeAutospacing="0" w:afterAutospacing="0"/>
        <w:ind w:firstLine="560" w:firstLineChars="200"/>
        <w:jc w:val="left"/>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rPr>
        <w:t>本项目为污水处理项目，根据国家相关规定，污水处理费属于政府非税收入，全额上缴地方国库，纳入地方政府性基金预算管理，实行专款专用；而征收的污水处理费不能保障城镇排水与污水处理设施正常运营的，地方财政应当给予补贴。因此，污水处理项目为收支两条线。政府向居民或企业收取的污水处理费标准应按照</w:t>
      </w:r>
      <w:r>
        <w:rPr>
          <w:rFonts w:hint="eastAsia" w:ascii="楷体" w:hAnsi="楷体" w:eastAsia="楷体" w:cs="楷体"/>
          <w:color w:val="auto"/>
          <w:sz w:val="28"/>
          <w:szCs w:val="28"/>
          <w:highlight w:val="none"/>
        </w:rPr>
        <w:t>“污染付费、公平负担、补偿成本、合理盈利”的</w:t>
      </w:r>
      <w:r>
        <w:rPr>
          <w:rFonts w:hint="default" w:ascii="Times New Roman" w:hAnsi="Times New Roman" w:eastAsia="楷体" w:cs="Times New Roman"/>
          <w:color w:val="auto"/>
          <w:sz w:val="28"/>
          <w:szCs w:val="28"/>
          <w:highlight w:val="none"/>
        </w:rPr>
        <w:t>原则，综合考虑本地区水污染防治形势和经济社会承受能力等因素制定和调整。各地制定和调整污水处理收费标准，应依法履行污水处理企业成本监审、专家论证、集体审议等定价程序，确保政府制定污水处理收费标准的科学性、公正性和透明度，广泛接受社会监督，保护消费者和经营者的合法权益。</w:t>
      </w:r>
    </w:p>
    <w:p w14:paraId="5A4B4196">
      <w:pPr>
        <w:pStyle w:val="34"/>
        <w:widowControl/>
        <w:pBdr>
          <w:top w:val="none" w:color="auto" w:sz="0" w:space="0"/>
          <w:left w:val="none" w:color="auto" w:sz="0" w:space="0"/>
          <w:bottom w:val="none" w:color="auto" w:sz="0" w:space="0"/>
          <w:right w:val="none" w:color="auto" w:sz="0" w:space="0"/>
        </w:pBdr>
        <w:shd w:val="clear" w:color="auto" w:fill="FFFFFF"/>
        <w:wordWrap w:val="0"/>
        <w:spacing w:beforeAutospacing="0" w:afterAutospacing="0"/>
        <w:ind w:firstLine="560" w:firstLineChars="200"/>
        <w:jc w:val="left"/>
        <w:rPr>
          <w:rFonts w:hint="default" w:ascii="Times New Roman" w:hAnsi="Times New Roman" w:eastAsia="楷体" w:cs="Times New Roman"/>
          <w:color w:val="auto"/>
          <w:kern w:val="0"/>
          <w:sz w:val="28"/>
          <w:szCs w:val="28"/>
          <w:highlight w:val="none"/>
          <w:lang w:val="en-US" w:eastAsia="zh-CN"/>
        </w:rPr>
      </w:pPr>
      <w:r>
        <w:rPr>
          <w:rFonts w:hint="default" w:ascii="Times New Roman" w:hAnsi="Times New Roman" w:eastAsia="楷体" w:cs="Times New Roman"/>
          <w:color w:val="auto"/>
          <w:kern w:val="0"/>
          <w:sz w:val="28"/>
          <w:szCs w:val="28"/>
          <w:highlight w:val="none"/>
        </w:rPr>
        <w:t>本项目采用特许经营模式，政府应统筹使用缴入国库的污水处理费，按照合同约定向提供污水处理服务的单位</w:t>
      </w:r>
      <w:r>
        <w:rPr>
          <w:rFonts w:hint="default" w:ascii="Times New Roman" w:hAnsi="Times New Roman" w:eastAsia="楷体" w:cs="Times New Roman"/>
          <w:color w:val="auto"/>
          <w:kern w:val="0"/>
          <w:sz w:val="28"/>
          <w:szCs w:val="28"/>
          <w:highlight w:val="none"/>
          <w:lang w:eastAsia="zh-CN"/>
        </w:rPr>
        <w:t>（</w:t>
      </w:r>
      <w:r>
        <w:rPr>
          <w:rFonts w:hint="default" w:ascii="Times New Roman" w:hAnsi="Times New Roman" w:eastAsia="楷体" w:cs="Times New Roman"/>
          <w:color w:val="auto"/>
          <w:kern w:val="0"/>
          <w:sz w:val="28"/>
          <w:szCs w:val="28"/>
          <w:highlight w:val="none"/>
          <w:lang w:val="en-US" w:eastAsia="zh-CN"/>
        </w:rPr>
        <w:t>特许经营者或其组建的项目公司</w:t>
      </w:r>
      <w:r>
        <w:rPr>
          <w:rFonts w:hint="default" w:ascii="Times New Roman" w:hAnsi="Times New Roman" w:eastAsia="楷体" w:cs="Times New Roman"/>
          <w:color w:val="auto"/>
          <w:kern w:val="0"/>
          <w:sz w:val="28"/>
          <w:szCs w:val="28"/>
          <w:highlight w:val="none"/>
          <w:lang w:eastAsia="zh-CN"/>
        </w:rPr>
        <w:t>）</w:t>
      </w:r>
      <w:r>
        <w:rPr>
          <w:rFonts w:hint="default" w:ascii="Times New Roman" w:hAnsi="Times New Roman" w:eastAsia="楷体" w:cs="Times New Roman"/>
          <w:color w:val="auto"/>
          <w:kern w:val="0"/>
          <w:sz w:val="28"/>
          <w:szCs w:val="28"/>
          <w:highlight w:val="none"/>
        </w:rPr>
        <w:t>支付服务费。</w:t>
      </w:r>
      <w:r>
        <w:rPr>
          <w:rFonts w:hint="eastAsia" w:ascii="Times New Roman" w:hAnsi="Times New Roman" w:eastAsia="楷体" w:cs="Times New Roman"/>
          <w:color w:val="auto"/>
          <w:kern w:val="0"/>
          <w:sz w:val="28"/>
          <w:szCs w:val="28"/>
          <w:highlight w:val="none"/>
          <w:lang w:val="en-US" w:eastAsia="zh-CN"/>
        </w:rPr>
        <w:t>初始</w:t>
      </w:r>
      <w:r>
        <w:rPr>
          <w:rFonts w:hint="default" w:ascii="Times New Roman" w:hAnsi="Times New Roman" w:eastAsia="楷体" w:cs="Times New Roman"/>
          <w:color w:val="auto"/>
          <w:kern w:val="0"/>
          <w:sz w:val="28"/>
          <w:szCs w:val="28"/>
          <w:highlight w:val="none"/>
          <w:lang w:val="en-US" w:eastAsia="zh-CN"/>
        </w:rPr>
        <w:t>污水处理服务费</w:t>
      </w:r>
      <w:r>
        <w:rPr>
          <w:rFonts w:hint="eastAsia" w:ascii="Times New Roman" w:hAnsi="Times New Roman" w:eastAsia="楷体" w:cs="Times New Roman"/>
          <w:color w:val="auto"/>
          <w:kern w:val="0"/>
          <w:sz w:val="28"/>
          <w:szCs w:val="28"/>
          <w:highlight w:val="none"/>
          <w:lang w:val="en-US" w:eastAsia="zh-CN"/>
        </w:rPr>
        <w:t>初始</w:t>
      </w:r>
      <w:r>
        <w:rPr>
          <w:rFonts w:hint="default" w:ascii="Times New Roman" w:hAnsi="Times New Roman" w:eastAsia="楷体" w:cs="Times New Roman"/>
          <w:color w:val="auto"/>
          <w:kern w:val="0"/>
          <w:sz w:val="28"/>
          <w:szCs w:val="28"/>
          <w:highlight w:val="none"/>
          <w:lang w:val="en-US" w:eastAsia="zh-CN"/>
        </w:rPr>
        <w:t>单价结合</w:t>
      </w:r>
      <w:r>
        <w:rPr>
          <w:rFonts w:hint="eastAsia" w:ascii="Times New Roman" w:hAnsi="Times New Roman" w:eastAsia="楷体" w:cs="Times New Roman"/>
          <w:color w:val="auto"/>
          <w:kern w:val="0"/>
          <w:sz w:val="28"/>
          <w:szCs w:val="28"/>
          <w:highlight w:val="none"/>
          <w:lang w:val="en-US" w:eastAsia="zh-CN"/>
        </w:rPr>
        <w:t>区发改委提供的</w:t>
      </w:r>
      <w:r>
        <w:rPr>
          <w:rFonts w:hint="default" w:ascii="Times New Roman" w:hAnsi="Times New Roman" w:eastAsia="楷体" w:cs="Times New Roman"/>
          <w:color w:val="auto"/>
          <w:kern w:val="0"/>
          <w:sz w:val="28"/>
          <w:szCs w:val="28"/>
          <w:highlight w:val="none"/>
          <w:lang w:val="en-US" w:eastAsia="zh-CN"/>
        </w:rPr>
        <w:t>污水处理费征收标准</w:t>
      </w:r>
      <w:r>
        <w:rPr>
          <w:rFonts w:hint="eastAsia" w:ascii="Times New Roman" w:hAnsi="Times New Roman" w:eastAsia="楷体" w:cs="Times New Roman"/>
          <w:color w:val="auto"/>
          <w:kern w:val="0"/>
          <w:sz w:val="28"/>
          <w:szCs w:val="28"/>
          <w:highlight w:val="none"/>
          <w:lang w:val="en-US" w:eastAsia="zh-CN"/>
        </w:rPr>
        <w:t>建议</w:t>
      </w:r>
      <w:r>
        <w:rPr>
          <w:rFonts w:hint="default" w:ascii="Times New Roman" w:hAnsi="Times New Roman" w:eastAsia="楷体" w:cs="Times New Roman"/>
          <w:color w:val="auto"/>
          <w:kern w:val="0"/>
          <w:sz w:val="28"/>
          <w:szCs w:val="28"/>
          <w:highlight w:val="none"/>
          <w:lang w:val="en-US" w:eastAsia="zh-CN"/>
        </w:rPr>
        <w:t>设定，</w:t>
      </w:r>
      <w:r>
        <w:rPr>
          <w:rFonts w:hint="eastAsia" w:ascii="Times New Roman" w:hAnsi="Times New Roman" w:eastAsia="楷体" w:cs="Times New Roman"/>
          <w:color w:val="auto"/>
          <w:kern w:val="0"/>
          <w:sz w:val="28"/>
          <w:szCs w:val="28"/>
          <w:highlight w:val="none"/>
          <w:lang w:val="en-US" w:eastAsia="zh-CN"/>
        </w:rPr>
        <w:t>初始</w:t>
      </w:r>
      <w:r>
        <w:rPr>
          <w:rFonts w:hint="default" w:ascii="Times New Roman" w:hAnsi="Times New Roman" w:eastAsia="楷体" w:cs="Times New Roman"/>
          <w:color w:val="auto"/>
          <w:kern w:val="0"/>
          <w:sz w:val="28"/>
          <w:szCs w:val="28"/>
          <w:highlight w:val="none"/>
          <w:lang w:val="en-US" w:eastAsia="zh-CN"/>
        </w:rPr>
        <w:t>污水处理服务费单价=居民用户污水处理费1.45元/立方米×居民用水量占比51.72%+</w:t>
      </w:r>
      <w:r>
        <w:rPr>
          <w:rFonts w:hint="default" w:ascii="Times New Roman" w:hAnsi="Times New Roman" w:eastAsia="楷体" w:cs="Times New Roman"/>
          <w:b w:val="0"/>
          <w:bCs w:val="0"/>
          <w:color w:val="auto"/>
          <w:sz w:val="28"/>
          <w:szCs w:val="28"/>
          <w:highlight w:val="none"/>
          <w:lang w:val="en-US" w:eastAsia="zh-CN"/>
        </w:rPr>
        <w:t>非居民用水及特种用水污水处理费1.82元/立方米</w:t>
      </w:r>
      <w:r>
        <w:rPr>
          <w:rFonts w:hint="default" w:ascii="Times New Roman" w:hAnsi="Times New Roman" w:eastAsia="楷体" w:cs="Times New Roman"/>
          <w:color w:val="auto"/>
          <w:kern w:val="0"/>
          <w:sz w:val="28"/>
          <w:szCs w:val="28"/>
          <w:highlight w:val="none"/>
          <w:lang w:val="en-US" w:eastAsia="zh-CN"/>
        </w:rPr>
        <w:t>×</w:t>
      </w:r>
      <w:r>
        <w:rPr>
          <w:rFonts w:hint="default" w:ascii="Times New Roman" w:hAnsi="Times New Roman" w:eastAsia="楷体" w:cs="Times New Roman"/>
          <w:color w:val="auto"/>
          <w:sz w:val="28"/>
          <w:szCs w:val="28"/>
          <w:highlight w:val="none"/>
          <w:vertAlign w:val="baseline"/>
          <w:lang w:val="en-US" w:eastAsia="zh-CN"/>
        </w:rPr>
        <w:t>非居民用水量占比48.28%=1.63元/立方米</w:t>
      </w:r>
      <w:r>
        <w:rPr>
          <w:rFonts w:hint="eastAsia" w:ascii="Times New Roman" w:hAnsi="Times New Roman" w:eastAsia="楷体" w:cs="Times New Roman"/>
          <w:color w:val="auto"/>
          <w:sz w:val="28"/>
          <w:szCs w:val="28"/>
          <w:highlight w:val="none"/>
          <w:vertAlign w:val="baseline"/>
          <w:lang w:val="en-US" w:eastAsia="zh-CN"/>
        </w:rPr>
        <w:t>。</w:t>
      </w:r>
    </w:p>
    <w:p w14:paraId="5361957C">
      <w:pPr>
        <w:pStyle w:val="34"/>
        <w:widowControl/>
        <w:pBdr>
          <w:top w:val="none" w:color="auto" w:sz="0" w:space="0"/>
          <w:left w:val="none" w:color="auto" w:sz="0" w:space="0"/>
          <w:bottom w:val="none" w:color="auto" w:sz="0" w:space="0"/>
          <w:right w:val="none" w:color="auto" w:sz="0" w:space="0"/>
        </w:pBdr>
        <w:shd w:val="clear" w:color="auto" w:fill="FFFFFF"/>
        <w:spacing w:beforeAutospacing="0" w:afterAutospacing="0"/>
        <w:ind w:firstLine="562" w:firstLineChars="200"/>
        <w:jc w:val="left"/>
        <w:rPr>
          <w:rFonts w:hint="default" w:ascii="Times New Roman" w:hAnsi="Times New Roman" w:eastAsia="楷体" w:cs="Times New Roman"/>
          <w:b/>
          <w:bCs/>
          <w:color w:val="auto"/>
          <w:kern w:val="0"/>
          <w:sz w:val="28"/>
          <w:szCs w:val="28"/>
          <w:highlight w:val="none"/>
          <w:lang w:val="en-US" w:eastAsia="zh-CN"/>
        </w:rPr>
      </w:pPr>
      <w:r>
        <w:rPr>
          <w:rFonts w:hint="default" w:ascii="Times New Roman" w:hAnsi="Times New Roman" w:eastAsia="楷体" w:cs="Times New Roman"/>
          <w:b/>
          <w:bCs/>
          <w:color w:val="auto"/>
          <w:kern w:val="0"/>
          <w:sz w:val="28"/>
          <w:szCs w:val="28"/>
          <w:highlight w:val="none"/>
          <w:lang w:val="en-US" w:eastAsia="zh-CN" w:bidi="ar-SA"/>
        </w:rPr>
        <w:t>（2）</w:t>
      </w:r>
      <w:r>
        <w:rPr>
          <w:rFonts w:hint="eastAsia" w:ascii="Times New Roman" w:hAnsi="Times New Roman" w:eastAsia="楷体" w:cs="Times New Roman"/>
          <w:b/>
          <w:bCs/>
          <w:color w:val="auto"/>
          <w:kern w:val="0"/>
          <w:sz w:val="28"/>
          <w:szCs w:val="28"/>
          <w:highlight w:val="none"/>
          <w:lang w:val="en-US" w:eastAsia="zh-CN" w:bidi="ar-SA"/>
        </w:rPr>
        <w:t>污水</w:t>
      </w:r>
      <w:r>
        <w:rPr>
          <w:rFonts w:hint="eastAsia" w:ascii="Times New Roman" w:hAnsi="Times New Roman" w:eastAsia="楷体" w:cs="Times New Roman"/>
          <w:b/>
          <w:bCs/>
          <w:color w:val="auto"/>
          <w:kern w:val="0"/>
          <w:sz w:val="28"/>
          <w:szCs w:val="28"/>
          <w:highlight w:val="none"/>
          <w:lang w:val="en-US" w:eastAsia="zh-CN"/>
        </w:rPr>
        <w:t>处理服务费单价的调整机制</w:t>
      </w:r>
    </w:p>
    <w:p w14:paraId="7283F8A1">
      <w:pPr>
        <w:pStyle w:val="34"/>
        <w:widowControl/>
        <w:pBdr>
          <w:top w:val="none" w:color="auto" w:sz="0" w:space="0"/>
          <w:left w:val="none" w:color="auto" w:sz="0" w:space="0"/>
          <w:bottom w:val="none" w:color="auto" w:sz="0" w:space="0"/>
          <w:right w:val="none" w:color="auto" w:sz="0" w:space="0"/>
        </w:pBdr>
        <w:shd w:val="clear" w:color="auto" w:fill="FFFFFF"/>
        <w:spacing w:beforeAutospacing="0" w:afterAutospacing="0"/>
        <w:ind w:firstLine="560" w:firstLineChars="200"/>
        <w:jc w:val="both"/>
        <w:rPr>
          <w:rFonts w:hint="default" w:ascii="Times New Roman" w:hAnsi="Times New Roman" w:eastAsia="楷体" w:cs="Times New Roman"/>
          <w:color w:val="auto"/>
          <w:kern w:val="0"/>
          <w:sz w:val="28"/>
          <w:szCs w:val="28"/>
          <w:highlight w:val="none"/>
          <w:lang w:val="en-US" w:eastAsia="zh-CN"/>
        </w:rPr>
      </w:pPr>
      <w:r>
        <w:rPr>
          <w:rFonts w:hint="default" w:ascii="Times New Roman" w:hAnsi="Times New Roman" w:eastAsia="楷体" w:cs="Times New Roman"/>
          <w:color w:val="auto"/>
          <w:kern w:val="0"/>
          <w:sz w:val="28"/>
          <w:szCs w:val="28"/>
          <w:highlight w:val="none"/>
        </w:rPr>
        <w:t>考虑到</w:t>
      </w:r>
      <w:r>
        <w:rPr>
          <w:rFonts w:hint="default" w:ascii="Times New Roman" w:hAnsi="Times New Roman" w:eastAsia="楷体" w:cs="Times New Roman"/>
          <w:color w:val="auto"/>
          <w:kern w:val="0"/>
          <w:sz w:val="28"/>
          <w:szCs w:val="28"/>
          <w:highlight w:val="none"/>
          <w:lang w:val="en-US" w:eastAsia="zh-CN"/>
        </w:rPr>
        <w:t>特许经营期限</w:t>
      </w:r>
      <w:r>
        <w:rPr>
          <w:rFonts w:hint="default" w:ascii="Times New Roman" w:hAnsi="Times New Roman" w:eastAsia="楷体" w:cs="Times New Roman"/>
          <w:color w:val="auto"/>
          <w:kern w:val="0"/>
          <w:sz w:val="28"/>
          <w:szCs w:val="28"/>
          <w:highlight w:val="none"/>
        </w:rPr>
        <w:t>较长，期间可能因为通货膨胀、标准提升等引起经营成本的较大变化，</w:t>
      </w:r>
      <w:r>
        <w:rPr>
          <w:rFonts w:hint="eastAsia" w:eastAsia="楷体" w:cs="Times New Roman"/>
          <w:color w:val="auto"/>
          <w:kern w:val="0"/>
          <w:sz w:val="28"/>
          <w:szCs w:val="28"/>
          <w:highlight w:val="none"/>
          <w:lang w:val="en-US" w:eastAsia="zh-CN"/>
        </w:rPr>
        <w:t>实施机构组织</w:t>
      </w:r>
      <w:r>
        <w:rPr>
          <w:rFonts w:hint="eastAsia" w:ascii="Times New Roman" w:hAnsi="Times New Roman" w:eastAsia="楷体" w:cs="Times New Roman"/>
          <w:color w:val="auto"/>
          <w:kern w:val="0"/>
          <w:sz w:val="28"/>
          <w:szCs w:val="28"/>
          <w:highlight w:val="none"/>
          <w:lang w:val="en-US" w:eastAsia="zh-CN"/>
        </w:rPr>
        <w:t>每3年为一周期对特许经营者或其组建的项目公司开展一次付费成本审计，按照特许经营协议约定的污水处理付费成本核定范围和方式确定，当企业单位污水处理付费成本（含合理利润）</w:t>
      </w:r>
      <w:r>
        <w:rPr>
          <w:rFonts w:hint="default" w:ascii="Times New Roman" w:hAnsi="Times New Roman" w:eastAsia="楷体" w:cs="Times New Roman"/>
          <w:color w:val="auto"/>
          <w:kern w:val="0"/>
          <w:sz w:val="28"/>
          <w:szCs w:val="28"/>
          <w:highlight w:val="none"/>
          <w:lang w:val="en-US" w:eastAsia="zh-CN"/>
        </w:rPr>
        <w:t>比上一轮</w:t>
      </w:r>
      <w:r>
        <w:rPr>
          <w:rFonts w:hint="eastAsia" w:ascii="Times New Roman" w:hAnsi="Times New Roman" w:eastAsia="楷体" w:cs="Times New Roman"/>
          <w:color w:val="auto"/>
          <w:kern w:val="0"/>
          <w:sz w:val="28"/>
          <w:szCs w:val="28"/>
          <w:highlight w:val="none"/>
          <w:lang w:val="en-US" w:eastAsia="zh-CN"/>
        </w:rPr>
        <w:t>审计核定</w:t>
      </w:r>
      <w:r>
        <w:rPr>
          <w:rFonts w:hint="default" w:ascii="Times New Roman" w:hAnsi="Times New Roman" w:eastAsia="楷体" w:cs="Times New Roman"/>
          <w:color w:val="auto"/>
          <w:kern w:val="0"/>
          <w:sz w:val="28"/>
          <w:szCs w:val="28"/>
          <w:highlight w:val="none"/>
          <w:lang w:val="en-US" w:eastAsia="zh-CN"/>
        </w:rPr>
        <w:t>周期波动幅度超过20%时（特许经营期</w:t>
      </w:r>
      <w:r>
        <w:rPr>
          <w:rFonts w:hint="eastAsia" w:ascii="Times New Roman" w:hAnsi="Times New Roman" w:eastAsia="楷体" w:cs="Times New Roman"/>
          <w:color w:val="auto"/>
          <w:kern w:val="0"/>
          <w:sz w:val="28"/>
          <w:szCs w:val="28"/>
          <w:highlight w:val="none"/>
          <w:lang w:val="en-US" w:eastAsia="zh-CN"/>
        </w:rPr>
        <w:t>初单位污水处理付费</w:t>
      </w:r>
      <w:r>
        <w:rPr>
          <w:rFonts w:hint="default" w:ascii="Times New Roman" w:hAnsi="Times New Roman" w:eastAsia="楷体" w:cs="Times New Roman"/>
          <w:color w:val="auto"/>
          <w:kern w:val="0"/>
          <w:sz w:val="28"/>
          <w:szCs w:val="28"/>
          <w:highlight w:val="none"/>
          <w:lang w:val="en-US" w:eastAsia="zh-CN"/>
        </w:rPr>
        <w:t>成本以</w:t>
      </w:r>
      <w:r>
        <w:rPr>
          <w:rFonts w:hint="eastAsia" w:ascii="Times New Roman" w:hAnsi="Times New Roman" w:eastAsia="楷体" w:cs="Times New Roman"/>
          <w:color w:val="auto"/>
          <w:kern w:val="0"/>
          <w:sz w:val="28"/>
          <w:szCs w:val="28"/>
          <w:highlight w:val="none"/>
          <w:lang w:val="en-US" w:eastAsia="zh-CN"/>
        </w:rPr>
        <w:t>初始污水处理服务费单价×（1-中标优惠率）</w:t>
      </w:r>
      <w:r>
        <w:rPr>
          <w:rFonts w:hint="default" w:ascii="Times New Roman" w:hAnsi="Times New Roman" w:eastAsia="楷体" w:cs="Times New Roman"/>
          <w:color w:val="auto"/>
          <w:kern w:val="0"/>
          <w:sz w:val="28"/>
          <w:szCs w:val="28"/>
          <w:highlight w:val="none"/>
          <w:lang w:val="en-US" w:eastAsia="zh-CN"/>
        </w:rPr>
        <w:t>为基数），由特许经营者提出污水处理</w:t>
      </w:r>
      <w:r>
        <w:rPr>
          <w:rFonts w:hint="eastAsia" w:ascii="Times New Roman" w:hAnsi="Times New Roman" w:eastAsia="楷体" w:cs="Times New Roman"/>
          <w:color w:val="auto"/>
          <w:kern w:val="0"/>
          <w:sz w:val="28"/>
          <w:szCs w:val="28"/>
          <w:highlight w:val="none"/>
          <w:lang w:val="en-US" w:eastAsia="zh-CN"/>
        </w:rPr>
        <w:t>服务</w:t>
      </w:r>
      <w:r>
        <w:rPr>
          <w:rFonts w:hint="default" w:ascii="Times New Roman" w:hAnsi="Times New Roman" w:eastAsia="楷体" w:cs="Times New Roman"/>
          <w:color w:val="auto"/>
          <w:kern w:val="0"/>
          <w:sz w:val="28"/>
          <w:szCs w:val="28"/>
          <w:highlight w:val="none"/>
          <w:lang w:val="en-US" w:eastAsia="zh-CN"/>
        </w:rPr>
        <w:t>费价格调整书面建议，由</w:t>
      </w:r>
      <w:r>
        <w:rPr>
          <w:rFonts w:hint="eastAsia" w:ascii="Times New Roman" w:hAnsi="Times New Roman" w:eastAsia="楷体" w:cs="Times New Roman"/>
          <w:color w:val="auto"/>
          <w:kern w:val="0"/>
          <w:sz w:val="28"/>
          <w:szCs w:val="28"/>
          <w:highlight w:val="none"/>
          <w:lang w:val="en-US" w:eastAsia="zh-CN"/>
        </w:rPr>
        <w:t>实施机构</w:t>
      </w:r>
      <w:r>
        <w:rPr>
          <w:rFonts w:hint="default" w:ascii="Times New Roman" w:hAnsi="Times New Roman" w:eastAsia="楷体" w:cs="Times New Roman"/>
          <w:color w:val="auto"/>
          <w:kern w:val="0"/>
          <w:sz w:val="28"/>
          <w:szCs w:val="28"/>
          <w:highlight w:val="none"/>
          <w:lang w:val="en-US" w:eastAsia="zh-CN"/>
        </w:rPr>
        <w:t>启动调价工作，按程序</w:t>
      </w:r>
      <w:r>
        <w:rPr>
          <w:rFonts w:hint="eastAsia" w:ascii="Times New Roman" w:hAnsi="Times New Roman" w:eastAsia="楷体" w:cs="Times New Roman"/>
          <w:color w:val="auto"/>
          <w:kern w:val="0"/>
          <w:sz w:val="28"/>
          <w:szCs w:val="28"/>
          <w:highlight w:val="none"/>
          <w:lang w:val="en-US" w:eastAsia="zh-CN"/>
        </w:rPr>
        <w:t>审定后</w:t>
      </w:r>
      <w:r>
        <w:rPr>
          <w:rFonts w:hint="default" w:ascii="Times New Roman" w:hAnsi="Times New Roman" w:eastAsia="楷体" w:cs="Times New Roman"/>
          <w:color w:val="auto"/>
          <w:kern w:val="0"/>
          <w:sz w:val="28"/>
          <w:szCs w:val="28"/>
          <w:highlight w:val="none"/>
          <w:lang w:val="en-US" w:eastAsia="zh-CN"/>
        </w:rPr>
        <w:t>报区政府同意后实施。累计幅度未达到20%时不调价，纳入下一个成本</w:t>
      </w:r>
      <w:r>
        <w:rPr>
          <w:rFonts w:hint="eastAsia" w:ascii="Times New Roman" w:hAnsi="Times New Roman" w:eastAsia="楷体" w:cs="Times New Roman"/>
          <w:color w:val="auto"/>
          <w:kern w:val="0"/>
          <w:sz w:val="28"/>
          <w:szCs w:val="28"/>
          <w:highlight w:val="none"/>
          <w:lang w:val="en-US" w:eastAsia="zh-CN"/>
        </w:rPr>
        <w:t>审计核定</w:t>
      </w:r>
      <w:r>
        <w:rPr>
          <w:rFonts w:hint="default" w:ascii="Times New Roman" w:hAnsi="Times New Roman" w:eastAsia="楷体" w:cs="Times New Roman"/>
          <w:color w:val="auto"/>
          <w:kern w:val="0"/>
          <w:sz w:val="28"/>
          <w:szCs w:val="28"/>
          <w:highlight w:val="none"/>
          <w:lang w:val="en-US" w:eastAsia="zh-CN"/>
        </w:rPr>
        <w:t>周期。</w:t>
      </w:r>
    </w:p>
    <w:p w14:paraId="665C71A9">
      <w:pPr>
        <w:ind w:firstLine="560" w:firstLineChars="200"/>
        <w:rPr>
          <w:rFonts w:hint="eastAsia" w:ascii="楷体" w:hAnsi="楷体" w:eastAsia="楷体" w:cs="楷体"/>
          <w:b w:val="0"/>
          <w:bCs w:val="0"/>
          <w:color w:val="auto"/>
          <w:sz w:val="28"/>
          <w:szCs w:val="28"/>
          <w:highlight w:val="none"/>
          <w:lang w:val="en-US" w:eastAsia="zh-CN"/>
        </w:rPr>
      </w:pPr>
      <w:r>
        <w:rPr>
          <w:rFonts w:hint="default" w:ascii="Times New Roman" w:hAnsi="Times New Roman" w:eastAsia="楷体" w:cs="Times New Roman"/>
          <w:b w:val="0"/>
          <w:bCs w:val="0"/>
          <w:color w:val="auto"/>
          <w:sz w:val="28"/>
          <w:szCs w:val="28"/>
          <w:highlight w:val="none"/>
          <w:lang w:eastAsia="zh-CN"/>
        </w:rPr>
        <w:t>根据《城镇排水与污水处理条例》</w:t>
      </w:r>
      <w:r>
        <w:rPr>
          <w:rFonts w:hint="eastAsia" w:ascii="楷体" w:hAnsi="楷体" w:eastAsia="楷体" w:cs="楷体"/>
          <w:b w:val="0"/>
          <w:bCs w:val="0"/>
          <w:color w:val="auto"/>
          <w:sz w:val="28"/>
          <w:szCs w:val="28"/>
          <w:highlight w:val="none"/>
          <w:lang w:eastAsia="zh-CN"/>
        </w:rPr>
        <w:t>第三十三条</w:t>
      </w:r>
      <w:r>
        <w:rPr>
          <w:rFonts w:hint="eastAsia" w:ascii="Times New Roman" w:hAnsi="Times New Roman" w:eastAsia="楷体" w:cs="Times New Roman"/>
          <w:b w:val="0"/>
          <w:bCs w:val="0"/>
          <w:color w:val="auto"/>
          <w:sz w:val="28"/>
          <w:szCs w:val="28"/>
          <w:highlight w:val="none"/>
          <w:lang w:val="en-US" w:eastAsia="zh-CN"/>
        </w:rPr>
        <w:t>及</w:t>
      </w:r>
      <w:r>
        <w:rPr>
          <w:rFonts w:hint="default" w:ascii="Times New Roman" w:hAnsi="Times New Roman" w:eastAsia="楷体" w:cs="Times New Roman"/>
          <w:b w:val="0"/>
          <w:bCs w:val="0"/>
          <w:color w:val="auto"/>
          <w:sz w:val="28"/>
          <w:szCs w:val="28"/>
          <w:highlight w:val="none"/>
          <w:lang w:eastAsia="zh-CN"/>
        </w:rPr>
        <w:t>财政部印发《污水处理费征收使用管理办法》（财税〔2014〕151号）</w:t>
      </w:r>
      <w:r>
        <w:rPr>
          <w:rFonts w:hint="eastAsia" w:ascii="楷体" w:hAnsi="楷体" w:eastAsia="楷体" w:cs="楷体"/>
          <w:b w:val="0"/>
          <w:bCs w:val="0"/>
          <w:color w:val="auto"/>
          <w:sz w:val="28"/>
          <w:szCs w:val="28"/>
          <w:highlight w:val="none"/>
          <w:lang w:eastAsia="zh-CN"/>
        </w:rPr>
        <w:t>第二十二条</w:t>
      </w:r>
      <w:r>
        <w:rPr>
          <w:rFonts w:hint="eastAsia" w:ascii="楷体" w:hAnsi="楷体" w:eastAsia="楷体" w:cs="楷体"/>
          <w:b w:val="0"/>
          <w:bCs w:val="0"/>
          <w:color w:val="auto"/>
          <w:sz w:val="28"/>
          <w:szCs w:val="28"/>
          <w:highlight w:val="none"/>
          <w:lang w:val="en-US" w:eastAsia="zh-CN"/>
        </w:rPr>
        <w:t>等规定，政府方按照触发调价后重新核定的污水处理服务费单价×（1-中标优惠率）向污水处理企业支付污水处理服务费。</w:t>
      </w:r>
    </w:p>
    <w:p w14:paraId="69948EDB">
      <w:pPr>
        <w:pStyle w:val="3"/>
        <w:keepNext/>
        <w:keepLines/>
        <w:pageBreakBefore w:val="0"/>
        <w:widowControl w:val="0"/>
        <w:kinsoku/>
        <w:wordWrap/>
        <w:overflowPunct/>
        <w:topLinePunct w:val="0"/>
        <w:autoSpaceDE/>
        <w:autoSpaceDN/>
        <w:bidi w:val="0"/>
        <w:adjustRightInd/>
        <w:snapToGrid/>
        <w:spacing w:before="100" w:after="100" w:line="360" w:lineRule="auto"/>
        <w:ind w:firstLine="602" w:firstLineChars="200"/>
        <w:textAlignment w:val="auto"/>
        <w:rPr>
          <w:rFonts w:hint="default" w:ascii="Times New Roman" w:hAnsi="Times New Roman" w:eastAsia="楷体" w:cs="Times New Roman"/>
          <w:b/>
          <w:color w:val="auto"/>
          <w:sz w:val="30"/>
          <w:szCs w:val="30"/>
          <w:highlight w:val="none"/>
          <w:lang w:val="en-US" w:eastAsia="zh-CN"/>
        </w:rPr>
      </w:pPr>
      <w:bookmarkStart w:id="591" w:name="_Toc24747"/>
      <w:bookmarkStart w:id="592" w:name="_Toc10930"/>
      <w:bookmarkStart w:id="593" w:name="_Toc18748"/>
      <w:bookmarkStart w:id="594" w:name="_Toc27377"/>
      <w:bookmarkStart w:id="595" w:name="_Toc5555"/>
      <w:r>
        <w:rPr>
          <w:rFonts w:hint="default" w:ascii="Times New Roman" w:hAnsi="Times New Roman" w:eastAsia="楷体" w:cs="Times New Roman"/>
          <w:b/>
          <w:color w:val="auto"/>
          <w:sz w:val="30"/>
          <w:szCs w:val="30"/>
          <w:highlight w:val="none"/>
          <w:lang w:eastAsia="zh-CN"/>
        </w:rPr>
        <w:t>（</w:t>
      </w:r>
      <w:r>
        <w:rPr>
          <w:rFonts w:hint="eastAsia" w:ascii="Times New Roman" w:hAnsi="Times New Roman" w:eastAsia="楷体" w:cs="Times New Roman"/>
          <w:b/>
          <w:color w:val="auto"/>
          <w:sz w:val="30"/>
          <w:szCs w:val="30"/>
          <w:highlight w:val="none"/>
          <w:lang w:val="en-US" w:eastAsia="zh-CN"/>
        </w:rPr>
        <w:t>六</w:t>
      </w:r>
      <w:r>
        <w:rPr>
          <w:rFonts w:hint="default" w:ascii="Times New Roman" w:hAnsi="Times New Roman" w:eastAsia="楷体" w:cs="Times New Roman"/>
          <w:b/>
          <w:color w:val="auto"/>
          <w:sz w:val="30"/>
          <w:szCs w:val="30"/>
          <w:highlight w:val="none"/>
          <w:lang w:eastAsia="zh-CN"/>
        </w:rPr>
        <w:t>）</w:t>
      </w:r>
      <w:r>
        <w:rPr>
          <w:rFonts w:hint="default" w:ascii="Times New Roman" w:hAnsi="Times New Roman" w:eastAsia="楷体" w:cs="Times New Roman"/>
          <w:b/>
          <w:color w:val="auto"/>
          <w:sz w:val="30"/>
          <w:szCs w:val="30"/>
          <w:highlight w:val="none"/>
          <w:lang w:val="en-US" w:eastAsia="zh-CN"/>
        </w:rPr>
        <w:t>特许经营主要原则和合作边界</w:t>
      </w:r>
      <w:bookmarkEnd w:id="591"/>
      <w:bookmarkEnd w:id="592"/>
      <w:bookmarkEnd w:id="593"/>
      <w:bookmarkEnd w:id="594"/>
      <w:bookmarkEnd w:id="595"/>
    </w:p>
    <w:p w14:paraId="1B46FF8C">
      <w:pPr>
        <w:pStyle w:val="5"/>
        <w:spacing w:before="0" w:after="0" w:line="360" w:lineRule="auto"/>
        <w:ind w:firstLine="602" w:firstLineChars="200"/>
        <w:rPr>
          <w:rFonts w:hint="default" w:ascii="Times New Roman" w:hAnsi="Times New Roman" w:eastAsia="楷体" w:cs="Times New Roman"/>
          <w:color w:val="auto"/>
          <w:sz w:val="30"/>
          <w:szCs w:val="30"/>
          <w:highlight w:val="none"/>
        </w:rPr>
      </w:pPr>
      <w:bookmarkStart w:id="596" w:name="_Toc23953"/>
      <w:r>
        <w:rPr>
          <w:rFonts w:hint="default" w:ascii="Times New Roman" w:hAnsi="Times New Roman" w:eastAsia="楷体" w:cs="Times New Roman"/>
          <w:color w:val="auto"/>
          <w:sz w:val="30"/>
          <w:szCs w:val="30"/>
          <w:highlight w:val="none"/>
        </w:rPr>
        <w:t>1、项目付费</w:t>
      </w:r>
    </w:p>
    <w:p w14:paraId="253BEC3F">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rPr>
        <w:t>本项目由政府统筹使用缴入国库的污水处理费，按照</w:t>
      </w:r>
      <w:r>
        <w:rPr>
          <w:rFonts w:hint="default" w:ascii="Times New Roman" w:hAnsi="Times New Roman" w:eastAsia="楷体" w:cs="Times New Roman"/>
          <w:color w:val="auto"/>
          <w:sz w:val="28"/>
          <w:szCs w:val="28"/>
          <w:highlight w:val="none"/>
          <w:lang w:eastAsia="zh-CN"/>
        </w:rPr>
        <w:t>《</w:t>
      </w:r>
      <w:r>
        <w:rPr>
          <w:rFonts w:hint="default" w:ascii="Times New Roman" w:hAnsi="Times New Roman" w:eastAsia="楷体" w:cs="Times New Roman"/>
          <w:color w:val="auto"/>
          <w:sz w:val="28"/>
          <w:szCs w:val="28"/>
          <w:highlight w:val="none"/>
          <w:lang w:val="en-US" w:eastAsia="zh-CN"/>
        </w:rPr>
        <w:t>特许经营协议</w:t>
      </w:r>
      <w:r>
        <w:rPr>
          <w:rFonts w:hint="default" w:ascii="Times New Roman" w:hAnsi="Times New Roman" w:eastAsia="楷体" w:cs="Times New Roman"/>
          <w:color w:val="auto"/>
          <w:sz w:val="28"/>
          <w:szCs w:val="28"/>
          <w:highlight w:val="none"/>
          <w:lang w:eastAsia="zh-CN"/>
        </w:rPr>
        <w:t>》</w:t>
      </w:r>
      <w:r>
        <w:rPr>
          <w:rFonts w:hint="default" w:ascii="Times New Roman" w:hAnsi="Times New Roman" w:eastAsia="楷体" w:cs="Times New Roman"/>
          <w:color w:val="auto"/>
          <w:sz w:val="28"/>
          <w:szCs w:val="28"/>
          <w:highlight w:val="none"/>
        </w:rPr>
        <w:t>约定代使用者向提供特许经营</w:t>
      </w:r>
      <w:r>
        <w:rPr>
          <w:rFonts w:hint="default" w:ascii="Times New Roman" w:hAnsi="Times New Roman" w:eastAsia="楷体" w:cs="Times New Roman"/>
          <w:color w:val="auto"/>
          <w:sz w:val="28"/>
          <w:szCs w:val="28"/>
          <w:highlight w:val="none"/>
          <w:lang w:val="en-US" w:eastAsia="zh-CN"/>
        </w:rPr>
        <w:t>者或其组建的项目公司</w:t>
      </w:r>
      <w:r>
        <w:rPr>
          <w:rFonts w:hint="default" w:ascii="Times New Roman" w:hAnsi="Times New Roman" w:eastAsia="楷体" w:cs="Times New Roman"/>
          <w:color w:val="auto"/>
          <w:sz w:val="28"/>
          <w:szCs w:val="28"/>
          <w:highlight w:val="none"/>
        </w:rPr>
        <w:t>支付污水处理服务费。</w:t>
      </w:r>
    </w:p>
    <w:p w14:paraId="3A9FCF98">
      <w:pPr>
        <w:pStyle w:val="6"/>
        <w:numPr>
          <w:ilvl w:val="0"/>
          <w:numId w:val="0"/>
        </w:numPr>
        <w:spacing w:line="360" w:lineRule="auto"/>
        <w:ind w:firstLine="562" w:firstLineChars="200"/>
        <w:rPr>
          <w:rFonts w:hint="default" w:ascii="Times New Roman" w:hAnsi="Times New Roman" w:eastAsia="楷体" w:cs="Times New Roman"/>
          <w:color w:val="auto"/>
          <w:highlight w:val="none"/>
          <w:lang w:val="en-US" w:eastAsia="zh-CN"/>
        </w:rPr>
      </w:pPr>
      <w:r>
        <w:rPr>
          <w:rFonts w:hint="default" w:ascii="Times New Roman" w:hAnsi="Times New Roman" w:eastAsia="楷体" w:cs="Times New Roman"/>
          <w:b/>
          <w:color w:val="auto"/>
          <w:kern w:val="2"/>
          <w:sz w:val="28"/>
          <w:szCs w:val="24"/>
          <w:highlight w:val="none"/>
          <w:lang w:val="en-US" w:eastAsia="zh-CN" w:bidi="ar-SA"/>
        </w:rPr>
        <w:t>（1）</w:t>
      </w:r>
      <w:r>
        <w:rPr>
          <w:rFonts w:hint="default" w:ascii="Times New Roman" w:hAnsi="Times New Roman" w:eastAsia="楷体" w:cs="Times New Roman"/>
          <w:color w:val="auto"/>
          <w:highlight w:val="none"/>
          <w:lang w:val="en-US" w:eastAsia="zh-CN"/>
        </w:rPr>
        <w:t>本项目污水处理服务费</w:t>
      </w:r>
    </w:p>
    <w:p w14:paraId="6085C800">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lang w:val="en-US" w:eastAsia="zh-CN"/>
        </w:rPr>
      </w:pPr>
      <w:r>
        <w:rPr>
          <w:rFonts w:hint="default" w:ascii="Times New Roman" w:hAnsi="Times New Roman" w:eastAsia="楷体" w:cs="Times New Roman"/>
          <w:color w:val="auto"/>
          <w:sz w:val="28"/>
          <w:szCs w:val="28"/>
          <w:highlight w:val="none"/>
          <w:lang w:val="en-US" w:eastAsia="zh-CN"/>
        </w:rPr>
        <w:t>本项目特许经营期初的污水处理服务费单价</w:t>
      </w:r>
      <w:r>
        <w:rPr>
          <w:rFonts w:hint="eastAsia" w:ascii="Times New Roman" w:hAnsi="Times New Roman" w:eastAsia="楷体" w:cs="Times New Roman"/>
          <w:color w:val="auto"/>
          <w:sz w:val="28"/>
          <w:szCs w:val="28"/>
          <w:highlight w:val="none"/>
          <w:lang w:val="en-US" w:eastAsia="zh-CN"/>
        </w:rPr>
        <w:t>以初始污水处理服务费单价×（1－中标优惠率）执行，初始污水处理服务费单价为1.63元/m</w:t>
      </w:r>
      <w:r>
        <w:rPr>
          <w:rFonts w:hint="eastAsia" w:ascii="Times New Roman" w:hAnsi="Times New Roman" w:eastAsia="楷体" w:cs="Times New Roman"/>
          <w:color w:val="auto"/>
          <w:sz w:val="28"/>
          <w:szCs w:val="28"/>
          <w:highlight w:val="none"/>
          <w:vertAlign w:val="superscript"/>
          <w:lang w:val="en-US" w:eastAsia="zh-CN"/>
        </w:rPr>
        <w:t>3</w:t>
      </w:r>
      <w:r>
        <w:rPr>
          <w:rFonts w:hint="eastAsia" w:ascii="Times New Roman" w:hAnsi="Times New Roman" w:eastAsia="楷体" w:cs="Times New Roman"/>
          <w:color w:val="auto"/>
          <w:sz w:val="28"/>
          <w:szCs w:val="28"/>
          <w:highlight w:val="none"/>
          <w:lang w:val="en-US" w:eastAsia="zh-CN"/>
        </w:rPr>
        <w:t>。污水处理服务费单价在第一个调价周期内不作调整。</w:t>
      </w:r>
    </w:p>
    <w:p w14:paraId="57BC2B21">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lang w:val="en-US" w:eastAsia="zh-CN"/>
        </w:rPr>
      </w:pPr>
      <w:r>
        <w:rPr>
          <w:rFonts w:hint="default" w:ascii="Times New Roman" w:hAnsi="Times New Roman" w:eastAsia="楷体" w:cs="Times New Roman"/>
          <w:color w:val="auto"/>
          <w:sz w:val="28"/>
          <w:szCs w:val="28"/>
          <w:highlight w:val="none"/>
          <w:lang w:val="en-US" w:eastAsia="zh-CN"/>
        </w:rPr>
        <w:t>①</w:t>
      </w:r>
      <w:r>
        <w:rPr>
          <w:rFonts w:hint="eastAsia" w:ascii="Times New Roman" w:hAnsi="Times New Roman" w:eastAsia="楷体" w:cs="Times New Roman"/>
          <w:color w:val="auto"/>
          <w:sz w:val="28"/>
          <w:szCs w:val="28"/>
          <w:highlight w:val="none"/>
          <w:lang w:val="en-US" w:eastAsia="zh-CN"/>
        </w:rPr>
        <w:t>未触发调价机制：</w:t>
      </w:r>
      <w:r>
        <w:rPr>
          <w:rFonts w:hint="default" w:ascii="Times New Roman" w:hAnsi="Times New Roman" w:eastAsia="楷体" w:cs="Times New Roman"/>
          <w:color w:val="auto"/>
          <w:sz w:val="28"/>
          <w:szCs w:val="28"/>
          <w:highlight w:val="none"/>
          <w:lang w:val="en-US" w:eastAsia="zh-CN"/>
        </w:rPr>
        <w:t>污水处理服务费=初始污水处理服务费单价×（1-中标优惠率）×污水处理量×绩效考核系数。</w:t>
      </w:r>
    </w:p>
    <w:p w14:paraId="4B4CEDB5">
      <w:pPr>
        <w:pStyle w:val="34"/>
        <w:widowControl/>
        <w:shd w:val="clear" w:color="auto" w:fill="FFFFFF"/>
        <w:spacing w:beforeAutospacing="0" w:afterAutospacing="0"/>
        <w:ind w:firstLine="560" w:firstLineChars="200"/>
        <w:jc w:val="both"/>
        <w:rPr>
          <w:rFonts w:hint="eastAsia" w:ascii="Times New Roman" w:hAnsi="Times New Roman" w:eastAsia="楷体" w:cs="Times New Roman"/>
          <w:color w:val="auto"/>
          <w:sz w:val="28"/>
          <w:szCs w:val="28"/>
          <w:highlight w:val="none"/>
          <w:lang w:val="en-US" w:eastAsia="zh-CN"/>
        </w:rPr>
      </w:pPr>
      <w:r>
        <w:rPr>
          <w:rFonts w:hint="default" w:ascii="Times New Roman" w:hAnsi="Times New Roman" w:eastAsia="楷体" w:cs="Times New Roman"/>
          <w:color w:val="auto"/>
          <w:sz w:val="28"/>
          <w:szCs w:val="28"/>
          <w:highlight w:val="none"/>
          <w:lang w:val="en-US" w:eastAsia="zh-CN"/>
        </w:rPr>
        <w:t>②</w:t>
      </w:r>
      <w:r>
        <w:rPr>
          <w:rFonts w:hint="eastAsia" w:ascii="Times New Roman" w:hAnsi="Times New Roman" w:eastAsia="楷体" w:cs="Times New Roman"/>
          <w:color w:val="auto"/>
          <w:sz w:val="28"/>
          <w:szCs w:val="28"/>
          <w:highlight w:val="none"/>
          <w:lang w:val="en-US" w:eastAsia="zh-CN"/>
        </w:rPr>
        <w:t>触发调价机制：污水处理服务费=触发调价后重新核定的污水处理服务费单价×（1-中标优惠率）×污水处理量×绩效考核系数。</w:t>
      </w:r>
    </w:p>
    <w:p w14:paraId="4EF44315">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污水处理量以江都城区污水处理厂处理达标的实际出水处理量计量为准。</w:t>
      </w:r>
    </w:p>
    <w:p w14:paraId="200137B3">
      <w:pPr>
        <w:pStyle w:val="6"/>
        <w:numPr>
          <w:ilvl w:val="0"/>
          <w:numId w:val="0"/>
        </w:numPr>
        <w:spacing w:line="360" w:lineRule="auto"/>
        <w:ind w:firstLine="562" w:firstLineChars="200"/>
        <w:rPr>
          <w:rFonts w:hint="default" w:ascii="Times New Roman" w:hAnsi="Times New Roman" w:eastAsia="楷体" w:cs="Times New Roman"/>
          <w:color w:val="auto"/>
          <w:sz w:val="28"/>
          <w:szCs w:val="28"/>
          <w:highlight w:val="none"/>
          <w:lang w:val="en-US" w:eastAsia="zh-CN"/>
        </w:rPr>
      </w:pPr>
      <w:r>
        <w:rPr>
          <w:rFonts w:hint="default" w:ascii="Times New Roman" w:hAnsi="Times New Roman" w:eastAsia="楷体" w:cs="Times New Roman"/>
          <w:color w:val="auto"/>
          <w:sz w:val="28"/>
          <w:szCs w:val="28"/>
          <w:highlight w:val="none"/>
          <w:lang w:val="en-US" w:eastAsia="zh-CN"/>
        </w:rPr>
        <w:t>（2）付费频率与方式</w:t>
      </w:r>
    </w:p>
    <w:p w14:paraId="5E4B23AC">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lang w:val="en-US" w:eastAsia="zh-CN"/>
        </w:rPr>
      </w:pPr>
      <w:r>
        <w:rPr>
          <w:rFonts w:hint="default" w:ascii="Times New Roman" w:hAnsi="Times New Roman" w:eastAsia="楷体" w:cs="Times New Roman"/>
          <w:color w:val="auto"/>
          <w:sz w:val="28"/>
          <w:szCs w:val="28"/>
          <w:highlight w:val="none"/>
          <w:lang w:val="en-US" w:eastAsia="zh-CN"/>
        </w:rPr>
        <w:t>污水处理服务费将采用</w:t>
      </w:r>
      <w:r>
        <w:rPr>
          <w:rFonts w:hint="eastAsia" w:ascii="楷体" w:hAnsi="楷体" w:eastAsia="楷体" w:cs="楷体"/>
          <w:color w:val="auto"/>
          <w:sz w:val="28"/>
          <w:szCs w:val="28"/>
          <w:highlight w:val="none"/>
          <w:lang w:val="en-US" w:eastAsia="zh-CN"/>
        </w:rPr>
        <w:t>“按日计量、按季度支付，按年结算”</w:t>
      </w:r>
      <w:r>
        <w:rPr>
          <w:rFonts w:hint="default" w:ascii="Times New Roman" w:hAnsi="Times New Roman" w:eastAsia="楷体" w:cs="Times New Roman"/>
          <w:color w:val="auto"/>
          <w:sz w:val="28"/>
          <w:szCs w:val="28"/>
          <w:highlight w:val="none"/>
          <w:lang w:val="en-US" w:eastAsia="zh-CN"/>
        </w:rPr>
        <w:t>的方式支付。污水处理服务费按季度支付，每3个月支付一次，年底时根据绩效考核结果调整</w:t>
      </w:r>
      <w:r>
        <w:rPr>
          <w:rFonts w:hint="eastAsia" w:ascii="Times New Roman" w:hAnsi="Times New Roman" w:eastAsia="楷体" w:cs="Times New Roman"/>
          <w:color w:val="auto"/>
          <w:sz w:val="28"/>
          <w:szCs w:val="28"/>
          <w:highlight w:val="none"/>
          <w:lang w:val="en-US" w:eastAsia="zh-CN"/>
        </w:rPr>
        <w:t>支付</w:t>
      </w:r>
      <w:r>
        <w:rPr>
          <w:rFonts w:hint="default" w:ascii="Times New Roman" w:hAnsi="Times New Roman" w:eastAsia="楷体" w:cs="Times New Roman"/>
          <w:color w:val="auto"/>
          <w:sz w:val="28"/>
          <w:szCs w:val="28"/>
          <w:highlight w:val="none"/>
          <w:lang w:val="en-US" w:eastAsia="zh-CN"/>
        </w:rPr>
        <w:t>最后一个季度污水处理服务费</w:t>
      </w:r>
      <w:r>
        <w:rPr>
          <w:rFonts w:hint="eastAsia" w:ascii="Times New Roman" w:hAnsi="Times New Roman" w:eastAsia="楷体" w:cs="Times New Roman"/>
          <w:color w:val="auto"/>
          <w:sz w:val="28"/>
          <w:szCs w:val="28"/>
          <w:highlight w:val="none"/>
          <w:lang w:val="en-US" w:eastAsia="zh-CN"/>
        </w:rPr>
        <w:t>，即前3个季度按实际处理量暂付污水处理服务费，待年度绩效考核完成后，第4季度污水处理服务费=污水处理服务费单价×年度污水处理量×绩效考核系数-前3季度支付的污水处理服务费合计金额。</w:t>
      </w:r>
    </w:p>
    <w:p w14:paraId="4A88C3F9">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lang w:val="en-US" w:eastAsia="zh-CN"/>
        </w:rPr>
      </w:pPr>
      <w:r>
        <w:rPr>
          <w:rFonts w:hint="default" w:ascii="Times New Roman" w:hAnsi="Times New Roman" w:eastAsia="楷体" w:cs="Times New Roman"/>
          <w:color w:val="auto"/>
          <w:sz w:val="28"/>
          <w:szCs w:val="28"/>
          <w:highlight w:val="none"/>
          <w:lang w:val="en-US" w:eastAsia="zh-CN"/>
        </w:rPr>
        <w:t>首次污水处理服务费在特许经营协议签订之</w:t>
      </w:r>
      <w:r>
        <w:rPr>
          <w:rFonts w:hint="eastAsia" w:ascii="Times New Roman" w:hAnsi="Times New Roman" w:eastAsia="楷体" w:cs="Times New Roman"/>
          <w:color w:val="auto"/>
          <w:sz w:val="28"/>
          <w:szCs w:val="28"/>
          <w:highlight w:val="none"/>
          <w:lang w:val="en-US" w:eastAsia="zh-CN"/>
        </w:rPr>
        <w:t>日</w:t>
      </w:r>
      <w:r>
        <w:rPr>
          <w:rFonts w:hint="default" w:ascii="Times New Roman" w:hAnsi="Times New Roman" w:eastAsia="楷体" w:cs="Times New Roman"/>
          <w:color w:val="auto"/>
          <w:sz w:val="28"/>
          <w:szCs w:val="28"/>
          <w:highlight w:val="none"/>
          <w:lang w:val="en-US" w:eastAsia="zh-CN"/>
        </w:rPr>
        <w:t>满3个月后的1个月内支付，在支付之前</w:t>
      </w:r>
      <w:r>
        <w:rPr>
          <w:rFonts w:hint="eastAsia" w:ascii="Times New Roman" w:hAnsi="Times New Roman" w:eastAsia="楷体" w:cs="Times New Roman"/>
          <w:color w:val="auto"/>
          <w:sz w:val="28"/>
          <w:szCs w:val="28"/>
          <w:highlight w:val="none"/>
          <w:lang w:val="en-US" w:eastAsia="zh-CN"/>
        </w:rPr>
        <w:t>特许经营者或其组建的</w:t>
      </w:r>
      <w:r>
        <w:rPr>
          <w:rFonts w:hint="default" w:ascii="Times New Roman" w:hAnsi="Times New Roman" w:eastAsia="楷体" w:cs="Times New Roman"/>
          <w:color w:val="auto"/>
          <w:sz w:val="28"/>
          <w:szCs w:val="28"/>
          <w:highlight w:val="none"/>
          <w:lang w:val="en-US" w:eastAsia="zh-CN"/>
        </w:rPr>
        <w:t>项目公司应提交污水处理服务费支付申请，载明期间处理的污水处理量和单价，经实施机构</w:t>
      </w:r>
      <w:r>
        <w:rPr>
          <w:rFonts w:hint="eastAsia" w:ascii="Times New Roman" w:hAnsi="Times New Roman" w:eastAsia="楷体" w:cs="Times New Roman"/>
          <w:color w:val="auto"/>
          <w:sz w:val="28"/>
          <w:szCs w:val="28"/>
          <w:highlight w:val="none"/>
          <w:lang w:val="en-US" w:eastAsia="zh-CN"/>
        </w:rPr>
        <w:t>审核、财政部门</w:t>
      </w:r>
      <w:r>
        <w:rPr>
          <w:rFonts w:hint="default" w:ascii="Times New Roman" w:hAnsi="Times New Roman" w:eastAsia="楷体" w:cs="Times New Roman"/>
          <w:color w:val="auto"/>
          <w:sz w:val="28"/>
          <w:szCs w:val="28"/>
          <w:highlight w:val="none"/>
          <w:lang w:val="en-US" w:eastAsia="zh-CN"/>
        </w:rPr>
        <w:t>确认后支付，年度末</w:t>
      </w:r>
      <w:r>
        <w:rPr>
          <w:rFonts w:hint="eastAsia" w:ascii="Times New Roman" w:hAnsi="Times New Roman" w:eastAsia="楷体" w:cs="Times New Roman"/>
          <w:color w:val="auto"/>
          <w:sz w:val="28"/>
          <w:szCs w:val="28"/>
          <w:highlight w:val="none"/>
          <w:lang w:val="en-US" w:eastAsia="zh-CN"/>
        </w:rPr>
        <w:t>（第4个季度）</w:t>
      </w:r>
      <w:r>
        <w:rPr>
          <w:rFonts w:hint="default" w:ascii="Times New Roman" w:hAnsi="Times New Roman" w:eastAsia="楷体" w:cs="Times New Roman"/>
          <w:color w:val="auto"/>
          <w:sz w:val="28"/>
          <w:szCs w:val="28"/>
          <w:highlight w:val="none"/>
          <w:lang w:val="en-US" w:eastAsia="zh-CN"/>
        </w:rPr>
        <w:t>付费时应结合绩效考核结果支付，后续</w:t>
      </w:r>
      <w:r>
        <w:rPr>
          <w:rFonts w:hint="eastAsia" w:ascii="Times New Roman" w:hAnsi="Times New Roman" w:eastAsia="楷体" w:cs="Times New Roman"/>
          <w:color w:val="auto"/>
          <w:sz w:val="28"/>
          <w:szCs w:val="28"/>
          <w:highlight w:val="none"/>
          <w:lang w:val="en-US" w:eastAsia="zh-CN"/>
        </w:rPr>
        <w:t>季度付费和</w:t>
      </w:r>
      <w:r>
        <w:rPr>
          <w:rFonts w:hint="default" w:ascii="Times New Roman" w:hAnsi="Times New Roman" w:eastAsia="楷体" w:cs="Times New Roman"/>
          <w:color w:val="auto"/>
          <w:sz w:val="28"/>
          <w:szCs w:val="28"/>
          <w:highlight w:val="none"/>
          <w:lang w:val="en-US" w:eastAsia="zh-CN"/>
        </w:rPr>
        <w:t>年度付费以此类推。</w:t>
      </w:r>
    </w:p>
    <w:p w14:paraId="50E5E02E">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val="en-US" w:eastAsia="zh-CN"/>
        </w:rPr>
        <w:t>特许经营期内，</w:t>
      </w:r>
      <w:r>
        <w:rPr>
          <w:rFonts w:hint="eastAsia" w:ascii="Times New Roman" w:hAnsi="Times New Roman" w:eastAsia="楷体" w:cs="Times New Roman"/>
          <w:color w:val="auto"/>
          <w:sz w:val="28"/>
          <w:szCs w:val="28"/>
          <w:highlight w:val="none"/>
          <w:lang w:val="en-US" w:eastAsia="zh-CN"/>
        </w:rPr>
        <w:t>特许经营者或其组建的</w:t>
      </w:r>
      <w:r>
        <w:rPr>
          <w:rFonts w:hint="default" w:ascii="Times New Roman" w:hAnsi="Times New Roman" w:eastAsia="楷体" w:cs="Times New Roman"/>
          <w:color w:val="auto"/>
          <w:sz w:val="28"/>
          <w:szCs w:val="28"/>
          <w:highlight w:val="none"/>
          <w:lang w:val="en-US" w:eastAsia="zh-CN"/>
        </w:rPr>
        <w:t>项目公司需协助配合相关职能部门做好各项付费纳入下年度预算的具体工作。</w:t>
      </w:r>
    </w:p>
    <w:p w14:paraId="3C7258EA">
      <w:pPr>
        <w:pStyle w:val="5"/>
        <w:spacing w:before="0" w:after="0" w:line="360" w:lineRule="auto"/>
        <w:ind w:firstLine="602" w:firstLineChars="200"/>
        <w:rPr>
          <w:rFonts w:hint="default" w:ascii="Times New Roman" w:hAnsi="Times New Roman" w:eastAsia="楷体" w:cs="Times New Roman"/>
          <w:color w:val="auto"/>
          <w:sz w:val="30"/>
          <w:szCs w:val="30"/>
          <w:highlight w:val="none"/>
        </w:rPr>
      </w:pPr>
      <w:r>
        <w:rPr>
          <w:rFonts w:hint="default" w:ascii="Times New Roman" w:hAnsi="Times New Roman" w:eastAsia="楷体" w:cs="Times New Roman"/>
          <w:color w:val="auto"/>
          <w:sz w:val="30"/>
          <w:szCs w:val="30"/>
          <w:highlight w:val="none"/>
        </w:rPr>
        <w:t>2、</w:t>
      </w:r>
      <w:r>
        <w:rPr>
          <w:rFonts w:hint="default" w:ascii="Times New Roman" w:hAnsi="Times New Roman" w:eastAsia="楷体" w:cs="Times New Roman"/>
          <w:color w:val="auto"/>
          <w:sz w:val="30"/>
          <w:szCs w:val="30"/>
          <w:highlight w:val="none"/>
          <w:lang w:val="en-US" w:eastAsia="zh-CN"/>
        </w:rPr>
        <w:t>合作</w:t>
      </w:r>
      <w:r>
        <w:rPr>
          <w:rFonts w:hint="default" w:ascii="Times New Roman" w:hAnsi="Times New Roman" w:eastAsia="楷体" w:cs="Times New Roman"/>
          <w:color w:val="auto"/>
          <w:sz w:val="30"/>
          <w:szCs w:val="30"/>
          <w:highlight w:val="none"/>
        </w:rPr>
        <w:t>各方权利与义务</w:t>
      </w:r>
      <w:bookmarkEnd w:id="596"/>
    </w:p>
    <w:p w14:paraId="43CD1039">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bookmarkStart w:id="597" w:name="_Toc20470"/>
      <w:r>
        <w:rPr>
          <w:rFonts w:hint="default" w:ascii="Times New Roman" w:hAnsi="Times New Roman" w:eastAsia="楷体" w:cs="Times New Roman"/>
          <w:color w:val="auto"/>
          <w:sz w:val="28"/>
          <w:szCs w:val="28"/>
          <w:highlight w:val="none"/>
        </w:rPr>
        <w:t>权利义务边界是本项目在实际操作过程中政府</w:t>
      </w:r>
      <w:r>
        <w:rPr>
          <w:rFonts w:hint="eastAsia" w:ascii="Times New Roman" w:hAnsi="Times New Roman" w:eastAsia="楷体" w:cs="Times New Roman"/>
          <w:color w:val="auto"/>
          <w:sz w:val="28"/>
          <w:szCs w:val="28"/>
          <w:highlight w:val="none"/>
          <w:lang w:val="en-US" w:eastAsia="zh-CN"/>
        </w:rPr>
        <w:t>方（实施机构）</w:t>
      </w:r>
      <w:r>
        <w:rPr>
          <w:rFonts w:hint="default" w:ascii="Times New Roman" w:hAnsi="Times New Roman" w:eastAsia="楷体" w:cs="Times New Roman"/>
          <w:color w:val="auto"/>
          <w:sz w:val="28"/>
          <w:szCs w:val="28"/>
          <w:highlight w:val="none"/>
        </w:rPr>
        <w:t>、</w:t>
      </w:r>
      <w:r>
        <w:rPr>
          <w:rFonts w:hint="default" w:ascii="Times New Roman" w:hAnsi="Times New Roman" w:eastAsia="楷体" w:cs="Times New Roman"/>
          <w:color w:val="auto"/>
          <w:sz w:val="28"/>
          <w:szCs w:val="28"/>
          <w:highlight w:val="none"/>
          <w:lang w:eastAsia="zh-CN"/>
        </w:rPr>
        <w:t>特许经营者</w:t>
      </w:r>
      <w:r>
        <w:rPr>
          <w:rFonts w:hint="eastAsia" w:ascii="Times New Roman" w:hAnsi="Times New Roman" w:eastAsia="楷体" w:cs="Times New Roman"/>
          <w:color w:val="auto"/>
          <w:sz w:val="28"/>
          <w:szCs w:val="28"/>
          <w:highlight w:val="none"/>
          <w:lang w:eastAsia="zh-CN"/>
        </w:rPr>
        <w:t>（</w:t>
      </w:r>
      <w:r>
        <w:rPr>
          <w:rFonts w:hint="eastAsia" w:ascii="Times New Roman" w:hAnsi="Times New Roman" w:eastAsia="楷体" w:cs="Times New Roman"/>
          <w:color w:val="auto"/>
          <w:sz w:val="28"/>
          <w:szCs w:val="28"/>
          <w:highlight w:val="none"/>
          <w:lang w:val="en-US" w:eastAsia="zh-CN"/>
        </w:rPr>
        <w:t>或其组建的项目公司</w:t>
      </w:r>
      <w:r>
        <w:rPr>
          <w:rFonts w:hint="eastAsia" w:ascii="Times New Roman" w:hAnsi="Times New Roman" w:eastAsia="楷体" w:cs="Times New Roman"/>
          <w:color w:val="auto"/>
          <w:sz w:val="28"/>
          <w:szCs w:val="28"/>
          <w:highlight w:val="none"/>
          <w:lang w:eastAsia="zh-CN"/>
        </w:rPr>
        <w:t>）</w:t>
      </w:r>
      <w:r>
        <w:rPr>
          <w:rFonts w:hint="default" w:ascii="Times New Roman" w:hAnsi="Times New Roman" w:eastAsia="楷体" w:cs="Times New Roman"/>
          <w:color w:val="auto"/>
          <w:sz w:val="28"/>
          <w:szCs w:val="28"/>
          <w:highlight w:val="none"/>
        </w:rPr>
        <w:t>的权责细分，是建立公平、有效的利益和风险分担机制并保证本项目有效实施的关键。</w:t>
      </w:r>
    </w:p>
    <w:p w14:paraId="29886691">
      <w:pPr>
        <w:pStyle w:val="6"/>
        <w:spacing w:line="360" w:lineRule="auto"/>
        <w:ind w:firstLine="522" w:firstLineChars="200"/>
        <w:rPr>
          <w:rFonts w:hint="default" w:eastAsia="楷体"/>
          <w:color w:val="auto"/>
          <w:highlight w:val="none"/>
        </w:rPr>
      </w:pPr>
      <w:r>
        <w:rPr>
          <w:rFonts w:hint="default" w:eastAsia="楷体"/>
          <w:color w:val="auto"/>
          <w:highlight w:val="none"/>
        </w:rPr>
        <w:t>（1）政府方主要权利义务</w:t>
      </w:r>
      <w:bookmarkEnd w:id="597"/>
    </w:p>
    <w:p w14:paraId="3A0DBE6A">
      <w:pPr>
        <w:pStyle w:val="34"/>
        <w:widowControl/>
        <w:shd w:val="clear" w:color="auto" w:fill="FFFFFF"/>
        <w:spacing w:beforeAutospacing="0" w:afterAutospacing="0"/>
        <w:ind w:firstLine="561"/>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val="en-US" w:eastAsia="zh-CN"/>
        </w:rPr>
        <w:t>①</w:t>
      </w:r>
      <w:r>
        <w:rPr>
          <w:rFonts w:hint="default" w:ascii="Times New Roman" w:hAnsi="Times New Roman" w:eastAsia="楷体" w:cs="Times New Roman"/>
          <w:color w:val="auto"/>
          <w:sz w:val="28"/>
          <w:szCs w:val="28"/>
          <w:highlight w:val="none"/>
        </w:rPr>
        <w:t>实施机构或其指定的第三方有权进入项目设施，以监督检查项目设施的运营和维护</w:t>
      </w:r>
      <w:r>
        <w:rPr>
          <w:rFonts w:hint="eastAsia" w:ascii="Times New Roman" w:hAnsi="Times New Roman" w:eastAsia="楷体" w:cs="Times New Roman"/>
          <w:color w:val="auto"/>
          <w:sz w:val="28"/>
          <w:szCs w:val="28"/>
          <w:highlight w:val="none"/>
          <w:lang w:val="en-US" w:eastAsia="zh-CN"/>
        </w:rPr>
        <w:t>情况、出水达标情况等</w:t>
      </w:r>
      <w:r>
        <w:rPr>
          <w:rFonts w:hint="default" w:ascii="Times New Roman" w:hAnsi="Times New Roman" w:eastAsia="楷体" w:cs="Times New Roman"/>
          <w:color w:val="auto"/>
          <w:sz w:val="28"/>
          <w:szCs w:val="28"/>
          <w:highlight w:val="none"/>
        </w:rPr>
        <w:t>。</w:t>
      </w:r>
    </w:p>
    <w:p w14:paraId="6D90F98C">
      <w:pPr>
        <w:pStyle w:val="34"/>
        <w:widowControl/>
        <w:shd w:val="clear" w:color="auto" w:fill="FFFFFF"/>
        <w:spacing w:beforeAutospacing="0" w:afterAutospacing="0"/>
        <w:ind w:firstLine="561"/>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eastAsia="zh-CN"/>
        </w:rPr>
        <w:t>②</w:t>
      </w:r>
      <w:r>
        <w:rPr>
          <w:rFonts w:hint="default" w:ascii="Times New Roman" w:hAnsi="Times New Roman" w:eastAsia="楷体" w:cs="Times New Roman"/>
          <w:color w:val="auto"/>
          <w:sz w:val="28"/>
          <w:szCs w:val="28"/>
          <w:highlight w:val="none"/>
        </w:rPr>
        <w:t>依据特许经营协议约定，自行或指定其他第三方对项目的流量计量、读数、水质、污泥</w:t>
      </w:r>
      <w:r>
        <w:rPr>
          <w:rFonts w:hint="eastAsia" w:ascii="Times New Roman" w:hAnsi="Times New Roman" w:eastAsia="楷体" w:cs="Times New Roman"/>
          <w:color w:val="auto"/>
          <w:sz w:val="28"/>
          <w:szCs w:val="28"/>
          <w:highlight w:val="none"/>
          <w:lang w:val="en-US" w:eastAsia="zh-CN"/>
        </w:rPr>
        <w:t>含水率</w:t>
      </w:r>
      <w:r>
        <w:rPr>
          <w:rFonts w:hint="default" w:ascii="Times New Roman" w:hAnsi="Times New Roman" w:eastAsia="楷体" w:cs="Times New Roman"/>
          <w:color w:val="auto"/>
          <w:sz w:val="28"/>
          <w:szCs w:val="28"/>
          <w:highlight w:val="none"/>
        </w:rPr>
        <w:t>、大气污染物、噪声检测等进行抽查、监督</w:t>
      </w:r>
      <w:r>
        <w:rPr>
          <w:rFonts w:hint="eastAsia" w:ascii="Times New Roman" w:hAnsi="Times New Roman" w:eastAsia="楷体" w:cs="Times New Roman"/>
          <w:color w:val="auto"/>
          <w:sz w:val="28"/>
          <w:szCs w:val="28"/>
          <w:highlight w:val="none"/>
          <w:lang w:eastAsia="zh-CN"/>
        </w:rPr>
        <w:t>，</w:t>
      </w:r>
      <w:r>
        <w:rPr>
          <w:rFonts w:hint="eastAsia" w:ascii="Times New Roman" w:hAnsi="Times New Roman" w:eastAsia="楷体" w:cs="Times New Roman"/>
          <w:color w:val="auto"/>
          <w:sz w:val="28"/>
          <w:szCs w:val="28"/>
          <w:highlight w:val="none"/>
          <w:lang w:val="en-US" w:eastAsia="zh-CN"/>
        </w:rPr>
        <w:t>特许经营者（或其组建的项目公司）应积极配合</w:t>
      </w:r>
      <w:r>
        <w:rPr>
          <w:rFonts w:hint="default" w:ascii="Times New Roman" w:hAnsi="Times New Roman" w:eastAsia="楷体" w:cs="Times New Roman"/>
          <w:color w:val="auto"/>
          <w:sz w:val="28"/>
          <w:szCs w:val="28"/>
          <w:highlight w:val="none"/>
        </w:rPr>
        <w:t>。</w:t>
      </w:r>
    </w:p>
    <w:p w14:paraId="7BB32110">
      <w:pPr>
        <w:pStyle w:val="34"/>
        <w:widowControl/>
        <w:shd w:val="clear" w:color="auto" w:fill="FFFFFF"/>
        <w:spacing w:beforeAutospacing="0" w:afterAutospacing="0"/>
        <w:ind w:firstLine="561"/>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val="en-US" w:eastAsia="zh-CN"/>
        </w:rPr>
        <w:t>③</w:t>
      </w:r>
      <w:r>
        <w:rPr>
          <w:rFonts w:hint="default" w:ascii="Times New Roman" w:hAnsi="Times New Roman" w:eastAsia="楷体" w:cs="Times New Roman"/>
          <w:color w:val="auto"/>
          <w:sz w:val="28"/>
          <w:szCs w:val="28"/>
          <w:highlight w:val="none"/>
        </w:rPr>
        <w:t>对经营过程实施监管，包括对服务质量、经营计划、项目经营状况和安全防范措施的监管，对项目运营情况的评估，以及协助相关部门核算和监控</w:t>
      </w:r>
      <w:r>
        <w:rPr>
          <w:rFonts w:hint="eastAsia" w:ascii="Times New Roman" w:hAnsi="Times New Roman" w:eastAsia="楷体" w:cs="Times New Roman"/>
          <w:color w:val="auto"/>
          <w:sz w:val="28"/>
          <w:szCs w:val="28"/>
          <w:highlight w:val="none"/>
          <w:lang w:val="en-US" w:eastAsia="zh-CN"/>
        </w:rPr>
        <w:t>特许经营者的运营</w:t>
      </w:r>
      <w:r>
        <w:rPr>
          <w:rFonts w:hint="default" w:ascii="Times New Roman" w:hAnsi="Times New Roman" w:eastAsia="楷体" w:cs="Times New Roman"/>
          <w:color w:val="auto"/>
          <w:sz w:val="28"/>
          <w:szCs w:val="28"/>
          <w:highlight w:val="none"/>
        </w:rPr>
        <w:t>成本等。</w:t>
      </w:r>
    </w:p>
    <w:p w14:paraId="1475CED3">
      <w:pPr>
        <w:pStyle w:val="34"/>
        <w:widowControl/>
        <w:shd w:val="clear" w:color="auto" w:fill="FFFFFF"/>
        <w:spacing w:beforeAutospacing="0" w:afterAutospacing="0"/>
        <w:ind w:firstLine="561"/>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eastAsia="zh-CN"/>
        </w:rPr>
        <w:t>④</w:t>
      </w:r>
      <w:r>
        <w:rPr>
          <w:rFonts w:hint="default" w:ascii="Times New Roman" w:hAnsi="Times New Roman" w:eastAsia="楷体" w:cs="Times New Roman"/>
          <w:color w:val="auto"/>
          <w:sz w:val="28"/>
          <w:szCs w:val="28"/>
          <w:highlight w:val="none"/>
        </w:rPr>
        <w:t>本着尊重社会公众的知情权，鼓励公众参与监督的原则，有权及时将对污水处理服务质量的检查、监测、评估结果和整改情况以适当的方式向社会公布，并受理公众对特许经营者（或其组建的项目公司）的投诉及其核实处理。</w:t>
      </w:r>
    </w:p>
    <w:p w14:paraId="41A26861">
      <w:pPr>
        <w:pStyle w:val="34"/>
        <w:widowControl/>
        <w:shd w:val="clear" w:color="auto" w:fill="FFFFFF"/>
        <w:spacing w:beforeAutospacing="0" w:afterAutospacing="0"/>
        <w:ind w:firstLine="561"/>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eastAsia="zh-CN"/>
        </w:rPr>
        <w:t>⑤</w:t>
      </w:r>
      <w:r>
        <w:rPr>
          <w:rFonts w:hint="default" w:ascii="Times New Roman" w:hAnsi="Times New Roman" w:eastAsia="楷体" w:cs="Times New Roman"/>
          <w:color w:val="auto"/>
          <w:sz w:val="28"/>
          <w:szCs w:val="28"/>
          <w:highlight w:val="none"/>
        </w:rPr>
        <w:t>有权要求</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定期提供相关运营资料，包括但不限于污水处理的检测分析报告、项目设施状况及其定期检修报告、财务报表、重大事故报告等或实施机构认为需要提供的其他资料。</w:t>
      </w:r>
    </w:p>
    <w:p w14:paraId="5CD4033F">
      <w:pPr>
        <w:pStyle w:val="34"/>
        <w:widowControl/>
        <w:shd w:val="clear" w:color="auto" w:fill="FFFFFF"/>
        <w:spacing w:beforeAutospacing="0" w:afterAutospacing="0"/>
        <w:ind w:firstLine="561"/>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val="en-US" w:eastAsia="zh-CN"/>
        </w:rPr>
        <w:t>⑥</w:t>
      </w:r>
      <w:r>
        <w:rPr>
          <w:rFonts w:hint="default" w:ascii="Times New Roman" w:hAnsi="Times New Roman" w:eastAsia="楷体" w:cs="Times New Roman"/>
          <w:color w:val="auto"/>
          <w:sz w:val="28"/>
          <w:szCs w:val="28"/>
          <w:highlight w:val="none"/>
        </w:rPr>
        <w:t>对</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提出的有关申请、建议等书面通知，需要实施机构回复或批准的，实施机构应在收到</w:t>
      </w:r>
      <w:r>
        <w:rPr>
          <w:rFonts w:hint="eastAsia" w:ascii="Times New Roman" w:hAnsi="Times New Roman" w:eastAsia="楷体" w:cs="Times New Roman"/>
          <w:color w:val="auto"/>
          <w:sz w:val="28"/>
          <w:szCs w:val="28"/>
          <w:highlight w:val="none"/>
          <w:lang w:val="en-US" w:eastAsia="zh-CN"/>
        </w:rPr>
        <w:t>特许经营者</w:t>
      </w:r>
      <w:r>
        <w:rPr>
          <w:rFonts w:hint="default" w:ascii="Times New Roman" w:hAnsi="Times New Roman" w:eastAsia="楷体" w:cs="Times New Roman"/>
          <w:color w:val="auto"/>
          <w:sz w:val="28"/>
          <w:szCs w:val="28"/>
          <w:highlight w:val="none"/>
        </w:rPr>
        <w:t>相应通知后的合理时间内给予回复。</w:t>
      </w:r>
    </w:p>
    <w:p w14:paraId="30887F7B">
      <w:pPr>
        <w:pStyle w:val="34"/>
        <w:widowControl/>
        <w:shd w:val="clear" w:color="auto" w:fill="FFFFFF"/>
        <w:spacing w:beforeAutospacing="0" w:afterAutospacing="0"/>
        <w:ind w:firstLine="561"/>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eastAsia="zh-CN"/>
        </w:rPr>
        <w:t>⑦</w:t>
      </w:r>
      <w:r>
        <w:rPr>
          <w:rFonts w:hint="default" w:ascii="Times New Roman" w:hAnsi="Times New Roman" w:eastAsia="楷体" w:cs="Times New Roman"/>
          <w:color w:val="auto"/>
          <w:sz w:val="28"/>
          <w:szCs w:val="28"/>
          <w:highlight w:val="none"/>
        </w:rPr>
        <w:t>如出于对外部污水管网建设、运营或维护的需要，必须减少污水项目进水或暂时关闭污水项目，实施机构应在合理时间内通知</w:t>
      </w:r>
      <w:r>
        <w:rPr>
          <w:rFonts w:hint="default" w:ascii="Times New Roman" w:hAnsi="Times New Roman" w:eastAsia="楷体" w:cs="Times New Roman"/>
          <w:color w:val="auto"/>
          <w:sz w:val="28"/>
          <w:szCs w:val="28"/>
          <w:highlight w:val="none"/>
          <w:lang w:eastAsia="zh-CN"/>
        </w:rPr>
        <w:t>，</w:t>
      </w:r>
      <w:r>
        <w:rPr>
          <w:rFonts w:hint="default" w:ascii="Times New Roman" w:hAnsi="Times New Roman" w:eastAsia="楷体" w:cs="Times New Roman"/>
          <w:color w:val="auto"/>
          <w:sz w:val="28"/>
          <w:szCs w:val="28"/>
          <w:highlight w:val="none"/>
          <w:lang w:val="en-US" w:eastAsia="zh-CN"/>
        </w:rPr>
        <w:t>污水量的减少通过延长特许经营期的方式解决</w:t>
      </w:r>
      <w:r>
        <w:rPr>
          <w:rFonts w:hint="default" w:ascii="Times New Roman" w:hAnsi="Times New Roman" w:eastAsia="楷体" w:cs="Times New Roman"/>
          <w:color w:val="auto"/>
          <w:sz w:val="28"/>
          <w:szCs w:val="28"/>
          <w:highlight w:val="none"/>
        </w:rPr>
        <w:t>。</w:t>
      </w:r>
    </w:p>
    <w:p w14:paraId="27CE0F98">
      <w:pPr>
        <w:pStyle w:val="34"/>
        <w:widowControl/>
        <w:shd w:val="clear" w:color="auto" w:fill="FFFFFF"/>
        <w:spacing w:beforeAutospacing="0" w:afterAutospacing="0"/>
        <w:ind w:firstLine="561"/>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eastAsia="zh-CN"/>
        </w:rPr>
        <w:t>⑧</w:t>
      </w:r>
      <w:r>
        <w:rPr>
          <w:rFonts w:hint="default" w:ascii="Times New Roman" w:hAnsi="Times New Roman" w:eastAsia="楷体" w:cs="Times New Roman"/>
          <w:color w:val="auto"/>
          <w:sz w:val="28"/>
          <w:szCs w:val="28"/>
          <w:highlight w:val="none"/>
        </w:rPr>
        <w:t>依据特许经营协议约定，向</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追究违约责任并收取违约金。</w:t>
      </w:r>
    </w:p>
    <w:p w14:paraId="7CF701A8">
      <w:pPr>
        <w:pStyle w:val="34"/>
        <w:widowControl/>
        <w:shd w:val="clear" w:color="auto" w:fill="FFFFFF"/>
        <w:spacing w:beforeAutospacing="0" w:afterAutospacing="0"/>
        <w:ind w:firstLine="561"/>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val="en-US" w:eastAsia="zh-CN"/>
        </w:rPr>
        <w:t>⑨</w:t>
      </w:r>
      <w:r>
        <w:rPr>
          <w:rFonts w:hint="default" w:ascii="Times New Roman" w:hAnsi="Times New Roman" w:eastAsia="楷体" w:cs="Times New Roman"/>
          <w:color w:val="auto"/>
          <w:sz w:val="28"/>
          <w:szCs w:val="28"/>
          <w:highlight w:val="none"/>
        </w:rPr>
        <w:t>依据特许经营协议约定，根据审核结果，经财政部门确认后，向</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支付</w:t>
      </w:r>
      <w:r>
        <w:rPr>
          <w:rFonts w:hint="default" w:ascii="Times New Roman" w:hAnsi="Times New Roman" w:eastAsia="楷体" w:cs="Times New Roman"/>
          <w:color w:val="auto"/>
          <w:sz w:val="28"/>
          <w:szCs w:val="28"/>
          <w:highlight w:val="none"/>
          <w:lang w:val="en-US" w:eastAsia="zh-CN"/>
        </w:rPr>
        <w:t>污水处理</w:t>
      </w:r>
      <w:r>
        <w:rPr>
          <w:rFonts w:hint="default" w:ascii="Times New Roman" w:hAnsi="Times New Roman" w:eastAsia="楷体" w:cs="Times New Roman"/>
          <w:color w:val="auto"/>
          <w:sz w:val="28"/>
          <w:szCs w:val="28"/>
          <w:highlight w:val="none"/>
        </w:rPr>
        <w:t>服务费。</w:t>
      </w:r>
    </w:p>
    <w:p w14:paraId="4C50D14C">
      <w:pPr>
        <w:pStyle w:val="34"/>
        <w:widowControl/>
        <w:shd w:val="clear" w:color="auto" w:fill="FFFFFF"/>
        <w:spacing w:beforeAutospacing="0" w:afterAutospacing="0"/>
        <w:ind w:firstLine="561"/>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val="en-US" w:eastAsia="zh-CN"/>
        </w:rPr>
        <w:t>⑩</w:t>
      </w:r>
      <w:r>
        <w:rPr>
          <w:rFonts w:hint="default" w:ascii="Times New Roman" w:hAnsi="Times New Roman" w:eastAsia="楷体" w:cs="Times New Roman"/>
          <w:color w:val="auto"/>
          <w:sz w:val="28"/>
          <w:szCs w:val="28"/>
          <w:highlight w:val="none"/>
        </w:rPr>
        <w:t>如果延期向</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付款的，承担逾期付款责任。</w:t>
      </w:r>
    </w:p>
    <w:p w14:paraId="2BBE7236">
      <w:pPr>
        <w:pStyle w:val="34"/>
        <w:widowControl/>
        <w:shd w:val="clear" w:color="auto" w:fill="FFFFFF"/>
        <w:spacing w:beforeAutospacing="0" w:afterAutospacing="0"/>
        <w:ind w:firstLine="560" w:firstLineChars="200"/>
        <w:jc w:val="both"/>
        <w:rPr>
          <w:rFonts w:hint="default" w:ascii="楷体" w:hAnsi="楷体" w:eastAsia="楷体" w:cs="楷体"/>
          <w:color w:val="auto"/>
          <w:sz w:val="28"/>
          <w:szCs w:val="28"/>
          <w:highlight w:val="none"/>
        </w:rPr>
      </w:pPr>
      <w:r>
        <w:rPr>
          <w:rFonts w:hint="eastAsia" w:ascii="楷体" w:hAnsi="楷体" w:eastAsia="楷体" w:cs="楷体"/>
          <w:color w:val="auto"/>
          <w:sz w:val="28"/>
          <w:szCs w:val="28"/>
          <w:highlight w:val="none"/>
        </w:rPr>
        <w:t>⑪</w:t>
      </w:r>
      <w:r>
        <w:rPr>
          <w:rFonts w:hint="default" w:ascii="楷体" w:hAnsi="楷体" w:eastAsia="楷体" w:cs="楷体"/>
          <w:color w:val="auto"/>
          <w:sz w:val="28"/>
          <w:szCs w:val="28"/>
          <w:highlight w:val="none"/>
        </w:rPr>
        <w:t>当实施机构认定</w:t>
      </w:r>
      <w:r>
        <w:rPr>
          <w:rFonts w:hint="default" w:ascii="楷体" w:hAnsi="楷体" w:eastAsia="楷体" w:cs="楷体"/>
          <w:color w:val="auto"/>
          <w:sz w:val="28"/>
          <w:szCs w:val="28"/>
          <w:highlight w:val="none"/>
          <w:lang w:eastAsia="zh-CN"/>
        </w:rPr>
        <w:t>特许经营者</w:t>
      </w:r>
      <w:r>
        <w:rPr>
          <w:rFonts w:hint="default" w:ascii="楷体" w:hAnsi="楷体" w:eastAsia="楷体" w:cs="楷体"/>
          <w:color w:val="auto"/>
          <w:sz w:val="28"/>
          <w:szCs w:val="28"/>
          <w:highlight w:val="none"/>
        </w:rPr>
        <w:t>不按特许经营协议履行其职责，给实施机构造成损失的，实施机构有权终止协议并要求</w:t>
      </w:r>
      <w:r>
        <w:rPr>
          <w:rFonts w:hint="default" w:ascii="楷体" w:hAnsi="楷体" w:eastAsia="楷体" w:cs="楷体"/>
          <w:color w:val="auto"/>
          <w:sz w:val="28"/>
          <w:szCs w:val="28"/>
          <w:highlight w:val="none"/>
          <w:lang w:eastAsia="zh-CN"/>
        </w:rPr>
        <w:t>特许经营者</w:t>
      </w:r>
      <w:r>
        <w:rPr>
          <w:rFonts w:hint="default" w:ascii="楷体" w:hAnsi="楷体" w:eastAsia="楷体" w:cs="楷体"/>
          <w:color w:val="auto"/>
          <w:sz w:val="28"/>
          <w:szCs w:val="28"/>
          <w:highlight w:val="none"/>
        </w:rPr>
        <w:t>承担相应的赔偿责任。</w:t>
      </w:r>
    </w:p>
    <w:p w14:paraId="26359299">
      <w:pPr>
        <w:pStyle w:val="34"/>
        <w:widowControl/>
        <w:shd w:val="clear" w:color="auto" w:fill="FFFFFF"/>
        <w:spacing w:beforeAutospacing="0" w:afterAutospacing="0"/>
        <w:ind w:firstLine="560" w:firstLineChars="200"/>
        <w:jc w:val="both"/>
        <w:rPr>
          <w:rFonts w:hint="default" w:ascii="楷体" w:hAnsi="楷体" w:eastAsia="楷体" w:cs="楷体"/>
          <w:color w:val="auto"/>
          <w:sz w:val="28"/>
          <w:szCs w:val="28"/>
          <w:highlight w:val="none"/>
        </w:rPr>
      </w:pPr>
      <w:r>
        <w:rPr>
          <w:rFonts w:hint="default" w:ascii="楷体" w:hAnsi="楷体" w:eastAsia="楷体" w:cs="楷体"/>
          <w:color w:val="auto"/>
          <w:sz w:val="28"/>
          <w:szCs w:val="28"/>
          <w:highlight w:val="none"/>
        </w:rPr>
        <w:t>⑫如在运营服务期内发生任何相关环境质量、安全事故或者其他由于</w:t>
      </w:r>
      <w:r>
        <w:rPr>
          <w:rFonts w:hint="default" w:ascii="楷体" w:hAnsi="楷体" w:eastAsia="楷体" w:cs="楷体"/>
          <w:color w:val="auto"/>
          <w:sz w:val="28"/>
          <w:szCs w:val="28"/>
          <w:highlight w:val="none"/>
          <w:lang w:eastAsia="zh-CN"/>
        </w:rPr>
        <w:t>特许经营者</w:t>
      </w:r>
      <w:r>
        <w:rPr>
          <w:rFonts w:hint="default" w:ascii="楷体" w:hAnsi="楷体" w:eastAsia="楷体" w:cs="楷体"/>
          <w:color w:val="auto"/>
          <w:sz w:val="28"/>
          <w:szCs w:val="28"/>
          <w:highlight w:val="none"/>
        </w:rPr>
        <w:t>的原因导致的事故时，实施机构有权扣除</w:t>
      </w:r>
      <w:r>
        <w:rPr>
          <w:rFonts w:hint="default" w:ascii="楷体" w:hAnsi="楷体" w:eastAsia="楷体" w:cs="楷体"/>
          <w:color w:val="auto"/>
          <w:sz w:val="28"/>
          <w:szCs w:val="28"/>
          <w:highlight w:val="none"/>
          <w:lang w:val="en-US" w:eastAsia="zh-CN"/>
        </w:rPr>
        <w:t>污水处理</w:t>
      </w:r>
      <w:r>
        <w:rPr>
          <w:rFonts w:hint="default" w:ascii="楷体" w:hAnsi="楷体" w:eastAsia="楷体" w:cs="楷体"/>
          <w:color w:val="auto"/>
          <w:sz w:val="28"/>
          <w:szCs w:val="28"/>
          <w:highlight w:val="none"/>
        </w:rPr>
        <w:t>服务费，用于该类事故的赔偿、修复或者处罚。</w:t>
      </w:r>
    </w:p>
    <w:p w14:paraId="294C5B10">
      <w:pPr>
        <w:pStyle w:val="6"/>
        <w:spacing w:line="360" w:lineRule="auto"/>
        <w:ind w:firstLine="522" w:firstLineChars="200"/>
        <w:rPr>
          <w:rFonts w:hint="default" w:eastAsia="楷体"/>
          <w:color w:val="auto"/>
          <w:highlight w:val="none"/>
        </w:rPr>
      </w:pPr>
      <w:bookmarkStart w:id="598" w:name="_Toc9335"/>
      <w:r>
        <w:rPr>
          <w:rFonts w:hint="default" w:eastAsia="楷体"/>
          <w:color w:val="auto"/>
          <w:highlight w:val="none"/>
        </w:rPr>
        <w:t>（2）</w:t>
      </w:r>
      <w:r>
        <w:rPr>
          <w:rFonts w:hint="default" w:ascii="Times New Roman" w:hAnsi="Times New Roman" w:eastAsia="楷体" w:cs="Times New Roman"/>
          <w:color w:val="auto"/>
          <w:highlight w:val="none"/>
          <w:lang w:eastAsia="zh-CN"/>
        </w:rPr>
        <w:t>特许经营者</w:t>
      </w:r>
      <w:r>
        <w:rPr>
          <w:rFonts w:hint="default" w:ascii="Times New Roman" w:hAnsi="Times New Roman" w:eastAsia="楷体" w:cs="Times New Roman"/>
          <w:color w:val="auto"/>
          <w:highlight w:val="none"/>
          <w:lang w:val="en-US" w:eastAsia="zh-CN"/>
        </w:rPr>
        <w:t>/项目公司</w:t>
      </w:r>
      <w:r>
        <w:rPr>
          <w:rFonts w:hint="default" w:eastAsia="楷体"/>
          <w:color w:val="auto"/>
          <w:highlight w:val="none"/>
        </w:rPr>
        <w:t>主要权利义务</w:t>
      </w:r>
      <w:bookmarkEnd w:id="598"/>
    </w:p>
    <w:p w14:paraId="685F7AA2">
      <w:pPr>
        <w:pStyle w:val="34"/>
        <w:widowControl/>
        <w:shd w:val="clear" w:color="auto" w:fill="FFFFFF"/>
        <w:spacing w:beforeAutospacing="0" w:afterAutospacing="0"/>
        <w:ind w:firstLine="561"/>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eastAsia="zh-CN"/>
        </w:rPr>
        <w:t>①</w:t>
      </w:r>
      <w:r>
        <w:rPr>
          <w:rFonts w:hint="default" w:ascii="Times New Roman" w:hAnsi="Times New Roman" w:eastAsia="楷体" w:cs="Times New Roman"/>
          <w:color w:val="auto"/>
          <w:sz w:val="28"/>
          <w:szCs w:val="28"/>
          <w:highlight w:val="none"/>
        </w:rPr>
        <w:t>依照特许经营协议约定获取</w:t>
      </w:r>
      <w:r>
        <w:rPr>
          <w:rFonts w:hint="default" w:ascii="Times New Roman" w:hAnsi="Times New Roman" w:eastAsia="楷体" w:cs="Times New Roman"/>
          <w:color w:val="auto"/>
          <w:sz w:val="28"/>
          <w:szCs w:val="28"/>
          <w:highlight w:val="none"/>
          <w:lang w:val="en-US" w:eastAsia="zh-CN"/>
        </w:rPr>
        <w:t>污水处理</w:t>
      </w:r>
      <w:r>
        <w:rPr>
          <w:rFonts w:hint="default" w:ascii="Times New Roman" w:hAnsi="Times New Roman" w:eastAsia="楷体" w:cs="Times New Roman"/>
          <w:color w:val="auto"/>
          <w:sz w:val="28"/>
          <w:szCs w:val="28"/>
          <w:highlight w:val="none"/>
        </w:rPr>
        <w:t>服务费。</w:t>
      </w:r>
    </w:p>
    <w:p w14:paraId="34C7B2BF">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eastAsia="zh-CN"/>
        </w:rPr>
        <w:t>②特许经营者</w:t>
      </w:r>
      <w:r>
        <w:rPr>
          <w:rFonts w:hint="default" w:ascii="Times New Roman" w:hAnsi="Times New Roman" w:eastAsia="楷体" w:cs="Times New Roman"/>
          <w:color w:val="auto"/>
          <w:sz w:val="28"/>
          <w:szCs w:val="28"/>
          <w:highlight w:val="none"/>
        </w:rPr>
        <w:t>应在</w:t>
      </w:r>
      <w:r>
        <w:rPr>
          <w:rFonts w:hint="default" w:ascii="Times New Roman" w:hAnsi="Times New Roman" w:eastAsia="楷体" w:cs="Times New Roman"/>
          <w:color w:val="auto"/>
          <w:sz w:val="28"/>
          <w:szCs w:val="28"/>
          <w:highlight w:val="none"/>
          <w:lang w:val="en-US" w:eastAsia="zh-CN"/>
        </w:rPr>
        <w:t>特许经营</w:t>
      </w:r>
      <w:r>
        <w:rPr>
          <w:rFonts w:hint="default" w:ascii="Times New Roman" w:hAnsi="Times New Roman" w:eastAsia="楷体" w:cs="Times New Roman"/>
          <w:color w:val="auto"/>
          <w:sz w:val="28"/>
          <w:szCs w:val="28"/>
          <w:highlight w:val="none"/>
        </w:rPr>
        <w:t>期内按国家、</w:t>
      </w:r>
      <w:r>
        <w:rPr>
          <w:rFonts w:hint="default" w:ascii="Times New Roman" w:hAnsi="Times New Roman" w:eastAsia="楷体" w:cs="Times New Roman"/>
          <w:color w:val="auto"/>
          <w:sz w:val="28"/>
          <w:szCs w:val="28"/>
          <w:highlight w:val="none"/>
          <w:lang w:val="en-US" w:eastAsia="zh-CN"/>
        </w:rPr>
        <w:t>江苏</w:t>
      </w:r>
      <w:r>
        <w:rPr>
          <w:rFonts w:hint="default" w:ascii="Times New Roman" w:hAnsi="Times New Roman" w:eastAsia="楷体" w:cs="Times New Roman"/>
          <w:color w:val="auto"/>
          <w:sz w:val="28"/>
          <w:szCs w:val="28"/>
          <w:highlight w:val="none"/>
        </w:rPr>
        <w:t>省、</w:t>
      </w:r>
      <w:r>
        <w:rPr>
          <w:rFonts w:hint="default" w:ascii="Times New Roman" w:hAnsi="Times New Roman" w:eastAsia="楷体" w:cs="Times New Roman"/>
          <w:color w:val="auto"/>
          <w:sz w:val="28"/>
          <w:szCs w:val="28"/>
          <w:highlight w:val="none"/>
          <w:lang w:val="en-US" w:eastAsia="zh-CN"/>
        </w:rPr>
        <w:t>扬州</w:t>
      </w:r>
      <w:r>
        <w:rPr>
          <w:rFonts w:hint="default" w:ascii="Times New Roman" w:hAnsi="Times New Roman" w:eastAsia="楷体" w:cs="Times New Roman"/>
          <w:color w:val="auto"/>
          <w:sz w:val="28"/>
          <w:szCs w:val="28"/>
          <w:highlight w:val="none"/>
        </w:rPr>
        <w:t>市现行的有关规范、标准和要求运营项目设施，保证出水、污泥</w:t>
      </w:r>
      <w:r>
        <w:rPr>
          <w:rFonts w:hint="eastAsia" w:ascii="Times New Roman" w:hAnsi="Times New Roman" w:eastAsia="楷体" w:cs="Times New Roman"/>
          <w:color w:val="auto"/>
          <w:sz w:val="28"/>
          <w:szCs w:val="28"/>
          <w:highlight w:val="none"/>
          <w:lang w:val="en-US" w:eastAsia="zh-CN"/>
        </w:rPr>
        <w:t>含水率</w:t>
      </w:r>
      <w:r>
        <w:rPr>
          <w:rFonts w:hint="default" w:ascii="Times New Roman" w:hAnsi="Times New Roman" w:eastAsia="楷体" w:cs="Times New Roman"/>
          <w:color w:val="auto"/>
          <w:sz w:val="28"/>
          <w:szCs w:val="28"/>
          <w:highlight w:val="none"/>
        </w:rPr>
        <w:t>、大气污染物、噪声达到相关标准，并承担相应的责任和义务。除特许经营协议另有约定外，</w:t>
      </w:r>
      <w:r>
        <w:rPr>
          <w:rFonts w:hint="default" w:ascii="Times New Roman" w:hAnsi="Times New Roman" w:eastAsia="楷体" w:cs="Times New Roman"/>
          <w:color w:val="auto"/>
          <w:sz w:val="28"/>
          <w:szCs w:val="28"/>
          <w:highlight w:val="none"/>
          <w:lang w:eastAsia="zh-CN"/>
        </w:rPr>
        <w:t>特许经营者</w:t>
      </w:r>
      <w:r>
        <w:rPr>
          <w:rFonts w:hint="eastAsia" w:ascii="Times New Roman" w:hAnsi="Times New Roman" w:eastAsia="楷体" w:cs="Times New Roman"/>
          <w:color w:val="auto"/>
          <w:sz w:val="28"/>
          <w:szCs w:val="28"/>
          <w:highlight w:val="none"/>
          <w:lang w:eastAsia="zh-CN"/>
        </w:rPr>
        <w:t>或其组建的</w:t>
      </w:r>
      <w:r>
        <w:rPr>
          <w:rFonts w:hint="default" w:ascii="Times New Roman" w:hAnsi="Times New Roman" w:eastAsia="楷体" w:cs="Times New Roman"/>
          <w:color w:val="auto"/>
          <w:sz w:val="28"/>
          <w:szCs w:val="28"/>
          <w:highlight w:val="none"/>
        </w:rPr>
        <w:t>项目公司不得以任何理由暂停服务。</w:t>
      </w:r>
    </w:p>
    <w:p w14:paraId="46340E8D">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val="en-US" w:eastAsia="zh-CN"/>
        </w:rPr>
        <w:t>③</w:t>
      </w:r>
      <w:r>
        <w:rPr>
          <w:rFonts w:hint="default" w:ascii="Times New Roman" w:hAnsi="Times New Roman" w:eastAsia="楷体" w:cs="Times New Roman"/>
          <w:color w:val="auto"/>
          <w:sz w:val="28"/>
          <w:szCs w:val="28"/>
          <w:highlight w:val="none"/>
        </w:rPr>
        <w:t>在</w:t>
      </w:r>
      <w:r>
        <w:rPr>
          <w:rFonts w:hint="default" w:ascii="Times New Roman" w:hAnsi="Times New Roman" w:eastAsia="楷体" w:cs="Times New Roman"/>
          <w:color w:val="auto"/>
          <w:sz w:val="28"/>
          <w:szCs w:val="28"/>
          <w:highlight w:val="none"/>
          <w:lang w:val="en-US" w:eastAsia="zh-CN"/>
        </w:rPr>
        <w:t>特许经营期</w:t>
      </w:r>
      <w:r>
        <w:rPr>
          <w:rFonts w:hint="default" w:ascii="Times New Roman" w:hAnsi="Times New Roman" w:eastAsia="楷体" w:cs="Times New Roman"/>
          <w:color w:val="auto"/>
          <w:sz w:val="28"/>
          <w:szCs w:val="28"/>
          <w:highlight w:val="none"/>
        </w:rPr>
        <w:t>内，</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应</w:t>
      </w:r>
      <w:r>
        <w:rPr>
          <w:rFonts w:hint="default" w:ascii="Times New Roman" w:hAnsi="Times New Roman" w:eastAsia="楷体" w:cs="Times New Roman"/>
          <w:color w:val="auto"/>
          <w:sz w:val="28"/>
          <w:szCs w:val="28"/>
          <w:highlight w:val="none"/>
          <w:lang w:eastAsia="zh-CN"/>
        </w:rPr>
        <w:t>按</w:t>
      </w:r>
      <w:r>
        <w:rPr>
          <w:rFonts w:hint="default" w:ascii="Times New Roman" w:hAnsi="Times New Roman" w:eastAsia="楷体" w:cs="Times New Roman"/>
          <w:color w:val="auto"/>
          <w:sz w:val="28"/>
          <w:szCs w:val="28"/>
          <w:highlight w:val="none"/>
          <w:lang w:val="en-US" w:eastAsia="zh-CN"/>
        </w:rPr>
        <w:t>最大</w:t>
      </w:r>
      <w:r>
        <w:rPr>
          <w:rFonts w:hint="default" w:ascii="Times New Roman" w:hAnsi="Times New Roman" w:eastAsia="楷体" w:cs="Times New Roman"/>
          <w:color w:val="auto"/>
          <w:sz w:val="28"/>
          <w:szCs w:val="28"/>
          <w:highlight w:val="none"/>
        </w:rPr>
        <w:t>处理能力</w:t>
      </w:r>
      <w:r>
        <w:rPr>
          <w:rFonts w:hint="default" w:ascii="Times New Roman" w:hAnsi="Times New Roman" w:eastAsia="楷体" w:cs="Times New Roman"/>
          <w:color w:val="auto"/>
          <w:sz w:val="28"/>
          <w:szCs w:val="28"/>
          <w:highlight w:val="none"/>
          <w:lang w:val="en-US" w:eastAsia="zh-CN"/>
        </w:rPr>
        <w:t>处理特许经营范围内的污水</w:t>
      </w:r>
      <w:r>
        <w:rPr>
          <w:rFonts w:hint="default" w:ascii="Times New Roman" w:hAnsi="Times New Roman" w:eastAsia="楷体" w:cs="Times New Roman"/>
          <w:color w:val="auto"/>
          <w:sz w:val="28"/>
          <w:szCs w:val="28"/>
          <w:highlight w:val="none"/>
        </w:rPr>
        <w:t>，并且未经实施机构事先同意不得为任何第三方处理污水，也不得将污染物总量指标转让给第三方。</w:t>
      </w:r>
    </w:p>
    <w:p w14:paraId="612DA5C5">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eastAsia="zh-CN"/>
        </w:rPr>
        <w:t>④特许经营者</w:t>
      </w:r>
      <w:r>
        <w:rPr>
          <w:rFonts w:hint="eastAsia" w:ascii="Times New Roman" w:hAnsi="Times New Roman" w:eastAsia="楷体" w:cs="Times New Roman"/>
          <w:color w:val="auto"/>
          <w:sz w:val="28"/>
          <w:szCs w:val="28"/>
          <w:highlight w:val="none"/>
          <w:lang w:eastAsia="zh-CN"/>
        </w:rPr>
        <w:t>或其组建的</w:t>
      </w:r>
      <w:r>
        <w:rPr>
          <w:rFonts w:hint="default" w:ascii="Times New Roman" w:hAnsi="Times New Roman" w:eastAsia="楷体" w:cs="Times New Roman"/>
          <w:color w:val="auto"/>
          <w:sz w:val="28"/>
          <w:szCs w:val="28"/>
          <w:highlight w:val="none"/>
        </w:rPr>
        <w:t>项目公司应按照中国法律、行业标准、有关规范运营，从业人员应按中国法律的有关规定取得相应的资格和证书。</w:t>
      </w:r>
    </w:p>
    <w:p w14:paraId="4F76D554">
      <w:pPr>
        <w:pStyle w:val="34"/>
        <w:widowControl/>
        <w:shd w:val="clear" w:color="auto" w:fill="FFFFFF"/>
        <w:spacing w:beforeAutospacing="0" w:afterAutospacing="0"/>
        <w:ind w:firstLine="560" w:firstLineChars="200"/>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eastAsia="zh-CN"/>
        </w:rPr>
        <w:t>⑤</w:t>
      </w:r>
      <w:r>
        <w:rPr>
          <w:rFonts w:hint="default" w:ascii="Times New Roman" w:hAnsi="Times New Roman" w:eastAsia="楷体" w:cs="Times New Roman"/>
          <w:color w:val="auto"/>
          <w:sz w:val="28"/>
          <w:szCs w:val="28"/>
          <w:highlight w:val="none"/>
        </w:rPr>
        <w:t>污水处理过程中所添加药剂种类和成分符合相关标准。</w:t>
      </w:r>
    </w:p>
    <w:p w14:paraId="0A8A9050">
      <w:pPr>
        <w:pStyle w:val="34"/>
        <w:widowControl/>
        <w:shd w:val="clear" w:color="auto" w:fill="FFFFFF"/>
        <w:spacing w:beforeAutospacing="0" w:afterAutospacing="0"/>
        <w:ind w:firstLine="560" w:firstLineChars="200"/>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val="en-US" w:eastAsia="zh-CN"/>
        </w:rPr>
        <w:t>⑥</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应在</w:t>
      </w:r>
      <w:r>
        <w:rPr>
          <w:rFonts w:hint="default" w:ascii="Times New Roman" w:hAnsi="Times New Roman" w:eastAsia="楷体" w:cs="Times New Roman"/>
          <w:color w:val="auto"/>
          <w:sz w:val="28"/>
          <w:szCs w:val="28"/>
          <w:highlight w:val="none"/>
          <w:lang w:eastAsia="zh-CN"/>
        </w:rPr>
        <w:t>特许经营期</w:t>
      </w:r>
      <w:r>
        <w:rPr>
          <w:rFonts w:hint="default" w:ascii="Times New Roman" w:hAnsi="Times New Roman" w:eastAsia="楷体" w:cs="Times New Roman"/>
          <w:color w:val="auto"/>
          <w:sz w:val="28"/>
          <w:szCs w:val="28"/>
          <w:highlight w:val="none"/>
        </w:rPr>
        <w:t>内，应遵照</w:t>
      </w:r>
      <w:r>
        <w:rPr>
          <w:rFonts w:hint="eastAsia" w:ascii="Times New Roman" w:hAnsi="Times New Roman" w:eastAsia="楷体" w:cs="Times New Roman"/>
          <w:color w:val="auto"/>
          <w:sz w:val="28"/>
          <w:szCs w:val="28"/>
          <w:highlight w:val="none"/>
          <w:lang w:val="en-US" w:eastAsia="zh-CN"/>
        </w:rPr>
        <w:t>现行或届时</w:t>
      </w:r>
      <w:r>
        <w:rPr>
          <w:rFonts w:hint="default" w:ascii="Times New Roman" w:hAnsi="Times New Roman" w:eastAsia="楷体" w:cs="Times New Roman"/>
          <w:color w:val="auto"/>
          <w:sz w:val="28"/>
          <w:szCs w:val="28"/>
          <w:highlight w:val="none"/>
        </w:rPr>
        <w:t>法律的有关规定，做好环境保护的工作，确保项目设施始终处于良好营运状态。</w:t>
      </w:r>
    </w:p>
    <w:p w14:paraId="10F938DF">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eastAsia="zh-CN"/>
        </w:rPr>
        <w:t>⑦</w:t>
      </w:r>
      <w:r>
        <w:rPr>
          <w:rFonts w:hint="default" w:ascii="Times New Roman" w:hAnsi="Times New Roman" w:eastAsia="楷体" w:cs="Times New Roman"/>
          <w:color w:val="auto"/>
          <w:sz w:val="28"/>
          <w:szCs w:val="28"/>
          <w:highlight w:val="none"/>
        </w:rPr>
        <w:t>应对其提供的所有资料的真实性和合法性负全部责任。</w:t>
      </w:r>
    </w:p>
    <w:p w14:paraId="6B914228">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eastAsia="zh-CN"/>
        </w:rPr>
        <w:t>⑧</w:t>
      </w:r>
      <w:r>
        <w:rPr>
          <w:rFonts w:hint="default" w:ascii="Times New Roman" w:hAnsi="Times New Roman" w:eastAsia="楷体" w:cs="Times New Roman"/>
          <w:color w:val="auto"/>
          <w:sz w:val="28"/>
          <w:szCs w:val="28"/>
          <w:highlight w:val="none"/>
        </w:rPr>
        <w:t>应按照</w:t>
      </w:r>
      <w:r>
        <w:rPr>
          <w:rFonts w:hint="default" w:ascii="Times New Roman" w:hAnsi="Times New Roman" w:eastAsia="楷体" w:cs="Times New Roman"/>
          <w:color w:val="auto"/>
          <w:sz w:val="28"/>
          <w:szCs w:val="28"/>
          <w:highlight w:val="none"/>
          <w:lang w:val="en-US" w:eastAsia="zh-CN"/>
        </w:rPr>
        <w:t>经实施机构同意的</w:t>
      </w:r>
      <w:r>
        <w:rPr>
          <w:rFonts w:hint="default" w:ascii="Times New Roman" w:hAnsi="Times New Roman" w:eastAsia="楷体" w:cs="Times New Roman"/>
          <w:color w:val="auto"/>
          <w:sz w:val="28"/>
          <w:szCs w:val="28"/>
          <w:highlight w:val="none"/>
        </w:rPr>
        <w:t>设计</w:t>
      </w:r>
      <w:r>
        <w:rPr>
          <w:rFonts w:hint="default" w:ascii="Times New Roman" w:hAnsi="Times New Roman" w:eastAsia="楷体" w:cs="Times New Roman"/>
          <w:color w:val="auto"/>
          <w:sz w:val="28"/>
          <w:szCs w:val="28"/>
          <w:highlight w:val="none"/>
          <w:lang w:val="en-US" w:eastAsia="zh-CN"/>
        </w:rPr>
        <w:t>方案</w:t>
      </w:r>
      <w:r>
        <w:rPr>
          <w:rFonts w:hint="default" w:ascii="Times New Roman" w:hAnsi="Times New Roman" w:eastAsia="楷体" w:cs="Times New Roman"/>
          <w:color w:val="auto"/>
          <w:sz w:val="28"/>
          <w:szCs w:val="28"/>
          <w:highlight w:val="none"/>
        </w:rPr>
        <w:t>以及特许经营协议要求维修或重置项目设施，工程建设质量应符合国家及地方的相关法规以及</w:t>
      </w:r>
      <w:r>
        <w:rPr>
          <w:rFonts w:hint="eastAsia" w:ascii="Times New Roman" w:hAnsi="Times New Roman" w:eastAsia="楷体" w:cs="Times New Roman"/>
          <w:color w:val="auto"/>
          <w:sz w:val="28"/>
          <w:szCs w:val="28"/>
          <w:highlight w:val="none"/>
          <w:lang w:eastAsia="zh-CN"/>
        </w:rPr>
        <w:t>其他</w:t>
      </w:r>
      <w:r>
        <w:rPr>
          <w:rFonts w:hint="default" w:ascii="Times New Roman" w:hAnsi="Times New Roman" w:eastAsia="楷体" w:cs="Times New Roman"/>
          <w:color w:val="auto"/>
          <w:sz w:val="28"/>
          <w:szCs w:val="28"/>
          <w:highlight w:val="none"/>
        </w:rPr>
        <w:t>规范性文件要求的合格标准。</w:t>
      </w:r>
    </w:p>
    <w:p w14:paraId="4568F2D5">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val="en-US" w:eastAsia="zh-CN"/>
        </w:rPr>
        <w:t>⑨</w:t>
      </w:r>
      <w:r>
        <w:rPr>
          <w:rFonts w:hint="default" w:ascii="Times New Roman" w:hAnsi="Times New Roman" w:eastAsia="楷体" w:cs="Times New Roman"/>
          <w:color w:val="auto"/>
          <w:sz w:val="28"/>
          <w:szCs w:val="28"/>
          <w:highlight w:val="none"/>
        </w:rPr>
        <w:t>项目</w:t>
      </w:r>
      <w:r>
        <w:rPr>
          <w:rFonts w:hint="default" w:ascii="Times New Roman" w:hAnsi="Times New Roman" w:eastAsia="楷体" w:cs="Times New Roman"/>
          <w:color w:val="auto"/>
          <w:sz w:val="28"/>
          <w:szCs w:val="28"/>
          <w:highlight w:val="none"/>
          <w:lang w:eastAsia="zh-CN"/>
        </w:rPr>
        <w:t>特许经营期</w:t>
      </w:r>
      <w:r>
        <w:rPr>
          <w:rFonts w:hint="default" w:ascii="Times New Roman" w:hAnsi="Times New Roman" w:eastAsia="楷体" w:cs="Times New Roman"/>
          <w:color w:val="auto"/>
          <w:sz w:val="28"/>
          <w:szCs w:val="28"/>
          <w:highlight w:val="none"/>
        </w:rPr>
        <w:t>满后，</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应将项目范围内的全部设施</w:t>
      </w:r>
      <w:r>
        <w:rPr>
          <w:rFonts w:hint="eastAsia" w:ascii="Times New Roman" w:hAnsi="Times New Roman" w:eastAsia="楷体" w:cs="Times New Roman"/>
          <w:color w:val="auto"/>
          <w:sz w:val="28"/>
          <w:szCs w:val="28"/>
          <w:highlight w:val="none"/>
          <w:lang w:val="en-US" w:eastAsia="zh-CN"/>
        </w:rPr>
        <w:t>及其</w:t>
      </w:r>
      <w:r>
        <w:rPr>
          <w:rFonts w:hint="default" w:ascii="Times New Roman" w:hAnsi="Times New Roman" w:eastAsia="楷体" w:cs="Times New Roman"/>
          <w:color w:val="auto"/>
          <w:sz w:val="28"/>
          <w:szCs w:val="28"/>
          <w:highlight w:val="none"/>
        </w:rPr>
        <w:t>使用权、</w:t>
      </w:r>
      <w:r>
        <w:rPr>
          <w:rFonts w:hint="eastAsia" w:ascii="Times New Roman" w:hAnsi="Times New Roman" w:eastAsia="楷体" w:cs="Times New Roman"/>
          <w:color w:val="auto"/>
          <w:sz w:val="28"/>
          <w:szCs w:val="28"/>
          <w:highlight w:val="none"/>
          <w:lang w:val="en-US" w:eastAsia="zh-CN"/>
        </w:rPr>
        <w:t>特许</w:t>
      </w:r>
      <w:r>
        <w:rPr>
          <w:rFonts w:hint="default" w:ascii="Times New Roman" w:hAnsi="Times New Roman" w:eastAsia="楷体" w:cs="Times New Roman"/>
          <w:color w:val="auto"/>
          <w:sz w:val="28"/>
          <w:szCs w:val="28"/>
          <w:highlight w:val="none"/>
        </w:rPr>
        <w:t>经营权和收益权无偿</w:t>
      </w:r>
      <w:r>
        <w:rPr>
          <w:rFonts w:hint="eastAsia" w:ascii="Times New Roman" w:hAnsi="Times New Roman" w:eastAsia="楷体" w:cs="Times New Roman"/>
          <w:color w:val="auto"/>
          <w:sz w:val="28"/>
          <w:szCs w:val="28"/>
          <w:highlight w:val="none"/>
          <w:lang w:eastAsia="zh-CN"/>
        </w:rPr>
        <w:t>、</w:t>
      </w:r>
      <w:r>
        <w:rPr>
          <w:rFonts w:hint="eastAsia" w:ascii="Times New Roman" w:hAnsi="Times New Roman" w:eastAsia="楷体" w:cs="Times New Roman"/>
          <w:color w:val="auto"/>
          <w:sz w:val="28"/>
          <w:szCs w:val="28"/>
          <w:highlight w:val="none"/>
          <w:lang w:val="en-US" w:eastAsia="zh-CN"/>
        </w:rPr>
        <w:t>完好地</w:t>
      </w:r>
      <w:r>
        <w:rPr>
          <w:rFonts w:hint="default" w:ascii="Times New Roman" w:hAnsi="Times New Roman" w:eastAsia="楷体" w:cs="Times New Roman"/>
          <w:color w:val="auto"/>
          <w:sz w:val="28"/>
          <w:szCs w:val="28"/>
          <w:highlight w:val="none"/>
        </w:rPr>
        <w:t>移交实施机构或其指定的其他机构。</w:t>
      </w:r>
    </w:p>
    <w:p w14:paraId="163DBCE5">
      <w:pPr>
        <w:pStyle w:val="5"/>
        <w:spacing w:before="20" w:after="20" w:line="360" w:lineRule="auto"/>
        <w:ind w:firstLine="602" w:firstLineChars="200"/>
        <w:rPr>
          <w:rFonts w:hint="default" w:ascii="Times New Roman" w:hAnsi="Times New Roman" w:eastAsia="楷体" w:cs="Times New Roman"/>
          <w:color w:val="auto"/>
          <w:sz w:val="30"/>
          <w:szCs w:val="30"/>
          <w:highlight w:val="none"/>
        </w:rPr>
      </w:pPr>
      <w:r>
        <w:rPr>
          <w:rFonts w:hint="default" w:ascii="Times New Roman" w:hAnsi="Times New Roman" w:eastAsia="楷体" w:cs="Times New Roman"/>
          <w:color w:val="auto"/>
          <w:sz w:val="30"/>
          <w:szCs w:val="30"/>
          <w:highlight w:val="none"/>
          <w:lang w:val="en-US" w:eastAsia="zh-CN"/>
        </w:rPr>
        <w:t>3、核心边界条件</w:t>
      </w:r>
    </w:p>
    <w:p w14:paraId="4DFA3C7D">
      <w:pPr>
        <w:pStyle w:val="6"/>
        <w:numPr>
          <w:ilvl w:val="0"/>
          <w:numId w:val="0"/>
        </w:numPr>
        <w:spacing w:line="360" w:lineRule="auto"/>
        <w:ind w:firstLine="562" w:firstLineChars="200"/>
        <w:rPr>
          <w:rFonts w:hint="default" w:ascii="Times New Roman" w:hAnsi="Times New Roman" w:eastAsia="楷体" w:cs="Times New Roman"/>
          <w:color w:val="auto"/>
          <w:sz w:val="28"/>
          <w:szCs w:val="24"/>
          <w:highlight w:val="none"/>
          <w:lang w:eastAsia="zh-CN"/>
        </w:rPr>
      </w:pPr>
      <w:r>
        <w:rPr>
          <w:rFonts w:hint="default" w:ascii="Times New Roman" w:hAnsi="Times New Roman" w:eastAsia="楷体" w:cs="Times New Roman"/>
          <w:color w:val="auto"/>
          <w:sz w:val="28"/>
          <w:szCs w:val="24"/>
          <w:highlight w:val="none"/>
          <w:lang w:eastAsia="zh-CN"/>
        </w:rPr>
        <w:t>（</w:t>
      </w:r>
      <w:r>
        <w:rPr>
          <w:rFonts w:hint="default" w:ascii="Times New Roman" w:hAnsi="Times New Roman" w:eastAsia="楷体" w:cs="Times New Roman"/>
          <w:color w:val="auto"/>
          <w:sz w:val="28"/>
          <w:szCs w:val="24"/>
          <w:highlight w:val="none"/>
          <w:lang w:val="en-US" w:eastAsia="zh-CN"/>
        </w:rPr>
        <w:t>1</w:t>
      </w:r>
      <w:r>
        <w:rPr>
          <w:rFonts w:hint="default" w:ascii="Times New Roman" w:hAnsi="Times New Roman" w:eastAsia="楷体" w:cs="Times New Roman"/>
          <w:color w:val="auto"/>
          <w:sz w:val="28"/>
          <w:szCs w:val="24"/>
          <w:highlight w:val="none"/>
          <w:lang w:eastAsia="zh-CN"/>
        </w:rPr>
        <w:t>）</w:t>
      </w:r>
      <w:r>
        <w:rPr>
          <w:rFonts w:hint="default" w:ascii="Times New Roman" w:hAnsi="Times New Roman" w:eastAsia="楷体" w:cs="Times New Roman"/>
          <w:color w:val="auto"/>
          <w:sz w:val="28"/>
          <w:szCs w:val="24"/>
          <w:highlight w:val="none"/>
          <w:lang w:val="en-US" w:eastAsia="zh-CN"/>
        </w:rPr>
        <w:t>进出水水质标准</w:t>
      </w:r>
    </w:p>
    <w:p w14:paraId="52224354">
      <w:pPr>
        <w:pStyle w:val="34"/>
        <w:widowControl/>
        <w:shd w:val="clear" w:color="auto" w:fill="FFFFFF"/>
        <w:spacing w:beforeAutospacing="0" w:afterAutospacing="0"/>
        <w:ind w:firstLine="560" w:firstLineChars="200"/>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rPr>
        <w:t>根据项目</w:t>
      </w:r>
      <w:r>
        <w:rPr>
          <w:rFonts w:hint="eastAsia" w:ascii="Times New Roman" w:hAnsi="Times New Roman" w:eastAsia="楷体" w:cs="Times New Roman"/>
          <w:color w:val="auto"/>
          <w:sz w:val="28"/>
          <w:szCs w:val="28"/>
          <w:highlight w:val="none"/>
          <w:lang w:val="en-US" w:eastAsia="zh-CN"/>
        </w:rPr>
        <w:t>及其提标工程的</w:t>
      </w:r>
      <w:r>
        <w:rPr>
          <w:rFonts w:hint="default" w:ascii="Times New Roman" w:hAnsi="Times New Roman" w:eastAsia="楷体" w:cs="Times New Roman"/>
          <w:color w:val="auto"/>
          <w:sz w:val="28"/>
          <w:szCs w:val="28"/>
          <w:highlight w:val="none"/>
        </w:rPr>
        <w:t>可行性研究报告及批复，本项目污水处理厂设计主要进、出水水质指标如下表所示：</w:t>
      </w:r>
    </w:p>
    <w:p w14:paraId="25EAAC35">
      <w:pPr>
        <w:spacing w:line="360" w:lineRule="auto"/>
        <w:jc w:val="center"/>
        <w:rPr>
          <w:rFonts w:hint="default" w:ascii="Times New Roman" w:hAnsi="Times New Roman" w:eastAsia="楷体" w:cs="Times New Roman"/>
          <w:b/>
          <w:bCs/>
          <w:color w:val="auto"/>
          <w:sz w:val="24"/>
          <w:highlight w:val="none"/>
          <w:lang w:eastAsia="zh-CN"/>
        </w:rPr>
      </w:pPr>
      <w:r>
        <w:rPr>
          <w:rFonts w:hint="default" w:ascii="Times New Roman" w:hAnsi="Times New Roman" w:eastAsia="楷体" w:cs="Times New Roman"/>
          <w:b/>
          <w:bCs/>
          <w:color w:val="auto"/>
          <w:sz w:val="24"/>
          <w:highlight w:val="none"/>
        </w:rPr>
        <w:t>表</w:t>
      </w:r>
      <w:r>
        <w:rPr>
          <w:rFonts w:hint="default" w:ascii="Times New Roman" w:hAnsi="Times New Roman" w:eastAsia="楷体" w:cs="Times New Roman"/>
          <w:b/>
          <w:bCs/>
          <w:color w:val="auto"/>
          <w:sz w:val="24"/>
          <w:highlight w:val="none"/>
          <w:lang w:val="en-US" w:eastAsia="zh-CN"/>
        </w:rPr>
        <w:t>4-1</w:t>
      </w:r>
      <w:r>
        <w:rPr>
          <w:rFonts w:hint="eastAsia" w:ascii="Times New Roman" w:hAnsi="Times New Roman" w:eastAsia="楷体" w:cs="Times New Roman"/>
          <w:b/>
          <w:bCs/>
          <w:color w:val="auto"/>
          <w:sz w:val="24"/>
          <w:highlight w:val="none"/>
          <w:lang w:val="en-US" w:eastAsia="zh-CN"/>
        </w:rPr>
        <w:t xml:space="preserve"> </w:t>
      </w:r>
      <w:r>
        <w:rPr>
          <w:rFonts w:hint="default" w:ascii="Times New Roman" w:hAnsi="Times New Roman" w:eastAsia="楷体" w:cs="Times New Roman"/>
          <w:b/>
          <w:bCs/>
          <w:color w:val="auto"/>
          <w:sz w:val="24"/>
          <w:highlight w:val="none"/>
        </w:rPr>
        <w:t xml:space="preserve"> 本项目水厂设计进出水水质标准</w:t>
      </w:r>
      <w:r>
        <w:rPr>
          <w:rFonts w:hint="default" w:ascii="Times New Roman" w:hAnsi="Times New Roman" w:eastAsia="楷体" w:cs="Times New Roman"/>
          <w:b/>
          <w:bCs/>
          <w:color w:val="auto"/>
          <w:sz w:val="24"/>
          <w:highlight w:val="none"/>
          <w:lang w:eastAsia="zh-CN"/>
        </w:rPr>
        <w:t>（单位</w:t>
      </w:r>
      <w:r>
        <w:rPr>
          <w:rFonts w:hint="eastAsia" w:ascii="Times New Roman" w:hAnsi="Times New Roman" w:eastAsia="楷体" w:cs="Times New Roman"/>
          <w:b/>
          <w:bCs/>
          <w:color w:val="auto"/>
          <w:sz w:val="24"/>
          <w:highlight w:val="none"/>
          <w:lang w:val="en-US" w:eastAsia="zh-CN"/>
        </w:rPr>
        <w:t>：</w:t>
      </w:r>
      <w:r>
        <w:rPr>
          <w:rFonts w:hint="default" w:ascii="Times New Roman" w:hAnsi="Times New Roman" w:eastAsia="楷体" w:cs="Times New Roman"/>
          <w:b/>
          <w:bCs/>
          <w:color w:val="auto"/>
          <w:sz w:val="24"/>
          <w:highlight w:val="none"/>
          <w:lang w:eastAsia="zh-CN"/>
        </w:rPr>
        <w:t>mg/L）</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1217"/>
        <w:gridCol w:w="1217"/>
        <w:gridCol w:w="1217"/>
        <w:gridCol w:w="1218"/>
        <w:gridCol w:w="1218"/>
        <w:gridCol w:w="1218"/>
      </w:tblGrid>
      <w:tr w14:paraId="6817E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217" w:type="dxa"/>
          </w:tcPr>
          <w:p w14:paraId="2FDC16F7">
            <w:pPr>
              <w:spacing w:line="360" w:lineRule="auto"/>
              <w:jc w:val="center"/>
              <w:rPr>
                <w:rFonts w:hint="eastAsia" w:ascii="Times New Roman" w:hAnsi="Times New Roman" w:eastAsia="楷体" w:cs="Times New Roman"/>
                <w:b/>
                <w:color w:val="auto"/>
                <w:sz w:val="24"/>
                <w:highlight w:val="none"/>
                <w:vertAlign w:val="baseline"/>
                <w:lang w:val="en-US" w:eastAsia="zh-CN"/>
              </w:rPr>
            </w:pPr>
            <w:r>
              <w:rPr>
                <w:rFonts w:hint="eastAsia" w:ascii="Times New Roman" w:hAnsi="Times New Roman" w:eastAsia="楷体" w:cs="Times New Roman"/>
                <w:b/>
                <w:color w:val="auto"/>
                <w:sz w:val="24"/>
                <w:highlight w:val="none"/>
                <w:vertAlign w:val="baseline"/>
                <w:lang w:val="en-US" w:eastAsia="zh-CN"/>
              </w:rPr>
              <w:t>项目</w:t>
            </w:r>
          </w:p>
        </w:tc>
        <w:tc>
          <w:tcPr>
            <w:tcW w:w="1217" w:type="dxa"/>
          </w:tcPr>
          <w:p w14:paraId="58D38784">
            <w:pPr>
              <w:spacing w:line="360" w:lineRule="auto"/>
              <w:jc w:val="center"/>
              <w:rPr>
                <w:rFonts w:hint="eastAsia" w:ascii="Times New Roman" w:hAnsi="Times New Roman" w:eastAsia="楷体" w:cs="Times New Roman"/>
                <w:b/>
                <w:color w:val="auto"/>
                <w:sz w:val="24"/>
                <w:highlight w:val="none"/>
                <w:vertAlign w:val="baseline"/>
                <w:lang w:val="en-US" w:eastAsia="zh-CN"/>
              </w:rPr>
            </w:pPr>
            <w:r>
              <w:rPr>
                <w:rFonts w:hint="eastAsia" w:ascii="Times New Roman" w:hAnsi="Times New Roman" w:eastAsia="楷体" w:cs="Times New Roman"/>
                <w:b/>
                <w:color w:val="auto"/>
                <w:sz w:val="24"/>
                <w:highlight w:val="none"/>
                <w:vertAlign w:val="baseline"/>
                <w:lang w:val="en-US" w:eastAsia="zh-CN"/>
              </w:rPr>
              <w:t>COD</w:t>
            </w:r>
          </w:p>
        </w:tc>
        <w:tc>
          <w:tcPr>
            <w:tcW w:w="1217" w:type="dxa"/>
          </w:tcPr>
          <w:p w14:paraId="4BA05944">
            <w:pPr>
              <w:spacing w:line="360" w:lineRule="auto"/>
              <w:jc w:val="center"/>
              <w:rPr>
                <w:rFonts w:hint="eastAsia" w:ascii="Times New Roman" w:hAnsi="Times New Roman" w:eastAsia="楷体" w:cs="Times New Roman"/>
                <w:b/>
                <w:color w:val="auto"/>
                <w:sz w:val="24"/>
                <w:highlight w:val="none"/>
                <w:vertAlign w:val="baseline"/>
                <w:lang w:val="en-US" w:eastAsia="zh-CN"/>
              </w:rPr>
            </w:pPr>
            <w:r>
              <w:rPr>
                <w:rFonts w:hint="eastAsia" w:ascii="Times New Roman" w:hAnsi="Times New Roman" w:eastAsia="楷体" w:cs="Times New Roman"/>
                <w:b/>
                <w:color w:val="auto"/>
                <w:sz w:val="24"/>
                <w:highlight w:val="none"/>
                <w:vertAlign w:val="baseline"/>
                <w:lang w:val="en-US" w:eastAsia="zh-CN"/>
              </w:rPr>
              <w:t>BOD</w:t>
            </w:r>
          </w:p>
        </w:tc>
        <w:tc>
          <w:tcPr>
            <w:tcW w:w="1217" w:type="dxa"/>
          </w:tcPr>
          <w:p w14:paraId="10BC65E8">
            <w:pPr>
              <w:spacing w:line="360" w:lineRule="auto"/>
              <w:jc w:val="center"/>
              <w:rPr>
                <w:rFonts w:hint="eastAsia" w:ascii="Times New Roman" w:hAnsi="Times New Roman" w:eastAsia="楷体" w:cs="Times New Roman"/>
                <w:b/>
                <w:color w:val="auto"/>
                <w:sz w:val="24"/>
                <w:highlight w:val="none"/>
                <w:vertAlign w:val="baseline"/>
                <w:lang w:val="en-US" w:eastAsia="zh-CN"/>
              </w:rPr>
            </w:pPr>
            <w:r>
              <w:rPr>
                <w:rFonts w:hint="eastAsia" w:ascii="Times New Roman" w:hAnsi="Times New Roman" w:eastAsia="楷体" w:cs="Times New Roman"/>
                <w:b/>
                <w:color w:val="auto"/>
                <w:sz w:val="24"/>
                <w:highlight w:val="none"/>
                <w:vertAlign w:val="baseline"/>
                <w:lang w:val="en-US" w:eastAsia="zh-CN"/>
              </w:rPr>
              <w:t>SS</w:t>
            </w:r>
          </w:p>
        </w:tc>
        <w:tc>
          <w:tcPr>
            <w:tcW w:w="1218" w:type="dxa"/>
          </w:tcPr>
          <w:p w14:paraId="1B1B7A2D">
            <w:pPr>
              <w:spacing w:line="360" w:lineRule="auto"/>
              <w:jc w:val="center"/>
              <w:rPr>
                <w:rFonts w:hint="default" w:ascii="Times New Roman" w:hAnsi="Times New Roman" w:eastAsia="楷体" w:cs="Times New Roman"/>
                <w:b/>
                <w:color w:val="auto"/>
                <w:sz w:val="24"/>
                <w:highlight w:val="none"/>
                <w:vertAlign w:val="baseline"/>
                <w:lang w:val="en-US" w:eastAsia="zh-CN"/>
              </w:rPr>
            </w:pPr>
            <w:r>
              <w:rPr>
                <w:rFonts w:hint="eastAsia" w:ascii="Times New Roman" w:hAnsi="Times New Roman" w:eastAsia="楷体" w:cs="Times New Roman"/>
                <w:b/>
                <w:color w:val="auto"/>
                <w:sz w:val="24"/>
                <w:highlight w:val="none"/>
                <w:vertAlign w:val="baseline"/>
                <w:lang w:val="en-US" w:eastAsia="zh-CN"/>
              </w:rPr>
              <w:t>NH</w:t>
            </w:r>
            <w:r>
              <w:rPr>
                <w:rFonts w:hint="eastAsia" w:ascii="Times New Roman" w:hAnsi="Times New Roman" w:eastAsia="楷体" w:cs="Times New Roman"/>
                <w:b/>
                <w:color w:val="auto"/>
                <w:sz w:val="24"/>
                <w:highlight w:val="none"/>
                <w:vertAlign w:val="subscript"/>
                <w:lang w:val="en-US" w:eastAsia="zh-CN"/>
              </w:rPr>
              <w:t>3</w:t>
            </w:r>
            <w:r>
              <w:rPr>
                <w:rFonts w:hint="eastAsia" w:ascii="Times New Roman" w:hAnsi="Times New Roman" w:eastAsia="楷体" w:cs="Times New Roman"/>
                <w:b/>
                <w:color w:val="auto"/>
                <w:sz w:val="24"/>
                <w:highlight w:val="none"/>
                <w:vertAlign w:val="baseline"/>
                <w:lang w:val="en-US" w:eastAsia="zh-CN"/>
              </w:rPr>
              <w:t>-N</w:t>
            </w:r>
          </w:p>
        </w:tc>
        <w:tc>
          <w:tcPr>
            <w:tcW w:w="1218" w:type="dxa"/>
          </w:tcPr>
          <w:p w14:paraId="483EA202">
            <w:pPr>
              <w:spacing w:line="360" w:lineRule="auto"/>
              <w:jc w:val="center"/>
              <w:rPr>
                <w:rFonts w:hint="eastAsia" w:ascii="Times New Roman" w:hAnsi="Times New Roman" w:eastAsia="楷体" w:cs="Times New Roman"/>
                <w:b/>
                <w:color w:val="auto"/>
                <w:sz w:val="24"/>
                <w:highlight w:val="none"/>
                <w:vertAlign w:val="baseline"/>
                <w:lang w:val="en-US" w:eastAsia="zh-CN"/>
              </w:rPr>
            </w:pPr>
            <w:r>
              <w:rPr>
                <w:rFonts w:hint="eastAsia" w:ascii="Times New Roman" w:hAnsi="Times New Roman" w:eastAsia="楷体" w:cs="Times New Roman"/>
                <w:b/>
                <w:color w:val="auto"/>
                <w:sz w:val="24"/>
                <w:highlight w:val="none"/>
                <w:vertAlign w:val="baseline"/>
                <w:lang w:val="en-US" w:eastAsia="zh-CN"/>
              </w:rPr>
              <w:t>TN</w:t>
            </w:r>
          </w:p>
        </w:tc>
        <w:tc>
          <w:tcPr>
            <w:tcW w:w="1218" w:type="dxa"/>
          </w:tcPr>
          <w:p w14:paraId="115148AE">
            <w:pPr>
              <w:spacing w:line="360" w:lineRule="auto"/>
              <w:jc w:val="center"/>
              <w:rPr>
                <w:rFonts w:hint="eastAsia" w:ascii="Times New Roman" w:hAnsi="Times New Roman" w:eastAsia="楷体" w:cs="Times New Roman"/>
                <w:b/>
                <w:color w:val="auto"/>
                <w:sz w:val="24"/>
                <w:highlight w:val="none"/>
                <w:vertAlign w:val="baseline"/>
                <w:lang w:val="en-US" w:eastAsia="zh-CN"/>
              </w:rPr>
            </w:pPr>
            <w:r>
              <w:rPr>
                <w:rFonts w:hint="eastAsia" w:ascii="Times New Roman" w:hAnsi="Times New Roman" w:eastAsia="楷体" w:cs="Times New Roman"/>
                <w:b/>
                <w:color w:val="auto"/>
                <w:sz w:val="24"/>
                <w:highlight w:val="none"/>
                <w:vertAlign w:val="baseline"/>
                <w:lang w:val="en-US" w:eastAsia="zh-CN"/>
              </w:rPr>
              <w:t>TP</w:t>
            </w:r>
          </w:p>
        </w:tc>
      </w:tr>
      <w:tr w14:paraId="3CB52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217" w:type="dxa"/>
            <w:vAlign w:val="center"/>
          </w:tcPr>
          <w:p w14:paraId="3F0D1333">
            <w:pPr>
              <w:spacing w:line="240" w:lineRule="auto"/>
              <w:jc w:val="center"/>
              <w:rPr>
                <w:rFonts w:hint="default" w:ascii="Times New Roman" w:hAnsi="Times New Roman" w:eastAsia="楷体" w:cs="Times New Roman"/>
                <w:b w:val="0"/>
                <w:bCs/>
                <w:color w:val="auto"/>
                <w:sz w:val="24"/>
                <w:highlight w:val="none"/>
                <w:vertAlign w:val="baseline"/>
                <w:lang w:val="en-US" w:eastAsia="zh-CN"/>
              </w:rPr>
            </w:pPr>
            <w:r>
              <w:rPr>
                <w:rFonts w:hint="eastAsia" w:ascii="Times New Roman" w:hAnsi="Times New Roman" w:eastAsia="楷体" w:cs="Times New Roman"/>
                <w:b w:val="0"/>
                <w:bCs/>
                <w:color w:val="auto"/>
                <w:sz w:val="24"/>
                <w:highlight w:val="none"/>
                <w:vertAlign w:val="baseline"/>
                <w:lang w:val="en-US" w:eastAsia="zh-CN"/>
              </w:rPr>
              <w:t>设计进水水质</w:t>
            </w:r>
          </w:p>
        </w:tc>
        <w:tc>
          <w:tcPr>
            <w:tcW w:w="1217" w:type="dxa"/>
            <w:vAlign w:val="center"/>
          </w:tcPr>
          <w:p w14:paraId="67B650E8">
            <w:pPr>
              <w:spacing w:line="360" w:lineRule="auto"/>
              <w:jc w:val="center"/>
              <w:rPr>
                <w:rFonts w:hint="default" w:ascii="Times New Roman" w:hAnsi="Times New Roman" w:eastAsia="楷体" w:cs="Times New Roman"/>
                <w:b w:val="0"/>
                <w:bCs/>
                <w:color w:val="auto"/>
                <w:sz w:val="24"/>
                <w:highlight w:val="none"/>
                <w:vertAlign w:val="baseline"/>
                <w:lang w:val="en-US" w:eastAsia="zh-CN"/>
              </w:rPr>
            </w:pPr>
            <w:r>
              <w:rPr>
                <w:rFonts w:hint="eastAsia" w:ascii="Times New Roman" w:hAnsi="Times New Roman" w:eastAsia="楷体" w:cs="Times New Roman"/>
                <w:b w:val="0"/>
                <w:bCs/>
                <w:color w:val="auto"/>
                <w:sz w:val="24"/>
                <w:highlight w:val="none"/>
                <w:vertAlign w:val="baseline"/>
                <w:lang w:val="en-US" w:eastAsia="zh-CN"/>
              </w:rPr>
              <w:t>360</w:t>
            </w:r>
          </w:p>
        </w:tc>
        <w:tc>
          <w:tcPr>
            <w:tcW w:w="1217" w:type="dxa"/>
            <w:vAlign w:val="center"/>
          </w:tcPr>
          <w:p w14:paraId="4084A8CD">
            <w:pPr>
              <w:spacing w:line="360" w:lineRule="auto"/>
              <w:jc w:val="center"/>
              <w:rPr>
                <w:rFonts w:hint="default" w:ascii="Times New Roman" w:hAnsi="Times New Roman" w:eastAsia="楷体" w:cs="Times New Roman"/>
                <w:b w:val="0"/>
                <w:bCs/>
                <w:color w:val="auto"/>
                <w:sz w:val="24"/>
                <w:highlight w:val="none"/>
                <w:vertAlign w:val="baseline"/>
                <w:lang w:val="en-US" w:eastAsia="zh-CN"/>
              </w:rPr>
            </w:pPr>
            <w:r>
              <w:rPr>
                <w:rFonts w:hint="eastAsia" w:ascii="Times New Roman" w:hAnsi="Times New Roman" w:eastAsia="楷体" w:cs="Times New Roman"/>
                <w:b w:val="0"/>
                <w:bCs/>
                <w:color w:val="auto"/>
                <w:sz w:val="24"/>
                <w:highlight w:val="none"/>
                <w:vertAlign w:val="baseline"/>
                <w:lang w:val="en-US" w:eastAsia="zh-CN"/>
              </w:rPr>
              <w:t>120</w:t>
            </w:r>
          </w:p>
        </w:tc>
        <w:tc>
          <w:tcPr>
            <w:tcW w:w="1217" w:type="dxa"/>
            <w:vAlign w:val="center"/>
          </w:tcPr>
          <w:p w14:paraId="5E59CB0B">
            <w:pPr>
              <w:spacing w:line="360" w:lineRule="auto"/>
              <w:jc w:val="center"/>
              <w:rPr>
                <w:rFonts w:hint="default" w:ascii="Times New Roman" w:hAnsi="Times New Roman" w:eastAsia="楷体" w:cs="Times New Roman"/>
                <w:b w:val="0"/>
                <w:bCs/>
                <w:color w:val="auto"/>
                <w:sz w:val="24"/>
                <w:highlight w:val="none"/>
                <w:vertAlign w:val="baseline"/>
                <w:lang w:val="en-US" w:eastAsia="zh-CN"/>
              </w:rPr>
            </w:pPr>
            <w:r>
              <w:rPr>
                <w:rFonts w:hint="eastAsia" w:ascii="Times New Roman" w:hAnsi="Times New Roman" w:eastAsia="楷体" w:cs="Times New Roman"/>
                <w:b w:val="0"/>
                <w:bCs/>
                <w:color w:val="auto"/>
                <w:sz w:val="24"/>
                <w:highlight w:val="none"/>
                <w:vertAlign w:val="baseline"/>
                <w:lang w:val="en-US" w:eastAsia="zh-CN"/>
              </w:rPr>
              <w:t>150</w:t>
            </w:r>
          </w:p>
        </w:tc>
        <w:tc>
          <w:tcPr>
            <w:tcW w:w="1218" w:type="dxa"/>
            <w:vAlign w:val="center"/>
          </w:tcPr>
          <w:p w14:paraId="7628E72E">
            <w:pPr>
              <w:spacing w:line="360" w:lineRule="auto"/>
              <w:jc w:val="center"/>
              <w:rPr>
                <w:rFonts w:hint="default" w:ascii="Times New Roman" w:hAnsi="Times New Roman" w:eastAsia="楷体" w:cs="Times New Roman"/>
                <w:b w:val="0"/>
                <w:bCs/>
                <w:color w:val="auto"/>
                <w:sz w:val="24"/>
                <w:highlight w:val="none"/>
                <w:vertAlign w:val="baseline"/>
                <w:lang w:val="en-US" w:eastAsia="zh-CN"/>
              </w:rPr>
            </w:pPr>
            <w:r>
              <w:rPr>
                <w:rFonts w:hint="eastAsia" w:ascii="Times New Roman" w:hAnsi="Times New Roman" w:eastAsia="楷体" w:cs="Times New Roman"/>
                <w:b w:val="0"/>
                <w:bCs/>
                <w:color w:val="auto"/>
                <w:sz w:val="24"/>
                <w:highlight w:val="none"/>
                <w:vertAlign w:val="baseline"/>
                <w:lang w:val="en-US" w:eastAsia="zh-CN"/>
              </w:rPr>
              <w:t>40</w:t>
            </w:r>
          </w:p>
        </w:tc>
        <w:tc>
          <w:tcPr>
            <w:tcW w:w="1218" w:type="dxa"/>
            <w:vAlign w:val="center"/>
          </w:tcPr>
          <w:p w14:paraId="7B22D605">
            <w:pPr>
              <w:spacing w:line="360" w:lineRule="auto"/>
              <w:jc w:val="center"/>
              <w:rPr>
                <w:rFonts w:hint="default" w:ascii="Times New Roman" w:hAnsi="Times New Roman" w:eastAsia="楷体" w:cs="Times New Roman"/>
                <w:b w:val="0"/>
                <w:bCs/>
                <w:color w:val="auto"/>
                <w:sz w:val="24"/>
                <w:highlight w:val="none"/>
                <w:vertAlign w:val="baseline"/>
                <w:lang w:val="en-US" w:eastAsia="zh-CN"/>
              </w:rPr>
            </w:pPr>
            <w:r>
              <w:rPr>
                <w:rFonts w:hint="eastAsia" w:ascii="Times New Roman" w:hAnsi="Times New Roman" w:eastAsia="楷体" w:cs="Times New Roman"/>
                <w:b w:val="0"/>
                <w:bCs/>
                <w:color w:val="auto"/>
                <w:sz w:val="24"/>
                <w:highlight w:val="none"/>
                <w:vertAlign w:val="baseline"/>
                <w:lang w:val="en-US" w:eastAsia="zh-CN"/>
              </w:rPr>
              <w:t>50</w:t>
            </w:r>
          </w:p>
        </w:tc>
        <w:tc>
          <w:tcPr>
            <w:tcW w:w="1218" w:type="dxa"/>
            <w:vAlign w:val="center"/>
          </w:tcPr>
          <w:p w14:paraId="55140A6A">
            <w:pPr>
              <w:spacing w:line="360" w:lineRule="auto"/>
              <w:jc w:val="center"/>
              <w:rPr>
                <w:rFonts w:hint="eastAsia" w:ascii="Times New Roman" w:hAnsi="Times New Roman" w:eastAsia="楷体" w:cs="Times New Roman"/>
                <w:b w:val="0"/>
                <w:bCs/>
                <w:color w:val="auto"/>
                <w:sz w:val="24"/>
                <w:highlight w:val="none"/>
                <w:vertAlign w:val="baseline"/>
                <w:lang w:val="en-US" w:eastAsia="zh-CN"/>
              </w:rPr>
            </w:pPr>
            <w:r>
              <w:rPr>
                <w:rFonts w:hint="eastAsia" w:ascii="Times New Roman" w:hAnsi="Times New Roman" w:eastAsia="楷体" w:cs="Times New Roman"/>
                <w:b w:val="0"/>
                <w:bCs/>
                <w:color w:val="auto"/>
                <w:sz w:val="24"/>
                <w:highlight w:val="none"/>
                <w:vertAlign w:val="baseline"/>
                <w:lang w:val="en-US" w:eastAsia="zh-CN"/>
              </w:rPr>
              <w:t>5</w:t>
            </w:r>
          </w:p>
        </w:tc>
      </w:tr>
      <w:tr w14:paraId="742BE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17" w:type="dxa"/>
            <w:vAlign w:val="center"/>
          </w:tcPr>
          <w:p w14:paraId="03B2398F">
            <w:pPr>
              <w:spacing w:line="240" w:lineRule="auto"/>
              <w:jc w:val="center"/>
              <w:rPr>
                <w:rFonts w:hint="default" w:ascii="Times New Roman" w:hAnsi="Times New Roman" w:eastAsia="楷体" w:cs="Times New Roman"/>
                <w:b w:val="0"/>
                <w:bCs/>
                <w:color w:val="auto"/>
                <w:sz w:val="24"/>
                <w:highlight w:val="none"/>
                <w:vertAlign w:val="baseline"/>
                <w:lang w:val="en-US" w:eastAsia="zh-CN"/>
              </w:rPr>
            </w:pPr>
            <w:r>
              <w:rPr>
                <w:rFonts w:hint="eastAsia" w:ascii="Times New Roman" w:hAnsi="Times New Roman" w:eastAsia="楷体" w:cs="Times New Roman"/>
                <w:b w:val="0"/>
                <w:bCs/>
                <w:color w:val="auto"/>
                <w:sz w:val="24"/>
                <w:highlight w:val="none"/>
                <w:vertAlign w:val="baseline"/>
                <w:lang w:val="en-US" w:eastAsia="zh-CN"/>
              </w:rPr>
              <w:t>设计出水水质</w:t>
            </w:r>
          </w:p>
        </w:tc>
        <w:tc>
          <w:tcPr>
            <w:tcW w:w="1217" w:type="dxa"/>
            <w:vAlign w:val="center"/>
          </w:tcPr>
          <w:p w14:paraId="3E1F2AC8">
            <w:pPr>
              <w:spacing w:line="360" w:lineRule="auto"/>
              <w:jc w:val="center"/>
              <w:rPr>
                <w:rFonts w:hint="default" w:ascii="Times New Roman" w:hAnsi="Times New Roman" w:eastAsia="楷体" w:cs="Times New Roman"/>
                <w:b w:val="0"/>
                <w:bCs/>
                <w:color w:val="auto"/>
                <w:sz w:val="24"/>
                <w:highlight w:val="none"/>
                <w:vertAlign w:val="baseline"/>
                <w:lang w:val="en-US" w:eastAsia="zh-CN"/>
              </w:rPr>
            </w:pPr>
            <w:r>
              <w:rPr>
                <w:rFonts w:hint="eastAsia" w:ascii="Times New Roman" w:hAnsi="Times New Roman" w:eastAsia="楷体" w:cs="Times New Roman"/>
                <w:b w:val="0"/>
                <w:bCs/>
                <w:color w:val="auto"/>
                <w:sz w:val="24"/>
                <w:highlight w:val="none"/>
                <w:vertAlign w:val="baseline"/>
                <w:lang w:val="en-US" w:eastAsia="zh-CN"/>
              </w:rPr>
              <w:t>40</w:t>
            </w:r>
          </w:p>
        </w:tc>
        <w:tc>
          <w:tcPr>
            <w:tcW w:w="1217" w:type="dxa"/>
            <w:vAlign w:val="center"/>
          </w:tcPr>
          <w:p w14:paraId="4DD4DE18">
            <w:pPr>
              <w:spacing w:line="360" w:lineRule="auto"/>
              <w:jc w:val="center"/>
              <w:rPr>
                <w:rFonts w:hint="default" w:ascii="Times New Roman" w:hAnsi="Times New Roman" w:eastAsia="楷体" w:cs="Times New Roman"/>
                <w:b w:val="0"/>
                <w:bCs/>
                <w:color w:val="auto"/>
                <w:sz w:val="24"/>
                <w:highlight w:val="none"/>
                <w:vertAlign w:val="baseline"/>
                <w:lang w:val="en-US" w:eastAsia="zh-CN"/>
              </w:rPr>
            </w:pPr>
            <w:r>
              <w:rPr>
                <w:rFonts w:hint="eastAsia" w:ascii="Times New Roman" w:hAnsi="Times New Roman" w:eastAsia="楷体" w:cs="Times New Roman"/>
                <w:b w:val="0"/>
                <w:bCs/>
                <w:color w:val="auto"/>
                <w:sz w:val="24"/>
                <w:highlight w:val="none"/>
                <w:vertAlign w:val="baseline"/>
                <w:lang w:val="en-US" w:eastAsia="zh-CN"/>
              </w:rPr>
              <w:t>10</w:t>
            </w:r>
          </w:p>
        </w:tc>
        <w:tc>
          <w:tcPr>
            <w:tcW w:w="1217" w:type="dxa"/>
            <w:vAlign w:val="center"/>
          </w:tcPr>
          <w:p w14:paraId="0181C2CD">
            <w:pPr>
              <w:spacing w:line="360" w:lineRule="auto"/>
              <w:jc w:val="center"/>
              <w:rPr>
                <w:rFonts w:hint="default" w:ascii="Times New Roman" w:hAnsi="Times New Roman" w:eastAsia="楷体" w:cs="Times New Roman"/>
                <w:b w:val="0"/>
                <w:bCs/>
                <w:color w:val="auto"/>
                <w:sz w:val="24"/>
                <w:highlight w:val="none"/>
                <w:vertAlign w:val="baseline"/>
                <w:lang w:val="en-US" w:eastAsia="zh-CN"/>
              </w:rPr>
            </w:pPr>
            <w:r>
              <w:rPr>
                <w:rFonts w:hint="eastAsia" w:ascii="Times New Roman" w:hAnsi="Times New Roman" w:eastAsia="楷体" w:cs="Times New Roman"/>
                <w:b w:val="0"/>
                <w:bCs/>
                <w:color w:val="auto"/>
                <w:sz w:val="24"/>
                <w:highlight w:val="none"/>
                <w:vertAlign w:val="baseline"/>
                <w:lang w:val="en-US" w:eastAsia="zh-CN"/>
              </w:rPr>
              <w:t>10</w:t>
            </w:r>
          </w:p>
        </w:tc>
        <w:tc>
          <w:tcPr>
            <w:tcW w:w="1218" w:type="dxa"/>
            <w:vAlign w:val="center"/>
          </w:tcPr>
          <w:p w14:paraId="1D4238E9">
            <w:pPr>
              <w:spacing w:line="360" w:lineRule="auto"/>
              <w:jc w:val="center"/>
              <w:rPr>
                <w:rFonts w:hint="eastAsia" w:ascii="Times New Roman" w:hAnsi="Times New Roman" w:eastAsia="楷体" w:cs="Times New Roman"/>
                <w:b w:val="0"/>
                <w:bCs/>
                <w:color w:val="auto"/>
                <w:sz w:val="24"/>
                <w:highlight w:val="none"/>
                <w:vertAlign w:val="baseline"/>
                <w:lang w:val="en-US" w:eastAsia="zh-CN"/>
              </w:rPr>
            </w:pPr>
            <w:r>
              <w:rPr>
                <w:rFonts w:hint="eastAsia" w:ascii="Times New Roman" w:hAnsi="Times New Roman" w:eastAsia="楷体" w:cs="Times New Roman"/>
                <w:b w:val="0"/>
                <w:bCs/>
                <w:color w:val="auto"/>
                <w:sz w:val="24"/>
                <w:highlight w:val="none"/>
                <w:vertAlign w:val="baseline"/>
                <w:lang w:val="en-US" w:eastAsia="zh-CN"/>
              </w:rPr>
              <w:t>3（5）</w:t>
            </w:r>
          </w:p>
        </w:tc>
        <w:tc>
          <w:tcPr>
            <w:tcW w:w="1218" w:type="dxa"/>
            <w:vAlign w:val="center"/>
          </w:tcPr>
          <w:p w14:paraId="2A387F6B">
            <w:pPr>
              <w:spacing w:line="360" w:lineRule="auto"/>
              <w:jc w:val="center"/>
              <w:rPr>
                <w:rFonts w:hint="default" w:ascii="Times New Roman" w:hAnsi="Times New Roman" w:eastAsia="楷体" w:cs="Times New Roman"/>
                <w:b w:val="0"/>
                <w:bCs/>
                <w:color w:val="auto"/>
                <w:sz w:val="24"/>
                <w:highlight w:val="none"/>
                <w:vertAlign w:val="baseline"/>
                <w:lang w:val="en-US" w:eastAsia="zh-CN"/>
              </w:rPr>
            </w:pPr>
            <w:r>
              <w:rPr>
                <w:rFonts w:hint="eastAsia" w:ascii="Times New Roman" w:hAnsi="Times New Roman" w:eastAsia="楷体" w:cs="Times New Roman"/>
                <w:b w:val="0"/>
                <w:bCs/>
                <w:color w:val="auto"/>
                <w:sz w:val="24"/>
                <w:highlight w:val="none"/>
                <w:vertAlign w:val="baseline"/>
                <w:lang w:val="en-US" w:eastAsia="zh-CN"/>
              </w:rPr>
              <w:t>10（12）</w:t>
            </w:r>
          </w:p>
        </w:tc>
        <w:tc>
          <w:tcPr>
            <w:tcW w:w="1218" w:type="dxa"/>
            <w:vAlign w:val="center"/>
          </w:tcPr>
          <w:p w14:paraId="2C30986E">
            <w:pPr>
              <w:spacing w:line="360" w:lineRule="auto"/>
              <w:jc w:val="center"/>
              <w:rPr>
                <w:rFonts w:hint="default" w:ascii="Times New Roman" w:hAnsi="Times New Roman" w:eastAsia="楷体" w:cs="Times New Roman"/>
                <w:b w:val="0"/>
                <w:bCs/>
                <w:color w:val="auto"/>
                <w:sz w:val="24"/>
                <w:highlight w:val="none"/>
                <w:vertAlign w:val="baseline"/>
              </w:rPr>
            </w:pPr>
            <w:r>
              <w:rPr>
                <w:rFonts w:hint="eastAsia" w:ascii="Times New Roman" w:hAnsi="Times New Roman" w:eastAsia="楷体" w:cs="Times New Roman"/>
                <w:b w:val="0"/>
                <w:bCs/>
                <w:color w:val="auto"/>
                <w:sz w:val="24"/>
                <w:highlight w:val="none"/>
                <w:vertAlign w:val="baseline"/>
                <w:lang w:val="en-US" w:eastAsia="zh-CN"/>
              </w:rPr>
              <w:t>0.3</w:t>
            </w:r>
          </w:p>
        </w:tc>
      </w:tr>
    </w:tbl>
    <w:p w14:paraId="7574D839">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rPr>
        <w:t>本项目出水水质执行江苏省地方标准《城镇污水处理厂污染物排放标准》（DB32/4440-2022）中B标准。</w:t>
      </w:r>
    </w:p>
    <w:p w14:paraId="6B412CA7">
      <w:pPr>
        <w:pStyle w:val="6"/>
        <w:numPr>
          <w:ilvl w:val="0"/>
          <w:numId w:val="0"/>
        </w:numPr>
        <w:spacing w:line="360" w:lineRule="auto"/>
        <w:ind w:firstLine="562" w:firstLineChars="200"/>
        <w:rPr>
          <w:rFonts w:hint="default" w:ascii="Times New Roman" w:hAnsi="Times New Roman" w:eastAsia="楷体" w:cs="Times New Roman"/>
          <w:color w:val="auto"/>
          <w:sz w:val="28"/>
          <w:szCs w:val="24"/>
          <w:highlight w:val="none"/>
          <w:lang w:eastAsia="zh-CN"/>
        </w:rPr>
      </w:pPr>
      <w:r>
        <w:rPr>
          <w:rFonts w:hint="default" w:ascii="Times New Roman" w:hAnsi="Times New Roman" w:eastAsia="楷体" w:cs="Times New Roman"/>
          <w:color w:val="auto"/>
          <w:sz w:val="28"/>
          <w:szCs w:val="24"/>
          <w:highlight w:val="none"/>
          <w:lang w:eastAsia="zh-CN"/>
        </w:rPr>
        <w:t>（</w:t>
      </w:r>
      <w:r>
        <w:rPr>
          <w:rFonts w:hint="default" w:ascii="Times New Roman" w:hAnsi="Times New Roman" w:eastAsia="楷体" w:cs="Times New Roman"/>
          <w:color w:val="auto"/>
          <w:sz w:val="28"/>
          <w:szCs w:val="24"/>
          <w:highlight w:val="none"/>
          <w:lang w:val="en-US" w:eastAsia="zh-CN"/>
        </w:rPr>
        <w:t>2</w:t>
      </w:r>
      <w:r>
        <w:rPr>
          <w:rFonts w:hint="default" w:ascii="Times New Roman" w:hAnsi="Times New Roman" w:eastAsia="楷体" w:cs="Times New Roman"/>
          <w:color w:val="auto"/>
          <w:sz w:val="28"/>
          <w:szCs w:val="24"/>
          <w:highlight w:val="none"/>
          <w:lang w:eastAsia="zh-CN"/>
        </w:rPr>
        <w:t>）</w:t>
      </w:r>
      <w:r>
        <w:rPr>
          <w:rFonts w:hint="default" w:ascii="Times New Roman" w:hAnsi="Times New Roman" w:eastAsia="楷体" w:cs="Times New Roman"/>
          <w:color w:val="auto"/>
          <w:sz w:val="28"/>
          <w:szCs w:val="24"/>
          <w:highlight w:val="none"/>
          <w:lang w:val="en-US" w:eastAsia="zh-CN"/>
        </w:rPr>
        <w:t>污泥</w:t>
      </w:r>
      <w:r>
        <w:rPr>
          <w:rFonts w:hint="eastAsia" w:eastAsia="楷体" w:cs="Times New Roman"/>
          <w:color w:val="auto"/>
          <w:sz w:val="28"/>
          <w:szCs w:val="24"/>
          <w:highlight w:val="none"/>
          <w:lang w:val="en-US" w:eastAsia="zh-CN"/>
        </w:rPr>
        <w:t>运输、处置</w:t>
      </w:r>
    </w:p>
    <w:p w14:paraId="37F82FE7">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lang w:val="en-US" w:eastAsia="zh-CN"/>
        </w:rPr>
      </w:pPr>
      <w:r>
        <w:rPr>
          <w:rFonts w:hint="default" w:ascii="Times New Roman" w:hAnsi="Times New Roman" w:eastAsia="楷体" w:cs="Times New Roman"/>
          <w:color w:val="auto"/>
          <w:sz w:val="28"/>
          <w:szCs w:val="28"/>
          <w:highlight w:val="none"/>
        </w:rPr>
        <w:t>根据项目可行性研究报告，本项目污泥需达到含水率小于</w:t>
      </w:r>
      <w:r>
        <w:rPr>
          <w:rFonts w:hint="default" w:ascii="Times New Roman" w:hAnsi="Times New Roman" w:eastAsia="楷体" w:cs="Times New Roman"/>
          <w:color w:val="auto"/>
          <w:sz w:val="28"/>
          <w:szCs w:val="28"/>
          <w:highlight w:val="none"/>
          <w:lang w:val="en-US" w:eastAsia="zh-CN"/>
        </w:rPr>
        <w:t>8</w:t>
      </w:r>
      <w:r>
        <w:rPr>
          <w:rFonts w:hint="default" w:ascii="Times New Roman" w:hAnsi="Times New Roman" w:eastAsia="楷体" w:cs="Times New Roman"/>
          <w:color w:val="auto"/>
          <w:sz w:val="28"/>
          <w:szCs w:val="28"/>
          <w:highlight w:val="none"/>
        </w:rPr>
        <w:t>0%的要求后进行外运</w:t>
      </w:r>
      <w:r>
        <w:rPr>
          <w:rFonts w:hint="eastAsia" w:ascii="Times New Roman" w:hAnsi="Times New Roman" w:eastAsia="楷体" w:cs="Times New Roman"/>
          <w:color w:val="auto"/>
          <w:sz w:val="28"/>
          <w:szCs w:val="28"/>
          <w:highlight w:val="none"/>
          <w:lang w:val="en-US" w:eastAsia="zh-CN"/>
        </w:rPr>
        <w:t>处置</w:t>
      </w:r>
      <w:r>
        <w:rPr>
          <w:rFonts w:hint="default" w:ascii="Times New Roman" w:hAnsi="Times New Roman" w:eastAsia="楷体" w:cs="Times New Roman"/>
          <w:color w:val="auto"/>
          <w:sz w:val="28"/>
          <w:szCs w:val="28"/>
          <w:highlight w:val="none"/>
        </w:rPr>
        <w:t>。</w:t>
      </w:r>
      <w:r>
        <w:rPr>
          <w:rFonts w:hint="eastAsia" w:ascii="Times New Roman" w:hAnsi="Times New Roman" w:eastAsia="楷体" w:cs="Times New Roman"/>
          <w:color w:val="auto"/>
          <w:sz w:val="28"/>
          <w:szCs w:val="28"/>
          <w:highlight w:val="none"/>
          <w:lang w:val="en-US" w:eastAsia="zh-CN"/>
        </w:rPr>
        <w:t>特许经营者或其组建的项目公司应保证出厂的污泥含水率小于80%，不承担污泥外运和处置工作，污泥运输、处置单位由政府方按照政府采购相关规定通过公开的采购程序确定，运输、处置费用由政府方另行承担。</w:t>
      </w:r>
    </w:p>
    <w:p w14:paraId="2BDCED5F">
      <w:pPr>
        <w:pStyle w:val="6"/>
        <w:numPr>
          <w:ilvl w:val="0"/>
          <w:numId w:val="0"/>
        </w:numPr>
        <w:spacing w:line="360" w:lineRule="auto"/>
        <w:ind w:firstLine="562" w:firstLineChars="200"/>
        <w:jc w:val="both"/>
        <w:rPr>
          <w:rFonts w:hint="default" w:ascii="Times New Roman" w:hAnsi="Times New Roman" w:eastAsia="楷体" w:cs="Times New Roman"/>
          <w:color w:val="auto"/>
          <w:sz w:val="28"/>
          <w:szCs w:val="24"/>
          <w:highlight w:val="none"/>
          <w:lang w:eastAsia="zh-CN"/>
        </w:rPr>
      </w:pPr>
      <w:r>
        <w:rPr>
          <w:rFonts w:hint="default" w:ascii="Times New Roman" w:hAnsi="Times New Roman" w:eastAsia="楷体" w:cs="Times New Roman"/>
          <w:color w:val="auto"/>
          <w:sz w:val="28"/>
          <w:szCs w:val="24"/>
          <w:highlight w:val="none"/>
          <w:lang w:eastAsia="zh-CN"/>
        </w:rPr>
        <w:t>（</w:t>
      </w:r>
      <w:r>
        <w:rPr>
          <w:rFonts w:hint="default" w:ascii="Times New Roman" w:hAnsi="Times New Roman" w:eastAsia="楷体" w:cs="Times New Roman"/>
          <w:color w:val="auto"/>
          <w:sz w:val="28"/>
          <w:szCs w:val="24"/>
          <w:highlight w:val="none"/>
          <w:lang w:val="en-US" w:eastAsia="zh-CN"/>
        </w:rPr>
        <w:t>3</w:t>
      </w:r>
      <w:r>
        <w:rPr>
          <w:rFonts w:hint="default" w:ascii="Times New Roman" w:hAnsi="Times New Roman" w:eastAsia="楷体" w:cs="Times New Roman"/>
          <w:color w:val="auto"/>
          <w:sz w:val="28"/>
          <w:szCs w:val="24"/>
          <w:highlight w:val="none"/>
          <w:lang w:eastAsia="zh-CN"/>
        </w:rPr>
        <w:t>）提标改造</w:t>
      </w:r>
    </w:p>
    <w:p w14:paraId="5285DF11">
      <w:pPr>
        <w:pStyle w:val="34"/>
        <w:widowControl/>
        <w:shd w:val="clear" w:color="auto" w:fill="FFFFFF"/>
        <w:spacing w:beforeAutospacing="0" w:afterAutospacing="0"/>
        <w:ind w:firstLine="560" w:firstLineChars="200"/>
        <w:jc w:val="both"/>
        <w:rPr>
          <w:rFonts w:hint="eastAsia" w:ascii="Times New Roman" w:hAnsi="Times New Roman" w:eastAsia="楷体" w:cs="Times New Roman"/>
          <w:color w:val="auto"/>
          <w:sz w:val="28"/>
          <w:szCs w:val="28"/>
          <w:highlight w:val="none"/>
          <w:lang w:val="en-US" w:eastAsia="zh-CN"/>
        </w:rPr>
      </w:pPr>
      <w:r>
        <w:rPr>
          <w:rFonts w:hint="default" w:ascii="Times New Roman" w:hAnsi="Times New Roman" w:eastAsia="楷体" w:cs="Times New Roman"/>
          <w:color w:val="auto"/>
          <w:sz w:val="28"/>
          <w:szCs w:val="28"/>
          <w:highlight w:val="none"/>
        </w:rPr>
        <w:t>本项目如遇国家污水处理标准提升、节能减排等政策要求需对污水处理厂进行升级改造、包括工艺参数的调整、药剂选用的调整</w:t>
      </w:r>
      <w:r>
        <w:rPr>
          <w:rFonts w:hint="eastAsia" w:ascii="Times New Roman" w:hAnsi="Times New Roman" w:eastAsia="楷体" w:cs="Times New Roman"/>
          <w:color w:val="auto"/>
          <w:sz w:val="28"/>
          <w:szCs w:val="28"/>
          <w:highlight w:val="none"/>
          <w:lang w:eastAsia="zh-CN"/>
        </w:rPr>
        <w:t>等</w:t>
      </w:r>
      <w:r>
        <w:rPr>
          <w:rFonts w:hint="default" w:ascii="Times New Roman" w:hAnsi="Times New Roman" w:eastAsia="楷体" w:cs="Times New Roman"/>
          <w:color w:val="auto"/>
          <w:sz w:val="28"/>
          <w:szCs w:val="28"/>
          <w:highlight w:val="none"/>
        </w:rPr>
        <w:t>情形，可由特许经营者或其组建的项目公司直接按要求进行</w:t>
      </w:r>
      <w:r>
        <w:rPr>
          <w:rFonts w:hint="default" w:ascii="Times New Roman" w:hAnsi="Times New Roman" w:eastAsia="楷体" w:cs="Times New Roman"/>
          <w:color w:val="auto"/>
          <w:sz w:val="28"/>
          <w:szCs w:val="28"/>
          <w:highlight w:val="none"/>
          <w:lang w:val="en-US" w:eastAsia="zh-CN"/>
        </w:rPr>
        <w:t>改造建设。甲、乙双方应就相关投资方案进行协商给予</w:t>
      </w:r>
      <w:r>
        <w:rPr>
          <w:rFonts w:hint="eastAsia" w:ascii="Times New Roman" w:hAnsi="Times New Roman" w:eastAsia="楷体" w:cs="Times New Roman"/>
          <w:color w:val="auto"/>
          <w:sz w:val="28"/>
          <w:szCs w:val="28"/>
          <w:highlight w:val="none"/>
          <w:lang w:val="en-US" w:eastAsia="zh-CN"/>
        </w:rPr>
        <w:t>特许经营者或其组建的项目公司</w:t>
      </w:r>
      <w:r>
        <w:rPr>
          <w:rFonts w:hint="default" w:ascii="Times New Roman" w:hAnsi="Times New Roman" w:eastAsia="楷体" w:cs="Times New Roman"/>
          <w:color w:val="auto"/>
          <w:sz w:val="28"/>
          <w:szCs w:val="28"/>
          <w:highlight w:val="none"/>
          <w:lang w:val="en-US" w:eastAsia="zh-CN"/>
        </w:rPr>
        <w:t>经济补偿</w:t>
      </w:r>
      <w:r>
        <w:rPr>
          <w:rFonts w:hint="eastAsia" w:ascii="Times New Roman" w:hAnsi="Times New Roman" w:eastAsia="楷体" w:cs="Times New Roman"/>
          <w:color w:val="auto"/>
          <w:sz w:val="28"/>
          <w:szCs w:val="28"/>
          <w:highlight w:val="none"/>
          <w:lang w:val="en-US" w:eastAsia="zh-CN"/>
        </w:rPr>
        <w:t>，具体补偿方式如下：</w:t>
      </w:r>
    </w:p>
    <w:p w14:paraId="5718DA89">
      <w:pPr>
        <w:pStyle w:val="34"/>
        <w:widowControl/>
        <w:shd w:val="clear" w:color="auto" w:fill="FFFFFF"/>
        <w:spacing w:beforeAutospacing="0" w:afterAutospacing="0"/>
        <w:ind w:firstLine="560" w:firstLineChars="200"/>
        <w:jc w:val="both"/>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1）如所增加的投资成本由政府方或政府指定的机构承担，且特许经营者或其组建的项目公司由此增加了运营成本，由双方协商对届时执行的污水处理服务费单价进行调整或者采用其它双方认可的方式（如延长特许经营期）进行补偿；</w:t>
      </w:r>
    </w:p>
    <w:p w14:paraId="7C1CDB6A">
      <w:pPr>
        <w:pStyle w:val="34"/>
        <w:widowControl/>
        <w:shd w:val="clear" w:color="auto" w:fill="FFFFFF"/>
        <w:spacing w:beforeAutospacing="0" w:afterAutospacing="0"/>
        <w:ind w:firstLine="560" w:firstLineChars="200"/>
        <w:jc w:val="both"/>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2）如所增加的投资成本由特许经营者或其组建的项目公司承担，特许经营者或其组建的项目公司由此增加的投资费用及运营成本的补偿方案由双方共同协商，补偿方式包括：</w:t>
      </w:r>
    </w:p>
    <w:p w14:paraId="5B809C6C">
      <w:pPr>
        <w:pStyle w:val="34"/>
        <w:widowControl/>
        <w:shd w:val="clear" w:color="auto" w:fill="FFFFFF"/>
        <w:spacing w:beforeAutospacing="0" w:afterAutospacing="0"/>
        <w:ind w:firstLine="560" w:firstLineChars="200"/>
        <w:jc w:val="both"/>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①申请调整污水处理服务费单价的方式获得相应补偿；或者</w:t>
      </w:r>
    </w:p>
    <w:p w14:paraId="0B233C30">
      <w:pPr>
        <w:pStyle w:val="34"/>
        <w:widowControl/>
        <w:shd w:val="clear" w:color="auto" w:fill="FFFFFF"/>
        <w:spacing w:beforeAutospacing="0" w:afterAutospacing="0"/>
        <w:ind w:firstLine="560" w:firstLineChars="200"/>
        <w:jc w:val="both"/>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②延长特许经营期限；或者</w:t>
      </w:r>
    </w:p>
    <w:p w14:paraId="103207B9">
      <w:pPr>
        <w:pStyle w:val="34"/>
        <w:widowControl/>
        <w:shd w:val="clear" w:color="auto" w:fill="FFFFFF"/>
        <w:spacing w:beforeAutospacing="0" w:afterAutospacing="0"/>
        <w:ind w:firstLine="560" w:firstLineChars="200"/>
        <w:jc w:val="both"/>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③投资支出由政府通过财政补贴的方式予以直接补偿；运营成本的增加由双方协商对届时执行的污水处理服务费单价进行调整；或者</w:t>
      </w:r>
    </w:p>
    <w:p w14:paraId="4C538E3E">
      <w:pPr>
        <w:pStyle w:val="34"/>
        <w:widowControl/>
        <w:shd w:val="clear" w:color="auto" w:fill="FFFFFF"/>
        <w:spacing w:beforeAutospacing="0" w:afterAutospacing="0"/>
        <w:ind w:firstLine="560" w:firstLineChars="200"/>
        <w:jc w:val="both"/>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④采用其它双方认可的方式进行补偿。</w:t>
      </w:r>
    </w:p>
    <w:p w14:paraId="25ED6EA7">
      <w:pPr>
        <w:pStyle w:val="6"/>
        <w:numPr>
          <w:ilvl w:val="0"/>
          <w:numId w:val="0"/>
        </w:numPr>
        <w:spacing w:line="360" w:lineRule="auto"/>
        <w:ind w:firstLine="562" w:firstLineChars="200"/>
        <w:rPr>
          <w:rFonts w:hint="default" w:ascii="Times New Roman" w:hAnsi="Times New Roman" w:eastAsia="楷体" w:cs="Times New Roman"/>
          <w:color w:val="auto"/>
          <w:sz w:val="28"/>
          <w:szCs w:val="24"/>
          <w:highlight w:val="none"/>
          <w:lang w:val="en-US" w:eastAsia="zh-CN"/>
        </w:rPr>
      </w:pPr>
      <w:r>
        <w:rPr>
          <w:rFonts w:hint="default" w:ascii="Times New Roman" w:hAnsi="Times New Roman" w:eastAsia="楷体" w:cs="Times New Roman"/>
          <w:color w:val="auto"/>
          <w:sz w:val="28"/>
          <w:szCs w:val="24"/>
          <w:highlight w:val="none"/>
          <w:lang w:val="en-US" w:eastAsia="zh-CN"/>
        </w:rPr>
        <w:t>（4）项目中大修安排</w:t>
      </w:r>
    </w:p>
    <w:p w14:paraId="61B3784B">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lang w:val="en-US" w:eastAsia="zh-CN"/>
        </w:rPr>
      </w:pPr>
      <w:r>
        <w:rPr>
          <w:rFonts w:hint="default" w:ascii="Times New Roman" w:hAnsi="Times New Roman" w:eastAsia="楷体" w:cs="Times New Roman"/>
          <w:color w:val="auto"/>
          <w:sz w:val="28"/>
          <w:szCs w:val="28"/>
          <w:highlight w:val="none"/>
          <w:lang w:val="en-US" w:eastAsia="zh-CN"/>
        </w:rPr>
        <w:t>在特许经营期内，</w:t>
      </w:r>
      <w:r>
        <w:rPr>
          <w:rFonts w:hint="eastAsia" w:ascii="Times New Roman" w:hAnsi="Times New Roman" w:eastAsia="楷体" w:cs="Times New Roman"/>
          <w:color w:val="auto"/>
          <w:sz w:val="28"/>
          <w:szCs w:val="28"/>
          <w:highlight w:val="none"/>
          <w:lang w:val="en-US" w:eastAsia="zh-CN"/>
        </w:rPr>
        <w:t>特许经营者或其组建的项目公司</w:t>
      </w:r>
      <w:r>
        <w:rPr>
          <w:rFonts w:hint="default" w:ascii="Times New Roman" w:hAnsi="Times New Roman" w:eastAsia="楷体" w:cs="Times New Roman"/>
          <w:color w:val="auto"/>
          <w:sz w:val="28"/>
          <w:szCs w:val="28"/>
          <w:highlight w:val="none"/>
          <w:lang w:val="en-US" w:eastAsia="zh-CN"/>
        </w:rPr>
        <w:t>按照特许经营协议的约定负责项目设施设备的中大修，中大修方案需报实施机构备案，中大修费用由</w:t>
      </w:r>
      <w:r>
        <w:rPr>
          <w:rFonts w:hint="eastAsia" w:ascii="Times New Roman" w:hAnsi="Times New Roman" w:eastAsia="楷体" w:cs="Times New Roman"/>
          <w:color w:val="auto"/>
          <w:sz w:val="28"/>
          <w:szCs w:val="28"/>
          <w:highlight w:val="none"/>
          <w:lang w:val="en-US" w:eastAsia="zh-CN"/>
        </w:rPr>
        <w:t>特许经营者或其组建的项目公司</w:t>
      </w:r>
      <w:r>
        <w:rPr>
          <w:rFonts w:hint="default" w:ascii="Times New Roman" w:hAnsi="Times New Roman" w:eastAsia="楷体" w:cs="Times New Roman"/>
          <w:color w:val="auto"/>
          <w:sz w:val="28"/>
          <w:szCs w:val="28"/>
          <w:highlight w:val="none"/>
          <w:lang w:val="en-US" w:eastAsia="zh-CN"/>
        </w:rPr>
        <w:t>自行承担，在中大修工作完工后，</w:t>
      </w:r>
      <w:r>
        <w:rPr>
          <w:rFonts w:hint="eastAsia" w:ascii="Times New Roman" w:hAnsi="Times New Roman" w:eastAsia="楷体" w:cs="Times New Roman"/>
          <w:color w:val="auto"/>
          <w:sz w:val="28"/>
          <w:szCs w:val="28"/>
          <w:highlight w:val="none"/>
          <w:lang w:val="en-US" w:eastAsia="zh-CN"/>
        </w:rPr>
        <w:t>特许经营者</w:t>
      </w:r>
      <w:r>
        <w:rPr>
          <w:rFonts w:hint="default" w:ascii="Times New Roman" w:hAnsi="Times New Roman" w:eastAsia="楷体" w:cs="Times New Roman"/>
          <w:color w:val="auto"/>
          <w:sz w:val="28"/>
          <w:szCs w:val="28"/>
          <w:highlight w:val="none"/>
          <w:lang w:val="en-US" w:eastAsia="zh-CN"/>
        </w:rPr>
        <w:t>或其组建的项目公司应依法组织验收。中大修若需要停运设施的，还须报实施机构批准。</w:t>
      </w:r>
      <w:r>
        <w:rPr>
          <w:rFonts w:hint="eastAsia" w:ascii="Times New Roman" w:hAnsi="Times New Roman" w:eastAsia="楷体" w:cs="Times New Roman"/>
          <w:color w:val="auto"/>
          <w:sz w:val="28"/>
          <w:szCs w:val="28"/>
          <w:highlight w:val="none"/>
          <w:lang w:val="en-US" w:eastAsia="zh-CN"/>
        </w:rPr>
        <w:t>为了确保中大修费用专款专用，特许经营者或其组建的项目公司需将中大修费用存入政府方与特许经营者或其组建的项目公司双方共同监管的维修资金账户，按照特许经营协议的约定使用。</w:t>
      </w:r>
    </w:p>
    <w:p w14:paraId="2A7F5CD1">
      <w:pPr>
        <w:pStyle w:val="6"/>
        <w:numPr>
          <w:ilvl w:val="0"/>
          <w:numId w:val="0"/>
        </w:numPr>
        <w:spacing w:line="360" w:lineRule="auto"/>
        <w:ind w:firstLine="562" w:firstLineChars="200"/>
        <w:rPr>
          <w:rFonts w:hint="default" w:ascii="Times New Roman" w:hAnsi="Times New Roman" w:eastAsia="楷体" w:cs="Times New Roman"/>
          <w:color w:val="auto"/>
          <w:sz w:val="28"/>
          <w:szCs w:val="24"/>
          <w:highlight w:val="none"/>
          <w:lang w:val="en-US" w:eastAsia="zh-CN"/>
        </w:rPr>
      </w:pPr>
      <w:r>
        <w:rPr>
          <w:rFonts w:hint="default" w:ascii="Times New Roman" w:hAnsi="Times New Roman" w:eastAsia="楷体" w:cs="Times New Roman"/>
          <w:color w:val="auto"/>
          <w:sz w:val="28"/>
          <w:szCs w:val="24"/>
          <w:highlight w:val="none"/>
          <w:lang w:val="en-US" w:eastAsia="zh-CN"/>
        </w:rPr>
        <w:t>（5）项目设备重置</w:t>
      </w:r>
    </w:p>
    <w:p w14:paraId="18192D90">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rPr>
        <w:t>按照污水处理</w:t>
      </w:r>
      <w:r>
        <w:rPr>
          <w:rFonts w:hint="default" w:ascii="Times New Roman" w:hAnsi="Times New Roman" w:eastAsia="楷体" w:cs="Times New Roman"/>
          <w:color w:val="auto"/>
          <w:sz w:val="28"/>
          <w:szCs w:val="28"/>
          <w:highlight w:val="none"/>
          <w:lang w:val="en-US" w:eastAsia="zh-CN"/>
        </w:rPr>
        <w:t>设施</w:t>
      </w:r>
      <w:r>
        <w:rPr>
          <w:rFonts w:hint="default" w:ascii="Times New Roman" w:hAnsi="Times New Roman" w:eastAsia="楷体" w:cs="Times New Roman"/>
          <w:color w:val="auto"/>
          <w:sz w:val="28"/>
          <w:szCs w:val="28"/>
          <w:highlight w:val="none"/>
        </w:rPr>
        <w:t>设备、管网及</w:t>
      </w:r>
      <w:r>
        <w:rPr>
          <w:rFonts w:hint="default" w:ascii="Times New Roman" w:hAnsi="Times New Roman" w:eastAsia="楷体" w:cs="Times New Roman"/>
          <w:color w:val="auto"/>
          <w:sz w:val="28"/>
          <w:szCs w:val="28"/>
          <w:highlight w:val="none"/>
          <w:lang w:val="en-US" w:eastAsia="zh-CN"/>
        </w:rPr>
        <w:t>泵站</w:t>
      </w:r>
      <w:r>
        <w:rPr>
          <w:rFonts w:hint="default" w:ascii="Times New Roman" w:hAnsi="Times New Roman" w:eastAsia="楷体" w:cs="Times New Roman"/>
          <w:color w:val="auto"/>
          <w:sz w:val="28"/>
          <w:szCs w:val="28"/>
          <w:highlight w:val="none"/>
        </w:rPr>
        <w:t>的生命周期，特许经营者或其组建的项目公司应在项目</w:t>
      </w:r>
      <w:r>
        <w:rPr>
          <w:rFonts w:hint="default" w:ascii="Times New Roman" w:hAnsi="Times New Roman" w:eastAsia="楷体" w:cs="Times New Roman"/>
          <w:color w:val="auto"/>
          <w:sz w:val="28"/>
          <w:szCs w:val="28"/>
          <w:highlight w:val="none"/>
          <w:lang w:val="en-US" w:eastAsia="zh-CN"/>
        </w:rPr>
        <w:t>特许经营期</w:t>
      </w:r>
      <w:r>
        <w:rPr>
          <w:rFonts w:hint="default" w:ascii="Times New Roman" w:hAnsi="Times New Roman" w:eastAsia="楷体" w:cs="Times New Roman"/>
          <w:color w:val="auto"/>
          <w:sz w:val="28"/>
          <w:szCs w:val="28"/>
          <w:highlight w:val="none"/>
        </w:rPr>
        <w:t>内合理安排设备重置工作，以保证污水处理厂设施的持续运转。本项目设备设施重置，应由</w:t>
      </w:r>
      <w:r>
        <w:rPr>
          <w:rFonts w:hint="eastAsia" w:ascii="Times New Roman" w:hAnsi="Times New Roman" w:eastAsia="楷体" w:cs="Times New Roman"/>
          <w:color w:val="auto"/>
          <w:sz w:val="28"/>
          <w:szCs w:val="28"/>
          <w:highlight w:val="none"/>
          <w:lang w:val="en-US" w:eastAsia="zh-CN"/>
        </w:rPr>
        <w:t>特许经营者</w:t>
      </w:r>
      <w:r>
        <w:rPr>
          <w:rFonts w:hint="default" w:ascii="Times New Roman" w:hAnsi="Times New Roman" w:eastAsia="楷体" w:cs="Times New Roman"/>
          <w:color w:val="auto"/>
          <w:sz w:val="28"/>
          <w:szCs w:val="28"/>
          <w:highlight w:val="none"/>
        </w:rPr>
        <w:t>或其组建的项目公司在满足下列条件的情况下负责实施：</w:t>
      </w:r>
    </w:p>
    <w:p w14:paraId="6D1B04CE">
      <w:pPr>
        <w:pStyle w:val="34"/>
        <w:widowControl/>
        <w:shd w:val="clear" w:color="auto" w:fill="FFFFFF"/>
        <w:spacing w:beforeAutospacing="0" w:afterAutospacing="0"/>
        <w:ind w:firstLine="560" w:firstLineChars="200"/>
        <w:jc w:val="both"/>
        <w:rPr>
          <w:rFonts w:hint="eastAsia"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val="en-US" w:eastAsia="zh-CN"/>
        </w:rPr>
        <w:t>①</w:t>
      </w:r>
      <w:r>
        <w:rPr>
          <w:rFonts w:hint="default" w:ascii="Times New Roman" w:hAnsi="Times New Roman" w:eastAsia="楷体" w:cs="Times New Roman"/>
          <w:color w:val="auto"/>
          <w:sz w:val="28"/>
          <w:szCs w:val="28"/>
          <w:highlight w:val="none"/>
        </w:rPr>
        <w:t>为该等重置所采购的设备应为全新的、符合污水处理设施对届时的处理容量和处理标准要求的设施，且不低于原有设备和设施的性能和技术指标</w:t>
      </w:r>
      <w:r>
        <w:rPr>
          <w:rFonts w:hint="eastAsia" w:ascii="Times New Roman" w:hAnsi="Times New Roman" w:eastAsia="楷体" w:cs="Times New Roman"/>
          <w:color w:val="auto"/>
          <w:sz w:val="28"/>
          <w:szCs w:val="28"/>
          <w:highlight w:val="none"/>
          <w:lang w:eastAsia="zh-CN"/>
        </w:rPr>
        <w:t>。</w:t>
      </w:r>
    </w:p>
    <w:p w14:paraId="5506169C">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val="en-US" w:eastAsia="zh-CN"/>
        </w:rPr>
        <w:t>②</w:t>
      </w:r>
      <w:r>
        <w:rPr>
          <w:rFonts w:hint="default" w:ascii="Times New Roman" w:hAnsi="Times New Roman" w:eastAsia="楷体" w:cs="Times New Roman"/>
          <w:color w:val="auto"/>
          <w:sz w:val="28"/>
          <w:szCs w:val="28"/>
          <w:highlight w:val="none"/>
        </w:rPr>
        <w:t>在实施该等重置前</w:t>
      </w:r>
      <w:r>
        <w:rPr>
          <w:rFonts w:hint="eastAsia" w:ascii="Times New Roman" w:hAnsi="Times New Roman" w:eastAsia="楷体" w:cs="Times New Roman"/>
          <w:color w:val="auto"/>
          <w:sz w:val="28"/>
          <w:szCs w:val="28"/>
          <w:highlight w:val="none"/>
          <w:lang w:val="en-US" w:eastAsia="zh-CN"/>
        </w:rPr>
        <w:t>一个运营年度</w:t>
      </w:r>
      <w:r>
        <w:rPr>
          <w:rFonts w:hint="default" w:ascii="Times New Roman" w:hAnsi="Times New Roman" w:eastAsia="楷体" w:cs="Times New Roman"/>
          <w:color w:val="auto"/>
          <w:sz w:val="28"/>
          <w:szCs w:val="28"/>
          <w:highlight w:val="none"/>
        </w:rPr>
        <w:t>，书面向</w:t>
      </w:r>
      <w:r>
        <w:rPr>
          <w:rFonts w:hint="default" w:ascii="Times New Roman" w:hAnsi="Times New Roman" w:eastAsia="楷体" w:cs="Times New Roman"/>
          <w:color w:val="auto"/>
          <w:sz w:val="28"/>
          <w:szCs w:val="28"/>
          <w:highlight w:val="none"/>
          <w:lang w:val="en-US" w:eastAsia="zh-CN"/>
        </w:rPr>
        <w:t>实施机构</w:t>
      </w:r>
      <w:r>
        <w:rPr>
          <w:rFonts w:hint="eastAsia" w:ascii="Times New Roman" w:hAnsi="Times New Roman" w:eastAsia="楷体" w:cs="Times New Roman"/>
          <w:color w:val="auto"/>
          <w:sz w:val="28"/>
          <w:szCs w:val="28"/>
          <w:highlight w:val="none"/>
          <w:lang w:val="en-US" w:eastAsia="zh-CN"/>
        </w:rPr>
        <w:t>报批</w:t>
      </w:r>
      <w:r>
        <w:rPr>
          <w:rFonts w:hint="default" w:ascii="Times New Roman" w:hAnsi="Times New Roman" w:eastAsia="楷体" w:cs="Times New Roman"/>
          <w:color w:val="auto"/>
          <w:sz w:val="28"/>
          <w:szCs w:val="28"/>
          <w:highlight w:val="none"/>
        </w:rPr>
        <w:t>《更新重置和追加投资计划》</w:t>
      </w:r>
      <w:r>
        <w:rPr>
          <w:rFonts w:hint="eastAsia" w:ascii="Times New Roman" w:hAnsi="Times New Roman" w:eastAsia="楷体" w:cs="Times New Roman"/>
          <w:color w:val="auto"/>
          <w:sz w:val="28"/>
          <w:szCs w:val="28"/>
          <w:highlight w:val="none"/>
          <w:lang w:eastAsia="zh-CN"/>
        </w:rPr>
        <w:t>，</w:t>
      </w:r>
      <w:r>
        <w:rPr>
          <w:rFonts w:hint="eastAsia" w:ascii="Times New Roman" w:hAnsi="Times New Roman" w:eastAsia="楷体" w:cs="Times New Roman"/>
          <w:color w:val="auto"/>
          <w:sz w:val="28"/>
          <w:szCs w:val="28"/>
          <w:highlight w:val="none"/>
          <w:lang w:val="en-US" w:eastAsia="zh-CN"/>
        </w:rPr>
        <w:t>经实施机构和区财政局联合批准同意后方可实施</w:t>
      </w:r>
      <w:r>
        <w:rPr>
          <w:rFonts w:hint="default" w:ascii="Times New Roman" w:hAnsi="Times New Roman" w:eastAsia="楷体" w:cs="Times New Roman"/>
          <w:color w:val="auto"/>
          <w:sz w:val="28"/>
          <w:szCs w:val="28"/>
          <w:highlight w:val="none"/>
        </w:rPr>
        <w:t>。</w:t>
      </w:r>
    </w:p>
    <w:p w14:paraId="333775B6">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lang w:val="en-US" w:eastAsia="zh-CN"/>
        </w:rPr>
      </w:pPr>
      <w:r>
        <w:rPr>
          <w:rFonts w:hint="default" w:ascii="Times New Roman" w:hAnsi="Times New Roman" w:eastAsia="楷体" w:cs="Times New Roman"/>
          <w:color w:val="auto"/>
          <w:sz w:val="28"/>
          <w:szCs w:val="28"/>
          <w:highlight w:val="none"/>
          <w:lang w:val="en-US" w:eastAsia="zh-CN"/>
        </w:rPr>
        <w:t>③</w:t>
      </w:r>
      <w:r>
        <w:rPr>
          <w:rFonts w:hint="eastAsia" w:ascii="Times New Roman" w:hAnsi="Times New Roman" w:eastAsia="楷体" w:cs="Times New Roman"/>
          <w:color w:val="auto"/>
          <w:sz w:val="28"/>
          <w:szCs w:val="28"/>
          <w:highlight w:val="none"/>
          <w:lang w:val="en-US" w:eastAsia="zh-CN"/>
        </w:rPr>
        <w:t>特许经营者</w:t>
      </w:r>
      <w:r>
        <w:rPr>
          <w:rFonts w:hint="default" w:ascii="Times New Roman" w:hAnsi="Times New Roman" w:eastAsia="楷体" w:cs="Times New Roman"/>
          <w:color w:val="auto"/>
          <w:sz w:val="28"/>
          <w:szCs w:val="28"/>
          <w:highlight w:val="none"/>
        </w:rPr>
        <w:t>或其组建的项目公司</w:t>
      </w:r>
      <w:r>
        <w:rPr>
          <w:rFonts w:hint="eastAsia" w:ascii="Times New Roman" w:hAnsi="Times New Roman" w:eastAsia="楷体" w:cs="Times New Roman"/>
          <w:color w:val="auto"/>
          <w:sz w:val="28"/>
          <w:szCs w:val="28"/>
          <w:highlight w:val="none"/>
          <w:lang w:val="en-US" w:eastAsia="zh-CN"/>
        </w:rPr>
        <w:t>在政府方批复的</w:t>
      </w:r>
      <w:r>
        <w:rPr>
          <w:rFonts w:hint="default" w:ascii="Times New Roman" w:hAnsi="Times New Roman" w:eastAsia="楷体" w:cs="Times New Roman"/>
          <w:color w:val="auto"/>
          <w:sz w:val="28"/>
          <w:szCs w:val="28"/>
          <w:highlight w:val="none"/>
        </w:rPr>
        <w:t>《更新重置和追加投资计划》</w:t>
      </w:r>
      <w:r>
        <w:rPr>
          <w:rFonts w:hint="eastAsia" w:ascii="Times New Roman" w:hAnsi="Times New Roman" w:eastAsia="楷体" w:cs="Times New Roman"/>
          <w:color w:val="auto"/>
          <w:sz w:val="28"/>
          <w:szCs w:val="28"/>
          <w:highlight w:val="none"/>
          <w:lang w:val="en-US" w:eastAsia="zh-CN"/>
        </w:rPr>
        <w:t>约定的预算范围内，由特许经营者或其组建的项目公司通过合理招标方式组织实施，在招标前，招标文件应当报实施机构同意，并在实施机构监管下组织招标。</w:t>
      </w:r>
    </w:p>
    <w:p w14:paraId="26E3D5FC">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val="en-US" w:eastAsia="zh-CN"/>
        </w:rPr>
        <w:t>④</w:t>
      </w:r>
      <w:r>
        <w:rPr>
          <w:rFonts w:hint="default" w:ascii="Times New Roman" w:hAnsi="Times New Roman" w:eastAsia="楷体" w:cs="Times New Roman"/>
          <w:color w:val="auto"/>
          <w:sz w:val="28"/>
          <w:szCs w:val="28"/>
          <w:highlight w:val="none"/>
        </w:rPr>
        <w:t>重置后，</w:t>
      </w:r>
      <w:r>
        <w:rPr>
          <w:rFonts w:hint="eastAsia" w:ascii="Times New Roman" w:hAnsi="Times New Roman" w:eastAsia="楷体" w:cs="Times New Roman"/>
          <w:color w:val="auto"/>
          <w:sz w:val="28"/>
          <w:szCs w:val="28"/>
          <w:highlight w:val="none"/>
          <w:lang w:val="en-US" w:eastAsia="zh-CN"/>
        </w:rPr>
        <w:t>特许经营者</w:t>
      </w:r>
      <w:r>
        <w:rPr>
          <w:rFonts w:hint="default" w:ascii="Times New Roman" w:hAnsi="Times New Roman" w:eastAsia="楷体" w:cs="Times New Roman"/>
          <w:color w:val="auto"/>
          <w:sz w:val="28"/>
          <w:szCs w:val="28"/>
          <w:highlight w:val="none"/>
        </w:rPr>
        <w:t>或其组建的项目公司应对相应的技术文件进行存档并妥善保管。</w:t>
      </w:r>
    </w:p>
    <w:p w14:paraId="249635D9">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lang w:val="en-US" w:eastAsia="zh-CN"/>
        </w:rPr>
      </w:pPr>
      <w:r>
        <w:rPr>
          <w:rFonts w:hint="default" w:ascii="Times New Roman" w:hAnsi="Times New Roman" w:eastAsia="楷体" w:cs="Times New Roman"/>
          <w:color w:val="auto"/>
          <w:sz w:val="28"/>
          <w:szCs w:val="28"/>
          <w:highlight w:val="none"/>
          <w:lang w:val="en-US" w:eastAsia="zh-CN"/>
        </w:rPr>
        <w:t>⑤项目移交时，</w:t>
      </w:r>
      <w:r>
        <w:rPr>
          <w:rFonts w:hint="eastAsia" w:ascii="Times New Roman" w:hAnsi="Times New Roman" w:eastAsia="楷体" w:cs="Times New Roman"/>
          <w:color w:val="auto"/>
          <w:sz w:val="28"/>
          <w:szCs w:val="28"/>
          <w:highlight w:val="none"/>
          <w:lang w:val="en-US" w:eastAsia="zh-CN"/>
        </w:rPr>
        <w:t>特许经营者或其组建的项目公司应对所有的设备进行恢复性修理，</w:t>
      </w:r>
      <w:r>
        <w:rPr>
          <w:rFonts w:hint="default" w:ascii="Times New Roman" w:hAnsi="Times New Roman" w:eastAsia="楷体" w:cs="Times New Roman"/>
          <w:color w:val="auto"/>
          <w:sz w:val="28"/>
          <w:szCs w:val="28"/>
          <w:highlight w:val="none"/>
          <w:lang w:val="en-US" w:eastAsia="zh-CN"/>
        </w:rPr>
        <w:t>所有设备</w:t>
      </w:r>
      <w:r>
        <w:rPr>
          <w:rFonts w:hint="eastAsia" w:ascii="Times New Roman" w:hAnsi="Times New Roman" w:eastAsia="楷体" w:cs="Times New Roman"/>
          <w:color w:val="auto"/>
          <w:sz w:val="28"/>
          <w:szCs w:val="28"/>
          <w:highlight w:val="none"/>
          <w:lang w:val="en-US" w:eastAsia="zh-CN"/>
        </w:rPr>
        <w:t>移交时通过设备性能测试，保证正常使用，符合规范及技术标准</w:t>
      </w:r>
      <w:r>
        <w:rPr>
          <w:rFonts w:hint="default" w:ascii="Times New Roman" w:hAnsi="Times New Roman" w:eastAsia="楷体" w:cs="Times New Roman"/>
          <w:color w:val="auto"/>
          <w:sz w:val="28"/>
          <w:szCs w:val="28"/>
          <w:highlight w:val="none"/>
          <w:lang w:val="en-US" w:eastAsia="zh-CN"/>
        </w:rPr>
        <w:t>。</w:t>
      </w:r>
    </w:p>
    <w:p w14:paraId="3F9F4070">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lang w:val="en-US" w:eastAsia="zh-CN"/>
        </w:rPr>
      </w:pPr>
      <w:r>
        <w:rPr>
          <w:rFonts w:hint="default" w:ascii="Times New Roman" w:hAnsi="Times New Roman" w:eastAsia="楷体" w:cs="Times New Roman"/>
          <w:color w:val="auto"/>
          <w:sz w:val="28"/>
          <w:szCs w:val="28"/>
          <w:highlight w:val="none"/>
          <w:lang w:val="en-US" w:eastAsia="zh-CN"/>
        </w:rPr>
        <w:t>本项目</w:t>
      </w:r>
      <w:r>
        <w:rPr>
          <w:rFonts w:hint="eastAsia" w:ascii="Times New Roman" w:hAnsi="Times New Roman" w:eastAsia="楷体" w:cs="Times New Roman"/>
          <w:color w:val="auto"/>
          <w:sz w:val="28"/>
          <w:szCs w:val="28"/>
          <w:highlight w:val="none"/>
          <w:lang w:val="en-US" w:eastAsia="zh-CN"/>
        </w:rPr>
        <w:t>特许经营期</w:t>
      </w:r>
      <w:r>
        <w:rPr>
          <w:rFonts w:hint="default" w:ascii="Times New Roman" w:hAnsi="Times New Roman" w:eastAsia="楷体" w:cs="Times New Roman"/>
          <w:color w:val="auto"/>
          <w:sz w:val="28"/>
          <w:szCs w:val="28"/>
          <w:highlight w:val="none"/>
          <w:lang w:val="en-US" w:eastAsia="zh-CN"/>
        </w:rPr>
        <w:t>间更新重置和追加投资资金由</w:t>
      </w:r>
      <w:r>
        <w:rPr>
          <w:rFonts w:hint="eastAsia" w:ascii="Times New Roman" w:hAnsi="Times New Roman" w:eastAsia="楷体" w:cs="Times New Roman"/>
          <w:color w:val="auto"/>
          <w:sz w:val="28"/>
          <w:szCs w:val="28"/>
          <w:highlight w:val="none"/>
          <w:lang w:val="en-US" w:eastAsia="zh-CN"/>
        </w:rPr>
        <w:t>特许经营者在提报的《</w:t>
      </w:r>
      <w:r>
        <w:rPr>
          <w:rFonts w:hint="default" w:ascii="Times New Roman" w:hAnsi="Times New Roman" w:eastAsia="楷体" w:cs="Times New Roman"/>
          <w:color w:val="auto"/>
          <w:sz w:val="28"/>
          <w:szCs w:val="28"/>
          <w:highlight w:val="none"/>
          <w:lang w:val="en-US" w:eastAsia="zh-CN"/>
        </w:rPr>
        <w:t>更新重置和追加投资计划</w:t>
      </w:r>
      <w:r>
        <w:rPr>
          <w:rFonts w:hint="eastAsia" w:ascii="Times New Roman" w:hAnsi="Times New Roman" w:eastAsia="楷体" w:cs="Times New Roman"/>
          <w:color w:val="auto"/>
          <w:sz w:val="28"/>
          <w:szCs w:val="28"/>
          <w:highlight w:val="none"/>
          <w:lang w:val="en-US" w:eastAsia="zh-CN"/>
        </w:rPr>
        <w:t>》中列明，经政府方审核同意后纳入财政预算安排</w:t>
      </w:r>
      <w:r>
        <w:rPr>
          <w:rFonts w:hint="default" w:ascii="Times New Roman" w:hAnsi="Times New Roman" w:eastAsia="楷体" w:cs="Times New Roman"/>
          <w:color w:val="auto"/>
          <w:sz w:val="28"/>
          <w:szCs w:val="28"/>
          <w:highlight w:val="none"/>
          <w:lang w:val="en-US" w:eastAsia="zh-CN"/>
        </w:rPr>
        <w:t>。</w:t>
      </w:r>
      <w:r>
        <w:rPr>
          <w:rFonts w:hint="eastAsia" w:ascii="Times New Roman" w:hAnsi="Times New Roman" w:eastAsia="楷体" w:cs="Times New Roman"/>
          <w:color w:val="auto"/>
          <w:sz w:val="28"/>
          <w:szCs w:val="28"/>
          <w:highlight w:val="none"/>
          <w:lang w:val="en-US" w:eastAsia="zh-CN"/>
        </w:rPr>
        <w:t>政府方应按照审核同意后的</w:t>
      </w:r>
      <w:r>
        <w:rPr>
          <w:rFonts w:hint="default" w:ascii="Times New Roman" w:hAnsi="Times New Roman" w:eastAsia="楷体" w:cs="Times New Roman"/>
          <w:color w:val="auto"/>
          <w:sz w:val="28"/>
          <w:szCs w:val="28"/>
          <w:highlight w:val="none"/>
          <w:lang w:val="en-US" w:eastAsia="zh-CN"/>
        </w:rPr>
        <w:t>《更新重置和追加投资计划》及时</w:t>
      </w:r>
      <w:r>
        <w:rPr>
          <w:rFonts w:hint="eastAsia" w:ascii="Times New Roman" w:hAnsi="Times New Roman" w:eastAsia="楷体" w:cs="Times New Roman"/>
          <w:color w:val="auto"/>
          <w:sz w:val="28"/>
          <w:szCs w:val="28"/>
          <w:highlight w:val="none"/>
          <w:lang w:val="en-US" w:eastAsia="zh-CN"/>
        </w:rPr>
        <w:t>拨付相关资金</w:t>
      </w:r>
      <w:r>
        <w:rPr>
          <w:rFonts w:hint="default" w:ascii="Times New Roman" w:hAnsi="Times New Roman" w:eastAsia="楷体" w:cs="Times New Roman"/>
          <w:color w:val="auto"/>
          <w:sz w:val="28"/>
          <w:szCs w:val="28"/>
          <w:highlight w:val="none"/>
          <w:lang w:val="en-US" w:eastAsia="zh-CN"/>
        </w:rPr>
        <w:t>，</w:t>
      </w:r>
      <w:r>
        <w:rPr>
          <w:rFonts w:hint="eastAsia" w:ascii="Times New Roman" w:hAnsi="Times New Roman" w:eastAsia="楷体" w:cs="Times New Roman"/>
          <w:color w:val="auto"/>
          <w:sz w:val="28"/>
          <w:szCs w:val="28"/>
          <w:highlight w:val="none"/>
          <w:lang w:val="en-US" w:eastAsia="zh-CN"/>
        </w:rPr>
        <w:t>并加强对资金使用的审计监管。</w:t>
      </w:r>
    </w:p>
    <w:p w14:paraId="4D88DD6A">
      <w:pPr>
        <w:pStyle w:val="6"/>
        <w:numPr>
          <w:ilvl w:val="0"/>
          <w:numId w:val="0"/>
        </w:numPr>
        <w:spacing w:line="360" w:lineRule="auto"/>
        <w:ind w:firstLine="562" w:firstLineChars="200"/>
        <w:rPr>
          <w:rFonts w:hint="default" w:ascii="Times New Roman" w:hAnsi="Times New Roman" w:eastAsia="楷体" w:cs="Times New Roman"/>
          <w:i/>
          <w:iCs/>
          <w:color w:val="auto"/>
          <w:sz w:val="28"/>
          <w:szCs w:val="24"/>
          <w:highlight w:val="none"/>
          <w:u w:val="single"/>
          <w:lang w:val="en-US" w:eastAsia="zh-CN"/>
        </w:rPr>
      </w:pPr>
      <w:r>
        <w:rPr>
          <w:rFonts w:hint="default" w:ascii="Times New Roman" w:hAnsi="Times New Roman" w:eastAsia="楷体" w:cs="Times New Roman"/>
          <w:i/>
          <w:iCs/>
          <w:color w:val="auto"/>
          <w:sz w:val="28"/>
          <w:szCs w:val="24"/>
          <w:highlight w:val="none"/>
          <w:u w:val="single"/>
          <w:lang w:val="en-US" w:eastAsia="zh-CN"/>
        </w:rPr>
        <w:t>（6）特许经营权转让费支付</w:t>
      </w:r>
    </w:p>
    <w:p w14:paraId="4D0964E3">
      <w:pPr>
        <w:pStyle w:val="34"/>
        <w:widowControl/>
        <w:shd w:val="clear" w:color="auto" w:fill="FFFFFF"/>
        <w:spacing w:beforeAutospacing="0" w:afterAutospacing="0"/>
        <w:ind w:firstLine="560" w:firstLineChars="200"/>
        <w:jc w:val="both"/>
        <w:rPr>
          <w:rFonts w:hint="eastAsia" w:ascii="Times New Roman" w:hAnsi="Times New Roman" w:eastAsia="楷体" w:cs="Times New Roman"/>
          <w:i/>
          <w:iCs/>
          <w:color w:val="auto"/>
          <w:sz w:val="28"/>
          <w:szCs w:val="28"/>
          <w:highlight w:val="none"/>
          <w:u w:val="single"/>
          <w:lang w:val="en-US" w:eastAsia="zh-CN"/>
        </w:rPr>
      </w:pPr>
      <w:r>
        <w:rPr>
          <w:rFonts w:hint="default" w:ascii="Times New Roman" w:hAnsi="Times New Roman" w:eastAsia="楷体" w:cs="Times New Roman"/>
          <w:i/>
          <w:iCs/>
          <w:color w:val="auto"/>
          <w:sz w:val="28"/>
          <w:szCs w:val="28"/>
          <w:highlight w:val="none"/>
          <w:u w:val="single"/>
          <w:lang w:val="en-US" w:eastAsia="zh-CN"/>
        </w:rPr>
        <w:t>本项目特许经营协议签订之日起</w:t>
      </w:r>
      <w:r>
        <w:rPr>
          <w:rFonts w:hint="eastAsia" w:ascii="Times New Roman" w:hAnsi="Times New Roman" w:eastAsia="楷体" w:cs="Times New Roman"/>
          <w:i/>
          <w:iCs/>
          <w:color w:val="auto"/>
          <w:sz w:val="28"/>
          <w:szCs w:val="28"/>
          <w:highlight w:val="none"/>
          <w:u w:val="single"/>
          <w:lang w:val="en-US" w:eastAsia="zh-CN"/>
        </w:rPr>
        <w:t>2</w:t>
      </w:r>
      <w:r>
        <w:rPr>
          <w:rFonts w:hint="default" w:ascii="Times New Roman" w:hAnsi="Times New Roman" w:eastAsia="楷体" w:cs="Times New Roman"/>
          <w:i/>
          <w:iCs/>
          <w:color w:val="auto"/>
          <w:sz w:val="28"/>
          <w:szCs w:val="28"/>
          <w:highlight w:val="none"/>
          <w:u w:val="single"/>
          <w:lang w:val="en-US" w:eastAsia="zh-CN"/>
        </w:rPr>
        <w:t>个月内，特许经营者或其组建的项目公司应向江都区政府支付全部的特许经营权转让费</w:t>
      </w:r>
      <w:r>
        <w:rPr>
          <w:rFonts w:hint="eastAsia" w:ascii="Times New Roman" w:hAnsi="Times New Roman" w:eastAsia="楷体" w:cs="Times New Roman"/>
          <w:i/>
          <w:iCs/>
          <w:color w:val="auto"/>
          <w:sz w:val="28"/>
          <w:szCs w:val="28"/>
          <w:highlight w:val="none"/>
          <w:u w:val="single"/>
          <w:lang w:val="en-US" w:eastAsia="zh-CN"/>
        </w:rPr>
        <w:t>（本项目特许经营权转让价为60030万元，该特许经营权价值为不可竞争项）</w:t>
      </w:r>
      <w:r>
        <w:rPr>
          <w:rFonts w:hint="default" w:ascii="Times New Roman" w:hAnsi="Times New Roman" w:eastAsia="楷体" w:cs="Times New Roman"/>
          <w:i/>
          <w:iCs/>
          <w:color w:val="auto"/>
          <w:sz w:val="28"/>
          <w:szCs w:val="28"/>
          <w:highlight w:val="none"/>
          <w:u w:val="single"/>
          <w:lang w:val="en-US" w:eastAsia="zh-CN"/>
        </w:rPr>
        <w:t>，否则视为特许经营者违约，实施机构有权提取全部</w:t>
      </w:r>
      <w:r>
        <w:rPr>
          <w:rFonts w:hint="eastAsia" w:ascii="Times New Roman" w:hAnsi="Times New Roman" w:eastAsia="楷体" w:cs="Times New Roman"/>
          <w:i/>
          <w:iCs/>
          <w:color w:val="auto"/>
          <w:sz w:val="28"/>
          <w:szCs w:val="28"/>
          <w:highlight w:val="none"/>
          <w:u w:val="single"/>
          <w:lang w:val="en-US" w:eastAsia="zh-CN"/>
        </w:rPr>
        <w:t>投标</w:t>
      </w:r>
      <w:r>
        <w:rPr>
          <w:rFonts w:hint="default" w:ascii="Times New Roman" w:hAnsi="Times New Roman" w:eastAsia="楷体" w:cs="Times New Roman"/>
          <w:i/>
          <w:iCs/>
          <w:color w:val="auto"/>
          <w:sz w:val="28"/>
          <w:szCs w:val="28"/>
          <w:highlight w:val="none"/>
          <w:u w:val="single"/>
          <w:lang w:val="en-US" w:eastAsia="zh-CN"/>
        </w:rPr>
        <w:t>保函金额。逾期2个月仍不能支付全部特许经营权转让费的，则属于严重违约情形，实施机构有权终止特许经营项目，并追究违约责任。</w:t>
      </w:r>
      <w:r>
        <w:rPr>
          <w:rFonts w:hint="eastAsia" w:ascii="Times New Roman" w:hAnsi="Times New Roman" w:eastAsia="楷体" w:cs="Times New Roman"/>
          <w:i/>
          <w:iCs/>
          <w:color w:val="auto"/>
          <w:sz w:val="28"/>
          <w:szCs w:val="28"/>
          <w:highlight w:val="none"/>
          <w:u w:val="single"/>
          <w:lang w:val="en-US" w:eastAsia="zh-CN"/>
        </w:rPr>
        <w:t>（提供承诺函，格式自拟）</w:t>
      </w:r>
    </w:p>
    <w:p w14:paraId="0A7E3EB2">
      <w:pPr>
        <w:pStyle w:val="6"/>
        <w:numPr>
          <w:ilvl w:val="0"/>
          <w:numId w:val="0"/>
        </w:numPr>
        <w:spacing w:line="360" w:lineRule="auto"/>
        <w:ind w:firstLine="562" w:firstLineChars="200"/>
        <w:rPr>
          <w:rFonts w:hint="default" w:ascii="Times New Roman" w:hAnsi="Times New Roman" w:eastAsia="楷体" w:cs="Times New Roman"/>
          <w:color w:val="auto"/>
          <w:sz w:val="28"/>
          <w:szCs w:val="24"/>
          <w:highlight w:val="none"/>
          <w:lang w:val="en-US" w:eastAsia="zh-CN"/>
        </w:rPr>
      </w:pPr>
      <w:r>
        <w:rPr>
          <w:rFonts w:hint="default" w:ascii="Times New Roman" w:hAnsi="Times New Roman" w:eastAsia="楷体" w:cs="Times New Roman"/>
          <w:color w:val="auto"/>
          <w:sz w:val="28"/>
          <w:szCs w:val="24"/>
          <w:highlight w:val="none"/>
          <w:lang w:val="en-US" w:eastAsia="zh-CN"/>
        </w:rPr>
        <w:t>（7）人员安排</w:t>
      </w:r>
    </w:p>
    <w:p w14:paraId="71E251F3">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本项目中的污水处理厂涉及作</w:t>
      </w:r>
      <w:r>
        <w:rPr>
          <w:rFonts w:hint="default" w:ascii="Times New Roman" w:hAnsi="Times New Roman" w:eastAsia="楷体" w:cs="Times New Roman"/>
          <w:color w:val="auto"/>
          <w:sz w:val="28"/>
          <w:szCs w:val="28"/>
          <w:highlight w:val="none"/>
          <w:lang w:val="en-US" w:eastAsia="zh-CN"/>
        </w:rPr>
        <w:t>为天雨清源污水处理厂的迁建工程，其中天雨清源污水处理厂员工基本为合同制员工，待本项目项目公司成立后，双方</w:t>
      </w:r>
      <w:r>
        <w:rPr>
          <w:rFonts w:hint="eastAsia" w:ascii="Times New Roman" w:hAnsi="Times New Roman" w:eastAsia="楷体" w:cs="Times New Roman"/>
          <w:color w:val="auto"/>
          <w:sz w:val="28"/>
          <w:szCs w:val="28"/>
          <w:highlight w:val="none"/>
          <w:lang w:val="en-US" w:eastAsia="zh-CN"/>
        </w:rPr>
        <w:t>自主协商人员安排，按照自愿原则</w:t>
      </w:r>
      <w:r>
        <w:rPr>
          <w:rFonts w:hint="default" w:ascii="Times New Roman" w:hAnsi="Times New Roman" w:eastAsia="楷体" w:cs="Times New Roman"/>
          <w:color w:val="auto"/>
          <w:sz w:val="28"/>
          <w:szCs w:val="28"/>
          <w:highlight w:val="none"/>
          <w:lang w:val="en-US" w:eastAsia="zh-CN"/>
        </w:rPr>
        <w:t>，项目公司</w:t>
      </w:r>
      <w:r>
        <w:rPr>
          <w:rFonts w:hint="eastAsia" w:ascii="Times New Roman" w:hAnsi="Times New Roman" w:eastAsia="楷体" w:cs="Times New Roman"/>
          <w:color w:val="auto"/>
          <w:sz w:val="28"/>
          <w:szCs w:val="28"/>
          <w:highlight w:val="none"/>
          <w:lang w:val="en-US" w:eastAsia="zh-CN"/>
        </w:rPr>
        <w:t>可</w:t>
      </w:r>
      <w:r>
        <w:rPr>
          <w:rFonts w:hint="default" w:ascii="Times New Roman" w:hAnsi="Times New Roman" w:eastAsia="楷体" w:cs="Times New Roman"/>
          <w:color w:val="auto"/>
          <w:sz w:val="28"/>
          <w:szCs w:val="28"/>
          <w:highlight w:val="none"/>
          <w:lang w:val="en-US" w:eastAsia="zh-CN"/>
        </w:rPr>
        <w:t>接收部分员工，并重新签订劳动合同。</w:t>
      </w:r>
    </w:p>
    <w:p w14:paraId="40D88733">
      <w:pPr>
        <w:pStyle w:val="34"/>
        <w:widowControl/>
        <w:shd w:val="clear" w:color="auto" w:fill="FFFFFF"/>
        <w:spacing w:beforeAutospacing="0" w:afterAutospacing="0"/>
        <w:ind w:firstLine="560" w:firstLineChars="200"/>
        <w:jc w:val="both"/>
        <w:rPr>
          <w:rFonts w:hint="default" w:ascii="Times New Roman" w:hAnsi="Times New Roman" w:eastAsia="楷体" w:cs="Times New Roman"/>
          <w:i/>
          <w:iCs/>
          <w:color w:val="auto"/>
          <w:sz w:val="28"/>
          <w:szCs w:val="28"/>
          <w:highlight w:val="none"/>
          <w:u w:val="single"/>
          <w:lang w:val="en-US" w:eastAsia="zh-CN"/>
        </w:rPr>
      </w:pPr>
    </w:p>
    <w:p w14:paraId="741FFF47">
      <w:pPr>
        <w:pStyle w:val="6"/>
        <w:numPr>
          <w:ilvl w:val="0"/>
          <w:numId w:val="0"/>
        </w:numPr>
        <w:spacing w:line="360" w:lineRule="auto"/>
        <w:ind w:firstLine="562" w:firstLineChars="200"/>
        <w:rPr>
          <w:rFonts w:hint="default" w:ascii="Times New Roman" w:hAnsi="Times New Roman" w:eastAsia="楷体" w:cs="Times New Roman"/>
          <w:color w:val="auto"/>
          <w:sz w:val="28"/>
          <w:szCs w:val="24"/>
          <w:highlight w:val="none"/>
          <w:lang w:val="en-US" w:eastAsia="zh-CN"/>
        </w:rPr>
      </w:pPr>
      <w:r>
        <w:rPr>
          <w:rFonts w:hint="default" w:ascii="Times New Roman" w:hAnsi="Times New Roman" w:eastAsia="楷体" w:cs="Times New Roman"/>
          <w:color w:val="auto"/>
          <w:sz w:val="28"/>
          <w:szCs w:val="24"/>
          <w:highlight w:val="none"/>
          <w:lang w:val="en-US" w:eastAsia="zh-CN"/>
        </w:rPr>
        <w:t>（</w:t>
      </w:r>
      <w:r>
        <w:rPr>
          <w:rFonts w:hint="eastAsia" w:eastAsia="楷体" w:cs="Times New Roman"/>
          <w:color w:val="auto"/>
          <w:sz w:val="28"/>
          <w:szCs w:val="24"/>
          <w:highlight w:val="none"/>
          <w:lang w:val="en-US" w:eastAsia="zh-CN"/>
        </w:rPr>
        <w:t>8</w:t>
      </w:r>
      <w:r>
        <w:rPr>
          <w:rFonts w:hint="default" w:ascii="Times New Roman" w:hAnsi="Times New Roman" w:eastAsia="楷体" w:cs="Times New Roman"/>
          <w:color w:val="auto"/>
          <w:sz w:val="28"/>
          <w:szCs w:val="24"/>
          <w:highlight w:val="none"/>
          <w:lang w:val="en-US" w:eastAsia="zh-CN"/>
        </w:rPr>
        <w:t>）</w:t>
      </w:r>
      <w:r>
        <w:rPr>
          <w:rFonts w:hint="eastAsia" w:eastAsia="楷体" w:cs="Times New Roman"/>
          <w:color w:val="auto"/>
          <w:sz w:val="28"/>
          <w:szCs w:val="24"/>
          <w:highlight w:val="none"/>
          <w:lang w:val="en-US" w:eastAsia="zh-CN"/>
        </w:rPr>
        <w:t>运营服务要求变更</w:t>
      </w:r>
    </w:p>
    <w:p w14:paraId="3B637FC5">
      <w:pPr>
        <w:pStyle w:val="34"/>
        <w:widowControl/>
        <w:shd w:val="clear" w:color="auto" w:fill="FFFFFF"/>
        <w:spacing w:beforeAutospacing="0" w:afterAutospacing="0"/>
        <w:ind w:firstLine="560" w:firstLineChars="200"/>
        <w:rPr>
          <w:rFonts w:hint="default" w:ascii="Times New Roman" w:hAnsi="Times New Roman" w:eastAsia="楷体" w:cs="Times New Roman"/>
          <w:color w:val="auto"/>
          <w:sz w:val="28"/>
          <w:szCs w:val="24"/>
          <w:highlight w:val="none"/>
          <w:lang w:val="en-US" w:eastAsia="zh-CN"/>
        </w:rPr>
      </w:pPr>
      <w:r>
        <w:rPr>
          <w:rFonts w:hint="default" w:ascii="Times New Roman" w:hAnsi="Times New Roman" w:eastAsia="楷体" w:cs="Times New Roman"/>
          <w:color w:val="auto"/>
          <w:sz w:val="28"/>
          <w:szCs w:val="28"/>
          <w:highlight w:val="none"/>
          <w:lang w:val="en-US" w:eastAsia="zh-CN"/>
        </w:rPr>
        <w:t>因政策要求或政府方需要临时关闭或暂停项目运营的，</w:t>
      </w:r>
      <w:r>
        <w:rPr>
          <w:rFonts w:hint="eastAsia" w:ascii="Times New Roman" w:hAnsi="Times New Roman" w:eastAsia="楷体" w:cs="Times New Roman"/>
          <w:color w:val="auto"/>
          <w:sz w:val="28"/>
          <w:szCs w:val="28"/>
          <w:highlight w:val="none"/>
          <w:lang w:val="en-US" w:eastAsia="zh-CN"/>
        </w:rPr>
        <w:t>政府方</w:t>
      </w:r>
      <w:r>
        <w:rPr>
          <w:rFonts w:hint="default" w:ascii="Times New Roman" w:hAnsi="Times New Roman" w:eastAsia="楷体" w:cs="Times New Roman"/>
          <w:color w:val="auto"/>
          <w:sz w:val="28"/>
          <w:szCs w:val="28"/>
          <w:highlight w:val="none"/>
          <w:lang w:val="en-US" w:eastAsia="zh-CN"/>
        </w:rPr>
        <w:t>应向</w:t>
      </w:r>
      <w:r>
        <w:rPr>
          <w:rFonts w:hint="eastAsia" w:ascii="Times New Roman" w:hAnsi="Times New Roman" w:eastAsia="楷体" w:cs="Times New Roman"/>
          <w:color w:val="auto"/>
          <w:sz w:val="28"/>
          <w:szCs w:val="28"/>
          <w:highlight w:val="none"/>
          <w:lang w:val="en-US" w:eastAsia="zh-CN"/>
        </w:rPr>
        <w:t>特许经营者</w:t>
      </w:r>
      <w:r>
        <w:rPr>
          <w:rFonts w:hint="default" w:ascii="Times New Roman" w:hAnsi="Times New Roman" w:eastAsia="楷体" w:cs="Times New Roman"/>
          <w:color w:val="auto"/>
          <w:sz w:val="28"/>
          <w:szCs w:val="28"/>
          <w:highlight w:val="none"/>
          <w:lang w:val="en-US" w:eastAsia="zh-CN"/>
        </w:rPr>
        <w:t>发出书面通知，并启动临时关闭或暂停情形下的运营服务预案。</w:t>
      </w:r>
      <w:r>
        <w:rPr>
          <w:rFonts w:hint="eastAsia" w:ascii="Times New Roman" w:hAnsi="Times New Roman" w:eastAsia="楷体" w:cs="Times New Roman"/>
          <w:color w:val="auto"/>
          <w:sz w:val="28"/>
          <w:szCs w:val="28"/>
          <w:highlight w:val="none"/>
          <w:lang w:val="en-US" w:eastAsia="zh-CN"/>
        </w:rPr>
        <w:t>特许经营者</w:t>
      </w:r>
      <w:r>
        <w:rPr>
          <w:rFonts w:hint="default" w:ascii="Times New Roman" w:hAnsi="Times New Roman" w:eastAsia="楷体" w:cs="Times New Roman"/>
          <w:color w:val="auto"/>
          <w:sz w:val="28"/>
          <w:szCs w:val="28"/>
          <w:highlight w:val="none"/>
          <w:lang w:val="en-US" w:eastAsia="zh-CN"/>
        </w:rPr>
        <w:t>执行临时关闭或暂停运营后，双方可根据其实际影响情况商谈签订补充协议，明确给予</w:t>
      </w:r>
      <w:r>
        <w:rPr>
          <w:rFonts w:hint="eastAsia" w:ascii="Times New Roman" w:hAnsi="Times New Roman" w:eastAsia="楷体" w:cs="Times New Roman"/>
          <w:color w:val="auto"/>
          <w:sz w:val="28"/>
          <w:szCs w:val="28"/>
          <w:highlight w:val="none"/>
          <w:lang w:val="en-US" w:eastAsia="zh-CN"/>
        </w:rPr>
        <w:t>特许经营者</w:t>
      </w:r>
      <w:r>
        <w:rPr>
          <w:rFonts w:hint="default" w:ascii="Times New Roman" w:hAnsi="Times New Roman" w:eastAsia="楷体" w:cs="Times New Roman"/>
          <w:color w:val="auto"/>
          <w:sz w:val="28"/>
          <w:szCs w:val="28"/>
          <w:highlight w:val="none"/>
          <w:lang w:val="en-US" w:eastAsia="zh-CN"/>
        </w:rPr>
        <w:t>补偿或延长特许经营期限等内容。</w:t>
      </w:r>
    </w:p>
    <w:p w14:paraId="15490A46">
      <w:pPr>
        <w:pStyle w:val="6"/>
        <w:numPr>
          <w:ilvl w:val="0"/>
          <w:numId w:val="0"/>
        </w:numPr>
        <w:spacing w:line="360" w:lineRule="auto"/>
        <w:ind w:firstLine="562" w:firstLineChars="200"/>
        <w:rPr>
          <w:rFonts w:hint="default" w:ascii="Times New Roman" w:hAnsi="Times New Roman" w:eastAsia="楷体" w:cs="Times New Roman"/>
          <w:color w:val="auto"/>
          <w:sz w:val="28"/>
          <w:szCs w:val="24"/>
          <w:highlight w:val="none"/>
          <w:lang w:val="en-US" w:eastAsia="zh-CN"/>
        </w:rPr>
      </w:pPr>
      <w:r>
        <w:rPr>
          <w:rFonts w:hint="default" w:ascii="Times New Roman" w:hAnsi="Times New Roman" w:eastAsia="楷体" w:cs="Times New Roman"/>
          <w:color w:val="auto"/>
          <w:sz w:val="28"/>
          <w:szCs w:val="24"/>
          <w:highlight w:val="none"/>
          <w:lang w:val="en-US" w:eastAsia="zh-CN"/>
        </w:rPr>
        <w:t>（</w:t>
      </w:r>
      <w:r>
        <w:rPr>
          <w:rFonts w:hint="eastAsia" w:eastAsia="楷体" w:cs="Times New Roman"/>
          <w:color w:val="auto"/>
          <w:sz w:val="28"/>
          <w:szCs w:val="24"/>
          <w:highlight w:val="none"/>
          <w:lang w:val="en-US" w:eastAsia="zh-CN"/>
        </w:rPr>
        <w:t>9</w:t>
      </w:r>
      <w:r>
        <w:rPr>
          <w:rFonts w:hint="default" w:ascii="Times New Roman" w:hAnsi="Times New Roman" w:eastAsia="楷体" w:cs="Times New Roman"/>
          <w:color w:val="auto"/>
          <w:sz w:val="28"/>
          <w:szCs w:val="24"/>
          <w:highlight w:val="none"/>
          <w:lang w:val="en-US" w:eastAsia="zh-CN"/>
        </w:rPr>
        <w:t>）项目特许经营期满移交与移交前修复</w:t>
      </w:r>
    </w:p>
    <w:p w14:paraId="7708F0E5">
      <w:pPr>
        <w:pStyle w:val="34"/>
        <w:widowControl/>
        <w:shd w:val="clear" w:color="auto" w:fill="FFFFFF"/>
        <w:spacing w:beforeAutospacing="0" w:afterAutospacing="0"/>
        <w:ind w:firstLine="562" w:firstLineChars="200"/>
        <w:jc w:val="both"/>
        <w:rPr>
          <w:rFonts w:hint="default" w:ascii="Times New Roman" w:hAnsi="Times New Roman" w:eastAsia="楷体" w:cs="Times New Roman"/>
          <w:b/>
          <w:bCs/>
          <w:color w:val="auto"/>
          <w:sz w:val="28"/>
          <w:szCs w:val="28"/>
          <w:highlight w:val="none"/>
        </w:rPr>
      </w:pPr>
      <w:r>
        <w:rPr>
          <w:rFonts w:hint="default" w:ascii="Times New Roman" w:hAnsi="Times New Roman" w:eastAsia="楷体" w:cs="Times New Roman"/>
          <w:b/>
          <w:bCs/>
          <w:color w:val="auto"/>
          <w:sz w:val="28"/>
          <w:szCs w:val="28"/>
          <w:highlight w:val="none"/>
          <w:lang w:val="en-US" w:eastAsia="zh-CN"/>
        </w:rPr>
        <w:t>①</w:t>
      </w:r>
      <w:r>
        <w:rPr>
          <w:rFonts w:hint="default" w:ascii="Times New Roman" w:hAnsi="Times New Roman" w:eastAsia="楷体" w:cs="Times New Roman"/>
          <w:b/>
          <w:bCs/>
          <w:color w:val="auto"/>
          <w:sz w:val="28"/>
          <w:szCs w:val="28"/>
          <w:highlight w:val="none"/>
        </w:rPr>
        <w:t>移交范围</w:t>
      </w:r>
    </w:p>
    <w:p w14:paraId="5B6EF3E3">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val="en-US" w:eastAsia="zh-CN"/>
        </w:rPr>
        <w:t>特许经营期</w:t>
      </w:r>
      <w:r>
        <w:rPr>
          <w:rFonts w:hint="default" w:ascii="Times New Roman" w:hAnsi="Times New Roman" w:eastAsia="楷体" w:cs="Times New Roman"/>
          <w:color w:val="auto"/>
          <w:sz w:val="28"/>
          <w:szCs w:val="28"/>
          <w:highlight w:val="none"/>
        </w:rPr>
        <w:t>满后，</w:t>
      </w:r>
      <w:r>
        <w:rPr>
          <w:rFonts w:hint="eastAsia" w:ascii="Times New Roman" w:hAnsi="Times New Roman" w:eastAsia="楷体" w:cs="Times New Roman"/>
          <w:color w:val="auto"/>
          <w:sz w:val="28"/>
          <w:szCs w:val="28"/>
          <w:highlight w:val="none"/>
          <w:lang w:val="en-US" w:eastAsia="zh-CN"/>
        </w:rPr>
        <w:t>特许经营者或其组建的</w:t>
      </w:r>
      <w:r>
        <w:rPr>
          <w:rFonts w:hint="default" w:ascii="Times New Roman" w:hAnsi="Times New Roman" w:eastAsia="楷体" w:cs="Times New Roman"/>
          <w:color w:val="auto"/>
          <w:sz w:val="28"/>
          <w:szCs w:val="28"/>
          <w:highlight w:val="none"/>
        </w:rPr>
        <w:t>项目公司应向政府完好无偿移交项目设施的所有权益，包括：</w:t>
      </w:r>
    </w:p>
    <w:p w14:paraId="255468EA">
      <w:pPr>
        <w:pStyle w:val="34"/>
        <w:widowControl/>
        <w:numPr>
          <w:ilvl w:val="0"/>
          <w:numId w:val="5"/>
        </w:numPr>
        <w:shd w:val="clear" w:color="auto" w:fill="FFFFFF"/>
        <w:autoSpaceDE/>
        <w:autoSpaceDN/>
        <w:spacing w:before="0" w:beforeLines="0" w:beforeAutospacing="0" w:after="0" w:afterLines="0" w:afterAutospacing="0"/>
        <w:ind w:left="0" w:leftChars="0" w:firstLineChars="200"/>
        <w:textAlignment w:val="auto"/>
        <w:rPr>
          <w:rFonts w:ascii="Times New Roman" w:hAnsi="Times New Roman" w:eastAsia="楷体" w:cs="Times New Roman"/>
          <w:color w:val="auto"/>
          <w:kern w:val="0"/>
          <w:sz w:val="28"/>
          <w:szCs w:val="28"/>
          <w:highlight w:val="none"/>
        </w:rPr>
      </w:pPr>
      <w:r>
        <w:rPr>
          <w:rFonts w:hint="default" w:ascii="Times New Roman" w:hAnsi="Times New Roman" w:eastAsia="楷体" w:cs="Times New Roman"/>
          <w:color w:val="auto"/>
          <w:kern w:val="0"/>
          <w:sz w:val="28"/>
          <w:szCs w:val="28"/>
          <w:highlight w:val="none"/>
        </w:rPr>
        <w:t>项目</w:t>
      </w:r>
      <w:r>
        <w:rPr>
          <w:rFonts w:hint="default" w:ascii="Times New Roman" w:hAnsi="Times New Roman" w:eastAsia="楷体" w:cs="Times New Roman"/>
          <w:color w:val="auto"/>
          <w:kern w:val="0"/>
          <w:sz w:val="28"/>
          <w:szCs w:val="28"/>
          <w:highlight w:val="none"/>
          <w:lang w:val="en-US" w:eastAsia="zh-CN"/>
        </w:rPr>
        <w:t>特许经营</w:t>
      </w:r>
      <w:r>
        <w:rPr>
          <w:rFonts w:hint="default" w:ascii="Times New Roman" w:hAnsi="Times New Roman" w:eastAsia="楷体" w:cs="Times New Roman"/>
          <w:color w:val="auto"/>
          <w:kern w:val="0"/>
          <w:sz w:val="28"/>
          <w:szCs w:val="28"/>
          <w:highlight w:val="none"/>
        </w:rPr>
        <w:t>权及污水处理厂、</w:t>
      </w:r>
      <w:r>
        <w:rPr>
          <w:rFonts w:hint="eastAsia" w:ascii="Times New Roman" w:hAnsi="Times New Roman" w:eastAsia="楷体" w:cs="Times New Roman"/>
          <w:color w:val="auto"/>
          <w:kern w:val="0"/>
          <w:sz w:val="28"/>
          <w:szCs w:val="28"/>
          <w:highlight w:val="none"/>
          <w:lang w:val="en-US" w:eastAsia="zh-CN"/>
        </w:rPr>
        <w:t>泵站、</w:t>
      </w:r>
      <w:r>
        <w:rPr>
          <w:rFonts w:hint="default" w:ascii="Times New Roman" w:hAnsi="Times New Roman" w:eastAsia="楷体" w:cs="Times New Roman"/>
          <w:color w:val="auto"/>
          <w:kern w:val="0"/>
          <w:sz w:val="28"/>
          <w:szCs w:val="28"/>
          <w:highlight w:val="none"/>
        </w:rPr>
        <w:t>管网等项目</w:t>
      </w:r>
      <w:r>
        <w:rPr>
          <w:rFonts w:hint="default" w:ascii="Times New Roman" w:hAnsi="Times New Roman" w:eastAsia="楷体" w:cs="Times New Roman"/>
          <w:color w:val="auto"/>
          <w:kern w:val="0"/>
          <w:sz w:val="28"/>
          <w:szCs w:val="28"/>
          <w:highlight w:val="none"/>
          <w:lang w:val="en-US" w:eastAsia="zh-CN"/>
        </w:rPr>
        <w:t>全部</w:t>
      </w:r>
      <w:r>
        <w:rPr>
          <w:rFonts w:hint="default" w:ascii="Times New Roman" w:hAnsi="Times New Roman" w:eastAsia="楷体" w:cs="Times New Roman"/>
          <w:color w:val="auto"/>
          <w:kern w:val="0"/>
          <w:sz w:val="28"/>
          <w:szCs w:val="28"/>
          <w:highlight w:val="none"/>
        </w:rPr>
        <w:t>设施；</w:t>
      </w:r>
    </w:p>
    <w:p w14:paraId="29EC6AA5">
      <w:pPr>
        <w:pStyle w:val="34"/>
        <w:widowControl/>
        <w:numPr>
          <w:ilvl w:val="0"/>
          <w:numId w:val="5"/>
        </w:numPr>
        <w:shd w:val="clear" w:color="auto" w:fill="FFFFFF"/>
        <w:autoSpaceDE w:val="0"/>
        <w:autoSpaceDN w:val="0"/>
        <w:spacing w:before="0" w:beforeLines="0" w:after="0" w:afterLines="0"/>
        <w:ind w:left="0" w:leftChars="0" w:firstLineChars="200"/>
        <w:textAlignment w:val="baseline"/>
        <w:rPr>
          <w:rFonts w:ascii="Times New Roman" w:hAnsi="Times New Roman" w:eastAsia="楷体" w:cs="Times New Roman"/>
          <w:color w:val="auto"/>
          <w:kern w:val="0"/>
          <w:sz w:val="28"/>
          <w:szCs w:val="28"/>
          <w:highlight w:val="none"/>
        </w:rPr>
      </w:pPr>
      <w:r>
        <w:rPr>
          <w:rFonts w:hint="default" w:ascii="Times New Roman" w:hAnsi="Times New Roman" w:eastAsia="楷体" w:cs="Times New Roman"/>
          <w:color w:val="auto"/>
          <w:kern w:val="0"/>
          <w:sz w:val="28"/>
          <w:szCs w:val="28"/>
          <w:highlight w:val="none"/>
        </w:rPr>
        <w:t>本项目土地的占用、使用及收益权；</w:t>
      </w:r>
    </w:p>
    <w:p w14:paraId="743E6A86">
      <w:pPr>
        <w:pStyle w:val="34"/>
        <w:widowControl/>
        <w:numPr>
          <w:ilvl w:val="0"/>
          <w:numId w:val="5"/>
        </w:numPr>
        <w:shd w:val="clear" w:color="auto" w:fill="FFFFFF"/>
        <w:autoSpaceDE w:val="0"/>
        <w:autoSpaceDN w:val="0"/>
        <w:spacing w:before="0" w:beforeLines="0" w:after="0" w:afterLines="0"/>
        <w:ind w:left="0" w:leftChars="0" w:firstLineChars="200"/>
        <w:textAlignment w:val="baseline"/>
        <w:rPr>
          <w:rFonts w:ascii="Times New Roman" w:hAnsi="Times New Roman" w:eastAsia="楷体" w:cs="Times New Roman"/>
          <w:color w:val="auto"/>
          <w:kern w:val="0"/>
          <w:sz w:val="28"/>
          <w:szCs w:val="28"/>
          <w:highlight w:val="none"/>
        </w:rPr>
      </w:pPr>
      <w:r>
        <w:rPr>
          <w:rFonts w:hint="eastAsia" w:ascii="Times New Roman" w:hAnsi="Times New Roman" w:eastAsia="楷体" w:cs="Times New Roman"/>
          <w:color w:val="auto"/>
          <w:kern w:val="0"/>
          <w:sz w:val="28"/>
          <w:szCs w:val="28"/>
          <w:highlight w:val="none"/>
          <w:lang w:eastAsia="zh-CN"/>
        </w:rPr>
        <w:t>实施机构</w:t>
      </w:r>
      <w:r>
        <w:rPr>
          <w:rFonts w:hint="default" w:ascii="Times New Roman" w:hAnsi="Times New Roman" w:eastAsia="楷体" w:cs="Times New Roman"/>
          <w:color w:val="auto"/>
          <w:kern w:val="0"/>
          <w:sz w:val="28"/>
          <w:szCs w:val="28"/>
          <w:highlight w:val="none"/>
        </w:rPr>
        <w:t>可以合理要求的，且此前</w:t>
      </w:r>
      <w:r>
        <w:rPr>
          <w:rFonts w:hint="eastAsia" w:ascii="Times New Roman" w:hAnsi="Times New Roman" w:eastAsia="楷体" w:cs="Times New Roman"/>
          <w:color w:val="auto"/>
          <w:kern w:val="0"/>
          <w:sz w:val="28"/>
          <w:szCs w:val="28"/>
          <w:highlight w:val="none"/>
          <w:lang w:eastAsia="zh-CN"/>
        </w:rPr>
        <w:t>特许经营者或其组建的项目公司</w:t>
      </w:r>
      <w:r>
        <w:rPr>
          <w:rFonts w:hint="default" w:ascii="Times New Roman" w:hAnsi="Times New Roman" w:eastAsia="楷体" w:cs="Times New Roman"/>
          <w:color w:val="auto"/>
          <w:kern w:val="0"/>
          <w:sz w:val="28"/>
          <w:szCs w:val="28"/>
          <w:highlight w:val="none"/>
        </w:rPr>
        <w:t>未按照本合同约定交付的投资、融资、设计、建设、验收、运营、维护、修理记录、移交记录和其他资料，以使其能够直接或通过其指定机构继续本项目的运营；</w:t>
      </w:r>
    </w:p>
    <w:p w14:paraId="487DF6D8">
      <w:pPr>
        <w:pStyle w:val="34"/>
        <w:widowControl/>
        <w:numPr>
          <w:ilvl w:val="0"/>
          <w:numId w:val="5"/>
        </w:numPr>
        <w:shd w:val="clear" w:color="auto" w:fill="FFFFFF"/>
        <w:autoSpaceDE w:val="0"/>
        <w:autoSpaceDN w:val="0"/>
        <w:spacing w:before="0" w:beforeLines="0" w:after="0" w:afterLines="0"/>
        <w:ind w:left="0" w:leftChars="0" w:firstLineChars="200"/>
        <w:textAlignment w:val="baseline"/>
        <w:rPr>
          <w:rFonts w:ascii="Times New Roman" w:hAnsi="Times New Roman" w:eastAsia="楷体" w:cs="Times New Roman"/>
          <w:color w:val="auto"/>
          <w:kern w:val="0"/>
          <w:sz w:val="28"/>
          <w:szCs w:val="28"/>
          <w:highlight w:val="none"/>
        </w:rPr>
      </w:pPr>
      <w:r>
        <w:rPr>
          <w:rFonts w:hint="default" w:ascii="Times New Roman" w:hAnsi="Times New Roman" w:eastAsia="楷体" w:cs="Times New Roman"/>
          <w:color w:val="auto"/>
          <w:kern w:val="0"/>
          <w:sz w:val="28"/>
          <w:szCs w:val="28"/>
          <w:highlight w:val="none"/>
        </w:rPr>
        <w:t>与本项目设施使用相关的机器、装置、零部件、备品备件、化学品以及其他动产；</w:t>
      </w:r>
    </w:p>
    <w:p w14:paraId="210DE2B9">
      <w:pPr>
        <w:pStyle w:val="34"/>
        <w:widowControl/>
        <w:numPr>
          <w:ilvl w:val="0"/>
          <w:numId w:val="5"/>
        </w:numPr>
        <w:shd w:val="clear" w:color="auto" w:fill="FFFFFF"/>
        <w:autoSpaceDE w:val="0"/>
        <w:autoSpaceDN w:val="0"/>
        <w:spacing w:before="0" w:beforeLines="0" w:after="0" w:afterLines="0"/>
        <w:ind w:left="0" w:leftChars="0" w:firstLineChars="200"/>
        <w:textAlignment w:val="baseline"/>
        <w:rPr>
          <w:rFonts w:ascii="Times New Roman" w:hAnsi="Times New Roman" w:eastAsia="楷体" w:cs="Times New Roman"/>
          <w:color w:val="auto"/>
          <w:kern w:val="0"/>
          <w:sz w:val="28"/>
          <w:szCs w:val="28"/>
          <w:highlight w:val="none"/>
        </w:rPr>
      </w:pPr>
      <w:r>
        <w:rPr>
          <w:rFonts w:hint="default" w:ascii="Times New Roman" w:hAnsi="Times New Roman" w:eastAsia="楷体" w:cs="Times New Roman"/>
          <w:color w:val="auto"/>
          <w:kern w:val="0"/>
          <w:sz w:val="28"/>
          <w:szCs w:val="28"/>
          <w:highlight w:val="none"/>
        </w:rPr>
        <w:t>运营维护本项目设施所要求的所有技术和技术诀窍、知识产权等无形资产（包括以任何许可方式取得的，</w:t>
      </w:r>
      <w:r>
        <w:rPr>
          <w:rFonts w:hint="eastAsia" w:ascii="Times New Roman" w:hAnsi="Times New Roman" w:eastAsia="楷体" w:cs="Times New Roman"/>
          <w:color w:val="auto"/>
          <w:kern w:val="0"/>
          <w:sz w:val="28"/>
          <w:szCs w:val="28"/>
          <w:highlight w:val="none"/>
          <w:lang w:eastAsia="zh-CN"/>
        </w:rPr>
        <w:t>特许经营者或其组建的项目公司</w:t>
      </w:r>
      <w:r>
        <w:rPr>
          <w:rFonts w:hint="default" w:ascii="Times New Roman" w:hAnsi="Times New Roman" w:eastAsia="楷体" w:cs="Times New Roman"/>
          <w:color w:val="auto"/>
          <w:kern w:val="0"/>
          <w:sz w:val="28"/>
          <w:szCs w:val="28"/>
          <w:highlight w:val="none"/>
        </w:rPr>
        <w:t>不拥有相应知识产权的除外），其中就知识产权移交问题，双方另有约定的除外；</w:t>
      </w:r>
    </w:p>
    <w:p w14:paraId="515416D9">
      <w:pPr>
        <w:pStyle w:val="34"/>
        <w:widowControl/>
        <w:numPr>
          <w:ilvl w:val="0"/>
          <w:numId w:val="5"/>
        </w:numPr>
        <w:shd w:val="clear" w:color="auto" w:fill="FFFFFF"/>
        <w:autoSpaceDE w:val="0"/>
        <w:autoSpaceDN w:val="0"/>
        <w:spacing w:before="0" w:beforeLines="0" w:after="0" w:afterLines="0"/>
        <w:ind w:left="0" w:leftChars="0" w:firstLineChars="200"/>
        <w:textAlignment w:val="baseline"/>
        <w:rPr>
          <w:rFonts w:ascii="Times New Roman" w:hAnsi="Times New Roman" w:eastAsia="楷体" w:cs="Times New Roman"/>
          <w:color w:val="auto"/>
          <w:kern w:val="0"/>
          <w:sz w:val="28"/>
          <w:szCs w:val="28"/>
          <w:highlight w:val="none"/>
        </w:rPr>
      </w:pPr>
      <w:r>
        <w:rPr>
          <w:rFonts w:hint="default" w:ascii="Times New Roman" w:hAnsi="Times New Roman" w:eastAsia="楷体" w:cs="Times New Roman"/>
          <w:color w:val="auto"/>
          <w:kern w:val="0"/>
          <w:sz w:val="28"/>
          <w:szCs w:val="28"/>
          <w:highlight w:val="none"/>
        </w:rPr>
        <w:t>正在使用的各类管理章程和运营手册，包括专有技术、生产档案、技术档案、文秘档案、图书资料、设计图纸、文件和其他资料，以使本项目能平稳正常地继续运营；</w:t>
      </w:r>
    </w:p>
    <w:p w14:paraId="4A2EAA63">
      <w:pPr>
        <w:pStyle w:val="34"/>
        <w:keepNext w:val="0"/>
        <w:keepLines w:val="0"/>
        <w:pageBreakBefore w:val="0"/>
        <w:widowControl/>
        <w:numPr>
          <w:ilvl w:val="0"/>
          <w:numId w:val="5"/>
        </w:numPr>
        <w:shd w:val="clear" w:color="auto" w:fill="FFFFFF"/>
        <w:kinsoku/>
        <w:wordWrap/>
        <w:overflowPunct/>
        <w:topLinePunct w:val="0"/>
        <w:autoSpaceDE w:val="0"/>
        <w:autoSpaceDN w:val="0"/>
        <w:bidi w:val="0"/>
        <w:spacing w:before="0" w:beforeLines="0" w:beforeAutospacing="0" w:after="0" w:afterLines="0" w:afterAutospacing="0"/>
        <w:ind w:left="0" w:leftChars="0" w:firstLineChars="200"/>
        <w:textAlignment w:val="baseline"/>
        <w:rPr>
          <w:rFonts w:hint="default" w:ascii="Times New Roman" w:hAnsi="Times New Roman" w:eastAsia="楷体" w:cs="Times New Roman"/>
          <w:caps w:val="0"/>
          <w:smallCaps w:val="0"/>
          <w:color w:val="auto"/>
          <w:kern w:val="0"/>
          <w:sz w:val="28"/>
          <w:szCs w:val="28"/>
          <w:highlight w:val="none"/>
          <w:lang w:eastAsia="zh-CN"/>
        </w:rPr>
      </w:pPr>
      <w:r>
        <w:rPr>
          <w:rFonts w:hint="default" w:ascii="Times New Roman" w:hAnsi="Times New Roman" w:eastAsia="楷体" w:cs="Times New Roman"/>
          <w:color w:val="auto"/>
          <w:kern w:val="0"/>
          <w:sz w:val="28"/>
          <w:szCs w:val="28"/>
          <w:highlight w:val="none"/>
        </w:rPr>
        <w:t>所有尚未到期的质量和安全保证、保险和其他合同利益</w:t>
      </w:r>
      <w:r>
        <w:rPr>
          <w:rFonts w:hint="default" w:ascii="Times New Roman" w:hAnsi="Times New Roman" w:eastAsia="楷体" w:cs="Times New Roman"/>
          <w:caps w:val="0"/>
          <w:smallCaps w:val="0"/>
          <w:color w:val="auto"/>
          <w:kern w:val="0"/>
          <w:sz w:val="28"/>
          <w:szCs w:val="28"/>
          <w:highlight w:val="none"/>
          <w:lang w:eastAsia="zh-CN"/>
        </w:rPr>
        <w:t>；</w:t>
      </w:r>
    </w:p>
    <w:p w14:paraId="6C2DE79D">
      <w:pPr>
        <w:pStyle w:val="34"/>
        <w:keepNext w:val="0"/>
        <w:keepLines w:val="0"/>
        <w:pageBreakBefore w:val="0"/>
        <w:widowControl/>
        <w:numPr>
          <w:ilvl w:val="0"/>
          <w:numId w:val="5"/>
        </w:numPr>
        <w:shd w:val="clear" w:color="auto" w:fill="FFFFFF"/>
        <w:kinsoku/>
        <w:wordWrap/>
        <w:overflowPunct/>
        <w:topLinePunct w:val="0"/>
        <w:autoSpaceDE/>
        <w:autoSpaceDN/>
        <w:bidi w:val="0"/>
        <w:spacing w:before="0" w:beforeLines="0" w:beforeAutospacing="0" w:after="0" w:afterLines="0" w:afterAutospacing="0"/>
        <w:ind w:left="0" w:leftChars="0" w:firstLineChars="200"/>
        <w:textAlignment w:val="auto"/>
        <w:rPr>
          <w:rFonts w:hint="default" w:ascii="Times New Roman" w:hAnsi="Times New Roman" w:eastAsia="楷体"/>
          <w:caps w:val="0"/>
          <w:smallCaps w:val="0"/>
          <w:color w:val="auto"/>
          <w:kern w:val="0"/>
          <w:sz w:val="28"/>
          <w:szCs w:val="28"/>
          <w:highlight w:val="none"/>
          <w:lang w:eastAsia="zh-CN"/>
        </w:rPr>
      </w:pPr>
      <w:r>
        <w:rPr>
          <w:rFonts w:hint="default" w:ascii="Times New Roman" w:hAnsi="Times New Roman" w:eastAsia="楷体" w:cs="Times New Roman"/>
          <w:caps w:val="0"/>
          <w:smallCaps w:val="0"/>
          <w:color w:val="auto"/>
          <w:kern w:val="0"/>
          <w:sz w:val="28"/>
          <w:szCs w:val="28"/>
          <w:highlight w:val="none"/>
          <w:lang w:val="en-US" w:eastAsia="zh-CN"/>
        </w:rPr>
        <w:t>政府合理要求的其他物品与资料。</w:t>
      </w:r>
    </w:p>
    <w:p w14:paraId="3C25F433">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rPr>
        <w:t>项目期满移交不应附带任何负债或违约、侵权责任。所有与移交的设施、权益、文件等有关的负债或违约、侵权责任，应由</w:t>
      </w:r>
      <w:r>
        <w:rPr>
          <w:rFonts w:hint="default" w:ascii="Times New Roman" w:hAnsi="Times New Roman" w:eastAsia="楷体" w:cs="Times New Roman"/>
          <w:color w:val="auto"/>
          <w:sz w:val="28"/>
          <w:szCs w:val="28"/>
          <w:highlight w:val="none"/>
          <w:lang w:eastAsia="zh-CN"/>
        </w:rPr>
        <w:t>特许经营者</w:t>
      </w:r>
      <w:r>
        <w:rPr>
          <w:rFonts w:hint="eastAsia" w:ascii="Times New Roman" w:hAnsi="Times New Roman" w:eastAsia="楷体" w:cs="Times New Roman"/>
          <w:color w:val="auto"/>
          <w:sz w:val="28"/>
          <w:szCs w:val="28"/>
          <w:highlight w:val="none"/>
          <w:lang w:eastAsia="zh-CN"/>
        </w:rPr>
        <w:t>或其组建的</w:t>
      </w:r>
      <w:r>
        <w:rPr>
          <w:rFonts w:hint="default" w:ascii="Times New Roman" w:hAnsi="Times New Roman" w:eastAsia="楷体" w:cs="Times New Roman"/>
          <w:color w:val="auto"/>
          <w:sz w:val="28"/>
          <w:szCs w:val="28"/>
          <w:highlight w:val="none"/>
        </w:rPr>
        <w:t>项目公司全部清偿或赔偿完毕。</w:t>
      </w:r>
    </w:p>
    <w:p w14:paraId="2C3AD557">
      <w:pPr>
        <w:pStyle w:val="34"/>
        <w:widowControl/>
        <w:shd w:val="clear" w:color="auto" w:fill="FFFFFF"/>
        <w:spacing w:beforeAutospacing="0" w:afterAutospacing="0"/>
        <w:ind w:firstLine="562" w:firstLineChars="200"/>
        <w:jc w:val="both"/>
        <w:rPr>
          <w:rFonts w:hint="default" w:ascii="Times New Roman" w:hAnsi="Times New Roman" w:eastAsia="楷体" w:cs="Times New Roman"/>
          <w:b/>
          <w:bCs/>
          <w:color w:val="auto"/>
          <w:sz w:val="28"/>
          <w:szCs w:val="28"/>
          <w:highlight w:val="none"/>
        </w:rPr>
      </w:pPr>
      <w:r>
        <w:rPr>
          <w:rFonts w:hint="default" w:ascii="Times New Roman" w:hAnsi="Times New Roman" w:eastAsia="楷体" w:cs="Times New Roman"/>
          <w:b/>
          <w:bCs/>
          <w:color w:val="auto"/>
          <w:sz w:val="28"/>
          <w:szCs w:val="28"/>
          <w:highlight w:val="none"/>
          <w:lang w:val="en-US" w:eastAsia="zh-CN"/>
        </w:rPr>
        <w:t>②</w:t>
      </w:r>
      <w:r>
        <w:rPr>
          <w:rFonts w:hint="default" w:ascii="Times New Roman" w:hAnsi="Times New Roman" w:eastAsia="楷体" w:cs="Times New Roman"/>
          <w:b/>
          <w:bCs/>
          <w:color w:val="auto"/>
          <w:sz w:val="28"/>
          <w:szCs w:val="28"/>
          <w:highlight w:val="none"/>
        </w:rPr>
        <w:t>零配件和备品备件</w:t>
      </w:r>
    </w:p>
    <w:p w14:paraId="6DDA1C90">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eastAsia="zh-CN"/>
        </w:rPr>
        <w:t>特许经营者或其组建的</w:t>
      </w:r>
      <w:r>
        <w:rPr>
          <w:rFonts w:hint="default" w:ascii="Times New Roman" w:hAnsi="Times New Roman" w:eastAsia="楷体" w:cs="Times New Roman"/>
          <w:color w:val="auto"/>
          <w:sz w:val="28"/>
          <w:szCs w:val="28"/>
          <w:highlight w:val="none"/>
        </w:rPr>
        <w:t>项目公司应向政府方无偿移交足够</w:t>
      </w:r>
      <w:r>
        <w:rPr>
          <w:rFonts w:hint="eastAsia" w:ascii="Times New Roman" w:hAnsi="Times New Roman" w:eastAsia="楷体" w:cs="Times New Roman"/>
          <w:color w:val="auto"/>
          <w:sz w:val="28"/>
          <w:szCs w:val="28"/>
          <w:highlight w:val="none"/>
          <w:lang w:val="en-US" w:eastAsia="zh-CN"/>
        </w:rPr>
        <w:t>3</w:t>
      </w:r>
      <w:r>
        <w:rPr>
          <w:rFonts w:hint="default" w:ascii="Times New Roman" w:hAnsi="Times New Roman" w:eastAsia="楷体" w:cs="Times New Roman"/>
          <w:color w:val="auto"/>
          <w:sz w:val="28"/>
          <w:szCs w:val="28"/>
          <w:highlight w:val="none"/>
        </w:rPr>
        <w:t>个月使用的消耗性备品备件。所有零配件、备品备件应至少具有合同签署时取得的备件相同的质量和标准并符合相同的技术规格要求。</w:t>
      </w:r>
    </w:p>
    <w:p w14:paraId="016ACBFC">
      <w:pPr>
        <w:pStyle w:val="34"/>
        <w:widowControl/>
        <w:shd w:val="clear" w:color="auto" w:fill="FFFFFF"/>
        <w:spacing w:beforeAutospacing="0" w:afterAutospacing="0"/>
        <w:ind w:firstLine="562" w:firstLineChars="200"/>
        <w:jc w:val="both"/>
        <w:rPr>
          <w:rFonts w:hint="default" w:ascii="Times New Roman" w:hAnsi="Times New Roman" w:eastAsia="楷体" w:cs="Times New Roman"/>
          <w:b/>
          <w:bCs/>
          <w:color w:val="auto"/>
          <w:sz w:val="28"/>
          <w:szCs w:val="28"/>
          <w:highlight w:val="none"/>
        </w:rPr>
      </w:pPr>
      <w:r>
        <w:rPr>
          <w:rFonts w:hint="default" w:ascii="Times New Roman" w:hAnsi="Times New Roman" w:eastAsia="楷体" w:cs="Times New Roman"/>
          <w:b/>
          <w:bCs/>
          <w:color w:val="auto"/>
          <w:sz w:val="28"/>
          <w:szCs w:val="28"/>
          <w:highlight w:val="none"/>
          <w:lang w:val="en-US" w:eastAsia="zh-CN"/>
        </w:rPr>
        <w:t>③</w:t>
      </w:r>
      <w:r>
        <w:rPr>
          <w:rFonts w:hint="default" w:ascii="Times New Roman" w:hAnsi="Times New Roman" w:eastAsia="楷体" w:cs="Times New Roman"/>
          <w:b/>
          <w:bCs/>
          <w:color w:val="auto"/>
          <w:sz w:val="28"/>
          <w:szCs w:val="28"/>
          <w:highlight w:val="none"/>
        </w:rPr>
        <w:t>移交标准与缺陷修复</w:t>
      </w:r>
    </w:p>
    <w:p w14:paraId="2B379FAE">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eastAsia="zh-CN"/>
        </w:rPr>
        <w:t>特许经营者或其组建的</w:t>
      </w:r>
      <w:r>
        <w:rPr>
          <w:rFonts w:hint="default" w:ascii="Times New Roman" w:hAnsi="Times New Roman" w:eastAsia="楷体" w:cs="Times New Roman"/>
          <w:color w:val="auto"/>
          <w:sz w:val="28"/>
          <w:szCs w:val="28"/>
          <w:highlight w:val="none"/>
        </w:rPr>
        <w:t>项目公司应保证污水处理系统处于良好的运营、管理和养护状况、处于正常</w:t>
      </w:r>
      <w:r>
        <w:rPr>
          <w:rFonts w:hint="eastAsia" w:ascii="Times New Roman" w:hAnsi="Times New Roman" w:eastAsia="楷体" w:cs="Times New Roman"/>
          <w:color w:val="auto"/>
          <w:sz w:val="28"/>
          <w:szCs w:val="28"/>
          <w:highlight w:val="none"/>
          <w:lang w:eastAsia="zh-CN"/>
        </w:rPr>
        <w:t>使用</w:t>
      </w:r>
      <w:r>
        <w:rPr>
          <w:rFonts w:hint="default" w:ascii="Times New Roman" w:hAnsi="Times New Roman" w:eastAsia="楷体" w:cs="Times New Roman"/>
          <w:color w:val="auto"/>
          <w:sz w:val="28"/>
          <w:szCs w:val="28"/>
          <w:highlight w:val="none"/>
        </w:rPr>
        <w:t>状态、符合法律法规和合同所规定的安全和环境等有关标准。期满移交前，政府方将对本项目进行移交验收。如发现存在缺陷、未能达到移交标准的，则</w:t>
      </w:r>
      <w:r>
        <w:rPr>
          <w:rFonts w:hint="default" w:ascii="Times New Roman" w:hAnsi="Times New Roman" w:eastAsia="楷体" w:cs="Times New Roman"/>
          <w:color w:val="auto"/>
          <w:sz w:val="28"/>
          <w:szCs w:val="28"/>
          <w:highlight w:val="none"/>
          <w:lang w:eastAsia="zh-CN"/>
        </w:rPr>
        <w:t>特许经营者或其组建的</w:t>
      </w:r>
      <w:r>
        <w:rPr>
          <w:rFonts w:hint="default" w:ascii="Times New Roman" w:hAnsi="Times New Roman" w:eastAsia="楷体" w:cs="Times New Roman"/>
          <w:color w:val="auto"/>
          <w:sz w:val="28"/>
          <w:szCs w:val="28"/>
          <w:highlight w:val="none"/>
        </w:rPr>
        <w:t>项目公司应及时修复。</w:t>
      </w:r>
    </w:p>
    <w:p w14:paraId="7CE51E44">
      <w:pPr>
        <w:pStyle w:val="6"/>
        <w:spacing w:line="360" w:lineRule="auto"/>
        <w:ind w:firstLine="522" w:firstLineChars="200"/>
        <w:rPr>
          <w:rFonts w:hint="default" w:eastAsia="楷体"/>
          <w:color w:val="auto"/>
          <w:highlight w:val="none"/>
        </w:rPr>
      </w:pPr>
      <w:bookmarkStart w:id="599" w:name="_Toc2266"/>
      <w:r>
        <w:rPr>
          <w:rFonts w:hint="default" w:eastAsia="楷体"/>
          <w:color w:val="auto"/>
          <w:highlight w:val="none"/>
        </w:rPr>
        <w:t>（</w:t>
      </w:r>
      <w:r>
        <w:rPr>
          <w:rFonts w:hint="eastAsia" w:eastAsia="楷体"/>
          <w:color w:val="auto"/>
          <w:highlight w:val="none"/>
          <w:lang w:val="en-US" w:eastAsia="zh-CN"/>
        </w:rPr>
        <w:t>10</w:t>
      </w:r>
      <w:r>
        <w:rPr>
          <w:rFonts w:hint="default" w:eastAsia="楷体"/>
          <w:color w:val="auto"/>
          <w:highlight w:val="none"/>
        </w:rPr>
        <w:t>）其他要求</w:t>
      </w:r>
      <w:bookmarkEnd w:id="599"/>
    </w:p>
    <w:p w14:paraId="12E4DFD5">
      <w:pPr>
        <w:pStyle w:val="34"/>
        <w:widowControl/>
        <w:shd w:val="clear" w:color="auto" w:fill="FFFFFF"/>
        <w:spacing w:beforeAutospacing="0" w:afterAutospacing="0"/>
        <w:ind w:firstLine="560" w:firstLineChars="200"/>
        <w:jc w:val="both"/>
        <w:rPr>
          <w:rFonts w:hint="eastAsia" w:ascii="Times New Roman" w:hAnsi="Times New Roman" w:eastAsia="楷体" w:cs="Times New Roman"/>
          <w:i/>
          <w:iCs/>
          <w:color w:val="auto"/>
          <w:sz w:val="28"/>
          <w:szCs w:val="28"/>
          <w:highlight w:val="none"/>
          <w:u w:val="single"/>
          <w:lang w:eastAsia="zh-CN"/>
        </w:rPr>
      </w:pPr>
      <w:r>
        <w:rPr>
          <w:rFonts w:hint="default" w:ascii="Times New Roman" w:hAnsi="Times New Roman" w:eastAsia="楷体"/>
          <w:i/>
          <w:iCs/>
          <w:color w:val="auto"/>
          <w:sz w:val="28"/>
          <w:szCs w:val="28"/>
          <w:highlight w:val="none"/>
          <w:u w:val="single"/>
        </w:rPr>
        <w:t>有科学合理、较完善的项目运营实施方案；管理岗、生产运维人员不少于</w:t>
      </w:r>
      <w:r>
        <w:rPr>
          <w:rFonts w:hint="eastAsia" w:ascii="Times New Roman" w:hAnsi="Times New Roman" w:eastAsia="楷体"/>
          <w:i/>
          <w:iCs/>
          <w:color w:val="auto"/>
          <w:sz w:val="28"/>
          <w:szCs w:val="28"/>
          <w:highlight w:val="none"/>
          <w:u w:val="single"/>
          <w:lang w:val="en-US" w:eastAsia="zh-CN"/>
        </w:rPr>
        <w:t>22</w:t>
      </w:r>
      <w:r>
        <w:rPr>
          <w:rFonts w:hint="default" w:ascii="Times New Roman" w:hAnsi="Times New Roman" w:eastAsia="楷体"/>
          <w:i/>
          <w:iCs/>
          <w:color w:val="auto"/>
          <w:sz w:val="28"/>
          <w:szCs w:val="28"/>
          <w:highlight w:val="none"/>
          <w:u w:val="single"/>
        </w:rPr>
        <w:t>人，拟派人员及专业配置充足合理，特种作业人员应持证上岗</w:t>
      </w:r>
      <w:r>
        <w:rPr>
          <w:rFonts w:hint="eastAsia" w:ascii="Times New Roman" w:hAnsi="Times New Roman" w:eastAsia="楷体"/>
          <w:i/>
          <w:iCs/>
          <w:color w:val="auto"/>
          <w:sz w:val="28"/>
          <w:szCs w:val="28"/>
          <w:highlight w:val="none"/>
          <w:u w:val="single"/>
          <w:lang w:eastAsia="zh-CN"/>
        </w:rPr>
        <w:t>。（提供承诺函，格式自拟）</w:t>
      </w:r>
    </w:p>
    <w:p w14:paraId="5F284DBF">
      <w:pPr>
        <w:pStyle w:val="3"/>
        <w:keepNext/>
        <w:keepLines/>
        <w:pageBreakBefore w:val="0"/>
        <w:widowControl w:val="0"/>
        <w:kinsoku/>
        <w:wordWrap/>
        <w:overflowPunct/>
        <w:topLinePunct w:val="0"/>
        <w:autoSpaceDE/>
        <w:autoSpaceDN/>
        <w:bidi w:val="0"/>
        <w:adjustRightInd/>
        <w:snapToGrid/>
        <w:spacing w:before="100" w:after="100" w:line="360" w:lineRule="auto"/>
        <w:ind w:firstLine="602" w:firstLineChars="200"/>
        <w:textAlignment w:val="auto"/>
        <w:rPr>
          <w:rFonts w:hint="default" w:ascii="Times New Roman" w:hAnsi="Times New Roman" w:eastAsia="楷体" w:cs="Times New Roman"/>
          <w:b/>
          <w:color w:val="auto"/>
          <w:sz w:val="30"/>
          <w:szCs w:val="30"/>
          <w:highlight w:val="none"/>
          <w:lang w:val="en-US" w:eastAsia="zh-CN"/>
        </w:rPr>
      </w:pPr>
      <w:bookmarkStart w:id="600" w:name="_Toc26977"/>
      <w:bookmarkStart w:id="601" w:name="_Toc1097"/>
      <w:bookmarkStart w:id="602" w:name="_Toc561"/>
      <w:bookmarkStart w:id="603" w:name="_Toc3180"/>
      <w:bookmarkStart w:id="604" w:name="_Toc21708"/>
      <w:r>
        <w:rPr>
          <w:rFonts w:hint="default" w:ascii="Times New Roman" w:hAnsi="Times New Roman" w:eastAsia="楷体" w:cs="Times New Roman"/>
          <w:b/>
          <w:color w:val="auto"/>
          <w:sz w:val="30"/>
          <w:szCs w:val="30"/>
          <w:highlight w:val="none"/>
          <w:lang w:eastAsia="zh-CN"/>
        </w:rPr>
        <w:t>（</w:t>
      </w:r>
      <w:r>
        <w:rPr>
          <w:rFonts w:hint="eastAsia" w:ascii="Times New Roman" w:hAnsi="Times New Roman" w:eastAsia="楷体" w:cs="Times New Roman"/>
          <w:b/>
          <w:color w:val="auto"/>
          <w:sz w:val="30"/>
          <w:szCs w:val="30"/>
          <w:highlight w:val="none"/>
          <w:lang w:val="en-US" w:eastAsia="zh-CN"/>
        </w:rPr>
        <w:t>七</w:t>
      </w:r>
      <w:r>
        <w:rPr>
          <w:rFonts w:hint="default" w:ascii="Times New Roman" w:hAnsi="Times New Roman" w:eastAsia="楷体" w:cs="Times New Roman"/>
          <w:b/>
          <w:color w:val="auto"/>
          <w:sz w:val="30"/>
          <w:szCs w:val="30"/>
          <w:highlight w:val="none"/>
          <w:lang w:eastAsia="zh-CN"/>
        </w:rPr>
        <w:t>）</w:t>
      </w:r>
      <w:r>
        <w:rPr>
          <w:rFonts w:hint="default" w:ascii="Times New Roman" w:hAnsi="Times New Roman" w:eastAsia="楷体" w:cs="Times New Roman"/>
          <w:b/>
          <w:color w:val="auto"/>
          <w:sz w:val="30"/>
          <w:szCs w:val="30"/>
          <w:highlight w:val="none"/>
          <w:lang w:val="en-US" w:eastAsia="zh-CN"/>
        </w:rPr>
        <w:t>交易结构与投融资结构</w:t>
      </w:r>
      <w:bookmarkEnd w:id="600"/>
      <w:bookmarkEnd w:id="601"/>
      <w:bookmarkEnd w:id="602"/>
      <w:bookmarkEnd w:id="603"/>
      <w:bookmarkEnd w:id="604"/>
    </w:p>
    <w:p w14:paraId="6AC7E640">
      <w:pPr>
        <w:pStyle w:val="5"/>
        <w:spacing w:before="0" w:after="0" w:line="360" w:lineRule="auto"/>
        <w:ind w:firstLine="602" w:firstLineChars="200"/>
        <w:rPr>
          <w:rFonts w:hint="default" w:ascii="Times New Roman" w:hAnsi="Times New Roman" w:eastAsia="楷体" w:cs="Times New Roman"/>
          <w:color w:val="auto"/>
          <w:sz w:val="30"/>
          <w:szCs w:val="30"/>
          <w:highlight w:val="none"/>
        </w:rPr>
      </w:pPr>
      <w:bookmarkStart w:id="605" w:name="_Toc5937"/>
      <w:r>
        <w:rPr>
          <w:rFonts w:hint="default" w:ascii="Times New Roman" w:hAnsi="Times New Roman" w:eastAsia="楷体" w:cs="Times New Roman"/>
          <w:color w:val="auto"/>
          <w:sz w:val="30"/>
          <w:szCs w:val="30"/>
          <w:highlight w:val="none"/>
        </w:rPr>
        <w:t>1、交易结构</w:t>
      </w:r>
      <w:bookmarkEnd w:id="605"/>
    </w:p>
    <w:p w14:paraId="3606CC63">
      <w:pPr>
        <w:pStyle w:val="246"/>
        <w:widowControl/>
        <w:tabs>
          <w:tab w:val="left" w:pos="993"/>
        </w:tabs>
        <w:spacing w:line="360" w:lineRule="auto"/>
        <w:ind w:firstLine="565" w:firstLineChars="202"/>
        <w:rPr>
          <w:rFonts w:hint="default" w:ascii="Times New Roman" w:hAnsi="Times New Roman" w:eastAsia="楷体" w:cs="Times New Roman"/>
          <w:color w:val="auto"/>
          <w:sz w:val="28"/>
          <w:szCs w:val="28"/>
          <w:highlight w:val="none"/>
        </w:rPr>
      </w:pPr>
      <w:bookmarkStart w:id="606" w:name="_Toc20208"/>
      <w:bookmarkStart w:id="607" w:name="_Toc32586"/>
      <w:bookmarkStart w:id="608" w:name="_Toc10887"/>
      <w:bookmarkStart w:id="609" w:name="_Toc13323"/>
      <w:r>
        <w:rPr>
          <w:rFonts w:hint="default" w:ascii="Times New Roman" w:hAnsi="Times New Roman" w:eastAsia="楷体" w:cs="Times New Roman"/>
          <w:color w:val="auto"/>
          <w:sz w:val="28"/>
          <w:szCs w:val="28"/>
          <w:highlight w:val="none"/>
          <w:lang w:val="en-US" w:eastAsia="zh-CN"/>
        </w:rPr>
        <w:t>根据</w:t>
      </w:r>
      <w:r>
        <w:rPr>
          <w:rFonts w:hint="eastAsia" w:ascii="Times New Roman" w:hAnsi="Times New Roman" w:eastAsia="楷体" w:cs="Times New Roman"/>
          <w:color w:val="auto"/>
          <w:sz w:val="28"/>
          <w:szCs w:val="28"/>
          <w:highlight w:val="none"/>
          <w:lang w:val="en-US" w:eastAsia="zh-CN"/>
        </w:rPr>
        <w:t>《国务院办公厅转发国家发展改革委、财政部&lt;关于规范实施政府和社会资本合作新机制的指导意见&gt;的通知》（国办函〔2023〕115号）、《基础设施和公用事业特许经营管理办法》（2024年3月28日国家发展改革委、财政部、住房城乡建设部、交通运输部、水利部、中国人民银行令第17号公布）等文件及特许经营项目运作实务和本项目的实际情况，</w:t>
      </w:r>
      <w:r>
        <w:rPr>
          <w:rFonts w:hint="default" w:ascii="Times New Roman" w:hAnsi="Times New Roman" w:eastAsia="楷体" w:cs="Times New Roman"/>
          <w:color w:val="auto"/>
          <w:sz w:val="28"/>
          <w:szCs w:val="28"/>
          <w:highlight w:val="none"/>
          <w:lang w:val="en-US" w:eastAsia="zh-CN"/>
        </w:rPr>
        <w:t>本项目采用</w:t>
      </w:r>
      <w:r>
        <w:rPr>
          <w:rFonts w:hint="eastAsia" w:ascii="Times New Roman" w:hAnsi="Times New Roman" w:eastAsia="楷体" w:cs="Times New Roman"/>
          <w:color w:val="auto"/>
          <w:sz w:val="28"/>
          <w:szCs w:val="28"/>
          <w:highlight w:val="none"/>
          <w:lang w:val="en-US" w:eastAsia="zh-CN"/>
        </w:rPr>
        <w:t>T</w:t>
      </w:r>
      <w:r>
        <w:rPr>
          <w:rFonts w:hint="default" w:ascii="Times New Roman" w:hAnsi="Times New Roman" w:eastAsia="楷体" w:cs="Times New Roman"/>
          <w:color w:val="auto"/>
          <w:sz w:val="28"/>
          <w:szCs w:val="28"/>
          <w:highlight w:val="none"/>
          <w:lang w:val="en-US" w:eastAsia="zh-CN"/>
        </w:rPr>
        <w:t>OT（</w:t>
      </w:r>
      <w:r>
        <w:rPr>
          <w:rFonts w:hint="eastAsia" w:ascii="Times New Roman" w:hAnsi="Times New Roman" w:eastAsia="楷体" w:cs="Times New Roman"/>
          <w:color w:val="auto"/>
          <w:sz w:val="28"/>
          <w:szCs w:val="28"/>
          <w:highlight w:val="none"/>
          <w:lang w:val="en-US" w:eastAsia="zh-CN"/>
        </w:rPr>
        <w:t>转让</w:t>
      </w:r>
      <w:r>
        <w:rPr>
          <w:rFonts w:hint="default" w:ascii="Times New Roman" w:hAnsi="Times New Roman" w:eastAsia="楷体" w:cs="Times New Roman"/>
          <w:color w:val="auto"/>
          <w:sz w:val="28"/>
          <w:szCs w:val="28"/>
          <w:highlight w:val="none"/>
          <w:lang w:val="en-US" w:eastAsia="zh-CN"/>
        </w:rPr>
        <w:t>-运营-移交）运作方式实施</w:t>
      </w:r>
      <w:r>
        <w:rPr>
          <w:rFonts w:hint="default" w:ascii="Times New Roman" w:hAnsi="Times New Roman" w:eastAsia="楷体" w:cs="Times New Roman"/>
          <w:color w:val="auto"/>
          <w:sz w:val="28"/>
          <w:szCs w:val="28"/>
          <w:highlight w:val="none"/>
        </w:rPr>
        <w:t>，交易结构具体</w:t>
      </w:r>
      <w:r>
        <w:rPr>
          <w:rFonts w:hint="eastAsia" w:ascii="Times New Roman" w:hAnsi="Times New Roman" w:eastAsia="楷体" w:cs="Times New Roman"/>
          <w:color w:val="auto"/>
          <w:sz w:val="28"/>
          <w:szCs w:val="28"/>
          <w:highlight w:val="none"/>
          <w:lang w:val="en-US" w:eastAsia="zh-CN"/>
        </w:rPr>
        <w:t>如下</w:t>
      </w:r>
      <w:r>
        <w:rPr>
          <w:rFonts w:hint="default" w:ascii="Times New Roman" w:hAnsi="Times New Roman" w:eastAsia="楷体" w:cs="Times New Roman"/>
          <w:color w:val="auto"/>
          <w:sz w:val="28"/>
          <w:szCs w:val="28"/>
          <w:highlight w:val="none"/>
        </w:rPr>
        <w:t>：</w:t>
      </w:r>
    </w:p>
    <w:p w14:paraId="59F7202F">
      <w:pPr>
        <w:pStyle w:val="246"/>
        <w:widowControl/>
        <w:numPr>
          <w:ilvl w:val="0"/>
          <w:numId w:val="0"/>
        </w:numPr>
        <w:tabs>
          <w:tab w:val="left" w:pos="1418"/>
        </w:tabs>
        <w:spacing w:line="360" w:lineRule="auto"/>
        <w:ind w:left="0" w:firstLine="567" w:firstLineChars="0"/>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kern w:val="2"/>
          <w:sz w:val="28"/>
          <w:szCs w:val="28"/>
          <w:highlight w:val="none"/>
          <w:lang w:val="en-US" w:eastAsia="zh-CN" w:bidi="ar-SA"/>
        </w:rPr>
        <w:t>（1）</w:t>
      </w:r>
      <w:r>
        <w:rPr>
          <w:rFonts w:hint="default" w:ascii="Times New Roman" w:hAnsi="Times New Roman" w:eastAsia="楷体" w:cs="Times New Roman"/>
          <w:color w:val="auto"/>
          <w:sz w:val="28"/>
          <w:szCs w:val="28"/>
          <w:highlight w:val="none"/>
        </w:rPr>
        <w:t>由</w:t>
      </w:r>
      <w:r>
        <w:rPr>
          <w:rFonts w:hint="eastAsia" w:ascii="Times New Roman" w:hAnsi="Times New Roman" w:eastAsia="楷体" w:cs="Times New Roman"/>
          <w:color w:val="auto"/>
          <w:sz w:val="28"/>
          <w:szCs w:val="28"/>
          <w:highlight w:val="none"/>
          <w:lang w:val="en-US" w:eastAsia="zh-CN"/>
        </w:rPr>
        <w:t>江都区</w:t>
      </w:r>
      <w:r>
        <w:rPr>
          <w:rFonts w:hint="default" w:ascii="Times New Roman" w:hAnsi="Times New Roman" w:eastAsia="楷体" w:cs="Times New Roman"/>
          <w:color w:val="auto"/>
          <w:sz w:val="28"/>
          <w:szCs w:val="28"/>
          <w:highlight w:val="none"/>
        </w:rPr>
        <w:t>人民政府授权区</w:t>
      </w:r>
      <w:r>
        <w:rPr>
          <w:rFonts w:hint="eastAsia" w:ascii="Times New Roman" w:hAnsi="Times New Roman" w:eastAsia="楷体" w:cs="Times New Roman"/>
          <w:color w:val="auto"/>
          <w:sz w:val="28"/>
          <w:szCs w:val="28"/>
          <w:highlight w:val="none"/>
          <w:lang w:val="en-US" w:eastAsia="zh-CN"/>
        </w:rPr>
        <w:t>住建局</w:t>
      </w:r>
      <w:r>
        <w:rPr>
          <w:rFonts w:hint="default" w:ascii="Times New Roman" w:hAnsi="Times New Roman" w:eastAsia="楷体" w:cs="Times New Roman"/>
          <w:color w:val="auto"/>
          <w:sz w:val="28"/>
          <w:szCs w:val="28"/>
          <w:highlight w:val="none"/>
        </w:rPr>
        <w:t>作为本项目实施机构，负责</w:t>
      </w:r>
      <w:r>
        <w:rPr>
          <w:rFonts w:hint="eastAsia" w:ascii="Times New Roman" w:hAnsi="Times New Roman" w:eastAsia="楷体" w:cs="Times New Roman"/>
          <w:color w:val="auto"/>
          <w:sz w:val="28"/>
          <w:szCs w:val="28"/>
          <w:highlight w:val="none"/>
          <w:lang w:val="en-US" w:eastAsia="zh-CN"/>
        </w:rPr>
        <w:t>项目前期筹备、</w:t>
      </w:r>
      <w:r>
        <w:rPr>
          <w:rFonts w:hint="default" w:ascii="Times New Roman" w:hAnsi="Times New Roman" w:eastAsia="楷体" w:cs="Times New Roman"/>
          <w:color w:val="auto"/>
          <w:sz w:val="28"/>
          <w:szCs w:val="28"/>
          <w:highlight w:val="none"/>
        </w:rPr>
        <w:t>特许经营方案编制、特许经营者选择、特许经营协议签订、项目实施监管、</w:t>
      </w:r>
      <w:r>
        <w:rPr>
          <w:rFonts w:hint="eastAsia" w:ascii="Times New Roman" w:hAnsi="Times New Roman" w:eastAsia="楷体" w:cs="Times New Roman"/>
          <w:color w:val="auto"/>
          <w:sz w:val="28"/>
          <w:szCs w:val="28"/>
          <w:highlight w:val="none"/>
          <w:lang w:eastAsia="zh-CN"/>
        </w:rPr>
        <w:t>特许经营期</w:t>
      </w:r>
      <w:r>
        <w:rPr>
          <w:rFonts w:hint="default" w:ascii="Times New Roman" w:hAnsi="Times New Roman" w:eastAsia="楷体" w:cs="Times New Roman"/>
          <w:color w:val="auto"/>
          <w:sz w:val="28"/>
          <w:szCs w:val="28"/>
          <w:highlight w:val="none"/>
        </w:rPr>
        <w:t>满移交接收等工作；</w:t>
      </w:r>
    </w:p>
    <w:p w14:paraId="39AADCF5">
      <w:pPr>
        <w:pStyle w:val="246"/>
        <w:widowControl/>
        <w:numPr>
          <w:ilvl w:val="0"/>
          <w:numId w:val="0"/>
        </w:numPr>
        <w:tabs>
          <w:tab w:val="left" w:pos="1418"/>
        </w:tabs>
        <w:spacing w:line="360" w:lineRule="auto"/>
        <w:ind w:left="0" w:firstLine="567" w:firstLineChars="0"/>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kern w:val="2"/>
          <w:sz w:val="28"/>
          <w:szCs w:val="28"/>
          <w:highlight w:val="none"/>
          <w:lang w:val="en-US" w:eastAsia="zh-CN" w:bidi="ar-SA"/>
        </w:rPr>
        <w:t>（2）</w:t>
      </w:r>
      <w:r>
        <w:rPr>
          <w:rFonts w:hint="eastAsia" w:ascii="Times New Roman" w:hAnsi="Times New Roman" w:eastAsia="楷体" w:cs="Times New Roman"/>
          <w:color w:val="auto"/>
          <w:kern w:val="2"/>
          <w:sz w:val="28"/>
          <w:szCs w:val="28"/>
          <w:highlight w:val="none"/>
          <w:lang w:val="en-US" w:eastAsia="zh-CN" w:bidi="ar-SA"/>
        </w:rPr>
        <w:t>实施机构</w:t>
      </w:r>
      <w:r>
        <w:rPr>
          <w:rFonts w:hint="default" w:ascii="Times New Roman" w:hAnsi="Times New Roman" w:eastAsia="楷体" w:cs="Times New Roman"/>
          <w:color w:val="auto"/>
          <w:sz w:val="28"/>
          <w:szCs w:val="28"/>
          <w:highlight w:val="none"/>
        </w:rPr>
        <w:t>通过公开</w:t>
      </w:r>
      <w:r>
        <w:rPr>
          <w:rFonts w:hint="eastAsia" w:ascii="Times New Roman" w:hAnsi="Times New Roman" w:eastAsia="楷体" w:cs="Times New Roman"/>
          <w:color w:val="auto"/>
          <w:sz w:val="28"/>
          <w:szCs w:val="28"/>
          <w:highlight w:val="none"/>
          <w:lang w:val="en-US" w:eastAsia="zh-CN"/>
        </w:rPr>
        <w:t>竞争</w:t>
      </w:r>
      <w:r>
        <w:rPr>
          <w:rFonts w:hint="default" w:ascii="Times New Roman" w:hAnsi="Times New Roman" w:eastAsia="楷体" w:cs="Times New Roman"/>
          <w:color w:val="auto"/>
          <w:sz w:val="28"/>
          <w:szCs w:val="28"/>
          <w:highlight w:val="none"/>
        </w:rPr>
        <w:t>程序，选择一家具有较强资本实力和污水处理运营经验的</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w:t>
      </w:r>
    </w:p>
    <w:p w14:paraId="646224DA">
      <w:pPr>
        <w:pStyle w:val="246"/>
        <w:widowControl/>
        <w:numPr>
          <w:ilvl w:val="0"/>
          <w:numId w:val="0"/>
        </w:numPr>
        <w:tabs>
          <w:tab w:val="left" w:pos="1418"/>
        </w:tabs>
        <w:spacing w:line="360" w:lineRule="auto"/>
        <w:ind w:left="0" w:firstLine="567" w:firstLineChars="0"/>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kern w:val="2"/>
          <w:sz w:val="28"/>
          <w:szCs w:val="28"/>
          <w:highlight w:val="none"/>
          <w:lang w:val="en-US" w:eastAsia="zh-CN" w:bidi="ar-SA"/>
        </w:rPr>
        <w:t>（3）</w:t>
      </w:r>
      <w:r>
        <w:rPr>
          <w:rFonts w:hint="default" w:ascii="Times New Roman" w:hAnsi="Times New Roman" w:eastAsia="楷体" w:cs="Times New Roman"/>
          <w:color w:val="auto"/>
          <w:sz w:val="28"/>
          <w:szCs w:val="28"/>
          <w:highlight w:val="none"/>
        </w:rPr>
        <w:t>中标</w:t>
      </w:r>
      <w:r>
        <w:rPr>
          <w:rFonts w:hint="default" w:ascii="Times New Roman" w:hAnsi="Times New Roman" w:eastAsia="楷体" w:cs="Times New Roman"/>
          <w:color w:val="auto"/>
          <w:sz w:val="28"/>
          <w:szCs w:val="28"/>
          <w:highlight w:val="none"/>
          <w:lang w:eastAsia="zh-CN"/>
        </w:rPr>
        <w:t>特许经营者</w:t>
      </w:r>
      <w:r>
        <w:rPr>
          <w:rFonts w:hint="eastAsia" w:ascii="Times New Roman" w:hAnsi="Times New Roman" w:eastAsia="楷体" w:cs="Times New Roman"/>
          <w:color w:val="auto"/>
          <w:sz w:val="28"/>
          <w:szCs w:val="28"/>
          <w:highlight w:val="none"/>
          <w:lang w:val="en-US" w:eastAsia="zh-CN"/>
        </w:rPr>
        <w:t>或其组建的项目公司</w:t>
      </w:r>
      <w:r>
        <w:rPr>
          <w:rFonts w:hint="default" w:ascii="Times New Roman" w:hAnsi="Times New Roman" w:eastAsia="楷体" w:cs="Times New Roman"/>
          <w:color w:val="auto"/>
          <w:sz w:val="28"/>
          <w:szCs w:val="28"/>
          <w:highlight w:val="none"/>
        </w:rPr>
        <w:t>向</w:t>
      </w:r>
      <w:r>
        <w:rPr>
          <w:rFonts w:hint="eastAsia" w:ascii="Times New Roman" w:hAnsi="Times New Roman" w:eastAsia="楷体" w:cs="Times New Roman"/>
          <w:color w:val="auto"/>
          <w:sz w:val="28"/>
          <w:szCs w:val="28"/>
          <w:highlight w:val="none"/>
          <w:lang w:val="en-US" w:eastAsia="zh-CN"/>
        </w:rPr>
        <w:t>江都区人民政府</w:t>
      </w:r>
      <w:r>
        <w:rPr>
          <w:rFonts w:hint="default" w:ascii="Times New Roman" w:hAnsi="Times New Roman" w:eastAsia="楷体" w:cs="Times New Roman"/>
          <w:color w:val="auto"/>
          <w:sz w:val="28"/>
          <w:szCs w:val="28"/>
          <w:highlight w:val="none"/>
        </w:rPr>
        <w:t>足额支付特许经营转让费，获得</w:t>
      </w:r>
      <w:r>
        <w:rPr>
          <w:rFonts w:hint="eastAsia" w:ascii="Times New Roman" w:hAnsi="Times New Roman" w:eastAsia="楷体" w:cs="Times New Roman"/>
          <w:color w:val="auto"/>
          <w:sz w:val="28"/>
          <w:szCs w:val="28"/>
          <w:highlight w:val="none"/>
          <w:lang w:val="en-US" w:eastAsia="zh-CN"/>
        </w:rPr>
        <w:t>本项目</w:t>
      </w:r>
      <w:r>
        <w:rPr>
          <w:rFonts w:hint="default" w:ascii="Times New Roman" w:hAnsi="Times New Roman" w:eastAsia="楷体" w:cs="Times New Roman"/>
          <w:color w:val="auto"/>
          <w:sz w:val="28"/>
          <w:szCs w:val="28"/>
          <w:highlight w:val="none"/>
        </w:rPr>
        <w:t>30年的特许经营权，负责</w:t>
      </w:r>
      <w:r>
        <w:rPr>
          <w:rFonts w:hint="eastAsia" w:ascii="Times New Roman" w:hAnsi="Times New Roman" w:eastAsia="楷体" w:cs="Times New Roman"/>
          <w:color w:val="auto"/>
          <w:sz w:val="28"/>
          <w:szCs w:val="28"/>
          <w:highlight w:val="none"/>
          <w:lang w:val="en-US" w:eastAsia="zh-CN"/>
        </w:rPr>
        <w:t>授权范围内的污水处理及本</w:t>
      </w:r>
      <w:r>
        <w:rPr>
          <w:rFonts w:hint="default" w:ascii="Times New Roman" w:hAnsi="Times New Roman" w:eastAsia="楷体" w:cs="Times New Roman"/>
          <w:color w:val="auto"/>
          <w:sz w:val="28"/>
          <w:szCs w:val="28"/>
          <w:highlight w:val="none"/>
        </w:rPr>
        <w:t>项目</w:t>
      </w:r>
      <w:r>
        <w:rPr>
          <w:rFonts w:hint="eastAsia" w:ascii="Times New Roman" w:hAnsi="Times New Roman" w:eastAsia="楷体" w:cs="Times New Roman"/>
          <w:color w:val="auto"/>
          <w:sz w:val="28"/>
          <w:szCs w:val="28"/>
          <w:highlight w:val="none"/>
          <w:lang w:val="en-US" w:eastAsia="zh-CN"/>
        </w:rPr>
        <w:t>范围内</w:t>
      </w:r>
      <w:r>
        <w:rPr>
          <w:rFonts w:hint="default" w:ascii="Times New Roman" w:hAnsi="Times New Roman" w:eastAsia="楷体" w:cs="Times New Roman"/>
          <w:color w:val="auto"/>
          <w:sz w:val="28"/>
          <w:szCs w:val="28"/>
          <w:highlight w:val="none"/>
        </w:rPr>
        <w:t>的</w:t>
      </w:r>
      <w:r>
        <w:rPr>
          <w:rFonts w:hint="eastAsia" w:ascii="Times New Roman" w:hAnsi="Times New Roman" w:eastAsia="楷体" w:cs="Times New Roman"/>
          <w:color w:val="auto"/>
          <w:sz w:val="28"/>
          <w:szCs w:val="28"/>
          <w:highlight w:val="none"/>
          <w:lang w:val="en-US" w:eastAsia="zh-CN"/>
        </w:rPr>
        <w:t>设施设备</w:t>
      </w:r>
      <w:r>
        <w:rPr>
          <w:rFonts w:hint="default" w:ascii="Times New Roman" w:hAnsi="Times New Roman" w:eastAsia="楷体" w:cs="Times New Roman"/>
          <w:color w:val="auto"/>
          <w:sz w:val="28"/>
          <w:szCs w:val="28"/>
          <w:highlight w:val="none"/>
        </w:rPr>
        <w:t>运营维护；</w:t>
      </w:r>
    </w:p>
    <w:p w14:paraId="4E486EEA">
      <w:pPr>
        <w:pStyle w:val="246"/>
        <w:widowControl/>
        <w:numPr>
          <w:ilvl w:val="0"/>
          <w:numId w:val="0"/>
        </w:numPr>
        <w:tabs>
          <w:tab w:val="left" w:pos="1418"/>
        </w:tabs>
        <w:spacing w:line="360" w:lineRule="auto"/>
        <w:ind w:left="0" w:firstLine="567" w:firstLineChars="0"/>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kern w:val="2"/>
          <w:sz w:val="28"/>
          <w:szCs w:val="28"/>
          <w:highlight w:val="none"/>
          <w:lang w:val="en-US" w:eastAsia="zh-CN" w:bidi="ar-SA"/>
        </w:rPr>
        <w:t>（4）</w:t>
      </w:r>
      <w:r>
        <w:rPr>
          <w:rFonts w:hint="default" w:ascii="Times New Roman" w:hAnsi="Times New Roman" w:eastAsia="楷体" w:cs="Times New Roman"/>
          <w:color w:val="auto"/>
          <w:sz w:val="28"/>
          <w:szCs w:val="28"/>
          <w:highlight w:val="none"/>
        </w:rPr>
        <w:t>政府根据绩效考核情况向</w:t>
      </w:r>
      <w:r>
        <w:rPr>
          <w:rFonts w:hint="default" w:ascii="Times New Roman" w:hAnsi="Times New Roman" w:eastAsia="楷体" w:cs="Times New Roman"/>
          <w:color w:val="auto"/>
          <w:sz w:val="28"/>
          <w:szCs w:val="28"/>
          <w:highlight w:val="none"/>
          <w:lang w:eastAsia="zh-CN"/>
        </w:rPr>
        <w:t>特许经营者</w:t>
      </w:r>
      <w:r>
        <w:rPr>
          <w:rFonts w:hint="eastAsia" w:ascii="Times New Roman" w:hAnsi="Times New Roman" w:eastAsia="楷体" w:cs="Times New Roman"/>
          <w:color w:val="auto"/>
          <w:sz w:val="28"/>
          <w:szCs w:val="28"/>
          <w:highlight w:val="none"/>
          <w:lang w:val="en-US" w:eastAsia="zh-CN"/>
        </w:rPr>
        <w:t>或其组建的项目公司</w:t>
      </w:r>
      <w:r>
        <w:rPr>
          <w:rFonts w:hint="default" w:ascii="Times New Roman" w:hAnsi="Times New Roman" w:eastAsia="楷体" w:cs="Times New Roman"/>
          <w:color w:val="auto"/>
          <w:sz w:val="28"/>
          <w:szCs w:val="28"/>
          <w:highlight w:val="none"/>
        </w:rPr>
        <w:t>支付</w:t>
      </w:r>
      <w:r>
        <w:rPr>
          <w:rFonts w:hint="eastAsia" w:ascii="Times New Roman" w:hAnsi="Times New Roman" w:eastAsia="楷体" w:cs="Times New Roman"/>
          <w:color w:val="auto"/>
          <w:sz w:val="28"/>
          <w:szCs w:val="28"/>
          <w:highlight w:val="none"/>
          <w:lang w:val="en-US" w:eastAsia="zh-CN"/>
        </w:rPr>
        <w:t>污水处理</w:t>
      </w:r>
      <w:r>
        <w:rPr>
          <w:rFonts w:hint="default" w:ascii="Times New Roman" w:hAnsi="Times New Roman" w:eastAsia="楷体" w:cs="Times New Roman"/>
          <w:color w:val="auto"/>
          <w:sz w:val="28"/>
          <w:szCs w:val="28"/>
          <w:highlight w:val="none"/>
        </w:rPr>
        <w:t>服务费；</w:t>
      </w:r>
    </w:p>
    <w:p w14:paraId="432339E0">
      <w:pPr>
        <w:pStyle w:val="246"/>
        <w:widowControl/>
        <w:numPr>
          <w:ilvl w:val="0"/>
          <w:numId w:val="0"/>
        </w:numPr>
        <w:tabs>
          <w:tab w:val="left" w:pos="1418"/>
        </w:tabs>
        <w:spacing w:line="360" w:lineRule="auto"/>
        <w:ind w:left="0" w:firstLine="567" w:firstLineChars="0"/>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kern w:val="2"/>
          <w:sz w:val="28"/>
          <w:szCs w:val="28"/>
          <w:highlight w:val="none"/>
          <w:lang w:val="en-US" w:eastAsia="zh-CN" w:bidi="ar-SA"/>
        </w:rPr>
        <w:t>（5）</w:t>
      </w:r>
      <w:r>
        <w:rPr>
          <w:rFonts w:hint="default" w:ascii="Times New Roman" w:hAnsi="Times New Roman" w:eastAsia="楷体" w:cs="Times New Roman"/>
          <w:color w:val="auto"/>
          <w:sz w:val="28"/>
          <w:szCs w:val="28"/>
          <w:highlight w:val="none"/>
        </w:rPr>
        <w:t>项目特许经营期</w:t>
      </w:r>
      <w:r>
        <w:rPr>
          <w:rFonts w:hint="eastAsia" w:ascii="Times New Roman" w:hAnsi="Times New Roman" w:eastAsia="楷体" w:cs="Times New Roman"/>
          <w:color w:val="auto"/>
          <w:sz w:val="28"/>
          <w:szCs w:val="28"/>
          <w:highlight w:val="none"/>
          <w:lang w:eastAsia="zh-CN"/>
        </w:rPr>
        <w:t>满后</w:t>
      </w:r>
      <w:r>
        <w:rPr>
          <w:rFonts w:hint="default" w:ascii="Times New Roman" w:hAnsi="Times New Roman" w:eastAsia="楷体" w:cs="Times New Roman"/>
          <w:color w:val="auto"/>
          <w:sz w:val="28"/>
          <w:szCs w:val="28"/>
          <w:highlight w:val="none"/>
        </w:rPr>
        <w:t>，</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无偿将项目的运营设施</w:t>
      </w:r>
      <w:r>
        <w:rPr>
          <w:rFonts w:hint="eastAsia" w:ascii="Times New Roman" w:hAnsi="Times New Roman" w:eastAsia="楷体" w:cs="Times New Roman"/>
          <w:color w:val="auto"/>
          <w:sz w:val="28"/>
          <w:szCs w:val="28"/>
          <w:highlight w:val="none"/>
          <w:lang w:val="en-US" w:eastAsia="zh-CN"/>
        </w:rPr>
        <w:t>及特许经营权</w:t>
      </w:r>
      <w:r>
        <w:rPr>
          <w:rFonts w:hint="default" w:ascii="Times New Roman" w:hAnsi="Times New Roman" w:eastAsia="楷体" w:cs="Times New Roman"/>
          <w:color w:val="auto"/>
          <w:sz w:val="28"/>
          <w:szCs w:val="28"/>
          <w:highlight w:val="none"/>
        </w:rPr>
        <w:t>完好无损并无偿移交给实施机构或其指定机构。</w:t>
      </w:r>
      <w:bookmarkEnd w:id="606"/>
      <w:bookmarkEnd w:id="607"/>
      <w:bookmarkEnd w:id="608"/>
    </w:p>
    <w:p w14:paraId="0A2B26C0">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rPr>
        <w:t>本项目不要求中标</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必须在本地成立项目公司，但为便于项目运营和政府监管，</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可按照《中华人民共和国公司法》，在</w:t>
      </w:r>
      <w:r>
        <w:rPr>
          <w:rFonts w:hint="eastAsia" w:ascii="Times New Roman" w:hAnsi="Times New Roman" w:eastAsia="楷体" w:cs="Times New Roman"/>
          <w:color w:val="auto"/>
          <w:sz w:val="28"/>
          <w:szCs w:val="28"/>
          <w:highlight w:val="none"/>
          <w:lang w:val="en-US" w:eastAsia="zh-CN"/>
        </w:rPr>
        <w:t>江都区</w:t>
      </w:r>
      <w:r>
        <w:rPr>
          <w:rFonts w:hint="default" w:ascii="Times New Roman" w:hAnsi="Times New Roman" w:eastAsia="楷体" w:cs="Times New Roman"/>
          <w:color w:val="auto"/>
          <w:sz w:val="28"/>
          <w:szCs w:val="28"/>
          <w:highlight w:val="none"/>
        </w:rPr>
        <w:t>成立一家项目公司（SPV），负责项目</w:t>
      </w:r>
      <w:r>
        <w:rPr>
          <w:rFonts w:hint="eastAsia" w:ascii="Times New Roman" w:hAnsi="Times New Roman" w:eastAsia="楷体" w:cs="Times New Roman"/>
          <w:color w:val="auto"/>
          <w:sz w:val="28"/>
          <w:szCs w:val="28"/>
          <w:highlight w:val="none"/>
          <w:lang w:val="en-US" w:eastAsia="zh-CN"/>
        </w:rPr>
        <w:t>污水处理服务、设施</w:t>
      </w:r>
      <w:r>
        <w:rPr>
          <w:rFonts w:hint="default" w:ascii="Times New Roman" w:hAnsi="Times New Roman" w:eastAsia="楷体" w:cs="Times New Roman"/>
          <w:color w:val="auto"/>
          <w:sz w:val="28"/>
          <w:szCs w:val="28"/>
          <w:highlight w:val="none"/>
        </w:rPr>
        <w:t>运营维护管理和移交等相关工作，由其100%出资</w:t>
      </w:r>
      <w:bookmarkEnd w:id="609"/>
      <w:r>
        <w:rPr>
          <w:rFonts w:hint="default" w:ascii="Times New Roman" w:hAnsi="Times New Roman" w:eastAsia="楷体" w:cs="Times New Roman"/>
          <w:color w:val="auto"/>
          <w:sz w:val="28"/>
          <w:szCs w:val="28"/>
          <w:highlight w:val="none"/>
        </w:rPr>
        <w:t>，政府方不参股。</w:t>
      </w:r>
    </w:p>
    <w:p w14:paraId="15C884A0">
      <w:pPr>
        <w:ind w:firstLine="560" w:firstLineChars="200"/>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本项目特许经营运作方式如图所示：</w:t>
      </w:r>
    </w:p>
    <w:p w14:paraId="176C140A">
      <w:pPr>
        <w:pStyle w:val="34"/>
        <w:widowControl/>
        <w:shd w:val="clear" w:color="auto" w:fill="FFFFFF"/>
        <w:spacing w:beforeAutospacing="0" w:afterAutospacing="0"/>
        <w:ind w:firstLine="0" w:firstLineChars="0"/>
        <w:jc w:val="both"/>
        <w:rPr>
          <w:rFonts w:hint="eastAsia" w:ascii="楷体" w:hAnsi="楷体" w:eastAsia="楷体" w:cs="楷体"/>
          <w:color w:val="auto"/>
          <w:sz w:val="28"/>
          <w:szCs w:val="28"/>
          <w:highlight w:val="none"/>
          <w:lang w:val="en-US" w:eastAsia="zh-CN"/>
        </w:rPr>
      </w:pPr>
      <w:r>
        <w:rPr>
          <w:rFonts w:hint="eastAsia" w:ascii="楷体" w:hAnsi="楷体" w:eastAsia="楷体" w:cs="楷体"/>
          <w:color w:val="auto"/>
          <w:sz w:val="24"/>
          <w:highlight w:val="none"/>
        </w:rPr>
        <mc:AlternateContent>
          <mc:Choice Requires="wps">
            <w:drawing>
              <wp:anchor distT="0" distB="0" distL="114300" distR="114300" simplePos="0" relativeHeight="251663360" behindDoc="0" locked="0" layoutInCell="1" allowOverlap="1">
                <wp:simplePos x="0" y="0"/>
                <wp:positionH relativeFrom="column">
                  <wp:posOffset>1494790</wp:posOffset>
                </wp:positionH>
                <wp:positionV relativeFrom="paragraph">
                  <wp:posOffset>425450</wp:posOffset>
                </wp:positionV>
                <wp:extent cx="1584325" cy="5715"/>
                <wp:effectExtent l="0" t="32385" r="15875" b="38100"/>
                <wp:wrapNone/>
                <wp:docPr id="9" name="直接箭头连接符 9"/>
                <wp:cNvGraphicFramePr/>
                <a:graphic xmlns:a="http://schemas.openxmlformats.org/drawingml/2006/main">
                  <a:graphicData uri="http://schemas.microsoft.com/office/word/2010/wordprocessingShape">
                    <wps:wsp>
                      <wps:cNvCnPr/>
                      <wps:spPr>
                        <a:xfrm flipH="1">
                          <a:off x="2565400" y="1339850"/>
                          <a:ext cx="1584325" cy="5715"/>
                        </a:xfrm>
                        <a:prstGeom prst="straightConnector1">
                          <a:avLst/>
                        </a:prstGeom>
                        <a:noFill/>
                        <a:ln w="12700" cap="flat" cmpd="sng" algn="ctr">
                          <a:solidFill>
                            <a:sysClr val="windowText" lastClr="000000"/>
                          </a:solidFill>
                          <a:prstDash val="solid"/>
                          <a:miter lim="800000"/>
                          <a:tailEnd type="triangle"/>
                        </a:ln>
                        <a:effectLst/>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117.7pt;margin-top:33.5pt;height:0.45pt;width:124.75pt;z-index:251663360;mso-width-relative:page;mso-height-relative:page;" filled="f" stroked="t" coordsize="21600,21600" o:gfxdata="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iJQ7o1gAAAAkBAAAPAAAAAAAAAAEAIAAAACIAAABkcnMvZG93bnJldi54bWxQSwEC&#10;FAAUAAAACACHTuJAy7cCTy8CAAAdBAAADgAAAAAAAAABACAAAAAlAQAAZHJzL2Uyb0RvYy54bWxQ&#10;SwUGAAAAAAYABgBZAQAAxgUAAAAA&#10;">
                <v:fill on="f" focussize="0,0"/>
                <v:stroke weight="1pt" color="#000000 [3204]" miterlimit="8" joinstyle="miter" endarrow="block"/>
                <v:imagedata o:title=""/>
                <o:lock v:ext="edit" aspectratio="f"/>
              </v:shape>
            </w:pict>
          </mc:Fallback>
        </mc:AlternateContent>
      </w:r>
      <w:r>
        <w:rPr>
          <w:rFonts w:hint="eastAsia" w:ascii="楷体" w:hAnsi="楷体" w:eastAsia="楷体" w:cs="楷体"/>
          <w:color w:val="auto"/>
          <w:sz w:val="24"/>
          <w:highlight w:val="none"/>
        </w:rPr>
        <mc:AlternateContent>
          <mc:Choice Requires="wps">
            <w:drawing>
              <wp:anchor distT="0" distB="0" distL="114300" distR="114300" simplePos="0" relativeHeight="251662336" behindDoc="0" locked="0" layoutInCell="1" allowOverlap="1">
                <wp:simplePos x="0" y="0"/>
                <wp:positionH relativeFrom="column">
                  <wp:posOffset>3575685</wp:posOffset>
                </wp:positionH>
                <wp:positionV relativeFrom="paragraph">
                  <wp:posOffset>1310640</wp:posOffset>
                </wp:positionV>
                <wp:extent cx="3175" cy="372745"/>
                <wp:effectExtent l="37465" t="0" r="35560" b="8255"/>
                <wp:wrapNone/>
                <wp:docPr id="7" name="直接箭头连接符 7"/>
                <wp:cNvGraphicFramePr/>
                <a:graphic xmlns:a="http://schemas.openxmlformats.org/drawingml/2006/main">
                  <a:graphicData uri="http://schemas.microsoft.com/office/word/2010/wordprocessingShape">
                    <wps:wsp>
                      <wps:cNvCnPr/>
                      <wps:spPr>
                        <a:xfrm flipH="1">
                          <a:off x="4750435" y="2120900"/>
                          <a:ext cx="3175" cy="372745"/>
                        </a:xfrm>
                        <a:prstGeom prst="straightConnector1">
                          <a:avLst/>
                        </a:prstGeom>
                        <a:noFill/>
                        <a:ln w="12700" cap="flat" cmpd="sng" algn="ctr">
                          <a:solidFill>
                            <a:sysClr val="windowText" lastClr="000000"/>
                          </a:solidFill>
                          <a:prstDash val="solid"/>
                          <a:miter lim="800000"/>
                          <a:tailEnd type="triangle"/>
                        </a:ln>
                        <a:effectLst/>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281.55pt;margin-top:103.2pt;height:29.35pt;width:0.25pt;z-index:251662336;mso-width-relative:page;mso-height-relative:page;" filled="f" stroked="t" coordsize="21600,21600" o:gfxdata="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6Ab6I1gAAAAsBAAAPAAAAAAAAAAEAIAAAACIAAABkcnMvZG93bnJldi54bWxQSwEC&#10;FAAUAAAACACHTuJALhkF5i8CAAAcBAAADgAAAAAAAAABACAAAAAlAQAAZHJzL2Uyb0RvYy54bWxQ&#10;SwUGAAAAAAYABgBZAQAAxgUAAAAA&#10;">
                <v:fill on="f" focussize="0,0"/>
                <v:stroke weight="1pt" color="#000000 [3204]" miterlimit="8" joinstyle="miter" endarrow="block"/>
                <v:imagedata o:title=""/>
                <o:lock v:ext="edit" aspectratio="f"/>
              </v:shape>
            </w:pict>
          </mc:Fallback>
        </mc:AlternateContent>
      </w:r>
      <w:r>
        <w:rPr>
          <w:rFonts w:hint="eastAsia" w:ascii="楷体" w:hAnsi="楷体" w:eastAsia="楷体" w:cs="楷体"/>
          <w:color w:val="auto"/>
          <w:szCs w:val="24"/>
          <w:highlight w:val="none"/>
        </w:rPr>
        <mc:AlternateContent>
          <mc:Choice Requires="wpc">
            <w:drawing>
              <wp:inline distT="0" distB="0" distL="0" distR="0">
                <wp:extent cx="5274310" cy="3556000"/>
                <wp:effectExtent l="4445" t="4445" r="55245" b="20955"/>
                <wp:docPr id="36782" name="画布 3"/>
                <wp:cNvGraphicFramePr/>
                <a:graphic xmlns:a="http://schemas.openxmlformats.org/drawingml/2006/main">
                  <a:graphicData uri="http://schemas.microsoft.com/office/word/2010/wordprocessingCanvas">
                    <wpc:wpc>
                      <wpc:bg>
                        <a:noFill/>
                      </wpc:bg>
                      <wpc:whole>
                        <a:ln w="9525" cap="flat" cmpd="sng" algn="ctr">
                          <a:solidFill>
                            <a:schemeClr val="tx1">
                              <a:lumMod val="100000"/>
                              <a:lumOff val="0"/>
                            </a:schemeClr>
                          </a:solidFill>
                          <a:prstDash val="solid"/>
                          <a:miter lim="800000"/>
                          <a:headEnd type="none" w="med" len="med"/>
                          <a:tailEnd type="none" w="med" len="med"/>
                        </a:ln>
                      </wpc:whole>
                      <wps:wsp>
                        <wps:cNvPr id="20" name="直接连接符 47"/>
                        <wps:cNvCnPr>
                          <a:cxnSpLocks noChangeShapeType="1"/>
                        </wps:cNvCnPr>
                        <wps:spPr bwMode="auto">
                          <a:xfrm>
                            <a:off x="3576955" y="2066290"/>
                            <a:ext cx="4445" cy="974090"/>
                          </a:xfrm>
                          <a:prstGeom prst="line">
                            <a:avLst/>
                          </a:prstGeom>
                          <a:noFill/>
                          <a:ln w="1270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wps:wsp>
                        <wps:cNvPr id="21" name="矩形 6"/>
                        <wps:cNvSpPr>
                          <a:spLocks noChangeArrowheads="1"/>
                        </wps:cNvSpPr>
                        <wps:spPr bwMode="auto">
                          <a:xfrm>
                            <a:off x="209550" y="856615"/>
                            <a:ext cx="1247775" cy="347980"/>
                          </a:xfrm>
                          <a:prstGeom prst="rect">
                            <a:avLst/>
                          </a:prstGeom>
                          <a:noFill/>
                          <a:ln w="12700">
                            <a:solidFill>
                              <a:srgbClr val="000000"/>
                            </a:solidFill>
                            <a:miter lim="800000"/>
                          </a:ln>
                        </wps:spPr>
                        <wps:txbx>
                          <w:txbxContent>
                            <w:p w14:paraId="2D8E1575">
                              <w:pPr>
                                <w:adjustRightInd w:val="0"/>
                                <w:snapToGrid w:val="0"/>
                                <w:spacing w:line="240" w:lineRule="auto"/>
                                <w:ind w:firstLine="0" w:firstLineChars="0"/>
                                <w:jc w:val="center"/>
                                <w:rPr>
                                  <w:rFonts w:hint="eastAsia" w:ascii="楷体" w:hAnsi="楷体" w:eastAsia="楷体" w:cs="楷体"/>
                                  <w:b/>
                                  <w:sz w:val="21"/>
                                  <w:szCs w:val="21"/>
                                </w:rPr>
                              </w:pPr>
                              <w:r>
                                <w:rPr>
                                  <w:rFonts w:hint="eastAsia" w:ascii="楷体" w:hAnsi="楷体" w:eastAsia="楷体" w:cs="楷体"/>
                                  <w:b/>
                                  <w:color w:val="000000"/>
                                  <w:sz w:val="21"/>
                                  <w:szCs w:val="21"/>
                                </w:rPr>
                                <w:t>实施机构</w:t>
                              </w:r>
                            </w:p>
                          </w:txbxContent>
                        </wps:txbx>
                        <wps:bodyPr rot="0" vert="horz" wrap="square" lIns="36000" tIns="36000" rIns="36000" bIns="36000" anchor="ctr" anchorCtr="0" upright="1">
                          <a:noAutofit/>
                        </wps:bodyPr>
                      </wps:wsp>
                      <wps:wsp>
                        <wps:cNvPr id="22" name="矩形 9"/>
                        <wps:cNvSpPr>
                          <a:spLocks noChangeArrowheads="1"/>
                        </wps:cNvSpPr>
                        <wps:spPr bwMode="auto">
                          <a:xfrm>
                            <a:off x="2990850" y="1572260"/>
                            <a:ext cx="1247775" cy="436880"/>
                          </a:xfrm>
                          <a:prstGeom prst="rect">
                            <a:avLst/>
                          </a:prstGeom>
                          <a:noFill/>
                          <a:ln w="12700">
                            <a:solidFill>
                              <a:srgbClr val="000000"/>
                            </a:solidFill>
                            <a:miter lim="800000"/>
                          </a:ln>
                        </wps:spPr>
                        <wps:txbx>
                          <w:txbxContent>
                            <w:p w14:paraId="0EF37CFA">
                              <w:pPr>
                                <w:adjustRightInd w:val="0"/>
                                <w:snapToGrid w:val="0"/>
                                <w:spacing w:line="240" w:lineRule="auto"/>
                                <w:ind w:firstLine="0" w:firstLineChars="0"/>
                                <w:jc w:val="center"/>
                                <w:rPr>
                                  <w:rFonts w:hint="eastAsia" w:ascii="楷体" w:hAnsi="楷体" w:eastAsia="楷体" w:cs="楷体"/>
                                  <w:b/>
                                  <w:sz w:val="21"/>
                                  <w:szCs w:val="21"/>
                                  <w:highlight w:val="none"/>
                                </w:rPr>
                              </w:pPr>
                              <w:r>
                                <w:rPr>
                                  <w:rFonts w:hint="eastAsia" w:ascii="楷体" w:hAnsi="楷体" w:eastAsia="楷体" w:cs="楷体"/>
                                  <w:b/>
                                  <w:sz w:val="21"/>
                                  <w:szCs w:val="21"/>
                                  <w:highlight w:val="none"/>
                                </w:rPr>
                                <w:t>项目公司</w:t>
                              </w:r>
                            </w:p>
                          </w:txbxContent>
                        </wps:txbx>
                        <wps:bodyPr rot="0" vert="horz" wrap="square" lIns="36000" tIns="36000" rIns="36000" bIns="36000" anchor="ctr" anchorCtr="0" upright="1">
                          <a:noAutofit/>
                        </wps:bodyPr>
                      </wps:wsp>
                      <wps:wsp>
                        <wps:cNvPr id="5" name="矩形 18"/>
                        <wps:cNvSpPr>
                          <a:spLocks noChangeArrowheads="1"/>
                        </wps:cNvSpPr>
                        <wps:spPr bwMode="auto">
                          <a:xfrm>
                            <a:off x="657225" y="549275"/>
                            <a:ext cx="814705" cy="285750"/>
                          </a:xfrm>
                          <a:prstGeom prst="rect">
                            <a:avLst/>
                          </a:prstGeom>
                          <a:noFill/>
                          <a:ln>
                            <a:noFill/>
                          </a:ln>
                        </wps:spPr>
                        <wps:txbx>
                          <w:txbxContent>
                            <w:p w14:paraId="6066D818">
                              <w:pPr>
                                <w:adjustRightInd w:val="0"/>
                                <w:snapToGrid w:val="0"/>
                                <w:spacing w:line="240" w:lineRule="auto"/>
                                <w:ind w:firstLine="0" w:firstLineChars="0"/>
                                <w:jc w:val="center"/>
                                <w:rPr>
                                  <w:rFonts w:hint="eastAsia" w:ascii="楷体" w:hAnsi="楷体" w:eastAsia="楷体" w:cs="楷体"/>
                                  <w:b/>
                                  <w:color w:val="000000"/>
                                  <w:sz w:val="21"/>
                                  <w:szCs w:val="21"/>
                                </w:rPr>
                              </w:pPr>
                              <w:r>
                                <w:rPr>
                                  <w:rFonts w:hint="eastAsia" w:ascii="楷体" w:hAnsi="楷体" w:eastAsia="楷体" w:cs="楷体"/>
                                  <w:b/>
                                  <w:color w:val="000000"/>
                                  <w:sz w:val="21"/>
                                  <w:szCs w:val="21"/>
                                </w:rPr>
                                <w:t>授权</w:t>
                              </w:r>
                            </w:p>
                          </w:txbxContent>
                        </wps:txbx>
                        <wps:bodyPr rot="0" vert="horz" wrap="square" lIns="36000" tIns="36000" rIns="36000" bIns="36000" anchor="ctr" anchorCtr="0" upright="1">
                          <a:noAutofit/>
                        </wps:bodyPr>
                      </wps:wsp>
                      <wps:wsp>
                        <wps:cNvPr id="6" name="矩形 48"/>
                        <wps:cNvSpPr>
                          <a:spLocks noChangeArrowheads="1"/>
                        </wps:cNvSpPr>
                        <wps:spPr bwMode="auto">
                          <a:xfrm>
                            <a:off x="2986325" y="3028942"/>
                            <a:ext cx="1252335" cy="457207"/>
                          </a:xfrm>
                          <a:prstGeom prst="rect">
                            <a:avLst/>
                          </a:prstGeom>
                          <a:noFill/>
                          <a:ln w="12700">
                            <a:solidFill>
                              <a:srgbClr val="000000"/>
                            </a:solidFill>
                            <a:miter lim="800000"/>
                          </a:ln>
                        </wps:spPr>
                        <wps:txbx>
                          <w:txbxContent>
                            <w:p w14:paraId="56FDB943">
                              <w:pPr>
                                <w:adjustRightInd w:val="0"/>
                                <w:snapToGrid w:val="0"/>
                                <w:spacing w:line="240" w:lineRule="auto"/>
                                <w:ind w:firstLine="0" w:firstLineChars="0"/>
                                <w:jc w:val="center"/>
                                <w:rPr>
                                  <w:rFonts w:hint="eastAsia" w:ascii="楷体" w:hAnsi="楷体" w:eastAsia="楷体" w:cs="楷体"/>
                                  <w:b/>
                                  <w:sz w:val="21"/>
                                  <w:szCs w:val="21"/>
                                  <w:lang w:val="en-US" w:eastAsia="zh-CN"/>
                                </w:rPr>
                              </w:pPr>
                              <w:r>
                                <w:rPr>
                                  <w:rFonts w:hint="eastAsia" w:ascii="楷体" w:hAnsi="楷体" w:eastAsia="楷体" w:cs="楷体"/>
                                  <w:b/>
                                  <w:sz w:val="21"/>
                                  <w:szCs w:val="21"/>
                                </w:rPr>
                                <w:t>江都城区污水处理</w:t>
                              </w:r>
                              <w:r>
                                <w:rPr>
                                  <w:rFonts w:hint="eastAsia" w:ascii="楷体" w:hAnsi="楷体" w:eastAsia="楷体" w:cs="楷体"/>
                                  <w:b/>
                                  <w:sz w:val="21"/>
                                  <w:szCs w:val="21"/>
                                  <w:lang w:val="en-US" w:eastAsia="zh-CN"/>
                                </w:rPr>
                                <w:t>设施</w:t>
                              </w:r>
                            </w:p>
                          </w:txbxContent>
                        </wps:txbx>
                        <wps:bodyPr rot="0" vert="horz" wrap="square" lIns="36000" tIns="36000" rIns="36000" bIns="36000" anchor="ctr" anchorCtr="0" upright="1">
                          <a:noAutofit/>
                        </wps:bodyPr>
                      </wps:wsp>
                      <wps:wsp>
                        <wps:cNvPr id="11" name="矩形 2"/>
                        <wps:cNvSpPr>
                          <a:spLocks noChangeArrowheads="1"/>
                        </wps:cNvSpPr>
                        <wps:spPr bwMode="auto">
                          <a:xfrm>
                            <a:off x="2964815" y="819785"/>
                            <a:ext cx="1235710" cy="393700"/>
                          </a:xfrm>
                          <a:prstGeom prst="rect">
                            <a:avLst/>
                          </a:prstGeom>
                          <a:noFill/>
                          <a:ln w="12700">
                            <a:solidFill>
                              <a:srgbClr val="000000"/>
                            </a:solidFill>
                            <a:miter lim="800000"/>
                          </a:ln>
                        </wps:spPr>
                        <wps:txbx>
                          <w:txbxContent>
                            <w:p w14:paraId="43058C30">
                              <w:pPr>
                                <w:adjustRightInd w:val="0"/>
                                <w:snapToGrid w:val="0"/>
                                <w:spacing w:line="240" w:lineRule="auto"/>
                                <w:ind w:firstLine="0" w:firstLineChars="0"/>
                                <w:jc w:val="center"/>
                                <w:rPr>
                                  <w:rFonts w:hint="eastAsia" w:ascii="楷体" w:hAnsi="楷体" w:eastAsia="楷体" w:cs="楷体"/>
                                  <w:b/>
                                  <w:sz w:val="21"/>
                                  <w:szCs w:val="21"/>
                                  <w:lang w:val="en-US" w:eastAsia="zh-CN"/>
                                </w:rPr>
                              </w:pPr>
                              <w:r>
                                <w:rPr>
                                  <w:rFonts w:hint="eastAsia" w:ascii="楷体" w:hAnsi="楷体" w:eastAsia="楷体" w:cs="楷体"/>
                                  <w:b/>
                                  <w:sz w:val="21"/>
                                  <w:szCs w:val="21"/>
                                  <w:lang w:val="en-US" w:eastAsia="zh-CN"/>
                                </w:rPr>
                                <w:t>特许经营者</w:t>
                              </w:r>
                            </w:p>
                          </w:txbxContent>
                        </wps:txbx>
                        <wps:bodyPr rot="0" vert="horz" wrap="square" lIns="36000" tIns="36000" rIns="36000" bIns="36000" anchor="ctr" anchorCtr="0" upright="1">
                          <a:noAutofit/>
                        </wps:bodyPr>
                      </wps:wsp>
                      <wps:wsp>
                        <wps:cNvPr id="12" name="肘形连接符 71"/>
                        <wps:cNvCnPr>
                          <a:cxnSpLocks noChangeShapeType="1"/>
                        </wps:cNvCnPr>
                        <wps:spPr bwMode="auto">
                          <a:xfrm>
                            <a:off x="545465" y="1212215"/>
                            <a:ext cx="2431415" cy="669290"/>
                          </a:xfrm>
                          <a:prstGeom prst="bentConnector3">
                            <a:avLst>
                              <a:gd name="adj1" fmla="val 391"/>
                            </a:avLst>
                          </a:prstGeom>
                          <a:noFill/>
                          <a:ln w="6350">
                            <a:solidFill>
                              <a:schemeClr val="tx1">
                                <a:lumMod val="100000"/>
                                <a:lumOff val="0"/>
                              </a:schemeClr>
                            </a:solidFill>
                            <a:miter lim="800000"/>
                            <a:tailEnd type="triangle" w="med" len="med"/>
                          </a:ln>
                        </wps:spPr>
                        <wps:bodyPr/>
                      </wps:wsp>
                      <wps:wsp>
                        <wps:cNvPr id="23" name="肘形连接符 102"/>
                        <wps:cNvCnPr>
                          <a:cxnSpLocks noChangeShapeType="1"/>
                        </wps:cNvCnPr>
                        <wps:spPr bwMode="auto">
                          <a:xfrm>
                            <a:off x="355600" y="1200150"/>
                            <a:ext cx="2630805" cy="2057400"/>
                          </a:xfrm>
                          <a:prstGeom prst="bentConnector3">
                            <a:avLst>
                              <a:gd name="adj1" fmla="val -241"/>
                            </a:avLst>
                          </a:prstGeom>
                          <a:noFill/>
                          <a:ln w="6350">
                            <a:solidFill>
                              <a:schemeClr val="tx1">
                                <a:lumMod val="100000"/>
                                <a:lumOff val="0"/>
                              </a:schemeClr>
                            </a:solidFill>
                            <a:miter lim="800000"/>
                            <a:headEnd type="triangle" w="med" len="med"/>
                          </a:ln>
                        </wps:spPr>
                        <wps:bodyPr/>
                      </wps:wsp>
                      <wps:wsp>
                        <wps:cNvPr id="24" name="矩形 106"/>
                        <wps:cNvSpPr>
                          <a:spLocks noChangeArrowheads="1"/>
                        </wps:cNvSpPr>
                        <wps:spPr bwMode="auto">
                          <a:xfrm>
                            <a:off x="746125" y="1923415"/>
                            <a:ext cx="2062480" cy="444500"/>
                          </a:xfrm>
                          <a:prstGeom prst="rect">
                            <a:avLst/>
                          </a:prstGeom>
                          <a:noFill/>
                          <a:ln>
                            <a:noFill/>
                          </a:ln>
                        </wps:spPr>
                        <wps:txbx>
                          <w:txbxContent>
                            <w:p w14:paraId="71E43BB3">
                              <w:pPr>
                                <w:adjustRightInd w:val="0"/>
                                <w:snapToGrid w:val="0"/>
                                <w:spacing w:line="240" w:lineRule="auto"/>
                                <w:ind w:firstLine="0" w:firstLineChars="0"/>
                                <w:jc w:val="center"/>
                                <w:rPr>
                                  <w:rFonts w:hint="eastAsia" w:ascii="楷体" w:hAnsi="楷体" w:eastAsia="楷体" w:cs="楷体"/>
                                  <w:b/>
                                  <w:sz w:val="21"/>
                                  <w:szCs w:val="21"/>
                                  <w:lang w:val="en-US" w:eastAsia="zh-CN"/>
                                </w:rPr>
                              </w:pPr>
                              <w:r>
                                <w:rPr>
                                  <w:rFonts w:hint="eastAsia" w:ascii="楷体" w:hAnsi="楷体" w:eastAsia="楷体" w:cs="楷体"/>
                                  <w:b/>
                                  <w:sz w:val="21"/>
                                  <w:szCs w:val="21"/>
                                </w:rPr>
                                <w:t>基于绩效考核</w:t>
                              </w:r>
                              <w:r>
                                <w:rPr>
                                  <w:rFonts w:hint="eastAsia" w:ascii="楷体" w:hAnsi="楷体" w:eastAsia="楷体" w:cs="楷体"/>
                                  <w:b/>
                                  <w:sz w:val="21"/>
                                  <w:szCs w:val="21"/>
                                  <w:lang w:val="en-US" w:eastAsia="zh-CN"/>
                                </w:rPr>
                                <w:t>结果</w:t>
                              </w:r>
                            </w:p>
                            <w:p w14:paraId="4DAF05F5">
                              <w:pPr>
                                <w:adjustRightInd w:val="0"/>
                                <w:snapToGrid w:val="0"/>
                                <w:spacing w:line="240" w:lineRule="auto"/>
                                <w:ind w:firstLine="0" w:firstLineChars="0"/>
                                <w:jc w:val="center"/>
                                <w:rPr>
                                  <w:rFonts w:hint="eastAsia" w:ascii="楷体" w:hAnsi="楷体" w:eastAsia="楷体" w:cs="楷体"/>
                                  <w:b/>
                                  <w:sz w:val="21"/>
                                  <w:szCs w:val="21"/>
                                  <w:lang w:val="en-US" w:eastAsia="zh-CN"/>
                                </w:rPr>
                              </w:pPr>
                              <w:r>
                                <w:rPr>
                                  <w:rFonts w:hint="eastAsia" w:ascii="楷体" w:hAnsi="楷体" w:eastAsia="楷体" w:cs="楷体"/>
                                  <w:b/>
                                  <w:sz w:val="21"/>
                                  <w:szCs w:val="21"/>
                                  <w:lang w:val="en-US" w:eastAsia="zh-CN"/>
                                </w:rPr>
                                <w:t>代公众支付污水处理服务费</w:t>
                              </w:r>
                            </w:p>
                          </w:txbxContent>
                        </wps:txbx>
                        <wps:bodyPr rot="0" vert="horz" wrap="square" lIns="36000" tIns="36000" rIns="36000" bIns="36000" anchor="ctr" anchorCtr="0" upright="1">
                          <a:noAutofit/>
                        </wps:bodyPr>
                      </wps:wsp>
                      <wps:wsp>
                        <wps:cNvPr id="25" name="圆角矩形 107"/>
                        <wps:cNvSpPr>
                          <a:spLocks noChangeArrowheads="1"/>
                        </wps:cNvSpPr>
                        <wps:spPr bwMode="auto">
                          <a:xfrm>
                            <a:off x="2956560" y="2248535"/>
                            <a:ext cx="532130" cy="560070"/>
                          </a:xfrm>
                          <a:prstGeom prst="roundRect">
                            <a:avLst>
                              <a:gd name="adj" fmla="val 16667"/>
                            </a:avLst>
                          </a:prstGeom>
                          <a:solidFill>
                            <a:schemeClr val="bg1"/>
                          </a:solidFill>
                          <a:ln w="12700">
                            <a:noFill/>
                            <a:miter lim="800000"/>
                          </a:ln>
                        </wps:spPr>
                        <wps:txbx>
                          <w:txbxContent>
                            <w:p w14:paraId="0C0BC02A">
                              <w:pPr>
                                <w:pStyle w:val="34"/>
                                <w:spacing w:before="0" w:beforeAutospacing="0" w:after="0" w:afterAutospacing="0" w:line="240" w:lineRule="auto"/>
                                <w:ind w:firstLine="0" w:firstLineChars="0"/>
                                <w:jc w:val="center"/>
                                <w:rPr>
                                  <w:rFonts w:hint="eastAsia" w:ascii="楷体" w:hAnsi="楷体" w:eastAsia="楷体" w:cs="楷体"/>
                                  <w:sz w:val="21"/>
                                  <w:szCs w:val="21"/>
                                </w:rPr>
                              </w:pPr>
                              <w:r>
                                <w:rPr>
                                  <w:rFonts w:hint="eastAsia" w:ascii="楷体" w:hAnsi="楷体" w:eastAsia="楷体" w:cs="楷体"/>
                                  <w:b/>
                                  <w:bCs/>
                                  <w:color w:val="000000"/>
                                  <w:sz w:val="21"/>
                                  <w:szCs w:val="21"/>
                                </w:rPr>
                                <w:t>运营维护</w:t>
                              </w:r>
                            </w:p>
                          </w:txbxContent>
                        </wps:txbx>
                        <wps:bodyPr rot="0" vert="horz" wrap="square" lIns="91440" tIns="45720" rIns="91440" bIns="45720" anchor="ctr" anchorCtr="0" upright="1">
                          <a:noAutofit/>
                        </wps:bodyPr>
                      </wps:wsp>
                      <wps:wsp>
                        <wps:cNvPr id="26" name="矩形 119"/>
                        <wps:cNvSpPr>
                          <a:spLocks noChangeArrowheads="1"/>
                        </wps:cNvSpPr>
                        <wps:spPr bwMode="auto">
                          <a:xfrm>
                            <a:off x="208280" y="120015"/>
                            <a:ext cx="1247775" cy="364490"/>
                          </a:xfrm>
                          <a:prstGeom prst="rect">
                            <a:avLst/>
                          </a:prstGeom>
                          <a:noFill/>
                          <a:ln w="12700">
                            <a:solidFill>
                              <a:srgbClr val="000000"/>
                            </a:solidFill>
                            <a:miter lim="800000"/>
                          </a:ln>
                        </wps:spPr>
                        <wps:txbx>
                          <w:txbxContent>
                            <w:p w14:paraId="3D68876E">
                              <w:pPr>
                                <w:pStyle w:val="34"/>
                                <w:spacing w:before="0" w:beforeAutospacing="0" w:after="0" w:afterAutospacing="0" w:line="240" w:lineRule="auto"/>
                                <w:ind w:firstLine="0" w:firstLineChars="0"/>
                                <w:jc w:val="center"/>
                                <w:rPr>
                                  <w:rFonts w:hint="eastAsia" w:ascii="楷体" w:hAnsi="楷体" w:eastAsia="楷体" w:cs="楷体"/>
                                  <w:sz w:val="21"/>
                                  <w:szCs w:val="21"/>
                                </w:rPr>
                              </w:pPr>
                              <w:r>
                                <w:rPr>
                                  <w:rFonts w:hint="eastAsia" w:ascii="楷体" w:hAnsi="楷体" w:eastAsia="楷体" w:cs="楷体"/>
                                  <w:b/>
                                  <w:bCs/>
                                  <w:color w:val="000000"/>
                                  <w:sz w:val="21"/>
                                  <w:szCs w:val="21"/>
                                  <w:lang w:val="en-US" w:eastAsia="zh-CN"/>
                                </w:rPr>
                                <w:t>江都区</w:t>
                              </w:r>
                              <w:r>
                                <w:rPr>
                                  <w:rFonts w:hint="eastAsia" w:ascii="楷体" w:hAnsi="楷体" w:eastAsia="楷体" w:cs="楷体"/>
                                  <w:b/>
                                  <w:bCs/>
                                  <w:color w:val="000000"/>
                                  <w:sz w:val="21"/>
                                  <w:szCs w:val="21"/>
                                </w:rPr>
                                <w:t>人民政府</w:t>
                              </w:r>
                            </w:p>
                          </w:txbxContent>
                        </wps:txbx>
                        <wps:bodyPr rot="0" vert="horz" wrap="square" lIns="36000" tIns="36000" rIns="36000" bIns="36000" anchor="ctr" anchorCtr="0" upright="1">
                          <a:noAutofit/>
                        </wps:bodyPr>
                      </wps:wsp>
                      <wps:wsp>
                        <wps:cNvPr id="27" name="直接连接符 8"/>
                        <wps:cNvCnPr>
                          <a:cxnSpLocks noChangeShapeType="1"/>
                        </wps:cNvCnPr>
                        <wps:spPr bwMode="auto">
                          <a:xfrm>
                            <a:off x="832412" y="484807"/>
                            <a:ext cx="1000" cy="379905"/>
                          </a:xfrm>
                          <a:prstGeom prst="line">
                            <a:avLst/>
                          </a:prstGeom>
                          <a:noFill/>
                          <a:ln w="6350">
                            <a:solidFill>
                              <a:schemeClr val="tx1">
                                <a:lumMod val="100000"/>
                                <a:lumOff val="0"/>
                              </a:schemeClr>
                            </a:solidFill>
                            <a:miter lim="800000"/>
                            <a:tailEnd type="triangle" w="med" len="med"/>
                          </a:ln>
                        </wps:spPr>
                        <wps:bodyPr/>
                      </wps:wsp>
                      <wps:wsp>
                        <wps:cNvPr id="28" name="矩形 125"/>
                        <wps:cNvSpPr>
                          <a:spLocks noChangeArrowheads="1"/>
                        </wps:cNvSpPr>
                        <wps:spPr bwMode="auto">
                          <a:xfrm>
                            <a:off x="1666380" y="698818"/>
                            <a:ext cx="721219" cy="285104"/>
                          </a:xfrm>
                          <a:prstGeom prst="rect">
                            <a:avLst/>
                          </a:prstGeom>
                          <a:noFill/>
                          <a:ln>
                            <a:noFill/>
                          </a:ln>
                        </wps:spPr>
                        <wps:txbx>
                          <w:txbxContent>
                            <w:p w14:paraId="3D443711">
                              <w:pPr>
                                <w:pStyle w:val="34"/>
                                <w:spacing w:before="0" w:beforeAutospacing="0" w:after="0" w:afterAutospacing="0" w:line="240" w:lineRule="auto"/>
                                <w:ind w:firstLine="0" w:firstLineChars="0"/>
                                <w:rPr>
                                  <w:rFonts w:hint="eastAsia" w:ascii="楷体" w:hAnsi="楷体" w:eastAsia="楷体" w:cs="楷体"/>
                                  <w:sz w:val="21"/>
                                  <w:szCs w:val="21"/>
                                </w:rPr>
                              </w:pPr>
                              <w:r>
                                <w:rPr>
                                  <w:rFonts w:hint="eastAsia" w:ascii="楷体" w:hAnsi="楷体" w:eastAsia="楷体" w:cs="楷体"/>
                                  <w:b/>
                                  <w:bCs/>
                                  <w:color w:val="000000"/>
                                  <w:sz w:val="21"/>
                                  <w:szCs w:val="21"/>
                                </w:rPr>
                                <w:t>公开采购</w:t>
                              </w:r>
                            </w:p>
                          </w:txbxContent>
                        </wps:txbx>
                        <wps:bodyPr rot="0" vert="horz" wrap="square" lIns="36000" tIns="36000" rIns="36000" bIns="36000" anchor="ctr" anchorCtr="0" upright="1">
                          <a:noAutofit/>
                        </wps:bodyPr>
                      </wps:wsp>
                      <wps:wsp>
                        <wps:cNvPr id="29" name="矩形 128"/>
                        <wps:cNvSpPr>
                          <a:spLocks noChangeArrowheads="1"/>
                        </wps:cNvSpPr>
                        <wps:spPr bwMode="auto">
                          <a:xfrm>
                            <a:off x="3640455" y="1251585"/>
                            <a:ext cx="800100" cy="265430"/>
                          </a:xfrm>
                          <a:prstGeom prst="rect">
                            <a:avLst/>
                          </a:prstGeom>
                          <a:noFill/>
                          <a:ln>
                            <a:noFill/>
                          </a:ln>
                        </wps:spPr>
                        <wps:txbx>
                          <w:txbxContent>
                            <w:p w14:paraId="00E159B3">
                              <w:pPr>
                                <w:pStyle w:val="34"/>
                                <w:spacing w:before="0" w:beforeAutospacing="0" w:after="0" w:afterAutospacing="0" w:line="240" w:lineRule="auto"/>
                                <w:ind w:firstLine="0" w:firstLineChars="0"/>
                                <w:rPr>
                                  <w:rFonts w:hint="default" w:ascii="Times New Roman" w:hAnsi="Times New Roman" w:eastAsia="楷体"/>
                                  <w:b/>
                                  <w:bCs/>
                                  <w:color w:val="000000"/>
                                  <w:sz w:val="21"/>
                                  <w:szCs w:val="21"/>
                                  <w:lang w:val="en-US" w:eastAsia="zh-CN"/>
                                </w:rPr>
                              </w:pPr>
                              <w:r>
                                <w:rPr>
                                  <w:rFonts w:hint="default" w:ascii="Times New Roman" w:hAnsi="Times New Roman" w:eastAsia="楷体"/>
                                  <w:b/>
                                  <w:bCs/>
                                  <w:color w:val="000000"/>
                                  <w:sz w:val="21"/>
                                  <w:szCs w:val="21"/>
                                  <w:lang w:val="en-US" w:eastAsia="zh-CN"/>
                                </w:rPr>
                                <w:t>100%出资</w:t>
                              </w:r>
                            </w:p>
                          </w:txbxContent>
                        </wps:txbx>
                        <wps:bodyPr rot="0" vert="horz" wrap="square" lIns="36000" tIns="36000" rIns="36000" bIns="36000" anchor="ctr" anchorCtr="0" upright="1">
                          <a:noAutofit/>
                        </wps:bodyPr>
                      </wps:wsp>
                      <wps:wsp>
                        <wps:cNvPr id="30" name="矩形 131"/>
                        <wps:cNvSpPr>
                          <a:spLocks noChangeArrowheads="1"/>
                        </wps:cNvSpPr>
                        <wps:spPr bwMode="auto">
                          <a:xfrm>
                            <a:off x="559435" y="2915920"/>
                            <a:ext cx="2061845" cy="398145"/>
                          </a:xfrm>
                          <a:prstGeom prst="rect">
                            <a:avLst/>
                          </a:prstGeom>
                          <a:noFill/>
                          <a:ln>
                            <a:noFill/>
                          </a:ln>
                        </wps:spPr>
                        <wps:txbx>
                          <w:txbxContent>
                            <w:p w14:paraId="31A0C21F">
                              <w:pPr>
                                <w:pStyle w:val="34"/>
                                <w:spacing w:before="0" w:beforeAutospacing="0" w:after="0" w:afterAutospacing="0" w:line="240" w:lineRule="auto"/>
                                <w:ind w:firstLine="0" w:firstLineChars="0"/>
                                <w:jc w:val="center"/>
                                <w:rPr>
                                  <w:rFonts w:hint="eastAsia" w:ascii="楷体" w:hAnsi="楷体" w:eastAsia="楷体" w:cs="楷体"/>
                                  <w:sz w:val="21"/>
                                  <w:szCs w:val="21"/>
                                </w:rPr>
                              </w:pPr>
                              <w:r>
                                <w:rPr>
                                  <w:rFonts w:hint="eastAsia" w:ascii="楷体" w:hAnsi="楷体" w:eastAsia="楷体" w:cs="楷体"/>
                                  <w:b/>
                                  <w:bCs/>
                                  <w:color w:val="000000"/>
                                  <w:sz w:val="21"/>
                                  <w:szCs w:val="21"/>
                                  <w:lang w:val="en-US" w:eastAsia="zh-CN"/>
                                </w:rPr>
                                <w:t>特许经营</w:t>
                              </w:r>
                              <w:r>
                                <w:rPr>
                                  <w:rFonts w:hint="eastAsia" w:ascii="楷体" w:hAnsi="楷体" w:eastAsia="楷体" w:cs="楷体"/>
                                  <w:b/>
                                  <w:bCs/>
                                  <w:color w:val="000000"/>
                                  <w:sz w:val="21"/>
                                  <w:szCs w:val="21"/>
                                </w:rPr>
                                <w:t>期满后无偿移交</w:t>
                              </w:r>
                            </w:p>
                          </w:txbxContent>
                        </wps:txbx>
                        <wps:bodyPr rot="0" vert="horz" wrap="square" lIns="36000" tIns="36000" rIns="36000" bIns="36000" anchor="ctr" anchorCtr="0" upright="1">
                          <a:noAutofit/>
                        </wps:bodyPr>
                      </wps:wsp>
                      <wps:wsp>
                        <wps:cNvPr id="31" name="矩形 132"/>
                        <wps:cNvSpPr>
                          <a:spLocks noChangeArrowheads="1"/>
                        </wps:cNvSpPr>
                        <wps:spPr bwMode="auto">
                          <a:xfrm>
                            <a:off x="4364355" y="2190750"/>
                            <a:ext cx="826770" cy="364490"/>
                          </a:xfrm>
                          <a:prstGeom prst="rect">
                            <a:avLst/>
                          </a:prstGeom>
                          <a:noFill/>
                          <a:ln w="12700">
                            <a:solidFill>
                              <a:srgbClr val="000000"/>
                            </a:solidFill>
                            <a:miter lim="800000"/>
                          </a:ln>
                        </wps:spPr>
                        <wps:txbx>
                          <w:txbxContent>
                            <w:p w14:paraId="27E1DC31">
                              <w:pPr>
                                <w:pStyle w:val="34"/>
                                <w:spacing w:before="0" w:beforeAutospacing="0" w:after="0" w:afterAutospacing="0" w:line="240" w:lineRule="auto"/>
                                <w:ind w:firstLine="0" w:firstLineChars="0"/>
                                <w:jc w:val="center"/>
                                <w:rPr>
                                  <w:rFonts w:hint="eastAsia" w:ascii="楷体" w:hAnsi="楷体" w:eastAsia="楷体" w:cs="楷体"/>
                                  <w:sz w:val="21"/>
                                  <w:szCs w:val="21"/>
                                </w:rPr>
                              </w:pPr>
                              <w:r>
                                <w:rPr>
                                  <w:rFonts w:hint="eastAsia" w:ascii="楷体" w:hAnsi="楷体" w:eastAsia="楷体" w:cs="楷体"/>
                                  <w:b/>
                                  <w:bCs/>
                                  <w:color w:val="000000"/>
                                  <w:sz w:val="21"/>
                                  <w:szCs w:val="21"/>
                                </w:rPr>
                                <w:t>金融机构</w:t>
                              </w:r>
                            </w:p>
                          </w:txbxContent>
                        </wps:txbx>
                        <wps:bodyPr rot="0" vert="horz" wrap="square" lIns="36000" tIns="36000" rIns="36000" bIns="36000" anchor="ctr" anchorCtr="0" upright="1">
                          <a:noAutofit/>
                        </wps:bodyPr>
                      </wps:wsp>
                      <wps:wsp>
                        <wps:cNvPr id="32" name="肘形连接符 12"/>
                        <wps:cNvCnPr>
                          <a:cxnSpLocks noChangeShapeType="1"/>
                        </wps:cNvCnPr>
                        <wps:spPr bwMode="auto">
                          <a:xfrm>
                            <a:off x="4238661" y="1747425"/>
                            <a:ext cx="539108" cy="443306"/>
                          </a:xfrm>
                          <a:prstGeom prst="bentConnector2">
                            <a:avLst/>
                          </a:prstGeom>
                          <a:noFill/>
                          <a:ln w="6350">
                            <a:solidFill>
                              <a:schemeClr val="tx1">
                                <a:lumMod val="100000"/>
                                <a:lumOff val="0"/>
                              </a:schemeClr>
                            </a:solidFill>
                            <a:miter lim="800000"/>
                            <a:headEnd type="triangle"/>
                          </a:ln>
                        </wps:spPr>
                        <wps:bodyPr/>
                      </wps:wsp>
                      <wps:wsp>
                        <wps:cNvPr id="33" name="矩形 133"/>
                        <wps:cNvSpPr>
                          <a:spLocks noChangeArrowheads="1"/>
                        </wps:cNvSpPr>
                        <wps:spPr bwMode="auto">
                          <a:xfrm>
                            <a:off x="4767801" y="1690866"/>
                            <a:ext cx="604299" cy="285104"/>
                          </a:xfrm>
                          <a:prstGeom prst="rect">
                            <a:avLst/>
                          </a:prstGeom>
                          <a:noFill/>
                          <a:ln>
                            <a:noFill/>
                          </a:ln>
                        </wps:spPr>
                        <wps:txbx>
                          <w:txbxContent>
                            <w:p w14:paraId="02C61A46">
                              <w:pPr>
                                <w:pStyle w:val="34"/>
                                <w:spacing w:before="0" w:beforeAutospacing="0" w:after="0" w:afterAutospacing="0" w:line="240" w:lineRule="auto"/>
                                <w:ind w:firstLine="0" w:firstLineChars="0"/>
                                <w:jc w:val="center"/>
                                <w:rPr>
                                  <w:rFonts w:hint="eastAsia" w:ascii="楷体" w:hAnsi="楷体" w:eastAsia="楷体" w:cs="楷体"/>
                                  <w:sz w:val="21"/>
                                  <w:szCs w:val="21"/>
                                </w:rPr>
                              </w:pPr>
                              <w:r>
                                <w:rPr>
                                  <w:rFonts w:hint="eastAsia" w:ascii="楷体" w:hAnsi="楷体" w:eastAsia="楷体" w:cs="楷体"/>
                                  <w:b/>
                                  <w:bCs/>
                                  <w:color w:val="000000"/>
                                  <w:sz w:val="21"/>
                                  <w:szCs w:val="21"/>
                                </w:rPr>
                                <w:t>融资</w:t>
                              </w:r>
                            </w:p>
                          </w:txbxContent>
                        </wps:txbx>
                        <wps:bodyPr rot="0" vert="horz" wrap="square" lIns="36000" tIns="36000" rIns="36000" bIns="36000" anchor="ctr" anchorCtr="0" upright="1">
                          <a:noAutofit/>
                        </wps:bodyPr>
                      </wps:wsp>
                      <wps:wsp>
                        <wps:cNvPr id="34" name="直接连接符 17"/>
                        <wps:cNvCnPr>
                          <a:cxnSpLocks noChangeShapeType="1"/>
                          <a:endCxn id="36746" idx="1"/>
                        </wps:cNvCnPr>
                        <wps:spPr bwMode="auto">
                          <a:xfrm flipV="1">
                            <a:off x="1461131" y="1016783"/>
                            <a:ext cx="1503680" cy="635"/>
                          </a:xfrm>
                          <a:prstGeom prst="line">
                            <a:avLst/>
                          </a:prstGeom>
                          <a:noFill/>
                          <a:ln w="6350">
                            <a:solidFill>
                              <a:schemeClr val="tx1">
                                <a:lumMod val="100000"/>
                                <a:lumOff val="0"/>
                              </a:schemeClr>
                            </a:solidFill>
                            <a:miter lim="800000"/>
                            <a:tailEnd type="triangle" w="med" len="med"/>
                          </a:ln>
                        </wps:spPr>
                        <wps:bodyPr/>
                      </wps:wsp>
                      <wps:wsp>
                        <wps:cNvPr id="35" name="矩形 36775"/>
                        <wps:cNvSpPr>
                          <a:spLocks noChangeArrowheads="1"/>
                        </wps:cNvSpPr>
                        <wps:spPr bwMode="auto">
                          <a:xfrm>
                            <a:off x="1221740" y="1169035"/>
                            <a:ext cx="1494790" cy="578485"/>
                          </a:xfrm>
                          <a:prstGeom prst="rect">
                            <a:avLst/>
                          </a:prstGeom>
                          <a:noFill/>
                          <a:ln>
                            <a:noFill/>
                          </a:ln>
                        </wps:spPr>
                        <wps:txbx>
                          <w:txbxContent>
                            <w:p w14:paraId="40441CDF">
                              <w:pPr>
                                <w:spacing w:line="240" w:lineRule="auto"/>
                                <w:ind w:firstLine="0" w:firstLineChars="0"/>
                                <w:rPr>
                                  <w:rFonts w:hint="eastAsia" w:ascii="楷体" w:hAnsi="楷体" w:eastAsia="楷体" w:cs="楷体"/>
                                  <w:b/>
                                  <w:bCs/>
                                  <w:sz w:val="21"/>
                                  <w:szCs w:val="21"/>
                                </w:rPr>
                              </w:pPr>
                              <w:r>
                                <w:rPr>
                                  <w:rFonts w:hint="eastAsia" w:ascii="楷体" w:hAnsi="楷体" w:eastAsia="楷体" w:cs="楷体"/>
                                  <w:b/>
                                  <w:bCs/>
                                  <w:sz w:val="21"/>
                                  <w:szCs w:val="21"/>
                                </w:rPr>
                                <w:t>支付</w:t>
                              </w:r>
                              <w:r>
                                <w:rPr>
                                  <w:rFonts w:hint="eastAsia" w:ascii="楷体" w:hAnsi="楷体" w:eastAsia="楷体" w:cs="楷体"/>
                                  <w:b/>
                                  <w:bCs/>
                                  <w:sz w:val="21"/>
                                  <w:szCs w:val="21"/>
                                  <w:lang w:val="en-US" w:eastAsia="zh-CN"/>
                                </w:rPr>
                                <w:t>特许经营权转让</w:t>
                              </w:r>
                              <w:r>
                                <w:rPr>
                                  <w:rFonts w:hint="eastAsia" w:ascii="楷体" w:hAnsi="楷体" w:eastAsia="楷体" w:cs="楷体"/>
                                  <w:b/>
                                  <w:bCs/>
                                  <w:sz w:val="21"/>
                                  <w:szCs w:val="21"/>
                                </w:rPr>
                                <w:t>费</w:t>
                              </w:r>
                            </w:p>
                            <w:p w14:paraId="188162CD">
                              <w:pPr>
                                <w:spacing w:line="240" w:lineRule="auto"/>
                                <w:ind w:firstLine="0" w:firstLineChars="0"/>
                                <w:rPr>
                                  <w:rFonts w:hint="eastAsia" w:ascii="楷体" w:hAnsi="楷体" w:eastAsia="楷体" w:cs="楷体"/>
                                </w:rPr>
                              </w:pPr>
                              <w:r>
                                <w:rPr>
                                  <w:rFonts w:hint="eastAsia" w:ascii="楷体" w:hAnsi="楷体" w:eastAsia="楷体" w:cs="楷体"/>
                                  <w:b/>
                                  <w:bCs/>
                                  <w:sz w:val="21"/>
                                  <w:szCs w:val="21"/>
                                </w:rPr>
                                <w:t>并获取</w:t>
                              </w:r>
                              <w:r>
                                <w:rPr>
                                  <w:rFonts w:hint="eastAsia" w:ascii="楷体" w:hAnsi="楷体" w:eastAsia="楷体" w:cs="楷体"/>
                                  <w:b/>
                                  <w:bCs/>
                                  <w:sz w:val="21"/>
                                  <w:szCs w:val="21"/>
                                  <w:lang w:val="en-US" w:eastAsia="zh-CN"/>
                                </w:rPr>
                                <w:t>特许</w:t>
                              </w:r>
                              <w:r>
                                <w:rPr>
                                  <w:rFonts w:hint="eastAsia" w:ascii="楷体" w:hAnsi="楷体" w:eastAsia="楷体" w:cs="楷体"/>
                                  <w:b/>
                                  <w:bCs/>
                                  <w:sz w:val="21"/>
                                  <w:szCs w:val="21"/>
                                </w:rPr>
                                <w:t>经营权</w:t>
                              </w:r>
                            </w:p>
                          </w:txbxContent>
                        </wps:txbx>
                        <wps:bodyPr rot="0" vert="horz" wrap="square" lIns="36000" tIns="36000" rIns="36000" bIns="36000" anchor="ctr" anchorCtr="0" upright="1">
                          <a:noAutofit/>
                        </wps:bodyPr>
                      </wps:wsp>
                      <wps:wsp>
                        <wps:cNvPr id="36" name="肘形连接符 71"/>
                        <wps:cNvCnPr>
                          <a:cxnSpLocks noChangeShapeType="1"/>
                        </wps:cNvCnPr>
                        <wps:spPr bwMode="auto">
                          <a:xfrm rot="10800000">
                            <a:off x="1122045" y="1195070"/>
                            <a:ext cx="1871345" cy="467360"/>
                          </a:xfrm>
                          <a:prstGeom prst="bentConnector3">
                            <a:avLst>
                              <a:gd name="adj1" fmla="val 99932"/>
                            </a:avLst>
                          </a:prstGeom>
                          <a:noFill/>
                          <a:ln w="6350">
                            <a:solidFill>
                              <a:schemeClr val="tx1">
                                <a:lumMod val="100000"/>
                                <a:lumOff val="0"/>
                              </a:schemeClr>
                            </a:solidFill>
                            <a:miter lim="800000"/>
                            <a:tailEnd type="triangle" w="med" len="med"/>
                          </a:ln>
                        </wps:spPr>
                        <wps:bodyPr/>
                      </wps:wsp>
                      <wps:wsp>
                        <wps:cNvPr id="37" name="矩形 132"/>
                        <wps:cNvSpPr>
                          <a:spLocks noChangeArrowheads="1"/>
                        </wps:cNvSpPr>
                        <wps:spPr bwMode="auto">
                          <a:xfrm>
                            <a:off x="3072130" y="127635"/>
                            <a:ext cx="826770" cy="364490"/>
                          </a:xfrm>
                          <a:prstGeom prst="rect">
                            <a:avLst/>
                          </a:prstGeom>
                          <a:noFill/>
                          <a:ln w="12700">
                            <a:solidFill>
                              <a:srgbClr val="000000"/>
                            </a:solidFill>
                            <a:miter lim="800000"/>
                          </a:ln>
                        </wps:spPr>
                        <wps:txbx>
                          <w:txbxContent>
                            <w:p w14:paraId="75677524">
                              <w:pPr>
                                <w:pStyle w:val="34"/>
                                <w:spacing w:before="0" w:beforeAutospacing="0" w:after="0" w:afterAutospacing="0" w:line="240" w:lineRule="auto"/>
                                <w:ind w:firstLine="0" w:firstLineChars="0"/>
                                <w:jc w:val="center"/>
                                <w:rPr>
                                  <w:rFonts w:hint="eastAsia" w:ascii="楷体" w:hAnsi="楷体" w:eastAsia="楷体" w:cs="楷体"/>
                                  <w:sz w:val="21"/>
                                  <w:szCs w:val="21"/>
                                  <w:lang w:val="en-US" w:eastAsia="zh-CN"/>
                                </w:rPr>
                              </w:pPr>
                              <w:r>
                                <w:rPr>
                                  <w:rFonts w:hint="eastAsia" w:ascii="楷体" w:hAnsi="楷体" w:eastAsia="楷体" w:cs="楷体"/>
                                  <w:b/>
                                  <w:bCs/>
                                  <w:color w:val="000000"/>
                                  <w:sz w:val="21"/>
                                  <w:szCs w:val="21"/>
                                  <w:lang w:val="en-US" w:eastAsia="zh-CN"/>
                                </w:rPr>
                                <w:t>公众</w:t>
                              </w:r>
                            </w:p>
                          </w:txbxContent>
                        </wps:txbx>
                        <wps:bodyPr rot="0" vert="horz" wrap="square" lIns="36000" tIns="36000" rIns="36000" bIns="36000" anchor="ctr" anchorCtr="0" upright="1">
                          <a:noAutofit/>
                        </wps:bodyPr>
                      </wps:wsp>
                      <wps:wsp>
                        <wps:cNvPr id="38" name="矩形 125"/>
                        <wps:cNvSpPr>
                          <a:spLocks noChangeArrowheads="1"/>
                        </wps:cNvSpPr>
                        <wps:spPr bwMode="auto">
                          <a:xfrm>
                            <a:off x="1796415" y="12065"/>
                            <a:ext cx="1079500" cy="284480"/>
                          </a:xfrm>
                          <a:prstGeom prst="rect">
                            <a:avLst/>
                          </a:prstGeom>
                          <a:noFill/>
                          <a:ln>
                            <a:noFill/>
                          </a:ln>
                        </wps:spPr>
                        <wps:txbx>
                          <w:txbxContent>
                            <w:p w14:paraId="1B4ABCB8">
                              <w:pPr>
                                <w:pStyle w:val="34"/>
                                <w:spacing w:before="0" w:beforeAutospacing="0" w:after="0" w:afterAutospacing="0" w:line="240" w:lineRule="auto"/>
                                <w:ind w:firstLine="0" w:firstLineChars="0"/>
                                <w:rPr>
                                  <w:rFonts w:hint="eastAsia" w:ascii="楷体" w:hAnsi="楷体" w:eastAsia="楷体" w:cs="楷体"/>
                                  <w:sz w:val="21"/>
                                  <w:szCs w:val="21"/>
                                  <w:lang w:val="en-US" w:eastAsia="zh-CN"/>
                                </w:rPr>
                              </w:pPr>
                              <w:r>
                                <w:rPr>
                                  <w:rFonts w:hint="eastAsia" w:ascii="楷体" w:hAnsi="楷体" w:eastAsia="楷体" w:cs="楷体"/>
                                  <w:b/>
                                  <w:bCs/>
                                  <w:color w:val="000000"/>
                                  <w:sz w:val="21"/>
                                  <w:szCs w:val="21"/>
                                  <w:lang w:val="en-US" w:eastAsia="zh-CN"/>
                                </w:rPr>
                                <w:t>污水处理费</w:t>
                              </w:r>
                            </w:p>
                          </w:txbxContent>
                        </wps:txbx>
                        <wps:bodyPr rot="0" vert="horz" wrap="square" lIns="36000" tIns="36000" rIns="36000" bIns="36000" anchor="ctr" anchorCtr="0" upright="1">
                          <a:noAutofit/>
                        </wps:bodyPr>
                      </wps:wsp>
                    </wpc:wpc>
                  </a:graphicData>
                </a:graphic>
              </wp:inline>
            </w:drawing>
          </mc:Choice>
          <mc:Fallback>
            <w:pict>
              <v:group id="画布 3" o:spid="_x0000_s1026" o:spt="203" style="height:280pt;width:415.3pt;" coordsize="5274310,3556000" editas="canvas" o:gfxdata="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">
                <o:lock v:ext="edit" aspectratio="f"/>
                <v:shape id="画布 3" o:spid="_x0000_s1026" style="position:absolute;left:0;top:0;height:3556000;width:5274310;" filled="f" stroked="t" coordsize="21600,21600" o:gfxdata="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">
                  <v:fill on="f" focussize="0,0"/>
                  <v:stroke color="#000000 [3229]" miterlimit="8" joinstyle="miter"/>
                  <v:imagedata o:title=""/>
                  <o:lock v:ext="edit" aspectratio="f"/>
                </v:shape>
                <v:line id="直接连接符 47" o:spid="_x0000_s1026" o:spt="20" style="position:absolute;left:3576955;top:2066290;height:974090;width:4445;" filled="f" stroked="t" coordsize="21600,21600" o:gfxdata="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v45531gAAAAUBAAAPAAAAAAAAAAEAIAAAACIAAABkcnMvZG93&#10;bnJldi54bWxQSwECFAAUAAAACACHTuJAKTbB1TsCAABABAAADgAAAAAAAAABACAAAAAlAQAAZHJz&#10;L2Uyb0RvYy54bWxQSwUGAAAAAAYABgBZAQAA0gUAAAAA&#10;">
                  <v:fill on="f" focussize="0,0"/>
                  <v:stroke weight="1pt" color="#000000 [3200]" miterlimit="8" joinstyle="miter" endarrow="block"/>
                  <v:imagedata o:title=""/>
                  <o:lock v:ext="edit" aspectratio="f"/>
                </v:line>
                <v:rect id="矩形 6" o:spid="_x0000_s1026" o:spt="1" style="position:absolute;left:209550;top:856615;height:347980;width:1247775;v-text-anchor:middle;" filled="f" stroked="t" coordsize="21600,21600" o:gfxdata="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PN6XtYAAAAFAQAADwAAAAAAAAABACAAAAAiAAAAZHJzL2Rv&#10;d25yZXYueG1sUEsBAhQAFAAAAAgAh07iQHJBWSQ8AgAAXwQAAA4AAAAAAAAAAQAgAAAAJQEAAGRy&#10;cy9lMm9Eb2MueG1sUEsFBgAAAAAGAAYAWQEAANMFAAAAAA==&#10;">
                  <v:fill on="f" focussize="0,0"/>
                  <v:stroke weight="1pt" color="#000000" miterlimit="8" joinstyle="miter"/>
                  <v:imagedata o:title=""/>
                  <o:lock v:ext="edit" aspectratio="f"/>
                  <v:textbox inset="1mm,1mm,1mm,1mm">
                    <w:txbxContent>
                      <w:p w14:paraId="2D8E1575">
                        <w:pPr>
                          <w:adjustRightInd w:val="0"/>
                          <w:snapToGrid w:val="0"/>
                          <w:spacing w:line="240" w:lineRule="auto"/>
                          <w:ind w:firstLine="0" w:firstLineChars="0"/>
                          <w:jc w:val="center"/>
                          <w:rPr>
                            <w:rFonts w:hint="eastAsia" w:ascii="楷体" w:hAnsi="楷体" w:eastAsia="楷体" w:cs="楷体"/>
                            <w:b/>
                            <w:sz w:val="21"/>
                            <w:szCs w:val="21"/>
                          </w:rPr>
                        </w:pPr>
                        <w:r>
                          <w:rPr>
                            <w:rFonts w:hint="eastAsia" w:ascii="楷体" w:hAnsi="楷体" w:eastAsia="楷体" w:cs="楷体"/>
                            <w:b/>
                            <w:color w:val="000000"/>
                            <w:sz w:val="21"/>
                            <w:szCs w:val="21"/>
                          </w:rPr>
                          <w:t>实施机构</w:t>
                        </w:r>
                      </w:p>
                    </w:txbxContent>
                  </v:textbox>
                </v:rect>
                <v:rect id="矩形 9" o:spid="_x0000_s1026" o:spt="1" style="position:absolute;left:2990850;top:1572260;height:436880;width:1247775;v-text-anchor:middle;" filled="f" stroked="t" coordsize="21600,21600" o:gfxdata="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Pjzel7WAAAABQEAAA8AAAAAAAAAAQAgAAAAIgAAAGRycy9k&#10;b3ducmV2LnhtbFBLAQIUABQAAAAIAIdO4kBn0Ne3PQIAAGEEAAAOAAAAAAAAAAEAIAAAACUBAABk&#10;cnMvZTJvRG9jLnhtbFBLBQYAAAAABgAGAFkBAADUBQAAAAA=&#10;">
                  <v:fill on="f" focussize="0,0"/>
                  <v:stroke weight="1pt" color="#000000" miterlimit="8" joinstyle="miter"/>
                  <v:imagedata o:title=""/>
                  <o:lock v:ext="edit" aspectratio="f"/>
                  <v:textbox inset="1mm,1mm,1mm,1mm">
                    <w:txbxContent>
                      <w:p w14:paraId="0EF37CFA">
                        <w:pPr>
                          <w:adjustRightInd w:val="0"/>
                          <w:snapToGrid w:val="0"/>
                          <w:spacing w:line="240" w:lineRule="auto"/>
                          <w:ind w:firstLine="0" w:firstLineChars="0"/>
                          <w:jc w:val="center"/>
                          <w:rPr>
                            <w:rFonts w:hint="eastAsia" w:ascii="楷体" w:hAnsi="楷体" w:eastAsia="楷体" w:cs="楷体"/>
                            <w:b/>
                            <w:sz w:val="21"/>
                            <w:szCs w:val="21"/>
                            <w:highlight w:val="none"/>
                          </w:rPr>
                        </w:pPr>
                        <w:r>
                          <w:rPr>
                            <w:rFonts w:hint="eastAsia" w:ascii="楷体" w:hAnsi="楷体" w:eastAsia="楷体" w:cs="楷体"/>
                            <w:b/>
                            <w:sz w:val="21"/>
                            <w:szCs w:val="21"/>
                            <w:highlight w:val="none"/>
                          </w:rPr>
                          <w:t>项目公司</w:t>
                        </w:r>
                      </w:p>
                    </w:txbxContent>
                  </v:textbox>
                </v:rect>
                <v:rect id="矩形 18" o:spid="_x0000_s1026" o:spt="1" style="position:absolute;left:657225;top:549275;height:285750;width:814705;v-text-anchor:middle;" filled="f" stroked="f" coordsize="21600,21600" o:gfxdata="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BiqjfdYAAAAFAQAADwAAAAAA&#10;AAABACAAAAAiAAAAZHJzL2Rvd25yZXYueG1sUEsBAhQAFAAAAAgAh07iQKydupMVAgAAFAQAAA4A&#10;AAAAAAAAAQAgAAAAJQEAAGRycy9lMm9Eb2MueG1sUEsFBgAAAAAGAAYAWQEAAKwFAAAAAA==&#10;">
                  <v:fill on="f" focussize="0,0"/>
                  <v:stroke on="f"/>
                  <v:imagedata o:title=""/>
                  <o:lock v:ext="edit" aspectratio="f"/>
                  <v:textbox inset="1mm,1mm,1mm,1mm">
                    <w:txbxContent>
                      <w:p w14:paraId="6066D818">
                        <w:pPr>
                          <w:adjustRightInd w:val="0"/>
                          <w:snapToGrid w:val="0"/>
                          <w:spacing w:line="240" w:lineRule="auto"/>
                          <w:ind w:firstLine="0" w:firstLineChars="0"/>
                          <w:jc w:val="center"/>
                          <w:rPr>
                            <w:rFonts w:hint="eastAsia" w:ascii="楷体" w:hAnsi="楷体" w:eastAsia="楷体" w:cs="楷体"/>
                            <w:b/>
                            <w:color w:val="000000"/>
                            <w:sz w:val="21"/>
                            <w:szCs w:val="21"/>
                          </w:rPr>
                        </w:pPr>
                        <w:r>
                          <w:rPr>
                            <w:rFonts w:hint="eastAsia" w:ascii="楷体" w:hAnsi="楷体" w:eastAsia="楷体" w:cs="楷体"/>
                            <w:b/>
                            <w:color w:val="000000"/>
                            <w:sz w:val="21"/>
                            <w:szCs w:val="21"/>
                          </w:rPr>
                          <w:t>授权</w:t>
                        </w:r>
                      </w:p>
                    </w:txbxContent>
                  </v:textbox>
                </v:rect>
                <v:rect id="矩形 48" o:spid="_x0000_s1026" o:spt="1" style="position:absolute;left:2986325;top:3028942;height:457207;width:1252335;v-text-anchor:middle;" filled="f" stroked="t" coordsize="21600,21600" o:gfxdata="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Pjzel7WAAAABQEAAA8AAAAAAAAAAQAgAAAAIgAAAGRycy9k&#10;b3ducmV2LnhtbFBLAQIUABQAAAAIAIdO4kA5NbN1PQIAAGEEAAAOAAAAAAAAAAEAIAAAACUBAABk&#10;cnMvZTJvRG9jLnhtbFBLBQYAAAAABgAGAFkBAADUBQAAAAA=&#10;">
                  <v:fill on="f" focussize="0,0"/>
                  <v:stroke weight="1pt" color="#000000" miterlimit="8" joinstyle="miter"/>
                  <v:imagedata o:title=""/>
                  <o:lock v:ext="edit" aspectratio="f"/>
                  <v:textbox inset="1mm,1mm,1mm,1mm">
                    <w:txbxContent>
                      <w:p w14:paraId="56FDB943">
                        <w:pPr>
                          <w:adjustRightInd w:val="0"/>
                          <w:snapToGrid w:val="0"/>
                          <w:spacing w:line="240" w:lineRule="auto"/>
                          <w:ind w:firstLine="0" w:firstLineChars="0"/>
                          <w:jc w:val="center"/>
                          <w:rPr>
                            <w:rFonts w:hint="eastAsia" w:ascii="楷体" w:hAnsi="楷体" w:eastAsia="楷体" w:cs="楷体"/>
                            <w:b/>
                            <w:sz w:val="21"/>
                            <w:szCs w:val="21"/>
                            <w:lang w:val="en-US" w:eastAsia="zh-CN"/>
                          </w:rPr>
                        </w:pPr>
                        <w:r>
                          <w:rPr>
                            <w:rFonts w:hint="eastAsia" w:ascii="楷体" w:hAnsi="楷体" w:eastAsia="楷体" w:cs="楷体"/>
                            <w:b/>
                            <w:sz w:val="21"/>
                            <w:szCs w:val="21"/>
                          </w:rPr>
                          <w:t>江都城区污水处理</w:t>
                        </w:r>
                        <w:r>
                          <w:rPr>
                            <w:rFonts w:hint="eastAsia" w:ascii="楷体" w:hAnsi="楷体" w:eastAsia="楷体" w:cs="楷体"/>
                            <w:b/>
                            <w:sz w:val="21"/>
                            <w:szCs w:val="21"/>
                            <w:lang w:val="en-US" w:eastAsia="zh-CN"/>
                          </w:rPr>
                          <w:t>设施</w:t>
                        </w:r>
                      </w:p>
                    </w:txbxContent>
                  </v:textbox>
                </v:rect>
                <v:rect id="矩形 2" o:spid="_x0000_s1026" o:spt="1" style="position:absolute;left:2964815;top:819785;height:393700;width:1235710;v-text-anchor:middle;" filled="f" stroked="t" coordsize="21600,21600" o:gfxdata="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PN6XtYAAAAFAQAADwAAAAAAAAABACAAAAAiAAAAZHJzL2Rv&#10;d25yZXYueG1sUEsBAhQAFAAAAAgAh07iQOlHSvk8AgAAYAQAAA4AAAAAAAAAAQAgAAAAJQEAAGRy&#10;cy9lMm9Eb2MueG1sUEsFBgAAAAAGAAYAWQEAANMFAAAAAA==&#10;">
                  <v:fill on="f" focussize="0,0"/>
                  <v:stroke weight="1pt" color="#000000" miterlimit="8" joinstyle="miter"/>
                  <v:imagedata o:title=""/>
                  <o:lock v:ext="edit" aspectratio="f"/>
                  <v:textbox inset="1mm,1mm,1mm,1mm">
                    <w:txbxContent>
                      <w:p w14:paraId="43058C30">
                        <w:pPr>
                          <w:adjustRightInd w:val="0"/>
                          <w:snapToGrid w:val="0"/>
                          <w:spacing w:line="240" w:lineRule="auto"/>
                          <w:ind w:firstLine="0" w:firstLineChars="0"/>
                          <w:jc w:val="center"/>
                          <w:rPr>
                            <w:rFonts w:hint="eastAsia" w:ascii="楷体" w:hAnsi="楷体" w:eastAsia="楷体" w:cs="楷体"/>
                            <w:b/>
                            <w:sz w:val="21"/>
                            <w:szCs w:val="21"/>
                            <w:lang w:val="en-US" w:eastAsia="zh-CN"/>
                          </w:rPr>
                        </w:pPr>
                        <w:r>
                          <w:rPr>
                            <w:rFonts w:hint="eastAsia" w:ascii="楷体" w:hAnsi="楷体" w:eastAsia="楷体" w:cs="楷体"/>
                            <w:b/>
                            <w:sz w:val="21"/>
                            <w:szCs w:val="21"/>
                            <w:lang w:val="en-US" w:eastAsia="zh-CN"/>
                          </w:rPr>
                          <w:t>特许经营者</w:t>
                        </w:r>
                      </w:p>
                    </w:txbxContent>
                  </v:textbox>
                </v:rect>
                <v:shape id="肘形连接符 71" o:spid="_x0000_s1026" o:spt="34" type="#_x0000_t34" style="position:absolute;left:545465;top:1212215;height:669290;width:2431415;" filled="f" stroked="t" coordsize="21600,21600" o:gfxdata="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NNZuV9YAAAAFAQAADwAAAAAAAAAB&#10;ACAAAAAiAAAAZHJzL2Rvd25yZXYueG1sUEsBAhQAFAAAAAgAh07iQMfW0S1LAgAAYgQAAA4AAAAA&#10;AAAAAQAgAAAAJQEAAGRycy9lMm9Eb2MueG1sUEsFBgAAAAAGAAYAWQEAAOIFAAAAAA==&#10;" adj="84">
                  <v:fill on="f" focussize="0,0"/>
                  <v:stroke weight="0.5pt" color="#000000 [3229]" miterlimit="8" joinstyle="miter" endarrow="block"/>
                  <v:imagedata o:title=""/>
                  <o:lock v:ext="edit" aspectratio="f"/>
                </v:shape>
                <v:shape id="肘形连接符 102" o:spid="_x0000_s1026" o:spt="34" type="#_x0000_t34" style="position:absolute;left:355600;top:1200150;height:2057400;width:2630805;" filled="f" stroked="t" coordsize="21600,21600" o:gfxdata="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7S/vSdQAAAAFAQAADwAAAAAAAAAB&#10;ACAAAAAiAAAAZHJzL2Rvd25yZXYueG1sUEsBAhQAFAAAAAgAh07iQMIy6dVNAgAAZQQAAA4AAAAA&#10;AAAAAQAgAAAAIwEAAGRycy9lMm9Eb2MueG1sUEsFBgAAAAAGAAYAWQEAAOIFAAAAAA==&#10;" adj="-52">
                  <v:fill on="f" focussize="0,0"/>
                  <v:stroke weight="0.5pt" color="#000000 [3229]" miterlimit="8" joinstyle="miter" startarrow="block"/>
                  <v:imagedata o:title=""/>
                  <o:lock v:ext="edit" aspectratio="f"/>
                </v:shape>
                <v:rect id="矩形 106" o:spid="_x0000_s1026" o:spt="1" style="position:absolute;left:746125;top:1923415;height:444500;width:2062480;v-text-anchor:middle;" filled="f" stroked="f" coordsize="21600,21600" o:gfxdata="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AYqo33WAAAABQEAAA8A&#10;AAAAAAAAAQAgAAAAIgAAAGRycy9kb3ducmV2LnhtbFBLAQIUABQAAAAIAIdO4kBajmLJGQIAABgE&#10;AAAOAAAAAAAAAAEAIAAAACUBAABkcnMvZTJvRG9jLnhtbFBLBQYAAAAABgAGAFkBAACwBQAAAAA=&#10;">
                  <v:fill on="f" focussize="0,0"/>
                  <v:stroke on="f"/>
                  <v:imagedata o:title=""/>
                  <o:lock v:ext="edit" aspectratio="f"/>
                  <v:textbox inset="1mm,1mm,1mm,1mm">
                    <w:txbxContent>
                      <w:p w14:paraId="71E43BB3">
                        <w:pPr>
                          <w:adjustRightInd w:val="0"/>
                          <w:snapToGrid w:val="0"/>
                          <w:spacing w:line="240" w:lineRule="auto"/>
                          <w:ind w:firstLine="0" w:firstLineChars="0"/>
                          <w:jc w:val="center"/>
                          <w:rPr>
                            <w:rFonts w:hint="eastAsia" w:ascii="楷体" w:hAnsi="楷体" w:eastAsia="楷体" w:cs="楷体"/>
                            <w:b/>
                            <w:sz w:val="21"/>
                            <w:szCs w:val="21"/>
                            <w:lang w:val="en-US" w:eastAsia="zh-CN"/>
                          </w:rPr>
                        </w:pPr>
                        <w:r>
                          <w:rPr>
                            <w:rFonts w:hint="eastAsia" w:ascii="楷体" w:hAnsi="楷体" w:eastAsia="楷体" w:cs="楷体"/>
                            <w:b/>
                            <w:sz w:val="21"/>
                            <w:szCs w:val="21"/>
                          </w:rPr>
                          <w:t>基于绩效考核</w:t>
                        </w:r>
                        <w:r>
                          <w:rPr>
                            <w:rFonts w:hint="eastAsia" w:ascii="楷体" w:hAnsi="楷体" w:eastAsia="楷体" w:cs="楷体"/>
                            <w:b/>
                            <w:sz w:val="21"/>
                            <w:szCs w:val="21"/>
                            <w:lang w:val="en-US" w:eastAsia="zh-CN"/>
                          </w:rPr>
                          <w:t>结果</w:t>
                        </w:r>
                      </w:p>
                      <w:p w14:paraId="4DAF05F5">
                        <w:pPr>
                          <w:adjustRightInd w:val="0"/>
                          <w:snapToGrid w:val="0"/>
                          <w:spacing w:line="240" w:lineRule="auto"/>
                          <w:ind w:firstLine="0" w:firstLineChars="0"/>
                          <w:jc w:val="center"/>
                          <w:rPr>
                            <w:rFonts w:hint="eastAsia" w:ascii="楷体" w:hAnsi="楷体" w:eastAsia="楷体" w:cs="楷体"/>
                            <w:b/>
                            <w:sz w:val="21"/>
                            <w:szCs w:val="21"/>
                            <w:lang w:val="en-US" w:eastAsia="zh-CN"/>
                          </w:rPr>
                        </w:pPr>
                        <w:r>
                          <w:rPr>
                            <w:rFonts w:hint="eastAsia" w:ascii="楷体" w:hAnsi="楷体" w:eastAsia="楷体" w:cs="楷体"/>
                            <w:b/>
                            <w:sz w:val="21"/>
                            <w:szCs w:val="21"/>
                            <w:lang w:val="en-US" w:eastAsia="zh-CN"/>
                          </w:rPr>
                          <w:t>代公众支付污水处理服务费</w:t>
                        </w:r>
                      </w:p>
                    </w:txbxContent>
                  </v:textbox>
                </v:rect>
                <v:roundrect id="圆角矩形 107" o:spid="_x0000_s1026" o:spt="2" style="position:absolute;left:2956560;top:2248535;height:560070;width:532130;v-text-anchor:middle;" fillcolor="#FFFFFF [3212]" filled="t" stroked="f" coordsize="21600,21600" arcsize="0.166666666666667" o:gfxdata="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P5YcMHUAAAABQEAAA8AAAAAAAAAAQAgAAAAIgAAAGRycy9kb3ducmV2LnhtbFBLAQIUABQA&#10;AAAIAIdO4kAHcTr8ZgIAAJkEAAAOAAAAAAAAAAEAIAAAACMBAABkcnMvZTJvRG9jLnhtbFBLBQYA&#10;AAAABgAGAFkBAAD7BQAAAAA=&#10;">
                  <v:fill on="t" focussize="0,0"/>
                  <v:stroke on="f" weight="1pt" miterlimit="8" joinstyle="miter"/>
                  <v:imagedata o:title=""/>
                  <o:lock v:ext="edit" aspectratio="f"/>
                  <v:textbox>
                    <w:txbxContent>
                      <w:p w14:paraId="0C0BC02A">
                        <w:pPr>
                          <w:pStyle w:val="34"/>
                          <w:spacing w:before="0" w:beforeAutospacing="0" w:after="0" w:afterAutospacing="0" w:line="240" w:lineRule="auto"/>
                          <w:ind w:firstLine="0" w:firstLineChars="0"/>
                          <w:jc w:val="center"/>
                          <w:rPr>
                            <w:rFonts w:hint="eastAsia" w:ascii="楷体" w:hAnsi="楷体" w:eastAsia="楷体" w:cs="楷体"/>
                            <w:sz w:val="21"/>
                            <w:szCs w:val="21"/>
                          </w:rPr>
                        </w:pPr>
                        <w:r>
                          <w:rPr>
                            <w:rFonts w:hint="eastAsia" w:ascii="楷体" w:hAnsi="楷体" w:eastAsia="楷体" w:cs="楷体"/>
                            <w:b/>
                            <w:bCs/>
                            <w:color w:val="000000"/>
                            <w:sz w:val="21"/>
                            <w:szCs w:val="21"/>
                          </w:rPr>
                          <w:t>运营维护</w:t>
                        </w:r>
                      </w:p>
                    </w:txbxContent>
                  </v:textbox>
                </v:roundrect>
                <v:rect id="矩形 119" o:spid="_x0000_s1026" o:spt="1" style="position:absolute;left:208280;top:120015;height:364490;width:1247775;v-text-anchor:middle;" filled="f" stroked="t" coordsize="21600,21600" o:gfxdata="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Pjzel7WAAAABQEAAA8AAAAAAAAAAQAgAAAAIgAAAGRycy9k&#10;b3ducmV2LnhtbFBLAQIUABQAAAAIAIdO4kDimtSLPQIAAGEEAAAOAAAAAAAAAAEAIAAAACUBAABk&#10;cnMvZTJvRG9jLnhtbFBLBQYAAAAABgAGAFkBAADUBQAAAAA=&#10;">
                  <v:fill on="f" focussize="0,0"/>
                  <v:stroke weight="1pt" color="#000000" miterlimit="8" joinstyle="miter"/>
                  <v:imagedata o:title=""/>
                  <o:lock v:ext="edit" aspectratio="f"/>
                  <v:textbox inset="1mm,1mm,1mm,1mm">
                    <w:txbxContent>
                      <w:p w14:paraId="3D68876E">
                        <w:pPr>
                          <w:pStyle w:val="34"/>
                          <w:spacing w:before="0" w:beforeAutospacing="0" w:after="0" w:afterAutospacing="0" w:line="240" w:lineRule="auto"/>
                          <w:ind w:firstLine="0" w:firstLineChars="0"/>
                          <w:jc w:val="center"/>
                          <w:rPr>
                            <w:rFonts w:hint="eastAsia" w:ascii="楷体" w:hAnsi="楷体" w:eastAsia="楷体" w:cs="楷体"/>
                            <w:sz w:val="21"/>
                            <w:szCs w:val="21"/>
                          </w:rPr>
                        </w:pPr>
                        <w:r>
                          <w:rPr>
                            <w:rFonts w:hint="eastAsia" w:ascii="楷体" w:hAnsi="楷体" w:eastAsia="楷体" w:cs="楷体"/>
                            <w:b/>
                            <w:bCs/>
                            <w:color w:val="000000"/>
                            <w:sz w:val="21"/>
                            <w:szCs w:val="21"/>
                            <w:lang w:val="en-US" w:eastAsia="zh-CN"/>
                          </w:rPr>
                          <w:t>江都区</w:t>
                        </w:r>
                        <w:r>
                          <w:rPr>
                            <w:rFonts w:hint="eastAsia" w:ascii="楷体" w:hAnsi="楷体" w:eastAsia="楷体" w:cs="楷体"/>
                            <w:b/>
                            <w:bCs/>
                            <w:color w:val="000000"/>
                            <w:sz w:val="21"/>
                            <w:szCs w:val="21"/>
                          </w:rPr>
                          <w:t>人民政府</w:t>
                        </w:r>
                      </w:p>
                    </w:txbxContent>
                  </v:textbox>
                </v:rect>
                <v:line id="直接连接符 8" o:spid="_x0000_s1026" o:spt="20" style="position:absolute;left:832412;top:484807;height:379905;width:1000;" filled="f" stroked="t" coordsize="21600,21600" o:gfxdata="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Ln0QutUAAAAFAQAADwAAAAAAAAABACAAAAAiAAAAZHJzL2Rvd25yZXYueG1sUEsBAhQAFAAAAAgA&#10;h07iQNI/MRcoAgAAKAQAAA4AAAAAAAAAAQAgAAAAJAEAAGRycy9lMm9Eb2MueG1sUEsFBgAAAAAG&#10;AAYAWQEAAL4FAAAAAA==&#10;">
                  <v:fill on="f" focussize="0,0"/>
                  <v:stroke weight="0.5pt" color="#000000 [3229]" miterlimit="8" joinstyle="miter" endarrow="block"/>
                  <v:imagedata o:title=""/>
                  <o:lock v:ext="edit" aspectratio="f"/>
                </v:line>
                <v:rect id="矩形 125" o:spid="_x0000_s1026" o:spt="1" style="position:absolute;left:1666380;top:698818;height:285104;width:721219;v-text-anchor:middle;" filled="f" stroked="f" coordsize="21600,21600" o:gfxdata="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GKqN91gAAAAUBAAAPAAAA&#10;AAAAAAEAIAAAACIAAABkcnMvZG93bnJldi54bWxQSwECFAAUAAAACACHTuJAhjItwRcCAAAXBAAA&#10;DgAAAAAAAAABACAAAAAlAQAAZHJzL2Uyb0RvYy54bWxQSwUGAAAAAAYABgBZAQAArgUAAAAA&#10;">
                  <v:fill on="f" focussize="0,0"/>
                  <v:stroke on="f"/>
                  <v:imagedata o:title=""/>
                  <o:lock v:ext="edit" aspectratio="f"/>
                  <v:textbox inset="1mm,1mm,1mm,1mm">
                    <w:txbxContent>
                      <w:p w14:paraId="3D443711">
                        <w:pPr>
                          <w:pStyle w:val="34"/>
                          <w:spacing w:before="0" w:beforeAutospacing="0" w:after="0" w:afterAutospacing="0" w:line="240" w:lineRule="auto"/>
                          <w:ind w:firstLine="0" w:firstLineChars="0"/>
                          <w:rPr>
                            <w:rFonts w:hint="eastAsia" w:ascii="楷体" w:hAnsi="楷体" w:eastAsia="楷体" w:cs="楷体"/>
                            <w:sz w:val="21"/>
                            <w:szCs w:val="21"/>
                          </w:rPr>
                        </w:pPr>
                        <w:r>
                          <w:rPr>
                            <w:rFonts w:hint="eastAsia" w:ascii="楷体" w:hAnsi="楷体" w:eastAsia="楷体" w:cs="楷体"/>
                            <w:b/>
                            <w:bCs/>
                            <w:color w:val="000000"/>
                            <w:sz w:val="21"/>
                            <w:szCs w:val="21"/>
                          </w:rPr>
                          <w:t>公开采购</w:t>
                        </w:r>
                      </w:p>
                    </w:txbxContent>
                  </v:textbox>
                </v:rect>
                <v:rect id="矩形 128" o:spid="_x0000_s1026" o:spt="1" style="position:absolute;left:3640455;top:1251585;height:265430;width:800100;v-text-anchor:middle;" filled="f" stroked="f" coordsize="21600,21600" o:gfxdata="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GKqN91gAAAAUBAAAPAAAA&#10;AAAAAAEAIAAAACIAAABkcnMvZG93bnJldi54bWxQSwECFAAUAAAACACHTuJAvbhIHBcCAAAYBAAA&#10;DgAAAAAAAAABACAAAAAlAQAAZHJzL2Uyb0RvYy54bWxQSwUGAAAAAAYABgBZAQAArgUAAAAA&#10;">
                  <v:fill on="f" focussize="0,0"/>
                  <v:stroke on="f"/>
                  <v:imagedata o:title=""/>
                  <o:lock v:ext="edit" aspectratio="f"/>
                  <v:textbox inset="1mm,1mm,1mm,1mm">
                    <w:txbxContent>
                      <w:p w14:paraId="00E159B3">
                        <w:pPr>
                          <w:pStyle w:val="34"/>
                          <w:spacing w:before="0" w:beforeAutospacing="0" w:after="0" w:afterAutospacing="0" w:line="240" w:lineRule="auto"/>
                          <w:ind w:firstLine="0" w:firstLineChars="0"/>
                          <w:rPr>
                            <w:rFonts w:hint="default" w:ascii="Times New Roman" w:hAnsi="Times New Roman" w:eastAsia="楷体"/>
                            <w:b/>
                            <w:bCs/>
                            <w:color w:val="000000"/>
                            <w:sz w:val="21"/>
                            <w:szCs w:val="21"/>
                            <w:lang w:val="en-US" w:eastAsia="zh-CN"/>
                          </w:rPr>
                        </w:pPr>
                        <w:r>
                          <w:rPr>
                            <w:rFonts w:hint="default" w:ascii="Times New Roman" w:hAnsi="Times New Roman" w:eastAsia="楷体"/>
                            <w:b/>
                            <w:bCs/>
                            <w:color w:val="000000"/>
                            <w:sz w:val="21"/>
                            <w:szCs w:val="21"/>
                            <w:lang w:val="en-US" w:eastAsia="zh-CN"/>
                          </w:rPr>
                          <w:t>100%出资</w:t>
                        </w:r>
                      </w:p>
                    </w:txbxContent>
                  </v:textbox>
                </v:rect>
                <v:rect id="矩形 131" o:spid="_x0000_s1026" o:spt="1" style="position:absolute;left:559435;top:2915920;height:398145;width:2061845;v-text-anchor:middle;" filled="f" stroked="f" coordsize="21600,21600" o:gfxdata="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AYqo33WAAAABQEAAA8AAAAA&#10;AAAAAQAgAAAAIgAAAGRycy9kb3ducmV2LnhtbFBLAQIUABQAAAAIAIdO4kDpN6/aFgIAABgEAAAO&#10;AAAAAAAAAAEAIAAAACUBAABkcnMvZTJvRG9jLnhtbFBLBQYAAAAABgAGAFkBAACtBQAAAAA=&#10;">
                  <v:fill on="f" focussize="0,0"/>
                  <v:stroke on="f"/>
                  <v:imagedata o:title=""/>
                  <o:lock v:ext="edit" aspectratio="f"/>
                  <v:textbox inset="1mm,1mm,1mm,1mm">
                    <w:txbxContent>
                      <w:p w14:paraId="31A0C21F">
                        <w:pPr>
                          <w:pStyle w:val="34"/>
                          <w:spacing w:before="0" w:beforeAutospacing="0" w:after="0" w:afterAutospacing="0" w:line="240" w:lineRule="auto"/>
                          <w:ind w:firstLine="0" w:firstLineChars="0"/>
                          <w:jc w:val="center"/>
                          <w:rPr>
                            <w:rFonts w:hint="eastAsia" w:ascii="楷体" w:hAnsi="楷体" w:eastAsia="楷体" w:cs="楷体"/>
                            <w:sz w:val="21"/>
                            <w:szCs w:val="21"/>
                          </w:rPr>
                        </w:pPr>
                        <w:r>
                          <w:rPr>
                            <w:rFonts w:hint="eastAsia" w:ascii="楷体" w:hAnsi="楷体" w:eastAsia="楷体" w:cs="楷体"/>
                            <w:b/>
                            <w:bCs/>
                            <w:color w:val="000000"/>
                            <w:sz w:val="21"/>
                            <w:szCs w:val="21"/>
                            <w:lang w:val="en-US" w:eastAsia="zh-CN"/>
                          </w:rPr>
                          <w:t>特许经营</w:t>
                        </w:r>
                        <w:r>
                          <w:rPr>
                            <w:rFonts w:hint="eastAsia" w:ascii="楷体" w:hAnsi="楷体" w:eastAsia="楷体" w:cs="楷体"/>
                            <w:b/>
                            <w:bCs/>
                            <w:color w:val="000000"/>
                            <w:sz w:val="21"/>
                            <w:szCs w:val="21"/>
                          </w:rPr>
                          <w:t>期满后无偿移交</w:t>
                        </w:r>
                      </w:p>
                    </w:txbxContent>
                  </v:textbox>
                </v:rect>
                <v:rect id="矩形 132" o:spid="_x0000_s1026" o:spt="1" style="position:absolute;left:4364355;top:2190750;height:364490;width:826770;v-text-anchor:middle;" filled="f" stroked="t" coordsize="21600,21600" o:gfxdata="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483pe1gAAAAUBAAAPAAAAAAAAAAEAIAAAACIAAABkcnMv&#10;ZG93bnJldi54bWxQSwECFAAUAAAACACHTuJACwXCHT4CAABiBAAADgAAAAAAAAABACAAAAAlAQAA&#10;ZHJzL2Uyb0RvYy54bWxQSwUGAAAAAAYABgBZAQAA1QUAAAAA&#10;">
                  <v:fill on="f" focussize="0,0"/>
                  <v:stroke weight="1pt" color="#000000" miterlimit="8" joinstyle="miter"/>
                  <v:imagedata o:title=""/>
                  <o:lock v:ext="edit" aspectratio="f"/>
                  <v:textbox inset="1mm,1mm,1mm,1mm">
                    <w:txbxContent>
                      <w:p w14:paraId="27E1DC31">
                        <w:pPr>
                          <w:pStyle w:val="34"/>
                          <w:spacing w:before="0" w:beforeAutospacing="0" w:after="0" w:afterAutospacing="0" w:line="240" w:lineRule="auto"/>
                          <w:ind w:firstLine="0" w:firstLineChars="0"/>
                          <w:jc w:val="center"/>
                          <w:rPr>
                            <w:rFonts w:hint="eastAsia" w:ascii="楷体" w:hAnsi="楷体" w:eastAsia="楷体" w:cs="楷体"/>
                            <w:sz w:val="21"/>
                            <w:szCs w:val="21"/>
                          </w:rPr>
                        </w:pPr>
                        <w:r>
                          <w:rPr>
                            <w:rFonts w:hint="eastAsia" w:ascii="楷体" w:hAnsi="楷体" w:eastAsia="楷体" w:cs="楷体"/>
                            <w:b/>
                            <w:bCs/>
                            <w:color w:val="000000"/>
                            <w:sz w:val="21"/>
                            <w:szCs w:val="21"/>
                          </w:rPr>
                          <w:t>金融机构</w:t>
                        </w:r>
                      </w:p>
                    </w:txbxContent>
                  </v:textbox>
                </v:rect>
                <v:shape id="肘形连接符 12" o:spid="_x0000_s1026" o:spt="33" type="#_x0000_t33" style="position:absolute;left:4238661;top:1747425;height:443306;width:539108;" filled="f" stroked="t" coordsize="21600,21600" o:gfxdata="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AFMPs/VAAAABQEAAA8AAAAAAAAAAQAgAAAAIgAAAGRycy9kb3ducmV2LnhtbFBLAQIUABQA&#10;AAAIAIdO4kDCwPZmLAIAACUEAAAOAAAAAAAAAAEAIAAAACQBAABkcnMvZTJvRG9jLnhtbFBLBQYA&#10;AAAABgAGAFkBAADCBQAAAAA=&#10;">
                  <v:fill on="f" focussize="0,0"/>
                  <v:stroke weight="0.5pt" color="#000000 [3229]" miterlimit="8" joinstyle="miter" startarrow="block"/>
                  <v:imagedata o:title=""/>
                  <o:lock v:ext="edit" aspectratio="f"/>
                </v:shape>
                <v:rect id="矩形 133" o:spid="_x0000_s1026" o:spt="1" style="position:absolute;left:4767801;top:1690866;height:285104;width:604299;v-text-anchor:middle;" filled="f" stroked="f" coordsize="21600,21600" o:gfxdata="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AYqo33WAAAABQEAAA8A&#10;AAAAAAAAAQAgAAAAIgAAAGRycy9kb3ducmV2LnhtbFBLAQIUABQAAAAIAIdO4kADkAfcGQIAABgE&#10;AAAOAAAAAAAAAAEAIAAAACUBAABkcnMvZTJvRG9jLnhtbFBLBQYAAAAABgAGAFkBAACwBQAAAAA=&#10;">
                  <v:fill on="f" focussize="0,0"/>
                  <v:stroke on="f"/>
                  <v:imagedata o:title=""/>
                  <o:lock v:ext="edit" aspectratio="f"/>
                  <v:textbox inset="1mm,1mm,1mm,1mm">
                    <w:txbxContent>
                      <w:p w14:paraId="02C61A46">
                        <w:pPr>
                          <w:pStyle w:val="34"/>
                          <w:spacing w:before="0" w:beforeAutospacing="0" w:after="0" w:afterAutospacing="0" w:line="240" w:lineRule="auto"/>
                          <w:ind w:firstLine="0" w:firstLineChars="0"/>
                          <w:jc w:val="center"/>
                          <w:rPr>
                            <w:rFonts w:hint="eastAsia" w:ascii="楷体" w:hAnsi="楷体" w:eastAsia="楷体" w:cs="楷体"/>
                            <w:sz w:val="21"/>
                            <w:szCs w:val="21"/>
                          </w:rPr>
                        </w:pPr>
                        <w:r>
                          <w:rPr>
                            <w:rFonts w:hint="eastAsia" w:ascii="楷体" w:hAnsi="楷体" w:eastAsia="楷体" w:cs="楷体"/>
                            <w:b/>
                            <w:bCs/>
                            <w:color w:val="000000"/>
                            <w:sz w:val="21"/>
                            <w:szCs w:val="21"/>
                          </w:rPr>
                          <w:t>融资</w:t>
                        </w:r>
                      </w:p>
                    </w:txbxContent>
                  </v:textbox>
                </v:rect>
                <v:line id="直接连接符 17" o:spid="_x0000_s1026" o:spt="20" style="position:absolute;left:1461131;top:1016783;flip:y;height:635;width:1503680;" filled="f" stroked="t" coordsize="21600,21600" o:gfxdata="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Szvgs1wAAAAUBAAAPAAAAAAAAAAEAIAAAACIAAABkcnMvZG93&#10;bnJldi54bWxQSwECFAAUAAAACACHTuJA2t79zzoCAABTBAAADgAAAAAAAAABACAAAAAmAQAAZHJz&#10;L2Uyb0RvYy54bWxQSwUGAAAAAAYABgBZAQAA0gUAAAAA&#10;">
                  <v:fill on="f" focussize="0,0"/>
                  <v:stroke weight="0.5pt" color="#000000 [3229]" miterlimit="8" joinstyle="miter" endarrow="block"/>
                  <v:imagedata o:title=""/>
                  <o:lock v:ext="edit" aspectratio="f"/>
                </v:line>
                <v:rect id="矩形 36775" o:spid="_x0000_s1026" o:spt="1" style="position:absolute;left:1221740;top:1169035;height:578485;width:1494790;v-text-anchor:middle;" filled="f" stroked="f" coordsize="21600,21600" o:gfxdata="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BiqjfdYAAAAFAQAADwAA&#10;AAAAAAABACAAAAAiAAAAZHJzL2Rvd25yZXYueG1sUEsBAhQAFAAAAAgAh07iQDkmCzUYAgAAGwQA&#10;AA4AAAAAAAAAAQAgAAAAJQEAAGRycy9lMm9Eb2MueG1sUEsFBgAAAAAGAAYAWQEAAK8FAAAAAA==&#10;">
                  <v:fill on="f" focussize="0,0"/>
                  <v:stroke on="f"/>
                  <v:imagedata o:title=""/>
                  <o:lock v:ext="edit" aspectratio="f"/>
                  <v:textbox inset="1mm,1mm,1mm,1mm">
                    <w:txbxContent>
                      <w:p w14:paraId="40441CDF">
                        <w:pPr>
                          <w:spacing w:line="240" w:lineRule="auto"/>
                          <w:ind w:firstLine="0" w:firstLineChars="0"/>
                          <w:rPr>
                            <w:rFonts w:hint="eastAsia" w:ascii="楷体" w:hAnsi="楷体" w:eastAsia="楷体" w:cs="楷体"/>
                            <w:b/>
                            <w:bCs/>
                            <w:sz w:val="21"/>
                            <w:szCs w:val="21"/>
                          </w:rPr>
                        </w:pPr>
                        <w:r>
                          <w:rPr>
                            <w:rFonts w:hint="eastAsia" w:ascii="楷体" w:hAnsi="楷体" w:eastAsia="楷体" w:cs="楷体"/>
                            <w:b/>
                            <w:bCs/>
                            <w:sz w:val="21"/>
                            <w:szCs w:val="21"/>
                          </w:rPr>
                          <w:t>支付</w:t>
                        </w:r>
                        <w:r>
                          <w:rPr>
                            <w:rFonts w:hint="eastAsia" w:ascii="楷体" w:hAnsi="楷体" w:eastAsia="楷体" w:cs="楷体"/>
                            <w:b/>
                            <w:bCs/>
                            <w:sz w:val="21"/>
                            <w:szCs w:val="21"/>
                            <w:lang w:val="en-US" w:eastAsia="zh-CN"/>
                          </w:rPr>
                          <w:t>特许经营权转让</w:t>
                        </w:r>
                        <w:r>
                          <w:rPr>
                            <w:rFonts w:hint="eastAsia" w:ascii="楷体" w:hAnsi="楷体" w:eastAsia="楷体" w:cs="楷体"/>
                            <w:b/>
                            <w:bCs/>
                            <w:sz w:val="21"/>
                            <w:szCs w:val="21"/>
                          </w:rPr>
                          <w:t>费</w:t>
                        </w:r>
                      </w:p>
                      <w:p w14:paraId="188162CD">
                        <w:pPr>
                          <w:spacing w:line="240" w:lineRule="auto"/>
                          <w:ind w:firstLine="0" w:firstLineChars="0"/>
                          <w:rPr>
                            <w:rFonts w:hint="eastAsia" w:ascii="楷体" w:hAnsi="楷体" w:eastAsia="楷体" w:cs="楷体"/>
                          </w:rPr>
                        </w:pPr>
                        <w:r>
                          <w:rPr>
                            <w:rFonts w:hint="eastAsia" w:ascii="楷体" w:hAnsi="楷体" w:eastAsia="楷体" w:cs="楷体"/>
                            <w:b/>
                            <w:bCs/>
                            <w:sz w:val="21"/>
                            <w:szCs w:val="21"/>
                          </w:rPr>
                          <w:t>并获取</w:t>
                        </w:r>
                        <w:r>
                          <w:rPr>
                            <w:rFonts w:hint="eastAsia" w:ascii="楷体" w:hAnsi="楷体" w:eastAsia="楷体" w:cs="楷体"/>
                            <w:b/>
                            <w:bCs/>
                            <w:sz w:val="21"/>
                            <w:szCs w:val="21"/>
                            <w:lang w:val="en-US" w:eastAsia="zh-CN"/>
                          </w:rPr>
                          <w:t>特许</w:t>
                        </w:r>
                        <w:r>
                          <w:rPr>
                            <w:rFonts w:hint="eastAsia" w:ascii="楷体" w:hAnsi="楷体" w:eastAsia="楷体" w:cs="楷体"/>
                            <w:b/>
                            <w:bCs/>
                            <w:sz w:val="21"/>
                            <w:szCs w:val="21"/>
                          </w:rPr>
                          <w:t>经营权</w:t>
                        </w:r>
                      </w:p>
                    </w:txbxContent>
                  </v:textbox>
                </v:rect>
                <v:shape id="肘形连接符 71" o:spid="_x0000_s1026" o:spt="34" type="#_x0000_t34" style="position:absolute;left:1122045;top:1195070;height:467360;width:1871345;rotation:11796480f;" filled="f" stroked="t" coordsize="21600,21600" o:gfxdata="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JeLTrPUAAAABQEAAA8A&#10;AAAAAAAAAQAgAAAAIgAAAGRycy9kb3ducmV2LnhtbFBLAQIUABQAAAAIAIdO4kBAdeqDVAIAAHQE&#10;AAAOAAAAAAAAAAEAIAAAACMBAABkcnMvZTJvRG9jLnhtbFBLBQYAAAAABgAGAFkBAADpBQAAAAA=&#10;" adj="21585">
                  <v:fill on="f" focussize="0,0"/>
                  <v:stroke weight="0.5pt" color="#000000 [3229]" miterlimit="8" joinstyle="miter" endarrow="block"/>
                  <v:imagedata o:title=""/>
                  <o:lock v:ext="edit" aspectratio="f"/>
                </v:shape>
                <v:rect id="矩形 132" o:spid="_x0000_s1026" o:spt="1" style="position:absolute;left:3072130;top:127635;height:364490;width:826770;v-text-anchor:middle;" filled="f" stroked="t" coordsize="21600,21600" o:gfxdata="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483pe1gAAAAUBAAAPAAAAAAAAAAEAIAAAACIAAABkcnMvZG93&#10;bnJldi54bWxQSwECFAAUAAAACACHTuJA0ZVbzjsCAABhBAAADgAAAAAAAAABACAAAAAlAQAAZHJz&#10;L2Uyb0RvYy54bWxQSwUGAAAAAAYABgBZAQAA0gUAAAAA&#10;">
                  <v:fill on="f" focussize="0,0"/>
                  <v:stroke weight="1pt" color="#000000" miterlimit="8" joinstyle="miter"/>
                  <v:imagedata o:title=""/>
                  <o:lock v:ext="edit" aspectratio="f"/>
                  <v:textbox inset="1mm,1mm,1mm,1mm">
                    <w:txbxContent>
                      <w:p w14:paraId="75677524">
                        <w:pPr>
                          <w:pStyle w:val="34"/>
                          <w:spacing w:before="0" w:beforeAutospacing="0" w:after="0" w:afterAutospacing="0" w:line="240" w:lineRule="auto"/>
                          <w:ind w:firstLine="0" w:firstLineChars="0"/>
                          <w:jc w:val="center"/>
                          <w:rPr>
                            <w:rFonts w:hint="eastAsia" w:ascii="楷体" w:hAnsi="楷体" w:eastAsia="楷体" w:cs="楷体"/>
                            <w:sz w:val="21"/>
                            <w:szCs w:val="21"/>
                            <w:lang w:val="en-US" w:eastAsia="zh-CN"/>
                          </w:rPr>
                        </w:pPr>
                        <w:r>
                          <w:rPr>
                            <w:rFonts w:hint="eastAsia" w:ascii="楷体" w:hAnsi="楷体" w:eastAsia="楷体" w:cs="楷体"/>
                            <w:b/>
                            <w:bCs/>
                            <w:color w:val="000000"/>
                            <w:sz w:val="21"/>
                            <w:szCs w:val="21"/>
                            <w:lang w:val="en-US" w:eastAsia="zh-CN"/>
                          </w:rPr>
                          <w:t>公众</w:t>
                        </w:r>
                      </w:p>
                    </w:txbxContent>
                  </v:textbox>
                </v:rect>
                <v:rect id="矩形 125" o:spid="_x0000_s1026" o:spt="1" style="position:absolute;left:1796415;top:12065;height:284480;width:1079500;v-text-anchor:middle;" filled="f" stroked="f" coordsize="21600,21600" o:gfxdata="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AYqo33WAAAABQEAAA8AAAAA&#10;AAAAAQAgAAAAIgAAAGRycy9kb3ducmV2LnhtbFBLAQIUABQAAAAIAIdO4kCfKvXZFgIAABcEAAAO&#10;AAAAAAAAAAEAIAAAACUBAABkcnMvZTJvRG9jLnhtbFBLBQYAAAAABgAGAFkBAACtBQAAAAA=&#10;">
                  <v:fill on="f" focussize="0,0"/>
                  <v:stroke on="f"/>
                  <v:imagedata o:title=""/>
                  <o:lock v:ext="edit" aspectratio="f"/>
                  <v:textbox inset="1mm,1mm,1mm,1mm">
                    <w:txbxContent>
                      <w:p w14:paraId="1B4ABCB8">
                        <w:pPr>
                          <w:pStyle w:val="34"/>
                          <w:spacing w:before="0" w:beforeAutospacing="0" w:after="0" w:afterAutospacing="0" w:line="240" w:lineRule="auto"/>
                          <w:ind w:firstLine="0" w:firstLineChars="0"/>
                          <w:rPr>
                            <w:rFonts w:hint="eastAsia" w:ascii="楷体" w:hAnsi="楷体" w:eastAsia="楷体" w:cs="楷体"/>
                            <w:sz w:val="21"/>
                            <w:szCs w:val="21"/>
                            <w:lang w:val="en-US" w:eastAsia="zh-CN"/>
                          </w:rPr>
                        </w:pPr>
                        <w:r>
                          <w:rPr>
                            <w:rFonts w:hint="eastAsia" w:ascii="楷体" w:hAnsi="楷体" w:eastAsia="楷体" w:cs="楷体"/>
                            <w:b/>
                            <w:bCs/>
                            <w:color w:val="000000"/>
                            <w:sz w:val="21"/>
                            <w:szCs w:val="21"/>
                            <w:lang w:val="en-US" w:eastAsia="zh-CN"/>
                          </w:rPr>
                          <w:t>污水处理费</w:t>
                        </w:r>
                      </w:p>
                    </w:txbxContent>
                  </v:textbox>
                </v:rect>
                <w10:wrap type="none"/>
                <w10:anchorlock/>
              </v:group>
            </w:pict>
          </mc:Fallback>
        </mc:AlternateContent>
      </w:r>
    </w:p>
    <w:p w14:paraId="3219AC6A">
      <w:pPr>
        <w:pStyle w:val="34"/>
        <w:widowControl/>
        <w:shd w:val="clear" w:color="auto" w:fill="FFFFFF"/>
        <w:spacing w:beforeAutospacing="0" w:afterAutospacing="0"/>
        <w:ind w:firstLine="0" w:firstLineChars="0"/>
        <w:jc w:val="center"/>
        <w:rPr>
          <w:rFonts w:hint="default" w:ascii="Times New Roman" w:hAnsi="Times New Roman" w:eastAsia="楷体" w:cs="Times New Roman"/>
          <w:b/>
          <w:bCs/>
          <w:color w:val="auto"/>
          <w:sz w:val="24"/>
          <w:szCs w:val="24"/>
          <w:highlight w:val="none"/>
          <w:lang w:val="en-US" w:eastAsia="zh-CN"/>
        </w:rPr>
      </w:pPr>
      <w:r>
        <w:rPr>
          <w:rFonts w:hint="eastAsia" w:ascii="Times New Roman" w:hAnsi="Times New Roman" w:eastAsia="楷体" w:cs="Times New Roman"/>
          <w:b/>
          <w:bCs/>
          <w:color w:val="auto"/>
          <w:sz w:val="24"/>
          <w:szCs w:val="24"/>
          <w:highlight w:val="none"/>
          <w:lang w:val="en-US" w:eastAsia="zh-CN"/>
        </w:rPr>
        <w:t>图4-1 特许经营运作方式图</w:t>
      </w:r>
    </w:p>
    <w:p w14:paraId="186856FA">
      <w:pPr>
        <w:pStyle w:val="5"/>
        <w:spacing w:before="0" w:after="0" w:line="360" w:lineRule="auto"/>
        <w:ind w:firstLine="602" w:firstLineChars="200"/>
        <w:rPr>
          <w:rFonts w:hint="default" w:ascii="Times New Roman" w:hAnsi="Times New Roman" w:eastAsia="楷体" w:cs="Times New Roman"/>
          <w:color w:val="auto"/>
          <w:sz w:val="30"/>
          <w:szCs w:val="30"/>
          <w:highlight w:val="none"/>
        </w:rPr>
      </w:pPr>
      <w:bookmarkStart w:id="610" w:name="_Toc10822"/>
      <w:r>
        <w:rPr>
          <w:rFonts w:hint="default" w:ascii="Times New Roman" w:hAnsi="Times New Roman" w:eastAsia="楷体" w:cs="Times New Roman"/>
          <w:color w:val="auto"/>
          <w:sz w:val="30"/>
          <w:szCs w:val="30"/>
          <w:highlight w:val="none"/>
        </w:rPr>
        <w:t>2、投融资结构</w:t>
      </w:r>
      <w:bookmarkEnd w:id="610"/>
    </w:p>
    <w:p w14:paraId="51BE2F13">
      <w:pPr>
        <w:pStyle w:val="34"/>
        <w:widowControl/>
        <w:shd w:val="clear" w:color="auto" w:fill="FFFFFF"/>
        <w:spacing w:beforeAutospacing="0" w:afterAutospacing="0"/>
        <w:ind w:firstLine="560" w:firstLineChars="200"/>
        <w:jc w:val="both"/>
        <w:rPr>
          <w:rFonts w:hint="eastAsia" w:ascii="Times New Roman" w:hAnsi="Times New Roman" w:eastAsia="楷体" w:cs="Times New Roman"/>
          <w:color w:val="auto"/>
          <w:sz w:val="28"/>
          <w:szCs w:val="28"/>
          <w:highlight w:val="none"/>
          <w:lang w:val="en-US" w:eastAsia="zh-CN"/>
        </w:rPr>
      </w:pPr>
      <w:bookmarkStart w:id="611" w:name="_Toc18032"/>
      <w:r>
        <w:rPr>
          <w:rFonts w:hint="default" w:ascii="Times New Roman" w:hAnsi="Times New Roman" w:eastAsia="楷体" w:cs="Times New Roman"/>
          <w:color w:val="auto"/>
          <w:sz w:val="28"/>
          <w:szCs w:val="28"/>
          <w:highlight w:val="none"/>
        </w:rPr>
        <w:t>根据《资产评估报告》，</w:t>
      </w:r>
      <w:r>
        <w:rPr>
          <w:rFonts w:hint="default" w:ascii="Times New Roman" w:hAnsi="Times New Roman" w:eastAsia="楷体" w:cs="Times New Roman"/>
          <w:i/>
          <w:iCs/>
          <w:color w:val="auto"/>
          <w:sz w:val="28"/>
          <w:szCs w:val="28"/>
          <w:highlight w:val="none"/>
          <w:u w:val="single"/>
        </w:rPr>
        <w:t>本项目特许经营权转让价为</w:t>
      </w:r>
      <w:r>
        <w:rPr>
          <w:rFonts w:hint="default" w:ascii="Times New Roman" w:hAnsi="Times New Roman" w:eastAsia="楷体" w:cs="Times New Roman"/>
          <w:i/>
          <w:iCs/>
          <w:color w:val="auto"/>
          <w:sz w:val="28"/>
          <w:szCs w:val="28"/>
          <w:highlight w:val="none"/>
          <w:u w:val="single"/>
          <w:lang w:eastAsia="zh-CN"/>
        </w:rPr>
        <w:t>6</w:t>
      </w:r>
      <w:r>
        <w:rPr>
          <w:rFonts w:hint="default" w:ascii="Times New Roman" w:hAnsi="Times New Roman" w:eastAsia="楷体" w:cs="Times New Roman"/>
          <w:i/>
          <w:iCs/>
          <w:color w:val="auto"/>
          <w:sz w:val="28"/>
          <w:szCs w:val="28"/>
          <w:highlight w:val="none"/>
          <w:u w:val="single"/>
          <w:lang w:val="en-US" w:eastAsia="zh-CN"/>
        </w:rPr>
        <w:t>0</w:t>
      </w:r>
      <w:r>
        <w:rPr>
          <w:rFonts w:hint="eastAsia" w:ascii="Times New Roman" w:hAnsi="Times New Roman" w:eastAsia="楷体" w:cs="Times New Roman"/>
          <w:i/>
          <w:iCs/>
          <w:color w:val="auto"/>
          <w:sz w:val="28"/>
          <w:szCs w:val="28"/>
          <w:highlight w:val="none"/>
          <w:u w:val="single"/>
          <w:lang w:val="en-US" w:eastAsia="zh-CN"/>
        </w:rPr>
        <w:t>030</w:t>
      </w:r>
      <w:r>
        <w:rPr>
          <w:rFonts w:hint="default" w:ascii="Times New Roman" w:hAnsi="Times New Roman" w:eastAsia="楷体" w:cs="Times New Roman"/>
          <w:i/>
          <w:iCs/>
          <w:color w:val="auto"/>
          <w:sz w:val="28"/>
          <w:szCs w:val="28"/>
          <w:highlight w:val="none"/>
          <w:u w:val="single"/>
        </w:rPr>
        <w:t>万元</w:t>
      </w:r>
      <w:r>
        <w:rPr>
          <w:rFonts w:hint="eastAsia" w:ascii="Times New Roman" w:hAnsi="Times New Roman" w:eastAsia="楷体" w:cs="Times New Roman"/>
          <w:i/>
          <w:iCs/>
          <w:color w:val="auto"/>
          <w:sz w:val="28"/>
          <w:szCs w:val="28"/>
          <w:highlight w:val="none"/>
          <w:u w:val="single"/>
          <w:lang w:eastAsia="zh-CN"/>
        </w:rPr>
        <w:t>，</w:t>
      </w:r>
      <w:r>
        <w:rPr>
          <w:rFonts w:hint="eastAsia" w:ascii="Times New Roman" w:hAnsi="Times New Roman" w:eastAsia="楷体" w:cs="Times New Roman"/>
          <w:i/>
          <w:iCs/>
          <w:color w:val="auto"/>
          <w:sz w:val="28"/>
          <w:szCs w:val="28"/>
          <w:highlight w:val="none"/>
          <w:u w:val="single"/>
          <w:lang w:val="en-US" w:eastAsia="zh-CN"/>
        </w:rPr>
        <w:t>该特许经营权价值为不可竞争项，由中标</w:t>
      </w:r>
      <w:r>
        <w:rPr>
          <w:rFonts w:hint="default" w:ascii="Times New Roman" w:hAnsi="Times New Roman" w:eastAsia="楷体" w:cs="Times New Roman"/>
          <w:i/>
          <w:iCs/>
          <w:color w:val="auto"/>
          <w:sz w:val="28"/>
          <w:szCs w:val="28"/>
          <w:highlight w:val="none"/>
          <w:u w:val="single"/>
          <w:lang w:eastAsia="zh-CN"/>
        </w:rPr>
        <w:t>特许经营者</w:t>
      </w:r>
      <w:r>
        <w:rPr>
          <w:rFonts w:hint="default" w:ascii="Times New Roman" w:hAnsi="Times New Roman" w:eastAsia="楷体" w:cs="Times New Roman"/>
          <w:i/>
          <w:iCs/>
          <w:color w:val="auto"/>
          <w:sz w:val="28"/>
          <w:szCs w:val="28"/>
          <w:highlight w:val="none"/>
          <w:u w:val="single"/>
        </w:rPr>
        <w:t>在特许经营协议签订</w:t>
      </w:r>
      <w:r>
        <w:rPr>
          <w:rFonts w:hint="default" w:ascii="Times New Roman" w:hAnsi="Times New Roman" w:eastAsia="楷体" w:cs="Times New Roman"/>
          <w:i/>
          <w:iCs/>
          <w:color w:val="auto"/>
          <w:sz w:val="28"/>
          <w:szCs w:val="28"/>
          <w:highlight w:val="none"/>
          <w:u w:val="single"/>
          <w:lang w:val="en-US" w:eastAsia="zh-CN"/>
        </w:rPr>
        <w:t>之日起</w:t>
      </w:r>
      <w:r>
        <w:rPr>
          <w:rFonts w:hint="eastAsia" w:ascii="Times New Roman" w:hAnsi="Times New Roman" w:eastAsia="楷体" w:cs="Times New Roman"/>
          <w:i/>
          <w:iCs/>
          <w:color w:val="auto"/>
          <w:sz w:val="28"/>
          <w:szCs w:val="28"/>
          <w:highlight w:val="none"/>
          <w:u w:val="single"/>
          <w:lang w:val="en-US" w:eastAsia="zh-CN"/>
        </w:rPr>
        <w:t>2</w:t>
      </w:r>
      <w:r>
        <w:rPr>
          <w:rFonts w:hint="default" w:ascii="Times New Roman" w:hAnsi="Times New Roman" w:eastAsia="楷体" w:cs="Times New Roman"/>
          <w:i/>
          <w:iCs/>
          <w:color w:val="auto"/>
          <w:sz w:val="28"/>
          <w:szCs w:val="28"/>
          <w:highlight w:val="none"/>
          <w:u w:val="single"/>
        </w:rPr>
        <w:t>个月内全额支付给</w:t>
      </w:r>
      <w:r>
        <w:rPr>
          <w:rFonts w:hint="default" w:ascii="Times New Roman" w:hAnsi="Times New Roman" w:eastAsia="楷体" w:cs="Times New Roman"/>
          <w:i/>
          <w:iCs/>
          <w:color w:val="auto"/>
          <w:sz w:val="28"/>
          <w:szCs w:val="28"/>
          <w:highlight w:val="none"/>
          <w:u w:val="single"/>
          <w:lang w:val="en-US" w:eastAsia="zh-CN"/>
        </w:rPr>
        <w:t>江都区人民</w:t>
      </w:r>
      <w:r>
        <w:rPr>
          <w:rFonts w:hint="default" w:ascii="Times New Roman" w:hAnsi="Times New Roman" w:eastAsia="楷体" w:cs="Times New Roman"/>
          <w:i/>
          <w:iCs/>
          <w:color w:val="auto"/>
          <w:sz w:val="28"/>
          <w:szCs w:val="28"/>
          <w:highlight w:val="none"/>
          <w:u w:val="single"/>
        </w:rPr>
        <w:t>政府。</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可将特许经营协议项下的收益权设定质押或其他担保权益进行项目融资，</w:t>
      </w:r>
      <w:r>
        <w:rPr>
          <w:rFonts w:hint="default" w:ascii="Times New Roman" w:hAnsi="Times New Roman" w:eastAsia="楷体" w:cs="Times New Roman"/>
          <w:color w:val="auto"/>
          <w:sz w:val="28"/>
          <w:szCs w:val="28"/>
          <w:highlight w:val="none"/>
          <w:lang w:val="en-US" w:eastAsia="zh-CN"/>
        </w:rPr>
        <w:t>其中自有资金比例不低于项目投资（即特许经营权转让费）</w:t>
      </w:r>
      <w:r>
        <w:rPr>
          <w:rFonts w:hint="default" w:ascii="Times New Roman" w:hAnsi="Times New Roman" w:eastAsia="楷体" w:cs="Times New Roman"/>
          <w:color w:val="auto"/>
          <w:sz w:val="28"/>
          <w:szCs w:val="28"/>
          <w:highlight w:val="none"/>
        </w:rPr>
        <w:t>的20%计算，</w:t>
      </w:r>
      <w:r>
        <w:rPr>
          <w:rFonts w:hint="default" w:ascii="Times New Roman" w:hAnsi="Times New Roman" w:eastAsia="楷体" w:cs="Times New Roman"/>
          <w:color w:val="auto"/>
          <w:sz w:val="28"/>
          <w:szCs w:val="28"/>
          <w:highlight w:val="none"/>
          <w:lang w:val="en-US" w:eastAsia="zh-CN"/>
        </w:rPr>
        <w:t>即要求特许经营者提供不低于12</w:t>
      </w:r>
      <w:r>
        <w:rPr>
          <w:rFonts w:hint="eastAsia" w:ascii="Times New Roman" w:hAnsi="Times New Roman" w:eastAsia="楷体" w:cs="Times New Roman"/>
          <w:color w:val="auto"/>
          <w:sz w:val="28"/>
          <w:szCs w:val="28"/>
          <w:highlight w:val="none"/>
          <w:lang w:val="en-US" w:eastAsia="zh-CN"/>
        </w:rPr>
        <w:t>006</w:t>
      </w:r>
      <w:r>
        <w:rPr>
          <w:rFonts w:hint="default" w:ascii="Times New Roman" w:hAnsi="Times New Roman" w:eastAsia="楷体" w:cs="Times New Roman"/>
          <w:color w:val="auto"/>
          <w:sz w:val="28"/>
          <w:szCs w:val="28"/>
          <w:highlight w:val="none"/>
          <w:lang w:val="en-US" w:eastAsia="zh-CN"/>
        </w:rPr>
        <w:t>万元的自有资金</w:t>
      </w:r>
      <w:r>
        <w:rPr>
          <w:rFonts w:hint="eastAsia" w:ascii="Times New Roman" w:hAnsi="Times New Roman" w:eastAsia="楷体" w:cs="Times New Roman"/>
          <w:color w:val="auto"/>
          <w:sz w:val="28"/>
          <w:szCs w:val="28"/>
          <w:highlight w:val="none"/>
          <w:lang w:val="en-US" w:eastAsia="zh-CN"/>
        </w:rPr>
        <w:t>作为资本金</w:t>
      </w:r>
      <w:r>
        <w:rPr>
          <w:rFonts w:hint="default" w:ascii="Times New Roman" w:hAnsi="Times New Roman" w:eastAsia="楷体" w:cs="Times New Roman"/>
          <w:color w:val="auto"/>
          <w:sz w:val="28"/>
          <w:szCs w:val="28"/>
          <w:highlight w:val="none"/>
          <w:lang w:val="en-US" w:eastAsia="zh-CN"/>
        </w:rPr>
        <w:t>，剩余资金可以通过银行贷款、股东借款等多元化融资渠道筹措，</w:t>
      </w:r>
      <w:r>
        <w:rPr>
          <w:rFonts w:hint="default" w:ascii="Times New Roman" w:hAnsi="Times New Roman" w:eastAsia="楷体" w:cs="Times New Roman"/>
          <w:color w:val="auto"/>
          <w:sz w:val="28"/>
          <w:szCs w:val="28"/>
          <w:highlight w:val="none"/>
        </w:rPr>
        <w:t>实施机</w:t>
      </w:r>
      <w:r>
        <w:rPr>
          <w:rFonts w:hint="eastAsia" w:ascii="Times New Roman" w:hAnsi="Times New Roman" w:eastAsia="楷体" w:cs="Times New Roman"/>
          <w:color w:val="auto"/>
          <w:sz w:val="28"/>
          <w:szCs w:val="28"/>
          <w:highlight w:val="none"/>
        </w:rPr>
        <w:t>构和政府部门不承担项目融资责任和融资保证责任。</w:t>
      </w:r>
      <w:r>
        <w:rPr>
          <w:rFonts w:hint="eastAsia" w:ascii="Times New Roman" w:hAnsi="Times New Roman" w:eastAsia="楷体" w:cs="Times New Roman"/>
          <w:color w:val="auto"/>
          <w:sz w:val="28"/>
          <w:szCs w:val="28"/>
          <w:highlight w:val="none"/>
          <w:lang w:val="en-US" w:eastAsia="zh-CN"/>
        </w:rPr>
        <w:t>政府方协助特许经营者或其成立的项目公司获得项目融资所需要的资料，特许经营者或其成立的项目公司应在本项目特许经营协议签署起90日内完成融资交割，若因非特许经营者或其成立的项目公司原因导致融资条件不满足的，则融资交割时间相应顺延。</w:t>
      </w:r>
    </w:p>
    <w:p w14:paraId="4FD89C8E">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本项目属于存量资产，项目建设过程中涉及专项债资金共计29400万元，本次特许经营权转让后，特许经营权费由财政进行统筹使用，优先保障专项债资金偿还。</w:t>
      </w:r>
    </w:p>
    <w:p w14:paraId="5EC033B1">
      <w:pPr>
        <w:pStyle w:val="5"/>
        <w:widowControl w:val="0"/>
        <w:shd w:val="clear" w:color="auto" w:fill="FFFFFF"/>
        <w:spacing w:before="20" w:beforeAutospacing="0" w:after="20" w:afterAutospacing="0" w:line="360" w:lineRule="auto"/>
        <w:ind w:firstLine="602" w:firstLineChars="200"/>
        <w:jc w:val="both"/>
        <w:rPr>
          <w:rFonts w:hint="eastAsia" w:ascii="Times New Roman" w:hAnsi="Times New Roman" w:eastAsia="楷体" w:cs="Times New Roman"/>
          <w:b/>
          <w:color w:val="auto"/>
          <w:kern w:val="2"/>
          <w:sz w:val="30"/>
          <w:szCs w:val="30"/>
          <w:highlight w:val="none"/>
          <w:lang w:val="en-US" w:eastAsia="zh-CN"/>
        </w:rPr>
      </w:pPr>
      <w:r>
        <w:rPr>
          <w:rFonts w:hint="eastAsia" w:ascii="Times New Roman" w:hAnsi="Times New Roman" w:eastAsia="楷体" w:cs="Times New Roman"/>
          <w:color w:val="auto"/>
          <w:sz w:val="30"/>
          <w:szCs w:val="30"/>
          <w:highlight w:val="none"/>
          <w:lang w:val="en-US" w:eastAsia="zh-CN"/>
        </w:rPr>
        <w:t>3、</w:t>
      </w:r>
      <w:r>
        <w:rPr>
          <w:rFonts w:hint="default" w:ascii="Times New Roman" w:hAnsi="Times New Roman" w:eastAsia="楷体" w:cs="Times New Roman"/>
          <w:color w:val="auto"/>
          <w:sz w:val="30"/>
          <w:szCs w:val="30"/>
          <w:highlight w:val="none"/>
          <w:lang w:val="en-US" w:eastAsia="zh-CN"/>
        </w:rPr>
        <w:t>合同体系</w:t>
      </w:r>
    </w:p>
    <w:p w14:paraId="0B1D12F9">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本项目的合同体系分为两个层次：</w:t>
      </w:r>
    </w:p>
    <w:p w14:paraId="18122FB6">
      <w:pPr>
        <w:spacing w:line="360" w:lineRule="auto"/>
        <w:ind w:firstLine="560" w:firstLineChars="200"/>
        <w:rPr>
          <w:rFonts w:hint="eastAsia" w:ascii="Times New Roman" w:hAnsi="Times New Roman" w:eastAsia="楷体" w:cs="Times New Roman"/>
          <w:color w:val="auto"/>
          <w:sz w:val="28"/>
          <w:szCs w:val="28"/>
          <w:highlight w:val="none"/>
          <w:lang w:eastAsia="zh-CN"/>
        </w:rPr>
      </w:pPr>
      <w:r>
        <w:rPr>
          <w:rFonts w:hint="eastAsia" w:ascii="Times New Roman" w:hAnsi="Times New Roman" w:eastAsia="楷体" w:cs="Times New Roman"/>
          <w:color w:val="auto"/>
          <w:sz w:val="28"/>
          <w:szCs w:val="28"/>
          <w:highlight w:val="none"/>
        </w:rPr>
        <w:t>第一层次为项目实施机构与中标特许经营者之间签署的</w:t>
      </w:r>
      <w:r>
        <w:rPr>
          <w:rFonts w:hint="eastAsia" w:ascii="Times New Roman" w:hAnsi="Times New Roman" w:eastAsia="楷体" w:cs="Times New Roman"/>
          <w:color w:val="auto"/>
          <w:sz w:val="28"/>
          <w:szCs w:val="28"/>
          <w:highlight w:val="none"/>
          <w:lang w:val="en-US" w:eastAsia="zh-CN"/>
        </w:rPr>
        <w:t>初步协议</w:t>
      </w:r>
      <w:r>
        <w:rPr>
          <w:rFonts w:hint="eastAsia" w:ascii="Times New Roman" w:hAnsi="Times New Roman" w:eastAsia="楷体" w:cs="Times New Roman"/>
          <w:color w:val="auto"/>
          <w:sz w:val="28"/>
          <w:szCs w:val="28"/>
          <w:highlight w:val="none"/>
        </w:rPr>
        <w:t>，待项目公司成立后，实施机构与项目公司签署正式的特许经营协议，以明确合作双方的合作意向，详细约定双方有关项目开展的关键权利义务。</w:t>
      </w:r>
      <w:r>
        <w:rPr>
          <w:rFonts w:hint="eastAsia" w:ascii="Times New Roman" w:hAnsi="Times New Roman" w:eastAsia="楷体" w:cs="Times New Roman"/>
          <w:color w:val="auto"/>
          <w:sz w:val="28"/>
          <w:szCs w:val="28"/>
          <w:highlight w:val="none"/>
          <w:lang w:eastAsia="zh-CN"/>
        </w:rPr>
        <w:t>（</w:t>
      </w:r>
      <w:r>
        <w:rPr>
          <w:rFonts w:hint="eastAsia" w:ascii="Times New Roman" w:hAnsi="Times New Roman" w:eastAsia="楷体" w:cs="Times New Roman"/>
          <w:color w:val="auto"/>
          <w:sz w:val="28"/>
          <w:szCs w:val="28"/>
          <w:highlight w:val="none"/>
          <w:lang w:val="en-US" w:eastAsia="zh-CN"/>
        </w:rPr>
        <w:t>注：实施机构通过公开招标等公开竞争方式选定特许经营者后，如特许经营者按要求（如有）设立特许经营项目公司，由实施机构与项目公司签署特许经营协议，如不设立项目公司，则由实施机构与特许经营者签署特许经营协议。</w:t>
      </w:r>
      <w:r>
        <w:rPr>
          <w:rFonts w:hint="eastAsia" w:ascii="Times New Roman" w:hAnsi="Times New Roman" w:eastAsia="楷体" w:cs="Times New Roman"/>
          <w:color w:val="auto"/>
          <w:sz w:val="28"/>
          <w:szCs w:val="28"/>
          <w:highlight w:val="none"/>
          <w:lang w:eastAsia="zh-CN"/>
        </w:rPr>
        <w:t>）</w:t>
      </w:r>
    </w:p>
    <w:p w14:paraId="3D6F5B4A">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第二层次为</w:t>
      </w:r>
      <w:r>
        <w:rPr>
          <w:rFonts w:hint="eastAsia" w:ascii="Times New Roman" w:hAnsi="Times New Roman" w:eastAsia="楷体" w:cs="Times New Roman"/>
          <w:color w:val="auto"/>
          <w:sz w:val="28"/>
          <w:szCs w:val="28"/>
          <w:highlight w:val="none"/>
          <w:lang w:val="en-US" w:eastAsia="zh-CN"/>
        </w:rPr>
        <w:t>由特许经营者或其组建的</w:t>
      </w:r>
      <w:r>
        <w:rPr>
          <w:rFonts w:hint="eastAsia" w:ascii="Times New Roman" w:hAnsi="Times New Roman" w:eastAsia="楷体" w:cs="Times New Roman"/>
          <w:color w:val="auto"/>
          <w:sz w:val="28"/>
          <w:szCs w:val="28"/>
          <w:highlight w:val="none"/>
        </w:rPr>
        <w:t>项目公司和本项目推进过程中的各有关主体签署的协议体系。如由特许经营者或其组建的</w:t>
      </w:r>
      <w:r>
        <w:rPr>
          <w:rFonts w:hint="eastAsia" w:ascii="Times New Roman" w:hAnsi="Times New Roman" w:eastAsia="楷体" w:cs="Times New Roman"/>
          <w:color w:val="auto"/>
          <w:sz w:val="28"/>
          <w:szCs w:val="28"/>
          <w:highlight w:val="none"/>
          <w:lang w:eastAsia="zh-CN"/>
        </w:rPr>
        <w:t>项目公司</w:t>
      </w:r>
      <w:r>
        <w:rPr>
          <w:rFonts w:hint="eastAsia" w:ascii="Times New Roman" w:hAnsi="Times New Roman" w:eastAsia="楷体" w:cs="Times New Roman"/>
          <w:color w:val="auto"/>
          <w:sz w:val="28"/>
          <w:szCs w:val="28"/>
          <w:highlight w:val="none"/>
        </w:rPr>
        <w:t>与金融机构签署的融资协议及担保合同、与保险机构之间签署的保险合同等。</w:t>
      </w:r>
    </w:p>
    <w:p w14:paraId="68EE0318">
      <w:pPr>
        <w:spacing w:line="360" w:lineRule="auto"/>
        <w:ind w:firstLine="562" w:firstLineChars="200"/>
        <w:rPr>
          <w:rFonts w:hint="default" w:ascii="Times New Roman" w:hAnsi="Times New Roman" w:eastAsia="楷体" w:cs="Times New Roman"/>
          <w:b/>
          <w:bCs/>
          <w:color w:val="auto"/>
          <w:sz w:val="28"/>
          <w:szCs w:val="28"/>
          <w:highlight w:val="none"/>
          <w:lang w:val="en-US" w:eastAsia="zh-CN"/>
        </w:rPr>
      </w:pPr>
      <w:r>
        <w:rPr>
          <w:rFonts w:hint="eastAsia" w:ascii="Times New Roman" w:hAnsi="Times New Roman" w:eastAsia="楷体" w:cs="Times New Roman"/>
          <w:b/>
          <w:bCs/>
          <w:color w:val="auto"/>
          <w:sz w:val="28"/>
          <w:szCs w:val="28"/>
          <w:highlight w:val="none"/>
        </w:rPr>
        <w:t>（</w:t>
      </w:r>
      <w:r>
        <w:rPr>
          <w:rFonts w:ascii="Times New Roman" w:hAnsi="Times New Roman" w:eastAsia="楷体" w:cs="Times New Roman"/>
          <w:b/>
          <w:bCs/>
          <w:color w:val="auto"/>
          <w:sz w:val="28"/>
          <w:szCs w:val="28"/>
          <w:highlight w:val="none"/>
        </w:rPr>
        <w:t>1）</w:t>
      </w:r>
      <w:r>
        <w:rPr>
          <w:rFonts w:hint="eastAsia" w:ascii="Times New Roman" w:hAnsi="Times New Roman" w:eastAsia="楷体" w:cs="Times New Roman"/>
          <w:b/>
          <w:bCs/>
          <w:color w:val="auto"/>
          <w:sz w:val="28"/>
          <w:szCs w:val="28"/>
          <w:highlight w:val="none"/>
          <w:lang w:eastAsia="zh-CN"/>
        </w:rPr>
        <w:t>《</w:t>
      </w:r>
      <w:r>
        <w:rPr>
          <w:rFonts w:hint="eastAsia" w:ascii="Times New Roman" w:hAnsi="Times New Roman" w:eastAsia="楷体" w:cs="Times New Roman"/>
          <w:b/>
          <w:bCs/>
          <w:color w:val="auto"/>
          <w:sz w:val="28"/>
          <w:szCs w:val="28"/>
          <w:highlight w:val="none"/>
          <w:lang w:val="en-US" w:eastAsia="zh-CN"/>
        </w:rPr>
        <w:t>初步协议</w:t>
      </w:r>
      <w:r>
        <w:rPr>
          <w:rFonts w:hint="eastAsia" w:ascii="Times New Roman" w:hAnsi="Times New Roman" w:eastAsia="楷体" w:cs="Times New Roman"/>
          <w:b/>
          <w:bCs/>
          <w:color w:val="auto"/>
          <w:sz w:val="28"/>
          <w:szCs w:val="28"/>
          <w:highlight w:val="none"/>
          <w:lang w:eastAsia="zh-CN"/>
        </w:rPr>
        <w:t>》</w:t>
      </w:r>
    </w:p>
    <w:p w14:paraId="42B06B0A">
      <w:pPr>
        <w:spacing w:line="360" w:lineRule="auto"/>
        <w:ind w:firstLine="560" w:firstLineChars="20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1）签约时间：</w:t>
      </w:r>
      <w:r>
        <w:rPr>
          <w:rFonts w:hint="eastAsia" w:ascii="Times New Roman" w:hAnsi="Times New Roman" w:eastAsia="楷体" w:cs="Times New Roman"/>
          <w:color w:val="auto"/>
          <w:sz w:val="28"/>
          <w:szCs w:val="28"/>
          <w:highlight w:val="none"/>
        </w:rPr>
        <w:t>中标通知书发出之日起30日内</w:t>
      </w:r>
      <w:r>
        <w:rPr>
          <w:rFonts w:ascii="Times New Roman" w:hAnsi="Times New Roman" w:eastAsia="楷体" w:cs="Times New Roman"/>
          <w:color w:val="auto"/>
          <w:sz w:val="28"/>
          <w:szCs w:val="28"/>
          <w:highlight w:val="none"/>
        </w:rPr>
        <w:t>。</w:t>
      </w:r>
    </w:p>
    <w:p w14:paraId="446CD72E">
      <w:pPr>
        <w:spacing w:line="360" w:lineRule="auto"/>
        <w:ind w:firstLine="560" w:firstLineChars="20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2）签订主体：实施机构与</w:t>
      </w:r>
      <w:r>
        <w:rPr>
          <w:rFonts w:hint="eastAsia" w:ascii="Times New Roman" w:hAnsi="Times New Roman" w:eastAsia="楷体" w:cs="Times New Roman"/>
          <w:color w:val="auto"/>
          <w:sz w:val="28"/>
          <w:szCs w:val="28"/>
          <w:highlight w:val="none"/>
          <w:lang w:val="en-US" w:eastAsia="zh-CN"/>
        </w:rPr>
        <w:t>中标</w:t>
      </w:r>
      <w:r>
        <w:rPr>
          <w:rFonts w:hint="eastAsia" w:ascii="Times New Roman" w:hAnsi="Times New Roman" w:eastAsia="楷体" w:cs="Times New Roman"/>
          <w:color w:val="auto"/>
          <w:sz w:val="28"/>
          <w:szCs w:val="28"/>
          <w:highlight w:val="none"/>
        </w:rPr>
        <w:t>特许经营者</w:t>
      </w:r>
      <w:r>
        <w:rPr>
          <w:rFonts w:ascii="Times New Roman" w:hAnsi="Times New Roman" w:eastAsia="楷体" w:cs="Times New Roman"/>
          <w:color w:val="auto"/>
          <w:sz w:val="28"/>
          <w:szCs w:val="28"/>
          <w:highlight w:val="none"/>
        </w:rPr>
        <w:t>。</w:t>
      </w:r>
    </w:p>
    <w:p w14:paraId="23A2D049">
      <w:pPr>
        <w:spacing w:line="360" w:lineRule="auto"/>
        <w:ind w:firstLine="560" w:firstLineChars="200"/>
        <w:rPr>
          <w:rFonts w:hint="default"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3）合同内容：由实施机构与选定的特许经营者先行签署初步协议，约定其在规定期限内成立项目公司并完成出资、提供融资支持等义务、实施机构与项目公司签订特许经营协议等事项。初步协议条款应包括特许经营者的主体资格及主要权利和义务，其中，主要权利包括，设立项目公司的权利，按相关法律法规和项目公司股东协议约定拥有项目公司的股东权利；主要义务包括，按与实施机构约定的时间、地点、形式等条件注册成立项目公司并与项目公司签订特许经营协议，按项目公司股东协议约定履行相应股东义务，遵守股权转让限制等约定，以恰当方式监督指导项目公司全面履行特许经营协议，按特许经营协议和相关协议约定为项目公司提供融资支持，为保障项目公司具备足够的特许经营协议履约能力而提供必要的人力、技术、经验等资源支持，以及根据适用法律和相关约定承担相应的民事补充责任等。</w:t>
      </w:r>
    </w:p>
    <w:p w14:paraId="78D4DDDA">
      <w:pPr>
        <w:spacing w:line="360" w:lineRule="auto"/>
        <w:ind w:firstLine="562" w:firstLineChars="200"/>
        <w:rPr>
          <w:rFonts w:hint="eastAsia" w:ascii="Times New Roman" w:hAnsi="Times New Roman" w:eastAsia="楷体" w:cs="Times New Roman"/>
          <w:b/>
          <w:bCs/>
          <w:color w:val="auto"/>
          <w:sz w:val="28"/>
          <w:szCs w:val="28"/>
          <w:highlight w:val="none"/>
          <w:lang w:val="en-US" w:eastAsia="zh-CN"/>
        </w:rPr>
      </w:pPr>
      <w:r>
        <w:rPr>
          <w:rFonts w:hint="eastAsia" w:ascii="Times New Roman" w:hAnsi="Times New Roman" w:eastAsia="楷体" w:cs="Times New Roman"/>
          <w:b/>
          <w:bCs/>
          <w:color w:val="auto"/>
          <w:sz w:val="28"/>
          <w:szCs w:val="28"/>
          <w:highlight w:val="none"/>
          <w:lang w:eastAsia="zh-CN"/>
        </w:rPr>
        <w:t>（</w:t>
      </w:r>
      <w:r>
        <w:rPr>
          <w:rFonts w:hint="eastAsia" w:ascii="Times New Roman" w:hAnsi="Times New Roman" w:eastAsia="楷体" w:cs="Times New Roman"/>
          <w:b/>
          <w:bCs/>
          <w:color w:val="auto"/>
          <w:sz w:val="28"/>
          <w:szCs w:val="28"/>
          <w:highlight w:val="none"/>
          <w:lang w:val="en-US" w:eastAsia="zh-CN"/>
        </w:rPr>
        <w:t>2</w:t>
      </w:r>
      <w:r>
        <w:rPr>
          <w:rFonts w:hint="eastAsia" w:ascii="Times New Roman" w:hAnsi="Times New Roman" w:eastAsia="楷体" w:cs="Times New Roman"/>
          <w:b/>
          <w:bCs/>
          <w:color w:val="auto"/>
          <w:sz w:val="28"/>
          <w:szCs w:val="28"/>
          <w:highlight w:val="none"/>
          <w:lang w:eastAsia="zh-CN"/>
        </w:rPr>
        <w:t>）</w:t>
      </w:r>
      <w:r>
        <w:rPr>
          <w:rFonts w:hint="eastAsia" w:ascii="Times New Roman" w:hAnsi="Times New Roman" w:eastAsia="楷体" w:cs="Times New Roman"/>
          <w:b/>
          <w:bCs/>
          <w:color w:val="auto"/>
          <w:sz w:val="28"/>
          <w:szCs w:val="28"/>
          <w:highlight w:val="none"/>
          <w:lang w:val="en-US" w:eastAsia="zh-CN"/>
        </w:rPr>
        <w:t>特许经营协议</w:t>
      </w:r>
    </w:p>
    <w:p w14:paraId="777F89A8">
      <w:pPr>
        <w:spacing w:line="360" w:lineRule="auto"/>
        <w:ind w:firstLine="560" w:firstLineChars="200"/>
        <w:rPr>
          <w:rFonts w:hint="default" w:ascii="Times New Roman" w:hAnsi="Times New Roman" w:eastAsia="楷体" w:cs="Times New Roman"/>
          <w:b w:val="0"/>
          <w:bCs w:val="0"/>
          <w:color w:val="auto"/>
          <w:sz w:val="28"/>
          <w:szCs w:val="28"/>
          <w:highlight w:val="none"/>
          <w:lang w:val="en-US" w:eastAsia="zh-CN"/>
        </w:rPr>
      </w:pPr>
      <w:r>
        <w:rPr>
          <w:rFonts w:hint="eastAsia" w:ascii="Times New Roman" w:hAnsi="Times New Roman" w:eastAsia="楷体" w:cs="Times New Roman"/>
          <w:b w:val="0"/>
          <w:bCs w:val="0"/>
          <w:color w:val="auto"/>
          <w:sz w:val="28"/>
          <w:szCs w:val="28"/>
          <w:highlight w:val="none"/>
          <w:lang w:val="en-US" w:eastAsia="zh-CN"/>
        </w:rPr>
        <w:t>1）签约时间：项目公司成立之日起10日内；</w:t>
      </w:r>
    </w:p>
    <w:p w14:paraId="35568043">
      <w:pPr>
        <w:spacing w:line="360" w:lineRule="auto"/>
        <w:ind w:firstLine="560" w:firstLineChars="200"/>
        <w:rPr>
          <w:rFonts w:hint="default" w:ascii="Times New Roman" w:hAnsi="Times New Roman" w:eastAsia="楷体" w:cs="Times New Roman"/>
          <w:b w:val="0"/>
          <w:bCs w:val="0"/>
          <w:color w:val="auto"/>
          <w:sz w:val="28"/>
          <w:szCs w:val="28"/>
          <w:highlight w:val="none"/>
          <w:lang w:val="en-US" w:eastAsia="zh-CN"/>
        </w:rPr>
      </w:pPr>
      <w:r>
        <w:rPr>
          <w:rFonts w:hint="eastAsia" w:ascii="Times New Roman" w:hAnsi="Times New Roman" w:eastAsia="楷体" w:cs="Times New Roman"/>
          <w:b w:val="0"/>
          <w:bCs w:val="0"/>
          <w:color w:val="auto"/>
          <w:sz w:val="28"/>
          <w:szCs w:val="28"/>
          <w:highlight w:val="none"/>
          <w:lang w:val="en-US" w:eastAsia="zh-CN"/>
        </w:rPr>
        <w:t>2）签约主体：实施机构与项目公司；</w:t>
      </w:r>
    </w:p>
    <w:p w14:paraId="43CCC655">
      <w:pPr>
        <w:spacing w:line="360" w:lineRule="auto"/>
        <w:ind w:firstLine="560" w:firstLineChars="20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3）合同说明：特许经营协议是本项目整个合同体系的基础和核心，政府方与</w:t>
      </w:r>
      <w:r>
        <w:rPr>
          <w:rFonts w:hint="eastAsia" w:ascii="Times New Roman" w:hAnsi="Times New Roman" w:eastAsia="楷体" w:cs="Times New Roman"/>
          <w:color w:val="auto"/>
          <w:sz w:val="28"/>
          <w:szCs w:val="28"/>
          <w:highlight w:val="none"/>
        </w:rPr>
        <w:t>项目公司</w:t>
      </w:r>
      <w:r>
        <w:rPr>
          <w:rFonts w:ascii="Times New Roman" w:hAnsi="Times New Roman" w:eastAsia="楷体" w:cs="Times New Roman"/>
          <w:color w:val="auto"/>
          <w:sz w:val="28"/>
          <w:szCs w:val="28"/>
          <w:highlight w:val="none"/>
        </w:rPr>
        <w:t>的权利义务关系以及项目的交易结构、风险分配机制等均通过特许经营协议确定，并以此作为各方主张权利、履行义务的依据和项目全生命周期顺利实施的保障。</w:t>
      </w:r>
    </w:p>
    <w:p w14:paraId="49D5DA5B">
      <w:pPr>
        <w:spacing w:line="360" w:lineRule="auto"/>
        <w:ind w:firstLine="560" w:firstLineChars="20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4）合同主要内容：项目名称、内容；特许经营方式、区域、范围和期限；</w:t>
      </w:r>
      <w:r>
        <w:rPr>
          <w:rFonts w:hint="eastAsia" w:ascii="Times New Roman" w:hAnsi="Times New Roman" w:eastAsia="楷体" w:cs="Times New Roman"/>
          <w:color w:val="auto"/>
          <w:sz w:val="28"/>
          <w:szCs w:val="28"/>
          <w:highlight w:val="none"/>
        </w:rPr>
        <w:t>授予项目特许经营、排他承诺、风险分担机制、监督管理、公共利益保障、验收移交等事项</w:t>
      </w:r>
      <w:r>
        <w:rPr>
          <w:rFonts w:ascii="Times New Roman" w:hAnsi="Times New Roman" w:eastAsia="楷体" w:cs="Times New Roman"/>
          <w:color w:val="auto"/>
          <w:sz w:val="28"/>
          <w:szCs w:val="28"/>
          <w:highlight w:val="none"/>
        </w:rPr>
        <w:t>；所提供产品或者服务的数量、质量和标准；设施权属，以及相应的维护和更新改造；特许经营期限和方式；收益取得方式，价格和收费标准的确定方法以及调整程序；履约担保；特许经营期内的风险分担；政府承诺和保障；应急预案和临时接管预案；特许经营期限届满后，项目及资产移交方式、程序和要求等；变更、提前终止及补偿；违约责任；争议解决方式；需要明确的其他事项。</w:t>
      </w:r>
    </w:p>
    <w:p w14:paraId="43C6E338">
      <w:pPr>
        <w:spacing w:line="360" w:lineRule="auto"/>
        <w:ind w:firstLine="562" w:firstLineChars="200"/>
        <w:rPr>
          <w:rFonts w:hint="eastAsia" w:ascii="Times New Roman" w:hAnsi="Times New Roman" w:eastAsia="楷体" w:cs="Times New Roman"/>
          <w:b/>
          <w:bCs/>
          <w:color w:val="auto"/>
          <w:sz w:val="28"/>
          <w:szCs w:val="28"/>
          <w:highlight w:val="none"/>
        </w:rPr>
      </w:pPr>
      <w:r>
        <w:rPr>
          <w:rFonts w:hint="eastAsia" w:ascii="Times New Roman" w:hAnsi="Times New Roman" w:eastAsia="楷体" w:cs="Times New Roman"/>
          <w:b/>
          <w:bCs/>
          <w:color w:val="auto"/>
          <w:sz w:val="28"/>
          <w:szCs w:val="28"/>
          <w:highlight w:val="none"/>
        </w:rPr>
        <w:t>（</w:t>
      </w:r>
      <w:r>
        <w:rPr>
          <w:rFonts w:ascii="Times New Roman" w:hAnsi="Times New Roman" w:eastAsia="楷体" w:cs="Times New Roman"/>
          <w:b/>
          <w:bCs/>
          <w:color w:val="auto"/>
          <w:sz w:val="28"/>
          <w:szCs w:val="28"/>
          <w:highlight w:val="none"/>
        </w:rPr>
        <w:t>3）</w:t>
      </w:r>
      <w:r>
        <w:rPr>
          <w:rFonts w:hint="eastAsia" w:ascii="Times New Roman" w:hAnsi="Times New Roman" w:eastAsia="楷体" w:cs="Times New Roman"/>
          <w:b/>
          <w:bCs/>
          <w:color w:val="auto"/>
          <w:sz w:val="28"/>
          <w:szCs w:val="28"/>
          <w:highlight w:val="none"/>
        </w:rPr>
        <w:t>污水处理服务协议</w:t>
      </w:r>
    </w:p>
    <w:p w14:paraId="7ABDB147">
      <w:pPr>
        <w:spacing w:line="360" w:lineRule="auto"/>
        <w:ind w:firstLine="560" w:firstLineChars="200"/>
        <w:rPr>
          <w:rFonts w:ascii="Times New Roman" w:hAnsi="Times New Roman" w:eastAsia="楷体" w:cs="Times New Roman"/>
          <w:b w:val="0"/>
          <w:bCs w:val="0"/>
          <w:color w:val="auto"/>
          <w:sz w:val="28"/>
          <w:szCs w:val="28"/>
          <w:highlight w:val="none"/>
        </w:rPr>
      </w:pPr>
      <w:r>
        <w:rPr>
          <w:rFonts w:hint="default" w:ascii="Times New Roman" w:hAnsi="Times New Roman" w:eastAsia="楷体" w:cs="Times New Roman"/>
          <w:b w:val="0"/>
          <w:bCs w:val="0"/>
          <w:color w:val="auto"/>
          <w:sz w:val="28"/>
          <w:szCs w:val="28"/>
          <w:highlight w:val="none"/>
        </w:rPr>
        <w:t>污水处理服务协议由</w:t>
      </w:r>
      <w:r>
        <w:rPr>
          <w:rFonts w:hint="default" w:ascii="Times New Roman" w:hAnsi="Times New Roman" w:eastAsia="楷体" w:cs="Times New Roman"/>
          <w:b w:val="0"/>
          <w:bCs w:val="0"/>
          <w:color w:val="auto"/>
          <w:sz w:val="28"/>
          <w:szCs w:val="28"/>
          <w:highlight w:val="none"/>
          <w:lang w:val="en-US" w:eastAsia="zh-CN"/>
        </w:rPr>
        <w:t>实施机构</w:t>
      </w:r>
      <w:r>
        <w:rPr>
          <w:rFonts w:hint="default" w:ascii="Times New Roman" w:hAnsi="Times New Roman" w:eastAsia="楷体" w:cs="Times New Roman"/>
          <w:b w:val="0"/>
          <w:bCs w:val="0"/>
          <w:color w:val="auto"/>
          <w:sz w:val="28"/>
          <w:szCs w:val="28"/>
          <w:highlight w:val="none"/>
        </w:rPr>
        <w:t>与</w:t>
      </w:r>
      <w:r>
        <w:rPr>
          <w:rFonts w:hint="eastAsia" w:ascii="Times New Roman" w:hAnsi="Times New Roman" w:eastAsia="楷体" w:cs="Times New Roman"/>
          <w:b w:val="0"/>
          <w:bCs w:val="0"/>
          <w:color w:val="auto"/>
          <w:sz w:val="28"/>
          <w:szCs w:val="28"/>
          <w:highlight w:val="none"/>
          <w:lang w:val="en-US" w:eastAsia="zh-CN"/>
        </w:rPr>
        <w:t>特许经营者或其组建的</w:t>
      </w:r>
      <w:r>
        <w:rPr>
          <w:rFonts w:hint="default" w:ascii="Times New Roman" w:hAnsi="Times New Roman" w:eastAsia="楷体" w:cs="Times New Roman"/>
          <w:b w:val="0"/>
          <w:bCs w:val="0"/>
          <w:color w:val="auto"/>
          <w:sz w:val="28"/>
          <w:szCs w:val="28"/>
          <w:highlight w:val="none"/>
        </w:rPr>
        <w:t>项目公司签署。核心内容主要包括：污水处理的进出水水质标准；污水处理的出水水质标准与考核；污水计量及水量；污水处理服务单价及调整；污水处理服务费的计算和支付；污水处理服务暂停情形等。</w:t>
      </w:r>
    </w:p>
    <w:p w14:paraId="2EF6CD60">
      <w:pPr>
        <w:spacing w:line="360" w:lineRule="auto"/>
        <w:ind w:firstLine="562" w:firstLineChars="200"/>
        <w:rPr>
          <w:rFonts w:hint="eastAsia" w:ascii="Times New Roman" w:hAnsi="Times New Roman" w:eastAsia="楷体" w:cs="Times New Roman"/>
          <w:b/>
          <w:bCs/>
          <w:color w:val="auto"/>
          <w:sz w:val="28"/>
          <w:szCs w:val="28"/>
          <w:highlight w:val="none"/>
        </w:rPr>
      </w:pPr>
      <w:r>
        <w:rPr>
          <w:rFonts w:hint="eastAsia" w:ascii="Times New Roman" w:hAnsi="Times New Roman" w:eastAsia="楷体" w:cs="Times New Roman"/>
          <w:b/>
          <w:bCs/>
          <w:color w:val="auto"/>
          <w:sz w:val="28"/>
          <w:szCs w:val="28"/>
          <w:highlight w:val="none"/>
          <w:lang w:eastAsia="zh-CN"/>
        </w:rPr>
        <w:t>（</w:t>
      </w:r>
      <w:r>
        <w:rPr>
          <w:rFonts w:hint="eastAsia" w:ascii="Times New Roman" w:hAnsi="Times New Roman" w:eastAsia="楷体" w:cs="Times New Roman"/>
          <w:b/>
          <w:bCs/>
          <w:color w:val="auto"/>
          <w:sz w:val="28"/>
          <w:szCs w:val="28"/>
          <w:highlight w:val="none"/>
          <w:lang w:val="en-US" w:eastAsia="zh-CN"/>
        </w:rPr>
        <w:t>4</w:t>
      </w:r>
      <w:r>
        <w:rPr>
          <w:rFonts w:hint="eastAsia" w:ascii="Times New Roman" w:hAnsi="Times New Roman" w:eastAsia="楷体" w:cs="Times New Roman"/>
          <w:b/>
          <w:bCs/>
          <w:color w:val="auto"/>
          <w:sz w:val="28"/>
          <w:szCs w:val="28"/>
          <w:highlight w:val="none"/>
          <w:lang w:eastAsia="zh-CN"/>
        </w:rPr>
        <w:t>）</w:t>
      </w:r>
      <w:r>
        <w:rPr>
          <w:rFonts w:hint="eastAsia" w:ascii="Times New Roman" w:hAnsi="Times New Roman" w:eastAsia="楷体" w:cs="Times New Roman"/>
          <w:b/>
          <w:bCs/>
          <w:color w:val="auto"/>
          <w:sz w:val="28"/>
          <w:szCs w:val="28"/>
          <w:highlight w:val="none"/>
        </w:rPr>
        <w:t>融资合同</w:t>
      </w:r>
    </w:p>
    <w:p w14:paraId="7F84BD0A">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融资合同主要指为保证特许经营项目的融资需要而签订的一系列合作协议，融资合同包括中标特许经营者</w:t>
      </w:r>
      <w:r>
        <w:rPr>
          <w:rFonts w:hint="eastAsia" w:ascii="Times New Roman" w:hAnsi="Times New Roman" w:eastAsia="楷体" w:cs="Times New Roman"/>
          <w:color w:val="auto"/>
          <w:sz w:val="28"/>
          <w:szCs w:val="28"/>
          <w:highlight w:val="none"/>
          <w:lang w:val="en-US" w:eastAsia="zh-CN"/>
        </w:rPr>
        <w:t>或其组建的项目公司</w:t>
      </w:r>
      <w:r>
        <w:rPr>
          <w:rFonts w:hint="eastAsia" w:ascii="Times New Roman" w:hAnsi="Times New Roman" w:eastAsia="楷体" w:cs="Times New Roman"/>
          <w:color w:val="auto"/>
          <w:sz w:val="28"/>
          <w:szCs w:val="28"/>
          <w:highlight w:val="none"/>
        </w:rPr>
        <w:t>与融资方签订的项目贷款合同、担保人就项目贷款与融资方签订的担保合同、政府方与融资方和</w:t>
      </w:r>
      <w:r>
        <w:rPr>
          <w:rFonts w:hint="eastAsia" w:ascii="Times New Roman" w:hAnsi="Times New Roman" w:eastAsia="楷体" w:cs="Times New Roman"/>
          <w:color w:val="auto"/>
          <w:sz w:val="28"/>
          <w:szCs w:val="28"/>
          <w:highlight w:val="none"/>
          <w:lang w:val="en-US" w:eastAsia="zh-CN"/>
        </w:rPr>
        <w:t>特许经营者</w:t>
      </w:r>
      <w:r>
        <w:rPr>
          <w:rFonts w:hint="eastAsia" w:ascii="Times New Roman" w:hAnsi="Times New Roman" w:eastAsia="楷体" w:cs="Times New Roman"/>
          <w:color w:val="auto"/>
          <w:sz w:val="28"/>
          <w:szCs w:val="28"/>
          <w:highlight w:val="none"/>
        </w:rPr>
        <w:t>签订的直接介入协议等。其中，项目贷款合同是主要的融资合同。项目贷款合同一般包括以下条款：陈述与保证、前提条件、贷款期限、贷款利息、担保方式、违约责任、适用法律与争议处理等。</w:t>
      </w:r>
    </w:p>
    <w:p w14:paraId="3E483CF6">
      <w:pPr>
        <w:spacing w:line="360" w:lineRule="auto"/>
        <w:ind w:firstLine="562" w:firstLineChars="200"/>
        <w:rPr>
          <w:rFonts w:hint="eastAsia" w:ascii="Times New Roman" w:hAnsi="Times New Roman" w:eastAsia="楷体" w:cs="Times New Roman"/>
          <w:b/>
          <w:bCs/>
          <w:color w:val="auto"/>
          <w:sz w:val="28"/>
          <w:szCs w:val="28"/>
          <w:highlight w:val="none"/>
        </w:rPr>
      </w:pPr>
      <w:r>
        <w:rPr>
          <w:rFonts w:hint="eastAsia" w:ascii="Times New Roman" w:hAnsi="Times New Roman" w:eastAsia="楷体" w:cs="Times New Roman"/>
          <w:b/>
          <w:bCs/>
          <w:color w:val="auto"/>
          <w:sz w:val="28"/>
          <w:szCs w:val="28"/>
          <w:highlight w:val="none"/>
          <w:lang w:eastAsia="zh-CN"/>
        </w:rPr>
        <w:t>（</w:t>
      </w:r>
      <w:r>
        <w:rPr>
          <w:rFonts w:hint="eastAsia" w:ascii="Times New Roman" w:hAnsi="Times New Roman" w:eastAsia="楷体" w:cs="Times New Roman"/>
          <w:b/>
          <w:bCs/>
          <w:color w:val="auto"/>
          <w:sz w:val="28"/>
          <w:szCs w:val="28"/>
          <w:highlight w:val="none"/>
          <w:lang w:val="en-US" w:eastAsia="zh-CN"/>
        </w:rPr>
        <w:t>5</w:t>
      </w:r>
      <w:r>
        <w:rPr>
          <w:rFonts w:hint="eastAsia" w:ascii="Times New Roman" w:hAnsi="Times New Roman" w:eastAsia="楷体" w:cs="Times New Roman"/>
          <w:b/>
          <w:bCs/>
          <w:color w:val="auto"/>
          <w:sz w:val="28"/>
          <w:szCs w:val="28"/>
          <w:highlight w:val="none"/>
          <w:lang w:eastAsia="zh-CN"/>
        </w:rPr>
        <w:t>）</w:t>
      </w:r>
      <w:r>
        <w:rPr>
          <w:rFonts w:hint="eastAsia" w:ascii="Times New Roman" w:hAnsi="Times New Roman" w:eastAsia="楷体" w:cs="Times New Roman"/>
          <w:b/>
          <w:bCs/>
          <w:color w:val="auto"/>
          <w:sz w:val="28"/>
          <w:szCs w:val="28"/>
          <w:highlight w:val="none"/>
        </w:rPr>
        <w:t>保险合同</w:t>
      </w:r>
    </w:p>
    <w:p w14:paraId="0014EB83">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本项目需建设资金规模大、合作周期长，负责项目实施的</w:t>
      </w:r>
      <w:r>
        <w:rPr>
          <w:rFonts w:hint="eastAsia" w:ascii="Times New Roman" w:hAnsi="Times New Roman" w:eastAsia="楷体" w:cs="Times New Roman"/>
          <w:color w:val="auto"/>
          <w:sz w:val="28"/>
          <w:szCs w:val="28"/>
          <w:highlight w:val="none"/>
          <w:lang w:eastAsia="zh-CN"/>
        </w:rPr>
        <w:t>特许经营者或其组建的</w:t>
      </w:r>
      <w:r>
        <w:rPr>
          <w:rFonts w:hint="eastAsia" w:ascii="Times New Roman" w:hAnsi="Times New Roman" w:eastAsia="楷体" w:cs="Times New Roman"/>
          <w:color w:val="auto"/>
          <w:sz w:val="28"/>
          <w:szCs w:val="28"/>
          <w:highlight w:val="none"/>
        </w:rPr>
        <w:t>项目公司及其他相关参与方通常需要对运营</w:t>
      </w:r>
      <w:r>
        <w:rPr>
          <w:rFonts w:hint="eastAsia" w:ascii="Times New Roman" w:hAnsi="Times New Roman" w:eastAsia="楷体" w:cs="Times New Roman"/>
          <w:color w:val="auto"/>
          <w:sz w:val="28"/>
          <w:szCs w:val="28"/>
          <w:highlight w:val="none"/>
          <w:lang w:eastAsia="zh-CN"/>
        </w:rPr>
        <w:t>、</w:t>
      </w:r>
      <w:r>
        <w:rPr>
          <w:rFonts w:hint="eastAsia" w:ascii="Times New Roman" w:hAnsi="Times New Roman" w:eastAsia="楷体" w:cs="Times New Roman"/>
          <w:color w:val="auto"/>
          <w:sz w:val="28"/>
          <w:szCs w:val="28"/>
          <w:highlight w:val="none"/>
          <w:lang w:val="en-US" w:eastAsia="zh-CN"/>
        </w:rPr>
        <w:t>移交</w:t>
      </w:r>
      <w:r>
        <w:rPr>
          <w:rFonts w:hint="eastAsia" w:ascii="Times New Roman" w:hAnsi="Times New Roman" w:eastAsia="楷体" w:cs="Times New Roman"/>
          <w:color w:val="auto"/>
          <w:sz w:val="28"/>
          <w:szCs w:val="28"/>
          <w:highlight w:val="none"/>
        </w:rPr>
        <w:t>等不同阶段的不同类型的风险分别进行投保。涉及的保险种类包括建筑安装工程一切险、财产一切险、第三者责任险等。</w:t>
      </w:r>
    </w:p>
    <w:p w14:paraId="6858FEA5">
      <w:pPr>
        <w:spacing w:line="360" w:lineRule="auto"/>
        <w:ind w:firstLine="562" w:firstLineChars="200"/>
        <w:rPr>
          <w:rFonts w:ascii="Times New Roman" w:hAnsi="Times New Roman" w:eastAsia="楷体" w:cs="Times New Roman"/>
          <w:b/>
          <w:bCs/>
          <w:color w:val="auto"/>
          <w:sz w:val="28"/>
          <w:szCs w:val="28"/>
          <w:highlight w:val="none"/>
        </w:rPr>
      </w:pPr>
      <w:r>
        <w:rPr>
          <w:rFonts w:hint="eastAsia" w:ascii="Times New Roman" w:hAnsi="Times New Roman" w:eastAsia="楷体" w:cs="Times New Roman"/>
          <w:b/>
          <w:bCs/>
          <w:color w:val="auto"/>
          <w:sz w:val="28"/>
          <w:szCs w:val="28"/>
          <w:highlight w:val="none"/>
          <w:lang w:eastAsia="zh-CN"/>
        </w:rPr>
        <w:t>（</w:t>
      </w:r>
      <w:r>
        <w:rPr>
          <w:rFonts w:hint="eastAsia" w:ascii="Times New Roman" w:hAnsi="Times New Roman" w:eastAsia="楷体" w:cs="Times New Roman"/>
          <w:b/>
          <w:bCs/>
          <w:color w:val="auto"/>
          <w:sz w:val="28"/>
          <w:szCs w:val="28"/>
          <w:highlight w:val="none"/>
          <w:lang w:val="en-US" w:eastAsia="zh-CN"/>
        </w:rPr>
        <w:t>6</w:t>
      </w:r>
      <w:r>
        <w:rPr>
          <w:rFonts w:hint="eastAsia" w:ascii="Times New Roman" w:hAnsi="Times New Roman" w:eastAsia="楷体" w:cs="Times New Roman"/>
          <w:b/>
          <w:bCs/>
          <w:color w:val="auto"/>
          <w:sz w:val="28"/>
          <w:szCs w:val="28"/>
          <w:highlight w:val="none"/>
          <w:lang w:eastAsia="zh-CN"/>
        </w:rPr>
        <w:t>）</w:t>
      </w:r>
      <w:r>
        <w:rPr>
          <w:rFonts w:ascii="Times New Roman" w:hAnsi="Times New Roman" w:eastAsia="楷体" w:cs="Times New Roman"/>
          <w:b/>
          <w:bCs/>
          <w:color w:val="auto"/>
          <w:sz w:val="28"/>
          <w:szCs w:val="28"/>
          <w:highlight w:val="none"/>
        </w:rPr>
        <w:t>其他合同</w:t>
      </w:r>
    </w:p>
    <w:p w14:paraId="1D21F7D2">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lang w:val="en-US" w:eastAsia="zh-CN"/>
        </w:rPr>
        <w:t>特许经营者或其组建的</w:t>
      </w:r>
      <w:r>
        <w:rPr>
          <w:rFonts w:hint="eastAsia" w:ascii="Times New Roman" w:hAnsi="Times New Roman" w:eastAsia="楷体" w:cs="Times New Roman"/>
          <w:color w:val="auto"/>
          <w:sz w:val="28"/>
          <w:szCs w:val="28"/>
          <w:highlight w:val="none"/>
        </w:rPr>
        <w:t>项目公司与</w:t>
      </w:r>
      <w:r>
        <w:rPr>
          <w:rFonts w:hint="eastAsia" w:ascii="Times New Roman" w:hAnsi="Times New Roman" w:eastAsia="楷体" w:cs="Times New Roman"/>
          <w:color w:val="auto"/>
          <w:sz w:val="28"/>
          <w:szCs w:val="28"/>
          <w:highlight w:val="none"/>
          <w:lang w:val="en-US" w:eastAsia="zh-CN"/>
        </w:rPr>
        <w:t>供应商签署的药剂采购合同、与</w:t>
      </w:r>
      <w:r>
        <w:rPr>
          <w:rFonts w:hint="eastAsia" w:ascii="Times New Roman" w:hAnsi="Times New Roman" w:eastAsia="楷体" w:cs="Times New Roman"/>
          <w:color w:val="auto"/>
          <w:sz w:val="28"/>
          <w:szCs w:val="28"/>
          <w:highlight w:val="none"/>
        </w:rPr>
        <w:t>专业</w:t>
      </w:r>
      <w:r>
        <w:rPr>
          <w:rFonts w:hint="eastAsia" w:ascii="Times New Roman" w:hAnsi="Times New Roman" w:eastAsia="楷体" w:cs="Times New Roman"/>
          <w:color w:val="auto"/>
          <w:sz w:val="28"/>
          <w:szCs w:val="28"/>
          <w:highlight w:val="none"/>
          <w:lang w:val="en-US" w:eastAsia="zh-CN"/>
        </w:rPr>
        <w:t>服务</w:t>
      </w:r>
      <w:r>
        <w:rPr>
          <w:rFonts w:hint="eastAsia" w:ascii="Times New Roman" w:hAnsi="Times New Roman" w:eastAsia="楷体" w:cs="Times New Roman"/>
          <w:color w:val="auto"/>
          <w:sz w:val="28"/>
          <w:szCs w:val="28"/>
          <w:highlight w:val="none"/>
        </w:rPr>
        <w:t>机构签署的第三方检测</w:t>
      </w:r>
      <w:r>
        <w:rPr>
          <w:rFonts w:hint="eastAsia" w:ascii="Times New Roman" w:hAnsi="Times New Roman" w:eastAsia="楷体" w:cs="Times New Roman"/>
          <w:color w:val="auto"/>
          <w:sz w:val="28"/>
          <w:szCs w:val="28"/>
          <w:highlight w:val="none"/>
          <w:lang w:eastAsia="zh-CN"/>
        </w:rPr>
        <w:t>、</w:t>
      </w:r>
      <w:r>
        <w:rPr>
          <w:rFonts w:hint="eastAsia" w:ascii="Times New Roman" w:hAnsi="Times New Roman" w:eastAsia="楷体" w:cs="Times New Roman"/>
          <w:color w:val="auto"/>
          <w:sz w:val="28"/>
          <w:szCs w:val="28"/>
          <w:highlight w:val="none"/>
          <w:lang w:val="en-US" w:eastAsia="zh-CN"/>
        </w:rPr>
        <w:t>监测</w:t>
      </w:r>
      <w:r>
        <w:rPr>
          <w:rFonts w:hint="eastAsia" w:ascii="Times New Roman" w:hAnsi="Times New Roman" w:eastAsia="楷体" w:cs="Times New Roman"/>
          <w:color w:val="auto"/>
          <w:sz w:val="28"/>
          <w:szCs w:val="28"/>
          <w:highlight w:val="none"/>
        </w:rPr>
        <w:t>等方面的服务合同。</w:t>
      </w:r>
    </w:p>
    <w:p w14:paraId="5F18BDCE">
      <w:pPr>
        <w:pStyle w:val="5"/>
        <w:widowControl w:val="0"/>
        <w:shd w:val="clear" w:color="auto" w:fill="FFFFFF"/>
        <w:spacing w:before="20" w:beforeAutospacing="0" w:after="20" w:afterAutospacing="0" w:line="360" w:lineRule="auto"/>
        <w:ind w:firstLine="602" w:firstLineChars="200"/>
        <w:jc w:val="both"/>
        <w:rPr>
          <w:rFonts w:hint="eastAsia" w:ascii="Times New Roman" w:hAnsi="Times New Roman" w:eastAsia="楷体" w:cs="Times New Roman"/>
          <w:color w:val="auto"/>
          <w:sz w:val="30"/>
          <w:szCs w:val="30"/>
          <w:highlight w:val="none"/>
          <w:lang w:val="en-US" w:eastAsia="zh-CN"/>
        </w:rPr>
      </w:pPr>
      <w:r>
        <w:rPr>
          <w:rFonts w:hint="eastAsia" w:ascii="Times New Roman" w:hAnsi="Times New Roman" w:eastAsia="楷体" w:cs="Times New Roman"/>
          <w:color w:val="auto"/>
          <w:sz w:val="30"/>
          <w:szCs w:val="30"/>
          <w:highlight w:val="none"/>
          <w:lang w:val="en-US" w:eastAsia="zh-CN"/>
        </w:rPr>
        <w:t>4、资产形成与移交</w:t>
      </w:r>
    </w:p>
    <w:p w14:paraId="23A3EB1F">
      <w:pPr>
        <w:widowControl/>
        <w:shd w:val="clear" w:color="auto" w:fill="FFFFFF"/>
        <w:spacing w:beforeAutospacing="0" w:afterAutospacing="0" w:line="360" w:lineRule="auto"/>
        <w:ind w:firstLine="560" w:firstLineChars="200"/>
        <w:jc w:val="both"/>
        <w:rPr>
          <w:rFonts w:hint="eastAsia"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本项目为存量污水处理厂TOT（转让-运营-移交）特许经营项目，项目资产均为政府方已建成并通过竣工验收，本项目无新建工程内容。项目资产整体归属于项目特许经营（使用、运营、收益的权益）范畴，是项目投融资、运营维护、履约移交的核心载体，资产形成遵循国有资产管理、特许经营管理相关法律法规及特许经营协议约定，权属清晰、用途明确，专项用于本区域污水处理达标处置、水环境治理保障工作。</w:t>
      </w:r>
    </w:p>
    <w:p w14:paraId="56814466">
      <w:pPr>
        <w:widowControl/>
        <w:shd w:val="clear" w:color="auto" w:fill="FFFFFF"/>
        <w:spacing w:beforeAutospacing="0" w:afterAutospacing="0" w:line="360" w:lineRule="auto"/>
        <w:ind w:firstLine="560" w:firstLineChars="200"/>
        <w:jc w:val="both"/>
        <w:rPr>
          <w:rFonts w:hint="default"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本项目拟转让特许经营权，不涉及资产所有权的移交，在特许经营者中标、项目公司成立、转让价款足额缴纳后启动，严格按照“完整移交、权责清晰、平稳过渡、无缝衔接”原则实施，完成资产使用权、运营管理权、特许经营权的整体转移，资产所有权仍归政府方所有。</w:t>
      </w:r>
    </w:p>
    <w:p w14:paraId="3F80EFC4">
      <w:pPr>
        <w:widowControl/>
        <w:shd w:val="clear" w:color="auto" w:fill="FFFFFF"/>
        <w:spacing w:beforeAutospacing="0" w:afterAutospacing="0" w:line="360" w:lineRule="auto"/>
        <w:ind w:firstLine="560" w:firstLineChars="200"/>
        <w:jc w:val="both"/>
        <w:rPr>
          <w:rFonts w:hint="eastAsia"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特许经营期内，</w:t>
      </w:r>
      <w:r>
        <w:rPr>
          <w:rFonts w:hint="eastAsia" w:ascii="Times New Roman" w:hAnsi="Times New Roman" w:eastAsia="楷体" w:cs="Times New Roman"/>
          <w:color w:val="auto"/>
          <w:sz w:val="28"/>
          <w:szCs w:val="28"/>
          <w:highlight w:val="none"/>
          <w:lang w:val="en-US" w:eastAsia="zh-CN"/>
        </w:rPr>
        <w:t>特许经营者或其组建的</w:t>
      </w:r>
      <w:r>
        <w:rPr>
          <w:rFonts w:hint="eastAsia" w:ascii="Times New Roman" w:hAnsi="Times New Roman" w:eastAsia="楷体" w:cs="Times New Roman"/>
          <w:color w:val="auto"/>
          <w:sz w:val="28"/>
          <w:szCs w:val="28"/>
          <w:highlight w:val="none"/>
        </w:rPr>
        <w:t>项目公司为项目资产管护第一责任主体，需建立完善的资产管理制度，对原有存量资产进行常态化养护、维修、更新，同时合规完成项目新增资产、</w:t>
      </w:r>
      <w:r>
        <w:rPr>
          <w:rFonts w:hint="eastAsia" w:ascii="Times New Roman" w:hAnsi="Times New Roman" w:eastAsia="楷体" w:cs="Times New Roman"/>
          <w:color w:val="auto"/>
          <w:sz w:val="28"/>
          <w:szCs w:val="28"/>
          <w:highlight w:val="none"/>
          <w:lang w:val="en-US" w:eastAsia="zh-CN"/>
        </w:rPr>
        <w:t>改造</w:t>
      </w:r>
      <w:r>
        <w:rPr>
          <w:rFonts w:hint="eastAsia" w:ascii="Times New Roman" w:hAnsi="Times New Roman" w:eastAsia="楷体" w:cs="Times New Roman"/>
          <w:color w:val="auto"/>
          <w:sz w:val="28"/>
          <w:szCs w:val="28"/>
          <w:highlight w:val="none"/>
        </w:rPr>
        <w:t>资产的动态形成与备案管理。</w:t>
      </w:r>
    </w:p>
    <w:p w14:paraId="588D9D28">
      <w:pPr>
        <w:widowControl/>
        <w:shd w:val="clear" w:color="auto" w:fill="FFFFFF"/>
        <w:spacing w:beforeAutospacing="0" w:afterAutospacing="0" w:line="360" w:lineRule="auto"/>
        <w:ind w:firstLineChars="200"/>
        <w:jc w:val="both"/>
        <w:rPr>
          <w:rFonts w:hint="eastAsia" w:ascii="Times New Roman" w:hAnsi="Times New Roman" w:eastAsia="楷体" w:cs="Times New Roman"/>
          <w:color w:val="auto"/>
          <w:sz w:val="28"/>
          <w:szCs w:val="28"/>
          <w:highlight w:val="none"/>
          <w:lang w:eastAsia="zh-CN"/>
        </w:rPr>
      </w:pPr>
      <w:r>
        <w:rPr>
          <w:rFonts w:hint="eastAsia" w:ascii="Times New Roman" w:hAnsi="Times New Roman" w:eastAsia="楷体" w:cs="Times New Roman"/>
          <w:color w:val="auto"/>
          <w:sz w:val="28"/>
          <w:szCs w:val="28"/>
          <w:highlight w:val="none"/>
        </w:rPr>
        <w:t>项目特许经营期限届满，</w:t>
      </w:r>
      <w:r>
        <w:rPr>
          <w:rFonts w:hint="eastAsia" w:ascii="Times New Roman" w:hAnsi="Times New Roman" w:eastAsia="楷体" w:cs="Times New Roman"/>
          <w:color w:val="auto"/>
          <w:sz w:val="28"/>
          <w:szCs w:val="28"/>
          <w:highlight w:val="none"/>
          <w:lang w:eastAsia="zh-CN"/>
        </w:rPr>
        <w:t>特许经营者或其组建的</w:t>
      </w:r>
      <w:r>
        <w:rPr>
          <w:rFonts w:hint="eastAsia" w:ascii="Times New Roman" w:hAnsi="Times New Roman" w:eastAsia="楷体" w:cs="Times New Roman"/>
          <w:color w:val="auto"/>
          <w:sz w:val="28"/>
          <w:szCs w:val="28"/>
          <w:highlight w:val="none"/>
        </w:rPr>
        <w:t>项目公司终止特许经营权限，需按照合同约定，将项目全部资产、权益、资料无偿、完好、无瑕疵移交给政府方或其指定接收机构</w:t>
      </w:r>
      <w:r>
        <w:rPr>
          <w:rFonts w:hint="eastAsia" w:ascii="Times New Roman" w:hAnsi="Times New Roman" w:eastAsia="楷体" w:cs="Times New Roman"/>
          <w:color w:val="auto"/>
          <w:sz w:val="28"/>
          <w:szCs w:val="28"/>
          <w:highlight w:val="none"/>
          <w:lang w:eastAsia="zh-CN"/>
        </w:rPr>
        <w:t>。</w:t>
      </w:r>
    </w:p>
    <w:bookmarkEnd w:id="611"/>
    <w:p w14:paraId="52CE142F">
      <w:pPr>
        <w:pStyle w:val="5"/>
        <w:numPr>
          <w:ilvl w:val="0"/>
          <w:numId w:val="0"/>
        </w:numPr>
        <w:spacing w:before="20" w:after="20" w:line="360" w:lineRule="auto"/>
        <w:ind w:firstLine="602" w:firstLineChars="200"/>
        <w:rPr>
          <w:rFonts w:hint="eastAsia" w:ascii="Times New Roman" w:hAnsi="Times New Roman" w:eastAsia="楷体" w:cs="Times New Roman"/>
          <w:color w:val="auto"/>
          <w:sz w:val="30"/>
          <w:szCs w:val="30"/>
          <w:highlight w:val="none"/>
          <w:lang w:val="en-US" w:eastAsia="zh-CN"/>
        </w:rPr>
      </w:pPr>
      <w:r>
        <w:rPr>
          <w:rFonts w:hint="eastAsia" w:ascii="Times New Roman" w:hAnsi="Times New Roman" w:eastAsia="楷体" w:cs="Times New Roman"/>
          <w:b/>
          <w:color w:val="auto"/>
          <w:kern w:val="2"/>
          <w:sz w:val="30"/>
          <w:szCs w:val="30"/>
          <w:highlight w:val="none"/>
          <w:lang w:val="en-US" w:eastAsia="zh-CN" w:bidi="ar-SA"/>
        </w:rPr>
        <w:t>5、</w:t>
      </w:r>
      <w:r>
        <w:rPr>
          <w:rFonts w:hint="eastAsia" w:ascii="Times New Roman" w:hAnsi="Times New Roman" w:eastAsia="楷体" w:cs="Times New Roman"/>
          <w:color w:val="auto"/>
          <w:sz w:val="30"/>
          <w:szCs w:val="30"/>
          <w:highlight w:val="none"/>
          <w:lang w:val="en-US" w:eastAsia="zh-CN"/>
        </w:rPr>
        <w:t>政府监管结构</w:t>
      </w:r>
    </w:p>
    <w:p w14:paraId="3FAF9E76">
      <w:pPr>
        <w:spacing w:before="0" w:after="0" w:line="360" w:lineRule="auto"/>
        <w:ind w:firstLine="562" w:firstLineChars="200"/>
        <w:outlineLvl w:val="9"/>
        <w:rPr>
          <w:rFonts w:hint="eastAsia" w:ascii="Times New Roman" w:hAnsi="Times New Roman" w:eastAsia="楷体" w:cs="Times New Roman"/>
          <w:b/>
          <w:bCs/>
          <w:color w:val="auto"/>
          <w:sz w:val="28"/>
          <w:szCs w:val="28"/>
          <w:highlight w:val="none"/>
        </w:rPr>
      </w:pPr>
      <w:bookmarkStart w:id="612" w:name="_Toc14721057"/>
      <w:bookmarkStart w:id="613" w:name="_Toc482215588"/>
      <w:bookmarkStart w:id="614" w:name="_Toc484115004"/>
      <w:bookmarkStart w:id="615" w:name="_Toc12525222"/>
      <w:bookmarkStart w:id="616" w:name="_Toc76563152"/>
      <w:r>
        <w:rPr>
          <w:rFonts w:hint="eastAsia" w:ascii="Times New Roman" w:hAnsi="Times New Roman" w:eastAsia="楷体" w:cs="Times New Roman"/>
          <w:b/>
          <w:bCs/>
          <w:color w:val="auto"/>
          <w:sz w:val="28"/>
          <w:szCs w:val="28"/>
          <w:highlight w:val="none"/>
        </w:rPr>
        <w:t>（</w:t>
      </w:r>
      <w:r>
        <w:rPr>
          <w:rFonts w:hint="eastAsia" w:ascii="Times New Roman" w:hAnsi="Times New Roman" w:eastAsia="楷体" w:cs="Times New Roman"/>
          <w:b/>
          <w:bCs/>
          <w:color w:val="auto"/>
          <w:sz w:val="28"/>
          <w:szCs w:val="28"/>
          <w:highlight w:val="none"/>
          <w:lang w:val="en-US" w:eastAsia="zh-CN"/>
        </w:rPr>
        <w:t>1</w:t>
      </w:r>
      <w:r>
        <w:rPr>
          <w:rFonts w:hint="eastAsia" w:ascii="Times New Roman" w:hAnsi="Times New Roman" w:eastAsia="楷体" w:cs="Times New Roman"/>
          <w:b/>
          <w:bCs/>
          <w:color w:val="auto"/>
          <w:sz w:val="28"/>
          <w:szCs w:val="28"/>
          <w:highlight w:val="none"/>
        </w:rPr>
        <w:t>）参与主体</w:t>
      </w:r>
      <w:bookmarkEnd w:id="612"/>
      <w:bookmarkEnd w:id="613"/>
      <w:bookmarkEnd w:id="614"/>
      <w:bookmarkEnd w:id="615"/>
      <w:bookmarkEnd w:id="616"/>
    </w:p>
    <w:p w14:paraId="0FFC0D8B">
      <w:pPr>
        <w:widowControl/>
        <w:ind w:firstLine="560" w:firstLineChars="200"/>
        <w:rPr>
          <w:rFonts w:hint="eastAsia" w:ascii="Times News Roman" w:hAnsi="Times News Roman" w:eastAsia="楷体"/>
          <w:color w:val="auto"/>
          <w:sz w:val="28"/>
          <w:szCs w:val="28"/>
          <w:highlight w:val="none"/>
        </w:rPr>
      </w:pPr>
      <w:r>
        <w:rPr>
          <w:rFonts w:hint="eastAsia" w:ascii="Times News Roman" w:hAnsi="Times News Roman" w:eastAsia="楷体"/>
          <w:color w:val="auto"/>
          <w:sz w:val="28"/>
          <w:szCs w:val="28"/>
          <w:highlight w:val="none"/>
        </w:rPr>
        <w:t>本项目</w:t>
      </w:r>
      <w:r>
        <w:rPr>
          <w:rFonts w:hint="eastAsia" w:ascii="Times News Roman" w:hAnsi="Times News Roman" w:eastAsia="楷体"/>
          <w:color w:val="auto"/>
          <w:sz w:val="28"/>
          <w:szCs w:val="28"/>
          <w:highlight w:val="none"/>
          <w:lang w:val="en-US" w:eastAsia="zh-CN"/>
        </w:rPr>
        <w:t>特许经营项目</w:t>
      </w:r>
      <w:r>
        <w:rPr>
          <w:rFonts w:hint="eastAsia" w:ascii="Times News Roman" w:hAnsi="Times News Roman" w:eastAsia="楷体"/>
          <w:color w:val="auto"/>
          <w:sz w:val="28"/>
          <w:szCs w:val="28"/>
          <w:highlight w:val="none"/>
        </w:rPr>
        <w:t>参与主体主要包括</w:t>
      </w:r>
      <w:r>
        <w:rPr>
          <w:rFonts w:hint="eastAsia" w:ascii="Times News Roman" w:hAnsi="Times News Roman" w:eastAsia="楷体"/>
          <w:color w:val="auto"/>
          <w:sz w:val="28"/>
          <w:szCs w:val="28"/>
          <w:highlight w:val="none"/>
          <w:lang w:val="en-US" w:eastAsia="zh-CN"/>
        </w:rPr>
        <w:t>区住建局</w:t>
      </w:r>
      <w:r>
        <w:rPr>
          <w:rFonts w:hint="eastAsia" w:ascii="Times News Roman" w:hAnsi="Times News Roman" w:eastAsia="楷体"/>
          <w:color w:val="auto"/>
          <w:sz w:val="28"/>
          <w:szCs w:val="28"/>
          <w:highlight w:val="none"/>
        </w:rPr>
        <w:t>、区有关职能部门、</w:t>
      </w:r>
      <w:r>
        <w:rPr>
          <w:rFonts w:hint="eastAsia" w:ascii="Times News Roman" w:hAnsi="Times News Roman" w:eastAsia="楷体"/>
          <w:color w:val="auto"/>
          <w:sz w:val="28"/>
          <w:szCs w:val="28"/>
          <w:highlight w:val="none"/>
          <w:lang w:val="en-US" w:eastAsia="zh-CN"/>
        </w:rPr>
        <w:t>特许经营者或其组建的项目公司</w:t>
      </w:r>
      <w:r>
        <w:rPr>
          <w:rFonts w:hint="eastAsia" w:ascii="Times News Roman" w:hAnsi="Times News Roman" w:eastAsia="楷体"/>
          <w:color w:val="auto"/>
          <w:sz w:val="28"/>
          <w:szCs w:val="28"/>
          <w:highlight w:val="none"/>
        </w:rPr>
        <w:t>。本项目参与主体的具体职能见下表</w:t>
      </w:r>
      <w:r>
        <w:rPr>
          <w:rFonts w:hint="eastAsia" w:ascii="Times News Roman" w:hAnsi="Times News Roman" w:eastAsia="楷体"/>
          <w:color w:val="auto"/>
          <w:sz w:val="28"/>
          <w:szCs w:val="28"/>
          <w:highlight w:val="none"/>
          <w:lang w:val="en-US" w:eastAsia="zh-CN"/>
        </w:rPr>
        <w:t>4-2</w:t>
      </w:r>
      <w:r>
        <w:rPr>
          <w:rFonts w:hint="eastAsia" w:ascii="Times News Roman" w:hAnsi="Times News Roman" w:eastAsia="楷体"/>
          <w:color w:val="auto"/>
          <w:sz w:val="28"/>
          <w:szCs w:val="28"/>
          <w:highlight w:val="none"/>
        </w:rPr>
        <w:t>所示：</w:t>
      </w:r>
    </w:p>
    <w:p w14:paraId="73515BF4">
      <w:pPr>
        <w:spacing w:before="0" w:line="360" w:lineRule="auto"/>
        <w:jc w:val="center"/>
        <w:rPr>
          <w:rFonts w:hint="eastAsia" w:ascii="Times News Roman" w:hAnsi="Times News Roman" w:eastAsia="楷体"/>
          <w:b/>
          <w:color w:val="auto"/>
          <w:sz w:val="24"/>
          <w:highlight w:val="none"/>
        </w:rPr>
      </w:pPr>
      <w:r>
        <w:rPr>
          <w:rFonts w:hint="eastAsia" w:ascii="Times News Roman" w:hAnsi="Times News Roman" w:eastAsia="楷体"/>
          <w:b/>
          <w:color w:val="auto"/>
          <w:sz w:val="24"/>
          <w:highlight w:val="none"/>
        </w:rPr>
        <w:t>表</w:t>
      </w:r>
      <w:r>
        <w:rPr>
          <w:rFonts w:hint="eastAsia" w:ascii="Times News Roman" w:hAnsi="Times News Roman" w:eastAsia="楷体"/>
          <w:b/>
          <w:color w:val="auto"/>
          <w:sz w:val="24"/>
          <w:highlight w:val="none"/>
          <w:lang w:val="en-US" w:eastAsia="zh-CN"/>
        </w:rPr>
        <w:t>4-2</w:t>
      </w:r>
      <w:r>
        <w:rPr>
          <w:rFonts w:hint="eastAsia" w:ascii="Times News Roman" w:hAnsi="Times News Roman" w:eastAsia="楷体"/>
          <w:b/>
          <w:color w:val="auto"/>
          <w:sz w:val="24"/>
          <w:highlight w:val="none"/>
        </w:rPr>
        <w:t xml:space="preserve"> 本项目参与主体的职能</w:t>
      </w:r>
    </w:p>
    <w:tbl>
      <w:tblPr>
        <w:tblStyle w:val="36"/>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951"/>
        <w:gridCol w:w="6575"/>
      </w:tblGrid>
      <w:tr w14:paraId="1444D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2" w:hRule="atLeast"/>
        </w:trPr>
        <w:tc>
          <w:tcPr>
            <w:tcW w:w="1144" w:type="pct"/>
            <w:shd w:val="clear" w:color="auto" w:fill="F1F1F1" w:themeFill="background1" w:themeFillShade="F2"/>
            <w:vAlign w:val="center"/>
          </w:tcPr>
          <w:p w14:paraId="6C92CB06">
            <w:pPr>
              <w:jc w:val="center"/>
              <w:rPr>
                <w:rFonts w:hint="eastAsia" w:ascii="Times News Roman" w:hAnsi="Times News Roman" w:eastAsia="楷体"/>
                <w:b/>
                <w:color w:val="auto"/>
                <w:sz w:val="24"/>
                <w:szCs w:val="21"/>
                <w:highlight w:val="none"/>
              </w:rPr>
            </w:pPr>
            <w:r>
              <w:rPr>
                <w:rFonts w:hint="eastAsia" w:ascii="Times News Roman" w:hAnsi="Times News Roman" w:eastAsia="楷体"/>
                <w:b/>
                <w:color w:val="auto"/>
                <w:sz w:val="24"/>
                <w:szCs w:val="21"/>
                <w:highlight w:val="none"/>
              </w:rPr>
              <w:t>项目参与主体</w:t>
            </w:r>
          </w:p>
        </w:tc>
        <w:tc>
          <w:tcPr>
            <w:tcW w:w="3855" w:type="pct"/>
            <w:shd w:val="clear" w:color="auto" w:fill="F1F1F1" w:themeFill="background1" w:themeFillShade="F2"/>
            <w:vAlign w:val="center"/>
          </w:tcPr>
          <w:p w14:paraId="19E45F74">
            <w:pPr>
              <w:jc w:val="center"/>
              <w:rPr>
                <w:rFonts w:hint="eastAsia" w:ascii="Times News Roman" w:hAnsi="Times News Roman" w:eastAsia="楷体"/>
                <w:b/>
                <w:color w:val="auto"/>
                <w:sz w:val="24"/>
                <w:szCs w:val="21"/>
                <w:highlight w:val="none"/>
              </w:rPr>
            </w:pPr>
            <w:r>
              <w:rPr>
                <w:rFonts w:hint="eastAsia" w:ascii="Times News Roman" w:hAnsi="Times News Roman" w:eastAsia="楷体"/>
                <w:b/>
                <w:color w:val="auto"/>
                <w:sz w:val="24"/>
                <w:szCs w:val="21"/>
                <w:highlight w:val="none"/>
              </w:rPr>
              <w:t>主体职能</w:t>
            </w:r>
          </w:p>
        </w:tc>
      </w:tr>
      <w:tr w14:paraId="5E714B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1" w:hRule="atLeast"/>
        </w:trPr>
        <w:tc>
          <w:tcPr>
            <w:tcW w:w="1144" w:type="pct"/>
            <w:vAlign w:val="center"/>
          </w:tcPr>
          <w:p w14:paraId="38B87F33">
            <w:pPr>
              <w:jc w:val="center"/>
              <w:rPr>
                <w:rFonts w:hint="eastAsia" w:ascii="Times News Roman" w:hAnsi="Times News Roman" w:eastAsia="楷体"/>
                <w:color w:val="auto"/>
                <w:sz w:val="24"/>
                <w:szCs w:val="21"/>
                <w:highlight w:val="none"/>
              </w:rPr>
            </w:pPr>
            <w:r>
              <w:rPr>
                <w:rFonts w:hint="eastAsia" w:ascii="Times News Roman" w:hAnsi="Times News Roman" w:eastAsia="楷体"/>
                <w:color w:val="auto"/>
                <w:sz w:val="24"/>
                <w:szCs w:val="21"/>
                <w:highlight w:val="none"/>
                <w:lang w:val="en-US" w:eastAsia="zh-CN"/>
              </w:rPr>
              <w:t>江都区住建局</w:t>
            </w:r>
          </w:p>
        </w:tc>
        <w:tc>
          <w:tcPr>
            <w:tcW w:w="3855" w:type="pct"/>
            <w:vAlign w:val="center"/>
          </w:tcPr>
          <w:p w14:paraId="258960B0">
            <w:pPr>
              <w:numPr>
                <w:ilvl w:val="0"/>
                <w:numId w:val="6"/>
              </w:numPr>
              <w:ind w:left="0" w:firstLine="33" w:firstLineChars="14"/>
              <w:rPr>
                <w:rFonts w:hint="eastAsia" w:ascii="Times News Roman" w:hAnsi="Times News Roman" w:eastAsia="楷体"/>
                <w:color w:val="auto"/>
                <w:sz w:val="24"/>
                <w:szCs w:val="21"/>
                <w:highlight w:val="none"/>
              </w:rPr>
            </w:pPr>
            <w:r>
              <w:rPr>
                <w:rFonts w:hint="eastAsia" w:ascii="Times News Roman" w:hAnsi="Times News Roman" w:eastAsia="楷体"/>
                <w:color w:val="auto"/>
                <w:sz w:val="24"/>
                <w:szCs w:val="21"/>
                <w:highlight w:val="none"/>
                <w:lang w:val="en-US" w:eastAsia="zh-CN"/>
              </w:rPr>
              <w:t>区政府授权的实施机构</w:t>
            </w:r>
            <w:r>
              <w:rPr>
                <w:rFonts w:hint="eastAsia" w:ascii="Times News Roman" w:hAnsi="Times News Roman" w:eastAsia="楷体"/>
                <w:color w:val="auto"/>
                <w:sz w:val="24"/>
                <w:szCs w:val="21"/>
                <w:highlight w:val="none"/>
              </w:rPr>
              <w:t>；</w:t>
            </w:r>
          </w:p>
          <w:p w14:paraId="4342836A">
            <w:pPr>
              <w:numPr>
                <w:ilvl w:val="0"/>
                <w:numId w:val="6"/>
              </w:numPr>
              <w:ind w:left="0" w:firstLine="33" w:firstLineChars="14"/>
              <w:rPr>
                <w:rFonts w:hint="eastAsia" w:ascii="Times News Roman" w:hAnsi="Times News Roman" w:eastAsia="楷体"/>
                <w:color w:val="auto"/>
                <w:sz w:val="24"/>
                <w:szCs w:val="21"/>
                <w:highlight w:val="none"/>
              </w:rPr>
            </w:pPr>
            <w:r>
              <w:rPr>
                <w:rFonts w:hint="eastAsia" w:ascii="Times News Roman" w:hAnsi="Times News Roman" w:eastAsia="楷体"/>
                <w:color w:val="auto"/>
                <w:sz w:val="24"/>
                <w:szCs w:val="21"/>
                <w:highlight w:val="none"/>
                <w:lang w:val="en-US" w:eastAsia="zh-CN"/>
              </w:rPr>
              <w:t>特许经营者</w:t>
            </w:r>
            <w:r>
              <w:rPr>
                <w:rFonts w:hint="eastAsia" w:ascii="Times News Roman" w:hAnsi="Times News Roman" w:eastAsia="楷体"/>
                <w:color w:val="auto"/>
                <w:sz w:val="24"/>
                <w:szCs w:val="21"/>
                <w:highlight w:val="none"/>
              </w:rPr>
              <w:t>运营服务的管理监督方之一；</w:t>
            </w:r>
          </w:p>
          <w:p w14:paraId="642D9F4B">
            <w:pPr>
              <w:numPr>
                <w:ilvl w:val="0"/>
                <w:numId w:val="6"/>
              </w:numPr>
              <w:ind w:left="0" w:firstLine="33" w:firstLineChars="14"/>
              <w:rPr>
                <w:rFonts w:hint="eastAsia" w:ascii="Times News Roman" w:hAnsi="Times News Roman" w:eastAsia="楷体"/>
                <w:color w:val="auto"/>
                <w:sz w:val="24"/>
                <w:szCs w:val="21"/>
                <w:highlight w:val="none"/>
              </w:rPr>
            </w:pPr>
            <w:r>
              <w:rPr>
                <w:rFonts w:hint="eastAsia" w:ascii="Times News Roman" w:hAnsi="Times News Roman" w:eastAsia="楷体"/>
                <w:color w:val="auto"/>
                <w:sz w:val="24"/>
                <w:szCs w:val="21"/>
                <w:highlight w:val="none"/>
              </w:rPr>
              <w:t>本项目《</w:t>
            </w:r>
            <w:r>
              <w:rPr>
                <w:rFonts w:hint="eastAsia" w:ascii="Times News Roman" w:hAnsi="Times News Roman" w:eastAsia="楷体"/>
                <w:color w:val="auto"/>
                <w:sz w:val="24"/>
                <w:szCs w:val="21"/>
                <w:highlight w:val="none"/>
                <w:lang w:val="en-US" w:eastAsia="zh-CN"/>
              </w:rPr>
              <w:t>特许经营协议</w:t>
            </w:r>
            <w:r>
              <w:rPr>
                <w:rFonts w:hint="eastAsia" w:ascii="Times News Roman" w:hAnsi="Times News Roman" w:eastAsia="楷体"/>
                <w:color w:val="auto"/>
                <w:sz w:val="24"/>
                <w:szCs w:val="21"/>
                <w:highlight w:val="none"/>
              </w:rPr>
              <w:t>》签署方之一；</w:t>
            </w:r>
          </w:p>
          <w:p w14:paraId="094F46EE">
            <w:pPr>
              <w:numPr>
                <w:ilvl w:val="0"/>
                <w:numId w:val="6"/>
              </w:numPr>
              <w:ind w:left="0" w:firstLine="33" w:firstLineChars="14"/>
              <w:rPr>
                <w:rFonts w:hint="eastAsia" w:ascii="Times News Roman" w:hAnsi="Times News Roman" w:eastAsia="楷体"/>
                <w:color w:val="auto"/>
                <w:sz w:val="24"/>
                <w:szCs w:val="21"/>
                <w:highlight w:val="none"/>
              </w:rPr>
            </w:pPr>
            <w:r>
              <w:rPr>
                <w:rFonts w:hint="eastAsia" w:ascii="Times News Roman" w:hAnsi="Times News Roman" w:eastAsia="楷体"/>
                <w:color w:val="auto"/>
                <w:sz w:val="24"/>
                <w:szCs w:val="21"/>
                <w:highlight w:val="none"/>
              </w:rPr>
              <w:t>项目采购方。</w:t>
            </w:r>
          </w:p>
        </w:tc>
      </w:tr>
      <w:tr w14:paraId="13B55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4" w:hRule="atLeast"/>
        </w:trPr>
        <w:tc>
          <w:tcPr>
            <w:tcW w:w="1144" w:type="pct"/>
            <w:vAlign w:val="center"/>
          </w:tcPr>
          <w:p w14:paraId="115DEB0E">
            <w:pPr>
              <w:jc w:val="center"/>
              <w:rPr>
                <w:rFonts w:hint="eastAsia" w:ascii="Times News Roman" w:hAnsi="Times News Roman" w:eastAsia="楷体"/>
                <w:color w:val="auto"/>
                <w:sz w:val="24"/>
                <w:szCs w:val="21"/>
                <w:highlight w:val="none"/>
              </w:rPr>
            </w:pPr>
            <w:r>
              <w:rPr>
                <w:rFonts w:hint="eastAsia" w:ascii="Times News Roman" w:hAnsi="Times News Roman" w:eastAsia="楷体"/>
                <w:color w:val="auto"/>
                <w:sz w:val="24"/>
                <w:szCs w:val="21"/>
                <w:highlight w:val="none"/>
              </w:rPr>
              <w:t>区有关职能部门</w:t>
            </w:r>
          </w:p>
        </w:tc>
        <w:tc>
          <w:tcPr>
            <w:tcW w:w="3855" w:type="pct"/>
            <w:vAlign w:val="center"/>
          </w:tcPr>
          <w:p w14:paraId="611B5B21">
            <w:pPr>
              <w:numPr>
                <w:ilvl w:val="0"/>
                <w:numId w:val="6"/>
              </w:numPr>
              <w:ind w:left="0" w:firstLine="33" w:firstLineChars="14"/>
              <w:rPr>
                <w:rFonts w:hint="eastAsia" w:ascii="Times News Roman" w:hAnsi="Times News Roman" w:eastAsia="楷体"/>
                <w:color w:val="auto"/>
                <w:sz w:val="24"/>
                <w:szCs w:val="21"/>
                <w:highlight w:val="none"/>
              </w:rPr>
            </w:pPr>
            <w:r>
              <w:rPr>
                <w:rFonts w:hint="eastAsia" w:ascii="Times News Roman" w:hAnsi="Times News Roman" w:eastAsia="楷体"/>
                <w:color w:val="auto"/>
                <w:sz w:val="24"/>
                <w:szCs w:val="21"/>
                <w:highlight w:val="none"/>
              </w:rPr>
              <w:t>包括各级发改、财政、环保</w:t>
            </w:r>
            <w:r>
              <w:rPr>
                <w:rFonts w:hint="eastAsia" w:ascii="Times News Roman" w:hAnsi="Times News Roman" w:eastAsia="楷体"/>
                <w:color w:val="auto"/>
                <w:sz w:val="24"/>
                <w:szCs w:val="21"/>
                <w:highlight w:val="none"/>
                <w:lang w:eastAsia="zh-CN"/>
              </w:rPr>
              <w:t>、</w:t>
            </w:r>
            <w:r>
              <w:rPr>
                <w:rFonts w:hint="eastAsia" w:ascii="Times News Roman" w:hAnsi="Times News Roman" w:eastAsia="楷体"/>
                <w:color w:val="auto"/>
                <w:sz w:val="24"/>
                <w:szCs w:val="21"/>
                <w:highlight w:val="none"/>
                <w:lang w:val="en-US" w:eastAsia="zh-CN"/>
              </w:rPr>
              <w:t>审计</w:t>
            </w:r>
            <w:r>
              <w:rPr>
                <w:rFonts w:hint="eastAsia" w:ascii="Times News Roman" w:hAnsi="Times News Roman" w:eastAsia="楷体"/>
                <w:color w:val="auto"/>
                <w:sz w:val="24"/>
                <w:szCs w:val="21"/>
                <w:highlight w:val="none"/>
              </w:rPr>
              <w:t>等部门，承担各类审批职责，并在各自职权范围内发挥监管作用</w:t>
            </w:r>
            <w:r>
              <w:rPr>
                <w:rFonts w:hint="eastAsia" w:ascii="Times News Roman" w:hAnsi="Times News Roman" w:eastAsia="楷体"/>
                <w:color w:val="auto"/>
                <w:sz w:val="24"/>
                <w:szCs w:val="21"/>
                <w:highlight w:val="none"/>
                <w:lang w:eastAsia="zh-CN"/>
              </w:rPr>
              <w:t>。</w:t>
            </w:r>
          </w:p>
        </w:tc>
      </w:tr>
      <w:tr w14:paraId="6BC0A5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7" w:hRule="atLeast"/>
        </w:trPr>
        <w:tc>
          <w:tcPr>
            <w:tcW w:w="1144" w:type="pct"/>
            <w:vAlign w:val="center"/>
          </w:tcPr>
          <w:p w14:paraId="64DD0860">
            <w:pPr>
              <w:jc w:val="center"/>
              <w:rPr>
                <w:rFonts w:hint="eastAsia" w:ascii="Times News Roman" w:hAnsi="Times News Roman" w:eastAsia="楷体"/>
                <w:color w:val="auto"/>
                <w:sz w:val="24"/>
                <w:szCs w:val="21"/>
                <w:highlight w:val="none"/>
              </w:rPr>
            </w:pPr>
            <w:r>
              <w:rPr>
                <w:rFonts w:hint="eastAsia" w:ascii="Times News Roman" w:hAnsi="Times News Roman" w:eastAsia="楷体"/>
                <w:color w:val="auto"/>
                <w:sz w:val="24"/>
                <w:szCs w:val="21"/>
                <w:highlight w:val="none"/>
              </w:rPr>
              <w:t>政府方出资代表</w:t>
            </w:r>
          </w:p>
        </w:tc>
        <w:tc>
          <w:tcPr>
            <w:tcW w:w="3855" w:type="pct"/>
            <w:vAlign w:val="center"/>
          </w:tcPr>
          <w:p w14:paraId="79BDEE08">
            <w:pPr>
              <w:numPr>
                <w:ilvl w:val="0"/>
                <w:numId w:val="6"/>
              </w:numPr>
              <w:ind w:left="0" w:firstLine="33" w:firstLineChars="14"/>
              <w:rPr>
                <w:rFonts w:hint="eastAsia" w:ascii="Times News Roman" w:hAnsi="Times News Roman" w:eastAsia="楷体"/>
                <w:color w:val="auto"/>
                <w:sz w:val="24"/>
                <w:szCs w:val="21"/>
                <w:highlight w:val="none"/>
              </w:rPr>
            </w:pPr>
            <w:r>
              <w:rPr>
                <w:rFonts w:hint="eastAsia" w:ascii="Times News Roman" w:hAnsi="Times News Roman" w:eastAsia="楷体"/>
                <w:color w:val="auto"/>
                <w:sz w:val="24"/>
                <w:szCs w:val="21"/>
                <w:highlight w:val="none"/>
                <w:lang w:val="en-US" w:eastAsia="zh-CN"/>
              </w:rPr>
              <w:t>本次合作不安排政府方出资代表，若特许经营者组建项目公司，由其100%出资设立。</w:t>
            </w:r>
          </w:p>
        </w:tc>
      </w:tr>
      <w:tr w14:paraId="1015FA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08" w:hRule="atLeast"/>
        </w:trPr>
        <w:tc>
          <w:tcPr>
            <w:tcW w:w="1144" w:type="pct"/>
            <w:vAlign w:val="center"/>
          </w:tcPr>
          <w:p w14:paraId="626CB436">
            <w:pPr>
              <w:jc w:val="center"/>
              <w:rPr>
                <w:rFonts w:hint="default" w:ascii="Times News Roman" w:hAnsi="Times News Roman" w:eastAsia="楷体"/>
                <w:color w:val="auto"/>
                <w:sz w:val="24"/>
                <w:szCs w:val="21"/>
                <w:highlight w:val="none"/>
                <w:lang w:val="en-US" w:eastAsia="zh-CN"/>
              </w:rPr>
            </w:pPr>
            <w:r>
              <w:rPr>
                <w:rFonts w:hint="eastAsia" w:ascii="Times News Roman" w:hAnsi="Times News Roman" w:eastAsia="楷体"/>
                <w:color w:val="auto"/>
                <w:sz w:val="24"/>
                <w:szCs w:val="21"/>
                <w:highlight w:val="none"/>
                <w:lang w:val="en-US" w:eastAsia="zh-CN"/>
              </w:rPr>
              <w:t>特许经营者或其组建的项目公司</w:t>
            </w:r>
          </w:p>
        </w:tc>
        <w:tc>
          <w:tcPr>
            <w:tcW w:w="3855" w:type="pct"/>
            <w:vAlign w:val="center"/>
          </w:tcPr>
          <w:p w14:paraId="02A44C7E">
            <w:pPr>
              <w:numPr>
                <w:ilvl w:val="0"/>
                <w:numId w:val="6"/>
              </w:numPr>
              <w:ind w:left="0" w:firstLine="33" w:firstLineChars="14"/>
              <w:rPr>
                <w:rFonts w:hint="eastAsia" w:ascii="Times News Roman" w:hAnsi="Times News Roman" w:eastAsia="楷体"/>
                <w:color w:val="auto"/>
                <w:sz w:val="24"/>
                <w:szCs w:val="21"/>
                <w:highlight w:val="none"/>
              </w:rPr>
            </w:pPr>
            <w:r>
              <w:rPr>
                <w:rFonts w:hint="eastAsia" w:ascii="Times News Roman" w:hAnsi="Times News Roman" w:eastAsia="楷体"/>
                <w:color w:val="auto"/>
                <w:sz w:val="24"/>
                <w:szCs w:val="21"/>
                <w:highlight w:val="none"/>
                <w:lang w:val="en-US" w:eastAsia="zh-CN"/>
              </w:rPr>
              <w:t>负责本项目特许经营权转让费的筹措与支付</w:t>
            </w:r>
            <w:r>
              <w:rPr>
                <w:rFonts w:hint="eastAsia" w:ascii="Times News Roman" w:hAnsi="Times News Roman" w:eastAsia="楷体"/>
                <w:color w:val="auto"/>
                <w:sz w:val="24"/>
                <w:szCs w:val="21"/>
                <w:highlight w:val="none"/>
              </w:rPr>
              <w:t>；</w:t>
            </w:r>
          </w:p>
          <w:p w14:paraId="201806EB">
            <w:pPr>
              <w:numPr>
                <w:ilvl w:val="0"/>
                <w:numId w:val="6"/>
              </w:numPr>
              <w:ind w:left="0" w:firstLine="33" w:firstLineChars="14"/>
              <w:rPr>
                <w:rFonts w:hint="eastAsia" w:ascii="Times News Roman" w:hAnsi="Times News Roman" w:eastAsia="楷体"/>
                <w:color w:val="auto"/>
                <w:sz w:val="24"/>
                <w:szCs w:val="21"/>
                <w:highlight w:val="none"/>
              </w:rPr>
            </w:pPr>
            <w:r>
              <w:rPr>
                <w:rFonts w:hint="eastAsia" w:ascii="Times News Roman" w:hAnsi="Times News Roman" w:eastAsia="楷体"/>
                <w:color w:val="auto"/>
                <w:sz w:val="24"/>
                <w:szCs w:val="21"/>
                <w:highlight w:val="none"/>
              </w:rPr>
              <w:t>负责项目投融资、运营、管理全过程以及期满之后的移交；</w:t>
            </w:r>
          </w:p>
          <w:p w14:paraId="4DE619B5">
            <w:pPr>
              <w:numPr>
                <w:ilvl w:val="0"/>
                <w:numId w:val="6"/>
              </w:numPr>
              <w:ind w:left="0" w:firstLine="33" w:firstLineChars="14"/>
              <w:rPr>
                <w:rFonts w:hint="eastAsia" w:ascii="Times News Roman" w:hAnsi="Times News Roman" w:eastAsia="楷体"/>
                <w:color w:val="auto"/>
                <w:sz w:val="24"/>
                <w:szCs w:val="21"/>
                <w:highlight w:val="none"/>
              </w:rPr>
            </w:pPr>
            <w:r>
              <w:rPr>
                <w:rFonts w:hint="eastAsia" w:ascii="Times News Roman" w:hAnsi="Times News Roman" w:eastAsia="楷体"/>
                <w:color w:val="auto"/>
                <w:sz w:val="24"/>
                <w:szCs w:val="21"/>
                <w:highlight w:val="none"/>
              </w:rPr>
              <w:t>接受</w:t>
            </w:r>
            <w:r>
              <w:rPr>
                <w:rFonts w:hint="eastAsia" w:ascii="Times News Roman" w:hAnsi="Times News Roman" w:eastAsia="楷体"/>
                <w:color w:val="auto"/>
                <w:sz w:val="24"/>
                <w:szCs w:val="21"/>
                <w:highlight w:val="none"/>
                <w:lang w:val="en-US" w:eastAsia="zh-CN"/>
              </w:rPr>
              <w:t>江都</w:t>
            </w:r>
            <w:r>
              <w:rPr>
                <w:rFonts w:hint="eastAsia" w:ascii="Times News Roman" w:hAnsi="Times News Roman" w:eastAsia="楷体"/>
                <w:color w:val="auto"/>
                <w:sz w:val="24"/>
                <w:szCs w:val="21"/>
                <w:highlight w:val="none"/>
              </w:rPr>
              <w:t>区政府及相关部门的监督与管理。</w:t>
            </w:r>
          </w:p>
        </w:tc>
      </w:tr>
    </w:tbl>
    <w:p w14:paraId="7DDD9375">
      <w:pPr>
        <w:spacing w:before="0" w:line="360" w:lineRule="auto"/>
        <w:ind w:firstLine="562" w:firstLineChars="200"/>
        <w:outlineLvl w:val="9"/>
        <w:rPr>
          <w:rFonts w:hint="eastAsia" w:ascii="Times New Roman" w:hAnsi="Times New Roman" w:eastAsia="楷体" w:cs="Times New Roman"/>
          <w:b/>
          <w:bCs/>
          <w:color w:val="auto"/>
          <w:sz w:val="28"/>
          <w:szCs w:val="28"/>
          <w:highlight w:val="none"/>
          <w:lang w:val="en-US" w:eastAsia="zh-CN"/>
        </w:rPr>
      </w:pPr>
      <w:r>
        <w:rPr>
          <w:rFonts w:hint="eastAsia" w:ascii="Times New Roman" w:hAnsi="Times New Roman" w:eastAsia="楷体" w:cs="Times New Roman"/>
          <w:b/>
          <w:bCs/>
          <w:color w:val="auto"/>
          <w:sz w:val="28"/>
          <w:szCs w:val="28"/>
          <w:highlight w:val="none"/>
          <w:lang w:eastAsia="zh-CN"/>
        </w:rPr>
        <w:t>（</w:t>
      </w:r>
      <w:r>
        <w:rPr>
          <w:rFonts w:hint="eastAsia" w:ascii="Times New Roman" w:hAnsi="Times New Roman" w:eastAsia="楷体" w:cs="Times New Roman"/>
          <w:b/>
          <w:bCs/>
          <w:color w:val="auto"/>
          <w:sz w:val="28"/>
          <w:szCs w:val="28"/>
          <w:highlight w:val="none"/>
          <w:lang w:val="en-US" w:eastAsia="zh-CN"/>
        </w:rPr>
        <w:t>2</w:t>
      </w:r>
      <w:r>
        <w:rPr>
          <w:rFonts w:hint="eastAsia" w:ascii="Times New Roman" w:hAnsi="Times New Roman" w:eastAsia="楷体" w:cs="Times New Roman"/>
          <w:b/>
          <w:bCs/>
          <w:color w:val="auto"/>
          <w:sz w:val="28"/>
          <w:szCs w:val="28"/>
          <w:highlight w:val="none"/>
          <w:lang w:eastAsia="zh-CN"/>
        </w:rPr>
        <w:t>）</w:t>
      </w:r>
      <w:r>
        <w:rPr>
          <w:rFonts w:hint="eastAsia" w:ascii="Times New Roman" w:hAnsi="Times New Roman" w:eastAsia="楷体" w:cs="Times New Roman"/>
          <w:b/>
          <w:bCs/>
          <w:color w:val="auto"/>
          <w:sz w:val="28"/>
          <w:szCs w:val="28"/>
          <w:highlight w:val="none"/>
          <w:lang w:val="en-US" w:eastAsia="zh-CN"/>
        </w:rPr>
        <w:t>政府监管主体的职责</w:t>
      </w:r>
    </w:p>
    <w:p w14:paraId="13A74515">
      <w:pPr>
        <w:widowControl/>
        <w:spacing w:before="0" w:line="240" w:lineRule="auto"/>
        <w:ind w:firstLine="560" w:firstLineChars="200"/>
        <w:outlineLvl w:val="9"/>
        <w:rPr>
          <w:rFonts w:hint="eastAsia" w:ascii="Times News Roman" w:hAnsi="Times News Roman" w:eastAsia="楷体"/>
          <w:b w:val="0"/>
          <w:bCs w:val="0"/>
          <w:color w:val="auto"/>
          <w:sz w:val="28"/>
          <w:szCs w:val="28"/>
          <w:highlight w:val="none"/>
          <w:lang w:eastAsia="zh-CN"/>
        </w:rPr>
      </w:pPr>
      <w:r>
        <w:rPr>
          <w:rFonts w:hint="eastAsia" w:ascii="Times News Roman" w:hAnsi="Times News Roman" w:eastAsia="楷体"/>
          <w:b w:val="0"/>
          <w:bCs w:val="0"/>
          <w:color w:val="auto"/>
          <w:sz w:val="28"/>
          <w:szCs w:val="28"/>
          <w:highlight w:val="none"/>
        </w:rPr>
        <w:t>本项目监管主体为相关政府机构和社会公众</w:t>
      </w:r>
      <w:r>
        <w:rPr>
          <w:rFonts w:hint="eastAsia" w:ascii="Times News Roman" w:hAnsi="Times News Roman" w:eastAsia="楷体"/>
          <w:b w:val="0"/>
          <w:bCs w:val="0"/>
          <w:color w:val="auto"/>
          <w:sz w:val="28"/>
          <w:szCs w:val="28"/>
          <w:highlight w:val="none"/>
          <w:lang w:eastAsia="zh-CN"/>
        </w:rPr>
        <w:t>。</w:t>
      </w:r>
    </w:p>
    <w:p w14:paraId="5D9040C7">
      <w:pPr>
        <w:widowControl/>
        <w:spacing w:before="0" w:line="240" w:lineRule="auto"/>
        <w:ind w:firstLine="560" w:firstLineChars="200"/>
        <w:outlineLvl w:val="9"/>
        <w:rPr>
          <w:rFonts w:hint="eastAsia" w:ascii="Times News Roman" w:hAnsi="Times News Roman" w:eastAsia="楷体"/>
          <w:b w:val="0"/>
          <w:bCs w:val="0"/>
          <w:color w:val="auto"/>
          <w:sz w:val="28"/>
          <w:szCs w:val="28"/>
          <w:highlight w:val="none"/>
        </w:rPr>
      </w:pPr>
      <w:r>
        <w:rPr>
          <w:rFonts w:hint="eastAsia" w:ascii="Times News Roman" w:hAnsi="Times News Roman" w:eastAsia="楷体"/>
          <w:b w:val="0"/>
          <w:bCs w:val="0"/>
          <w:color w:val="auto"/>
          <w:sz w:val="28"/>
          <w:szCs w:val="28"/>
          <w:highlight w:val="none"/>
          <w:lang w:val="en-US" w:eastAsia="zh-CN"/>
        </w:rPr>
        <w:t>1）</w:t>
      </w:r>
      <w:r>
        <w:rPr>
          <w:rFonts w:hint="eastAsia" w:ascii="Times News Roman" w:hAnsi="Times News Roman" w:eastAsia="楷体"/>
          <w:b w:val="0"/>
          <w:bCs w:val="0"/>
          <w:color w:val="auto"/>
          <w:sz w:val="28"/>
          <w:szCs w:val="28"/>
          <w:highlight w:val="none"/>
        </w:rPr>
        <w:t>实施机构职责</w:t>
      </w:r>
    </w:p>
    <w:p w14:paraId="35CA9FDB">
      <w:pPr>
        <w:widowControl/>
        <w:ind w:firstLine="560" w:firstLineChars="200"/>
        <w:rPr>
          <w:rFonts w:hint="eastAsia" w:ascii="Times News Roman" w:hAnsi="Times News Roman" w:eastAsia="楷体"/>
          <w:color w:val="auto"/>
          <w:sz w:val="28"/>
          <w:szCs w:val="28"/>
          <w:highlight w:val="none"/>
        </w:rPr>
      </w:pPr>
      <w:r>
        <w:rPr>
          <w:rFonts w:hint="eastAsia" w:ascii="Times News Roman" w:hAnsi="Times News Roman" w:eastAsia="楷体"/>
          <w:color w:val="auto"/>
          <w:sz w:val="28"/>
          <w:szCs w:val="28"/>
          <w:highlight w:val="none"/>
        </w:rPr>
        <w:t>本项目实施机构和采购主体在授权范围内承担重要职责，在项目全生命周期内承担的职责内容如下表</w:t>
      </w:r>
      <w:r>
        <w:rPr>
          <w:rFonts w:hint="eastAsia" w:ascii="Times News Roman" w:hAnsi="Times News Roman" w:eastAsia="楷体"/>
          <w:color w:val="auto"/>
          <w:sz w:val="28"/>
          <w:szCs w:val="28"/>
          <w:highlight w:val="none"/>
          <w:lang w:val="en-US" w:eastAsia="zh-CN"/>
        </w:rPr>
        <w:t>4</w:t>
      </w:r>
      <w:r>
        <w:rPr>
          <w:rFonts w:hint="eastAsia" w:ascii="Times News Roman" w:hAnsi="Times News Roman" w:eastAsia="楷体"/>
          <w:color w:val="auto"/>
          <w:sz w:val="28"/>
          <w:szCs w:val="28"/>
          <w:highlight w:val="none"/>
        </w:rPr>
        <w:t>-</w:t>
      </w:r>
      <w:r>
        <w:rPr>
          <w:rFonts w:hint="eastAsia" w:ascii="Times News Roman" w:hAnsi="Times News Roman" w:eastAsia="楷体"/>
          <w:color w:val="auto"/>
          <w:sz w:val="28"/>
          <w:szCs w:val="28"/>
          <w:highlight w:val="none"/>
          <w:lang w:val="en-US" w:eastAsia="zh-CN"/>
        </w:rPr>
        <w:t>3</w:t>
      </w:r>
      <w:r>
        <w:rPr>
          <w:rFonts w:hint="eastAsia" w:ascii="Times News Roman" w:hAnsi="Times News Roman" w:eastAsia="楷体"/>
          <w:color w:val="auto"/>
          <w:sz w:val="28"/>
          <w:szCs w:val="28"/>
          <w:highlight w:val="none"/>
        </w:rPr>
        <w:t>所示：</w:t>
      </w:r>
    </w:p>
    <w:p w14:paraId="12233C31">
      <w:pPr>
        <w:spacing w:before="0" w:line="360" w:lineRule="auto"/>
        <w:jc w:val="center"/>
        <w:rPr>
          <w:rFonts w:hint="eastAsia" w:ascii="Times News Roman" w:hAnsi="Times News Roman" w:eastAsia="楷体"/>
          <w:b/>
          <w:color w:val="auto"/>
          <w:sz w:val="24"/>
          <w:highlight w:val="none"/>
        </w:rPr>
      </w:pPr>
      <w:r>
        <w:rPr>
          <w:rFonts w:hint="eastAsia" w:ascii="Times News Roman" w:hAnsi="Times News Roman" w:eastAsia="楷体"/>
          <w:b/>
          <w:color w:val="auto"/>
          <w:sz w:val="24"/>
          <w:highlight w:val="none"/>
        </w:rPr>
        <w:t>表</w:t>
      </w:r>
      <w:r>
        <w:rPr>
          <w:rFonts w:hint="eastAsia" w:ascii="Times News Roman" w:hAnsi="Times News Roman" w:eastAsia="楷体"/>
          <w:b/>
          <w:color w:val="auto"/>
          <w:sz w:val="24"/>
          <w:highlight w:val="none"/>
          <w:lang w:val="en-US" w:eastAsia="zh-CN"/>
        </w:rPr>
        <w:t>4</w:t>
      </w:r>
      <w:r>
        <w:rPr>
          <w:rFonts w:hint="eastAsia" w:ascii="Times News Roman" w:hAnsi="Times News Roman" w:eastAsia="楷体"/>
          <w:b/>
          <w:color w:val="auto"/>
          <w:sz w:val="24"/>
          <w:highlight w:val="none"/>
        </w:rPr>
        <w:t>-</w:t>
      </w:r>
      <w:r>
        <w:rPr>
          <w:rFonts w:hint="eastAsia" w:ascii="Times News Roman" w:hAnsi="Times News Roman" w:eastAsia="楷体"/>
          <w:b/>
          <w:color w:val="auto"/>
          <w:sz w:val="24"/>
          <w:highlight w:val="none"/>
          <w:lang w:val="en-US" w:eastAsia="zh-CN"/>
        </w:rPr>
        <w:t>3</w:t>
      </w:r>
      <w:r>
        <w:rPr>
          <w:rFonts w:hint="eastAsia" w:ascii="Times News Roman" w:hAnsi="Times News Roman" w:eastAsia="楷体"/>
          <w:b/>
          <w:color w:val="auto"/>
          <w:sz w:val="24"/>
          <w:highlight w:val="none"/>
        </w:rPr>
        <w:t xml:space="preserve"> 实施机构</w:t>
      </w:r>
      <w:r>
        <w:rPr>
          <w:rFonts w:hint="eastAsia" w:ascii="Times News Roman" w:hAnsi="Times News Roman" w:eastAsia="楷体"/>
          <w:b/>
          <w:bCs w:val="0"/>
          <w:color w:val="auto"/>
          <w:sz w:val="24"/>
          <w:szCs w:val="24"/>
          <w:highlight w:val="none"/>
        </w:rPr>
        <w:t>主要</w:t>
      </w:r>
      <w:r>
        <w:rPr>
          <w:rFonts w:hint="eastAsia" w:ascii="Times News Roman" w:hAnsi="Times News Roman" w:eastAsia="楷体"/>
          <w:b/>
          <w:color w:val="auto"/>
          <w:sz w:val="24"/>
          <w:highlight w:val="none"/>
        </w:rPr>
        <w:t>职责内容</w:t>
      </w:r>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9"/>
        <w:gridCol w:w="6309"/>
      </w:tblGrid>
      <w:tr w14:paraId="72ACA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blHeader/>
        </w:trPr>
        <w:tc>
          <w:tcPr>
            <w:tcW w:w="1301" w:type="pct"/>
            <w:shd w:val="clear" w:color="auto" w:fill="D8D8D8" w:themeFill="background1" w:themeFillShade="D9"/>
            <w:vAlign w:val="center"/>
          </w:tcPr>
          <w:p w14:paraId="5A06E8F3">
            <w:pPr>
              <w:jc w:val="center"/>
              <w:rPr>
                <w:rFonts w:hint="eastAsia" w:ascii="Times News Roman" w:hAnsi="Times News Roman" w:eastAsia="楷体"/>
                <w:b/>
                <w:color w:val="auto"/>
                <w:sz w:val="24"/>
                <w:highlight w:val="none"/>
              </w:rPr>
            </w:pPr>
            <w:r>
              <w:rPr>
                <w:rFonts w:hint="eastAsia" w:ascii="Times News Roman" w:hAnsi="Times News Roman" w:eastAsia="楷体"/>
                <w:b/>
                <w:color w:val="auto"/>
                <w:sz w:val="24"/>
                <w:highlight w:val="none"/>
              </w:rPr>
              <w:t>实施机构</w:t>
            </w:r>
          </w:p>
        </w:tc>
        <w:tc>
          <w:tcPr>
            <w:tcW w:w="3698" w:type="pct"/>
            <w:shd w:val="clear" w:color="auto" w:fill="D8D8D8" w:themeFill="background1" w:themeFillShade="D9"/>
            <w:vAlign w:val="center"/>
          </w:tcPr>
          <w:p w14:paraId="20F7C102">
            <w:pPr>
              <w:jc w:val="center"/>
              <w:rPr>
                <w:rFonts w:hint="eastAsia" w:ascii="Times News Roman" w:hAnsi="Times News Roman" w:eastAsia="楷体"/>
                <w:b/>
                <w:color w:val="auto"/>
                <w:sz w:val="24"/>
                <w:highlight w:val="none"/>
              </w:rPr>
            </w:pPr>
            <w:r>
              <w:rPr>
                <w:rFonts w:hint="eastAsia" w:ascii="Times News Roman" w:hAnsi="Times News Roman" w:eastAsia="楷体"/>
                <w:b/>
                <w:color w:val="auto"/>
                <w:sz w:val="24"/>
                <w:highlight w:val="none"/>
              </w:rPr>
              <w:t>职责内容</w:t>
            </w:r>
          </w:p>
        </w:tc>
      </w:tr>
      <w:tr w14:paraId="038F7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301" w:type="pct"/>
            <w:vMerge w:val="restart"/>
            <w:vAlign w:val="center"/>
          </w:tcPr>
          <w:p w14:paraId="23919566">
            <w:pPr>
              <w:jc w:val="center"/>
              <w:rPr>
                <w:rFonts w:hint="eastAsia" w:ascii="Times News Roman" w:hAnsi="Times News Roman" w:eastAsia="楷体"/>
                <w:color w:val="auto"/>
                <w:sz w:val="24"/>
                <w:highlight w:val="none"/>
              </w:rPr>
            </w:pPr>
            <w:r>
              <w:rPr>
                <w:rFonts w:hint="default" w:ascii="Times News Roman" w:hAnsi="Times News Roman" w:eastAsia="楷体"/>
                <w:color w:val="auto"/>
                <w:sz w:val="24"/>
                <w:highlight w:val="none"/>
                <w:lang w:val="en-US" w:eastAsia="zh-CN"/>
              </w:rPr>
              <w:t>江都区住房和城乡建设局</w:t>
            </w:r>
          </w:p>
        </w:tc>
        <w:tc>
          <w:tcPr>
            <w:tcW w:w="3698" w:type="pct"/>
            <w:vAlign w:val="center"/>
          </w:tcPr>
          <w:p w14:paraId="0F29890F">
            <w:pPr>
              <w:rPr>
                <w:rFonts w:hint="default" w:ascii="Times News Roman" w:hAnsi="Times News Roman" w:eastAsia="楷体"/>
                <w:color w:val="auto"/>
                <w:sz w:val="24"/>
                <w:highlight w:val="none"/>
                <w:lang w:val="en-US" w:eastAsia="zh-CN"/>
              </w:rPr>
            </w:pPr>
            <w:r>
              <w:rPr>
                <w:rFonts w:hint="eastAsia" w:ascii="Times News Roman" w:hAnsi="Times News Roman" w:eastAsia="楷体"/>
                <w:color w:val="auto"/>
                <w:sz w:val="24"/>
                <w:highlight w:val="none"/>
                <w:lang w:val="en-US" w:eastAsia="zh-CN"/>
              </w:rPr>
              <w:t>项目前期准备</w:t>
            </w:r>
          </w:p>
        </w:tc>
      </w:tr>
      <w:tr w14:paraId="05046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301" w:type="pct"/>
            <w:vMerge w:val="continue"/>
          </w:tcPr>
          <w:p w14:paraId="32E587CD">
            <w:pPr>
              <w:rPr>
                <w:rFonts w:hint="eastAsia" w:ascii="Times News Roman" w:hAnsi="Times News Roman" w:eastAsia="楷体"/>
                <w:color w:val="auto"/>
                <w:sz w:val="24"/>
                <w:highlight w:val="none"/>
              </w:rPr>
            </w:pPr>
          </w:p>
        </w:tc>
        <w:tc>
          <w:tcPr>
            <w:tcW w:w="3698" w:type="pct"/>
            <w:vAlign w:val="center"/>
          </w:tcPr>
          <w:p w14:paraId="28C77A2E">
            <w:pPr>
              <w:rPr>
                <w:rFonts w:hint="eastAsia" w:ascii="Times News Roman" w:hAnsi="Times News Roman" w:eastAsia="楷体"/>
                <w:color w:val="auto"/>
                <w:sz w:val="24"/>
                <w:highlight w:val="none"/>
              </w:rPr>
            </w:pPr>
            <w:r>
              <w:rPr>
                <w:rFonts w:hint="eastAsia" w:ascii="Times News Roman" w:hAnsi="Times News Roman" w:eastAsia="楷体"/>
                <w:color w:val="auto"/>
                <w:sz w:val="24"/>
                <w:highlight w:val="none"/>
              </w:rPr>
              <w:t>组织</w:t>
            </w:r>
            <w:r>
              <w:rPr>
                <w:rFonts w:hint="eastAsia" w:ascii="Times News Roman" w:hAnsi="Times News Roman" w:eastAsia="楷体"/>
                <w:color w:val="auto"/>
                <w:sz w:val="24"/>
                <w:highlight w:val="none"/>
                <w:lang w:val="en-US" w:eastAsia="zh-CN"/>
              </w:rPr>
              <w:t>特许经营</w:t>
            </w:r>
            <w:r>
              <w:rPr>
                <w:rFonts w:hint="eastAsia" w:ascii="Times News Roman" w:hAnsi="Times News Roman" w:eastAsia="楷体"/>
                <w:color w:val="auto"/>
                <w:sz w:val="24"/>
                <w:highlight w:val="none"/>
              </w:rPr>
              <w:t>实施方案编制</w:t>
            </w:r>
          </w:p>
        </w:tc>
      </w:tr>
      <w:tr w14:paraId="5BED3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301" w:type="pct"/>
            <w:vMerge w:val="continue"/>
          </w:tcPr>
          <w:p w14:paraId="47A14883">
            <w:pPr>
              <w:rPr>
                <w:rFonts w:hint="eastAsia" w:ascii="Times News Roman" w:hAnsi="Times News Roman" w:eastAsia="楷体"/>
                <w:color w:val="auto"/>
                <w:sz w:val="24"/>
                <w:highlight w:val="none"/>
              </w:rPr>
            </w:pPr>
          </w:p>
        </w:tc>
        <w:tc>
          <w:tcPr>
            <w:tcW w:w="3698" w:type="pct"/>
            <w:vAlign w:val="center"/>
          </w:tcPr>
          <w:p w14:paraId="6EDF6CBA">
            <w:pPr>
              <w:rPr>
                <w:rFonts w:hint="eastAsia" w:ascii="Times News Roman" w:hAnsi="Times News Roman" w:eastAsia="楷体"/>
                <w:color w:val="auto"/>
                <w:sz w:val="24"/>
                <w:highlight w:val="none"/>
              </w:rPr>
            </w:pPr>
            <w:r>
              <w:rPr>
                <w:rFonts w:hint="eastAsia" w:ascii="Times News Roman" w:hAnsi="Times News Roman" w:eastAsia="楷体"/>
                <w:color w:val="auto"/>
                <w:sz w:val="24"/>
                <w:highlight w:val="none"/>
                <w:lang w:val="en-US" w:eastAsia="zh-CN"/>
              </w:rPr>
              <w:t>特许经营者</w:t>
            </w:r>
            <w:r>
              <w:rPr>
                <w:rFonts w:hint="eastAsia" w:ascii="Times News Roman" w:hAnsi="Times News Roman" w:eastAsia="楷体"/>
                <w:color w:val="auto"/>
                <w:sz w:val="24"/>
                <w:highlight w:val="none"/>
              </w:rPr>
              <w:t>选择</w:t>
            </w:r>
          </w:p>
        </w:tc>
      </w:tr>
      <w:tr w14:paraId="6417E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301" w:type="pct"/>
            <w:vMerge w:val="continue"/>
          </w:tcPr>
          <w:p w14:paraId="539BA22C">
            <w:pPr>
              <w:rPr>
                <w:rFonts w:hint="eastAsia" w:ascii="Times News Roman" w:hAnsi="Times News Roman" w:eastAsia="楷体"/>
                <w:color w:val="auto"/>
                <w:sz w:val="24"/>
                <w:highlight w:val="none"/>
              </w:rPr>
            </w:pPr>
          </w:p>
        </w:tc>
        <w:tc>
          <w:tcPr>
            <w:tcW w:w="3698" w:type="pct"/>
            <w:vAlign w:val="center"/>
          </w:tcPr>
          <w:p w14:paraId="42F513D5">
            <w:pPr>
              <w:rPr>
                <w:rFonts w:hint="eastAsia" w:ascii="Times News Roman" w:hAnsi="Times News Roman" w:eastAsia="楷体"/>
                <w:color w:val="auto"/>
                <w:sz w:val="24"/>
                <w:highlight w:val="none"/>
              </w:rPr>
            </w:pPr>
            <w:r>
              <w:rPr>
                <w:rFonts w:hint="eastAsia" w:ascii="Times News Roman" w:hAnsi="Times News Roman" w:eastAsia="楷体"/>
                <w:color w:val="auto"/>
                <w:sz w:val="24"/>
                <w:highlight w:val="none"/>
              </w:rPr>
              <w:t>与中标</w:t>
            </w:r>
            <w:r>
              <w:rPr>
                <w:rFonts w:hint="eastAsia" w:ascii="Times News Roman" w:hAnsi="Times News Roman" w:eastAsia="楷体"/>
                <w:color w:val="auto"/>
                <w:sz w:val="24"/>
                <w:highlight w:val="none"/>
                <w:lang w:val="en-US" w:eastAsia="zh-CN"/>
              </w:rPr>
              <w:t>单位</w:t>
            </w:r>
            <w:r>
              <w:rPr>
                <w:rFonts w:hint="eastAsia" w:ascii="Times News Roman" w:hAnsi="Times News Roman" w:eastAsia="楷体"/>
                <w:color w:val="auto"/>
                <w:sz w:val="24"/>
                <w:highlight w:val="none"/>
              </w:rPr>
              <w:t>签署</w:t>
            </w:r>
            <w:r>
              <w:rPr>
                <w:rFonts w:hint="eastAsia" w:ascii="Times News Roman" w:hAnsi="Times News Roman" w:eastAsia="楷体"/>
                <w:color w:val="auto"/>
                <w:sz w:val="24"/>
                <w:highlight w:val="none"/>
                <w:lang w:eastAsia="zh-CN"/>
              </w:rPr>
              <w:t>《</w:t>
            </w:r>
            <w:r>
              <w:rPr>
                <w:rFonts w:hint="eastAsia" w:ascii="Times News Roman" w:hAnsi="Times News Roman" w:eastAsia="楷体"/>
                <w:color w:val="auto"/>
                <w:sz w:val="24"/>
                <w:highlight w:val="none"/>
                <w:lang w:val="en-US" w:eastAsia="zh-CN"/>
              </w:rPr>
              <w:t>初步协议</w:t>
            </w:r>
            <w:r>
              <w:rPr>
                <w:rFonts w:hint="eastAsia" w:ascii="Times News Roman" w:hAnsi="Times News Roman" w:eastAsia="楷体"/>
                <w:color w:val="auto"/>
                <w:sz w:val="24"/>
                <w:highlight w:val="none"/>
                <w:lang w:eastAsia="zh-CN"/>
              </w:rPr>
              <w:t>》，</w:t>
            </w:r>
            <w:r>
              <w:rPr>
                <w:rFonts w:hint="eastAsia" w:ascii="Times News Roman" w:hAnsi="Times News Roman" w:eastAsia="楷体"/>
                <w:color w:val="auto"/>
                <w:sz w:val="24"/>
                <w:highlight w:val="none"/>
                <w:lang w:val="en-US" w:eastAsia="zh-CN"/>
              </w:rPr>
              <w:t>与项目公司签署</w:t>
            </w:r>
            <w:r>
              <w:rPr>
                <w:rFonts w:hint="eastAsia" w:ascii="Times News Roman" w:hAnsi="Times News Roman" w:eastAsia="楷体"/>
                <w:color w:val="auto"/>
                <w:sz w:val="24"/>
                <w:highlight w:val="none"/>
              </w:rPr>
              <w:t>《</w:t>
            </w:r>
            <w:r>
              <w:rPr>
                <w:rFonts w:hint="eastAsia" w:ascii="Times News Roman" w:hAnsi="Times News Roman" w:eastAsia="楷体"/>
                <w:color w:val="auto"/>
                <w:sz w:val="24"/>
                <w:highlight w:val="none"/>
                <w:lang w:val="en-US" w:eastAsia="zh-CN"/>
              </w:rPr>
              <w:t>特许经营协议</w:t>
            </w:r>
            <w:r>
              <w:rPr>
                <w:rFonts w:hint="eastAsia" w:ascii="Times News Roman" w:hAnsi="Times News Roman" w:eastAsia="楷体"/>
                <w:color w:val="auto"/>
                <w:sz w:val="24"/>
                <w:highlight w:val="none"/>
              </w:rPr>
              <w:t>》</w:t>
            </w:r>
          </w:p>
        </w:tc>
      </w:tr>
      <w:tr w14:paraId="57928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301" w:type="pct"/>
            <w:vMerge w:val="continue"/>
          </w:tcPr>
          <w:p w14:paraId="61768E7A">
            <w:pPr>
              <w:rPr>
                <w:rFonts w:hint="eastAsia" w:ascii="Times News Roman" w:hAnsi="Times News Roman" w:eastAsia="楷体"/>
                <w:color w:val="auto"/>
                <w:sz w:val="24"/>
                <w:highlight w:val="none"/>
              </w:rPr>
            </w:pPr>
          </w:p>
        </w:tc>
        <w:tc>
          <w:tcPr>
            <w:tcW w:w="3698" w:type="pct"/>
            <w:vAlign w:val="center"/>
          </w:tcPr>
          <w:p w14:paraId="54554A44">
            <w:pPr>
              <w:rPr>
                <w:rFonts w:hint="eastAsia" w:ascii="Times News Roman" w:hAnsi="Times News Roman" w:eastAsia="楷体"/>
                <w:color w:val="auto"/>
                <w:sz w:val="24"/>
                <w:highlight w:val="none"/>
                <w:lang w:val="en-US" w:eastAsia="zh-CN"/>
              </w:rPr>
            </w:pPr>
            <w:r>
              <w:rPr>
                <w:rFonts w:hint="eastAsia" w:ascii="Times News Roman" w:hAnsi="Times News Roman" w:eastAsia="楷体"/>
                <w:color w:val="auto"/>
                <w:sz w:val="24"/>
                <w:highlight w:val="none"/>
              </w:rPr>
              <w:t>项目组织实施</w:t>
            </w:r>
            <w:r>
              <w:rPr>
                <w:rFonts w:hint="eastAsia" w:ascii="Times News Roman" w:hAnsi="Times News Roman" w:eastAsia="楷体"/>
                <w:color w:val="auto"/>
                <w:sz w:val="24"/>
                <w:highlight w:val="none"/>
                <w:lang w:val="en-US" w:eastAsia="zh-CN"/>
              </w:rPr>
              <w:t>监管</w:t>
            </w:r>
          </w:p>
        </w:tc>
      </w:tr>
      <w:tr w14:paraId="7AFED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301" w:type="pct"/>
            <w:vMerge w:val="continue"/>
          </w:tcPr>
          <w:p w14:paraId="24505D7A">
            <w:pPr>
              <w:rPr>
                <w:rFonts w:hint="eastAsia" w:ascii="Times News Roman" w:hAnsi="Times News Roman" w:eastAsia="楷体"/>
                <w:color w:val="auto"/>
                <w:sz w:val="24"/>
                <w:highlight w:val="none"/>
              </w:rPr>
            </w:pPr>
          </w:p>
        </w:tc>
        <w:tc>
          <w:tcPr>
            <w:tcW w:w="3698" w:type="pct"/>
            <w:vAlign w:val="center"/>
          </w:tcPr>
          <w:p w14:paraId="59D38C1F">
            <w:pPr>
              <w:rPr>
                <w:rFonts w:hint="eastAsia" w:ascii="Times News Roman" w:hAnsi="Times News Roman" w:eastAsia="楷体"/>
                <w:color w:val="auto"/>
                <w:sz w:val="24"/>
                <w:highlight w:val="none"/>
                <w:lang w:eastAsia="zh-CN"/>
              </w:rPr>
            </w:pPr>
            <w:r>
              <w:rPr>
                <w:rFonts w:hint="eastAsia" w:ascii="Times News Roman" w:hAnsi="Times News Roman" w:eastAsia="楷体"/>
                <w:color w:val="auto"/>
                <w:sz w:val="24"/>
                <w:highlight w:val="none"/>
                <w:lang w:eastAsia="zh-CN"/>
              </w:rPr>
              <w:t>定期组织对本项目运营成本进行审计</w:t>
            </w:r>
          </w:p>
        </w:tc>
      </w:tr>
      <w:tr w14:paraId="4D24B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301" w:type="pct"/>
            <w:vMerge w:val="continue"/>
          </w:tcPr>
          <w:p w14:paraId="3FECE424">
            <w:pPr>
              <w:rPr>
                <w:rFonts w:hint="eastAsia" w:ascii="Times News Roman" w:hAnsi="Times News Roman" w:eastAsia="楷体"/>
                <w:color w:val="auto"/>
                <w:sz w:val="24"/>
                <w:highlight w:val="none"/>
              </w:rPr>
            </w:pPr>
          </w:p>
        </w:tc>
        <w:tc>
          <w:tcPr>
            <w:tcW w:w="3698" w:type="pct"/>
            <w:vAlign w:val="center"/>
          </w:tcPr>
          <w:p w14:paraId="26EEF715">
            <w:pPr>
              <w:rPr>
                <w:rFonts w:hint="eastAsia" w:ascii="Times News Roman" w:hAnsi="Times News Roman" w:eastAsia="楷体"/>
                <w:color w:val="auto"/>
                <w:sz w:val="24"/>
                <w:highlight w:val="none"/>
              </w:rPr>
            </w:pPr>
            <w:r>
              <w:rPr>
                <w:rFonts w:hint="eastAsia" w:ascii="Times News Roman" w:hAnsi="Times News Roman" w:eastAsia="楷体"/>
                <w:color w:val="auto"/>
                <w:sz w:val="24"/>
                <w:highlight w:val="none"/>
              </w:rPr>
              <w:t>项目运营</w:t>
            </w:r>
            <w:r>
              <w:rPr>
                <w:rFonts w:hint="eastAsia" w:ascii="Times News Roman" w:hAnsi="Times News Roman" w:eastAsia="楷体"/>
                <w:color w:val="auto"/>
                <w:sz w:val="24"/>
                <w:highlight w:val="none"/>
                <w:lang w:val="en-US" w:eastAsia="zh-CN"/>
              </w:rPr>
              <w:t>评价及中期评估</w:t>
            </w:r>
            <w:r>
              <w:rPr>
                <w:rFonts w:hint="eastAsia" w:ascii="Times News Roman" w:hAnsi="Times News Roman" w:eastAsia="楷体"/>
                <w:color w:val="auto"/>
                <w:sz w:val="24"/>
                <w:highlight w:val="none"/>
              </w:rPr>
              <w:t>、绩效评价</w:t>
            </w:r>
          </w:p>
        </w:tc>
      </w:tr>
      <w:tr w14:paraId="3AC62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301" w:type="pct"/>
            <w:vMerge w:val="continue"/>
          </w:tcPr>
          <w:p w14:paraId="5076D2FF">
            <w:pPr>
              <w:rPr>
                <w:rFonts w:hint="eastAsia" w:ascii="Times News Roman" w:hAnsi="Times News Roman" w:eastAsia="楷体"/>
                <w:color w:val="auto"/>
                <w:sz w:val="24"/>
                <w:highlight w:val="none"/>
              </w:rPr>
            </w:pPr>
          </w:p>
        </w:tc>
        <w:tc>
          <w:tcPr>
            <w:tcW w:w="3698" w:type="pct"/>
            <w:vAlign w:val="center"/>
          </w:tcPr>
          <w:p w14:paraId="15BAF3B6">
            <w:pPr>
              <w:rPr>
                <w:rFonts w:hint="eastAsia" w:ascii="Times News Roman" w:hAnsi="Times News Roman" w:eastAsia="楷体"/>
                <w:color w:val="auto"/>
                <w:sz w:val="24"/>
                <w:highlight w:val="none"/>
              </w:rPr>
            </w:pPr>
            <w:r>
              <w:rPr>
                <w:rFonts w:hint="eastAsia" w:ascii="Times News Roman" w:hAnsi="Times News Roman" w:eastAsia="楷体"/>
                <w:color w:val="auto"/>
                <w:sz w:val="24"/>
                <w:highlight w:val="none"/>
                <w:lang w:eastAsia="zh-CN"/>
              </w:rPr>
              <w:t>特许经营期</w:t>
            </w:r>
            <w:r>
              <w:rPr>
                <w:rFonts w:hint="eastAsia" w:ascii="Times News Roman" w:hAnsi="Times News Roman" w:eastAsia="楷体"/>
                <w:color w:val="auto"/>
                <w:sz w:val="24"/>
                <w:highlight w:val="none"/>
              </w:rPr>
              <w:t>满移交</w:t>
            </w:r>
            <w:r>
              <w:rPr>
                <w:rFonts w:hint="eastAsia" w:ascii="Times News Roman" w:hAnsi="Times News Roman" w:eastAsia="楷体"/>
                <w:color w:val="auto"/>
                <w:sz w:val="24"/>
                <w:highlight w:val="none"/>
                <w:lang w:val="en-US" w:eastAsia="zh-CN"/>
              </w:rPr>
              <w:t>接收</w:t>
            </w:r>
            <w:r>
              <w:rPr>
                <w:rFonts w:hint="eastAsia" w:ascii="Times News Roman" w:hAnsi="Times News Roman" w:eastAsia="楷体"/>
                <w:color w:val="auto"/>
                <w:sz w:val="24"/>
                <w:highlight w:val="none"/>
              </w:rPr>
              <w:t>等工作</w:t>
            </w:r>
          </w:p>
        </w:tc>
      </w:tr>
    </w:tbl>
    <w:p w14:paraId="197CBA34">
      <w:pPr>
        <w:widowControl/>
        <w:spacing w:before="0" w:line="240" w:lineRule="auto"/>
        <w:ind w:firstLine="560" w:firstLineChars="200"/>
        <w:outlineLvl w:val="9"/>
        <w:rPr>
          <w:rFonts w:hint="eastAsia" w:ascii="Times News Roman" w:hAnsi="Times News Roman" w:eastAsia="楷体"/>
          <w:b w:val="0"/>
          <w:bCs w:val="0"/>
          <w:color w:val="auto"/>
          <w:sz w:val="28"/>
          <w:szCs w:val="28"/>
          <w:highlight w:val="none"/>
        </w:rPr>
      </w:pPr>
      <w:r>
        <w:rPr>
          <w:rFonts w:hint="eastAsia" w:ascii="Times News Roman" w:hAnsi="Times News Roman" w:eastAsia="楷体"/>
          <w:b w:val="0"/>
          <w:bCs w:val="0"/>
          <w:color w:val="auto"/>
          <w:sz w:val="28"/>
          <w:szCs w:val="28"/>
          <w:highlight w:val="none"/>
          <w:lang w:val="en-US" w:eastAsia="zh-CN"/>
        </w:rPr>
        <w:t>2）</w:t>
      </w:r>
      <w:r>
        <w:rPr>
          <w:rFonts w:hint="eastAsia" w:ascii="Times News Roman" w:hAnsi="Times News Roman" w:eastAsia="楷体"/>
          <w:b w:val="0"/>
          <w:bCs w:val="0"/>
          <w:color w:val="auto"/>
          <w:sz w:val="28"/>
          <w:szCs w:val="28"/>
          <w:highlight w:val="none"/>
        </w:rPr>
        <w:t>区有关职能部门职责</w:t>
      </w:r>
    </w:p>
    <w:p w14:paraId="524F5F75">
      <w:pPr>
        <w:widowControl/>
        <w:ind w:firstLine="560" w:firstLineChars="200"/>
        <w:rPr>
          <w:rFonts w:hint="eastAsia" w:ascii="Times News Roman" w:hAnsi="Times News Roman" w:eastAsia="楷体"/>
          <w:color w:val="auto"/>
          <w:sz w:val="28"/>
          <w:szCs w:val="28"/>
          <w:highlight w:val="none"/>
        </w:rPr>
      </w:pPr>
      <w:r>
        <w:rPr>
          <w:rFonts w:hint="eastAsia" w:ascii="Times News Roman" w:hAnsi="Times News Roman" w:eastAsia="楷体"/>
          <w:color w:val="auto"/>
          <w:sz w:val="28"/>
          <w:szCs w:val="28"/>
          <w:highlight w:val="none"/>
          <w:lang w:eastAsia="zh-CN"/>
        </w:rPr>
        <w:t>结合</w:t>
      </w:r>
      <w:r>
        <w:rPr>
          <w:rFonts w:hint="eastAsia" w:ascii="Times News Roman" w:hAnsi="Times News Roman" w:eastAsia="楷体"/>
          <w:color w:val="auto"/>
          <w:sz w:val="28"/>
          <w:szCs w:val="28"/>
          <w:highlight w:val="none"/>
        </w:rPr>
        <w:t>PPP</w:t>
      </w:r>
      <w:r>
        <w:rPr>
          <w:rFonts w:hint="eastAsia" w:ascii="Times News Roman" w:hAnsi="Times News Roman" w:eastAsia="楷体"/>
          <w:color w:val="auto"/>
          <w:sz w:val="28"/>
          <w:szCs w:val="28"/>
          <w:highlight w:val="none"/>
          <w:lang w:val="en-US" w:eastAsia="zh-CN"/>
        </w:rPr>
        <w:t>新机制</w:t>
      </w:r>
      <w:r>
        <w:rPr>
          <w:rFonts w:hint="eastAsia" w:ascii="Times News Roman" w:hAnsi="Times News Roman" w:eastAsia="楷体"/>
          <w:color w:val="auto"/>
          <w:sz w:val="28"/>
          <w:szCs w:val="28"/>
          <w:highlight w:val="none"/>
        </w:rPr>
        <w:t>相关政策要求，</w:t>
      </w:r>
      <w:r>
        <w:rPr>
          <w:rFonts w:hint="eastAsia" w:ascii="Times News Roman" w:hAnsi="Times News Roman" w:eastAsia="楷体"/>
          <w:color w:val="auto"/>
          <w:sz w:val="28"/>
          <w:szCs w:val="28"/>
          <w:highlight w:val="none"/>
          <w:lang w:val="en-US" w:eastAsia="zh-CN"/>
        </w:rPr>
        <w:t>江都</w:t>
      </w:r>
      <w:r>
        <w:rPr>
          <w:rFonts w:hint="eastAsia" w:ascii="Times News Roman" w:hAnsi="Times News Roman" w:eastAsia="楷体"/>
          <w:color w:val="auto"/>
          <w:sz w:val="28"/>
          <w:szCs w:val="28"/>
          <w:highlight w:val="none"/>
        </w:rPr>
        <w:t>区有关职能部门对本</w:t>
      </w:r>
      <w:r>
        <w:rPr>
          <w:rFonts w:hint="eastAsia" w:ascii="Times News Roman" w:hAnsi="Times News Roman" w:eastAsia="楷体"/>
          <w:color w:val="auto"/>
          <w:sz w:val="28"/>
          <w:szCs w:val="28"/>
          <w:highlight w:val="none"/>
          <w:lang w:val="en-US" w:eastAsia="zh-CN"/>
        </w:rPr>
        <w:t>项目实施特许经营模式</w:t>
      </w:r>
      <w:r>
        <w:rPr>
          <w:rFonts w:hint="eastAsia" w:ascii="Times News Roman" w:hAnsi="Times News Roman" w:eastAsia="楷体"/>
          <w:color w:val="auto"/>
          <w:sz w:val="28"/>
          <w:szCs w:val="28"/>
          <w:highlight w:val="none"/>
        </w:rPr>
        <w:t>实施监督管理职责如下：</w:t>
      </w:r>
    </w:p>
    <w:p w14:paraId="33ED5DEE">
      <w:pPr>
        <w:widowControl/>
        <w:spacing w:line="240" w:lineRule="auto"/>
        <w:ind w:firstLine="560" w:firstLineChars="200"/>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val="en-US" w:eastAsia="zh-CN"/>
        </w:rPr>
        <w:t>①</w:t>
      </w:r>
      <w:r>
        <w:rPr>
          <w:rFonts w:hint="default" w:ascii="Times New Roman" w:hAnsi="Times New Roman" w:eastAsia="楷体" w:cs="Times New Roman"/>
          <w:color w:val="auto"/>
          <w:sz w:val="28"/>
          <w:szCs w:val="28"/>
          <w:highlight w:val="none"/>
        </w:rPr>
        <w:t>区财政局负责牵头组织编制收支预算，统筹安排财政资金，对项目资金的来源、使用等情况进行监管；对实施机构的</w:t>
      </w:r>
      <w:r>
        <w:rPr>
          <w:rFonts w:hint="default" w:ascii="Times New Roman" w:hAnsi="Times New Roman" w:eastAsia="楷体" w:cs="Times New Roman"/>
          <w:color w:val="auto"/>
          <w:sz w:val="28"/>
          <w:szCs w:val="28"/>
          <w:highlight w:val="none"/>
          <w:lang w:val="en-US" w:eastAsia="zh-CN"/>
        </w:rPr>
        <w:t>季度、</w:t>
      </w:r>
      <w:r>
        <w:rPr>
          <w:rFonts w:hint="default" w:ascii="Times New Roman" w:hAnsi="Times New Roman" w:eastAsia="楷体" w:cs="Times New Roman"/>
          <w:color w:val="auto"/>
          <w:sz w:val="28"/>
          <w:szCs w:val="28"/>
          <w:highlight w:val="none"/>
        </w:rPr>
        <w:t>年度绩效付费的合理性及</w:t>
      </w:r>
      <w:r>
        <w:rPr>
          <w:rFonts w:hint="default" w:ascii="Times New Roman" w:hAnsi="Times New Roman" w:eastAsia="楷体" w:cs="Times New Roman"/>
          <w:color w:val="auto"/>
          <w:sz w:val="28"/>
          <w:szCs w:val="28"/>
          <w:highlight w:val="none"/>
          <w:lang w:eastAsia="zh-CN"/>
        </w:rPr>
        <w:t>特许经营者或其组建的</w:t>
      </w:r>
      <w:r>
        <w:rPr>
          <w:rFonts w:hint="default" w:ascii="Times New Roman" w:hAnsi="Times New Roman" w:eastAsia="楷体" w:cs="Times New Roman"/>
          <w:color w:val="auto"/>
          <w:sz w:val="28"/>
          <w:szCs w:val="28"/>
          <w:highlight w:val="none"/>
        </w:rPr>
        <w:t>项目公司的财务制度、账户、收支合理性进行监管；负责</w:t>
      </w:r>
      <w:r>
        <w:rPr>
          <w:rFonts w:hint="default" w:ascii="Times New Roman" w:hAnsi="Times New Roman" w:eastAsia="楷体" w:cs="Times New Roman"/>
          <w:color w:val="auto"/>
          <w:sz w:val="28"/>
          <w:szCs w:val="28"/>
          <w:highlight w:val="none"/>
          <w:lang w:val="en-US" w:eastAsia="zh-CN"/>
        </w:rPr>
        <w:t>特许经营</w:t>
      </w:r>
      <w:r>
        <w:rPr>
          <w:rFonts w:hint="default" w:ascii="Times New Roman" w:hAnsi="Times New Roman" w:eastAsia="楷体" w:cs="Times New Roman"/>
          <w:color w:val="auto"/>
          <w:sz w:val="28"/>
          <w:szCs w:val="28"/>
          <w:highlight w:val="none"/>
        </w:rPr>
        <w:t>项目国有资产的监督管理。</w:t>
      </w:r>
    </w:p>
    <w:p w14:paraId="090ED1BB">
      <w:pPr>
        <w:spacing w:line="360" w:lineRule="auto"/>
        <w:ind w:firstLine="560" w:firstLineChars="200"/>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val="en-US" w:eastAsia="zh-CN"/>
        </w:rPr>
        <w:t>②</w:t>
      </w:r>
      <w:r>
        <w:rPr>
          <w:rFonts w:hint="default" w:ascii="Times New Roman" w:hAnsi="Times New Roman" w:eastAsia="楷体" w:cs="Times New Roman"/>
          <w:color w:val="auto"/>
          <w:sz w:val="28"/>
          <w:szCs w:val="28"/>
          <w:highlight w:val="none"/>
        </w:rPr>
        <w:t>区发改委负责</w:t>
      </w:r>
      <w:r>
        <w:rPr>
          <w:rFonts w:hint="default" w:ascii="Times New Roman" w:hAnsi="Times New Roman" w:eastAsia="楷体" w:cs="Times New Roman"/>
          <w:color w:val="auto"/>
          <w:sz w:val="28"/>
          <w:szCs w:val="28"/>
          <w:highlight w:val="none"/>
          <w:lang w:val="en-US" w:eastAsia="zh-CN"/>
        </w:rPr>
        <w:t>实施方案审核</w:t>
      </w:r>
      <w:r>
        <w:rPr>
          <w:rFonts w:hint="default" w:ascii="Times New Roman" w:hAnsi="Times New Roman" w:eastAsia="楷体" w:cs="Times New Roman"/>
          <w:color w:val="auto"/>
          <w:sz w:val="28"/>
          <w:szCs w:val="28"/>
          <w:highlight w:val="none"/>
        </w:rPr>
        <w:t>，</w:t>
      </w:r>
      <w:r>
        <w:rPr>
          <w:rFonts w:hint="default" w:ascii="Times New Roman" w:hAnsi="Times New Roman" w:eastAsia="楷体" w:cs="Times New Roman"/>
          <w:color w:val="auto"/>
          <w:sz w:val="28"/>
          <w:szCs w:val="28"/>
          <w:highlight w:val="none"/>
          <w:lang w:val="en-US" w:eastAsia="zh-CN"/>
        </w:rPr>
        <w:t>指导项目入库</w:t>
      </w:r>
      <w:r>
        <w:rPr>
          <w:rFonts w:hint="eastAsia" w:ascii="Times New Roman" w:hAnsi="Times New Roman" w:eastAsia="楷体" w:cs="Times New Roman"/>
          <w:color w:val="auto"/>
          <w:sz w:val="28"/>
          <w:szCs w:val="28"/>
          <w:highlight w:val="none"/>
          <w:lang w:val="en-US" w:eastAsia="zh-CN"/>
        </w:rPr>
        <w:t>；必要情况下开展成本监审、污水处理费调价等工作</w:t>
      </w:r>
      <w:r>
        <w:rPr>
          <w:rFonts w:hint="default" w:ascii="Times New Roman" w:hAnsi="Times New Roman" w:eastAsia="楷体" w:cs="Times New Roman"/>
          <w:color w:val="auto"/>
          <w:sz w:val="28"/>
          <w:szCs w:val="28"/>
          <w:highlight w:val="none"/>
        </w:rPr>
        <w:t>。</w:t>
      </w:r>
    </w:p>
    <w:p w14:paraId="54BFA2A2">
      <w:pPr>
        <w:spacing w:line="360" w:lineRule="auto"/>
        <w:ind w:firstLine="560" w:firstLineChars="200"/>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val="en-US" w:eastAsia="zh-CN"/>
        </w:rPr>
        <w:t>③</w:t>
      </w:r>
      <w:r>
        <w:rPr>
          <w:rFonts w:hint="default" w:ascii="Times New Roman" w:hAnsi="Times New Roman" w:eastAsia="楷体" w:cs="Times New Roman"/>
          <w:color w:val="auto"/>
          <w:sz w:val="28"/>
          <w:szCs w:val="28"/>
          <w:highlight w:val="none"/>
        </w:rPr>
        <w:t>区司法局负责</w:t>
      </w:r>
      <w:r>
        <w:rPr>
          <w:rFonts w:hint="default" w:ascii="Times New Roman" w:hAnsi="Times New Roman" w:eastAsia="楷体" w:cs="Times New Roman"/>
          <w:color w:val="auto"/>
          <w:sz w:val="28"/>
          <w:szCs w:val="28"/>
          <w:highlight w:val="none"/>
          <w:lang w:val="en-US" w:eastAsia="zh-CN"/>
        </w:rPr>
        <w:t>本次</w:t>
      </w:r>
      <w:r>
        <w:rPr>
          <w:rFonts w:hint="default" w:ascii="Times New Roman" w:hAnsi="Times New Roman" w:eastAsia="楷体" w:cs="Times New Roman"/>
          <w:color w:val="auto"/>
          <w:sz w:val="28"/>
          <w:szCs w:val="28"/>
          <w:highlight w:val="none"/>
        </w:rPr>
        <w:t>合作中有关协议、合同的合法合规性审查，并在项目推进过程中提供相关法律咨询服务等工作。</w:t>
      </w:r>
    </w:p>
    <w:p w14:paraId="455E8ADC">
      <w:pPr>
        <w:spacing w:line="360" w:lineRule="auto"/>
        <w:ind w:firstLine="560" w:firstLineChars="200"/>
        <w:rPr>
          <w:rFonts w:hint="eastAsia" w:ascii="Times New Roman" w:hAnsi="Times New Roman" w:eastAsia="楷体" w:cs="Times New Roman"/>
          <w:color w:val="auto"/>
          <w:sz w:val="28"/>
          <w:szCs w:val="28"/>
          <w:highlight w:val="none"/>
          <w:lang w:val="en-US" w:eastAsia="zh-CN"/>
        </w:rPr>
      </w:pPr>
      <w:r>
        <w:rPr>
          <w:rFonts w:hint="default" w:ascii="Times New Roman" w:hAnsi="Times New Roman" w:eastAsia="楷体" w:cs="Times New Roman"/>
          <w:color w:val="auto"/>
          <w:sz w:val="28"/>
          <w:szCs w:val="28"/>
          <w:highlight w:val="none"/>
          <w:lang w:val="en-US" w:eastAsia="zh-CN"/>
        </w:rPr>
        <w:t>④</w:t>
      </w:r>
      <w:r>
        <w:rPr>
          <w:rFonts w:hint="eastAsia" w:ascii="Times New Roman" w:hAnsi="Times New Roman" w:eastAsia="楷体" w:cs="Times New Roman"/>
          <w:color w:val="auto"/>
          <w:sz w:val="28"/>
          <w:szCs w:val="28"/>
          <w:highlight w:val="none"/>
          <w:lang w:val="en-US" w:eastAsia="zh-CN"/>
        </w:rPr>
        <w:t>区生态环境局，实施项目全周期环境监管，核发排污许可证，通过在线联网、监督性监测管控出水达标，同步监管厂区臭气噪声、污泥闭环处置，督促企业落实自行监测与环境应急管理，依托水质考核倒逼项目稳定达标运行。</w:t>
      </w:r>
    </w:p>
    <w:p w14:paraId="6FA9A2C7">
      <w:pPr>
        <w:spacing w:line="360" w:lineRule="auto"/>
        <w:ind w:firstLine="560" w:firstLineChars="200"/>
        <w:rPr>
          <w:rFonts w:hint="default" w:ascii="Times New Roman" w:hAnsi="Times New Roman" w:eastAsia="楷体" w:cs="Times New Roman"/>
          <w:color w:val="auto"/>
          <w:sz w:val="28"/>
          <w:szCs w:val="28"/>
          <w:highlight w:val="none"/>
          <w:lang w:val="en-US" w:eastAsia="zh-CN"/>
        </w:rPr>
      </w:pPr>
      <w:r>
        <w:rPr>
          <w:rFonts w:hint="eastAsia" w:ascii="Times New Roman" w:hAnsi="Times New Roman" w:eastAsia="楷体" w:cs="Times New Roman"/>
          <w:color w:val="auto"/>
          <w:sz w:val="28"/>
          <w:szCs w:val="28"/>
          <w:highlight w:val="none"/>
          <w:lang w:val="en-US" w:eastAsia="zh-CN"/>
        </w:rPr>
        <w:t>⑤区审计局，根据《中华人民共和国审计法》《中华人民共和国审计法实施条例》《基础设施和公用事业特许经营管理办法》等法律法规、规章，依法对特许经营活动进行审计。</w:t>
      </w:r>
    </w:p>
    <w:p w14:paraId="1FA2B101">
      <w:pPr>
        <w:pStyle w:val="5"/>
        <w:numPr>
          <w:ilvl w:val="0"/>
          <w:numId w:val="0"/>
        </w:numPr>
        <w:spacing w:before="20" w:after="20" w:line="360" w:lineRule="auto"/>
        <w:ind w:firstLine="602" w:firstLineChars="200"/>
        <w:rPr>
          <w:rFonts w:hint="eastAsia" w:ascii="Times New Roman" w:hAnsi="Times New Roman" w:eastAsia="楷体" w:cs="Times New Roman"/>
          <w:color w:val="auto"/>
          <w:sz w:val="30"/>
          <w:szCs w:val="30"/>
          <w:highlight w:val="none"/>
          <w:lang w:val="en-US" w:eastAsia="zh-CN"/>
        </w:rPr>
      </w:pPr>
      <w:r>
        <w:rPr>
          <w:rFonts w:hint="eastAsia" w:ascii="Times New Roman" w:hAnsi="Times New Roman" w:eastAsia="楷体" w:cs="Times New Roman"/>
          <w:color w:val="auto"/>
          <w:kern w:val="2"/>
          <w:sz w:val="30"/>
          <w:szCs w:val="30"/>
          <w:highlight w:val="none"/>
          <w:lang w:val="en-US" w:eastAsia="zh-CN" w:bidi="ar-SA"/>
        </w:rPr>
        <w:t>6、</w:t>
      </w:r>
      <w:r>
        <w:rPr>
          <w:rFonts w:hint="eastAsia" w:ascii="Times New Roman" w:hAnsi="Times New Roman" w:eastAsia="楷体" w:cs="Times New Roman"/>
          <w:color w:val="auto"/>
          <w:sz w:val="30"/>
          <w:szCs w:val="30"/>
          <w:highlight w:val="none"/>
          <w:lang w:val="en-US" w:eastAsia="zh-CN"/>
        </w:rPr>
        <w:t>股权变更</w:t>
      </w:r>
    </w:p>
    <w:p w14:paraId="57AF702B">
      <w:pPr>
        <w:ind w:firstLine="560"/>
        <w:rPr>
          <w:rFonts w:hint="eastAsia" w:ascii="Times News Roman" w:hAnsi="Times News Roman" w:eastAsia="楷体"/>
          <w:color w:val="auto"/>
          <w:sz w:val="28"/>
          <w:szCs w:val="28"/>
          <w:highlight w:val="none"/>
        </w:rPr>
      </w:pPr>
      <w:r>
        <w:rPr>
          <w:rFonts w:hint="eastAsia" w:ascii="Times News Roman" w:hAnsi="Times News Roman" w:eastAsia="楷体"/>
          <w:color w:val="auto"/>
          <w:sz w:val="28"/>
          <w:szCs w:val="28"/>
          <w:highlight w:val="none"/>
          <w:lang w:val="en-US" w:eastAsia="zh-CN"/>
        </w:rPr>
        <w:t>在特许经营者组建项目公司的前提下，</w:t>
      </w:r>
      <w:r>
        <w:rPr>
          <w:rFonts w:hint="eastAsia" w:ascii="Times News Roman" w:hAnsi="Times News Roman" w:eastAsia="楷体"/>
          <w:color w:val="auto"/>
          <w:sz w:val="28"/>
          <w:szCs w:val="28"/>
          <w:highlight w:val="none"/>
        </w:rPr>
        <w:t>为了保证项目公司的稳定经营，应对社会资本方</w:t>
      </w:r>
      <w:r>
        <w:rPr>
          <w:rFonts w:hint="eastAsia" w:ascii="Times News Roman" w:hAnsi="Times News Roman" w:eastAsia="楷体"/>
          <w:color w:val="auto"/>
          <w:sz w:val="28"/>
          <w:szCs w:val="28"/>
          <w:highlight w:val="none"/>
          <w:lang w:eastAsia="zh-CN"/>
        </w:rPr>
        <w:t>（</w:t>
      </w:r>
      <w:r>
        <w:rPr>
          <w:rFonts w:hint="eastAsia" w:ascii="Times News Roman" w:hAnsi="Times News Roman" w:eastAsia="楷体"/>
          <w:color w:val="auto"/>
          <w:sz w:val="28"/>
          <w:szCs w:val="28"/>
          <w:highlight w:val="none"/>
          <w:lang w:val="en-US" w:eastAsia="zh-CN"/>
        </w:rPr>
        <w:t>即中选的特许经营者</w:t>
      </w:r>
      <w:r>
        <w:rPr>
          <w:rFonts w:hint="eastAsia" w:ascii="Times News Roman" w:hAnsi="Times News Roman" w:eastAsia="楷体"/>
          <w:color w:val="auto"/>
          <w:sz w:val="28"/>
          <w:szCs w:val="28"/>
          <w:highlight w:val="none"/>
          <w:lang w:eastAsia="zh-CN"/>
        </w:rPr>
        <w:t>）</w:t>
      </w:r>
      <w:r>
        <w:rPr>
          <w:rFonts w:hint="eastAsia" w:ascii="Times News Roman" w:hAnsi="Times News Roman" w:eastAsia="楷体"/>
          <w:color w:val="auto"/>
          <w:sz w:val="28"/>
          <w:szCs w:val="28"/>
          <w:highlight w:val="none"/>
        </w:rPr>
        <w:t>享有的项目公司股权变更作如下约定：</w:t>
      </w:r>
    </w:p>
    <w:p w14:paraId="32978773">
      <w:pPr>
        <w:ind w:firstLine="560"/>
        <w:rPr>
          <w:rFonts w:hint="eastAsia" w:ascii="Times News Roman" w:hAnsi="Times News Roman" w:eastAsia="楷体"/>
          <w:color w:val="auto"/>
          <w:sz w:val="28"/>
          <w:szCs w:val="28"/>
          <w:highlight w:val="none"/>
        </w:rPr>
      </w:pPr>
      <w:r>
        <w:rPr>
          <w:rFonts w:hint="eastAsia" w:ascii="Times News Roman" w:hAnsi="Times News Roman" w:eastAsia="楷体"/>
          <w:color w:val="auto"/>
          <w:sz w:val="28"/>
          <w:szCs w:val="28"/>
          <w:highlight w:val="none"/>
        </w:rPr>
        <w:t>在股权锁定期内，非取得政府方书面同意的，社会资本方不得将其在项目公司拥有的股权进行全部或部分转让。</w:t>
      </w:r>
    </w:p>
    <w:p w14:paraId="0BCF73F8">
      <w:pPr>
        <w:ind w:firstLine="560" w:firstLineChars="200"/>
        <w:rPr>
          <w:rFonts w:hint="eastAsia" w:ascii="Times News Roman" w:hAnsi="Times News Roman" w:eastAsia="楷体"/>
          <w:color w:val="auto"/>
          <w:sz w:val="28"/>
          <w:szCs w:val="28"/>
          <w:highlight w:val="none"/>
        </w:rPr>
      </w:pPr>
      <w:r>
        <w:rPr>
          <w:rFonts w:hint="eastAsia" w:ascii="Times News Roman" w:hAnsi="Times News Roman" w:eastAsia="楷体"/>
          <w:color w:val="auto"/>
          <w:sz w:val="28"/>
          <w:szCs w:val="28"/>
          <w:highlight w:val="none"/>
        </w:rPr>
        <w:t>自</w:t>
      </w:r>
      <w:r>
        <w:rPr>
          <w:rFonts w:hint="eastAsia" w:ascii="Times News Roman" w:hAnsi="Times News Roman" w:eastAsia="楷体"/>
          <w:color w:val="auto"/>
          <w:sz w:val="28"/>
          <w:szCs w:val="28"/>
          <w:highlight w:val="none"/>
          <w:lang w:val="en-US" w:eastAsia="zh-CN"/>
        </w:rPr>
        <w:t>特许经营协议生效之日</w:t>
      </w:r>
      <w:r>
        <w:rPr>
          <w:rFonts w:hint="eastAsia" w:ascii="Times News Roman" w:hAnsi="Times News Roman" w:eastAsia="楷体"/>
          <w:color w:val="auto"/>
          <w:sz w:val="28"/>
          <w:szCs w:val="28"/>
          <w:highlight w:val="none"/>
        </w:rPr>
        <w:t>起三（3）年内为股权锁定期。股权锁定期满后，经政府方书面同意，项目公司的股东可以转让其在项目公司中的全部或部分股权，但受让方应满足</w:t>
      </w:r>
      <w:r>
        <w:rPr>
          <w:rFonts w:hint="eastAsia" w:ascii="Times News Roman" w:hAnsi="Times News Roman" w:eastAsia="楷体"/>
          <w:color w:val="auto"/>
          <w:sz w:val="28"/>
          <w:szCs w:val="28"/>
          <w:highlight w:val="none"/>
          <w:lang w:val="en-US" w:eastAsia="zh-CN"/>
        </w:rPr>
        <w:t>特许经营协议</w:t>
      </w:r>
      <w:r>
        <w:rPr>
          <w:rFonts w:hint="eastAsia" w:ascii="Times News Roman" w:hAnsi="Times News Roman" w:eastAsia="楷体"/>
          <w:color w:val="auto"/>
          <w:sz w:val="28"/>
          <w:szCs w:val="28"/>
          <w:highlight w:val="none"/>
        </w:rPr>
        <w:t>以及招标文件中约定要求的技术能力、财务信用、运营经验等基本条件，不得影响公共安全和公共服务持续稳定提供，并且受让方以书面形式明确承继社会资本方在</w:t>
      </w:r>
      <w:r>
        <w:rPr>
          <w:rFonts w:hint="eastAsia" w:ascii="Times News Roman" w:hAnsi="Times News Roman" w:eastAsia="楷体"/>
          <w:color w:val="auto"/>
          <w:sz w:val="28"/>
          <w:szCs w:val="28"/>
          <w:highlight w:val="none"/>
          <w:lang w:val="en-US" w:eastAsia="zh-CN"/>
        </w:rPr>
        <w:t>特许经营协议</w:t>
      </w:r>
      <w:r>
        <w:rPr>
          <w:rFonts w:hint="eastAsia" w:ascii="Times News Roman" w:hAnsi="Times News Roman" w:eastAsia="楷体"/>
          <w:color w:val="auto"/>
          <w:sz w:val="28"/>
          <w:szCs w:val="28"/>
          <w:highlight w:val="none"/>
        </w:rPr>
        <w:t>中的权利和义务。</w:t>
      </w:r>
    </w:p>
    <w:p w14:paraId="06113CF2">
      <w:pPr>
        <w:ind w:firstLine="560"/>
        <w:rPr>
          <w:rFonts w:hint="eastAsia" w:ascii="Times News Roman" w:hAnsi="Times News Roman" w:eastAsia="楷体"/>
          <w:color w:val="auto"/>
          <w:sz w:val="28"/>
          <w:szCs w:val="28"/>
          <w:highlight w:val="none"/>
        </w:rPr>
      </w:pPr>
      <w:r>
        <w:rPr>
          <w:rFonts w:hint="eastAsia" w:ascii="Times News Roman" w:hAnsi="Times News Roman" w:eastAsia="楷体"/>
          <w:color w:val="auto"/>
          <w:sz w:val="28"/>
          <w:szCs w:val="28"/>
          <w:highlight w:val="none"/>
        </w:rPr>
        <w:t>社会资本方与股权受让方（下称“第三方”）应签订附条件生效的股权转让合同，自股权转让合同签订之日起，第三方进入试</w:t>
      </w:r>
      <w:r>
        <w:rPr>
          <w:rFonts w:hint="eastAsia" w:ascii="Times News Roman" w:hAnsi="Times News Roman" w:eastAsia="楷体"/>
          <w:color w:val="auto"/>
          <w:sz w:val="28"/>
          <w:szCs w:val="28"/>
          <w:highlight w:val="none"/>
          <w:lang w:val="en-US" w:eastAsia="zh-CN"/>
        </w:rPr>
        <w:t>运营</w:t>
      </w:r>
      <w:r>
        <w:rPr>
          <w:rFonts w:hint="eastAsia" w:ascii="Times News Roman" w:hAnsi="Times News Roman" w:eastAsia="楷体"/>
          <w:color w:val="auto"/>
          <w:sz w:val="28"/>
          <w:szCs w:val="28"/>
          <w:highlight w:val="none"/>
          <w:lang w:eastAsia="zh-CN"/>
        </w:rPr>
        <w:t>期</w:t>
      </w:r>
      <w:r>
        <w:rPr>
          <w:rFonts w:hint="eastAsia" w:ascii="Times News Roman" w:hAnsi="Times News Roman" w:eastAsia="楷体"/>
          <w:color w:val="auto"/>
          <w:sz w:val="28"/>
          <w:szCs w:val="28"/>
          <w:highlight w:val="none"/>
        </w:rPr>
        <w:t>（试</w:t>
      </w:r>
      <w:r>
        <w:rPr>
          <w:rFonts w:hint="eastAsia" w:ascii="Times News Roman" w:hAnsi="Times News Roman" w:eastAsia="楷体"/>
          <w:color w:val="auto"/>
          <w:sz w:val="28"/>
          <w:szCs w:val="28"/>
          <w:highlight w:val="none"/>
          <w:lang w:val="en-US" w:eastAsia="zh-CN"/>
        </w:rPr>
        <w:t>运营</w:t>
      </w:r>
      <w:r>
        <w:rPr>
          <w:rFonts w:hint="eastAsia" w:ascii="Times News Roman" w:hAnsi="Times News Roman" w:eastAsia="楷体"/>
          <w:color w:val="auto"/>
          <w:sz w:val="28"/>
          <w:szCs w:val="28"/>
          <w:highlight w:val="none"/>
          <w:lang w:eastAsia="zh-CN"/>
        </w:rPr>
        <w:t>期</w:t>
      </w:r>
      <w:r>
        <w:rPr>
          <w:rFonts w:hint="eastAsia" w:ascii="Times News Roman" w:hAnsi="Times News Roman" w:eastAsia="楷体"/>
          <w:color w:val="auto"/>
          <w:sz w:val="28"/>
          <w:szCs w:val="28"/>
          <w:highlight w:val="none"/>
        </w:rPr>
        <w:t>为1年）。在试</w:t>
      </w:r>
      <w:r>
        <w:rPr>
          <w:rFonts w:hint="eastAsia" w:ascii="Times News Roman" w:hAnsi="Times News Roman" w:eastAsia="楷体"/>
          <w:color w:val="auto"/>
          <w:sz w:val="28"/>
          <w:szCs w:val="28"/>
          <w:highlight w:val="none"/>
          <w:lang w:val="en-US" w:eastAsia="zh-CN"/>
        </w:rPr>
        <w:t>运营</w:t>
      </w:r>
      <w:r>
        <w:rPr>
          <w:rFonts w:hint="eastAsia" w:ascii="Times News Roman" w:hAnsi="Times News Roman" w:eastAsia="楷体"/>
          <w:color w:val="auto"/>
          <w:sz w:val="28"/>
          <w:szCs w:val="28"/>
          <w:highlight w:val="none"/>
          <w:lang w:eastAsia="zh-CN"/>
        </w:rPr>
        <w:t>期</w:t>
      </w:r>
      <w:r>
        <w:rPr>
          <w:rFonts w:hint="eastAsia" w:ascii="Times News Roman" w:hAnsi="Times News Roman" w:eastAsia="楷体"/>
          <w:color w:val="auto"/>
          <w:sz w:val="28"/>
          <w:szCs w:val="28"/>
          <w:highlight w:val="none"/>
        </w:rPr>
        <w:t>内，由社会资本方与第三方就本项目运营承担连带责任。试</w:t>
      </w:r>
      <w:r>
        <w:rPr>
          <w:rFonts w:hint="eastAsia" w:ascii="Times News Roman" w:hAnsi="Times News Roman" w:eastAsia="楷体"/>
          <w:color w:val="auto"/>
          <w:sz w:val="28"/>
          <w:szCs w:val="28"/>
          <w:highlight w:val="none"/>
          <w:lang w:val="en-US" w:eastAsia="zh-CN"/>
        </w:rPr>
        <w:t>运营</w:t>
      </w:r>
      <w:r>
        <w:rPr>
          <w:rFonts w:hint="eastAsia" w:ascii="Times News Roman" w:hAnsi="Times News Roman" w:eastAsia="楷体"/>
          <w:color w:val="auto"/>
          <w:sz w:val="28"/>
          <w:szCs w:val="28"/>
          <w:highlight w:val="none"/>
          <w:lang w:eastAsia="zh-CN"/>
        </w:rPr>
        <w:t>期</w:t>
      </w:r>
      <w:r>
        <w:rPr>
          <w:rFonts w:hint="eastAsia" w:ascii="Times News Roman" w:hAnsi="Times News Roman" w:eastAsia="楷体"/>
          <w:color w:val="auto"/>
          <w:sz w:val="28"/>
          <w:szCs w:val="28"/>
          <w:highlight w:val="none"/>
        </w:rPr>
        <w:t>结束后，经考核认定第三方对项目的运营结果不低于本项目运营标准与要求，能按照合同约定履行合同责任和义务的，第三方被证明合格的，经政府方书面同意，社会资本方与第三方的股权转让合同生效，社会资本方与第三方就本项目运营维护工作的连带责任解除。如第三方的运营管理工作低于本项目《</w:t>
      </w:r>
      <w:r>
        <w:rPr>
          <w:rFonts w:hint="eastAsia" w:ascii="Times News Roman" w:hAnsi="Times News Roman" w:eastAsia="楷体"/>
          <w:color w:val="auto"/>
          <w:sz w:val="28"/>
          <w:szCs w:val="28"/>
          <w:highlight w:val="none"/>
          <w:lang w:val="en-US" w:eastAsia="zh-CN"/>
        </w:rPr>
        <w:t>特许经营协议</w:t>
      </w:r>
      <w:r>
        <w:rPr>
          <w:rFonts w:hint="eastAsia" w:ascii="Times News Roman" w:hAnsi="Times News Roman" w:eastAsia="楷体"/>
          <w:color w:val="auto"/>
          <w:sz w:val="28"/>
          <w:szCs w:val="28"/>
          <w:highlight w:val="none"/>
        </w:rPr>
        <w:t>》以及招标文件等约定的运营管理标准、技术能力、财务信用、运营经验的，第三方被证明不合格的，社会资本方与第三方的股权转让合同应当视为不生效，社会资本方与第三方就运营不合格给政府方以及接受运营服务的对象造成的损失承担连带责任。</w:t>
      </w:r>
    </w:p>
    <w:p w14:paraId="0B050515">
      <w:pPr>
        <w:ind w:firstLine="560" w:firstLineChars="200"/>
        <w:rPr>
          <w:rFonts w:hint="eastAsia" w:ascii="Times News Roman" w:hAnsi="Times News Roman" w:eastAsia="楷体"/>
          <w:color w:val="auto"/>
          <w:sz w:val="28"/>
          <w:szCs w:val="28"/>
          <w:highlight w:val="none"/>
        </w:rPr>
      </w:pPr>
      <w:r>
        <w:rPr>
          <w:rFonts w:hint="eastAsia" w:ascii="Times News Roman" w:hAnsi="Times News Roman" w:eastAsia="楷体"/>
          <w:color w:val="auto"/>
          <w:sz w:val="28"/>
          <w:szCs w:val="28"/>
          <w:highlight w:val="none"/>
        </w:rPr>
        <w:t>对股权转让或变更的形式和限制在</w:t>
      </w:r>
      <w:r>
        <w:rPr>
          <w:rFonts w:hint="eastAsia" w:ascii="Times News Roman" w:hAnsi="Times News Roman" w:eastAsia="楷体"/>
          <w:color w:val="auto"/>
          <w:sz w:val="28"/>
          <w:szCs w:val="28"/>
          <w:highlight w:val="none"/>
          <w:lang w:val="en-US" w:eastAsia="zh-CN"/>
        </w:rPr>
        <w:t>特许经营协议</w:t>
      </w:r>
      <w:r>
        <w:rPr>
          <w:rFonts w:hint="eastAsia" w:ascii="Times News Roman" w:hAnsi="Times News Roman" w:eastAsia="楷体"/>
          <w:color w:val="auto"/>
          <w:sz w:val="28"/>
          <w:szCs w:val="28"/>
          <w:highlight w:val="none"/>
        </w:rPr>
        <w:t>中进行明确约定。一旦发生违反股权变更限制的情形，将直接认定为项目</w:t>
      </w:r>
      <w:r>
        <w:rPr>
          <w:rFonts w:hint="eastAsia" w:ascii="Times News Roman" w:hAnsi="Times News Roman" w:eastAsia="楷体"/>
          <w:color w:val="auto"/>
          <w:sz w:val="28"/>
          <w:szCs w:val="28"/>
          <w:highlight w:val="none"/>
          <w:lang w:eastAsia="zh-CN"/>
        </w:rPr>
        <w:t>公司</w:t>
      </w:r>
      <w:r>
        <w:rPr>
          <w:rFonts w:hint="eastAsia" w:ascii="Times News Roman" w:hAnsi="Times News Roman" w:eastAsia="楷体"/>
          <w:color w:val="auto"/>
          <w:sz w:val="28"/>
          <w:szCs w:val="28"/>
          <w:highlight w:val="none"/>
        </w:rPr>
        <w:t>具有严重的违约行为，政府方有权因该违约行为提前终止《</w:t>
      </w:r>
      <w:r>
        <w:rPr>
          <w:rFonts w:hint="eastAsia" w:ascii="Times News Roman" w:hAnsi="Times News Roman" w:eastAsia="楷体"/>
          <w:color w:val="auto"/>
          <w:sz w:val="28"/>
          <w:szCs w:val="28"/>
          <w:highlight w:val="none"/>
          <w:lang w:val="en-US" w:eastAsia="zh-CN"/>
        </w:rPr>
        <w:t>特许经营协议</w:t>
      </w:r>
      <w:r>
        <w:rPr>
          <w:rFonts w:hint="eastAsia" w:ascii="Times News Roman" w:hAnsi="Times News Roman" w:eastAsia="楷体"/>
          <w:color w:val="auto"/>
          <w:sz w:val="28"/>
          <w:szCs w:val="28"/>
          <w:highlight w:val="none"/>
        </w:rPr>
        <w:t>》。</w:t>
      </w:r>
    </w:p>
    <w:p w14:paraId="3E6D928C">
      <w:pPr>
        <w:pStyle w:val="3"/>
        <w:keepNext/>
        <w:keepLines/>
        <w:pageBreakBefore w:val="0"/>
        <w:widowControl w:val="0"/>
        <w:kinsoku/>
        <w:wordWrap/>
        <w:overflowPunct/>
        <w:topLinePunct w:val="0"/>
        <w:autoSpaceDE/>
        <w:autoSpaceDN/>
        <w:bidi w:val="0"/>
        <w:adjustRightInd/>
        <w:snapToGrid/>
        <w:spacing w:before="100" w:after="100" w:line="360" w:lineRule="auto"/>
        <w:ind w:firstLine="602" w:firstLineChars="200"/>
        <w:textAlignment w:val="auto"/>
        <w:rPr>
          <w:rFonts w:hint="default" w:ascii="Times New Roman" w:hAnsi="Times New Roman" w:eastAsia="楷体" w:cs="Times New Roman"/>
          <w:b/>
          <w:color w:val="auto"/>
          <w:sz w:val="30"/>
          <w:szCs w:val="30"/>
          <w:highlight w:val="none"/>
          <w:lang w:val="en-US" w:eastAsia="zh-CN"/>
        </w:rPr>
      </w:pPr>
      <w:bookmarkStart w:id="617" w:name="_Toc24941"/>
      <w:bookmarkStart w:id="618" w:name="_Toc10895"/>
      <w:bookmarkStart w:id="619" w:name="_Toc30396"/>
      <w:bookmarkStart w:id="620" w:name="_Toc17551"/>
      <w:bookmarkStart w:id="621" w:name="_Toc7004"/>
      <w:r>
        <w:rPr>
          <w:rFonts w:hint="default" w:ascii="Times New Roman" w:hAnsi="Times New Roman" w:eastAsia="楷体" w:cs="Times New Roman"/>
          <w:b/>
          <w:color w:val="auto"/>
          <w:sz w:val="30"/>
          <w:szCs w:val="30"/>
          <w:highlight w:val="none"/>
          <w:lang w:eastAsia="zh-CN"/>
        </w:rPr>
        <w:t>（</w:t>
      </w:r>
      <w:r>
        <w:rPr>
          <w:rFonts w:hint="eastAsia" w:ascii="Times New Roman" w:hAnsi="Times New Roman" w:eastAsia="楷体" w:cs="Times New Roman"/>
          <w:b/>
          <w:color w:val="auto"/>
          <w:sz w:val="30"/>
          <w:szCs w:val="30"/>
          <w:highlight w:val="none"/>
          <w:lang w:val="en-US" w:eastAsia="zh-CN"/>
        </w:rPr>
        <w:t>八</w:t>
      </w:r>
      <w:r>
        <w:rPr>
          <w:rFonts w:hint="default" w:ascii="Times New Roman" w:hAnsi="Times New Roman" w:eastAsia="楷体" w:cs="Times New Roman"/>
          <w:b/>
          <w:color w:val="auto"/>
          <w:sz w:val="30"/>
          <w:szCs w:val="30"/>
          <w:highlight w:val="none"/>
          <w:lang w:eastAsia="zh-CN"/>
        </w:rPr>
        <w:t>）</w:t>
      </w:r>
      <w:r>
        <w:rPr>
          <w:rFonts w:hint="default" w:ascii="Times New Roman" w:hAnsi="Times New Roman" w:eastAsia="楷体" w:cs="Times New Roman"/>
          <w:b/>
          <w:color w:val="auto"/>
          <w:sz w:val="30"/>
          <w:szCs w:val="30"/>
          <w:highlight w:val="none"/>
          <w:lang w:val="en-US" w:eastAsia="zh-CN"/>
        </w:rPr>
        <w:t>监督管理与运营评价</w:t>
      </w:r>
      <w:bookmarkEnd w:id="617"/>
      <w:bookmarkEnd w:id="618"/>
      <w:bookmarkEnd w:id="619"/>
      <w:bookmarkEnd w:id="620"/>
      <w:bookmarkEnd w:id="621"/>
    </w:p>
    <w:p w14:paraId="6EB7C040">
      <w:pPr>
        <w:pStyle w:val="5"/>
        <w:spacing w:before="0" w:after="0" w:line="360" w:lineRule="auto"/>
        <w:ind w:firstLine="602" w:firstLineChars="200"/>
        <w:rPr>
          <w:rFonts w:hint="default" w:ascii="Times New Roman" w:hAnsi="Times New Roman" w:eastAsia="楷体" w:cs="Times New Roman"/>
          <w:color w:val="auto"/>
          <w:sz w:val="30"/>
          <w:szCs w:val="30"/>
          <w:highlight w:val="none"/>
        </w:rPr>
      </w:pPr>
      <w:bookmarkStart w:id="622" w:name="_Toc27885"/>
      <w:r>
        <w:rPr>
          <w:rFonts w:hint="default" w:ascii="Times New Roman" w:hAnsi="Times New Roman" w:eastAsia="楷体" w:cs="Times New Roman"/>
          <w:color w:val="auto"/>
          <w:sz w:val="30"/>
          <w:szCs w:val="30"/>
          <w:highlight w:val="none"/>
        </w:rPr>
        <w:t>1、监督管理</w:t>
      </w:r>
      <w:bookmarkEnd w:id="622"/>
    </w:p>
    <w:p w14:paraId="1A76957C">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bookmarkStart w:id="623" w:name="_Toc8625"/>
      <w:r>
        <w:rPr>
          <w:rFonts w:hint="default" w:ascii="Times New Roman" w:hAnsi="Times New Roman" w:eastAsia="楷体" w:cs="Times New Roman"/>
          <w:color w:val="auto"/>
          <w:sz w:val="28"/>
          <w:szCs w:val="28"/>
          <w:highlight w:val="none"/>
        </w:rPr>
        <w:t>为更好地提供公共产品和服务，提高公众对公共产品和服务的满意度，本方案</w:t>
      </w:r>
      <w:r>
        <w:rPr>
          <w:rFonts w:hint="eastAsia" w:ascii="Times New Roman" w:hAnsi="Times New Roman" w:eastAsia="楷体" w:cs="Times New Roman"/>
          <w:color w:val="auto"/>
          <w:sz w:val="28"/>
          <w:szCs w:val="28"/>
          <w:highlight w:val="none"/>
          <w:lang w:eastAsia="zh-CN"/>
        </w:rPr>
        <w:t>制定</w:t>
      </w:r>
      <w:r>
        <w:rPr>
          <w:rFonts w:hint="default" w:ascii="Times New Roman" w:hAnsi="Times New Roman" w:eastAsia="楷体" w:cs="Times New Roman"/>
          <w:color w:val="auto"/>
          <w:sz w:val="28"/>
          <w:szCs w:val="28"/>
          <w:highlight w:val="none"/>
        </w:rPr>
        <w:t>详细的监管架构，从权责关系、全生命周期监管内容和监管方式等方面，对特许经营合作方及</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的行为进行全方位监管。</w:t>
      </w:r>
      <w:bookmarkEnd w:id="623"/>
    </w:p>
    <w:p w14:paraId="28B09F1D">
      <w:pPr>
        <w:spacing w:line="360" w:lineRule="auto"/>
        <w:ind w:firstLine="562" w:firstLineChars="200"/>
        <w:outlineLvl w:val="9"/>
        <w:rPr>
          <w:rFonts w:hint="default" w:ascii="Times New Roman" w:hAnsi="Times New Roman" w:eastAsia="楷体" w:cs="Times New Roman"/>
          <w:b/>
          <w:bCs/>
          <w:color w:val="auto"/>
          <w:sz w:val="28"/>
          <w:szCs w:val="28"/>
          <w:highlight w:val="none"/>
        </w:rPr>
      </w:pPr>
      <w:bookmarkStart w:id="624" w:name="_Toc30624"/>
      <w:r>
        <w:rPr>
          <w:rFonts w:hint="default" w:ascii="Times New Roman" w:hAnsi="Times New Roman" w:eastAsia="楷体" w:cs="Times New Roman"/>
          <w:b/>
          <w:bCs/>
          <w:color w:val="auto"/>
          <w:sz w:val="28"/>
          <w:szCs w:val="28"/>
          <w:highlight w:val="none"/>
        </w:rPr>
        <w:t>（1）权责关系</w:t>
      </w:r>
      <w:bookmarkEnd w:id="624"/>
    </w:p>
    <w:p w14:paraId="55F3B917">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bookmarkStart w:id="625" w:name="_Toc26387"/>
      <w:r>
        <w:rPr>
          <w:rFonts w:hint="default" w:ascii="Times New Roman" w:hAnsi="Times New Roman" w:eastAsia="楷体" w:cs="Times New Roman"/>
          <w:color w:val="auto"/>
          <w:sz w:val="28"/>
          <w:szCs w:val="28"/>
          <w:highlight w:val="none"/>
        </w:rPr>
        <w:t>本项目由</w:t>
      </w:r>
      <w:r>
        <w:rPr>
          <w:rFonts w:hint="eastAsia" w:ascii="Times New Roman" w:hAnsi="Times New Roman" w:eastAsia="楷体" w:cs="Times New Roman"/>
          <w:color w:val="auto"/>
          <w:sz w:val="28"/>
          <w:szCs w:val="28"/>
          <w:highlight w:val="none"/>
          <w:lang w:val="en-US" w:eastAsia="zh-CN"/>
        </w:rPr>
        <w:t>江都区</w:t>
      </w:r>
      <w:r>
        <w:rPr>
          <w:rFonts w:hint="default" w:ascii="Times New Roman" w:hAnsi="Times New Roman" w:eastAsia="楷体" w:cs="Times New Roman"/>
          <w:color w:val="auto"/>
          <w:sz w:val="28"/>
          <w:szCs w:val="28"/>
          <w:highlight w:val="none"/>
        </w:rPr>
        <w:t>人民政府授权</w:t>
      </w:r>
      <w:r>
        <w:rPr>
          <w:rFonts w:hint="eastAsia" w:ascii="Times New Roman" w:hAnsi="Times New Roman" w:eastAsia="楷体" w:cs="Times New Roman"/>
          <w:color w:val="auto"/>
          <w:sz w:val="28"/>
          <w:szCs w:val="28"/>
          <w:highlight w:val="none"/>
          <w:lang w:eastAsia="zh-CN"/>
        </w:rPr>
        <w:t>区</w:t>
      </w:r>
      <w:r>
        <w:rPr>
          <w:rFonts w:hint="eastAsia" w:ascii="Times New Roman" w:hAnsi="Times New Roman" w:eastAsia="楷体" w:cs="Times New Roman"/>
          <w:color w:val="auto"/>
          <w:sz w:val="28"/>
          <w:szCs w:val="28"/>
          <w:highlight w:val="none"/>
          <w:lang w:val="en-US" w:eastAsia="zh-CN"/>
        </w:rPr>
        <w:t>住建局</w:t>
      </w:r>
      <w:r>
        <w:rPr>
          <w:rFonts w:hint="default" w:ascii="Times New Roman" w:hAnsi="Times New Roman" w:eastAsia="楷体" w:cs="Times New Roman"/>
          <w:color w:val="auto"/>
          <w:sz w:val="28"/>
          <w:szCs w:val="28"/>
          <w:highlight w:val="none"/>
        </w:rPr>
        <w:t>作为本项目的实施机构，享有对项目从</w:t>
      </w:r>
      <w:r>
        <w:rPr>
          <w:rFonts w:hint="eastAsia" w:ascii="Times New Roman" w:hAnsi="Times New Roman" w:eastAsia="楷体" w:cs="Times New Roman"/>
          <w:color w:val="auto"/>
          <w:sz w:val="28"/>
          <w:szCs w:val="28"/>
          <w:highlight w:val="none"/>
          <w:lang w:val="en-US" w:eastAsia="zh-CN"/>
        </w:rPr>
        <w:t>前期准备、特许经营权转让、特许经营者选择、特许经营协议签订、实施监管、移交</w:t>
      </w:r>
      <w:r>
        <w:rPr>
          <w:rFonts w:hint="default" w:ascii="Times New Roman" w:hAnsi="Times New Roman" w:eastAsia="楷体" w:cs="Times New Roman"/>
          <w:color w:val="auto"/>
          <w:sz w:val="28"/>
          <w:szCs w:val="28"/>
          <w:highlight w:val="none"/>
        </w:rPr>
        <w:t>等全过程全环节的监管职责。</w:t>
      </w:r>
      <w:r>
        <w:rPr>
          <w:rFonts w:hint="eastAsia" w:ascii="Times New Roman" w:hAnsi="Times New Roman" w:eastAsia="楷体" w:cs="Times New Roman"/>
          <w:color w:val="auto"/>
          <w:sz w:val="28"/>
          <w:szCs w:val="28"/>
          <w:highlight w:val="none"/>
          <w:lang w:val="en-US" w:eastAsia="zh-CN"/>
        </w:rPr>
        <w:t>受区政府委托，接收特许经营权转让费</w:t>
      </w:r>
      <w:r>
        <w:rPr>
          <w:rFonts w:hint="default" w:ascii="Times New Roman" w:hAnsi="Times New Roman" w:eastAsia="楷体" w:cs="Times New Roman"/>
          <w:color w:val="auto"/>
          <w:sz w:val="28"/>
          <w:szCs w:val="28"/>
          <w:highlight w:val="none"/>
        </w:rPr>
        <w:t>。</w:t>
      </w:r>
      <w:bookmarkEnd w:id="625"/>
    </w:p>
    <w:p w14:paraId="1A124A3D">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bookmarkStart w:id="626" w:name="_Toc6954"/>
      <w:r>
        <w:rPr>
          <w:rFonts w:hint="default" w:ascii="Times New Roman" w:hAnsi="Times New Roman" w:eastAsia="楷体" w:cs="Times New Roman"/>
          <w:color w:val="auto"/>
          <w:sz w:val="28"/>
          <w:szCs w:val="28"/>
          <w:highlight w:val="none"/>
          <w:lang w:eastAsia="zh-CN"/>
        </w:rPr>
        <w:t>特许经营者</w:t>
      </w:r>
      <w:r>
        <w:rPr>
          <w:rFonts w:hint="eastAsia" w:ascii="Times New Roman" w:hAnsi="Times New Roman" w:eastAsia="楷体" w:cs="Times New Roman"/>
          <w:color w:val="auto"/>
          <w:sz w:val="28"/>
          <w:szCs w:val="28"/>
          <w:highlight w:val="none"/>
          <w:lang w:val="en-US" w:eastAsia="zh-CN"/>
        </w:rPr>
        <w:t>或其组建的项目公司</w:t>
      </w:r>
      <w:r>
        <w:rPr>
          <w:rFonts w:hint="default" w:ascii="Times New Roman" w:hAnsi="Times New Roman" w:eastAsia="楷体" w:cs="Times New Roman"/>
          <w:color w:val="auto"/>
          <w:sz w:val="28"/>
          <w:szCs w:val="28"/>
          <w:highlight w:val="none"/>
        </w:rPr>
        <w:t>根据与政府方签订的《特许经营协议》，在特许经营期内负责</w:t>
      </w:r>
      <w:r>
        <w:rPr>
          <w:rFonts w:hint="eastAsia" w:ascii="Times New Roman" w:hAnsi="Times New Roman" w:eastAsia="楷体" w:cs="Times New Roman"/>
          <w:color w:val="auto"/>
          <w:sz w:val="28"/>
          <w:szCs w:val="28"/>
          <w:highlight w:val="none"/>
          <w:lang w:val="en-US" w:eastAsia="zh-CN"/>
        </w:rPr>
        <w:t>污水处理服务及</w:t>
      </w:r>
      <w:r>
        <w:rPr>
          <w:rFonts w:hint="default" w:ascii="Times New Roman" w:hAnsi="Times New Roman" w:eastAsia="楷体" w:cs="Times New Roman"/>
          <w:color w:val="auto"/>
          <w:sz w:val="28"/>
          <w:szCs w:val="28"/>
          <w:highlight w:val="none"/>
        </w:rPr>
        <w:t>本项目</w:t>
      </w:r>
      <w:r>
        <w:rPr>
          <w:rFonts w:hint="eastAsia" w:ascii="Times New Roman" w:hAnsi="Times New Roman" w:eastAsia="楷体" w:cs="Times New Roman"/>
          <w:color w:val="auto"/>
          <w:sz w:val="28"/>
          <w:szCs w:val="28"/>
          <w:highlight w:val="none"/>
          <w:lang w:val="en-US" w:eastAsia="zh-CN"/>
        </w:rPr>
        <w:t>范围内的设施设备</w:t>
      </w:r>
      <w:r>
        <w:rPr>
          <w:rFonts w:hint="default" w:ascii="Times New Roman" w:hAnsi="Times New Roman" w:eastAsia="楷体" w:cs="Times New Roman"/>
          <w:color w:val="auto"/>
          <w:sz w:val="28"/>
          <w:szCs w:val="28"/>
          <w:highlight w:val="none"/>
        </w:rPr>
        <w:t>运营维护，并接受公众、政府的监督。</w:t>
      </w:r>
      <w:bookmarkEnd w:id="626"/>
    </w:p>
    <w:p w14:paraId="160D6D9C">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bookmarkStart w:id="627" w:name="_Toc13572"/>
      <w:r>
        <w:rPr>
          <w:rFonts w:hint="default" w:ascii="Times New Roman" w:hAnsi="Times New Roman" w:eastAsia="楷体" w:cs="Times New Roman"/>
          <w:color w:val="auto"/>
          <w:sz w:val="28"/>
          <w:szCs w:val="28"/>
          <w:highlight w:val="none"/>
        </w:rPr>
        <w:t>发改部门负责项目特许经营实施方案的审定把关</w:t>
      </w:r>
      <w:r>
        <w:rPr>
          <w:rFonts w:hint="eastAsia" w:ascii="Times New Roman" w:hAnsi="Times New Roman" w:eastAsia="楷体" w:cs="Times New Roman"/>
          <w:color w:val="auto"/>
          <w:sz w:val="28"/>
          <w:szCs w:val="28"/>
          <w:highlight w:val="none"/>
          <w:lang w:eastAsia="zh-CN"/>
        </w:rPr>
        <w:t>，</w:t>
      </w:r>
      <w:r>
        <w:rPr>
          <w:rFonts w:hint="eastAsia" w:ascii="Times New Roman" w:hAnsi="Times New Roman" w:eastAsia="楷体" w:cs="Times New Roman"/>
          <w:color w:val="auto"/>
          <w:sz w:val="28"/>
          <w:szCs w:val="28"/>
          <w:highlight w:val="none"/>
          <w:lang w:val="en-US" w:eastAsia="zh-CN"/>
        </w:rPr>
        <w:t>指导入库</w:t>
      </w:r>
      <w:r>
        <w:rPr>
          <w:rFonts w:hint="default" w:ascii="Times New Roman" w:hAnsi="Times New Roman" w:eastAsia="楷体" w:cs="Times New Roman"/>
          <w:color w:val="auto"/>
          <w:sz w:val="28"/>
          <w:szCs w:val="28"/>
          <w:highlight w:val="none"/>
        </w:rPr>
        <w:t>。</w:t>
      </w:r>
    </w:p>
    <w:p w14:paraId="4ADD2CD8">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rPr>
        <w:t>财政部门应从项目</w:t>
      </w:r>
      <w:r>
        <w:rPr>
          <w:rFonts w:hint="eastAsia" w:ascii="Times New Roman" w:hAnsi="Times New Roman" w:eastAsia="楷体" w:cs="Times New Roman"/>
          <w:color w:val="auto"/>
          <w:sz w:val="28"/>
          <w:szCs w:val="28"/>
          <w:highlight w:val="none"/>
          <w:lang w:val="en-US" w:eastAsia="zh-CN"/>
        </w:rPr>
        <w:t>特许</w:t>
      </w:r>
      <w:r>
        <w:rPr>
          <w:rFonts w:hint="default" w:ascii="Times New Roman" w:hAnsi="Times New Roman" w:eastAsia="楷体" w:cs="Times New Roman"/>
          <w:color w:val="auto"/>
          <w:sz w:val="28"/>
          <w:szCs w:val="28"/>
          <w:highlight w:val="none"/>
        </w:rPr>
        <w:t>经营权作价转让、项目采购等环节进行监督。</w:t>
      </w:r>
      <w:bookmarkEnd w:id="627"/>
    </w:p>
    <w:p w14:paraId="7BADA2F3">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bookmarkStart w:id="628" w:name="_Toc19659"/>
      <w:r>
        <w:rPr>
          <w:rFonts w:hint="default" w:ascii="Times New Roman" w:hAnsi="Times New Roman" w:eastAsia="楷体" w:cs="Times New Roman"/>
          <w:color w:val="auto"/>
          <w:sz w:val="28"/>
          <w:szCs w:val="28"/>
          <w:highlight w:val="none"/>
        </w:rPr>
        <w:t>法制部门应该对整个协议的法律合规性进行审查，对项目相关合同中的条款进行审查，确保项目相关事项的法律合规性。</w:t>
      </w:r>
      <w:bookmarkEnd w:id="628"/>
    </w:p>
    <w:p w14:paraId="3B8B040D">
      <w:pPr>
        <w:spacing w:line="360" w:lineRule="auto"/>
        <w:ind w:firstLine="562" w:firstLineChars="200"/>
        <w:outlineLvl w:val="9"/>
        <w:rPr>
          <w:rFonts w:hint="default" w:ascii="Times New Roman" w:hAnsi="Times New Roman" w:eastAsia="楷体" w:cs="Times New Roman"/>
          <w:b/>
          <w:bCs/>
          <w:color w:val="auto"/>
          <w:sz w:val="28"/>
          <w:szCs w:val="28"/>
          <w:highlight w:val="none"/>
        </w:rPr>
      </w:pPr>
      <w:bookmarkStart w:id="629" w:name="_Toc32356"/>
      <w:r>
        <w:rPr>
          <w:rFonts w:hint="default" w:ascii="Times New Roman" w:hAnsi="Times New Roman" w:eastAsia="楷体" w:cs="Times New Roman"/>
          <w:b/>
          <w:bCs/>
          <w:color w:val="auto"/>
          <w:sz w:val="28"/>
          <w:szCs w:val="28"/>
          <w:highlight w:val="none"/>
        </w:rPr>
        <w:t>（2）监管结构</w:t>
      </w:r>
      <w:bookmarkEnd w:id="629"/>
    </w:p>
    <w:p w14:paraId="46A6E1A9">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bookmarkStart w:id="630" w:name="_Toc17402"/>
      <w:r>
        <w:rPr>
          <w:rFonts w:hint="default" w:ascii="Times New Roman" w:hAnsi="Times New Roman" w:eastAsia="楷体" w:cs="Times New Roman"/>
          <w:color w:val="auto"/>
          <w:sz w:val="28"/>
          <w:szCs w:val="28"/>
          <w:highlight w:val="none"/>
        </w:rPr>
        <w:t>本项目的监管方式包括：履约管理、行政监管、公众监督。本项目由履约管理、行政监管、公众监督构成了全方位的监管体系。</w:t>
      </w:r>
      <w:bookmarkEnd w:id="630"/>
    </w:p>
    <w:p w14:paraId="28134805">
      <w:pPr>
        <w:spacing w:line="360" w:lineRule="auto"/>
        <w:ind w:firstLine="562" w:firstLineChars="200"/>
        <w:outlineLvl w:val="9"/>
        <w:rPr>
          <w:rFonts w:hint="default" w:ascii="Times New Roman" w:hAnsi="Times New Roman" w:eastAsia="楷体" w:cs="Times New Roman"/>
          <w:b/>
          <w:bCs/>
          <w:color w:val="auto"/>
          <w:sz w:val="28"/>
          <w:szCs w:val="28"/>
          <w:highlight w:val="none"/>
        </w:rPr>
      </w:pPr>
      <w:bookmarkStart w:id="631" w:name="_Toc21636"/>
      <w:r>
        <w:rPr>
          <w:rFonts w:hint="default" w:ascii="Times New Roman" w:hAnsi="Times New Roman" w:eastAsia="楷体" w:cs="Times New Roman"/>
          <w:b/>
          <w:bCs/>
          <w:color w:val="auto"/>
          <w:sz w:val="28"/>
          <w:szCs w:val="28"/>
          <w:highlight w:val="none"/>
        </w:rPr>
        <w:t>（3）监管内容</w:t>
      </w:r>
      <w:bookmarkEnd w:id="631"/>
    </w:p>
    <w:p w14:paraId="34310BCD">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bookmarkStart w:id="632" w:name="_Toc28084"/>
      <w:r>
        <w:rPr>
          <w:rFonts w:hint="default" w:ascii="Times New Roman" w:hAnsi="Times New Roman" w:eastAsia="楷体" w:cs="Times New Roman"/>
          <w:color w:val="auto"/>
          <w:sz w:val="28"/>
          <w:szCs w:val="28"/>
          <w:highlight w:val="none"/>
        </w:rPr>
        <w:t>在项目生命周期的不同阶段，各行政监管部门的具体职责和侧重监管内容如下：项目</w:t>
      </w:r>
      <w:r>
        <w:rPr>
          <w:rFonts w:hint="eastAsia" w:ascii="Times New Roman" w:hAnsi="Times New Roman" w:eastAsia="楷体" w:cs="Times New Roman"/>
          <w:color w:val="auto"/>
          <w:sz w:val="28"/>
          <w:szCs w:val="28"/>
          <w:highlight w:val="none"/>
          <w:lang w:val="en-US" w:eastAsia="zh-CN"/>
        </w:rPr>
        <w:t>前期论证阶段</w:t>
      </w:r>
      <w:r>
        <w:rPr>
          <w:rFonts w:hint="default" w:ascii="Times New Roman" w:hAnsi="Times New Roman" w:eastAsia="楷体" w:cs="Times New Roman"/>
          <w:color w:val="auto"/>
          <w:sz w:val="28"/>
          <w:szCs w:val="28"/>
          <w:highlight w:val="none"/>
        </w:rPr>
        <w:t>，对项目资产评估的认定、备案监管、实施方案的审批、对采购过</w:t>
      </w:r>
      <w:r>
        <w:rPr>
          <w:rFonts w:hint="eastAsia" w:ascii="Times New Roman" w:hAnsi="Times New Roman" w:eastAsia="楷体" w:cs="Times New Roman"/>
          <w:color w:val="auto"/>
          <w:sz w:val="28"/>
          <w:szCs w:val="28"/>
          <w:highlight w:val="none"/>
          <w:lang w:eastAsia="zh-CN"/>
        </w:rPr>
        <w:t>程中</w:t>
      </w:r>
      <w:r>
        <w:rPr>
          <w:rFonts w:hint="default" w:ascii="Times New Roman" w:hAnsi="Times New Roman" w:eastAsia="楷体" w:cs="Times New Roman"/>
          <w:color w:val="auto"/>
          <w:sz w:val="28"/>
          <w:szCs w:val="28"/>
          <w:highlight w:val="none"/>
        </w:rPr>
        <w:t>选择特许经营合作方的监管；对订立协议的监管等。</w:t>
      </w:r>
      <w:bookmarkEnd w:id="632"/>
    </w:p>
    <w:p w14:paraId="0C13DD10">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bookmarkStart w:id="633" w:name="_Toc13743"/>
      <w:r>
        <w:rPr>
          <w:rFonts w:hint="default" w:ascii="Times New Roman" w:hAnsi="Times New Roman" w:eastAsia="楷体" w:cs="Times New Roman"/>
          <w:color w:val="auto"/>
          <w:sz w:val="28"/>
          <w:szCs w:val="28"/>
          <w:highlight w:val="none"/>
        </w:rPr>
        <w:t>项目特许经营期，包括对项目运营维护的监管、产品（服务）质量的监管；对项目运营的绩效评价；项目后评价等。</w:t>
      </w:r>
    </w:p>
    <w:p w14:paraId="5BF56C93">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rPr>
        <w:t>政府相关职能部门应根据国家相关法律法规对项目履行行政监管职责，重点关注项目运营维护状况、处理服务质量、安全生产、环境保护和劳动者权益等。社会公众根据相应的法律法规有权对本项目经营活动进行监督</w:t>
      </w:r>
      <w:r>
        <w:rPr>
          <w:rFonts w:hint="eastAsia" w:ascii="Times New Roman" w:hAnsi="Times New Roman" w:eastAsia="楷体" w:cs="Times New Roman"/>
          <w:color w:val="auto"/>
          <w:sz w:val="28"/>
          <w:szCs w:val="28"/>
          <w:highlight w:val="none"/>
          <w:lang w:eastAsia="zh-CN"/>
        </w:rPr>
        <w:t>，并</w:t>
      </w:r>
      <w:r>
        <w:rPr>
          <w:rFonts w:hint="default" w:ascii="Times New Roman" w:hAnsi="Times New Roman" w:eastAsia="楷体" w:cs="Times New Roman"/>
          <w:color w:val="auto"/>
          <w:sz w:val="28"/>
          <w:szCs w:val="28"/>
          <w:highlight w:val="none"/>
        </w:rPr>
        <w:t>向有关监管部门投诉。</w:t>
      </w:r>
      <w:r>
        <w:rPr>
          <w:rFonts w:hint="default" w:ascii="Times New Roman" w:hAnsi="Times New Roman" w:eastAsia="楷体" w:cs="Times New Roman"/>
          <w:color w:val="auto"/>
          <w:sz w:val="28"/>
          <w:szCs w:val="28"/>
          <w:highlight w:val="none"/>
          <w:lang w:eastAsia="zh-CN"/>
        </w:rPr>
        <w:t>特许经营者或其组建的</w:t>
      </w:r>
      <w:r>
        <w:rPr>
          <w:rFonts w:hint="default" w:ascii="Times New Roman" w:hAnsi="Times New Roman" w:eastAsia="楷体" w:cs="Times New Roman"/>
          <w:color w:val="auto"/>
          <w:sz w:val="28"/>
          <w:szCs w:val="28"/>
          <w:highlight w:val="none"/>
        </w:rPr>
        <w:t>项目公司应按照适用法律要求，建立公众监督机制，依法公开披露相关信息，接受社会监督。</w:t>
      </w:r>
    </w:p>
    <w:p w14:paraId="12AE55C1">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rPr>
        <w:t>实施机构可根据需要，聘请专业的第三方机构协助进行绩效评价。可以每隔</w:t>
      </w:r>
      <w:r>
        <w:rPr>
          <w:rFonts w:hint="eastAsia" w:ascii="Times New Roman" w:hAnsi="Times New Roman" w:eastAsia="楷体" w:cs="Times New Roman"/>
          <w:color w:val="auto"/>
          <w:sz w:val="28"/>
          <w:szCs w:val="28"/>
          <w:highlight w:val="none"/>
          <w:lang w:eastAsia="zh-CN"/>
        </w:rPr>
        <w:t>3</w:t>
      </w:r>
      <w:r>
        <w:rPr>
          <w:rFonts w:hint="eastAsia" w:ascii="Times New Roman" w:hAnsi="Times New Roman" w:eastAsia="楷体" w:cs="Times New Roman"/>
          <w:color w:val="auto"/>
          <w:sz w:val="28"/>
          <w:szCs w:val="28"/>
          <w:highlight w:val="none"/>
          <w:lang w:val="en-US" w:eastAsia="zh-CN"/>
        </w:rPr>
        <w:t>-5</w:t>
      </w:r>
      <w:r>
        <w:rPr>
          <w:rFonts w:hint="default" w:ascii="Times New Roman" w:hAnsi="Times New Roman" w:eastAsia="楷体" w:cs="Times New Roman"/>
          <w:color w:val="auto"/>
          <w:sz w:val="28"/>
          <w:szCs w:val="28"/>
          <w:highlight w:val="none"/>
        </w:rPr>
        <w:t>年开展一次中期评估，对项目运营管理效率、服务质量、公众满意度、《特许经营协议》履约情况等进行综合评价，对运营管理和服务中存在的问题，要求</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及时作出调整和改进，切实提高服务质量和运营管理水平。同时，通过评估，帮助政府全面掌握项目运营状况，发现监管工作的不足和漏洞，调整监管工作范围和工作重点，提高监管工作效率和效果。</w:t>
      </w:r>
      <w:bookmarkEnd w:id="633"/>
    </w:p>
    <w:p w14:paraId="484D2E80">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bookmarkStart w:id="634" w:name="_Toc1867"/>
      <w:r>
        <w:rPr>
          <w:rFonts w:hint="default" w:ascii="Times New Roman" w:hAnsi="Times New Roman" w:eastAsia="楷体" w:cs="Times New Roman"/>
          <w:color w:val="auto"/>
          <w:sz w:val="28"/>
          <w:szCs w:val="28"/>
          <w:highlight w:val="none"/>
        </w:rPr>
        <w:t>项目移交</w:t>
      </w:r>
      <w:r>
        <w:rPr>
          <w:rFonts w:hint="eastAsia" w:ascii="Times New Roman" w:hAnsi="Times New Roman" w:eastAsia="楷体" w:cs="Times New Roman"/>
          <w:color w:val="auto"/>
          <w:sz w:val="28"/>
          <w:szCs w:val="28"/>
          <w:highlight w:val="none"/>
          <w:lang w:eastAsia="zh-CN"/>
        </w:rPr>
        <w:t>期间</w:t>
      </w:r>
      <w:r>
        <w:rPr>
          <w:rFonts w:hint="default" w:ascii="Times New Roman" w:hAnsi="Times New Roman" w:eastAsia="楷体" w:cs="Times New Roman"/>
          <w:color w:val="auto"/>
          <w:sz w:val="28"/>
          <w:szCs w:val="28"/>
          <w:highlight w:val="none"/>
        </w:rPr>
        <w:t>，其职责是成立移交委员会，对项目移交过程进行监督，确保项目移交前符合相关标准。包括：项目设施</w:t>
      </w:r>
      <w:r>
        <w:rPr>
          <w:rFonts w:hint="eastAsia" w:ascii="Times New Roman" w:hAnsi="Times New Roman" w:eastAsia="楷体" w:cs="Times New Roman"/>
          <w:color w:val="auto"/>
          <w:sz w:val="28"/>
          <w:szCs w:val="28"/>
          <w:highlight w:val="none"/>
          <w:lang w:eastAsia="zh-CN"/>
        </w:rPr>
        <w:t>、</w:t>
      </w:r>
      <w:r>
        <w:rPr>
          <w:rFonts w:hint="eastAsia" w:ascii="Times New Roman" w:hAnsi="Times New Roman" w:eastAsia="楷体" w:cs="Times New Roman"/>
          <w:color w:val="auto"/>
          <w:sz w:val="28"/>
          <w:szCs w:val="28"/>
          <w:highlight w:val="none"/>
          <w:lang w:val="en-US" w:eastAsia="zh-CN"/>
        </w:rPr>
        <w:t>权益</w:t>
      </w:r>
      <w:r>
        <w:rPr>
          <w:rFonts w:hint="default" w:ascii="Times New Roman" w:hAnsi="Times New Roman" w:eastAsia="楷体" w:cs="Times New Roman"/>
          <w:color w:val="auto"/>
          <w:sz w:val="28"/>
          <w:szCs w:val="28"/>
          <w:highlight w:val="none"/>
        </w:rPr>
        <w:t>及所涉及的任何资产不存在权利瑕疵，其上未设置任何担保及其他第三人的权利；项目设施应符合双方约定的技术、安全和环保标准。</w:t>
      </w:r>
      <w:bookmarkEnd w:id="634"/>
    </w:p>
    <w:p w14:paraId="797B214B">
      <w:pPr>
        <w:spacing w:line="360" w:lineRule="auto"/>
        <w:ind w:firstLine="562" w:firstLineChars="200"/>
        <w:outlineLvl w:val="9"/>
        <w:rPr>
          <w:rFonts w:hint="default" w:ascii="Times New Roman" w:hAnsi="Times New Roman" w:eastAsia="楷体" w:cs="Times New Roman"/>
          <w:b/>
          <w:bCs/>
          <w:color w:val="auto"/>
          <w:sz w:val="28"/>
          <w:szCs w:val="28"/>
          <w:highlight w:val="none"/>
        </w:rPr>
      </w:pPr>
      <w:bookmarkStart w:id="635" w:name="_Toc10557"/>
      <w:r>
        <w:rPr>
          <w:rFonts w:hint="default" w:ascii="Times New Roman" w:hAnsi="Times New Roman" w:eastAsia="楷体" w:cs="Times New Roman"/>
          <w:b/>
          <w:bCs/>
          <w:color w:val="auto"/>
          <w:sz w:val="28"/>
          <w:szCs w:val="28"/>
          <w:highlight w:val="none"/>
        </w:rPr>
        <w:t>（4）监管方式</w:t>
      </w:r>
      <w:bookmarkEnd w:id="635"/>
    </w:p>
    <w:p w14:paraId="5734741C">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bookmarkStart w:id="636" w:name="_Toc1221"/>
      <w:r>
        <w:rPr>
          <w:rFonts w:hint="default" w:ascii="Times New Roman" w:hAnsi="Times New Roman" w:eastAsia="楷体" w:cs="Times New Roman"/>
          <w:color w:val="auto"/>
          <w:sz w:val="28"/>
          <w:szCs w:val="28"/>
          <w:highlight w:val="none"/>
        </w:rPr>
        <w:t>①履约管理</w:t>
      </w:r>
      <w:bookmarkEnd w:id="636"/>
    </w:p>
    <w:p w14:paraId="40C8B0B9">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bookmarkStart w:id="637" w:name="_Toc23809"/>
      <w:r>
        <w:rPr>
          <w:rFonts w:hint="default" w:ascii="Times New Roman" w:hAnsi="Times New Roman" w:eastAsia="楷体" w:cs="Times New Roman"/>
          <w:color w:val="auto"/>
          <w:sz w:val="28"/>
          <w:szCs w:val="28"/>
          <w:highlight w:val="none"/>
        </w:rPr>
        <w:t>履约管理即合同监管，即保证特许经营</w:t>
      </w:r>
      <w:r>
        <w:rPr>
          <w:rFonts w:hint="eastAsia" w:ascii="Times New Roman" w:hAnsi="Times New Roman" w:eastAsia="楷体" w:cs="Times New Roman"/>
          <w:color w:val="auto"/>
          <w:sz w:val="28"/>
          <w:szCs w:val="28"/>
          <w:highlight w:val="none"/>
          <w:lang w:val="en-US" w:eastAsia="zh-CN"/>
        </w:rPr>
        <w:t>者</w:t>
      </w:r>
      <w:r>
        <w:rPr>
          <w:rFonts w:hint="default" w:ascii="Times New Roman" w:hAnsi="Times New Roman" w:eastAsia="楷体" w:cs="Times New Roman"/>
          <w:color w:val="auto"/>
          <w:sz w:val="28"/>
          <w:szCs w:val="28"/>
          <w:highlight w:val="none"/>
        </w:rPr>
        <w:t>服务质量符合《特许经营协议》及相关法律文件规定，以持续保证政府通过《特许经营协议》及相关法律文件对</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的要求得到遵从和履行。</w:t>
      </w:r>
      <w:bookmarkEnd w:id="637"/>
    </w:p>
    <w:p w14:paraId="7C0D5A36">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bookmarkStart w:id="638" w:name="_Toc18180"/>
      <w:r>
        <w:rPr>
          <w:rFonts w:hint="default" w:ascii="Times New Roman" w:hAnsi="Times New Roman" w:eastAsia="楷体" w:cs="Times New Roman"/>
          <w:color w:val="auto"/>
          <w:sz w:val="28"/>
          <w:szCs w:val="28"/>
          <w:highlight w:val="none"/>
        </w:rPr>
        <w:t>在项目合作的全生命周期内，特许经营</w:t>
      </w:r>
      <w:r>
        <w:rPr>
          <w:rFonts w:hint="eastAsia" w:ascii="Times New Roman" w:hAnsi="Times New Roman" w:eastAsia="楷体" w:cs="Times New Roman"/>
          <w:color w:val="auto"/>
          <w:sz w:val="28"/>
          <w:szCs w:val="28"/>
          <w:highlight w:val="none"/>
          <w:lang w:val="en-US" w:eastAsia="zh-CN"/>
        </w:rPr>
        <w:t>者</w:t>
      </w:r>
      <w:r>
        <w:rPr>
          <w:rFonts w:hint="default" w:ascii="Times New Roman" w:hAnsi="Times New Roman" w:eastAsia="楷体" w:cs="Times New Roman"/>
          <w:color w:val="auto"/>
          <w:sz w:val="28"/>
          <w:szCs w:val="28"/>
          <w:highlight w:val="none"/>
        </w:rPr>
        <w:t>要按照《特许经营协议》按时足额提交运营维护保函和移交保函，确保在项目合作的全生命周期内，政府方对</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有足够的约束手段和工具。</w:t>
      </w:r>
      <w:bookmarkEnd w:id="638"/>
    </w:p>
    <w:p w14:paraId="5CD961CE">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bookmarkStart w:id="639" w:name="_Toc22344"/>
      <w:r>
        <w:rPr>
          <w:rFonts w:hint="default" w:ascii="Times New Roman" w:hAnsi="Times New Roman" w:eastAsia="楷体" w:cs="Times New Roman"/>
          <w:color w:val="auto"/>
          <w:sz w:val="28"/>
          <w:szCs w:val="28"/>
          <w:highlight w:val="none"/>
        </w:rPr>
        <w:t>在项目运营过程中，</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根据《特许经营协议》的相关约定，按照协议所约定的经营权利、经营范围等内容，对本项目存量的各项基础设施和公共服务进行运营维护。实施机构按照相关合同法律文件的要求和标准，对</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进行考核，绩效考核结果与服务费直接挂钩。</w:t>
      </w:r>
      <w:bookmarkEnd w:id="639"/>
    </w:p>
    <w:p w14:paraId="7AC353EA">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bookmarkStart w:id="640" w:name="_Toc2121"/>
      <w:r>
        <w:rPr>
          <w:rFonts w:hint="default" w:ascii="Times New Roman" w:hAnsi="Times New Roman" w:eastAsia="楷体" w:cs="Times New Roman"/>
          <w:color w:val="auto"/>
          <w:sz w:val="28"/>
          <w:szCs w:val="28"/>
          <w:highlight w:val="none"/>
        </w:rPr>
        <w:t>在项目移交过程中，实施机构按照《特许经营协议》和相关法律文件的约定，与</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一起组建项目移交委员会，拟定项目移交的程序、标准，并进行项目资产可用性评估，对</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的移交过程进行评估监督。</w:t>
      </w:r>
      <w:bookmarkEnd w:id="640"/>
    </w:p>
    <w:p w14:paraId="3744880B">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bookmarkStart w:id="641" w:name="_Toc10701"/>
      <w:r>
        <w:rPr>
          <w:rFonts w:hint="default" w:ascii="Times New Roman" w:hAnsi="Times New Roman" w:eastAsia="楷体" w:cs="Times New Roman"/>
          <w:color w:val="auto"/>
          <w:sz w:val="28"/>
          <w:szCs w:val="28"/>
          <w:highlight w:val="none"/>
        </w:rPr>
        <w:t>②行政监管</w:t>
      </w:r>
      <w:bookmarkEnd w:id="641"/>
    </w:p>
    <w:p w14:paraId="5BA4E12E">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bookmarkStart w:id="642" w:name="_Toc23005"/>
      <w:r>
        <w:rPr>
          <w:rFonts w:hint="default" w:ascii="Times New Roman" w:hAnsi="Times New Roman" w:eastAsia="楷体" w:cs="Times New Roman"/>
          <w:color w:val="auto"/>
          <w:sz w:val="28"/>
          <w:szCs w:val="28"/>
          <w:highlight w:val="none"/>
        </w:rPr>
        <w:t>行政监管即保证</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的作业和服务质量符合行业通用技术标准和规范，确保其服务高质高效、稳定安全。</w:t>
      </w:r>
      <w:r>
        <w:rPr>
          <w:rFonts w:hint="eastAsia" w:ascii="Times New Roman" w:hAnsi="Times New Roman" w:eastAsia="楷体" w:cs="Times New Roman"/>
          <w:color w:val="auto"/>
          <w:sz w:val="28"/>
          <w:szCs w:val="28"/>
          <w:highlight w:val="none"/>
          <w:lang w:eastAsia="zh-CN"/>
        </w:rPr>
        <w:t>江都</w:t>
      </w:r>
      <w:r>
        <w:rPr>
          <w:rFonts w:hint="default" w:ascii="Times New Roman" w:hAnsi="Times New Roman" w:eastAsia="楷体" w:cs="Times New Roman"/>
          <w:color w:val="auto"/>
          <w:sz w:val="28"/>
          <w:szCs w:val="28"/>
          <w:highlight w:val="none"/>
        </w:rPr>
        <w:t>区各职能部门，包括发改、审计、</w:t>
      </w:r>
      <w:r>
        <w:rPr>
          <w:rFonts w:hint="eastAsia" w:ascii="Times New Roman" w:hAnsi="Times New Roman" w:eastAsia="楷体" w:cs="Times New Roman"/>
          <w:color w:val="auto"/>
          <w:sz w:val="28"/>
          <w:szCs w:val="28"/>
          <w:highlight w:val="none"/>
          <w:lang w:val="en-US" w:eastAsia="zh-CN"/>
        </w:rPr>
        <w:t>司法</w:t>
      </w:r>
      <w:r>
        <w:rPr>
          <w:rFonts w:hint="default" w:ascii="Times New Roman" w:hAnsi="Times New Roman" w:eastAsia="楷体" w:cs="Times New Roman"/>
          <w:color w:val="auto"/>
          <w:sz w:val="28"/>
          <w:szCs w:val="28"/>
          <w:highlight w:val="none"/>
        </w:rPr>
        <w:t>、财政、环保、国资、国土等部门，在各自职能范围内，对</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的作业及服务质量进行</w:t>
      </w:r>
      <w:r>
        <w:rPr>
          <w:rFonts w:hint="eastAsia" w:ascii="Times New Roman" w:hAnsi="Times New Roman" w:eastAsia="楷体" w:cs="Times New Roman"/>
          <w:color w:val="auto"/>
          <w:sz w:val="28"/>
          <w:szCs w:val="28"/>
          <w:highlight w:val="none"/>
          <w:lang w:eastAsia="zh-CN"/>
        </w:rPr>
        <w:t>全方位</w:t>
      </w:r>
      <w:r>
        <w:rPr>
          <w:rFonts w:hint="default" w:ascii="Times New Roman" w:hAnsi="Times New Roman" w:eastAsia="楷体" w:cs="Times New Roman"/>
          <w:color w:val="auto"/>
          <w:sz w:val="28"/>
          <w:szCs w:val="28"/>
          <w:highlight w:val="none"/>
        </w:rPr>
        <w:t>监管，以保证</w:t>
      </w:r>
      <w:r>
        <w:rPr>
          <w:rFonts w:hint="default" w:ascii="Times New Roman" w:hAnsi="Times New Roman" w:eastAsia="楷体" w:cs="Times New Roman"/>
          <w:color w:val="auto"/>
          <w:sz w:val="28"/>
          <w:szCs w:val="28"/>
          <w:highlight w:val="none"/>
          <w:lang w:eastAsia="zh-CN"/>
        </w:rPr>
        <w:t>特许经营者</w:t>
      </w:r>
      <w:r>
        <w:rPr>
          <w:rFonts w:hint="default" w:ascii="Times New Roman" w:hAnsi="Times New Roman" w:eastAsia="楷体" w:cs="Times New Roman"/>
          <w:color w:val="auto"/>
          <w:sz w:val="28"/>
          <w:szCs w:val="28"/>
          <w:highlight w:val="none"/>
        </w:rPr>
        <w:t>的作业及服务质量符合国家</w:t>
      </w:r>
      <w:r>
        <w:rPr>
          <w:rFonts w:hint="eastAsia" w:ascii="Times New Roman" w:hAnsi="Times New Roman" w:eastAsia="楷体" w:cs="Times New Roman"/>
          <w:color w:val="auto"/>
          <w:sz w:val="28"/>
          <w:szCs w:val="28"/>
          <w:highlight w:val="none"/>
          <w:lang w:val="en-US" w:eastAsia="zh-CN"/>
        </w:rPr>
        <w:t>达标运营标准</w:t>
      </w:r>
      <w:r>
        <w:rPr>
          <w:rFonts w:hint="default" w:ascii="Times New Roman" w:hAnsi="Times New Roman" w:eastAsia="楷体" w:cs="Times New Roman"/>
          <w:color w:val="auto"/>
          <w:sz w:val="28"/>
          <w:szCs w:val="28"/>
          <w:highlight w:val="none"/>
        </w:rPr>
        <w:t>、付费标准以及其他相关行业标准和规范。</w:t>
      </w:r>
      <w:bookmarkEnd w:id="642"/>
    </w:p>
    <w:p w14:paraId="72BC114D">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bookmarkStart w:id="643" w:name="_Toc13642"/>
      <w:r>
        <w:rPr>
          <w:rFonts w:hint="default" w:ascii="Times New Roman" w:hAnsi="Times New Roman" w:eastAsia="楷体" w:cs="Times New Roman"/>
          <w:color w:val="auto"/>
          <w:sz w:val="28"/>
          <w:szCs w:val="28"/>
          <w:highlight w:val="none"/>
        </w:rPr>
        <w:t>③公众监督</w:t>
      </w:r>
      <w:bookmarkEnd w:id="643"/>
    </w:p>
    <w:p w14:paraId="28569F8A">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bookmarkStart w:id="644" w:name="_Toc9179"/>
      <w:r>
        <w:rPr>
          <w:rFonts w:hint="default" w:ascii="Times New Roman" w:hAnsi="Times New Roman" w:eastAsia="楷体" w:cs="Times New Roman"/>
          <w:color w:val="auto"/>
          <w:sz w:val="28"/>
          <w:szCs w:val="28"/>
          <w:highlight w:val="none"/>
        </w:rPr>
        <w:t>本项目属于生态建设和环境保护</w:t>
      </w:r>
      <w:r>
        <w:rPr>
          <w:rFonts w:hint="eastAsia" w:ascii="Times New Roman" w:hAnsi="Times New Roman" w:eastAsia="楷体" w:cs="Times New Roman"/>
          <w:color w:val="auto"/>
          <w:sz w:val="28"/>
          <w:szCs w:val="28"/>
          <w:highlight w:val="none"/>
          <w:lang w:val="en-US" w:eastAsia="zh-CN"/>
        </w:rPr>
        <w:t>领域</w:t>
      </w:r>
      <w:r>
        <w:rPr>
          <w:rFonts w:hint="default" w:ascii="Times New Roman" w:hAnsi="Times New Roman" w:eastAsia="楷体" w:cs="Times New Roman"/>
          <w:color w:val="auto"/>
          <w:sz w:val="28"/>
          <w:szCs w:val="28"/>
          <w:highlight w:val="none"/>
        </w:rPr>
        <w:t>项目，涉及</w:t>
      </w:r>
      <w:r>
        <w:rPr>
          <w:rFonts w:hint="eastAsia" w:ascii="Times New Roman" w:hAnsi="Times New Roman" w:eastAsia="楷体" w:cs="Times New Roman"/>
          <w:color w:val="auto"/>
          <w:sz w:val="28"/>
          <w:szCs w:val="28"/>
          <w:highlight w:val="none"/>
          <w:lang w:val="en-US" w:eastAsia="zh-CN"/>
        </w:rPr>
        <w:t>公共服务供给</w:t>
      </w:r>
      <w:r>
        <w:rPr>
          <w:rFonts w:hint="default" w:ascii="Times New Roman" w:hAnsi="Times New Roman" w:eastAsia="楷体" w:cs="Times New Roman"/>
          <w:color w:val="auto"/>
          <w:sz w:val="28"/>
          <w:szCs w:val="28"/>
          <w:highlight w:val="none"/>
        </w:rPr>
        <w:t>，</w:t>
      </w:r>
      <w:r>
        <w:rPr>
          <w:rFonts w:hint="eastAsia" w:ascii="Times New Roman" w:hAnsi="Times New Roman" w:eastAsia="楷体" w:cs="Times New Roman"/>
          <w:color w:val="auto"/>
          <w:sz w:val="28"/>
          <w:szCs w:val="28"/>
          <w:highlight w:val="none"/>
          <w:lang w:val="en-US" w:eastAsia="zh-CN"/>
        </w:rPr>
        <w:t>特许经营者或其组建的</w:t>
      </w:r>
      <w:r>
        <w:rPr>
          <w:rFonts w:hint="default" w:ascii="Times New Roman" w:hAnsi="Times New Roman" w:eastAsia="楷体" w:cs="Times New Roman"/>
          <w:color w:val="auto"/>
          <w:sz w:val="28"/>
          <w:szCs w:val="28"/>
          <w:highlight w:val="none"/>
        </w:rPr>
        <w:t>项目公司在环境保护、设施安全等方面应当接受公众监督。社会公众有权向有关监管部门投诉，或者向特许经营者或其组建的项目公司提出意见建议。</w:t>
      </w:r>
    </w:p>
    <w:p w14:paraId="490BB4B2">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rPr>
        <w:t>特许经营者或其组建的项目公司</w:t>
      </w:r>
      <w:r>
        <w:rPr>
          <w:rFonts w:hint="eastAsia" w:ascii="Times New Roman" w:hAnsi="Times New Roman" w:eastAsia="楷体" w:cs="Times New Roman"/>
          <w:color w:val="auto"/>
          <w:sz w:val="28"/>
          <w:szCs w:val="28"/>
          <w:highlight w:val="none"/>
          <w:lang w:eastAsia="zh-CN"/>
        </w:rPr>
        <w:t>应当</w:t>
      </w:r>
      <w:r>
        <w:rPr>
          <w:rFonts w:hint="default" w:ascii="Times New Roman" w:hAnsi="Times New Roman" w:eastAsia="楷体" w:cs="Times New Roman"/>
          <w:color w:val="auto"/>
          <w:sz w:val="28"/>
          <w:szCs w:val="28"/>
          <w:highlight w:val="none"/>
        </w:rPr>
        <w:t>参照适用法律要求，建立公众监督机制，依法公开披露相关信息，接受社会监督。此外，还可通过对不文明、不规范的服务行为进行媒体曝光，接受公众监督，保护公众的合法权益。</w:t>
      </w:r>
      <w:bookmarkEnd w:id="644"/>
    </w:p>
    <w:p w14:paraId="4D0D0BBF">
      <w:pPr>
        <w:pStyle w:val="5"/>
        <w:spacing w:before="0" w:after="0" w:line="360" w:lineRule="auto"/>
        <w:ind w:firstLine="602" w:firstLineChars="200"/>
        <w:rPr>
          <w:rFonts w:hint="default" w:ascii="Times New Roman" w:hAnsi="Times New Roman" w:eastAsia="楷体" w:cs="Times New Roman"/>
          <w:color w:val="auto"/>
          <w:sz w:val="30"/>
          <w:szCs w:val="30"/>
          <w:highlight w:val="none"/>
        </w:rPr>
      </w:pPr>
      <w:bookmarkStart w:id="645" w:name="_Toc19085"/>
      <w:r>
        <w:rPr>
          <w:rFonts w:hint="default" w:ascii="Times New Roman" w:hAnsi="Times New Roman" w:eastAsia="楷体" w:cs="Times New Roman"/>
          <w:color w:val="auto"/>
          <w:sz w:val="30"/>
          <w:szCs w:val="30"/>
          <w:highlight w:val="none"/>
        </w:rPr>
        <w:t>2、运营评价</w:t>
      </w:r>
      <w:bookmarkEnd w:id="645"/>
    </w:p>
    <w:p w14:paraId="32CE9C1B">
      <w:pPr>
        <w:pStyle w:val="34"/>
        <w:keepNext w:val="0"/>
        <w:keepLines w:val="0"/>
        <w:pageBreakBefore w:val="0"/>
        <w:widowControl/>
        <w:shd w:val="clear" w:color="auto" w:fill="FFFFFF"/>
        <w:kinsoku/>
        <w:wordWrap/>
        <w:overflowPunct/>
        <w:topLinePunct w:val="0"/>
        <w:bidi w:val="0"/>
        <w:spacing w:before="0" w:beforeLines="0" w:beforeAutospacing="0" w:after="0" w:afterLines="0" w:afterAutospacing="0"/>
        <w:ind w:left="1" w:firstLine="560" w:firstLineChars="200"/>
        <w:jc w:val="both"/>
        <w:rPr>
          <w:rFonts w:ascii="Times New Roman" w:hAnsi="Times New Roman" w:eastAsia="楷体"/>
          <w:caps w:val="0"/>
          <w:smallCaps w:val="0"/>
          <w:color w:val="auto"/>
          <w:sz w:val="28"/>
          <w:szCs w:val="28"/>
          <w:highlight w:val="none"/>
        </w:rPr>
      </w:pPr>
      <w:r>
        <w:rPr>
          <w:rFonts w:hint="eastAsia" w:ascii="Times New Roman" w:hAnsi="Times New Roman" w:eastAsia="楷体"/>
          <w:caps w:val="0"/>
          <w:smallCaps w:val="0"/>
          <w:color w:val="auto"/>
          <w:kern w:val="0"/>
          <w:sz w:val="28"/>
          <w:szCs w:val="28"/>
          <w:highlight w:val="none"/>
          <w:lang w:val="en-US" w:eastAsia="zh-CN" w:bidi="ar-SA"/>
        </w:rPr>
        <w:t>（1）实施机构</w:t>
      </w:r>
      <w:r>
        <w:rPr>
          <w:rFonts w:hint="default" w:ascii="Times New Roman" w:hAnsi="Times New Roman" w:eastAsia="楷体"/>
          <w:caps w:val="0"/>
          <w:smallCaps w:val="0"/>
          <w:color w:val="auto"/>
          <w:sz w:val="28"/>
          <w:szCs w:val="28"/>
          <w:highlight w:val="none"/>
        </w:rPr>
        <w:t>拟按</w:t>
      </w:r>
      <w:r>
        <w:rPr>
          <w:rFonts w:hint="default" w:ascii="Times New Roman" w:hAnsi="Times New Roman" w:eastAsia="楷体"/>
          <w:caps w:val="0"/>
          <w:smallCaps w:val="0"/>
          <w:color w:val="auto"/>
          <w:sz w:val="28"/>
          <w:szCs w:val="28"/>
          <w:highlight w:val="none"/>
          <w:lang w:val="en-US" w:eastAsia="zh-CN"/>
        </w:rPr>
        <w:t>每3年</w:t>
      </w:r>
      <w:r>
        <w:rPr>
          <w:rFonts w:hint="default" w:ascii="Times New Roman" w:hAnsi="Times New Roman" w:eastAsia="楷体"/>
          <w:caps w:val="0"/>
          <w:smallCaps w:val="0"/>
          <w:color w:val="auto"/>
          <w:sz w:val="28"/>
          <w:szCs w:val="28"/>
          <w:highlight w:val="none"/>
        </w:rPr>
        <w:t>对本项目定期开展运营评价。</w:t>
      </w:r>
    </w:p>
    <w:p w14:paraId="72B6E526">
      <w:pPr>
        <w:pStyle w:val="34"/>
        <w:keepNext w:val="0"/>
        <w:keepLines w:val="0"/>
        <w:pageBreakBefore w:val="0"/>
        <w:widowControl/>
        <w:shd w:val="clear" w:color="auto" w:fill="FFFFFF"/>
        <w:kinsoku/>
        <w:wordWrap/>
        <w:overflowPunct/>
        <w:topLinePunct w:val="0"/>
        <w:bidi w:val="0"/>
        <w:spacing w:before="0" w:beforeLines="0" w:beforeAutospacing="0" w:after="0" w:afterLines="0" w:afterAutospacing="0"/>
        <w:ind w:left="1" w:firstLine="560" w:firstLineChars="200"/>
        <w:jc w:val="both"/>
        <w:rPr>
          <w:rFonts w:ascii="Times New Roman" w:hAnsi="Times New Roman" w:eastAsia="楷体"/>
          <w:caps w:val="0"/>
          <w:smallCaps w:val="0"/>
          <w:color w:val="auto"/>
          <w:sz w:val="28"/>
          <w:szCs w:val="28"/>
          <w:highlight w:val="none"/>
        </w:rPr>
      </w:pPr>
      <w:r>
        <w:rPr>
          <w:rFonts w:hint="eastAsia" w:ascii="Times New Roman" w:hAnsi="Times New Roman" w:eastAsia="楷体"/>
          <w:caps w:val="0"/>
          <w:smallCaps w:val="0"/>
          <w:color w:val="auto"/>
          <w:kern w:val="0"/>
          <w:sz w:val="28"/>
          <w:szCs w:val="28"/>
          <w:highlight w:val="none"/>
          <w:lang w:val="en-US" w:eastAsia="zh-CN" w:bidi="ar-SA"/>
        </w:rPr>
        <w:t>（2）</w:t>
      </w:r>
      <w:r>
        <w:rPr>
          <w:rFonts w:hint="eastAsia" w:ascii="Times New Roman" w:hAnsi="Times New Roman" w:eastAsia="楷体"/>
          <w:caps w:val="0"/>
          <w:smallCaps w:val="0"/>
          <w:color w:val="auto"/>
          <w:sz w:val="28"/>
          <w:szCs w:val="28"/>
          <w:highlight w:val="none"/>
          <w:lang w:val="en-US" w:eastAsia="zh-CN"/>
        </w:rPr>
        <w:t>实施机构</w:t>
      </w:r>
      <w:r>
        <w:rPr>
          <w:rFonts w:hint="default" w:ascii="Times New Roman" w:hAnsi="Times New Roman" w:eastAsia="楷体"/>
          <w:caps w:val="0"/>
          <w:smallCaps w:val="0"/>
          <w:color w:val="auto"/>
          <w:sz w:val="28"/>
          <w:szCs w:val="28"/>
          <w:highlight w:val="none"/>
        </w:rPr>
        <w:t>开展运营评价的主要工作是依据</w:t>
      </w:r>
      <w:r>
        <w:rPr>
          <w:rFonts w:hint="eastAsia" w:ascii="Times New Roman" w:hAnsi="Times New Roman" w:eastAsia="楷体"/>
          <w:caps w:val="0"/>
          <w:smallCaps w:val="0"/>
          <w:color w:val="auto"/>
          <w:sz w:val="28"/>
          <w:szCs w:val="28"/>
          <w:highlight w:val="none"/>
          <w:lang w:val="en-US" w:eastAsia="zh-CN"/>
        </w:rPr>
        <w:t>特许经营</w:t>
      </w:r>
      <w:r>
        <w:rPr>
          <w:rFonts w:hint="default" w:ascii="Times New Roman" w:hAnsi="Times New Roman" w:eastAsia="楷体"/>
          <w:caps w:val="0"/>
          <w:smallCaps w:val="0"/>
          <w:color w:val="auto"/>
          <w:sz w:val="28"/>
          <w:szCs w:val="28"/>
          <w:highlight w:val="none"/>
        </w:rPr>
        <w:t>协议约定对项目产出</w:t>
      </w:r>
      <w:r>
        <w:rPr>
          <w:rFonts w:hint="default" w:ascii="Times New Roman" w:hAnsi="Times New Roman" w:eastAsia="楷体"/>
          <w:caps w:val="0"/>
          <w:smallCaps w:val="0"/>
          <w:color w:val="auto"/>
          <w:sz w:val="28"/>
          <w:szCs w:val="28"/>
          <w:highlight w:val="none"/>
          <w:lang w:eastAsia="zh-CN"/>
        </w:rPr>
        <w:t>（</w:t>
      </w:r>
      <w:r>
        <w:rPr>
          <w:rFonts w:hint="default" w:ascii="Times New Roman" w:hAnsi="Times New Roman" w:eastAsia="楷体"/>
          <w:caps w:val="0"/>
          <w:smallCaps w:val="0"/>
          <w:color w:val="auto"/>
          <w:sz w:val="28"/>
          <w:szCs w:val="28"/>
          <w:highlight w:val="none"/>
        </w:rPr>
        <w:t>服务</w:t>
      </w:r>
      <w:r>
        <w:rPr>
          <w:rFonts w:hint="default" w:ascii="Times New Roman" w:hAnsi="Times New Roman" w:eastAsia="楷体"/>
          <w:caps w:val="0"/>
          <w:smallCaps w:val="0"/>
          <w:color w:val="auto"/>
          <w:sz w:val="28"/>
          <w:szCs w:val="28"/>
          <w:highlight w:val="none"/>
          <w:lang w:eastAsia="zh-CN"/>
        </w:rPr>
        <w:t>）</w:t>
      </w:r>
      <w:r>
        <w:rPr>
          <w:rFonts w:hint="default" w:ascii="Times New Roman" w:hAnsi="Times New Roman" w:eastAsia="楷体"/>
          <w:caps w:val="0"/>
          <w:smallCaps w:val="0"/>
          <w:color w:val="auto"/>
          <w:sz w:val="28"/>
          <w:szCs w:val="28"/>
          <w:highlight w:val="none"/>
        </w:rPr>
        <w:t>等运营情况进行监测分析，评估潜在风险，提出相关评价意见建议和相关要求。</w:t>
      </w:r>
    </w:p>
    <w:p w14:paraId="60B45B90">
      <w:pPr>
        <w:pStyle w:val="34"/>
        <w:keepNext w:val="0"/>
        <w:keepLines w:val="0"/>
        <w:pageBreakBefore w:val="0"/>
        <w:widowControl/>
        <w:shd w:val="clear" w:color="auto" w:fill="FFFFFF"/>
        <w:kinsoku/>
        <w:wordWrap/>
        <w:overflowPunct/>
        <w:topLinePunct w:val="0"/>
        <w:bidi w:val="0"/>
        <w:spacing w:before="0" w:beforeLines="0" w:beforeAutospacing="0" w:after="0" w:afterLines="0" w:afterAutospacing="0"/>
        <w:ind w:left="1" w:firstLine="560" w:firstLineChars="200"/>
        <w:jc w:val="both"/>
        <w:rPr>
          <w:rFonts w:ascii="Times New Roman" w:hAnsi="Times New Roman" w:eastAsia="楷体"/>
          <w:caps w:val="0"/>
          <w:smallCaps w:val="0"/>
          <w:color w:val="auto"/>
          <w:sz w:val="28"/>
          <w:szCs w:val="28"/>
          <w:highlight w:val="none"/>
        </w:rPr>
      </w:pPr>
      <w:r>
        <w:rPr>
          <w:rFonts w:hint="eastAsia" w:ascii="Times New Roman" w:hAnsi="Times New Roman" w:eastAsia="楷体"/>
          <w:caps w:val="0"/>
          <w:smallCaps w:val="0"/>
          <w:color w:val="auto"/>
          <w:kern w:val="0"/>
          <w:sz w:val="28"/>
          <w:szCs w:val="28"/>
          <w:highlight w:val="none"/>
          <w:lang w:val="en-US" w:eastAsia="zh-CN" w:bidi="ar-SA"/>
        </w:rPr>
        <w:t>（3）实施机构</w:t>
      </w:r>
      <w:r>
        <w:rPr>
          <w:rFonts w:hint="default" w:ascii="Times New Roman" w:hAnsi="Times New Roman" w:eastAsia="楷体"/>
          <w:caps w:val="0"/>
          <w:smallCaps w:val="0"/>
          <w:color w:val="auto"/>
          <w:sz w:val="28"/>
          <w:szCs w:val="28"/>
          <w:highlight w:val="none"/>
        </w:rPr>
        <w:t>开展运营评价可采用项目资料审阅、现场调研、征求项目用户或公众意见等综合方式进行；</w:t>
      </w:r>
      <w:r>
        <w:rPr>
          <w:rFonts w:hint="eastAsia" w:ascii="Times New Roman" w:hAnsi="Times New Roman" w:eastAsia="楷体"/>
          <w:caps w:val="0"/>
          <w:smallCaps w:val="0"/>
          <w:color w:val="auto"/>
          <w:sz w:val="28"/>
          <w:szCs w:val="28"/>
          <w:highlight w:val="none"/>
          <w:lang w:val="en-US" w:eastAsia="zh-CN"/>
        </w:rPr>
        <w:t>特许经营者或其组建的项目公司</w:t>
      </w:r>
      <w:r>
        <w:rPr>
          <w:rFonts w:hint="default" w:ascii="Times New Roman" w:hAnsi="Times New Roman" w:eastAsia="楷体"/>
          <w:caps w:val="0"/>
          <w:smallCaps w:val="0"/>
          <w:color w:val="auto"/>
          <w:sz w:val="28"/>
          <w:szCs w:val="28"/>
          <w:highlight w:val="none"/>
        </w:rPr>
        <w:t>应配合</w:t>
      </w:r>
      <w:r>
        <w:rPr>
          <w:rFonts w:hint="eastAsia" w:ascii="Times New Roman" w:hAnsi="Times New Roman" w:eastAsia="楷体"/>
          <w:caps w:val="0"/>
          <w:smallCaps w:val="0"/>
          <w:color w:val="auto"/>
          <w:sz w:val="28"/>
          <w:szCs w:val="28"/>
          <w:highlight w:val="none"/>
          <w:lang w:val="en-US" w:eastAsia="zh-CN"/>
        </w:rPr>
        <w:t>实施机构</w:t>
      </w:r>
      <w:r>
        <w:rPr>
          <w:rFonts w:hint="default" w:ascii="Times New Roman" w:hAnsi="Times New Roman" w:eastAsia="楷体"/>
          <w:caps w:val="0"/>
          <w:smallCaps w:val="0"/>
          <w:color w:val="auto"/>
          <w:sz w:val="28"/>
          <w:szCs w:val="28"/>
          <w:highlight w:val="none"/>
        </w:rPr>
        <w:t>定期开展运营评价。</w:t>
      </w:r>
    </w:p>
    <w:p w14:paraId="212D2978">
      <w:pPr>
        <w:pStyle w:val="34"/>
        <w:keepNext w:val="0"/>
        <w:keepLines w:val="0"/>
        <w:pageBreakBefore w:val="0"/>
        <w:widowControl/>
        <w:shd w:val="clear" w:color="auto" w:fill="FFFFFF"/>
        <w:kinsoku/>
        <w:wordWrap/>
        <w:overflowPunct/>
        <w:topLinePunct w:val="0"/>
        <w:bidi w:val="0"/>
        <w:spacing w:before="0" w:beforeLines="0" w:beforeAutospacing="0" w:after="0" w:afterLines="0" w:afterAutospacing="0"/>
        <w:ind w:left="1" w:firstLine="560" w:firstLineChars="200"/>
        <w:jc w:val="both"/>
        <w:rPr>
          <w:rFonts w:ascii="Times New Roman" w:hAnsi="Times New Roman" w:eastAsia="楷体"/>
          <w:caps w:val="0"/>
          <w:smallCaps w:val="0"/>
          <w:color w:val="auto"/>
          <w:sz w:val="28"/>
          <w:szCs w:val="28"/>
          <w:highlight w:val="none"/>
        </w:rPr>
      </w:pPr>
      <w:r>
        <w:rPr>
          <w:rFonts w:hint="eastAsia" w:ascii="Times New Roman" w:hAnsi="Times New Roman" w:eastAsia="楷体"/>
          <w:caps w:val="0"/>
          <w:smallCaps w:val="0"/>
          <w:color w:val="auto"/>
          <w:kern w:val="0"/>
          <w:sz w:val="28"/>
          <w:szCs w:val="28"/>
          <w:highlight w:val="none"/>
          <w:lang w:val="en-US" w:eastAsia="zh-CN" w:bidi="ar-SA"/>
        </w:rPr>
        <w:t>（4）</w:t>
      </w:r>
      <w:r>
        <w:rPr>
          <w:rFonts w:hint="eastAsia" w:ascii="Times New Roman" w:hAnsi="Times New Roman" w:eastAsia="楷体"/>
          <w:caps w:val="0"/>
          <w:smallCaps w:val="0"/>
          <w:color w:val="auto"/>
          <w:sz w:val="28"/>
          <w:szCs w:val="28"/>
          <w:highlight w:val="none"/>
          <w:lang w:val="en-US" w:eastAsia="zh-CN"/>
        </w:rPr>
        <w:t>实施机构</w:t>
      </w:r>
      <w:r>
        <w:rPr>
          <w:rFonts w:hint="default" w:ascii="Times New Roman" w:hAnsi="Times New Roman" w:eastAsia="楷体"/>
          <w:caps w:val="0"/>
          <w:smallCaps w:val="0"/>
          <w:color w:val="auto"/>
          <w:sz w:val="28"/>
          <w:szCs w:val="28"/>
          <w:highlight w:val="none"/>
        </w:rPr>
        <w:t>开展运营评价不应干扰</w:t>
      </w:r>
      <w:r>
        <w:rPr>
          <w:rFonts w:hint="eastAsia" w:ascii="Times New Roman" w:hAnsi="Times New Roman" w:eastAsia="楷体"/>
          <w:caps w:val="0"/>
          <w:smallCaps w:val="0"/>
          <w:color w:val="auto"/>
          <w:sz w:val="28"/>
          <w:szCs w:val="28"/>
          <w:highlight w:val="none"/>
          <w:lang w:val="en-US" w:eastAsia="zh-CN"/>
        </w:rPr>
        <w:t>特许经营者或其组建的项目公司</w:t>
      </w:r>
      <w:r>
        <w:rPr>
          <w:rFonts w:hint="default" w:ascii="Times New Roman" w:hAnsi="Times New Roman" w:eastAsia="楷体"/>
          <w:caps w:val="0"/>
          <w:smallCaps w:val="0"/>
          <w:color w:val="auto"/>
          <w:sz w:val="28"/>
          <w:szCs w:val="28"/>
          <w:highlight w:val="none"/>
        </w:rPr>
        <w:t>正常生产活动，也不应通过开展定期运营评价突破本协议约定变相提高项目运营服务标准</w:t>
      </w:r>
      <w:r>
        <w:rPr>
          <w:rFonts w:hint="default" w:ascii="Times New Roman" w:hAnsi="Times New Roman" w:eastAsia="楷体"/>
          <w:caps w:val="0"/>
          <w:smallCaps w:val="0"/>
          <w:color w:val="auto"/>
          <w:sz w:val="28"/>
          <w:szCs w:val="28"/>
          <w:highlight w:val="none"/>
          <w:lang w:eastAsia="zh-CN"/>
        </w:rPr>
        <w:t>（</w:t>
      </w:r>
      <w:r>
        <w:rPr>
          <w:rFonts w:hint="default" w:ascii="Times New Roman" w:hAnsi="Times New Roman" w:eastAsia="楷体"/>
          <w:caps w:val="0"/>
          <w:smallCaps w:val="0"/>
          <w:color w:val="auto"/>
          <w:sz w:val="28"/>
          <w:szCs w:val="28"/>
          <w:highlight w:val="none"/>
        </w:rPr>
        <w:t>包括安全生产、环境保护标准等</w:t>
      </w:r>
      <w:r>
        <w:rPr>
          <w:rFonts w:hint="default" w:ascii="Times New Roman" w:hAnsi="Times New Roman" w:eastAsia="楷体"/>
          <w:caps w:val="0"/>
          <w:smallCaps w:val="0"/>
          <w:color w:val="auto"/>
          <w:sz w:val="28"/>
          <w:szCs w:val="28"/>
          <w:highlight w:val="none"/>
          <w:lang w:eastAsia="zh-CN"/>
        </w:rPr>
        <w:t>）</w:t>
      </w:r>
      <w:r>
        <w:rPr>
          <w:rFonts w:hint="default" w:ascii="Times New Roman" w:hAnsi="Times New Roman" w:eastAsia="楷体"/>
          <w:caps w:val="0"/>
          <w:smallCaps w:val="0"/>
          <w:color w:val="auto"/>
          <w:sz w:val="28"/>
          <w:szCs w:val="28"/>
          <w:highlight w:val="none"/>
        </w:rPr>
        <w:t>要求。</w:t>
      </w:r>
    </w:p>
    <w:p w14:paraId="57843E00">
      <w:pPr>
        <w:pStyle w:val="34"/>
        <w:widowControl/>
        <w:shd w:val="clear" w:color="auto" w:fill="FFFFFF"/>
        <w:spacing w:beforeAutospacing="0" w:afterAutospacing="0"/>
        <w:ind w:firstLine="560" w:firstLineChars="200"/>
        <w:jc w:val="both"/>
        <w:rPr>
          <w:rFonts w:hint="default" w:ascii="Times New Roman" w:hAnsi="Times New Roman" w:eastAsia="楷体"/>
          <w:color w:val="auto"/>
          <w:sz w:val="28"/>
          <w:szCs w:val="28"/>
          <w:highlight w:val="none"/>
        </w:rPr>
      </w:pPr>
      <w:r>
        <w:rPr>
          <w:rFonts w:hint="default" w:ascii="Times New Roman" w:hAnsi="Times New Roman" w:eastAsia="楷体"/>
          <w:caps w:val="0"/>
          <w:smallCaps w:val="0"/>
          <w:color w:val="auto"/>
          <w:kern w:val="0"/>
          <w:sz w:val="28"/>
          <w:szCs w:val="28"/>
          <w:highlight w:val="none"/>
          <w:lang w:val="en-US" w:eastAsia="zh-CN" w:bidi="ar-SA"/>
        </w:rPr>
        <w:t>5.</w:t>
      </w:r>
      <w:r>
        <w:rPr>
          <w:rFonts w:hint="eastAsia" w:ascii="Times New Roman" w:hAnsi="Times New Roman" w:eastAsia="楷体"/>
          <w:caps w:val="0"/>
          <w:smallCaps w:val="0"/>
          <w:color w:val="auto"/>
          <w:sz w:val="28"/>
          <w:szCs w:val="28"/>
          <w:highlight w:val="none"/>
          <w:lang w:val="en-US" w:eastAsia="zh-CN"/>
        </w:rPr>
        <w:t>特许经营者或其组建的项目公司</w:t>
      </w:r>
      <w:r>
        <w:rPr>
          <w:rFonts w:hint="default" w:ascii="Times New Roman" w:hAnsi="Times New Roman" w:eastAsia="楷体"/>
          <w:caps w:val="0"/>
          <w:smallCaps w:val="0"/>
          <w:color w:val="auto"/>
          <w:sz w:val="28"/>
          <w:szCs w:val="28"/>
          <w:highlight w:val="none"/>
        </w:rPr>
        <w:t>应就</w:t>
      </w:r>
      <w:r>
        <w:rPr>
          <w:rFonts w:hint="eastAsia" w:ascii="Times New Roman" w:hAnsi="Times New Roman" w:eastAsia="楷体"/>
          <w:caps w:val="0"/>
          <w:smallCaps w:val="0"/>
          <w:color w:val="auto"/>
          <w:sz w:val="28"/>
          <w:szCs w:val="28"/>
          <w:highlight w:val="none"/>
          <w:lang w:val="en-US" w:eastAsia="zh-CN"/>
        </w:rPr>
        <w:t>实施机构</w:t>
      </w:r>
      <w:r>
        <w:rPr>
          <w:rFonts w:hint="default" w:ascii="Times New Roman" w:hAnsi="Times New Roman" w:eastAsia="楷体"/>
          <w:caps w:val="0"/>
          <w:smallCaps w:val="0"/>
          <w:color w:val="auto"/>
          <w:sz w:val="28"/>
          <w:szCs w:val="28"/>
          <w:highlight w:val="none"/>
        </w:rPr>
        <w:t>定期运营评价报告提出的相关意见建议和要求进行认真研究，并在</w:t>
      </w:r>
      <w:r>
        <w:rPr>
          <w:rFonts w:hint="eastAsia" w:ascii="Times New Roman" w:hAnsi="Times New Roman" w:eastAsia="楷体"/>
          <w:caps w:val="0"/>
          <w:smallCaps w:val="0"/>
          <w:color w:val="auto"/>
          <w:sz w:val="28"/>
          <w:szCs w:val="28"/>
          <w:highlight w:val="none"/>
          <w:lang w:val="en-US" w:eastAsia="zh-CN"/>
        </w:rPr>
        <w:t>实施机构</w:t>
      </w:r>
      <w:r>
        <w:rPr>
          <w:rFonts w:hint="default" w:ascii="Times New Roman" w:hAnsi="Times New Roman" w:eastAsia="楷体"/>
          <w:caps w:val="0"/>
          <w:smallCaps w:val="0"/>
          <w:color w:val="auto"/>
          <w:sz w:val="28"/>
          <w:szCs w:val="28"/>
          <w:highlight w:val="none"/>
        </w:rPr>
        <w:t>每次定期评价结束后</w:t>
      </w:r>
      <w:r>
        <w:rPr>
          <w:rFonts w:hint="default" w:ascii="Times New Roman" w:hAnsi="Times New Roman" w:eastAsia="楷体"/>
          <w:caps w:val="0"/>
          <w:smallCaps w:val="0"/>
          <w:color w:val="auto"/>
          <w:sz w:val="28"/>
          <w:szCs w:val="28"/>
          <w:highlight w:val="none"/>
          <w:lang w:val="en-US" w:eastAsia="zh-CN"/>
        </w:rPr>
        <w:t>60</w:t>
      </w:r>
      <w:r>
        <w:rPr>
          <w:rFonts w:hint="default" w:ascii="Times New Roman" w:hAnsi="Times New Roman" w:eastAsia="楷体"/>
          <w:caps w:val="0"/>
          <w:smallCaps w:val="0"/>
          <w:color w:val="auto"/>
          <w:sz w:val="28"/>
          <w:szCs w:val="28"/>
          <w:highlight w:val="none"/>
        </w:rPr>
        <w:t>天以内，以专门报告方式向</w:t>
      </w:r>
      <w:r>
        <w:rPr>
          <w:rFonts w:hint="eastAsia" w:ascii="Times New Roman" w:hAnsi="Times New Roman" w:eastAsia="楷体"/>
          <w:caps w:val="0"/>
          <w:smallCaps w:val="0"/>
          <w:color w:val="auto"/>
          <w:sz w:val="28"/>
          <w:szCs w:val="28"/>
          <w:highlight w:val="none"/>
          <w:lang w:val="en-US" w:eastAsia="zh-CN"/>
        </w:rPr>
        <w:t>实施机构</w:t>
      </w:r>
      <w:r>
        <w:rPr>
          <w:rFonts w:hint="default" w:ascii="Times New Roman" w:hAnsi="Times New Roman" w:eastAsia="楷体"/>
          <w:caps w:val="0"/>
          <w:smallCaps w:val="0"/>
          <w:color w:val="auto"/>
          <w:sz w:val="28"/>
          <w:szCs w:val="28"/>
          <w:highlight w:val="none"/>
        </w:rPr>
        <w:t>反馈相关意见建议和要求的处理和落实情况。</w:t>
      </w:r>
    </w:p>
    <w:p w14:paraId="08977783">
      <w:pPr>
        <w:pStyle w:val="5"/>
        <w:spacing w:before="0" w:after="0" w:line="360" w:lineRule="auto"/>
        <w:ind w:firstLine="602" w:firstLineChars="200"/>
        <w:outlineLvl w:val="9"/>
        <w:rPr>
          <w:rFonts w:hint="default" w:ascii="Times New Roman" w:hAnsi="Times New Roman" w:eastAsia="楷体" w:cs="Times New Roman"/>
          <w:b/>
          <w:bCs w:val="0"/>
          <w:color w:val="auto"/>
          <w:sz w:val="30"/>
          <w:szCs w:val="30"/>
          <w:highlight w:val="none"/>
          <w:lang w:val="en-US" w:eastAsia="zh-CN"/>
        </w:rPr>
      </w:pPr>
      <w:bookmarkStart w:id="646" w:name="_Toc24691"/>
      <w:bookmarkStart w:id="647" w:name="_Toc10297_WPSOffice_Level2"/>
      <w:bookmarkStart w:id="648" w:name="_Toc3080_WPSOffice_Level2"/>
      <w:r>
        <w:rPr>
          <w:rFonts w:hint="default" w:ascii="Times New Roman" w:hAnsi="Times New Roman" w:eastAsia="楷体" w:cs="Times New Roman"/>
          <w:b/>
          <w:bCs w:val="0"/>
          <w:color w:val="auto"/>
          <w:sz w:val="30"/>
          <w:szCs w:val="30"/>
          <w:highlight w:val="none"/>
          <w:lang w:val="en-US" w:eastAsia="zh-CN"/>
        </w:rPr>
        <w:t>3、</w:t>
      </w:r>
      <w:r>
        <w:rPr>
          <w:rFonts w:hint="default" w:ascii="Times New Roman" w:hAnsi="Times New Roman" w:eastAsia="楷体" w:cs="Times New Roman"/>
          <w:bCs w:val="0"/>
          <w:caps w:val="0"/>
          <w:smallCaps w:val="0"/>
          <w:color w:val="auto"/>
          <w:sz w:val="30"/>
          <w:szCs w:val="30"/>
          <w:highlight w:val="none"/>
        </w:rPr>
        <w:t>绩效评价和运营考核</w:t>
      </w:r>
    </w:p>
    <w:p w14:paraId="37F86DEA">
      <w:pPr>
        <w:spacing w:line="360" w:lineRule="auto"/>
        <w:ind w:firstLine="562" w:firstLineChars="200"/>
        <w:outlineLvl w:val="9"/>
        <w:rPr>
          <w:rFonts w:hint="default" w:ascii="Times New Roman" w:hAnsi="Times New Roman" w:eastAsia="楷体" w:cs="Times New Roman"/>
          <w:b/>
          <w:bCs/>
          <w:color w:val="auto"/>
          <w:sz w:val="28"/>
          <w:szCs w:val="28"/>
          <w:highlight w:val="none"/>
        </w:rPr>
      </w:pPr>
      <w:r>
        <w:rPr>
          <w:rFonts w:hint="default" w:ascii="Times New Roman" w:hAnsi="Times New Roman" w:eastAsia="楷体" w:cs="Times New Roman"/>
          <w:b/>
          <w:bCs/>
          <w:color w:val="auto"/>
          <w:sz w:val="28"/>
          <w:szCs w:val="28"/>
          <w:highlight w:val="none"/>
        </w:rPr>
        <w:t>（1）运营</w:t>
      </w:r>
      <w:r>
        <w:rPr>
          <w:rFonts w:hint="eastAsia" w:ascii="Times New Roman" w:hAnsi="Times New Roman" w:eastAsia="楷体" w:cs="Times New Roman"/>
          <w:b/>
          <w:bCs/>
          <w:color w:val="auto"/>
          <w:sz w:val="28"/>
          <w:szCs w:val="28"/>
          <w:highlight w:val="none"/>
          <w:lang w:val="en-US" w:eastAsia="zh-CN"/>
        </w:rPr>
        <w:t>管理</w:t>
      </w:r>
      <w:r>
        <w:rPr>
          <w:rFonts w:hint="default" w:ascii="Times New Roman" w:hAnsi="Times New Roman" w:eastAsia="楷体" w:cs="Times New Roman"/>
          <w:b/>
          <w:bCs/>
          <w:color w:val="auto"/>
          <w:sz w:val="28"/>
          <w:szCs w:val="28"/>
          <w:highlight w:val="none"/>
        </w:rPr>
        <w:t>绩效考核内容</w:t>
      </w:r>
      <w:bookmarkEnd w:id="646"/>
      <w:bookmarkEnd w:id="647"/>
      <w:bookmarkEnd w:id="648"/>
    </w:p>
    <w:p w14:paraId="742D967D">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eastAsia="zh-CN"/>
        </w:rPr>
        <w:t>特许经营期</w:t>
      </w:r>
      <w:r>
        <w:rPr>
          <w:rFonts w:hint="default" w:ascii="Times New Roman" w:hAnsi="Times New Roman" w:eastAsia="楷体" w:cs="Times New Roman"/>
          <w:color w:val="auto"/>
          <w:sz w:val="28"/>
          <w:szCs w:val="28"/>
          <w:highlight w:val="none"/>
        </w:rPr>
        <w:t>内，项目实施机构或其指定机构按照合同规定及相关法律、法规对</w:t>
      </w:r>
      <w:r>
        <w:rPr>
          <w:rFonts w:hint="default" w:ascii="Times New Roman" w:hAnsi="Times New Roman" w:eastAsia="楷体" w:cs="Times New Roman"/>
          <w:color w:val="auto"/>
          <w:sz w:val="28"/>
          <w:szCs w:val="28"/>
          <w:highlight w:val="none"/>
          <w:lang w:eastAsia="zh-CN"/>
        </w:rPr>
        <w:t>特许经营者或其组建的</w:t>
      </w:r>
      <w:r>
        <w:rPr>
          <w:rFonts w:hint="default" w:ascii="Times New Roman" w:hAnsi="Times New Roman" w:eastAsia="楷体" w:cs="Times New Roman"/>
          <w:color w:val="auto"/>
          <w:sz w:val="28"/>
          <w:szCs w:val="28"/>
          <w:highlight w:val="none"/>
        </w:rPr>
        <w:t>项目公司运营</w:t>
      </w:r>
      <w:r>
        <w:rPr>
          <w:rFonts w:hint="eastAsia" w:ascii="Times New Roman" w:hAnsi="Times New Roman" w:eastAsia="楷体" w:cs="Times New Roman"/>
          <w:color w:val="auto"/>
          <w:sz w:val="28"/>
          <w:szCs w:val="28"/>
          <w:highlight w:val="none"/>
          <w:lang w:val="en-US" w:eastAsia="zh-CN"/>
        </w:rPr>
        <w:t>管理</w:t>
      </w:r>
      <w:r>
        <w:rPr>
          <w:rFonts w:hint="default" w:ascii="Times New Roman" w:hAnsi="Times New Roman" w:eastAsia="楷体" w:cs="Times New Roman"/>
          <w:color w:val="auto"/>
          <w:sz w:val="28"/>
          <w:szCs w:val="28"/>
          <w:highlight w:val="none"/>
        </w:rPr>
        <w:t>绩效水平进行考核评分，并将考核结果与</w:t>
      </w:r>
      <w:r>
        <w:rPr>
          <w:rFonts w:hint="eastAsia" w:ascii="Times New Roman" w:hAnsi="Times New Roman" w:eastAsia="楷体" w:cs="Times New Roman"/>
          <w:color w:val="auto"/>
          <w:sz w:val="28"/>
          <w:szCs w:val="28"/>
          <w:highlight w:val="none"/>
          <w:lang w:val="en-US" w:eastAsia="zh-CN"/>
        </w:rPr>
        <w:t>污水处理</w:t>
      </w:r>
      <w:r>
        <w:rPr>
          <w:rFonts w:hint="default" w:ascii="Times New Roman" w:hAnsi="Times New Roman" w:eastAsia="楷体" w:cs="Times New Roman"/>
          <w:color w:val="auto"/>
          <w:sz w:val="28"/>
          <w:szCs w:val="28"/>
          <w:highlight w:val="none"/>
        </w:rPr>
        <w:t>服务费的支付挂钩。</w:t>
      </w:r>
    </w:p>
    <w:p w14:paraId="6C205862">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rPr>
        <w:t>考核内容：</w:t>
      </w:r>
      <w:r>
        <w:rPr>
          <w:rFonts w:hint="eastAsia" w:ascii="Times New Roman" w:hAnsi="Times New Roman" w:eastAsia="楷体" w:cs="Times New Roman"/>
          <w:color w:val="auto"/>
          <w:sz w:val="28"/>
          <w:szCs w:val="28"/>
          <w:highlight w:val="none"/>
          <w:lang w:val="en-US" w:eastAsia="zh-CN"/>
        </w:rPr>
        <w:t>运营管理</w:t>
      </w:r>
      <w:r>
        <w:rPr>
          <w:rFonts w:hint="default" w:ascii="Times New Roman" w:hAnsi="Times New Roman" w:eastAsia="楷体" w:cs="Times New Roman"/>
          <w:color w:val="auto"/>
          <w:sz w:val="28"/>
          <w:szCs w:val="28"/>
          <w:highlight w:val="none"/>
        </w:rPr>
        <w:t>考核每季度定期进行一次，在《江苏省城镇污水处理厂运行管理考核标准》（苏城建〔2020〕202号文）基础上，对原指标体系进行优化调整</w:t>
      </w:r>
      <w:r>
        <w:rPr>
          <w:rFonts w:hint="eastAsia" w:ascii="Times New Roman" w:hAnsi="Times New Roman" w:eastAsia="楷体" w:cs="Times New Roman"/>
          <w:color w:val="auto"/>
          <w:sz w:val="28"/>
          <w:szCs w:val="28"/>
          <w:highlight w:val="none"/>
          <w:lang w:eastAsia="zh-CN"/>
        </w:rPr>
        <w:t>，</w:t>
      </w:r>
      <w:r>
        <w:rPr>
          <w:rFonts w:hint="eastAsia" w:ascii="Times New Roman" w:hAnsi="Times New Roman" w:eastAsia="楷体" w:cs="Times New Roman"/>
          <w:color w:val="auto"/>
          <w:sz w:val="28"/>
          <w:szCs w:val="28"/>
          <w:highlight w:val="none"/>
          <w:lang w:val="en-US" w:eastAsia="zh-CN"/>
        </w:rPr>
        <w:t>年度考核结果为季度考核结果的平均值。</w:t>
      </w:r>
    </w:p>
    <w:p w14:paraId="2EAAD245">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rPr>
        <w:t>此外，每季度实施机构还有权对项目运行情况进行不定期抽查，主要考核处理厂/处理设施是否运行、出水水质是否达标，抽查结果与考核评分挂钩。</w:t>
      </w:r>
    </w:p>
    <w:p w14:paraId="2B19C908">
      <w:pPr>
        <w:spacing w:line="360" w:lineRule="auto"/>
        <w:ind w:firstLine="562" w:firstLineChars="200"/>
        <w:outlineLvl w:val="9"/>
        <w:rPr>
          <w:rFonts w:hint="default" w:ascii="Times New Roman" w:hAnsi="Times New Roman" w:eastAsia="楷体" w:cs="Times New Roman"/>
          <w:b/>
          <w:bCs/>
          <w:color w:val="auto"/>
          <w:sz w:val="28"/>
          <w:szCs w:val="28"/>
          <w:highlight w:val="none"/>
        </w:rPr>
      </w:pPr>
      <w:r>
        <w:rPr>
          <w:rFonts w:hint="default" w:ascii="Times New Roman" w:hAnsi="Times New Roman" w:eastAsia="楷体" w:cs="Times New Roman"/>
          <w:b/>
          <w:bCs/>
          <w:color w:val="auto"/>
          <w:sz w:val="28"/>
          <w:szCs w:val="28"/>
          <w:highlight w:val="none"/>
        </w:rPr>
        <w:t>（2）考核结果的应用</w:t>
      </w:r>
    </w:p>
    <w:p w14:paraId="19803859">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val="en-US" w:eastAsia="zh-CN"/>
        </w:rPr>
        <w:t>①</w:t>
      </w:r>
      <w:r>
        <w:rPr>
          <w:rFonts w:hint="default" w:ascii="Times New Roman" w:hAnsi="Times New Roman" w:eastAsia="楷体" w:cs="Times New Roman"/>
          <w:color w:val="auto"/>
          <w:sz w:val="28"/>
          <w:szCs w:val="28"/>
          <w:highlight w:val="none"/>
        </w:rPr>
        <w:t>本项目</w:t>
      </w:r>
      <w:r>
        <w:rPr>
          <w:rFonts w:hint="default" w:ascii="Times New Roman" w:hAnsi="Times New Roman" w:eastAsia="楷体" w:cs="Times New Roman"/>
          <w:color w:val="auto"/>
          <w:sz w:val="28"/>
          <w:szCs w:val="28"/>
          <w:highlight w:val="none"/>
          <w:lang w:val="en-US" w:eastAsia="zh-CN"/>
        </w:rPr>
        <w:t>污水处理服务费</w:t>
      </w:r>
      <w:r>
        <w:rPr>
          <w:rFonts w:hint="default" w:ascii="Times New Roman" w:hAnsi="Times New Roman" w:eastAsia="楷体" w:cs="Times New Roman"/>
          <w:color w:val="auto"/>
          <w:sz w:val="28"/>
          <w:szCs w:val="28"/>
          <w:highlight w:val="none"/>
        </w:rPr>
        <w:t>的支付与运维绩效考核</w:t>
      </w:r>
      <w:r>
        <w:rPr>
          <w:rFonts w:hint="default" w:ascii="Times New Roman" w:hAnsi="Times New Roman" w:eastAsia="楷体" w:cs="Times New Roman"/>
          <w:color w:val="auto"/>
          <w:sz w:val="28"/>
          <w:szCs w:val="28"/>
          <w:highlight w:val="none"/>
          <w:lang w:val="en-US" w:eastAsia="zh-CN"/>
        </w:rPr>
        <w:t>结果</w:t>
      </w:r>
      <w:r>
        <w:rPr>
          <w:rFonts w:hint="default" w:ascii="Times New Roman" w:hAnsi="Times New Roman" w:eastAsia="楷体" w:cs="Times New Roman"/>
          <w:color w:val="auto"/>
          <w:sz w:val="28"/>
          <w:szCs w:val="28"/>
          <w:highlight w:val="none"/>
        </w:rPr>
        <w:t>挂钩</w:t>
      </w:r>
    </w:p>
    <w:p w14:paraId="25060F73">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val="en-US" w:eastAsia="zh-CN"/>
        </w:rPr>
        <w:t>年度</w:t>
      </w:r>
      <w:r>
        <w:rPr>
          <w:rFonts w:hint="default" w:ascii="Times New Roman" w:hAnsi="Times New Roman" w:eastAsia="楷体" w:cs="Times New Roman"/>
          <w:color w:val="auto"/>
          <w:sz w:val="28"/>
          <w:szCs w:val="28"/>
          <w:highlight w:val="none"/>
        </w:rPr>
        <w:t>污水处理服务费=污水处理服务费单价×</w:t>
      </w:r>
      <w:r>
        <w:rPr>
          <w:rFonts w:hint="default" w:ascii="Times New Roman" w:hAnsi="Times New Roman" w:eastAsia="楷体" w:cs="Times New Roman"/>
          <w:color w:val="auto"/>
          <w:sz w:val="28"/>
          <w:szCs w:val="28"/>
          <w:highlight w:val="none"/>
          <w:lang w:val="en-US" w:eastAsia="zh-CN"/>
        </w:rPr>
        <w:t>年度实际</w:t>
      </w:r>
      <w:r>
        <w:rPr>
          <w:rFonts w:hint="default" w:ascii="Times New Roman" w:hAnsi="Times New Roman" w:eastAsia="楷体" w:cs="Times New Roman"/>
          <w:color w:val="auto"/>
          <w:sz w:val="28"/>
          <w:szCs w:val="28"/>
          <w:highlight w:val="none"/>
        </w:rPr>
        <w:t>污水处理量×绩效考核系数α</w:t>
      </w:r>
    </w:p>
    <w:p w14:paraId="4A2CF66A">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lang w:eastAsia="zh-CN"/>
        </w:rPr>
      </w:pPr>
      <w:r>
        <w:rPr>
          <w:rFonts w:hint="default" w:ascii="Times New Roman" w:hAnsi="Times New Roman" w:eastAsia="楷体" w:cs="Times New Roman"/>
          <w:color w:val="auto"/>
          <w:sz w:val="28"/>
          <w:szCs w:val="28"/>
          <w:highlight w:val="none"/>
          <w:lang w:val="en-US" w:eastAsia="zh-CN"/>
        </w:rPr>
        <w:t>在运营</w:t>
      </w:r>
      <w:r>
        <w:rPr>
          <w:rFonts w:hint="default" w:ascii="Times New Roman" w:hAnsi="Times New Roman" w:eastAsia="楷体" w:cs="Times New Roman"/>
          <w:color w:val="auto"/>
          <w:sz w:val="28"/>
          <w:szCs w:val="28"/>
          <w:highlight w:val="none"/>
        </w:rPr>
        <w:t>年度末（第4个季度）付费时应结合绩效考核结果支付</w:t>
      </w:r>
      <w:r>
        <w:rPr>
          <w:rFonts w:hint="default" w:ascii="Times New Roman" w:hAnsi="Times New Roman" w:eastAsia="楷体" w:cs="Times New Roman"/>
          <w:color w:val="auto"/>
          <w:sz w:val="28"/>
          <w:szCs w:val="28"/>
          <w:highlight w:val="none"/>
          <w:lang w:eastAsia="zh-CN"/>
        </w:rPr>
        <w:t>。</w:t>
      </w:r>
    </w:p>
    <w:p w14:paraId="133FBCFE">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val="en-US" w:eastAsia="zh-CN"/>
        </w:rPr>
        <w:t>②</w:t>
      </w:r>
      <w:r>
        <w:rPr>
          <w:rFonts w:hint="default" w:ascii="Times New Roman" w:hAnsi="Times New Roman" w:eastAsia="楷体" w:cs="Times New Roman"/>
          <w:color w:val="auto"/>
          <w:sz w:val="28"/>
          <w:szCs w:val="28"/>
          <w:highlight w:val="none"/>
        </w:rPr>
        <w:t>污水处理厂运营</w:t>
      </w:r>
      <w:r>
        <w:rPr>
          <w:rFonts w:hint="default" w:ascii="Times New Roman" w:hAnsi="Times New Roman" w:eastAsia="楷体" w:cs="Times New Roman"/>
          <w:color w:val="auto"/>
          <w:sz w:val="28"/>
          <w:szCs w:val="28"/>
          <w:highlight w:val="none"/>
          <w:lang w:val="en-US" w:eastAsia="zh-CN"/>
        </w:rPr>
        <w:t>管理绩效考核</w:t>
      </w:r>
      <w:r>
        <w:rPr>
          <w:rFonts w:hint="default" w:ascii="Times New Roman" w:hAnsi="Times New Roman" w:eastAsia="楷体" w:cs="Times New Roman"/>
          <w:color w:val="auto"/>
          <w:sz w:val="28"/>
          <w:szCs w:val="28"/>
          <w:highlight w:val="none"/>
        </w:rPr>
        <w:t>系数</w:t>
      </w:r>
      <w:r>
        <w:rPr>
          <w:rFonts w:hint="default" w:ascii="Times New Roman" w:hAnsi="Times New Roman" w:eastAsia="楷体" w:cs="Times New Roman"/>
          <w:i/>
          <w:iCs/>
          <w:color w:val="auto"/>
          <w:sz w:val="28"/>
          <w:szCs w:val="28"/>
          <w:highlight w:val="none"/>
        </w:rPr>
        <w:t>α</w:t>
      </w:r>
      <w:r>
        <w:rPr>
          <w:rFonts w:hint="default" w:ascii="Times New Roman" w:hAnsi="Times New Roman" w:eastAsia="楷体" w:cs="Times New Roman"/>
          <w:color w:val="auto"/>
          <w:sz w:val="28"/>
          <w:szCs w:val="28"/>
          <w:highlight w:val="none"/>
        </w:rPr>
        <w:t>与其</w:t>
      </w:r>
      <w:r>
        <w:rPr>
          <w:rFonts w:hint="default" w:ascii="Times New Roman" w:hAnsi="Times New Roman" w:eastAsia="楷体" w:cs="Times New Roman"/>
          <w:color w:val="auto"/>
          <w:sz w:val="28"/>
          <w:szCs w:val="28"/>
          <w:highlight w:val="none"/>
          <w:lang w:val="en-US" w:eastAsia="zh-CN"/>
        </w:rPr>
        <w:t>考核</w:t>
      </w:r>
      <w:r>
        <w:rPr>
          <w:rFonts w:hint="default" w:ascii="Times New Roman" w:hAnsi="Times New Roman" w:eastAsia="楷体" w:cs="Times New Roman"/>
          <w:color w:val="auto"/>
          <w:sz w:val="28"/>
          <w:szCs w:val="28"/>
          <w:highlight w:val="none"/>
        </w:rPr>
        <w:t>得分挂钩，实际挂钩系数按下表换算：</w:t>
      </w:r>
    </w:p>
    <w:p w14:paraId="60AE5934">
      <w:pPr>
        <w:spacing w:line="360" w:lineRule="auto"/>
        <w:jc w:val="center"/>
        <w:rPr>
          <w:rFonts w:hint="eastAsia" w:ascii="Times News Roman" w:hAnsi="Times News Roman" w:eastAsia="楷体" w:cstheme="minorBidi"/>
          <w:b/>
          <w:bCs w:val="0"/>
          <w:color w:val="auto"/>
          <w:sz w:val="24"/>
          <w:highlight w:val="none"/>
        </w:rPr>
      </w:pPr>
      <w:r>
        <w:rPr>
          <w:rFonts w:hint="eastAsia" w:ascii="Times News Roman" w:hAnsi="Times News Roman" w:eastAsia="楷体" w:cstheme="minorBidi"/>
          <w:b/>
          <w:bCs w:val="0"/>
          <w:color w:val="auto"/>
          <w:sz w:val="24"/>
          <w:highlight w:val="none"/>
          <w:lang w:val="en-US" w:eastAsia="zh-CN"/>
        </w:rPr>
        <w:t xml:space="preserve">表4-4 </w:t>
      </w:r>
      <w:r>
        <w:rPr>
          <w:rFonts w:hint="eastAsia" w:ascii="Times News Roman" w:hAnsi="Times News Roman" w:eastAsia="楷体" w:cstheme="minorBidi"/>
          <w:b/>
          <w:bCs w:val="0"/>
          <w:color w:val="auto"/>
          <w:sz w:val="24"/>
          <w:highlight w:val="none"/>
        </w:rPr>
        <w:t>污水处理厂运营管理</w:t>
      </w:r>
      <w:r>
        <w:rPr>
          <w:rFonts w:hint="eastAsia" w:ascii="Times News Roman" w:hAnsi="Times News Roman" w:eastAsia="楷体" w:cstheme="minorBidi"/>
          <w:b/>
          <w:bCs w:val="0"/>
          <w:color w:val="auto"/>
          <w:sz w:val="24"/>
          <w:highlight w:val="none"/>
          <w:lang w:val="en-US" w:eastAsia="zh-CN"/>
        </w:rPr>
        <w:t>考核</w:t>
      </w:r>
      <w:r>
        <w:rPr>
          <w:rFonts w:hint="eastAsia" w:ascii="Times News Roman" w:hAnsi="Times News Roman" w:eastAsia="楷体" w:cstheme="minorBidi"/>
          <w:b/>
          <w:bCs w:val="0"/>
          <w:color w:val="auto"/>
          <w:sz w:val="24"/>
          <w:highlight w:val="none"/>
        </w:rPr>
        <w:t>系数（</w:t>
      </w:r>
      <w:r>
        <w:rPr>
          <w:rFonts w:hint="default" w:ascii="Times New Roman" w:hAnsi="Times New Roman" w:eastAsia="楷体" w:cs="Times New Roman"/>
          <w:b/>
          <w:bCs w:val="0"/>
          <w:color w:val="auto"/>
          <w:sz w:val="24"/>
          <w:highlight w:val="none"/>
        </w:rPr>
        <w:t>α</w:t>
      </w:r>
      <w:r>
        <w:rPr>
          <w:rFonts w:hint="eastAsia" w:ascii="Times News Roman" w:hAnsi="Times News Roman" w:eastAsia="楷体" w:cstheme="minorBidi"/>
          <w:b/>
          <w:bCs w:val="0"/>
          <w:color w:val="auto"/>
          <w:sz w:val="24"/>
          <w:highlight w:val="none"/>
        </w:rPr>
        <w:t>）表</w:t>
      </w:r>
    </w:p>
    <w:tbl>
      <w:tblPr>
        <w:tblStyle w:val="37"/>
        <w:tblW w:w="44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9"/>
        <w:gridCol w:w="2673"/>
        <w:gridCol w:w="3605"/>
      </w:tblGrid>
      <w:tr w14:paraId="4178B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blHeader/>
          <w:jc w:val="center"/>
        </w:trPr>
        <w:tc>
          <w:tcPr>
            <w:tcW w:w="906" w:type="pct"/>
            <w:shd w:val="clear" w:color="auto" w:fill="D7D7D7" w:themeFill="background1" w:themeFillShade="D8"/>
            <w:vAlign w:val="center"/>
          </w:tcPr>
          <w:p w14:paraId="20009468">
            <w:pPr>
              <w:jc w:val="center"/>
              <w:rPr>
                <w:rFonts w:hint="default" w:ascii="Times New Roman" w:hAnsi="Times New Roman" w:eastAsia="楷体" w:cs="Times New Roman"/>
                <w:b/>
                <w:color w:val="auto"/>
                <w:kern w:val="0"/>
                <w:sz w:val="24"/>
                <w:highlight w:val="none"/>
              </w:rPr>
            </w:pPr>
            <w:r>
              <w:rPr>
                <w:rFonts w:hint="default" w:ascii="Times New Roman" w:hAnsi="Times New Roman" w:eastAsia="楷体" w:cs="Times New Roman"/>
                <w:b/>
                <w:color w:val="auto"/>
                <w:kern w:val="0"/>
                <w:sz w:val="24"/>
                <w:highlight w:val="none"/>
              </w:rPr>
              <w:t>序号</w:t>
            </w:r>
          </w:p>
        </w:tc>
        <w:tc>
          <w:tcPr>
            <w:tcW w:w="1743" w:type="pct"/>
            <w:shd w:val="clear" w:color="auto" w:fill="D7D7D7" w:themeFill="background1" w:themeFillShade="D8"/>
            <w:vAlign w:val="center"/>
          </w:tcPr>
          <w:p w14:paraId="7122975F">
            <w:pPr>
              <w:jc w:val="center"/>
              <w:rPr>
                <w:rFonts w:hint="default" w:ascii="Times New Roman" w:hAnsi="Times New Roman" w:eastAsia="楷体" w:cs="Times New Roman"/>
                <w:b/>
                <w:color w:val="auto"/>
                <w:kern w:val="0"/>
                <w:sz w:val="24"/>
                <w:highlight w:val="none"/>
              </w:rPr>
            </w:pPr>
            <w:r>
              <w:rPr>
                <w:rFonts w:hint="default" w:ascii="Times New Roman" w:hAnsi="Times New Roman" w:eastAsia="楷体" w:cs="Times New Roman"/>
                <w:b/>
                <w:color w:val="auto"/>
                <w:kern w:val="0"/>
                <w:sz w:val="24"/>
                <w:highlight w:val="none"/>
              </w:rPr>
              <w:t>得分</w:t>
            </w:r>
            <w:r>
              <w:rPr>
                <w:rFonts w:hint="default" w:ascii="Times New Roman" w:hAnsi="Times New Roman" w:eastAsia="楷体" w:cs="Times New Roman"/>
                <w:b/>
                <w:bCs/>
                <w:color w:val="auto"/>
                <w:sz w:val="24"/>
                <w:highlight w:val="none"/>
              </w:rPr>
              <w:t>（</w:t>
            </w:r>
            <w:r>
              <w:rPr>
                <w:rFonts w:hint="default" w:ascii="Times New Roman" w:hAnsi="Times New Roman" w:eastAsia="楷体" w:cs="Times New Roman"/>
                <w:b/>
                <w:color w:val="auto"/>
                <w:kern w:val="0"/>
                <w:sz w:val="24"/>
                <w:highlight w:val="none"/>
              </w:rPr>
              <w:t>T</w:t>
            </w:r>
            <w:r>
              <w:rPr>
                <w:rFonts w:hint="default" w:ascii="Times New Roman" w:hAnsi="Times New Roman" w:eastAsia="楷体" w:cs="Times New Roman"/>
                <w:b/>
                <w:bCs/>
                <w:color w:val="auto"/>
                <w:sz w:val="24"/>
                <w:highlight w:val="none"/>
              </w:rPr>
              <w:t>）</w:t>
            </w:r>
          </w:p>
        </w:tc>
        <w:tc>
          <w:tcPr>
            <w:tcW w:w="2351" w:type="pct"/>
            <w:shd w:val="clear" w:color="auto" w:fill="D7D7D7" w:themeFill="background1" w:themeFillShade="D8"/>
            <w:vAlign w:val="center"/>
          </w:tcPr>
          <w:p w14:paraId="64ED128C">
            <w:pPr>
              <w:jc w:val="center"/>
              <w:rPr>
                <w:rFonts w:hint="default" w:ascii="Times New Roman" w:hAnsi="Times New Roman" w:eastAsia="楷体" w:cs="Times New Roman"/>
                <w:b/>
                <w:color w:val="auto"/>
                <w:kern w:val="0"/>
                <w:sz w:val="24"/>
                <w:szCs w:val="28"/>
                <w:highlight w:val="none"/>
              </w:rPr>
            </w:pPr>
            <w:r>
              <w:rPr>
                <w:rFonts w:hint="eastAsia" w:ascii="Times New Roman" w:hAnsi="Times New Roman" w:eastAsia="楷体" w:cs="Times New Roman"/>
                <w:b/>
                <w:color w:val="auto"/>
                <w:kern w:val="0"/>
                <w:sz w:val="24"/>
                <w:highlight w:val="none"/>
                <w:lang w:val="en-US" w:eastAsia="zh-CN"/>
              </w:rPr>
              <w:t>考核</w:t>
            </w:r>
            <w:r>
              <w:rPr>
                <w:rFonts w:hint="default" w:ascii="Times New Roman" w:hAnsi="Times New Roman" w:eastAsia="楷体" w:cs="Times New Roman"/>
                <w:b/>
                <w:color w:val="auto"/>
                <w:kern w:val="0"/>
                <w:sz w:val="24"/>
                <w:highlight w:val="none"/>
              </w:rPr>
              <w:t>系数（α）</w:t>
            </w:r>
          </w:p>
        </w:tc>
      </w:tr>
      <w:tr w14:paraId="6B54D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6" w:type="pct"/>
            <w:vAlign w:val="center"/>
          </w:tcPr>
          <w:p w14:paraId="6BE80922">
            <w:pPr>
              <w:jc w:val="center"/>
              <w:rPr>
                <w:rFonts w:hint="default" w:ascii="Times New Roman" w:hAnsi="Times New Roman" w:eastAsia="楷体" w:cs="Times New Roman"/>
                <w:bCs/>
                <w:color w:val="auto"/>
                <w:kern w:val="0"/>
                <w:sz w:val="24"/>
                <w:highlight w:val="none"/>
              </w:rPr>
            </w:pPr>
            <w:r>
              <w:rPr>
                <w:rFonts w:hint="default" w:ascii="Times New Roman" w:hAnsi="Times New Roman" w:eastAsia="楷体" w:cs="Times New Roman"/>
                <w:bCs/>
                <w:color w:val="auto"/>
                <w:kern w:val="0"/>
                <w:sz w:val="24"/>
                <w:highlight w:val="none"/>
              </w:rPr>
              <w:t>1</w:t>
            </w:r>
          </w:p>
        </w:tc>
        <w:tc>
          <w:tcPr>
            <w:tcW w:w="1743" w:type="pct"/>
            <w:vAlign w:val="center"/>
          </w:tcPr>
          <w:p w14:paraId="0CBDF07F">
            <w:pPr>
              <w:jc w:val="center"/>
              <w:rPr>
                <w:rFonts w:hint="default" w:ascii="Times New Roman" w:hAnsi="Times New Roman" w:eastAsia="楷体" w:cs="Times New Roman"/>
                <w:bCs/>
                <w:color w:val="auto"/>
                <w:kern w:val="0"/>
                <w:sz w:val="24"/>
                <w:highlight w:val="none"/>
              </w:rPr>
            </w:pPr>
            <w:r>
              <w:rPr>
                <w:rFonts w:hint="default" w:ascii="Times New Roman" w:hAnsi="Times New Roman" w:eastAsia="楷体" w:cs="Times New Roman"/>
                <w:bCs/>
                <w:color w:val="auto"/>
                <w:kern w:val="0"/>
                <w:sz w:val="24"/>
                <w:highlight w:val="none"/>
              </w:rPr>
              <w:t>得分≥85</w:t>
            </w:r>
          </w:p>
        </w:tc>
        <w:tc>
          <w:tcPr>
            <w:tcW w:w="2351" w:type="pct"/>
            <w:shd w:val="clear" w:color="auto" w:fill="auto"/>
            <w:vAlign w:val="center"/>
          </w:tcPr>
          <w:p w14:paraId="72BAD942">
            <w:pPr>
              <w:jc w:val="center"/>
              <w:rPr>
                <w:rFonts w:hint="default" w:ascii="Times New Roman" w:hAnsi="Times New Roman" w:eastAsia="楷体" w:cs="Times New Roman"/>
                <w:bCs/>
                <w:color w:val="auto"/>
                <w:kern w:val="0"/>
                <w:sz w:val="24"/>
                <w:highlight w:val="none"/>
              </w:rPr>
            </w:pPr>
            <w:r>
              <w:rPr>
                <w:rFonts w:hint="default" w:ascii="Times New Roman" w:hAnsi="Times New Roman" w:eastAsia="楷体" w:cs="Times New Roman"/>
                <w:bCs/>
                <w:color w:val="auto"/>
                <w:kern w:val="0"/>
                <w:sz w:val="24"/>
                <w:highlight w:val="none"/>
              </w:rPr>
              <w:t>100%</w:t>
            </w:r>
          </w:p>
        </w:tc>
      </w:tr>
      <w:tr w14:paraId="1A669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6" w:type="pct"/>
            <w:vAlign w:val="center"/>
          </w:tcPr>
          <w:p w14:paraId="16653261">
            <w:pPr>
              <w:jc w:val="center"/>
              <w:rPr>
                <w:rFonts w:hint="default" w:ascii="Times New Roman" w:hAnsi="Times New Roman" w:eastAsia="楷体" w:cs="Times New Roman"/>
                <w:bCs/>
                <w:color w:val="auto"/>
                <w:kern w:val="0"/>
                <w:sz w:val="24"/>
                <w:highlight w:val="none"/>
              </w:rPr>
            </w:pPr>
            <w:r>
              <w:rPr>
                <w:rFonts w:hint="default" w:ascii="Times New Roman" w:hAnsi="Times New Roman" w:eastAsia="楷体" w:cs="Times New Roman"/>
                <w:bCs/>
                <w:color w:val="auto"/>
                <w:kern w:val="0"/>
                <w:sz w:val="24"/>
                <w:highlight w:val="none"/>
              </w:rPr>
              <w:t>2</w:t>
            </w:r>
          </w:p>
        </w:tc>
        <w:tc>
          <w:tcPr>
            <w:tcW w:w="1743" w:type="pct"/>
            <w:vAlign w:val="center"/>
          </w:tcPr>
          <w:p w14:paraId="0901DC24">
            <w:pPr>
              <w:jc w:val="center"/>
              <w:rPr>
                <w:rFonts w:hint="default" w:ascii="Times New Roman" w:hAnsi="Times New Roman" w:eastAsia="楷体" w:cs="Times New Roman"/>
                <w:bCs/>
                <w:color w:val="auto"/>
                <w:kern w:val="0"/>
                <w:sz w:val="24"/>
                <w:highlight w:val="none"/>
              </w:rPr>
            </w:pPr>
            <w:r>
              <w:rPr>
                <w:rFonts w:hint="default" w:ascii="Times New Roman" w:hAnsi="Times New Roman" w:eastAsia="楷体" w:cs="Times New Roman"/>
                <w:bCs/>
                <w:color w:val="auto"/>
                <w:kern w:val="0"/>
                <w:sz w:val="24"/>
                <w:highlight w:val="none"/>
              </w:rPr>
              <w:t>80≤得分＜85</w:t>
            </w:r>
          </w:p>
        </w:tc>
        <w:tc>
          <w:tcPr>
            <w:tcW w:w="2351" w:type="pct"/>
            <w:shd w:val="clear" w:color="auto" w:fill="auto"/>
            <w:vAlign w:val="center"/>
          </w:tcPr>
          <w:p w14:paraId="11E9A2D3">
            <w:pPr>
              <w:jc w:val="center"/>
              <w:rPr>
                <w:rFonts w:hint="default" w:ascii="Times New Roman" w:hAnsi="Times New Roman" w:eastAsia="楷体" w:cs="Times New Roman"/>
                <w:bCs/>
                <w:color w:val="auto"/>
                <w:kern w:val="0"/>
                <w:sz w:val="24"/>
                <w:highlight w:val="none"/>
              </w:rPr>
            </w:pPr>
            <w:r>
              <w:rPr>
                <w:rFonts w:hint="default" w:ascii="Times New Roman" w:hAnsi="Times New Roman" w:eastAsia="楷体" w:cs="Times New Roman"/>
                <w:bCs/>
                <w:color w:val="auto"/>
                <w:kern w:val="0"/>
                <w:sz w:val="24"/>
                <w:highlight w:val="none"/>
              </w:rPr>
              <w:t>100%-0.5%×(85-T)</w:t>
            </w:r>
          </w:p>
        </w:tc>
      </w:tr>
      <w:tr w14:paraId="08359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6" w:type="pct"/>
            <w:vAlign w:val="center"/>
          </w:tcPr>
          <w:p w14:paraId="79592B9B">
            <w:pPr>
              <w:jc w:val="center"/>
              <w:rPr>
                <w:rFonts w:hint="default" w:ascii="Times New Roman" w:hAnsi="Times New Roman" w:eastAsia="楷体" w:cs="Times New Roman"/>
                <w:bCs/>
                <w:color w:val="auto"/>
                <w:kern w:val="0"/>
                <w:sz w:val="24"/>
                <w:highlight w:val="none"/>
              </w:rPr>
            </w:pPr>
            <w:r>
              <w:rPr>
                <w:rFonts w:hint="default" w:ascii="Times New Roman" w:hAnsi="Times New Roman" w:eastAsia="楷体" w:cs="Times New Roman"/>
                <w:bCs/>
                <w:color w:val="auto"/>
                <w:kern w:val="0"/>
                <w:sz w:val="24"/>
                <w:highlight w:val="none"/>
              </w:rPr>
              <w:t>3</w:t>
            </w:r>
          </w:p>
        </w:tc>
        <w:tc>
          <w:tcPr>
            <w:tcW w:w="1743" w:type="pct"/>
            <w:vAlign w:val="center"/>
          </w:tcPr>
          <w:p w14:paraId="23A6EE39">
            <w:pPr>
              <w:jc w:val="center"/>
              <w:rPr>
                <w:rFonts w:hint="default" w:ascii="Times New Roman" w:hAnsi="Times New Roman" w:eastAsia="楷体" w:cs="Times New Roman"/>
                <w:bCs/>
                <w:color w:val="auto"/>
                <w:kern w:val="0"/>
                <w:sz w:val="24"/>
                <w:highlight w:val="none"/>
              </w:rPr>
            </w:pPr>
            <w:r>
              <w:rPr>
                <w:rFonts w:hint="default" w:ascii="Times New Roman" w:hAnsi="Times New Roman" w:eastAsia="楷体" w:cs="Times New Roman"/>
                <w:bCs/>
                <w:color w:val="auto"/>
                <w:kern w:val="0"/>
                <w:sz w:val="24"/>
                <w:highlight w:val="none"/>
              </w:rPr>
              <w:t>70≤得分＜80</w:t>
            </w:r>
          </w:p>
        </w:tc>
        <w:tc>
          <w:tcPr>
            <w:tcW w:w="2351" w:type="pct"/>
            <w:shd w:val="clear" w:color="auto" w:fill="auto"/>
            <w:vAlign w:val="center"/>
          </w:tcPr>
          <w:p w14:paraId="02CC076E">
            <w:pPr>
              <w:jc w:val="center"/>
              <w:rPr>
                <w:rFonts w:hint="default" w:ascii="Times New Roman" w:hAnsi="Times New Roman" w:eastAsia="楷体" w:cs="Times New Roman"/>
                <w:bCs/>
                <w:color w:val="auto"/>
                <w:kern w:val="0"/>
                <w:sz w:val="24"/>
                <w:highlight w:val="none"/>
              </w:rPr>
            </w:pPr>
            <w:r>
              <w:rPr>
                <w:rFonts w:hint="default" w:ascii="Times New Roman" w:hAnsi="Times New Roman" w:eastAsia="楷体" w:cs="Times New Roman"/>
                <w:bCs/>
                <w:color w:val="auto"/>
                <w:kern w:val="0"/>
                <w:sz w:val="24"/>
                <w:highlight w:val="none"/>
              </w:rPr>
              <w:t>95%-1%×(80-T)</w:t>
            </w:r>
          </w:p>
        </w:tc>
      </w:tr>
      <w:tr w14:paraId="4429D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6" w:type="pct"/>
            <w:vAlign w:val="center"/>
          </w:tcPr>
          <w:p w14:paraId="6C81E05C">
            <w:pPr>
              <w:jc w:val="center"/>
              <w:rPr>
                <w:rFonts w:hint="default" w:ascii="Times New Roman" w:hAnsi="Times New Roman" w:eastAsia="楷体" w:cs="Times New Roman"/>
                <w:bCs/>
                <w:color w:val="auto"/>
                <w:kern w:val="0"/>
                <w:sz w:val="24"/>
                <w:highlight w:val="none"/>
              </w:rPr>
            </w:pPr>
            <w:r>
              <w:rPr>
                <w:rFonts w:hint="default" w:ascii="Times New Roman" w:hAnsi="Times New Roman" w:eastAsia="楷体" w:cs="Times New Roman"/>
                <w:bCs/>
                <w:color w:val="auto"/>
                <w:kern w:val="0"/>
                <w:sz w:val="24"/>
                <w:highlight w:val="none"/>
              </w:rPr>
              <w:t>4</w:t>
            </w:r>
          </w:p>
        </w:tc>
        <w:tc>
          <w:tcPr>
            <w:tcW w:w="1743" w:type="pct"/>
            <w:vAlign w:val="center"/>
          </w:tcPr>
          <w:p w14:paraId="08A1A469">
            <w:pPr>
              <w:jc w:val="center"/>
              <w:rPr>
                <w:rFonts w:hint="default" w:ascii="Times New Roman" w:hAnsi="Times New Roman" w:eastAsia="楷体" w:cs="Times New Roman"/>
                <w:bCs/>
                <w:color w:val="auto"/>
                <w:kern w:val="0"/>
                <w:sz w:val="24"/>
                <w:highlight w:val="none"/>
              </w:rPr>
            </w:pPr>
            <w:r>
              <w:rPr>
                <w:rFonts w:hint="default" w:ascii="Times New Roman" w:hAnsi="Times New Roman" w:eastAsia="楷体" w:cs="Times New Roman"/>
                <w:bCs/>
                <w:color w:val="auto"/>
                <w:kern w:val="0"/>
                <w:sz w:val="24"/>
                <w:highlight w:val="none"/>
              </w:rPr>
              <w:t>60≤得分＜70</w:t>
            </w:r>
          </w:p>
        </w:tc>
        <w:tc>
          <w:tcPr>
            <w:tcW w:w="2351" w:type="pct"/>
            <w:shd w:val="clear" w:color="auto" w:fill="auto"/>
            <w:vAlign w:val="center"/>
          </w:tcPr>
          <w:p w14:paraId="620538C7">
            <w:pPr>
              <w:jc w:val="center"/>
              <w:rPr>
                <w:rFonts w:hint="default" w:ascii="Times New Roman" w:hAnsi="Times New Roman" w:eastAsia="楷体" w:cs="Times New Roman"/>
                <w:bCs/>
                <w:color w:val="auto"/>
                <w:kern w:val="0"/>
                <w:sz w:val="24"/>
                <w:highlight w:val="none"/>
              </w:rPr>
            </w:pPr>
            <w:r>
              <w:rPr>
                <w:rFonts w:hint="default" w:ascii="Times New Roman" w:hAnsi="Times New Roman" w:eastAsia="楷体" w:cs="Times New Roman"/>
                <w:bCs/>
                <w:color w:val="auto"/>
                <w:kern w:val="0"/>
                <w:sz w:val="24"/>
                <w:highlight w:val="none"/>
              </w:rPr>
              <w:t>85%-1.5%×(70-T)</w:t>
            </w:r>
          </w:p>
        </w:tc>
      </w:tr>
      <w:tr w14:paraId="7764A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6" w:type="pct"/>
            <w:vAlign w:val="center"/>
          </w:tcPr>
          <w:p w14:paraId="05D1FAED">
            <w:pPr>
              <w:jc w:val="center"/>
              <w:rPr>
                <w:rFonts w:hint="default" w:ascii="Times New Roman" w:hAnsi="Times New Roman" w:eastAsia="楷体" w:cs="Times New Roman"/>
                <w:bCs/>
                <w:color w:val="auto"/>
                <w:kern w:val="0"/>
                <w:sz w:val="24"/>
                <w:highlight w:val="none"/>
              </w:rPr>
            </w:pPr>
            <w:r>
              <w:rPr>
                <w:rFonts w:hint="default" w:ascii="Times New Roman" w:hAnsi="Times New Roman" w:eastAsia="楷体" w:cs="Times New Roman"/>
                <w:bCs/>
                <w:color w:val="auto"/>
                <w:kern w:val="0"/>
                <w:sz w:val="24"/>
                <w:highlight w:val="none"/>
              </w:rPr>
              <w:t>5</w:t>
            </w:r>
          </w:p>
        </w:tc>
        <w:tc>
          <w:tcPr>
            <w:tcW w:w="1743" w:type="pct"/>
            <w:vAlign w:val="center"/>
          </w:tcPr>
          <w:p w14:paraId="33BA8259">
            <w:pPr>
              <w:jc w:val="center"/>
              <w:rPr>
                <w:rFonts w:hint="default" w:ascii="Times New Roman" w:hAnsi="Times New Roman" w:eastAsia="楷体" w:cs="Times New Roman"/>
                <w:bCs/>
                <w:color w:val="auto"/>
                <w:kern w:val="0"/>
                <w:sz w:val="24"/>
                <w:highlight w:val="none"/>
              </w:rPr>
            </w:pPr>
            <w:r>
              <w:rPr>
                <w:rFonts w:hint="default" w:ascii="Times New Roman" w:hAnsi="Times New Roman" w:eastAsia="楷体" w:cs="Times New Roman"/>
                <w:bCs/>
                <w:color w:val="auto"/>
                <w:kern w:val="0"/>
                <w:sz w:val="24"/>
                <w:highlight w:val="none"/>
              </w:rPr>
              <w:t>得分＜60</w:t>
            </w:r>
          </w:p>
        </w:tc>
        <w:tc>
          <w:tcPr>
            <w:tcW w:w="2351" w:type="pct"/>
            <w:shd w:val="clear" w:color="auto" w:fill="auto"/>
            <w:vAlign w:val="center"/>
          </w:tcPr>
          <w:p w14:paraId="0CE62059">
            <w:pPr>
              <w:jc w:val="center"/>
              <w:rPr>
                <w:rFonts w:hint="default" w:ascii="Times New Roman" w:hAnsi="Times New Roman" w:eastAsia="楷体" w:cs="Times New Roman"/>
                <w:bCs/>
                <w:color w:val="auto"/>
                <w:kern w:val="0"/>
                <w:sz w:val="24"/>
                <w:highlight w:val="none"/>
              </w:rPr>
            </w:pPr>
            <w:r>
              <w:rPr>
                <w:rFonts w:hint="default" w:ascii="Times New Roman" w:hAnsi="Times New Roman" w:eastAsia="楷体" w:cs="Times New Roman"/>
                <w:bCs/>
                <w:color w:val="auto"/>
                <w:kern w:val="0"/>
                <w:sz w:val="24"/>
                <w:highlight w:val="none"/>
              </w:rPr>
              <w:t>50%</w:t>
            </w:r>
          </w:p>
        </w:tc>
      </w:tr>
    </w:tbl>
    <w:p w14:paraId="6CBE5D10">
      <w:pPr>
        <w:pStyle w:val="34"/>
        <w:widowControl/>
        <w:shd w:val="clear" w:color="auto" w:fill="FFFFFF"/>
        <w:spacing w:beforeAutospacing="0" w:afterAutospacing="0"/>
        <w:ind w:firstLine="560" w:firstLineChars="200"/>
        <w:jc w:val="both"/>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rPr>
        <w:t>无论何种情况，</w:t>
      </w:r>
      <w:r>
        <w:rPr>
          <w:rFonts w:hint="default" w:ascii="Times New Roman" w:hAnsi="Times New Roman" w:eastAsia="楷体" w:cs="Times New Roman"/>
          <w:color w:val="auto"/>
          <w:sz w:val="28"/>
          <w:szCs w:val="28"/>
          <w:highlight w:val="none"/>
          <w:lang w:eastAsia="zh-CN"/>
        </w:rPr>
        <w:t>特许经营者或其组建的</w:t>
      </w:r>
      <w:r>
        <w:rPr>
          <w:rFonts w:hint="default" w:ascii="Times New Roman" w:hAnsi="Times New Roman" w:eastAsia="楷体" w:cs="Times New Roman"/>
          <w:color w:val="auto"/>
          <w:sz w:val="28"/>
          <w:szCs w:val="28"/>
          <w:highlight w:val="none"/>
        </w:rPr>
        <w:t>项目公司应及时修复缺陷，否则政府方有权按照特许经营协议约定进行违约处罚。</w:t>
      </w:r>
    </w:p>
    <w:p w14:paraId="5F1F1774">
      <w:pPr>
        <w:spacing w:line="360" w:lineRule="auto"/>
        <w:ind w:firstLine="562" w:firstLineChars="200"/>
        <w:outlineLvl w:val="9"/>
        <w:rPr>
          <w:rFonts w:hint="default" w:ascii="Times New Roman" w:hAnsi="Times New Roman" w:eastAsia="楷体" w:cs="Times New Roman"/>
          <w:b/>
          <w:bCs/>
          <w:color w:val="auto"/>
          <w:sz w:val="28"/>
          <w:szCs w:val="28"/>
          <w:highlight w:val="none"/>
        </w:rPr>
      </w:pPr>
      <w:r>
        <w:rPr>
          <w:rFonts w:hint="default" w:ascii="Times New Roman" w:hAnsi="Times New Roman" w:eastAsia="楷体" w:cs="Times New Roman"/>
          <w:b/>
          <w:bCs/>
          <w:color w:val="auto"/>
          <w:sz w:val="28"/>
          <w:szCs w:val="28"/>
          <w:highlight w:val="none"/>
        </w:rPr>
        <w:t>（3）绩效考核指标</w:t>
      </w:r>
    </w:p>
    <w:p w14:paraId="2204D570">
      <w:pPr>
        <w:pStyle w:val="34"/>
        <w:widowControl/>
        <w:shd w:val="clear" w:color="auto" w:fill="FFFFFF"/>
        <w:spacing w:beforeAutospacing="0" w:afterAutospacing="0"/>
        <w:ind w:firstLine="560" w:firstLineChars="200"/>
        <w:jc w:val="both"/>
        <w:rPr>
          <w:rFonts w:hint="eastAsia" w:ascii="Times New Roman" w:hAnsi="Times New Roman" w:eastAsia="楷体" w:cs="Times New Roman"/>
          <w:color w:val="auto"/>
          <w:sz w:val="28"/>
          <w:szCs w:val="28"/>
          <w:highlight w:val="none"/>
          <w:lang w:eastAsia="zh-CN"/>
        </w:rPr>
      </w:pPr>
      <w:r>
        <w:rPr>
          <w:rFonts w:hint="eastAsia" w:ascii="Times New Roman" w:hAnsi="Times New Roman" w:eastAsia="楷体" w:cs="Times New Roman"/>
          <w:color w:val="auto"/>
          <w:sz w:val="28"/>
          <w:szCs w:val="28"/>
          <w:highlight w:val="none"/>
          <w:lang w:val="en-US" w:eastAsia="zh-CN"/>
        </w:rPr>
        <w:t>本</w:t>
      </w:r>
      <w:r>
        <w:rPr>
          <w:rFonts w:hint="default" w:ascii="Times New Roman" w:hAnsi="Times New Roman" w:eastAsia="楷体" w:cs="Times New Roman"/>
          <w:color w:val="auto"/>
          <w:sz w:val="28"/>
          <w:szCs w:val="28"/>
          <w:highlight w:val="none"/>
        </w:rPr>
        <w:t>项目具体</w:t>
      </w:r>
      <w:r>
        <w:rPr>
          <w:rFonts w:hint="eastAsia" w:ascii="Times New Roman" w:hAnsi="Times New Roman" w:eastAsia="楷体" w:cs="Times New Roman"/>
          <w:color w:val="auto"/>
          <w:sz w:val="28"/>
          <w:szCs w:val="28"/>
          <w:highlight w:val="none"/>
          <w:lang w:val="en-US" w:eastAsia="zh-CN"/>
        </w:rPr>
        <w:t>运营管理</w:t>
      </w:r>
      <w:r>
        <w:rPr>
          <w:rFonts w:hint="default" w:ascii="Times New Roman" w:hAnsi="Times New Roman" w:eastAsia="楷体" w:cs="Times New Roman"/>
          <w:color w:val="auto"/>
          <w:sz w:val="28"/>
          <w:szCs w:val="28"/>
          <w:highlight w:val="none"/>
        </w:rPr>
        <w:t>绩效考核指标如下表</w:t>
      </w:r>
      <w:r>
        <w:rPr>
          <w:rFonts w:hint="eastAsia" w:ascii="Times New Roman" w:hAnsi="Times New Roman" w:eastAsia="楷体" w:cs="Times New Roman"/>
          <w:color w:val="auto"/>
          <w:sz w:val="28"/>
          <w:szCs w:val="28"/>
          <w:highlight w:val="none"/>
          <w:lang w:eastAsia="zh-CN"/>
        </w:rPr>
        <w:t>（</w:t>
      </w:r>
      <w:r>
        <w:rPr>
          <w:rFonts w:hint="eastAsia" w:ascii="Times New Roman" w:hAnsi="Times New Roman" w:eastAsia="楷体" w:cs="Times New Roman"/>
          <w:color w:val="auto"/>
          <w:sz w:val="28"/>
          <w:szCs w:val="28"/>
          <w:highlight w:val="none"/>
          <w:lang w:val="en-US" w:eastAsia="zh-CN"/>
        </w:rPr>
        <w:t>考核标准详见附件1</w:t>
      </w:r>
      <w:r>
        <w:rPr>
          <w:rFonts w:hint="eastAsia" w:ascii="Times New Roman" w:hAnsi="Times New Roman" w:eastAsia="楷体" w:cs="Times New Roman"/>
          <w:color w:val="auto"/>
          <w:sz w:val="28"/>
          <w:szCs w:val="28"/>
          <w:highlight w:val="none"/>
          <w:lang w:eastAsia="zh-CN"/>
        </w:rPr>
        <w:t>）：</w:t>
      </w:r>
    </w:p>
    <w:p w14:paraId="1E9504DD">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Chars="0"/>
        <w:jc w:val="center"/>
        <w:textAlignment w:val="auto"/>
        <w:rPr>
          <w:rFonts w:hint="default" w:ascii="Times New Roman" w:hAnsi="Times New Roman" w:eastAsia="楷体" w:cs="Times New Roman"/>
          <w:color w:val="auto"/>
          <w:sz w:val="28"/>
          <w:szCs w:val="28"/>
          <w:highlight w:val="none"/>
        </w:rPr>
      </w:pPr>
      <w:r>
        <w:rPr>
          <w:rFonts w:hint="eastAsia" w:ascii="Times News Roman" w:hAnsi="Times News Roman" w:eastAsia="楷体" w:cstheme="minorBidi"/>
          <w:b/>
          <w:color w:val="auto"/>
          <w:sz w:val="24"/>
          <w:szCs w:val="24"/>
          <w:highlight w:val="none"/>
          <w:lang w:val="en-US" w:eastAsia="zh-CN"/>
        </w:rPr>
        <w:t>表4-5 运营管理绩效考核指标</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5"/>
        <w:gridCol w:w="2001"/>
        <w:gridCol w:w="3208"/>
        <w:gridCol w:w="1791"/>
      </w:tblGrid>
      <w:tr w14:paraId="1BF93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894" w:type="pct"/>
            <w:shd w:val="clear" w:color="auto" w:fill="D9D9D9"/>
            <w:vAlign w:val="center"/>
          </w:tcPr>
          <w:p w14:paraId="05DA9BCC">
            <w:pPr>
              <w:jc w:val="center"/>
              <w:textAlignment w:val="center"/>
              <w:rPr>
                <w:rFonts w:hint="default" w:ascii="Times New Roman" w:hAnsi="Times New Roman" w:eastAsia="楷体" w:cs="Times New Roman"/>
                <w:b/>
                <w:bCs/>
                <w:color w:val="auto"/>
                <w:sz w:val="24"/>
                <w:highlight w:val="none"/>
              </w:rPr>
            </w:pPr>
            <w:r>
              <w:rPr>
                <w:rFonts w:hint="default" w:ascii="Times New Roman" w:hAnsi="Times New Roman" w:eastAsia="楷体" w:cs="Times New Roman"/>
                <w:b/>
                <w:bCs/>
                <w:color w:val="auto"/>
                <w:kern w:val="0"/>
                <w:sz w:val="24"/>
                <w:highlight w:val="none"/>
                <w:lang w:bidi="ar"/>
              </w:rPr>
              <w:t>项目名称</w:t>
            </w:r>
          </w:p>
        </w:tc>
        <w:tc>
          <w:tcPr>
            <w:tcW w:w="1173" w:type="pct"/>
            <w:shd w:val="clear" w:color="auto" w:fill="D9D9D9"/>
            <w:vAlign w:val="center"/>
          </w:tcPr>
          <w:p w14:paraId="0ED60424">
            <w:pPr>
              <w:jc w:val="center"/>
              <w:textAlignment w:val="center"/>
              <w:rPr>
                <w:rFonts w:hint="default" w:ascii="Times New Roman" w:hAnsi="Times New Roman" w:eastAsia="楷体" w:cs="Times New Roman"/>
                <w:b/>
                <w:bCs/>
                <w:color w:val="auto"/>
                <w:kern w:val="0"/>
                <w:sz w:val="24"/>
                <w:highlight w:val="none"/>
                <w:lang w:bidi="ar"/>
              </w:rPr>
            </w:pPr>
            <w:r>
              <w:rPr>
                <w:rFonts w:hint="default" w:ascii="Times New Roman" w:hAnsi="Times New Roman" w:eastAsia="楷体" w:cs="Times New Roman"/>
                <w:b/>
                <w:bCs/>
                <w:color w:val="auto"/>
                <w:kern w:val="0"/>
                <w:sz w:val="24"/>
                <w:highlight w:val="none"/>
                <w:lang w:bidi="ar"/>
              </w:rPr>
              <w:t>项目总分（分）</w:t>
            </w:r>
          </w:p>
        </w:tc>
        <w:tc>
          <w:tcPr>
            <w:tcW w:w="1881" w:type="pct"/>
            <w:shd w:val="clear" w:color="auto" w:fill="D9D9D9"/>
            <w:vAlign w:val="center"/>
          </w:tcPr>
          <w:p w14:paraId="7BFB94BC">
            <w:pPr>
              <w:jc w:val="center"/>
              <w:textAlignment w:val="center"/>
              <w:rPr>
                <w:rFonts w:hint="default" w:ascii="Times New Roman" w:hAnsi="Times New Roman" w:eastAsia="楷体" w:cs="Times New Roman"/>
                <w:b/>
                <w:bCs/>
                <w:color w:val="auto"/>
                <w:sz w:val="24"/>
                <w:highlight w:val="none"/>
              </w:rPr>
            </w:pPr>
            <w:r>
              <w:rPr>
                <w:rFonts w:hint="default" w:ascii="Times New Roman" w:hAnsi="Times New Roman" w:eastAsia="楷体" w:cs="Times New Roman"/>
                <w:b/>
                <w:bCs/>
                <w:color w:val="auto"/>
                <w:kern w:val="0"/>
                <w:sz w:val="24"/>
                <w:highlight w:val="none"/>
                <w:lang w:bidi="ar"/>
              </w:rPr>
              <w:t>评价内容</w:t>
            </w:r>
          </w:p>
        </w:tc>
        <w:tc>
          <w:tcPr>
            <w:tcW w:w="1050" w:type="pct"/>
            <w:shd w:val="clear" w:color="auto" w:fill="D9D9D9"/>
            <w:vAlign w:val="center"/>
          </w:tcPr>
          <w:p w14:paraId="50EE66F0">
            <w:pPr>
              <w:jc w:val="center"/>
              <w:textAlignment w:val="center"/>
              <w:rPr>
                <w:rFonts w:hint="default" w:ascii="Times New Roman" w:hAnsi="Times New Roman" w:eastAsia="楷体" w:cs="Times New Roman"/>
                <w:b/>
                <w:bCs/>
                <w:color w:val="auto"/>
                <w:kern w:val="0"/>
                <w:sz w:val="24"/>
                <w:highlight w:val="none"/>
                <w:lang w:bidi="ar"/>
              </w:rPr>
            </w:pPr>
            <w:r>
              <w:rPr>
                <w:rFonts w:hint="default" w:ascii="Times New Roman" w:hAnsi="Times New Roman" w:eastAsia="楷体" w:cs="Times New Roman"/>
                <w:b/>
                <w:bCs/>
                <w:color w:val="auto"/>
                <w:kern w:val="0"/>
                <w:sz w:val="24"/>
                <w:highlight w:val="none"/>
                <w:lang w:bidi="ar"/>
              </w:rPr>
              <w:t>分值（分）</w:t>
            </w:r>
          </w:p>
        </w:tc>
      </w:tr>
      <w:tr w14:paraId="461B5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restart"/>
            <w:shd w:val="clear" w:color="auto" w:fill="auto"/>
            <w:vAlign w:val="center"/>
          </w:tcPr>
          <w:p w14:paraId="03CB1FA3">
            <w:pPr>
              <w:jc w:val="center"/>
              <w:textAlignment w:val="center"/>
              <w:rPr>
                <w:rFonts w:hint="default" w:ascii="Times New Roman" w:hAnsi="Times New Roman" w:eastAsia="楷体" w:cs="Times New Roman"/>
                <w:color w:val="auto"/>
                <w:kern w:val="0"/>
                <w:sz w:val="24"/>
                <w:highlight w:val="none"/>
                <w:lang w:bidi="ar"/>
              </w:rPr>
            </w:pPr>
            <w:r>
              <w:rPr>
                <w:rFonts w:hint="default" w:ascii="Times New Roman" w:hAnsi="Times New Roman" w:eastAsia="楷体" w:cs="Times New Roman"/>
                <w:color w:val="auto"/>
                <w:kern w:val="0"/>
                <w:sz w:val="24"/>
                <w:highlight w:val="none"/>
                <w:lang w:bidi="ar"/>
              </w:rPr>
              <w:t>污水管理</w:t>
            </w:r>
          </w:p>
        </w:tc>
        <w:tc>
          <w:tcPr>
            <w:tcW w:w="1173" w:type="pct"/>
            <w:vMerge w:val="restart"/>
            <w:shd w:val="clear" w:color="auto" w:fill="auto"/>
            <w:vAlign w:val="center"/>
          </w:tcPr>
          <w:p w14:paraId="58338B80">
            <w:pPr>
              <w:jc w:val="center"/>
              <w:textAlignment w:val="center"/>
              <w:rPr>
                <w:rFonts w:hint="default" w:ascii="Times New Roman" w:hAnsi="Times New Roman" w:eastAsia="楷体" w:cs="Times New Roman"/>
                <w:color w:val="auto"/>
                <w:kern w:val="0"/>
                <w:sz w:val="24"/>
                <w:highlight w:val="none"/>
                <w:lang w:bidi="ar"/>
              </w:rPr>
            </w:pPr>
            <w:r>
              <w:rPr>
                <w:rFonts w:hint="default" w:ascii="Times New Roman" w:hAnsi="Times New Roman" w:eastAsia="楷体" w:cs="Times New Roman"/>
                <w:color w:val="auto"/>
                <w:kern w:val="0"/>
                <w:sz w:val="24"/>
                <w:highlight w:val="none"/>
                <w:lang w:bidi="ar"/>
              </w:rPr>
              <w:t>10</w:t>
            </w:r>
          </w:p>
        </w:tc>
        <w:tc>
          <w:tcPr>
            <w:tcW w:w="1881" w:type="pct"/>
            <w:shd w:val="clear" w:color="auto" w:fill="auto"/>
            <w:vAlign w:val="center"/>
          </w:tcPr>
          <w:p w14:paraId="53B61175">
            <w:pPr>
              <w:jc w:val="center"/>
              <w:textAlignment w:val="center"/>
              <w:rPr>
                <w:rFonts w:hint="default" w:ascii="Times New Roman" w:hAnsi="Times New Roman" w:eastAsia="楷体" w:cs="Times New Roman"/>
                <w:color w:val="auto"/>
                <w:kern w:val="0"/>
                <w:sz w:val="24"/>
                <w:highlight w:val="none"/>
                <w:lang w:bidi="ar"/>
              </w:rPr>
            </w:pPr>
            <w:r>
              <w:rPr>
                <w:rFonts w:hint="default" w:ascii="Times New Roman" w:hAnsi="Times New Roman" w:eastAsia="楷体" w:cs="Times New Roman"/>
                <w:color w:val="auto"/>
                <w:kern w:val="0"/>
                <w:sz w:val="24"/>
                <w:highlight w:val="none"/>
                <w:lang w:bidi="ar"/>
              </w:rPr>
              <w:t>出水水质</w:t>
            </w:r>
          </w:p>
        </w:tc>
        <w:tc>
          <w:tcPr>
            <w:tcW w:w="1050" w:type="pct"/>
            <w:shd w:val="clear" w:color="auto" w:fill="auto"/>
            <w:vAlign w:val="center"/>
          </w:tcPr>
          <w:p w14:paraId="6FF606DE">
            <w:pPr>
              <w:jc w:val="center"/>
              <w:textAlignment w:val="center"/>
              <w:rPr>
                <w:rFonts w:hint="default" w:ascii="Times New Roman" w:hAnsi="Times New Roman" w:eastAsia="楷体" w:cs="Times New Roman"/>
                <w:color w:val="auto"/>
                <w:kern w:val="0"/>
                <w:sz w:val="24"/>
                <w:highlight w:val="none"/>
                <w:lang w:bidi="ar"/>
              </w:rPr>
            </w:pPr>
            <w:r>
              <w:rPr>
                <w:rFonts w:hint="default" w:ascii="Times New Roman" w:hAnsi="Times New Roman" w:eastAsia="楷体" w:cs="Times New Roman"/>
                <w:color w:val="auto"/>
                <w:kern w:val="0"/>
                <w:sz w:val="24"/>
                <w:highlight w:val="none"/>
                <w:lang w:bidi="ar"/>
              </w:rPr>
              <w:t>6</w:t>
            </w:r>
          </w:p>
        </w:tc>
      </w:tr>
      <w:tr w14:paraId="4F6FF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continue"/>
            <w:shd w:val="clear" w:color="auto" w:fill="auto"/>
            <w:vAlign w:val="center"/>
          </w:tcPr>
          <w:p w14:paraId="7A8802A0">
            <w:pPr>
              <w:jc w:val="center"/>
              <w:textAlignment w:val="center"/>
              <w:rPr>
                <w:rFonts w:hint="default" w:ascii="Times New Roman" w:hAnsi="Times New Roman" w:eastAsia="楷体" w:cs="Times New Roman"/>
                <w:color w:val="auto"/>
                <w:kern w:val="0"/>
                <w:sz w:val="24"/>
                <w:highlight w:val="none"/>
                <w:lang w:bidi="ar"/>
              </w:rPr>
            </w:pPr>
          </w:p>
        </w:tc>
        <w:tc>
          <w:tcPr>
            <w:tcW w:w="1173" w:type="pct"/>
            <w:vMerge w:val="continue"/>
            <w:shd w:val="clear" w:color="auto" w:fill="auto"/>
            <w:vAlign w:val="center"/>
          </w:tcPr>
          <w:p w14:paraId="19777A9E">
            <w:pPr>
              <w:jc w:val="center"/>
              <w:textAlignment w:val="center"/>
              <w:rPr>
                <w:rFonts w:hint="default" w:ascii="Times New Roman" w:hAnsi="Times New Roman" w:eastAsia="楷体" w:cs="Times New Roman"/>
                <w:color w:val="auto"/>
                <w:kern w:val="0"/>
                <w:sz w:val="24"/>
                <w:highlight w:val="none"/>
                <w:lang w:bidi="ar"/>
              </w:rPr>
            </w:pPr>
          </w:p>
        </w:tc>
        <w:tc>
          <w:tcPr>
            <w:tcW w:w="1881" w:type="pct"/>
            <w:shd w:val="clear" w:color="auto" w:fill="auto"/>
            <w:vAlign w:val="center"/>
          </w:tcPr>
          <w:p w14:paraId="52D4D221">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进出水在线监控仪表</w:t>
            </w:r>
          </w:p>
        </w:tc>
        <w:tc>
          <w:tcPr>
            <w:tcW w:w="1050" w:type="pct"/>
            <w:shd w:val="clear" w:color="auto" w:fill="auto"/>
            <w:vAlign w:val="center"/>
          </w:tcPr>
          <w:p w14:paraId="3DE3638F">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4</w:t>
            </w:r>
          </w:p>
        </w:tc>
      </w:tr>
      <w:tr w14:paraId="4010F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restart"/>
            <w:shd w:val="clear" w:color="auto" w:fill="auto"/>
            <w:vAlign w:val="center"/>
          </w:tcPr>
          <w:p w14:paraId="61310738">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污泥管理</w:t>
            </w:r>
          </w:p>
        </w:tc>
        <w:tc>
          <w:tcPr>
            <w:tcW w:w="1173" w:type="pct"/>
            <w:vMerge w:val="restart"/>
            <w:shd w:val="clear" w:color="auto" w:fill="auto"/>
            <w:vAlign w:val="center"/>
          </w:tcPr>
          <w:p w14:paraId="6EB14026">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10</w:t>
            </w:r>
          </w:p>
        </w:tc>
        <w:tc>
          <w:tcPr>
            <w:tcW w:w="1881" w:type="pct"/>
            <w:shd w:val="clear" w:color="auto" w:fill="auto"/>
            <w:vAlign w:val="center"/>
          </w:tcPr>
          <w:p w14:paraId="1197F2DC">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污泥安全处置量</w:t>
            </w:r>
          </w:p>
        </w:tc>
        <w:tc>
          <w:tcPr>
            <w:tcW w:w="1050" w:type="pct"/>
            <w:shd w:val="clear" w:color="auto" w:fill="auto"/>
            <w:vAlign w:val="center"/>
          </w:tcPr>
          <w:p w14:paraId="70CD0D71">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2</w:t>
            </w:r>
          </w:p>
        </w:tc>
      </w:tr>
      <w:tr w14:paraId="69F36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continue"/>
            <w:shd w:val="clear" w:color="auto" w:fill="auto"/>
            <w:vAlign w:val="center"/>
          </w:tcPr>
          <w:p w14:paraId="65750D10">
            <w:pPr>
              <w:jc w:val="center"/>
              <w:rPr>
                <w:rFonts w:hint="default" w:ascii="Times New Roman" w:hAnsi="Times New Roman" w:eastAsia="楷体" w:cs="Times New Roman"/>
                <w:color w:val="auto"/>
                <w:sz w:val="24"/>
                <w:highlight w:val="none"/>
              </w:rPr>
            </w:pPr>
          </w:p>
        </w:tc>
        <w:tc>
          <w:tcPr>
            <w:tcW w:w="1173" w:type="pct"/>
            <w:vMerge w:val="continue"/>
            <w:shd w:val="clear" w:color="auto" w:fill="auto"/>
            <w:vAlign w:val="center"/>
          </w:tcPr>
          <w:p w14:paraId="49F72009">
            <w:pPr>
              <w:jc w:val="center"/>
              <w:rPr>
                <w:rFonts w:hint="default" w:ascii="Times New Roman" w:hAnsi="Times New Roman" w:eastAsia="楷体" w:cs="Times New Roman"/>
                <w:color w:val="auto"/>
                <w:sz w:val="24"/>
                <w:highlight w:val="none"/>
              </w:rPr>
            </w:pPr>
          </w:p>
        </w:tc>
        <w:tc>
          <w:tcPr>
            <w:tcW w:w="1881" w:type="pct"/>
            <w:shd w:val="clear" w:color="auto" w:fill="auto"/>
            <w:vAlign w:val="center"/>
          </w:tcPr>
          <w:p w14:paraId="1362F1A5">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污泥运输</w:t>
            </w:r>
          </w:p>
        </w:tc>
        <w:tc>
          <w:tcPr>
            <w:tcW w:w="1050" w:type="pct"/>
            <w:shd w:val="clear" w:color="auto" w:fill="auto"/>
            <w:vAlign w:val="center"/>
          </w:tcPr>
          <w:p w14:paraId="7F24DA00">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4</w:t>
            </w:r>
          </w:p>
        </w:tc>
      </w:tr>
      <w:tr w14:paraId="3F937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continue"/>
            <w:shd w:val="clear" w:color="auto" w:fill="auto"/>
            <w:vAlign w:val="center"/>
          </w:tcPr>
          <w:p w14:paraId="7EDFF364">
            <w:pPr>
              <w:jc w:val="center"/>
              <w:rPr>
                <w:rFonts w:hint="default" w:ascii="Times New Roman" w:hAnsi="Times New Roman" w:eastAsia="楷体" w:cs="Times New Roman"/>
                <w:color w:val="auto"/>
                <w:sz w:val="24"/>
                <w:highlight w:val="none"/>
              </w:rPr>
            </w:pPr>
          </w:p>
        </w:tc>
        <w:tc>
          <w:tcPr>
            <w:tcW w:w="1173" w:type="pct"/>
            <w:vMerge w:val="continue"/>
            <w:shd w:val="clear" w:color="auto" w:fill="auto"/>
            <w:vAlign w:val="center"/>
          </w:tcPr>
          <w:p w14:paraId="7941464C">
            <w:pPr>
              <w:jc w:val="center"/>
              <w:rPr>
                <w:rFonts w:hint="default" w:ascii="Times New Roman" w:hAnsi="Times New Roman" w:eastAsia="楷体" w:cs="Times New Roman"/>
                <w:color w:val="auto"/>
                <w:sz w:val="24"/>
                <w:highlight w:val="none"/>
              </w:rPr>
            </w:pPr>
          </w:p>
        </w:tc>
        <w:tc>
          <w:tcPr>
            <w:tcW w:w="1881" w:type="pct"/>
            <w:shd w:val="clear" w:color="auto" w:fill="auto"/>
            <w:vAlign w:val="center"/>
          </w:tcPr>
          <w:p w14:paraId="35AE9A6B">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污泥处理质量</w:t>
            </w:r>
          </w:p>
        </w:tc>
        <w:tc>
          <w:tcPr>
            <w:tcW w:w="1050" w:type="pct"/>
            <w:shd w:val="clear" w:color="auto" w:fill="auto"/>
            <w:vAlign w:val="center"/>
          </w:tcPr>
          <w:p w14:paraId="2639FF1C">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2</w:t>
            </w:r>
          </w:p>
        </w:tc>
      </w:tr>
      <w:tr w14:paraId="4CB23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continue"/>
            <w:shd w:val="clear" w:color="auto" w:fill="auto"/>
            <w:vAlign w:val="center"/>
          </w:tcPr>
          <w:p w14:paraId="5A433D09">
            <w:pPr>
              <w:jc w:val="center"/>
              <w:rPr>
                <w:rFonts w:hint="default" w:ascii="Times New Roman" w:hAnsi="Times New Roman" w:eastAsia="楷体" w:cs="Times New Roman"/>
                <w:color w:val="auto"/>
                <w:sz w:val="24"/>
                <w:highlight w:val="none"/>
              </w:rPr>
            </w:pPr>
          </w:p>
        </w:tc>
        <w:tc>
          <w:tcPr>
            <w:tcW w:w="1173" w:type="pct"/>
            <w:vMerge w:val="continue"/>
            <w:shd w:val="clear" w:color="auto" w:fill="auto"/>
            <w:vAlign w:val="center"/>
          </w:tcPr>
          <w:p w14:paraId="48746DAD">
            <w:pPr>
              <w:jc w:val="center"/>
              <w:rPr>
                <w:rFonts w:hint="default" w:ascii="Times New Roman" w:hAnsi="Times New Roman" w:eastAsia="楷体" w:cs="Times New Roman"/>
                <w:color w:val="auto"/>
                <w:sz w:val="24"/>
                <w:highlight w:val="none"/>
              </w:rPr>
            </w:pPr>
          </w:p>
        </w:tc>
        <w:tc>
          <w:tcPr>
            <w:tcW w:w="1881" w:type="pct"/>
            <w:shd w:val="clear" w:color="auto" w:fill="auto"/>
            <w:vAlign w:val="center"/>
          </w:tcPr>
          <w:p w14:paraId="46E4F10E">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污泥处理设施</w:t>
            </w:r>
          </w:p>
        </w:tc>
        <w:tc>
          <w:tcPr>
            <w:tcW w:w="1050" w:type="pct"/>
            <w:shd w:val="clear" w:color="auto" w:fill="auto"/>
            <w:vAlign w:val="center"/>
          </w:tcPr>
          <w:p w14:paraId="1EF18C5F">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2</w:t>
            </w:r>
          </w:p>
        </w:tc>
      </w:tr>
      <w:tr w14:paraId="49543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restart"/>
            <w:shd w:val="clear" w:color="auto" w:fill="auto"/>
            <w:vAlign w:val="center"/>
          </w:tcPr>
          <w:p w14:paraId="2257D23D">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生产运行管理</w:t>
            </w:r>
          </w:p>
        </w:tc>
        <w:tc>
          <w:tcPr>
            <w:tcW w:w="1173" w:type="pct"/>
            <w:vMerge w:val="restart"/>
            <w:shd w:val="clear" w:color="auto" w:fill="auto"/>
            <w:vAlign w:val="center"/>
          </w:tcPr>
          <w:p w14:paraId="1EA5D7D9">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15</w:t>
            </w:r>
          </w:p>
        </w:tc>
        <w:tc>
          <w:tcPr>
            <w:tcW w:w="1881" w:type="pct"/>
            <w:shd w:val="clear" w:color="auto" w:fill="auto"/>
            <w:vAlign w:val="center"/>
          </w:tcPr>
          <w:p w14:paraId="7EE26A11">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人员培训</w:t>
            </w:r>
          </w:p>
        </w:tc>
        <w:tc>
          <w:tcPr>
            <w:tcW w:w="1050" w:type="pct"/>
            <w:shd w:val="clear" w:color="auto" w:fill="auto"/>
            <w:vAlign w:val="center"/>
          </w:tcPr>
          <w:p w14:paraId="323D2D5F">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3</w:t>
            </w:r>
          </w:p>
        </w:tc>
      </w:tr>
      <w:tr w14:paraId="44DAC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continue"/>
            <w:shd w:val="clear" w:color="auto" w:fill="auto"/>
            <w:vAlign w:val="center"/>
          </w:tcPr>
          <w:p w14:paraId="4E1CA596">
            <w:pPr>
              <w:jc w:val="center"/>
              <w:rPr>
                <w:rFonts w:hint="default" w:ascii="Times New Roman" w:hAnsi="Times New Roman" w:eastAsia="楷体" w:cs="Times New Roman"/>
                <w:color w:val="auto"/>
                <w:sz w:val="24"/>
                <w:highlight w:val="none"/>
              </w:rPr>
            </w:pPr>
          </w:p>
        </w:tc>
        <w:tc>
          <w:tcPr>
            <w:tcW w:w="1173" w:type="pct"/>
            <w:vMerge w:val="continue"/>
            <w:shd w:val="clear" w:color="auto" w:fill="auto"/>
            <w:vAlign w:val="center"/>
          </w:tcPr>
          <w:p w14:paraId="10F79BB5">
            <w:pPr>
              <w:jc w:val="center"/>
              <w:rPr>
                <w:rFonts w:hint="default" w:ascii="Times New Roman" w:hAnsi="Times New Roman" w:eastAsia="楷体" w:cs="Times New Roman"/>
                <w:color w:val="auto"/>
                <w:sz w:val="24"/>
                <w:highlight w:val="none"/>
              </w:rPr>
            </w:pPr>
          </w:p>
        </w:tc>
        <w:tc>
          <w:tcPr>
            <w:tcW w:w="1881" w:type="pct"/>
            <w:shd w:val="clear" w:color="auto" w:fill="auto"/>
            <w:vAlign w:val="center"/>
          </w:tcPr>
          <w:p w14:paraId="16A8A0B3">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生产计划及实施</w:t>
            </w:r>
          </w:p>
        </w:tc>
        <w:tc>
          <w:tcPr>
            <w:tcW w:w="1050" w:type="pct"/>
            <w:shd w:val="clear" w:color="auto" w:fill="auto"/>
            <w:vAlign w:val="center"/>
          </w:tcPr>
          <w:p w14:paraId="7F74BCE8">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4</w:t>
            </w:r>
          </w:p>
        </w:tc>
      </w:tr>
      <w:tr w14:paraId="0A1C3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continue"/>
            <w:shd w:val="clear" w:color="auto" w:fill="auto"/>
            <w:vAlign w:val="center"/>
          </w:tcPr>
          <w:p w14:paraId="4F9BEC80">
            <w:pPr>
              <w:jc w:val="center"/>
              <w:rPr>
                <w:rFonts w:hint="default" w:ascii="Times New Roman" w:hAnsi="Times New Roman" w:eastAsia="楷体" w:cs="Times New Roman"/>
                <w:color w:val="auto"/>
                <w:sz w:val="24"/>
                <w:highlight w:val="none"/>
              </w:rPr>
            </w:pPr>
          </w:p>
        </w:tc>
        <w:tc>
          <w:tcPr>
            <w:tcW w:w="1173" w:type="pct"/>
            <w:vMerge w:val="continue"/>
            <w:shd w:val="clear" w:color="auto" w:fill="auto"/>
            <w:vAlign w:val="center"/>
          </w:tcPr>
          <w:p w14:paraId="31CC10C0">
            <w:pPr>
              <w:jc w:val="center"/>
              <w:rPr>
                <w:rFonts w:hint="default" w:ascii="Times New Roman" w:hAnsi="Times New Roman" w:eastAsia="楷体" w:cs="Times New Roman"/>
                <w:color w:val="auto"/>
                <w:sz w:val="24"/>
                <w:highlight w:val="none"/>
              </w:rPr>
            </w:pPr>
          </w:p>
        </w:tc>
        <w:tc>
          <w:tcPr>
            <w:tcW w:w="1881" w:type="pct"/>
            <w:shd w:val="clear" w:color="auto" w:fill="auto"/>
            <w:vAlign w:val="center"/>
          </w:tcPr>
          <w:p w14:paraId="01635BD6">
            <w:pPr>
              <w:jc w:val="center"/>
              <w:textAlignment w:val="center"/>
              <w:rPr>
                <w:rFonts w:hint="default" w:ascii="Times New Roman" w:hAnsi="Times New Roman" w:eastAsia="楷体" w:cs="Times New Roman"/>
                <w:color w:val="auto"/>
                <w:kern w:val="0"/>
                <w:sz w:val="24"/>
                <w:highlight w:val="none"/>
                <w:lang w:bidi="ar"/>
              </w:rPr>
            </w:pPr>
            <w:r>
              <w:rPr>
                <w:rFonts w:hint="default" w:ascii="Times New Roman" w:hAnsi="Times New Roman" w:eastAsia="楷体" w:cs="Times New Roman"/>
                <w:color w:val="auto"/>
                <w:kern w:val="0"/>
                <w:sz w:val="24"/>
                <w:highlight w:val="none"/>
                <w:lang w:bidi="ar"/>
              </w:rPr>
              <w:t>工艺管理</w:t>
            </w:r>
          </w:p>
        </w:tc>
        <w:tc>
          <w:tcPr>
            <w:tcW w:w="1050" w:type="pct"/>
            <w:shd w:val="clear" w:color="auto" w:fill="auto"/>
            <w:vAlign w:val="center"/>
          </w:tcPr>
          <w:p w14:paraId="3D0A5111">
            <w:pPr>
              <w:jc w:val="center"/>
              <w:textAlignment w:val="center"/>
              <w:rPr>
                <w:rFonts w:hint="default" w:ascii="Times New Roman" w:hAnsi="Times New Roman" w:eastAsia="楷体" w:cs="Times New Roman"/>
                <w:color w:val="auto"/>
                <w:kern w:val="0"/>
                <w:sz w:val="24"/>
                <w:highlight w:val="none"/>
                <w:lang w:bidi="ar"/>
              </w:rPr>
            </w:pPr>
            <w:r>
              <w:rPr>
                <w:rFonts w:hint="default" w:ascii="Times New Roman" w:hAnsi="Times New Roman" w:eastAsia="楷体" w:cs="Times New Roman"/>
                <w:color w:val="auto"/>
                <w:kern w:val="0"/>
                <w:sz w:val="24"/>
                <w:highlight w:val="none"/>
                <w:lang w:bidi="ar"/>
              </w:rPr>
              <w:t>4</w:t>
            </w:r>
          </w:p>
        </w:tc>
      </w:tr>
      <w:tr w14:paraId="7C811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continue"/>
            <w:shd w:val="clear" w:color="auto" w:fill="auto"/>
            <w:vAlign w:val="center"/>
          </w:tcPr>
          <w:p w14:paraId="05A23274">
            <w:pPr>
              <w:jc w:val="center"/>
              <w:rPr>
                <w:rFonts w:hint="default" w:ascii="Times New Roman" w:hAnsi="Times New Roman" w:eastAsia="楷体" w:cs="Times New Roman"/>
                <w:color w:val="auto"/>
                <w:sz w:val="24"/>
                <w:highlight w:val="none"/>
              </w:rPr>
            </w:pPr>
          </w:p>
        </w:tc>
        <w:tc>
          <w:tcPr>
            <w:tcW w:w="1173" w:type="pct"/>
            <w:vMerge w:val="continue"/>
            <w:shd w:val="clear" w:color="auto" w:fill="auto"/>
            <w:vAlign w:val="center"/>
          </w:tcPr>
          <w:p w14:paraId="060AE373">
            <w:pPr>
              <w:jc w:val="center"/>
              <w:rPr>
                <w:rFonts w:hint="default" w:ascii="Times New Roman" w:hAnsi="Times New Roman" w:eastAsia="楷体" w:cs="Times New Roman"/>
                <w:color w:val="auto"/>
                <w:sz w:val="24"/>
                <w:highlight w:val="none"/>
              </w:rPr>
            </w:pPr>
          </w:p>
        </w:tc>
        <w:tc>
          <w:tcPr>
            <w:tcW w:w="1881" w:type="pct"/>
            <w:shd w:val="clear" w:color="auto" w:fill="auto"/>
            <w:vAlign w:val="center"/>
          </w:tcPr>
          <w:p w14:paraId="33BD9F53">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再生水回用</w:t>
            </w:r>
          </w:p>
        </w:tc>
        <w:tc>
          <w:tcPr>
            <w:tcW w:w="1050" w:type="pct"/>
            <w:shd w:val="clear" w:color="auto" w:fill="auto"/>
            <w:vAlign w:val="center"/>
          </w:tcPr>
          <w:p w14:paraId="09DFEA79">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2</w:t>
            </w:r>
          </w:p>
        </w:tc>
      </w:tr>
      <w:tr w14:paraId="40A8D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continue"/>
            <w:shd w:val="clear" w:color="auto" w:fill="auto"/>
            <w:vAlign w:val="center"/>
          </w:tcPr>
          <w:p w14:paraId="66482DFA">
            <w:pPr>
              <w:jc w:val="center"/>
              <w:rPr>
                <w:rFonts w:hint="default" w:ascii="Times New Roman" w:hAnsi="Times New Roman" w:eastAsia="楷体" w:cs="Times New Roman"/>
                <w:color w:val="auto"/>
                <w:sz w:val="24"/>
                <w:highlight w:val="none"/>
              </w:rPr>
            </w:pPr>
          </w:p>
        </w:tc>
        <w:tc>
          <w:tcPr>
            <w:tcW w:w="1173" w:type="pct"/>
            <w:vMerge w:val="continue"/>
            <w:shd w:val="clear" w:color="auto" w:fill="auto"/>
            <w:vAlign w:val="center"/>
          </w:tcPr>
          <w:p w14:paraId="1298D5E6">
            <w:pPr>
              <w:jc w:val="center"/>
              <w:rPr>
                <w:rFonts w:hint="default" w:ascii="Times New Roman" w:hAnsi="Times New Roman" w:eastAsia="楷体" w:cs="Times New Roman"/>
                <w:color w:val="auto"/>
                <w:sz w:val="24"/>
                <w:highlight w:val="none"/>
              </w:rPr>
            </w:pPr>
          </w:p>
        </w:tc>
        <w:tc>
          <w:tcPr>
            <w:tcW w:w="1881" w:type="pct"/>
            <w:shd w:val="clear" w:color="auto" w:fill="auto"/>
            <w:vAlign w:val="center"/>
          </w:tcPr>
          <w:p w14:paraId="3782B65D">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消毒与除臭</w:t>
            </w:r>
          </w:p>
        </w:tc>
        <w:tc>
          <w:tcPr>
            <w:tcW w:w="1050" w:type="pct"/>
            <w:shd w:val="clear" w:color="auto" w:fill="auto"/>
            <w:vAlign w:val="center"/>
          </w:tcPr>
          <w:p w14:paraId="1EED3FD2">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2</w:t>
            </w:r>
          </w:p>
        </w:tc>
      </w:tr>
      <w:tr w14:paraId="62CF8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restart"/>
            <w:shd w:val="clear" w:color="auto" w:fill="auto"/>
            <w:vAlign w:val="center"/>
          </w:tcPr>
          <w:p w14:paraId="4CEB4EAA">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台账管理</w:t>
            </w:r>
          </w:p>
        </w:tc>
        <w:tc>
          <w:tcPr>
            <w:tcW w:w="1173" w:type="pct"/>
            <w:vMerge w:val="restart"/>
            <w:shd w:val="clear" w:color="auto" w:fill="auto"/>
            <w:vAlign w:val="center"/>
          </w:tcPr>
          <w:p w14:paraId="65A696B7">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10</w:t>
            </w:r>
          </w:p>
        </w:tc>
        <w:tc>
          <w:tcPr>
            <w:tcW w:w="1881" w:type="pct"/>
            <w:shd w:val="clear" w:color="auto" w:fill="auto"/>
            <w:vAlign w:val="center"/>
          </w:tcPr>
          <w:p w14:paraId="7B13EB6C">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污水台账</w:t>
            </w:r>
          </w:p>
        </w:tc>
        <w:tc>
          <w:tcPr>
            <w:tcW w:w="1050" w:type="pct"/>
            <w:shd w:val="clear" w:color="auto" w:fill="auto"/>
            <w:vAlign w:val="center"/>
          </w:tcPr>
          <w:p w14:paraId="06D18AF2">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8</w:t>
            </w:r>
          </w:p>
        </w:tc>
      </w:tr>
      <w:tr w14:paraId="2777E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continue"/>
            <w:shd w:val="clear" w:color="auto" w:fill="auto"/>
            <w:vAlign w:val="center"/>
          </w:tcPr>
          <w:p w14:paraId="3DBF15B2">
            <w:pPr>
              <w:jc w:val="center"/>
              <w:rPr>
                <w:rFonts w:hint="default" w:ascii="Times New Roman" w:hAnsi="Times New Roman" w:eastAsia="楷体" w:cs="Times New Roman"/>
                <w:color w:val="auto"/>
                <w:sz w:val="24"/>
                <w:highlight w:val="none"/>
              </w:rPr>
            </w:pPr>
          </w:p>
        </w:tc>
        <w:tc>
          <w:tcPr>
            <w:tcW w:w="1173" w:type="pct"/>
            <w:vMerge w:val="continue"/>
            <w:shd w:val="clear" w:color="auto" w:fill="auto"/>
            <w:vAlign w:val="center"/>
          </w:tcPr>
          <w:p w14:paraId="21963AFA">
            <w:pPr>
              <w:jc w:val="center"/>
              <w:rPr>
                <w:rFonts w:hint="default" w:ascii="Times New Roman" w:hAnsi="Times New Roman" w:eastAsia="楷体" w:cs="Times New Roman"/>
                <w:color w:val="auto"/>
                <w:sz w:val="24"/>
                <w:highlight w:val="none"/>
              </w:rPr>
            </w:pPr>
          </w:p>
        </w:tc>
        <w:tc>
          <w:tcPr>
            <w:tcW w:w="1881" w:type="pct"/>
            <w:shd w:val="clear" w:color="auto" w:fill="auto"/>
            <w:vAlign w:val="center"/>
          </w:tcPr>
          <w:p w14:paraId="2BCE712C">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档案管理</w:t>
            </w:r>
          </w:p>
        </w:tc>
        <w:tc>
          <w:tcPr>
            <w:tcW w:w="1050" w:type="pct"/>
            <w:shd w:val="clear" w:color="auto" w:fill="auto"/>
            <w:vAlign w:val="center"/>
          </w:tcPr>
          <w:p w14:paraId="2C0EE8D9">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2</w:t>
            </w:r>
          </w:p>
        </w:tc>
      </w:tr>
      <w:tr w14:paraId="779CB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restart"/>
            <w:shd w:val="clear" w:color="auto" w:fill="auto"/>
            <w:vAlign w:val="center"/>
          </w:tcPr>
          <w:p w14:paraId="49485402">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成本管理</w:t>
            </w:r>
          </w:p>
        </w:tc>
        <w:tc>
          <w:tcPr>
            <w:tcW w:w="1173" w:type="pct"/>
            <w:vMerge w:val="restart"/>
            <w:shd w:val="clear" w:color="auto" w:fill="auto"/>
            <w:vAlign w:val="center"/>
          </w:tcPr>
          <w:p w14:paraId="02E1CE7C">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13</w:t>
            </w:r>
          </w:p>
        </w:tc>
        <w:tc>
          <w:tcPr>
            <w:tcW w:w="1881" w:type="pct"/>
            <w:shd w:val="clear" w:color="auto" w:fill="auto"/>
            <w:vAlign w:val="center"/>
          </w:tcPr>
          <w:p w14:paraId="521F83B7">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能耗一览表</w:t>
            </w:r>
          </w:p>
        </w:tc>
        <w:tc>
          <w:tcPr>
            <w:tcW w:w="1050" w:type="pct"/>
            <w:shd w:val="clear" w:color="auto" w:fill="auto"/>
            <w:vAlign w:val="center"/>
          </w:tcPr>
          <w:p w14:paraId="6062A736">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2</w:t>
            </w:r>
          </w:p>
        </w:tc>
      </w:tr>
      <w:tr w14:paraId="56315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continue"/>
            <w:shd w:val="clear" w:color="auto" w:fill="auto"/>
            <w:vAlign w:val="center"/>
          </w:tcPr>
          <w:p w14:paraId="79C4B60A">
            <w:pPr>
              <w:jc w:val="center"/>
              <w:rPr>
                <w:rFonts w:hint="default" w:ascii="Times New Roman" w:hAnsi="Times New Roman" w:eastAsia="楷体" w:cs="Times New Roman"/>
                <w:color w:val="auto"/>
                <w:sz w:val="24"/>
                <w:highlight w:val="none"/>
              </w:rPr>
            </w:pPr>
          </w:p>
        </w:tc>
        <w:tc>
          <w:tcPr>
            <w:tcW w:w="1173" w:type="pct"/>
            <w:vMerge w:val="continue"/>
            <w:shd w:val="clear" w:color="auto" w:fill="auto"/>
            <w:vAlign w:val="center"/>
          </w:tcPr>
          <w:p w14:paraId="10980A37">
            <w:pPr>
              <w:jc w:val="center"/>
              <w:rPr>
                <w:rFonts w:hint="default" w:ascii="Times New Roman" w:hAnsi="Times New Roman" w:eastAsia="楷体" w:cs="Times New Roman"/>
                <w:color w:val="auto"/>
                <w:sz w:val="24"/>
                <w:highlight w:val="none"/>
              </w:rPr>
            </w:pPr>
          </w:p>
        </w:tc>
        <w:tc>
          <w:tcPr>
            <w:tcW w:w="1881" w:type="pct"/>
            <w:shd w:val="clear" w:color="auto" w:fill="auto"/>
            <w:vAlign w:val="center"/>
          </w:tcPr>
          <w:p w14:paraId="30D0DE88">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污水处理能耗</w:t>
            </w:r>
          </w:p>
        </w:tc>
        <w:tc>
          <w:tcPr>
            <w:tcW w:w="1050" w:type="pct"/>
            <w:shd w:val="clear" w:color="auto" w:fill="auto"/>
            <w:vAlign w:val="center"/>
          </w:tcPr>
          <w:p w14:paraId="3D38CEEE">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2</w:t>
            </w:r>
          </w:p>
        </w:tc>
      </w:tr>
      <w:tr w14:paraId="42850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continue"/>
            <w:shd w:val="clear" w:color="auto" w:fill="auto"/>
            <w:vAlign w:val="center"/>
          </w:tcPr>
          <w:p w14:paraId="5A96C0CA">
            <w:pPr>
              <w:jc w:val="center"/>
              <w:rPr>
                <w:rFonts w:hint="default" w:ascii="Times New Roman" w:hAnsi="Times New Roman" w:eastAsia="楷体" w:cs="Times New Roman"/>
                <w:color w:val="auto"/>
                <w:sz w:val="24"/>
                <w:highlight w:val="none"/>
              </w:rPr>
            </w:pPr>
          </w:p>
        </w:tc>
        <w:tc>
          <w:tcPr>
            <w:tcW w:w="1173" w:type="pct"/>
            <w:vMerge w:val="continue"/>
            <w:shd w:val="clear" w:color="auto" w:fill="auto"/>
            <w:vAlign w:val="center"/>
          </w:tcPr>
          <w:p w14:paraId="6924C590">
            <w:pPr>
              <w:jc w:val="center"/>
              <w:rPr>
                <w:rFonts w:hint="default" w:ascii="Times New Roman" w:hAnsi="Times New Roman" w:eastAsia="楷体" w:cs="Times New Roman"/>
                <w:color w:val="auto"/>
                <w:sz w:val="24"/>
                <w:highlight w:val="none"/>
              </w:rPr>
            </w:pPr>
          </w:p>
        </w:tc>
        <w:tc>
          <w:tcPr>
            <w:tcW w:w="1881" w:type="pct"/>
            <w:shd w:val="clear" w:color="auto" w:fill="auto"/>
            <w:vAlign w:val="center"/>
          </w:tcPr>
          <w:p w14:paraId="2E38F12D">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污水处理药耗</w:t>
            </w:r>
          </w:p>
        </w:tc>
        <w:tc>
          <w:tcPr>
            <w:tcW w:w="1050" w:type="pct"/>
            <w:shd w:val="clear" w:color="auto" w:fill="auto"/>
            <w:vAlign w:val="center"/>
          </w:tcPr>
          <w:p w14:paraId="0C45715C">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2</w:t>
            </w:r>
          </w:p>
        </w:tc>
      </w:tr>
      <w:tr w14:paraId="7C18C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continue"/>
            <w:shd w:val="clear" w:color="auto" w:fill="auto"/>
            <w:vAlign w:val="center"/>
          </w:tcPr>
          <w:p w14:paraId="7AA22D99">
            <w:pPr>
              <w:jc w:val="center"/>
              <w:rPr>
                <w:rFonts w:hint="default" w:ascii="Times New Roman" w:hAnsi="Times New Roman" w:eastAsia="楷体" w:cs="Times New Roman"/>
                <w:color w:val="auto"/>
                <w:sz w:val="24"/>
                <w:highlight w:val="none"/>
              </w:rPr>
            </w:pPr>
          </w:p>
        </w:tc>
        <w:tc>
          <w:tcPr>
            <w:tcW w:w="1173" w:type="pct"/>
            <w:vMerge w:val="continue"/>
            <w:shd w:val="clear" w:color="auto" w:fill="auto"/>
            <w:vAlign w:val="center"/>
          </w:tcPr>
          <w:p w14:paraId="608E871A">
            <w:pPr>
              <w:jc w:val="center"/>
              <w:rPr>
                <w:rFonts w:hint="default" w:ascii="Times New Roman" w:hAnsi="Times New Roman" w:eastAsia="楷体" w:cs="Times New Roman"/>
                <w:color w:val="auto"/>
                <w:sz w:val="24"/>
                <w:highlight w:val="none"/>
              </w:rPr>
            </w:pPr>
          </w:p>
        </w:tc>
        <w:tc>
          <w:tcPr>
            <w:tcW w:w="1881" w:type="pct"/>
            <w:shd w:val="clear" w:color="auto" w:fill="FFFFFF"/>
            <w:vAlign w:val="center"/>
          </w:tcPr>
          <w:p w14:paraId="5A389D24">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成本一览表</w:t>
            </w:r>
          </w:p>
        </w:tc>
        <w:tc>
          <w:tcPr>
            <w:tcW w:w="1050" w:type="pct"/>
            <w:shd w:val="clear" w:color="auto" w:fill="FFFFFF"/>
            <w:vAlign w:val="center"/>
          </w:tcPr>
          <w:p w14:paraId="25E32F38">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2</w:t>
            </w:r>
          </w:p>
        </w:tc>
      </w:tr>
      <w:tr w14:paraId="5CDC2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continue"/>
            <w:shd w:val="clear" w:color="auto" w:fill="auto"/>
            <w:vAlign w:val="center"/>
          </w:tcPr>
          <w:p w14:paraId="64A9AD6F">
            <w:pPr>
              <w:jc w:val="center"/>
              <w:rPr>
                <w:rFonts w:hint="default" w:ascii="Times New Roman" w:hAnsi="Times New Roman" w:eastAsia="楷体" w:cs="Times New Roman"/>
                <w:color w:val="auto"/>
                <w:sz w:val="24"/>
                <w:highlight w:val="none"/>
              </w:rPr>
            </w:pPr>
          </w:p>
        </w:tc>
        <w:tc>
          <w:tcPr>
            <w:tcW w:w="1173" w:type="pct"/>
            <w:vMerge w:val="continue"/>
            <w:shd w:val="clear" w:color="auto" w:fill="auto"/>
            <w:vAlign w:val="center"/>
          </w:tcPr>
          <w:p w14:paraId="60B9FF4E">
            <w:pPr>
              <w:jc w:val="center"/>
              <w:rPr>
                <w:rFonts w:hint="default" w:ascii="Times New Roman" w:hAnsi="Times New Roman" w:eastAsia="楷体" w:cs="Times New Roman"/>
                <w:color w:val="auto"/>
                <w:sz w:val="24"/>
                <w:highlight w:val="none"/>
              </w:rPr>
            </w:pPr>
          </w:p>
        </w:tc>
        <w:tc>
          <w:tcPr>
            <w:tcW w:w="1881" w:type="pct"/>
            <w:shd w:val="clear" w:color="auto" w:fill="auto"/>
            <w:vAlign w:val="center"/>
          </w:tcPr>
          <w:p w14:paraId="3F772CF3">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污水处理成本</w:t>
            </w:r>
          </w:p>
        </w:tc>
        <w:tc>
          <w:tcPr>
            <w:tcW w:w="1050" w:type="pct"/>
            <w:shd w:val="clear" w:color="auto" w:fill="auto"/>
            <w:vAlign w:val="center"/>
          </w:tcPr>
          <w:p w14:paraId="1AB39C32">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sz w:val="24"/>
                <w:highlight w:val="none"/>
              </w:rPr>
              <w:t>5</w:t>
            </w:r>
          </w:p>
        </w:tc>
      </w:tr>
      <w:tr w14:paraId="2A40D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restart"/>
            <w:shd w:val="clear" w:color="auto" w:fill="auto"/>
            <w:vAlign w:val="center"/>
          </w:tcPr>
          <w:p w14:paraId="387353D6">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水质与检验</w:t>
            </w:r>
          </w:p>
        </w:tc>
        <w:tc>
          <w:tcPr>
            <w:tcW w:w="1173" w:type="pct"/>
            <w:vMerge w:val="restart"/>
            <w:shd w:val="clear" w:color="auto" w:fill="auto"/>
            <w:vAlign w:val="center"/>
          </w:tcPr>
          <w:p w14:paraId="45081120">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10</w:t>
            </w:r>
          </w:p>
        </w:tc>
        <w:tc>
          <w:tcPr>
            <w:tcW w:w="1881" w:type="pct"/>
            <w:shd w:val="clear" w:color="auto" w:fill="auto"/>
            <w:vAlign w:val="center"/>
          </w:tcPr>
          <w:p w14:paraId="05D7CCA8">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化验室配备</w:t>
            </w:r>
          </w:p>
        </w:tc>
        <w:tc>
          <w:tcPr>
            <w:tcW w:w="1050" w:type="pct"/>
            <w:shd w:val="clear" w:color="auto" w:fill="auto"/>
            <w:vAlign w:val="center"/>
          </w:tcPr>
          <w:p w14:paraId="1EA163C8">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3</w:t>
            </w:r>
          </w:p>
        </w:tc>
      </w:tr>
      <w:tr w14:paraId="54F2A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continue"/>
            <w:shd w:val="clear" w:color="auto" w:fill="auto"/>
            <w:vAlign w:val="center"/>
          </w:tcPr>
          <w:p w14:paraId="5915BCA9">
            <w:pPr>
              <w:jc w:val="center"/>
              <w:rPr>
                <w:rFonts w:hint="default" w:ascii="Times New Roman" w:hAnsi="Times New Roman" w:eastAsia="楷体" w:cs="Times New Roman"/>
                <w:color w:val="auto"/>
                <w:sz w:val="24"/>
                <w:highlight w:val="none"/>
              </w:rPr>
            </w:pPr>
          </w:p>
        </w:tc>
        <w:tc>
          <w:tcPr>
            <w:tcW w:w="1173" w:type="pct"/>
            <w:vMerge w:val="continue"/>
            <w:shd w:val="clear" w:color="auto" w:fill="auto"/>
            <w:vAlign w:val="center"/>
          </w:tcPr>
          <w:p w14:paraId="3AAF4811">
            <w:pPr>
              <w:jc w:val="center"/>
              <w:rPr>
                <w:rFonts w:hint="default" w:ascii="Times New Roman" w:hAnsi="Times New Roman" w:eastAsia="楷体" w:cs="Times New Roman"/>
                <w:color w:val="auto"/>
                <w:sz w:val="24"/>
                <w:highlight w:val="none"/>
              </w:rPr>
            </w:pPr>
          </w:p>
        </w:tc>
        <w:tc>
          <w:tcPr>
            <w:tcW w:w="1881" w:type="pct"/>
            <w:shd w:val="clear" w:color="auto" w:fill="auto"/>
            <w:vAlign w:val="center"/>
          </w:tcPr>
          <w:p w14:paraId="2B44F755">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化验项目及频次</w:t>
            </w:r>
          </w:p>
        </w:tc>
        <w:tc>
          <w:tcPr>
            <w:tcW w:w="1050" w:type="pct"/>
            <w:shd w:val="clear" w:color="auto" w:fill="auto"/>
            <w:vAlign w:val="center"/>
          </w:tcPr>
          <w:p w14:paraId="75176643">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3</w:t>
            </w:r>
          </w:p>
        </w:tc>
      </w:tr>
      <w:tr w14:paraId="662C2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continue"/>
            <w:shd w:val="clear" w:color="auto" w:fill="auto"/>
            <w:vAlign w:val="center"/>
          </w:tcPr>
          <w:p w14:paraId="2DBE1FBE">
            <w:pPr>
              <w:jc w:val="center"/>
              <w:rPr>
                <w:rFonts w:hint="default" w:ascii="Times New Roman" w:hAnsi="Times New Roman" w:eastAsia="楷体" w:cs="Times New Roman"/>
                <w:color w:val="auto"/>
                <w:sz w:val="24"/>
                <w:highlight w:val="none"/>
              </w:rPr>
            </w:pPr>
          </w:p>
        </w:tc>
        <w:tc>
          <w:tcPr>
            <w:tcW w:w="1173" w:type="pct"/>
            <w:vMerge w:val="continue"/>
            <w:shd w:val="clear" w:color="auto" w:fill="auto"/>
            <w:vAlign w:val="center"/>
          </w:tcPr>
          <w:p w14:paraId="65041E46">
            <w:pPr>
              <w:jc w:val="center"/>
              <w:rPr>
                <w:rFonts w:hint="default" w:ascii="Times New Roman" w:hAnsi="Times New Roman" w:eastAsia="楷体" w:cs="Times New Roman"/>
                <w:color w:val="auto"/>
                <w:sz w:val="24"/>
                <w:highlight w:val="none"/>
              </w:rPr>
            </w:pPr>
          </w:p>
        </w:tc>
        <w:tc>
          <w:tcPr>
            <w:tcW w:w="1881" w:type="pct"/>
            <w:shd w:val="clear" w:color="auto" w:fill="auto"/>
            <w:vAlign w:val="center"/>
          </w:tcPr>
          <w:p w14:paraId="0437A03F">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化验分析方法</w:t>
            </w:r>
          </w:p>
        </w:tc>
        <w:tc>
          <w:tcPr>
            <w:tcW w:w="1050" w:type="pct"/>
            <w:shd w:val="clear" w:color="auto" w:fill="auto"/>
            <w:vAlign w:val="center"/>
          </w:tcPr>
          <w:p w14:paraId="288DFF1D">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2</w:t>
            </w:r>
          </w:p>
        </w:tc>
      </w:tr>
      <w:tr w14:paraId="2BF07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continue"/>
            <w:shd w:val="clear" w:color="auto" w:fill="auto"/>
            <w:vAlign w:val="center"/>
          </w:tcPr>
          <w:p w14:paraId="090223BB">
            <w:pPr>
              <w:jc w:val="center"/>
              <w:rPr>
                <w:rFonts w:hint="default" w:ascii="Times New Roman" w:hAnsi="Times New Roman" w:eastAsia="楷体" w:cs="Times New Roman"/>
                <w:color w:val="auto"/>
                <w:sz w:val="24"/>
                <w:highlight w:val="none"/>
              </w:rPr>
            </w:pPr>
          </w:p>
        </w:tc>
        <w:tc>
          <w:tcPr>
            <w:tcW w:w="1173" w:type="pct"/>
            <w:vMerge w:val="continue"/>
            <w:shd w:val="clear" w:color="auto" w:fill="auto"/>
            <w:vAlign w:val="center"/>
          </w:tcPr>
          <w:p w14:paraId="5034C756">
            <w:pPr>
              <w:jc w:val="center"/>
              <w:rPr>
                <w:rFonts w:hint="default" w:ascii="Times New Roman" w:hAnsi="Times New Roman" w:eastAsia="楷体" w:cs="Times New Roman"/>
                <w:color w:val="auto"/>
                <w:sz w:val="24"/>
                <w:highlight w:val="none"/>
              </w:rPr>
            </w:pPr>
          </w:p>
        </w:tc>
        <w:tc>
          <w:tcPr>
            <w:tcW w:w="1881" w:type="pct"/>
            <w:shd w:val="clear" w:color="auto" w:fill="auto"/>
            <w:vAlign w:val="center"/>
          </w:tcPr>
          <w:p w14:paraId="17A32C92">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化验质量控制</w:t>
            </w:r>
          </w:p>
        </w:tc>
        <w:tc>
          <w:tcPr>
            <w:tcW w:w="1050" w:type="pct"/>
            <w:shd w:val="clear" w:color="auto" w:fill="auto"/>
            <w:vAlign w:val="center"/>
          </w:tcPr>
          <w:p w14:paraId="22B8A939">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2</w:t>
            </w:r>
          </w:p>
        </w:tc>
      </w:tr>
      <w:tr w14:paraId="0D3DE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restart"/>
            <w:shd w:val="clear" w:color="auto" w:fill="auto"/>
            <w:vAlign w:val="center"/>
          </w:tcPr>
          <w:p w14:paraId="0602A385">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设备管理</w:t>
            </w:r>
          </w:p>
        </w:tc>
        <w:tc>
          <w:tcPr>
            <w:tcW w:w="1173" w:type="pct"/>
            <w:vMerge w:val="restart"/>
            <w:shd w:val="clear" w:color="auto" w:fill="auto"/>
            <w:vAlign w:val="center"/>
          </w:tcPr>
          <w:p w14:paraId="27059AD1">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12</w:t>
            </w:r>
          </w:p>
        </w:tc>
        <w:tc>
          <w:tcPr>
            <w:tcW w:w="1881" w:type="pct"/>
            <w:shd w:val="clear" w:color="auto" w:fill="auto"/>
            <w:vAlign w:val="center"/>
          </w:tcPr>
          <w:p w14:paraId="1ED9A897">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设备运行</w:t>
            </w:r>
          </w:p>
        </w:tc>
        <w:tc>
          <w:tcPr>
            <w:tcW w:w="1050" w:type="pct"/>
            <w:shd w:val="clear" w:color="auto" w:fill="auto"/>
            <w:vAlign w:val="center"/>
          </w:tcPr>
          <w:p w14:paraId="08278217">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4</w:t>
            </w:r>
          </w:p>
        </w:tc>
      </w:tr>
      <w:tr w14:paraId="5338C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continue"/>
            <w:shd w:val="clear" w:color="auto" w:fill="auto"/>
            <w:vAlign w:val="center"/>
          </w:tcPr>
          <w:p w14:paraId="3E773AEA">
            <w:pPr>
              <w:jc w:val="center"/>
              <w:rPr>
                <w:rFonts w:hint="default" w:ascii="Times New Roman" w:hAnsi="Times New Roman" w:eastAsia="楷体" w:cs="Times New Roman"/>
                <w:color w:val="auto"/>
                <w:sz w:val="24"/>
                <w:highlight w:val="none"/>
              </w:rPr>
            </w:pPr>
          </w:p>
        </w:tc>
        <w:tc>
          <w:tcPr>
            <w:tcW w:w="1173" w:type="pct"/>
            <w:vMerge w:val="continue"/>
            <w:shd w:val="clear" w:color="auto" w:fill="auto"/>
            <w:vAlign w:val="center"/>
          </w:tcPr>
          <w:p w14:paraId="62796A9D">
            <w:pPr>
              <w:jc w:val="center"/>
              <w:rPr>
                <w:rFonts w:hint="default" w:ascii="Times New Roman" w:hAnsi="Times New Roman" w:eastAsia="楷体" w:cs="Times New Roman"/>
                <w:color w:val="auto"/>
                <w:sz w:val="24"/>
                <w:highlight w:val="none"/>
              </w:rPr>
            </w:pPr>
          </w:p>
        </w:tc>
        <w:tc>
          <w:tcPr>
            <w:tcW w:w="1881" w:type="pct"/>
            <w:shd w:val="clear" w:color="auto" w:fill="auto"/>
            <w:vAlign w:val="center"/>
          </w:tcPr>
          <w:p w14:paraId="100F07D2">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设备完好度</w:t>
            </w:r>
          </w:p>
        </w:tc>
        <w:tc>
          <w:tcPr>
            <w:tcW w:w="1050" w:type="pct"/>
            <w:shd w:val="clear" w:color="auto" w:fill="auto"/>
            <w:vAlign w:val="center"/>
          </w:tcPr>
          <w:p w14:paraId="621F1856">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4</w:t>
            </w:r>
          </w:p>
        </w:tc>
      </w:tr>
      <w:tr w14:paraId="2EFA5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continue"/>
            <w:shd w:val="clear" w:color="auto" w:fill="auto"/>
            <w:vAlign w:val="center"/>
          </w:tcPr>
          <w:p w14:paraId="4327AAD5">
            <w:pPr>
              <w:jc w:val="center"/>
              <w:rPr>
                <w:rFonts w:hint="default" w:ascii="Times New Roman" w:hAnsi="Times New Roman" w:eastAsia="楷体" w:cs="Times New Roman"/>
                <w:color w:val="auto"/>
                <w:sz w:val="24"/>
                <w:highlight w:val="none"/>
              </w:rPr>
            </w:pPr>
          </w:p>
        </w:tc>
        <w:tc>
          <w:tcPr>
            <w:tcW w:w="1173" w:type="pct"/>
            <w:vMerge w:val="continue"/>
            <w:shd w:val="clear" w:color="auto" w:fill="auto"/>
            <w:vAlign w:val="center"/>
          </w:tcPr>
          <w:p w14:paraId="4EFDBD41">
            <w:pPr>
              <w:jc w:val="center"/>
              <w:rPr>
                <w:rFonts w:hint="default" w:ascii="Times New Roman" w:hAnsi="Times New Roman" w:eastAsia="楷体" w:cs="Times New Roman"/>
                <w:color w:val="auto"/>
                <w:sz w:val="24"/>
                <w:highlight w:val="none"/>
              </w:rPr>
            </w:pPr>
          </w:p>
        </w:tc>
        <w:tc>
          <w:tcPr>
            <w:tcW w:w="1881" w:type="pct"/>
            <w:shd w:val="clear" w:color="auto" w:fill="auto"/>
            <w:vAlign w:val="center"/>
          </w:tcPr>
          <w:p w14:paraId="40DDE52B">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备品备件</w:t>
            </w:r>
          </w:p>
        </w:tc>
        <w:tc>
          <w:tcPr>
            <w:tcW w:w="1050" w:type="pct"/>
            <w:shd w:val="clear" w:color="auto" w:fill="auto"/>
            <w:vAlign w:val="center"/>
          </w:tcPr>
          <w:p w14:paraId="04F17B33">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1</w:t>
            </w:r>
          </w:p>
        </w:tc>
      </w:tr>
      <w:tr w14:paraId="6B3C2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continue"/>
            <w:shd w:val="clear" w:color="auto" w:fill="auto"/>
            <w:vAlign w:val="center"/>
          </w:tcPr>
          <w:p w14:paraId="130D22F9">
            <w:pPr>
              <w:jc w:val="center"/>
              <w:rPr>
                <w:rFonts w:hint="default" w:ascii="Times New Roman" w:hAnsi="Times New Roman" w:eastAsia="楷体" w:cs="Times New Roman"/>
                <w:color w:val="auto"/>
                <w:sz w:val="24"/>
                <w:highlight w:val="none"/>
              </w:rPr>
            </w:pPr>
          </w:p>
        </w:tc>
        <w:tc>
          <w:tcPr>
            <w:tcW w:w="1173" w:type="pct"/>
            <w:vMerge w:val="continue"/>
            <w:shd w:val="clear" w:color="auto" w:fill="auto"/>
            <w:vAlign w:val="center"/>
          </w:tcPr>
          <w:p w14:paraId="762B865E">
            <w:pPr>
              <w:jc w:val="center"/>
              <w:rPr>
                <w:rFonts w:hint="default" w:ascii="Times New Roman" w:hAnsi="Times New Roman" w:eastAsia="楷体" w:cs="Times New Roman"/>
                <w:color w:val="auto"/>
                <w:sz w:val="24"/>
                <w:highlight w:val="none"/>
              </w:rPr>
            </w:pPr>
          </w:p>
        </w:tc>
        <w:tc>
          <w:tcPr>
            <w:tcW w:w="1881" w:type="pct"/>
            <w:shd w:val="clear" w:color="auto" w:fill="auto"/>
            <w:vAlign w:val="center"/>
          </w:tcPr>
          <w:p w14:paraId="7DC3BBE3">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在线监测仪表</w:t>
            </w:r>
          </w:p>
        </w:tc>
        <w:tc>
          <w:tcPr>
            <w:tcW w:w="1050" w:type="pct"/>
            <w:shd w:val="clear" w:color="auto" w:fill="auto"/>
            <w:vAlign w:val="center"/>
          </w:tcPr>
          <w:p w14:paraId="69F36C34">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3</w:t>
            </w:r>
          </w:p>
        </w:tc>
      </w:tr>
      <w:tr w14:paraId="3F375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restart"/>
            <w:shd w:val="clear" w:color="auto" w:fill="auto"/>
            <w:vAlign w:val="center"/>
          </w:tcPr>
          <w:p w14:paraId="3BDAE714">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安全管理</w:t>
            </w:r>
          </w:p>
        </w:tc>
        <w:tc>
          <w:tcPr>
            <w:tcW w:w="1173" w:type="pct"/>
            <w:vMerge w:val="restart"/>
            <w:shd w:val="clear" w:color="auto" w:fill="auto"/>
            <w:vAlign w:val="center"/>
          </w:tcPr>
          <w:p w14:paraId="390A44CC">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12</w:t>
            </w:r>
          </w:p>
        </w:tc>
        <w:tc>
          <w:tcPr>
            <w:tcW w:w="1881" w:type="pct"/>
            <w:shd w:val="clear" w:color="auto" w:fill="auto"/>
            <w:vAlign w:val="center"/>
          </w:tcPr>
          <w:p w14:paraId="78724E2C">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安全管理制度</w:t>
            </w:r>
          </w:p>
        </w:tc>
        <w:tc>
          <w:tcPr>
            <w:tcW w:w="1050" w:type="pct"/>
            <w:shd w:val="clear" w:color="auto" w:fill="auto"/>
            <w:vAlign w:val="center"/>
          </w:tcPr>
          <w:p w14:paraId="554390B7">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2</w:t>
            </w:r>
          </w:p>
        </w:tc>
      </w:tr>
      <w:tr w14:paraId="7BF44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continue"/>
            <w:shd w:val="clear" w:color="auto" w:fill="auto"/>
            <w:vAlign w:val="center"/>
          </w:tcPr>
          <w:p w14:paraId="45E939D7">
            <w:pPr>
              <w:jc w:val="center"/>
              <w:rPr>
                <w:rFonts w:hint="default" w:ascii="Times New Roman" w:hAnsi="Times New Roman" w:eastAsia="楷体" w:cs="Times New Roman"/>
                <w:color w:val="auto"/>
                <w:sz w:val="24"/>
                <w:highlight w:val="none"/>
              </w:rPr>
            </w:pPr>
          </w:p>
        </w:tc>
        <w:tc>
          <w:tcPr>
            <w:tcW w:w="1173" w:type="pct"/>
            <w:vMerge w:val="continue"/>
            <w:shd w:val="clear" w:color="auto" w:fill="auto"/>
            <w:vAlign w:val="center"/>
          </w:tcPr>
          <w:p w14:paraId="54BD7ECA">
            <w:pPr>
              <w:jc w:val="center"/>
              <w:rPr>
                <w:rFonts w:hint="default" w:ascii="Times New Roman" w:hAnsi="Times New Roman" w:eastAsia="楷体" w:cs="Times New Roman"/>
                <w:color w:val="auto"/>
                <w:sz w:val="24"/>
                <w:highlight w:val="none"/>
              </w:rPr>
            </w:pPr>
          </w:p>
        </w:tc>
        <w:tc>
          <w:tcPr>
            <w:tcW w:w="1881" w:type="pct"/>
            <w:shd w:val="clear" w:color="auto" w:fill="auto"/>
            <w:vAlign w:val="center"/>
          </w:tcPr>
          <w:p w14:paraId="3529AD7C">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安全规程及防护</w:t>
            </w:r>
          </w:p>
        </w:tc>
        <w:tc>
          <w:tcPr>
            <w:tcW w:w="1050" w:type="pct"/>
            <w:shd w:val="clear" w:color="auto" w:fill="auto"/>
            <w:vAlign w:val="center"/>
          </w:tcPr>
          <w:p w14:paraId="51B1F503">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2</w:t>
            </w:r>
          </w:p>
        </w:tc>
      </w:tr>
      <w:tr w14:paraId="1F759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continue"/>
            <w:shd w:val="clear" w:color="auto" w:fill="auto"/>
            <w:vAlign w:val="center"/>
          </w:tcPr>
          <w:p w14:paraId="00921831">
            <w:pPr>
              <w:jc w:val="center"/>
              <w:rPr>
                <w:rFonts w:hint="default" w:ascii="Times New Roman" w:hAnsi="Times New Roman" w:eastAsia="楷体" w:cs="Times New Roman"/>
                <w:color w:val="auto"/>
                <w:sz w:val="24"/>
                <w:highlight w:val="none"/>
              </w:rPr>
            </w:pPr>
          </w:p>
        </w:tc>
        <w:tc>
          <w:tcPr>
            <w:tcW w:w="1173" w:type="pct"/>
            <w:vMerge w:val="continue"/>
            <w:shd w:val="clear" w:color="auto" w:fill="auto"/>
            <w:vAlign w:val="center"/>
          </w:tcPr>
          <w:p w14:paraId="4625E9D2">
            <w:pPr>
              <w:jc w:val="center"/>
              <w:rPr>
                <w:rFonts w:hint="default" w:ascii="Times New Roman" w:hAnsi="Times New Roman" w:eastAsia="楷体" w:cs="Times New Roman"/>
                <w:color w:val="auto"/>
                <w:sz w:val="24"/>
                <w:highlight w:val="none"/>
              </w:rPr>
            </w:pPr>
          </w:p>
        </w:tc>
        <w:tc>
          <w:tcPr>
            <w:tcW w:w="1881" w:type="pct"/>
            <w:shd w:val="clear" w:color="auto" w:fill="auto"/>
            <w:vAlign w:val="center"/>
          </w:tcPr>
          <w:p w14:paraId="594CC213">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安全培训</w:t>
            </w:r>
          </w:p>
        </w:tc>
        <w:tc>
          <w:tcPr>
            <w:tcW w:w="1050" w:type="pct"/>
            <w:shd w:val="clear" w:color="auto" w:fill="auto"/>
            <w:vAlign w:val="center"/>
          </w:tcPr>
          <w:p w14:paraId="02A42619">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3</w:t>
            </w:r>
          </w:p>
        </w:tc>
      </w:tr>
      <w:tr w14:paraId="0B28F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continue"/>
            <w:shd w:val="clear" w:color="auto" w:fill="auto"/>
            <w:vAlign w:val="center"/>
          </w:tcPr>
          <w:p w14:paraId="38CB1E8D">
            <w:pPr>
              <w:jc w:val="center"/>
              <w:rPr>
                <w:rFonts w:hint="default" w:ascii="Times New Roman" w:hAnsi="Times New Roman" w:eastAsia="楷体" w:cs="Times New Roman"/>
                <w:color w:val="auto"/>
                <w:sz w:val="24"/>
                <w:highlight w:val="none"/>
              </w:rPr>
            </w:pPr>
          </w:p>
        </w:tc>
        <w:tc>
          <w:tcPr>
            <w:tcW w:w="1173" w:type="pct"/>
            <w:vMerge w:val="continue"/>
            <w:shd w:val="clear" w:color="auto" w:fill="auto"/>
            <w:vAlign w:val="center"/>
          </w:tcPr>
          <w:p w14:paraId="4E998008">
            <w:pPr>
              <w:jc w:val="center"/>
              <w:rPr>
                <w:rFonts w:hint="default" w:ascii="Times New Roman" w:hAnsi="Times New Roman" w:eastAsia="楷体" w:cs="Times New Roman"/>
                <w:color w:val="auto"/>
                <w:sz w:val="24"/>
                <w:highlight w:val="none"/>
              </w:rPr>
            </w:pPr>
          </w:p>
        </w:tc>
        <w:tc>
          <w:tcPr>
            <w:tcW w:w="1881" w:type="pct"/>
            <w:shd w:val="clear" w:color="auto" w:fill="auto"/>
            <w:vAlign w:val="center"/>
          </w:tcPr>
          <w:p w14:paraId="477D9868">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危化品管理</w:t>
            </w:r>
          </w:p>
        </w:tc>
        <w:tc>
          <w:tcPr>
            <w:tcW w:w="1050" w:type="pct"/>
            <w:shd w:val="clear" w:color="auto" w:fill="auto"/>
            <w:vAlign w:val="center"/>
          </w:tcPr>
          <w:p w14:paraId="5879927E">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3</w:t>
            </w:r>
          </w:p>
        </w:tc>
      </w:tr>
      <w:tr w14:paraId="2841C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continue"/>
            <w:shd w:val="clear" w:color="auto" w:fill="auto"/>
            <w:vAlign w:val="center"/>
          </w:tcPr>
          <w:p w14:paraId="1FB17F7C">
            <w:pPr>
              <w:jc w:val="center"/>
              <w:rPr>
                <w:rFonts w:hint="default" w:ascii="Times New Roman" w:hAnsi="Times New Roman" w:eastAsia="楷体" w:cs="Times New Roman"/>
                <w:color w:val="auto"/>
                <w:sz w:val="24"/>
                <w:highlight w:val="none"/>
              </w:rPr>
            </w:pPr>
          </w:p>
        </w:tc>
        <w:tc>
          <w:tcPr>
            <w:tcW w:w="1173" w:type="pct"/>
            <w:vMerge w:val="continue"/>
            <w:shd w:val="clear" w:color="auto" w:fill="auto"/>
            <w:vAlign w:val="center"/>
          </w:tcPr>
          <w:p w14:paraId="4632A56F">
            <w:pPr>
              <w:jc w:val="center"/>
              <w:rPr>
                <w:rFonts w:hint="default" w:ascii="Times New Roman" w:hAnsi="Times New Roman" w:eastAsia="楷体" w:cs="Times New Roman"/>
                <w:color w:val="auto"/>
                <w:sz w:val="24"/>
                <w:highlight w:val="none"/>
              </w:rPr>
            </w:pPr>
          </w:p>
        </w:tc>
        <w:tc>
          <w:tcPr>
            <w:tcW w:w="1881" w:type="pct"/>
            <w:shd w:val="clear" w:color="auto" w:fill="auto"/>
            <w:vAlign w:val="center"/>
          </w:tcPr>
          <w:p w14:paraId="2E799225">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应急预案</w:t>
            </w:r>
          </w:p>
        </w:tc>
        <w:tc>
          <w:tcPr>
            <w:tcW w:w="1050" w:type="pct"/>
            <w:shd w:val="clear" w:color="auto" w:fill="auto"/>
            <w:vAlign w:val="center"/>
          </w:tcPr>
          <w:p w14:paraId="351BBF27">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2</w:t>
            </w:r>
          </w:p>
        </w:tc>
      </w:tr>
      <w:tr w14:paraId="2DC2C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restart"/>
            <w:shd w:val="clear" w:color="auto" w:fill="auto"/>
            <w:vAlign w:val="center"/>
          </w:tcPr>
          <w:p w14:paraId="51F395BB">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厂容厂貌</w:t>
            </w:r>
          </w:p>
        </w:tc>
        <w:tc>
          <w:tcPr>
            <w:tcW w:w="1173" w:type="pct"/>
            <w:vMerge w:val="restart"/>
            <w:shd w:val="clear" w:color="auto" w:fill="auto"/>
            <w:vAlign w:val="center"/>
          </w:tcPr>
          <w:p w14:paraId="418FD1D4">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3</w:t>
            </w:r>
          </w:p>
        </w:tc>
        <w:tc>
          <w:tcPr>
            <w:tcW w:w="1881" w:type="pct"/>
            <w:shd w:val="clear" w:color="auto" w:fill="auto"/>
            <w:vAlign w:val="center"/>
          </w:tcPr>
          <w:p w14:paraId="5DF7E409">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室外</w:t>
            </w:r>
          </w:p>
        </w:tc>
        <w:tc>
          <w:tcPr>
            <w:tcW w:w="1050" w:type="pct"/>
            <w:shd w:val="clear" w:color="auto" w:fill="auto"/>
            <w:vAlign w:val="center"/>
          </w:tcPr>
          <w:p w14:paraId="7D30FFEC">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1</w:t>
            </w:r>
          </w:p>
        </w:tc>
      </w:tr>
      <w:tr w14:paraId="7AACE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continue"/>
            <w:shd w:val="clear" w:color="auto" w:fill="auto"/>
            <w:vAlign w:val="center"/>
          </w:tcPr>
          <w:p w14:paraId="333581F5">
            <w:pPr>
              <w:jc w:val="center"/>
              <w:rPr>
                <w:rFonts w:hint="default" w:ascii="Times New Roman" w:hAnsi="Times New Roman" w:eastAsia="楷体" w:cs="Times New Roman"/>
                <w:color w:val="auto"/>
                <w:sz w:val="24"/>
                <w:highlight w:val="none"/>
              </w:rPr>
            </w:pPr>
          </w:p>
        </w:tc>
        <w:tc>
          <w:tcPr>
            <w:tcW w:w="1173" w:type="pct"/>
            <w:vMerge w:val="continue"/>
            <w:shd w:val="clear" w:color="auto" w:fill="auto"/>
            <w:vAlign w:val="center"/>
          </w:tcPr>
          <w:p w14:paraId="0A849F7F">
            <w:pPr>
              <w:jc w:val="center"/>
              <w:rPr>
                <w:rFonts w:hint="default" w:ascii="Times New Roman" w:hAnsi="Times New Roman" w:eastAsia="楷体" w:cs="Times New Roman"/>
                <w:color w:val="auto"/>
                <w:sz w:val="24"/>
                <w:highlight w:val="none"/>
              </w:rPr>
            </w:pPr>
          </w:p>
        </w:tc>
        <w:tc>
          <w:tcPr>
            <w:tcW w:w="1881" w:type="pct"/>
            <w:shd w:val="clear" w:color="auto" w:fill="auto"/>
            <w:vAlign w:val="center"/>
          </w:tcPr>
          <w:p w14:paraId="35D14B30">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室内</w:t>
            </w:r>
          </w:p>
        </w:tc>
        <w:tc>
          <w:tcPr>
            <w:tcW w:w="1050" w:type="pct"/>
            <w:shd w:val="clear" w:color="auto" w:fill="auto"/>
            <w:vAlign w:val="center"/>
          </w:tcPr>
          <w:p w14:paraId="40B62444">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1</w:t>
            </w:r>
          </w:p>
        </w:tc>
      </w:tr>
      <w:tr w14:paraId="75BF4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continue"/>
            <w:shd w:val="clear" w:color="auto" w:fill="auto"/>
            <w:vAlign w:val="center"/>
          </w:tcPr>
          <w:p w14:paraId="1F3698A5">
            <w:pPr>
              <w:jc w:val="center"/>
              <w:rPr>
                <w:rFonts w:hint="default" w:ascii="Times New Roman" w:hAnsi="Times New Roman" w:eastAsia="楷体" w:cs="Times New Roman"/>
                <w:color w:val="auto"/>
                <w:sz w:val="24"/>
                <w:highlight w:val="none"/>
              </w:rPr>
            </w:pPr>
          </w:p>
        </w:tc>
        <w:tc>
          <w:tcPr>
            <w:tcW w:w="1173" w:type="pct"/>
            <w:vMerge w:val="continue"/>
            <w:shd w:val="clear" w:color="auto" w:fill="auto"/>
            <w:vAlign w:val="center"/>
          </w:tcPr>
          <w:p w14:paraId="37151665">
            <w:pPr>
              <w:jc w:val="center"/>
              <w:rPr>
                <w:rFonts w:hint="default" w:ascii="Times New Roman" w:hAnsi="Times New Roman" w:eastAsia="楷体" w:cs="Times New Roman"/>
                <w:color w:val="auto"/>
                <w:sz w:val="24"/>
                <w:highlight w:val="none"/>
              </w:rPr>
            </w:pPr>
          </w:p>
        </w:tc>
        <w:tc>
          <w:tcPr>
            <w:tcW w:w="1881" w:type="pct"/>
            <w:shd w:val="clear" w:color="auto" w:fill="auto"/>
            <w:vAlign w:val="center"/>
          </w:tcPr>
          <w:p w14:paraId="4D362775">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构筑物</w:t>
            </w:r>
          </w:p>
        </w:tc>
        <w:tc>
          <w:tcPr>
            <w:tcW w:w="1050" w:type="pct"/>
            <w:shd w:val="clear" w:color="auto" w:fill="auto"/>
            <w:vAlign w:val="center"/>
          </w:tcPr>
          <w:p w14:paraId="4FADB183">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1</w:t>
            </w:r>
          </w:p>
        </w:tc>
      </w:tr>
      <w:tr w14:paraId="2EF6B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restart"/>
            <w:shd w:val="clear" w:color="auto" w:fill="auto"/>
            <w:vAlign w:val="center"/>
          </w:tcPr>
          <w:p w14:paraId="6379F6B9">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制度建设</w:t>
            </w:r>
          </w:p>
        </w:tc>
        <w:tc>
          <w:tcPr>
            <w:tcW w:w="1173" w:type="pct"/>
            <w:vMerge w:val="restart"/>
            <w:shd w:val="clear" w:color="auto" w:fill="auto"/>
            <w:vAlign w:val="center"/>
          </w:tcPr>
          <w:p w14:paraId="26274321">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5</w:t>
            </w:r>
          </w:p>
        </w:tc>
        <w:tc>
          <w:tcPr>
            <w:tcW w:w="1881" w:type="pct"/>
            <w:shd w:val="clear" w:color="auto" w:fill="auto"/>
            <w:vAlign w:val="center"/>
          </w:tcPr>
          <w:p w14:paraId="448B7813">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操作管理</w:t>
            </w:r>
          </w:p>
        </w:tc>
        <w:tc>
          <w:tcPr>
            <w:tcW w:w="1050" w:type="pct"/>
            <w:shd w:val="clear" w:color="auto" w:fill="auto"/>
            <w:vAlign w:val="center"/>
          </w:tcPr>
          <w:p w14:paraId="2B919092">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2</w:t>
            </w:r>
          </w:p>
        </w:tc>
      </w:tr>
      <w:tr w14:paraId="0D654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continue"/>
            <w:shd w:val="clear" w:color="auto" w:fill="auto"/>
            <w:vAlign w:val="center"/>
          </w:tcPr>
          <w:p w14:paraId="5AD29261">
            <w:pPr>
              <w:jc w:val="center"/>
              <w:textAlignment w:val="center"/>
              <w:rPr>
                <w:rFonts w:hint="default" w:ascii="Times New Roman" w:hAnsi="Times New Roman" w:eastAsia="楷体" w:cs="Times New Roman"/>
                <w:color w:val="auto"/>
                <w:kern w:val="0"/>
                <w:sz w:val="24"/>
                <w:highlight w:val="none"/>
                <w:lang w:bidi="ar"/>
              </w:rPr>
            </w:pPr>
          </w:p>
        </w:tc>
        <w:tc>
          <w:tcPr>
            <w:tcW w:w="1173" w:type="pct"/>
            <w:vMerge w:val="continue"/>
            <w:shd w:val="clear" w:color="auto" w:fill="auto"/>
            <w:vAlign w:val="center"/>
          </w:tcPr>
          <w:p w14:paraId="066DC7BD">
            <w:pPr>
              <w:jc w:val="center"/>
              <w:textAlignment w:val="center"/>
              <w:rPr>
                <w:rFonts w:hint="default" w:ascii="Times New Roman" w:hAnsi="Times New Roman" w:eastAsia="楷体" w:cs="Times New Roman"/>
                <w:color w:val="auto"/>
                <w:kern w:val="0"/>
                <w:sz w:val="24"/>
                <w:highlight w:val="none"/>
                <w:lang w:bidi="ar"/>
              </w:rPr>
            </w:pPr>
          </w:p>
        </w:tc>
        <w:tc>
          <w:tcPr>
            <w:tcW w:w="1881" w:type="pct"/>
            <w:shd w:val="clear" w:color="auto" w:fill="auto"/>
            <w:vAlign w:val="center"/>
          </w:tcPr>
          <w:p w14:paraId="5508683A">
            <w:pPr>
              <w:jc w:val="center"/>
              <w:textAlignment w:val="center"/>
              <w:rPr>
                <w:rFonts w:hint="default" w:ascii="Times New Roman" w:hAnsi="Times New Roman" w:eastAsia="楷体" w:cs="Times New Roman"/>
                <w:color w:val="auto"/>
                <w:kern w:val="0"/>
                <w:sz w:val="24"/>
                <w:highlight w:val="none"/>
                <w:lang w:bidi="ar"/>
              </w:rPr>
            </w:pPr>
            <w:r>
              <w:rPr>
                <w:rFonts w:hint="default" w:ascii="Times New Roman" w:hAnsi="Times New Roman" w:eastAsia="楷体" w:cs="Times New Roman"/>
                <w:color w:val="auto"/>
                <w:kern w:val="0"/>
                <w:sz w:val="24"/>
                <w:highlight w:val="none"/>
                <w:lang w:bidi="ar"/>
              </w:rPr>
              <w:t>考核制度</w:t>
            </w:r>
          </w:p>
        </w:tc>
        <w:tc>
          <w:tcPr>
            <w:tcW w:w="1050" w:type="pct"/>
            <w:shd w:val="clear" w:color="auto" w:fill="auto"/>
            <w:vAlign w:val="center"/>
          </w:tcPr>
          <w:p w14:paraId="4B513AF2">
            <w:pPr>
              <w:jc w:val="center"/>
              <w:textAlignment w:val="center"/>
              <w:rPr>
                <w:rFonts w:hint="default" w:ascii="Times New Roman" w:hAnsi="Times New Roman" w:eastAsia="楷体" w:cs="Times New Roman"/>
                <w:color w:val="auto"/>
                <w:kern w:val="0"/>
                <w:sz w:val="24"/>
                <w:highlight w:val="none"/>
                <w:lang w:bidi="ar"/>
              </w:rPr>
            </w:pPr>
            <w:r>
              <w:rPr>
                <w:rFonts w:hint="default" w:ascii="Times New Roman" w:hAnsi="Times New Roman" w:eastAsia="楷体" w:cs="Times New Roman"/>
                <w:color w:val="auto"/>
                <w:kern w:val="0"/>
                <w:sz w:val="24"/>
                <w:highlight w:val="none"/>
                <w:lang w:bidi="ar"/>
              </w:rPr>
              <w:t>1</w:t>
            </w:r>
          </w:p>
        </w:tc>
      </w:tr>
      <w:tr w14:paraId="6FF5D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vMerge w:val="continue"/>
            <w:shd w:val="clear" w:color="auto" w:fill="auto"/>
            <w:vAlign w:val="center"/>
          </w:tcPr>
          <w:p w14:paraId="219D4E94">
            <w:pPr>
              <w:jc w:val="center"/>
              <w:rPr>
                <w:rFonts w:hint="default" w:ascii="Times New Roman" w:hAnsi="Times New Roman" w:eastAsia="楷体" w:cs="Times New Roman"/>
                <w:color w:val="auto"/>
                <w:sz w:val="24"/>
                <w:highlight w:val="none"/>
              </w:rPr>
            </w:pPr>
          </w:p>
        </w:tc>
        <w:tc>
          <w:tcPr>
            <w:tcW w:w="1173" w:type="pct"/>
            <w:vMerge w:val="continue"/>
            <w:shd w:val="clear" w:color="auto" w:fill="auto"/>
            <w:vAlign w:val="center"/>
          </w:tcPr>
          <w:p w14:paraId="1930755E">
            <w:pPr>
              <w:jc w:val="center"/>
              <w:rPr>
                <w:rFonts w:hint="default" w:ascii="Times New Roman" w:hAnsi="Times New Roman" w:eastAsia="楷体" w:cs="Times New Roman"/>
                <w:color w:val="auto"/>
                <w:sz w:val="24"/>
                <w:highlight w:val="none"/>
              </w:rPr>
            </w:pPr>
          </w:p>
        </w:tc>
        <w:tc>
          <w:tcPr>
            <w:tcW w:w="1881" w:type="pct"/>
            <w:shd w:val="clear" w:color="auto" w:fill="auto"/>
            <w:vAlign w:val="center"/>
          </w:tcPr>
          <w:p w14:paraId="383304C0">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信息建设</w:t>
            </w:r>
          </w:p>
        </w:tc>
        <w:tc>
          <w:tcPr>
            <w:tcW w:w="1050" w:type="pct"/>
            <w:shd w:val="clear" w:color="auto" w:fill="auto"/>
            <w:vAlign w:val="center"/>
          </w:tcPr>
          <w:p w14:paraId="0E72CAEF">
            <w:pPr>
              <w:jc w:val="center"/>
              <w:textAlignment w:val="center"/>
              <w:rPr>
                <w:rFonts w:hint="default" w:ascii="Times New Roman" w:hAnsi="Times New Roman" w:eastAsia="楷体" w:cs="Times New Roman"/>
                <w:color w:val="auto"/>
                <w:sz w:val="24"/>
                <w:highlight w:val="none"/>
              </w:rPr>
            </w:pPr>
            <w:r>
              <w:rPr>
                <w:rFonts w:hint="default" w:ascii="Times New Roman" w:hAnsi="Times New Roman" w:eastAsia="楷体" w:cs="Times New Roman"/>
                <w:color w:val="auto"/>
                <w:kern w:val="0"/>
                <w:sz w:val="24"/>
                <w:highlight w:val="none"/>
                <w:lang w:bidi="ar"/>
              </w:rPr>
              <w:t>2</w:t>
            </w:r>
          </w:p>
        </w:tc>
      </w:tr>
      <w:tr w14:paraId="774E9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 w:type="pct"/>
            <w:shd w:val="clear" w:color="auto" w:fill="auto"/>
            <w:vAlign w:val="center"/>
          </w:tcPr>
          <w:p w14:paraId="6ED98305">
            <w:pPr>
              <w:jc w:val="center"/>
              <w:textAlignment w:val="center"/>
              <w:rPr>
                <w:rFonts w:hint="default" w:ascii="Times New Roman" w:hAnsi="Times New Roman" w:eastAsia="楷体" w:cs="Times New Roman"/>
                <w:b/>
                <w:bCs/>
                <w:color w:val="auto"/>
                <w:sz w:val="24"/>
                <w:highlight w:val="none"/>
              </w:rPr>
            </w:pPr>
            <w:r>
              <w:rPr>
                <w:rFonts w:hint="default" w:ascii="Times New Roman" w:hAnsi="Times New Roman" w:eastAsia="楷体" w:cs="Times New Roman"/>
                <w:b/>
                <w:bCs/>
                <w:color w:val="auto"/>
                <w:kern w:val="0"/>
                <w:sz w:val="24"/>
                <w:highlight w:val="none"/>
                <w:lang w:bidi="ar"/>
              </w:rPr>
              <w:t>合计</w:t>
            </w:r>
          </w:p>
        </w:tc>
        <w:tc>
          <w:tcPr>
            <w:tcW w:w="1173" w:type="pct"/>
            <w:shd w:val="clear" w:color="auto" w:fill="auto"/>
            <w:vAlign w:val="center"/>
          </w:tcPr>
          <w:p w14:paraId="6281F975">
            <w:pPr>
              <w:jc w:val="center"/>
              <w:textAlignment w:val="center"/>
              <w:rPr>
                <w:rFonts w:hint="default" w:ascii="Times New Roman" w:hAnsi="Times New Roman" w:eastAsia="楷体" w:cs="Times New Roman"/>
                <w:b/>
                <w:bCs/>
                <w:color w:val="auto"/>
                <w:sz w:val="24"/>
                <w:highlight w:val="none"/>
              </w:rPr>
            </w:pPr>
            <w:r>
              <w:rPr>
                <w:rFonts w:hint="default" w:ascii="Times New Roman" w:hAnsi="Times New Roman" w:eastAsia="楷体" w:cs="Times New Roman"/>
                <w:b/>
                <w:bCs/>
                <w:color w:val="auto"/>
                <w:kern w:val="0"/>
                <w:sz w:val="24"/>
                <w:highlight w:val="none"/>
                <w:lang w:bidi="ar"/>
              </w:rPr>
              <w:t>100</w:t>
            </w:r>
          </w:p>
        </w:tc>
        <w:tc>
          <w:tcPr>
            <w:tcW w:w="1881" w:type="pct"/>
            <w:shd w:val="clear" w:color="auto" w:fill="auto"/>
          </w:tcPr>
          <w:p w14:paraId="5A8DA4EB">
            <w:pPr>
              <w:jc w:val="center"/>
              <w:rPr>
                <w:rFonts w:hint="default" w:ascii="Times New Roman" w:hAnsi="Times New Roman" w:eastAsia="楷体" w:cs="Times New Roman"/>
                <w:b/>
                <w:bCs/>
                <w:color w:val="auto"/>
                <w:sz w:val="24"/>
                <w:highlight w:val="none"/>
              </w:rPr>
            </w:pPr>
            <w:r>
              <w:rPr>
                <w:rFonts w:hint="default" w:ascii="Times New Roman" w:hAnsi="Times New Roman" w:eastAsia="楷体" w:cs="Times New Roman"/>
                <w:b/>
                <w:bCs/>
                <w:color w:val="auto"/>
                <w:sz w:val="24"/>
                <w:highlight w:val="none"/>
              </w:rPr>
              <w:t>—</w:t>
            </w:r>
          </w:p>
        </w:tc>
        <w:tc>
          <w:tcPr>
            <w:tcW w:w="1050" w:type="pct"/>
            <w:shd w:val="clear" w:color="auto" w:fill="auto"/>
            <w:vAlign w:val="center"/>
          </w:tcPr>
          <w:p w14:paraId="04B53A52">
            <w:pPr>
              <w:jc w:val="center"/>
              <w:textAlignment w:val="center"/>
              <w:rPr>
                <w:rFonts w:hint="default" w:ascii="Times New Roman" w:hAnsi="Times New Roman" w:eastAsia="楷体" w:cs="Times New Roman"/>
                <w:b/>
                <w:bCs/>
                <w:color w:val="auto"/>
                <w:sz w:val="24"/>
                <w:highlight w:val="none"/>
              </w:rPr>
            </w:pPr>
            <w:r>
              <w:rPr>
                <w:rFonts w:hint="default" w:ascii="Times New Roman" w:hAnsi="Times New Roman" w:eastAsia="楷体" w:cs="Times New Roman"/>
                <w:b/>
                <w:bCs/>
                <w:color w:val="auto"/>
                <w:kern w:val="0"/>
                <w:sz w:val="24"/>
                <w:highlight w:val="none"/>
                <w:lang w:bidi="ar"/>
              </w:rPr>
              <w:t>100</w:t>
            </w:r>
          </w:p>
        </w:tc>
      </w:tr>
    </w:tbl>
    <w:p w14:paraId="1503F29F">
      <w:pPr>
        <w:pageBreakBefore w:val="0"/>
        <w:widowControl w:val="0"/>
        <w:kinsoku/>
        <w:wordWrap/>
        <w:overflowPunct/>
        <w:topLinePunct w:val="0"/>
        <w:autoSpaceDE/>
        <w:autoSpaceDN/>
        <w:bidi w:val="0"/>
        <w:adjustRightInd/>
        <w:snapToGrid/>
        <w:ind w:firstLine="602" w:firstLineChars="200"/>
        <w:textAlignment w:val="auto"/>
        <w:rPr>
          <w:rFonts w:hint="default" w:ascii="Times New Roman" w:hAnsi="Times New Roman" w:eastAsia="楷体" w:cs="Times New Roman"/>
          <w:b/>
          <w:color w:val="auto"/>
          <w:sz w:val="30"/>
          <w:szCs w:val="30"/>
          <w:highlight w:val="none"/>
          <w:lang w:val="en-US" w:eastAsia="zh-CN"/>
        </w:rPr>
      </w:pPr>
      <w:bookmarkStart w:id="649" w:name="_Toc1460"/>
      <w:bookmarkStart w:id="650" w:name="_Toc9013"/>
      <w:bookmarkStart w:id="651" w:name="_Toc1413"/>
      <w:bookmarkStart w:id="652" w:name="_Toc30143"/>
      <w:bookmarkStart w:id="653" w:name="_Toc29459"/>
      <w:r>
        <w:rPr>
          <w:rFonts w:hint="default" w:ascii="Times New Roman" w:hAnsi="Times New Roman" w:eastAsia="楷体" w:cs="Times New Roman"/>
          <w:b/>
          <w:color w:val="auto"/>
          <w:sz w:val="30"/>
          <w:szCs w:val="30"/>
          <w:highlight w:val="none"/>
          <w:lang w:eastAsia="zh-CN"/>
        </w:rPr>
        <w:t>（</w:t>
      </w:r>
      <w:r>
        <w:rPr>
          <w:rFonts w:hint="eastAsia" w:ascii="Times New Roman" w:hAnsi="Times New Roman" w:eastAsia="楷体" w:cs="Times New Roman"/>
          <w:b/>
          <w:color w:val="auto"/>
          <w:sz w:val="30"/>
          <w:szCs w:val="30"/>
          <w:highlight w:val="none"/>
          <w:lang w:val="en-US" w:eastAsia="zh-CN"/>
        </w:rPr>
        <w:t>九</w:t>
      </w:r>
      <w:r>
        <w:rPr>
          <w:rFonts w:hint="default" w:ascii="Times New Roman" w:hAnsi="Times New Roman" w:eastAsia="楷体" w:cs="Times New Roman"/>
          <w:b/>
          <w:color w:val="auto"/>
          <w:sz w:val="30"/>
          <w:szCs w:val="30"/>
          <w:highlight w:val="none"/>
          <w:lang w:eastAsia="zh-CN"/>
        </w:rPr>
        <w:t>）</w:t>
      </w:r>
      <w:r>
        <w:rPr>
          <w:rFonts w:hint="default" w:ascii="Times New Roman" w:hAnsi="Times New Roman" w:eastAsia="楷体" w:cs="Times New Roman"/>
          <w:b/>
          <w:color w:val="auto"/>
          <w:sz w:val="30"/>
          <w:szCs w:val="30"/>
          <w:highlight w:val="none"/>
          <w:lang w:val="en-US" w:eastAsia="zh-CN"/>
        </w:rPr>
        <w:t>调整、变更等其他要求</w:t>
      </w:r>
      <w:bookmarkEnd w:id="649"/>
      <w:bookmarkEnd w:id="650"/>
      <w:bookmarkEnd w:id="651"/>
      <w:bookmarkEnd w:id="652"/>
      <w:bookmarkEnd w:id="653"/>
    </w:p>
    <w:p w14:paraId="6BFFB280">
      <w:pPr>
        <w:pStyle w:val="5"/>
        <w:pageBreakBefore w:val="0"/>
        <w:widowControl w:val="0"/>
        <w:kinsoku/>
        <w:wordWrap/>
        <w:overflowPunct/>
        <w:topLinePunct w:val="0"/>
        <w:autoSpaceDE/>
        <w:autoSpaceDN/>
        <w:bidi w:val="0"/>
        <w:adjustRightInd/>
        <w:snapToGrid/>
        <w:spacing w:before="20" w:after="20" w:line="240" w:lineRule="auto"/>
        <w:ind w:firstLine="602" w:firstLineChars="200"/>
        <w:textAlignment w:val="auto"/>
        <w:rPr>
          <w:rFonts w:ascii="Times New Roman" w:hAnsi="Times New Roman" w:eastAsia="楷体" w:cs="Times New Roman"/>
          <w:color w:val="auto"/>
          <w:sz w:val="30"/>
          <w:szCs w:val="30"/>
          <w:highlight w:val="none"/>
        </w:rPr>
      </w:pPr>
      <w:bookmarkStart w:id="654" w:name="_Toc171332774"/>
      <w:r>
        <w:rPr>
          <w:rFonts w:hint="default" w:ascii="Times New Roman" w:hAnsi="Times New Roman" w:eastAsia="楷体" w:cs="Times New Roman"/>
          <w:color w:val="auto"/>
          <w:sz w:val="30"/>
          <w:szCs w:val="30"/>
          <w:highlight w:val="none"/>
          <w:lang w:eastAsia="zh-CN"/>
        </w:rPr>
        <w:t>1、</w:t>
      </w:r>
      <w:r>
        <w:rPr>
          <w:rFonts w:hint="default" w:ascii="Times New Roman" w:hAnsi="Times New Roman" w:eastAsia="楷体" w:cs="Times New Roman"/>
          <w:color w:val="auto"/>
          <w:sz w:val="30"/>
          <w:szCs w:val="30"/>
          <w:highlight w:val="none"/>
        </w:rPr>
        <w:t>履约保障边界</w:t>
      </w:r>
      <w:bookmarkEnd w:id="654"/>
    </w:p>
    <w:p w14:paraId="37968B14">
      <w:pPr>
        <w:pStyle w:val="6"/>
        <w:pageBreakBefore w:val="0"/>
        <w:widowControl w:val="0"/>
        <w:kinsoku/>
        <w:wordWrap/>
        <w:overflowPunct/>
        <w:topLinePunct w:val="0"/>
        <w:autoSpaceDE/>
        <w:autoSpaceDN/>
        <w:bidi w:val="0"/>
        <w:adjustRightInd/>
        <w:snapToGrid/>
        <w:spacing w:before="0" w:after="0" w:line="360" w:lineRule="auto"/>
        <w:ind w:firstLine="562" w:firstLineChars="200"/>
        <w:textAlignment w:val="auto"/>
        <w:rPr>
          <w:rFonts w:hint="eastAsia" w:ascii="Times New Roman" w:hAnsi="Times New Roman" w:eastAsia="楷体" w:cs="Times New Roman"/>
          <w:color w:val="auto"/>
          <w:highlight w:val="none"/>
          <w:lang w:eastAsia="zh-CN"/>
        </w:rPr>
      </w:pPr>
      <w:r>
        <w:rPr>
          <w:rFonts w:hint="default" w:ascii="Times New Roman" w:hAnsi="Times New Roman" w:eastAsia="楷体" w:cs="Times New Roman"/>
          <w:color w:val="auto"/>
          <w:sz w:val="28"/>
          <w:szCs w:val="24"/>
          <w:highlight w:val="none"/>
          <w:lang w:eastAsia="zh-CN"/>
        </w:rPr>
        <w:t>（</w:t>
      </w:r>
      <w:r>
        <w:rPr>
          <w:rFonts w:hint="default" w:ascii="Times New Roman" w:hAnsi="Times New Roman" w:eastAsia="楷体" w:cs="Times New Roman"/>
          <w:color w:val="auto"/>
          <w:sz w:val="28"/>
          <w:szCs w:val="24"/>
          <w:highlight w:val="none"/>
          <w:lang w:val="en-US" w:eastAsia="zh-CN"/>
        </w:rPr>
        <w:t>1</w:t>
      </w:r>
      <w:r>
        <w:rPr>
          <w:rFonts w:hint="default" w:ascii="Times New Roman" w:hAnsi="Times New Roman" w:eastAsia="楷体" w:cs="Times New Roman"/>
          <w:color w:val="auto"/>
          <w:sz w:val="28"/>
          <w:szCs w:val="24"/>
          <w:highlight w:val="none"/>
          <w:lang w:eastAsia="zh-CN"/>
        </w:rPr>
        <w:t>）</w:t>
      </w:r>
      <w:r>
        <w:rPr>
          <w:rFonts w:hint="default" w:ascii="Times New Roman" w:hAnsi="Times New Roman" w:eastAsia="楷体" w:cs="Times New Roman"/>
          <w:color w:val="auto"/>
          <w:highlight w:val="none"/>
        </w:rPr>
        <w:t>履约保函</w:t>
      </w:r>
    </w:p>
    <w:p w14:paraId="3B511A79">
      <w:pPr>
        <w:pageBreakBefore w:val="0"/>
        <w:widowControl w:val="0"/>
        <w:kinsoku/>
        <w:wordWrap/>
        <w:overflowPunct/>
        <w:topLinePunct w:val="0"/>
        <w:autoSpaceDE/>
        <w:autoSpaceDN/>
        <w:bidi w:val="0"/>
        <w:adjustRightInd/>
        <w:snapToGrid/>
        <w:spacing w:line="360" w:lineRule="auto"/>
        <w:ind w:firstLine="560" w:firstLineChars="200"/>
        <w:textAlignment w:val="auto"/>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为确保</w:t>
      </w:r>
      <w:r>
        <w:rPr>
          <w:rFonts w:hint="eastAsia" w:ascii="Times New Roman" w:hAnsi="Times New Roman" w:eastAsia="楷体" w:cs="Times New Roman"/>
          <w:color w:val="auto"/>
          <w:sz w:val="28"/>
          <w:szCs w:val="28"/>
          <w:highlight w:val="none"/>
          <w:lang w:val="en-US" w:eastAsia="zh-CN"/>
        </w:rPr>
        <w:t>特许经营者</w:t>
      </w:r>
      <w:r>
        <w:rPr>
          <w:rFonts w:hint="eastAsia" w:ascii="Times New Roman" w:hAnsi="Times New Roman" w:eastAsia="楷体" w:cs="Times New Roman"/>
          <w:color w:val="auto"/>
          <w:sz w:val="28"/>
          <w:szCs w:val="28"/>
          <w:highlight w:val="none"/>
        </w:rPr>
        <w:t>根据《特许经营协议》约定的时间和质量要求实施项目、履行义务，政府应根据项目实际情况，要求特许经营者或项目公司在不同期间提供不同的保函，具体可能包括运营维护保函、移交维修保函等。特许经营者应当以支票、汇票、本票或者金融机构、担保机构出具的保函等非现金形式交纳保证金，任一保函被提取任意金额后，特许经营者或项目公司应在</w:t>
      </w:r>
      <w:r>
        <w:rPr>
          <w:rFonts w:hint="eastAsia" w:ascii="Times New Roman" w:hAnsi="Times New Roman" w:eastAsia="楷体" w:cs="Times New Roman"/>
          <w:color w:val="auto"/>
          <w:sz w:val="28"/>
          <w:szCs w:val="28"/>
          <w:highlight w:val="none"/>
          <w:lang w:val="en-US" w:eastAsia="zh-CN"/>
        </w:rPr>
        <w:t>特许经营协议</w:t>
      </w:r>
      <w:r>
        <w:rPr>
          <w:rFonts w:hint="eastAsia" w:ascii="Times New Roman" w:hAnsi="Times New Roman" w:eastAsia="楷体" w:cs="Times New Roman"/>
          <w:color w:val="auto"/>
          <w:sz w:val="28"/>
          <w:szCs w:val="28"/>
          <w:highlight w:val="none"/>
        </w:rPr>
        <w:t>要求的期限内将该保函的担保金额恢复至原始的约定金额，以确保保函的持续担保效力。本项目保函性质均为独立保函，即见索即付的保函。</w:t>
      </w:r>
    </w:p>
    <w:p w14:paraId="3C0B4057">
      <w:pPr>
        <w:pageBreakBefore w:val="0"/>
        <w:widowControl w:val="0"/>
        <w:kinsoku/>
        <w:wordWrap/>
        <w:overflowPunct/>
        <w:topLinePunct w:val="0"/>
        <w:autoSpaceDE/>
        <w:autoSpaceDN/>
        <w:bidi w:val="0"/>
        <w:adjustRightInd/>
        <w:snapToGrid/>
        <w:spacing w:line="360" w:lineRule="auto"/>
        <w:ind w:firstLine="560" w:firstLineChars="200"/>
        <w:textAlignment w:val="auto"/>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根据本项目特点，设置履约保函体系如下：</w:t>
      </w:r>
    </w:p>
    <w:p w14:paraId="244866A9">
      <w:pPr>
        <w:pageBreakBefore w:val="0"/>
        <w:widowControl w:val="0"/>
        <w:kinsoku/>
        <w:wordWrap/>
        <w:overflowPunct/>
        <w:topLinePunct w:val="0"/>
        <w:autoSpaceDE/>
        <w:autoSpaceDN/>
        <w:bidi w:val="0"/>
        <w:adjustRightInd/>
        <w:snapToGrid/>
        <w:spacing w:line="360" w:lineRule="auto"/>
        <w:jc w:val="center"/>
        <w:textAlignment w:val="auto"/>
        <w:rPr>
          <w:rFonts w:hint="eastAsia" w:ascii="Times News Roman" w:hAnsi="Times News Roman" w:eastAsia="楷体" w:cstheme="minorBidi"/>
          <w:b/>
          <w:color w:val="auto"/>
          <w:sz w:val="24"/>
          <w:szCs w:val="24"/>
          <w:highlight w:val="none"/>
        </w:rPr>
      </w:pPr>
      <w:r>
        <w:rPr>
          <w:rFonts w:hint="eastAsia" w:ascii="Times News Roman" w:hAnsi="Times News Roman" w:eastAsia="楷体" w:cstheme="minorBidi"/>
          <w:b/>
          <w:bCs w:val="0"/>
          <w:color w:val="auto"/>
          <w:sz w:val="24"/>
          <w:szCs w:val="24"/>
          <w:highlight w:val="none"/>
        </w:rPr>
        <w:t>表4</w:t>
      </w:r>
      <w:r>
        <w:rPr>
          <w:rFonts w:hint="eastAsia" w:ascii="Times News Roman" w:hAnsi="Times News Roman" w:eastAsia="楷体" w:cstheme="minorBidi"/>
          <w:b/>
          <w:bCs w:val="0"/>
          <w:color w:val="auto"/>
          <w:sz w:val="24"/>
          <w:szCs w:val="24"/>
          <w:highlight w:val="none"/>
          <w:lang w:val="en-US" w:eastAsia="zh-CN"/>
        </w:rPr>
        <w:t xml:space="preserve">-7 </w:t>
      </w:r>
      <w:r>
        <w:rPr>
          <w:rFonts w:hint="eastAsia" w:ascii="Times News Roman" w:hAnsi="Times News Roman" w:eastAsia="楷体" w:cstheme="minorBidi"/>
          <w:b/>
          <w:bCs w:val="0"/>
          <w:color w:val="auto"/>
          <w:sz w:val="24"/>
          <w:szCs w:val="24"/>
          <w:highlight w:val="none"/>
        </w:rPr>
        <w:t>本项目履约保函体系表</w:t>
      </w:r>
    </w:p>
    <w:tbl>
      <w:tblPr>
        <w:tblStyle w:val="36"/>
        <w:tblW w:w="4998"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457"/>
        <w:gridCol w:w="2355"/>
        <w:gridCol w:w="2355"/>
        <w:gridCol w:w="2358"/>
      </w:tblGrid>
      <w:tr w14:paraId="2300D3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8" w:hRule="atLeast"/>
          <w:jc w:val="center"/>
        </w:trPr>
        <w:tc>
          <w:tcPr>
            <w:tcW w:w="854" w:type="pct"/>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355636A2">
            <w:pPr>
              <w:pageBreakBefore w:val="0"/>
              <w:widowControl w:val="0"/>
              <w:kinsoku/>
              <w:wordWrap/>
              <w:overflowPunct/>
              <w:topLinePunct w:val="0"/>
              <w:autoSpaceDE/>
              <w:autoSpaceDN/>
              <w:bidi w:val="0"/>
              <w:adjustRightInd/>
              <w:snapToGrid/>
              <w:jc w:val="center"/>
              <w:textAlignment w:val="auto"/>
              <w:rPr>
                <w:rFonts w:ascii="Times New Roman" w:hAnsi="Times New Roman" w:eastAsia="楷体" w:cs="Times New Roman"/>
                <w:b/>
                <w:bCs/>
                <w:color w:val="auto"/>
                <w:szCs w:val="21"/>
                <w:highlight w:val="none"/>
              </w:rPr>
            </w:pPr>
            <w:r>
              <w:rPr>
                <w:rFonts w:ascii="Times New Roman" w:hAnsi="Times New Roman" w:eastAsia="楷体" w:cs="Times New Roman"/>
                <w:b/>
                <w:bCs/>
                <w:color w:val="auto"/>
                <w:szCs w:val="21"/>
                <w:highlight w:val="none"/>
              </w:rPr>
              <w:t>条款</w:t>
            </w:r>
          </w:p>
        </w:tc>
        <w:tc>
          <w:tcPr>
            <w:tcW w:w="1381" w:type="pct"/>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27BB120A">
            <w:pPr>
              <w:pageBreakBefore w:val="0"/>
              <w:widowControl w:val="0"/>
              <w:kinsoku/>
              <w:wordWrap/>
              <w:overflowPunct/>
              <w:topLinePunct w:val="0"/>
              <w:autoSpaceDE/>
              <w:autoSpaceDN/>
              <w:bidi w:val="0"/>
              <w:adjustRightInd/>
              <w:snapToGrid/>
              <w:jc w:val="center"/>
              <w:textAlignment w:val="auto"/>
              <w:rPr>
                <w:rFonts w:ascii="Times New Roman" w:hAnsi="Times New Roman" w:eastAsia="楷体" w:cs="Times New Roman"/>
                <w:b/>
                <w:bCs/>
                <w:color w:val="auto"/>
                <w:szCs w:val="21"/>
                <w:highlight w:val="none"/>
              </w:rPr>
            </w:pPr>
            <w:r>
              <w:rPr>
                <w:rFonts w:ascii="Times New Roman" w:hAnsi="Times New Roman" w:eastAsia="楷体" w:cs="Times New Roman"/>
                <w:b/>
                <w:bCs/>
                <w:color w:val="auto"/>
                <w:szCs w:val="21"/>
                <w:highlight w:val="none"/>
              </w:rPr>
              <w:t>投标保函</w:t>
            </w:r>
          </w:p>
        </w:tc>
        <w:tc>
          <w:tcPr>
            <w:tcW w:w="1381" w:type="pct"/>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6752FDC1">
            <w:pPr>
              <w:pageBreakBefore w:val="0"/>
              <w:widowControl w:val="0"/>
              <w:kinsoku/>
              <w:wordWrap/>
              <w:overflowPunct/>
              <w:topLinePunct w:val="0"/>
              <w:autoSpaceDE/>
              <w:autoSpaceDN/>
              <w:bidi w:val="0"/>
              <w:adjustRightInd/>
              <w:snapToGrid/>
              <w:jc w:val="center"/>
              <w:textAlignment w:val="auto"/>
              <w:rPr>
                <w:rFonts w:ascii="Times New Roman" w:hAnsi="Times New Roman" w:eastAsia="楷体" w:cs="Times New Roman"/>
                <w:b/>
                <w:bCs/>
                <w:color w:val="auto"/>
                <w:szCs w:val="21"/>
                <w:highlight w:val="none"/>
              </w:rPr>
            </w:pPr>
            <w:r>
              <w:rPr>
                <w:rFonts w:hint="eastAsia" w:ascii="Times New Roman" w:hAnsi="Times New Roman" w:eastAsia="楷体" w:cs="Times New Roman"/>
                <w:b/>
                <w:bCs/>
                <w:color w:val="auto"/>
                <w:szCs w:val="21"/>
                <w:highlight w:val="none"/>
                <w:lang w:val="en-US" w:eastAsia="zh-CN"/>
              </w:rPr>
              <w:t>运营维护</w:t>
            </w:r>
            <w:r>
              <w:rPr>
                <w:rFonts w:hint="eastAsia" w:ascii="Times New Roman" w:hAnsi="Times New Roman" w:eastAsia="楷体" w:cs="Times New Roman"/>
                <w:b/>
                <w:bCs/>
                <w:color w:val="auto"/>
                <w:szCs w:val="21"/>
                <w:highlight w:val="none"/>
              </w:rPr>
              <w:t>履约</w:t>
            </w:r>
            <w:r>
              <w:rPr>
                <w:rFonts w:ascii="Times New Roman" w:hAnsi="Times New Roman" w:eastAsia="楷体" w:cs="Times New Roman"/>
                <w:b/>
                <w:bCs/>
                <w:color w:val="auto"/>
                <w:szCs w:val="21"/>
                <w:highlight w:val="none"/>
              </w:rPr>
              <w:t>保函</w:t>
            </w:r>
          </w:p>
        </w:tc>
        <w:tc>
          <w:tcPr>
            <w:tcW w:w="1382" w:type="pct"/>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3F98B704">
            <w:pPr>
              <w:pageBreakBefore w:val="0"/>
              <w:widowControl w:val="0"/>
              <w:kinsoku/>
              <w:wordWrap/>
              <w:overflowPunct/>
              <w:topLinePunct w:val="0"/>
              <w:autoSpaceDE/>
              <w:autoSpaceDN/>
              <w:bidi w:val="0"/>
              <w:adjustRightInd/>
              <w:snapToGrid/>
              <w:jc w:val="center"/>
              <w:textAlignment w:val="auto"/>
              <w:rPr>
                <w:rFonts w:ascii="Times New Roman" w:hAnsi="Times New Roman" w:eastAsia="楷体" w:cs="Times New Roman"/>
                <w:b/>
                <w:bCs/>
                <w:color w:val="auto"/>
                <w:szCs w:val="21"/>
                <w:highlight w:val="none"/>
              </w:rPr>
            </w:pPr>
            <w:r>
              <w:rPr>
                <w:rFonts w:ascii="Times New Roman" w:hAnsi="Times New Roman" w:eastAsia="楷体" w:cs="Times New Roman"/>
                <w:b/>
                <w:bCs/>
                <w:color w:val="auto"/>
                <w:szCs w:val="21"/>
                <w:highlight w:val="none"/>
              </w:rPr>
              <w:t>移交维修保函</w:t>
            </w:r>
          </w:p>
        </w:tc>
      </w:tr>
      <w:tr w14:paraId="6E0A0A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54" w:type="pct"/>
            <w:tcBorders>
              <w:top w:val="single" w:color="auto" w:sz="4" w:space="0"/>
              <w:left w:val="single" w:color="auto" w:sz="4" w:space="0"/>
              <w:bottom w:val="single" w:color="auto" w:sz="4" w:space="0"/>
              <w:right w:val="single" w:color="auto" w:sz="4" w:space="0"/>
            </w:tcBorders>
            <w:vAlign w:val="center"/>
          </w:tcPr>
          <w:p w14:paraId="2B91FCB4">
            <w:pPr>
              <w:pageBreakBefore w:val="0"/>
              <w:widowControl w:val="0"/>
              <w:kinsoku/>
              <w:wordWrap/>
              <w:overflowPunct/>
              <w:topLinePunct w:val="0"/>
              <w:autoSpaceDE/>
              <w:autoSpaceDN/>
              <w:bidi w:val="0"/>
              <w:adjustRightInd/>
              <w:snapToGrid/>
              <w:jc w:val="center"/>
              <w:textAlignment w:val="auto"/>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提交主体</w:t>
            </w:r>
          </w:p>
        </w:tc>
        <w:tc>
          <w:tcPr>
            <w:tcW w:w="1381" w:type="pct"/>
            <w:tcBorders>
              <w:top w:val="single" w:color="auto" w:sz="4" w:space="0"/>
              <w:left w:val="single" w:color="auto" w:sz="4" w:space="0"/>
              <w:bottom w:val="single" w:color="auto" w:sz="4" w:space="0"/>
              <w:right w:val="single" w:color="auto" w:sz="4" w:space="0"/>
            </w:tcBorders>
            <w:vAlign w:val="center"/>
          </w:tcPr>
          <w:p w14:paraId="2887DD43">
            <w:pPr>
              <w:pageBreakBefore w:val="0"/>
              <w:widowControl w:val="0"/>
              <w:kinsoku/>
              <w:wordWrap/>
              <w:overflowPunct/>
              <w:topLinePunct w:val="0"/>
              <w:autoSpaceDE/>
              <w:autoSpaceDN/>
              <w:bidi w:val="0"/>
              <w:adjustRightInd/>
              <w:snapToGrid/>
              <w:jc w:val="center"/>
              <w:textAlignment w:val="auto"/>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w:t>
            </w:r>
          </w:p>
        </w:tc>
        <w:tc>
          <w:tcPr>
            <w:tcW w:w="1381" w:type="pct"/>
            <w:tcBorders>
              <w:top w:val="single" w:color="auto" w:sz="4" w:space="0"/>
              <w:left w:val="single" w:color="auto" w:sz="4" w:space="0"/>
              <w:bottom w:val="single" w:color="auto" w:sz="4" w:space="0"/>
              <w:right w:val="single" w:color="auto" w:sz="4" w:space="0"/>
            </w:tcBorders>
            <w:vAlign w:val="center"/>
          </w:tcPr>
          <w:p w14:paraId="35ED7A49">
            <w:pPr>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楷体" w:cs="Times New Roman"/>
                <w:color w:val="auto"/>
                <w:szCs w:val="21"/>
                <w:highlight w:val="none"/>
                <w:lang w:val="en-US" w:eastAsia="zh-CN"/>
              </w:rPr>
            </w:pPr>
            <w:r>
              <w:rPr>
                <w:rFonts w:hint="eastAsia" w:ascii="Times New Roman" w:hAnsi="Times New Roman" w:eastAsia="楷体" w:cs="Times New Roman"/>
                <w:color w:val="auto"/>
                <w:szCs w:val="21"/>
                <w:highlight w:val="none"/>
              </w:rPr>
              <w:t>特许经营者</w:t>
            </w:r>
            <w:r>
              <w:rPr>
                <w:rFonts w:hint="eastAsia" w:ascii="Times New Roman" w:hAnsi="Times New Roman" w:eastAsia="楷体" w:cs="Times New Roman"/>
                <w:color w:val="auto"/>
                <w:szCs w:val="21"/>
                <w:highlight w:val="none"/>
                <w:lang w:val="en-US" w:eastAsia="zh-CN"/>
              </w:rPr>
              <w:t>/项目公司</w:t>
            </w:r>
          </w:p>
        </w:tc>
        <w:tc>
          <w:tcPr>
            <w:tcW w:w="1382" w:type="pct"/>
            <w:tcBorders>
              <w:top w:val="single" w:color="auto" w:sz="4" w:space="0"/>
              <w:left w:val="single" w:color="auto" w:sz="4" w:space="0"/>
              <w:bottom w:val="single" w:color="auto" w:sz="4" w:space="0"/>
              <w:right w:val="single" w:color="auto" w:sz="4" w:space="0"/>
            </w:tcBorders>
            <w:vAlign w:val="center"/>
          </w:tcPr>
          <w:p w14:paraId="75228301">
            <w:pPr>
              <w:pageBreakBefore w:val="0"/>
              <w:widowControl w:val="0"/>
              <w:kinsoku/>
              <w:wordWrap/>
              <w:overflowPunct/>
              <w:topLinePunct w:val="0"/>
              <w:autoSpaceDE/>
              <w:autoSpaceDN/>
              <w:bidi w:val="0"/>
              <w:adjustRightInd/>
              <w:snapToGrid/>
              <w:jc w:val="center"/>
              <w:textAlignment w:val="auto"/>
              <w:rPr>
                <w:rFonts w:ascii="Times New Roman" w:hAnsi="Times New Roman" w:eastAsia="楷体" w:cs="Times New Roman"/>
                <w:color w:val="auto"/>
                <w:szCs w:val="21"/>
                <w:highlight w:val="none"/>
              </w:rPr>
            </w:pPr>
            <w:r>
              <w:rPr>
                <w:rFonts w:hint="eastAsia" w:ascii="Times New Roman" w:hAnsi="Times New Roman" w:eastAsia="楷体" w:cs="Times New Roman"/>
                <w:color w:val="auto"/>
                <w:szCs w:val="21"/>
                <w:highlight w:val="none"/>
              </w:rPr>
              <w:t>特许经营者</w:t>
            </w:r>
            <w:r>
              <w:rPr>
                <w:rFonts w:hint="eastAsia" w:ascii="Times New Roman" w:hAnsi="Times New Roman" w:eastAsia="楷体" w:cs="Times New Roman"/>
                <w:color w:val="auto"/>
                <w:szCs w:val="21"/>
                <w:highlight w:val="none"/>
                <w:lang w:val="en-US" w:eastAsia="zh-CN"/>
              </w:rPr>
              <w:t>/项目公司</w:t>
            </w:r>
          </w:p>
        </w:tc>
      </w:tr>
      <w:tr w14:paraId="11BB9F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854" w:type="pct"/>
            <w:tcBorders>
              <w:top w:val="single" w:color="auto" w:sz="4" w:space="0"/>
              <w:left w:val="single" w:color="auto" w:sz="4" w:space="0"/>
              <w:bottom w:val="single" w:color="auto" w:sz="4" w:space="0"/>
              <w:right w:val="single" w:color="auto" w:sz="4" w:space="0"/>
            </w:tcBorders>
            <w:vAlign w:val="center"/>
          </w:tcPr>
          <w:p w14:paraId="45FA0EB6">
            <w:pPr>
              <w:pageBreakBefore w:val="0"/>
              <w:widowControl w:val="0"/>
              <w:kinsoku/>
              <w:wordWrap/>
              <w:overflowPunct/>
              <w:topLinePunct w:val="0"/>
              <w:autoSpaceDE/>
              <w:autoSpaceDN/>
              <w:bidi w:val="0"/>
              <w:adjustRightInd/>
              <w:snapToGrid/>
              <w:jc w:val="center"/>
              <w:textAlignment w:val="auto"/>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提交时间</w:t>
            </w:r>
          </w:p>
        </w:tc>
        <w:tc>
          <w:tcPr>
            <w:tcW w:w="1381" w:type="pct"/>
            <w:tcBorders>
              <w:top w:val="single" w:color="auto" w:sz="4" w:space="0"/>
              <w:left w:val="single" w:color="auto" w:sz="4" w:space="0"/>
              <w:bottom w:val="single" w:color="auto" w:sz="4" w:space="0"/>
              <w:right w:val="single" w:color="auto" w:sz="4" w:space="0"/>
            </w:tcBorders>
            <w:vAlign w:val="center"/>
          </w:tcPr>
          <w:p w14:paraId="2209C446">
            <w:pPr>
              <w:pageBreakBefore w:val="0"/>
              <w:widowControl w:val="0"/>
              <w:kinsoku/>
              <w:wordWrap/>
              <w:overflowPunct/>
              <w:topLinePunct w:val="0"/>
              <w:autoSpaceDE/>
              <w:autoSpaceDN/>
              <w:bidi w:val="0"/>
              <w:adjustRightInd/>
              <w:snapToGrid/>
              <w:jc w:val="center"/>
              <w:textAlignment w:val="auto"/>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w:t>
            </w:r>
          </w:p>
        </w:tc>
        <w:tc>
          <w:tcPr>
            <w:tcW w:w="1381" w:type="pct"/>
            <w:tcBorders>
              <w:top w:val="single" w:color="auto" w:sz="4" w:space="0"/>
              <w:left w:val="single" w:color="auto" w:sz="4" w:space="0"/>
              <w:bottom w:val="single" w:color="auto" w:sz="4" w:space="0"/>
              <w:right w:val="single" w:color="auto" w:sz="4" w:space="0"/>
            </w:tcBorders>
            <w:vAlign w:val="center"/>
          </w:tcPr>
          <w:p w14:paraId="4938E2D2">
            <w:pPr>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楷体" w:cs="Times New Roman"/>
                <w:color w:val="auto"/>
                <w:szCs w:val="21"/>
                <w:highlight w:val="none"/>
                <w:lang w:val="en-US" w:eastAsia="zh-CN"/>
              </w:rPr>
            </w:pPr>
            <w:r>
              <w:rPr>
                <w:rFonts w:hint="eastAsia" w:ascii="Times New Roman" w:hAnsi="Times New Roman" w:eastAsia="楷体" w:cs="Times New Roman"/>
                <w:color w:val="auto"/>
                <w:szCs w:val="21"/>
                <w:highlight w:val="none"/>
                <w:lang w:val="en-US" w:eastAsia="zh-CN"/>
              </w:rPr>
              <w:t>签署特许经营协议5个工作日内</w:t>
            </w:r>
          </w:p>
        </w:tc>
        <w:tc>
          <w:tcPr>
            <w:tcW w:w="1382" w:type="pct"/>
            <w:tcBorders>
              <w:top w:val="single" w:color="auto" w:sz="4" w:space="0"/>
              <w:left w:val="single" w:color="auto" w:sz="4" w:space="0"/>
              <w:bottom w:val="single" w:color="auto" w:sz="4" w:space="0"/>
              <w:right w:val="single" w:color="auto" w:sz="4" w:space="0"/>
            </w:tcBorders>
            <w:vAlign w:val="center"/>
          </w:tcPr>
          <w:p w14:paraId="68956ABA">
            <w:pPr>
              <w:pageBreakBefore w:val="0"/>
              <w:widowControl w:val="0"/>
              <w:kinsoku/>
              <w:wordWrap/>
              <w:overflowPunct/>
              <w:topLinePunct w:val="0"/>
              <w:autoSpaceDE/>
              <w:autoSpaceDN/>
              <w:bidi w:val="0"/>
              <w:adjustRightInd/>
              <w:snapToGrid/>
              <w:jc w:val="center"/>
              <w:textAlignment w:val="auto"/>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项目</w:t>
            </w:r>
            <w:r>
              <w:rPr>
                <w:rFonts w:hint="eastAsia" w:ascii="Times New Roman" w:hAnsi="Times New Roman" w:eastAsia="楷体" w:cs="Times New Roman"/>
                <w:color w:val="auto"/>
                <w:szCs w:val="21"/>
                <w:highlight w:val="none"/>
                <w:lang w:val="en-US" w:eastAsia="zh-CN"/>
              </w:rPr>
              <w:t>特许经营</w:t>
            </w:r>
            <w:r>
              <w:rPr>
                <w:rFonts w:ascii="Times New Roman" w:hAnsi="Times New Roman" w:eastAsia="楷体" w:cs="Times New Roman"/>
                <w:color w:val="auto"/>
                <w:szCs w:val="21"/>
                <w:highlight w:val="none"/>
              </w:rPr>
              <w:t>期满12个月之前</w:t>
            </w:r>
          </w:p>
        </w:tc>
      </w:tr>
      <w:tr w14:paraId="7CD77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54" w:type="pct"/>
            <w:tcBorders>
              <w:top w:val="single" w:color="auto" w:sz="4" w:space="0"/>
              <w:left w:val="single" w:color="auto" w:sz="4" w:space="0"/>
              <w:bottom w:val="single" w:color="auto" w:sz="4" w:space="0"/>
              <w:right w:val="single" w:color="auto" w:sz="4" w:space="0"/>
            </w:tcBorders>
            <w:vAlign w:val="center"/>
          </w:tcPr>
          <w:p w14:paraId="278C12D9">
            <w:pPr>
              <w:pageBreakBefore w:val="0"/>
              <w:widowControl w:val="0"/>
              <w:kinsoku/>
              <w:wordWrap/>
              <w:overflowPunct/>
              <w:topLinePunct w:val="0"/>
              <w:autoSpaceDE/>
              <w:autoSpaceDN/>
              <w:bidi w:val="0"/>
              <w:adjustRightInd/>
              <w:snapToGrid/>
              <w:jc w:val="center"/>
              <w:textAlignment w:val="auto"/>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金额</w:t>
            </w:r>
          </w:p>
        </w:tc>
        <w:tc>
          <w:tcPr>
            <w:tcW w:w="1381" w:type="pct"/>
            <w:tcBorders>
              <w:top w:val="single" w:color="auto" w:sz="4" w:space="0"/>
              <w:left w:val="single" w:color="auto" w:sz="4" w:space="0"/>
              <w:bottom w:val="single" w:color="auto" w:sz="4" w:space="0"/>
              <w:right w:val="single" w:color="auto" w:sz="4" w:space="0"/>
            </w:tcBorders>
            <w:vAlign w:val="center"/>
          </w:tcPr>
          <w:p w14:paraId="1C0B9B92">
            <w:pPr>
              <w:pageBreakBefore w:val="0"/>
              <w:widowControl w:val="0"/>
              <w:kinsoku/>
              <w:wordWrap/>
              <w:overflowPunct/>
              <w:topLinePunct w:val="0"/>
              <w:autoSpaceDE/>
              <w:autoSpaceDN/>
              <w:bidi w:val="0"/>
              <w:adjustRightInd/>
              <w:snapToGrid/>
              <w:jc w:val="center"/>
              <w:textAlignment w:val="auto"/>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0</w:t>
            </w:r>
          </w:p>
        </w:tc>
        <w:tc>
          <w:tcPr>
            <w:tcW w:w="1381" w:type="pct"/>
            <w:tcBorders>
              <w:top w:val="single" w:color="auto" w:sz="4" w:space="0"/>
              <w:left w:val="single" w:color="auto" w:sz="4" w:space="0"/>
              <w:bottom w:val="single" w:color="auto" w:sz="4" w:space="0"/>
              <w:right w:val="single" w:color="auto" w:sz="4" w:space="0"/>
            </w:tcBorders>
            <w:vAlign w:val="center"/>
          </w:tcPr>
          <w:p w14:paraId="257D810B">
            <w:pPr>
              <w:pageBreakBefore w:val="0"/>
              <w:widowControl w:val="0"/>
              <w:kinsoku/>
              <w:wordWrap/>
              <w:overflowPunct/>
              <w:topLinePunct w:val="0"/>
              <w:autoSpaceDE/>
              <w:autoSpaceDN/>
              <w:bidi w:val="0"/>
              <w:adjustRightInd/>
              <w:snapToGrid/>
              <w:jc w:val="center"/>
              <w:textAlignment w:val="auto"/>
              <w:rPr>
                <w:rFonts w:ascii="Times New Roman" w:hAnsi="Times New Roman" w:eastAsia="楷体" w:cs="Times New Roman"/>
                <w:color w:val="auto"/>
                <w:szCs w:val="21"/>
                <w:highlight w:val="none"/>
              </w:rPr>
            </w:pPr>
            <w:r>
              <w:rPr>
                <w:rFonts w:hint="eastAsia" w:ascii="Times New Roman" w:hAnsi="Times New Roman" w:eastAsia="楷体" w:cs="Times New Roman"/>
                <w:color w:val="auto"/>
                <w:szCs w:val="21"/>
                <w:highlight w:val="none"/>
                <w:lang w:val="en-US" w:eastAsia="zh-CN"/>
              </w:rPr>
              <w:t>2</w:t>
            </w:r>
            <w:r>
              <w:rPr>
                <w:rFonts w:ascii="Times New Roman" w:hAnsi="Times New Roman" w:eastAsia="楷体" w:cs="Times New Roman"/>
                <w:color w:val="auto"/>
                <w:szCs w:val="21"/>
                <w:highlight w:val="none"/>
              </w:rPr>
              <w:t>00万元</w:t>
            </w:r>
          </w:p>
        </w:tc>
        <w:tc>
          <w:tcPr>
            <w:tcW w:w="1382" w:type="pct"/>
            <w:tcBorders>
              <w:top w:val="single" w:color="auto" w:sz="4" w:space="0"/>
              <w:left w:val="single" w:color="auto" w:sz="4" w:space="0"/>
              <w:bottom w:val="single" w:color="auto" w:sz="4" w:space="0"/>
              <w:right w:val="single" w:color="auto" w:sz="4" w:space="0"/>
            </w:tcBorders>
            <w:vAlign w:val="center"/>
          </w:tcPr>
          <w:p w14:paraId="3C4A18CF">
            <w:pPr>
              <w:pageBreakBefore w:val="0"/>
              <w:widowControl w:val="0"/>
              <w:kinsoku/>
              <w:wordWrap/>
              <w:overflowPunct/>
              <w:topLinePunct w:val="0"/>
              <w:autoSpaceDE/>
              <w:autoSpaceDN/>
              <w:bidi w:val="0"/>
              <w:adjustRightInd/>
              <w:snapToGrid/>
              <w:jc w:val="center"/>
              <w:textAlignment w:val="auto"/>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1000万元</w:t>
            </w:r>
          </w:p>
        </w:tc>
      </w:tr>
      <w:tr w14:paraId="66421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9" w:hRule="atLeast"/>
          <w:jc w:val="center"/>
        </w:trPr>
        <w:tc>
          <w:tcPr>
            <w:tcW w:w="854" w:type="pct"/>
            <w:tcBorders>
              <w:top w:val="single" w:color="auto" w:sz="4" w:space="0"/>
              <w:left w:val="single" w:color="auto" w:sz="4" w:space="0"/>
              <w:bottom w:val="single" w:color="auto" w:sz="4" w:space="0"/>
              <w:right w:val="single" w:color="auto" w:sz="4" w:space="0"/>
            </w:tcBorders>
            <w:vAlign w:val="center"/>
          </w:tcPr>
          <w:p w14:paraId="44955501">
            <w:pPr>
              <w:pageBreakBefore w:val="0"/>
              <w:widowControl w:val="0"/>
              <w:kinsoku/>
              <w:wordWrap/>
              <w:overflowPunct/>
              <w:topLinePunct w:val="0"/>
              <w:autoSpaceDE/>
              <w:autoSpaceDN/>
              <w:bidi w:val="0"/>
              <w:adjustRightInd/>
              <w:snapToGrid/>
              <w:jc w:val="center"/>
              <w:textAlignment w:val="auto"/>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取费依据</w:t>
            </w:r>
          </w:p>
        </w:tc>
        <w:tc>
          <w:tcPr>
            <w:tcW w:w="1381" w:type="pct"/>
            <w:tcBorders>
              <w:top w:val="single" w:color="auto" w:sz="4" w:space="0"/>
              <w:left w:val="single" w:color="auto" w:sz="4" w:space="0"/>
              <w:bottom w:val="single" w:color="auto" w:sz="4" w:space="0"/>
              <w:right w:val="single" w:color="auto" w:sz="4" w:space="0"/>
            </w:tcBorders>
            <w:vAlign w:val="center"/>
          </w:tcPr>
          <w:p w14:paraId="485CC0C3">
            <w:pPr>
              <w:pageBreakBefore w:val="0"/>
              <w:widowControl w:val="0"/>
              <w:kinsoku/>
              <w:wordWrap/>
              <w:overflowPunct/>
              <w:topLinePunct w:val="0"/>
              <w:autoSpaceDE/>
              <w:autoSpaceDN/>
              <w:bidi w:val="0"/>
              <w:adjustRightInd/>
              <w:snapToGrid/>
              <w:jc w:val="center"/>
              <w:textAlignment w:val="auto"/>
              <w:rPr>
                <w:rFonts w:ascii="Times New Roman" w:hAnsi="Times New Roman" w:eastAsia="楷体" w:cs="Times New Roman"/>
                <w:color w:val="auto"/>
                <w:szCs w:val="21"/>
                <w:highlight w:val="none"/>
              </w:rPr>
            </w:pPr>
            <w:r>
              <w:rPr>
                <w:rFonts w:hint="eastAsia" w:ascii="Times New Roman" w:hAnsi="Times New Roman" w:eastAsia="楷体" w:cs="Times New Roman"/>
                <w:color w:val="auto"/>
                <w:szCs w:val="21"/>
                <w:highlight w:val="none"/>
              </w:rPr>
              <w:t>苏财购〔2020〕52号取消政府采购投标保证金</w:t>
            </w:r>
          </w:p>
        </w:tc>
        <w:tc>
          <w:tcPr>
            <w:tcW w:w="2763" w:type="pct"/>
            <w:gridSpan w:val="2"/>
            <w:tcBorders>
              <w:top w:val="single" w:color="auto" w:sz="4" w:space="0"/>
              <w:left w:val="single" w:color="auto" w:sz="4" w:space="0"/>
              <w:bottom w:val="single" w:color="auto" w:sz="4" w:space="0"/>
              <w:right w:val="single" w:color="auto" w:sz="4" w:space="0"/>
            </w:tcBorders>
            <w:vAlign w:val="center"/>
          </w:tcPr>
          <w:p w14:paraId="01086102">
            <w:pPr>
              <w:pageBreakBefore w:val="0"/>
              <w:widowControl w:val="0"/>
              <w:kinsoku/>
              <w:wordWrap/>
              <w:overflowPunct/>
              <w:topLinePunct w:val="0"/>
              <w:autoSpaceDE/>
              <w:autoSpaceDN/>
              <w:bidi w:val="0"/>
              <w:adjustRightInd/>
              <w:snapToGrid/>
              <w:jc w:val="center"/>
              <w:textAlignment w:val="auto"/>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不超过工程总投资的5%，以移交后一年期维护保修需求为依据</w:t>
            </w:r>
          </w:p>
        </w:tc>
      </w:tr>
      <w:tr w14:paraId="5D910C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6" w:hRule="atLeast"/>
          <w:jc w:val="center"/>
        </w:trPr>
        <w:tc>
          <w:tcPr>
            <w:tcW w:w="854" w:type="pct"/>
            <w:tcBorders>
              <w:top w:val="single" w:color="auto" w:sz="4" w:space="0"/>
              <w:left w:val="single" w:color="auto" w:sz="4" w:space="0"/>
              <w:bottom w:val="single" w:color="auto" w:sz="4" w:space="0"/>
              <w:right w:val="single" w:color="auto" w:sz="4" w:space="0"/>
            </w:tcBorders>
            <w:vAlign w:val="center"/>
          </w:tcPr>
          <w:p w14:paraId="1C36F485">
            <w:pPr>
              <w:pageBreakBefore w:val="0"/>
              <w:widowControl w:val="0"/>
              <w:kinsoku/>
              <w:wordWrap/>
              <w:overflowPunct/>
              <w:topLinePunct w:val="0"/>
              <w:autoSpaceDE/>
              <w:autoSpaceDN/>
              <w:bidi w:val="0"/>
              <w:adjustRightInd/>
              <w:snapToGrid/>
              <w:jc w:val="center"/>
              <w:textAlignment w:val="auto"/>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退还时间</w:t>
            </w:r>
          </w:p>
        </w:tc>
        <w:tc>
          <w:tcPr>
            <w:tcW w:w="1381" w:type="pct"/>
            <w:tcBorders>
              <w:top w:val="single" w:color="auto" w:sz="4" w:space="0"/>
              <w:left w:val="single" w:color="auto" w:sz="4" w:space="0"/>
              <w:bottom w:val="single" w:color="auto" w:sz="4" w:space="0"/>
              <w:right w:val="single" w:color="auto" w:sz="4" w:space="0"/>
            </w:tcBorders>
            <w:vAlign w:val="center"/>
          </w:tcPr>
          <w:p w14:paraId="0DFF906C">
            <w:pPr>
              <w:pageBreakBefore w:val="0"/>
              <w:widowControl w:val="0"/>
              <w:kinsoku/>
              <w:wordWrap/>
              <w:overflowPunct/>
              <w:topLinePunct w:val="0"/>
              <w:autoSpaceDE/>
              <w:autoSpaceDN/>
              <w:bidi w:val="0"/>
              <w:adjustRightInd/>
              <w:snapToGrid/>
              <w:jc w:val="center"/>
              <w:textAlignment w:val="auto"/>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w:t>
            </w:r>
          </w:p>
        </w:tc>
        <w:tc>
          <w:tcPr>
            <w:tcW w:w="1381" w:type="pct"/>
            <w:tcBorders>
              <w:top w:val="single" w:color="auto" w:sz="4" w:space="0"/>
              <w:left w:val="single" w:color="auto" w:sz="4" w:space="0"/>
              <w:bottom w:val="single" w:color="auto" w:sz="4" w:space="0"/>
              <w:right w:val="single" w:color="auto" w:sz="4" w:space="0"/>
            </w:tcBorders>
            <w:vAlign w:val="center"/>
          </w:tcPr>
          <w:p w14:paraId="5CAC344E">
            <w:pPr>
              <w:pageBreakBefore w:val="0"/>
              <w:widowControl w:val="0"/>
              <w:kinsoku/>
              <w:wordWrap/>
              <w:overflowPunct/>
              <w:topLinePunct w:val="0"/>
              <w:autoSpaceDE/>
              <w:autoSpaceDN/>
              <w:bidi w:val="0"/>
              <w:adjustRightInd/>
              <w:snapToGrid/>
              <w:jc w:val="center"/>
              <w:textAlignment w:val="auto"/>
              <w:rPr>
                <w:rFonts w:ascii="Times New Roman" w:hAnsi="Times New Roman" w:eastAsia="楷体" w:cs="Times New Roman"/>
                <w:color w:val="auto"/>
                <w:szCs w:val="21"/>
                <w:highlight w:val="none"/>
              </w:rPr>
            </w:pPr>
            <w:r>
              <w:rPr>
                <w:rFonts w:hint="eastAsia" w:ascii="Times New Roman" w:hAnsi="Times New Roman" w:eastAsia="楷体" w:cs="Times New Roman"/>
                <w:color w:val="auto"/>
                <w:szCs w:val="21"/>
                <w:highlight w:val="none"/>
                <w:lang w:val="en-US" w:eastAsia="zh-CN"/>
              </w:rPr>
              <w:t>特许经营期满后退还</w:t>
            </w:r>
          </w:p>
        </w:tc>
        <w:tc>
          <w:tcPr>
            <w:tcW w:w="1382" w:type="pct"/>
            <w:tcBorders>
              <w:top w:val="single" w:color="auto" w:sz="4" w:space="0"/>
              <w:left w:val="single" w:color="auto" w:sz="4" w:space="0"/>
              <w:bottom w:val="single" w:color="auto" w:sz="4" w:space="0"/>
              <w:right w:val="single" w:color="auto" w:sz="4" w:space="0"/>
            </w:tcBorders>
            <w:vAlign w:val="center"/>
          </w:tcPr>
          <w:p w14:paraId="7ACCD545">
            <w:pPr>
              <w:pageBreakBefore w:val="0"/>
              <w:widowControl w:val="0"/>
              <w:kinsoku/>
              <w:wordWrap/>
              <w:overflowPunct/>
              <w:topLinePunct w:val="0"/>
              <w:autoSpaceDE/>
              <w:autoSpaceDN/>
              <w:bidi w:val="0"/>
              <w:adjustRightInd/>
              <w:snapToGrid/>
              <w:jc w:val="center"/>
              <w:textAlignment w:val="auto"/>
              <w:rPr>
                <w:rFonts w:ascii="Times New Roman" w:hAnsi="Times New Roman" w:eastAsia="楷体" w:cs="Times New Roman"/>
                <w:color w:val="auto"/>
                <w:szCs w:val="21"/>
                <w:highlight w:val="none"/>
              </w:rPr>
            </w:pPr>
            <w:r>
              <w:rPr>
                <w:rFonts w:hint="eastAsia" w:ascii="Times New Roman" w:hAnsi="Times New Roman" w:eastAsia="楷体" w:cs="Times New Roman"/>
                <w:color w:val="auto"/>
                <w:szCs w:val="21"/>
                <w:highlight w:val="none"/>
                <w:lang w:val="en-US" w:eastAsia="zh-CN"/>
              </w:rPr>
              <w:t>特许经营</w:t>
            </w:r>
            <w:r>
              <w:rPr>
                <w:rFonts w:ascii="Times New Roman" w:hAnsi="Times New Roman" w:eastAsia="楷体" w:cs="Times New Roman"/>
                <w:color w:val="auto"/>
                <w:szCs w:val="21"/>
                <w:highlight w:val="none"/>
              </w:rPr>
              <w:t>期满，</w:t>
            </w:r>
            <w:r>
              <w:rPr>
                <w:rFonts w:hint="eastAsia" w:ascii="Times New Roman" w:hAnsi="Times New Roman" w:eastAsia="楷体" w:cs="Times New Roman"/>
                <w:color w:val="auto"/>
                <w:szCs w:val="21"/>
                <w:highlight w:val="none"/>
                <w:lang w:val="en-US" w:eastAsia="zh-CN"/>
              </w:rPr>
              <w:t>特许经营者/</w:t>
            </w:r>
            <w:r>
              <w:rPr>
                <w:rFonts w:ascii="Times New Roman" w:hAnsi="Times New Roman" w:eastAsia="楷体" w:cs="Times New Roman"/>
                <w:color w:val="auto"/>
                <w:szCs w:val="21"/>
                <w:highlight w:val="none"/>
              </w:rPr>
              <w:t>项目公司依约移交完成1年后退还</w:t>
            </w:r>
          </w:p>
        </w:tc>
      </w:tr>
      <w:tr w14:paraId="21728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70" w:hRule="atLeast"/>
          <w:jc w:val="center"/>
        </w:trPr>
        <w:tc>
          <w:tcPr>
            <w:tcW w:w="854" w:type="pct"/>
            <w:tcBorders>
              <w:top w:val="single" w:color="auto" w:sz="4" w:space="0"/>
              <w:left w:val="single" w:color="auto" w:sz="4" w:space="0"/>
              <w:bottom w:val="single" w:color="auto" w:sz="4" w:space="0"/>
              <w:right w:val="single" w:color="auto" w:sz="4" w:space="0"/>
            </w:tcBorders>
            <w:vAlign w:val="center"/>
          </w:tcPr>
          <w:p w14:paraId="1D48A943">
            <w:pPr>
              <w:pageBreakBefore w:val="0"/>
              <w:widowControl w:val="0"/>
              <w:kinsoku/>
              <w:wordWrap/>
              <w:overflowPunct/>
              <w:topLinePunct w:val="0"/>
              <w:autoSpaceDE/>
              <w:autoSpaceDN/>
              <w:bidi w:val="0"/>
              <w:adjustRightInd/>
              <w:snapToGrid/>
              <w:jc w:val="center"/>
              <w:textAlignment w:val="auto"/>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担保事项</w:t>
            </w:r>
          </w:p>
        </w:tc>
        <w:tc>
          <w:tcPr>
            <w:tcW w:w="1381" w:type="pct"/>
            <w:tcBorders>
              <w:top w:val="single" w:color="auto" w:sz="4" w:space="0"/>
              <w:left w:val="single" w:color="auto" w:sz="4" w:space="0"/>
              <w:bottom w:val="single" w:color="auto" w:sz="4" w:space="0"/>
              <w:right w:val="single" w:color="auto" w:sz="4" w:space="0"/>
            </w:tcBorders>
            <w:vAlign w:val="center"/>
          </w:tcPr>
          <w:p w14:paraId="6FC1B6BB">
            <w:pPr>
              <w:pageBreakBefore w:val="0"/>
              <w:widowControl w:val="0"/>
              <w:kinsoku/>
              <w:wordWrap/>
              <w:overflowPunct/>
              <w:topLinePunct w:val="0"/>
              <w:autoSpaceDE/>
              <w:autoSpaceDN/>
              <w:bidi w:val="0"/>
              <w:adjustRightInd/>
              <w:snapToGrid/>
              <w:jc w:val="center"/>
              <w:textAlignment w:val="auto"/>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w:t>
            </w:r>
          </w:p>
        </w:tc>
        <w:tc>
          <w:tcPr>
            <w:tcW w:w="1381" w:type="pct"/>
            <w:tcBorders>
              <w:top w:val="single" w:color="auto" w:sz="4" w:space="0"/>
              <w:left w:val="single" w:color="auto" w:sz="4" w:space="0"/>
              <w:bottom w:val="single" w:color="auto" w:sz="4" w:space="0"/>
              <w:right w:val="single" w:color="auto" w:sz="4" w:space="0"/>
            </w:tcBorders>
            <w:vAlign w:val="center"/>
          </w:tcPr>
          <w:p w14:paraId="38E34D34">
            <w:pPr>
              <w:pageBreakBefore w:val="0"/>
              <w:widowControl w:val="0"/>
              <w:kinsoku/>
              <w:wordWrap/>
              <w:overflowPunct/>
              <w:topLinePunct w:val="0"/>
              <w:autoSpaceDE/>
              <w:autoSpaceDN/>
              <w:bidi w:val="0"/>
              <w:adjustRightInd/>
              <w:snapToGrid/>
              <w:jc w:val="center"/>
              <w:textAlignment w:val="auto"/>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项目运营绩效、服务质量标准达标情况、安全保障、移交保函提交等</w:t>
            </w:r>
          </w:p>
        </w:tc>
        <w:tc>
          <w:tcPr>
            <w:tcW w:w="1382" w:type="pct"/>
            <w:tcBorders>
              <w:top w:val="single" w:color="auto" w:sz="4" w:space="0"/>
              <w:left w:val="single" w:color="auto" w:sz="4" w:space="0"/>
              <w:bottom w:val="single" w:color="auto" w:sz="4" w:space="0"/>
              <w:right w:val="single" w:color="auto" w:sz="4" w:space="0"/>
            </w:tcBorders>
            <w:vAlign w:val="center"/>
          </w:tcPr>
          <w:p w14:paraId="590CF7AC">
            <w:pPr>
              <w:pageBreakBefore w:val="0"/>
              <w:widowControl w:val="0"/>
              <w:kinsoku/>
              <w:wordWrap/>
              <w:overflowPunct/>
              <w:topLinePunct w:val="0"/>
              <w:autoSpaceDE/>
              <w:autoSpaceDN/>
              <w:bidi w:val="0"/>
              <w:adjustRightInd/>
              <w:snapToGrid/>
              <w:jc w:val="center"/>
              <w:textAlignment w:val="auto"/>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项目设施恢复性大修、项目设施存在隐蔽性缺陷等</w:t>
            </w:r>
          </w:p>
        </w:tc>
      </w:tr>
      <w:tr w14:paraId="2B2CD9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54" w:type="pct"/>
            <w:tcBorders>
              <w:top w:val="single" w:color="auto" w:sz="4" w:space="0"/>
              <w:left w:val="single" w:color="auto" w:sz="4" w:space="0"/>
              <w:bottom w:val="single" w:color="auto" w:sz="4" w:space="0"/>
              <w:right w:val="single" w:color="auto" w:sz="4" w:space="0"/>
            </w:tcBorders>
            <w:vAlign w:val="center"/>
          </w:tcPr>
          <w:p w14:paraId="42241D44">
            <w:pPr>
              <w:pageBreakBefore w:val="0"/>
              <w:widowControl w:val="0"/>
              <w:kinsoku/>
              <w:wordWrap/>
              <w:overflowPunct/>
              <w:topLinePunct w:val="0"/>
              <w:autoSpaceDE/>
              <w:autoSpaceDN/>
              <w:bidi w:val="0"/>
              <w:adjustRightInd/>
              <w:snapToGrid/>
              <w:jc w:val="center"/>
              <w:textAlignment w:val="auto"/>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受益人</w:t>
            </w:r>
          </w:p>
        </w:tc>
        <w:tc>
          <w:tcPr>
            <w:tcW w:w="1381" w:type="pct"/>
            <w:tcBorders>
              <w:top w:val="single" w:color="auto" w:sz="4" w:space="0"/>
              <w:left w:val="single" w:color="auto" w:sz="4" w:space="0"/>
              <w:bottom w:val="single" w:color="auto" w:sz="4" w:space="0"/>
              <w:right w:val="single" w:color="auto" w:sz="4" w:space="0"/>
            </w:tcBorders>
            <w:vAlign w:val="center"/>
          </w:tcPr>
          <w:p w14:paraId="7CEA23BD">
            <w:pPr>
              <w:pageBreakBefore w:val="0"/>
              <w:widowControl w:val="0"/>
              <w:kinsoku/>
              <w:wordWrap/>
              <w:overflowPunct/>
              <w:topLinePunct w:val="0"/>
              <w:autoSpaceDE/>
              <w:autoSpaceDN/>
              <w:bidi w:val="0"/>
              <w:adjustRightInd/>
              <w:snapToGrid/>
              <w:jc w:val="center"/>
              <w:textAlignment w:val="auto"/>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w:t>
            </w:r>
          </w:p>
        </w:tc>
        <w:tc>
          <w:tcPr>
            <w:tcW w:w="1381" w:type="pct"/>
            <w:tcBorders>
              <w:top w:val="single" w:color="auto" w:sz="4" w:space="0"/>
              <w:left w:val="single" w:color="auto" w:sz="4" w:space="0"/>
              <w:bottom w:val="single" w:color="auto" w:sz="4" w:space="0"/>
              <w:right w:val="single" w:color="auto" w:sz="4" w:space="0"/>
            </w:tcBorders>
            <w:vAlign w:val="center"/>
          </w:tcPr>
          <w:p w14:paraId="05ED6C54">
            <w:pPr>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楷体" w:cs="Times New Roman"/>
                <w:color w:val="auto"/>
                <w:szCs w:val="21"/>
                <w:highlight w:val="none"/>
                <w:lang w:val="en-US" w:eastAsia="zh-CN"/>
              </w:rPr>
            </w:pPr>
            <w:r>
              <w:rPr>
                <w:rFonts w:ascii="Times New Roman" w:hAnsi="Times New Roman" w:eastAsia="楷体" w:cs="Times New Roman"/>
                <w:color w:val="auto"/>
                <w:szCs w:val="21"/>
                <w:highlight w:val="none"/>
              </w:rPr>
              <w:t>政府</w:t>
            </w:r>
            <w:r>
              <w:rPr>
                <w:rFonts w:hint="eastAsia" w:ascii="Times New Roman" w:hAnsi="Times New Roman" w:eastAsia="楷体" w:cs="Times New Roman"/>
                <w:color w:val="auto"/>
                <w:szCs w:val="21"/>
                <w:highlight w:val="none"/>
                <w:lang w:val="en-US" w:eastAsia="zh-CN"/>
              </w:rPr>
              <w:t>方</w:t>
            </w:r>
          </w:p>
        </w:tc>
        <w:tc>
          <w:tcPr>
            <w:tcW w:w="1382" w:type="pct"/>
            <w:tcBorders>
              <w:top w:val="single" w:color="auto" w:sz="4" w:space="0"/>
              <w:left w:val="single" w:color="auto" w:sz="4" w:space="0"/>
              <w:bottom w:val="single" w:color="auto" w:sz="4" w:space="0"/>
              <w:right w:val="single" w:color="auto" w:sz="4" w:space="0"/>
            </w:tcBorders>
            <w:vAlign w:val="center"/>
          </w:tcPr>
          <w:p w14:paraId="3CA9BE42">
            <w:pPr>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楷体" w:cs="Times New Roman"/>
                <w:color w:val="auto"/>
                <w:szCs w:val="21"/>
                <w:highlight w:val="none"/>
                <w:lang w:val="en-US" w:eastAsia="zh-CN"/>
              </w:rPr>
            </w:pPr>
            <w:r>
              <w:rPr>
                <w:rFonts w:ascii="Times New Roman" w:hAnsi="Times New Roman" w:eastAsia="楷体" w:cs="Times New Roman"/>
                <w:color w:val="auto"/>
                <w:szCs w:val="21"/>
                <w:highlight w:val="none"/>
              </w:rPr>
              <w:t>政府</w:t>
            </w:r>
            <w:r>
              <w:rPr>
                <w:rFonts w:hint="eastAsia" w:ascii="Times New Roman" w:hAnsi="Times New Roman" w:eastAsia="楷体" w:cs="Times New Roman"/>
                <w:color w:val="auto"/>
                <w:szCs w:val="21"/>
                <w:highlight w:val="none"/>
                <w:lang w:val="en-US" w:eastAsia="zh-CN"/>
              </w:rPr>
              <w:t>方</w:t>
            </w:r>
          </w:p>
        </w:tc>
      </w:tr>
    </w:tbl>
    <w:p w14:paraId="5C0DD818">
      <w:pPr>
        <w:pageBreakBefore w:val="0"/>
        <w:widowControl w:val="0"/>
        <w:kinsoku/>
        <w:wordWrap/>
        <w:overflowPunct/>
        <w:topLinePunct w:val="0"/>
        <w:autoSpaceDE/>
        <w:autoSpaceDN/>
        <w:bidi w:val="0"/>
        <w:adjustRightInd/>
        <w:snapToGrid/>
        <w:spacing w:line="360" w:lineRule="auto"/>
        <w:ind w:firstLine="562" w:firstLineChars="200"/>
        <w:textAlignment w:val="auto"/>
        <w:rPr>
          <w:rFonts w:ascii="Times New Roman" w:hAnsi="Times New Roman" w:eastAsia="楷体" w:cs="Times New Roman"/>
          <w:b/>
          <w:bCs/>
          <w:color w:val="auto"/>
          <w:sz w:val="28"/>
          <w:szCs w:val="28"/>
          <w:highlight w:val="none"/>
        </w:rPr>
      </w:pPr>
    </w:p>
    <w:p w14:paraId="41F34E11">
      <w:pPr>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Times New Roman" w:hAnsi="Times New Roman" w:eastAsia="楷体" w:cs="Times New Roman"/>
          <w:b/>
          <w:bCs/>
          <w:color w:val="auto"/>
          <w:sz w:val="28"/>
          <w:szCs w:val="28"/>
          <w:highlight w:val="none"/>
          <w:lang w:eastAsia="zh-CN"/>
        </w:rPr>
      </w:pPr>
      <w:r>
        <w:rPr>
          <w:rFonts w:ascii="Times New Roman" w:hAnsi="Times New Roman" w:eastAsia="楷体" w:cs="Times New Roman"/>
          <w:b/>
          <w:bCs/>
          <w:color w:val="auto"/>
          <w:sz w:val="28"/>
          <w:szCs w:val="28"/>
          <w:highlight w:val="none"/>
        </w:rPr>
        <w:t>1）投标</w:t>
      </w:r>
      <w:r>
        <w:rPr>
          <w:rFonts w:hint="eastAsia" w:ascii="Times New Roman" w:hAnsi="Times New Roman" w:eastAsia="楷体" w:cs="Times New Roman"/>
          <w:b/>
          <w:bCs/>
          <w:color w:val="auto"/>
          <w:sz w:val="28"/>
          <w:szCs w:val="28"/>
          <w:highlight w:val="none"/>
          <w:lang w:eastAsia="zh-CN"/>
        </w:rPr>
        <w:t>保证金</w:t>
      </w:r>
    </w:p>
    <w:p w14:paraId="70F8EF60">
      <w:pPr>
        <w:spacing w:line="360" w:lineRule="auto"/>
        <w:ind w:firstLine="560" w:firstLineChars="20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本项目不</w:t>
      </w:r>
      <w:r>
        <w:rPr>
          <w:rFonts w:hint="eastAsia" w:ascii="Times New Roman" w:hAnsi="Times New Roman" w:eastAsia="楷体" w:cs="Times New Roman"/>
          <w:color w:val="auto"/>
          <w:sz w:val="28"/>
          <w:szCs w:val="28"/>
          <w:highlight w:val="none"/>
          <w:lang w:eastAsia="zh-CN"/>
        </w:rPr>
        <w:t>收取</w:t>
      </w:r>
      <w:r>
        <w:rPr>
          <w:rFonts w:ascii="Times New Roman" w:hAnsi="Times New Roman" w:eastAsia="楷体" w:cs="Times New Roman"/>
          <w:color w:val="auto"/>
          <w:sz w:val="28"/>
          <w:szCs w:val="28"/>
          <w:highlight w:val="none"/>
        </w:rPr>
        <w:t>投标保证金。</w:t>
      </w:r>
    </w:p>
    <w:p w14:paraId="2FE8F8E3">
      <w:pPr>
        <w:spacing w:line="360" w:lineRule="auto"/>
        <w:ind w:firstLine="562" w:firstLineChars="200"/>
        <w:rPr>
          <w:rFonts w:ascii="Times New Roman" w:hAnsi="Times New Roman" w:eastAsia="楷体" w:cs="Times New Roman"/>
          <w:b/>
          <w:bCs/>
          <w:color w:val="auto"/>
          <w:sz w:val="28"/>
          <w:szCs w:val="28"/>
          <w:highlight w:val="none"/>
        </w:rPr>
      </w:pPr>
      <w:r>
        <w:rPr>
          <w:rFonts w:ascii="Times New Roman" w:hAnsi="Times New Roman" w:eastAsia="楷体" w:cs="Times New Roman"/>
          <w:b/>
          <w:bCs/>
          <w:color w:val="auto"/>
          <w:sz w:val="28"/>
          <w:szCs w:val="28"/>
          <w:highlight w:val="none"/>
        </w:rPr>
        <w:t>2）</w:t>
      </w:r>
      <w:r>
        <w:rPr>
          <w:rFonts w:hint="eastAsia" w:ascii="Times New Roman" w:hAnsi="Times New Roman" w:eastAsia="楷体" w:cs="Times New Roman"/>
          <w:b/>
          <w:bCs/>
          <w:color w:val="auto"/>
          <w:sz w:val="28"/>
          <w:szCs w:val="28"/>
          <w:highlight w:val="none"/>
          <w:lang w:val="en-US" w:eastAsia="zh-CN"/>
        </w:rPr>
        <w:t>运营维护</w:t>
      </w:r>
      <w:r>
        <w:rPr>
          <w:rFonts w:hint="eastAsia" w:ascii="Times New Roman" w:hAnsi="Times New Roman" w:eastAsia="楷体" w:cs="Times New Roman"/>
          <w:b/>
          <w:bCs/>
          <w:color w:val="auto"/>
          <w:sz w:val="28"/>
          <w:szCs w:val="28"/>
          <w:highlight w:val="none"/>
        </w:rPr>
        <w:t>履约</w:t>
      </w:r>
      <w:r>
        <w:rPr>
          <w:rFonts w:ascii="Times New Roman" w:hAnsi="Times New Roman" w:eastAsia="楷体" w:cs="Times New Roman"/>
          <w:b/>
          <w:bCs/>
          <w:color w:val="auto"/>
          <w:sz w:val="28"/>
          <w:szCs w:val="28"/>
          <w:highlight w:val="none"/>
        </w:rPr>
        <w:t>保函</w:t>
      </w:r>
    </w:p>
    <w:p w14:paraId="71F72FE6">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lang w:val="en-US" w:eastAsia="zh-CN"/>
        </w:rPr>
        <w:t>运营维护</w:t>
      </w:r>
      <w:r>
        <w:rPr>
          <w:rFonts w:hint="eastAsia" w:ascii="Times New Roman" w:hAnsi="Times New Roman" w:eastAsia="楷体" w:cs="Times New Roman"/>
          <w:color w:val="auto"/>
          <w:sz w:val="28"/>
          <w:szCs w:val="28"/>
          <w:highlight w:val="none"/>
        </w:rPr>
        <w:t>履约保函：设置为</w:t>
      </w:r>
      <w:r>
        <w:rPr>
          <w:rFonts w:hint="eastAsia" w:ascii="Times New Roman" w:hAnsi="Times New Roman" w:eastAsia="楷体" w:cs="Times New Roman"/>
          <w:color w:val="auto"/>
          <w:sz w:val="28"/>
          <w:szCs w:val="28"/>
          <w:highlight w:val="none"/>
          <w:lang w:val="en-US" w:eastAsia="zh-CN"/>
        </w:rPr>
        <w:t>2</w:t>
      </w:r>
      <w:r>
        <w:rPr>
          <w:rFonts w:ascii="Times New Roman" w:hAnsi="Times New Roman" w:eastAsia="楷体" w:cs="Times New Roman"/>
          <w:color w:val="auto"/>
          <w:sz w:val="28"/>
          <w:szCs w:val="28"/>
          <w:highlight w:val="none"/>
        </w:rPr>
        <w:t>00万元；由项目公司</w:t>
      </w:r>
      <w:r>
        <w:rPr>
          <w:rFonts w:hint="eastAsia" w:ascii="Times New Roman" w:hAnsi="Times New Roman" w:eastAsia="楷体" w:cs="Times New Roman"/>
          <w:color w:val="auto"/>
          <w:sz w:val="28"/>
          <w:szCs w:val="28"/>
          <w:highlight w:val="none"/>
        </w:rPr>
        <w:t>或特许经营者</w:t>
      </w:r>
      <w:r>
        <w:rPr>
          <w:rFonts w:ascii="Times New Roman" w:hAnsi="Times New Roman" w:eastAsia="楷体" w:cs="Times New Roman"/>
          <w:color w:val="auto"/>
          <w:sz w:val="28"/>
          <w:szCs w:val="28"/>
          <w:highlight w:val="none"/>
        </w:rPr>
        <w:t>在</w:t>
      </w:r>
      <w:r>
        <w:rPr>
          <w:rFonts w:hint="eastAsia" w:ascii="Times New Roman" w:hAnsi="Times New Roman" w:eastAsia="楷体" w:cs="Times New Roman"/>
          <w:color w:val="auto"/>
          <w:sz w:val="28"/>
          <w:szCs w:val="28"/>
          <w:highlight w:val="none"/>
        </w:rPr>
        <w:t>签署特许经营协议5个工作日内</w:t>
      </w:r>
      <w:r>
        <w:rPr>
          <w:rFonts w:ascii="Times New Roman" w:hAnsi="Times New Roman" w:eastAsia="楷体" w:cs="Times New Roman"/>
          <w:color w:val="auto"/>
          <w:sz w:val="28"/>
          <w:szCs w:val="28"/>
          <w:highlight w:val="none"/>
        </w:rPr>
        <w:t>提交，</w:t>
      </w:r>
      <w:r>
        <w:rPr>
          <w:rFonts w:hint="eastAsia" w:ascii="Times New Roman" w:hAnsi="Times New Roman" w:eastAsia="楷体" w:cs="Times New Roman"/>
          <w:color w:val="auto"/>
          <w:sz w:val="28"/>
          <w:szCs w:val="28"/>
          <w:highlight w:val="none"/>
        </w:rPr>
        <w:t>特许经营期满后退还</w:t>
      </w:r>
      <w:r>
        <w:rPr>
          <w:rFonts w:ascii="Times New Roman" w:hAnsi="Times New Roman" w:eastAsia="楷体" w:cs="Times New Roman"/>
          <w:color w:val="auto"/>
          <w:sz w:val="28"/>
          <w:szCs w:val="28"/>
          <w:highlight w:val="none"/>
        </w:rPr>
        <w:t>。以保证</w:t>
      </w:r>
      <w:r>
        <w:rPr>
          <w:rFonts w:hint="eastAsia" w:ascii="Times New Roman" w:hAnsi="Times New Roman" w:eastAsia="楷体" w:cs="Times New Roman"/>
          <w:color w:val="auto"/>
          <w:sz w:val="28"/>
          <w:szCs w:val="28"/>
          <w:highlight w:val="none"/>
          <w:lang w:val="en-US" w:eastAsia="zh-CN"/>
        </w:rPr>
        <w:t>特许经营者/</w:t>
      </w:r>
      <w:r>
        <w:rPr>
          <w:rFonts w:ascii="Times New Roman" w:hAnsi="Times New Roman" w:eastAsia="楷体" w:cs="Times New Roman"/>
          <w:color w:val="auto"/>
          <w:sz w:val="28"/>
          <w:szCs w:val="28"/>
          <w:highlight w:val="none"/>
        </w:rPr>
        <w:t>项目公司按照《特许经营协议》的规定提供运营和维护的义务。在项目</w:t>
      </w:r>
      <w:r>
        <w:rPr>
          <w:rFonts w:hint="eastAsia" w:ascii="Times New Roman" w:hAnsi="Times New Roman" w:eastAsia="楷体" w:cs="Times New Roman"/>
          <w:color w:val="auto"/>
          <w:sz w:val="28"/>
          <w:szCs w:val="28"/>
          <w:highlight w:val="none"/>
          <w:lang w:val="en-US" w:eastAsia="zh-CN"/>
        </w:rPr>
        <w:t>特许经营</w:t>
      </w:r>
      <w:r>
        <w:rPr>
          <w:rFonts w:ascii="Times New Roman" w:hAnsi="Times New Roman" w:eastAsia="楷体" w:cs="Times New Roman"/>
          <w:color w:val="auto"/>
          <w:sz w:val="28"/>
          <w:szCs w:val="28"/>
          <w:highlight w:val="none"/>
        </w:rPr>
        <w:t>期内，如果</w:t>
      </w:r>
      <w:r>
        <w:rPr>
          <w:rFonts w:hint="eastAsia" w:ascii="Times New Roman" w:hAnsi="Times New Roman" w:eastAsia="楷体" w:cs="Times New Roman"/>
          <w:color w:val="auto"/>
          <w:sz w:val="28"/>
          <w:szCs w:val="28"/>
          <w:highlight w:val="none"/>
          <w:lang w:val="en-US" w:eastAsia="zh-CN"/>
        </w:rPr>
        <w:t>特许经营者/</w:t>
      </w:r>
      <w:r>
        <w:rPr>
          <w:rFonts w:ascii="Times New Roman" w:hAnsi="Times New Roman" w:eastAsia="楷体" w:cs="Times New Roman"/>
          <w:color w:val="auto"/>
          <w:sz w:val="28"/>
          <w:szCs w:val="28"/>
          <w:highlight w:val="none"/>
        </w:rPr>
        <w:t>项目公司未能履行《特许经营协议》中规定的义务，实施机构有权根据《特许经营协议》的规定兑取运营维护保函。</w:t>
      </w:r>
    </w:p>
    <w:p w14:paraId="522C4DEE">
      <w:pPr>
        <w:spacing w:line="360" w:lineRule="auto"/>
        <w:ind w:firstLine="562" w:firstLineChars="200"/>
        <w:rPr>
          <w:rFonts w:ascii="Times New Roman" w:hAnsi="Times New Roman" w:eastAsia="楷体" w:cs="Times New Roman"/>
          <w:b/>
          <w:bCs/>
          <w:color w:val="auto"/>
          <w:sz w:val="28"/>
          <w:szCs w:val="28"/>
          <w:highlight w:val="none"/>
        </w:rPr>
      </w:pPr>
      <w:r>
        <w:rPr>
          <w:rFonts w:hint="eastAsia" w:ascii="Times New Roman" w:hAnsi="Times New Roman" w:eastAsia="楷体" w:cs="Times New Roman"/>
          <w:b/>
          <w:bCs/>
          <w:color w:val="auto"/>
          <w:sz w:val="28"/>
          <w:szCs w:val="28"/>
          <w:highlight w:val="none"/>
          <w:lang w:val="en-US" w:eastAsia="zh-CN"/>
        </w:rPr>
        <w:t>3</w:t>
      </w:r>
      <w:r>
        <w:rPr>
          <w:rFonts w:ascii="Times New Roman" w:hAnsi="Times New Roman" w:eastAsia="楷体" w:cs="Times New Roman"/>
          <w:b/>
          <w:bCs/>
          <w:color w:val="auto"/>
          <w:sz w:val="28"/>
          <w:szCs w:val="28"/>
          <w:highlight w:val="none"/>
        </w:rPr>
        <w:t>）移交维修保函</w:t>
      </w:r>
    </w:p>
    <w:p w14:paraId="28B1268D">
      <w:pPr>
        <w:spacing w:line="360" w:lineRule="auto"/>
        <w:ind w:firstLine="560" w:firstLineChars="200"/>
        <w:rPr>
          <w:rFonts w:hint="eastAsia" w:ascii="Times New Roman" w:hAnsi="Times New Roman" w:eastAsia="楷体" w:cs="Times New Roman"/>
          <w:color w:val="auto"/>
          <w:sz w:val="28"/>
          <w:szCs w:val="28"/>
          <w:highlight w:val="none"/>
          <w:lang w:eastAsia="zh-CN"/>
        </w:rPr>
      </w:pPr>
      <w:r>
        <w:rPr>
          <w:rFonts w:hint="eastAsia" w:ascii="Times New Roman" w:hAnsi="Times New Roman" w:eastAsia="楷体" w:cs="Times New Roman"/>
          <w:color w:val="auto"/>
          <w:sz w:val="28"/>
          <w:szCs w:val="28"/>
          <w:highlight w:val="none"/>
        </w:rPr>
        <w:t>移交维修保函：宜不超过工程总投资的</w:t>
      </w:r>
      <w:r>
        <w:rPr>
          <w:rFonts w:ascii="Times New Roman" w:hAnsi="Times New Roman" w:eastAsia="楷体" w:cs="Times New Roman"/>
          <w:color w:val="auto"/>
          <w:sz w:val="28"/>
          <w:szCs w:val="28"/>
          <w:highlight w:val="none"/>
        </w:rPr>
        <w:t>5%，以移交后一年期维护保修需求为依据，设置为1000万元，以保证</w:t>
      </w:r>
      <w:r>
        <w:rPr>
          <w:rFonts w:hint="eastAsia" w:ascii="Times New Roman" w:hAnsi="Times New Roman" w:eastAsia="楷体" w:cs="Times New Roman"/>
          <w:color w:val="auto"/>
          <w:sz w:val="28"/>
          <w:szCs w:val="28"/>
          <w:highlight w:val="none"/>
          <w:lang w:val="en-US" w:eastAsia="zh-CN"/>
        </w:rPr>
        <w:t>特许经营者/</w:t>
      </w:r>
      <w:r>
        <w:rPr>
          <w:rFonts w:ascii="Times New Roman" w:hAnsi="Times New Roman" w:eastAsia="楷体" w:cs="Times New Roman"/>
          <w:color w:val="auto"/>
          <w:sz w:val="28"/>
          <w:szCs w:val="28"/>
          <w:highlight w:val="none"/>
        </w:rPr>
        <w:t>项目公司按照《特许经营协议》的规定提供运营和维护的义务，项目移交满1年后退还。</w:t>
      </w:r>
    </w:p>
    <w:p w14:paraId="5F59F851">
      <w:pPr>
        <w:pStyle w:val="6"/>
        <w:spacing w:before="0" w:after="0" w:line="240" w:lineRule="auto"/>
        <w:ind w:firstLine="522" w:firstLineChars="200"/>
        <w:rPr>
          <w:rFonts w:ascii="Times New Roman" w:hAnsi="Times New Roman" w:eastAsia="楷体" w:cs="Times New Roman"/>
          <w:color w:val="auto"/>
          <w:highlight w:val="none"/>
        </w:rPr>
      </w:pPr>
      <w:r>
        <w:rPr>
          <w:rFonts w:hint="eastAsia" w:eastAsia="楷体" w:cs="Times New Roman"/>
          <w:color w:val="auto"/>
          <w:highlight w:val="none"/>
          <w:lang w:eastAsia="zh-CN"/>
        </w:rPr>
        <w:t>（</w:t>
      </w:r>
      <w:r>
        <w:rPr>
          <w:rFonts w:hint="eastAsia" w:eastAsia="楷体" w:cs="Times New Roman"/>
          <w:color w:val="auto"/>
          <w:highlight w:val="none"/>
          <w:lang w:val="en-US" w:eastAsia="zh-CN"/>
        </w:rPr>
        <w:t>2</w:t>
      </w:r>
      <w:r>
        <w:rPr>
          <w:rFonts w:hint="eastAsia" w:eastAsia="楷体" w:cs="Times New Roman"/>
          <w:color w:val="auto"/>
          <w:highlight w:val="none"/>
          <w:lang w:eastAsia="zh-CN"/>
        </w:rPr>
        <w:t>）</w:t>
      </w:r>
      <w:r>
        <w:rPr>
          <w:rFonts w:hint="default" w:ascii="Times New Roman" w:hAnsi="Times New Roman" w:eastAsia="楷体" w:cs="Times New Roman"/>
          <w:color w:val="auto"/>
          <w:highlight w:val="none"/>
        </w:rPr>
        <w:t>保险方案</w:t>
      </w:r>
    </w:p>
    <w:p w14:paraId="59EB75D9">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项目</w:t>
      </w:r>
      <w:r>
        <w:rPr>
          <w:rFonts w:hint="eastAsia" w:ascii="Times New Roman" w:hAnsi="Times New Roman" w:eastAsia="楷体" w:cs="Times New Roman"/>
          <w:color w:val="auto"/>
          <w:sz w:val="28"/>
          <w:szCs w:val="28"/>
          <w:highlight w:val="none"/>
          <w:lang w:eastAsia="zh-CN"/>
        </w:rPr>
        <w:t>特许经营期</w:t>
      </w:r>
      <w:r>
        <w:rPr>
          <w:rFonts w:hint="eastAsia" w:ascii="Times New Roman" w:hAnsi="Times New Roman" w:eastAsia="楷体" w:cs="Times New Roman"/>
          <w:color w:val="auto"/>
          <w:sz w:val="28"/>
          <w:szCs w:val="28"/>
          <w:highlight w:val="none"/>
        </w:rPr>
        <w:t>可能遇到不可预期或不可控制的风险，因此</w:t>
      </w:r>
      <w:r>
        <w:rPr>
          <w:rFonts w:hint="eastAsia" w:ascii="Times New Roman" w:hAnsi="Times New Roman" w:eastAsia="楷体" w:cs="Times New Roman"/>
          <w:color w:val="auto"/>
          <w:sz w:val="28"/>
          <w:szCs w:val="28"/>
          <w:highlight w:val="none"/>
          <w:lang w:val="en-US" w:eastAsia="zh-CN"/>
        </w:rPr>
        <w:t>特许经营者/</w:t>
      </w:r>
      <w:r>
        <w:rPr>
          <w:rFonts w:hint="eastAsia" w:ascii="Times New Roman" w:hAnsi="Times New Roman" w:eastAsia="楷体" w:cs="Times New Roman"/>
          <w:color w:val="auto"/>
          <w:sz w:val="28"/>
          <w:szCs w:val="28"/>
          <w:highlight w:val="none"/>
        </w:rPr>
        <w:t>项目公司应在项目中投保必要的险种，保护自身权益。</w:t>
      </w:r>
      <w:r>
        <w:rPr>
          <w:rFonts w:hint="eastAsia" w:ascii="Times New Roman" w:hAnsi="Times New Roman" w:eastAsia="楷体" w:cs="Times New Roman"/>
          <w:color w:val="auto"/>
          <w:sz w:val="28"/>
          <w:szCs w:val="28"/>
          <w:highlight w:val="none"/>
          <w:lang w:val="en-US" w:eastAsia="zh-CN"/>
        </w:rPr>
        <w:t>特许经营者/</w:t>
      </w:r>
      <w:r>
        <w:rPr>
          <w:rFonts w:hint="eastAsia" w:ascii="Times New Roman" w:hAnsi="Times New Roman" w:eastAsia="楷体" w:cs="Times New Roman"/>
          <w:color w:val="auto"/>
          <w:sz w:val="28"/>
          <w:szCs w:val="28"/>
          <w:highlight w:val="none"/>
        </w:rPr>
        <w:t>项目公司应按行业惯例自费购买和保持《特许经营协议》所要求的合理运营保险。</w:t>
      </w:r>
    </w:p>
    <w:p w14:paraId="50AD2E2E">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lang w:val="en-US" w:eastAsia="zh-CN"/>
        </w:rPr>
        <w:t>特许经营者/</w:t>
      </w:r>
      <w:r>
        <w:rPr>
          <w:rFonts w:hint="eastAsia" w:ascii="Times New Roman" w:hAnsi="Times New Roman" w:eastAsia="楷体" w:cs="Times New Roman"/>
          <w:color w:val="auto"/>
          <w:sz w:val="28"/>
          <w:szCs w:val="28"/>
          <w:highlight w:val="none"/>
        </w:rPr>
        <w:t>项目公司购买的保险应符合《中华人民共和国保险法》和其他适用法律的要求。本项目特许经营期应投保险种主要包含：财产一切险、环境责任险、第三者责任险等。</w:t>
      </w:r>
    </w:p>
    <w:p w14:paraId="6371596A">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除上述险种外，</w:t>
      </w:r>
      <w:r>
        <w:rPr>
          <w:rFonts w:hint="eastAsia" w:ascii="Times New Roman" w:hAnsi="Times New Roman" w:eastAsia="楷体" w:cs="Times New Roman"/>
          <w:color w:val="auto"/>
          <w:sz w:val="28"/>
          <w:szCs w:val="28"/>
          <w:highlight w:val="none"/>
          <w:lang w:val="en-US" w:eastAsia="zh-CN"/>
        </w:rPr>
        <w:t>特许经营者/</w:t>
      </w:r>
      <w:r>
        <w:rPr>
          <w:rFonts w:hint="eastAsia" w:ascii="Times New Roman" w:hAnsi="Times New Roman" w:eastAsia="楷体" w:cs="Times New Roman"/>
          <w:color w:val="auto"/>
          <w:sz w:val="28"/>
          <w:szCs w:val="28"/>
          <w:highlight w:val="none"/>
        </w:rPr>
        <w:t>项目公司应根据谨慎运营惯例购买相应的险种。特许经营者/项目公司购买保险后，应将保险合同复印件提交至实施机构备案。</w:t>
      </w:r>
    </w:p>
    <w:p w14:paraId="3C8E7D7C">
      <w:pPr>
        <w:pStyle w:val="5"/>
        <w:spacing w:before="20" w:after="20" w:line="240" w:lineRule="auto"/>
        <w:ind w:firstLine="602" w:firstLineChars="200"/>
        <w:rPr>
          <w:rFonts w:ascii="Times New Roman" w:hAnsi="Times New Roman" w:eastAsia="楷体" w:cs="Times New Roman"/>
          <w:color w:val="auto"/>
          <w:sz w:val="30"/>
          <w:szCs w:val="30"/>
          <w:highlight w:val="none"/>
        </w:rPr>
      </w:pPr>
      <w:bookmarkStart w:id="655" w:name="_Toc171332775"/>
      <w:r>
        <w:rPr>
          <w:rFonts w:hint="default" w:ascii="Times New Roman" w:hAnsi="Times New Roman" w:eastAsia="楷体" w:cs="Times New Roman"/>
          <w:color w:val="auto"/>
          <w:sz w:val="30"/>
          <w:szCs w:val="30"/>
          <w:highlight w:val="none"/>
          <w:lang w:val="en-US" w:eastAsia="zh-CN"/>
        </w:rPr>
        <w:t>2、</w:t>
      </w:r>
      <w:r>
        <w:rPr>
          <w:rFonts w:hint="default" w:ascii="Times New Roman" w:hAnsi="Times New Roman" w:eastAsia="楷体" w:cs="Times New Roman"/>
          <w:color w:val="auto"/>
          <w:sz w:val="30"/>
          <w:szCs w:val="30"/>
          <w:highlight w:val="none"/>
        </w:rPr>
        <w:t>调整衔接边界</w:t>
      </w:r>
      <w:bookmarkEnd w:id="655"/>
    </w:p>
    <w:p w14:paraId="5503FF1F">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调整衔接边界主要明确应急处置、临时介入、临时接管、提前终止、违约及赔偿、合同变更、项目新增改扩建需求等应对措施。</w:t>
      </w:r>
    </w:p>
    <w:p w14:paraId="410DB430">
      <w:pPr>
        <w:pStyle w:val="6"/>
        <w:spacing w:before="0" w:after="0" w:line="240" w:lineRule="auto"/>
        <w:ind w:firstLine="522" w:firstLineChars="200"/>
        <w:rPr>
          <w:rFonts w:ascii="Times New Roman" w:hAnsi="Times New Roman" w:eastAsia="楷体" w:cs="Times New Roman"/>
          <w:color w:val="auto"/>
          <w:highlight w:val="none"/>
        </w:rPr>
      </w:pPr>
      <w:r>
        <w:rPr>
          <w:rFonts w:hint="default" w:ascii="Times New Roman" w:hAnsi="Times New Roman" w:eastAsia="楷体" w:cs="Times New Roman"/>
          <w:color w:val="auto"/>
          <w:highlight w:val="none"/>
          <w:lang w:eastAsia="zh-CN"/>
        </w:rPr>
        <w:t>（</w:t>
      </w:r>
      <w:r>
        <w:rPr>
          <w:rFonts w:hint="default" w:ascii="Times New Roman" w:hAnsi="Times New Roman" w:eastAsia="楷体" w:cs="Times New Roman"/>
          <w:color w:val="auto"/>
          <w:highlight w:val="none"/>
          <w:lang w:val="en-US" w:eastAsia="zh-CN"/>
        </w:rPr>
        <w:t>1</w:t>
      </w:r>
      <w:r>
        <w:rPr>
          <w:rFonts w:hint="default" w:ascii="Times New Roman" w:hAnsi="Times New Roman" w:eastAsia="楷体" w:cs="Times New Roman"/>
          <w:color w:val="auto"/>
          <w:highlight w:val="none"/>
          <w:lang w:eastAsia="zh-CN"/>
        </w:rPr>
        <w:t>）</w:t>
      </w:r>
      <w:r>
        <w:rPr>
          <w:rFonts w:ascii="Times New Roman" w:hAnsi="Times New Roman" w:eastAsia="楷体" w:cs="Times New Roman"/>
          <w:color w:val="auto"/>
          <w:highlight w:val="none"/>
        </w:rPr>
        <w:t>应急处置</w:t>
      </w:r>
    </w:p>
    <w:p w14:paraId="2EABC747">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lang w:val="en-US" w:eastAsia="zh-CN"/>
        </w:rPr>
        <w:t>特许经营者/</w:t>
      </w:r>
      <w:r>
        <w:rPr>
          <w:rFonts w:hint="eastAsia" w:ascii="Times New Roman" w:hAnsi="Times New Roman" w:eastAsia="楷体" w:cs="Times New Roman"/>
          <w:color w:val="auto"/>
          <w:sz w:val="28"/>
          <w:szCs w:val="28"/>
          <w:highlight w:val="none"/>
        </w:rPr>
        <w:t>项目公司应按照实施机构的要求，在项目移交初期制定紧急情况下（例如发生自然灾害、重特大事故、环境公害及人为破坏等事件）的应急预案和现场处置方案，明确事前、事中、事后的各个过程中相关部门和有关人员的职责。</w:t>
      </w:r>
      <w:r>
        <w:rPr>
          <w:rFonts w:hint="eastAsia" w:ascii="Times New Roman" w:hAnsi="Times New Roman" w:eastAsia="楷体" w:cs="Times New Roman"/>
          <w:color w:val="auto"/>
          <w:sz w:val="28"/>
          <w:szCs w:val="28"/>
          <w:highlight w:val="none"/>
          <w:lang w:eastAsia="zh-CN"/>
        </w:rPr>
        <w:t>特许经营者/项目公司</w:t>
      </w:r>
      <w:r>
        <w:rPr>
          <w:rFonts w:hint="eastAsia" w:ascii="Times New Roman" w:hAnsi="Times New Roman" w:eastAsia="楷体" w:cs="Times New Roman"/>
          <w:color w:val="auto"/>
          <w:sz w:val="28"/>
          <w:szCs w:val="28"/>
          <w:highlight w:val="none"/>
        </w:rPr>
        <w:t>制定的应急预案应征求实施机构等政府方的意见并报经政府</w:t>
      </w:r>
      <w:r>
        <w:rPr>
          <w:rFonts w:hint="eastAsia" w:ascii="Times New Roman" w:hAnsi="Times New Roman" w:eastAsia="楷体" w:cs="Times New Roman"/>
          <w:color w:val="auto"/>
          <w:sz w:val="28"/>
          <w:szCs w:val="28"/>
          <w:highlight w:val="none"/>
          <w:lang w:val="en-US" w:eastAsia="zh-CN"/>
        </w:rPr>
        <w:t>相关部门</w:t>
      </w:r>
      <w:r>
        <w:rPr>
          <w:rFonts w:hint="eastAsia" w:ascii="Times New Roman" w:hAnsi="Times New Roman" w:eastAsia="楷体" w:cs="Times New Roman"/>
          <w:color w:val="auto"/>
          <w:sz w:val="28"/>
          <w:szCs w:val="28"/>
          <w:highlight w:val="none"/>
        </w:rPr>
        <w:t>同意后实施。</w:t>
      </w:r>
    </w:p>
    <w:p w14:paraId="1C03383E">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lang w:eastAsia="zh-CN"/>
        </w:rPr>
        <w:t>特许经营者/项目公司</w:t>
      </w:r>
      <w:r>
        <w:rPr>
          <w:rFonts w:hint="eastAsia" w:ascii="Times New Roman" w:hAnsi="Times New Roman" w:eastAsia="楷体" w:cs="Times New Roman"/>
          <w:color w:val="auto"/>
          <w:sz w:val="28"/>
          <w:szCs w:val="28"/>
          <w:highlight w:val="none"/>
        </w:rPr>
        <w:t>因自身原因导致应急预案启动，发生的相关支出由</w:t>
      </w:r>
      <w:r>
        <w:rPr>
          <w:rFonts w:hint="eastAsia" w:ascii="Times New Roman" w:hAnsi="Times New Roman" w:eastAsia="楷体" w:cs="Times New Roman"/>
          <w:color w:val="auto"/>
          <w:sz w:val="28"/>
          <w:szCs w:val="28"/>
          <w:highlight w:val="none"/>
          <w:lang w:eastAsia="zh-CN"/>
        </w:rPr>
        <w:t>特许经营者/项目公司</w:t>
      </w:r>
      <w:r>
        <w:rPr>
          <w:rFonts w:hint="eastAsia" w:ascii="Times New Roman" w:hAnsi="Times New Roman" w:eastAsia="楷体" w:cs="Times New Roman"/>
          <w:color w:val="auto"/>
          <w:sz w:val="28"/>
          <w:szCs w:val="28"/>
          <w:highlight w:val="none"/>
        </w:rPr>
        <w:t>自行承担；因自身以外的原因启动应急预案而增加的合理费用和支出，可向实施机构提出合理补偿申请，实施机构认可</w:t>
      </w:r>
      <w:r>
        <w:rPr>
          <w:rFonts w:hint="eastAsia" w:ascii="Times New Roman" w:hAnsi="Times New Roman" w:eastAsia="楷体" w:cs="Times New Roman"/>
          <w:color w:val="auto"/>
          <w:sz w:val="28"/>
          <w:szCs w:val="28"/>
          <w:highlight w:val="none"/>
          <w:lang w:eastAsia="zh-CN"/>
        </w:rPr>
        <w:t>特许经营者/项目公司</w:t>
      </w:r>
      <w:r>
        <w:rPr>
          <w:rFonts w:hint="eastAsia" w:ascii="Times New Roman" w:hAnsi="Times New Roman" w:eastAsia="楷体" w:cs="Times New Roman"/>
          <w:color w:val="auto"/>
          <w:sz w:val="28"/>
          <w:szCs w:val="28"/>
          <w:highlight w:val="none"/>
        </w:rPr>
        <w:t>提供的补偿依据后，可以支付补偿金。</w:t>
      </w:r>
    </w:p>
    <w:p w14:paraId="67101E86">
      <w:pPr>
        <w:pStyle w:val="6"/>
        <w:spacing w:before="0" w:after="0" w:line="240" w:lineRule="auto"/>
        <w:ind w:firstLine="522" w:firstLineChars="200"/>
        <w:rPr>
          <w:rFonts w:ascii="Times New Roman" w:hAnsi="Times New Roman" w:eastAsia="楷体" w:cs="Times New Roman"/>
          <w:color w:val="auto"/>
          <w:highlight w:val="none"/>
        </w:rPr>
      </w:pPr>
      <w:r>
        <w:rPr>
          <w:rFonts w:hint="eastAsia" w:eastAsia="楷体" w:cs="Times New Roman"/>
          <w:color w:val="auto"/>
          <w:highlight w:val="none"/>
          <w:lang w:eastAsia="zh-CN"/>
        </w:rPr>
        <w:t>（</w:t>
      </w:r>
      <w:r>
        <w:rPr>
          <w:rFonts w:hint="eastAsia" w:eastAsia="楷体" w:cs="Times New Roman"/>
          <w:color w:val="auto"/>
          <w:highlight w:val="none"/>
          <w:lang w:val="en-US" w:eastAsia="zh-CN"/>
        </w:rPr>
        <w:t>2</w:t>
      </w:r>
      <w:r>
        <w:rPr>
          <w:rFonts w:hint="eastAsia" w:eastAsia="楷体" w:cs="Times New Roman"/>
          <w:color w:val="auto"/>
          <w:highlight w:val="none"/>
          <w:lang w:eastAsia="zh-CN"/>
        </w:rPr>
        <w:t>）</w:t>
      </w:r>
      <w:r>
        <w:rPr>
          <w:rFonts w:ascii="Times New Roman" w:hAnsi="Times New Roman" w:eastAsia="楷体" w:cs="Times New Roman"/>
          <w:color w:val="auto"/>
          <w:highlight w:val="none"/>
        </w:rPr>
        <w:t>临时介入</w:t>
      </w:r>
    </w:p>
    <w:p w14:paraId="66046C8D">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合作经营期内，出现以下行为的，</w:t>
      </w:r>
      <w:r>
        <w:rPr>
          <w:rFonts w:hint="eastAsia" w:ascii="Times New Roman" w:hAnsi="Times New Roman" w:eastAsia="楷体" w:cs="Times New Roman"/>
          <w:color w:val="auto"/>
          <w:sz w:val="28"/>
          <w:szCs w:val="28"/>
          <w:highlight w:val="none"/>
          <w:lang w:val="en-US" w:eastAsia="zh-CN"/>
        </w:rPr>
        <w:t>区住建局</w:t>
      </w:r>
      <w:r>
        <w:rPr>
          <w:rFonts w:hint="eastAsia" w:ascii="Times New Roman" w:hAnsi="Times New Roman" w:eastAsia="楷体" w:cs="Times New Roman"/>
          <w:color w:val="auto"/>
          <w:sz w:val="28"/>
          <w:szCs w:val="28"/>
          <w:highlight w:val="none"/>
        </w:rPr>
        <w:t>有权决定实施临时介入：</w:t>
      </w:r>
    </w:p>
    <w:p w14:paraId="15D006D8">
      <w:pPr>
        <w:numPr>
          <w:ilvl w:val="0"/>
          <w:numId w:val="7"/>
        </w:numPr>
        <w:spacing w:line="360" w:lineRule="auto"/>
        <w:ind w:left="980" w:hanging="42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介入项目以行使政府的法定解除权或履行法定责任；</w:t>
      </w:r>
    </w:p>
    <w:p w14:paraId="6723C1F1">
      <w:pPr>
        <w:numPr>
          <w:ilvl w:val="0"/>
          <w:numId w:val="7"/>
        </w:numPr>
        <w:spacing w:line="360" w:lineRule="auto"/>
        <w:ind w:left="980" w:hanging="42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发生非</w:t>
      </w:r>
      <w:r>
        <w:rPr>
          <w:rFonts w:hint="eastAsia" w:ascii="Times New Roman" w:hAnsi="Times New Roman" w:eastAsia="楷体" w:cs="Times New Roman"/>
          <w:color w:val="auto"/>
          <w:sz w:val="28"/>
          <w:szCs w:val="28"/>
          <w:highlight w:val="none"/>
          <w:lang w:eastAsia="zh-CN"/>
        </w:rPr>
        <w:t>特许经营者/项目公司</w:t>
      </w:r>
      <w:r>
        <w:rPr>
          <w:rFonts w:ascii="Times New Roman" w:hAnsi="Times New Roman" w:eastAsia="楷体" w:cs="Times New Roman"/>
          <w:color w:val="auto"/>
          <w:sz w:val="28"/>
          <w:szCs w:val="28"/>
          <w:highlight w:val="none"/>
        </w:rPr>
        <w:t>原因造成的紧急情况，且政府方合理认为该紧急情况将会导致人员伤亡、严重财产损失或造成环境污染，并且会影响项目的正常实施。</w:t>
      </w:r>
    </w:p>
    <w:p w14:paraId="558F6420">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政府在合理的时间内提前通知</w:t>
      </w:r>
      <w:r>
        <w:rPr>
          <w:rFonts w:hint="eastAsia" w:ascii="Times New Roman" w:hAnsi="Times New Roman" w:eastAsia="楷体" w:cs="Times New Roman"/>
          <w:color w:val="auto"/>
          <w:sz w:val="28"/>
          <w:szCs w:val="28"/>
          <w:highlight w:val="none"/>
          <w:lang w:eastAsia="zh-CN"/>
        </w:rPr>
        <w:t>特许经营者/项目公司</w:t>
      </w:r>
      <w:r>
        <w:rPr>
          <w:rFonts w:hint="eastAsia" w:ascii="Times New Roman" w:hAnsi="Times New Roman" w:eastAsia="楷体" w:cs="Times New Roman"/>
          <w:color w:val="auto"/>
          <w:sz w:val="28"/>
          <w:szCs w:val="28"/>
          <w:highlight w:val="none"/>
        </w:rPr>
        <w:t>的情况下有权直接或委托其他单位实施临时介入管理和设施修复，因政府介入引发的所有额外费用均由政府</w:t>
      </w:r>
      <w:r>
        <w:rPr>
          <w:rFonts w:hint="eastAsia" w:ascii="Times New Roman" w:hAnsi="Times New Roman" w:eastAsia="楷体" w:cs="Times New Roman"/>
          <w:color w:val="auto"/>
          <w:sz w:val="28"/>
          <w:szCs w:val="28"/>
          <w:highlight w:val="none"/>
          <w:lang w:val="en-US" w:eastAsia="zh-CN"/>
        </w:rPr>
        <w:t>方</w:t>
      </w:r>
      <w:r>
        <w:rPr>
          <w:rFonts w:hint="eastAsia" w:ascii="Times New Roman" w:hAnsi="Times New Roman" w:eastAsia="楷体" w:cs="Times New Roman"/>
          <w:color w:val="auto"/>
          <w:sz w:val="28"/>
          <w:szCs w:val="28"/>
          <w:highlight w:val="none"/>
        </w:rPr>
        <w:t>承担，设施修复的费用可在履约保函中扣除。</w:t>
      </w:r>
    </w:p>
    <w:p w14:paraId="439EEE60">
      <w:pPr>
        <w:pStyle w:val="6"/>
        <w:spacing w:before="0" w:after="0" w:line="360" w:lineRule="auto"/>
        <w:ind w:firstLine="522" w:firstLineChars="200"/>
        <w:rPr>
          <w:rFonts w:ascii="Times New Roman" w:hAnsi="Times New Roman" w:eastAsia="楷体" w:cs="Times New Roman"/>
          <w:color w:val="auto"/>
          <w:highlight w:val="none"/>
        </w:rPr>
      </w:pPr>
      <w:r>
        <w:rPr>
          <w:rFonts w:hint="eastAsia" w:ascii="Times New Roman" w:hAnsi="Times New Roman" w:eastAsia="楷体" w:cs="Times New Roman"/>
          <w:color w:val="auto"/>
          <w:highlight w:val="none"/>
          <w:lang w:eastAsia="zh-CN"/>
        </w:rPr>
        <w:t>（</w:t>
      </w:r>
      <w:r>
        <w:rPr>
          <w:rFonts w:hint="eastAsia" w:ascii="Times New Roman" w:hAnsi="Times New Roman" w:eastAsia="楷体" w:cs="Times New Roman"/>
          <w:color w:val="auto"/>
          <w:highlight w:val="none"/>
          <w:lang w:val="en-US" w:eastAsia="zh-CN"/>
        </w:rPr>
        <w:t>3</w:t>
      </w:r>
      <w:r>
        <w:rPr>
          <w:rFonts w:hint="eastAsia" w:ascii="Times New Roman" w:hAnsi="Times New Roman" w:eastAsia="楷体" w:cs="Times New Roman"/>
          <w:color w:val="auto"/>
          <w:highlight w:val="none"/>
          <w:lang w:eastAsia="zh-CN"/>
        </w:rPr>
        <w:t>）</w:t>
      </w:r>
      <w:r>
        <w:rPr>
          <w:rFonts w:ascii="Times New Roman" w:hAnsi="Times New Roman" w:eastAsia="楷体" w:cs="Times New Roman"/>
          <w:color w:val="auto"/>
          <w:highlight w:val="none"/>
        </w:rPr>
        <w:t>临时接管</w:t>
      </w:r>
    </w:p>
    <w:p w14:paraId="3EECA2D2">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lang w:eastAsia="zh-CN"/>
        </w:rPr>
        <w:t>特许经营期</w:t>
      </w:r>
      <w:r>
        <w:rPr>
          <w:rFonts w:hint="eastAsia" w:ascii="Times New Roman" w:hAnsi="Times New Roman" w:eastAsia="楷体" w:cs="Times New Roman"/>
          <w:color w:val="auto"/>
          <w:sz w:val="28"/>
          <w:szCs w:val="28"/>
          <w:highlight w:val="none"/>
        </w:rPr>
        <w:t>内，如</w:t>
      </w:r>
      <w:r>
        <w:rPr>
          <w:rFonts w:hint="eastAsia" w:ascii="Times New Roman" w:hAnsi="Times New Roman" w:eastAsia="楷体" w:cs="Times New Roman"/>
          <w:color w:val="auto"/>
          <w:sz w:val="28"/>
          <w:szCs w:val="28"/>
          <w:highlight w:val="none"/>
          <w:lang w:eastAsia="zh-CN"/>
        </w:rPr>
        <w:t>特许经营者/项目公司</w:t>
      </w:r>
      <w:r>
        <w:rPr>
          <w:rFonts w:hint="eastAsia" w:ascii="Times New Roman" w:hAnsi="Times New Roman" w:eastAsia="楷体" w:cs="Times New Roman"/>
          <w:color w:val="auto"/>
          <w:sz w:val="28"/>
          <w:szCs w:val="28"/>
          <w:highlight w:val="none"/>
        </w:rPr>
        <w:t>出现以下违约行为，实施机构有权决定实施临时接管：</w:t>
      </w:r>
    </w:p>
    <w:p w14:paraId="3934DB11">
      <w:pPr>
        <w:numPr>
          <w:ilvl w:val="0"/>
          <w:numId w:val="8"/>
        </w:numPr>
        <w:spacing w:line="360" w:lineRule="auto"/>
        <w:ind w:left="980" w:hanging="42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擅自转让、出租特许经营权的；</w:t>
      </w:r>
    </w:p>
    <w:p w14:paraId="7F008054">
      <w:pPr>
        <w:numPr>
          <w:ilvl w:val="0"/>
          <w:numId w:val="8"/>
        </w:numPr>
        <w:spacing w:line="360" w:lineRule="auto"/>
        <w:ind w:left="980" w:hanging="42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擅自将所经营的财产进行处置或者抵押的；</w:t>
      </w:r>
    </w:p>
    <w:p w14:paraId="402AC502">
      <w:pPr>
        <w:numPr>
          <w:ilvl w:val="0"/>
          <w:numId w:val="8"/>
        </w:numPr>
        <w:spacing w:line="360" w:lineRule="auto"/>
        <w:ind w:left="980" w:hanging="42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因管理不善，发生重大质量、生产安全事故的；</w:t>
      </w:r>
    </w:p>
    <w:p w14:paraId="6F7DA4BF">
      <w:pPr>
        <w:numPr>
          <w:ilvl w:val="0"/>
          <w:numId w:val="8"/>
        </w:numPr>
        <w:spacing w:line="360" w:lineRule="auto"/>
        <w:ind w:left="980" w:hanging="42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擅自停业、歇业，严重影响到社会公共利益和安全的；</w:t>
      </w:r>
    </w:p>
    <w:p w14:paraId="2109F761">
      <w:pPr>
        <w:numPr>
          <w:ilvl w:val="0"/>
          <w:numId w:val="8"/>
        </w:numPr>
        <w:spacing w:line="360" w:lineRule="auto"/>
        <w:ind w:left="980" w:hanging="42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法律、法规禁止的其他行为。</w:t>
      </w:r>
    </w:p>
    <w:p w14:paraId="429165A0">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若实施机构临时接管</w:t>
      </w:r>
      <w:r>
        <w:rPr>
          <w:rFonts w:hint="eastAsia" w:ascii="Times New Roman" w:hAnsi="Times New Roman" w:eastAsia="楷体" w:cs="Times New Roman"/>
          <w:color w:val="auto"/>
          <w:sz w:val="28"/>
          <w:szCs w:val="28"/>
          <w:highlight w:val="none"/>
          <w:lang w:val="en-US" w:eastAsia="zh-CN"/>
        </w:rPr>
        <w:t>污水处理厂运营</w:t>
      </w:r>
      <w:r>
        <w:rPr>
          <w:rFonts w:hint="eastAsia" w:ascii="Times New Roman" w:hAnsi="Times New Roman" w:eastAsia="楷体" w:cs="Times New Roman"/>
          <w:color w:val="auto"/>
          <w:sz w:val="28"/>
          <w:szCs w:val="28"/>
          <w:highlight w:val="none"/>
        </w:rPr>
        <w:t>，应就实施临时接管的原因、决定、接管范围和程度、接管机构、接管时间等事先书面通知</w:t>
      </w:r>
      <w:r>
        <w:rPr>
          <w:rFonts w:hint="eastAsia" w:ascii="Times New Roman" w:hAnsi="Times New Roman" w:eastAsia="楷体" w:cs="Times New Roman"/>
          <w:color w:val="auto"/>
          <w:sz w:val="28"/>
          <w:szCs w:val="28"/>
          <w:highlight w:val="none"/>
          <w:lang w:val="en-US" w:eastAsia="zh-CN"/>
        </w:rPr>
        <w:t>特许经营者/项目公司</w:t>
      </w:r>
      <w:r>
        <w:rPr>
          <w:rFonts w:hint="eastAsia" w:ascii="Times New Roman" w:hAnsi="Times New Roman" w:eastAsia="楷体" w:cs="Times New Roman"/>
          <w:color w:val="auto"/>
          <w:sz w:val="28"/>
          <w:szCs w:val="28"/>
          <w:highlight w:val="none"/>
        </w:rPr>
        <w:t>，并充分考虑</w:t>
      </w:r>
      <w:r>
        <w:rPr>
          <w:rFonts w:hint="eastAsia" w:ascii="Times New Roman" w:hAnsi="Times New Roman" w:eastAsia="楷体" w:cs="Times New Roman"/>
          <w:color w:val="auto"/>
          <w:sz w:val="28"/>
          <w:szCs w:val="28"/>
          <w:highlight w:val="none"/>
          <w:lang w:val="en-US" w:eastAsia="zh-CN"/>
        </w:rPr>
        <w:t>特许经营者/项目公司</w:t>
      </w:r>
      <w:r>
        <w:rPr>
          <w:rFonts w:hint="eastAsia" w:ascii="Times New Roman" w:hAnsi="Times New Roman" w:eastAsia="楷体" w:cs="Times New Roman"/>
          <w:color w:val="auto"/>
          <w:sz w:val="28"/>
          <w:szCs w:val="28"/>
          <w:highlight w:val="none"/>
        </w:rPr>
        <w:t>所作出的申述，但无须获得</w:t>
      </w:r>
      <w:r>
        <w:rPr>
          <w:rFonts w:hint="eastAsia" w:ascii="Times New Roman" w:hAnsi="Times New Roman" w:eastAsia="楷体" w:cs="Times New Roman"/>
          <w:color w:val="auto"/>
          <w:sz w:val="28"/>
          <w:szCs w:val="28"/>
          <w:highlight w:val="none"/>
          <w:lang w:val="en-US" w:eastAsia="zh-CN"/>
        </w:rPr>
        <w:t>特许经营者/项目公司</w:t>
      </w:r>
      <w:r>
        <w:rPr>
          <w:rFonts w:hint="eastAsia" w:ascii="Times New Roman" w:hAnsi="Times New Roman" w:eastAsia="楷体" w:cs="Times New Roman"/>
          <w:color w:val="auto"/>
          <w:sz w:val="28"/>
          <w:szCs w:val="28"/>
          <w:highlight w:val="none"/>
        </w:rPr>
        <w:t>的同意。临时接管期间，</w:t>
      </w:r>
      <w:r>
        <w:rPr>
          <w:rFonts w:hint="eastAsia" w:ascii="Times New Roman" w:hAnsi="Times New Roman" w:eastAsia="楷体" w:cs="Times New Roman"/>
          <w:color w:val="auto"/>
          <w:sz w:val="28"/>
          <w:szCs w:val="28"/>
          <w:highlight w:val="none"/>
          <w:lang w:eastAsia="zh-CN"/>
        </w:rPr>
        <w:t>特许经营者/项目公司</w:t>
      </w:r>
      <w:r>
        <w:rPr>
          <w:rFonts w:hint="eastAsia" w:ascii="Times New Roman" w:hAnsi="Times New Roman" w:eastAsia="楷体" w:cs="Times New Roman"/>
          <w:color w:val="auto"/>
          <w:sz w:val="28"/>
          <w:szCs w:val="28"/>
          <w:highlight w:val="none"/>
        </w:rPr>
        <w:t>须无条件服从政府方或其指定机构接收或接管本项目的所有指令、命令，</w:t>
      </w:r>
      <w:r>
        <w:rPr>
          <w:rFonts w:hint="eastAsia" w:ascii="Times New Roman" w:hAnsi="Times New Roman" w:eastAsia="楷体" w:cs="Times New Roman"/>
          <w:color w:val="auto"/>
          <w:sz w:val="28"/>
          <w:szCs w:val="28"/>
          <w:highlight w:val="none"/>
          <w:lang w:eastAsia="zh-CN"/>
        </w:rPr>
        <w:t>特许经营者/项目公司</w:t>
      </w:r>
      <w:r>
        <w:rPr>
          <w:rFonts w:hint="eastAsia" w:ascii="Times New Roman" w:hAnsi="Times New Roman" w:eastAsia="楷体" w:cs="Times New Roman"/>
          <w:color w:val="auto"/>
          <w:sz w:val="28"/>
          <w:szCs w:val="28"/>
          <w:highlight w:val="none"/>
        </w:rPr>
        <w:t>应当在政府方接管前善意履行看守职责，并继续履行《特许经营协议》项下的义务。临时接管期间</w:t>
      </w:r>
      <w:r>
        <w:rPr>
          <w:rFonts w:hint="eastAsia" w:ascii="Times New Roman" w:hAnsi="Times New Roman" w:eastAsia="楷体" w:cs="Times New Roman"/>
          <w:caps w:val="0"/>
          <w:smallCaps w:val="0"/>
          <w:color w:val="auto"/>
          <w:sz w:val="28"/>
          <w:szCs w:val="28"/>
          <w:highlight w:val="none"/>
        </w:rPr>
        <w:t>项目实现的收入依然归</w:t>
      </w:r>
      <w:r>
        <w:rPr>
          <w:rFonts w:hint="eastAsia" w:ascii="Times New Roman" w:hAnsi="Times New Roman" w:eastAsia="楷体" w:cs="Times New Roman"/>
          <w:color w:val="auto"/>
          <w:sz w:val="28"/>
          <w:szCs w:val="28"/>
          <w:highlight w:val="none"/>
          <w:lang w:eastAsia="zh-CN"/>
        </w:rPr>
        <w:t>特许经营者/项目公司</w:t>
      </w:r>
      <w:r>
        <w:rPr>
          <w:rFonts w:hint="eastAsia" w:ascii="Times New Roman" w:hAnsi="Times New Roman" w:eastAsia="楷体" w:cs="Times New Roman"/>
          <w:caps w:val="0"/>
          <w:smallCaps w:val="0"/>
          <w:color w:val="auto"/>
          <w:sz w:val="28"/>
          <w:szCs w:val="28"/>
          <w:highlight w:val="none"/>
        </w:rPr>
        <w:t>所有</w:t>
      </w:r>
      <w:r>
        <w:rPr>
          <w:rFonts w:hint="eastAsia" w:ascii="Times New Roman" w:hAnsi="Times New Roman" w:eastAsia="楷体" w:cs="Times New Roman"/>
          <w:caps w:val="0"/>
          <w:smallCaps w:val="0"/>
          <w:color w:val="auto"/>
          <w:sz w:val="28"/>
          <w:szCs w:val="28"/>
          <w:highlight w:val="none"/>
          <w:lang w:eastAsia="zh-CN"/>
        </w:rPr>
        <w:t>，</w:t>
      </w:r>
      <w:r>
        <w:rPr>
          <w:rFonts w:hint="eastAsia" w:ascii="Times New Roman" w:hAnsi="Times New Roman" w:eastAsia="楷体" w:cs="Times New Roman"/>
          <w:color w:val="auto"/>
          <w:sz w:val="28"/>
          <w:szCs w:val="28"/>
          <w:highlight w:val="none"/>
        </w:rPr>
        <w:t>发生的运营成本、费用等均由</w:t>
      </w:r>
      <w:r>
        <w:rPr>
          <w:rFonts w:hint="eastAsia" w:ascii="Times New Roman" w:hAnsi="Times New Roman" w:eastAsia="楷体" w:cs="Times New Roman"/>
          <w:color w:val="auto"/>
          <w:sz w:val="28"/>
          <w:szCs w:val="28"/>
          <w:highlight w:val="none"/>
          <w:lang w:eastAsia="zh-CN"/>
        </w:rPr>
        <w:t>特许经营者/项目公司</w:t>
      </w:r>
      <w:r>
        <w:rPr>
          <w:rFonts w:hint="eastAsia" w:ascii="Times New Roman" w:hAnsi="Times New Roman" w:eastAsia="楷体" w:cs="Times New Roman"/>
          <w:color w:val="auto"/>
          <w:sz w:val="28"/>
          <w:szCs w:val="28"/>
          <w:highlight w:val="none"/>
        </w:rPr>
        <w:t>承担，同时</w:t>
      </w:r>
      <w:r>
        <w:rPr>
          <w:rFonts w:hint="eastAsia" w:ascii="Times New Roman" w:hAnsi="Times New Roman" w:eastAsia="楷体" w:cs="Times New Roman"/>
          <w:color w:val="auto"/>
          <w:sz w:val="28"/>
          <w:szCs w:val="28"/>
          <w:highlight w:val="none"/>
          <w:lang w:eastAsia="zh-CN"/>
        </w:rPr>
        <w:t>特许经营者/项目公司</w:t>
      </w:r>
      <w:r>
        <w:rPr>
          <w:rFonts w:hint="eastAsia" w:ascii="Times New Roman" w:hAnsi="Times New Roman" w:eastAsia="楷体" w:cs="Times New Roman"/>
          <w:color w:val="auto"/>
          <w:sz w:val="28"/>
          <w:szCs w:val="28"/>
          <w:highlight w:val="none"/>
        </w:rPr>
        <w:t>还应向实施机构支付接管费用并按照《特许经营协议》的约定承担相应的</w:t>
      </w:r>
      <w:r>
        <w:rPr>
          <w:rFonts w:hint="eastAsia" w:ascii="Times New Roman" w:hAnsi="Times New Roman" w:eastAsia="楷体" w:cs="Times New Roman"/>
          <w:color w:val="auto"/>
          <w:sz w:val="28"/>
          <w:szCs w:val="28"/>
          <w:highlight w:val="none"/>
          <w:lang w:val="en-US" w:eastAsia="zh-CN"/>
        </w:rPr>
        <w:t>违约责任</w:t>
      </w:r>
      <w:r>
        <w:rPr>
          <w:rFonts w:hint="eastAsia" w:ascii="Times New Roman" w:hAnsi="Times New Roman" w:eastAsia="楷体" w:cs="Times New Roman"/>
          <w:color w:val="auto"/>
          <w:sz w:val="28"/>
          <w:szCs w:val="28"/>
          <w:highlight w:val="none"/>
          <w:lang w:eastAsia="zh-CN"/>
        </w:rPr>
        <w:t>，</w:t>
      </w:r>
      <w:r>
        <w:rPr>
          <w:rFonts w:hint="eastAsia" w:ascii="Times New Roman" w:hAnsi="Times New Roman" w:eastAsia="楷体" w:cs="Times New Roman"/>
          <w:color w:val="auto"/>
          <w:sz w:val="28"/>
          <w:szCs w:val="28"/>
          <w:highlight w:val="none"/>
        </w:rPr>
        <w:t>所有上述费用由实施机构可直接从履约保函中提取。</w:t>
      </w:r>
      <w:r>
        <w:rPr>
          <w:rFonts w:hint="eastAsia" w:ascii="Times New Roman" w:hAnsi="Times New Roman" w:eastAsia="楷体" w:cs="Times New Roman"/>
          <w:color w:val="auto"/>
          <w:sz w:val="28"/>
          <w:szCs w:val="28"/>
          <w:highlight w:val="none"/>
          <w:lang w:eastAsia="zh-CN"/>
        </w:rPr>
        <w:t>特许经营者/项目公司</w:t>
      </w:r>
      <w:r>
        <w:rPr>
          <w:rFonts w:hint="eastAsia" w:ascii="Times New Roman" w:hAnsi="Times New Roman" w:eastAsia="楷体" w:cs="Times New Roman"/>
          <w:color w:val="auto"/>
          <w:sz w:val="28"/>
          <w:szCs w:val="28"/>
          <w:highlight w:val="none"/>
        </w:rPr>
        <w:t>对导致临时接管的违约行为进行纠正后，经</w:t>
      </w:r>
      <w:r>
        <w:rPr>
          <w:rFonts w:hint="eastAsia" w:ascii="Times New Roman" w:hAnsi="Times New Roman" w:eastAsia="楷体" w:cs="Times New Roman"/>
          <w:color w:val="auto"/>
          <w:sz w:val="28"/>
          <w:szCs w:val="28"/>
          <w:highlight w:val="none"/>
          <w:lang w:eastAsia="zh-CN"/>
        </w:rPr>
        <w:t>特许经营者/项目公司</w:t>
      </w:r>
      <w:r>
        <w:rPr>
          <w:rFonts w:hint="eastAsia" w:ascii="Times New Roman" w:hAnsi="Times New Roman" w:eastAsia="楷体" w:cs="Times New Roman"/>
          <w:color w:val="auto"/>
          <w:sz w:val="28"/>
          <w:szCs w:val="28"/>
          <w:highlight w:val="none"/>
        </w:rPr>
        <w:t>书面申请，实施机构应当终止临时接管，恢复</w:t>
      </w:r>
      <w:r>
        <w:rPr>
          <w:rFonts w:hint="eastAsia" w:ascii="Times New Roman" w:hAnsi="Times New Roman" w:eastAsia="楷体" w:cs="Times New Roman"/>
          <w:color w:val="auto"/>
          <w:sz w:val="28"/>
          <w:szCs w:val="28"/>
          <w:highlight w:val="none"/>
          <w:lang w:eastAsia="zh-CN"/>
        </w:rPr>
        <w:t>特许经营者/项目公司</w:t>
      </w:r>
      <w:r>
        <w:rPr>
          <w:rFonts w:hint="eastAsia" w:ascii="Times New Roman" w:hAnsi="Times New Roman" w:eastAsia="楷体" w:cs="Times New Roman"/>
          <w:color w:val="auto"/>
          <w:sz w:val="28"/>
          <w:szCs w:val="28"/>
          <w:highlight w:val="none"/>
        </w:rPr>
        <w:t>的特许经营权。</w:t>
      </w:r>
    </w:p>
    <w:p w14:paraId="3870639F">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如单次临时接管持续不间断超过</w:t>
      </w:r>
      <w:r>
        <w:rPr>
          <w:rFonts w:ascii="Times New Roman" w:hAnsi="Times New Roman" w:eastAsia="楷体" w:cs="Times New Roman"/>
          <w:color w:val="auto"/>
          <w:sz w:val="28"/>
          <w:szCs w:val="28"/>
          <w:highlight w:val="none"/>
        </w:rPr>
        <w:t>90天或全年临时接管天数达到120天，实施机构有权提前终止项目合同。</w:t>
      </w:r>
    </w:p>
    <w:p w14:paraId="7F463E4E">
      <w:pPr>
        <w:pStyle w:val="6"/>
        <w:spacing w:before="0" w:after="0" w:line="360" w:lineRule="auto"/>
        <w:ind w:firstLine="522" w:firstLineChars="200"/>
        <w:rPr>
          <w:rFonts w:ascii="Times New Roman" w:hAnsi="Times New Roman" w:eastAsia="楷体" w:cs="Times New Roman"/>
          <w:color w:val="auto"/>
          <w:highlight w:val="none"/>
        </w:rPr>
      </w:pPr>
      <w:r>
        <w:rPr>
          <w:rFonts w:hint="eastAsia" w:ascii="Times New Roman" w:hAnsi="Times New Roman" w:eastAsia="楷体" w:cs="Times New Roman"/>
          <w:color w:val="auto"/>
          <w:highlight w:val="none"/>
          <w:lang w:eastAsia="zh-CN"/>
        </w:rPr>
        <w:t>（</w:t>
      </w:r>
      <w:r>
        <w:rPr>
          <w:rFonts w:hint="eastAsia" w:ascii="Times New Roman" w:hAnsi="Times New Roman" w:eastAsia="楷体" w:cs="Times New Roman"/>
          <w:color w:val="auto"/>
          <w:highlight w:val="none"/>
          <w:lang w:val="en-US" w:eastAsia="zh-CN"/>
        </w:rPr>
        <w:t>4</w:t>
      </w:r>
      <w:r>
        <w:rPr>
          <w:rFonts w:hint="eastAsia" w:ascii="Times New Roman" w:hAnsi="Times New Roman" w:eastAsia="楷体" w:cs="Times New Roman"/>
          <w:color w:val="auto"/>
          <w:highlight w:val="none"/>
          <w:lang w:eastAsia="zh-CN"/>
        </w:rPr>
        <w:t>）</w:t>
      </w:r>
      <w:r>
        <w:rPr>
          <w:rFonts w:ascii="Times New Roman" w:hAnsi="Times New Roman" w:eastAsia="楷体" w:cs="Times New Roman"/>
          <w:color w:val="auto"/>
          <w:highlight w:val="none"/>
        </w:rPr>
        <w:t>提前终止</w:t>
      </w:r>
    </w:p>
    <w:p w14:paraId="51CACD2F">
      <w:pPr>
        <w:spacing w:line="360" w:lineRule="auto"/>
        <w:ind w:firstLine="562" w:firstLineChars="200"/>
        <w:rPr>
          <w:rFonts w:ascii="Times New Roman" w:hAnsi="Times New Roman" w:eastAsia="楷体" w:cs="Times New Roman"/>
          <w:b/>
          <w:bCs/>
          <w:color w:val="auto"/>
          <w:sz w:val="28"/>
          <w:szCs w:val="28"/>
          <w:highlight w:val="none"/>
        </w:rPr>
      </w:pPr>
      <w:r>
        <w:rPr>
          <w:rFonts w:ascii="Times New Roman" w:hAnsi="Times New Roman" w:eastAsia="楷体" w:cs="Times New Roman"/>
          <w:b/>
          <w:bCs/>
          <w:color w:val="auto"/>
          <w:sz w:val="28"/>
          <w:szCs w:val="28"/>
          <w:highlight w:val="none"/>
        </w:rPr>
        <w:t>1）提前终止情形</w:t>
      </w:r>
    </w:p>
    <w:p w14:paraId="4E8BBB19">
      <w:pPr>
        <w:numPr>
          <w:ilvl w:val="0"/>
          <w:numId w:val="9"/>
        </w:numPr>
        <w:spacing w:line="360" w:lineRule="auto"/>
        <w:ind w:left="980" w:hanging="42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lang w:eastAsia="zh-CN"/>
        </w:rPr>
        <w:t>特许经营者/项目公司</w:t>
      </w:r>
      <w:r>
        <w:rPr>
          <w:rFonts w:ascii="Times New Roman" w:hAnsi="Times New Roman" w:eastAsia="楷体" w:cs="Times New Roman"/>
          <w:color w:val="auto"/>
          <w:sz w:val="28"/>
          <w:szCs w:val="28"/>
          <w:highlight w:val="none"/>
        </w:rPr>
        <w:t>违约而导致项目终止</w:t>
      </w:r>
    </w:p>
    <w:p w14:paraId="584E8F2D">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lang w:eastAsia="zh-CN"/>
        </w:rPr>
        <w:t>特许经营者/项目公司</w:t>
      </w:r>
      <w:r>
        <w:rPr>
          <w:rFonts w:hint="eastAsia" w:ascii="Times New Roman" w:hAnsi="Times New Roman" w:eastAsia="楷体" w:cs="Times New Roman"/>
          <w:color w:val="auto"/>
          <w:sz w:val="28"/>
          <w:szCs w:val="28"/>
          <w:highlight w:val="none"/>
        </w:rPr>
        <w:t>违约事件是指发生</w:t>
      </w:r>
      <w:r>
        <w:rPr>
          <w:rFonts w:hint="eastAsia" w:ascii="Times New Roman" w:hAnsi="Times New Roman" w:eastAsia="楷体" w:cs="Times New Roman"/>
          <w:color w:val="auto"/>
          <w:sz w:val="28"/>
          <w:szCs w:val="28"/>
          <w:highlight w:val="none"/>
          <w:lang w:eastAsia="zh-CN"/>
        </w:rPr>
        <w:t>特许经营者/项目公司</w:t>
      </w:r>
      <w:r>
        <w:rPr>
          <w:rFonts w:hint="eastAsia" w:ascii="Times New Roman" w:hAnsi="Times New Roman" w:eastAsia="楷体" w:cs="Times New Roman"/>
          <w:color w:val="auto"/>
          <w:sz w:val="28"/>
          <w:szCs w:val="28"/>
          <w:highlight w:val="none"/>
        </w:rPr>
        <w:t>应当承担的风险，并且</w:t>
      </w:r>
      <w:r>
        <w:rPr>
          <w:rFonts w:hint="eastAsia" w:ascii="Times New Roman" w:hAnsi="Times New Roman" w:eastAsia="楷体" w:cs="Times New Roman"/>
          <w:color w:val="auto"/>
          <w:sz w:val="28"/>
          <w:szCs w:val="28"/>
          <w:highlight w:val="none"/>
          <w:lang w:eastAsia="zh-CN"/>
        </w:rPr>
        <w:t>特许经营者/项目公司</w:t>
      </w:r>
      <w:r>
        <w:rPr>
          <w:rFonts w:hint="eastAsia" w:ascii="Times New Roman" w:hAnsi="Times New Roman" w:eastAsia="楷体" w:cs="Times New Roman"/>
          <w:color w:val="auto"/>
          <w:sz w:val="28"/>
          <w:szCs w:val="28"/>
          <w:highlight w:val="none"/>
        </w:rPr>
        <w:t>和融资方或融资方指定的第三方均未能在规定的期限内对该违约进行补救，政府方可根据合同约定主张终止《特许经营协议》。</w:t>
      </w:r>
    </w:p>
    <w:p w14:paraId="45C51883">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lang w:eastAsia="zh-CN"/>
        </w:rPr>
        <w:t>特许经营者/项目公司</w:t>
      </w:r>
      <w:r>
        <w:rPr>
          <w:rFonts w:hint="eastAsia" w:ascii="Times New Roman" w:hAnsi="Times New Roman" w:eastAsia="楷体" w:cs="Times New Roman"/>
          <w:color w:val="auto"/>
          <w:sz w:val="28"/>
          <w:szCs w:val="28"/>
          <w:highlight w:val="none"/>
        </w:rPr>
        <w:t>应当按照《特许经营协议》的约定履行有关资产移交、债务清偿、违约赔偿责任，并在清算移交期间配合政府维持</w:t>
      </w:r>
      <w:r>
        <w:rPr>
          <w:rFonts w:hint="eastAsia" w:ascii="Times New Roman" w:hAnsi="Times New Roman" w:eastAsia="楷体" w:cs="Times New Roman"/>
          <w:color w:val="auto"/>
          <w:sz w:val="28"/>
          <w:szCs w:val="28"/>
          <w:highlight w:val="none"/>
          <w:lang w:val="en-US" w:eastAsia="zh-CN"/>
        </w:rPr>
        <w:t>污水</w:t>
      </w:r>
      <w:r>
        <w:rPr>
          <w:rFonts w:hint="eastAsia" w:ascii="Times New Roman" w:hAnsi="Times New Roman" w:eastAsia="楷体" w:cs="Times New Roman"/>
          <w:color w:val="auto"/>
          <w:sz w:val="28"/>
          <w:szCs w:val="28"/>
          <w:highlight w:val="none"/>
        </w:rPr>
        <w:t>处理服务的持续性和稳定性。</w:t>
      </w:r>
    </w:p>
    <w:p w14:paraId="21DE7BED">
      <w:pPr>
        <w:numPr>
          <w:ilvl w:val="0"/>
          <w:numId w:val="9"/>
        </w:numPr>
        <w:spacing w:line="360" w:lineRule="auto"/>
        <w:ind w:left="980" w:hanging="42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政府方违约而导致项目终止</w:t>
      </w:r>
    </w:p>
    <w:p w14:paraId="292D41F2">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在约定政府方违约事件时，应谨慎考虑这些事件是否处于政府方能够控制的范围内并且属于项目项下政府应当承担的风险。发生政府方违约事件，并且政府方在一定期限内未能补救的，</w:t>
      </w:r>
      <w:r>
        <w:rPr>
          <w:rFonts w:hint="eastAsia" w:ascii="Times New Roman" w:hAnsi="Times New Roman" w:eastAsia="楷体" w:cs="Times New Roman"/>
          <w:color w:val="auto"/>
          <w:sz w:val="28"/>
          <w:szCs w:val="28"/>
          <w:highlight w:val="none"/>
          <w:lang w:eastAsia="zh-CN"/>
        </w:rPr>
        <w:t>特许经营者/项目公司</w:t>
      </w:r>
      <w:r>
        <w:rPr>
          <w:rFonts w:hint="eastAsia" w:ascii="Times New Roman" w:hAnsi="Times New Roman" w:eastAsia="楷体" w:cs="Times New Roman"/>
          <w:color w:val="auto"/>
          <w:sz w:val="28"/>
          <w:szCs w:val="28"/>
          <w:highlight w:val="none"/>
        </w:rPr>
        <w:t>可根据合同约定主张提前终止《特许经营协议》。此时，政府方应根据《特许经营协议》约定给予</w:t>
      </w:r>
      <w:r>
        <w:rPr>
          <w:rFonts w:hint="eastAsia" w:ascii="Times New Roman" w:hAnsi="Times New Roman" w:eastAsia="楷体" w:cs="Times New Roman"/>
          <w:color w:val="auto"/>
          <w:sz w:val="28"/>
          <w:szCs w:val="28"/>
          <w:highlight w:val="none"/>
          <w:lang w:eastAsia="zh-CN"/>
        </w:rPr>
        <w:t>特许经营者/项目公司</w:t>
      </w:r>
      <w:r>
        <w:rPr>
          <w:rFonts w:hint="eastAsia" w:ascii="Times New Roman" w:hAnsi="Times New Roman" w:eastAsia="楷体" w:cs="Times New Roman"/>
          <w:color w:val="auto"/>
          <w:sz w:val="28"/>
          <w:szCs w:val="28"/>
          <w:highlight w:val="none"/>
        </w:rPr>
        <w:t>补偿。</w:t>
      </w:r>
    </w:p>
    <w:p w14:paraId="77A42FBB">
      <w:pPr>
        <w:numPr>
          <w:ilvl w:val="0"/>
          <w:numId w:val="9"/>
        </w:numPr>
        <w:spacing w:line="360" w:lineRule="auto"/>
        <w:ind w:left="980" w:hanging="42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双方协商一致的提前终止</w:t>
      </w:r>
    </w:p>
    <w:p w14:paraId="70F0D4DD">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在</w:t>
      </w:r>
      <w:r>
        <w:rPr>
          <w:rFonts w:hint="eastAsia" w:ascii="Times New Roman" w:hAnsi="Times New Roman" w:eastAsia="楷体" w:cs="Times New Roman"/>
          <w:color w:val="auto"/>
          <w:sz w:val="28"/>
          <w:szCs w:val="28"/>
          <w:highlight w:val="none"/>
          <w:lang w:eastAsia="zh-CN"/>
        </w:rPr>
        <w:t>特许经营期</w:t>
      </w:r>
      <w:r>
        <w:rPr>
          <w:rFonts w:hint="eastAsia" w:ascii="Times New Roman" w:hAnsi="Times New Roman" w:eastAsia="楷体" w:cs="Times New Roman"/>
          <w:color w:val="auto"/>
          <w:sz w:val="28"/>
          <w:szCs w:val="28"/>
          <w:highlight w:val="none"/>
        </w:rPr>
        <w:t>内，政府方和</w:t>
      </w:r>
      <w:r>
        <w:rPr>
          <w:rFonts w:hint="eastAsia" w:ascii="Times New Roman" w:hAnsi="Times New Roman" w:eastAsia="楷体" w:cs="Times New Roman"/>
          <w:color w:val="auto"/>
          <w:sz w:val="28"/>
          <w:szCs w:val="28"/>
          <w:highlight w:val="none"/>
          <w:lang w:eastAsia="zh-CN"/>
        </w:rPr>
        <w:t>特许经营者/项目公司</w:t>
      </w:r>
      <w:r>
        <w:rPr>
          <w:rFonts w:hint="eastAsia" w:ascii="Times New Roman" w:hAnsi="Times New Roman" w:eastAsia="楷体" w:cs="Times New Roman"/>
          <w:color w:val="auto"/>
          <w:sz w:val="28"/>
          <w:szCs w:val="28"/>
          <w:highlight w:val="none"/>
        </w:rPr>
        <w:t>经过协商达成一致后，可提前终止《特许经营协议》。</w:t>
      </w:r>
    </w:p>
    <w:p w14:paraId="0BFB4E8F">
      <w:pPr>
        <w:numPr>
          <w:ilvl w:val="0"/>
          <w:numId w:val="9"/>
        </w:numPr>
        <w:spacing w:line="360" w:lineRule="auto"/>
        <w:ind w:left="980" w:hanging="42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因不可抗力事件导致项目提前终止</w:t>
      </w:r>
    </w:p>
    <w:p w14:paraId="6B683011">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不可抗力指不能预见、不能避免并不能克服的客观情况，包括战争、罢工以及地震、洪水、暴风引起的自然灾害事故等。任何一方在获知不可抗力发生时，或已经意识到发生不可抗力的时候，尽快以书面形式通知另外一方。该通知应详细说明不可抗力的性质、开始的时间、预计持续时间以及影响，并对此种不可抗力保持同期记录，随时将有关情况通知对方。</w:t>
      </w:r>
    </w:p>
    <w:p w14:paraId="349E7403">
      <w:pPr>
        <w:spacing w:line="360" w:lineRule="auto"/>
        <w:ind w:firstLine="560" w:firstLineChars="200"/>
        <w:rPr>
          <w:rFonts w:hint="eastAsia" w:ascii="Times New Roman" w:hAnsi="Times New Roman" w:eastAsia="楷体" w:cs="Times New Roman"/>
          <w:color w:val="auto"/>
          <w:sz w:val="28"/>
          <w:szCs w:val="28"/>
          <w:highlight w:val="none"/>
          <w:lang w:eastAsia="zh-CN"/>
        </w:rPr>
      </w:pPr>
      <w:r>
        <w:rPr>
          <w:rFonts w:hint="eastAsia" w:ascii="Times New Roman" w:hAnsi="Times New Roman" w:eastAsia="楷体" w:cs="Times New Roman"/>
          <w:color w:val="auto"/>
          <w:sz w:val="28"/>
          <w:szCs w:val="28"/>
          <w:highlight w:val="none"/>
        </w:rPr>
        <w:t>发生不可抗力事件持续或累计达到</w:t>
      </w:r>
      <w:r>
        <w:rPr>
          <w:rFonts w:ascii="Times New Roman" w:hAnsi="Times New Roman" w:eastAsia="楷体" w:cs="Times New Roman"/>
          <w:color w:val="auto"/>
          <w:sz w:val="28"/>
          <w:szCs w:val="28"/>
          <w:highlight w:val="none"/>
        </w:rPr>
        <w:t>180天，政府或</w:t>
      </w:r>
      <w:r>
        <w:rPr>
          <w:rFonts w:hint="eastAsia" w:ascii="Times New Roman" w:hAnsi="Times New Roman" w:eastAsia="楷体" w:cs="Times New Roman"/>
          <w:color w:val="auto"/>
          <w:sz w:val="28"/>
          <w:szCs w:val="28"/>
          <w:highlight w:val="none"/>
          <w:lang w:eastAsia="zh-CN"/>
        </w:rPr>
        <w:t>特许经营者/项目公司</w:t>
      </w:r>
      <w:r>
        <w:rPr>
          <w:rFonts w:ascii="Times New Roman" w:hAnsi="Times New Roman" w:eastAsia="楷体" w:cs="Times New Roman"/>
          <w:color w:val="auto"/>
          <w:sz w:val="28"/>
          <w:szCs w:val="28"/>
          <w:highlight w:val="none"/>
        </w:rPr>
        <w:t>任何一方均可主张提前终止项目。由于自然不可抗力属于双方均无过错的事件，因此对于自然不可抗力导致的终止，应由双方各自承担由于不可抗力对其造成的损失。</w:t>
      </w:r>
    </w:p>
    <w:p w14:paraId="36F5A49D">
      <w:pPr>
        <w:numPr>
          <w:ilvl w:val="0"/>
          <w:numId w:val="9"/>
        </w:numPr>
        <w:spacing w:line="360" w:lineRule="auto"/>
        <w:ind w:left="980" w:hanging="42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因法律、法规、政策变更导致项目可行性受到严重不利影响的提前终止</w:t>
      </w:r>
    </w:p>
    <w:p w14:paraId="4C37F405">
      <w:pPr>
        <w:numPr>
          <w:ilvl w:val="0"/>
          <w:numId w:val="9"/>
        </w:numPr>
        <w:spacing w:line="360" w:lineRule="auto"/>
        <w:ind w:left="980" w:hanging="42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因合法合规性问题无法以特许经营模式继续实施本项目</w:t>
      </w:r>
    </w:p>
    <w:p w14:paraId="7C8D620E">
      <w:pPr>
        <w:spacing w:line="360" w:lineRule="auto"/>
        <w:ind w:firstLine="562" w:firstLineChars="200"/>
        <w:rPr>
          <w:rFonts w:ascii="Times New Roman" w:hAnsi="Times New Roman" w:eastAsia="楷体" w:cs="Times New Roman"/>
          <w:b/>
          <w:bCs/>
          <w:color w:val="auto"/>
          <w:sz w:val="28"/>
          <w:szCs w:val="28"/>
          <w:highlight w:val="none"/>
        </w:rPr>
      </w:pPr>
      <w:r>
        <w:rPr>
          <w:rFonts w:ascii="Times New Roman" w:hAnsi="Times New Roman" w:eastAsia="楷体" w:cs="Times New Roman"/>
          <w:b/>
          <w:bCs/>
          <w:color w:val="auto"/>
          <w:sz w:val="28"/>
          <w:szCs w:val="28"/>
          <w:highlight w:val="none"/>
        </w:rPr>
        <w:t>2）提前终止补偿</w:t>
      </w:r>
    </w:p>
    <w:p w14:paraId="4EAC3292">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若《特许经营协议》提前终止，则除非协议另有约定，政府方在不同的情形下需要支付</w:t>
      </w:r>
      <w:r>
        <w:rPr>
          <w:rFonts w:hint="eastAsia" w:ascii="Times New Roman" w:hAnsi="Times New Roman" w:eastAsia="楷体" w:cs="Times New Roman"/>
          <w:color w:val="auto"/>
          <w:sz w:val="28"/>
          <w:szCs w:val="28"/>
          <w:highlight w:val="none"/>
          <w:lang w:eastAsia="zh-CN"/>
        </w:rPr>
        <w:t>特许经营者/项目公司</w:t>
      </w:r>
      <w:r>
        <w:rPr>
          <w:rFonts w:hint="eastAsia" w:ascii="Times New Roman" w:hAnsi="Times New Roman" w:eastAsia="楷体" w:cs="Times New Roman"/>
          <w:color w:val="auto"/>
          <w:sz w:val="28"/>
          <w:szCs w:val="28"/>
          <w:highlight w:val="none"/>
        </w:rPr>
        <w:t>合理补偿金，提前终止补偿金按下表确定：</w:t>
      </w:r>
    </w:p>
    <w:p w14:paraId="4CF17F19">
      <w:pPr>
        <w:spacing w:line="360" w:lineRule="auto"/>
        <w:jc w:val="center"/>
        <w:rPr>
          <w:rFonts w:ascii="Times New Roman" w:hAnsi="Times New Roman" w:eastAsia="楷体" w:cs="Times New Roman"/>
          <w:color w:val="auto"/>
          <w:sz w:val="28"/>
          <w:szCs w:val="28"/>
          <w:highlight w:val="none"/>
        </w:rPr>
      </w:pPr>
      <w:r>
        <w:rPr>
          <w:rFonts w:hint="eastAsia" w:ascii="Times New Roman" w:hAnsi="Times New Roman" w:eastAsia="楷体" w:cs="Times New Roman"/>
          <w:b/>
          <w:bCs/>
          <w:color w:val="auto"/>
          <w:sz w:val="24"/>
          <w:szCs w:val="24"/>
          <w:highlight w:val="none"/>
        </w:rPr>
        <w:t>表</w:t>
      </w:r>
      <w:r>
        <w:rPr>
          <w:rFonts w:hint="eastAsia" w:ascii="Times New Roman" w:hAnsi="Times New Roman" w:eastAsia="楷体" w:cs="Times New Roman"/>
          <w:b/>
          <w:bCs/>
          <w:color w:val="auto"/>
          <w:sz w:val="24"/>
          <w:szCs w:val="24"/>
          <w:highlight w:val="none"/>
          <w:lang w:val="en-US" w:eastAsia="zh-CN"/>
        </w:rPr>
        <w:t xml:space="preserve">4-8 </w:t>
      </w:r>
      <w:r>
        <w:rPr>
          <w:rFonts w:hint="eastAsia" w:ascii="Times New Roman" w:hAnsi="Times New Roman" w:eastAsia="楷体" w:cs="Times New Roman"/>
          <w:b/>
          <w:bCs/>
          <w:color w:val="auto"/>
          <w:sz w:val="24"/>
          <w:szCs w:val="24"/>
          <w:highlight w:val="none"/>
        </w:rPr>
        <w:t>提前终止情形及提前终止补偿表</w:t>
      </w:r>
    </w:p>
    <w:tbl>
      <w:tblPr>
        <w:tblStyle w:val="36"/>
        <w:tblpPr w:leftFromText="180" w:rightFromText="180" w:vertAnchor="text" w:tblpXSpec="center" w:tblpY="1"/>
        <w:tblOverlap w:val="never"/>
        <w:tblW w:w="50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28"/>
        <w:gridCol w:w="4016"/>
        <w:gridCol w:w="3645"/>
      </w:tblGrid>
      <w:tr w14:paraId="6A10B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tblHeader/>
          <w:jc w:val="center"/>
        </w:trPr>
        <w:tc>
          <w:tcPr>
            <w:tcW w:w="434" w:type="pct"/>
            <w:shd w:val="clear" w:color="auto" w:fill="F1F1F1" w:themeFill="background1" w:themeFillShade="F2"/>
            <w:vAlign w:val="center"/>
          </w:tcPr>
          <w:p w14:paraId="144107A2">
            <w:pPr>
              <w:jc w:val="center"/>
              <w:rPr>
                <w:rFonts w:ascii="Times New Roman" w:hAnsi="Times New Roman" w:eastAsia="楷体" w:cs="Times New Roman"/>
                <w:b/>
                <w:bCs/>
                <w:color w:val="auto"/>
                <w:sz w:val="24"/>
                <w:szCs w:val="24"/>
                <w:highlight w:val="none"/>
              </w:rPr>
            </w:pPr>
            <w:r>
              <w:rPr>
                <w:rFonts w:ascii="Times New Roman" w:hAnsi="Times New Roman" w:eastAsia="楷体" w:cs="Times New Roman"/>
                <w:b/>
                <w:bCs/>
                <w:color w:val="auto"/>
                <w:sz w:val="24"/>
                <w:szCs w:val="24"/>
                <w:highlight w:val="none"/>
              </w:rPr>
              <w:t>序号</w:t>
            </w:r>
          </w:p>
        </w:tc>
        <w:tc>
          <w:tcPr>
            <w:tcW w:w="2393" w:type="pct"/>
            <w:shd w:val="clear" w:color="auto" w:fill="F1F1F1" w:themeFill="background1" w:themeFillShade="F2"/>
            <w:vAlign w:val="center"/>
          </w:tcPr>
          <w:p w14:paraId="2F59B28F">
            <w:pPr>
              <w:jc w:val="center"/>
              <w:rPr>
                <w:rFonts w:ascii="Times New Roman" w:hAnsi="Times New Roman" w:eastAsia="楷体" w:cs="Times New Roman"/>
                <w:b/>
                <w:bCs/>
                <w:color w:val="auto"/>
                <w:sz w:val="24"/>
                <w:szCs w:val="24"/>
                <w:highlight w:val="none"/>
              </w:rPr>
            </w:pPr>
            <w:r>
              <w:rPr>
                <w:rFonts w:ascii="Times New Roman" w:hAnsi="Times New Roman" w:eastAsia="楷体" w:cs="Times New Roman"/>
                <w:b/>
                <w:bCs/>
                <w:color w:val="auto"/>
                <w:sz w:val="24"/>
                <w:szCs w:val="24"/>
                <w:highlight w:val="none"/>
              </w:rPr>
              <w:t>特许经营协议提前终止情形</w:t>
            </w:r>
          </w:p>
        </w:tc>
        <w:tc>
          <w:tcPr>
            <w:tcW w:w="2172" w:type="pct"/>
            <w:shd w:val="clear" w:color="auto" w:fill="F1F1F1" w:themeFill="background1" w:themeFillShade="F2"/>
            <w:vAlign w:val="center"/>
          </w:tcPr>
          <w:p w14:paraId="552BE4C6">
            <w:pPr>
              <w:jc w:val="center"/>
              <w:rPr>
                <w:rFonts w:ascii="Times New Roman" w:hAnsi="Times New Roman" w:eastAsia="楷体" w:cs="Times New Roman"/>
                <w:b/>
                <w:bCs/>
                <w:color w:val="auto"/>
                <w:sz w:val="24"/>
                <w:szCs w:val="24"/>
                <w:highlight w:val="none"/>
              </w:rPr>
            </w:pPr>
            <w:r>
              <w:rPr>
                <w:rFonts w:ascii="Times New Roman" w:hAnsi="Times New Roman" w:eastAsia="楷体" w:cs="Times New Roman"/>
                <w:b/>
                <w:bCs/>
                <w:color w:val="auto"/>
                <w:sz w:val="24"/>
                <w:szCs w:val="24"/>
                <w:highlight w:val="none"/>
              </w:rPr>
              <w:t>终止补偿金</w:t>
            </w:r>
          </w:p>
        </w:tc>
      </w:tr>
      <w:tr w14:paraId="32026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4" w:hRule="atLeast"/>
          <w:jc w:val="center"/>
        </w:trPr>
        <w:tc>
          <w:tcPr>
            <w:tcW w:w="434" w:type="pct"/>
            <w:vMerge w:val="restart"/>
            <w:vAlign w:val="center"/>
          </w:tcPr>
          <w:p w14:paraId="6CB218C0">
            <w:pPr>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1</w:t>
            </w:r>
          </w:p>
        </w:tc>
        <w:tc>
          <w:tcPr>
            <w:tcW w:w="2393" w:type="pct"/>
            <w:vMerge w:val="restart"/>
            <w:vAlign w:val="center"/>
          </w:tcPr>
          <w:p w14:paraId="7CC15591">
            <w:pPr>
              <w:jc w:val="center"/>
              <w:rPr>
                <w:rFonts w:ascii="Times New Roman" w:hAnsi="Times New Roman" w:eastAsia="楷体" w:cs="Times New Roman"/>
                <w:color w:val="auto"/>
                <w:sz w:val="24"/>
                <w:szCs w:val="24"/>
                <w:highlight w:val="none"/>
              </w:rPr>
            </w:pPr>
            <w:r>
              <w:rPr>
                <w:rFonts w:hint="eastAsia" w:ascii="Times New Roman" w:hAnsi="Times New Roman" w:eastAsia="楷体" w:cs="Times New Roman"/>
                <w:color w:val="auto"/>
                <w:sz w:val="24"/>
                <w:szCs w:val="24"/>
                <w:highlight w:val="none"/>
                <w:lang w:eastAsia="zh-CN"/>
              </w:rPr>
              <w:t>特许经营者/项目公司</w:t>
            </w:r>
            <w:r>
              <w:rPr>
                <w:rFonts w:ascii="Times New Roman" w:hAnsi="Times New Roman" w:eastAsia="楷体" w:cs="Times New Roman"/>
                <w:color w:val="auto"/>
                <w:sz w:val="24"/>
                <w:szCs w:val="24"/>
                <w:highlight w:val="none"/>
              </w:rPr>
              <w:t>违约</w:t>
            </w:r>
          </w:p>
        </w:tc>
        <w:tc>
          <w:tcPr>
            <w:tcW w:w="2172" w:type="pct"/>
            <w:vAlign w:val="center"/>
          </w:tcPr>
          <w:p w14:paraId="66721406">
            <w:pPr>
              <w:jc w:val="center"/>
              <w:rPr>
                <w:rFonts w:ascii="Times New Roman" w:hAnsi="Times New Roman" w:eastAsia="楷体" w:cs="Times New Roman"/>
                <w:color w:val="auto"/>
                <w:sz w:val="24"/>
                <w:szCs w:val="24"/>
                <w:highlight w:val="none"/>
              </w:rPr>
            </w:pPr>
            <w:r>
              <w:rPr>
                <w:rFonts w:hint="eastAsia" w:ascii="Times New Roman" w:hAnsi="Times New Roman" w:eastAsia="楷体" w:cs="Times New Roman"/>
                <w:color w:val="auto"/>
                <w:sz w:val="24"/>
                <w:szCs w:val="24"/>
                <w:highlight w:val="none"/>
                <w:lang w:val="en-US" w:eastAsia="zh-CN"/>
              </w:rPr>
              <w:t>A</w:t>
            </w:r>
            <w:r>
              <w:rPr>
                <w:rFonts w:ascii="Times New Roman" w:hAnsi="Times New Roman" w:eastAsia="楷体" w:cs="Times New Roman"/>
                <w:color w:val="auto"/>
                <w:sz w:val="24"/>
                <w:szCs w:val="24"/>
                <w:highlight w:val="none"/>
              </w:rPr>
              <w:t>-D</w:t>
            </w:r>
          </w:p>
        </w:tc>
      </w:tr>
      <w:tr w14:paraId="7E846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4" w:hRule="atLeast"/>
          <w:jc w:val="center"/>
        </w:trPr>
        <w:tc>
          <w:tcPr>
            <w:tcW w:w="434" w:type="pct"/>
            <w:vMerge w:val="restart"/>
            <w:vAlign w:val="center"/>
          </w:tcPr>
          <w:p w14:paraId="3B3638FC">
            <w:pPr>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w:t>
            </w:r>
          </w:p>
        </w:tc>
        <w:tc>
          <w:tcPr>
            <w:tcW w:w="2393" w:type="pct"/>
            <w:vMerge w:val="restart"/>
            <w:vAlign w:val="center"/>
          </w:tcPr>
          <w:p w14:paraId="3CEAF8A3">
            <w:pPr>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政府方违约</w:t>
            </w:r>
          </w:p>
        </w:tc>
        <w:tc>
          <w:tcPr>
            <w:tcW w:w="2172" w:type="pct"/>
            <w:vAlign w:val="center"/>
          </w:tcPr>
          <w:p w14:paraId="627F83FB">
            <w:pPr>
              <w:jc w:val="center"/>
              <w:rPr>
                <w:rFonts w:ascii="Times New Roman" w:hAnsi="Times New Roman" w:eastAsia="楷体" w:cs="Times New Roman"/>
                <w:color w:val="auto"/>
                <w:sz w:val="24"/>
                <w:szCs w:val="24"/>
                <w:highlight w:val="none"/>
              </w:rPr>
            </w:pPr>
            <w:r>
              <w:rPr>
                <w:rFonts w:hint="eastAsia" w:ascii="Times New Roman" w:hAnsi="Times New Roman" w:eastAsia="楷体" w:cs="Times New Roman"/>
                <w:color w:val="auto"/>
                <w:sz w:val="24"/>
                <w:szCs w:val="24"/>
                <w:highlight w:val="none"/>
                <w:lang w:val="en-US" w:eastAsia="zh-CN"/>
              </w:rPr>
              <w:t>A</w:t>
            </w:r>
            <w:r>
              <w:rPr>
                <w:rFonts w:ascii="Times New Roman" w:hAnsi="Times New Roman" w:eastAsia="楷体" w:cs="Times New Roman"/>
                <w:color w:val="auto"/>
                <w:sz w:val="24"/>
                <w:szCs w:val="24"/>
                <w:highlight w:val="none"/>
              </w:rPr>
              <w:t>+C+D</w:t>
            </w:r>
          </w:p>
        </w:tc>
      </w:tr>
      <w:tr w14:paraId="6ED30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4" w:hRule="atLeast"/>
          <w:jc w:val="center"/>
        </w:trPr>
        <w:tc>
          <w:tcPr>
            <w:tcW w:w="434" w:type="pct"/>
            <w:vMerge w:val="restart"/>
            <w:vAlign w:val="center"/>
          </w:tcPr>
          <w:p w14:paraId="3A1C2076">
            <w:pPr>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3</w:t>
            </w:r>
          </w:p>
        </w:tc>
        <w:tc>
          <w:tcPr>
            <w:tcW w:w="2393" w:type="pct"/>
            <w:vMerge w:val="restart"/>
            <w:vAlign w:val="center"/>
          </w:tcPr>
          <w:p w14:paraId="5490E88F">
            <w:pPr>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双方协商</w:t>
            </w:r>
          </w:p>
        </w:tc>
        <w:tc>
          <w:tcPr>
            <w:tcW w:w="2172" w:type="pct"/>
            <w:vAlign w:val="center"/>
          </w:tcPr>
          <w:p w14:paraId="1C9E0172">
            <w:pPr>
              <w:jc w:val="center"/>
              <w:rPr>
                <w:rFonts w:hint="eastAsia" w:ascii="Times New Roman" w:hAnsi="Times New Roman" w:eastAsia="楷体" w:cs="Times New Roman"/>
                <w:color w:val="auto"/>
                <w:sz w:val="24"/>
                <w:szCs w:val="24"/>
                <w:highlight w:val="none"/>
                <w:lang w:eastAsia="zh-CN"/>
              </w:rPr>
            </w:pPr>
            <w:r>
              <w:rPr>
                <w:rFonts w:hint="eastAsia" w:ascii="Times New Roman" w:hAnsi="Times New Roman" w:eastAsia="楷体" w:cs="Times New Roman"/>
                <w:color w:val="auto"/>
                <w:sz w:val="24"/>
                <w:szCs w:val="24"/>
                <w:highlight w:val="none"/>
                <w:lang w:val="en-US" w:eastAsia="zh-CN"/>
              </w:rPr>
              <w:t>A</w:t>
            </w:r>
          </w:p>
        </w:tc>
      </w:tr>
      <w:tr w14:paraId="5046E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4" w:hRule="atLeast"/>
          <w:jc w:val="center"/>
        </w:trPr>
        <w:tc>
          <w:tcPr>
            <w:tcW w:w="434" w:type="pct"/>
            <w:vMerge w:val="restart"/>
            <w:vAlign w:val="center"/>
          </w:tcPr>
          <w:p w14:paraId="271C7729">
            <w:pPr>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4</w:t>
            </w:r>
          </w:p>
        </w:tc>
        <w:tc>
          <w:tcPr>
            <w:tcW w:w="2393" w:type="pct"/>
            <w:vMerge w:val="restart"/>
            <w:vAlign w:val="center"/>
          </w:tcPr>
          <w:p w14:paraId="6E8A42FD">
            <w:pPr>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自然不可抗力</w:t>
            </w:r>
          </w:p>
        </w:tc>
        <w:tc>
          <w:tcPr>
            <w:tcW w:w="2172" w:type="pct"/>
            <w:vAlign w:val="center"/>
          </w:tcPr>
          <w:p w14:paraId="7EA49293">
            <w:pPr>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（E-F-G）/2</w:t>
            </w:r>
          </w:p>
        </w:tc>
      </w:tr>
      <w:tr w14:paraId="52FE5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4" w:hRule="atLeast"/>
          <w:jc w:val="center"/>
        </w:trPr>
        <w:tc>
          <w:tcPr>
            <w:tcW w:w="434" w:type="pct"/>
            <w:vAlign w:val="center"/>
          </w:tcPr>
          <w:p w14:paraId="721BDF85">
            <w:pPr>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5</w:t>
            </w:r>
          </w:p>
        </w:tc>
        <w:tc>
          <w:tcPr>
            <w:tcW w:w="2393" w:type="pct"/>
            <w:vAlign w:val="center"/>
          </w:tcPr>
          <w:p w14:paraId="07ADAC2B">
            <w:pPr>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法律、法规、政策变更</w:t>
            </w:r>
          </w:p>
        </w:tc>
        <w:tc>
          <w:tcPr>
            <w:tcW w:w="2172" w:type="pct"/>
            <w:vAlign w:val="center"/>
          </w:tcPr>
          <w:p w14:paraId="29624363">
            <w:pPr>
              <w:jc w:val="center"/>
              <w:rPr>
                <w:rFonts w:hint="eastAsia" w:ascii="Times New Roman" w:hAnsi="Times New Roman" w:eastAsia="楷体" w:cs="Times New Roman"/>
                <w:color w:val="auto"/>
                <w:sz w:val="24"/>
                <w:szCs w:val="24"/>
                <w:highlight w:val="none"/>
                <w:lang w:eastAsia="zh-CN"/>
              </w:rPr>
            </w:pPr>
            <w:r>
              <w:rPr>
                <w:rFonts w:hint="eastAsia" w:ascii="Times New Roman" w:hAnsi="Times New Roman" w:eastAsia="楷体" w:cs="Times New Roman"/>
                <w:color w:val="auto"/>
                <w:sz w:val="24"/>
                <w:szCs w:val="24"/>
                <w:highlight w:val="none"/>
                <w:lang w:val="en-US" w:eastAsia="zh-CN"/>
              </w:rPr>
              <w:t>A</w:t>
            </w:r>
          </w:p>
        </w:tc>
      </w:tr>
      <w:tr w14:paraId="54E04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0" w:hRule="atLeast"/>
          <w:jc w:val="center"/>
        </w:trPr>
        <w:tc>
          <w:tcPr>
            <w:tcW w:w="434" w:type="pct"/>
            <w:vAlign w:val="center"/>
          </w:tcPr>
          <w:p w14:paraId="7EA2A7E0">
            <w:pPr>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说明</w:t>
            </w:r>
          </w:p>
        </w:tc>
        <w:tc>
          <w:tcPr>
            <w:tcW w:w="4565" w:type="pct"/>
            <w:gridSpan w:val="2"/>
            <w:vAlign w:val="center"/>
          </w:tcPr>
          <w:p w14:paraId="3386AEB2">
            <w:pPr>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若按照对应公式计算的终止补偿金为负数，那么</w:t>
            </w:r>
            <w:r>
              <w:rPr>
                <w:rFonts w:hint="eastAsia" w:ascii="Times New Roman" w:hAnsi="Times New Roman" w:eastAsia="楷体" w:cs="Times New Roman"/>
                <w:color w:val="auto"/>
                <w:sz w:val="24"/>
                <w:szCs w:val="24"/>
                <w:highlight w:val="none"/>
                <w:lang w:eastAsia="zh-CN"/>
              </w:rPr>
              <w:t>特许经营者/项目公司</w:t>
            </w:r>
            <w:r>
              <w:rPr>
                <w:rFonts w:ascii="Times New Roman" w:hAnsi="Times New Roman" w:eastAsia="楷体" w:cs="Times New Roman"/>
                <w:color w:val="auto"/>
                <w:sz w:val="24"/>
                <w:szCs w:val="24"/>
                <w:highlight w:val="none"/>
              </w:rPr>
              <w:t>应向政府方支付上述负数的绝对值。</w:t>
            </w:r>
          </w:p>
        </w:tc>
      </w:tr>
    </w:tbl>
    <w:p w14:paraId="5FEBD603">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其中：</w:t>
      </w:r>
    </w:p>
    <w:p w14:paraId="7A31E161">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lang w:val="en-US" w:eastAsia="zh-CN"/>
        </w:rPr>
        <w:t>A</w:t>
      </w:r>
      <w:r>
        <w:rPr>
          <w:rFonts w:ascii="Times New Roman" w:hAnsi="Times New Roman" w:eastAsia="楷体" w:cs="Times New Roman"/>
          <w:color w:val="auto"/>
          <w:sz w:val="28"/>
          <w:szCs w:val="28"/>
          <w:highlight w:val="none"/>
        </w:rPr>
        <w:t>：为</w:t>
      </w:r>
      <w:r>
        <w:rPr>
          <w:rFonts w:hint="eastAsia" w:ascii="宋体" w:hAnsi="宋体" w:eastAsia="宋体" w:cs="宋体"/>
          <w:color w:val="auto"/>
          <w:sz w:val="28"/>
          <w:szCs w:val="28"/>
          <w:highlight w:val="none"/>
        </w:rPr>
        <w:t>①</w:t>
      </w:r>
      <w:r>
        <w:rPr>
          <w:rFonts w:ascii="Times New Roman" w:hAnsi="Times New Roman" w:eastAsia="楷体" w:cs="Times New Roman"/>
          <w:color w:val="auto"/>
          <w:sz w:val="28"/>
          <w:szCs w:val="28"/>
          <w:highlight w:val="none"/>
        </w:rPr>
        <w:t>~</w:t>
      </w:r>
      <w:r>
        <w:rPr>
          <w:rFonts w:hint="eastAsia" w:ascii="宋体" w:hAnsi="宋体" w:eastAsia="宋体" w:cs="宋体"/>
          <w:color w:val="auto"/>
          <w:sz w:val="28"/>
          <w:szCs w:val="28"/>
          <w:highlight w:val="none"/>
        </w:rPr>
        <w:t>②</w:t>
      </w:r>
      <w:r>
        <w:rPr>
          <w:rFonts w:ascii="Times New Roman" w:hAnsi="Times New Roman" w:eastAsia="楷体" w:cs="Times New Roman"/>
          <w:color w:val="auto"/>
          <w:sz w:val="28"/>
          <w:szCs w:val="28"/>
          <w:highlight w:val="none"/>
        </w:rPr>
        <w:t>之和</w:t>
      </w:r>
    </w:p>
    <w:p w14:paraId="4A64A151">
      <w:pPr>
        <w:pStyle w:val="79"/>
        <w:numPr>
          <w:ilvl w:val="0"/>
          <w:numId w:val="10"/>
        </w:numPr>
        <w:spacing w:line="360" w:lineRule="auto"/>
        <w:ind w:firstLineChars="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为项目</w:t>
      </w:r>
      <w:r>
        <w:rPr>
          <w:rFonts w:hint="eastAsia" w:ascii="Times New Roman" w:hAnsi="Times New Roman" w:eastAsia="楷体" w:cs="Times New Roman"/>
          <w:color w:val="auto"/>
          <w:sz w:val="28"/>
          <w:szCs w:val="28"/>
          <w:highlight w:val="none"/>
          <w:lang w:val="en-US" w:eastAsia="zh-CN"/>
        </w:rPr>
        <w:t>特许经营权转让费</w:t>
      </w:r>
      <w:r>
        <w:rPr>
          <w:rFonts w:hint="eastAsia" w:ascii="Times New Roman" w:hAnsi="Times New Roman" w:eastAsia="楷体" w:cs="Times New Roman"/>
          <w:color w:val="auto"/>
          <w:sz w:val="28"/>
          <w:szCs w:val="28"/>
          <w:highlight w:val="none"/>
        </w:rPr>
        <w:t>×特许经营期剩余年限/特许经营期</w:t>
      </w:r>
    </w:p>
    <w:p w14:paraId="0BA0BB92">
      <w:pPr>
        <w:spacing w:line="360" w:lineRule="auto"/>
        <w:ind w:firstLine="560" w:firstLineChars="200"/>
        <w:rPr>
          <w:rFonts w:ascii="Times New Roman" w:hAnsi="Times New Roman" w:eastAsia="楷体" w:cs="Times New Roman"/>
          <w:color w:val="auto"/>
          <w:sz w:val="28"/>
          <w:szCs w:val="28"/>
          <w:highlight w:val="none"/>
        </w:rPr>
      </w:pPr>
      <w:r>
        <w:rPr>
          <w:rFonts w:hint="eastAsia" w:ascii="宋体" w:hAnsi="宋体" w:eastAsia="宋体" w:cs="宋体"/>
          <w:color w:val="auto"/>
          <w:sz w:val="28"/>
          <w:szCs w:val="28"/>
          <w:highlight w:val="none"/>
        </w:rPr>
        <w:t>②</w:t>
      </w:r>
      <w:r>
        <w:rPr>
          <w:rFonts w:ascii="Times New Roman" w:hAnsi="Times New Roman" w:eastAsia="楷体" w:cs="Times New Roman"/>
          <w:color w:val="auto"/>
          <w:sz w:val="28"/>
          <w:szCs w:val="28"/>
          <w:highlight w:val="none"/>
        </w:rPr>
        <w:t>备品备件及其他合理评估值。</w:t>
      </w:r>
    </w:p>
    <w:p w14:paraId="62E15CDD">
      <w:pPr>
        <w:spacing w:line="360" w:lineRule="auto"/>
        <w:ind w:firstLine="560" w:firstLineChars="20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C：提前终止所发生第三方的费用（工程、采购服务合同提前终止补偿、解除劳动合同补偿金等）；</w:t>
      </w:r>
    </w:p>
    <w:p w14:paraId="0B576EEC">
      <w:pPr>
        <w:spacing w:line="360" w:lineRule="auto"/>
        <w:ind w:firstLine="560" w:firstLineChars="20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D：项目违约赔偿金，取值为</w:t>
      </w:r>
      <w:r>
        <w:rPr>
          <w:rFonts w:hint="eastAsia" w:ascii="Times New Roman" w:hAnsi="Times New Roman" w:eastAsia="楷体" w:cs="Times New Roman"/>
          <w:color w:val="auto"/>
          <w:sz w:val="28"/>
          <w:szCs w:val="28"/>
          <w:highlight w:val="none"/>
          <w:lang w:val="en-US" w:eastAsia="zh-CN"/>
        </w:rPr>
        <w:t>2</w:t>
      </w:r>
      <w:r>
        <w:rPr>
          <w:rFonts w:ascii="Times New Roman" w:hAnsi="Times New Roman" w:eastAsia="楷体" w:cs="Times New Roman"/>
          <w:color w:val="auto"/>
          <w:sz w:val="28"/>
          <w:szCs w:val="28"/>
          <w:highlight w:val="none"/>
        </w:rPr>
        <w:t>000万元；</w:t>
      </w:r>
    </w:p>
    <w:p w14:paraId="3F2076F2">
      <w:pPr>
        <w:spacing w:line="360" w:lineRule="auto"/>
        <w:ind w:firstLine="560" w:firstLineChars="20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E：为经审计的</w:t>
      </w:r>
      <w:r>
        <w:rPr>
          <w:rFonts w:hint="eastAsia" w:ascii="Times New Roman" w:hAnsi="Times New Roman" w:eastAsia="楷体" w:cs="Times New Roman"/>
          <w:color w:val="auto"/>
          <w:sz w:val="28"/>
          <w:szCs w:val="28"/>
          <w:highlight w:val="none"/>
          <w:lang w:eastAsia="zh-CN"/>
        </w:rPr>
        <w:t>特许经营者/项目公司</w:t>
      </w:r>
      <w:r>
        <w:rPr>
          <w:rFonts w:ascii="Times New Roman" w:hAnsi="Times New Roman" w:eastAsia="楷体" w:cs="Times New Roman"/>
          <w:color w:val="auto"/>
          <w:sz w:val="28"/>
          <w:szCs w:val="28"/>
          <w:highlight w:val="none"/>
        </w:rPr>
        <w:t>账面资产净值；</w:t>
      </w:r>
    </w:p>
    <w:p w14:paraId="00E52EEA">
      <w:pPr>
        <w:spacing w:line="360" w:lineRule="auto"/>
        <w:ind w:firstLine="560" w:firstLineChars="20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F：发生不可抗力情形时，根据《</w:t>
      </w:r>
      <w:r>
        <w:rPr>
          <w:rFonts w:hint="eastAsia" w:ascii="Times New Roman" w:hAnsi="Times New Roman" w:eastAsia="楷体" w:cs="Times New Roman"/>
          <w:color w:val="auto"/>
          <w:sz w:val="28"/>
          <w:szCs w:val="28"/>
          <w:highlight w:val="none"/>
          <w:lang w:eastAsia="zh-CN"/>
        </w:rPr>
        <w:t>特许经营协议</w:t>
      </w:r>
      <w:r>
        <w:rPr>
          <w:rFonts w:ascii="Times New Roman" w:hAnsi="Times New Roman" w:eastAsia="楷体" w:cs="Times New Roman"/>
          <w:color w:val="auto"/>
          <w:sz w:val="28"/>
          <w:szCs w:val="28"/>
          <w:highlight w:val="none"/>
        </w:rPr>
        <w:t>》及相关保险合同约定，</w:t>
      </w:r>
      <w:r>
        <w:rPr>
          <w:rFonts w:hint="eastAsia" w:ascii="Times New Roman" w:hAnsi="Times New Roman" w:eastAsia="楷体" w:cs="Times New Roman"/>
          <w:color w:val="auto"/>
          <w:sz w:val="28"/>
          <w:szCs w:val="28"/>
          <w:highlight w:val="none"/>
          <w:lang w:eastAsia="zh-CN"/>
        </w:rPr>
        <w:t>特许经营者/项目公司</w:t>
      </w:r>
      <w:r>
        <w:rPr>
          <w:rFonts w:ascii="Times New Roman" w:hAnsi="Times New Roman" w:eastAsia="楷体" w:cs="Times New Roman"/>
          <w:color w:val="auto"/>
          <w:sz w:val="28"/>
          <w:szCs w:val="28"/>
          <w:highlight w:val="none"/>
        </w:rPr>
        <w:t>（含贷款方）实际获得的保险赔款；</w:t>
      </w:r>
    </w:p>
    <w:p w14:paraId="58F3E225">
      <w:pPr>
        <w:spacing w:line="360" w:lineRule="auto"/>
        <w:ind w:firstLine="560" w:firstLineChars="20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G：发生不可抗力情形时，因</w:t>
      </w:r>
      <w:r>
        <w:rPr>
          <w:rFonts w:hint="eastAsia" w:ascii="Times New Roman" w:hAnsi="Times New Roman" w:eastAsia="楷体" w:cs="Times New Roman"/>
          <w:color w:val="auto"/>
          <w:sz w:val="28"/>
          <w:szCs w:val="28"/>
          <w:highlight w:val="none"/>
          <w:lang w:eastAsia="zh-CN"/>
        </w:rPr>
        <w:t>特许经营者/项目公司</w:t>
      </w:r>
      <w:r>
        <w:rPr>
          <w:rFonts w:ascii="Times New Roman" w:hAnsi="Times New Roman" w:eastAsia="楷体" w:cs="Times New Roman"/>
          <w:color w:val="auto"/>
          <w:sz w:val="28"/>
          <w:szCs w:val="28"/>
          <w:highlight w:val="none"/>
        </w:rPr>
        <w:t>投保不足，导致所获保险赔款无法使项目设施恢复到出险前的正常状态和价值的恢复性建设费用缺额部分（如有）。</w:t>
      </w:r>
    </w:p>
    <w:p w14:paraId="0F30C43A">
      <w:pPr>
        <w:pStyle w:val="6"/>
        <w:spacing w:before="0" w:after="0" w:line="360" w:lineRule="auto"/>
        <w:ind w:firstLine="522" w:firstLineChars="200"/>
        <w:rPr>
          <w:rFonts w:ascii="Times New Roman" w:hAnsi="Times New Roman" w:eastAsia="楷体" w:cs="Times New Roman"/>
          <w:color w:val="auto"/>
          <w:highlight w:val="none"/>
        </w:rPr>
      </w:pPr>
      <w:r>
        <w:rPr>
          <w:rFonts w:hint="eastAsia" w:ascii="Times New Roman" w:hAnsi="Times New Roman" w:eastAsia="楷体" w:cs="Times New Roman"/>
          <w:color w:val="auto"/>
          <w:highlight w:val="none"/>
          <w:lang w:eastAsia="zh-CN"/>
        </w:rPr>
        <w:t>（</w:t>
      </w:r>
      <w:r>
        <w:rPr>
          <w:rFonts w:hint="eastAsia" w:ascii="Times New Roman" w:hAnsi="Times New Roman" w:eastAsia="楷体" w:cs="Times New Roman"/>
          <w:color w:val="auto"/>
          <w:highlight w:val="none"/>
          <w:lang w:val="en-US" w:eastAsia="zh-CN"/>
        </w:rPr>
        <w:t>5</w:t>
      </w:r>
      <w:r>
        <w:rPr>
          <w:rFonts w:hint="eastAsia" w:ascii="Times New Roman" w:hAnsi="Times New Roman" w:eastAsia="楷体" w:cs="Times New Roman"/>
          <w:color w:val="auto"/>
          <w:highlight w:val="none"/>
          <w:lang w:eastAsia="zh-CN"/>
        </w:rPr>
        <w:t>）</w:t>
      </w:r>
      <w:r>
        <w:rPr>
          <w:rFonts w:ascii="Times New Roman" w:hAnsi="Times New Roman" w:eastAsia="楷体" w:cs="Times New Roman"/>
          <w:color w:val="auto"/>
          <w:highlight w:val="none"/>
        </w:rPr>
        <w:t>合同变更</w:t>
      </w:r>
    </w:p>
    <w:p w14:paraId="255233C4">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特许经营期内，特许经营协议可以作出修改、补充或变更，本项目</w:t>
      </w:r>
      <w:r>
        <w:rPr>
          <w:rFonts w:hint="eastAsia" w:ascii="Times New Roman" w:hAnsi="Times New Roman" w:eastAsia="楷体" w:cs="Times New Roman"/>
          <w:color w:val="auto"/>
          <w:sz w:val="28"/>
          <w:szCs w:val="28"/>
          <w:highlight w:val="none"/>
          <w:lang w:val="en-US" w:eastAsia="zh-CN"/>
        </w:rPr>
        <w:t>特许经营协议</w:t>
      </w:r>
      <w:r>
        <w:rPr>
          <w:rFonts w:hint="eastAsia" w:ascii="Times New Roman" w:hAnsi="Times New Roman" w:eastAsia="楷体" w:cs="Times New Roman"/>
          <w:color w:val="auto"/>
          <w:sz w:val="28"/>
          <w:szCs w:val="28"/>
          <w:highlight w:val="none"/>
        </w:rPr>
        <w:t>变更的触发条件包括：</w:t>
      </w:r>
    </w:p>
    <w:p w14:paraId="1C7A6637">
      <w:pPr>
        <w:numPr>
          <w:ilvl w:val="0"/>
          <w:numId w:val="11"/>
        </w:numPr>
        <w:spacing w:line="360" w:lineRule="auto"/>
        <w:ind w:left="980" w:hanging="42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法律政策规定所产生的变更；</w:t>
      </w:r>
    </w:p>
    <w:p w14:paraId="1A2B9969">
      <w:pPr>
        <w:numPr>
          <w:ilvl w:val="0"/>
          <w:numId w:val="11"/>
        </w:numPr>
        <w:spacing w:line="360" w:lineRule="auto"/>
        <w:ind w:left="980" w:hanging="42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lang w:val="en-US" w:eastAsia="zh-CN"/>
        </w:rPr>
        <w:t>污水处理量连续两年低于本实施方案测算值的70%</w:t>
      </w:r>
      <w:r>
        <w:rPr>
          <w:rFonts w:ascii="Times New Roman" w:hAnsi="Times New Roman" w:eastAsia="楷体" w:cs="Times New Roman"/>
          <w:color w:val="auto"/>
          <w:sz w:val="28"/>
          <w:szCs w:val="28"/>
          <w:highlight w:val="none"/>
        </w:rPr>
        <w:t>；</w:t>
      </w:r>
    </w:p>
    <w:p w14:paraId="767712B1">
      <w:pPr>
        <w:numPr>
          <w:ilvl w:val="0"/>
          <w:numId w:val="11"/>
        </w:numPr>
        <w:spacing w:line="360" w:lineRule="auto"/>
        <w:ind w:left="980" w:hanging="42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合同条款侵害社会公众利益；</w:t>
      </w:r>
    </w:p>
    <w:p w14:paraId="48CADAF0">
      <w:pPr>
        <w:numPr>
          <w:ilvl w:val="0"/>
          <w:numId w:val="11"/>
        </w:numPr>
        <w:spacing w:line="360" w:lineRule="auto"/>
        <w:ind w:left="980" w:hanging="42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因合同条款的规定，</w:t>
      </w:r>
      <w:r>
        <w:rPr>
          <w:rFonts w:hint="eastAsia" w:ascii="Times New Roman" w:hAnsi="Times New Roman" w:eastAsia="楷体" w:cs="Times New Roman"/>
          <w:color w:val="auto"/>
          <w:sz w:val="28"/>
          <w:szCs w:val="28"/>
          <w:highlight w:val="none"/>
        </w:rPr>
        <w:t>特许经营者</w:t>
      </w:r>
      <w:r>
        <w:rPr>
          <w:rFonts w:ascii="Times New Roman" w:hAnsi="Times New Roman" w:eastAsia="楷体" w:cs="Times New Roman"/>
          <w:color w:val="auto"/>
          <w:sz w:val="28"/>
          <w:szCs w:val="28"/>
          <w:highlight w:val="none"/>
        </w:rPr>
        <w:t>难以持续运营本项目；</w:t>
      </w:r>
    </w:p>
    <w:p w14:paraId="4130416B">
      <w:pPr>
        <w:numPr>
          <w:ilvl w:val="0"/>
          <w:numId w:val="11"/>
        </w:numPr>
        <w:spacing w:line="360" w:lineRule="auto"/>
        <w:ind w:left="980" w:hanging="42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特许经营中期评估提出的必要的变更；</w:t>
      </w:r>
    </w:p>
    <w:p w14:paraId="77D15375">
      <w:pPr>
        <w:numPr>
          <w:ilvl w:val="0"/>
          <w:numId w:val="11"/>
        </w:numPr>
        <w:spacing w:line="360" w:lineRule="auto"/>
        <w:ind w:left="980" w:hanging="42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双方协商一致对合同进行变更。</w:t>
      </w:r>
    </w:p>
    <w:p w14:paraId="1762B93F">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项目合同的变更与修订应以书面形式作出，并报经</w:t>
      </w:r>
      <w:r>
        <w:rPr>
          <w:rFonts w:hint="eastAsia" w:ascii="Times New Roman" w:hAnsi="Times New Roman" w:eastAsia="楷体" w:cs="Times New Roman"/>
          <w:color w:val="auto"/>
          <w:sz w:val="28"/>
          <w:szCs w:val="28"/>
          <w:highlight w:val="none"/>
          <w:lang w:val="en-US" w:eastAsia="zh-CN"/>
        </w:rPr>
        <w:t>江都区</w:t>
      </w:r>
      <w:r>
        <w:rPr>
          <w:rFonts w:hint="eastAsia" w:ascii="Times New Roman" w:hAnsi="Times New Roman" w:eastAsia="楷体" w:cs="Times New Roman"/>
          <w:color w:val="auto"/>
          <w:sz w:val="28"/>
          <w:szCs w:val="28"/>
          <w:highlight w:val="none"/>
        </w:rPr>
        <w:t>政府审批同意。</w:t>
      </w:r>
    </w:p>
    <w:p w14:paraId="4C14254F">
      <w:pPr>
        <w:pStyle w:val="6"/>
        <w:spacing w:before="0" w:after="0" w:line="360" w:lineRule="auto"/>
        <w:ind w:firstLine="522" w:firstLineChars="200"/>
        <w:rPr>
          <w:rFonts w:ascii="Times New Roman" w:hAnsi="Times New Roman" w:eastAsia="楷体" w:cs="Times New Roman"/>
          <w:color w:val="auto"/>
          <w:highlight w:val="none"/>
        </w:rPr>
      </w:pPr>
      <w:r>
        <w:rPr>
          <w:rFonts w:hint="eastAsia" w:ascii="Times New Roman" w:hAnsi="Times New Roman" w:eastAsia="楷体" w:cs="Times New Roman"/>
          <w:color w:val="auto"/>
          <w:highlight w:val="none"/>
          <w:lang w:eastAsia="zh-CN"/>
        </w:rPr>
        <w:t>（</w:t>
      </w:r>
      <w:r>
        <w:rPr>
          <w:rFonts w:hint="eastAsia" w:ascii="Times New Roman" w:hAnsi="Times New Roman" w:eastAsia="楷体" w:cs="Times New Roman"/>
          <w:color w:val="auto"/>
          <w:highlight w:val="none"/>
          <w:lang w:val="en-US" w:eastAsia="zh-CN"/>
        </w:rPr>
        <w:t>6</w:t>
      </w:r>
      <w:r>
        <w:rPr>
          <w:rFonts w:hint="eastAsia" w:ascii="Times New Roman" w:hAnsi="Times New Roman" w:eastAsia="楷体" w:cs="Times New Roman"/>
          <w:color w:val="auto"/>
          <w:highlight w:val="none"/>
          <w:lang w:eastAsia="zh-CN"/>
        </w:rPr>
        <w:t>）</w:t>
      </w:r>
      <w:r>
        <w:rPr>
          <w:rFonts w:ascii="Times New Roman" w:hAnsi="Times New Roman" w:eastAsia="楷体" w:cs="Times New Roman"/>
          <w:color w:val="auto"/>
          <w:highlight w:val="none"/>
        </w:rPr>
        <w:t>合同展期</w:t>
      </w:r>
    </w:p>
    <w:p w14:paraId="01CD740F">
      <w:pPr>
        <w:spacing w:line="360" w:lineRule="auto"/>
        <w:ind w:firstLine="560" w:firstLineChars="20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1）如果由于以下任何原因，导致特许经营期实质性缩短，</w:t>
      </w:r>
      <w:r>
        <w:rPr>
          <w:rFonts w:hint="eastAsia" w:ascii="Times New Roman" w:hAnsi="Times New Roman" w:eastAsia="楷体" w:cs="Times New Roman"/>
          <w:color w:val="auto"/>
          <w:sz w:val="28"/>
          <w:szCs w:val="28"/>
          <w:highlight w:val="none"/>
          <w:lang w:eastAsia="zh-CN"/>
        </w:rPr>
        <w:t>特许经营期</w:t>
      </w:r>
      <w:r>
        <w:rPr>
          <w:rFonts w:ascii="Times New Roman" w:hAnsi="Times New Roman" w:eastAsia="楷体" w:cs="Times New Roman"/>
          <w:color w:val="auto"/>
          <w:sz w:val="28"/>
          <w:szCs w:val="28"/>
          <w:highlight w:val="none"/>
        </w:rPr>
        <w:t>限可根据《特许经营协议》的相应规定，并经双方书面达成一致后延长：</w:t>
      </w:r>
    </w:p>
    <w:p w14:paraId="7DF841E6">
      <w:pPr>
        <w:numPr>
          <w:ilvl w:val="0"/>
          <w:numId w:val="12"/>
        </w:numPr>
        <w:spacing w:line="360" w:lineRule="auto"/>
        <w:ind w:left="980" w:hanging="42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政府方履行其义务的任何延误；</w:t>
      </w:r>
    </w:p>
    <w:p w14:paraId="052AB203">
      <w:pPr>
        <w:numPr>
          <w:ilvl w:val="0"/>
          <w:numId w:val="12"/>
        </w:numPr>
        <w:spacing w:line="360" w:lineRule="auto"/>
        <w:ind w:left="980" w:hanging="42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不可抗力。</w:t>
      </w:r>
    </w:p>
    <w:p w14:paraId="4CDA8045">
      <w:pPr>
        <w:spacing w:line="360" w:lineRule="auto"/>
        <w:ind w:firstLine="560" w:firstLineChars="20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2）</w:t>
      </w:r>
      <w:r>
        <w:rPr>
          <w:rFonts w:hint="eastAsia" w:ascii="Times New Roman" w:hAnsi="Times New Roman" w:eastAsia="楷体" w:cs="Times New Roman"/>
          <w:color w:val="auto"/>
          <w:sz w:val="28"/>
          <w:szCs w:val="28"/>
          <w:highlight w:val="none"/>
          <w:lang w:eastAsia="zh-CN"/>
        </w:rPr>
        <w:t>特许经营者/项目公司</w:t>
      </w:r>
      <w:r>
        <w:rPr>
          <w:rFonts w:ascii="Times New Roman" w:hAnsi="Times New Roman" w:eastAsia="楷体" w:cs="Times New Roman"/>
          <w:color w:val="auto"/>
          <w:sz w:val="28"/>
          <w:szCs w:val="28"/>
          <w:highlight w:val="none"/>
        </w:rPr>
        <w:t>应提供所有合理的文件以便于政府方能够对</w:t>
      </w:r>
      <w:r>
        <w:rPr>
          <w:rFonts w:hint="eastAsia" w:ascii="Times New Roman" w:hAnsi="Times New Roman" w:eastAsia="楷体" w:cs="Times New Roman"/>
          <w:color w:val="auto"/>
          <w:sz w:val="28"/>
          <w:szCs w:val="28"/>
          <w:highlight w:val="none"/>
          <w:lang w:eastAsia="zh-CN"/>
        </w:rPr>
        <w:t>特许经营者/项目公司</w:t>
      </w:r>
      <w:r>
        <w:rPr>
          <w:rFonts w:ascii="Times New Roman" w:hAnsi="Times New Roman" w:eastAsia="楷体" w:cs="Times New Roman"/>
          <w:color w:val="auto"/>
          <w:sz w:val="28"/>
          <w:szCs w:val="28"/>
          <w:highlight w:val="none"/>
        </w:rPr>
        <w:t>所提出的</w:t>
      </w:r>
      <w:r>
        <w:rPr>
          <w:rFonts w:hint="eastAsia" w:ascii="Times New Roman" w:hAnsi="Times New Roman" w:eastAsia="楷体" w:cs="Times New Roman"/>
          <w:color w:val="auto"/>
          <w:sz w:val="28"/>
          <w:szCs w:val="28"/>
          <w:highlight w:val="none"/>
          <w:lang w:eastAsia="zh-CN"/>
        </w:rPr>
        <w:t>特许经营期</w:t>
      </w:r>
      <w:r>
        <w:rPr>
          <w:rFonts w:ascii="Times New Roman" w:hAnsi="Times New Roman" w:eastAsia="楷体" w:cs="Times New Roman"/>
          <w:color w:val="auto"/>
          <w:sz w:val="28"/>
          <w:szCs w:val="28"/>
          <w:highlight w:val="none"/>
        </w:rPr>
        <w:t>延期的原因和时间进行核实。</w:t>
      </w:r>
    </w:p>
    <w:p w14:paraId="06F2A580">
      <w:pPr>
        <w:pStyle w:val="6"/>
        <w:spacing w:before="0" w:after="0" w:line="360" w:lineRule="auto"/>
        <w:ind w:firstLine="522" w:firstLineChars="200"/>
        <w:rPr>
          <w:rFonts w:ascii="Times New Roman" w:hAnsi="Times New Roman" w:eastAsia="楷体" w:cs="Times New Roman"/>
          <w:color w:val="auto"/>
          <w:highlight w:val="none"/>
        </w:rPr>
      </w:pPr>
      <w:r>
        <w:rPr>
          <w:rFonts w:hint="eastAsia" w:ascii="Times New Roman" w:hAnsi="Times New Roman" w:eastAsia="楷体" w:cs="Times New Roman"/>
          <w:color w:val="auto"/>
          <w:highlight w:val="none"/>
          <w:lang w:eastAsia="zh-CN"/>
        </w:rPr>
        <w:t>（</w:t>
      </w:r>
      <w:r>
        <w:rPr>
          <w:rFonts w:hint="eastAsia" w:ascii="Times New Roman" w:hAnsi="Times New Roman" w:eastAsia="楷体" w:cs="Times New Roman"/>
          <w:color w:val="auto"/>
          <w:highlight w:val="none"/>
          <w:lang w:val="en-US" w:eastAsia="zh-CN"/>
        </w:rPr>
        <w:t>7</w:t>
      </w:r>
      <w:r>
        <w:rPr>
          <w:rFonts w:hint="eastAsia" w:ascii="Times New Roman" w:hAnsi="Times New Roman" w:eastAsia="楷体" w:cs="Times New Roman"/>
          <w:color w:val="auto"/>
          <w:highlight w:val="none"/>
          <w:lang w:eastAsia="zh-CN"/>
        </w:rPr>
        <w:t>）</w:t>
      </w:r>
      <w:r>
        <w:rPr>
          <w:rFonts w:ascii="Times New Roman" w:hAnsi="Times New Roman" w:eastAsia="楷体" w:cs="Times New Roman"/>
          <w:color w:val="auto"/>
          <w:highlight w:val="none"/>
        </w:rPr>
        <w:t>项目新增改扩建需求</w:t>
      </w:r>
    </w:p>
    <w:p w14:paraId="717BC378">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当存在下列情形，</w:t>
      </w:r>
      <w:r>
        <w:rPr>
          <w:rFonts w:hint="eastAsia" w:ascii="Times New Roman" w:hAnsi="Times New Roman" w:eastAsia="楷体" w:cs="Times New Roman"/>
          <w:color w:val="auto"/>
          <w:sz w:val="28"/>
          <w:szCs w:val="28"/>
          <w:highlight w:val="none"/>
          <w:lang w:eastAsia="zh-CN"/>
        </w:rPr>
        <w:t>政府</w:t>
      </w:r>
      <w:r>
        <w:rPr>
          <w:rFonts w:hint="eastAsia" w:ascii="Times New Roman" w:hAnsi="Times New Roman" w:eastAsia="楷体" w:cs="Times New Roman"/>
          <w:color w:val="auto"/>
          <w:sz w:val="28"/>
          <w:szCs w:val="28"/>
          <w:highlight w:val="none"/>
        </w:rPr>
        <w:t>可以要求对项目设施进行必要的技术改造或者扩建：</w:t>
      </w:r>
    </w:p>
    <w:p w14:paraId="51F4235F">
      <w:pPr>
        <w:numPr>
          <w:ilvl w:val="0"/>
          <w:numId w:val="13"/>
        </w:numPr>
        <w:spacing w:line="360" w:lineRule="auto"/>
        <w:ind w:left="980" w:hanging="42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因项目工艺缺陷</w:t>
      </w:r>
      <w:r>
        <w:rPr>
          <w:rFonts w:hint="eastAsia" w:ascii="Times New Roman" w:hAnsi="Times New Roman" w:eastAsia="楷体" w:cs="Times New Roman"/>
          <w:color w:val="auto"/>
          <w:sz w:val="28"/>
          <w:szCs w:val="28"/>
          <w:highlight w:val="none"/>
          <w:lang w:val="en-US" w:eastAsia="zh-CN"/>
        </w:rPr>
        <w:t>或工艺无法实现污水处理达标排放标准</w:t>
      </w:r>
      <w:r>
        <w:rPr>
          <w:rFonts w:ascii="Times New Roman" w:hAnsi="Times New Roman" w:eastAsia="楷体" w:cs="Times New Roman"/>
          <w:color w:val="auto"/>
          <w:sz w:val="28"/>
          <w:szCs w:val="28"/>
          <w:highlight w:val="none"/>
        </w:rPr>
        <w:t>，</w:t>
      </w:r>
      <w:r>
        <w:rPr>
          <w:rFonts w:hint="eastAsia" w:ascii="Times New Roman" w:hAnsi="Times New Roman" w:eastAsia="楷体" w:cs="Times New Roman"/>
          <w:color w:val="auto"/>
          <w:sz w:val="28"/>
          <w:szCs w:val="28"/>
          <w:highlight w:val="none"/>
          <w:lang w:eastAsia="zh-CN"/>
        </w:rPr>
        <w:t>特许经营者/项目公司</w:t>
      </w:r>
      <w:r>
        <w:rPr>
          <w:rFonts w:ascii="Times New Roman" w:hAnsi="Times New Roman" w:eastAsia="楷体" w:cs="Times New Roman"/>
          <w:color w:val="auto"/>
          <w:sz w:val="28"/>
          <w:szCs w:val="28"/>
          <w:highlight w:val="none"/>
        </w:rPr>
        <w:t>根据国家相关政策提出更新改造计划，并经实施机构认可同意实施；</w:t>
      </w:r>
    </w:p>
    <w:p w14:paraId="409DA93A">
      <w:pPr>
        <w:numPr>
          <w:ilvl w:val="0"/>
          <w:numId w:val="13"/>
        </w:numPr>
        <w:spacing w:line="360" w:lineRule="auto"/>
        <w:ind w:left="980" w:hanging="42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项目需要执行法律新的标准；</w:t>
      </w:r>
    </w:p>
    <w:p w14:paraId="53F12289">
      <w:pPr>
        <w:numPr>
          <w:ilvl w:val="0"/>
          <w:numId w:val="13"/>
        </w:numPr>
        <w:spacing w:line="360" w:lineRule="auto"/>
        <w:ind w:left="980" w:hanging="42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政府方提出的其他改扩建需求。</w:t>
      </w:r>
    </w:p>
    <w:p w14:paraId="0FD00A26">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在政府方和</w:t>
      </w:r>
      <w:r>
        <w:rPr>
          <w:rFonts w:hint="eastAsia" w:ascii="Times New Roman" w:hAnsi="Times New Roman" w:eastAsia="楷体" w:cs="Times New Roman"/>
          <w:color w:val="auto"/>
          <w:sz w:val="28"/>
          <w:szCs w:val="28"/>
          <w:highlight w:val="none"/>
          <w:lang w:eastAsia="zh-CN"/>
        </w:rPr>
        <w:t>特许经营者/项目公司</w:t>
      </w:r>
      <w:r>
        <w:rPr>
          <w:rFonts w:hint="eastAsia" w:ascii="Times New Roman" w:hAnsi="Times New Roman" w:eastAsia="楷体" w:cs="Times New Roman"/>
          <w:color w:val="auto"/>
          <w:sz w:val="28"/>
          <w:szCs w:val="28"/>
          <w:highlight w:val="none"/>
        </w:rPr>
        <w:t>协商一致的情况下，可以通过签署补充协议，由</w:t>
      </w:r>
      <w:r>
        <w:rPr>
          <w:rFonts w:hint="eastAsia" w:ascii="Times New Roman" w:hAnsi="Times New Roman" w:eastAsia="楷体" w:cs="Times New Roman"/>
          <w:color w:val="auto"/>
          <w:sz w:val="28"/>
          <w:szCs w:val="28"/>
          <w:highlight w:val="none"/>
          <w:lang w:eastAsia="zh-CN"/>
        </w:rPr>
        <w:t>特许经营者/项目公司</w:t>
      </w:r>
      <w:r>
        <w:rPr>
          <w:rFonts w:hint="eastAsia" w:ascii="Times New Roman" w:hAnsi="Times New Roman" w:eastAsia="楷体" w:cs="Times New Roman"/>
          <w:color w:val="auto"/>
          <w:sz w:val="28"/>
          <w:szCs w:val="28"/>
          <w:highlight w:val="none"/>
        </w:rPr>
        <w:t>负责技术改造工程，具体投资额由政府方和</w:t>
      </w:r>
      <w:r>
        <w:rPr>
          <w:rFonts w:hint="eastAsia" w:ascii="Times New Roman" w:hAnsi="Times New Roman" w:eastAsia="楷体" w:cs="Times New Roman"/>
          <w:color w:val="auto"/>
          <w:sz w:val="28"/>
          <w:szCs w:val="28"/>
          <w:highlight w:val="none"/>
          <w:lang w:eastAsia="zh-CN"/>
        </w:rPr>
        <w:t>特许经营者/项目公司</w:t>
      </w:r>
      <w:r>
        <w:rPr>
          <w:rFonts w:hint="eastAsia" w:ascii="Times New Roman" w:hAnsi="Times New Roman" w:eastAsia="楷体" w:cs="Times New Roman"/>
          <w:color w:val="auto"/>
          <w:sz w:val="28"/>
          <w:szCs w:val="28"/>
          <w:highlight w:val="none"/>
        </w:rPr>
        <w:t>共同委托双方认可的审计机构审定。政府方也可以自行组织实施上述技术改造工程。对于</w:t>
      </w:r>
      <w:r>
        <w:rPr>
          <w:rFonts w:hint="eastAsia" w:ascii="Times New Roman" w:hAnsi="Times New Roman" w:eastAsia="楷体" w:cs="Times New Roman"/>
          <w:color w:val="auto"/>
          <w:sz w:val="28"/>
          <w:szCs w:val="28"/>
          <w:highlight w:val="none"/>
          <w:lang w:eastAsia="zh-CN"/>
        </w:rPr>
        <w:t>特许经营者/项目公司涉及</w:t>
      </w:r>
      <w:r>
        <w:rPr>
          <w:rFonts w:hint="eastAsia" w:ascii="Times New Roman" w:hAnsi="Times New Roman" w:eastAsia="楷体" w:cs="Times New Roman"/>
          <w:color w:val="auto"/>
          <w:sz w:val="28"/>
          <w:szCs w:val="28"/>
          <w:highlight w:val="none"/>
        </w:rPr>
        <w:t>的资本性支出或运营成本的增加，届时由双方通过</w:t>
      </w:r>
      <w:r>
        <w:rPr>
          <w:rFonts w:hint="eastAsia" w:ascii="Times New Roman" w:hAnsi="Times New Roman" w:eastAsia="楷体" w:cs="Times New Roman"/>
          <w:color w:val="auto"/>
          <w:sz w:val="28"/>
          <w:szCs w:val="28"/>
          <w:highlight w:val="none"/>
          <w:lang w:val="en-US" w:eastAsia="zh-CN"/>
        </w:rPr>
        <w:t>调整污水处理费的方式</w:t>
      </w:r>
      <w:r>
        <w:rPr>
          <w:rFonts w:hint="eastAsia" w:ascii="Times New Roman" w:hAnsi="Times New Roman" w:eastAsia="楷体" w:cs="Times New Roman"/>
          <w:color w:val="auto"/>
          <w:sz w:val="28"/>
          <w:szCs w:val="28"/>
          <w:highlight w:val="none"/>
        </w:rPr>
        <w:t>予以</w:t>
      </w:r>
      <w:r>
        <w:rPr>
          <w:rFonts w:hint="eastAsia" w:ascii="Times New Roman" w:hAnsi="Times New Roman" w:eastAsia="楷体" w:cs="Times New Roman"/>
          <w:color w:val="auto"/>
          <w:sz w:val="28"/>
          <w:szCs w:val="28"/>
          <w:highlight w:val="none"/>
          <w:lang w:val="en-US" w:eastAsia="zh-CN"/>
        </w:rPr>
        <w:t>补偿，污水处理费调整不了，则财政提供补贴</w:t>
      </w:r>
      <w:r>
        <w:rPr>
          <w:rFonts w:hint="eastAsia" w:ascii="Times New Roman" w:hAnsi="Times New Roman" w:eastAsia="楷体" w:cs="Times New Roman"/>
          <w:color w:val="auto"/>
          <w:sz w:val="28"/>
          <w:szCs w:val="28"/>
          <w:highlight w:val="none"/>
        </w:rPr>
        <w:t>。</w:t>
      </w:r>
    </w:p>
    <w:p w14:paraId="1F9C2A45">
      <w:pPr>
        <w:pStyle w:val="6"/>
        <w:spacing w:before="0" w:after="0" w:line="360" w:lineRule="auto"/>
        <w:ind w:firstLine="522" w:firstLineChars="200"/>
        <w:rPr>
          <w:rFonts w:ascii="Times New Roman" w:hAnsi="Times New Roman" w:eastAsia="楷体" w:cs="Times New Roman"/>
          <w:color w:val="auto"/>
          <w:highlight w:val="none"/>
        </w:rPr>
      </w:pPr>
      <w:r>
        <w:rPr>
          <w:rFonts w:hint="eastAsia" w:ascii="Times New Roman" w:hAnsi="Times New Roman" w:eastAsia="楷体" w:cs="Times New Roman"/>
          <w:color w:val="auto"/>
          <w:highlight w:val="none"/>
          <w:lang w:eastAsia="zh-CN"/>
        </w:rPr>
        <w:t>（</w:t>
      </w:r>
      <w:r>
        <w:rPr>
          <w:rFonts w:hint="eastAsia" w:ascii="Times New Roman" w:hAnsi="Times New Roman" w:eastAsia="楷体" w:cs="Times New Roman"/>
          <w:color w:val="auto"/>
          <w:highlight w:val="none"/>
          <w:lang w:val="en-US" w:eastAsia="zh-CN"/>
        </w:rPr>
        <w:t>8</w:t>
      </w:r>
      <w:r>
        <w:rPr>
          <w:rFonts w:hint="eastAsia" w:ascii="Times New Roman" w:hAnsi="Times New Roman" w:eastAsia="楷体" w:cs="Times New Roman"/>
          <w:color w:val="auto"/>
          <w:highlight w:val="none"/>
          <w:lang w:eastAsia="zh-CN"/>
        </w:rPr>
        <w:t>）</w:t>
      </w:r>
      <w:r>
        <w:rPr>
          <w:rFonts w:ascii="Times New Roman" w:hAnsi="Times New Roman" w:eastAsia="楷体" w:cs="Times New Roman"/>
          <w:color w:val="auto"/>
          <w:highlight w:val="none"/>
        </w:rPr>
        <w:t>违约及赔偿</w:t>
      </w:r>
    </w:p>
    <w:p w14:paraId="43833189">
      <w:pPr>
        <w:spacing w:line="360" w:lineRule="auto"/>
        <w:ind w:firstLine="560" w:firstLineChars="20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1）政府方违约及赔偿</w:t>
      </w:r>
    </w:p>
    <w:p w14:paraId="5C6B8B97">
      <w:pPr>
        <w:spacing w:line="360" w:lineRule="auto"/>
        <w:ind w:firstLine="560" w:firstLineChars="200"/>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val="en-US" w:eastAsia="zh-CN"/>
        </w:rPr>
        <w:t>①</w:t>
      </w:r>
      <w:r>
        <w:rPr>
          <w:rFonts w:hint="default" w:ascii="Times New Roman" w:hAnsi="Times New Roman" w:eastAsia="楷体" w:cs="Times New Roman"/>
          <w:color w:val="auto"/>
          <w:sz w:val="28"/>
          <w:szCs w:val="28"/>
          <w:highlight w:val="none"/>
        </w:rPr>
        <w:t>特许经营期初，甲方未按本协议约定向乙方移交资产的，就此等迟延期间，应当相应延长乙方特许经营期期限。</w:t>
      </w:r>
    </w:p>
    <w:p w14:paraId="475FB5C6">
      <w:pPr>
        <w:spacing w:line="360" w:lineRule="auto"/>
        <w:ind w:firstLine="560" w:firstLineChars="200"/>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val="en-US" w:eastAsia="zh-CN"/>
        </w:rPr>
        <w:t>②</w:t>
      </w:r>
      <w:r>
        <w:rPr>
          <w:rFonts w:hint="default" w:ascii="Times New Roman" w:hAnsi="Times New Roman" w:eastAsia="楷体" w:cs="Times New Roman"/>
          <w:color w:val="auto"/>
          <w:sz w:val="28"/>
          <w:szCs w:val="28"/>
          <w:highlight w:val="none"/>
        </w:rPr>
        <w:t>政府方未能按时向</w:t>
      </w:r>
      <w:r>
        <w:rPr>
          <w:rFonts w:hint="default" w:ascii="Times New Roman" w:hAnsi="Times New Roman" w:eastAsia="楷体" w:cs="Times New Roman"/>
          <w:color w:val="auto"/>
          <w:sz w:val="28"/>
          <w:szCs w:val="28"/>
          <w:highlight w:val="none"/>
          <w:lang w:eastAsia="zh-CN"/>
        </w:rPr>
        <w:t>特许经营者/项目公司</w:t>
      </w:r>
      <w:r>
        <w:rPr>
          <w:rFonts w:hint="default" w:ascii="Times New Roman" w:hAnsi="Times New Roman" w:eastAsia="楷体" w:cs="Times New Roman"/>
          <w:color w:val="auto"/>
          <w:sz w:val="28"/>
          <w:szCs w:val="28"/>
          <w:highlight w:val="none"/>
        </w:rPr>
        <w:t>结算相应的</w:t>
      </w:r>
      <w:r>
        <w:rPr>
          <w:rFonts w:hint="default" w:ascii="Times New Roman" w:hAnsi="Times New Roman" w:eastAsia="楷体" w:cs="Times New Roman"/>
          <w:color w:val="auto"/>
          <w:sz w:val="28"/>
          <w:szCs w:val="28"/>
          <w:highlight w:val="none"/>
          <w:lang w:eastAsia="zh-CN"/>
        </w:rPr>
        <w:t>污水</w:t>
      </w:r>
      <w:r>
        <w:rPr>
          <w:rFonts w:hint="default" w:ascii="Times New Roman" w:hAnsi="Times New Roman" w:eastAsia="楷体" w:cs="Times New Roman"/>
          <w:color w:val="auto"/>
          <w:sz w:val="28"/>
          <w:szCs w:val="28"/>
          <w:highlight w:val="none"/>
        </w:rPr>
        <w:t>处理服务费，</w:t>
      </w:r>
      <w:r>
        <w:rPr>
          <w:rFonts w:hint="default" w:ascii="Times New Roman" w:hAnsi="Times New Roman" w:eastAsia="楷体" w:cs="Times New Roman"/>
          <w:color w:val="auto"/>
          <w:sz w:val="28"/>
          <w:szCs w:val="28"/>
          <w:highlight w:val="none"/>
          <w:lang w:eastAsia="zh-CN"/>
        </w:rPr>
        <w:t>特许经营者/项目公司</w:t>
      </w:r>
      <w:r>
        <w:rPr>
          <w:rFonts w:hint="default" w:ascii="Times New Roman" w:hAnsi="Times New Roman" w:eastAsia="楷体" w:cs="Times New Roman"/>
          <w:color w:val="auto"/>
          <w:sz w:val="28"/>
          <w:szCs w:val="28"/>
          <w:highlight w:val="none"/>
        </w:rPr>
        <w:t>有权发出催告，如在催告通知后三十（30）日内仍未能支付的，则除应支付应付未付的</w:t>
      </w:r>
      <w:r>
        <w:rPr>
          <w:rFonts w:hint="default" w:ascii="Times New Roman" w:hAnsi="Times New Roman" w:eastAsia="楷体" w:cs="Times New Roman"/>
          <w:color w:val="auto"/>
          <w:sz w:val="28"/>
          <w:szCs w:val="28"/>
          <w:highlight w:val="none"/>
          <w:lang w:eastAsia="zh-CN"/>
        </w:rPr>
        <w:t>污水</w:t>
      </w:r>
      <w:r>
        <w:rPr>
          <w:rFonts w:hint="default" w:ascii="Times New Roman" w:hAnsi="Times New Roman" w:eastAsia="楷体" w:cs="Times New Roman"/>
          <w:color w:val="auto"/>
          <w:sz w:val="28"/>
          <w:szCs w:val="28"/>
          <w:highlight w:val="none"/>
        </w:rPr>
        <w:t>处理服务费外，还应支付违约金。每延误一日，以</w:t>
      </w:r>
      <w:r>
        <w:rPr>
          <w:rFonts w:hint="default" w:ascii="Times New Roman" w:hAnsi="Times New Roman" w:eastAsia="楷体" w:cs="Times New Roman"/>
          <w:color w:val="auto"/>
          <w:sz w:val="28"/>
          <w:szCs w:val="28"/>
          <w:highlight w:val="none"/>
          <w:lang w:eastAsia="zh-CN"/>
        </w:rPr>
        <w:t>污水</w:t>
      </w:r>
      <w:r>
        <w:rPr>
          <w:rFonts w:hint="default" w:ascii="Times New Roman" w:hAnsi="Times New Roman" w:eastAsia="楷体" w:cs="Times New Roman"/>
          <w:color w:val="auto"/>
          <w:sz w:val="28"/>
          <w:szCs w:val="28"/>
          <w:highlight w:val="none"/>
        </w:rPr>
        <w:t>处理服务费应付未付的金额为基数，从延期之日起，除向</w:t>
      </w:r>
      <w:r>
        <w:rPr>
          <w:rFonts w:hint="default" w:ascii="Times New Roman" w:hAnsi="Times New Roman" w:eastAsia="楷体" w:cs="Times New Roman"/>
          <w:color w:val="auto"/>
          <w:sz w:val="28"/>
          <w:szCs w:val="28"/>
          <w:highlight w:val="none"/>
          <w:lang w:eastAsia="zh-CN"/>
        </w:rPr>
        <w:t>特许经营者/项目公司</w:t>
      </w:r>
      <w:r>
        <w:rPr>
          <w:rFonts w:hint="default" w:ascii="Times New Roman" w:hAnsi="Times New Roman" w:eastAsia="楷体" w:cs="Times New Roman"/>
          <w:color w:val="auto"/>
          <w:sz w:val="28"/>
          <w:szCs w:val="28"/>
          <w:highlight w:val="none"/>
        </w:rPr>
        <w:t>支付延期付费外，还应按每日万分之三的利率向</w:t>
      </w:r>
      <w:r>
        <w:rPr>
          <w:rFonts w:hint="default" w:ascii="Times New Roman" w:hAnsi="Times New Roman" w:eastAsia="楷体" w:cs="Times New Roman"/>
          <w:color w:val="auto"/>
          <w:sz w:val="28"/>
          <w:szCs w:val="28"/>
          <w:highlight w:val="none"/>
          <w:lang w:eastAsia="zh-CN"/>
        </w:rPr>
        <w:t>特许经营者/项目公司</w:t>
      </w:r>
      <w:r>
        <w:rPr>
          <w:rFonts w:hint="default" w:ascii="Times New Roman" w:hAnsi="Times New Roman" w:eastAsia="楷体" w:cs="Times New Roman"/>
          <w:color w:val="auto"/>
          <w:sz w:val="28"/>
          <w:szCs w:val="28"/>
          <w:highlight w:val="none"/>
        </w:rPr>
        <w:t>支付应付未付金额产生的违约金。</w:t>
      </w:r>
    </w:p>
    <w:p w14:paraId="590524E4">
      <w:pPr>
        <w:spacing w:line="360" w:lineRule="auto"/>
        <w:ind w:firstLine="560" w:firstLineChars="20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2）</w:t>
      </w:r>
      <w:r>
        <w:rPr>
          <w:rFonts w:hint="eastAsia" w:ascii="Times New Roman" w:hAnsi="Times New Roman" w:eastAsia="楷体" w:cs="Times New Roman"/>
          <w:color w:val="auto"/>
          <w:sz w:val="28"/>
          <w:szCs w:val="28"/>
          <w:highlight w:val="none"/>
        </w:rPr>
        <w:t>特许经营者</w:t>
      </w:r>
      <w:r>
        <w:rPr>
          <w:rFonts w:ascii="Times New Roman" w:hAnsi="Times New Roman" w:eastAsia="楷体" w:cs="Times New Roman"/>
          <w:color w:val="auto"/>
          <w:sz w:val="28"/>
          <w:szCs w:val="28"/>
          <w:highlight w:val="none"/>
        </w:rPr>
        <w:t>违约及赔偿</w:t>
      </w:r>
    </w:p>
    <w:p w14:paraId="4EC5AD5B">
      <w:pPr>
        <w:spacing w:line="360" w:lineRule="auto"/>
        <w:ind w:firstLine="560" w:firstLineChars="200"/>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val="en-US" w:eastAsia="zh-CN"/>
        </w:rPr>
        <w:t>①</w:t>
      </w:r>
      <w:r>
        <w:rPr>
          <w:rFonts w:hint="default" w:ascii="Times New Roman" w:hAnsi="Times New Roman" w:eastAsia="楷体" w:cs="Times New Roman"/>
          <w:color w:val="auto"/>
          <w:sz w:val="28"/>
          <w:szCs w:val="28"/>
          <w:highlight w:val="none"/>
        </w:rPr>
        <w:t>投资资金未按时到账</w:t>
      </w:r>
    </w:p>
    <w:p w14:paraId="3CF1FD02">
      <w:pPr>
        <w:spacing w:line="360" w:lineRule="auto"/>
        <w:ind w:firstLine="560" w:firstLineChars="200"/>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rPr>
        <w:t>若特许经营者因自身原因未能按合同约定将</w:t>
      </w:r>
      <w:r>
        <w:rPr>
          <w:rFonts w:hint="default" w:ascii="Times New Roman" w:hAnsi="Times New Roman" w:eastAsia="楷体" w:cs="Times New Roman"/>
          <w:color w:val="auto"/>
          <w:sz w:val="28"/>
          <w:szCs w:val="28"/>
          <w:highlight w:val="none"/>
          <w:lang w:val="en-US" w:eastAsia="zh-CN"/>
        </w:rPr>
        <w:t>特许经营权转让费及运营所需</w:t>
      </w:r>
      <w:r>
        <w:rPr>
          <w:rFonts w:hint="default" w:ascii="Times New Roman" w:hAnsi="Times New Roman" w:eastAsia="楷体" w:cs="Times New Roman"/>
          <w:color w:val="auto"/>
          <w:sz w:val="28"/>
          <w:szCs w:val="28"/>
          <w:highlight w:val="none"/>
        </w:rPr>
        <w:t>资金筹措拨付到位，则向政府方承担项目未到位资金每日万分之三的违约金，违约金额累计不超过项目投资的百分之三（3%），延误期不计取财务费用。违约超过三（3）个月期限，政府方有权取消中标特许经营者的中标资格，并没收特许经营者的履约保函。</w:t>
      </w:r>
    </w:p>
    <w:p w14:paraId="45849E3D">
      <w:pPr>
        <w:spacing w:line="360" w:lineRule="auto"/>
        <w:ind w:firstLine="560" w:firstLineChars="200"/>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val="en-US" w:eastAsia="zh-CN"/>
        </w:rPr>
        <w:t>②</w:t>
      </w:r>
      <w:r>
        <w:rPr>
          <w:rFonts w:hint="default" w:ascii="Times New Roman" w:hAnsi="Times New Roman" w:eastAsia="楷体" w:cs="Times New Roman"/>
          <w:color w:val="auto"/>
          <w:sz w:val="28"/>
          <w:szCs w:val="28"/>
          <w:highlight w:val="none"/>
        </w:rPr>
        <w:t>融资违约责任</w:t>
      </w:r>
    </w:p>
    <w:p w14:paraId="027DA459">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特许经营者就项目公司在《特许经营协议》项下的融资义务和责任向实施机构承担连带责任。</w:t>
      </w:r>
    </w:p>
    <w:p w14:paraId="35DB569F">
      <w:pPr>
        <w:spacing w:line="360" w:lineRule="auto"/>
        <w:ind w:firstLine="560" w:firstLineChars="200"/>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3）</w:t>
      </w:r>
      <w:r>
        <w:rPr>
          <w:rFonts w:hint="eastAsia" w:ascii="Times New Roman" w:hAnsi="Times New Roman" w:eastAsia="楷体" w:cs="Times New Roman"/>
          <w:color w:val="auto"/>
          <w:sz w:val="28"/>
          <w:szCs w:val="28"/>
          <w:highlight w:val="none"/>
          <w:lang w:eastAsia="zh-CN"/>
        </w:rPr>
        <w:t>特许经营者/项目公司</w:t>
      </w:r>
      <w:r>
        <w:rPr>
          <w:rFonts w:ascii="Times New Roman" w:hAnsi="Times New Roman" w:eastAsia="楷体" w:cs="Times New Roman"/>
          <w:color w:val="auto"/>
          <w:sz w:val="28"/>
          <w:szCs w:val="28"/>
          <w:highlight w:val="none"/>
        </w:rPr>
        <w:t>违约及赔偿</w:t>
      </w:r>
    </w:p>
    <w:p w14:paraId="12463B6A">
      <w:pPr>
        <w:spacing w:line="360" w:lineRule="auto"/>
        <w:ind w:firstLine="560" w:firstLineChars="200"/>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val="en-US" w:eastAsia="zh-CN"/>
        </w:rPr>
        <w:t>①</w:t>
      </w:r>
      <w:r>
        <w:rPr>
          <w:rFonts w:hint="default" w:ascii="Times New Roman" w:hAnsi="Times New Roman" w:eastAsia="楷体" w:cs="Times New Roman"/>
          <w:color w:val="auto"/>
          <w:sz w:val="28"/>
          <w:szCs w:val="28"/>
          <w:highlight w:val="none"/>
        </w:rPr>
        <w:t>未按期提交履约保函</w:t>
      </w:r>
    </w:p>
    <w:p w14:paraId="11F7EE5C">
      <w:pPr>
        <w:spacing w:line="360" w:lineRule="auto"/>
        <w:ind w:firstLine="560" w:firstLineChars="200"/>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rPr>
        <w:t>若特许经营者未按照《特许经营协议》的约定如期提交履约保函，则向政府方承担未到位的履约保函资金每日万分之三的违约金，违约金额累计不超过</w:t>
      </w:r>
      <w:r>
        <w:rPr>
          <w:rFonts w:hint="default" w:ascii="Times New Roman" w:hAnsi="Times New Roman" w:eastAsia="楷体" w:cs="Times New Roman"/>
          <w:color w:val="auto"/>
          <w:sz w:val="28"/>
          <w:szCs w:val="28"/>
          <w:highlight w:val="none"/>
          <w:lang w:val="en-US" w:eastAsia="zh-CN"/>
        </w:rPr>
        <w:t>保函金额</w:t>
      </w:r>
      <w:r>
        <w:rPr>
          <w:rFonts w:hint="default" w:ascii="Times New Roman" w:hAnsi="Times New Roman" w:eastAsia="楷体" w:cs="Times New Roman"/>
          <w:color w:val="auto"/>
          <w:sz w:val="28"/>
          <w:szCs w:val="28"/>
          <w:highlight w:val="none"/>
        </w:rPr>
        <w:t>的百分之三（3%），延误期不计取财务费用。违约超过三（3）个月期限，政府方有权取消中标特许经营者的中标资格或按照</w:t>
      </w:r>
      <w:r>
        <w:rPr>
          <w:rFonts w:hint="default" w:ascii="Times New Roman" w:hAnsi="Times New Roman" w:eastAsia="楷体" w:cs="Times New Roman"/>
          <w:color w:val="auto"/>
          <w:sz w:val="28"/>
          <w:szCs w:val="28"/>
          <w:highlight w:val="none"/>
          <w:lang w:eastAsia="zh-CN"/>
        </w:rPr>
        <w:t>特许经营者/项目公司</w:t>
      </w:r>
      <w:r>
        <w:rPr>
          <w:rFonts w:hint="default" w:ascii="Times New Roman" w:hAnsi="Times New Roman" w:eastAsia="楷体" w:cs="Times New Roman"/>
          <w:color w:val="auto"/>
          <w:sz w:val="28"/>
          <w:szCs w:val="28"/>
          <w:highlight w:val="none"/>
        </w:rPr>
        <w:t>违约进行提前终止。</w:t>
      </w:r>
    </w:p>
    <w:p w14:paraId="5B1B133A">
      <w:pPr>
        <w:spacing w:line="360" w:lineRule="auto"/>
        <w:ind w:firstLine="560" w:firstLineChars="200"/>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lang w:val="en-US" w:eastAsia="zh-CN"/>
        </w:rPr>
        <w:t>②</w:t>
      </w:r>
      <w:r>
        <w:rPr>
          <w:rFonts w:hint="default" w:ascii="Times New Roman" w:hAnsi="Times New Roman" w:eastAsia="楷体" w:cs="Times New Roman"/>
          <w:color w:val="auto"/>
          <w:sz w:val="28"/>
          <w:szCs w:val="28"/>
          <w:highlight w:val="none"/>
        </w:rPr>
        <w:t>未按合同履约</w:t>
      </w:r>
    </w:p>
    <w:p w14:paraId="06219FC8">
      <w:pPr>
        <w:spacing w:line="360" w:lineRule="auto"/>
        <w:ind w:firstLine="560" w:firstLineChars="200"/>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rPr>
        <w:t>若</w:t>
      </w:r>
      <w:r>
        <w:rPr>
          <w:rFonts w:hint="default" w:ascii="Times New Roman" w:hAnsi="Times New Roman" w:eastAsia="楷体" w:cs="Times New Roman"/>
          <w:color w:val="auto"/>
          <w:sz w:val="28"/>
          <w:szCs w:val="28"/>
          <w:highlight w:val="none"/>
          <w:lang w:eastAsia="zh-CN"/>
        </w:rPr>
        <w:t>特许经营者/项目公司</w:t>
      </w:r>
      <w:r>
        <w:rPr>
          <w:rFonts w:hint="default" w:ascii="Times New Roman" w:hAnsi="Times New Roman" w:eastAsia="楷体" w:cs="Times New Roman"/>
          <w:color w:val="auto"/>
          <w:sz w:val="28"/>
          <w:szCs w:val="28"/>
          <w:highlight w:val="none"/>
        </w:rPr>
        <w:t>未按照《特许经营协议》的约定负责本项目的投资、</w:t>
      </w:r>
      <w:r>
        <w:rPr>
          <w:rFonts w:hint="default" w:ascii="Times New Roman" w:hAnsi="Times New Roman" w:eastAsia="楷体" w:cs="Times New Roman"/>
          <w:color w:val="auto"/>
          <w:sz w:val="28"/>
          <w:szCs w:val="28"/>
          <w:highlight w:val="none"/>
          <w:lang w:val="en-US" w:eastAsia="zh-CN"/>
        </w:rPr>
        <w:t>转让费支付</w:t>
      </w:r>
      <w:r>
        <w:rPr>
          <w:rFonts w:hint="default" w:ascii="Times New Roman" w:hAnsi="Times New Roman" w:eastAsia="楷体" w:cs="Times New Roman"/>
          <w:color w:val="auto"/>
          <w:sz w:val="28"/>
          <w:szCs w:val="28"/>
          <w:highlight w:val="none"/>
        </w:rPr>
        <w:t>、运营维护，履行合同项下的义务，包括投资、</w:t>
      </w:r>
      <w:r>
        <w:rPr>
          <w:rFonts w:hint="default" w:ascii="Times New Roman" w:hAnsi="Times New Roman" w:eastAsia="楷体" w:cs="Times New Roman"/>
          <w:color w:val="auto"/>
          <w:sz w:val="28"/>
          <w:szCs w:val="28"/>
          <w:highlight w:val="none"/>
          <w:lang w:val="en-US" w:eastAsia="zh-CN"/>
        </w:rPr>
        <w:t>合同管理</w:t>
      </w:r>
      <w:r>
        <w:rPr>
          <w:rFonts w:hint="default" w:ascii="Times New Roman" w:hAnsi="Times New Roman" w:eastAsia="楷体" w:cs="Times New Roman"/>
          <w:color w:val="auto"/>
          <w:sz w:val="28"/>
          <w:szCs w:val="28"/>
          <w:highlight w:val="none"/>
        </w:rPr>
        <w:t>、财务管理、环境保护、档案信息管理、运营维护、项目移交等工作，政府方有权根据合同的约定提取相应的履约保函或保证金，</w:t>
      </w:r>
      <w:r>
        <w:rPr>
          <w:rFonts w:hint="default" w:ascii="Times New Roman" w:hAnsi="Times New Roman" w:eastAsia="楷体" w:cs="Times New Roman"/>
          <w:color w:val="auto"/>
          <w:sz w:val="28"/>
          <w:szCs w:val="28"/>
          <w:highlight w:val="none"/>
          <w:lang w:eastAsia="zh-CN"/>
        </w:rPr>
        <w:t>特许经营者/项目公司</w:t>
      </w:r>
      <w:r>
        <w:rPr>
          <w:rFonts w:hint="default" w:ascii="Times New Roman" w:hAnsi="Times New Roman" w:eastAsia="楷体" w:cs="Times New Roman"/>
          <w:color w:val="auto"/>
          <w:sz w:val="28"/>
          <w:szCs w:val="28"/>
          <w:highlight w:val="none"/>
        </w:rPr>
        <w:t>应在一定期限内将相应保函的担保金额恢复至原始约定金额。</w:t>
      </w:r>
    </w:p>
    <w:p w14:paraId="7E5079C8">
      <w:pPr>
        <w:pStyle w:val="6"/>
        <w:spacing w:before="0" w:after="0" w:line="360" w:lineRule="auto"/>
        <w:ind w:firstLine="522" w:firstLineChars="200"/>
        <w:rPr>
          <w:rFonts w:ascii="Times New Roman" w:hAnsi="Times New Roman" w:eastAsia="楷体" w:cs="Times New Roman"/>
          <w:color w:val="auto"/>
          <w:highlight w:val="none"/>
        </w:rPr>
      </w:pPr>
      <w:r>
        <w:rPr>
          <w:rFonts w:hint="eastAsia" w:ascii="Times New Roman" w:hAnsi="Times New Roman" w:eastAsia="楷体" w:cs="Times New Roman"/>
          <w:color w:val="auto"/>
          <w:highlight w:val="none"/>
          <w:lang w:eastAsia="zh-CN"/>
        </w:rPr>
        <w:t>（</w:t>
      </w:r>
      <w:r>
        <w:rPr>
          <w:rFonts w:hint="eastAsia" w:ascii="Times New Roman" w:hAnsi="Times New Roman" w:eastAsia="楷体" w:cs="Times New Roman"/>
          <w:color w:val="auto"/>
          <w:highlight w:val="none"/>
          <w:lang w:val="en-US" w:eastAsia="zh-CN"/>
        </w:rPr>
        <w:t>9</w:t>
      </w:r>
      <w:r>
        <w:rPr>
          <w:rFonts w:hint="eastAsia" w:ascii="Times New Roman" w:hAnsi="Times New Roman" w:eastAsia="楷体" w:cs="Times New Roman"/>
          <w:color w:val="auto"/>
          <w:highlight w:val="none"/>
          <w:lang w:eastAsia="zh-CN"/>
        </w:rPr>
        <w:t>）</w:t>
      </w:r>
      <w:r>
        <w:rPr>
          <w:rFonts w:ascii="Times New Roman" w:hAnsi="Times New Roman" w:eastAsia="楷体" w:cs="Times New Roman"/>
          <w:color w:val="auto"/>
          <w:highlight w:val="none"/>
        </w:rPr>
        <w:t>争议解决方式</w:t>
      </w:r>
    </w:p>
    <w:p w14:paraId="37491E48">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对于项目</w:t>
      </w:r>
      <w:r>
        <w:rPr>
          <w:rFonts w:hint="eastAsia" w:ascii="Times New Roman" w:hAnsi="Times New Roman" w:eastAsia="楷体" w:cs="Times New Roman"/>
          <w:color w:val="auto"/>
          <w:sz w:val="28"/>
          <w:szCs w:val="28"/>
          <w:highlight w:val="none"/>
          <w:lang w:eastAsia="zh-CN"/>
        </w:rPr>
        <w:t>特许经营期</w:t>
      </w:r>
      <w:r>
        <w:rPr>
          <w:rFonts w:hint="eastAsia" w:ascii="Times New Roman" w:hAnsi="Times New Roman" w:eastAsia="楷体" w:cs="Times New Roman"/>
          <w:color w:val="auto"/>
          <w:sz w:val="28"/>
          <w:szCs w:val="28"/>
          <w:highlight w:val="none"/>
        </w:rPr>
        <w:t>间发生的争议，双方可通过如下方式进行解决：</w:t>
      </w:r>
    </w:p>
    <w:p w14:paraId="706B684D">
      <w:pPr>
        <w:spacing w:line="360" w:lineRule="auto"/>
        <w:ind w:firstLine="560" w:firstLineChars="200"/>
        <w:rPr>
          <w:rFonts w:hint="eastAsia" w:ascii="Times New Roman" w:hAnsi="Times New Roman" w:eastAsia="楷体" w:cs="Times New Roman"/>
          <w:color w:val="auto"/>
          <w:sz w:val="28"/>
          <w:szCs w:val="28"/>
          <w:highlight w:val="none"/>
          <w:lang w:val="en-US" w:eastAsia="zh-CN"/>
        </w:rPr>
      </w:pPr>
      <w:r>
        <w:rPr>
          <w:rFonts w:ascii="Times New Roman" w:hAnsi="Times New Roman" w:eastAsia="楷体" w:cs="Times New Roman"/>
          <w:color w:val="auto"/>
          <w:sz w:val="28"/>
          <w:szCs w:val="28"/>
          <w:highlight w:val="none"/>
        </w:rPr>
        <w:t>1）协商解决</w:t>
      </w:r>
      <w:r>
        <w:rPr>
          <w:rFonts w:hint="eastAsia" w:ascii="Times New Roman" w:hAnsi="Times New Roman" w:eastAsia="楷体" w:cs="Times New Roman"/>
          <w:color w:val="auto"/>
          <w:sz w:val="28"/>
          <w:szCs w:val="28"/>
          <w:highlight w:val="none"/>
          <w:lang w:val="en-US" w:eastAsia="zh-CN"/>
        </w:rPr>
        <w:t>分歧</w:t>
      </w:r>
    </w:p>
    <w:p w14:paraId="3A67C3FB">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通常情况下，</w:t>
      </w:r>
      <w:r>
        <w:rPr>
          <w:rFonts w:hint="eastAsia" w:ascii="Times New Roman" w:hAnsi="Times New Roman" w:eastAsia="楷体" w:cs="Times New Roman"/>
          <w:color w:val="auto"/>
          <w:sz w:val="28"/>
          <w:szCs w:val="28"/>
          <w:highlight w:val="none"/>
          <w:lang w:val="en-US" w:eastAsia="zh-CN"/>
        </w:rPr>
        <w:t>合作</w:t>
      </w:r>
      <w:r>
        <w:rPr>
          <w:rFonts w:hint="eastAsia" w:ascii="Times New Roman" w:hAnsi="Times New Roman" w:eastAsia="楷体" w:cs="Times New Roman"/>
          <w:color w:val="auto"/>
          <w:sz w:val="28"/>
          <w:szCs w:val="28"/>
          <w:highlight w:val="none"/>
        </w:rPr>
        <w:t>各方应在一方发出争议通知指明争议事项后，首先争取通过友好协商的方式解决争议；协商达成一致的，应当签订补充协议。协商条款的编写应包括基本协商原则、协商程序、参与协商人员及约定的协商期限。</w:t>
      </w:r>
    </w:p>
    <w:p w14:paraId="4C59779D">
      <w:pPr>
        <w:spacing w:line="360" w:lineRule="auto"/>
        <w:ind w:firstLine="560" w:firstLineChars="200"/>
        <w:rPr>
          <w:rFonts w:hint="eastAsia"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2）争议解决方式</w:t>
      </w:r>
    </w:p>
    <w:p w14:paraId="5660F82A">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若在尝试友好协商解决后60日内该争议未能得到友好协商解决，则除依法依规提起行政复议外，</w:t>
      </w:r>
      <w:r>
        <w:rPr>
          <w:rFonts w:hint="eastAsia" w:ascii="Times New Roman" w:hAnsi="Times New Roman" w:eastAsia="楷体" w:cs="Times New Roman"/>
          <w:color w:val="auto"/>
          <w:sz w:val="28"/>
          <w:szCs w:val="28"/>
          <w:highlight w:val="none"/>
          <w:lang w:val="en-US" w:eastAsia="zh-CN"/>
        </w:rPr>
        <w:t>协议</w:t>
      </w:r>
      <w:r>
        <w:rPr>
          <w:rFonts w:hint="eastAsia" w:ascii="Times New Roman" w:hAnsi="Times New Roman" w:eastAsia="楷体" w:cs="Times New Roman"/>
          <w:color w:val="auto"/>
          <w:sz w:val="28"/>
          <w:szCs w:val="28"/>
          <w:highlight w:val="none"/>
        </w:rPr>
        <w:t>各方可依法将争议提交有管辖权的项目所在地人民法院进行诉讼。</w:t>
      </w:r>
    </w:p>
    <w:p w14:paraId="168E1038">
      <w:pPr>
        <w:pStyle w:val="6"/>
        <w:spacing w:before="0" w:after="0" w:line="360" w:lineRule="auto"/>
        <w:ind w:firstLine="522" w:firstLineChars="200"/>
        <w:rPr>
          <w:rFonts w:ascii="Times New Roman" w:hAnsi="Times New Roman" w:eastAsia="楷体" w:cs="Times New Roman"/>
          <w:color w:val="auto"/>
          <w:highlight w:val="none"/>
        </w:rPr>
      </w:pPr>
      <w:r>
        <w:rPr>
          <w:rFonts w:hint="eastAsia" w:ascii="Times New Roman" w:hAnsi="Times New Roman" w:eastAsia="楷体" w:cs="Times New Roman"/>
          <w:color w:val="auto"/>
          <w:highlight w:val="none"/>
          <w:lang w:eastAsia="zh-CN"/>
        </w:rPr>
        <w:t>（</w:t>
      </w:r>
      <w:r>
        <w:rPr>
          <w:rFonts w:hint="eastAsia" w:ascii="Times New Roman" w:hAnsi="Times New Roman" w:eastAsia="楷体" w:cs="Times New Roman"/>
          <w:color w:val="auto"/>
          <w:highlight w:val="none"/>
          <w:lang w:val="en-US" w:eastAsia="zh-CN"/>
        </w:rPr>
        <w:t>10</w:t>
      </w:r>
      <w:r>
        <w:rPr>
          <w:rFonts w:hint="eastAsia" w:ascii="Times New Roman" w:hAnsi="Times New Roman" w:eastAsia="楷体" w:cs="Times New Roman"/>
          <w:color w:val="auto"/>
          <w:highlight w:val="none"/>
          <w:lang w:eastAsia="zh-CN"/>
        </w:rPr>
        <w:t>）</w:t>
      </w:r>
      <w:r>
        <w:rPr>
          <w:rFonts w:ascii="Times New Roman" w:hAnsi="Times New Roman" w:eastAsia="楷体" w:cs="Times New Roman"/>
          <w:color w:val="auto"/>
          <w:highlight w:val="none"/>
        </w:rPr>
        <w:t>再谈判机制</w:t>
      </w:r>
    </w:p>
    <w:p w14:paraId="6F9E982E">
      <w:pPr>
        <w:spacing w:line="360" w:lineRule="auto"/>
        <w:ind w:firstLine="560" w:firstLineChars="200"/>
        <w:rPr>
          <w:rFonts w:ascii="Times New Roman" w:hAnsi="Times New Roman" w:eastAsia="楷体" w:cs="Times New Roman"/>
          <w:color w:val="auto"/>
          <w:sz w:val="28"/>
          <w:szCs w:val="28"/>
          <w:highlight w:val="none"/>
        </w:rPr>
      </w:pPr>
      <w:r>
        <w:rPr>
          <w:rFonts w:hint="eastAsia" w:ascii="Times New Roman" w:hAnsi="Times New Roman" w:eastAsia="楷体" w:cs="Times New Roman"/>
          <w:color w:val="auto"/>
          <w:sz w:val="28"/>
          <w:szCs w:val="28"/>
          <w:highlight w:val="none"/>
        </w:rPr>
        <w:t>由于本项目</w:t>
      </w:r>
      <w:r>
        <w:rPr>
          <w:rFonts w:hint="eastAsia" w:ascii="Times New Roman" w:hAnsi="Times New Roman" w:eastAsia="楷体" w:cs="Times New Roman"/>
          <w:color w:val="auto"/>
          <w:sz w:val="28"/>
          <w:szCs w:val="28"/>
          <w:highlight w:val="none"/>
          <w:lang w:eastAsia="zh-CN"/>
        </w:rPr>
        <w:t>特许经营期</w:t>
      </w:r>
      <w:r>
        <w:rPr>
          <w:rFonts w:hint="eastAsia" w:ascii="Times New Roman" w:hAnsi="Times New Roman" w:eastAsia="楷体" w:cs="Times New Roman"/>
          <w:color w:val="auto"/>
          <w:sz w:val="28"/>
          <w:szCs w:val="28"/>
          <w:highlight w:val="none"/>
        </w:rPr>
        <w:t>较长，涉及内容较多较为复杂，为有效应对在项目执行过程中将面临的外部环境变动，保障项目的顺利进行，因此在特许经营协议中增设再谈判机制。再谈判机制启动需满足以下条件之一：（</w:t>
      </w:r>
      <w:r>
        <w:rPr>
          <w:rFonts w:ascii="Times New Roman" w:hAnsi="Times New Roman" w:eastAsia="楷体" w:cs="Times New Roman"/>
          <w:color w:val="auto"/>
          <w:sz w:val="28"/>
          <w:szCs w:val="28"/>
          <w:highlight w:val="none"/>
        </w:rPr>
        <w:t>1）发生特许经营协议未约定的事项，且该事项对合同各方履行特许经营协议造成影响的；</w:t>
      </w:r>
      <w:r>
        <w:rPr>
          <w:rFonts w:hint="eastAsia" w:ascii="Times New Roman" w:hAnsi="Times New Roman" w:eastAsia="楷体" w:cs="Times New Roman"/>
          <w:color w:val="auto"/>
          <w:sz w:val="28"/>
          <w:szCs w:val="28"/>
          <w:highlight w:val="none"/>
        </w:rPr>
        <w:t>（</w:t>
      </w:r>
      <w:r>
        <w:rPr>
          <w:rFonts w:ascii="Times New Roman" w:hAnsi="Times New Roman" w:eastAsia="楷体" w:cs="Times New Roman"/>
          <w:color w:val="auto"/>
          <w:sz w:val="28"/>
          <w:szCs w:val="28"/>
          <w:highlight w:val="none"/>
        </w:rPr>
        <w:t>2）特许经营协议执行过程中，由于法律、政策变更导致项目条款需变更的；</w:t>
      </w:r>
      <w:r>
        <w:rPr>
          <w:rFonts w:hint="eastAsia" w:ascii="Times New Roman" w:hAnsi="Times New Roman" w:eastAsia="楷体" w:cs="Times New Roman"/>
          <w:color w:val="auto"/>
          <w:sz w:val="28"/>
          <w:szCs w:val="28"/>
          <w:highlight w:val="none"/>
        </w:rPr>
        <w:t>（</w:t>
      </w:r>
      <w:r>
        <w:rPr>
          <w:rFonts w:ascii="Times New Roman" w:hAnsi="Times New Roman" w:eastAsia="楷体" w:cs="Times New Roman"/>
          <w:color w:val="auto"/>
          <w:sz w:val="28"/>
          <w:szCs w:val="28"/>
          <w:highlight w:val="none"/>
        </w:rPr>
        <w:t>3）外部环境发生重大变化的，仅指不可抗力事件和未预期到的公众反对。</w:t>
      </w:r>
    </w:p>
    <w:p w14:paraId="05DE578A">
      <w:pPr>
        <w:ind w:firstLine="560" w:firstLineChars="200"/>
        <w:rPr>
          <w:rFonts w:hint="default" w:ascii="Times New Roman" w:hAnsi="Times New Roman" w:eastAsia="楷体" w:cs="Times New Roman"/>
          <w:color w:val="auto"/>
          <w:sz w:val="28"/>
          <w:szCs w:val="28"/>
          <w:highlight w:val="none"/>
        </w:rPr>
        <w:sectPr>
          <w:pgSz w:w="11906" w:h="16838"/>
          <w:pgMar w:top="1440" w:right="1797" w:bottom="1440" w:left="1797" w:header="851" w:footer="992" w:gutter="0"/>
          <w:cols w:space="720" w:num="1"/>
          <w:docGrid w:linePitch="360" w:charSpace="0"/>
        </w:sectPr>
      </w:pPr>
      <w:r>
        <w:rPr>
          <w:rFonts w:hint="default" w:ascii="Times New Roman" w:hAnsi="Times New Roman" w:eastAsia="楷体" w:cs="Times New Roman"/>
          <w:color w:val="auto"/>
          <w:sz w:val="28"/>
          <w:szCs w:val="28"/>
          <w:highlight w:val="none"/>
        </w:rPr>
        <w:t>当以上事件发生时，政府方、</w:t>
      </w:r>
      <w:r>
        <w:rPr>
          <w:rFonts w:hint="default" w:ascii="Times New Roman" w:hAnsi="Times New Roman" w:eastAsia="楷体" w:cs="Times New Roman"/>
          <w:color w:val="auto"/>
          <w:sz w:val="28"/>
          <w:szCs w:val="28"/>
          <w:highlight w:val="none"/>
          <w:lang w:val="en-US" w:eastAsia="zh-CN"/>
        </w:rPr>
        <w:t>特许经营者/</w:t>
      </w:r>
      <w:r>
        <w:rPr>
          <w:rFonts w:hint="default" w:ascii="Times New Roman" w:hAnsi="Times New Roman" w:eastAsia="楷体" w:cs="Times New Roman"/>
          <w:color w:val="auto"/>
          <w:sz w:val="28"/>
          <w:szCs w:val="28"/>
          <w:highlight w:val="none"/>
        </w:rPr>
        <w:t>项目公司可提起再谈判，各方启动再谈判机制后协商订立补充协议，该协议由</w:t>
      </w:r>
      <w:r>
        <w:rPr>
          <w:rFonts w:hint="default" w:ascii="Times New Roman" w:hAnsi="Times New Roman" w:eastAsia="楷体" w:cs="Times New Roman"/>
          <w:color w:val="auto"/>
          <w:sz w:val="28"/>
          <w:szCs w:val="28"/>
          <w:highlight w:val="none"/>
          <w:lang w:val="en-US" w:eastAsia="zh-CN"/>
        </w:rPr>
        <w:t>双方</w:t>
      </w:r>
      <w:r>
        <w:rPr>
          <w:rFonts w:hint="default" w:ascii="Times New Roman" w:hAnsi="Times New Roman" w:eastAsia="楷体" w:cs="Times New Roman"/>
          <w:color w:val="auto"/>
          <w:sz w:val="28"/>
          <w:szCs w:val="28"/>
          <w:highlight w:val="none"/>
        </w:rPr>
        <w:t>共同签订。但该补充协议不得对项目实质性条款进行变更，具体实质性条款将在《特许经营协议》中约定，亦不得违反《特许经营协议》所确立的各方合作之精神。</w:t>
      </w:r>
    </w:p>
    <w:p w14:paraId="1AD38914">
      <w:pPr>
        <w:pStyle w:val="3"/>
        <w:keepNext/>
        <w:keepLines/>
        <w:spacing w:before="100" w:after="100" w:line="360" w:lineRule="auto"/>
        <w:ind w:firstLine="602" w:firstLineChars="200"/>
        <w:rPr>
          <w:rFonts w:hint="default" w:ascii="Times New Roman" w:hAnsi="Times New Roman" w:eastAsia="楷体" w:cs="Times New Roman"/>
          <w:b/>
          <w:color w:val="auto"/>
          <w:sz w:val="30"/>
          <w:szCs w:val="30"/>
          <w:highlight w:val="none"/>
          <w:lang w:val="en-US" w:eastAsia="zh-CN"/>
        </w:rPr>
      </w:pPr>
      <w:bookmarkStart w:id="656" w:name="_Toc13955"/>
      <w:bookmarkStart w:id="657" w:name="_Toc20795"/>
      <w:bookmarkStart w:id="658" w:name="_Toc20565"/>
      <w:bookmarkStart w:id="659" w:name="_Toc10677"/>
      <w:bookmarkStart w:id="660" w:name="_Toc13134"/>
      <w:bookmarkStart w:id="661" w:name="_Toc31343"/>
      <w:r>
        <w:rPr>
          <w:rFonts w:hint="eastAsia" w:ascii="Times New Roman" w:hAnsi="Times New Roman" w:eastAsia="楷体" w:cs="Times New Roman"/>
          <w:b/>
          <w:color w:val="auto"/>
          <w:sz w:val="30"/>
          <w:szCs w:val="30"/>
          <w:highlight w:val="none"/>
          <w:lang w:val="en-US" w:eastAsia="zh-CN"/>
        </w:rPr>
        <w:t>附件1：运营管理绩效考核指标及评分标准</w:t>
      </w:r>
      <w:bookmarkEnd w:id="656"/>
      <w:bookmarkEnd w:id="657"/>
      <w:bookmarkEnd w:id="658"/>
      <w:bookmarkEnd w:id="659"/>
      <w:bookmarkEnd w:id="660"/>
      <w:bookmarkEnd w:id="661"/>
    </w:p>
    <w:tbl>
      <w:tblPr>
        <w:tblStyle w:val="36"/>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3"/>
        <w:gridCol w:w="602"/>
        <w:gridCol w:w="1485"/>
        <w:gridCol w:w="685"/>
        <w:gridCol w:w="4891"/>
        <w:gridCol w:w="4422"/>
        <w:gridCol w:w="651"/>
        <w:gridCol w:w="794"/>
      </w:tblGrid>
      <w:tr w14:paraId="76A1E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trPr>
        <w:tc>
          <w:tcPr>
            <w:tcW w:w="223" w:type="pct"/>
            <w:shd w:val="clear" w:color="auto" w:fill="D9D9D9"/>
            <w:vAlign w:val="center"/>
          </w:tcPr>
          <w:p w14:paraId="03D22FA7">
            <w:pPr>
              <w:jc w:val="center"/>
              <w:textAlignment w:val="center"/>
              <w:rPr>
                <w:rFonts w:hint="default" w:ascii="Times New Roman" w:hAnsi="Times New Roman" w:eastAsia="楷体" w:cs="Times New Roman"/>
                <w:b/>
                <w:bCs/>
                <w:color w:val="auto"/>
                <w:sz w:val="18"/>
                <w:szCs w:val="18"/>
                <w:highlight w:val="none"/>
              </w:rPr>
            </w:pPr>
            <w:r>
              <w:rPr>
                <w:rFonts w:hint="default" w:ascii="Times New Roman" w:hAnsi="Times New Roman" w:eastAsia="楷体" w:cs="Times New Roman"/>
                <w:b/>
                <w:bCs/>
                <w:color w:val="auto"/>
                <w:kern w:val="0"/>
                <w:sz w:val="18"/>
                <w:szCs w:val="18"/>
                <w:highlight w:val="none"/>
                <w:lang w:bidi="ar"/>
              </w:rPr>
              <w:t>项目名称</w:t>
            </w:r>
          </w:p>
        </w:tc>
        <w:tc>
          <w:tcPr>
            <w:tcW w:w="212" w:type="pct"/>
            <w:shd w:val="clear" w:color="auto" w:fill="D9D9D9"/>
            <w:vAlign w:val="center"/>
          </w:tcPr>
          <w:p w14:paraId="2989843E">
            <w:pPr>
              <w:jc w:val="center"/>
              <w:textAlignment w:val="center"/>
              <w:rPr>
                <w:rFonts w:hint="default" w:ascii="Times New Roman" w:hAnsi="Times New Roman" w:eastAsia="楷体" w:cs="Times New Roman"/>
                <w:b/>
                <w:bCs/>
                <w:color w:val="auto"/>
                <w:sz w:val="18"/>
                <w:szCs w:val="18"/>
                <w:highlight w:val="none"/>
              </w:rPr>
            </w:pPr>
            <w:r>
              <w:rPr>
                <w:rFonts w:hint="default" w:ascii="Times New Roman" w:hAnsi="Times New Roman" w:eastAsia="楷体" w:cs="Times New Roman"/>
                <w:b/>
                <w:bCs/>
                <w:color w:val="auto"/>
                <w:kern w:val="0"/>
                <w:sz w:val="18"/>
                <w:szCs w:val="18"/>
                <w:highlight w:val="none"/>
                <w:lang w:bidi="ar"/>
              </w:rPr>
              <w:t>项目总分</w:t>
            </w:r>
          </w:p>
        </w:tc>
        <w:tc>
          <w:tcPr>
            <w:tcW w:w="524" w:type="pct"/>
            <w:shd w:val="clear" w:color="auto" w:fill="D9D9D9"/>
            <w:vAlign w:val="center"/>
          </w:tcPr>
          <w:p w14:paraId="54565B4F">
            <w:pPr>
              <w:jc w:val="center"/>
              <w:textAlignment w:val="center"/>
              <w:rPr>
                <w:rFonts w:hint="default" w:ascii="Times New Roman" w:hAnsi="Times New Roman" w:eastAsia="楷体" w:cs="Times New Roman"/>
                <w:b/>
                <w:bCs/>
                <w:color w:val="auto"/>
                <w:sz w:val="18"/>
                <w:szCs w:val="18"/>
                <w:highlight w:val="none"/>
              </w:rPr>
            </w:pPr>
            <w:r>
              <w:rPr>
                <w:rFonts w:hint="default" w:ascii="Times New Roman" w:hAnsi="Times New Roman" w:eastAsia="楷体" w:cs="Times New Roman"/>
                <w:b/>
                <w:bCs/>
                <w:color w:val="auto"/>
                <w:kern w:val="0"/>
                <w:sz w:val="18"/>
                <w:szCs w:val="18"/>
                <w:highlight w:val="none"/>
                <w:lang w:bidi="ar"/>
              </w:rPr>
              <w:t>评价内容</w:t>
            </w:r>
          </w:p>
        </w:tc>
        <w:tc>
          <w:tcPr>
            <w:tcW w:w="242" w:type="pct"/>
            <w:shd w:val="clear" w:color="auto" w:fill="D9D9D9"/>
            <w:vAlign w:val="center"/>
          </w:tcPr>
          <w:p w14:paraId="7D596FD6">
            <w:pPr>
              <w:jc w:val="center"/>
              <w:textAlignment w:val="center"/>
              <w:rPr>
                <w:rFonts w:hint="default" w:ascii="Times New Roman" w:hAnsi="Times New Roman" w:eastAsia="楷体" w:cs="Times New Roman"/>
                <w:b/>
                <w:bCs/>
                <w:color w:val="auto"/>
                <w:kern w:val="0"/>
                <w:sz w:val="18"/>
                <w:szCs w:val="18"/>
                <w:highlight w:val="none"/>
                <w:lang w:bidi="ar"/>
              </w:rPr>
            </w:pPr>
            <w:r>
              <w:rPr>
                <w:rFonts w:hint="default" w:ascii="Times New Roman" w:hAnsi="Times New Roman" w:eastAsia="楷体" w:cs="Times New Roman"/>
                <w:b/>
                <w:bCs/>
                <w:color w:val="auto"/>
                <w:kern w:val="0"/>
                <w:sz w:val="18"/>
                <w:szCs w:val="18"/>
                <w:highlight w:val="none"/>
                <w:lang w:bidi="ar"/>
              </w:rPr>
              <w:t>分值</w:t>
            </w:r>
          </w:p>
          <w:p w14:paraId="13C1CA4F">
            <w:pPr>
              <w:jc w:val="center"/>
              <w:textAlignment w:val="center"/>
              <w:rPr>
                <w:rFonts w:hint="default" w:ascii="Times New Roman" w:hAnsi="Times New Roman" w:eastAsia="楷体" w:cs="Times New Roman"/>
                <w:b/>
                <w:bCs/>
                <w:color w:val="auto"/>
                <w:kern w:val="0"/>
                <w:sz w:val="18"/>
                <w:szCs w:val="18"/>
                <w:highlight w:val="none"/>
                <w:lang w:bidi="ar"/>
              </w:rPr>
            </w:pPr>
            <w:r>
              <w:rPr>
                <w:rFonts w:hint="default" w:ascii="Times New Roman" w:hAnsi="Times New Roman" w:eastAsia="楷体" w:cs="Times New Roman"/>
                <w:b/>
                <w:bCs/>
                <w:color w:val="auto"/>
                <w:kern w:val="0"/>
                <w:sz w:val="18"/>
                <w:szCs w:val="18"/>
                <w:highlight w:val="none"/>
                <w:lang w:bidi="ar"/>
              </w:rPr>
              <w:t>（分）</w:t>
            </w:r>
          </w:p>
        </w:tc>
        <w:tc>
          <w:tcPr>
            <w:tcW w:w="1727" w:type="pct"/>
            <w:shd w:val="clear" w:color="auto" w:fill="D9D9D9"/>
            <w:vAlign w:val="center"/>
          </w:tcPr>
          <w:p w14:paraId="5911089B">
            <w:pPr>
              <w:jc w:val="center"/>
              <w:textAlignment w:val="center"/>
              <w:rPr>
                <w:rFonts w:hint="default" w:ascii="Times New Roman" w:hAnsi="Times New Roman" w:eastAsia="楷体" w:cs="Times New Roman"/>
                <w:b/>
                <w:bCs/>
                <w:color w:val="auto"/>
                <w:sz w:val="18"/>
                <w:szCs w:val="18"/>
                <w:highlight w:val="none"/>
              </w:rPr>
            </w:pPr>
            <w:r>
              <w:rPr>
                <w:rFonts w:hint="default" w:ascii="Times New Roman" w:hAnsi="Times New Roman" w:eastAsia="楷体" w:cs="Times New Roman"/>
                <w:b/>
                <w:bCs/>
                <w:color w:val="auto"/>
                <w:kern w:val="0"/>
                <w:sz w:val="18"/>
                <w:szCs w:val="18"/>
                <w:highlight w:val="none"/>
                <w:lang w:bidi="ar"/>
              </w:rPr>
              <w:t>评分标准</w:t>
            </w:r>
          </w:p>
        </w:tc>
        <w:tc>
          <w:tcPr>
            <w:tcW w:w="1561" w:type="pct"/>
            <w:shd w:val="clear" w:color="auto" w:fill="D9D9D9"/>
            <w:vAlign w:val="center"/>
          </w:tcPr>
          <w:p w14:paraId="143AF50B">
            <w:pPr>
              <w:jc w:val="center"/>
              <w:textAlignment w:val="center"/>
              <w:rPr>
                <w:rFonts w:hint="default" w:ascii="Times New Roman" w:hAnsi="Times New Roman" w:eastAsia="楷体" w:cs="Times New Roman"/>
                <w:b/>
                <w:bCs/>
                <w:color w:val="auto"/>
                <w:sz w:val="18"/>
                <w:szCs w:val="18"/>
                <w:highlight w:val="none"/>
              </w:rPr>
            </w:pPr>
            <w:r>
              <w:rPr>
                <w:rFonts w:hint="default" w:ascii="Times New Roman" w:hAnsi="Times New Roman" w:eastAsia="楷体" w:cs="Times New Roman"/>
                <w:b/>
                <w:bCs/>
                <w:color w:val="auto"/>
                <w:kern w:val="0"/>
                <w:sz w:val="18"/>
                <w:szCs w:val="18"/>
                <w:highlight w:val="none"/>
                <w:lang w:bidi="ar"/>
              </w:rPr>
              <w:t>评价说明</w:t>
            </w:r>
          </w:p>
        </w:tc>
        <w:tc>
          <w:tcPr>
            <w:tcW w:w="230" w:type="pct"/>
            <w:shd w:val="clear" w:color="auto" w:fill="D9D9D9"/>
            <w:vAlign w:val="center"/>
          </w:tcPr>
          <w:p w14:paraId="6F9B6DBE">
            <w:pPr>
              <w:jc w:val="center"/>
              <w:textAlignment w:val="center"/>
              <w:rPr>
                <w:rFonts w:hint="default" w:ascii="Times New Roman" w:hAnsi="Times New Roman" w:eastAsia="楷体" w:cs="Times New Roman"/>
                <w:b/>
                <w:bCs/>
                <w:color w:val="auto"/>
                <w:sz w:val="18"/>
                <w:szCs w:val="18"/>
                <w:highlight w:val="none"/>
              </w:rPr>
            </w:pPr>
            <w:r>
              <w:rPr>
                <w:rFonts w:hint="default" w:ascii="Times New Roman" w:hAnsi="Times New Roman" w:eastAsia="楷体" w:cs="Times New Roman"/>
                <w:b/>
                <w:bCs/>
                <w:color w:val="auto"/>
                <w:kern w:val="0"/>
                <w:sz w:val="18"/>
                <w:szCs w:val="18"/>
                <w:highlight w:val="none"/>
                <w:lang w:bidi="ar"/>
              </w:rPr>
              <w:t>评价记录</w:t>
            </w:r>
          </w:p>
        </w:tc>
        <w:tc>
          <w:tcPr>
            <w:tcW w:w="277" w:type="pct"/>
            <w:shd w:val="clear" w:color="auto" w:fill="D9D9D9"/>
            <w:vAlign w:val="center"/>
          </w:tcPr>
          <w:p w14:paraId="4FCA099C">
            <w:pPr>
              <w:jc w:val="center"/>
              <w:textAlignment w:val="center"/>
              <w:rPr>
                <w:rFonts w:hint="default" w:ascii="Times New Roman" w:hAnsi="Times New Roman" w:eastAsia="楷体" w:cs="Times New Roman"/>
                <w:b/>
                <w:bCs/>
                <w:color w:val="auto"/>
                <w:sz w:val="18"/>
                <w:szCs w:val="18"/>
                <w:highlight w:val="none"/>
              </w:rPr>
            </w:pPr>
            <w:r>
              <w:rPr>
                <w:rFonts w:hint="default" w:ascii="Times New Roman" w:hAnsi="Times New Roman" w:eastAsia="楷体" w:cs="Times New Roman"/>
                <w:b/>
                <w:bCs/>
                <w:color w:val="auto"/>
                <w:kern w:val="0"/>
                <w:sz w:val="18"/>
                <w:szCs w:val="18"/>
                <w:highlight w:val="none"/>
                <w:lang w:bidi="ar"/>
              </w:rPr>
              <w:t>得分（分）</w:t>
            </w:r>
          </w:p>
        </w:tc>
      </w:tr>
      <w:tr w14:paraId="081FB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3" w:type="pct"/>
            <w:vMerge w:val="restart"/>
            <w:shd w:val="clear" w:color="auto" w:fill="auto"/>
            <w:vAlign w:val="center"/>
          </w:tcPr>
          <w:p w14:paraId="1AE34C6B">
            <w:pPr>
              <w:jc w:val="center"/>
              <w:textAlignment w:val="center"/>
              <w:rPr>
                <w:rFonts w:hint="default" w:ascii="Times New Roman" w:hAnsi="Times New Roman" w:eastAsia="楷体" w:cs="Times New Roman"/>
                <w:color w:val="auto"/>
                <w:kern w:val="0"/>
                <w:sz w:val="18"/>
                <w:szCs w:val="18"/>
                <w:highlight w:val="none"/>
                <w:lang w:bidi="ar"/>
              </w:rPr>
            </w:pPr>
            <w:r>
              <w:rPr>
                <w:rFonts w:hint="default" w:ascii="Times New Roman" w:hAnsi="Times New Roman" w:eastAsia="楷体" w:cs="Times New Roman"/>
                <w:color w:val="auto"/>
                <w:kern w:val="0"/>
                <w:sz w:val="18"/>
                <w:szCs w:val="18"/>
                <w:highlight w:val="none"/>
                <w:lang w:bidi="ar"/>
              </w:rPr>
              <w:t>污水管理</w:t>
            </w:r>
          </w:p>
        </w:tc>
        <w:tc>
          <w:tcPr>
            <w:tcW w:w="212" w:type="pct"/>
            <w:vMerge w:val="restart"/>
            <w:shd w:val="clear" w:color="auto" w:fill="auto"/>
            <w:vAlign w:val="center"/>
          </w:tcPr>
          <w:p w14:paraId="5F268D27">
            <w:pPr>
              <w:jc w:val="center"/>
              <w:textAlignment w:val="center"/>
              <w:rPr>
                <w:rFonts w:hint="default" w:ascii="Times New Roman" w:hAnsi="Times New Roman" w:eastAsia="楷体" w:cs="Times New Roman"/>
                <w:color w:val="auto"/>
                <w:kern w:val="0"/>
                <w:sz w:val="18"/>
                <w:szCs w:val="18"/>
                <w:highlight w:val="none"/>
                <w:lang w:bidi="ar"/>
              </w:rPr>
            </w:pPr>
            <w:r>
              <w:rPr>
                <w:rFonts w:hint="default" w:ascii="Times New Roman" w:hAnsi="Times New Roman" w:eastAsia="楷体" w:cs="Times New Roman"/>
                <w:color w:val="auto"/>
                <w:kern w:val="0"/>
                <w:sz w:val="18"/>
                <w:szCs w:val="18"/>
                <w:highlight w:val="none"/>
                <w:lang w:bidi="ar"/>
              </w:rPr>
              <w:t>10</w:t>
            </w:r>
          </w:p>
        </w:tc>
        <w:tc>
          <w:tcPr>
            <w:tcW w:w="524" w:type="pct"/>
            <w:shd w:val="clear" w:color="auto" w:fill="auto"/>
            <w:vAlign w:val="center"/>
          </w:tcPr>
          <w:p w14:paraId="4E21A30D">
            <w:pPr>
              <w:jc w:val="center"/>
              <w:textAlignment w:val="center"/>
              <w:rPr>
                <w:rFonts w:hint="default" w:ascii="Times New Roman" w:hAnsi="Times New Roman" w:eastAsia="楷体" w:cs="Times New Roman"/>
                <w:color w:val="auto"/>
                <w:kern w:val="0"/>
                <w:sz w:val="18"/>
                <w:szCs w:val="18"/>
                <w:highlight w:val="none"/>
                <w:lang w:bidi="ar"/>
              </w:rPr>
            </w:pPr>
            <w:r>
              <w:rPr>
                <w:rFonts w:hint="default" w:ascii="Times New Roman" w:hAnsi="Times New Roman" w:eastAsia="楷体" w:cs="Times New Roman"/>
                <w:color w:val="auto"/>
                <w:kern w:val="0"/>
                <w:sz w:val="18"/>
                <w:szCs w:val="18"/>
                <w:highlight w:val="none"/>
                <w:lang w:bidi="ar"/>
              </w:rPr>
              <w:t>出水水质</w:t>
            </w:r>
          </w:p>
        </w:tc>
        <w:tc>
          <w:tcPr>
            <w:tcW w:w="242" w:type="pct"/>
            <w:shd w:val="clear" w:color="auto" w:fill="auto"/>
            <w:vAlign w:val="center"/>
          </w:tcPr>
          <w:p w14:paraId="25879132">
            <w:pPr>
              <w:jc w:val="center"/>
              <w:textAlignment w:val="center"/>
              <w:rPr>
                <w:rFonts w:hint="default" w:ascii="Times New Roman" w:hAnsi="Times New Roman" w:eastAsia="楷体" w:cs="Times New Roman"/>
                <w:color w:val="auto"/>
                <w:kern w:val="0"/>
                <w:sz w:val="18"/>
                <w:szCs w:val="18"/>
                <w:highlight w:val="none"/>
                <w:lang w:bidi="ar"/>
              </w:rPr>
            </w:pPr>
            <w:r>
              <w:rPr>
                <w:rFonts w:hint="default" w:ascii="Times New Roman" w:hAnsi="Times New Roman" w:eastAsia="楷体" w:cs="Times New Roman"/>
                <w:color w:val="auto"/>
                <w:kern w:val="0"/>
                <w:sz w:val="18"/>
                <w:szCs w:val="18"/>
                <w:highlight w:val="none"/>
                <w:lang w:bidi="ar"/>
              </w:rPr>
              <w:t>6</w:t>
            </w:r>
          </w:p>
        </w:tc>
        <w:tc>
          <w:tcPr>
            <w:tcW w:w="1727" w:type="pct"/>
            <w:shd w:val="clear" w:color="auto" w:fill="auto"/>
            <w:vAlign w:val="center"/>
          </w:tcPr>
          <w:p w14:paraId="39B43FBF">
            <w:pPr>
              <w:textAlignment w:val="center"/>
              <w:rPr>
                <w:rFonts w:hint="default" w:ascii="Times New Roman" w:hAnsi="Times New Roman" w:eastAsia="楷体" w:cs="Times New Roman"/>
                <w:color w:val="auto"/>
                <w:kern w:val="0"/>
                <w:sz w:val="18"/>
                <w:szCs w:val="18"/>
                <w:highlight w:val="none"/>
                <w:lang w:bidi="ar"/>
              </w:rPr>
            </w:pPr>
            <w:r>
              <w:rPr>
                <w:rFonts w:hint="default" w:ascii="Times New Roman" w:hAnsi="Times New Roman" w:eastAsia="楷体" w:cs="Times New Roman"/>
                <w:color w:val="auto"/>
                <w:kern w:val="0"/>
                <w:sz w:val="18"/>
                <w:szCs w:val="18"/>
                <w:highlight w:val="none"/>
                <w:lang w:bidi="ar"/>
              </w:rPr>
              <w:t>（1）本年度污水处理厂污染物每日平均排放值CODcr、BOD</w:t>
            </w:r>
            <w:r>
              <w:rPr>
                <w:rFonts w:hint="default" w:ascii="Times New Roman" w:hAnsi="Times New Roman" w:eastAsia="楷体" w:cs="Times New Roman"/>
                <w:color w:val="auto"/>
                <w:kern w:val="0"/>
                <w:sz w:val="18"/>
                <w:szCs w:val="18"/>
                <w:highlight w:val="none"/>
                <w:vertAlign w:val="subscript"/>
                <w:lang w:bidi="ar"/>
              </w:rPr>
              <w:t>5</w:t>
            </w:r>
            <w:r>
              <w:rPr>
                <w:rFonts w:hint="default" w:ascii="Times New Roman" w:hAnsi="Times New Roman" w:eastAsia="楷体" w:cs="Times New Roman"/>
                <w:color w:val="auto"/>
                <w:kern w:val="0"/>
                <w:sz w:val="18"/>
                <w:szCs w:val="18"/>
                <w:highlight w:val="none"/>
                <w:lang w:bidi="ar"/>
              </w:rPr>
              <w:t>、SS、NH</w:t>
            </w:r>
            <w:r>
              <w:rPr>
                <w:rFonts w:hint="default" w:ascii="Times New Roman" w:hAnsi="Times New Roman" w:eastAsia="楷体" w:cs="Times New Roman"/>
                <w:color w:val="auto"/>
                <w:kern w:val="0"/>
                <w:sz w:val="18"/>
                <w:szCs w:val="18"/>
                <w:highlight w:val="none"/>
                <w:vertAlign w:val="subscript"/>
                <w:lang w:bidi="ar"/>
              </w:rPr>
              <w:t>3</w:t>
            </w:r>
            <w:r>
              <w:rPr>
                <w:rFonts w:hint="default" w:ascii="Times New Roman" w:hAnsi="Times New Roman" w:eastAsia="楷体" w:cs="Times New Roman"/>
                <w:color w:val="auto"/>
                <w:kern w:val="0"/>
                <w:sz w:val="18"/>
                <w:szCs w:val="18"/>
                <w:highlight w:val="none"/>
                <w:lang w:bidi="ar"/>
              </w:rPr>
              <w:t>-N、TN、TP达标，得6分；（2）每有一天出现一项不达标即认定为一天不达标，扣1分，扣完为止</w:t>
            </w:r>
          </w:p>
        </w:tc>
        <w:tc>
          <w:tcPr>
            <w:tcW w:w="1561" w:type="pct"/>
            <w:shd w:val="clear" w:color="auto" w:fill="auto"/>
            <w:vAlign w:val="center"/>
          </w:tcPr>
          <w:p w14:paraId="3705FC88">
            <w:pPr>
              <w:textAlignment w:val="center"/>
              <w:rPr>
                <w:rFonts w:hint="default" w:ascii="Times New Roman" w:hAnsi="Times New Roman" w:eastAsia="楷体" w:cs="Times New Roman"/>
                <w:color w:val="auto"/>
                <w:kern w:val="0"/>
                <w:sz w:val="18"/>
                <w:szCs w:val="18"/>
                <w:highlight w:val="none"/>
                <w:lang w:bidi="ar"/>
              </w:rPr>
            </w:pPr>
            <w:r>
              <w:rPr>
                <w:rFonts w:hint="default" w:ascii="Times New Roman" w:hAnsi="Times New Roman" w:eastAsia="楷体" w:cs="Times New Roman"/>
                <w:color w:val="auto"/>
                <w:kern w:val="0"/>
                <w:sz w:val="18"/>
                <w:szCs w:val="18"/>
                <w:highlight w:val="none"/>
                <w:lang w:bidi="ar"/>
              </w:rPr>
              <w:t>查化验分析台账及行业主管部门或生态环境部门的检测报告，并与实际运行现状相结合。污染物排放标准依据环评批复要求</w:t>
            </w:r>
          </w:p>
        </w:tc>
        <w:tc>
          <w:tcPr>
            <w:tcW w:w="230" w:type="pct"/>
            <w:shd w:val="clear" w:color="auto" w:fill="auto"/>
            <w:vAlign w:val="center"/>
          </w:tcPr>
          <w:p w14:paraId="7B05A84F">
            <w:pPr>
              <w:jc w:val="center"/>
              <w:textAlignment w:val="center"/>
              <w:rPr>
                <w:rFonts w:hint="default" w:ascii="Times New Roman" w:hAnsi="Times New Roman" w:eastAsia="楷体" w:cs="Times New Roman"/>
                <w:color w:val="auto"/>
                <w:kern w:val="0"/>
                <w:sz w:val="18"/>
                <w:szCs w:val="18"/>
                <w:highlight w:val="none"/>
                <w:lang w:bidi="ar"/>
              </w:rPr>
            </w:pPr>
          </w:p>
        </w:tc>
        <w:tc>
          <w:tcPr>
            <w:tcW w:w="277" w:type="pct"/>
            <w:shd w:val="clear" w:color="auto" w:fill="auto"/>
            <w:vAlign w:val="center"/>
          </w:tcPr>
          <w:p w14:paraId="0CC40867">
            <w:pPr>
              <w:jc w:val="center"/>
              <w:textAlignment w:val="center"/>
              <w:rPr>
                <w:rFonts w:hint="default" w:ascii="Times New Roman" w:hAnsi="Times New Roman" w:eastAsia="楷体" w:cs="Times New Roman"/>
                <w:color w:val="auto"/>
                <w:kern w:val="0"/>
                <w:sz w:val="18"/>
                <w:szCs w:val="18"/>
                <w:highlight w:val="none"/>
                <w:lang w:bidi="ar"/>
              </w:rPr>
            </w:pPr>
          </w:p>
        </w:tc>
      </w:tr>
      <w:tr w14:paraId="78BF5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3" w:type="pct"/>
            <w:vMerge w:val="continue"/>
            <w:shd w:val="clear" w:color="auto" w:fill="auto"/>
            <w:vAlign w:val="center"/>
          </w:tcPr>
          <w:p w14:paraId="3E7DDBB7">
            <w:pPr>
              <w:jc w:val="center"/>
              <w:textAlignment w:val="center"/>
              <w:rPr>
                <w:rFonts w:hint="default" w:ascii="Times New Roman" w:hAnsi="Times New Roman" w:eastAsia="楷体" w:cs="Times New Roman"/>
                <w:color w:val="auto"/>
                <w:kern w:val="0"/>
                <w:sz w:val="18"/>
                <w:szCs w:val="18"/>
                <w:highlight w:val="none"/>
                <w:lang w:bidi="ar"/>
              </w:rPr>
            </w:pPr>
          </w:p>
        </w:tc>
        <w:tc>
          <w:tcPr>
            <w:tcW w:w="212" w:type="pct"/>
            <w:vMerge w:val="continue"/>
            <w:shd w:val="clear" w:color="auto" w:fill="auto"/>
            <w:vAlign w:val="center"/>
          </w:tcPr>
          <w:p w14:paraId="72F14A69">
            <w:pPr>
              <w:jc w:val="center"/>
              <w:textAlignment w:val="center"/>
              <w:rPr>
                <w:rFonts w:hint="default" w:ascii="Times New Roman" w:hAnsi="Times New Roman" w:eastAsia="楷体" w:cs="Times New Roman"/>
                <w:color w:val="auto"/>
                <w:kern w:val="0"/>
                <w:sz w:val="18"/>
                <w:szCs w:val="18"/>
                <w:highlight w:val="none"/>
                <w:lang w:bidi="ar"/>
              </w:rPr>
            </w:pPr>
          </w:p>
        </w:tc>
        <w:tc>
          <w:tcPr>
            <w:tcW w:w="524" w:type="pct"/>
            <w:shd w:val="clear" w:color="auto" w:fill="auto"/>
            <w:vAlign w:val="center"/>
          </w:tcPr>
          <w:p w14:paraId="02C7FFCF">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进出水在线监控仪表</w:t>
            </w:r>
          </w:p>
        </w:tc>
        <w:tc>
          <w:tcPr>
            <w:tcW w:w="242" w:type="pct"/>
            <w:shd w:val="clear" w:color="auto" w:fill="auto"/>
            <w:vAlign w:val="center"/>
          </w:tcPr>
          <w:p w14:paraId="1ECE7E2F">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4</w:t>
            </w:r>
          </w:p>
        </w:tc>
        <w:tc>
          <w:tcPr>
            <w:tcW w:w="1727" w:type="pct"/>
            <w:shd w:val="clear" w:color="auto" w:fill="auto"/>
            <w:vAlign w:val="center"/>
          </w:tcPr>
          <w:p w14:paraId="1D7F18D8">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1）安装进出水在线监控仪表且能正常运行，日常维护、校准到位的，得4分；（2）仪表未配备或运行不正常，每有一台扣0.5分，扣完为止；（3）进水水质在线监控仪表受返回负荷影响导致数据失真，每有一台扣0.5分，扣完为止</w:t>
            </w:r>
          </w:p>
        </w:tc>
        <w:tc>
          <w:tcPr>
            <w:tcW w:w="1561" w:type="pct"/>
            <w:shd w:val="clear" w:color="auto" w:fill="auto"/>
            <w:vAlign w:val="center"/>
          </w:tcPr>
          <w:p w14:paraId="439B9B33">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现场查看污水处理厂信息管理平台、生态环境部门联网的在线进出水流量计、CODcr、NH</w:t>
            </w:r>
            <w:r>
              <w:rPr>
                <w:rFonts w:hint="default" w:ascii="Times New Roman" w:hAnsi="Times New Roman" w:eastAsia="楷体" w:cs="Times New Roman"/>
                <w:color w:val="auto"/>
                <w:kern w:val="0"/>
                <w:sz w:val="18"/>
                <w:szCs w:val="18"/>
                <w:highlight w:val="none"/>
                <w:vertAlign w:val="subscript"/>
                <w:lang w:bidi="ar"/>
              </w:rPr>
              <w:t>3</w:t>
            </w:r>
            <w:r>
              <w:rPr>
                <w:rFonts w:hint="default" w:ascii="Times New Roman" w:hAnsi="Times New Roman" w:eastAsia="楷体" w:cs="Times New Roman"/>
                <w:color w:val="auto"/>
                <w:kern w:val="0"/>
                <w:sz w:val="18"/>
                <w:szCs w:val="18"/>
                <w:highlight w:val="none"/>
                <w:lang w:bidi="ar"/>
              </w:rPr>
              <w:t>-N、TN、TP、pH等在线监控仪表运行状况</w:t>
            </w:r>
          </w:p>
        </w:tc>
        <w:tc>
          <w:tcPr>
            <w:tcW w:w="230" w:type="pct"/>
            <w:shd w:val="clear" w:color="auto" w:fill="auto"/>
            <w:vAlign w:val="center"/>
          </w:tcPr>
          <w:p w14:paraId="010D8C9C">
            <w:pPr>
              <w:jc w:val="center"/>
              <w:textAlignment w:val="center"/>
              <w:rPr>
                <w:rFonts w:hint="default" w:ascii="Times New Roman" w:hAnsi="Times New Roman" w:eastAsia="楷体" w:cs="Times New Roman"/>
                <w:color w:val="auto"/>
                <w:kern w:val="0"/>
                <w:sz w:val="18"/>
                <w:szCs w:val="18"/>
                <w:highlight w:val="none"/>
                <w:lang w:bidi="ar"/>
              </w:rPr>
            </w:pPr>
          </w:p>
        </w:tc>
        <w:tc>
          <w:tcPr>
            <w:tcW w:w="277" w:type="pct"/>
            <w:shd w:val="clear" w:color="auto" w:fill="auto"/>
            <w:vAlign w:val="center"/>
          </w:tcPr>
          <w:p w14:paraId="3C254889">
            <w:pPr>
              <w:jc w:val="center"/>
              <w:textAlignment w:val="center"/>
              <w:rPr>
                <w:rFonts w:hint="default" w:ascii="Times New Roman" w:hAnsi="Times New Roman" w:eastAsia="楷体" w:cs="Times New Roman"/>
                <w:color w:val="auto"/>
                <w:kern w:val="0"/>
                <w:sz w:val="18"/>
                <w:szCs w:val="18"/>
                <w:highlight w:val="none"/>
                <w:lang w:bidi="ar"/>
              </w:rPr>
            </w:pPr>
          </w:p>
        </w:tc>
      </w:tr>
      <w:tr w14:paraId="0618F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3" w:type="pct"/>
            <w:vMerge w:val="restart"/>
            <w:shd w:val="clear" w:color="auto" w:fill="auto"/>
            <w:vAlign w:val="center"/>
          </w:tcPr>
          <w:p w14:paraId="014260C2">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污泥管理</w:t>
            </w:r>
          </w:p>
        </w:tc>
        <w:tc>
          <w:tcPr>
            <w:tcW w:w="212" w:type="pct"/>
            <w:vMerge w:val="restart"/>
            <w:shd w:val="clear" w:color="auto" w:fill="auto"/>
            <w:vAlign w:val="center"/>
          </w:tcPr>
          <w:p w14:paraId="125CDB62">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10</w:t>
            </w:r>
          </w:p>
        </w:tc>
        <w:tc>
          <w:tcPr>
            <w:tcW w:w="524" w:type="pct"/>
            <w:shd w:val="clear" w:color="auto" w:fill="auto"/>
            <w:vAlign w:val="center"/>
          </w:tcPr>
          <w:p w14:paraId="3C091EC9">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污泥安全处置量</w:t>
            </w:r>
          </w:p>
        </w:tc>
        <w:tc>
          <w:tcPr>
            <w:tcW w:w="242" w:type="pct"/>
            <w:shd w:val="clear" w:color="auto" w:fill="auto"/>
            <w:vAlign w:val="center"/>
          </w:tcPr>
          <w:p w14:paraId="68FAC6FA">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2</w:t>
            </w:r>
          </w:p>
        </w:tc>
        <w:tc>
          <w:tcPr>
            <w:tcW w:w="1727" w:type="pct"/>
            <w:shd w:val="clear" w:color="auto" w:fill="auto"/>
            <w:vAlign w:val="center"/>
          </w:tcPr>
          <w:p w14:paraId="24934EB6">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得分=2分×污泥安全处置率</w:t>
            </w:r>
          </w:p>
        </w:tc>
        <w:tc>
          <w:tcPr>
            <w:tcW w:w="1561" w:type="pct"/>
            <w:shd w:val="clear" w:color="auto" w:fill="auto"/>
            <w:vAlign w:val="center"/>
          </w:tcPr>
          <w:p w14:paraId="44E5AA0D">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污泥安全处置率=（评价期内采用永久性污泥处置设施安全处置总量/评价期内污泥总产生量）×100%</w:t>
            </w:r>
          </w:p>
        </w:tc>
        <w:tc>
          <w:tcPr>
            <w:tcW w:w="230" w:type="pct"/>
            <w:shd w:val="clear" w:color="auto" w:fill="auto"/>
            <w:vAlign w:val="center"/>
          </w:tcPr>
          <w:p w14:paraId="299FDB73">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3E27DE2F">
            <w:pPr>
              <w:jc w:val="center"/>
              <w:rPr>
                <w:rFonts w:hint="default" w:ascii="Times New Roman" w:hAnsi="Times New Roman" w:eastAsia="楷体" w:cs="Times New Roman"/>
                <w:color w:val="auto"/>
                <w:sz w:val="18"/>
                <w:szCs w:val="18"/>
                <w:highlight w:val="none"/>
              </w:rPr>
            </w:pPr>
          </w:p>
        </w:tc>
      </w:tr>
      <w:tr w14:paraId="6B802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trPr>
        <w:tc>
          <w:tcPr>
            <w:tcW w:w="223" w:type="pct"/>
            <w:vMerge w:val="continue"/>
            <w:shd w:val="clear" w:color="auto" w:fill="auto"/>
            <w:vAlign w:val="center"/>
          </w:tcPr>
          <w:p w14:paraId="46248FFE">
            <w:pPr>
              <w:jc w:val="center"/>
              <w:rPr>
                <w:rFonts w:hint="default" w:ascii="Times New Roman" w:hAnsi="Times New Roman" w:eastAsia="楷体" w:cs="Times New Roman"/>
                <w:color w:val="auto"/>
                <w:sz w:val="18"/>
                <w:szCs w:val="18"/>
                <w:highlight w:val="none"/>
              </w:rPr>
            </w:pPr>
          </w:p>
        </w:tc>
        <w:tc>
          <w:tcPr>
            <w:tcW w:w="212" w:type="pct"/>
            <w:vMerge w:val="continue"/>
            <w:shd w:val="clear" w:color="auto" w:fill="auto"/>
            <w:vAlign w:val="center"/>
          </w:tcPr>
          <w:p w14:paraId="3D4B1D3B">
            <w:pPr>
              <w:jc w:val="center"/>
              <w:rPr>
                <w:rFonts w:hint="default" w:ascii="Times New Roman" w:hAnsi="Times New Roman" w:eastAsia="楷体" w:cs="Times New Roman"/>
                <w:color w:val="auto"/>
                <w:sz w:val="18"/>
                <w:szCs w:val="18"/>
                <w:highlight w:val="none"/>
              </w:rPr>
            </w:pPr>
          </w:p>
        </w:tc>
        <w:tc>
          <w:tcPr>
            <w:tcW w:w="524" w:type="pct"/>
            <w:shd w:val="clear" w:color="auto" w:fill="auto"/>
            <w:vAlign w:val="center"/>
          </w:tcPr>
          <w:p w14:paraId="19042A90">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污泥运输及处置</w:t>
            </w:r>
          </w:p>
        </w:tc>
        <w:tc>
          <w:tcPr>
            <w:tcW w:w="242" w:type="pct"/>
            <w:shd w:val="clear" w:color="auto" w:fill="auto"/>
            <w:vAlign w:val="center"/>
          </w:tcPr>
          <w:p w14:paraId="73D55AE3">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4</w:t>
            </w:r>
          </w:p>
        </w:tc>
        <w:tc>
          <w:tcPr>
            <w:tcW w:w="1727" w:type="pct"/>
            <w:shd w:val="clear" w:color="auto" w:fill="auto"/>
            <w:vAlign w:val="center"/>
          </w:tcPr>
          <w:p w14:paraId="04B5B976">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（1）采用永久性污泥处置设施确保污泥安全稳定处置，合同有效、运输规范、处理及时，不扣分；（2）处置方式不规范，扣2分；（3）处理不及时造成污泥堆积，扣2分</w:t>
            </w:r>
          </w:p>
        </w:tc>
        <w:tc>
          <w:tcPr>
            <w:tcW w:w="1561" w:type="pct"/>
            <w:shd w:val="clear" w:color="auto" w:fill="auto"/>
            <w:vAlign w:val="center"/>
          </w:tcPr>
          <w:p w14:paraId="1BF505A3">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查现场和污泥处置（含污泥外运）合同、污泥运输情况、污泥出厂单据，污泥处置单位出具的收费票据等</w:t>
            </w:r>
          </w:p>
        </w:tc>
        <w:tc>
          <w:tcPr>
            <w:tcW w:w="230" w:type="pct"/>
            <w:shd w:val="clear" w:color="auto" w:fill="auto"/>
            <w:vAlign w:val="center"/>
          </w:tcPr>
          <w:p w14:paraId="35182DBF">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10087F6D">
            <w:pPr>
              <w:jc w:val="center"/>
              <w:rPr>
                <w:rFonts w:hint="default" w:ascii="Times New Roman" w:hAnsi="Times New Roman" w:eastAsia="楷体" w:cs="Times New Roman"/>
                <w:color w:val="auto"/>
                <w:sz w:val="18"/>
                <w:szCs w:val="18"/>
                <w:highlight w:val="none"/>
              </w:rPr>
            </w:pPr>
          </w:p>
        </w:tc>
      </w:tr>
      <w:tr w14:paraId="4A613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223" w:type="pct"/>
            <w:vMerge w:val="continue"/>
            <w:shd w:val="clear" w:color="auto" w:fill="auto"/>
            <w:vAlign w:val="center"/>
          </w:tcPr>
          <w:p w14:paraId="33C7607E">
            <w:pPr>
              <w:jc w:val="center"/>
              <w:rPr>
                <w:rFonts w:hint="default" w:ascii="Times New Roman" w:hAnsi="Times New Roman" w:eastAsia="楷体" w:cs="Times New Roman"/>
                <w:color w:val="auto"/>
                <w:sz w:val="18"/>
                <w:szCs w:val="18"/>
                <w:highlight w:val="none"/>
              </w:rPr>
            </w:pPr>
          </w:p>
        </w:tc>
        <w:tc>
          <w:tcPr>
            <w:tcW w:w="212" w:type="pct"/>
            <w:vMerge w:val="continue"/>
            <w:shd w:val="clear" w:color="auto" w:fill="auto"/>
            <w:vAlign w:val="center"/>
          </w:tcPr>
          <w:p w14:paraId="3153FF0B">
            <w:pPr>
              <w:jc w:val="center"/>
              <w:rPr>
                <w:rFonts w:hint="default" w:ascii="Times New Roman" w:hAnsi="Times New Roman" w:eastAsia="楷体" w:cs="Times New Roman"/>
                <w:color w:val="auto"/>
                <w:sz w:val="18"/>
                <w:szCs w:val="18"/>
                <w:highlight w:val="none"/>
              </w:rPr>
            </w:pPr>
          </w:p>
        </w:tc>
        <w:tc>
          <w:tcPr>
            <w:tcW w:w="524" w:type="pct"/>
            <w:shd w:val="clear" w:color="auto" w:fill="auto"/>
            <w:vAlign w:val="center"/>
          </w:tcPr>
          <w:p w14:paraId="5D1146ED">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污泥处理质量</w:t>
            </w:r>
          </w:p>
        </w:tc>
        <w:tc>
          <w:tcPr>
            <w:tcW w:w="242" w:type="pct"/>
            <w:shd w:val="clear" w:color="auto" w:fill="auto"/>
            <w:vAlign w:val="center"/>
          </w:tcPr>
          <w:p w14:paraId="4EAEFC96">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2</w:t>
            </w:r>
          </w:p>
        </w:tc>
        <w:tc>
          <w:tcPr>
            <w:tcW w:w="1727" w:type="pct"/>
            <w:shd w:val="clear" w:color="auto" w:fill="auto"/>
            <w:vAlign w:val="center"/>
          </w:tcPr>
          <w:p w14:paraId="431407CF">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（1）年平均污泥含水率≤80%，得2分；（2）80%＜年平均污泥含水率≤82%，得1分；（3）年平均污泥含水率＞82%，不得分</w:t>
            </w:r>
          </w:p>
        </w:tc>
        <w:tc>
          <w:tcPr>
            <w:tcW w:w="1561" w:type="pct"/>
            <w:shd w:val="clear" w:color="auto" w:fill="auto"/>
            <w:vAlign w:val="center"/>
          </w:tcPr>
          <w:p w14:paraId="5DB7CF80">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查现场、污泥含水率化验台账和年度汇总资料</w:t>
            </w:r>
          </w:p>
        </w:tc>
        <w:tc>
          <w:tcPr>
            <w:tcW w:w="230" w:type="pct"/>
            <w:shd w:val="clear" w:color="auto" w:fill="auto"/>
            <w:vAlign w:val="center"/>
          </w:tcPr>
          <w:p w14:paraId="6E397E29">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14D14A1D">
            <w:pPr>
              <w:jc w:val="center"/>
              <w:rPr>
                <w:rFonts w:hint="default" w:ascii="Times New Roman" w:hAnsi="Times New Roman" w:eastAsia="楷体" w:cs="Times New Roman"/>
                <w:color w:val="auto"/>
                <w:sz w:val="18"/>
                <w:szCs w:val="18"/>
                <w:highlight w:val="none"/>
              </w:rPr>
            </w:pPr>
          </w:p>
        </w:tc>
      </w:tr>
      <w:tr w14:paraId="0F158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223" w:type="pct"/>
            <w:vMerge w:val="continue"/>
            <w:shd w:val="clear" w:color="auto" w:fill="auto"/>
            <w:vAlign w:val="center"/>
          </w:tcPr>
          <w:p w14:paraId="7927910F">
            <w:pPr>
              <w:jc w:val="center"/>
              <w:rPr>
                <w:rFonts w:hint="default" w:ascii="Times New Roman" w:hAnsi="Times New Roman" w:eastAsia="楷体" w:cs="Times New Roman"/>
                <w:color w:val="auto"/>
                <w:sz w:val="18"/>
                <w:szCs w:val="18"/>
                <w:highlight w:val="none"/>
              </w:rPr>
            </w:pPr>
          </w:p>
        </w:tc>
        <w:tc>
          <w:tcPr>
            <w:tcW w:w="212" w:type="pct"/>
            <w:vMerge w:val="continue"/>
            <w:shd w:val="clear" w:color="auto" w:fill="auto"/>
            <w:vAlign w:val="center"/>
          </w:tcPr>
          <w:p w14:paraId="7E12916F">
            <w:pPr>
              <w:jc w:val="center"/>
              <w:rPr>
                <w:rFonts w:hint="default" w:ascii="Times New Roman" w:hAnsi="Times New Roman" w:eastAsia="楷体" w:cs="Times New Roman"/>
                <w:color w:val="auto"/>
                <w:sz w:val="18"/>
                <w:szCs w:val="18"/>
                <w:highlight w:val="none"/>
              </w:rPr>
            </w:pPr>
          </w:p>
        </w:tc>
        <w:tc>
          <w:tcPr>
            <w:tcW w:w="524" w:type="pct"/>
            <w:shd w:val="clear" w:color="auto" w:fill="auto"/>
            <w:vAlign w:val="center"/>
          </w:tcPr>
          <w:p w14:paraId="595C9B0F">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污泥处理设施</w:t>
            </w:r>
          </w:p>
        </w:tc>
        <w:tc>
          <w:tcPr>
            <w:tcW w:w="242" w:type="pct"/>
            <w:shd w:val="clear" w:color="auto" w:fill="auto"/>
            <w:vAlign w:val="center"/>
          </w:tcPr>
          <w:p w14:paraId="53C714C4">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2</w:t>
            </w:r>
          </w:p>
        </w:tc>
        <w:tc>
          <w:tcPr>
            <w:tcW w:w="1727" w:type="pct"/>
            <w:shd w:val="clear" w:color="auto" w:fill="auto"/>
            <w:vAlign w:val="center"/>
          </w:tcPr>
          <w:p w14:paraId="306B574C">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每发现一个问题点扣0.5分，扣完为止</w:t>
            </w:r>
          </w:p>
        </w:tc>
        <w:tc>
          <w:tcPr>
            <w:tcW w:w="1561" w:type="pct"/>
            <w:shd w:val="clear" w:color="auto" w:fill="auto"/>
            <w:vAlign w:val="center"/>
          </w:tcPr>
          <w:p w14:paraId="3DE069C6">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现场查看污泥处理设施</w:t>
            </w:r>
          </w:p>
        </w:tc>
        <w:tc>
          <w:tcPr>
            <w:tcW w:w="230" w:type="pct"/>
            <w:shd w:val="clear" w:color="auto" w:fill="auto"/>
            <w:vAlign w:val="center"/>
          </w:tcPr>
          <w:p w14:paraId="0CCDA3E2">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2DFC60CF">
            <w:pPr>
              <w:jc w:val="center"/>
              <w:rPr>
                <w:rFonts w:hint="default" w:ascii="Times New Roman" w:hAnsi="Times New Roman" w:eastAsia="楷体" w:cs="Times New Roman"/>
                <w:color w:val="auto"/>
                <w:sz w:val="18"/>
                <w:szCs w:val="18"/>
                <w:highlight w:val="none"/>
              </w:rPr>
            </w:pPr>
          </w:p>
        </w:tc>
      </w:tr>
      <w:tr w14:paraId="48535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223" w:type="pct"/>
            <w:vMerge w:val="restart"/>
            <w:shd w:val="clear" w:color="auto" w:fill="auto"/>
            <w:vAlign w:val="center"/>
          </w:tcPr>
          <w:p w14:paraId="706A2E06">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生产运行管理</w:t>
            </w:r>
          </w:p>
        </w:tc>
        <w:tc>
          <w:tcPr>
            <w:tcW w:w="212" w:type="pct"/>
            <w:vMerge w:val="restart"/>
            <w:shd w:val="clear" w:color="auto" w:fill="auto"/>
            <w:vAlign w:val="center"/>
          </w:tcPr>
          <w:p w14:paraId="080FDD67">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15</w:t>
            </w:r>
          </w:p>
        </w:tc>
        <w:tc>
          <w:tcPr>
            <w:tcW w:w="524" w:type="pct"/>
            <w:shd w:val="clear" w:color="auto" w:fill="auto"/>
            <w:vAlign w:val="center"/>
          </w:tcPr>
          <w:p w14:paraId="48E6A96C">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人员培训</w:t>
            </w:r>
          </w:p>
        </w:tc>
        <w:tc>
          <w:tcPr>
            <w:tcW w:w="242" w:type="pct"/>
            <w:shd w:val="clear" w:color="auto" w:fill="auto"/>
            <w:vAlign w:val="center"/>
          </w:tcPr>
          <w:p w14:paraId="3BE7D2E8">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3</w:t>
            </w:r>
          </w:p>
        </w:tc>
        <w:tc>
          <w:tcPr>
            <w:tcW w:w="1727" w:type="pct"/>
            <w:shd w:val="clear" w:color="auto" w:fill="auto"/>
            <w:vAlign w:val="center"/>
          </w:tcPr>
          <w:p w14:paraId="5D919C02">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定期对从业人员培训相关专业知识、安全知识、基本技能，使其具备承担污水处理工作必需的能力，每年培训不少于4次，每少1次扣1分，扣完为止</w:t>
            </w:r>
          </w:p>
        </w:tc>
        <w:tc>
          <w:tcPr>
            <w:tcW w:w="1561" w:type="pct"/>
            <w:shd w:val="clear" w:color="auto" w:fill="auto"/>
            <w:vAlign w:val="center"/>
          </w:tcPr>
          <w:p w14:paraId="1787E151">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查询公司员工学习、培训记录，是否掌握对应岗位的专业知识，可以确保污水处理厂平稳运行</w:t>
            </w:r>
          </w:p>
        </w:tc>
        <w:tc>
          <w:tcPr>
            <w:tcW w:w="230" w:type="pct"/>
            <w:shd w:val="clear" w:color="auto" w:fill="auto"/>
            <w:vAlign w:val="center"/>
          </w:tcPr>
          <w:p w14:paraId="34A2D094">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5C425FF1">
            <w:pPr>
              <w:jc w:val="center"/>
              <w:rPr>
                <w:rFonts w:hint="default" w:ascii="Times New Roman" w:hAnsi="Times New Roman" w:eastAsia="楷体" w:cs="Times New Roman"/>
                <w:color w:val="auto"/>
                <w:sz w:val="18"/>
                <w:szCs w:val="18"/>
                <w:highlight w:val="none"/>
              </w:rPr>
            </w:pPr>
          </w:p>
        </w:tc>
      </w:tr>
      <w:tr w14:paraId="559B4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trPr>
        <w:tc>
          <w:tcPr>
            <w:tcW w:w="223" w:type="pct"/>
            <w:vMerge w:val="continue"/>
            <w:shd w:val="clear" w:color="auto" w:fill="auto"/>
            <w:vAlign w:val="center"/>
          </w:tcPr>
          <w:p w14:paraId="00B13726">
            <w:pPr>
              <w:jc w:val="center"/>
              <w:rPr>
                <w:rFonts w:hint="default" w:ascii="Times New Roman" w:hAnsi="Times New Roman" w:eastAsia="楷体" w:cs="Times New Roman"/>
                <w:color w:val="auto"/>
                <w:sz w:val="18"/>
                <w:szCs w:val="18"/>
                <w:highlight w:val="none"/>
              </w:rPr>
            </w:pPr>
          </w:p>
        </w:tc>
        <w:tc>
          <w:tcPr>
            <w:tcW w:w="212" w:type="pct"/>
            <w:vMerge w:val="continue"/>
            <w:shd w:val="clear" w:color="auto" w:fill="auto"/>
            <w:vAlign w:val="center"/>
          </w:tcPr>
          <w:p w14:paraId="3A58F56B">
            <w:pPr>
              <w:jc w:val="center"/>
              <w:rPr>
                <w:rFonts w:hint="default" w:ascii="Times New Roman" w:hAnsi="Times New Roman" w:eastAsia="楷体" w:cs="Times New Roman"/>
                <w:color w:val="auto"/>
                <w:sz w:val="18"/>
                <w:szCs w:val="18"/>
                <w:highlight w:val="none"/>
              </w:rPr>
            </w:pPr>
          </w:p>
        </w:tc>
        <w:tc>
          <w:tcPr>
            <w:tcW w:w="524" w:type="pct"/>
            <w:shd w:val="clear" w:color="auto" w:fill="auto"/>
            <w:vAlign w:val="center"/>
          </w:tcPr>
          <w:p w14:paraId="16A5DAE5">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生产计划及实施</w:t>
            </w:r>
          </w:p>
        </w:tc>
        <w:tc>
          <w:tcPr>
            <w:tcW w:w="242" w:type="pct"/>
            <w:shd w:val="clear" w:color="auto" w:fill="auto"/>
            <w:vAlign w:val="center"/>
          </w:tcPr>
          <w:p w14:paraId="6F95AB77">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4</w:t>
            </w:r>
          </w:p>
        </w:tc>
        <w:tc>
          <w:tcPr>
            <w:tcW w:w="1727" w:type="pct"/>
            <w:shd w:val="clear" w:color="auto" w:fill="auto"/>
            <w:vAlign w:val="center"/>
          </w:tcPr>
          <w:p w14:paraId="17BF9480">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（1）有科学、合理的年度、月度生产计划，并按计划有序实施，得4分；（2）有科学、合理的年度、月度生产计划，但未按计划有序实施，得2分；（3）无科学、合理的年度、月度生产计划，不得分</w:t>
            </w:r>
          </w:p>
        </w:tc>
        <w:tc>
          <w:tcPr>
            <w:tcW w:w="1561" w:type="pct"/>
            <w:shd w:val="clear" w:color="auto" w:fill="auto"/>
            <w:vAlign w:val="center"/>
          </w:tcPr>
          <w:p w14:paraId="06C0796E">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查年度、月度生产计划及实施情况</w:t>
            </w:r>
          </w:p>
        </w:tc>
        <w:tc>
          <w:tcPr>
            <w:tcW w:w="230" w:type="pct"/>
            <w:shd w:val="clear" w:color="auto" w:fill="auto"/>
            <w:vAlign w:val="center"/>
          </w:tcPr>
          <w:p w14:paraId="4D4F83E2">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76BE1E49">
            <w:pPr>
              <w:jc w:val="center"/>
              <w:rPr>
                <w:rFonts w:hint="default" w:ascii="Times New Roman" w:hAnsi="Times New Roman" w:eastAsia="楷体" w:cs="Times New Roman"/>
                <w:color w:val="auto"/>
                <w:sz w:val="18"/>
                <w:szCs w:val="18"/>
                <w:highlight w:val="none"/>
              </w:rPr>
            </w:pPr>
          </w:p>
        </w:tc>
      </w:tr>
      <w:tr w14:paraId="0BF80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trPr>
        <w:tc>
          <w:tcPr>
            <w:tcW w:w="223" w:type="pct"/>
            <w:vMerge w:val="continue"/>
            <w:shd w:val="clear" w:color="auto" w:fill="auto"/>
            <w:vAlign w:val="center"/>
          </w:tcPr>
          <w:p w14:paraId="36D1EC1B">
            <w:pPr>
              <w:jc w:val="center"/>
              <w:rPr>
                <w:rFonts w:hint="default" w:ascii="Times New Roman" w:hAnsi="Times New Roman" w:eastAsia="楷体" w:cs="Times New Roman"/>
                <w:color w:val="auto"/>
                <w:sz w:val="18"/>
                <w:szCs w:val="18"/>
                <w:highlight w:val="none"/>
              </w:rPr>
            </w:pPr>
          </w:p>
        </w:tc>
        <w:tc>
          <w:tcPr>
            <w:tcW w:w="212" w:type="pct"/>
            <w:vMerge w:val="continue"/>
            <w:shd w:val="clear" w:color="auto" w:fill="auto"/>
            <w:vAlign w:val="center"/>
          </w:tcPr>
          <w:p w14:paraId="62CAEB5F">
            <w:pPr>
              <w:jc w:val="center"/>
              <w:rPr>
                <w:rFonts w:hint="default" w:ascii="Times New Roman" w:hAnsi="Times New Roman" w:eastAsia="楷体" w:cs="Times New Roman"/>
                <w:color w:val="auto"/>
                <w:sz w:val="18"/>
                <w:szCs w:val="18"/>
                <w:highlight w:val="none"/>
              </w:rPr>
            </w:pPr>
          </w:p>
        </w:tc>
        <w:tc>
          <w:tcPr>
            <w:tcW w:w="524" w:type="pct"/>
            <w:shd w:val="clear" w:color="auto" w:fill="auto"/>
            <w:vAlign w:val="center"/>
          </w:tcPr>
          <w:p w14:paraId="2BCE245F">
            <w:pPr>
              <w:jc w:val="center"/>
              <w:textAlignment w:val="center"/>
              <w:rPr>
                <w:rFonts w:hint="default" w:ascii="Times New Roman" w:hAnsi="Times New Roman" w:eastAsia="楷体" w:cs="Times New Roman"/>
                <w:color w:val="auto"/>
                <w:kern w:val="0"/>
                <w:sz w:val="18"/>
                <w:szCs w:val="18"/>
                <w:highlight w:val="none"/>
                <w:lang w:bidi="ar"/>
              </w:rPr>
            </w:pPr>
            <w:r>
              <w:rPr>
                <w:rFonts w:hint="default" w:ascii="Times New Roman" w:hAnsi="Times New Roman" w:eastAsia="楷体" w:cs="Times New Roman"/>
                <w:color w:val="auto"/>
                <w:kern w:val="0"/>
                <w:sz w:val="18"/>
                <w:szCs w:val="18"/>
                <w:highlight w:val="none"/>
                <w:lang w:bidi="ar"/>
              </w:rPr>
              <w:t>工艺管理</w:t>
            </w:r>
          </w:p>
        </w:tc>
        <w:tc>
          <w:tcPr>
            <w:tcW w:w="242" w:type="pct"/>
            <w:shd w:val="clear" w:color="auto" w:fill="auto"/>
            <w:vAlign w:val="center"/>
          </w:tcPr>
          <w:p w14:paraId="74AED153">
            <w:pPr>
              <w:jc w:val="center"/>
              <w:textAlignment w:val="center"/>
              <w:rPr>
                <w:rFonts w:hint="default" w:ascii="Times New Roman" w:hAnsi="Times New Roman" w:eastAsia="楷体" w:cs="Times New Roman"/>
                <w:color w:val="auto"/>
                <w:kern w:val="0"/>
                <w:sz w:val="18"/>
                <w:szCs w:val="18"/>
                <w:highlight w:val="none"/>
                <w:lang w:bidi="ar"/>
              </w:rPr>
            </w:pPr>
            <w:r>
              <w:rPr>
                <w:rFonts w:hint="default" w:ascii="Times New Roman" w:hAnsi="Times New Roman" w:eastAsia="楷体" w:cs="Times New Roman"/>
                <w:color w:val="auto"/>
                <w:kern w:val="0"/>
                <w:sz w:val="18"/>
                <w:szCs w:val="18"/>
                <w:highlight w:val="none"/>
                <w:lang w:bidi="ar"/>
              </w:rPr>
              <w:t>4</w:t>
            </w:r>
          </w:p>
        </w:tc>
        <w:tc>
          <w:tcPr>
            <w:tcW w:w="1727" w:type="pct"/>
            <w:shd w:val="clear" w:color="auto" w:fill="auto"/>
            <w:vAlign w:val="center"/>
          </w:tcPr>
          <w:p w14:paraId="10FEBA8A">
            <w:pPr>
              <w:textAlignment w:val="center"/>
              <w:rPr>
                <w:rFonts w:hint="default" w:ascii="Times New Roman" w:hAnsi="Times New Roman" w:eastAsia="楷体" w:cs="Times New Roman"/>
                <w:color w:val="auto"/>
                <w:kern w:val="0"/>
                <w:sz w:val="18"/>
                <w:szCs w:val="18"/>
                <w:highlight w:val="none"/>
                <w:lang w:bidi="ar"/>
              </w:rPr>
            </w:pPr>
            <w:r>
              <w:rPr>
                <w:rFonts w:hint="default" w:ascii="Times New Roman" w:hAnsi="Times New Roman" w:eastAsia="楷体" w:cs="Times New Roman"/>
                <w:color w:val="auto"/>
                <w:kern w:val="0"/>
                <w:sz w:val="18"/>
                <w:szCs w:val="18"/>
                <w:highlight w:val="none"/>
                <w:lang w:bidi="ar"/>
              </w:rPr>
              <w:t>有全面、详细的工艺运行管理规定、调控方案、应急措施，以及年度、季度工艺运行分析报告，得4分；每少一项扣1分，扣完为止</w:t>
            </w:r>
          </w:p>
        </w:tc>
        <w:tc>
          <w:tcPr>
            <w:tcW w:w="1561" w:type="pct"/>
            <w:shd w:val="clear" w:color="auto" w:fill="auto"/>
            <w:vAlign w:val="center"/>
          </w:tcPr>
          <w:p w14:paraId="00689BF2">
            <w:pPr>
              <w:textAlignment w:val="center"/>
              <w:rPr>
                <w:rFonts w:hint="default" w:ascii="Times New Roman" w:hAnsi="Times New Roman" w:eastAsia="楷体" w:cs="Times New Roman"/>
                <w:color w:val="auto"/>
                <w:kern w:val="0"/>
                <w:sz w:val="18"/>
                <w:szCs w:val="18"/>
                <w:highlight w:val="none"/>
                <w:lang w:bidi="ar"/>
              </w:rPr>
            </w:pPr>
            <w:r>
              <w:rPr>
                <w:rFonts w:hint="default" w:ascii="Times New Roman" w:hAnsi="Times New Roman" w:eastAsia="楷体" w:cs="Times New Roman"/>
                <w:color w:val="auto"/>
                <w:kern w:val="0"/>
                <w:sz w:val="18"/>
                <w:szCs w:val="18"/>
                <w:highlight w:val="none"/>
                <w:lang w:bidi="ar"/>
              </w:rPr>
              <w:t>查年度、季度工艺运行分析报告、工艺运行管理规定、调控方案、应急措施等</w:t>
            </w:r>
          </w:p>
        </w:tc>
        <w:tc>
          <w:tcPr>
            <w:tcW w:w="230" w:type="pct"/>
            <w:shd w:val="clear" w:color="auto" w:fill="auto"/>
            <w:vAlign w:val="center"/>
          </w:tcPr>
          <w:p w14:paraId="1FD10A99">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7F5CFA4F">
            <w:pPr>
              <w:jc w:val="center"/>
              <w:rPr>
                <w:rFonts w:hint="default" w:ascii="Times New Roman" w:hAnsi="Times New Roman" w:eastAsia="楷体" w:cs="Times New Roman"/>
                <w:color w:val="auto"/>
                <w:sz w:val="18"/>
                <w:szCs w:val="18"/>
                <w:highlight w:val="none"/>
              </w:rPr>
            </w:pPr>
          </w:p>
        </w:tc>
      </w:tr>
      <w:tr w14:paraId="5922D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223" w:type="pct"/>
            <w:vMerge w:val="continue"/>
            <w:shd w:val="clear" w:color="auto" w:fill="auto"/>
            <w:vAlign w:val="center"/>
          </w:tcPr>
          <w:p w14:paraId="3A53AF36">
            <w:pPr>
              <w:jc w:val="center"/>
              <w:rPr>
                <w:rFonts w:hint="default" w:ascii="Times New Roman" w:hAnsi="Times New Roman" w:eastAsia="楷体" w:cs="Times New Roman"/>
                <w:color w:val="auto"/>
                <w:sz w:val="18"/>
                <w:szCs w:val="18"/>
                <w:highlight w:val="none"/>
              </w:rPr>
            </w:pPr>
          </w:p>
        </w:tc>
        <w:tc>
          <w:tcPr>
            <w:tcW w:w="212" w:type="pct"/>
            <w:vMerge w:val="continue"/>
            <w:shd w:val="clear" w:color="auto" w:fill="auto"/>
            <w:vAlign w:val="center"/>
          </w:tcPr>
          <w:p w14:paraId="6B4B4C86">
            <w:pPr>
              <w:jc w:val="center"/>
              <w:rPr>
                <w:rFonts w:hint="default" w:ascii="Times New Roman" w:hAnsi="Times New Roman" w:eastAsia="楷体" w:cs="Times New Roman"/>
                <w:color w:val="auto"/>
                <w:sz w:val="18"/>
                <w:szCs w:val="18"/>
                <w:highlight w:val="none"/>
              </w:rPr>
            </w:pPr>
          </w:p>
        </w:tc>
        <w:tc>
          <w:tcPr>
            <w:tcW w:w="524" w:type="pct"/>
            <w:shd w:val="clear" w:color="auto" w:fill="auto"/>
            <w:vAlign w:val="center"/>
          </w:tcPr>
          <w:p w14:paraId="27FA982F">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再生水回用</w:t>
            </w:r>
          </w:p>
        </w:tc>
        <w:tc>
          <w:tcPr>
            <w:tcW w:w="242" w:type="pct"/>
            <w:shd w:val="clear" w:color="auto" w:fill="auto"/>
            <w:vAlign w:val="center"/>
          </w:tcPr>
          <w:p w14:paraId="24017C54">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2</w:t>
            </w:r>
          </w:p>
        </w:tc>
        <w:tc>
          <w:tcPr>
            <w:tcW w:w="1727" w:type="pct"/>
            <w:shd w:val="clear" w:color="auto" w:fill="auto"/>
            <w:vAlign w:val="center"/>
          </w:tcPr>
          <w:p w14:paraId="442026D8">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（1）厂内回用及厂外回用，得2分；（2）无再生水回用不得分</w:t>
            </w:r>
          </w:p>
        </w:tc>
        <w:tc>
          <w:tcPr>
            <w:tcW w:w="1561" w:type="pct"/>
            <w:shd w:val="clear" w:color="auto" w:fill="auto"/>
            <w:vAlign w:val="center"/>
          </w:tcPr>
          <w:p w14:paraId="63A26C34">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厂内回用于脱水机冲洗、绿化浇灌、道路喷洒等；厂外回用于景观、工业等，需有再生水回用相关配套工程</w:t>
            </w:r>
          </w:p>
        </w:tc>
        <w:tc>
          <w:tcPr>
            <w:tcW w:w="230" w:type="pct"/>
            <w:shd w:val="clear" w:color="auto" w:fill="auto"/>
            <w:vAlign w:val="center"/>
          </w:tcPr>
          <w:p w14:paraId="23AEAC20">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22706DD2">
            <w:pPr>
              <w:jc w:val="center"/>
              <w:rPr>
                <w:rFonts w:hint="default" w:ascii="Times New Roman" w:hAnsi="Times New Roman" w:eastAsia="楷体" w:cs="Times New Roman"/>
                <w:color w:val="auto"/>
                <w:sz w:val="18"/>
                <w:szCs w:val="18"/>
                <w:highlight w:val="none"/>
              </w:rPr>
            </w:pPr>
          </w:p>
        </w:tc>
      </w:tr>
      <w:tr w14:paraId="20F9D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223" w:type="pct"/>
            <w:vMerge w:val="continue"/>
            <w:shd w:val="clear" w:color="auto" w:fill="auto"/>
            <w:vAlign w:val="center"/>
          </w:tcPr>
          <w:p w14:paraId="31750A69">
            <w:pPr>
              <w:jc w:val="center"/>
              <w:rPr>
                <w:rFonts w:hint="default" w:ascii="Times New Roman" w:hAnsi="Times New Roman" w:eastAsia="楷体" w:cs="Times New Roman"/>
                <w:color w:val="auto"/>
                <w:sz w:val="18"/>
                <w:szCs w:val="18"/>
                <w:highlight w:val="none"/>
              </w:rPr>
            </w:pPr>
          </w:p>
        </w:tc>
        <w:tc>
          <w:tcPr>
            <w:tcW w:w="212" w:type="pct"/>
            <w:vMerge w:val="continue"/>
            <w:shd w:val="clear" w:color="auto" w:fill="auto"/>
            <w:vAlign w:val="center"/>
          </w:tcPr>
          <w:p w14:paraId="53ACC064">
            <w:pPr>
              <w:jc w:val="center"/>
              <w:rPr>
                <w:rFonts w:hint="default" w:ascii="Times New Roman" w:hAnsi="Times New Roman" w:eastAsia="楷体" w:cs="Times New Roman"/>
                <w:color w:val="auto"/>
                <w:sz w:val="18"/>
                <w:szCs w:val="18"/>
                <w:highlight w:val="none"/>
              </w:rPr>
            </w:pPr>
          </w:p>
        </w:tc>
        <w:tc>
          <w:tcPr>
            <w:tcW w:w="524" w:type="pct"/>
            <w:shd w:val="clear" w:color="auto" w:fill="auto"/>
            <w:vAlign w:val="center"/>
          </w:tcPr>
          <w:p w14:paraId="16E11C2F">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消毒与除臭</w:t>
            </w:r>
          </w:p>
        </w:tc>
        <w:tc>
          <w:tcPr>
            <w:tcW w:w="242" w:type="pct"/>
            <w:shd w:val="clear" w:color="auto" w:fill="auto"/>
            <w:vAlign w:val="center"/>
          </w:tcPr>
          <w:p w14:paraId="4B1719CD">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2</w:t>
            </w:r>
          </w:p>
        </w:tc>
        <w:tc>
          <w:tcPr>
            <w:tcW w:w="1727" w:type="pct"/>
            <w:shd w:val="clear" w:color="auto" w:fill="auto"/>
            <w:vAlign w:val="center"/>
          </w:tcPr>
          <w:p w14:paraId="6B676C39">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（1）消毒、除臭设施运行状况良好，并有规范的安全运行场所和防护措施，不扣分；（2）设施运行状况一般，或安全防护措施不完善，每有一处扣1分，扣完为止</w:t>
            </w:r>
          </w:p>
        </w:tc>
        <w:tc>
          <w:tcPr>
            <w:tcW w:w="1561" w:type="pct"/>
            <w:shd w:val="clear" w:color="auto" w:fill="auto"/>
            <w:vAlign w:val="center"/>
          </w:tcPr>
          <w:p w14:paraId="21598052">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臭氧、二氧化氯、次氯酸钠、紫外等消毒方式按国家相关规定安全运行并做好安全防护</w:t>
            </w:r>
          </w:p>
        </w:tc>
        <w:tc>
          <w:tcPr>
            <w:tcW w:w="230" w:type="pct"/>
            <w:shd w:val="clear" w:color="auto" w:fill="auto"/>
            <w:vAlign w:val="center"/>
          </w:tcPr>
          <w:p w14:paraId="31C0B580">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008CCC12">
            <w:pPr>
              <w:jc w:val="center"/>
              <w:rPr>
                <w:rFonts w:hint="default" w:ascii="Times New Roman" w:hAnsi="Times New Roman" w:eastAsia="楷体" w:cs="Times New Roman"/>
                <w:color w:val="auto"/>
                <w:sz w:val="18"/>
                <w:szCs w:val="18"/>
                <w:highlight w:val="none"/>
              </w:rPr>
            </w:pPr>
          </w:p>
        </w:tc>
      </w:tr>
      <w:tr w14:paraId="671A4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223" w:type="pct"/>
            <w:vMerge w:val="restart"/>
            <w:shd w:val="clear" w:color="auto" w:fill="auto"/>
            <w:vAlign w:val="center"/>
          </w:tcPr>
          <w:p w14:paraId="37839EFD">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台账管理</w:t>
            </w:r>
          </w:p>
        </w:tc>
        <w:tc>
          <w:tcPr>
            <w:tcW w:w="212" w:type="pct"/>
            <w:vMerge w:val="restart"/>
            <w:shd w:val="clear" w:color="auto" w:fill="auto"/>
            <w:vAlign w:val="center"/>
          </w:tcPr>
          <w:p w14:paraId="18361B25">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10</w:t>
            </w:r>
          </w:p>
        </w:tc>
        <w:tc>
          <w:tcPr>
            <w:tcW w:w="524" w:type="pct"/>
            <w:shd w:val="clear" w:color="auto" w:fill="auto"/>
            <w:vAlign w:val="center"/>
          </w:tcPr>
          <w:p w14:paraId="265290B9">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污水台账</w:t>
            </w:r>
          </w:p>
        </w:tc>
        <w:tc>
          <w:tcPr>
            <w:tcW w:w="242" w:type="pct"/>
            <w:shd w:val="clear" w:color="auto" w:fill="auto"/>
            <w:vAlign w:val="center"/>
          </w:tcPr>
          <w:p w14:paraId="3F1526FF">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8</w:t>
            </w:r>
          </w:p>
        </w:tc>
        <w:tc>
          <w:tcPr>
            <w:tcW w:w="1727" w:type="pct"/>
            <w:shd w:val="clear" w:color="auto" w:fill="auto"/>
            <w:vAlign w:val="center"/>
          </w:tcPr>
          <w:p w14:paraId="7EB326F4">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（1）台账记录齐全、真实可信，不扣分；（2）台账记录不齐全，每缺一处扣1分，扣完为止；（3）记录数据不真实不得分或无台账，本项不得分</w:t>
            </w:r>
          </w:p>
        </w:tc>
        <w:tc>
          <w:tcPr>
            <w:tcW w:w="1561" w:type="pct"/>
            <w:shd w:val="clear" w:color="auto" w:fill="auto"/>
            <w:vAlign w:val="center"/>
          </w:tcPr>
          <w:p w14:paraId="704E8FC3">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按照省市相关污水处理厂评价规定，有污水台账、污泥台账、设备及在线仪表台账，台账记录可采用纸质或电子形式</w:t>
            </w:r>
          </w:p>
        </w:tc>
        <w:tc>
          <w:tcPr>
            <w:tcW w:w="230" w:type="pct"/>
            <w:shd w:val="clear" w:color="auto" w:fill="auto"/>
            <w:vAlign w:val="center"/>
          </w:tcPr>
          <w:p w14:paraId="055E7A15">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2FAB2451">
            <w:pPr>
              <w:jc w:val="center"/>
              <w:rPr>
                <w:rFonts w:hint="default" w:ascii="Times New Roman" w:hAnsi="Times New Roman" w:eastAsia="楷体" w:cs="Times New Roman"/>
                <w:color w:val="auto"/>
                <w:sz w:val="18"/>
                <w:szCs w:val="18"/>
                <w:highlight w:val="none"/>
              </w:rPr>
            </w:pPr>
          </w:p>
        </w:tc>
      </w:tr>
      <w:tr w14:paraId="61447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7" w:hRule="atLeast"/>
        </w:trPr>
        <w:tc>
          <w:tcPr>
            <w:tcW w:w="223" w:type="pct"/>
            <w:vMerge w:val="continue"/>
            <w:shd w:val="clear" w:color="auto" w:fill="auto"/>
            <w:vAlign w:val="center"/>
          </w:tcPr>
          <w:p w14:paraId="019B7EC2">
            <w:pPr>
              <w:jc w:val="center"/>
              <w:rPr>
                <w:rFonts w:hint="default" w:ascii="Times New Roman" w:hAnsi="Times New Roman" w:eastAsia="楷体" w:cs="Times New Roman"/>
                <w:color w:val="auto"/>
                <w:sz w:val="18"/>
                <w:szCs w:val="18"/>
                <w:highlight w:val="none"/>
              </w:rPr>
            </w:pPr>
          </w:p>
        </w:tc>
        <w:tc>
          <w:tcPr>
            <w:tcW w:w="212" w:type="pct"/>
            <w:vMerge w:val="continue"/>
            <w:shd w:val="clear" w:color="auto" w:fill="auto"/>
            <w:vAlign w:val="center"/>
          </w:tcPr>
          <w:p w14:paraId="76E2A446">
            <w:pPr>
              <w:jc w:val="center"/>
              <w:rPr>
                <w:rFonts w:hint="default" w:ascii="Times New Roman" w:hAnsi="Times New Roman" w:eastAsia="楷体" w:cs="Times New Roman"/>
                <w:color w:val="auto"/>
                <w:sz w:val="18"/>
                <w:szCs w:val="18"/>
                <w:highlight w:val="none"/>
              </w:rPr>
            </w:pPr>
          </w:p>
        </w:tc>
        <w:tc>
          <w:tcPr>
            <w:tcW w:w="524" w:type="pct"/>
            <w:shd w:val="clear" w:color="auto" w:fill="auto"/>
            <w:vAlign w:val="center"/>
          </w:tcPr>
          <w:p w14:paraId="6BADA8A5">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档案管理</w:t>
            </w:r>
          </w:p>
        </w:tc>
        <w:tc>
          <w:tcPr>
            <w:tcW w:w="242" w:type="pct"/>
            <w:shd w:val="clear" w:color="auto" w:fill="auto"/>
            <w:vAlign w:val="center"/>
          </w:tcPr>
          <w:p w14:paraId="6FEFCF0A">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2</w:t>
            </w:r>
          </w:p>
        </w:tc>
        <w:tc>
          <w:tcPr>
            <w:tcW w:w="1727" w:type="pct"/>
            <w:shd w:val="clear" w:color="auto" w:fill="auto"/>
            <w:vAlign w:val="center"/>
          </w:tcPr>
          <w:p w14:paraId="34041811">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1）配备专（兼）职档案管理人员，得0.5分；否则不得分；（2）资料完整、齐全，月报、年报统计真实可信，运行记录等档案资料妥善保管，得1分；无月报、年报统计，得0.5分；否则不得分；（3）档案保管期限不低于三年，得0.5分；否则不得分（运行不足三年的污水处理厂本项默认满分）</w:t>
            </w:r>
          </w:p>
        </w:tc>
        <w:tc>
          <w:tcPr>
            <w:tcW w:w="1561" w:type="pct"/>
            <w:shd w:val="clear" w:color="auto" w:fill="auto"/>
            <w:vAlign w:val="center"/>
          </w:tcPr>
          <w:p w14:paraId="6EA09F0E">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建立有生产运行、水质、设备、材料管理、技术管理、安全、财务、人事等档案。按时做好各岗位运行记录和统计报表；做好月报、年报统计；数据应准确无误，字迹清晰，妥善保管。运行记录保管期限不低于三年，统计报表应长期保存。依据《江苏省城镇污水处理厂运行台账范本》</w:t>
            </w:r>
          </w:p>
        </w:tc>
        <w:tc>
          <w:tcPr>
            <w:tcW w:w="230" w:type="pct"/>
            <w:shd w:val="clear" w:color="auto" w:fill="auto"/>
            <w:vAlign w:val="center"/>
          </w:tcPr>
          <w:p w14:paraId="3B46D764">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7758683E">
            <w:pPr>
              <w:jc w:val="center"/>
              <w:rPr>
                <w:rFonts w:hint="default" w:ascii="Times New Roman" w:hAnsi="Times New Roman" w:eastAsia="楷体" w:cs="Times New Roman"/>
                <w:color w:val="auto"/>
                <w:sz w:val="18"/>
                <w:szCs w:val="18"/>
                <w:highlight w:val="none"/>
              </w:rPr>
            </w:pPr>
          </w:p>
        </w:tc>
      </w:tr>
      <w:tr w14:paraId="176CB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223" w:type="pct"/>
            <w:vMerge w:val="restart"/>
            <w:shd w:val="clear" w:color="auto" w:fill="auto"/>
            <w:vAlign w:val="center"/>
          </w:tcPr>
          <w:p w14:paraId="41CA6E48">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成本管理</w:t>
            </w:r>
          </w:p>
        </w:tc>
        <w:tc>
          <w:tcPr>
            <w:tcW w:w="212" w:type="pct"/>
            <w:vMerge w:val="restart"/>
            <w:shd w:val="clear" w:color="auto" w:fill="auto"/>
            <w:vAlign w:val="center"/>
          </w:tcPr>
          <w:p w14:paraId="59D89060">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13</w:t>
            </w:r>
          </w:p>
        </w:tc>
        <w:tc>
          <w:tcPr>
            <w:tcW w:w="524" w:type="pct"/>
            <w:shd w:val="clear" w:color="auto" w:fill="auto"/>
            <w:vAlign w:val="center"/>
          </w:tcPr>
          <w:p w14:paraId="299012E6">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能耗一览表</w:t>
            </w:r>
          </w:p>
        </w:tc>
        <w:tc>
          <w:tcPr>
            <w:tcW w:w="242" w:type="pct"/>
            <w:shd w:val="clear" w:color="auto" w:fill="auto"/>
            <w:vAlign w:val="center"/>
          </w:tcPr>
          <w:p w14:paraId="55F47841">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2</w:t>
            </w:r>
          </w:p>
        </w:tc>
        <w:tc>
          <w:tcPr>
            <w:tcW w:w="1727" w:type="pct"/>
            <w:shd w:val="clear" w:color="auto" w:fill="auto"/>
            <w:vAlign w:val="center"/>
          </w:tcPr>
          <w:p w14:paraId="271E297D">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污水处理运行单位耗电一览表完整、真实、准确，得2分；不完整，得1分；不真实不得分</w:t>
            </w:r>
          </w:p>
        </w:tc>
        <w:tc>
          <w:tcPr>
            <w:tcW w:w="1561" w:type="pct"/>
            <w:shd w:val="clear" w:color="auto" w:fill="auto"/>
            <w:vAlign w:val="center"/>
          </w:tcPr>
          <w:p w14:paraId="7F35BD7D">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查年度、月度运行单位耗电一览表</w:t>
            </w:r>
          </w:p>
        </w:tc>
        <w:tc>
          <w:tcPr>
            <w:tcW w:w="230" w:type="pct"/>
            <w:shd w:val="clear" w:color="auto" w:fill="auto"/>
            <w:vAlign w:val="center"/>
          </w:tcPr>
          <w:p w14:paraId="62F1ABCC">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65167D51">
            <w:pPr>
              <w:jc w:val="center"/>
              <w:rPr>
                <w:rFonts w:hint="default" w:ascii="Times New Roman" w:hAnsi="Times New Roman" w:eastAsia="楷体" w:cs="Times New Roman"/>
                <w:color w:val="auto"/>
                <w:sz w:val="18"/>
                <w:szCs w:val="18"/>
                <w:highlight w:val="none"/>
              </w:rPr>
            </w:pPr>
          </w:p>
        </w:tc>
      </w:tr>
      <w:tr w14:paraId="5B159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trPr>
        <w:tc>
          <w:tcPr>
            <w:tcW w:w="223" w:type="pct"/>
            <w:vMerge w:val="continue"/>
            <w:shd w:val="clear" w:color="auto" w:fill="auto"/>
            <w:vAlign w:val="center"/>
          </w:tcPr>
          <w:p w14:paraId="126FECF9">
            <w:pPr>
              <w:jc w:val="center"/>
              <w:rPr>
                <w:rFonts w:hint="default" w:ascii="Times New Roman" w:hAnsi="Times New Roman" w:eastAsia="楷体" w:cs="Times New Roman"/>
                <w:color w:val="auto"/>
                <w:sz w:val="18"/>
                <w:szCs w:val="18"/>
                <w:highlight w:val="none"/>
              </w:rPr>
            </w:pPr>
          </w:p>
        </w:tc>
        <w:tc>
          <w:tcPr>
            <w:tcW w:w="212" w:type="pct"/>
            <w:vMerge w:val="continue"/>
            <w:shd w:val="clear" w:color="auto" w:fill="auto"/>
            <w:vAlign w:val="center"/>
          </w:tcPr>
          <w:p w14:paraId="538AA690">
            <w:pPr>
              <w:jc w:val="center"/>
              <w:rPr>
                <w:rFonts w:hint="default" w:ascii="Times New Roman" w:hAnsi="Times New Roman" w:eastAsia="楷体" w:cs="Times New Roman"/>
                <w:color w:val="auto"/>
                <w:sz w:val="18"/>
                <w:szCs w:val="18"/>
                <w:highlight w:val="none"/>
              </w:rPr>
            </w:pPr>
          </w:p>
        </w:tc>
        <w:tc>
          <w:tcPr>
            <w:tcW w:w="524" w:type="pct"/>
            <w:shd w:val="clear" w:color="auto" w:fill="auto"/>
            <w:vAlign w:val="center"/>
          </w:tcPr>
          <w:p w14:paraId="201299FB">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污水处理能耗</w:t>
            </w:r>
          </w:p>
        </w:tc>
        <w:tc>
          <w:tcPr>
            <w:tcW w:w="242" w:type="pct"/>
            <w:shd w:val="clear" w:color="auto" w:fill="auto"/>
            <w:vAlign w:val="center"/>
          </w:tcPr>
          <w:p w14:paraId="705AA3F8">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2</w:t>
            </w:r>
          </w:p>
        </w:tc>
        <w:tc>
          <w:tcPr>
            <w:tcW w:w="1727" w:type="pct"/>
            <w:shd w:val="clear" w:color="auto" w:fill="auto"/>
            <w:vAlign w:val="center"/>
          </w:tcPr>
          <w:p w14:paraId="68F24EB9">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按污水处理厂不同规模、不同排放标准分类评分，小于或等于规定值，得2分；高于规定值上限5%以内，得1.5分；10%以内，得1分；20%以内，得0.5分；20%以上，不得分</w:t>
            </w:r>
          </w:p>
        </w:tc>
        <w:tc>
          <w:tcPr>
            <w:tcW w:w="1561" w:type="pct"/>
            <w:shd w:val="clear" w:color="auto" w:fill="auto"/>
            <w:vAlign w:val="center"/>
          </w:tcPr>
          <w:p w14:paraId="3E7EBCF3">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详见《江苏省城镇污水处理厂运行管理评价标准-附表1》。查电费单据、污水处理水量年报等</w:t>
            </w:r>
          </w:p>
        </w:tc>
        <w:tc>
          <w:tcPr>
            <w:tcW w:w="230" w:type="pct"/>
            <w:shd w:val="clear" w:color="auto" w:fill="auto"/>
            <w:vAlign w:val="center"/>
          </w:tcPr>
          <w:p w14:paraId="635261AC">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743932DC">
            <w:pPr>
              <w:jc w:val="center"/>
              <w:rPr>
                <w:rFonts w:hint="default" w:ascii="Times New Roman" w:hAnsi="Times New Roman" w:eastAsia="楷体" w:cs="Times New Roman"/>
                <w:color w:val="auto"/>
                <w:sz w:val="18"/>
                <w:szCs w:val="18"/>
                <w:highlight w:val="none"/>
              </w:rPr>
            </w:pPr>
          </w:p>
        </w:tc>
      </w:tr>
      <w:tr w14:paraId="0372B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223" w:type="pct"/>
            <w:vMerge w:val="continue"/>
            <w:shd w:val="clear" w:color="auto" w:fill="auto"/>
            <w:vAlign w:val="center"/>
          </w:tcPr>
          <w:p w14:paraId="020BF5D7">
            <w:pPr>
              <w:jc w:val="center"/>
              <w:rPr>
                <w:rFonts w:hint="default" w:ascii="Times New Roman" w:hAnsi="Times New Roman" w:eastAsia="楷体" w:cs="Times New Roman"/>
                <w:color w:val="auto"/>
                <w:sz w:val="18"/>
                <w:szCs w:val="18"/>
                <w:highlight w:val="none"/>
              </w:rPr>
            </w:pPr>
          </w:p>
        </w:tc>
        <w:tc>
          <w:tcPr>
            <w:tcW w:w="212" w:type="pct"/>
            <w:vMerge w:val="continue"/>
            <w:shd w:val="clear" w:color="auto" w:fill="auto"/>
            <w:vAlign w:val="center"/>
          </w:tcPr>
          <w:p w14:paraId="27E7A1CB">
            <w:pPr>
              <w:jc w:val="center"/>
              <w:rPr>
                <w:rFonts w:hint="default" w:ascii="Times New Roman" w:hAnsi="Times New Roman" w:eastAsia="楷体" w:cs="Times New Roman"/>
                <w:color w:val="auto"/>
                <w:sz w:val="18"/>
                <w:szCs w:val="18"/>
                <w:highlight w:val="none"/>
              </w:rPr>
            </w:pPr>
          </w:p>
        </w:tc>
        <w:tc>
          <w:tcPr>
            <w:tcW w:w="524" w:type="pct"/>
            <w:shd w:val="clear" w:color="auto" w:fill="auto"/>
            <w:vAlign w:val="center"/>
          </w:tcPr>
          <w:p w14:paraId="5DF7B155">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污水处理药耗</w:t>
            </w:r>
          </w:p>
        </w:tc>
        <w:tc>
          <w:tcPr>
            <w:tcW w:w="242" w:type="pct"/>
            <w:shd w:val="clear" w:color="auto" w:fill="auto"/>
            <w:vAlign w:val="center"/>
          </w:tcPr>
          <w:p w14:paraId="055CCC1B">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2</w:t>
            </w:r>
          </w:p>
        </w:tc>
        <w:tc>
          <w:tcPr>
            <w:tcW w:w="1727" w:type="pct"/>
            <w:shd w:val="clear" w:color="auto" w:fill="auto"/>
            <w:vAlign w:val="center"/>
          </w:tcPr>
          <w:p w14:paraId="7DC9E963">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药剂选择合理、质量满足运行要求，投加点位布设合理，有运行药剂统计一览表，得2分；每有一项不符合扣1分，扣完为止</w:t>
            </w:r>
          </w:p>
        </w:tc>
        <w:tc>
          <w:tcPr>
            <w:tcW w:w="1561" w:type="pct"/>
            <w:shd w:val="clear" w:color="auto" w:fill="auto"/>
            <w:vAlign w:val="center"/>
          </w:tcPr>
          <w:p w14:paraId="75BF1ECB">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查年度、月度运行药耗统计表及药剂投加现场</w:t>
            </w:r>
          </w:p>
        </w:tc>
        <w:tc>
          <w:tcPr>
            <w:tcW w:w="230" w:type="pct"/>
            <w:shd w:val="clear" w:color="auto" w:fill="auto"/>
            <w:vAlign w:val="center"/>
          </w:tcPr>
          <w:p w14:paraId="075DDD28">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57D27BF6">
            <w:pPr>
              <w:jc w:val="center"/>
              <w:rPr>
                <w:rFonts w:hint="default" w:ascii="Times New Roman" w:hAnsi="Times New Roman" w:eastAsia="楷体" w:cs="Times New Roman"/>
                <w:color w:val="auto"/>
                <w:sz w:val="18"/>
                <w:szCs w:val="18"/>
                <w:highlight w:val="none"/>
              </w:rPr>
            </w:pPr>
          </w:p>
        </w:tc>
      </w:tr>
      <w:tr w14:paraId="70BB1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223" w:type="pct"/>
            <w:vMerge w:val="continue"/>
            <w:shd w:val="clear" w:color="auto" w:fill="auto"/>
            <w:vAlign w:val="center"/>
          </w:tcPr>
          <w:p w14:paraId="7455A023">
            <w:pPr>
              <w:jc w:val="center"/>
              <w:rPr>
                <w:rFonts w:hint="default" w:ascii="Times New Roman" w:hAnsi="Times New Roman" w:eastAsia="楷体" w:cs="Times New Roman"/>
                <w:color w:val="auto"/>
                <w:sz w:val="18"/>
                <w:szCs w:val="18"/>
                <w:highlight w:val="none"/>
              </w:rPr>
            </w:pPr>
          </w:p>
        </w:tc>
        <w:tc>
          <w:tcPr>
            <w:tcW w:w="212" w:type="pct"/>
            <w:vMerge w:val="continue"/>
            <w:shd w:val="clear" w:color="auto" w:fill="auto"/>
            <w:vAlign w:val="center"/>
          </w:tcPr>
          <w:p w14:paraId="3C261B66">
            <w:pPr>
              <w:jc w:val="center"/>
              <w:rPr>
                <w:rFonts w:hint="default" w:ascii="Times New Roman" w:hAnsi="Times New Roman" w:eastAsia="楷体" w:cs="Times New Roman"/>
                <w:color w:val="auto"/>
                <w:sz w:val="18"/>
                <w:szCs w:val="18"/>
                <w:highlight w:val="none"/>
              </w:rPr>
            </w:pPr>
          </w:p>
        </w:tc>
        <w:tc>
          <w:tcPr>
            <w:tcW w:w="524" w:type="pct"/>
            <w:shd w:val="clear" w:color="auto" w:fill="FFFFFF"/>
            <w:vAlign w:val="center"/>
          </w:tcPr>
          <w:p w14:paraId="1048C0D7">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成本一览表</w:t>
            </w:r>
          </w:p>
        </w:tc>
        <w:tc>
          <w:tcPr>
            <w:tcW w:w="242" w:type="pct"/>
            <w:shd w:val="clear" w:color="auto" w:fill="FFFFFF"/>
            <w:vAlign w:val="center"/>
          </w:tcPr>
          <w:p w14:paraId="2C63FD8B">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2</w:t>
            </w:r>
          </w:p>
        </w:tc>
        <w:tc>
          <w:tcPr>
            <w:tcW w:w="1727" w:type="pct"/>
            <w:shd w:val="clear" w:color="auto" w:fill="FFFFFF"/>
            <w:vAlign w:val="center"/>
          </w:tcPr>
          <w:p w14:paraId="12D9AAD3">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将审计报告</w:t>
            </w:r>
            <w:r>
              <w:rPr>
                <w:rFonts w:hint="eastAsia" w:ascii="Times New Roman" w:hAnsi="Times New Roman" w:eastAsia="楷体" w:cs="Times New Roman"/>
                <w:color w:val="auto"/>
                <w:kern w:val="0"/>
                <w:sz w:val="18"/>
                <w:szCs w:val="18"/>
                <w:highlight w:val="none"/>
                <w:lang w:eastAsia="zh-CN" w:bidi="ar"/>
              </w:rPr>
              <w:t>中</w:t>
            </w:r>
            <w:r>
              <w:rPr>
                <w:rFonts w:hint="default" w:ascii="Times New Roman" w:hAnsi="Times New Roman" w:eastAsia="楷体" w:cs="Times New Roman"/>
                <w:color w:val="auto"/>
                <w:kern w:val="0"/>
                <w:sz w:val="18"/>
                <w:szCs w:val="18"/>
                <w:highlight w:val="none"/>
                <w:lang w:bidi="ar"/>
              </w:rPr>
              <w:t>的运行成本与年度预算报告的成本相比较，实际运营成本低于等于预算成本的，得2分，每高于预算成本2%扣0.5分，满分2分扣完为止</w:t>
            </w:r>
          </w:p>
        </w:tc>
        <w:tc>
          <w:tcPr>
            <w:tcW w:w="1561" w:type="pct"/>
            <w:shd w:val="clear" w:color="auto" w:fill="FFFFFF"/>
            <w:vAlign w:val="center"/>
          </w:tcPr>
          <w:p w14:paraId="472C0E45">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查阅年度审计报告和年度预算文件</w:t>
            </w:r>
          </w:p>
        </w:tc>
        <w:tc>
          <w:tcPr>
            <w:tcW w:w="230" w:type="pct"/>
            <w:shd w:val="clear" w:color="auto" w:fill="auto"/>
            <w:vAlign w:val="center"/>
          </w:tcPr>
          <w:p w14:paraId="192771BE">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5ED47748">
            <w:pPr>
              <w:jc w:val="center"/>
              <w:rPr>
                <w:rFonts w:hint="default" w:ascii="Times New Roman" w:hAnsi="Times New Roman" w:eastAsia="楷体" w:cs="Times New Roman"/>
                <w:color w:val="auto"/>
                <w:sz w:val="18"/>
                <w:szCs w:val="18"/>
                <w:highlight w:val="none"/>
              </w:rPr>
            </w:pPr>
          </w:p>
        </w:tc>
      </w:tr>
      <w:tr w14:paraId="570D2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trPr>
        <w:tc>
          <w:tcPr>
            <w:tcW w:w="223" w:type="pct"/>
            <w:vMerge w:val="continue"/>
            <w:shd w:val="clear" w:color="auto" w:fill="auto"/>
            <w:vAlign w:val="center"/>
          </w:tcPr>
          <w:p w14:paraId="696BA2D5">
            <w:pPr>
              <w:jc w:val="center"/>
              <w:rPr>
                <w:rFonts w:hint="default" w:ascii="Times New Roman" w:hAnsi="Times New Roman" w:eastAsia="楷体" w:cs="Times New Roman"/>
                <w:color w:val="auto"/>
                <w:sz w:val="18"/>
                <w:szCs w:val="18"/>
                <w:highlight w:val="none"/>
              </w:rPr>
            </w:pPr>
          </w:p>
        </w:tc>
        <w:tc>
          <w:tcPr>
            <w:tcW w:w="212" w:type="pct"/>
            <w:vMerge w:val="continue"/>
            <w:shd w:val="clear" w:color="auto" w:fill="auto"/>
            <w:vAlign w:val="center"/>
          </w:tcPr>
          <w:p w14:paraId="4E792AD5">
            <w:pPr>
              <w:jc w:val="center"/>
              <w:rPr>
                <w:rFonts w:hint="default" w:ascii="Times New Roman" w:hAnsi="Times New Roman" w:eastAsia="楷体" w:cs="Times New Roman"/>
                <w:color w:val="auto"/>
                <w:sz w:val="18"/>
                <w:szCs w:val="18"/>
                <w:highlight w:val="none"/>
              </w:rPr>
            </w:pPr>
          </w:p>
        </w:tc>
        <w:tc>
          <w:tcPr>
            <w:tcW w:w="524" w:type="pct"/>
            <w:shd w:val="clear" w:color="auto" w:fill="auto"/>
            <w:vAlign w:val="center"/>
          </w:tcPr>
          <w:p w14:paraId="7B3521A8">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污水处理成本</w:t>
            </w:r>
          </w:p>
        </w:tc>
        <w:tc>
          <w:tcPr>
            <w:tcW w:w="242" w:type="pct"/>
            <w:shd w:val="clear" w:color="auto" w:fill="auto"/>
            <w:vAlign w:val="center"/>
          </w:tcPr>
          <w:p w14:paraId="30D67CD5">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sz w:val="18"/>
                <w:szCs w:val="18"/>
                <w:highlight w:val="none"/>
              </w:rPr>
              <w:t>5</w:t>
            </w:r>
          </w:p>
        </w:tc>
        <w:tc>
          <w:tcPr>
            <w:tcW w:w="1727" w:type="pct"/>
            <w:shd w:val="clear" w:color="auto" w:fill="auto"/>
            <w:vAlign w:val="center"/>
          </w:tcPr>
          <w:p w14:paraId="2F6F789C">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按污水处理厂不同规模、不同排放标准分类评分。小于或等于规定值，得5分；高于规定值5%以内得4分；10%以内得3分；20%以内得1分；20%以上不得分</w:t>
            </w:r>
          </w:p>
        </w:tc>
        <w:tc>
          <w:tcPr>
            <w:tcW w:w="1561" w:type="pct"/>
            <w:shd w:val="clear" w:color="auto" w:fill="auto"/>
            <w:vAlign w:val="center"/>
          </w:tcPr>
          <w:p w14:paraId="226E9759">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详见《江苏省城镇污水处理厂运行管理评价标准-附表2》。查污水处理成本相关资料</w:t>
            </w:r>
          </w:p>
        </w:tc>
        <w:tc>
          <w:tcPr>
            <w:tcW w:w="230" w:type="pct"/>
            <w:shd w:val="clear" w:color="auto" w:fill="auto"/>
            <w:vAlign w:val="center"/>
          </w:tcPr>
          <w:p w14:paraId="592959DA">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5A8D733A">
            <w:pPr>
              <w:jc w:val="center"/>
              <w:rPr>
                <w:rFonts w:hint="default" w:ascii="Times New Roman" w:hAnsi="Times New Roman" w:eastAsia="楷体" w:cs="Times New Roman"/>
                <w:color w:val="auto"/>
                <w:sz w:val="18"/>
                <w:szCs w:val="18"/>
                <w:highlight w:val="none"/>
              </w:rPr>
            </w:pPr>
          </w:p>
        </w:tc>
      </w:tr>
      <w:tr w14:paraId="0791D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223" w:type="pct"/>
            <w:vMerge w:val="restart"/>
            <w:shd w:val="clear" w:color="auto" w:fill="auto"/>
            <w:vAlign w:val="center"/>
          </w:tcPr>
          <w:p w14:paraId="5A31F1B2">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水质与检验</w:t>
            </w:r>
          </w:p>
        </w:tc>
        <w:tc>
          <w:tcPr>
            <w:tcW w:w="212" w:type="pct"/>
            <w:vMerge w:val="restart"/>
            <w:shd w:val="clear" w:color="auto" w:fill="auto"/>
            <w:vAlign w:val="center"/>
          </w:tcPr>
          <w:p w14:paraId="1F74C8CD">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10</w:t>
            </w:r>
          </w:p>
        </w:tc>
        <w:tc>
          <w:tcPr>
            <w:tcW w:w="524" w:type="pct"/>
            <w:shd w:val="clear" w:color="auto" w:fill="auto"/>
            <w:vAlign w:val="center"/>
          </w:tcPr>
          <w:p w14:paraId="2EE4C7C8">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化验室配备</w:t>
            </w:r>
          </w:p>
        </w:tc>
        <w:tc>
          <w:tcPr>
            <w:tcW w:w="242" w:type="pct"/>
            <w:shd w:val="clear" w:color="auto" w:fill="auto"/>
            <w:vAlign w:val="center"/>
          </w:tcPr>
          <w:p w14:paraId="34B2FCBD">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3</w:t>
            </w:r>
          </w:p>
        </w:tc>
        <w:tc>
          <w:tcPr>
            <w:tcW w:w="1727" w:type="pct"/>
            <w:shd w:val="clear" w:color="auto" w:fill="auto"/>
            <w:vAlign w:val="center"/>
          </w:tcPr>
          <w:p w14:paraId="2033F0D1">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1）配备化验室和检测仪器设备，正常开展常规项目检测的，不扣分；（2）配备化验室和检测仪器设备，但不能正常工作，或检测仪器设备配备不足的，常规项目每缺1项扣1分，扣完为止；（3）未配备化验室和检测仪器设备，扣3分。本项扣完为止</w:t>
            </w:r>
          </w:p>
        </w:tc>
        <w:tc>
          <w:tcPr>
            <w:tcW w:w="1561" w:type="pct"/>
            <w:shd w:val="clear" w:color="auto" w:fill="auto"/>
            <w:vAlign w:val="center"/>
          </w:tcPr>
          <w:p w14:paraId="3ACB3935">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污水处理厂运行应有化验数据的支撑和指导，应配备化验室。同一城市的多个污水处理厂，可共用综合分析中心，但污水处理厂内用于常规化验项目如CODcr、NH</w:t>
            </w:r>
            <w:r>
              <w:rPr>
                <w:rFonts w:hint="default" w:ascii="Times New Roman" w:hAnsi="Times New Roman" w:eastAsia="楷体" w:cs="Times New Roman"/>
                <w:color w:val="auto"/>
                <w:kern w:val="0"/>
                <w:sz w:val="18"/>
                <w:szCs w:val="18"/>
                <w:highlight w:val="none"/>
                <w:vertAlign w:val="subscript"/>
                <w:lang w:bidi="ar"/>
              </w:rPr>
              <w:t>3</w:t>
            </w:r>
            <w:r>
              <w:rPr>
                <w:rFonts w:hint="default" w:ascii="Times New Roman" w:hAnsi="Times New Roman" w:eastAsia="楷体" w:cs="Times New Roman"/>
                <w:color w:val="auto"/>
                <w:kern w:val="0"/>
                <w:sz w:val="18"/>
                <w:szCs w:val="18"/>
                <w:highlight w:val="none"/>
                <w:lang w:bidi="ar"/>
              </w:rPr>
              <w:t>-N、TP、TN的检测设备应配备齐全并具备检测能力。实验室管理应符合相关要求</w:t>
            </w:r>
          </w:p>
        </w:tc>
        <w:tc>
          <w:tcPr>
            <w:tcW w:w="230" w:type="pct"/>
            <w:shd w:val="clear" w:color="auto" w:fill="auto"/>
            <w:vAlign w:val="center"/>
          </w:tcPr>
          <w:p w14:paraId="192824DA">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233EAC0D">
            <w:pPr>
              <w:jc w:val="center"/>
              <w:rPr>
                <w:rFonts w:hint="default" w:ascii="Times New Roman" w:hAnsi="Times New Roman" w:eastAsia="楷体" w:cs="Times New Roman"/>
                <w:color w:val="auto"/>
                <w:sz w:val="18"/>
                <w:szCs w:val="18"/>
                <w:highlight w:val="none"/>
              </w:rPr>
            </w:pPr>
          </w:p>
        </w:tc>
      </w:tr>
      <w:tr w14:paraId="24297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223" w:type="pct"/>
            <w:vMerge w:val="continue"/>
            <w:shd w:val="clear" w:color="auto" w:fill="auto"/>
            <w:vAlign w:val="center"/>
          </w:tcPr>
          <w:p w14:paraId="545263E2">
            <w:pPr>
              <w:jc w:val="center"/>
              <w:rPr>
                <w:rFonts w:hint="default" w:ascii="Times New Roman" w:hAnsi="Times New Roman" w:eastAsia="楷体" w:cs="Times New Roman"/>
                <w:color w:val="auto"/>
                <w:sz w:val="18"/>
                <w:szCs w:val="18"/>
                <w:highlight w:val="none"/>
              </w:rPr>
            </w:pPr>
          </w:p>
        </w:tc>
        <w:tc>
          <w:tcPr>
            <w:tcW w:w="212" w:type="pct"/>
            <w:vMerge w:val="continue"/>
            <w:shd w:val="clear" w:color="auto" w:fill="auto"/>
            <w:vAlign w:val="center"/>
          </w:tcPr>
          <w:p w14:paraId="4721C156">
            <w:pPr>
              <w:jc w:val="center"/>
              <w:rPr>
                <w:rFonts w:hint="default" w:ascii="Times New Roman" w:hAnsi="Times New Roman" w:eastAsia="楷体" w:cs="Times New Roman"/>
                <w:color w:val="auto"/>
                <w:sz w:val="18"/>
                <w:szCs w:val="18"/>
                <w:highlight w:val="none"/>
              </w:rPr>
            </w:pPr>
          </w:p>
        </w:tc>
        <w:tc>
          <w:tcPr>
            <w:tcW w:w="524" w:type="pct"/>
            <w:shd w:val="clear" w:color="auto" w:fill="auto"/>
            <w:vAlign w:val="center"/>
          </w:tcPr>
          <w:p w14:paraId="1C93987E">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化验项目及频次</w:t>
            </w:r>
          </w:p>
        </w:tc>
        <w:tc>
          <w:tcPr>
            <w:tcW w:w="242" w:type="pct"/>
            <w:shd w:val="clear" w:color="auto" w:fill="auto"/>
            <w:vAlign w:val="center"/>
          </w:tcPr>
          <w:p w14:paraId="3EC60F0C">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3</w:t>
            </w:r>
          </w:p>
        </w:tc>
        <w:tc>
          <w:tcPr>
            <w:tcW w:w="1727" w:type="pct"/>
            <w:shd w:val="clear" w:color="auto" w:fill="auto"/>
            <w:vAlign w:val="center"/>
          </w:tcPr>
          <w:p w14:paraId="0B225845">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（1）化验项目齐全且频次符合行业指导要求，不扣分；（2）化验项目每少1项扣0.5分，频次每少1次扣0.1分，扣完为止；（3）未开展化验工作，扣3分。本项扣完为止</w:t>
            </w:r>
          </w:p>
        </w:tc>
        <w:tc>
          <w:tcPr>
            <w:tcW w:w="1561" w:type="pct"/>
            <w:shd w:val="clear" w:color="auto" w:fill="auto"/>
            <w:vAlign w:val="center"/>
          </w:tcPr>
          <w:p w14:paraId="390BBF71">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查验化验台账，化验项目及频次依据CJJ60《城市污水处理厂运行、维护及其安全技术规程》要求</w:t>
            </w:r>
          </w:p>
        </w:tc>
        <w:tc>
          <w:tcPr>
            <w:tcW w:w="230" w:type="pct"/>
            <w:shd w:val="clear" w:color="auto" w:fill="auto"/>
            <w:vAlign w:val="center"/>
          </w:tcPr>
          <w:p w14:paraId="47B2F7F4">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70679C21">
            <w:pPr>
              <w:jc w:val="center"/>
              <w:rPr>
                <w:rFonts w:hint="default" w:ascii="Times New Roman" w:hAnsi="Times New Roman" w:eastAsia="楷体" w:cs="Times New Roman"/>
                <w:color w:val="auto"/>
                <w:sz w:val="18"/>
                <w:szCs w:val="18"/>
                <w:highlight w:val="none"/>
              </w:rPr>
            </w:pPr>
          </w:p>
        </w:tc>
      </w:tr>
      <w:tr w14:paraId="7B852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23" w:type="pct"/>
            <w:vMerge w:val="continue"/>
            <w:shd w:val="clear" w:color="auto" w:fill="auto"/>
            <w:vAlign w:val="center"/>
          </w:tcPr>
          <w:p w14:paraId="02BA8D6E">
            <w:pPr>
              <w:jc w:val="center"/>
              <w:rPr>
                <w:rFonts w:hint="default" w:ascii="Times New Roman" w:hAnsi="Times New Roman" w:eastAsia="楷体" w:cs="Times New Roman"/>
                <w:color w:val="auto"/>
                <w:sz w:val="18"/>
                <w:szCs w:val="18"/>
                <w:highlight w:val="none"/>
              </w:rPr>
            </w:pPr>
          </w:p>
        </w:tc>
        <w:tc>
          <w:tcPr>
            <w:tcW w:w="212" w:type="pct"/>
            <w:vMerge w:val="continue"/>
            <w:shd w:val="clear" w:color="auto" w:fill="auto"/>
            <w:vAlign w:val="center"/>
          </w:tcPr>
          <w:p w14:paraId="6AABDF86">
            <w:pPr>
              <w:jc w:val="center"/>
              <w:rPr>
                <w:rFonts w:hint="default" w:ascii="Times New Roman" w:hAnsi="Times New Roman" w:eastAsia="楷体" w:cs="Times New Roman"/>
                <w:color w:val="auto"/>
                <w:sz w:val="18"/>
                <w:szCs w:val="18"/>
                <w:highlight w:val="none"/>
              </w:rPr>
            </w:pPr>
          </w:p>
        </w:tc>
        <w:tc>
          <w:tcPr>
            <w:tcW w:w="524" w:type="pct"/>
            <w:shd w:val="clear" w:color="auto" w:fill="auto"/>
            <w:vAlign w:val="center"/>
          </w:tcPr>
          <w:p w14:paraId="6E9D177A">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化验分析方法</w:t>
            </w:r>
          </w:p>
        </w:tc>
        <w:tc>
          <w:tcPr>
            <w:tcW w:w="242" w:type="pct"/>
            <w:shd w:val="clear" w:color="auto" w:fill="auto"/>
            <w:vAlign w:val="center"/>
          </w:tcPr>
          <w:p w14:paraId="17F5BB1C">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2</w:t>
            </w:r>
          </w:p>
        </w:tc>
        <w:tc>
          <w:tcPr>
            <w:tcW w:w="1727" w:type="pct"/>
            <w:shd w:val="clear" w:color="auto" w:fill="auto"/>
            <w:vAlign w:val="center"/>
          </w:tcPr>
          <w:p w14:paraId="26BA81BF">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（1）采用现行的国家或行业检验分析方法，得2分；（2）每有一项不符合扣0.5分，扣完为止</w:t>
            </w:r>
          </w:p>
        </w:tc>
        <w:tc>
          <w:tcPr>
            <w:tcW w:w="1561" w:type="pct"/>
            <w:shd w:val="clear" w:color="auto" w:fill="auto"/>
            <w:vAlign w:val="center"/>
          </w:tcPr>
          <w:p w14:paraId="5D9CFA7B">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查化验原始记录和现场。详见《江苏省城镇污水处理厂运行管理评价标准-附表3》</w:t>
            </w:r>
          </w:p>
        </w:tc>
        <w:tc>
          <w:tcPr>
            <w:tcW w:w="230" w:type="pct"/>
            <w:shd w:val="clear" w:color="auto" w:fill="auto"/>
            <w:vAlign w:val="center"/>
          </w:tcPr>
          <w:p w14:paraId="042619E8">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229729D6">
            <w:pPr>
              <w:jc w:val="center"/>
              <w:rPr>
                <w:rFonts w:hint="default" w:ascii="Times New Roman" w:hAnsi="Times New Roman" w:eastAsia="楷体" w:cs="Times New Roman"/>
                <w:color w:val="auto"/>
                <w:sz w:val="18"/>
                <w:szCs w:val="18"/>
                <w:highlight w:val="none"/>
              </w:rPr>
            </w:pPr>
          </w:p>
        </w:tc>
      </w:tr>
      <w:tr w14:paraId="0F038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223" w:type="pct"/>
            <w:vMerge w:val="continue"/>
            <w:shd w:val="clear" w:color="auto" w:fill="auto"/>
            <w:vAlign w:val="center"/>
          </w:tcPr>
          <w:p w14:paraId="16F9D2A2">
            <w:pPr>
              <w:jc w:val="center"/>
              <w:rPr>
                <w:rFonts w:hint="default" w:ascii="Times New Roman" w:hAnsi="Times New Roman" w:eastAsia="楷体" w:cs="Times New Roman"/>
                <w:color w:val="auto"/>
                <w:sz w:val="18"/>
                <w:szCs w:val="18"/>
                <w:highlight w:val="none"/>
              </w:rPr>
            </w:pPr>
          </w:p>
        </w:tc>
        <w:tc>
          <w:tcPr>
            <w:tcW w:w="212" w:type="pct"/>
            <w:vMerge w:val="continue"/>
            <w:shd w:val="clear" w:color="auto" w:fill="auto"/>
            <w:vAlign w:val="center"/>
          </w:tcPr>
          <w:p w14:paraId="08465D3D">
            <w:pPr>
              <w:jc w:val="center"/>
              <w:rPr>
                <w:rFonts w:hint="default" w:ascii="Times New Roman" w:hAnsi="Times New Roman" w:eastAsia="楷体" w:cs="Times New Roman"/>
                <w:color w:val="auto"/>
                <w:sz w:val="18"/>
                <w:szCs w:val="18"/>
                <w:highlight w:val="none"/>
              </w:rPr>
            </w:pPr>
          </w:p>
        </w:tc>
        <w:tc>
          <w:tcPr>
            <w:tcW w:w="524" w:type="pct"/>
            <w:shd w:val="clear" w:color="auto" w:fill="auto"/>
            <w:vAlign w:val="center"/>
          </w:tcPr>
          <w:p w14:paraId="4B97BAA7">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化验质量控制</w:t>
            </w:r>
          </w:p>
        </w:tc>
        <w:tc>
          <w:tcPr>
            <w:tcW w:w="242" w:type="pct"/>
            <w:shd w:val="clear" w:color="auto" w:fill="auto"/>
            <w:vAlign w:val="center"/>
          </w:tcPr>
          <w:p w14:paraId="100EDF80">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2</w:t>
            </w:r>
          </w:p>
        </w:tc>
        <w:tc>
          <w:tcPr>
            <w:tcW w:w="1727" w:type="pct"/>
            <w:shd w:val="clear" w:color="auto" w:fill="auto"/>
            <w:vAlign w:val="center"/>
          </w:tcPr>
          <w:p w14:paraId="45721BD9">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发现1项不符合扣1分，扣完为止</w:t>
            </w:r>
          </w:p>
        </w:tc>
        <w:tc>
          <w:tcPr>
            <w:tcW w:w="1561" w:type="pct"/>
            <w:shd w:val="clear" w:color="auto" w:fill="auto"/>
            <w:vAlign w:val="center"/>
          </w:tcPr>
          <w:p w14:paraId="6BA33430">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化验室内部应建立健全水质分析质量保证制度；每日样品需定期进行精密度（平行双样）和准确度（加标回收）控制，定期进行标准样品、仪器设备的量值溯源，并完整保存记录</w:t>
            </w:r>
          </w:p>
        </w:tc>
        <w:tc>
          <w:tcPr>
            <w:tcW w:w="230" w:type="pct"/>
            <w:shd w:val="clear" w:color="auto" w:fill="auto"/>
            <w:vAlign w:val="center"/>
          </w:tcPr>
          <w:p w14:paraId="5C79E33E">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0EE9472F">
            <w:pPr>
              <w:jc w:val="center"/>
              <w:rPr>
                <w:rFonts w:hint="default" w:ascii="Times New Roman" w:hAnsi="Times New Roman" w:eastAsia="楷体" w:cs="Times New Roman"/>
                <w:color w:val="auto"/>
                <w:sz w:val="18"/>
                <w:szCs w:val="18"/>
                <w:highlight w:val="none"/>
              </w:rPr>
            </w:pPr>
          </w:p>
        </w:tc>
      </w:tr>
      <w:tr w14:paraId="30B53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223" w:type="pct"/>
            <w:vMerge w:val="restart"/>
            <w:shd w:val="clear" w:color="auto" w:fill="auto"/>
            <w:vAlign w:val="center"/>
          </w:tcPr>
          <w:p w14:paraId="56E7D6E9">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设备管理</w:t>
            </w:r>
          </w:p>
        </w:tc>
        <w:tc>
          <w:tcPr>
            <w:tcW w:w="212" w:type="pct"/>
            <w:vMerge w:val="restart"/>
            <w:shd w:val="clear" w:color="auto" w:fill="auto"/>
            <w:vAlign w:val="center"/>
          </w:tcPr>
          <w:p w14:paraId="0C40B705">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12</w:t>
            </w:r>
          </w:p>
        </w:tc>
        <w:tc>
          <w:tcPr>
            <w:tcW w:w="524" w:type="pct"/>
            <w:shd w:val="clear" w:color="auto" w:fill="auto"/>
            <w:vAlign w:val="center"/>
          </w:tcPr>
          <w:p w14:paraId="7389CB63">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设备运行</w:t>
            </w:r>
          </w:p>
        </w:tc>
        <w:tc>
          <w:tcPr>
            <w:tcW w:w="242" w:type="pct"/>
            <w:shd w:val="clear" w:color="auto" w:fill="auto"/>
            <w:vAlign w:val="center"/>
          </w:tcPr>
          <w:p w14:paraId="50206ABC">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4</w:t>
            </w:r>
          </w:p>
        </w:tc>
        <w:tc>
          <w:tcPr>
            <w:tcW w:w="1727" w:type="pct"/>
            <w:shd w:val="clear" w:color="auto" w:fill="auto"/>
            <w:vAlign w:val="center"/>
          </w:tcPr>
          <w:p w14:paraId="312C8757">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每有一项不符合扣0.5分，扣完为止</w:t>
            </w:r>
          </w:p>
        </w:tc>
        <w:tc>
          <w:tcPr>
            <w:tcW w:w="1561" w:type="pct"/>
            <w:shd w:val="clear" w:color="auto" w:fill="auto"/>
            <w:vAlign w:val="center"/>
          </w:tcPr>
          <w:p w14:paraId="25306CF2">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现场抽查设备，确保设备外观整洁；螺栓齐全牢固；设备无腐蚀，无渗漏，润滑充分；电气设备符合安全要求；附属设备工作正常；整机运行平稳可靠；仪器仪表准确灵敏；使用高效节能设备</w:t>
            </w:r>
          </w:p>
        </w:tc>
        <w:tc>
          <w:tcPr>
            <w:tcW w:w="230" w:type="pct"/>
            <w:shd w:val="clear" w:color="auto" w:fill="auto"/>
            <w:vAlign w:val="center"/>
          </w:tcPr>
          <w:p w14:paraId="3BCDEA5D">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6F44DF10">
            <w:pPr>
              <w:jc w:val="center"/>
              <w:rPr>
                <w:rFonts w:hint="default" w:ascii="Times New Roman" w:hAnsi="Times New Roman" w:eastAsia="楷体" w:cs="Times New Roman"/>
                <w:color w:val="auto"/>
                <w:sz w:val="18"/>
                <w:szCs w:val="18"/>
                <w:highlight w:val="none"/>
              </w:rPr>
            </w:pPr>
          </w:p>
        </w:tc>
      </w:tr>
      <w:tr w14:paraId="3283B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223" w:type="pct"/>
            <w:vMerge w:val="continue"/>
            <w:shd w:val="clear" w:color="auto" w:fill="auto"/>
            <w:vAlign w:val="center"/>
          </w:tcPr>
          <w:p w14:paraId="7E11C158">
            <w:pPr>
              <w:jc w:val="center"/>
              <w:rPr>
                <w:rFonts w:hint="default" w:ascii="Times New Roman" w:hAnsi="Times New Roman" w:eastAsia="楷体" w:cs="Times New Roman"/>
                <w:color w:val="auto"/>
                <w:sz w:val="18"/>
                <w:szCs w:val="18"/>
                <w:highlight w:val="none"/>
              </w:rPr>
            </w:pPr>
          </w:p>
        </w:tc>
        <w:tc>
          <w:tcPr>
            <w:tcW w:w="212" w:type="pct"/>
            <w:vMerge w:val="continue"/>
            <w:shd w:val="clear" w:color="auto" w:fill="auto"/>
            <w:vAlign w:val="center"/>
          </w:tcPr>
          <w:p w14:paraId="05FAF919">
            <w:pPr>
              <w:jc w:val="center"/>
              <w:rPr>
                <w:rFonts w:hint="default" w:ascii="Times New Roman" w:hAnsi="Times New Roman" w:eastAsia="楷体" w:cs="Times New Roman"/>
                <w:color w:val="auto"/>
                <w:sz w:val="18"/>
                <w:szCs w:val="18"/>
                <w:highlight w:val="none"/>
              </w:rPr>
            </w:pPr>
          </w:p>
        </w:tc>
        <w:tc>
          <w:tcPr>
            <w:tcW w:w="524" w:type="pct"/>
            <w:shd w:val="clear" w:color="auto" w:fill="auto"/>
            <w:vAlign w:val="center"/>
          </w:tcPr>
          <w:p w14:paraId="5EBBA28B">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设备完好度</w:t>
            </w:r>
          </w:p>
        </w:tc>
        <w:tc>
          <w:tcPr>
            <w:tcW w:w="242" w:type="pct"/>
            <w:shd w:val="clear" w:color="auto" w:fill="auto"/>
            <w:vAlign w:val="center"/>
          </w:tcPr>
          <w:p w14:paraId="1BC24475">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4</w:t>
            </w:r>
          </w:p>
        </w:tc>
        <w:tc>
          <w:tcPr>
            <w:tcW w:w="1727" w:type="pct"/>
            <w:shd w:val="clear" w:color="auto" w:fill="auto"/>
            <w:vAlign w:val="center"/>
          </w:tcPr>
          <w:p w14:paraId="1DE8D74F">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设备完好率以95%为基准，每低1%扣1分，共4分，不足1%的以1%计算，扣完为止</w:t>
            </w:r>
          </w:p>
        </w:tc>
        <w:tc>
          <w:tcPr>
            <w:tcW w:w="1561" w:type="pct"/>
            <w:shd w:val="clear" w:color="auto" w:fill="auto"/>
            <w:vAlign w:val="center"/>
          </w:tcPr>
          <w:p w14:paraId="5F92A10B">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检查项目设备台账，设备完好率=Σ单台主要设备当月完好时长/当月主要设备定额运行总时长×100%。主要设备是指按设备重要性分级要求评估的A、B类设备</w:t>
            </w:r>
          </w:p>
        </w:tc>
        <w:tc>
          <w:tcPr>
            <w:tcW w:w="230" w:type="pct"/>
            <w:shd w:val="clear" w:color="auto" w:fill="auto"/>
            <w:vAlign w:val="center"/>
          </w:tcPr>
          <w:p w14:paraId="0BEE50BE">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69148406">
            <w:pPr>
              <w:jc w:val="center"/>
              <w:rPr>
                <w:rFonts w:hint="default" w:ascii="Times New Roman" w:hAnsi="Times New Roman" w:eastAsia="楷体" w:cs="Times New Roman"/>
                <w:color w:val="auto"/>
                <w:sz w:val="18"/>
                <w:szCs w:val="18"/>
                <w:highlight w:val="none"/>
              </w:rPr>
            </w:pPr>
          </w:p>
        </w:tc>
      </w:tr>
      <w:tr w14:paraId="147C9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223" w:type="pct"/>
            <w:vMerge w:val="continue"/>
            <w:shd w:val="clear" w:color="auto" w:fill="auto"/>
            <w:vAlign w:val="center"/>
          </w:tcPr>
          <w:p w14:paraId="58A809A5">
            <w:pPr>
              <w:jc w:val="center"/>
              <w:rPr>
                <w:rFonts w:hint="default" w:ascii="Times New Roman" w:hAnsi="Times New Roman" w:eastAsia="楷体" w:cs="Times New Roman"/>
                <w:color w:val="auto"/>
                <w:sz w:val="18"/>
                <w:szCs w:val="18"/>
                <w:highlight w:val="none"/>
              </w:rPr>
            </w:pPr>
          </w:p>
        </w:tc>
        <w:tc>
          <w:tcPr>
            <w:tcW w:w="212" w:type="pct"/>
            <w:vMerge w:val="continue"/>
            <w:shd w:val="clear" w:color="auto" w:fill="auto"/>
            <w:vAlign w:val="center"/>
          </w:tcPr>
          <w:p w14:paraId="0319B93E">
            <w:pPr>
              <w:jc w:val="center"/>
              <w:rPr>
                <w:rFonts w:hint="default" w:ascii="Times New Roman" w:hAnsi="Times New Roman" w:eastAsia="楷体" w:cs="Times New Roman"/>
                <w:color w:val="auto"/>
                <w:sz w:val="18"/>
                <w:szCs w:val="18"/>
                <w:highlight w:val="none"/>
              </w:rPr>
            </w:pPr>
          </w:p>
        </w:tc>
        <w:tc>
          <w:tcPr>
            <w:tcW w:w="524" w:type="pct"/>
            <w:shd w:val="clear" w:color="auto" w:fill="auto"/>
            <w:vAlign w:val="center"/>
          </w:tcPr>
          <w:p w14:paraId="08895CE3">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备品备件</w:t>
            </w:r>
          </w:p>
        </w:tc>
        <w:tc>
          <w:tcPr>
            <w:tcW w:w="242" w:type="pct"/>
            <w:shd w:val="clear" w:color="auto" w:fill="auto"/>
            <w:vAlign w:val="center"/>
          </w:tcPr>
          <w:p w14:paraId="1AE9804E">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1</w:t>
            </w:r>
          </w:p>
        </w:tc>
        <w:tc>
          <w:tcPr>
            <w:tcW w:w="1727" w:type="pct"/>
            <w:shd w:val="clear" w:color="auto" w:fill="auto"/>
            <w:vAlign w:val="center"/>
          </w:tcPr>
          <w:p w14:paraId="20A8DF10">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（1）遵循备品备件原则，记录及时、准确、可靠，得1分；（2）备品备件的记录不及时、准确、可信，扣0.5分；（3）备品备件不足的，不得分</w:t>
            </w:r>
          </w:p>
        </w:tc>
        <w:tc>
          <w:tcPr>
            <w:tcW w:w="1561" w:type="pct"/>
            <w:shd w:val="clear" w:color="auto" w:fill="auto"/>
            <w:vAlign w:val="center"/>
          </w:tcPr>
          <w:p w14:paraId="129BC6D4">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现场查看备件，备品备件原则是少品种，低限量，关键必备；备品的分类编号、名称、规格型号、使用设备编号、单位、库存量、单价、购买厂商、订货周期等应记录齐全。较大件必须注明重量、耗材材质、需润滑设备必须有润滑油型号等</w:t>
            </w:r>
          </w:p>
        </w:tc>
        <w:tc>
          <w:tcPr>
            <w:tcW w:w="230" w:type="pct"/>
            <w:shd w:val="clear" w:color="auto" w:fill="auto"/>
            <w:vAlign w:val="center"/>
          </w:tcPr>
          <w:p w14:paraId="5E063BC2">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6CF12E19">
            <w:pPr>
              <w:jc w:val="center"/>
              <w:rPr>
                <w:rFonts w:hint="default" w:ascii="Times New Roman" w:hAnsi="Times New Roman" w:eastAsia="楷体" w:cs="Times New Roman"/>
                <w:color w:val="auto"/>
                <w:sz w:val="18"/>
                <w:szCs w:val="18"/>
                <w:highlight w:val="none"/>
              </w:rPr>
            </w:pPr>
          </w:p>
        </w:tc>
      </w:tr>
      <w:tr w14:paraId="30D23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trPr>
        <w:tc>
          <w:tcPr>
            <w:tcW w:w="223" w:type="pct"/>
            <w:vMerge w:val="continue"/>
            <w:shd w:val="clear" w:color="auto" w:fill="auto"/>
            <w:vAlign w:val="center"/>
          </w:tcPr>
          <w:p w14:paraId="45F5CEA1">
            <w:pPr>
              <w:jc w:val="center"/>
              <w:rPr>
                <w:rFonts w:hint="default" w:ascii="Times New Roman" w:hAnsi="Times New Roman" w:eastAsia="楷体" w:cs="Times New Roman"/>
                <w:color w:val="auto"/>
                <w:sz w:val="18"/>
                <w:szCs w:val="18"/>
                <w:highlight w:val="none"/>
              </w:rPr>
            </w:pPr>
          </w:p>
        </w:tc>
        <w:tc>
          <w:tcPr>
            <w:tcW w:w="212" w:type="pct"/>
            <w:vMerge w:val="continue"/>
            <w:shd w:val="clear" w:color="auto" w:fill="auto"/>
            <w:vAlign w:val="center"/>
          </w:tcPr>
          <w:p w14:paraId="092B0F19">
            <w:pPr>
              <w:jc w:val="center"/>
              <w:rPr>
                <w:rFonts w:hint="default" w:ascii="Times New Roman" w:hAnsi="Times New Roman" w:eastAsia="楷体" w:cs="Times New Roman"/>
                <w:color w:val="auto"/>
                <w:sz w:val="18"/>
                <w:szCs w:val="18"/>
                <w:highlight w:val="none"/>
              </w:rPr>
            </w:pPr>
          </w:p>
        </w:tc>
        <w:tc>
          <w:tcPr>
            <w:tcW w:w="524" w:type="pct"/>
            <w:shd w:val="clear" w:color="auto" w:fill="auto"/>
            <w:vAlign w:val="center"/>
          </w:tcPr>
          <w:p w14:paraId="28A95ED5">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在线监测仪表</w:t>
            </w:r>
          </w:p>
        </w:tc>
        <w:tc>
          <w:tcPr>
            <w:tcW w:w="242" w:type="pct"/>
            <w:shd w:val="clear" w:color="auto" w:fill="auto"/>
            <w:vAlign w:val="center"/>
          </w:tcPr>
          <w:p w14:paraId="298BBBFD">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3</w:t>
            </w:r>
          </w:p>
        </w:tc>
        <w:tc>
          <w:tcPr>
            <w:tcW w:w="1727" w:type="pct"/>
            <w:shd w:val="clear" w:color="auto" w:fill="auto"/>
            <w:vAlign w:val="center"/>
          </w:tcPr>
          <w:p w14:paraId="3EF382B9">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1）在线仪表按工艺要求布设，且维护保养、校准到位，运行正常，得3分；（2）每有一套在线仪表不按工艺要求布设，扣0.5分，扣完为止；（3）每有一套在线仪表未按要求进行维护保养、校准，扣0.5分，扣完为止；（4）在线仪表的完好率、运转率达不到要求的，各扣0.5分</w:t>
            </w:r>
          </w:p>
        </w:tc>
        <w:tc>
          <w:tcPr>
            <w:tcW w:w="1561" w:type="pct"/>
            <w:shd w:val="clear" w:color="auto" w:fill="auto"/>
            <w:vAlign w:val="center"/>
          </w:tcPr>
          <w:p w14:paraId="091AE980">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现场查看工艺流程中指导生产的在线仪表如液位计、pH计、ORP、DO、NH</w:t>
            </w:r>
            <w:r>
              <w:rPr>
                <w:rFonts w:hint="default" w:ascii="Times New Roman" w:hAnsi="Times New Roman" w:eastAsia="楷体" w:cs="Times New Roman"/>
                <w:color w:val="auto"/>
                <w:kern w:val="0"/>
                <w:sz w:val="18"/>
                <w:szCs w:val="18"/>
                <w:highlight w:val="none"/>
                <w:vertAlign w:val="subscript"/>
                <w:lang w:bidi="ar"/>
              </w:rPr>
              <w:t>3</w:t>
            </w:r>
            <w:r>
              <w:rPr>
                <w:rFonts w:hint="default" w:ascii="Times New Roman" w:hAnsi="Times New Roman" w:eastAsia="楷体" w:cs="Times New Roman"/>
                <w:color w:val="auto"/>
                <w:kern w:val="0"/>
                <w:sz w:val="18"/>
                <w:szCs w:val="18"/>
                <w:highlight w:val="none"/>
                <w:lang w:bidi="ar"/>
              </w:rPr>
              <w:t>-N、MLSS、TP等是否按工艺要求布设，显示是否正常，仪表的完好率不应小于70%。鼓励根据实际情况安装NO</w:t>
            </w:r>
            <w:r>
              <w:rPr>
                <w:rFonts w:hint="default" w:ascii="Times New Roman" w:hAnsi="Times New Roman" w:eastAsia="楷体" w:cs="Times New Roman"/>
                <w:color w:val="auto"/>
                <w:kern w:val="0"/>
                <w:sz w:val="18"/>
                <w:szCs w:val="18"/>
                <w:highlight w:val="none"/>
                <w:vertAlign w:val="subscript"/>
                <w:lang w:bidi="ar"/>
              </w:rPr>
              <w:t>3</w:t>
            </w:r>
            <w:r>
              <w:rPr>
                <w:rFonts w:hint="default" w:ascii="Times New Roman" w:hAnsi="Times New Roman" w:eastAsia="楷体" w:cs="Times New Roman"/>
                <w:color w:val="auto"/>
                <w:kern w:val="0"/>
                <w:sz w:val="18"/>
                <w:szCs w:val="18"/>
                <w:highlight w:val="none"/>
                <w:vertAlign w:val="superscript"/>
                <w:lang w:bidi="ar"/>
              </w:rPr>
              <w:t>-</w:t>
            </w:r>
            <w:r>
              <w:rPr>
                <w:rFonts w:hint="default" w:ascii="Times New Roman" w:hAnsi="Times New Roman" w:eastAsia="楷体" w:cs="Times New Roman"/>
                <w:color w:val="auto"/>
                <w:kern w:val="0"/>
                <w:sz w:val="18"/>
                <w:szCs w:val="18"/>
                <w:highlight w:val="none"/>
                <w:lang w:bidi="ar"/>
              </w:rPr>
              <w:t>-N、磷酸盐等过程控制仪表</w:t>
            </w:r>
          </w:p>
        </w:tc>
        <w:tc>
          <w:tcPr>
            <w:tcW w:w="230" w:type="pct"/>
            <w:shd w:val="clear" w:color="auto" w:fill="auto"/>
            <w:vAlign w:val="center"/>
          </w:tcPr>
          <w:p w14:paraId="74A9D1CF">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09227BEB">
            <w:pPr>
              <w:jc w:val="center"/>
              <w:rPr>
                <w:rFonts w:hint="default" w:ascii="Times New Roman" w:hAnsi="Times New Roman" w:eastAsia="楷体" w:cs="Times New Roman"/>
                <w:color w:val="auto"/>
                <w:sz w:val="18"/>
                <w:szCs w:val="18"/>
                <w:highlight w:val="none"/>
              </w:rPr>
            </w:pPr>
          </w:p>
        </w:tc>
      </w:tr>
      <w:tr w14:paraId="31043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223" w:type="pct"/>
            <w:vMerge w:val="restart"/>
            <w:shd w:val="clear" w:color="auto" w:fill="auto"/>
            <w:vAlign w:val="center"/>
          </w:tcPr>
          <w:p w14:paraId="7F685975">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安全管理</w:t>
            </w:r>
          </w:p>
        </w:tc>
        <w:tc>
          <w:tcPr>
            <w:tcW w:w="212" w:type="pct"/>
            <w:vMerge w:val="restart"/>
            <w:shd w:val="clear" w:color="auto" w:fill="auto"/>
            <w:vAlign w:val="center"/>
          </w:tcPr>
          <w:p w14:paraId="51E7CB31">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12</w:t>
            </w:r>
          </w:p>
        </w:tc>
        <w:tc>
          <w:tcPr>
            <w:tcW w:w="524" w:type="pct"/>
            <w:shd w:val="clear" w:color="auto" w:fill="auto"/>
            <w:vAlign w:val="center"/>
          </w:tcPr>
          <w:p w14:paraId="7763071A">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安全管理制度</w:t>
            </w:r>
          </w:p>
        </w:tc>
        <w:tc>
          <w:tcPr>
            <w:tcW w:w="242" w:type="pct"/>
            <w:shd w:val="clear" w:color="auto" w:fill="auto"/>
            <w:vAlign w:val="center"/>
          </w:tcPr>
          <w:p w14:paraId="6D9C3064">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2</w:t>
            </w:r>
          </w:p>
        </w:tc>
        <w:tc>
          <w:tcPr>
            <w:tcW w:w="1727" w:type="pct"/>
            <w:shd w:val="clear" w:color="auto" w:fill="auto"/>
            <w:vAlign w:val="center"/>
          </w:tcPr>
          <w:p w14:paraId="1A9AE3EB">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每缺一项扣0.5分，扣完为止。发生安全生产事故的，本项不得分</w:t>
            </w:r>
          </w:p>
        </w:tc>
        <w:tc>
          <w:tcPr>
            <w:tcW w:w="1561" w:type="pct"/>
            <w:shd w:val="clear" w:color="auto" w:fill="auto"/>
            <w:vAlign w:val="center"/>
          </w:tcPr>
          <w:p w14:paraId="3AD74F65">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有健全的各级安全管理机构；安全规章制度；有限空间作业制度；安全检查记录齐全；发现安全隐患有积极的响应措施并能及时解决；安全检查台账及安全隐患排除记录齐全</w:t>
            </w:r>
          </w:p>
        </w:tc>
        <w:tc>
          <w:tcPr>
            <w:tcW w:w="230" w:type="pct"/>
            <w:shd w:val="clear" w:color="auto" w:fill="auto"/>
            <w:vAlign w:val="center"/>
          </w:tcPr>
          <w:p w14:paraId="41EB3EA3">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6680AC1E">
            <w:pPr>
              <w:jc w:val="center"/>
              <w:rPr>
                <w:rFonts w:hint="default" w:ascii="Times New Roman" w:hAnsi="Times New Roman" w:eastAsia="楷体" w:cs="Times New Roman"/>
                <w:color w:val="auto"/>
                <w:sz w:val="18"/>
                <w:szCs w:val="18"/>
                <w:highlight w:val="none"/>
              </w:rPr>
            </w:pPr>
          </w:p>
        </w:tc>
      </w:tr>
      <w:tr w14:paraId="03567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223" w:type="pct"/>
            <w:vMerge w:val="continue"/>
            <w:shd w:val="clear" w:color="auto" w:fill="auto"/>
            <w:vAlign w:val="center"/>
          </w:tcPr>
          <w:p w14:paraId="515BBD48">
            <w:pPr>
              <w:jc w:val="center"/>
              <w:rPr>
                <w:rFonts w:hint="default" w:ascii="Times New Roman" w:hAnsi="Times New Roman" w:eastAsia="楷体" w:cs="Times New Roman"/>
                <w:color w:val="auto"/>
                <w:sz w:val="18"/>
                <w:szCs w:val="18"/>
                <w:highlight w:val="none"/>
              </w:rPr>
            </w:pPr>
          </w:p>
        </w:tc>
        <w:tc>
          <w:tcPr>
            <w:tcW w:w="212" w:type="pct"/>
            <w:vMerge w:val="continue"/>
            <w:shd w:val="clear" w:color="auto" w:fill="auto"/>
            <w:vAlign w:val="center"/>
          </w:tcPr>
          <w:p w14:paraId="49BDE447">
            <w:pPr>
              <w:jc w:val="center"/>
              <w:rPr>
                <w:rFonts w:hint="default" w:ascii="Times New Roman" w:hAnsi="Times New Roman" w:eastAsia="楷体" w:cs="Times New Roman"/>
                <w:color w:val="auto"/>
                <w:sz w:val="18"/>
                <w:szCs w:val="18"/>
                <w:highlight w:val="none"/>
              </w:rPr>
            </w:pPr>
          </w:p>
        </w:tc>
        <w:tc>
          <w:tcPr>
            <w:tcW w:w="524" w:type="pct"/>
            <w:shd w:val="clear" w:color="auto" w:fill="auto"/>
            <w:vAlign w:val="center"/>
          </w:tcPr>
          <w:p w14:paraId="6DE4E28B">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安全规程及防护</w:t>
            </w:r>
          </w:p>
        </w:tc>
        <w:tc>
          <w:tcPr>
            <w:tcW w:w="242" w:type="pct"/>
            <w:shd w:val="clear" w:color="auto" w:fill="auto"/>
            <w:vAlign w:val="center"/>
          </w:tcPr>
          <w:p w14:paraId="0BB3534D">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2</w:t>
            </w:r>
          </w:p>
        </w:tc>
        <w:tc>
          <w:tcPr>
            <w:tcW w:w="1727" w:type="pct"/>
            <w:shd w:val="clear" w:color="auto" w:fill="auto"/>
            <w:vAlign w:val="center"/>
          </w:tcPr>
          <w:p w14:paraId="079CDE23">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每缺一项扣0.5分，扣完为止。发生安全生产事故的，本项不得分</w:t>
            </w:r>
          </w:p>
        </w:tc>
        <w:tc>
          <w:tcPr>
            <w:tcW w:w="1561" w:type="pct"/>
            <w:shd w:val="clear" w:color="auto" w:fill="auto"/>
            <w:vAlign w:val="center"/>
          </w:tcPr>
          <w:p w14:paraId="53069B6B">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操作规程齐全、到位；岗位人员有必要的安全保护措施；必要场所有安全警示牌；有毒、有害场所有安全防护仪器、仪表、器具配备；有限空间作业应根据国家相关规定进行审批、操作，人员职业防护到位等</w:t>
            </w:r>
          </w:p>
        </w:tc>
        <w:tc>
          <w:tcPr>
            <w:tcW w:w="230" w:type="pct"/>
            <w:shd w:val="clear" w:color="auto" w:fill="auto"/>
            <w:vAlign w:val="center"/>
          </w:tcPr>
          <w:p w14:paraId="2B9458FB">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3975C53D">
            <w:pPr>
              <w:jc w:val="center"/>
              <w:rPr>
                <w:rFonts w:hint="default" w:ascii="Times New Roman" w:hAnsi="Times New Roman" w:eastAsia="楷体" w:cs="Times New Roman"/>
                <w:color w:val="auto"/>
                <w:sz w:val="18"/>
                <w:szCs w:val="18"/>
                <w:highlight w:val="none"/>
              </w:rPr>
            </w:pPr>
          </w:p>
        </w:tc>
      </w:tr>
      <w:tr w14:paraId="21646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223" w:type="pct"/>
            <w:vMerge w:val="continue"/>
            <w:shd w:val="clear" w:color="auto" w:fill="auto"/>
            <w:vAlign w:val="center"/>
          </w:tcPr>
          <w:p w14:paraId="3B27B9E9">
            <w:pPr>
              <w:jc w:val="center"/>
              <w:rPr>
                <w:rFonts w:hint="default" w:ascii="Times New Roman" w:hAnsi="Times New Roman" w:eastAsia="楷体" w:cs="Times New Roman"/>
                <w:color w:val="auto"/>
                <w:sz w:val="18"/>
                <w:szCs w:val="18"/>
                <w:highlight w:val="none"/>
              </w:rPr>
            </w:pPr>
          </w:p>
        </w:tc>
        <w:tc>
          <w:tcPr>
            <w:tcW w:w="212" w:type="pct"/>
            <w:vMerge w:val="continue"/>
            <w:shd w:val="clear" w:color="auto" w:fill="auto"/>
            <w:vAlign w:val="center"/>
          </w:tcPr>
          <w:p w14:paraId="662F311F">
            <w:pPr>
              <w:jc w:val="center"/>
              <w:rPr>
                <w:rFonts w:hint="default" w:ascii="Times New Roman" w:hAnsi="Times New Roman" w:eastAsia="楷体" w:cs="Times New Roman"/>
                <w:color w:val="auto"/>
                <w:sz w:val="18"/>
                <w:szCs w:val="18"/>
                <w:highlight w:val="none"/>
              </w:rPr>
            </w:pPr>
          </w:p>
        </w:tc>
        <w:tc>
          <w:tcPr>
            <w:tcW w:w="524" w:type="pct"/>
            <w:shd w:val="clear" w:color="auto" w:fill="auto"/>
            <w:vAlign w:val="center"/>
          </w:tcPr>
          <w:p w14:paraId="1BF38F28">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安全培训</w:t>
            </w:r>
          </w:p>
        </w:tc>
        <w:tc>
          <w:tcPr>
            <w:tcW w:w="242" w:type="pct"/>
            <w:shd w:val="clear" w:color="auto" w:fill="auto"/>
            <w:vAlign w:val="center"/>
          </w:tcPr>
          <w:p w14:paraId="1D1D91FA">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3</w:t>
            </w:r>
          </w:p>
        </w:tc>
        <w:tc>
          <w:tcPr>
            <w:tcW w:w="1727" w:type="pct"/>
            <w:shd w:val="clear" w:color="auto" w:fill="auto"/>
            <w:vAlign w:val="center"/>
          </w:tcPr>
          <w:p w14:paraId="2412B549">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每缺一项扣0.5分，扣完为止</w:t>
            </w:r>
          </w:p>
        </w:tc>
        <w:tc>
          <w:tcPr>
            <w:tcW w:w="1561" w:type="pct"/>
            <w:shd w:val="clear" w:color="auto" w:fill="auto"/>
            <w:vAlign w:val="center"/>
          </w:tcPr>
          <w:p w14:paraId="79806369">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安全培训要有年度、月度计划，并结合工作岗位对职工进行安全教育，安全教育台账齐全规范；厂主管领导和安全负责人应按要求接受安全培训并取得安全培训证书</w:t>
            </w:r>
          </w:p>
        </w:tc>
        <w:tc>
          <w:tcPr>
            <w:tcW w:w="230" w:type="pct"/>
            <w:shd w:val="clear" w:color="auto" w:fill="auto"/>
            <w:vAlign w:val="center"/>
          </w:tcPr>
          <w:p w14:paraId="043F4DD6">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32165FDD">
            <w:pPr>
              <w:jc w:val="center"/>
              <w:rPr>
                <w:rFonts w:hint="default" w:ascii="Times New Roman" w:hAnsi="Times New Roman" w:eastAsia="楷体" w:cs="Times New Roman"/>
                <w:color w:val="auto"/>
                <w:sz w:val="18"/>
                <w:szCs w:val="18"/>
                <w:highlight w:val="none"/>
              </w:rPr>
            </w:pPr>
          </w:p>
        </w:tc>
      </w:tr>
      <w:tr w14:paraId="0F310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223" w:type="pct"/>
            <w:vMerge w:val="continue"/>
            <w:shd w:val="clear" w:color="auto" w:fill="auto"/>
            <w:vAlign w:val="center"/>
          </w:tcPr>
          <w:p w14:paraId="2FD1ABB4">
            <w:pPr>
              <w:jc w:val="center"/>
              <w:rPr>
                <w:rFonts w:hint="default" w:ascii="Times New Roman" w:hAnsi="Times New Roman" w:eastAsia="楷体" w:cs="Times New Roman"/>
                <w:color w:val="auto"/>
                <w:sz w:val="18"/>
                <w:szCs w:val="18"/>
                <w:highlight w:val="none"/>
              </w:rPr>
            </w:pPr>
          </w:p>
        </w:tc>
        <w:tc>
          <w:tcPr>
            <w:tcW w:w="212" w:type="pct"/>
            <w:vMerge w:val="continue"/>
            <w:shd w:val="clear" w:color="auto" w:fill="auto"/>
            <w:vAlign w:val="center"/>
          </w:tcPr>
          <w:p w14:paraId="07B74930">
            <w:pPr>
              <w:jc w:val="center"/>
              <w:rPr>
                <w:rFonts w:hint="default" w:ascii="Times New Roman" w:hAnsi="Times New Roman" w:eastAsia="楷体" w:cs="Times New Roman"/>
                <w:color w:val="auto"/>
                <w:sz w:val="18"/>
                <w:szCs w:val="18"/>
                <w:highlight w:val="none"/>
              </w:rPr>
            </w:pPr>
          </w:p>
        </w:tc>
        <w:tc>
          <w:tcPr>
            <w:tcW w:w="524" w:type="pct"/>
            <w:shd w:val="clear" w:color="auto" w:fill="auto"/>
            <w:vAlign w:val="center"/>
          </w:tcPr>
          <w:p w14:paraId="751D7456">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危化品管理</w:t>
            </w:r>
          </w:p>
        </w:tc>
        <w:tc>
          <w:tcPr>
            <w:tcW w:w="242" w:type="pct"/>
            <w:shd w:val="clear" w:color="auto" w:fill="auto"/>
            <w:vAlign w:val="center"/>
          </w:tcPr>
          <w:p w14:paraId="788AE3AE">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3</w:t>
            </w:r>
          </w:p>
        </w:tc>
        <w:tc>
          <w:tcPr>
            <w:tcW w:w="1727" w:type="pct"/>
            <w:shd w:val="clear" w:color="auto" w:fill="auto"/>
            <w:vAlign w:val="center"/>
          </w:tcPr>
          <w:p w14:paraId="141977C2">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按国家相关要求做好危化品购买、运输、储存、使用等管理，有相应的安全管理规定，现场安全防护到位，得</w:t>
            </w:r>
            <w:r>
              <w:rPr>
                <w:rFonts w:hint="eastAsia" w:ascii="Times New Roman" w:hAnsi="Times New Roman" w:eastAsia="楷体" w:cs="Times New Roman"/>
                <w:color w:val="auto"/>
                <w:kern w:val="0"/>
                <w:sz w:val="18"/>
                <w:szCs w:val="18"/>
                <w:highlight w:val="none"/>
                <w:lang w:eastAsia="zh-CN" w:bidi="ar"/>
              </w:rPr>
              <w:t>3</w:t>
            </w:r>
            <w:r>
              <w:rPr>
                <w:rFonts w:hint="default" w:ascii="Times New Roman" w:hAnsi="Times New Roman" w:eastAsia="楷体" w:cs="Times New Roman"/>
                <w:color w:val="auto"/>
                <w:kern w:val="0"/>
                <w:sz w:val="18"/>
                <w:szCs w:val="18"/>
                <w:highlight w:val="none"/>
                <w:lang w:bidi="ar"/>
              </w:rPr>
              <w:t>分，否则酌情扣分。发生安全生产事故的，本项不得分</w:t>
            </w:r>
          </w:p>
        </w:tc>
        <w:tc>
          <w:tcPr>
            <w:tcW w:w="1561" w:type="pct"/>
            <w:shd w:val="clear" w:color="auto" w:fill="auto"/>
            <w:vAlign w:val="center"/>
          </w:tcPr>
          <w:p w14:paraId="2D9D5605">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危化品的管理应严格执行国家</w:t>
            </w:r>
            <w:r>
              <w:rPr>
                <w:rFonts w:hint="eastAsia" w:ascii="Times New Roman" w:hAnsi="Times New Roman" w:eastAsia="楷体" w:cs="Times New Roman"/>
                <w:color w:val="auto"/>
                <w:kern w:val="0"/>
                <w:sz w:val="18"/>
                <w:szCs w:val="18"/>
                <w:highlight w:val="none"/>
                <w:lang w:eastAsia="zh-CN" w:bidi="ar"/>
              </w:rPr>
              <w:t>《危险化学品安全管理条例》</w:t>
            </w:r>
            <w:r>
              <w:rPr>
                <w:rFonts w:hint="default" w:ascii="Times New Roman" w:hAnsi="Times New Roman" w:eastAsia="楷体" w:cs="Times New Roman"/>
                <w:color w:val="auto"/>
                <w:kern w:val="0"/>
                <w:sz w:val="18"/>
                <w:szCs w:val="18"/>
                <w:highlight w:val="none"/>
                <w:lang w:bidi="ar"/>
              </w:rPr>
              <w:t>等规定。查看危化品购买、运输、存放、领用管理等相关记录，检查危化品使用现场</w:t>
            </w:r>
          </w:p>
        </w:tc>
        <w:tc>
          <w:tcPr>
            <w:tcW w:w="230" w:type="pct"/>
            <w:shd w:val="clear" w:color="auto" w:fill="auto"/>
            <w:vAlign w:val="center"/>
          </w:tcPr>
          <w:p w14:paraId="704254E0">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4441C97C">
            <w:pPr>
              <w:jc w:val="center"/>
              <w:rPr>
                <w:rFonts w:hint="default" w:ascii="Times New Roman" w:hAnsi="Times New Roman" w:eastAsia="楷体" w:cs="Times New Roman"/>
                <w:color w:val="auto"/>
                <w:sz w:val="18"/>
                <w:szCs w:val="18"/>
                <w:highlight w:val="none"/>
              </w:rPr>
            </w:pPr>
          </w:p>
        </w:tc>
      </w:tr>
      <w:tr w14:paraId="401CD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223" w:type="pct"/>
            <w:vMerge w:val="continue"/>
            <w:shd w:val="clear" w:color="auto" w:fill="auto"/>
            <w:vAlign w:val="center"/>
          </w:tcPr>
          <w:p w14:paraId="0E121777">
            <w:pPr>
              <w:jc w:val="center"/>
              <w:rPr>
                <w:rFonts w:hint="default" w:ascii="Times New Roman" w:hAnsi="Times New Roman" w:eastAsia="楷体" w:cs="Times New Roman"/>
                <w:color w:val="auto"/>
                <w:sz w:val="18"/>
                <w:szCs w:val="18"/>
                <w:highlight w:val="none"/>
              </w:rPr>
            </w:pPr>
          </w:p>
        </w:tc>
        <w:tc>
          <w:tcPr>
            <w:tcW w:w="212" w:type="pct"/>
            <w:vMerge w:val="continue"/>
            <w:shd w:val="clear" w:color="auto" w:fill="auto"/>
            <w:vAlign w:val="center"/>
          </w:tcPr>
          <w:p w14:paraId="248E72CC">
            <w:pPr>
              <w:jc w:val="center"/>
              <w:rPr>
                <w:rFonts w:hint="default" w:ascii="Times New Roman" w:hAnsi="Times New Roman" w:eastAsia="楷体" w:cs="Times New Roman"/>
                <w:color w:val="auto"/>
                <w:sz w:val="18"/>
                <w:szCs w:val="18"/>
                <w:highlight w:val="none"/>
              </w:rPr>
            </w:pPr>
          </w:p>
        </w:tc>
        <w:tc>
          <w:tcPr>
            <w:tcW w:w="524" w:type="pct"/>
            <w:shd w:val="clear" w:color="auto" w:fill="auto"/>
            <w:vAlign w:val="center"/>
          </w:tcPr>
          <w:p w14:paraId="3DF8B2BD">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应急预案</w:t>
            </w:r>
          </w:p>
        </w:tc>
        <w:tc>
          <w:tcPr>
            <w:tcW w:w="242" w:type="pct"/>
            <w:shd w:val="clear" w:color="auto" w:fill="auto"/>
            <w:vAlign w:val="center"/>
          </w:tcPr>
          <w:p w14:paraId="494F151C">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2</w:t>
            </w:r>
          </w:p>
        </w:tc>
        <w:tc>
          <w:tcPr>
            <w:tcW w:w="1727" w:type="pct"/>
            <w:shd w:val="clear" w:color="auto" w:fill="auto"/>
            <w:vAlign w:val="center"/>
          </w:tcPr>
          <w:p w14:paraId="482DB44A">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（1）建立污水处理厂应急预案，应急处置设备正常、防护器具完好，定期组织演练，台账记录齐全，得2分；（2）有应急预案未定期组织演练，得1分；（3）无应急预案不得分</w:t>
            </w:r>
          </w:p>
        </w:tc>
        <w:tc>
          <w:tcPr>
            <w:tcW w:w="1561" w:type="pct"/>
            <w:shd w:val="clear" w:color="auto" w:fill="auto"/>
            <w:vAlign w:val="center"/>
          </w:tcPr>
          <w:p w14:paraId="1A55D6FE">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应急预案应包括水质、管道、电器、停电等突发事故及火灾、爆炸、中毒等重大安全事故的专项预案，并根据实际情况，定期组织演练</w:t>
            </w:r>
          </w:p>
        </w:tc>
        <w:tc>
          <w:tcPr>
            <w:tcW w:w="230" w:type="pct"/>
            <w:shd w:val="clear" w:color="auto" w:fill="auto"/>
            <w:vAlign w:val="center"/>
          </w:tcPr>
          <w:p w14:paraId="582B71BA">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4F719145">
            <w:pPr>
              <w:jc w:val="center"/>
              <w:rPr>
                <w:rFonts w:hint="default" w:ascii="Times New Roman" w:hAnsi="Times New Roman" w:eastAsia="楷体" w:cs="Times New Roman"/>
                <w:color w:val="auto"/>
                <w:sz w:val="18"/>
                <w:szCs w:val="18"/>
                <w:highlight w:val="none"/>
              </w:rPr>
            </w:pPr>
          </w:p>
        </w:tc>
      </w:tr>
      <w:tr w14:paraId="53EAB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223" w:type="pct"/>
            <w:vMerge w:val="restart"/>
            <w:shd w:val="clear" w:color="auto" w:fill="auto"/>
            <w:vAlign w:val="center"/>
          </w:tcPr>
          <w:p w14:paraId="7368A5EC">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厂容厂貌</w:t>
            </w:r>
          </w:p>
        </w:tc>
        <w:tc>
          <w:tcPr>
            <w:tcW w:w="212" w:type="pct"/>
            <w:vMerge w:val="restart"/>
            <w:shd w:val="clear" w:color="auto" w:fill="auto"/>
            <w:vAlign w:val="center"/>
          </w:tcPr>
          <w:p w14:paraId="3AF0A7C1">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3</w:t>
            </w:r>
          </w:p>
        </w:tc>
        <w:tc>
          <w:tcPr>
            <w:tcW w:w="524" w:type="pct"/>
            <w:shd w:val="clear" w:color="auto" w:fill="auto"/>
            <w:vAlign w:val="center"/>
          </w:tcPr>
          <w:p w14:paraId="26DD1221">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室外</w:t>
            </w:r>
          </w:p>
        </w:tc>
        <w:tc>
          <w:tcPr>
            <w:tcW w:w="242" w:type="pct"/>
            <w:shd w:val="clear" w:color="auto" w:fill="auto"/>
            <w:vAlign w:val="center"/>
          </w:tcPr>
          <w:p w14:paraId="1354ADC8">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1</w:t>
            </w:r>
          </w:p>
        </w:tc>
        <w:tc>
          <w:tcPr>
            <w:tcW w:w="1727" w:type="pct"/>
            <w:shd w:val="clear" w:color="auto" w:fill="auto"/>
            <w:vAlign w:val="center"/>
          </w:tcPr>
          <w:p w14:paraId="4CE80527">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每有一项不符合扣0.2分，扣完为止</w:t>
            </w:r>
          </w:p>
        </w:tc>
        <w:tc>
          <w:tcPr>
            <w:tcW w:w="1561" w:type="pct"/>
            <w:shd w:val="clear" w:color="auto" w:fill="auto"/>
            <w:vAlign w:val="center"/>
          </w:tcPr>
          <w:p w14:paraId="6B94230C">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建筑物外观整洁、无明显的破损和渗漏；厂内道路完好、通畅，无破损；各种管道色标明显，厂内照明设施完好等；厂内绿化养护较好，无死亡缺损现象</w:t>
            </w:r>
          </w:p>
        </w:tc>
        <w:tc>
          <w:tcPr>
            <w:tcW w:w="230" w:type="pct"/>
            <w:shd w:val="clear" w:color="auto" w:fill="auto"/>
            <w:vAlign w:val="center"/>
          </w:tcPr>
          <w:p w14:paraId="06C6D8DA">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425A3F9D">
            <w:pPr>
              <w:jc w:val="center"/>
              <w:rPr>
                <w:rFonts w:hint="default" w:ascii="Times New Roman" w:hAnsi="Times New Roman" w:eastAsia="楷体" w:cs="Times New Roman"/>
                <w:color w:val="auto"/>
                <w:sz w:val="18"/>
                <w:szCs w:val="18"/>
                <w:highlight w:val="none"/>
              </w:rPr>
            </w:pPr>
          </w:p>
        </w:tc>
      </w:tr>
      <w:tr w14:paraId="250EF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223" w:type="pct"/>
            <w:vMerge w:val="continue"/>
            <w:shd w:val="clear" w:color="auto" w:fill="auto"/>
            <w:vAlign w:val="center"/>
          </w:tcPr>
          <w:p w14:paraId="7678AEA9">
            <w:pPr>
              <w:jc w:val="center"/>
              <w:rPr>
                <w:rFonts w:hint="default" w:ascii="Times New Roman" w:hAnsi="Times New Roman" w:eastAsia="楷体" w:cs="Times New Roman"/>
                <w:color w:val="auto"/>
                <w:sz w:val="18"/>
                <w:szCs w:val="18"/>
                <w:highlight w:val="none"/>
              </w:rPr>
            </w:pPr>
          </w:p>
        </w:tc>
        <w:tc>
          <w:tcPr>
            <w:tcW w:w="212" w:type="pct"/>
            <w:vMerge w:val="continue"/>
            <w:shd w:val="clear" w:color="auto" w:fill="auto"/>
            <w:vAlign w:val="center"/>
          </w:tcPr>
          <w:p w14:paraId="323F56DD">
            <w:pPr>
              <w:jc w:val="center"/>
              <w:rPr>
                <w:rFonts w:hint="default" w:ascii="Times New Roman" w:hAnsi="Times New Roman" w:eastAsia="楷体" w:cs="Times New Roman"/>
                <w:color w:val="auto"/>
                <w:sz w:val="18"/>
                <w:szCs w:val="18"/>
                <w:highlight w:val="none"/>
              </w:rPr>
            </w:pPr>
          </w:p>
        </w:tc>
        <w:tc>
          <w:tcPr>
            <w:tcW w:w="524" w:type="pct"/>
            <w:shd w:val="clear" w:color="auto" w:fill="auto"/>
            <w:vAlign w:val="center"/>
          </w:tcPr>
          <w:p w14:paraId="05D6701A">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室内</w:t>
            </w:r>
          </w:p>
        </w:tc>
        <w:tc>
          <w:tcPr>
            <w:tcW w:w="242" w:type="pct"/>
            <w:shd w:val="clear" w:color="auto" w:fill="auto"/>
            <w:vAlign w:val="center"/>
          </w:tcPr>
          <w:p w14:paraId="72ACF0A9">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1</w:t>
            </w:r>
          </w:p>
        </w:tc>
        <w:tc>
          <w:tcPr>
            <w:tcW w:w="1727" w:type="pct"/>
            <w:shd w:val="clear" w:color="auto" w:fill="auto"/>
            <w:vAlign w:val="center"/>
          </w:tcPr>
          <w:p w14:paraId="56163A72">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每有一项不符合扣0.2分，扣完为止</w:t>
            </w:r>
          </w:p>
        </w:tc>
        <w:tc>
          <w:tcPr>
            <w:tcW w:w="1561" w:type="pct"/>
            <w:shd w:val="clear" w:color="auto" w:fill="auto"/>
            <w:vAlign w:val="center"/>
          </w:tcPr>
          <w:p w14:paraId="0D131C8A">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办公室、值班室、操作室、机房内物品摆放整齐，卫生整洁，照明齐全有效；门、窗、玻璃明亮无破损，操作工具摆放整齐；淋浴室、卫生间设施齐全；操作人员着装整齐、干净、文明礼貌</w:t>
            </w:r>
          </w:p>
        </w:tc>
        <w:tc>
          <w:tcPr>
            <w:tcW w:w="230" w:type="pct"/>
            <w:shd w:val="clear" w:color="auto" w:fill="auto"/>
            <w:vAlign w:val="center"/>
          </w:tcPr>
          <w:p w14:paraId="1A928950">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5C4A30E9">
            <w:pPr>
              <w:jc w:val="center"/>
              <w:rPr>
                <w:rFonts w:hint="default" w:ascii="Times New Roman" w:hAnsi="Times New Roman" w:eastAsia="楷体" w:cs="Times New Roman"/>
                <w:color w:val="auto"/>
                <w:sz w:val="18"/>
                <w:szCs w:val="18"/>
                <w:highlight w:val="none"/>
              </w:rPr>
            </w:pPr>
          </w:p>
        </w:tc>
      </w:tr>
      <w:tr w14:paraId="123FE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223" w:type="pct"/>
            <w:vMerge w:val="continue"/>
            <w:shd w:val="clear" w:color="auto" w:fill="auto"/>
            <w:vAlign w:val="center"/>
          </w:tcPr>
          <w:p w14:paraId="064BA717">
            <w:pPr>
              <w:jc w:val="center"/>
              <w:rPr>
                <w:rFonts w:hint="default" w:ascii="Times New Roman" w:hAnsi="Times New Roman" w:eastAsia="楷体" w:cs="Times New Roman"/>
                <w:color w:val="auto"/>
                <w:sz w:val="18"/>
                <w:szCs w:val="18"/>
                <w:highlight w:val="none"/>
              </w:rPr>
            </w:pPr>
          </w:p>
        </w:tc>
        <w:tc>
          <w:tcPr>
            <w:tcW w:w="212" w:type="pct"/>
            <w:vMerge w:val="continue"/>
            <w:shd w:val="clear" w:color="auto" w:fill="auto"/>
            <w:vAlign w:val="center"/>
          </w:tcPr>
          <w:p w14:paraId="694BD4F8">
            <w:pPr>
              <w:jc w:val="center"/>
              <w:rPr>
                <w:rFonts w:hint="default" w:ascii="Times New Roman" w:hAnsi="Times New Roman" w:eastAsia="楷体" w:cs="Times New Roman"/>
                <w:color w:val="auto"/>
                <w:sz w:val="18"/>
                <w:szCs w:val="18"/>
                <w:highlight w:val="none"/>
              </w:rPr>
            </w:pPr>
          </w:p>
        </w:tc>
        <w:tc>
          <w:tcPr>
            <w:tcW w:w="524" w:type="pct"/>
            <w:shd w:val="clear" w:color="auto" w:fill="auto"/>
            <w:vAlign w:val="center"/>
          </w:tcPr>
          <w:p w14:paraId="1FC4150B">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构筑物</w:t>
            </w:r>
          </w:p>
        </w:tc>
        <w:tc>
          <w:tcPr>
            <w:tcW w:w="242" w:type="pct"/>
            <w:shd w:val="clear" w:color="auto" w:fill="auto"/>
            <w:vAlign w:val="center"/>
          </w:tcPr>
          <w:p w14:paraId="1AAAFD37">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1</w:t>
            </w:r>
          </w:p>
        </w:tc>
        <w:tc>
          <w:tcPr>
            <w:tcW w:w="1727" w:type="pct"/>
            <w:shd w:val="clear" w:color="auto" w:fill="auto"/>
            <w:vAlign w:val="center"/>
          </w:tcPr>
          <w:p w14:paraId="5565946D">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每有一项不符合扣0.2分，扣完为止</w:t>
            </w:r>
          </w:p>
        </w:tc>
        <w:tc>
          <w:tcPr>
            <w:tcW w:w="1561" w:type="pct"/>
            <w:shd w:val="clear" w:color="auto" w:fill="auto"/>
            <w:vAlign w:val="center"/>
          </w:tcPr>
          <w:p w14:paraId="34B74063">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构筑物无渗漏；漆面良好无锈蚀；堰口、池壁保持清洁、完好、出水均匀；池面清洁</w:t>
            </w:r>
          </w:p>
        </w:tc>
        <w:tc>
          <w:tcPr>
            <w:tcW w:w="230" w:type="pct"/>
            <w:shd w:val="clear" w:color="auto" w:fill="auto"/>
            <w:vAlign w:val="center"/>
          </w:tcPr>
          <w:p w14:paraId="0A3A480F">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3C64D252">
            <w:pPr>
              <w:jc w:val="center"/>
              <w:rPr>
                <w:rFonts w:hint="default" w:ascii="Times New Roman" w:hAnsi="Times New Roman" w:eastAsia="楷体" w:cs="Times New Roman"/>
                <w:color w:val="auto"/>
                <w:sz w:val="18"/>
                <w:szCs w:val="18"/>
                <w:highlight w:val="none"/>
              </w:rPr>
            </w:pPr>
          </w:p>
        </w:tc>
      </w:tr>
      <w:tr w14:paraId="36743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223" w:type="pct"/>
            <w:vMerge w:val="restart"/>
            <w:shd w:val="clear" w:color="auto" w:fill="auto"/>
            <w:vAlign w:val="center"/>
          </w:tcPr>
          <w:p w14:paraId="25715E1A">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制度建设</w:t>
            </w:r>
          </w:p>
        </w:tc>
        <w:tc>
          <w:tcPr>
            <w:tcW w:w="212" w:type="pct"/>
            <w:vMerge w:val="restart"/>
            <w:shd w:val="clear" w:color="auto" w:fill="auto"/>
            <w:vAlign w:val="center"/>
          </w:tcPr>
          <w:p w14:paraId="6DA34732">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5</w:t>
            </w:r>
          </w:p>
        </w:tc>
        <w:tc>
          <w:tcPr>
            <w:tcW w:w="524" w:type="pct"/>
            <w:shd w:val="clear" w:color="auto" w:fill="auto"/>
            <w:vAlign w:val="center"/>
          </w:tcPr>
          <w:p w14:paraId="753DDF7A">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操作管理</w:t>
            </w:r>
          </w:p>
        </w:tc>
        <w:tc>
          <w:tcPr>
            <w:tcW w:w="242" w:type="pct"/>
            <w:shd w:val="clear" w:color="auto" w:fill="auto"/>
            <w:vAlign w:val="center"/>
          </w:tcPr>
          <w:p w14:paraId="67E167B3">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2</w:t>
            </w:r>
          </w:p>
        </w:tc>
        <w:tc>
          <w:tcPr>
            <w:tcW w:w="1727" w:type="pct"/>
            <w:shd w:val="clear" w:color="auto" w:fill="auto"/>
            <w:vAlign w:val="center"/>
          </w:tcPr>
          <w:p w14:paraId="359FF214">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每缺一项扣0.2分，扣完为止</w:t>
            </w:r>
          </w:p>
        </w:tc>
        <w:tc>
          <w:tcPr>
            <w:tcW w:w="1561" w:type="pct"/>
            <w:shd w:val="clear" w:color="auto" w:fill="auto"/>
            <w:vAlign w:val="center"/>
          </w:tcPr>
          <w:p w14:paraId="5E0B03FE">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构筑物、设备、岗位、安全的各项操作规程应健全、科学、完善；各工艺、工段操作规程；各工艺、工段安全操作规程、防护规程；生产管理制度、岗位责任制度、设备管理制度、化验室管理制度、岗位工作职责均应齐备</w:t>
            </w:r>
          </w:p>
        </w:tc>
        <w:tc>
          <w:tcPr>
            <w:tcW w:w="230" w:type="pct"/>
            <w:shd w:val="clear" w:color="auto" w:fill="auto"/>
            <w:vAlign w:val="center"/>
          </w:tcPr>
          <w:p w14:paraId="18F555A9">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5546F3E0">
            <w:pPr>
              <w:jc w:val="center"/>
              <w:rPr>
                <w:rFonts w:hint="default" w:ascii="Times New Roman" w:hAnsi="Times New Roman" w:eastAsia="楷体" w:cs="Times New Roman"/>
                <w:color w:val="auto"/>
                <w:sz w:val="18"/>
                <w:szCs w:val="18"/>
                <w:highlight w:val="none"/>
              </w:rPr>
            </w:pPr>
          </w:p>
        </w:tc>
      </w:tr>
      <w:tr w14:paraId="17711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223" w:type="pct"/>
            <w:vMerge w:val="continue"/>
            <w:shd w:val="clear" w:color="auto" w:fill="auto"/>
            <w:vAlign w:val="center"/>
          </w:tcPr>
          <w:p w14:paraId="16436789">
            <w:pPr>
              <w:jc w:val="center"/>
              <w:textAlignment w:val="center"/>
              <w:rPr>
                <w:rFonts w:hint="default" w:ascii="Times New Roman" w:hAnsi="Times New Roman" w:eastAsia="楷体" w:cs="Times New Roman"/>
                <w:color w:val="auto"/>
                <w:kern w:val="0"/>
                <w:sz w:val="18"/>
                <w:szCs w:val="18"/>
                <w:highlight w:val="none"/>
                <w:lang w:bidi="ar"/>
              </w:rPr>
            </w:pPr>
          </w:p>
        </w:tc>
        <w:tc>
          <w:tcPr>
            <w:tcW w:w="212" w:type="pct"/>
            <w:vMerge w:val="continue"/>
            <w:shd w:val="clear" w:color="auto" w:fill="auto"/>
            <w:vAlign w:val="center"/>
          </w:tcPr>
          <w:p w14:paraId="47C2B823">
            <w:pPr>
              <w:jc w:val="center"/>
              <w:textAlignment w:val="center"/>
              <w:rPr>
                <w:rFonts w:hint="default" w:ascii="Times New Roman" w:hAnsi="Times New Roman" w:eastAsia="楷体" w:cs="Times New Roman"/>
                <w:color w:val="auto"/>
                <w:kern w:val="0"/>
                <w:sz w:val="18"/>
                <w:szCs w:val="18"/>
                <w:highlight w:val="none"/>
                <w:lang w:bidi="ar"/>
              </w:rPr>
            </w:pPr>
          </w:p>
        </w:tc>
        <w:tc>
          <w:tcPr>
            <w:tcW w:w="524" w:type="pct"/>
            <w:shd w:val="clear" w:color="auto" w:fill="auto"/>
            <w:vAlign w:val="center"/>
          </w:tcPr>
          <w:p w14:paraId="7E6A9EF1">
            <w:pPr>
              <w:jc w:val="center"/>
              <w:textAlignment w:val="center"/>
              <w:rPr>
                <w:rFonts w:hint="default" w:ascii="Times New Roman" w:hAnsi="Times New Roman" w:eastAsia="楷体" w:cs="Times New Roman"/>
                <w:color w:val="auto"/>
                <w:kern w:val="0"/>
                <w:sz w:val="18"/>
                <w:szCs w:val="18"/>
                <w:highlight w:val="none"/>
                <w:lang w:bidi="ar"/>
              </w:rPr>
            </w:pPr>
            <w:r>
              <w:rPr>
                <w:rFonts w:hint="default" w:ascii="Times New Roman" w:hAnsi="Times New Roman" w:eastAsia="楷体" w:cs="Times New Roman"/>
                <w:color w:val="auto"/>
                <w:kern w:val="0"/>
                <w:sz w:val="18"/>
                <w:szCs w:val="18"/>
                <w:highlight w:val="none"/>
                <w:lang w:bidi="ar"/>
              </w:rPr>
              <w:t>考核制度</w:t>
            </w:r>
          </w:p>
        </w:tc>
        <w:tc>
          <w:tcPr>
            <w:tcW w:w="242" w:type="pct"/>
            <w:shd w:val="clear" w:color="auto" w:fill="auto"/>
            <w:vAlign w:val="center"/>
          </w:tcPr>
          <w:p w14:paraId="4ACDA5EF">
            <w:pPr>
              <w:jc w:val="center"/>
              <w:textAlignment w:val="center"/>
              <w:rPr>
                <w:rFonts w:hint="default" w:ascii="Times New Roman" w:hAnsi="Times New Roman" w:eastAsia="楷体" w:cs="Times New Roman"/>
                <w:color w:val="auto"/>
                <w:kern w:val="0"/>
                <w:sz w:val="18"/>
                <w:szCs w:val="18"/>
                <w:highlight w:val="none"/>
                <w:lang w:bidi="ar"/>
              </w:rPr>
            </w:pPr>
            <w:r>
              <w:rPr>
                <w:rFonts w:hint="default" w:ascii="Times New Roman" w:hAnsi="Times New Roman" w:eastAsia="楷体" w:cs="Times New Roman"/>
                <w:color w:val="auto"/>
                <w:kern w:val="0"/>
                <w:sz w:val="18"/>
                <w:szCs w:val="18"/>
                <w:highlight w:val="none"/>
                <w:lang w:bidi="ar"/>
              </w:rPr>
              <w:t>1</w:t>
            </w:r>
          </w:p>
        </w:tc>
        <w:tc>
          <w:tcPr>
            <w:tcW w:w="1727" w:type="pct"/>
            <w:shd w:val="clear" w:color="auto" w:fill="auto"/>
            <w:vAlign w:val="center"/>
          </w:tcPr>
          <w:p w14:paraId="7298C460">
            <w:pPr>
              <w:textAlignment w:val="center"/>
              <w:rPr>
                <w:rFonts w:hint="default" w:ascii="Times New Roman" w:hAnsi="Times New Roman" w:eastAsia="楷体" w:cs="Times New Roman"/>
                <w:color w:val="auto"/>
                <w:kern w:val="0"/>
                <w:sz w:val="18"/>
                <w:szCs w:val="18"/>
                <w:highlight w:val="none"/>
                <w:lang w:bidi="ar"/>
              </w:rPr>
            </w:pPr>
            <w:r>
              <w:rPr>
                <w:rFonts w:hint="default" w:ascii="Times New Roman" w:hAnsi="Times New Roman" w:eastAsia="楷体" w:cs="Times New Roman"/>
                <w:color w:val="auto"/>
                <w:kern w:val="0"/>
                <w:sz w:val="18"/>
                <w:szCs w:val="18"/>
                <w:highlight w:val="none"/>
                <w:lang w:bidi="ar"/>
              </w:rPr>
              <w:t>（1）有完善的考核制度并能很好地实施，得1分；</w:t>
            </w:r>
          </w:p>
          <w:p w14:paraId="17283B08">
            <w:pPr>
              <w:textAlignment w:val="center"/>
              <w:rPr>
                <w:rFonts w:hint="default" w:ascii="Times New Roman" w:hAnsi="Times New Roman" w:eastAsia="楷体" w:cs="Times New Roman"/>
                <w:color w:val="auto"/>
                <w:kern w:val="0"/>
                <w:sz w:val="18"/>
                <w:szCs w:val="18"/>
                <w:highlight w:val="none"/>
                <w:lang w:bidi="ar"/>
              </w:rPr>
            </w:pPr>
            <w:r>
              <w:rPr>
                <w:rFonts w:hint="default" w:ascii="Times New Roman" w:hAnsi="Times New Roman" w:eastAsia="楷体" w:cs="Times New Roman"/>
                <w:color w:val="auto"/>
                <w:kern w:val="0"/>
                <w:sz w:val="18"/>
                <w:szCs w:val="18"/>
                <w:highlight w:val="none"/>
                <w:lang w:bidi="ar"/>
              </w:rPr>
              <w:t>（2）有考核制度但未能很好地实施，得0.5分；</w:t>
            </w:r>
          </w:p>
          <w:p w14:paraId="46BB9D53">
            <w:pPr>
              <w:textAlignment w:val="center"/>
              <w:rPr>
                <w:rFonts w:hint="default" w:ascii="Times New Roman" w:hAnsi="Times New Roman" w:eastAsia="楷体" w:cs="Times New Roman"/>
                <w:color w:val="auto"/>
                <w:kern w:val="0"/>
                <w:sz w:val="18"/>
                <w:szCs w:val="18"/>
                <w:highlight w:val="none"/>
                <w:lang w:bidi="ar"/>
              </w:rPr>
            </w:pPr>
            <w:r>
              <w:rPr>
                <w:rFonts w:hint="default" w:ascii="Times New Roman" w:hAnsi="Times New Roman" w:eastAsia="楷体" w:cs="Times New Roman"/>
                <w:color w:val="auto"/>
                <w:kern w:val="0"/>
                <w:sz w:val="18"/>
                <w:szCs w:val="18"/>
                <w:highlight w:val="none"/>
                <w:lang w:bidi="ar"/>
              </w:rPr>
              <w:t>（3）无考核制度不得分</w:t>
            </w:r>
          </w:p>
        </w:tc>
        <w:tc>
          <w:tcPr>
            <w:tcW w:w="1561" w:type="pct"/>
            <w:shd w:val="clear" w:color="auto" w:fill="auto"/>
            <w:vAlign w:val="center"/>
          </w:tcPr>
          <w:p w14:paraId="4E888533">
            <w:pPr>
              <w:textAlignment w:val="center"/>
              <w:rPr>
                <w:rFonts w:hint="default" w:ascii="Times New Roman" w:hAnsi="Times New Roman" w:eastAsia="楷体" w:cs="Times New Roman"/>
                <w:color w:val="auto"/>
                <w:kern w:val="0"/>
                <w:sz w:val="18"/>
                <w:szCs w:val="18"/>
                <w:highlight w:val="none"/>
                <w:lang w:bidi="ar"/>
              </w:rPr>
            </w:pPr>
            <w:r>
              <w:rPr>
                <w:rFonts w:hint="default" w:ascii="Times New Roman" w:hAnsi="Times New Roman" w:eastAsia="楷体" w:cs="Times New Roman"/>
                <w:color w:val="auto"/>
                <w:kern w:val="0"/>
                <w:sz w:val="18"/>
                <w:szCs w:val="18"/>
                <w:highlight w:val="none"/>
                <w:lang w:bidi="ar"/>
              </w:rPr>
              <w:t>查考核制度及实施情况</w:t>
            </w:r>
          </w:p>
        </w:tc>
        <w:tc>
          <w:tcPr>
            <w:tcW w:w="230" w:type="pct"/>
            <w:shd w:val="clear" w:color="auto" w:fill="auto"/>
            <w:vAlign w:val="center"/>
          </w:tcPr>
          <w:p w14:paraId="5EF0EAE7">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7FF30462">
            <w:pPr>
              <w:jc w:val="center"/>
              <w:rPr>
                <w:rFonts w:hint="default" w:ascii="Times New Roman" w:hAnsi="Times New Roman" w:eastAsia="楷体" w:cs="Times New Roman"/>
                <w:color w:val="auto"/>
                <w:sz w:val="18"/>
                <w:szCs w:val="18"/>
                <w:highlight w:val="none"/>
              </w:rPr>
            </w:pPr>
          </w:p>
        </w:tc>
      </w:tr>
      <w:tr w14:paraId="37F1D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trPr>
        <w:tc>
          <w:tcPr>
            <w:tcW w:w="223" w:type="pct"/>
            <w:vMerge w:val="continue"/>
            <w:shd w:val="clear" w:color="auto" w:fill="auto"/>
            <w:vAlign w:val="center"/>
          </w:tcPr>
          <w:p w14:paraId="16AE666C">
            <w:pPr>
              <w:jc w:val="center"/>
              <w:rPr>
                <w:rFonts w:hint="default" w:ascii="Times New Roman" w:hAnsi="Times New Roman" w:eastAsia="楷体" w:cs="Times New Roman"/>
                <w:color w:val="auto"/>
                <w:sz w:val="18"/>
                <w:szCs w:val="18"/>
                <w:highlight w:val="none"/>
              </w:rPr>
            </w:pPr>
          </w:p>
        </w:tc>
        <w:tc>
          <w:tcPr>
            <w:tcW w:w="212" w:type="pct"/>
            <w:vMerge w:val="continue"/>
            <w:shd w:val="clear" w:color="auto" w:fill="auto"/>
            <w:vAlign w:val="center"/>
          </w:tcPr>
          <w:p w14:paraId="7C67EA29">
            <w:pPr>
              <w:jc w:val="center"/>
              <w:rPr>
                <w:rFonts w:hint="default" w:ascii="Times New Roman" w:hAnsi="Times New Roman" w:eastAsia="楷体" w:cs="Times New Roman"/>
                <w:color w:val="auto"/>
                <w:sz w:val="18"/>
                <w:szCs w:val="18"/>
                <w:highlight w:val="none"/>
              </w:rPr>
            </w:pPr>
          </w:p>
        </w:tc>
        <w:tc>
          <w:tcPr>
            <w:tcW w:w="524" w:type="pct"/>
            <w:shd w:val="clear" w:color="auto" w:fill="auto"/>
            <w:vAlign w:val="center"/>
          </w:tcPr>
          <w:p w14:paraId="6F7BCDCA">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信息建设</w:t>
            </w:r>
          </w:p>
        </w:tc>
        <w:tc>
          <w:tcPr>
            <w:tcW w:w="242" w:type="pct"/>
            <w:shd w:val="clear" w:color="auto" w:fill="auto"/>
            <w:vAlign w:val="center"/>
          </w:tcPr>
          <w:p w14:paraId="651A060B">
            <w:pPr>
              <w:jc w:val="cente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2</w:t>
            </w:r>
          </w:p>
        </w:tc>
        <w:tc>
          <w:tcPr>
            <w:tcW w:w="1727" w:type="pct"/>
            <w:shd w:val="clear" w:color="auto" w:fill="auto"/>
            <w:vAlign w:val="center"/>
          </w:tcPr>
          <w:p w14:paraId="43AD090F">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（1）有服务生产的信息化平台；网上上报住房城乡建设部、省</w:t>
            </w:r>
            <w:r>
              <w:rPr>
                <w:rFonts w:hint="eastAsia" w:ascii="Times New Roman" w:hAnsi="Times New Roman" w:eastAsia="楷体" w:cs="Times New Roman"/>
                <w:color w:val="auto"/>
                <w:kern w:val="0"/>
                <w:sz w:val="18"/>
                <w:szCs w:val="18"/>
                <w:highlight w:val="none"/>
                <w:lang w:eastAsia="zh-CN" w:bidi="ar"/>
              </w:rPr>
              <w:t>住房和城乡建设厅</w:t>
            </w:r>
            <w:r>
              <w:rPr>
                <w:rFonts w:hint="default" w:ascii="Times New Roman" w:hAnsi="Times New Roman" w:eastAsia="楷体" w:cs="Times New Roman"/>
                <w:color w:val="auto"/>
                <w:kern w:val="0"/>
                <w:sz w:val="18"/>
                <w:szCs w:val="18"/>
                <w:highlight w:val="none"/>
                <w:lang w:bidi="ar"/>
              </w:rPr>
              <w:t>运营信息，数据真实可信，并及时按月上报，得1分；（2）能有效运用信息平台，不断提高分析能力和技术水平，得1分，否则不得分</w:t>
            </w:r>
          </w:p>
        </w:tc>
        <w:tc>
          <w:tcPr>
            <w:tcW w:w="1561" w:type="pct"/>
            <w:shd w:val="clear" w:color="auto" w:fill="auto"/>
            <w:vAlign w:val="center"/>
          </w:tcPr>
          <w:p w14:paraId="32ACF5DA">
            <w:pPr>
              <w:textAlignment w:val="center"/>
              <w:rPr>
                <w:rFonts w:hint="default" w:ascii="Times New Roman" w:hAnsi="Times New Roman" w:eastAsia="楷体" w:cs="Times New Roman"/>
                <w:color w:val="auto"/>
                <w:sz w:val="18"/>
                <w:szCs w:val="18"/>
                <w:highlight w:val="none"/>
              </w:rPr>
            </w:pPr>
            <w:r>
              <w:rPr>
                <w:rFonts w:hint="default" w:ascii="Times New Roman" w:hAnsi="Times New Roman" w:eastAsia="楷体" w:cs="Times New Roman"/>
                <w:color w:val="auto"/>
                <w:kern w:val="0"/>
                <w:sz w:val="18"/>
                <w:szCs w:val="18"/>
                <w:highlight w:val="none"/>
                <w:lang w:bidi="ar"/>
              </w:rPr>
              <w:t>包括内部信息传递、信息上报；对内、对外信息管理；网上上报信息指《全国城镇污水处理管理信息系统》</w:t>
            </w:r>
            <w:r>
              <w:rPr>
                <w:rFonts w:hint="eastAsia" w:ascii="Times New Roman" w:hAnsi="Times New Roman" w:eastAsia="楷体" w:cs="Times New Roman"/>
                <w:color w:val="auto"/>
                <w:kern w:val="0"/>
                <w:sz w:val="18"/>
                <w:szCs w:val="18"/>
                <w:highlight w:val="none"/>
                <w:lang w:eastAsia="zh-CN" w:bidi="ar"/>
              </w:rPr>
              <w:t>等</w:t>
            </w:r>
            <w:r>
              <w:rPr>
                <w:rFonts w:hint="default" w:ascii="Times New Roman" w:hAnsi="Times New Roman" w:eastAsia="楷体" w:cs="Times New Roman"/>
                <w:color w:val="auto"/>
                <w:kern w:val="0"/>
                <w:sz w:val="18"/>
                <w:szCs w:val="18"/>
                <w:highlight w:val="none"/>
                <w:lang w:bidi="ar"/>
              </w:rPr>
              <w:t>规定的上报信息</w:t>
            </w:r>
          </w:p>
        </w:tc>
        <w:tc>
          <w:tcPr>
            <w:tcW w:w="230" w:type="pct"/>
            <w:shd w:val="clear" w:color="auto" w:fill="auto"/>
            <w:vAlign w:val="center"/>
          </w:tcPr>
          <w:p w14:paraId="689DE1EB">
            <w:pPr>
              <w:jc w:val="center"/>
              <w:rPr>
                <w:rFonts w:hint="default" w:ascii="Times New Roman" w:hAnsi="Times New Roman" w:eastAsia="楷体" w:cs="Times New Roman"/>
                <w:color w:val="auto"/>
                <w:sz w:val="18"/>
                <w:szCs w:val="18"/>
                <w:highlight w:val="none"/>
              </w:rPr>
            </w:pPr>
          </w:p>
        </w:tc>
        <w:tc>
          <w:tcPr>
            <w:tcW w:w="277" w:type="pct"/>
            <w:shd w:val="clear" w:color="auto" w:fill="auto"/>
            <w:vAlign w:val="center"/>
          </w:tcPr>
          <w:p w14:paraId="1D3EA3DE">
            <w:pPr>
              <w:jc w:val="center"/>
              <w:rPr>
                <w:rFonts w:hint="default" w:ascii="Times New Roman" w:hAnsi="Times New Roman" w:eastAsia="楷体" w:cs="Times New Roman"/>
                <w:color w:val="auto"/>
                <w:sz w:val="18"/>
                <w:szCs w:val="18"/>
                <w:highlight w:val="none"/>
              </w:rPr>
            </w:pPr>
          </w:p>
        </w:tc>
      </w:tr>
      <w:tr w14:paraId="40CE9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223" w:type="pct"/>
            <w:shd w:val="clear" w:color="auto" w:fill="auto"/>
            <w:vAlign w:val="center"/>
          </w:tcPr>
          <w:p w14:paraId="62CC759F">
            <w:pPr>
              <w:jc w:val="center"/>
              <w:textAlignment w:val="center"/>
              <w:rPr>
                <w:rFonts w:hint="default" w:ascii="Times New Roman" w:hAnsi="Times New Roman" w:eastAsia="楷体" w:cs="Times New Roman"/>
                <w:b/>
                <w:bCs/>
                <w:color w:val="auto"/>
                <w:sz w:val="18"/>
                <w:szCs w:val="18"/>
                <w:highlight w:val="none"/>
              </w:rPr>
            </w:pPr>
            <w:r>
              <w:rPr>
                <w:rFonts w:hint="default" w:ascii="Times New Roman" w:hAnsi="Times New Roman" w:eastAsia="楷体" w:cs="Times New Roman"/>
                <w:b/>
                <w:bCs/>
                <w:color w:val="auto"/>
                <w:kern w:val="0"/>
                <w:sz w:val="18"/>
                <w:szCs w:val="18"/>
                <w:highlight w:val="none"/>
                <w:lang w:bidi="ar"/>
              </w:rPr>
              <w:t>合计</w:t>
            </w:r>
          </w:p>
        </w:tc>
        <w:tc>
          <w:tcPr>
            <w:tcW w:w="212" w:type="pct"/>
            <w:shd w:val="clear" w:color="auto" w:fill="auto"/>
            <w:vAlign w:val="center"/>
          </w:tcPr>
          <w:p w14:paraId="1670C83D">
            <w:pPr>
              <w:jc w:val="center"/>
              <w:textAlignment w:val="center"/>
              <w:rPr>
                <w:rFonts w:hint="default" w:ascii="Times New Roman" w:hAnsi="Times New Roman" w:eastAsia="楷体" w:cs="Times New Roman"/>
                <w:b/>
                <w:bCs/>
                <w:color w:val="auto"/>
                <w:sz w:val="18"/>
                <w:szCs w:val="18"/>
                <w:highlight w:val="none"/>
              </w:rPr>
            </w:pPr>
            <w:r>
              <w:rPr>
                <w:rFonts w:hint="default" w:ascii="Times New Roman" w:hAnsi="Times New Roman" w:eastAsia="楷体" w:cs="Times New Roman"/>
                <w:b/>
                <w:bCs/>
                <w:color w:val="auto"/>
                <w:kern w:val="0"/>
                <w:sz w:val="18"/>
                <w:szCs w:val="18"/>
                <w:highlight w:val="none"/>
                <w:lang w:bidi="ar"/>
              </w:rPr>
              <w:t>100</w:t>
            </w:r>
          </w:p>
        </w:tc>
        <w:tc>
          <w:tcPr>
            <w:tcW w:w="524" w:type="pct"/>
            <w:shd w:val="clear" w:color="auto" w:fill="auto"/>
            <w:vAlign w:val="center"/>
          </w:tcPr>
          <w:p w14:paraId="1DEBD731">
            <w:pPr>
              <w:jc w:val="center"/>
              <w:rPr>
                <w:rFonts w:hint="default" w:ascii="Times New Roman" w:hAnsi="Times New Roman" w:eastAsia="楷体" w:cs="Times New Roman"/>
                <w:b/>
                <w:bCs/>
                <w:color w:val="auto"/>
                <w:sz w:val="18"/>
                <w:szCs w:val="18"/>
                <w:highlight w:val="none"/>
              </w:rPr>
            </w:pPr>
          </w:p>
        </w:tc>
        <w:tc>
          <w:tcPr>
            <w:tcW w:w="242" w:type="pct"/>
            <w:shd w:val="clear" w:color="auto" w:fill="auto"/>
            <w:vAlign w:val="center"/>
          </w:tcPr>
          <w:p w14:paraId="052B527C">
            <w:pPr>
              <w:jc w:val="center"/>
              <w:textAlignment w:val="center"/>
              <w:rPr>
                <w:rFonts w:hint="default" w:ascii="Times New Roman" w:hAnsi="Times New Roman" w:eastAsia="楷体" w:cs="Times New Roman"/>
                <w:b/>
                <w:bCs/>
                <w:color w:val="auto"/>
                <w:sz w:val="18"/>
                <w:szCs w:val="18"/>
                <w:highlight w:val="none"/>
              </w:rPr>
            </w:pPr>
            <w:r>
              <w:rPr>
                <w:rFonts w:hint="default" w:ascii="Times New Roman" w:hAnsi="Times New Roman" w:eastAsia="楷体" w:cs="Times New Roman"/>
                <w:b/>
                <w:bCs/>
                <w:color w:val="auto"/>
                <w:kern w:val="0"/>
                <w:sz w:val="18"/>
                <w:szCs w:val="18"/>
                <w:highlight w:val="none"/>
                <w:lang w:bidi="ar"/>
              </w:rPr>
              <w:t>100</w:t>
            </w:r>
          </w:p>
        </w:tc>
        <w:tc>
          <w:tcPr>
            <w:tcW w:w="1727" w:type="pct"/>
            <w:shd w:val="clear" w:color="auto" w:fill="auto"/>
            <w:vAlign w:val="center"/>
          </w:tcPr>
          <w:p w14:paraId="573CAE41">
            <w:pPr>
              <w:jc w:val="center"/>
              <w:rPr>
                <w:rFonts w:hint="default" w:ascii="Times New Roman" w:hAnsi="Times New Roman" w:eastAsia="楷体" w:cs="Times New Roman"/>
                <w:b/>
                <w:bCs/>
                <w:color w:val="auto"/>
                <w:sz w:val="18"/>
                <w:szCs w:val="18"/>
                <w:highlight w:val="none"/>
              </w:rPr>
            </w:pPr>
          </w:p>
        </w:tc>
        <w:tc>
          <w:tcPr>
            <w:tcW w:w="1561" w:type="pct"/>
            <w:shd w:val="clear" w:color="auto" w:fill="auto"/>
            <w:vAlign w:val="center"/>
          </w:tcPr>
          <w:p w14:paraId="3DE6248C">
            <w:pPr>
              <w:jc w:val="center"/>
              <w:rPr>
                <w:rFonts w:hint="default" w:ascii="Times New Roman" w:hAnsi="Times New Roman" w:eastAsia="楷体" w:cs="Times New Roman"/>
                <w:b/>
                <w:bCs/>
                <w:color w:val="auto"/>
                <w:sz w:val="18"/>
                <w:szCs w:val="18"/>
                <w:highlight w:val="none"/>
              </w:rPr>
            </w:pPr>
          </w:p>
        </w:tc>
        <w:tc>
          <w:tcPr>
            <w:tcW w:w="230" w:type="pct"/>
            <w:shd w:val="clear" w:color="auto" w:fill="auto"/>
            <w:vAlign w:val="center"/>
          </w:tcPr>
          <w:p w14:paraId="6BA0BDDA">
            <w:pPr>
              <w:jc w:val="center"/>
              <w:rPr>
                <w:rFonts w:hint="default" w:ascii="Times New Roman" w:hAnsi="Times New Roman" w:eastAsia="楷体" w:cs="Times New Roman"/>
                <w:b/>
                <w:bCs/>
                <w:color w:val="auto"/>
                <w:sz w:val="18"/>
                <w:szCs w:val="18"/>
                <w:highlight w:val="none"/>
              </w:rPr>
            </w:pPr>
          </w:p>
        </w:tc>
        <w:tc>
          <w:tcPr>
            <w:tcW w:w="277" w:type="pct"/>
            <w:shd w:val="clear" w:color="auto" w:fill="auto"/>
            <w:noWrap/>
            <w:vAlign w:val="center"/>
          </w:tcPr>
          <w:p w14:paraId="3C75A185">
            <w:pPr>
              <w:rPr>
                <w:rFonts w:hint="default" w:ascii="Times New Roman" w:hAnsi="Times New Roman" w:eastAsia="楷体" w:cs="Times New Roman"/>
                <w:color w:val="auto"/>
                <w:sz w:val="18"/>
                <w:szCs w:val="18"/>
                <w:highlight w:val="none"/>
              </w:rPr>
            </w:pPr>
          </w:p>
        </w:tc>
      </w:tr>
      <w:tr w14:paraId="20CF5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35" w:type="pct"/>
            <w:gridSpan w:val="2"/>
            <w:shd w:val="clear" w:color="auto" w:fill="auto"/>
            <w:vAlign w:val="center"/>
          </w:tcPr>
          <w:p w14:paraId="7044C537">
            <w:pPr>
              <w:jc w:val="center"/>
              <w:textAlignment w:val="center"/>
              <w:rPr>
                <w:rFonts w:hint="default" w:ascii="Times New Roman" w:hAnsi="Times New Roman" w:eastAsia="楷体" w:cs="Times New Roman"/>
                <w:b/>
                <w:bCs/>
                <w:color w:val="auto"/>
                <w:kern w:val="0"/>
                <w:sz w:val="18"/>
                <w:szCs w:val="18"/>
                <w:highlight w:val="none"/>
                <w:lang w:bidi="ar"/>
              </w:rPr>
            </w:pPr>
            <w:r>
              <w:rPr>
                <w:rFonts w:hint="default" w:ascii="Times New Roman" w:hAnsi="Times New Roman" w:eastAsia="楷体" w:cs="Times New Roman"/>
                <w:b/>
                <w:bCs/>
                <w:color w:val="auto"/>
                <w:kern w:val="0"/>
                <w:sz w:val="18"/>
                <w:szCs w:val="18"/>
                <w:highlight w:val="none"/>
                <w:lang w:bidi="ar"/>
              </w:rPr>
              <w:t>附加分项</w:t>
            </w:r>
          </w:p>
        </w:tc>
        <w:tc>
          <w:tcPr>
            <w:tcW w:w="4564" w:type="pct"/>
            <w:gridSpan w:val="6"/>
            <w:shd w:val="clear" w:color="auto" w:fill="auto"/>
            <w:vAlign w:val="center"/>
          </w:tcPr>
          <w:p w14:paraId="3D36A056">
            <w:pPr>
              <w:rPr>
                <w:rFonts w:hint="default" w:ascii="Times New Roman" w:hAnsi="Times New Roman" w:eastAsia="楷体" w:cs="Times New Roman"/>
                <w:color w:val="auto"/>
                <w:kern w:val="0"/>
                <w:sz w:val="18"/>
                <w:szCs w:val="18"/>
                <w:highlight w:val="none"/>
                <w:lang w:bidi="ar"/>
              </w:rPr>
            </w:pPr>
            <w:r>
              <w:rPr>
                <w:rFonts w:hint="default" w:ascii="Times New Roman" w:hAnsi="Times New Roman" w:eastAsia="楷体" w:cs="Times New Roman"/>
                <w:color w:val="auto"/>
                <w:kern w:val="0"/>
                <w:sz w:val="18"/>
                <w:szCs w:val="18"/>
                <w:highlight w:val="none"/>
                <w:lang w:bidi="ar"/>
              </w:rPr>
              <w:t>因污水处理厂运维成绩突出，受市级及以上媒体专题表扬，每次加1分，如上述事项涉及在绿色低碳领域、技术改造和创新方面取得显著成效的，额外加1分，累计不得超过3分。</w:t>
            </w:r>
          </w:p>
        </w:tc>
      </w:tr>
    </w:tbl>
    <w:p w14:paraId="605000DC">
      <w:pPr>
        <w:rPr>
          <w:rFonts w:hint="default" w:ascii="Times New Roman" w:hAnsi="Times New Roman" w:eastAsia="楷体" w:cs="Times New Roman"/>
          <w:color w:val="auto"/>
          <w:sz w:val="28"/>
          <w:szCs w:val="28"/>
          <w:highlight w:val="none"/>
        </w:rPr>
      </w:pPr>
      <w:r>
        <w:rPr>
          <w:rFonts w:hint="default" w:ascii="Times New Roman" w:hAnsi="Times New Roman" w:eastAsia="楷体" w:cs="Times New Roman"/>
          <w:color w:val="auto"/>
          <w:sz w:val="28"/>
          <w:szCs w:val="28"/>
          <w:highlight w:val="none"/>
        </w:rPr>
        <w:br w:type="page"/>
      </w:r>
    </w:p>
    <w:p w14:paraId="1EBB175F">
      <w:pPr>
        <w:rPr>
          <w:rFonts w:hint="default" w:ascii="Times New Roman" w:hAnsi="Times New Roman" w:eastAsia="楷体" w:cs="Times New Roman"/>
          <w:color w:val="auto"/>
          <w:sz w:val="28"/>
          <w:szCs w:val="28"/>
          <w:highlight w:val="none"/>
        </w:rPr>
        <w:sectPr>
          <w:pgSz w:w="16838" w:h="11906" w:orient="landscape"/>
          <w:pgMar w:top="1800" w:right="1440" w:bottom="1800" w:left="1440" w:header="851" w:footer="992" w:gutter="0"/>
          <w:pgNumType w:fmt="decimal"/>
          <w:cols w:space="425" w:num="1"/>
          <w:docGrid w:type="lines" w:linePitch="312" w:charSpace="0"/>
        </w:sectPr>
      </w:pPr>
    </w:p>
    <w:p w14:paraId="4905DB8B">
      <w:pPr>
        <w:pStyle w:val="3"/>
        <w:keepNext/>
        <w:keepLines/>
        <w:spacing w:before="100" w:after="100" w:line="360" w:lineRule="auto"/>
        <w:ind w:firstLine="602" w:firstLineChars="200"/>
        <w:rPr>
          <w:rFonts w:hint="eastAsia" w:ascii="Times New Roman" w:hAnsi="Times New Roman" w:eastAsia="楷体" w:cs="Times New Roman"/>
          <w:color w:val="auto"/>
          <w:sz w:val="30"/>
          <w:szCs w:val="30"/>
          <w:highlight w:val="none"/>
          <w:lang w:val="en-US" w:eastAsia="zh-CN"/>
        </w:rPr>
      </w:pPr>
      <w:bookmarkStart w:id="662" w:name="_Toc1128"/>
      <w:bookmarkStart w:id="663" w:name="_Toc20574"/>
      <w:bookmarkStart w:id="664" w:name="_Toc25766"/>
      <w:bookmarkStart w:id="665" w:name="_Toc2108"/>
      <w:bookmarkStart w:id="666" w:name="_Toc10051"/>
      <w:r>
        <w:rPr>
          <w:rFonts w:hint="eastAsia" w:ascii="Times New Roman" w:hAnsi="Times New Roman" w:eastAsia="楷体" w:cs="Times New Roman"/>
          <w:color w:val="auto"/>
          <w:sz w:val="30"/>
          <w:szCs w:val="30"/>
          <w:highlight w:val="none"/>
          <w:lang w:val="en-US" w:eastAsia="zh-CN"/>
        </w:rPr>
        <w:t>附件2：资产清单</w:t>
      </w:r>
      <w:bookmarkEnd w:id="662"/>
      <w:bookmarkEnd w:id="663"/>
      <w:bookmarkEnd w:id="664"/>
      <w:bookmarkEnd w:id="665"/>
      <w:bookmarkEnd w:id="666"/>
    </w:p>
    <w:p w14:paraId="43B275E0">
      <w:pPr>
        <w:keepNext/>
        <w:keepLines/>
        <w:spacing w:before="100" w:after="100"/>
        <w:ind w:firstLine="602" w:firstLineChars="200"/>
        <w:outlineLvl w:val="9"/>
        <w:rPr>
          <w:rFonts w:hint="eastAsia" w:ascii="Times New Roman" w:hAnsi="Times New Roman" w:eastAsia="楷体" w:cs="Times New Roman"/>
          <w:b/>
          <w:bCs/>
          <w:color w:val="auto"/>
          <w:sz w:val="30"/>
          <w:szCs w:val="30"/>
          <w:highlight w:val="none"/>
          <w:lang w:val="en-US" w:eastAsia="zh-CN"/>
        </w:rPr>
      </w:pPr>
      <w:bookmarkStart w:id="667" w:name="_Toc29583"/>
      <w:r>
        <w:rPr>
          <w:rFonts w:hint="default" w:ascii="Times New Roman" w:hAnsi="Times New Roman" w:eastAsia="楷体" w:cs="Times New Roman"/>
          <w:b/>
          <w:bCs/>
          <w:color w:val="auto"/>
          <w:sz w:val="30"/>
          <w:szCs w:val="30"/>
          <w:highlight w:val="none"/>
          <w:lang w:val="en-US" w:eastAsia="zh-CN"/>
        </w:rPr>
        <w:t>（1）</w:t>
      </w:r>
      <w:r>
        <w:rPr>
          <w:rFonts w:hint="eastAsia" w:ascii="Times New Roman" w:hAnsi="Times New Roman" w:eastAsia="楷体" w:cs="Times New Roman"/>
          <w:b/>
          <w:bCs/>
          <w:color w:val="auto"/>
          <w:sz w:val="30"/>
          <w:szCs w:val="30"/>
          <w:highlight w:val="none"/>
          <w:lang w:val="en-US" w:eastAsia="zh-CN"/>
        </w:rPr>
        <w:t>建筑物</w:t>
      </w:r>
      <w:r>
        <w:rPr>
          <w:rFonts w:hint="default" w:ascii="Times New Roman" w:hAnsi="Times New Roman" w:eastAsia="楷体" w:cs="Times New Roman"/>
          <w:b/>
          <w:bCs/>
          <w:color w:val="auto"/>
          <w:sz w:val="30"/>
          <w:szCs w:val="30"/>
          <w:highlight w:val="none"/>
          <w:lang w:val="en-US" w:eastAsia="zh-CN"/>
        </w:rPr>
        <w:t>清单</w:t>
      </w:r>
      <w:bookmarkEnd w:id="667"/>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6"/>
        <w:gridCol w:w="3646"/>
        <w:gridCol w:w="2835"/>
        <w:gridCol w:w="2835"/>
        <w:gridCol w:w="2872"/>
      </w:tblGrid>
      <w:tr w14:paraId="5D0A3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5"/>
            <w:vAlign w:val="center"/>
          </w:tcPr>
          <w:p w14:paraId="29B6EEA4">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jc w:val="center"/>
              <w:textAlignment w:val="center"/>
              <w:rPr>
                <w:rFonts w:hint="default" w:ascii="Times New Roman" w:hAnsi="Times New Roman" w:eastAsia="楷体" w:cs="Times New Roman"/>
                <w:b/>
                <w:bCs/>
                <w:i w:val="0"/>
                <w:iCs w:val="0"/>
                <w:color w:val="auto"/>
                <w:kern w:val="0"/>
                <w:sz w:val="21"/>
                <w:szCs w:val="21"/>
                <w:highlight w:val="none"/>
                <w:u w:val="none"/>
                <w:lang w:val="en-US" w:eastAsia="zh-CN" w:bidi="ar"/>
              </w:rPr>
            </w:pPr>
            <w:r>
              <w:rPr>
                <w:rFonts w:hint="default" w:ascii="Times New Roman" w:hAnsi="Times New Roman" w:eastAsia="楷体" w:cs="Times New Roman"/>
                <w:b/>
                <w:bCs/>
                <w:i w:val="0"/>
                <w:iCs w:val="0"/>
                <w:color w:val="auto"/>
                <w:kern w:val="0"/>
                <w:sz w:val="21"/>
                <w:szCs w:val="21"/>
                <w:highlight w:val="none"/>
                <w:u w:val="none"/>
                <w:lang w:val="en-US" w:eastAsia="zh-CN" w:bidi="ar"/>
              </w:rPr>
              <w:t>厂外泵站</w:t>
            </w:r>
          </w:p>
        </w:tc>
      </w:tr>
      <w:tr w14:paraId="517BA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1" w:type="pct"/>
            <w:vAlign w:val="center"/>
          </w:tcPr>
          <w:p w14:paraId="3DA7ED93">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jc w:val="center"/>
              <w:textAlignment w:val="center"/>
              <w:rPr>
                <w:rFonts w:hint="default" w:ascii="Times New Roman" w:hAnsi="Times New Roman" w:eastAsia="楷体" w:cs="Times New Roman"/>
                <w:b/>
                <w:bCs/>
                <w:i w:val="0"/>
                <w:iCs w:val="0"/>
                <w:color w:val="auto"/>
                <w:kern w:val="0"/>
                <w:sz w:val="21"/>
                <w:szCs w:val="21"/>
                <w:highlight w:val="none"/>
                <w:u w:val="none"/>
                <w:lang w:val="en-US" w:eastAsia="zh-CN" w:bidi="ar"/>
              </w:rPr>
            </w:pPr>
            <w:r>
              <w:rPr>
                <w:rFonts w:hint="default" w:ascii="Times New Roman" w:hAnsi="Times New Roman" w:eastAsia="楷体" w:cs="Times New Roman"/>
                <w:b/>
                <w:bCs/>
                <w:i w:val="0"/>
                <w:iCs w:val="0"/>
                <w:color w:val="auto"/>
                <w:kern w:val="0"/>
                <w:sz w:val="21"/>
                <w:szCs w:val="21"/>
                <w:highlight w:val="none"/>
                <w:u w:val="none"/>
                <w:lang w:val="en-US" w:eastAsia="zh-CN" w:bidi="ar"/>
              </w:rPr>
              <w:t>序号</w:t>
            </w:r>
          </w:p>
        </w:tc>
        <w:tc>
          <w:tcPr>
            <w:tcW w:w="1286" w:type="pct"/>
            <w:vAlign w:val="center"/>
          </w:tcPr>
          <w:p w14:paraId="21169A83">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jc w:val="center"/>
              <w:textAlignment w:val="center"/>
              <w:rPr>
                <w:rFonts w:hint="default" w:ascii="Times New Roman" w:hAnsi="Times New Roman" w:eastAsia="楷体" w:cs="Times New Roman"/>
                <w:b/>
                <w:bCs/>
                <w:i w:val="0"/>
                <w:iCs w:val="0"/>
                <w:color w:val="auto"/>
                <w:kern w:val="0"/>
                <w:sz w:val="21"/>
                <w:szCs w:val="21"/>
                <w:highlight w:val="none"/>
                <w:u w:val="none"/>
                <w:lang w:val="en-US" w:eastAsia="zh-CN" w:bidi="ar"/>
              </w:rPr>
            </w:pPr>
            <w:r>
              <w:rPr>
                <w:rFonts w:hint="default" w:ascii="Times New Roman" w:hAnsi="Times New Roman" w:eastAsia="楷体" w:cs="Times New Roman"/>
                <w:b/>
                <w:bCs/>
                <w:i w:val="0"/>
                <w:iCs w:val="0"/>
                <w:color w:val="auto"/>
                <w:kern w:val="0"/>
                <w:sz w:val="21"/>
                <w:szCs w:val="21"/>
                <w:highlight w:val="none"/>
                <w:u w:val="none"/>
                <w:lang w:val="en-US" w:eastAsia="zh-CN" w:bidi="ar"/>
              </w:rPr>
              <w:t>名称</w:t>
            </w:r>
          </w:p>
        </w:tc>
        <w:tc>
          <w:tcPr>
            <w:tcW w:w="1000" w:type="pct"/>
            <w:vAlign w:val="center"/>
          </w:tcPr>
          <w:p w14:paraId="20E7EB3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jc w:val="center"/>
              <w:textAlignment w:val="center"/>
              <w:rPr>
                <w:rFonts w:hint="default" w:ascii="Times New Roman" w:hAnsi="Times New Roman" w:eastAsia="楷体" w:cs="Times New Roman"/>
                <w:b/>
                <w:bCs/>
                <w:i w:val="0"/>
                <w:iCs w:val="0"/>
                <w:color w:val="auto"/>
                <w:kern w:val="0"/>
                <w:sz w:val="21"/>
                <w:szCs w:val="21"/>
                <w:highlight w:val="none"/>
                <w:u w:val="none"/>
                <w:lang w:val="en-US" w:eastAsia="zh-CN" w:bidi="ar"/>
              </w:rPr>
            </w:pPr>
            <w:r>
              <w:rPr>
                <w:rFonts w:hint="default" w:ascii="Times New Roman" w:hAnsi="Times New Roman" w:eastAsia="楷体" w:cs="Times New Roman"/>
                <w:b/>
                <w:bCs/>
                <w:i w:val="0"/>
                <w:iCs w:val="0"/>
                <w:color w:val="auto"/>
                <w:kern w:val="0"/>
                <w:sz w:val="21"/>
                <w:szCs w:val="21"/>
                <w:highlight w:val="none"/>
                <w:u w:val="none"/>
                <w:lang w:val="en-US" w:eastAsia="zh-CN" w:bidi="ar"/>
              </w:rPr>
              <w:t>数值</w:t>
            </w:r>
          </w:p>
        </w:tc>
        <w:tc>
          <w:tcPr>
            <w:tcW w:w="1000" w:type="pct"/>
            <w:vAlign w:val="center"/>
          </w:tcPr>
          <w:p w14:paraId="10A07A4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jc w:val="center"/>
              <w:textAlignment w:val="center"/>
              <w:rPr>
                <w:rFonts w:hint="default" w:ascii="Times New Roman" w:hAnsi="Times New Roman" w:eastAsia="楷体" w:cs="Times New Roman"/>
                <w:b/>
                <w:bCs/>
                <w:i w:val="0"/>
                <w:iCs w:val="0"/>
                <w:color w:val="auto"/>
                <w:kern w:val="0"/>
                <w:sz w:val="21"/>
                <w:szCs w:val="21"/>
                <w:highlight w:val="none"/>
                <w:u w:val="none"/>
                <w:lang w:val="en-US" w:eastAsia="zh-CN" w:bidi="ar"/>
              </w:rPr>
            </w:pPr>
            <w:r>
              <w:rPr>
                <w:rFonts w:hint="default" w:ascii="Times New Roman" w:hAnsi="Times New Roman" w:eastAsia="楷体" w:cs="Times New Roman"/>
                <w:b/>
                <w:bCs/>
                <w:i w:val="0"/>
                <w:iCs w:val="0"/>
                <w:color w:val="auto"/>
                <w:kern w:val="0"/>
                <w:sz w:val="21"/>
                <w:szCs w:val="21"/>
                <w:highlight w:val="none"/>
                <w:u w:val="none"/>
                <w:lang w:val="en-US" w:eastAsia="zh-CN" w:bidi="ar"/>
              </w:rPr>
              <w:t>单位</w:t>
            </w:r>
          </w:p>
        </w:tc>
        <w:tc>
          <w:tcPr>
            <w:tcW w:w="1012" w:type="pct"/>
            <w:vAlign w:val="center"/>
          </w:tcPr>
          <w:p w14:paraId="5FD4E49F">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jc w:val="center"/>
              <w:textAlignment w:val="center"/>
              <w:rPr>
                <w:rFonts w:hint="default" w:ascii="Times New Roman" w:hAnsi="Times New Roman" w:eastAsia="楷体" w:cs="Times New Roman"/>
                <w:b/>
                <w:bCs/>
                <w:i w:val="0"/>
                <w:iCs w:val="0"/>
                <w:color w:val="auto"/>
                <w:kern w:val="0"/>
                <w:sz w:val="21"/>
                <w:szCs w:val="21"/>
                <w:highlight w:val="none"/>
                <w:u w:val="none"/>
                <w:lang w:val="en-US" w:eastAsia="zh-CN" w:bidi="ar"/>
              </w:rPr>
            </w:pPr>
            <w:r>
              <w:rPr>
                <w:rFonts w:hint="default" w:ascii="Times New Roman" w:hAnsi="Times New Roman" w:eastAsia="楷体" w:cs="Times New Roman"/>
                <w:b/>
                <w:bCs/>
                <w:i w:val="0"/>
                <w:iCs w:val="0"/>
                <w:color w:val="auto"/>
                <w:kern w:val="0"/>
                <w:sz w:val="21"/>
                <w:szCs w:val="21"/>
                <w:highlight w:val="none"/>
                <w:u w:val="none"/>
                <w:lang w:val="en-US" w:eastAsia="zh-CN" w:bidi="ar"/>
              </w:rPr>
              <w:t>备注</w:t>
            </w:r>
          </w:p>
        </w:tc>
      </w:tr>
      <w:tr w14:paraId="4535B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1" w:type="pct"/>
            <w:vAlign w:val="center"/>
          </w:tcPr>
          <w:p w14:paraId="1E5879EA">
            <w:pPr>
              <w:keepNext w:val="0"/>
              <w:keepLines w:val="0"/>
              <w:pageBreakBefore w:val="0"/>
              <w:kinsoku/>
              <w:wordWrap/>
              <w:overflowPunct/>
              <w:topLinePunct w:val="0"/>
              <w:autoSpaceDE/>
              <w:autoSpaceDN/>
              <w:bidi w:val="0"/>
              <w:adjustRightInd/>
              <w:snapToGrid/>
              <w:spacing w:beforeAutospacing="0" w:afterAutospacing="0" w:line="240" w:lineRule="auto"/>
              <w:ind w:left="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z w:val="21"/>
                <w:szCs w:val="21"/>
                <w:highlight w:val="none"/>
                <w:vertAlign w:val="baseline"/>
                <w:lang w:val="en-US" w:eastAsia="zh-CN"/>
              </w:rPr>
              <w:t>1</w:t>
            </w:r>
          </w:p>
        </w:tc>
        <w:tc>
          <w:tcPr>
            <w:tcW w:w="1286" w:type="pct"/>
            <w:vAlign w:val="center"/>
          </w:tcPr>
          <w:p w14:paraId="7811EA0B">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firstLine="0"/>
              <w:jc w:val="center"/>
              <w:textAlignment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0"/>
                <w:position w:val="0"/>
                <w:sz w:val="21"/>
                <w:szCs w:val="21"/>
                <w:highlight w:val="none"/>
              </w:rPr>
              <w:t>用地面积</w:t>
            </w:r>
          </w:p>
        </w:tc>
        <w:tc>
          <w:tcPr>
            <w:tcW w:w="1000" w:type="pct"/>
            <w:vAlign w:val="center"/>
          </w:tcPr>
          <w:p w14:paraId="0F4D53CA">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firstLine="0"/>
              <w:jc w:val="center"/>
              <w:textAlignment w:val="center"/>
              <w:rPr>
                <w:rFonts w:hint="eastAsia"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0"/>
                <w:position w:val="0"/>
                <w:sz w:val="21"/>
                <w:szCs w:val="21"/>
                <w:highlight w:val="none"/>
              </w:rPr>
              <w:t>145</w:t>
            </w:r>
            <w:r>
              <w:rPr>
                <w:rFonts w:hint="eastAsia" w:ascii="Times New Roman" w:hAnsi="Times New Roman" w:eastAsia="楷体" w:cs="Times New Roman"/>
                <w:b w:val="0"/>
                <w:bCs w:val="0"/>
                <w:color w:val="auto"/>
                <w:spacing w:val="0"/>
                <w:position w:val="0"/>
                <w:sz w:val="21"/>
                <w:szCs w:val="21"/>
                <w:highlight w:val="none"/>
                <w:lang w:val="en-US" w:eastAsia="zh-CN"/>
              </w:rPr>
              <w:t>2</w:t>
            </w:r>
          </w:p>
        </w:tc>
        <w:tc>
          <w:tcPr>
            <w:tcW w:w="1000" w:type="pct"/>
            <w:vAlign w:val="center"/>
          </w:tcPr>
          <w:p w14:paraId="2BB0A24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firstLine="0"/>
              <w:jc w:val="center"/>
              <w:textAlignment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10"/>
                <w:w w:val="97"/>
                <w:position w:val="2"/>
                <w:sz w:val="24"/>
                <w:szCs w:val="24"/>
                <w:highlight w:val="none"/>
              </w:rPr>
              <w:t>m</w:t>
            </w:r>
            <w:r>
              <w:rPr>
                <w:rFonts w:hint="default" w:ascii="Times New Roman" w:hAnsi="Times New Roman" w:eastAsia="楷体" w:cs="Times New Roman"/>
                <w:b w:val="0"/>
                <w:bCs w:val="0"/>
                <w:color w:val="auto"/>
                <w:spacing w:val="4"/>
                <w:position w:val="9"/>
                <w:sz w:val="16"/>
                <w:szCs w:val="16"/>
                <w:highlight w:val="none"/>
              </w:rPr>
              <w:t>2</w:t>
            </w:r>
          </w:p>
        </w:tc>
        <w:tc>
          <w:tcPr>
            <w:tcW w:w="1012" w:type="pct"/>
            <w:vAlign w:val="center"/>
          </w:tcPr>
          <w:p w14:paraId="388C5DA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jc w:val="center"/>
              <w:rPr>
                <w:rFonts w:hint="default" w:ascii="Times New Roman" w:hAnsi="Times New Roman" w:eastAsia="楷体" w:cs="Times New Roman"/>
                <w:color w:val="auto"/>
                <w:sz w:val="21"/>
                <w:szCs w:val="21"/>
                <w:highlight w:val="none"/>
                <w:vertAlign w:val="baseline"/>
                <w:lang w:val="en-US" w:eastAsia="zh-CN"/>
              </w:rPr>
            </w:pPr>
          </w:p>
        </w:tc>
      </w:tr>
      <w:tr w14:paraId="219D2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1" w:type="pct"/>
            <w:vAlign w:val="center"/>
          </w:tcPr>
          <w:p w14:paraId="410E81F1">
            <w:pPr>
              <w:pStyle w:val="239"/>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position w:val="4"/>
                <w:sz w:val="21"/>
                <w:szCs w:val="21"/>
                <w:highlight w:val="none"/>
              </w:rPr>
              <w:t>2</w:t>
            </w:r>
          </w:p>
        </w:tc>
        <w:tc>
          <w:tcPr>
            <w:tcW w:w="1286" w:type="pct"/>
            <w:vAlign w:val="center"/>
          </w:tcPr>
          <w:p w14:paraId="36FCC4F4">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4"/>
                <w:sz w:val="21"/>
                <w:szCs w:val="21"/>
                <w:highlight w:val="none"/>
              </w:rPr>
              <w:t>建构筑物总占地面积</w:t>
            </w:r>
          </w:p>
        </w:tc>
        <w:tc>
          <w:tcPr>
            <w:tcW w:w="1000" w:type="pct"/>
            <w:vAlign w:val="center"/>
          </w:tcPr>
          <w:p w14:paraId="6DB40470">
            <w:pPr>
              <w:pStyle w:val="239"/>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11"/>
                <w:sz w:val="21"/>
                <w:szCs w:val="21"/>
                <w:highlight w:val="none"/>
              </w:rPr>
              <w:t>698.4</w:t>
            </w:r>
          </w:p>
        </w:tc>
        <w:tc>
          <w:tcPr>
            <w:tcW w:w="1000" w:type="pct"/>
            <w:vAlign w:val="center"/>
          </w:tcPr>
          <w:p w14:paraId="33D64EF7">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10"/>
                <w:w w:val="97"/>
                <w:position w:val="2"/>
                <w:sz w:val="24"/>
                <w:szCs w:val="24"/>
                <w:highlight w:val="none"/>
              </w:rPr>
              <w:t>m</w:t>
            </w:r>
            <w:r>
              <w:rPr>
                <w:rFonts w:hint="default" w:ascii="Times New Roman" w:hAnsi="Times New Roman" w:eastAsia="楷体" w:cs="Times New Roman"/>
                <w:b w:val="0"/>
                <w:bCs w:val="0"/>
                <w:color w:val="auto"/>
                <w:spacing w:val="4"/>
                <w:position w:val="9"/>
                <w:sz w:val="16"/>
                <w:szCs w:val="16"/>
                <w:highlight w:val="none"/>
              </w:rPr>
              <w:t>2</w:t>
            </w:r>
          </w:p>
        </w:tc>
        <w:tc>
          <w:tcPr>
            <w:tcW w:w="1012" w:type="pct"/>
            <w:vAlign w:val="center"/>
          </w:tcPr>
          <w:p w14:paraId="2AF1EDF0">
            <w:pPr>
              <w:keepNext w:val="0"/>
              <w:keepLines w:val="0"/>
              <w:pageBreakBefore w:val="0"/>
              <w:kinsoku/>
              <w:wordWrap/>
              <w:overflowPunct/>
              <w:topLinePunct w:val="0"/>
              <w:autoSpaceDE/>
              <w:autoSpaceDN/>
              <w:bidi w:val="0"/>
              <w:adjustRightInd/>
              <w:snapToGrid/>
              <w:spacing w:beforeAutospacing="0" w:afterAutospacing="0" w:line="240" w:lineRule="auto"/>
              <w:ind w:left="0"/>
              <w:jc w:val="center"/>
              <w:rPr>
                <w:rFonts w:hint="default" w:ascii="Times New Roman" w:hAnsi="Times New Roman" w:eastAsia="楷体" w:cs="Times New Roman"/>
                <w:color w:val="auto"/>
                <w:sz w:val="21"/>
                <w:szCs w:val="21"/>
                <w:highlight w:val="none"/>
                <w:vertAlign w:val="baseline"/>
                <w:lang w:val="en-US" w:eastAsia="zh-CN"/>
              </w:rPr>
            </w:pPr>
          </w:p>
        </w:tc>
      </w:tr>
      <w:tr w14:paraId="2150B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1" w:type="pct"/>
            <w:vAlign w:val="center"/>
          </w:tcPr>
          <w:p w14:paraId="18A6E608">
            <w:pPr>
              <w:pStyle w:val="239"/>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z w:val="21"/>
                <w:szCs w:val="21"/>
                <w:highlight w:val="none"/>
              </w:rPr>
              <w:t>3</w:t>
            </w:r>
          </w:p>
        </w:tc>
        <w:tc>
          <w:tcPr>
            <w:tcW w:w="1286" w:type="pct"/>
            <w:vAlign w:val="center"/>
          </w:tcPr>
          <w:p w14:paraId="3105432A">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6"/>
                <w:sz w:val="21"/>
                <w:szCs w:val="21"/>
                <w:highlight w:val="none"/>
              </w:rPr>
              <w:t>建筑面积</w:t>
            </w:r>
          </w:p>
        </w:tc>
        <w:tc>
          <w:tcPr>
            <w:tcW w:w="1000" w:type="pct"/>
            <w:vAlign w:val="center"/>
          </w:tcPr>
          <w:p w14:paraId="1FFF8046">
            <w:pPr>
              <w:pStyle w:val="239"/>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6"/>
                <w:sz w:val="21"/>
                <w:szCs w:val="21"/>
                <w:highlight w:val="none"/>
              </w:rPr>
              <w:t>533.18</w:t>
            </w:r>
          </w:p>
        </w:tc>
        <w:tc>
          <w:tcPr>
            <w:tcW w:w="1000" w:type="pct"/>
            <w:vAlign w:val="center"/>
          </w:tcPr>
          <w:p w14:paraId="691F27A1">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10"/>
                <w:w w:val="97"/>
                <w:position w:val="2"/>
                <w:sz w:val="24"/>
                <w:szCs w:val="24"/>
                <w:highlight w:val="none"/>
              </w:rPr>
              <w:t>m</w:t>
            </w:r>
            <w:r>
              <w:rPr>
                <w:rFonts w:hint="default" w:ascii="Times New Roman" w:hAnsi="Times New Roman" w:eastAsia="楷体" w:cs="Times New Roman"/>
                <w:b w:val="0"/>
                <w:bCs w:val="0"/>
                <w:color w:val="auto"/>
                <w:spacing w:val="4"/>
                <w:position w:val="9"/>
                <w:sz w:val="16"/>
                <w:szCs w:val="16"/>
                <w:highlight w:val="none"/>
              </w:rPr>
              <w:t>2</w:t>
            </w:r>
          </w:p>
        </w:tc>
        <w:tc>
          <w:tcPr>
            <w:tcW w:w="1012" w:type="pct"/>
            <w:vAlign w:val="center"/>
          </w:tcPr>
          <w:p w14:paraId="5313048F">
            <w:pPr>
              <w:keepNext w:val="0"/>
              <w:keepLines w:val="0"/>
              <w:pageBreakBefore w:val="0"/>
              <w:kinsoku/>
              <w:wordWrap/>
              <w:overflowPunct/>
              <w:topLinePunct w:val="0"/>
              <w:autoSpaceDE/>
              <w:autoSpaceDN/>
              <w:bidi w:val="0"/>
              <w:adjustRightInd/>
              <w:snapToGrid/>
              <w:spacing w:beforeAutospacing="0" w:afterAutospacing="0" w:line="240" w:lineRule="auto"/>
              <w:ind w:left="0"/>
              <w:jc w:val="center"/>
              <w:rPr>
                <w:rFonts w:hint="default" w:ascii="Times New Roman" w:hAnsi="Times New Roman" w:eastAsia="楷体" w:cs="Times New Roman"/>
                <w:color w:val="auto"/>
                <w:sz w:val="21"/>
                <w:szCs w:val="21"/>
                <w:highlight w:val="none"/>
                <w:vertAlign w:val="baseline"/>
                <w:lang w:val="en-US" w:eastAsia="zh-CN"/>
              </w:rPr>
            </w:pPr>
          </w:p>
        </w:tc>
      </w:tr>
      <w:tr w14:paraId="1B25F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1" w:type="pct"/>
            <w:vAlign w:val="center"/>
          </w:tcPr>
          <w:p w14:paraId="1497E5F8">
            <w:pPr>
              <w:pStyle w:val="239"/>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z w:val="21"/>
                <w:szCs w:val="21"/>
                <w:highlight w:val="none"/>
              </w:rPr>
              <w:t>4</w:t>
            </w:r>
          </w:p>
        </w:tc>
        <w:tc>
          <w:tcPr>
            <w:tcW w:w="1286" w:type="pct"/>
            <w:vAlign w:val="center"/>
          </w:tcPr>
          <w:p w14:paraId="4711B5B7">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4"/>
                <w:sz w:val="21"/>
                <w:szCs w:val="21"/>
                <w:highlight w:val="none"/>
              </w:rPr>
              <w:t>道路用地面积</w:t>
            </w:r>
          </w:p>
        </w:tc>
        <w:tc>
          <w:tcPr>
            <w:tcW w:w="1000" w:type="pct"/>
            <w:vAlign w:val="center"/>
          </w:tcPr>
          <w:p w14:paraId="1B978BF1">
            <w:pPr>
              <w:pStyle w:val="239"/>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2"/>
                <w:sz w:val="21"/>
                <w:szCs w:val="21"/>
                <w:highlight w:val="none"/>
              </w:rPr>
              <w:t>428</w:t>
            </w:r>
          </w:p>
        </w:tc>
        <w:tc>
          <w:tcPr>
            <w:tcW w:w="1000" w:type="pct"/>
            <w:vAlign w:val="center"/>
          </w:tcPr>
          <w:p w14:paraId="55F3A1CA">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10"/>
                <w:w w:val="97"/>
                <w:position w:val="2"/>
                <w:sz w:val="24"/>
                <w:szCs w:val="24"/>
                <w:highlight w:val="none"/>
              </w:rPr>
              <w:t>m</w:t>
            </w:r>
            <w:r>
              <w:rPr>
                <w:rFonts w:hint="default" w:ascii="Times New Roman" w:hAnsi="Times New Roman" w:eastAsia="楷体" w:cs="Times New Roman"/>
                <w:b w:val="0"/>
                <w:bCs w:val="0"/>
                <w:color w:val="auto"/>
                <w:spacing w:val="4"/>
                <w:position w:val="9"/>
                <w:sz w:val="16"/>
                <w:szCs w:val="16"/>
                <w:highlight w:val="none"/>
              </w:rPr>
              <w:t>2</w:t>
            </w:r>
          </w:p>
        </w:tc>
        <w:tc>
          <w:tcPr>
            <w:tcW w:w="1012" w:type="pct"/>
            <w:vAlign w:val="center"/>
          </w:tcPr>
          <w:p w14:paraId="00786538">
            <w:pPr>
              <w:keepNext w:val="0"/>
              <w:keepLines w:val="0"/>
              <w:pageBreakBefore w:val="0"/>
              <w:kinsoku/>
              <w:wordWrap/>
              <w:overflowPunct/>
              <w:topLinePunct w:val="0"/>
              <w:autoSpaceDE/>
              <w:autoSpaceDN/>
              <w:bidi w:val="0"/>
              <w:adjustRightInd/>
              <w:snapToGrid/>
              <w:spacing w:beforeAutospacing="0" w:afterAutospacing="0" w:line="240" w:lineRule="auto"/>
              <w:ind w:left="0"/>
              <w:jc w:val="center"/>
              <w:rPr>
                <w:rFonts w:hint="default" w:ascii="Times New Roman" w:hAnsi="Times New Roman" w:eastAsia="楷体" w:cs="Times New Roman"/>
                <w:color w:val="auto"/>
                <w:sz w:val="21"/>
                <w:szCs w:val="21"/>
                <w:highlight w:val="none"/>
                <w:vertAlign w:val="baseline"/>
                <w:lang w:val="en-US" w:eastAsia="zh-CN"/>
              </w:rPr>
            </w:pPr>
          </w:p>
        </w:tc>
      </w:tr>
      <w:tr w14:paraId="6FCAA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1" w:type="pct"/>
            <w:vAlign w:val="center"/>
          </w:tcPr>
          <w:p w14:paraId="2B04AF74">
            <w:pPr>
              <w:pStyle w:val="239"/>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z w:val="21"/>
                <w:szCs w:val="21"/>
                <w:highlight w:val="none"/>
              </w:rPr>
              <w:t>5</w:t>
            </w:r>
          </w:p>
        </w:tc>
        <w:tc>
          <w:tcPr>
            <w:tcW w:w="1286" w:type="pct"/>
            <w:vAlign w:val="center"/>
          </w:tcPr>
          <w:p w14:paraId="26732A22">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5"/>
                <w:sz w:val="21"/>
                <w:szCs w:val="21"/>
                <w:highlight w:val="none"/>
              </w:rPr>
              <w:t>绿化用地面积</w:t>
            </w:r>
          </w:p>
        </w:tc>
        <w:tc>
          <w:tcPr>
            <w:tcW w:w="1000" w:type="pct"/>
            <w:vAlign w:val="center"/>
          </w:tcPr>
          <w:p w14:paraId="0FEE06A8">
            <w:pPr>
              <w:pStyle w:val="239"/>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z w:val="21"/>
                <w:szCs w:val="21"/>
                <w:highlight w:val="none"/>
              </w:rPr>
              <w:t>325.4</w:t>
            </w:r>
          </w:p>
        </w:tc>
        <w:tc>
          <w:tcPr>
            <w:tcW w:w="1000" w:type="pct"/>
            <w:vAlign w:val="center"/>
          </w:tcPr>
          <w:p w14:paraId="50689E93">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10"/>
                <w:w w:val="97"/>
                <w:position w:val="2"/>
                <w:sz w:val="24"/>
                <w:szCs w:val="24"/>
                <w:highlight w:val="none"/>
              </w:rPr>
              <w:t>m</w:t>
            </w:r>
            <w:r>
              <w:rPr>
                <w:rFonts w:hint="default" w:ascii="Times New Roman" w:hAnsi="Times New Roman" w:eastAsia="楷体" w:cs="Times New Roman"/>
                <w:b w:val="0"/>
                <w:bCs w:val="0"/>
                <w:color w:val="auto"/>
                <w:spacing w:val="4"/>
                <w:position w:val="9"/>
                <w:sz w:val="16"/>
                <w:szCs w:val="16"/>
                <w:highlight w:val="none"/>
              </w:rPr>
              <w:t>2</w:t>
            </w:r>
          </w:p>
        </w:tc>
        <w:tc>
          <w:tcPr>
            <w:tcW w:w="1012" w:type="pct"/>
            <w:vAlign w:val="center"/>
          </w:tcPr>
          <w:p w14:paraId="14C3BFEC">
            <w:pPr>
              <w:keepNext w:val="0"/>
              <w:keepLines w:val="0"/>
              <w:pageBreakBefore w:val="0"/>
              <w:kinsoku/>
              <w:wordWrap/>
              <w:overflowPunct/>
              <w:topLinePunct w:val="0"/>
              <w:autoSpaceDE/>
              <w:autoSpaceDN/>
              <w:bidi w:val="0"/>
              <w:adjustRightInd/>
              <w:snapToGrid/>
              <w:spacing w:beforeAutospacing="0" w:afterAutospacing="0" w:line="240" w:lineRule="auto"/>
              <w:ind w:left="0"/>
              <w:jc w:val="center"/>
              <w:rPr>
                <w:rFonts w:hint="default" w:ascii="Times New Roman" w:hAnsi="Times New Roman" w:eastAsia="楷体" w:cs="Times New Roman"/>
                <w:color w:val="auto"/>
                <w:sz w:val="21"/>
                <w:szCs w:val="21"/>
                <w:highlight w:val="none"/>
                <w:vertAlign w:val="baseline"/>
                <w:lang w:val="en-US" w:eastAsia="zh-CN"/>
              </w:rPr>
            </w:pPr>
          </w:p>
        </w:tc>
      </w:tr>
      <w:tr w14:paraId="67F7A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1" w:type="pct"/>
            <w:vAlign w:val="center"/>
          </w:tcPr>
          <w:p w14:paraId="42F29A21">
            <w:pPr>
              <w:pStyle w:val="239"/>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eastAsia" w:ascii="Times New Roman" w:hAnsi="Times New Roman" w:eastAsia="楷体" w:cs="Times New Roman"/>
                <w:b w:val="0"/>
                <w:bCs w:val="0"/>
                <w:color w:val="auto"/>
                <w:sz w:val="21"/>
                <w:szCs w:val="21"/>
                <w:highlight w:val="none"/>
                <w:vertAlign w:val="baseline"/>
                <w:lang w:val="en-US" w:eastAsia="zh-CN"/>
              </w:rPr>
            </w:pPr>
            <w:r>
              <w:rPr>
                <w:rFonts w:hint="eastAsia" w:ascii="Times New Roman" w:hAnsi="Times New Roman" w:eastAsia="楷体" w:cs="Times New Roman"/>
                <w:b w:val="0"/>
                <w:bCs w:val="0"/>
                <w:color w:val="auto"/>
                <w:sz w:val="21"/>
                <w:szCs w:val="21"/>
                <w:highlight w:val="none"/>
                <w:lang w:val="en-US" w:eastAsia="zh-CN"/>
              </w:rPr>
              <w:t>6</w:t>
            </w:r>
          </w:p>
        </w:tc>
        <w:tc>
          <w:tcPr>
            <w:tcW w:w="1286" w:type="pct"/>
            <w:vAlign w:val="center"/>
          </w:tcPr>
          <w:p w14:paraId="0313DBFD">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13"/>
                <w:sz w:val="21"/>
                <w:szCs w:val="21"/>
                <w:highlight w:val="none"/>
              </w:rPr>
              <w:t>围墙长</w:t>
            </w:r>
          </w:p>
        </w:tc>
        <w:tc>
          <w:tcPr>
            <w:tcW w:w="1000" w:type="pct"/>
            <w:vAlign w:val="center"/>
          </w:tcPr>
          <w:p w14:paraId="748B3E10">
            <w:pPr>
              <w:pStyle w:val="239"/>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4"/>
                <w:sz w:val="21"/>
                <w:szCs w:val="21"/>
                <w:highlight w:val="none"/>
              </w:rPr>
              <w:t>159</w:t>
            </w:r>
          </w:p>
        </w:tc>
        <w:tc>
          <w:tcPr>
            <w:tcW w:w="1000" w:type="pct"/>
            <w:vAlign w:val="center"/>
          </w:tcPr>
          <w:p w14:paraId="7D9F584A">
            <w:pPr>
              <w:pStyle w:val="239"/>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position w:val="-3"/>
                <w:sz w:val="21"/>
                <w:szCs w:val="21"/>
                <w:highlight w:val="none"/>
              </w:rPr>
              <w:t>m</w:t>
            </w:r>
          </w:p>
        </w:tc>
        <w:tc>
          <w:tcPr>
            <w:tcW w:w="1012" w:type="pct"/>
            <w:vAlign w:val="center"/>
          </w:tcPr>
          <w:p w14:paraId="25AF308B">
            <w:pPr>
              <w:keepNext w:val="0"/>
              <w:keepLines w:val="0"/>
              <w:pageBreakBefore w:val="0"/>
              <w:kinsoku/>
              <w:wordWrap/>
              <w:overflowPunct/>
              <w:topLinePunct w:val="0"/>
              <w:autoSpaceDE/>
              <w:autoSpaceDN/>
              <w:bidi w:val="0"/>
              <w:adjustRightInd/>
              <w:snapToGrid/>
              <w:spacing w:beforeAutospacing="0" w:afterAutospacing="0" w:line="240" w:lineRule="auto"/>
              <w:ind w:left="0"/>
              <w:jc w:val="center"/>
              <w:rPr>
                <w:rFonts w:hint="default" w:ascii="Times New Roman" w:hAnsi="Times New Roman" w:eastAsia="楷体" w:cs="Times New Roman"/>
                <w:color w:val="auto"/>
                <w:sz w:val="21"/>
                <w:szCs w:val="21"/>
                <w:highlight w:val="none"/>
                <w:vertAlign w:val="baseline"/>
                <w:lang w:val="en-US" w:eastAsia="zh-CN"/>
              </w:rPr>
            </w:pPr>
          </w:p>
        </w:tc>
      </w:tr>
      <w:tr w14:paraId="4435B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1" w:type="pct"/>
            <w:vAlign w:val="center"/>
          </w:tcPr>
          <w:p w14:paraId="29890740">
            <w:pPr>
              <w:pStyle w:val="239"/>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eastAsia" w:ascii="Times New Roman" w:hAnsi="Times New Roman" w:eastAsia="楷体" w:cs="Times New Roman"/>
                <w:b w:val="0"/>
                <w:bCs w:val="0"/>
                <w:color w:val="auto"/>
                <w:sz w:val="21"/>
                <w:szCs w:val="21"/>
                <w:highlight w:val="none"/>
                <w:vertAlign w:val="baseline"/>
                <w:lang w:val="en-US" w:eastAsia="zh-CN"/>
              </w:rPr>
            </w:pPr>
            <w:r>
              <w:rPr>
                <w:rFonts w:hint="eastAsia" w:ascii="Times New Roman" w:hAnsi="Times New Roman" w:eastAsia="楷体" w:cs="Times New Roman"/>
                <w:b w:val="0"/>
                <w:bCs w:val="0"/>
                <w:color w:val="auto"/>
                <w:spacing w:val="18"/>
                <w:position w:val="4"/>
                <w:sz w:val="21"/>
                <w:szCs w:val="21"/>
                <w:highlight w:val="none"/>
                <w:lang w:val="en-US" w:eastAsia="zh-CN"/>
              </w:rPr>
              <w:t>7</w:t>
            </w:r>
          </w:p>
        </w:tc>
        <w:tc>
          <w:tcPr>
            <w:tcW w:w="1286" w:type="pct"/>
            <w:vAlign w:val="center"/>
          </w:tcPr>
          <w:p w14:paraId="7D7A2027">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6"/>
                <w:sz w:val="21"/>
                <w:szCs w:val="21"/>
                <w:highlight w:val="none"/>
              </w:rPr>
              <w:t>泵站大门</w:t>
            </w:r>
          </w:p>
        </w:tc>
        <w:tc>
          <w:tcPr>
            <w:tcW w:w="1000" w:type="pct"/>
            <w:vAlign w:val="center"/>
          </w:tcPr>
          <w:p w14:paraId="65D6B525">
            <w:pPr>
              <w:pStyle w:val="239"/>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4"/>
                <w:position w:val="4"/>
                <w:sz w:val="21"/>
                <w:szCs w:val="21"/>
                <w:highlight w:val="none"/>
              </w:rPr>
              <w:t>1</w:t>
            </w:r>
          </w:p>
        </w:tc>
        <w:tc>
          <w:tcPr>
            <w:tcW w:w="1000" w:type="pct"/>
            <w:vAlign w:val="center"/>
          </w:tcPr>
          <w:p w14:paraId="5455AD9E">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3"/>
                <w:sz w:val="21"/>
                <w:szCs w:val="21"/>
                <w:highlight w:val="none"/>
              </w:rPr>
              <w:t>座</w:t>
            </w:r>
          </w:p>
        </w:tc>
        <w:tc>
          <w:tcPr>
            <w:tcW w:w="1012" w:type="pct"/>
            <w:vAlign w:val="center"/>
          </w:tcPr>
          <w:p w14:paraId="3A636340">
            <w:pPr>
              <w:keepNext w:val="0"/>
              <w:keepLines w:val="0"/>
              <w:pageBreakBefore w:val="0"/>
              <w:kinsoku/>
              <w:wordWrap/>
              <w:overflowPunct/>
              <w:topLinePunct w:val="0"/>
              <w:autoSpaceDE/>
              <w:autoSpaceDN/>
              <w:bidi w:val="0"/>
              <w:adjustRightInd/>
              <w:snapToGrid/>
              <w:spacing w:beforeAutospacing="0" w:afterAutospacing="0" w:line="240" w:lineRule="auto"/>
              <w:ind w:left="0"/>
              <w:jc w:val="center"/>
              <w:rPr>
                <w:rFonts w:hint="default" w:ascii="Times New Roman" w:hAnsi="Times New Roman" w:eastAsia="楷体" w:cs="Times New Roman"/>
                <w:color w:val="auto"/>
                <w:sz w:val="21"/>
                <w:szCs w:val="21"/>
                <w:highlight w:val="none"/>
                <w:vertAlign w:val="baseline"/>
                <w:lang w:val="en-US" w:eastAsia="zh-CN"/>
              </w:rPr>
            </w:pPr>
          </w:p>
        </w:tc>
      </w:tr>
      <w:tr w14:paraId="286F6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5"/>
            <w:vAlign w:val="center"/>
          </w:tcPr>
          <w:p w14:paraId="3B6221D0">
            <w:pPr>
              <w:keepNext w:val="0"/>
              <w:keepLines w:val="0"/>
              <w:pageBreakBefore w:val="0"/>
              <w:kinsoku/>
              <w:wordWrap/>
              <w:overflowPunct/>
              <w:topLinePunct w:val="0"/>
              <w:autoSpaceDE/>
              <w:autoSpaceDN/>
              <w:bidi w:val="0"/>
              <w:adjustRightInd/>
              <w:snapToGrid/>
              <w:spacing w:beforeAutospacing="0" w:afterAutospacing="0" w:line="240" w:lineRule="auto"/>
              <w:ind w:left="0"/>
              <w:jc w:val="center"/>
              <w:rPr>
                <w:rFonts w:hint="default" w:ascii="Times New Roman" w:hAnsi="Times New Roman" w:eastAsia="楷体" w:cs="Times New Roman"/>
                <w:color w:val="auto"/>
                <w:sz w:val="21"/>
                <w:szCs w:val="21"/>
                <w:highlight w:val="none"/>
                <w:vertAlign w:val="baseline"/>
                <w:lang w:val="en-US" w:eastAsia="zh-CN"/>
              </w:rPr>
            </w:pPr>
            <w:r>
              <w:rPr>
                <w:rFonts w:hint="default" w:ascii="Times New Roman" w:hAnsi="Times New Roman" w:eastAsia="楷体" w:cs="Times New Roman"/>
                <w:b/>
                <w:bCs/>
                <w:color w:val="auto"/>
                <w:spacing w:val="-3"/>
                <w:sz w:val="21"/>
                <w:szCs w:val="21"/>
                <w:highlight w:val="none"/>
              </w:rPr>
              <w:t>污水厂</w:t>
            </w:r>
          </w:p>
        </w:tc>
      </w:tr>
      <w:tr w14:paraId="672A0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1" w:type="pct"/>
            <w:shd w:val="clear" w:color="auto" w:fill="auto"/>
            <w:vAlign w:val="center"/>
          </w:tcPr>
          <w:p w14:paraId="5A27211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jc w:val="center"/>
              <w:textAlignment w:val="center"/>
              <w:rPr>
                <w:rFonts w:hint="default" w:ascii="Times New Roman" w:hAnsi="Times New Roman" w:eastAsia="楷体" w:cs="Times New Roman"/>
                <w:b/>
                <w:bCs/>
                <w:i w:val="0"/>
                <w:iCs w:val="0"/>
                <w:color w:val="auto"/>
                <w:kern w:val="0"/>
                <w:sz w:val="21"/>
                <w:szCs w:val="21"/>
                <w:highlight w:val="none"/>
                <w:u w:val="none"/>
                <w:lang w:val="en-US" w:eastAsia="zh-CN" w:bidi="ar"/>
              </w:rPr>
            </w:pPr>
            <w:r>
              <w:rPr>
                <w:rFonts w:hint="default" w:ascii="Times New Roman" w:hAnsi="Times New Roman" w:eastAsia="楷体" w:cs="Times New Roman"/>
                <w:b/>
                <w:bCs/>
                <w:i w:val="0"/>
                <w:iCs w:val="0"/>
                <w:color w:val="auto"/>
                <w:kern w:val="0"/>
                <w:sz w:val="21"/>
                <w:szCs w:val="21"/>
                <w:highlight w:val="none"/>
                <w:u w:val="none"/>
                <w:lang w:val="en-US" w:eastAsia="zh-CN" w:bidi="ar"/>
              </w:rPr>
              <w:t>序号</w:t>
            </w:r>
          </w:p>
        </w:tc>
        <w:tc>
          <w:tcPr>
            <w:tcW w:w="1286" w:type="pct"/>
            <w:shd w:val="clear" w:color="auto" w:fill="auto"/>
            <w:vAlign w:val="center"/>
          </w:tcPr>
          <w:p w14:paraId="3A0CB76D">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color w:val="auto"/>
                <w:kern w:val="2"/>
                <w:sz w:val="21"/>
                <w:szCs w:val="21"/>
                <w:highlight w:val="none"/>
                <w:vertAlign w:val="baseline"/>
                <w:lang w:val="en-US" w:eastAsia="zh-CN" w:bidi="ar-SA"/>
              </w:rPr>
            </w:pPr>
            <w:r>
              <w:rPr>
                <w:rFonts w:hint="default" w:ascii="Times New Roman" w:hAnsi="Times New Roman" w:eastAsia="楷体" w:cs="Times New Roman"/>
                <w:b/>
                <w:bCs/>
                <w:color w:val="auto"/>
                <w:spacing w:val="-7"/>
                <w:highlight w:val="none"/>
              </w:rPr>
              <w:t>名</w:t>
            </w:r>
            <w:r>
              <w:rPr>
                <w:rFonts w:hint="default" w:ascii="Times New Roman" w:hAnsi="Times New Roman" w:eastAsia="楷体" w:cs="Times New Roman"/>
                <w:b/>
                <w:bCs/>
                <w:color w:val="auto"/>
                <w:spacing w:val="57"/>
                <w:highlight w:val="none"/>
              </w:rPr>
              <w:t xml:space="preserve"> </w:t>
            </w:r>
            <w:r>
              <w:rPr>
                <w:rFonts w:hint="default" w:ascii="Times New Roman" w:hAnsi="Times New Roman" w:eastAsia="楷体" w:cs="Times New Roman"/>
                <w:b/>
                <w:bCs/>
                <w:color w:val="auto"/>
                <w:spacing w:val="-7"/>
                <w:highlight w:val="none"/>
              </w:rPr>
              <w:t>称</w:t>
            </w:r>
          </w:p>
        </w:tc>
        <w:tc>
          <w:tcPr>
            <w:tcW w:w="1000" w:type="pct"/>
            <w:shd w:val="clear" w:color="auto" w:fill="auto"/>
            <w:vAlign w:val="center"/>
          </w:tcPr>
          <w:p w14:paraId="4FD22462">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color w:val="auto"/>
                <w:kern w:val="2"/>
                <w:sz w:val="21"/>
                <w:szCs w:val="21"/>
                <w:highlight w:val="none"/>
                <w:vertAlign w:val="baseline"/>
                <w:lang w:val="en-US" w:eastAsia="zh-CN" w:bidi="ar-SA"/>
              </w:rPr>
            </w:pPr>
            <w:r>
              <w:rPr>
                <w:rFonts w:hint="default" w:ascii="Times New Roman" w:hAnsi="Times New Roman" w:eastAsia="楷体" w:cs="Times New Roman"/>
                <w:b/>
                <w:bCs/>
                <w:color w:val="auto"/>
                <w:spacing w:val="-4"/>
                <w:highlight w:val="none"/>
              </w:rPr>
              <w:t>建筑面积</w:t>
            </w:r>
          </w:p>
        </w:tc>
        <w:tc>
          <w:tcPr>
            <w:tcW w:w="1000" w:type="pct"/>
            <w:shd w:val="clear" w:color="auto" w:fill="auto"/>
            <w:vAlign w:val="center"/>
          </w:tcPr>
          <w:p w14:paraId="59BBB65D">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color w:val="auto"/>
                <w:kern w:val="2"/>
                <w:sz w:val="21"/>
                <w:szCs w:val="21"/>
                <w:highlight w:val="none"/>
                <w:vertAlign w:val="baseline"/>
                <w:lang w:val="en-US" w:eastAsia="zh-CN" w:bidi="ar-SA"/>
              </w:rPr>
            </w:pPr>
            <w:r>
              <w:rPr>
                <w:rFonts w:hint="default" w:ascii="Times New Roman" w:hAnsi="Times New Roman" w:eastAsia="楷体" w:cs="Times New Roman"/>
                <w:b/>
                <w:bCs/>
                <w:color w:val="auto"/>
                <w:spacing w:val="-4"/>
                <w:highlight w:val="none"/>
              </w:rPr>
              <w:t>建筑层数</w:t>
            </w:r>
          </w:p>
        </w:tc>
        <w:tc>
          <w:tcPr>
            <w:tcW w:w="1012" w:type="pct"/>
            <w:vAlign w:val="center"/>
          </w:tcPr>
          <w:p w14:paraId="203C0E55">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color w:val="auto"/>
                <w:sz w:val="21"/>
                <w:szCs w:val="21"/>
                <w:highlight w:val="none"/>
                <w:vertAlign w:val="baseline"/>
                <w:lang w:val="en-US" w:eastAsia="zh-CN"/>
              </w:rPr>
            </w:pPr>
            <w:r>
              <w:rPr>
                <w:rFonts w:hint="default" w:ascii="Times New Roman" w:hAnsi="Times New Roman" w:eastAsia="楷体" w:cs="Times New Roman"/>
                <w:b/>
                <w:bCs/>
                <w:color w:val="auto"/>
                <w:spacing w:val="-4"/>
                <w:highlight w:val="none"/>
              </w:rPr>
              <w:t>结构形式</w:t>
            </w:r>
          </w:p>
        </w:tc>
      </w:tr>
      <w:tr w14:paraId="45769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1" w:type="pct"/>
            <w:shd w:val="clear" w:color="auto" w:fill="auto"/>
            <w:vAlign w:val="center"/>
          </w:tcPr>
          <w:p w14:paraId="6F5750EA">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z w:val="21"/>
                <w:szCs w:val="21"/>
                <w:highlight w:val="none"/>
                <w:vertAlign w:val="baseline"/>
                <w:lang w:val="en-US" w:eastAsia="zh-CN"/>
              </w:rPr>
              <w:t>1</w:t>
            </w:r>
          </w:p>
        </w:tc>
        <w:tc>
          <w:tcPr>
            <w:tcW w:w="1286" w:type="pct"/>
            <w:shd w:val="clear" w:color="auto" w:fill="auto"/>
            <w:vAlign w:val="center"/>
          </w:tcPr>
          <w:p w14:paraId="5E89A1E4">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5"/>
                <w:highlight w:val="none"/>
              </w:rPr>
              <w:t>综合楼</w:t>
            </w:r>
          </w:p>
        </w:tc>
        <w:tc>
          <w:tcPr>
            <w:tcW w:w="1000" w:type="pct"/>
            <w:shd w:val="clear" w:color="auto" w:fill="auto"/>
            <w:vAlign w:val="center"/>
          </w:tcPr>
          <w:p w14:paraId="4EE966D5">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12"/>
                <w:w w:val="97"/>
                <w:position w:val="2"/>
                <w:sz w:val="24"/>
                <w:szCs w:val="24"/>
                <w:highlight w:val="none"/>
              </w:rPr>
              <w:t>1800m</w:t>
            </w:r>
            <w:r>
              <w:rPr>
                <w:rFonts w:hint="default" w:ascii="Times New Roman" w:hAnsi="Times New Roman" w:eastAsia="楷体" w:cs="Times New Roman"/>
                <w:b w:val="0"/>
                <w:bCs w:val="0"/>
                <w:color w:val="auto"/>
                <w:spacing w:val="4"/>
                <w:position w:val="9"/>
                <w:sz w:val="16"/>
                <w:szCs w:val="16"/>
                <w:highlight w:val="none"/>
              </w:rPr>
              <w:t>2</w:t>
            </w:r>
          </w:p>
        </w:tc>
        <w:tc>
          <w:tcPr>
            <w:tcW w:w="1000" w:type="pct"/>
            <w:shd w:val="clear" w:color="auto" w:fill="auto"/>
            <w:vAlign w:val="center"/>
          </w:tcPr>
          <w:p w14:paraId="075039E9">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5"/>
                <w:highlight w:val="none"/>
              </w:rPr>
              <w:t>三层</w:t>
            </w:r>
          </w:p>
        </w:tc>
        <w:tc>
          <w:tcPr>
            <w:tcW w:w="1012" w:type="pct"/>
            <w:vAlign w:val="center"/>
          </w:tcPr>
          <w:p w14:paraId="3CF293FE">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4"/>
                <w:w w:val="97"/>
                <w:highlight w:val="none"/>
              </w:rPr>
              <w:t>钢筋混凝土框架结构</w:t>
            </w:r>
          </w:p>
        </w:tc>
      </w:tr>
      <w:tr w14:paraId="42E1D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1" w:type="pct"/>
            <w:shd w:val="clear" w:color="auto" w:fill="auto"/>
            <w:vAlign w:val="center"/>
          </w:tcPr>
          <w:p w14:paraId="4F6ED53E">
            <w:pPr>
              <w:pStyle w:val="239"/>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position w:val="4"/>
                <w:sz w:val="21"/>
                <w:szCs w:val="21"/>
                <w:highlight w:val="none"/>
              </w:rPr>
              <w:t>2</w:t>
            </w:r>
          </w:p>
        </w:tc>
        <w:tc>
          <w:tcPr>
            <w:tcW w:w="1286" w:type="pct"/>
            <w:shd w:val="clear" w:color="auto" w:fill="auto"/>
            <w:vAlign w:val="center"/>
          </w:tcPr>
          <w:p w14:paraId="09C29317">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3"/>
                <w:highlight w:val="none"/>
              </w:rPr>
              <w:t>1#门卫</w:t>
            </w:r>
          </w:p>
        </w:tc>
        <w:tc>
          <w:tcPr>
            <w:tcW w:w="1000" w:type="pct"/>
            <w:shd w:val="clear" w:color="auto" w:fill="auto"/>
            <w:vAlign w:val="center"/>
          </w:tcPr>
          <w:p w14:paraId="1ADB77E8">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7"/>
                <w:w w:val="93"/>
                <w:position w:val="2"/>
                <w:sz w:val="24"/>
                <w:szCs w:val="24"/>
                <w:highlight w:val="none"/>
              </w:rPr>
              <w:t>26m</w:t>
            </w:r>
            <w:r>
              <w:rPr>
                <w:rFonts w:hint="default" w:ascii="Times New Roman" w:hAnsi="Times New Roman" w:eastAsia="楷体" w:cs="Times New Roman"/>
                <w:b w:val="0"/>
                <w:bCs w:val="0"/>
                <w:color w:val="auto"/>
                <w:spacing w:val="5"/>
                <w:position w:val="10"/>
                <w:sz w:val="16"/>
                <w:szCs w:val="16"/>
                <w:highlight w:val="none"/>
              </w:rPr>
              <w:t>2</w:t>
            </w:r>
          </w:p>
        </w:tc>
        <w:tc>
          <w:tcPr>
            <w:tcW w:w="1000" w:type="pct"/>
            <w:shd w:val="clear" w:color="auto" w:fill="auto"/>
            <w:vAlign w:val="center"/>
          </w:tcPr>
          <w:p w14:paraId="40EBE18C">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7"/>
                <w:highlight w:val="none"/>
              </w:rPr>
              <w:t>一层</w:t>
            </w:r>
          </w:p>
        </w:tc>
        <w:tc>
          <w:tcPr>
            <w:tcW w:w="1012" w:type="pct"/>
            <w:vAlign w:val="center"/>
          </w:tcPr>
          <w:p w14:paraId="234B20AA">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4"/>
                <w:w w:val="97"/>
                <w:highlight w:val="none"/>
              </w:rPr>
              <w:t>钢筋混凝土框架结构</w:t>
            </w:r>
          </w:p>
        </w:tc>
      </w:tr>
      <w:tr w14:paraId="27937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1" w:type="pct"/>
            <w:shd w:val="clear" w:color="auto" w:fill="auto"/>
            <w:vAlign w:val="center"/>
          </w:tcPr>
          <w:p w14:paraId="0921D1D1">
            <w:pPr>
              <w:pStyle w:val="239"/>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z w:val="21"/>
                <w:szCs w:val="21"/>
                <w:highlight w:val="none"/>
              </w:rPr>
              <w:t>3</w:t>
            </w:r>
          </w:p>
        </w:tc>
        <w:tc>
          <w:tcPr>
            <w:tcW w:w="1286" w:type="pct"/>
            <w:shd w:val="clear" w:color="auto" w:fill="auto"/>
            <w:vAlign w:val="center"/>
          </w:tcPr>
          <w:p w14:paraId="49E76A18">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4"/>
                <w:highlight w:val="none"/>
              </w:rPr>
              <w:t>2#门卫</w:t>
            </w:r>
          </w:p>
        </w:tc>
        <w:tc>
          <w:tcPr>
            <w:tcW w:w="1000" w:type="pct"/>
            <w:shd w:val="clear" w:color="auto" w:fill="auto"/>
            <w:vAlign w:val="center"/>
          </w:tcPr>
          <w:p w14:paraId="299623C3">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7"/>
                <w:w w:val="92"/>
                <w:position w:val="-1"/>
                <w:sz w:val="24"/>
                <w:szCs w:val="24"/>
                <w:highlight w:val="none"/>
              </w:rPr>
              <w:t>30m</w:t>
            </w:r>
            <w:r>
              <w:rPr>
                <w:rFonts w:hint="default" w:ascii="Times New Roman" w:hAnsi="Times New Roman" w:eastAsia="楷体" w:cs="Times New Roman"/>
                <w:b w:val="0"/>
                <w:bCs w:val="0"/>
                <w:color w:val="auto"/>
                <w:spacing w:val="5"/>
                <w:position w:val="7"/>
                <w:sz w:val="16"/>
                <w:szCs w:val="16"/>
                <w:highlight w:val="none"/>
              </w:rPr>
              <w:t>2</w:t>
            </w:r>
          </w:p>
        </w:tc>
        <w:tc>
          <w:tcPr>
            <w:tcW w:w="1000" w:type="pct"/>
            <w:shd w:val="clear" w:color="auto" w:fill="auto"/>
            <w:vAlign w:val="center"/>
          </w:tcPr>
          <w:p w14:paraId="3CED623D">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7"/>
                <w:highlight w:val="none"/>
              </w:rPr>
              <w:t>一层</w:t>
            </w:r>
          </w:p>
        </w:tc>
        <w:tc>
          <w:tcPr>
            <w:tcW w:w="1012" w:type="pct"/>
            <w:vAlign w:val="center"/>
          </w:tcPr>
          <w:p w14:paraId="7D2F2704">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4"/>
                <w:w w:val="97"/>
                <w:highlight w:val="none"/>
              </w:rPr>
              <w:t>钢筋混凝土框架结构</w:t>
            </w:r>
          </w:p>
        </w:tc>
      </w:tr>
      <w:tr w14:paraId="7A027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1" w:type="pct"/>
            <w:shd w:val="clear" w:color="auto" w:fill="auto"/>
            <w:vAlign w:val="center"/>
          </w:tcPr>
          <w:p w14:paraId="7981233E">
            <w:pPr>
              <w:pStyle w:val="239"/>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z w:val="21"/>
                <w:szCs w:val="21"/>
                <w:highlight w:val="none"/>
              </w:rPr>
              <w:t>4</w:t>
            </w:r>
          </w:p>
        </w:tc>
        <w:tc>
          <w:tcPr>
            <w:tcW w:w="1286" w:type="pct"/>
            <w:shd w:val="clear" w:color="auto" w:fill="auto"/>
            <w:vAlign w:val="center"/>
          </w:tcPr>
          <w:p w14:paraId="1AF96699">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8"/>
                <w:highlight w:val="none"/>
              </w:rPr>
              <w:t>附属用房</w:t>
            </w:r>
          </w:p>
        </w:tc>
        <w:tc>
          <w:tcPr>
            <w:tcW w:w="1000" w:type="pct"/>
            <w:shd w:val="clear" w:color="auto" w:fill="auto"/>
            <w:vAlign w:val="center"/>
          </w:tcPr>
          <w:p w14:paraId="304A1F1E">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5"/>
                <w:sz w:val="24"/>
                <w:szCs w:val="24"/>
                <w:highlight w:val="none"/>
              </w:rPr>
              <w:t>575m</w:t>
            </w:r>
            <w:r>
              <w:rPr>
                <w:rFonts w:hint="default" w:ascii="Times New Roman" w:hAnsi="Times New Roman" w:eastAsia="楷体" w:cs="Times New Roman"/>
                <w:b w:val="0"/>
                <w:bCs w:val="0"/>
                <w:color w:val="auto"/>
                <w:spacing w:val="-5"/>
                <w:position w:val="7"/>
                <w:sz w:val="16"/>
                <w:szCs w:val="16"/>
                <w:highlight w:val="none"/>
              </w:rPr>
              <w:t>2</w:t>
            </w:r>
          </w:p>
        </w:tc>
        <w:tc>
          <w:tcPr>
            <w:tcW w:w="1000" w:type="pct"/>
            <w:shd w:val="clear" w:color="auto" w:fill="auto"/>
            <w:vAlign w:val="center"/>
          </w:tcPr>
          <w:p w14:paraId="086F1BC5">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7"/>
                <w:highlight w:val="none"/>
              </w:rPr>
              <w:t>一层</w:t>
            </w:r>
          </w:p>
        </w:tc>
        <w:tc>
          <w:tcPr>
            <w:tcW w:w="1012" w:type="pct"/>
            <w:vAlign w:val="center"/>
          </w:tcPr>
          <w:p w14:paraId="3A79AF5F">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4"/>
                <w:w w:val="97"/>
                <w:highlight w:val="none"/>
              </w:rPr>
              <w:t>钢筋混凝土框架结构</w:t>
            </w:r>
          </w:p>
        </w:tc>
      </w:tr>
      <w:tr w14:paraId="66D8D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1" w:type="pct"/>
            <w:shd w:val="clear" w:color="auto" w:fill="auto"/>
            <w:vAlign w:val="center"/>
          </w:tcPr>
          <w:p w14:paraId="4036EF58">
            <w:pPr>
              <w:pStyle w:val="239"/>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z w:val="21"/>
                <w:szCs w:val="21"/>
                <w:highlight w:val="none"/>
              </w:rPr>
              <w:t>5</w:t>
            </w:r>
          </w:p>
        </w:tc>
        <w:tc>
          <w:tcPr>
            <w:tcW w:w="1286" w:type="pct"/>
            <w:shd w:val="clear" w:color="auto" w:fill="auto"/>
            <w:vAlign w:val="center"/>
          </w:tcPr>
          <w:p w14:paraId="13667CB4">
            <w:pPr>
              <w:pStyle w:val="23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2"/>
                <w:highlight w:val="none"/>
              </w:rPr>
              <w:t>鼓风机房、主变配电</w:t>
            </w:r>
            <w:r>
              <w:rPr>
                <w:rFonts w:hint="default" w:ascii="Times New Roman" w:hAnsi="Times New Roman" w:eastAsia="楷体" w:cs="Times New Roman"/>
                <w:b w:val="0"/>
                <w:bCs w:val="0"/>
                <w:color w:val="auto"/>
                <w:spacing w:val="-6"/>
                <w:highlight w:val="none"/>
              </w:rPr>
              <w:t>站、</w:t>
            </w:r>
            <w:r>
              <w:rPr>
                <w:rFonts w:hint="default" w:ascii="Times New Roman" w:hAnsi="Times New Roman" w:eastAsia="楷体" w:cs="Times New Roman"/>
                <w:b w:val="0"/>
                <w:bCs w:val="0"/>
                <w:color w:val="auto"/>
                <w:spacing w:val="-3"/>
                <w:highlight w:val="none"/>
              </w:rPr>
              <w:t>水质检测间</w:t>
            </w:r>
          </w:p>
        </w:tc>
        <w:tc>
          <w:tcPr>
            <w:tcW w:w="1000" w:type="pct"/>
            <w:shd w:val="clear" w:color="auto" w:fill="auto"/>
            <w:vAlign w:val="center"/>
          </w:tcPr>
          <w:p w14:paraId="28151C5F">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10"/>
                <w:w w:val="92"/>
                <w:sz w:val="24"/>
                <w:szCs w:val="24"/>
                <w:highlight w:val="none"/>
              </w:rPr>
              <w:t>990m</w:t>
            </w:r>
            <w:r>
              <w:rPr>
                <w:rFonts w:hint="default" w:ascii="Times New Roman" w:hAnsi="Times New Roman" w:eastAsia="楷体" w:cs="Times New Roman"/>
                <w:b w:val="0"/>
                <w:bCs w:val="0"/>
                <w:color w:val="auto"/>
                <w:spacing w:val="4"/>
                <w:position w:val="7"/>
                <w:sz w:val="16"/>
                <w:szCs w:val="16"/>
                <w:highlight w:val="none"/>
              </w:rPr>
              <w:t>2</w:t>
            </w:r>
          </w:p>
        </w:tc>
        <w:tc>
          <w:tcPr>
            <w:tcW w:w="1000" w:type="pct"/>
            <w:shd w:val="clear" w:color="auto" w:fill="auto"/>
            <w:vAlign w:val="center"/>
          </w:tcPr>
          <w:p w14:paraId="0D52EF20">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7"/>
                <w:highlight w:val="none"/>
              </w:rPr>
              <w:t>一层</w:t>
            </w:r>
          </w:p>
        </w:tc>
        <w:tc>
          <w:tcPr>
            <w:tcW w:w="1012" w:type="pct"/>
            <w:vAlign w:val="center"/>
          </w:tcPr>
          <w:p w14:paraId="517EC65A">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4"/>
                <w:w w:val="97"/>
                <w:highlight w:val="none"/>
              </w:rPr>
              <w:t>钢筋混凝土框架结构</w:t>
            </w:r>
          </w:p>
        </w:tc>
      </w:tr>
      <w:tr w14:paraId="378D5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1" w:type="pct"/>
            <w:shd w:val="clear" w:color="auto" w:fill="auto"/>
            <w:vAlign w:val="center"/>
          </w:tcPr>
          <w:p w14:paraId="1A40B036">
            <w:pPr>
              <w:pStyle w:val="239"/>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eastAsia" w:ascii="Times New Roman" w:hAnsi="Times New Roman" w:eastAsia="楷体" w:cs="Times New Roman"/>
                <w:b w:val="0"/>
                <w:bCs w:val="0"/>
                <w:color w:val="auto"/>
                <w:sz w:val="21"/>
                <w:szCs w:val="21"/>
                <w:highlight w:val="none"/>
                <w:lang w:val="en-US" w:eastAsia="zh-CN"/>
              </w:rPr>
              <w:t>6</w:t>
            </w:r>
          </w:p>
        </w:tc>
        <w:tc>
          <w:tcPr>
            <w:tcW w:w="1286" w:type="pct"/>
            <w:shd w:val="clear" w:color="auto" w:fill="auto"/>
            <w:vAlign w:val="center"/>
          </w:tcPr>
          <w:p w14:paraId="7EF8C6B2">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2"/>
                <w:highlight w:val="none"/>
              </w:rPr>
              <w:t>脱水机房、泥斗区</w:t>
            </w:r>
          </w:p>
        </w:tc>
        <w:tc>
          <w:tcPr>
            <w:tcW w:w="1000" w:type="pct"/>
            <w:shd w:val="clear" w:color="auto" w:fill="auto"/>
            <w:vAlign w:val="center"/>
          </w:tcPr>
          <w:p w14:paraId="5E3601AD">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9"/>
                <w:w w:val="92"/>
                <w:sz w:val="24"/>
                <w:szCs w:val="24"/>
                <w:highlight w:val="none"/>
              </w:rPr>
              <w:t>840m</w:t>
            </w:r>
            <w:r>
              <w:rPr>
                <w:rFonts w:hint="default" w:ascii="Times New Roman" w:hAnsi="Times New Roman" w:eastAsia="楷体" w:cs="Times New Roman"/>
                <w:b w:val="0"/>
                <w:bCs w:val="0"/>
                <w:color w:val="auto"/>
                <w:spacing w:val="3"/>
                <w:position w:val="7"/>
                <w:sz w:val="16"/>
                <w:szCs w:val="16"/>
                <w:highlight w:val="none"/>
              </w:rPr>
              <w:t>2</w:t>
            </w:r>
          </w:p>
        </w:tc>
        <w:tc>
          <w:tcPr>
            <w:tcW w:w="1000" w:type="pct"/>
            <w:shd w:val="clear" w:color="auto" w:fill="auto"/>
            <w:vAlign w:val="center"/>
          </w:tcPr>
          <w:p w14:paraId="4C3BF836">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7"/>
                <w:highlight w:val="none"/>
              </w:rPr>
              <w:t>二层</w:t>
            </w:r>
          </w:p>
        </w:tc>
        <w:tc>
          <w:tcPr>
            <w:tcW w:w="1012" w:type="pct"/>
            <w:vAlign w:val="center"/>
          </w:tcPr>
          <w:p w14:paraId="0EF9A893">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4"/>
                <w:w w:val="97"/>
                <w:highlight w:val="none"/>
              </w:rPr>
              <w:t>钢筋混凝土框架结构</w:t>
            </w:r>
          </w:p>
        </w:tc>
      </w:tr>
      <w:tr w14:paraId="78D5B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1" w:type="pct"/>
            <w:shd w:val="clear" w:color="auto" w:fill="auto"/>
            <w:vAlign w:val="center"/>
          </w:tcPr>
          <w:p w14:paraId="674CF564">
            <w:pPr>
              <w:pStyle w:val="239"/>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eastAsia" w:ascii="Times New Roman" w:hAnsi="Times New Roman" w:eastAsia="楷体" w:cs="Times New Roman"/>
                <w:b w:val="0"/>
                <w:bCs w:val="0"/>
                <w:color w:val="auto"/>
                <w:spacing w:val="18"/>
                <w:position w:val="4"/>
                <w:sz w:val="21"/>
                <w:szCs w:val="21"/>
                <w:highlight w:val="none"/>
                <w:lang w:val="en-US" w:eastAsia="zh-CN"/>
              </w:rPr>
              <w:t>7</w:t>
            </w:r>
          </w:p>
        </w:tc>
        <w:tc>
          <w:tcPr>
            <w:tcW w:w="1286" w:type="pct"/>
            <w:shd w:val="clear" w:color="auto" w:fill="auto"/>
            <w:vAlign w:val="center"/>
          </w:tcPr>
          <w:p w14:paraId="753E263E">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3"/>
                <w:highlight w:val="none"/>
              </w:rPr>
              <w:t>危废存储间</w:t>
            </w:r>
          </w:p>
        </w:tc>
        <w:tc>
          <w:tcPr>
            <w:tcW w:w="1000" w:type="pct"/>
            <w:shd w:val="clear" w:color="auto" w:fill="auto"/>
            <w:vAlign w:val="center"/>
          </w:tcPr>
          <w:p w14:paraId="3932C481">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2"/>
                <w:w w:val="93"/>
                <w:sz w:val="24"/>
                <w:szCs w:val="24"/>
                <w:highlight w:val="none"/>
              </w:rPr>
              <w:t>144m</w:t>
            </w:r>
            <w:r>
              <w:rPr>
                <w:rFonts w:hint="default" w:ascii="Times New Roman" w:hAnsi="Times New Roman" w:eastAsia="楷体" w:cs="Times New Roman"/>
                <w:b w:val="0"/>
                <w:bCs w:val="0"/>
                <w:color w:val="auto"/>
                <w:spacing w:val="4"/>
                <w:position w:val="7"/>
                <w:sz w:val="16"/>
                <w:szCs w:val="16"/>
                <w:highlight w:val="none"/>
              </w:rPr>
              <w:t>2</w:t>
            </w:r>
          </w:p>
        </w:tc>
        <w:tc>
          <w:tcPr>
            <w:tcW w:w="1000" w:type="pct"/>
            <w:shd w:val="clear" w:color="auto" w:fill="auto"/>
            <w:vAlign w:val="center"/>
          </w:tcPr>
          <w:p w14:paraId="3AB6B3F3">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7"/>
                <w:highlight w:val="none"/>
              </w:rPr>
              <w:t>一层</w:t>
            </w:r>
          </w:p>
        </w:tc>
        <w:tc>
          <w:tcPr>
            <w:tcW w:w="1012" w:type="pct"/>
            <w:vAlign w:val="center"/>
          </w:tcPr>
          <w:p w14:paraId="7DE319E4">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4"/>
                <w:w w:val="97"/>
                <w:highlight w:val="none"/>
              </w:rPr>
              <w:t>钢筋混凝土框架结构</w:t>
            </w:r>
          </w:p>
        </w:tc>
      </w:tr>
      <w:tr w14:paraId="3D892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1" w:type="pct"/>
            <w:vAlign w:val="center"/>
          </w:tcPr>
          <w:p w14:paraId="0FE9AFA6">
            <w:pPr>
              <w:pStyle w:val="239"/>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lang w:val="en-US" w:eastAsia="zh-CN"/>
              </w:rPr>
            </w:pPr>
            <w:r>
              <w:rPr>
                <w:rFonts w:hint="eastAsia" w:ascii="Times New Roman" w:hAnsi="Times New Roman" w:eastAsia="楷体" w:cs="Times New Roman"/>
                <w:b w:val="0"/>
                <w:bCs w:val="0"/>
                <w:color w:val="auto"/>
                <w:sz w:val="21"/>
                <w:szCs w:val="21"/>
                <w:highlight w:val="none"/>
                <w:lang w:val="en-US" w:eastAsia="zh-CN"/>
              </w:rPr>
              <w:t>8</w:t>
            </w:r>
          </w:p>
        </w:tc>
        <w:tc>
          <w:tcPr>
            <w:tcW w:w="1286" w:type="pct"/>
            <w:shd w:val="clear" w:color="auto" w:fill="auto"/>
            <w:vAlign w:val="center"/>
          </w:tcPr>
          <w:p w14:paraId="0C262520">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2"/>
                <w:highlight w:val="none"/>
              </w:rPr>
              <w:t>加药间、药库</w:t>
            </w:r>
          </w:p>
        </w:tc>
        <w:tc>
          <w:tcPr>
            <w:tcW w:w="1000" w:type="pct"/>
            <w:shd w:val="clear" w:color="auto" w:fill="auto"/>
            <w:vAlign w:val="center"/>
          </w:tcPr>
          <w:p w14:paraId="796229D4">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7"/>
                <w:w w:val="93"/>
                <w:sz w:val="24"/>
                <w:szCs w:val="24"/>
                <w:highlight w:val="none"/>
              </w:rPr>
              <w:t>504m</w:t>
            </w:r>
            <w:r>
              <w:rPr>
                <w:rFonts w:hint="default" w:ascii="Times New Roman" w:hAnsi="Times New Roman" w:eastAsia="楷体" w:cs="Times New Roman"/>
                <w:b w:val="0"/>
                <w:bCs w:val="0"/>
                <w:color w:val="auto"/>
                <w:spacing w:val="6"/>
                <w:position w:val="7"/>
                <w:sz w:val="16"/>
                <w:szCs w:val="16"/>
                <w:highlight w:val="none"/>
              </w:rPr>
              <w:t>2</w:t>
            </w:r>
          </w:p>
        </w:tc>
        <w:tc>
          <w:tcPr>
            <w:tcW w:w="1000" w:type="pct"/>
            <w:shd w:val="clear" w:color="auto" w:fill="auto"/>
            <w:vAlign w:val="center"/>
          </w:tcPr>
          <w:p w14:paraId="6038350D">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7"/>
                <w:highlight w:val="none"/>
              </w:rPr>
              <w:t>二层</w:t>
            </w:r>
          </w:p>
        </w:tc>
        <w:tc>
          <w:tcPr>
            <w:tcW w:w="1012" w:type="pct"/>
            <w:vAlign w:val="center"/>
          </w:tcPr>
          <w:p w14:paraId="7C65A785">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4"/>
                <w:w w:val="97"/>
                <w:highlight w:val="none"/>
              </w:rPr>
              <w:t>钢筋混凝土框架结构</w:t>
            </w:r>
          </w:p>
        </w:tc>
      </w:tr>
      <w:tr w14:paraId="335DE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1" w:type="pct"/>
            <w:vAlign w:val="center"/>
          </w:tcPr>
          <w:p w14:paraId="5BDB3200">
            <w:pPr>
              <w:pStyle w:val="239"/>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lang w:val="en-US" w:eastAsia="zh-CN"/>
              </w:rPr>
            </w:pPr>
            <w:r>
              <w:rPr>
                <w:rFonts w:hint="eastAsia" w:ascii="Times New Roman" w:hAnsi="Times New Roman" w:eastAsia="楷体" w:cs="Times New Roman"/>
                <w:b w:val="0"/>
                <w:bCs w:val="0"/>
                <w:color w:val="auto"/>
                <w:sz w:val="21"/>
                <w:szCs w:val="21"/>
                <w:highlight w:val="none"/>
                <w:lang w:val="en-US" w:eastAsia="zh-CN"/>
              </w:rPr>
              <w:t>9</w:t>
            </w:r>
          </w:p>
        </w:tc>
        <w:tc>
          <w:tcPr>
            <w:tcW w:w="1286" w:type="pct"/>
            <w:shd w:val="clear" w:color="auto" w:fill="auto"/>
            <w:vAlign w:val="center"/>
          </w:tcPr>
          <w:p w14:paraId="6C6D378D">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4"/>
                <w:highlight w:val="none"/>
              </w:rPr>
              <w:t>分变电站</w:t>
            </w:r>
          </w:p>
        </w:tc>
        <w:tc>
          <w:tcPr>
            <w:tcW w:w="1000" w:type="pct"/>
            <w:shd w:val="clear" w:color="auto" w:fill="auto"/>
            <w:vAlign w:val="center"/>
          </w:tcPr>
          <w:p w14:paraId="3FDDAFFA">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4"/>
                <w:sz w:val="24"/>
                <w:szCs w:val="24"/>
                <w:highlight w:val="none"/>
              </w:rPr>
              <w:t>375m</w:t>
            </w:r>
            <w:r>
              <w:rPr>
                <w:rFonts w:hint="default" w:ascii="Times New Roman" w:hAnsi="Times New Roman" w:eastAsia="楷体" w:cs="Times New Roman"/>
                <w:b w:val="0"/>
                <w:bCs w:val="0"/>
                <w:color w:val="auto"/>
                <w:spacing w:val="-4"/>
                <w:position w:val="7"/>
                <w:sz w:val="16"/>
                <w:szCs w:val="16"/>
                <w:highlight w:val="none"/>
              </w:rPr>
              <w:t>2</w:t>
            </w:r>
          </w:p>
        </w:tc>
        <w:tc>
          <w:tcPr>
            <w:tcW w:w="1000" w:type="pct"/>
            <w:shd w:val="clear" w:color="auto" w:fill="auto"/>
            <w:vAlign w:val="center"/>
          </w:tcPr>
          <w:p w14:paraId="1F2698BF">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7"/>
                <w:highlight w:val="none"/>
              </w:rPr>
              <w:t>一层</w:t>
            </w:r>
          </w:p>
        </w:tc>
        <w:tc>
          <w:tcPr>
            <w:tcW w:w="1012" w:type="pct"/>
            <w:vAlign w:val="center"/>
          </w:tcPr>
          <w:p w14:paraId="4E08D307">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4"/>
                <w:w w:val="97"/>
                <w:highlight w:val="none"/>
              </w:rPr>
              <w:t>钢筋混凝土框架结构</w:t>
            </w:r>
          </w:p>
        </w:tc>
      </w:tr>
      <w:tr w14:paraId="42378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1" w:type="pct"/>
            <w:vAlign w:val="center"/>
          </w:tcPr>
          <w:p w14:paraId="6610E934">
            <w:pPr>
              <w:pStyle w:val="239"/>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lang w:val="en-US" w:eastAsia="zh-CN"/>
              </w:rPr>
            </w:pPr>
            <w:r>
              <w:rPr>
                <w:rFonts w:hint="eastAsia" w:ascii="Times New Roman" w:hAnsi="Times New Roman" w:eastAsia="楷体" w:cs="Times New Roman"/>
                <w:b w:val="0"/>
                <w:bCs w:val="0"/>
                <w:color w:val="auto"/>
                <w:sz w:val="21"/>
                <w:szCs w:val="21"/>
                <w:highlight w:val="none"/>
                <w:lang w:val="en-US" w:eastAsia="zh-CN"/>
              </w:rPr>
              <w:t>10</w:t>
            </w:r>
          </w:p>
        </w:tc>
        <w:tc>
          <w:tcPr>
            <w:tcW w:w="1286" w:type="pct"/>
            <w:shd w:val="clear" w:color="auto" w:fill="auto"/>
            <w:vAlign w:val="center"/>
          </w:tcPr>
          <w:p w14:paraId="51478C86">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4"/>
                <w:highlight w:val="none"/>
              </w:rPr>
              <w:t>高效沉淀池</w:t>
            </w:r>
          </w:p>
        </w:tc>
        <w:tc>
          <w:tcPr>
            <w:tcW w:w="1000" w:type="pct"/>
            <w:shd w:val="clear" w:color="auto" w:fill="auto"/>
            <w:vAlign w:val="center"/>
          </w:tcPr>
          <w:p w14:paraId="14092930">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10"/>
                <w:w w:val="97"/>
                <w:position w:val="2"/>
                <w:sz w:val="24"/>
                <w:szCs w:val="24"/>
                <w:highlight w:val="none"/>
              </w:rPr>
              <w:t>288m</w:t>
            </w:r>
            <w:r>
              <w:rPr>
                <w:rFonts w:hint="default" w:ascii="Times New Roman" w:hAnsi="Times New Roman" w:eastAsia="楷体" w:cs="Times New Roman"/>
                <w:b w:val="0"/>
                <w:bCs w:val="0"/>
                <w:color w:val="auto"/>
                <w:spacing w:val="4"/>
                <w:position w:val="9"/>
                <w:sz w:val="16"/>
                <w:szCs w:val="16"/>
                <w:highlight w:val="none"/>
              </w:rPr>
              <w:t>2</w:t>
            </w:r>
          </w:p>
        </w:tc>
        <w:tc>
          <w:tcPr>
            <w:tcW w:w="1000" w:type="pct"/>
            <w:shd w:val="clear" w:color="auto" w:fill="auto"/>
            <w:vAlign w:val="center"/>
          </w:tcPr>
          <w:p w14:paraId="1D1992B2">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kern w:val="2"/>
                <w:sz w:val="21"/>
                <w:szCs w:val="21"/>
                <w:highlight w:val="none"/>
                <w:vertAlign w:val="baseline"/>
                <w:lang w:val="en-US" w:eastAsia="zh-CN" w:bidi="ar-SA"/>
              </w:rPr>
            </w:pPr>
            <w:r>
              <w:rPr>
                <w:rFonts w:hint="default" w:ascii="Times New Roman" w:hAnsi="Times New Roman" w:eastAsia="楷体" w:cs="Times New Roman"/>
                <w:b w:val="0"/>
                <w:bCs w:val="0"/>
                <w:color w:val="auto"/>
                <w:spacing w:val="-7"/>
                <w:highlight w:val="none"/>
              </w:rPr>
              <w:t>一层</w:t>
            </w:r>
          </w:p>
        </w:tc>
        <w:tc>
          <w:tcPr>
            <w:tcW w:w="1012" w:type="pct"/>
            <w:vAlign w:val="center"/>
          </w:tcPr>
          <w:p w14:paraId="469464E3">
            <w:pPr>
              <w:pStyle w:val="239"/>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4"/>
                <w:w w:val="97"/>
                <w:highlight w:val="none"/>
              </w:rPr>
              <w:t>钢筋混凝土框架结构</w:t>
            </w:r>
          </w:p>
        </w:tc>
      </w:tr>
      <w:tr w14:paraId="0E473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5000" w:type="pct"/>
            <w:gridSpan w:val="5"/>
            <w:vAlign w:val="center"/>
          </w:tcPr>
          <w:p w14:paraId="3F649A55">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bCs/>
                <w:color w:val="auto"/>
                <w:sz w:val="21"/>
                <w:szCs w:val="21"/>
                <w:highlight w:val="none"/>
                <w:vertAlign w:val="baseline"/>
                <w:lang w:val="en-US" w:eastAsia="zh-CN"/>
              </w:rPr>
            </w:pPr>
            <w:r>
              <w:rPr>
                <w:rFonts w:hint="default" w:ascii="Times New Roman" w:hAnsi="Times New Roman" w:eastAsia="楷体" w:cs="Times New Roman"/>
                <w:b/>
                <w:bCs/>
                <w:color w:val="auto"/>
                <w:sz w:val="21"/>
                <w:szCs w:val="21"/>
                <w:highlight w:val="none"/>
                <w:vertAlign w:val="baseline"/>
                <w:lang w:val="en-US" w:eastAsia="zh-CN"/>
              </w:rPr>
              <w:t>提标工程</w:t>
            </w:r>
          </w:p>
        </w:tc>
      </w:tr>
      <w:tr w14:paraId="736F2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1" w:type="pct"/>
            <w:shd w:val="clear" w:color="auto" w:fill="auto"/>
            <w:vAlign w:val="center"/>
          </w:tcPr>
          <w:p w14:paraId="6EC4EC39">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color w:val="auto"/>
                <w:kern w:val="2"/>
                <w:sz w:val="21"/>
                <w:szCs w:val="21"/>
                <w:highlight w:val="none"/>
                <w:vertAlign w:val="baseline"/>
                <w:lang w:val="en-US" w:eastAsia="zh-CN" w:bidi="ar-SA"/>
              </w:rPr>
            </w:pPr>
            <w:r>
              <w:rPr>
                <w:rFonts w:hint="default" w:ascii="Times New Roman" w:hAnsi="Times New Roman" w:eastAsia="楷体" w:cs="Times New Roman"/>
                <w:b/>
                <w:bCs/>
                <w:color w:val="auto"/>
                <w:spacing w:val="-7"/>
                <w:sz w:val="21"/>
                <w:szCs w:val="21"/>
                <w:highlight w:val="none"/>
              </w:rPr>
              <w:t>序号</w:t>
            </w:r>
          </w:p>
        </w:tc>
        <w:tc>
          <w:tcPr>
            <w:tcW w:w="1286" w:type="pct"/>
            <w:shd w:val="clear" w:color="auto" w:fill="auto"/>
            <w:vAlign w:val="center"/>
          </w:tcPr>
          <w:p w14:paraId="7FB168E3">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color w:val="auto"/>
                <w:kern w:val="2"/>
                <w:sz w:val="21"/>
                <w:szCs w:val="21"/>
                <w:highlight w:val="none"/>
                <w:vertAlign w:val="baseline"/>
                <w:lang w:val="en-US" w:eastAsia="zh-CN" w:bidi="ar-SA"/>
              </w:rPr>
            </w:pPr>
            <w:r>
              <w:rPr>
                <w:rFonts w:hint="default" w:ascii="Times New Roman" w:hAnsi="Times New Roman" w:eastAsia="楷体" w:cs="Times New Roman"/>
                <w:b/>
                <w:bCs/>
                <w:color w:val="auto"/>
                <w:spacing w:val="-9"/>
                <w:sz w:val="21"/>
                <w:szCs w:val="21"/>
                <w:highlight w:val="none"/>
              </w:rPr>
              <w:t>名称</w:t>
            </w:r>
          </w:p>
        </w:tc>
        <w:tc>
          <w:tcPr>
            <w:tcW w:w="1000" w:type="pct"/>
            <w:shd w:val="clear" w:color="auto" w:fill="auto"/>
            <w:vAlign w:val="center"/>
          </w:tcPr>
          <w:p w14:paraId="39C1E28E">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color w:val="auto"/>
                <w:kern w:val="2"/>
                <w:sz w:val="21"/>
                <w:szCs w:val="21"/>
                <w:highlight w:val="none"/>
                <w:vertAlign w:val="baseline"/>
                <w:lang w:val="en-US" w:eastAsia="zh-CN" w:bidi="ar-SA"/>
              </w:rPr>
            </w:pPr>
            <w:r>
              <w:rPr>
                <w:rFonts w:hint="default" w:ascii="Times New Roman" w:hAnsi="Times New Roman" w:eastAsia="楷体" w:cs="Times New Roman"/>
                <w:b/>
                <w:bCs/>
                <w:color w:val="auto"/>
                <w:spacing w:val="-9"/>
                <w:sz w:val="21"/>
                <w:szCs w:val="21"/>
                <w:highlight w:val="none"/>
              </w:rPr>
              <w:t>数值</w:t>
            </w:r>
          </w:p>
        </w:tc>
        <w:tc>
          <w:tcPr>
            <w:tcW w:w="1000" w:type="pct"/>
            <w:shd w:val="clear" w:color="auto" w:fill="auto"/>
            <w:vAlign w:val="center"/>
          </w:tcPr>
          <w:p w14:paraId="2493802E">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color w:val="auto"/>
                <w:kern w:val="2"/>
                <w:sz w:val="21"/>
                <w:szCs w:val="21"/>
                <w:highlight w:val="none"/>
                <w:vertAlign w:val="baseline"/>
                <w:lang w:val="en-US" w:eastAsia="zh-CN" w:bidi="ar-SA"/>
              </w:rPr>
            </w:pPr>
            <w:r>
              <w:rPr>
                <w:rFonts w:hint="default" w:ascii="Times New Roman" w:hAnsi="Times New Roman" w:eastAsia="楷体" w:cs="Times New Roman"/>
                <w:b/>
                <w:bCs/>
                <w:color w:val="auto"/>
                <w:spacing w:val="-9"/>
                <w:sz w:val="21"/>
                <w:szCs w:val="21"/>
                <w:highlight w:val="none"/>
              </w:rPr>
              <w:t>单位</w:t>
            </w:r>
          </w:p>
        </w:tc>
        <w:tc>
          <w:tcPr>
            <w:tcW w:w="1012" w:type="pct"/>
            <w:shd w:val="clear" w:color="auto" w:fill="auto"/>
            <w:vAlign w:val="center"/>
          </w:tcPr>
          <w:p w14:paraId="4E001971">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color w:val="auto"/>
                <w:kern w:val="2"/>
                <w:sz w:val="21"/>
                <w:szCs w:val="21"/>
                <w:highlight w:val="none"/>
                <w:vertAlign w:val="baseline"/>
                <w:lang w:val="en-US" w:eastAsia="zh-CN" w:bidi="ar-SA"/>
              </w:rPr>
            </w:pPr>
            <w:r>
              <w:rPr>
                <w:rFonts w:hint="default" w:ascii="Times New Roman" w:hAnsi="Times New Roman" w:eastAsia="楷体" w:cs="Times New Roman"/>
                <w:b/>
                <w:bCs/>
                <w:color w:val="auto"/>
                <w:spacing w:val="-9"/>
                <w:sz w:val="21"/>
                <w:szCs w:val="21"/>
                <w:highlight w:val="none"/>
              </w:rPr>
              <w:t>备注</w:t>
            </w:r>
          </w:p>
        </w:tc>
      </w:tr>
      <w:tr w14:paraId="25C11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1" w:type="pct"/>
            <w:vAlign w:val="center"/>
          </w:tcPr>
          <w:p w14:paraId="4FE769DA">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z w:val="21"/>
                <w:szCs w:val="21"/>
                <w:highlight w:val="none"/>
                <w:vertAlign w:val="baseline"/>
                <w:lang w:val="en-US" w:eastAsia="zh-CN"/>
              </w:rPr>
              <w:t>1</w:t>
            </w:r>
          </w:p>
        </w:tc>
        <w:tc>
          <w:tcPr>
            <w:tcW w:w="1286" w:type="pct"/>
            <w:vAlign w:val="center"/>
          </w:tcPr>
          <w:p w14:paraId="084CB15C">
            <w:pPr>
              <w:keepNext w:val="0"/>
              <w:keepLines w:val="0"/>
              <w:pageBreakBefore w:val="0"/>
              <w:kinsoku/>
              <w:wordWrap/>
              <w:overflowPunct/>
              <w:topLinePunct w:val="0"/>
              <w:autoSpaceDE/>
              <w:autoSpaceDN/>
              <w:bidi w:val="0"/>
              <w:adjustRightInd/>
              <w:snapToGrid/>
              <w:spacing w:beforeAutospacing="0" w:afterAutospacing="0" w:line="240" w:lineRule="auto"/>
              <w:ind w:left="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z w:val="21"/>
                <w:szCs w:val="21"/>
                <w:highlight w:val="none"/>
                <w:vertAlign w:val="baseline"/>
                <w:lang w:val="en-US" w:eastAsia="zh-CN"/>
              </w:rPr>
              <w:t>建、构筑物</w:t>
            </w:r>
          </w:p>
        </w:tc>
        <w:tc>
          <w:tcPr>
            <w:tcW w:w="1000" w:type="pct"/>
            <w:vAlign w:val="center"/>
          </w:tcPr>
          <w:p w14:paraId="1A7942F2">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z w:val="21"/>
                <w:szCs w:val="21"/>
                <w:highlight w:val="none"/>
                <w:vertAlign w:val="baseline"/>
                <w:lang w:val="en-US" w:eastAsia="zh-CN"/>
              </w:rPr>
              <w:t>715</w:t>
            </w:r>
          </w:p>
        </w:tc>
        <w:tc>
          <w:tcPr>
            <w:tcW w:w="1000" w:type="pct"/>
            <w:vAlign w:val="center"/>
          </w:tcPr>
          <w:p w14:paraId="2B3693A4">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10"/>
                <w:w w:val="97"/>
                <w:position w:val="2"/>
                <w:sz w:val="24"/>
                <w:szCs w:val="24"/>
                <w:highlight w:val="none"/>
              </w:rPr>
              <w:t>m</w:t>
            </w:r>
            <w:r>
              <w:rPr>
                <w:rFonts w:hint="default" w:ascii="Times New Roman" w:hAnsi="Times New Roman" w:eastAsia="楷体" w:cs="Times New Roman"/>
                <w:b w:val="0"/>
                <w:bCs w:val="0"/>
                <w:color w:val="auto"/>
                <w:spacing w:val="4"/>
                <w:position w:val="9"/>
                <w:sz w:val="16"/>
                <w:szCs w:val="16"/>
                <w:highlight w:val="none"/>
              </w:rPr>
              <w:t>2</w:t>
            </w:r>
          </w:p>
        </w:tc>
        <w:tc>
          <w:tcPr>
            <w:tcW w:w="1012" w:type="pct"/>
            <w:vAlign w:val="center"/>
          </w:tcPr>
          <w:p w14:paraId="5909FA02">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p>
        </w:tc>
      </w:tr>
      <w:tr w14:paraId="4EA47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1" w:type="pct"/>
            <w:vAlign w:val="center"/>
          </w:tcPr>
          <w:p w14:paraId="12A5CAC6">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eastAsia" w:ascii="Times New Roman" w:hAnsi="Times New Roman" w:eastAsia="楷体" w:cs="Times New Roman"/>
                <w:b w:val="0"/>
                <w:bCs w:val="0"/>
                <w:color w:val="auto"/>
                <w:sz w:val="21"/>
                <w:szCs w:val="21"/>
                <w:highlight w:val="none"/>
                <w:vertAlign w:val="baseline"/>
                <w:lang w:val="en-US" w:eastAsia="zh-CN"/>
              </w:rPr>
              <w:t>1.1</w:t>
            </w:r>
          </w:p>
        </w:tc>
        <w:tc>
          <w:tcPr>
            <w:tcW w:w="1286" w:type="pct"/>
            <w:vAlign w:val="center"/>
          </w:tcPr>
          <w:p w14:paraId="657D0699">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z w:val="21"/>
                <w:szCs w:val="21"/>
                <w:highlight w:val="none"/>
                <w:vertAlign w:val="baseline"/>
                <w:lang w:val="en-US" w:eastAsia="zh-CN"/>
              </w:rPr>
              <w:t>后置反硝化滤池</w:t>
            </w:r>
          </w:p>
        </w:tc>
        <w:tc>
          <w:tcPr>
            <w:tcW w:w="1000" w:type="pct"/>
            <w:vAlign w:val="center"/>
          </w:tcPr>
          <w:p w14:paraId="7D4BF782">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z w:val="21"/>
                <w:szCs w:val="21"/>
                <w:highlight w:val="none"/>
                <w:vertAlign w:val="baseline"/>
                <w:lang w:val="en-US" w:eastAsia="zh-CN"/>
              </w:rPr>
              <w:t>310</w:t>
            </w:r>
          </w:p>
        </w:tc>
        <w:tc>
          <w:tcPr>
            <w:tcW w:w="1000" w:type="pct"/>
            <w:vAlign w:val="center"/>
          </w:tcPr>
          <w:p w14:paraId="47AA73CF">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10"/>
                <w:w w:val="97"/>
                <w:position w:val="2"/>
                <w:sz w:val="24"/>
                <w:szCs w:val="24"/>
                <w:highlight w:val="none"/>
              </w:rPr>
              <w:t>m</w:t>
            </w:r>
            <w:r>
              <w:rPr>
                <w:rFonts w:hint="default" w:ascii="Times New Roman" w:hAnsi="Times New Roman" w:eastAsia="楷体" w:cs="Times New Roman"/>
                <w:b w:val="0"/>
                <w:bCs w:val="0"/>
                <w:color w:val="auto"/>
                <w:spacing w:val="4"/>
                <w:position w:val="9"/>
                <w:sz w:val="16"/>
                <w:szCs w:val="16"/>
                <w:highlight w:val="none"/>
              </w:rPr>
              <w:t>2</w:t>
            </w:r>
          </w:p>
        </w:tc>
        <w:tc>
          <w:tcPr>
            <w:tcW w:w="1012" w:type="pct"/>
            <w:vAlign w:val="center"/>
          </w:tcPr>
          <w:p w14:paraId="5907BF87">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eastAsia" w:ascii="Times New Roman" w:hAnsi="Times New Roman" w:eastAsia="楷体" w:cs="Times New Roman"/>
                <w:b w:val="0"/>
                <w:bCs w:val="0"/>
                <w:color w:val="auto"/>
                <w:sz w:val="21"/>
                <w:szCs w:val="21"/>
                <w:highlight w:val="none"/>
                <w:vertAlign w:val="baseline"/>
                <w:lang w:val="en-US" w:eastAsia="zh-CN"/>
              </w:rPr>
              <w:t>单层</w:t>
            </w:r>
          </w:p>
        </w:tc>
      </w:tr>
      <w:tr w14:paraId="7A6B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1" w:type="pct"/>
            <w:vAlign w:val="center"/>
          </w:tcPr>
          <w:p w14:paraId="30C6C268">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eastAsia" w:ascii="Times New Roman" w:hAnsi="Times New Roman" w:eastAsia="楷体" w:cs="Times New Roman"/>
                <w:b w:val="0"/>
                <w:bCs w:val="0"/>
                <w:color w:val="auto"/>
                <w:sz w:val="21"/>
                <w:szCs w:val="21"/>
                <w:highlight w:val="none"/>
                <w:vertAlign w:val="baseline"/>
                <w:lang w:val="en-US" w:eastAsia="zh-CN"/>
              </w:rPr>
              <w:t>1.2</w:t>
            </w:r>
          </w:p>
        </w:tc>
        <w:tc>
          <w:tcPr>
            <w:tcW w:w="1286" w:type="pct"/>
            <w:vAlign w:val="center"/>
          </w:tcPr>
          <w:p w14:paraId="4C5173FD">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z w:val="21"/>
                <w:szCs w:val="21"/>
                <w:highlight w:val="none"/>
                <w:vertAlign w:val="baseline"/>
                <w:lang w:val="en-US" w:eastAsia="zh-CN"/>
              </w:rPr>
              <w:t>分变电站</w:t>
            </w:r>
          </w:p>
        </w:tc>
        <w:tc>
          <w:tcPr>
            <w:tcW w:w="1000" w:type="pct"/>
            <w:vAlign w:val="center"/>
          </w:tcPr>
          <w:p w14:paraId="5230AC69">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eastAsia" w:ascii="Times New Roman" w:hAnsi="Times New Roman" w:eastAsia="楷体" w:cs="Times New Roman"/>
                <w:b w:val="0"/>
                <w:bCs w:val="0"/>
                <w:color w:val="auto"/>
                <w:sz w:val="21"/>
                <w:szCs w:val="21"/>
                <w:highlight w:val="none"/>
                <w:vertAlign w:val="baseline"/>
                <w:lang w:val="en-US" w:eastAsia="zh-CN"/>
              </w:rPr>
              <w:t>405</w:t>
            </w:r>
          </w:p>
        </w:tc>
        <w:tc>
          <w:tcPr>
            <w:tcW w:w="1000" w:type="pct"/>
            <w:vAlign w:val="center"/>
          </w:tcPr>
          <w:p w14:paraId="59B2D54D">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10"/>
                <w:w w:val="97"/>
                <w:position w:val="2"/>
                <w:sz w:val="24"/>
                <w:szCs w:val="24"/>
                <w:highlight w:val="none"/>
              </w:rPr>
              <w:t>m</w:t>
            </w:r>
            <w:r>
              <w:rPr>
                <w:rFonts w:hint="default" w:ascii="Times New Roman" w:hAnsi="Times New Roman" w:eastAsia="楷体" w:cs="Times New Roman"/>
                <w:b w:val="0"/>
                <w:bCs w:val="0"/>
                <w:color w:val="auto"/>
                <w:spacing w:val="4"/>
                <w:position w:val="9"/>
                <w:sz w:val="16"/>
                <w:szCs w:val="16"/>
                <w:highlight w:val="none"/>
              </w:rPr>
              <w:t>2</w:t>
            </w:r>
          </w:p>
        </w:tc>
        <w:tc>
          <w:tcPr>
            <w:tcW w:w="1012" w:type="pct"/>
            <w:vAlign w:val="center"/>
          </w:tcPr>
          <w:p w14:paraId="3B7D267F">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eastAsia" w:ascii="Times New Roman" w:hAnsi="Times New Roman" w:eastAsia="楷体" w:cs="Times New Roman"/>
                <w:b w:val="0"/>
                <w:bCs w:val="0"/>
                <w:color w:val="auto"/>
                <w:sz w:val="21"/>
                <w:szCs w:val="21"/>
                <w:highlight w:val="none"/>
                <w:vertAlign w:val="baseline"/>
                <w:lang w:val="en-US" w:eastAsia="zh-CN"/>
              </w:rPr>
              <w:t>单层</w:t>
            </w:r>
          </w:p>
        </w:tc>
      </w:tr>
      <w:tr w14:paraId="36389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701" w:type="pct"/>
            <w:vAlign w:val="center"/>
          </w:tcPr>
          <w:p w14:paraId="1116755A">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eastAsia" w:ascii="Times New Roman" w:hAnsi="Times New Roman" w:eastAsia="楷体" w:cs="Times New Roman"/>
                <w:b w:val="0"/>
                <w:bCs w:val="0"/>
                <w:color w:val="auto"/>
                <w:sz w:val="21"/>
                <w:szCs w:val="21"/>
                <w:highlight w:val="none"/>
                <w:vertAlign w:val="baseline"/>
                <w:lang w:val="en-US" w:eastAsia="zh-CN"/>
              </w:rPr>
              <w:t>2</w:t>
            </w:r>
          </w:p>
        </w:tc>
        <w:tc>
          <w:tcPr>
            <w:tcW w:w="1286" w:type="pct"/>
            <w:vAlign w:val="center"/>
          </w:tcPr>
          <w:p w14:paraId="1E8488AE">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z w:val="21"/>
                <w:szCs w:val="21"/>
                <w:highlight w:val="none"/>
                <w:vertAlign w:val="baseline"/>
                <w:lang w:val="en-US" w:eastAsia="zh-CN"/>
              </w:rPr>
              <w:t>配套工程</w:t>
            </w:r>
          </w:p>
        </w:tc>
        <w:tc>
          <w:tcPr>
            <w:tcW w:w="1000" w:type="pct"/>
            <w:vAlign w:val="center"/>
          </w:tcPr>
          <w:p w14:paraId="6000EF2D">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p>
        </w:tc>
        <w:tc>
          <w:tcPr>
            <w:tcW w:w="1000" w:type="pct"/>
            <w:vAlign w:val="center"/>
          </w:tcPr>
          <w:p w14:paraId="3DEA2E2B">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p>
        </w:tc>
        <w:tc>
          <w:tcPr>
            <w:tcW w:w="1012" w:type="pct"/>
            <w:vAlign w:val="center"/>
          </w:tcPr>
          <w:p w14:paraId="78E994F7">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p>
        </w:tc>
      </w:tr>
      <w:tr w14:paraId="4FCC4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1" w:type="pct"/>
            <w:vAlign w:val="center"/>
          </w:tcPr>
          <w:p w14:paraId="3A70B17D">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eastAsia" w:ascii="Times New Roman" w:hAnsi="Times New Roman" w:eastAsia="楷体" w:cs="Times New Roman"/>
                <w:b w:val="0"/>
                <w:bCs w:val="0"/>
                <w:color w:val="auto"/>
                <w:sz w:val="21"/>
                <w:szCs w:val="21"/>
                <w:highlight w:val="none"/>
                <w:vertAlign w:val="baseline"/>
                <w:lang w:val="en-US" w:eastAsia="zh-CN"/>
              </w:rPr>
              <w:t>2.1</w:t>
            </w:r>
          </w:p>
        </w:tc>
        <w:tc>
          <w:tcPr>
            <w:tcW w:w="1286" w:type="pct"/>
            <w:vAlign w:val="center"/>
          </w:tcPr>
          <w:p w14:paraId="0F825FB4">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z w:val="21"/>
                <w:szCs w:val="21"/>
                <w:highlight w:val="none"/>
                <w:vertAlign w:val="baseline"/>
                <w:lang w:val="en-US" w:eastAsia="zh-CN"/>
              </w:rPr>
              <w:t>绿化工程</w:t>
            </w:r>
          </w:p>
        </w:tc>
        <w:tc>
          <w:tcPr>
            <w:tcW w:w="1000" w:type="pct"/>
            <w:vAlign w:val="center"/>
          </w:tcPr>
          <w:p w14:paraId="7DD5DC11">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eastAsia" w:ascii="Times New Roman" w:hAnsi="Times New Roman" w:eastAsia="楷体" w:cs="Times New Roman"/>
                <w:b w:val="0"/>
                <w:bCs w:val="0"/>
                <w:color w:val="auto"/>
                <w:sz w:val="21"/>
                <w:szCs w:val="21"/>
                <w:highlight w:val="none"/>
                <w:vertAlign w:val="baseline"/>
                <w:lang w:val="en-US" w:eastAsia="zh-CN"/>
              </w:rPr>
              <w:t>2873</w:t>
            </w:r>
          </w:p>
        </w:tc>
        <w:tc>
          <w:tcPr>
            <w:tcW w:w="1000" w:type="pct"/>
            <w:vAlign w:val="center"/>
          </w:tcPr>
          <w:p w14:paraId="352F98A4">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10"/>
                <w:w w:val="97"/>
                <w:position w:val="2"/>
                <w:sz w:val="24"/>
                <w:szCs w:val="24"/>
                <w:highlight w:val="none"/>
              </w:rPr>
              <w:t>m</w:t>
            </w:r>
            <w:r>
              <w:rPr>
                <w:rFonts w:hint="default" w:ascii="Times New Roman" w:hAnsi="Times New Roman" w:eastAsia="楷体" w:cs="Times New Roman"/>
                <w:b w:val="0"/>
                <w:bCs w:val="0"/>
                <w:color w:val="auto"/>
                <w:spacing w:val="4"/>
                <w:position w:val="9"/>
                <w:sz w:val="16"/>
                <w:szCs w:val="16"/>
                <w:highlight w:val="none"/>
              </w:rPr>
              <w:t>2</w:t>
            </w:r>
          </w:p>
        </w:tc>
        <w:tc>
          <w:tcPr>
            <w:tcW w:w="1012" w:type="pct"/>
            <w:vAlign w:val="center"/>
          </w:tcPr>
          <w:p w14:paraId="70429BF4">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p>
        </w:tc>
      </w:tr>
      <w:tr w14:paraId="7B4CA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1" w:type="pct"/>
            <w:vAlign w:val="center"/>
          </w:tcPr>
          <w:p w14:paraId="1B0D0335">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eastAsia" w:ascii="Times New Roman" w:hAnsi="Times New Roman" w:eastAsia="楷体" w:cs="Times New Roman"/>
                <w:b w:val="0"/>
                <w:bCs w:val="0"/>
                <w:color w:val="auto"/>
                <w:sz w:val="21"/>
                <w:szCs w:val="21"/>
                <w:highlight w:val="none"/>
                <w:vertAlign w:val="baseline"/>
                <w:lang w:val="en-US" w:eastAsia="zh-CN"/>
              </w:rPr>
              <w:t>2.2</w:t>
            </w:r>
          </w:p>
        </w:tc>
        <w:tc>
          <w:tcPr>
            <w:tcW w:w="1286" w:type="pct"/>
            <w:vAlign w:val="center"/>
          </w:tcPr>
          <w:p w14:paraId="060D7EED">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z w:val="21"/>
                <w:szCs w:val="21"/>
                <w:highlight w:val="none"/>
                <w:vertAlign w:val="baseline"/>
                <w:lang w:val="en-US" w:eastAsia="zh-CN"/>
              </w:rPr>
              <w:t>道路</w:t>
            </w:r>
            <w:r>
              <w:rPr>
                <w:rFonts w:hint="eastAsia" w:ascii="Times New Roman" w:hAnsi="Times New Roman" w:eastAsia="楷体" w:cs="Times New Roman"/>
                <w:b w:val="0"/>
                <w:bCs w:val="0"/>
                <w:color w:val="auto"/>
                <w:sz w:val="21"/>
                <w:szCs w:val="21"/>
                <w:highlight w:val="none"/>
                <w:vertAlign w:val="baseline"/>
                <w:lang w:val="en-US" w:eastAsia="zh-CN"/>
              </w:rPr>
              <w:t>工程</w:t>
            </w:r>
          </w:p>
        </w:tc>
        <w:tc>
          <w:tcPr>
            <w:tcW w:w="1000" w:type="pct"/>
            <w:vAlign w:val="center"/>
          </w:tcPr>
          <w:p w14:paraId="2B52949B">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eastAsia" w:ascii="Times New Roman" w:hAnsi="Times New Roman" w:eastAsia="楷体" w:cs="Times New Roman"/>
                <w:b w:val="0"/>
                <w:bCs w:val="0"/>
                <w:color w:val="auto"/>
                <w:sz w:val="21"/>
                <w:szCs w:val="21"/>
                <w:highlight w:val="none"/>
                <w:vertAlign w:val="baseline"/>
                <w:lang w:val="en-US" w:eastAsia="zh-CN"/>
              </w:rPr>
              <w:t>327</w:t>
            </w:r>
          </w:p>
        </w:tc>
        <w:tc>
          <w:tcPr>
            <w:tcW w:w="1000" w:type="pct"/>
            <w:vAlign w:val="center"/>
          </w:tcPr>
          <w:p w14:paraId="38301EC5">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r>
              <w:rPr>
                <w:rFonts w:hint="default" w:ascii="Times New Roman" w:hAnsi="Times New Roman" w:eastAsia="楷体" w:cs="Times New Roman"/>
                <w:b w:val="0"/>
                <w:bCs w:val="0"/>
                <w:color w:val="auto"/>
                <w:spacing w:val="-10"/>
                <w:w w:val="97"/>
                <w:position w:val="2"/>
                <w:sz w:val="24"/>
                <w:szCs w:val="24"/>
                <w:highlight w:val="none"/>
              </w:rPr>
              <w:t>m</w:t>
            </w:r>
            <w:r>
              <w:rPr>
                <w:rFonts w:hint="default" w:ascii="Times New Roman" w:hAnsi="Times New Roman" w:eastAsia="楷体" w:cs="Times New Roman"/>
                <w:b w:val="0"/>
                <w:bCs w:val="0"/>
                <w:color w:val="auto"/>
                <w:spacing w:val="4"/>
                <w:position w:val="9"/>
                <w:sz w:val="16"/>
                <w:szCs w:val="16"/>
                <w:highlight w:val="none"/>
              </w:rPr>
              <w:t>2</w:t>
            </w:r>
          </w:p>
        </w:tc>
        <w:tc>
          <w:tcPr>
            <w:tcW w:w="1012" w:type="pct"/>
            <w:vAlign w:val="center"/>
          </w:tcPr>
          <w:p w14:paraId="25111539">
            <w:pPr>
              <w:keepNext w:val="0"/>
              <w:keepLines w:val="0"/>
              <w:pageBreakBefore w:val="0"/>
              <w:kinsoku/>
              <w:wordWrap/>
              <w:overflowPunct/>
              <w:topLinePunct w:val="0"/>
              <w:autoSpaceDE/>
              <w:autoSpaceDN/>
              <w:bidi w:val="0"/>
              <w:adjustRightInd/>
              <w:snapToGrid/>
              <w:spacing w:beforeAutospacing="0" w:afterAutospacing="0" w:line="240" w:lineRule="auto"/>
              <w:ind w:left="0" w:leftChars="0"/>
              <w:jc w:val="center"/>
              <w:rPr>
                <w:rFonts w:hint="default" w:ascii="Times New Roman" w:hAnsi="Times New Roman" w:eastAsia="楷体" w:cs="Times New Roman"/>
                <w:b w:val="0"/>
                <w:bCs w:val="0"/>
                <w:color w:val="auto"/>
                <w:sz w:val="21"/>
                <w:szCs w:val="21"/>
                <w:highlight w:val="none"/>
                <w:vertAlign w:val="baseline"/>
                <w:lang w:val="en-US" w:eastAsia="zh-CN"/>
              </w:rPr>
            </w:pPr>
          </w:p>
        </w:tc>
      </w:tr>
    </w:tbl>
    <w:p w14:paraId="6A43099F">
      <w:pPr>
        <w:rPr>
          <w:rFonts w:hint="default"/>
          <w:color w:val="auto"/>
          <w:highlight w:val="none"/>
          <w:lang w:val="en-US" w:eastAsia="zh-CN"/>
        </w:rPr>
      </w:pPr>
      <w:r>
        <w:rPr>
          <w:rFonts w:hint="default"/>
          <w:color w:val="auto"/>
          <w:highlight w:val="none"/>
          <w:lang w:val="en-US" w:eastAsia="zh-CN"/>
        </w:rPr>
        <w:br w:type="page"/>
      </w:r>
    </w:p>
    <w:p w14:paraId="44E28943">
      <w:pPr>
        <w:keepNext/>
        <w:keepLines/>
        <w:spacing w:before="100" w:after="100"/>
        <w:ind w:firstLine="602" w:firstLineChars="200"/>
        <w:outlineLvl w:val="9"/>
        <w:rPr>
          <w:rFonts w:hint="default" w:ascii="Times New Roman" w:hAnsi="Times New Roman" w:eastAsia="楷体" w:cs="Times New Roman"/>
          <w:b/>
          <w:bCs/>
          <w:color w:val="auto"/>
          <w:sz w:val="30"/>
          <w:szCs w:val="30"/>
          <w:highlight w:val="none"/>
          <w:lang w:val="en-US" w:eastAsia="zh-CN"/>
        </w:rPr>
      </w:pPr>
      <w:bookmarkStart w:id="668" w:name="_Toc18566"/>
      <w:r>
        <w:rPr>
          <w:rFonts w:hint="default" w:ascii="Times New Roman" w:hAnsi="Times New Roman" w:eastAsia="楷体" w:cs="Times New Roman"/>
          <w:b/>
          <w:bCs/>
          <w:color w:val="auto"/>
          <w:sz w:val="30"/>
          <w:szCs w:val="30"/>
          <w:highlight w:val="none"/>
          <w:lang w:val="en-US" w:eastAsia="zh-CN"/>
        </w:rPr>
        <w:t>（2）工艺专业设备</w:t>
      </w:r>
      <w:bookmarkEnd w:id="668"/>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81"/>
        <w:gridCol w:w="3234"/>
        <w:gridCol w:w="3466"/>
        <w:gridCol w:w="1124"/>
        <w:gridCol w:w="883"/>
        <w:gridCol w:w="840"/>
        <w:gridCol w:w="3746"/>
      </w:tblGrid>
      <w:tr w14:paraId="681AA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5000" w:type="pct"/>
            <w:gridSpan w:val="7"/>
            <w:shd w:val="clear" w:color="auto" w:fill="auto"/>
            <w:vAlign w:val="center"/>
          </w:tcPr>
          <w:p w14:paraId="52C636B5">
            <w:pPr>
              <w:keepNext w:val="0"/>
              <w:keepLines w:val="0"/>
              <w:widowControl/>
              <w:suppressLineNumbers w:val="0"/>
              <w:jc w:val="left"/>
              <w:textAlignment w:val="center"/>
              <w:rPr>
                <w:rFonts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厂外工程</w:t>
            </w:r>
          </w:p>
        </w:tc>
      </w:tr>
      <w:tr w14:paraId="68850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7"/>
            <w:shd w:val="clear" w:color="auto" w:fill="auto"/>
            <w:vAlign w:val="center"/>
          </w:tcPr>
          <w:p w14:paraId="656D5CE8">
            <w:pPr>
              <w:keepNext w:val="0"/>
              <w:keepLines w:val="0"/>
              <w:widowControl/>
              <w:suppressLineNumbers w:val="0"/>
              <w:jc w:val="left"/>
              <w:textAlignment w:val="center"/>
              <w:rPr>
                <w:rFonts w:hint="default" w:ascii="Times New Roman" w:hAnsi="Times New Roman"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1.</w:t>
            </w:r>
            <w:r>
              <w:rPr>
                <w:rFonts w:hint="eastAsia" w:ascii="楷体" w:hAnsi="楷体" w:eastAsia="楷体" w:cs="楷体"/>
                <w:b/>
                <w:bCs/>
                <w:i w:val="0"/>
                <w:iCs w:val="0"/>
                <w:color w:val="auto"/>
                <w:kern w:val="0"/>
                <w:sz w:val="21"/>
                <w:szCs w:val="21"/>
                <w:highlight w:val="none"/>
                <w:u w:val="none"/>
                <w:lang w:val="en-US" w:eastAsia="zh-CN" w:bidi="ar"/>
              </w:rPr>
              <w:t>厂外提升泵站</w:t>
            </w:r>
          </w:p>
        </w:tc>
      </w:tr>
      <w:tr w14:paraId="6DEA9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688FDE0F">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序号</w:t>
            </w:r>
          </w:p>
        </w:tc>
        <w:tc>
          <w:tcPr>
            <w:tcW w:w="1140" w:type="pct"/>
            <w:shd w:val="clear" w:color="auto" w:fill="auto"/>
            <w:vAlign w:val="center"/>
          </w:tcPr>
          <w:p w14:paraId="3A75998F">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名称</w:t>
            </w:r>
          </w:p>
        </w:tc>
        <w:tc>
          <w:tcPr>
            <w:tcW w:w="1222" w:type="pct"/>
            <w:shd w:val="clear" w:color="auto" w:fill="auto"/>
            <w:vAlign w:val="center"/>
          </w:tcPr>
          <w:p w14:paraId="7FF92146">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规格</w:t>
            </w:r>
          </w:p>
        </w:tc>
        <w:tc>
          <w:tcPr>
            <w:tcW w:w="396" w:type="pct"/>
            <w:shd w:val="clear" w:color="auto" w:fill="auto"/>
            <w:vAlign w:val="center"/>
          </w:tcPr>
          <w:p w14:paraId="2BD61C56">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材料</w:t>
            </w:r>
          </w:p>
        </w:tc>
        <w:tc>
          <w:tcPr>
            <w:tcW w:w="311" w:type="pct"/>
            <w:shd w:val="clear" w:color="auto" w:fill="auto"/>
            <w:vAlign w:val="center"/>
          </w:tcPr>
          <w:p w14:paraId="0099D684">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单位</w:t>
            </w:r>
          </w:p>
        </w:tc>
        <w:tc>
          <w:tcPr>
            <w:tcW w:w="296" w:type="pct"/>
            <w:shd w:val="clear" w:color="auto" w:fill="auto"/>
            <w:vAlign w:val="center"/>
          </w:tcPr>
          <w:p w14:paraId="3FEBD506">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数量</w:t>
            </w:r>
          </w:p>
        </w:tc>
        <w:tc>
          <w:tcPr>
            <w:tcW w:w="1321" w:type="pct"/>
            <w:shd w:val="clear" w:color="auto" w:fill="auto"/>
            <w:vAlign w:val="center"/>
          </w:tcPr>
          <w:p w14:paraId="4DBBE07D">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备注</w:t>
            </w:r>
          </w:p>
        </w:tc>
      </w:tr>
      <w:tr w14:paraId="4C20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201B559A">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140" w:type="pct"/>
            <w:shd w:val="clear" w:color="auto" w:fill="auto"/>
            <w:vAlign w:val="center"/>
          </w:tcPr>
          <w:p w14:paraId="2C3A0196">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潜污泵</w:t>
            </w:r>
          </w:p>
        </w:tc>
        <w:tc>
          <w:tcPr>
            <w:tcW w:w="1222" w:type="pct"/>
            <w:shd w:val="clear" w:color="auto" w:fill="auto"/>
            <w:vAlign w:val="center"/>
          </w:tcPr>
          <w:p w14:paraId="0179515F">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Q=1625m³/h H=23m N=150kW</w:t>
            </w:r>
          </w:p>
        </w:tc>
        <w:tc>
          <w:tcPr>
            <w:tcW w:w="396" w:type="pct"/>
            <w:shd w:val="clear" w:color="auto" w:fill="auto"/>
            <w:vAlign w:val="center"/>
          </w:tcPr>
          <w:p w14:paraId="4B4790A0">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5D5523B5">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044A6DD5">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321" w:type="pct"/>
            <w:shd w:val="clear" w:color="auto" w:fill="auto"/>
            <w:vAlign w:val="center"/>
          </w:tcPr>
          <w:p w14:paraId="61DDF57A">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备</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楷体" w:hAnsi="楷体" w:eastAsia="楷体" w:cs="楷体"/>
                <w:i w:val="0"/>
                <w:iCs w:val="0"/>
                <w:color w:val="auto"/>
                <w:kern w:val="0"/>
                <w:sz w:val="21"/>
                <w:szCs w:val="21"/>
                <w:highlight w:val="none"/>
                <w:u w:val="none"/>
                <w:lang w:val="en-US" w:eastAsia="zh-CN" w:bidi="ar"/>
              </w:rPr>
              <w:t>全部变频</w:t>
            </w: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54914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375D5F2E">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140" w:type="pct"/>
            <w:shd w:val="clear" w:color="auto" w:fill="auto"/>
            <w:vAlign w:val="center"/>
          </w:tcPr>
          <w:p w14:paraId="5E807B55">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回转式细格栅</w:t>
            </w:r>
          </w:p>
        </w:tc>
        <w:tc>
          <w:tcPr>
            <w:tcW w:w="1222" w:type="pct"/>
            <w:shd w:val="clear" w:color="auto" w:fill="auto"/>
            <w:vAlign w:val="center"/>
          </w:tcPr>
          <w:p w14:paraId="001EF6E0">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B=1400 α=75° b=20mm H=6.6m N=1.5kW</w:t>
            </w:r>
          </w:p>
        </w:tc>
        <w:tc>
          <w:tcPr>
            <w:tcW w:w="396" w:type="pct"/>
            <w:shd w:val="clear" w:color="auto" w:fill="auto"/>
            <w:vAlign w:val="center"/>
          </w:tcPr>
          <w:p w14:paraId="3C38BF23">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7EEA6E37">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11ED4186">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1321" w:type="pct"/>
            <w:shd w:val="clear" w:color="auto" w:fill="auto"/>
            <w:vAlign w:val="center"/>
          </w:tcPr>
          <w:p w14:paraId="7C0DEB56">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备，出料口高度为</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米</w:t>
            </w:r>
          </w:p>
        </w:tc>
      </w:tr>
      <w:tr w14:paraId="50632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56B4BE02">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1140" w:type="pct"/>
            <w:shd w:val="clear" w:color="auto" w:fill="auto"/>
            <w:vAlign w:val="center"/>
          </w:tcPr>
          <w:p w14:paraId="195ACBC6">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栅渣输送机</w:t>
            </w:r>
          </w:p>
        </w:tc>
        <w:tc>
          <w:tcPr>
            <w:tcW w:w="1222" w:type="pct"/>
            <w:shd w:val="clear" w:color="auto" w:fill="auto"/>
            <w:vAlign w:val="center"/>
          </w:tcPr>
          <w:p w14:paraId="6CC7596E">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D=320mm L=8m N=2.2kW</w:t>
            </w:r>
          </w:p>
        </w:tc>
        <w:tc>
          <w:tcPr>
            <w:tcW w:w="396" w:type="pct"/>
            <w:shd w:val="clear" w:color="auto" w:fill="auto"/>
            <w:vAlign w:val="center"/>
          </w:tcPr>
          <w:p w14:paraId="00FF8937">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69A7CDBE">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2E223275">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301F6D10">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与格栅配套</w:t>
            </w:r>
          </w:p>
        </w:tc>
      </w:tr>
      <w:tr w14:paraId="3A4E5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0DB57EF2">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140" w:type="pct"/>
            <w:shd w:val="clear" w:color="auto" w:fill="auto"/>
            <w:vAlign w:val="center"/>
          </w:tcPr>
          <w:p w14:paraId="7F461E26">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栅渣箱</w:t>
            </w:r>
          </w:p>
        </w:tc>
        <w:tc>
          <w:tcPr>
            <w:tcW w:w="1222" w:type="pct"/>
            <w:shd w:val="clear" w:color="auto" w:fill="auto"/>
            <w:vAlign w:val="center"/>
          </w:tcPr>
          <w:p w14:paraId="7BA429D3">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V=2m³</w:t>
            </w:r>
          </w:p>
        </w:tc>
        <w:tc>
          <w:tcPr>
            <w:tcW w:w="396" w:type="pct"/>
            <w:shd w:val="clear" w:color="auto" w:fill="auto"/>
            <w:vAlign w:val="center"/>
          </w:tcPr>
          <w:p w14:paraId="3F87409B">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SS304</w:t>
            </w:r>
          </w:p>
        </w:tc>
        <w:tc>
          <w:tcPr>
            <w:tcW w:w="311" w:type="pct"/>
            <w:shd w:val="clear" w:color="auto" w:fill="auto"/>
            <w:vAlign w:val="center"/>
          </w:tcPr>
          <w:p w14:paraId="66368344">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1B4AF7F6">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024FF6C1">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6361C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3948D3B7">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140" w:type="pct"/>
            <w:shd w:val="clear" w:color="auto" w:fill="auto"/>
            <w:vAlign w:val="center"/>
          </w:tcPr>
          <w:p w14:paraId="63A3FAF0">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电动葫芦</w:t>
            </w:r>
          </w:p>
        </w:tc>
        <w:tc>
          <w:tcPr>
            <w:tcW w:w="1222" w:type="pct"/>
            <w:shd w:val="clear" w:color="auto" w:fill="auto"/>
            <w:vAlign w:val="center"/>
          </w:tcPr>
          <w:p w14:paraId="06A53777">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T=5t N=7.5+0.8kW H=12m</w:t>
            </w:r>
          </w:p>
        </w:tc>
        <w:tc>
          <w:tcPr>
            <w:tcW w:w="396" w:type="pct"/>
            <w:shd w:val="clear" w:color="auto" w:fill="auto"/>
            <w:vAlign w:val="center"/>
          </w:tcPr>
          <w:p w14:paraId="644039E4">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64E9AC51">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42A04920">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0087DEC9">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00771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53D5B013">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1140" w:type="pct"/>
            <w:shd w:val="clear" w:color="auto" w:fill="auto"/>
            <w:vAlign w:val="center"/>
          </w:tcPr>
          <w:p w14:paraId="40DA8A65">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电动铸铁镶铜圆闸门</w:t>
            </w:r>
          </w:p>
        </w:tc>
        <w:tc>
          <w:tcPr>
            <w:tcW w:w="1222" w:type="pct"/>
            <w:shd w:val="clear" w:color="auto" w:fill="auto"/>
            <w:vAlign w:val="center"/>
          </w:tcPr>
          <w:p w14:paraId="3124C840">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D=1800 </w:t>
            </w:r>
            <w:r>
              <w:rPr>
                <w:rFonts w:hint="eastAsia" w:ascii="楷体" w:hAnsi="楷体" w:eastAsia="楷体" w:cs="楷体"/>
                <w:i w:val="0"/>
                <w:iCs w:val="0"/>
                <w:color w:val="auto"/>
                <w:kern w:val="0"/>
                <w:sz w:val="21"/>
                <w:szCs w:val="21"/>
                <w:highlight w:val="none"/>
                <w:u w:val="none"/>
                <w:lang w:val="en-US" w:eastAsia="zh-CN" w:bidi="ar"/>
              </w:rPr>
              <w:t>双向止水</w:t>
            </w:r>
          </w:p>
        </w:tc>
        <w:tc>
          <w:tcPr>
            <w:tcW w:w="396" w:type="pct"/>
            <w:shd w:val="clear" w:color="auto" w:fill="auto"/>
            <w:vAlign w:val="center"/>
          </w:tcPr>
          <w:p w14:paraId="6A977A10">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515298BC">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3270896A">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56656927">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配套速闭闸启闭机</w:t>
            </w:r>
          </w:p>
        </w:tc>
      </w:tr>
      <w:tr w14:paraId="6D859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47C4E685">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1140" w:type="pct"/>
            <w:shd w:val="clear" w:color="auto" w:fill="auto"/>
            <w:vAlign w:val="center"/>
          </w:tcPr>
          <w:p w14:paraId="035BCE69">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电动铸铁镶铜方闸门</w:t>
            </w:r>
          </w:p>
        </w:tc>
        <w:tc>
          <w:tcPr>
            <w:tcW w:w="1222" w:type="pct"/>
            <w:shd w:val="clear" w:color="auto" w:fill="auto"/>
            <w:vAlign w:val="center"/>
          </w:tcPr>
          <w:p w14:paraId="23F56E5E">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1200×1200 </w:t>
            </w:r>
            <w:r>
              <w:rPr>
                <w:rFonts w:hint="eastAsia" w:ascii="楷体" w:hAnsi="楷体" w:eastAsia="楷体" w:cs="楷体"/>
                <w:i w:val="0"/>
                <w:iCs w:val="0"/>
                <w:color w:val="auto"/>
                <w:kern w:val="0"/>
                <w:sz w:val="21"/>
                <w:szCs w:val="21"/>
                <w:highlight w:val="none"/>
                <w:u w:val="none"/>
                <w:lang w:val="en-US" w:eastAsia="zh-CN" w:bidi="ar"/>
              </w:rPr>
              <w:t>双向止水</w:t>
            </w:r>
          </w:p>
        </w:tc>
        <w:tc>
          <w:tcPr>
            <w:tcW w:w="396" w:type="pct"/>
            <w:shd w:val="clear" w:color="auto" w:fill="auto"/>
            <w:vAlign w:val="center"/>
          </w:tcPr>
          <w:p w14:paraId="67F670A2">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5B8D0AD5">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6EF5A94A">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1321" w:type="pct"/>
            <w:shd w:val="clear" w:color="auto" w:fill="auto"/>
            <w:vAlign w:val="center"/>
          </w:tcPr>
          <w:p w14:paraId="0C4FE0F4">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带手电两用启闭机</w:t>
            </w:r>
          </w:p>
        </w:tc>
      </w:tr>
      <w:tr w14:paraId="1C49A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4CE91715">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1140" w:type="pct"/>
            <w:shd w:val="clear" w:color="auto" w:fill="auto"/>
            <w:vAlign w:val="center"/>
          </w:tcPr>
          <w:p w14:paraId="52E41729">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单法兰钢制偏心异径管</w:t>
            </w:r>
          </w:p>
        </w:tc>
        <w:tc>
          <w:tcPr>
            <w:tcW w:w="1222" w:type="pct"/>
            <w:shd w:val="clear" w:color="auto" w:fill="auto"/>
            <w:vAlign w:val="center"/>
          </w:tcPr>
          <w:p w14:paraId="6A8AE034">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DN600×300</w:t>
            </w:r>
          </w:p>
        </w:tc>
        <w:tc>
          <w:tcPr>
            <w:tcW w:w="396" w:type="pct"/>
            <w:shd w:val="clear" w:color="auto" w:fill="auto"/>
            <w:vAlign w:val="center"/>
          </w:tcPr>
          <w:p w14:paraId="5A81BE60">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Q235-A</w:t>
            </w:r>
          </w:p>
        </w:tc>
        <w:tc>
          <w:tcPr>
            <w:tcW w:w="311" w:type="pct"/>
            <w:shd w:val="clear" w:color="auto" w:fill="auto"/>
            <w:vAlign w:val="center"/>
          </w:tcPr>
          <w:p w14:paraId="69A2D5A5">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3F0285FD">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321" w:type="pct"/>
            <w:shd w:val="clear" w:color="auto" w:fill="auto"/>
            <w:vAlign w:val="center"/>
          </w:tcPr>
          <w:p w14:paraId="36513F5A">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02S403-64</w:t>
            </w:r>
          </w:p>
        </w:tc>
      </w:tr>
      <w:tr w14:paraId="0109A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7FAAE456">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w:t>
            </w:r>
          </w:p>
        </w:tc>
        <w:tc>
          <w:tcPr>
            <w:tcW w:w="1140" w:type="pct"/>
            <w:shd w:val="clear" w:color="auto" w:fill="auto"/>
            <w:vAlign w:val="center"/>
          </w:tcPr>
          <w:p w14:paraId="3A7389EF">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w:t>
            </w:r>
            <w:r>
              <w:rPr>
                <w:rFonts w:hint="eastAsia" w:ascii="楷体" w:hAnsi="楷体" w:eastAsia="楷体" w:cs="楷体"/>
                <w:i w:val="0"/>
                <w:iCs w:val="0"/>
                <w:color w:val="auto"/>
                <w:kern w:val="0"/>
                <w:sz w:val="21"/>
                <w:szCs w:val="21"/>
                <w:highlight w:val="none"/>
                <w:u w:val="none"/>
                <w:lang w:val="en-US" w:eastAsia="zh-CN" w:bidi="ar"/>
              </w:rPr>
              <w:t>钢制弯头</w:t>
            </w:r>
          </w:p>
        </w:tc>
        <w:tc>
          <w:tcPr>
            <w:tcW w:w="1222" w:type="pct"/>
            <w:shd w:val="clear" w:color="auto" w:fill="auto"/>
            <w:vAlign w:val="center"/>
          </w:tcPr>
          <w:p w14:paraId="4FCBB0EA">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DN600</w:t>
            </w:r>
          </w:p>
        </w:tc>
        <w:tc>
          <w:tcPr>
            <w:tcW w:w="396" w:type="pct"/>
            <w:shd w:val="clear" w:color="auto" w:fill="auto"/>
            <w:vAlign w:val="center"/>
          </w:tcPr>
          <w:p w14:paraId="2603653F">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Q235-A</w:t>
            </w:r>
          </w:p>
        </w:tc>
        <w:tc>
          <w:tcPr>
            <w:tcW w:w="311" w:type="pct"/>
            <w:shd w:val="clear" w:color="auto" w:fill="auto"/>
            <w:vAlign w:val="center"/>
          </w:tcPr>
          <w:p w14:paraId="5287EEA9">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396E5025">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321" w:type="pct"/>
            <w:shd w:val="clear" w:color="auto" w:fill="auto"/>
            <w:vAlign w:val="center"/>
          </w:tcPr>
          <w:p w14:paraId="6960F9CC">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02S403-8</w:t>
            </w:r>
          </w:p>
        </w:tc>
      </w:tr>
      <w:tr w14:paraId="0C0CC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33AAC98F">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1140" w:type="pct"/>
            <w:shd w:val="clear" w:color="auto" w:fill="auto"/>
            <w:vAlign w:val="center"/>
          </w:tcPr>
          <w:p w14:paraId="629391AD">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刚性防水套管</w:t>
            </w:r>
            <w:r>
              <w:rPr>
                <w:rFonts w:hint="default" w:ascii="Times New Roman" w:hAnsi="Times New Roman" w:eastAsia="楷体" w:cs="Times New Roman"/>
                <w:i w:val="0"/>
                <w:iCs w:val="0"/>
                <w:color w:val="auto"/>
                <w:kern w:val="0"/>
                <w:sz w:val="21"/>
                <w:szCs w:val="21"/>
                <w:highlight w:val="none"/>
                <w:u w:val="none"/>
                <w:lang w:val="en-US" w:eastAsia="zh-CN" w:bidi="ar"/>
              </w:rPr>
              <w:t>(A</w:t>
            </w:r>
            <w:r>
              <w:rPr>
                <w:rFonts w:hint="eastAsia" w:ascii="楷体" w:hAnsi="楷体" w:eastAsia="楷体" w:cs="楷体"/>
                <w:i w:val="0"/>
                <w:iCs w:val="0"/>
                <w:color w:val="auto"/>
                <w:kern w:val="0"/>
                <w:sz w:val="21"/>
                <w:szCs w:val="21"/>
                <w:highlight w:val="none"/>
                <w:u w:val="none"/>
                <w:lang w:val="en-US" w:eastAsia="zh-CN" w:bidi="ar"/>
              </w:rPr>
              <w:t>型</w:t>
            </w:r>
            <w:r>
              <w:rPr>
                <w:rFonts w:hint="default" w:ascii="Times New Roman" w:hAnsi="Times New Roman" w:eastAsia="楷体" w:cs="Times New Roman"/>
                <w:i w:val="0"/>
                <w:iCs w:val="0"/>
                <w:color w:val="auto"/>
                <w:kern w:val="0"/>
                <w:sz w:val="21"/>
                <w:szCs w:val="21"/>
                <w:highlight w:val="none"/>
                <w:u w:val="none"/>
                <w:lang w:val="en-US" w:eastAsia="zh-CN" w:bidi="ar"/>
              </w:rPr>
              <w:t>)</w:t>
            </w:r>
          </w:p>
        </w:tc>
        <w:tc>
          <w:tcPr>
            <w:tcW w:w="1222" w:type="pct"/>
            <w:shd w:val="clear" w:color="auto" w:fill="auto"/>
            <w:vAlign w:val="center"/>
          </w:tcPr>
          <w:p w14:paraId="208A64FF">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DN600</w:t>
            </w:r>
          </w:p>
        </w:tc>
        <w:tc>
          <w:tcPr>
            <w:tcW w:w="396" w:type="pct"/>
            <w:shd w:val="clear" w:color="auto" w:fill="auto"/>
            <w:vAlign w:val="center"/>
          </w:tcPr>
          <w:p w14:paraId="38187406">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Q235-A</w:t>
            </w:r>
          </w:p>
        </w:tc>
        <w:tc>
          <w:tcPr>
            <w:tcW w:w="311" w:type="pct"/>
            <w:shd w:val="clear" w:color="auto" w:fill="auto"/>
            <w:vAlign w:val="center"/>
          </w:tcPr>
          <w:p w14:paraId="4BEC093A">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71A00E93">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1321" w:type="pct"/>
            <w:shd w:val="clear" w:color="auto" w:fill="auto"/>
            <w:vAlign w:val="center"/>
          </w:tcPr>
          <w:p w14:paraId="3A6D6222">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02S404-15</w:t>
            </w:r>
          </w:p>
        </w:tc>
      </w:tr>
      <w:tr w14:paraId="2C34E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36AD31AB">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11</w:t>
            </w:r>
          </w:p>
        </w:tc>
        <w:tc>
          <w:tcPr>
            <w:tcW w:w="1140" w:type="pct"/>
            <w:shd w:val="clear" w:color="auto" w:fill="auto"/>
            <w:vAlign w:val="center"/>
          </w:tcPr>
          <w:p w14:paraId="4B6869D7">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刚性防水套管</w:t>
            </w:r>
            <w:r>
              <w:rPr>
                <w:rFonts w:hint="default" w:ascii="Times New Roman" w:hAnsi="Times New Roman" w:eastAsia="楷体" w:cs="Times New Roman"/>
                <w:i w:val="0"/>
                <w:iCs w:val="0"/>
                <w:color w:val="auto"/>
                <w:kern w:val="0"/>
                <w:sz w:val="21"/>
                <w:szCs w:val="21"/>
                <w:highlight w:val="none"/>
                <w:u w:val="none"/>
                <w:lang w:val="en-US" w:eastAsia="zh-CN" w:bidi="ar"/>
              </w:rPr>
              <w:t>(A</w:t>
            </w:r>
            <w:r>
              <w:rPr>
                <w:rFonts w:hint="eastAsia" w:ascii="楷体" w:hAnsi="楷体" w:eastAsia="楷体" w:cs="楷体"/>
                <w:i w:val="0"/>
                <w:iCs w:val="0"/>
                <w:color w:val="auto"/>
                <w:kern w:val="0"/>
                <w:sz w:val="21"/>
                <w:szCs w:val="21"/>
                <w:highlight w:val="none"/>
                <w:u w:val="none"/>
                <w:lang w:val="en-US" w:eastAsia="zh-CN" w:bidi="ar"/>
              </w:rPr>
              <w:t>型</w:t>
            </w:r>
            <w:r>
              <w:rPr>
                <w:rFonts w:hint="default" w:ascii="Times New Roman" w:hAnsi="Times New Roman" w:eastAsia="楷体" w:cs="Times New Roman"/>
                <w:i w:val="0"/>
                <w:iCs w:val="0"/>
                <w:color w:val="auto"/>
                <w:kern w:val="0"/>
                <w:sz w:val="21"/>
                <w:szCs w:val="21"/>
                <w:highlight w:val="none"/>
                <w:u w:val="none"/>
                <w:lang w:val="en-US" w:eastAsia="zh-CN" w:bidi="ar"/>
              </w:rPr>
              <w:t>)</w:t>
            </w:r>
          </w:p>
        </w:tc>
        <w:tc>
          <w:tcPr>
            <w:tcW w:w="1222" w:type="pct"/>
            <w:shd w:val="clear" w:color="auto" w:fill="auto"/>
            <w:vAlign w:val="center"/>
          </w:tcPr>
          <w:p w14:paraId="4077B51B">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DN1200</w:t>
            </w:r>
          </w:p>
        </w:tc>
        <w:tc>
          <w:tcPr>
            <w:tcW w:w="396" w:type="pct"/>
            <w:shd w:val="clear" w:color="auto" w:fill="auto"/>
            <w:vAlign w:val="center"/>
          </w:tcPr>
          <w:p w14:paraId="25CB3593">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Q235-A</w:t>
            </w:r>
          </w:p>
        </w:tc>
        <w:tc>
          <w:tcPr>
            <w:tcW w:w="311" w:type="pct"/>
            <w:shd w:val="clear" w:color="auto" w:fill="auto"/>
            <w:vAlign w:val="center"/>
          </w:tcPr>
          <w:p w14:paraId="2C98B30D">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48A62834">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56416DAC">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02S404-15</w:t>
            </w:r>
          </w:p>
        </w:tc>
      </w:tr>
      <w:tr w14:paraId="2170E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05E0CB1A">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12</w:t>
            </w:r>
          </w:p>
        </w:tc>
        <w:tc>
          <w:tcPr>
            <w:tcW w:w="1140" w:type="pct"/>
            <w:shd w:val="clear" w:color="auto" w:fill="auto"/>
            <w:vAlign w:val="center"/>
          </w:tcPr>
          <w:p w14:paraId="1F0AFA9F">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微阻缓闭止回阀</w:t>
            </w:r>
          </w:p>
        </w:tc>
        <w:tc>
          <w:tcPr>
            <w:tcW w:w="1222" w:type="pct"/>
            <w:shd w:val="clear" w:color="auto" w:fill="auto"/>
            <w:vAlign w:val="center"/>
          </w:tcPr>
          <w:p w14:paraId="22C04E6B">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DN600 PN=1.0MPa</w:t>
            </w:r>
          </w:p>
        </w:tc>
        <w:tc>
          <w:tcPr>
            <w:tcW w:w="396" w:type="pct"/>
            <w:shd w:val="clear" w:color="auto" w:fill="auto"/>
            <w:vAlign w:val="center"/>
          </w:tcPr>
          <w:p w14:paraId="46F4147A">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15F67066">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4C62E5A5">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321" w:type="pct"/>
            <w:shd w:val="clear" w:color="auto" w:fill="auto"/>
            <w:vAlign w:val="center"/>
          </w:tcPr>
          <w:p w14:paraId="7B425915">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59DEF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3581A2C3">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13</w:t>
            </w:r>
          </w:p>
        </w:tc>
        <w:tc>
          <w:tcPr>
            <w:tcW w:w="1140" w:type="pct"/>
            <w:shd w:val="clear" w:color="auto" w:fill="auto"/>
            <w:vAlign w:val="center"/>
          </w:tcPr>
          <w:p w14:paraId="02E123A7">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电动法兰式蝶阀</w:t>
            </w:r>
          </w:p>
        </w:tc>
        <w:tc>
          <w:tcPr>
            <w:tcW w:w="1222" w:type="pct"/>
            <w:shd w:val="clear" w:color="auto" w:fill="auto"/>
            <w:vAlign w:val="center"/>
          </w:tcPr>
          <w:p w14:paraId="543DD99C">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DN600 PN=1.0MPa</w:t>
            </w:r>
          </w:p>
        </w:tc>
        <w:tc>
          <w:tcPr>
            <w:tcW w:w="396" w:type="pct"/>
            <w:shd w:val="clear" w:color="auto" w:fill="auto"/>
            <w:vAlign w:val="center"/>
          </w:tcPr>
          <w:p w14:paraId="3F797DD6">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13259030">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63A2C761">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321" w:type="pct"/>
            <w:shd w:val="clear" w:color="auto" w:fill="auto"/>
            <w:vAlign w:val="center"/>
          </w:tcPr>
          <w:p w14:paraId="5B7ED014">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71BFF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18B48D60">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14</w:t>
            </w:r>
          </w:p>
        </w:tc>
        <w:tc>
          <w:tcPr>
            <w:tcW w:w="1140" w:type="pct"/>
            <w:shd w:val="clear" w:color="auto" w:fill="auto"/>
            <w:vAlign w:val="center"/>
          </w:tcPr>
          <w:p w14:paraId="39946810">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手动法兰式蝶阀</w:t>
            </w:r>
          </w:p>
        </w:tc>
        <w:tc>
          <w:tcPr>
            <w:tcW w:w="1222" w:type="pct"/>
            <w:shd w:val="clear" w:color="auto" w:fill="auto"/>
            <w:vAlign w:val="center"/>
          </w:tcPr>
          <w:p w14:paraId="10D2A3C4">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DN600 PN=1.0MPa</w:t>
            </w:r>
          </w:p>
        </w:tc>
        <w:tc>
          <w:tcPr>
            <w:tcW w:w="396" w:type="pct"/>
            <w:shd w:val="clear" w:color="auto" w:fill="auto"/>
            <w:vAlign w:val="center"/>
          </w:tcPr>
          <w:p w14:paraId="23A8B582">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0671B10E">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0421B0E6">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321" w:type="pct"/>
            <w:shd w:val="clear" w:color="auto" w:fill="auto"/>
            <w:vAlign w:val="center"/>
          </w:tcPr>
          <w:p w14:paraId="578B378A">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0EFEB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4F2DD207">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1140" w:type="pct"/>
            <w:shd w:val="clear" w:color="auto" w:fill="auto"/>
            <w:vAlign w:val="center"/>
          </w:tcPr>
          <w:p w14:paraId="496D17A8">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手动铸铁镶铜方闸门</w:t>
            </w:r>
          </w:p>
        </w:tc>
        <w:tc>
          <w:tcPr>
            <w:tcW w:w="1222" w:type="pct"/>
            <w:shd w:val="clear" w:color="auto" w:fill="auto"/>
            <w:vAlign w:val="center"/>
          </w:tcPr>
          <w:p w14:paraId="0CF3AFB1">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1200×1200</w:t>
            </w:r>
            <w:r>
              <w:rPr>
                <w:rFonts w:hint="eastAsia" w:ascii="楷体" w:hAnsi="楷体" w:eastAsia="楷体" w:cs="楷体"/>
                <w:i w:val="0"/>
                <w:iCs w:val="0"/>
                <w:color w:val="auto"/>
                <w:kern w:val="0"/>
                <w:sz w:val="21"/>
                <w:szCs w:val="21"/>
                <w:highlight w:val="none"/>
                <w:u w:val="none"/>
                <w:lang w:val="en-US" w:eastAsia="zh-CN" w:bidi="ar"/>
              </w:rPr>
              <w:t>双向止水</w:t>
            </w:r>
          </w:p>
        </w:tc>
        <w:tc>
          <w:tcPr>
            <w:tcW w:w="396" w:type="pct"/>
            <w:shd w:val="clear" w:color="auto" w:fill="auto"/>
            <w:vAlign w:val="center"/>
          </w:tcPr>
          <w:p w14:paraId="489454AC">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5D71DE9E">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35CBFCB5">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53B0F861">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带手动启闭机</w:t>
            </w:r>
          </w:p>
        </w:tc>
      </w:tr>
      <w:tr w14:paraId="51143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4FE978E5">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16</w:t>
            </w:r>
          </w:p>
        </w:tc>
        <w:tc>
          <w:tcPr>
            <w:tcW w:w="1140" w:type="pct"/>
            <w:shd w:val="clear" w:color="auto" w:fill="auto"/>
            <w:vAlign w:val="center"/>
          </w:tcPr>
          <w:p w14:paraId="406CA68F">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离子除臭装置</w:t>
            </w:r>
          </w:p>
        </w:tc>
        <w:tc>
          <w:tcPr>
            <w:tcW w:w="1222" w:type="pct"/>
            <w:shd w:val="clear" w:color="auto" w:fill="auto"/>
            <w:vAlign w:val="center"/>
          </w:tcPr>
          <w:p w14:paraId="122A30B0">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Q=7000m³/h N=5kW</w:t>
            </w:r>
          </w:p>
        </w:tc>
        <w:tc>
          <w:tcPr>
            <w:tcW w:w="396" w:type="pct"/>
            <w:shd w:val="clear" w:color="auto" w:fill="auto"/>
            <w:vAlign w:val="center"/>
          </w:tcPr>
          <w:p w14:paraId="3E339F6A">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462880BD">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277FF880">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5D0AE81F">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含连接管道及阀门</w:t>
            </w:r>
          </w:p>
        </w:tc>
      </w:tr>
      <w:tr w14:paraId="39282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16F4DED9">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17</w:t>
            </w:r>
          </w:p>
        </w:tc>
        <w:tc>
          <w:tcPr>
            <w:tcW w:w="1140" w:type="pct"/>
            <w:shd w:val="clear" w:color="auto" w:fill="auto"/>
            <w:vAlign w:val="center"/>
          </w:tcPr>
          <w:p w14:paraId="4E87044C">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离子除臭风机</w:t>
            </w:r>
          </w:p>
        </w:tc>
        <w:tc>
          <w:tcPr>
            <w:tcW w:w="1222" w:type="pct"/>
            <w:shd w:val="clear" w:color="auto" w:fill="auto"/>
            <w:vAlign w:val="center"/>
          </w:tcPr>
          <w:p w14:paraId="6C0CB087">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Q=7000m³/h N=7.5kW</w:t>
            </w:r>
          </w:p>
        </w:tc>
        <w:tc>
          <w:tcPr>
            <w:tcW w:w="396" w:type="pct"/>
            <w:shd w:val="clear" w:color="auto" w:fill="auto"/>
            <w:vAlign w:val="center"/>
          </w:tcPr>
          <w:p w14:paraId="11551207">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475E993D">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62D25BC8">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55074AC8">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0D5EC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5000" w:type="pct"/>
            <w:gridSpan w:val="7"/>
            <w:shd w:val="clear" w:color="auto" w:fill="auto"/>
            <w:vAlign w:val="center"/>
          </w:tcPr>
          <w:p w14:paraId="1A806C0C">
            <w:pPr>
              <w:keepNext w:val="0"/>
              <w:keepLines w:val="0"/>
              <w:widowControl/>
              <w:suppressLineNumbers w:val="0"/>
              <w:jc w:val="left"/>
              <w:textAlignment w:val="center"/>
              <w:rPr>
                <w:rFonts w:hint="default" w:ascii="Times New Roman" w:hAnsi="Times New Roman"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2.</w:t>
            </w:r>
            <w:r>
              <w:rPr>
                <w:rFonts w:hint="eastAsia" w:ascii="楷体" w:hAnsi="楷体" w:eastAsia="楷体" w:cs="楷体"/>
                <w:b/>
                <w:bCs/>
                <w:i w:val="0"/>
                <w:iCs w:val="0"/>
                <w:color w:val="auto"/>
                <w:kern w:val="0"/>
                <w:sz w:val="21"/>
                <w:szCs w:val="21"/>
                <w:highlight w:val="none"/>
                <w:u w:val="none"/>
                <w:lang w:val="en-US" w:eastAsia="zh-CN" w:bidi="ar"/>
              </w:rPr>
              <w:t>厂外管道</w:t>
            </w:r>
          </w:p>
        </w:tc>
      </w:tr>
      <w:tr w14:paraId="70665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402ADF57">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序号</w:t>
            </w:r>
          </w:p>
        </w:tc>
        <w:tc>
          <w:tcPr>
            <w:tcW w:w="1140" w:type="pct"/>
            <w:shd w:val="clear" w:color="auto" w:fill="auto"/>
            <w:vAlign w:val="center"/>
          </w:tcPr>
          <w:p w14:paraId="4EB13D93">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名称</w:t>
            </w:r>
          </w:p>
        </w:tc>
        <w:tc>
          <w:tcPr>
            <w:tcW w:w="1222" w:type="pct"/>
            <w:shd w:val="clear" w:color="auto" w:fill="auto"/>
            <w:vAlign w:val="center"/>
          </w:tcPr>
          <w:p w14:paraId="34FDF96D">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规格</w:t>
            </w:r>
          </w:p>
        </w:tc>
        <w:tc>
          <w:tcPr>
            <w:tcW w:w="396" w:type="pct"/>
            <w:shd w:val="clear" w:color="auto" w:fill="auto"/>
            <w:vAlign w:val="center"/>
          </w:tcPr>
          <w:p w14:paraId="70AD891B">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材料</w:t>
            </w:r>
          </w:p>
        </w:tc>
        <w:tc>
          <w:tcPr>
            <w:tcW w:w="311" w:type="pct"/>
            <w:shd w:val="clear" w:color="auto" w:fill="auto"/>
            <w:vAlign w:val="center"/>
          </w:tcPr>
          <w:p w14:paraId="3D75714F">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单位</w:t>
            </w:r>
          </w:p>
        </w:tc>
        <w:tc>
          <w:tcPr>
            <w:tcW w:w="296" w:type="pct"/>
            <w:shd w:val="clear" w:color="auto" w:fill="auto"/>
            <w:vAlign w:val="center"/>
          </w:tcPr>
          <w:p w14:paraId="39C4C4CA">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数量</w:t>
            </w:r>
          </w:p>
        </w:tc>
        <w:tc>
          <w:tcPr>
            <w:tcW w:w="1321" w:type="pct"/>
            <w:shd w:val="clear" w:color="auto" w:fill="auto"/>
            <w:vAlign w:val="center"/>
          </w:tcPr>
          <w:p w14:paraId="35AC6817">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备注</w:t>
            </w:r>
          </w:p>
        </w:tc>
      </w:tr>
      <w:tr w14:paraId="46BDE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59D7AFBD">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140" w:type="pct"/>
            <w:shd w:val="clear" w:color="auto" w:fill="auto"/>
            <w:vAlign w:val="center"/>
          </w:tcPr>
          <w:p w14:paraId="18EE63B7">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焊接钢管</w:t>
            </w:r>
          </w:p>
        </w:tc>
        <w:tc>
          <w:tcPr>
            <w:tcW w:w="1222" w:type="pct"/>
            <w:shd w:val="clear" w:color="auto" w:fill="auto"/>
            <w:vAlign w:val="center"/>
          </w:tcPr>
          <w:p w14:paraId="60DA0614">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D1220×10</w:t>
            </w:r>
          </w:p>
        </w:tc>
        <w:tc>
          <w:tcPr>
            <w:tcW w:w="396" w:type="pct"/>
            <w:shd w:val="clear" w:color="auto" w:fill="auto"/>
            <w:vAlign w:val="center"/>
          </w:tcPr>
          <w:p w14:paraId="7DCBF20B">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Q235B</w:t>
            </w:r>
          </w:p>
        </w:tc>
        <w:tc>
          <w:tcPr>
            <w:tcW w:w="311" w:type="pct"/>
            <w:shd w:val="clear" w:color="auto" w:fill="auto"/>
            <w:vAlign w:val="center"/>
          </w:tcPr>
          <w:p w14:paraId="3F63AF13">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米</w:t>
            </w:r>
          </w:p>
        </w:tc>
        <w:tc>
          <w:tcPr>
            <w:tcW w:w="296" w:type="pct"/>
            <w:shd w:val="clear" w:color="auto" w:fill="auto"/>
            <w:vAlign w:val="center"/>
          </w:tcPr>
          <w:p w14:paraId="5CD5F6FD">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6800</w:t>
            </w:r>
          </w:p>
        </w:tc>
        <w:tc>
          <w:tcPr>
            <w:tcW w:w="1321" w:type="pct"/>
            <w:shd w:val="clear" w:color="auto" w:fill="auto"/>
            <w:vAlign w:val="center"/>
          </w:tcPr>
          <w:p w14:paraId="47ED0665">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开挖施工，覆土</w:t>
            </w:r>
            <w:r>
              <w:rPr>
                <w:rFonts w:hint="default" w:ascii="Times New Roman" w:hAnsi="Times New Roman" w:eastAsia="楷体" w:cs="Times New Roman"/>
                <w:i w:val="0"/>
                <w:iCs w:val="0"/>
                <w:color w:val="auto"/>
                <w:kern w:val="0"/>
                <w:sz w:val="21"/>
                <w:szCs w:val="21"/>
                <w:highlight w:val="none"/>
                <w:u w:val="none"/>
                <w:lang w:val="en-US" w:eastAsia="zh-CN" w:bidi="ar"/>
              </w:rPr>
              <w:t>1.2~2.2m</w:t>
            </w:r>
          </w:p>
        </w:tc>
      </w:tr>
      <w:tr w14:paraId="4F32C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27179913">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140" w:type="pct"/>
            <w:shd w:val="clear" w:color="auto" w:fill="auto"/>
            <w:vAlign w:val="center"/>
          </w:tcPr>
          <w:p w14:paraId="2E4D984C">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焊接钢管</w:t>
            </w:r>
          </w:p>
        </w:tc>
        <w:tc>
          <w:tcPr>
            <w:tcW w:w="1222" w:type="pct"/>
            <w:shd w:val="clear" w:color="auto" w:fill="auto"/>
            <w:vAlign w:val="center"/>
          </w:tcPr>
          <w:p w14:paraId="3A499FDA">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D1020×9</w:t>
            </w:r>
          </w:p>
        </w:tc>
        <w:tc>
          <w:tcPr>
            <w:tcW w:w="396" w:type="pct"/>
            <w:shd w:val="clear" w:color="auto" w:fill="auto"/>
            <w:vAlign w:val="center"/>
          </w:tcPr>
          <w:p w14:paraId="44BF5155">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Q235B</w:t>
            </w:r>
          </w:p>
        </w:tc>
        <w:tc>
          <w:tcPr>
            <w:tcW w:w="311" w:type="pct"/>
            <w:shd w:val="clear" w:color="auto" w:fill="auto"/>
            <w:vAlign w:val="center"/>
          </w:tcPr>
          <w:p w14:paraId="512696B3">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米</w:t>
            </w:r>
          </w:p>
        </w:tc>
        <w:tc>
          <w:tcPr>
            <w:tcW w:w="296" w:type="pct"/>
            <w:shd w:val="clear" w:color="auto" w:fill="auto"/>
            <w:vAlign w:val="center"/>
          </w:tcPr>
          <w:p w14:paraId="3226C8AD">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920</w:t>
            </w:r>
          </w:p>
        </w:tc>
        <w:tc>
          <w:tcPr>
            <w:tcW w:w="1321" w:type="pct"/>
            <w:shd w:val="clear" w:color="auto" w:fill="auto"/>
            <w:vAlign w:val="center"/>
          </w:tcPr>
          <w:p w14:paraId="721E203F">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开挖施工，覆土</w:t>
            </w:r>
            <w:r>
              <w:rPr>
                <w:rFonts w:hint="default" w:ascii="Times New Roman" w:hAnsi="Times New Roman" w:eastAsia="楷体" w:cs="Times New Roman"/>
                <w:i w:val="0"/>
                <w:iCs w:val="0"/>
                <w:color w:val="auto"/>
                <w:kern w:val="0"/>
                <w:sz w:val="21"/>
                <w:szCs w:val="21"/>
                <w:highlight w:val="none"/>
                <w:u w:val="none"/>
                <w:lang w:val="en-US" w:eastAsia="zh-CN" w:bidi="ar"/>
              </w:rPr>
              <w:t>1.2~2.2m</w:t>
            </w:r>
          </w:p>
        </w:tc>
      </w:tr>
      <w:tr w14:paraId="71F84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561AE98A">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1140" w:type="pct"/>
            <w:shd w:val="clear" w:color="auto" w:fill="auto"/>
            <w:vAlign w:val="center"/>
          </w:tcPr>
          <w:p w14:paraId="55DDEDB1">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w:t>
            </w:r>
            <w:r>
              <w:rPr>
                <w:rFonts w:hint="eastAsia" w:ascii="楷体" w:hAnsi="楷体" w:eastAsia="楷体" w:cs="楷体"/>
                <w:i w:val="0"/>
                <w:iCs w:val="0"/>
                <w:color w:val="auto"/>
                <w:kern w:val="0"/>
                <w:sz w:val="21"/>
                <w:szCs w:val="21"/>
                <w:highlight w:val="none"/>
                <w:u w:val="none"/>
                <w:lang w:val="en-US" w:eastAsia="zh-CN" w:bidi="ar"/>
              </w:rPr>
              <w:t>弯头</w:t>
            </w:r>
          </w:p>
        </w:tc>
        <w:tc>
          <w:tcPr>
            <w:tcW w:w="1222" w:type="pct"/>
            <w:shd w:val="clear" w:color="auto" w:fill="auto"/>
            <w:vAlign w:val="center"/>
          </w:tcPr>
          <w:p w14:paraId="280CE0EE">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DN1200</w:t>
            </w:r>
            <w:r>
              <w:rPr>
                <w:rFonts w:hint="eastAsia" w:ascii="Times New Roman" w:hAnsi="Times New Roman" w:eastAsia="宋体" w:cs="Times New Roman"/>
                <w:i w:val="0"/>
                <w:iCs w:val="0"/>
                <w:color w:val="auto"/>
                <w:kern w:val="0"/>
                <w:sz w:val="21"/>
                <w:szCs w:val="21"/>
                <w:highlight w:val="none"/>
                <w:u w:val="none"/>
                <w:lang w:val="en-US" w:eastAsia="zh-CN" w:bidi="ar"/>
              </w:rPr>
              <w:t xml:space="preserve"> </w:t>
            </w:r>
            <w:r>
              <w:rPr>
                <w:rFonts w:hint="default" w:ascii="Times New Roman" w:hAnsi="Times New Roman" w:eastAsia="宋体" w:cs="Times New Roman"/>
                <w:i w:val="0"/>
                <w:iCs w:val="0"/>
                <w:color w:val="auto"/>
                <w:kern w:val="0"/>
                <w:sz w:val="21"/>
                <w:szCs w:val="21"/>
                <w:highlight w:val="none"/>
                <w:u w:val="none"/>
                <w:lang w:val="en-US" w:eastAsia="zh-CN" w:bidi="ar"/>
              </w:rPr>
              <w:t>0.1MPa</w:t>
            </w:r>
          </w:p>
        </w:tc>
        <w:tc>
          <w:tcPr>
            <w:tcW w:w="396" w:type="pct"/>
            <w:shd w:val="clear" w:color="auto" w:fill="auto"/>
            <w:vAlign w:val="center"/>
          </w:tcPr>
          <w:p w14:paraId="6FB2577E">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Q235B</w:t>
            </w:r>
          </w:p>
        </w:tc>
        <w:tc>
          <w:tcPr>
            <w:tcW w:w="311" w:type="pct"/>
            <w:shd w:val="clear" w:color="auto" w:fill="auto"/>
            <w:vAlign w:val="center"/>
          </w:tcPr>
          <w:p w14:paraId="7ABB42C1">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6D9FEF11">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29</w:t>
            </w:r>
          </w:p>
        </w:tc>
        <w:tc>
          <w:tcPr>
            <w:tcW w:w="1321" w:type="pct"/>
            <w:shd w:val="clear" w:color="auto" w:fill="auto"/>
            <w:vAlign w:val="center"/>
          </w:tcPr>
          <w:p w14:paraId="26304F92">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3F980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2BA699CF">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140" w:type="pct"/>
            <w:shd w:val="clear" w:color="auto" w:fill="auto"/>
            <w:vAlign w:val="center"/>
          </w:tcPr>
          <w:p w14:paraId="7242D8A1">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w:t>
            </w:r>
            <w:r>
              <w:rPr>
                <w:rFonts w:hint="eastAsia" w:ascii="楷体" w:hAnsi="楷体" w:eastAsia="楷体" w:cs="楷体"/>
                <w:i w:val="0"/>
                <w:iCs w:val="0"/>
                <w:color w:val="auto"/>
                <w:kern w:val="0"/>
                <w:sz w:val="21"/>
                <w:szCs w:val="21"/>
                <w:highlight w:val="none"/>
                <w:u w:val="none"/>
                <w:lang w:val="en-US" w:eastAsia="zh-CN" w:bidi="ar"/>
              </w:rPr>
              <w:t>弯头</w:t>
            </w:r>
          </w:p>
        </w:tc>
        <w:tc>
          <w:tcPr>
            <w:tcW w:w="1222" w:type="pct"/>
            <w:shd w:val="clear" w:color="auto" w:fill="auto"/>
            <w:vAlign w:val="center"/>
          </w:tcPr>
          <w:p w14:paraId="71FE9FC5">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DN1000 0.1MPa</w:t>
            </w:r>
          </w:p>
        </w:tc>
        <w:tc>
          <w:tcPr>
            <w:tcW w:w="396" w:type="pct"/>
            <w:shd w:val="clear" w:color="auto" w:fill="auto"/>
            <w:vAlign w:val="center"/>
          </w:tcPr>
          <w:p w14:paraId="388BF067">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Q235B</w:t>
            </w:r>
          </w:p>
        </w:tc>
        <w:tc>
          <w:tcPr>
            <w:tcW w:w="311" w:type="pct"/>
            <w:shd w:val="clear" w:color="auto" w:fill="auto"/>
            <w:vAlign w:val="center"/>
          </w:tcPr>
          <w:p w14:paraId="5AAA751B">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16DB854D">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7BEB7EA4">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54998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7C345DEF">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140" w:type="pct"/>
            <w:shd w:val="clear" w:color="auto" w:fill="auto"/>
            <w:vAlign w:val="center"/>
          </w:tcPr>
          <w:p w14:paraId="5E66D70B">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等径三通</w:t>
            </w:r>
          </w:p>
        </w:tc>
        <w:tc>
          <w:tcPr>
            <w:tcW w:w="1222" w:type="pct"/>
            <w:shd w:val="clear" w:color="auto" w:fill="auto"/>
            <w:vAlign w:val="center"/>
          </w:tcPr>
          <w:p w14:paraId="1DB104B7">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DN1200</w:t>
            </w:r>
          </w:p>
        </w:tc>
        <w:tc>
          <w:tcPr>
            <w:tcW w:w="396" w:type="pct"/>
            <w:shd w:val="clear" w:color="auto" w:fill="auto"/>
            <w:vAlign w:val="center"/>
          </w:tcPr>
          <w:p w14:paraId="7F260A39">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Q235B</w:t>
            </w:r>
          </w:p>
        </w:tc>
        <w:tc>
          <w:tcPr>
            <w:tcW w:w="311" w:type="pct"/>
            <w:shd w:val="clear" w:color="auto" w:fill="auto"/>
            <w:vAlign w:val="center"/>
          </w:tcPr>
          <w:p w14:paraId="36BDDFA8">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065817B9">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5D29090B">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735E6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1F9106E6">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1140" w:type="pct"/>
            <w:shd w:val="clear" w:color="auto" w:fill="auto"/>
            <w:vAlign w:val="center"/>
          </w:tcPr>
          <w:p w14:paraId="02826202">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异径管</w:t>
            </w:r>
          </w:p>
        </w:tc>
        <w:tc>
          <w:tcPr>
            <w:tcW w:w="1222" w:type="pct"/>
            <w:shd w:val="clear" w:color="auto" w:fill="auto"/>
            <w:vAlign w:val="center"/>
          </w:tcPr>
          <w:p w14:paraId="02BEC2C2">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DN1200×1000</w:t>
            </w:r>
          </w:p>
        </w:tc>
        <w:tc>
          <w:tcPr>
            <w:tcW w:w="396" w:type="pct"/>
            <w:shd w:val="clear" w:color="auto" w:fill="auto"/>
            <w:vAlign w:val="center"/>
          </w:tcPr>
          <w:p w14:paraId="71D03A0E">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Q235B</w:t>
            </w:r>
          </w:p>
        </w:tc>
        <w:tc>
          <w:tcPr>
            <w:tcW w:w="311" w:type="pct"/>
            <w:shd w:val="clear" w:color="auto" w:fill="auto"/>
            <w:vAlign w:val="center"/>
          </w:tcPr>
          <w:p w14:paraId="0398E6C5">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64EC004F">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2A7534E9">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459A6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06D80BFD">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1140" w:type="pct"/>
            <w:shd w:val="clear" w:color="auto" w:fill="auto"/>
            <w:vAlign w:val="center"/>
          </w:tcPr>
          <w:p w14:paraId="7A32194F">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蝶阀井</w:t>
            </w:r>
          </w:p>
        </w:tc>
        <w:tc>
          <w:tcPr>
            <w:tcW w:w="1222" w:type="pct"/>
            <w:shd w:val="clear" w:color="auto" w:fill="auto"/>
            <w:vAlign w:val="center"/>
          </w:tcPr>
          <w:p w14:paraId="1F6B9125">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φ3200</w:t>
            </w:r>
          </w:p>
        </w:tc>
        <w:tc>
          <w:tcPr>
            <w:tcW w:w="396" w:type="pct"/>
            <w:shd w:val="clear" w:color="auto" w:fill="auto"/>
            <w:vAlign w:val="center"/>
          </w:tcPr>
          <w:p w14:paraId="635A855A">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钢筋砼</w:t>
            </w:r>
          </w:p>
        </w:tc>
        <w:tc>
          <w:tcPr>
            <w:tcW w:w="311" w:type="pct"/>
            <w:shd w:val="clear" w:color="auto" w:fill="auto"/>
            <w:vAlign w:val="center"/>
          </w:tcPr>
          <w:p w14:paraId="0315A7D2">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座</w:t>
            </w:r>
          </w:p>
        </w:tc>
        <w:tc>
          <w:tcPr>
            <w:tcW w:w="296" w:type="pct"/>
            <w:shd w:val="clear" w:color="auto" w:fill="auto"/>
            <w:vAlign w:val="center"/>
          </w:tcPr>
          <w:p w14:paraId="0B42EDE7">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4F4DC30E">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DN1200</w:t>
            </w:r>
          </w:p>
        </w:tc>
      </w:tr>
      <w:tr w14:paraId="270F6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7D9F69C0">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1140" w:type="pct"/>
            <w:shd w:val="clear" w:color="auto" w:fill="auto"/>
            <w:vAlign w:val="center"/>
          </w:tcPr>
          <w:p w14:paraId="6950188C">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蝶阀井</w:t>
            </w:r>
          </w:p>
        </w:tc>
        <w:tc>
          <w:tcPr>
            <w:tcW w:w="1222" w:type="pct"/>
            <w:shd w:val="clear" w:color="auto" w:fill="auto"/>
            <w:vAlign w:val="center"/>
          </w:tcPr>
          <w:p w14:paraId="559087FD">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φ3200</w:t>
            </w:r>
          </w:p>
        </w:tc>
        <w:tc>
          <w:tcPr>
            <w:tcW w:w="396" w:type="pct"/>
            <w:shd w:val="clear" w:color="auto" w:fill="auto"/>
            <w:vAlign w:val="center"/>
          </w:tcPr>
          <w:p w14:paraId="0D534D06">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钢筋砼</w:t>
            </w:r>
          </w:p>
        </w:tc>
        <w:tc>
          <w:tcPr>
            <w:tcW w:w="311" w:type="pct"/>
            <w:shd w:val="clear" w:color="auto" w:fill="auto"/>
            <w:vAlign w:val="center"/>
          </w:tcPr>
          <w:p w14:paraId="7B2D30AF">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座</w:t>
            </w:r>
          </w:p>
        </w:tc>
        <w:tc>
          <w:tcPr>
            <w:tcW w:w="296" w:type="pct"/>
            <w:shd w:val="clear" w:color="auto" w:fill="auto"/>
            <w:vAlign w:val="center"/>
          </w:tcPr>
          <w:p w14:paraId="1C1B04D8">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6E966D36">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DN1000</w:t>
            </w:r>
          </w:p>
        </w:tc>
      </w:tr>
      <w:tr w14:paraId="003E5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45195612">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w:t>
            </w:r>
          </w:p>
        </w:tc>
        <w:tc>
          <w:tcPr>
            <w:tcW w:w="1140" w:type="pct"/>
            <w:shd w:val="clear" w:color="auto" w:fill="auto"/>
            <w:vAlign w:val="center"/>
          </w:tcPr>
          <w:p w14:paraId="6C05AF91">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排气阀</w:t>
            </w:r>
          </w:p>
        </w:tc>
        <w:tc>
          <w:tcPr>
            <w:tcW w:w="1222" w:type="pct"/>
            <w:shd w:val="clear" w:color="auto" w:fill="auto"/>
            <w:vAlign w:val="center"/>
          </w:tcPr>
          <w:p w14:paraId="5AA67703">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DN200</w:t>
            </w:r>
          </w:p>
        </w:tc>
        <w:tc>
          <w:tcPr>
            <w:tcW w:w="396" w:type="pct"/>
            <w:shd w:val="clear" w:color="auto" w:fill="auto"/>
            <w:vAlign w:val="center"/>
          </w:tcPr>
          <w:p w14:paraId="38B0832D">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607BCB0E">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007555FE">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321" w:type="pct"/>
            <w:shd w:val="clear" w:color="auto" w:fill="auto"/>
            <w:vAlign w:val="center"/>
          </w:tcPr>
          <w:p w14:paraId="6F6781A1">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7AC21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36E08E94">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1140" w:type="pct"/>
            <w:shd w:val="clear" w:color="auto" w:fill="auto"/>
            <w:vAlign w:val="center"/>
          </w:tcPr>
          <w:p w14:paraId="695E2F31">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钢制三通</w:t>
            </w:r>
          </w:p>
        </w:tc>
        <w:tc>
          <w:tcPr>
            <w:tcW w:w="1222" w:type="pct"/>
            <w:shd w:val="clear" w:color="auto" w:fill="auto"/>
            <w:vAlign w:val="center"/>
          </w:tcPr>
          <w:p w14:paraId="3D94537A">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DN1200×200</w:t>
            </w:r>
          </w:p>
        </w:tc>
        <w:tc>
          <w:tcPr>
            <w:tcW w:w="396" w:type="pct"/>
            <w:shd w:val="clear" w:color="auto" w:fill="auto"/>
            <w:vAlign w:val="center"/>
          </w:tcPr>
          <w:p w14:paraId="75DFBB4E">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Q235B</w:t>
            </w:r>
          </w:p>
        </w:tc>
        <w:tc>
          <w:tcPr>
            <w:tcW w:w="311" w:type="pct"/>
            <w:shd w:val="clear" w:color="auto" w:fill="auto"/>
            <w:vAlign w:val="center"/>
          </w:tcPr>
          <w:p w14:paraId="204077B0">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32D7A044">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321" w:type="pct"/>
            <w:shd w:val="clear" w:color="auto" w:fill="auto"/>
            <w:vAlign w:val="center"/>
          </w:tcPr>
          <w:p w14:paraId="0F76CBB2">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排气阀配套</w:t>
            </w:r>
          </w:p>
        </w:tc>
      </w:tr>
      <w:tr w14:paraId="2DA90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1F529AE4">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11</w:t>
            </w:r>
          </w:p>
        </w:tc>
        <w:tc>
          <w:tcPr>
            <w:tcW w:w="1140" w:type="pct"/>
            <w:shd w:val="clear" w:color="auto" w:fill="auto"/>
            <w:vAlign w:val="center"/>
          </w:tcPr>
          <w:p w14:paraId="344B5315">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蝶阀</w:t>
            </w:r>
          </w:p>
        </w:tc>
        <w:tc>
          <w:tcPr>
            <w:tcW w:w="1222" w:type="pct"/>
            <w:shd w:val="clear" w:color="auto" w:fill="auto"/>
            <w:vAlign w:val="center"/>
          </w:tcPr>
          <w:p w14:paraId="71A8D6C6">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DN200</w:t>
            </w:r>
          </w:p>
        </w:tc>
        <w:tc>
          <w:tcPr>
            <w:tcW w:w="396" w:type="pct"/>
            <w:shd w:val="clear" w:color="auto" w:fill="auto"/>
            <w:vAlign w:val="center"/>
          </w:tcPr>
          <w:p w14:paraId="260E60CA">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241AA237">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077B9A6D">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321" w:type="pct"/>
            <w:shd w:val="clear" w:color="auto" w:fill="auto"/>
            <w:vAlign w:val="center"/>
          </w:tcPr>
          <w:p w14:paraId="44CB8BC4">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排气阀配套</w:t>
            </w:r>
          </w:p>
        </w:tc>
      </w:tr>
      <w:tr w14:paraId="2BF9E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42B491F7">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12</w:t>
            </w:r>
          </w:p>
        </w:tc>
        <w:tc>
          <w:tcPr>
            <w:tcW w:w="1140" w:type="pct"/>
            <w:shd w:val="clear" w:color="auto" w:fill="auto"/>
            <w:vAlign w:val="center"/>
          </w:tcPr>
          <w:p w14:paraId="3F101929">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排泥井</w:t>
            </w:r>
          </w:p>
        </w:tc>
        <w:tc>
          <w:tcPr>
            <w:tcW w:w="1222" w:type="pct"/>
            <w:shd w:val="clear" w:color="auto" w:fill="auto"/>
            <w:vAlign w:val="center"/>
          </w:tcPr>
          <w:p w14:paraId="4838F746">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φ1200</w:t>
            </w:r>
          </w:p>
        </w:tc>
        <w:tc>
          <w:tcPr>
            <w:tcW w:w="396" w:type="pct"/>
            <w:shd w:val="clear" w:color="auto" w:fill="auto"/>
            <w:vAlign w:val="center"/>
          </w:tcPr>
          <w:p w14:paraId="5FE71DCE">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钢筋砼</w:t>
            </w:r>
          </w:p>
        </w:tc>
        <w:tc>
          <w:tcPr>
            <w:tcW w:w="311" w:type="pct"/>
            <w:shd w:val="clear" w:color="auto" w:fill="auto"/>
            <w:vAlign w:val="center"/>
          </w:tcPr>
          <w:p w14:paraId="33B40E28">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座</w:t>
            </w:r>
          </w:p>
        </w:tc>
        <w:tc>
          <w:tcPr>
            <w:tcW w:w="296" w:type="pct"/>
            <w:shd w:val="clear" w:color="auto" w:fill="auto"/>
            <w:vAlign w:val="center"/>
          </w:tcPr>
          <w:p w14:paraId="5F870FF4">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321" w:type="pct"/>
            <w:shd w:val="clear" w:color="auto" w:fill="auto"/>
            <w:vAlign w:val="center"/>
          </w:tcPr>
          <w:p w14:paraId="1D314CB3">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DN400</w:t>
            </w:r>
          </w:p>
        </w:tc>
      </w:tr>
      <w:tr w14:paraId="16E2D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2F6FB87E">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13</w:t>
            </w:r>
          </w:p>
        </w:tc>
        <w:tc>
          <w:tcPr>
            <w:tcW w:w="1140" w:type="pct"/>
            <w:shd w:val="clear" w:color="auto" w:fill="auto"/>
            <w:vAlign w:val="center"/>
          </w:tcPr>
          <w:p w14:paraId="67A15B18">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闸阀井</w:t>
            </w:r>
          </w:p>
        </w:tc>
        <w:tc>
          <w:tcPr>
            <w:tcW w:w="1222" w:type="pct"/>
            <w:shd w:val="clear" w:color="auto" w:fill="auto"/>
            <w:vAlign w:val="center"/>
          </w:tcPr>
          <w:p w14:paraId="03A14386">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φ4000</w:t>
            </w:r>
          </w:p>
        </w:tc>
        <w:tc>
          <w:tcPr>
            <w:tcW w:w="396" w:type="pct"/>
            <w:shd w:val="clear" w:color="auto" w:fill="auto"/>
            <w:vAlign w:val="center"/>
          </w:tcPr>
          <w:p w14:paraId="24BC2604">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钢筋砼</w:t>
            </w:r>
          </w:p>
        </w:tc>
        <w:tc>
          <w:tcPr>
            <w:tcW w:w="311" w:type="pct"/>
            <w:shd w:val="clear" w:color="auto" w:fill="auto"/>
            <w:vAlign w:val="center"/>
          </w:tcPr>
          <w:p w14:paraId="6126AC3C">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座</w:t>
            </w:r>
          </w:p>
        </w:tc>
        <w:tc>
          <w:tcPr>
            <w:tcW w:w="296" w:type="pct"/>
            <w:shd w:val="clear" w:color="auto" w:fill="auto"/>
            <w:vAlign w:val="center"/>
          </w:tcPr>
          <w:p w14:paraId="7197E534">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5ABEA767">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DN1200</w:t>
            </w:r>
            <w:r>
              <w:rPr>
                <w:rFonts w:hint="eastAsia" w:ascii="楷体" w:hAnsi="楷体" w:eastAsia="楷体" w:cs="楷体"/>
                <w:i w:val="0"/>
                <w:iCs w:val="0"/>
                <w:color w:val="auto"/>
                <w:kern w:val="0"/>
                <w:sz w:val="21"/>
                <w:szCs w:val="21"/>
                <w:highlight w:val="none"/>
                <w:u w:val="none"/>
                <w:lang w:val="en-US" w:eastAsia="zh-CN" w:bidi="ar"/>
              </w:rPr>
              <w:t>放空</w:t>
            </w:r>
          </w:p>
        </w:tc>
      </w:tr>
      <w:tr w14:paraId="4CA3B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3CEAC2FE">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14</w:t>
            </w:r>
          </w:p>
        </w:tc>
        <w:tc>
          <w:tcPr>
            <w:tcW w:w="1140" w:type="pct"/>
            <w:shd w:val="clear" w:color="auto" w:fill="auto"/>
            <w:vAlign w:val="center"/>
          </w:tcPr>
          <w:p w14:paraId="09C8C2E0">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蝶阀井</w:t>
            </w:r>
          </w:p>
        </w:tc>
        <w:tc>
          <w:tcPr>
            <w:tcW w:w="1222" w:type="pct"/>
            <w:shd w:val="clear" w:color="auto" w:fill="auto"/>
            <w:vAlign w:val="center"/>
          </w:tcPr>
          <w:p w14:paraId="79FB92C6">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φ3200</w:t>
            </w:r>
          </w:p>
        </w:tc>
        <w:tc>
          <w:tcPr>
            <w:tcW w:w="396" w:type="pct"/>
            <w:shd w:val="clear" w:color="auto" w:fill="auto"/>
            <w:vAlign w:val="center"/>
          </w:tcPr>
          <w:p w14:paraId="2E15617D">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钢筋砼</w:t>
            </w:r>
          </w:p>
        </w:tc>
        <w:tc>
          <w:tcPr>
            <w:tcW w:w="311" w:type="pct"/>
            <w:shd w:val="clear" w:color="auto" w:fill="auto"/>
            <w:vAlign w:val="center"/>
          </w:tcPr>
          <w:p w14:paraId="0E96083A">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座</w:t>
            </w:r>
          </w:p>
        </w:tc>
        <w:tc>
          <w:tcPr>
            <w:tcW w:w="296" w:type="pct"/>
            <w:shd w:val="clear" w:color="auto" w:fill="auto"/>
            <w:vAlign w:val="center"/>
          </w:tcPr>
          <w:p w14:paraId="640EF3B9">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1CDF0383">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DN1200</w:t>
            </w:r>
            <w:r>
              <w:rPr>
                <w:rFonts w:hint="eastAsia" w:ascii="楷体" w:hAnsi="楷体" w:eastAsia="楷体" w:cs="楷体"/>
                <w:i w:val="0"/>
                <w:iCs w:val="0"/>
                <w:color w:val="auto"/>
                <w:kern w:val="0"/>
                <w:sz w:val="21"/>
                <w:szCs w:val="21"/>
                <w:highlight w:val="none"/>
                <w:u w:val="none"/>
                <w:lang w:val="en-US" w:eastAsia="zh-CN" w:bidi="ar"/>
              </w:rPr>
              <w:t>放空</w:t>
            </w:r>
          </w:p>
        </w:tc>
      </w:tr>
      <w:tr w14:paraId="0A514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5000" w:type="pct"/>
            <w:gridSpan w:val="7"/>
            <w:shd w:val="clear" w:color="auto" w:fill="auto"/>
            <w:vAlign w:val="center"/>
          </w:tcPr>
          <w:p w14:paraId="5D2C819B">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厂内工程</w:t>
            </w:r>
          </w:p>
        </w:tc>
      </w:tr>
      <w:tr w14:paraId="6E790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5000" w:type="pct"/>
            <w:gridSpan w:val="7"/>
            <w:shd w:val="clear" w:color="auto" w:fill="auto"/>
            <w:vAlign w:val="center"/>
          </w:tcPr>
          <w:p w14:paraId="449FC34B">
            <w:pPr>
              <w:keepNext w:val="0"/>
              <w:keepLines w:val="0"/>
              <w:widowControl/>
              <w:suppressLineNumbers w:val="0"/>
              <w:jc w:val="left"/>
              <w:textAlignment w:val="center"/>
              <w:rPr>
                <w:rFonts w:hint="default" w:ascii="Times New Roman" w:hAnsi="Times New Roman"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1.</w:t>
            </w:r>
            <w:r>
              <w:rPr>
                <w:rFonts w:hint="eastAsia" w:ascii="楷体" w:hAnsi="楷体" w:eastAsia="楷体" w:cs="楷体"/>
                <w:b/>
                <w:bCs/>
                <w:i w:val="0"/>
                <w:iCs w:val="0"/>
                <w:color w:val="auto"/>
                <w:kern w:val="0"/>
                <w:sz w:val="21"/>
                <w:szCs w:val="21"/>
                <w:highlight w:val="none"/>
                <w:u w:val="none"/>
                <w:lang w:val="en-US" w:eastAsia="zh-CN" w:bidi="ar"/>
              </w:rPr>
              <w:t>中、细格栅</w:t>
            </w:r>
          </w:p>
        </w:tc>
      </w:tr>
      <w:tr w14:paraId="4E1E4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57C9AB3B">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序号</w:t>
            </w:r>
          </w:p>
        </w:tc>
        <w:tc>
          <w:tcPr>
            <w:tcW w:w="1140" w:type="pct"/>
            <w:shd w:val="clear" w:color="auto" w:fill="auto"/>
            <w:vAlign w:val="center"/>
          </w:tcPr>
          <w:p w14:paraId="186613ED">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名称</w:t>
            </w:r>
          </w:p>
        </w:tc>
        <w:tc>
          <w:tcPr>
            <w:tcW w:w="1222" w:type="pct"/>
            <w:shd w:val="clear" w:color="auto" w:fill="auto"/>
            <w:vAlign w:val="center"/>
          </w:tcPr>
          <w:p w14:paraId="291F4E64">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规格</w:t>
            </w:r>
          </w:p>
        </w:tc>
        <w:tc>
          <w:tcPr>
            <w:tcW w:w="396" w:type="pct"/>
            <w:shd w:val="clear" w:color="auto" w:fill="auto"/>
            <w:vAlign w:val="center"/>
          </w:tcPr>
          <w:p w14:paraId="6764AC3B">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材料</w:t>
            </w:r>
          </w:p>
        </w:tc>
        <w:tc>
          <w:tcPr>
            <w:tcW w:w="311" w:type="pct"/>
            <w:shd w:val="clear" w:color="auto" w:fill="auto"/>
            <w:vAlign w:val="center"/>
          </w:tcPr>
          <w:p w14:paraId="19BE08F5">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单位</w:t>
            </w:r>
          </w:p>
        </w:tc>
        <w:tc>
          <w:tcPr>
            <w:tcW w:w="296" w:type="pct"/>
            <w:shd w:val="clear" w:color="auto" w:fill="auto"/>
            <w:vAlign w:val="center"/>
          </w:tcPr>
          <w:p w14:paraId="29D68CF2">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数量</w:t>
            </w:r>
          </w:p>
        </w:tc>
        <w:tc>
          <w:tcPr>
            <w:tcW w:w="1321" w:type="pct"/>
            <w:shd w:val="clear" w:color="auto" w:fill="auto"/>
            <w:vAlign w:val="center"/>
          </w:tcPr>
          <w:p w14:paraId="318D8D8C">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备注</w:t>
            </w:r>
          </w:p>
        </w:tc>
      </w:tr>
      <w:tr w14:paraId="071ED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0C757459">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140" w:type="pct"/>
            <w:shd w:val="clear" w:color="auto" w:fill="auto"/>
            <w:vAlign w:val="center"/>
          </w:tcPr>
          <w:p w14:paraId="601AEC29">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孔板回转式中格栅</w:t>
            </w:r>
          </w:p>
        </w:tc>
        <w:tc>
          <w:tcPr>
            <w:tcW w:w="1222" w:type="pct"/>
            <w:shd w:val="clear" w:color="auto" w:fill="auto"/>
            <w:vAlign w:val="center"/>
          </w:tcPr>
          <w:p w14:paraId="0D2F3E43">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b=6mm L=1500mm 0.75+1.5kW</w:t>
            </w:r>
          </w:p>
        </w:tc>
        <w:tc>
          <w:tcPr>
            <w:tcW w:w="396" w:type="pct"/>
            <w:shd w:val="clear" w:color="auto" w:fill="auto"/>
            <w:vAlign w:val="center"/>
          </w:tcPr>
          <w:p w14:paraId="181DD552">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7A27464A">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5715978F">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321" w:type="pct"/>
            <w:shd w:val="clear" w:color="auto" w:fill="auto"/>
            <w:vAlign w:val="center"/>
          </w:tcPr>
          <w:p w14:paraId="1FA16BF8">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备</w:t>
            </w:r>
          </w:p>
        </w:tc>
      </w:tr>
      <w:tr w14:paraId="58846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4D1256C5">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140" w:type="pct"/>
            <w:shd w:val="clear" w:color="auto" w:fill="auto"/>
            <w:vAlign w:val="center"/>
          </w:tcPr>
          <w:p w14:paraId="3FC865FB">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内进流式细格栅</w:t>
            </w:r>
          </w:p>
        </w:tc>
        <w:tc>
          <w:tcPr>
            <w:tcW w:w="1222" w:type="pct"/>
            <w:shd w:val="clear" w:color="auto" w:fill="auto"/>
            <w:vAlign w:val="center"/>
          </w:tcPr>
          <w:p w14:paraId="6CF49B2D">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b=3mm</w:t>
            </w:r>
            <w:r>
              <w:rPr>
                <w:rFonts w:hint="eastAsia" w:ascii="Times New Roman" w:hAnsi="Times New Roman" w:eastAsia="宋体" w:cs="Times New Roman"/>
                <w:i w:val="0"/>
                <w:iCs w:val="0"/>
                <w:color w:val="auto"/>
                <w:kern w:val="0"/>
                <w:sz w:val="21"/>
                <w:szCs w:val="21"/>
                <w:highlight w:val="none"/>
                <w:u w:val="none"/>
                <w:lang w:val="en-US" w:eastAsia="zh-CN" w:bidi="ar"/>
              </w:rPr>
              <w:t xml:space="preserve"> </w:t>
            </w:r>
            <w:r>
              <w:rPr>
                <w:rFonts w:hint="default" w:ascii="Times New Roman" w:hAnsi="Times New Roman" w:eastAsia="宋体" w:cs="Times New Roman"/>
                <w:i w:val="0"/>
                <w:iCs w:val="0"/>
                <w:color w:val="auto"/>
                <w:kern w:val="0"/>
                <w:sz w:val="21"/>
                <w:szCs w:val="21"/>
                <w:highlight w:val="none"/>
                <w:u w:val="none"/>
                <w:lang w:val="en-US" w:eastAsia="zh-CN" w:bidi="ar"/>
              </w:rPr>
              <w:t>L=1500mm 1.1+1.5kW</w:t>
            </w:r>
          </w:p>
        </w:tc>
        <w:tc>
          <w:tcPr>
            <w:tcW w:w="396" w:type="pct"/>
            <w:shd w:val="clear" w:color="auto" w:fill="auto"/>
            <w:vAlign w:val="center"/>
          </w:tcPr>
          <w:p w14:paraId="11B2161A">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2A4C2E0C">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3264CFB3">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321" w:type="pct"/>
            <w:shd w:val="clear" w:color="auto" w:fill="auto"/>
            <w:vAlign w:val="center"/>
          </w:tcPr>
          <w:p w14:paraId="384ABE3C">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备</w:t>
            </w:r>
          </w:p>
        </w:tc>
      </w:tr>
      <w:tr w14:paraId="25AB7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17A59C87">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1140" w:type="pct"/>
            <w:shd w:val="clear" w:color="auto" w:fill="auto"/>
            <w:vAlign w:val="center"/>
          </w:tcPr>
          <w:p w14:paraId="6C937C5A">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U</w:t>
            </w:r>
            <w:r>
              <w:rPr>
                <w:rFonts w:hint="eastAsia" w:ascii="楷体" w:hAnsi="楷体" w:eastAsia="楷体" w:cs="楷体"/>
                <w:i w:val="0"/>
                <w:iCs w:val="0"/>
                <w:color w:val="auto"/>
                <w:kern w:val="0"/>
                <w:sz w:val="21"/>
                <w:szCs w:val="21"/>
                <w:highlight w:val="none"/>
                <w:u w:val="none"/>
                <w:lang w:val="en-US" w:eastAsia="zh-CN" w:bidi="ar"/>
              </w:rPr>
              <w:t>型溜槽</w:t>
            </w:r>
          </w:p>
        </w:tc>
        <w:tc>
          <w:tcPr>
            <w:tcW w:w="1222" w:type="pct"/>
            <w:shd w:val="clear" w:color="auto" w:fill="auto"/>
            <w:vAlign w:val="center"/>
          </w:tcPr>
          <w:p w14:paraId="011117D6">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槽宽</w:t>
            </w:r>
            <w:r>
              <w:rPr>
                <w:rFonts w:hint="default" w:ascii="Times New Roman" w:hAnsi="Times New Roman" w:eastAsia="楷体" w:cs="Times New Roman"/>
                <w:i w:val="0"/>
                <w:iCs w:val="0"/>
                <w:color w:val="auto"/>
                <w:kern w:val="0"/>
                <w:sz w:val="21"/>
                <w:szCs w:val="21"/>
                <w:highlight w:val="none"/>
                <w:u w:val="none"/>
                <w:lang w:val="en-US" w:eastAsia="zh-CN" w:bidi="ar"/>
              </w:rPr>
              <w:t>300mm</w:t>
            </w:r>
          </w:p>
        </w:tc>
        <w:tc>
          <w:tcPr>
            <w:tcW w:w="396" w:type="pct"/>
            <w:shd w:val="clear" w:color="auto" w:fill="auto"/>
            <w:vAlign w:val="center"/>
          </w:tcPr>
          <w:p w14:paraId="1C94A4AF">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78CEB7BE">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1EA7C5CD">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02F7F1A4">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含水平、垂直溜槽</w:t>
            </w:r>
          </w:p>
        </w:tc>
      </w:tr>
      <w:tr w14:paraId="5684F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151D107D">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140" w:type="pct"/>
            <w:shd w:val="clear" w:color="auto" w:fill="auto"/>
            <w:vAlign w:val="center"/>
          </w:tcPr>
          <w:p w14:paraId="5E08F4CA">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螺旋压榨机</w:t>
            </w:r>
          </w:p>
        </w:tc>
        <w:tc>
          <w:tcPr>
            <w:tcW w:w="1222" w:type="pct"/>
            <w:shd w:val="clear" w:color="auto" w:fill="auto"/>
            <w:vAlign w:val="center"/>
          </w:tcPr>
          <w:p w14:paraId="757E45CE">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Q=2.0~3.5m³/h N=5.5kW</w:t>
            </w:r>
          </w:p>
        </w:tc>
        <w:tc>
          <w:tcPr>
            <w:tcW w:w="396" w:type="pct"/>
            <w:shd w:val="clear" w:color="auto" w:fill="auto"/>
            <w:vAlign w:val="center"/>
          </w:tcPr>
          <w:p w14:paraId="52F598D8">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6859315E">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25C5275D">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0B15567D">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57B23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211432BC">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140" w:type="pct"/>
            <w:shd w:val="clear" w:color="auto" w:fill="auto"/>
            <w:vAlign w:val="center"/>
          </w:tcPr>
          <w:p w14:paraId="0B5ABA36">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水箱</w:t>
            </w:r>
          </w:p>
        </w:tc>
        <w:tc>
          <w:tcPr>
            <w:tcW w:w="1222" w:type="pct"/>
            <w:shd w:val="clear" w:color="auto" w:fill="auto"/>
            <w:vAlign w:val="center"/>
          </w:tcPr>
          <w:p w14:paraId="724A51B7">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V=10.0m³</w:t>
            </w:r>
          </w:p>
        </w:tc>
        <w:tc>
          <w:tcPr>
            <w:tcW w:w="396" w:type="pct"/>
            <w:shd w:val="clear" w:color="auto" w:fill="auto"/>
            <w:vAlign w:val="center"/>
          </w:tcPr>
          <w:p w14:paraId="6B0EC777">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SS304</w:t>
            </w:r>
          </w:p>
        </w:tc>
        <w:tc>
          <w:tcPr>
            <w:tcW w:w="311" w:type="pct"/>
            <w:shd w:val="clear" w:color="auto" w:fill="auto"/>
            <w:vAlign w:val="center"/>
          </w:tcPr>
          <w:p w14:paraId="4DF6868F">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590888A9">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3D718A97">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301D0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24F3479E">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1140" w:type="pct"/>
            <w:shd w:val="clear" w:color="auto" w:fill="auto"/>
            <w:vAlign w:val="center"/>
          </w:tcPr>
          <w:p w14:paraId="11CD7B97">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冲洗水泵</w:t>
            </w:r>
          </w:p>
        </w:tc>
        <w:tc>
          <w:tcPr>
            <w:tcW w:w="1222" w:type="pct"/>
            <w:shd w:val="clear" w:color="auto" w:fill="auto"/>
            <w:vAlign w:val="center"/>
          </w:tcPr>
          <w:p w14:paraId="7782BB24">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Q=20m³/h H=82m N=7.5kW</w:t>
            </w:r>
          </w:p>
        </w:tc>
        <w:tc>
          <w:tcPr>
            <w:tcW w:w="396" w:type="pct"/>
            <w:shd w:val="clear" w:color="auto" w:fill="auto"/>
            <w:vAlign w:val="center"/>
          </w:tcPr>
          <w:p w14:paraId="23E9E5C9">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734FA21C">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5BB97267">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1321" w:type="pct"/>
            <w:shd w:val="clear" w:color="auto" w:fill="auto"/>
            <w:vAlign w:val="center"/>
          </w:tcPr>
          <w:p w14:paraId="727B85A7">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备，阀门管件配套提供</w:t>
            </w:r>
          </w:p>
        </w:tc>
      </w:tr>
      <w:tr w14:paraId="07084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021EE9E6">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1140" w:type="pct"/>
            <w:shd w:val="clear" w:color="auto" w:fill="auto"/>
            <w:vAlign w:val="center"/>
          </w:tcPr>
          <w:p w14:paraId="2373162A">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手电动渠道闸门</w:t>
            </w:r>
          </w:p>
        </w:tc>
        <w:tc>
          <w:tcPr>
            <w:tcW w:w="1222" w:type="pct"/>
            <w:shd w:val="clear" w:color="auto" w:fill="auto"/>
            <w:vAlign w:val="center"/>
          </w:tcPr>
          <w:p w14:paraId="78D12539">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1500×1800</w:t>
            </w:r>
          </w:p>
        </w:tc>
        <w:tc>
          <w:tcPr>
            <w:tcW w:w="396" w:type="pct"/>
            <w:shd w:val="clear" w:color="auto" w:fill="auto"/>
            <w:vAlign w:val="center"/>
          </w:tcPr>
          <w:p w14:paraId="0B9496FD">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SS304</w:t>
            </w:r>
          </w:p>
        </w:tc>
        <w:tc>
          <w:tcPr>
            <w:tcW w:w="311" w:type="pct"/>
            <w:shd w:val="clear" w:color="auto" w:fill="auto"/>
            <w:vAlign w:val="center"/>
          </w:tcPr>
          <w:p w14:paraId="64058EE8">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0082E280">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16</w:t>
            </w:r>
          </w:p>
        </w:tc>
        <w:tc>
          <w:tcPr>
            <w:tcW w:w="1321" w:type="pct"/>
            <w:shd w:val="clear" w:color="auto" w:fill="auto"/>
            <w:vAlign w:val="center"/>
          </w:tcPr>
          <w:p w14:paraId="1F6D4380">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含手、电动启闭机</w:t>
            </w:r>
          </w:p>
        </w:tc>
      </w:tr>
      <w:tr w14:paraId="03047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605DE6B2">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1140" w:type="pct"/>
            <w:shd w:val="clear" w:color="auto" w:fill="auto"/>
            <w:vAlign w:val="center"/>
          </w:tcPr>
          <w:p w14:paraId="3AF3C475">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罗茨鼓风机</w:t>
            </w:r>
          </w:p>
        </w:tc>
        <w:tc>
          <w:tcPr>
            <w:tcW w:w="1222" w:type="pct"/>
            <w:shd w:val="clear" w:color="auto" w:fill="auto"/>
            <w:vAlign w:val="center"/>
          </w:tcPr>
          <w:p w14:paraId="3A9E2EF6">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Q=20m³/min P=49.0kpa N=22kW</w:t>
            </w:r>
          </w:p>
        </w:tc>
        <w:tc>
          <w:tcPr>
            <w:tcW w:w="396" w:type="pct"/>
            <w:shd w:val="clear" w:color="auto" w:fill="auto"/>
            <w:vAlign w:val="center"/>
          </w:tcPr>
          <w:p w14:paraId="58530477">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0C23096E">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7343E9E8">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36757AAB">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备</w:t>
            </w:r>
          </w:p>
        </w:tc>
      </w:tr>
      <w:tr w14:paraId="20918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167F1434">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w:t>
            </w:r>
          </w:p>
        </w:tc>
        <w:tc>
          <w:tcPr>
            <w:tcW w:w="1140" w:type="pct"/>
            <w:shd w:val="clear" w:color="auto" w:fill="auto"/>
            <w:vAlign w:val="center"/>
          </w:tcPr>
          <w:p w14:paraId="4B65DECD">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止回阀</w:t>
            </w:r>
          </w:p>
        </w:tc>
        <w:tc>
          <w:tcPr>
            <w:tcW w:w="1222" w:type="pct"/>
            <w:shd w:val="clear" w:color="auto" w:fill="auto"/>
            <w:vAlign w:val="center"/>
          </w:tcPr>
          <w:p w14:paraId="17725883">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DN150 PN=1.0MPa</w:t>
            </w:r>
          </w:p>
        </w:tc>
        <w:tc>
          <w:tcPr>
            <w:tcW w:w="396" w:type="pct"/>
            <w:shd w:val="clear" w:color="auto" w:fill="auto"/>
            <w:vAlign w:val="center"/>
          </w:tcPr>
          <w:p w14:paraId="29DCB12D">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6C7E1CEB">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1EDF117C">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42D76EB8">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鼓风机配套供应</w:t>
            </w:r>
          </w:p>
        </w:tc>
      </w:tr>
      <w:tr w14:paraId="63319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54253D88">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1140" w:type="pct"/>
            <w:shd w:val="clear" w:color="auto" w:fill="auto"/>
            <w:vAlign w:val="center"/>
          </w:tcPr>
          <w:p w14:paraId="29053830">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出口柔性接头</w:t>
            </w:r>
          </w:p>
        </w:tc>
        <w:tc>
          <w:tcPr>
            <w:tcW w:w="1222" w:type="pct"/>
            <w:shd w:val="clear" w:color="auto" w:fill="auto"/>
            <w:vAlign w:val="center"/>
          </w:tcPr>
          <w:p w14:paraId="4FE316C0">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DN150 PN=1.0MPa</w:t>
            </w:r>
          </w:p>
        </w:tc>
        <w:tc>
          <w:tcPr>
            <w:tcW w:w="396" w:type="pct"/>
            <w:shd w:val="clear" w:color="auto" w:fill="auto"/>
            <w:vAlign w:val="center"/>
          </w:tcPr>
          <w:p w14:paraId="5BF32DC9">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77D00F21">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08DA0692">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5AC9090A">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鼓风机配套供应</w:t>
            </w:r>
          </w:p>
        </w:tc>
      </w:tr>
      <w:tr w14:paraId="22403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76723AF6">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11</w:t>
            </w:r>
          </w:p>
        </w:tc>
        <w:tc>
          <w:tcPr>
            <w:tcW w:w="1140" w:type="pct"/>
            <w:shd w:val="clear" w:color="auto" w:fill="auto"/>
            <w:vAlign w:val="center"/>
          </w:tcPr>
          <w:p w14:paraId="449F7635">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自动卸荷阀、压力表</w:t>
            </w:r>
          </w:p>
        </w:tc>
        <w:tc>
          <w:tcPr>
            <w:tcW w:w="1222" w:type="pct"/>
            <w:shd w:val="clear" w:color="auto" w:fill="auto"/>
            <w:vAlign w:val="center"/>
          </w:tcPr>
          <w:p w14:paraId="119E30D1">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DN150</w:t>
            </w:r>
          </w:p>
        </w:tc>
        <w:tc>
          <w:tcPr>
            <w:tcW w:w="396" w:type="pct"/>
            <w:shd w:val="clear" w:color="auto" w:fill="auto"/>
            <w:vAlign w:val="center"/>
          </w:tcPr>
          <w:p w14:paraId="3BA1EFC2">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15740A47">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38C9EE00">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5624425C">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鼓风机配套供应</w:t>
            </w:r>
          </w:p>
        </w:tc>
      </w:tr>
      <w:tr w14:paraId="2ECC1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01EC0D5D">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12</w:t>
            </w:r>
          </w:p>
        </w:tc>
        <w:tc>
          <w:tcPr>
            <w:tcW w:w="1140" w:type="pct"/>
            <w:shd w:val="clear" w:color="auto" w:fill="auto"/>
            <w:vAlign w:val="center"/>
          </w:tcPr>
          <w:p w14:paraId="2681470E">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电动蝶阀</w:t>
            </w:r>
          </w:p>
        </w:tc>
        <w:tc>
          <w:tcPr>
            <w:tcW w:w="1222" w:type="pct"/>
            <w:shd w:val="clear" w:color="auto" w:fill="auto"/>
            <w:vAlign w:val="center"/>
          </w:tcPr>
          <w:p w14:paraId="03F29F67">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DN150 PN=1.0MPa</w:t>
            </w:r>
          </w:p>
        </w:tc>
        <w:tc>
          <w:tcPr>
            <w:tcW w:w="396" w:type="pct"/>
            <w:shd w:val="clear" w:color="auto" w:fill="auto"/>
            <w:vAlign w:val="center"/>
          </w:tcPr>
          <w:p w14:paraId="4453374D">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1FFC182D">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33DEFCD8">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5DDA4CE5">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鼓风机配套供应</w:t>
            </w:r>
          </w:p>
        </w:tc>
      </w:tr>
      <w:tr w14:paraId="3D728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5000" w:type="pct"/>
            <w:gridSpan w:val="7"/>
            <w:shd w:val="clear" w:color="auto" w:fill="auto"/>
            <w:vAlign w:val="center"/>
          </w:tcPr>
          <w:p w14:paraId="48829831">
            <w:pPr>
              <w:keepNext w:val="0"/>
              <w:keepLines w:val="0"/>
              <w:widowControl/>
              <w:suppressLineNumbers w:val="0"/>
              <w:jc w:val="left"/>
              <w:textAlignment w:val="center"/>
              <w:rPr>
                <w:rFonts w:hint="default" w:ascii="Times New Roman" w:hAnsi="Times New Roman"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2.</w:t>
            </w:r>
            <w:r>
              <w:rPr>
                <w:rFonts w:hint="eastAsia" w:ascii="楷体" w:hAnsi="楷体" w:eastAsia="楷体" w:cs="楷体"/>
                <w:b/>
                <w:bCs/>
                <w:i w:val="0"/>
                <w:iCs w:val="0"/>
                <w:color w:val="auto"/>
                <w:kern w:val="0"/>
                <w:sz w:val="21"/>
                <w:szCs w:val="21"/>
                <w:highlight w:val="none"/>
                <w:u w:val="none"/>
                <w:lang w:val="en-US" w:eastAsia="zh-CN" w:bidi="ar"/>
              </w:rPr>
              <w:t>曝气沉砂池</w:t>
            </w:r>
          </w:p>
        </w:tc>
      </w:tr>
      <w:tr w14:paraId="18D1D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33FAA24D">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序号</w:t>
            </w:r>
          </w:p>
        </w:tc>
        <w:tc>
          <w:tcPr>
            <w:tcW w:w="1140" w:type="pct"/>
            <w:shd w:val="clear" w:color="auto" w:fill="auto"/>
            <w:vAlign w:val="center"/>
          </w:tcPr>
          <w:p w14:paraId="3C8F9E47">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名称</w:t>
            </w:r>
          </w:p>
        </w:tc>
        <w:tc>
          <w:tcPr>
            <w:tcW w:w="1222" w:type="pct"/>
            <w:shd w:val="clear" w:color="auto" w:fill="auto"/>
            <w:vAlign w:val="center"/>
          </w:tcPr>
          <w:p w14:paraId="539BED3A">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规格</w:t>
            </w:r>
          </w:p>
        </w:tc>
        <w:tc>
          <w:tcPr>
            <w:tcW w:w="396" w:type="pct"/>
            <w:shd w:val="clear" w:color="auto" w:fill="auto"/>
            <w:vAlign w:val="center"/>
          </w:tcPr>
          <w:p w14:paraId="19CF576A">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材料</w:t>
            </w:r>
          </w:p>
        </w:tc>
        <w:tc>
          <w:tcPr>
            <w:tcW w:w="311" w:type="pct"/>
            <w:shd w:val="clear" w:color="auto" w:fill="auto"/>
            <w:vAlign w:val="center"/>
          </w:tcPr>
          <w:p w14:paraId="0B8B35D6">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单位</w:t>
            </w:r>
          </w:p>
        </w:tc>
        <w:tc>
          <w:tcPr>
            <w:tcW w:w="296" w:type="pct"/>
            <w:shd w:val="clear" w:color="auto" w:fill="auto"/>
            <w:vAlign w:val="center"/>
          </w:tcPr>
          <w:p w14:paraId="04EC8A36">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数量</w:t>
            </w:r>
          </w:p>
        </w:tc>
        <w:tc>
          <w:tcPr>
            <w:tcW w:w="1321" w:type="pct"/>
            <w:shd w:val="clear" w:color="auto" w:fill="auto"/>
            <w:vAlign w:val="center"/>
          </w:tcPr>
          <w:p w14:paraId="274E26EE">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备注</w:t>
            </w:r>
          </w:p>
        </w:tc>
      </w:tr>
      <w:tr w14:paraId="08145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78B46C20">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140" w:type="pct"/>
            <w:shd w:val="clear" w:color="auto" w:fill="auto"/>
            <w:vAlign w:val="center"/>
          </w:tcPr>
          <w:p w14:paraId="7CDDED22">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桥式吸砂机</w:t>
            </w:r>
          </w:p>
        </w:tc>
        <w:tc>
          <w:tcPr>
            <w:tcW w:w="1222" w:type="pct"/>
            <w:shd w:val="clear" w:color="auto" w:fill="auto"/>
            <w:vAlign w:val="center"/>
          </w:tcPr>
          <w:p w14:paraId="5BEFEF8E">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L=10.00m N=0.55×2kW</w:t>
            </w:r>
          </w:p>
        </w:tc>
        <w:tc>
          <w:tcPr>
            <w:tcW w:w="396" w:type="pct"/>
            <w:shd w:val="clear" w:color="auto" w:fill="auto"/>
            <w:vAlign w:val="center"/>
          </w:tcPr>
          <w:p w14:paraId="56105C90">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156AAE98">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0B635A1F">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0596CDAE">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71FB8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681FB535">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140" w:type="pct"/>
            <w:shd w:val="clear" w:color="auto" w:fill="auto"/>
            <w:vAlign w:val="center"/>
          </w:tcPr>
          <w:p w14:paraId="12174D40">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潜水提砂泵</w:t>
            </w:r>
          </w:p>
        </w:tc>
        <w:tc>
          <w:tcPr>
            <w:tcW w:w="1222" w:type="pct"/>
            <w:shd w:val="clear" w:color="auto" w:fill="auto"/>
            <w:vAlign w:val="center"/>
          </w:tcPr>
          <w:p w14:paraId="0AA2A56A">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Q=25m3 /h H=14.0m N=3.0kW</w:t>
            </w:r>
          </w:p>
        </w:tc>
        <w:tc>
          <w:tcPr>
            <w:tcW w:w="396" w:type="pct"/>
            <w:shd w:val="clear" w:color="auto" w:fill="auto"/>
            <w:vAlign w:val="center"/>
          </w:tcPr>
          <w:p w14:paraId="225700EC">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1946DB60">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06BBB8F2">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04344A1F">
            <w:pPr>
              <w:jc w:val="left"/>
              <w:rPr>
                <w:rFonts w:hint="default" w:ascii="Times New Roman" w:hAnsi="Times New Roman" w:cs="Times New Roman"/>
                <w:i w:val="0"/>
                <w:iCs w:val="0"/>
                <w:color w:val="auto"/>
                <w:sz w:val="21"/>
                <w:szCs w:val="21"/>
                <w:highlight w:val="none"/>
                <w:u w:val="none"/>
              </w:rPr>
            </w:pPr>
          </w:p>
        </w:tc>
      </w:tr>
      <w:tr w14:paraId="0CB8E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1CB58693">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1140" w:type="pct"/>
            <w:shd w:val="clear" w:color="auto" w:fill="auto"/>
            <w:vAlign w:val="center"/>
          </w:tcPr>
          <w:p w14:paraId="1B727C2D">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螺旋式砂水分离器</w:t>
            </w:r>
          </w:p>
        </w:tc>
        <w:tc>
          <w:tcPr>
            <w:tcW w:w="1222" w:type="pct"/>
            <w:shd w:val="clear" w:color="auto" w:fill="auto"/>
            <w:vAlign w:val="center"/>
          </w:tcPr>
          <w:p w14:paraId="3F8ABCD2">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Q=10-30L/s N=0.75kW</w:t>
            </w:r>
          </w:p>
        </w:tc>
        <w:tc>
          <w:tcPr>
            <w:tcW w:w="396" w:type="pct"/>
            <w:shd w:val="clear" w:color="auto" w:fill="auto"/>
            <w:vAlign w:val="center"/>
          </w:tcPr>
          <w:p w14:paraId="048E5F4A">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45F263CE">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09913EA3">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187BA21A">
            <w:pPr>
              <w:jc w:val="left"/>
              <w:rPr>
                <w:rFonts w:hint="default" w:ascii="Times New Roman" w:hAnsi="Times New Roman" w:cs="Times New Roman"/>
                <w:i w:val="0"/>
                <w:iCs w:val="0"/>
                <w:color w:val="auto"/>
                <w:sz w:val="21"/>
                <w:szCs w:val="21"/>
                <w:highlight w:val="none"/>
                <w:u w:val="none"/>
              </w:rPr>
            </w:pPr>
          </w:p>
        </w:tc>
      </w:tr>
      <w:tr w14:paraId="6384A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65D1DB76">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140" w:type="pct"/>
            <w:shd w:val="clear" w:color="auto" w:fill="auto"/>
            <w:vAlign w:val="center"/>
          </w:tcPr>
          <w:p w14:paraId="4840A120">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手动渠道闸门</w:t>
            </w:r>
          </w:p>
        </w:tc>
        <w:tc>
          <w:tcPr>
            <w:tcW w:w="1222" w:type="pct"/>
            <w:shd w:val="clear" w:color="auto" w:fill="auto"/>
            <w:vAlign w:val="center"/>
          </w:tcPr>
          <w:p w14:paraId="36C9D5C7">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B×H=1500×1100mm</w:t>
            </w:r>
          </w:p>
        </w:tc>
        <w:tc>
          <w:tcPr>
            <w:tcW w:w="396" w:type="pct"/>
            <w:shd w:val="clear" w:color="auto" w:fill="auto"/>
            <w:vAlign w:val="center"/>
          </w:tcPr>
          <w:p w14:paraId="25957E7A">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SS304</w:t>
            </w:r>
          </w:p>
        </w:tc>
        <w:tc>
          <w:tcPr>
            <w:tcW w:w="311" w:type="pct"/>
            <w:shd w:val="clear" w:color="auto" w:fill="auto"/>
            <w:vAlign w:val="center"/>
          </w:tcPr>
          <w:p w14:paraId="5D4FE63A">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01F0173A">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14624648">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含手、电动启闭机</w:t>
            </w:r>
          </w:p>
        </w:tc>
      </w:tr>
      <w:tr w14:paraId="64923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0CA5C954">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140" w:type="pct"/>
            <w:shd w:val="clear" w:color="auto" w:fill="auto"/>
            <w:vAlign w:val="center"/>
          </w:tcPr>
          <w:p w14:paraId="4212BA3E">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手电动镶铜铸铁方闸门</w:t>
            </w:r>
          </w:p>
        </w:tc>
        <w:tc>
          <w:tcPr>
            <w:tcW w:w="1222" w:type="pct"/>
            <w:shd w:val="clear" w:color="auto" w:fill="auto"/>
            <w:vAlign w:val="center"/>
          </w:tcPr>
          <w:p w14:paraId="145CAB00">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800×800 N=1.1kW</w:t>
            </w:r>
          </w:p>
        </w:tc>
        <w:tc>
          <w:tcPr>
            <w:tcW w:w="396" w:type="pct"/>
            <w:shd w:val="clear" w:color="auto" w:fill="auto"/>
            <w:vAlign w:val="center"/>
          </w:tcPr>
          <w:p w14:paraId="5E0C80E3">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6E95E4C4">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369BFA94">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1A35038E">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含手、电动启闭机</w:t>
            </w:r>
          </w:p>
        </w:tc>
      </w:tr>
      <w:tr w14:paraId="7820F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4164694C">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1140" w:type="pct"/>
            <w:shd w:val="clear" w:color="auto" w:fill="auto"/>
            <w:vAlign w:val="center"/>
          </w:tcPr>
          <w:p w14:paraId="57B9B639">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手电动镶铜铸铁圆闸门</w:t>
            </w:r>
          </w:p>
        </w:tc>
        <w:tc>
          <w:tcPr>
            <w:tcW w:w="1222" w:type="pct"/>
            <w:shd w:val="clear" w:color="auto" w:fill="auto"/>
            <w:vAlign w:val="center"/>
          </w:tcPr>
          <w:p w14:paraId="569D66A9">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∅1200</w:t>
            </w:r>
          </w:p>
        </w:tc>
        <w:tc>
          <w:tcPr>
            <w:tcW w:w="396" w:type="pct"/>
            <w:shd w:val="clear" w:color="auto" w:fill="auto"/>
            <w:vAlign w:val="center"/>
          </w:tcPr>
          <w:p w14:paraId="51802D36">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6FCD8D47">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3B335491">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435BCBCB">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73601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3F846C98">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1140" w:type="pct"/>
            <w:shd w:val="clear" w:color="auto" w:fill="auto"/>
            <w:vAlign w:val="center"/>
          </w:tcPr>
          <w:p w14:paraId="0987CB78">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整流栅条</w:t>
            </w:r>
          </w:p>
        </w:tc>
        <w:tc>
          <w:tcPr>
            <w:tcW w:w="1222" w:type="pct"/>
            <w:shd w:val="clear" w:color="auto" w:fill="auto"/>
            <w:vAlign w:val="center"/>
          </w:tcPr>
          <w:p w14:paraId="5B7F438A">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L×W=2050mm×100mm δ=8mm</w:t>
            </w:r>
          </w:p>
        </w:tc>
        <w:tc>
          <w:tcPr>
            <w:tcW w:w="396" w:type="pct"/>
            <w:shd w:val="clear" w:color="auto" w:fill="auto"/>
            <w:vAlign w:val="center"/>
          </w:tcPr>
          <w:p w14:paraId="1BC91791">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SS304</w:t>
            </w:r>
          </w:p>
        </w:tc>
        <w:tc>
          <w:tcPr>
            <w:tcW w:w="311" w:type="pct"/>
            <w:shd w:val="clear" w:color="auto" w:fill="auto"/>
            <w:vAlign w:val="center"/>
          </w:tcPr>
          <w:p w14:paraId="489F4310">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块</w:t>
            </w:r>
          </w:p>
        </w:tc>
        <w:tc>
          <w:tcPr>
            <w:tcW w:w="296" w:type="pct"/>
            <w:shd w:val="clear" w:color="auto" w:fill="auto"/>
            <w:vAlign w:val="center"/>
          </w:tcPr>
          <w:p w14:paraId="5043CD80">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270</w:t>
            </w:r>
          </w:p>
        </w:tc>
        <w:tc>
          <w:tcPr>
            <w:tcW w:w="1321" w:type="pct"/>
            <w:shd w:val="clear" w:color="auto" w:fill="auto"/>
            <w:vAlign w:val="center"/>
          </w:tcPr>
          <w:p w14:paraId="1B2838FD">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54106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7DC26408">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1140" w:type="pct"/>
            <w:shd w:val="clear" w:color="auto" w:fill="auto"/>
            <w:vAlign w:val="center"/>
          </w:tcPr>
          <w:p w14:paraId="48ECC6DE">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出水堰板</w:t>
            </w:r>
          </w:p>
        </w:tc>
        <w:tc>
          <w:tcPr>
            <w:tcW w:w="1222" w:type="pct"/>
            <w:shd w:val="clear" w:color="auto" w:fill="auto"/>
            <w:vAlign w:val="center"/>
          </w:tcPr>
          <w:p w14:paraId="5B48334E">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L×W=5050mm×250mm δ=5mm</w:t>
            </w:r>
          </w:p>
        </w:tc>
        <w:tc>
          <w:tcPr>
            <w:tcW w:w="396" w:type="pct"/>
            <w:shd w:val="clear" w:color="auto" w:fill="auto"/>
            <w:vAlign w:val="center"/>
          </w:tcPr>
          <w:p w14:paraId="103DF4E4">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SS304</w:t>
            </w:r>
          </w:p>
        </w:tc>
        <w:tc>
          <w:tcPr>
            <w:tcW w:w="311" w:type="pct"/>
            <w:shd w:val="clear" w:color="auto" w:fill="auto"/>
            <w:vAlign w:val="center"/>
          </w:tcPr>
          <w:p w14:paraId="2A62A917">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块</w:t>
            </w:r>
          </w:p>
        </w:tc>
        <w:tc>
          <w:tcPr>
            <w:tcW w:w="296" w:type="pct"/>
            <w:shd w:val="clear" w:color="auto" w:fill="auto"/>
            <w:vAlign w:val="center"/>
          </w:tcPr>
          <w:p w14:paraId="2A1AF664">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35BE293B">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6C6E7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7"/>
            <w:shd w:val="clear" w:color="auto" w:fill="auto"/>
            <w:vAlign w:val="center"/>
          </w:tcPr>
          <w:p w14:paraId="48F31228">
            <w:pPr>
              <w:keepNext w:val="0"/>
              <w:keepLines w:val="0"/>
              <w:widowControl/>
              <w:suppressLineNumbers w:val="0"/>
              <w:jc w:val="left"/>
              <w:textAlignment w:val="center"/>
              <w:rPr>
                <w:rFonts w:hint="default" w:ascii="Times New Roman" w:hAnsi="Times New Roman"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3.</w:t>
            </w:r>
            <w:r>
              <w:rPr>
                <w:rFonts w:hint="eastAsia" w:ascii="楷体" w:hAnsi="楷体" w:eastAsia="楷体" w:cs="楷体"/>
                <w:b/>
                <w:bCs/>
                <w:i w:val="0"/>
                <w:iCs w:val="0"/>
                <w:color w:val="auto"/>
                <w:kern w:val="0"/>
                <w:sz w:val="21"/>
                <w:szCs w:val="21"/>
                <w:highlight w:val="none"/>
                <w:u w:val="none"/>
                <w:lang w:val="en-US" w:eastAsia="zh-CN" w:bidi="ar"/>
              </w:rPr>
              <w:t>生物池</w:t>
            </w:r>
          </w:p>
        </w:tc>
      </w:tr>
      <w:tr w14:paraId="4917F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424B3774">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序号</w:t>
            </w:r>
          </w:p>
        </w:tc>
        <w:tc>
          <w:tcPr>
            <w:tcW w:w="1140" w:type="pct"/>
            <w:shd w:val="clear" w:color="auto" w:fill="auto"/>
            <w:vAlign w:val="center"/>
          </w:tcPr>
          <w:p w14:paraId="2E6AAB4D">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名称</w:t>
            </w:r>
          </w:p>
        </w:tc>
        <w:tc>
          <w:tcPr>
            <w:tcW w:w="1222" w:type="pct"/>
            <w:shd w:val="clear" w:color="auto" w:fill="auto"/>
            <w:vAlign w:val="center"/>
          </w:tcPr>
          <w:p w14:paraId="53A04A8F">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规格</w:t>
            </w:r>
          </w:p>
        </w:tc>
        <w:tc>
          <w:tcPr>
            <w:tcW w:w="396" w:type="pct"/>
            <w:shd w:val="clear" w:color="auto" w:fill="auto"/>
            <w:vAlign w:val="center"/>
          </w:tcPr>
          <w:p w14:paraId="20820F0E">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材料</w:t>
            </w:r>
          </w:p>
        </w:tc>
        <w:tc>
          <w:tcPr>
            <w:tcW w:w="311" w:type="pct"/>
            <w:shd w:val="clear" w:color="auto" w:fill="auto"/>
            <w:vAlign w:val="center"/>
          </w:tcPr>
          <w:p w14:paraId="022E38EF">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单位</w:t>
            </w:r>
          </w:p>
        </w:tc>
        <w:tc>
          <w:tcPr>
            <w:tcW w:w="296" w:type="pct"/>
            <w:shd w:val="clear" w:color="auto" w:fill="auto"/>
            <w:vAlign w:val="center"/>
          </w:tcPr>
          <w:p w14:paraId="5DAC7DB3">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数量</w:t>
            </w:r>
          </w:p>
        </w:tc>
        <w:tc>
          <w:tcPr>
            <w:tcW w:w="1321" w:type="pct"/>
            <w:shd w:val="clear" w:color="auto" w:fill="auto"/>
            <w:vAlign w:val="center"/>
          </w:tcPr>
          <w:p w14:paraId="65B3CFE0">
            <w:pPr>
              <w:keepNext w:val="0"/>
              <w:keepLines w:val="0"/>
              <w:widowControl/>
              <w:suppressLineNumbers w:val="0"/>
              <w:jc w:val="left"/>
              <w:textAlignment w:val="center"/>
              <w:rPr>
                <w:rFonts w:hint="eastAsia" w:ascii="楷体" w:hAnsi="楷体" w:eastAsia="楷体" w:cs="楷体"/>
                <w:b/>
                <w:bCs/>
                <w:i w:val="0"/>
                <w:iCs w:val="0"/>
                <w:color w:val="auto"/>
                <w:sz w:val="21"/>
                <w:szCs w:val="21"/>
                <w:highlight w:val="none"/>
                <w:u w:val="none"/>
              </w:rPr>
            </w:pPr>
            <w:r>
              <w:rPr>
                <w:rFonts w:hint="eastAsia" w:ascii="楷体" w:hAnsi="楷体" w:eastAsia="楷体" w:cs="楷体"/>
                <w:b/>
                <w:bCs/>
                <w:i w:val="0"/>
                <w:iCs w:val="0"/>
                <w:color w:val="auto"/>
                <w:kern w:val="0"/>
                <w:sz w:val="21"/>
                <w:szCs w:val="21"/>
                <w:highlight w:val="none"/>
                <w:u w:val="none"/>
                <w:lang w:val="en-US" w:eastAsia="zh-CN" w:bidi="ar"/>
              </w:rPr>
              <w:t>备注</w:t>
            </w:r>
          </w:p>
        </w:tc>
      </w:tr>
      <w:tr w14:paraId="54C25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3B6F2F5F">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140" w:type="pct"/>
            <w:shd w:val="clear" w:color="auto" w:fill="auto"/>
            <w:vAlign w:val="center"/>
          </w:tcPr>
          <w:p w14:paraId="210A76E3">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潜水搅拌器</w:t>
            </w:r>
          </w:p>
        </w:tc>
        <w:tc>
          <w:tcPr>
            <w:tcW w:w="1222" w:type="pct"/>
            <w:shd w:val="clear" w:color="auto" w:fill="auto"/>
            <w:vAlign w:val="center"/>
          </w:tcPr>
          <w:p w14:paraId="6F48DFFD">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D=580mm N=5.5kW</w:t>
            </w:r>
          </w:p>
        </w:tc>
        <w:tc>
          <w:tcPr>
            <w:tcW w:w="396" w:type="pct"/>
            <w:shd w:val="clear" w:color="auto" w:fill="auto"/>
            <w:vAlign w:val="center"/>
          </w:tcPr>
          <w:p w14:paraId="3AC7F7D0">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371B6EA5">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4FF75370">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321" w:type="pct"/>
            <w:shd w:val="clear" w:color="auto" w:fill="auto"/>
            <w:vAlign w:val="center"/>
          </w:tcPr>
          <w:p w14:paraId="73876A1A">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冷备，配套提升装置</w:t>
            </w:r>
          </w:p>
        </w:tc>
      </w:tr>
      <w:tr w14:paraId="3BAA2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0196CD9A">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140" w:type="pct"/>
            <w:shd w:val="clear" w:color="auto" w:fill="auto"/>
            <w:vAlign w:val="center"/>
          </w:tcPr>
          <w:p w14:paraId="448A897E">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潜水推进器</w:t>
            </w:r>
          </w:p>
        </w:tc>
        <w:tc>
          <w:tcPr>
            <w:tcW w:w="1222" w:type="pct"/>
            <w:shd w:val="clear" w:color="auto" w:fill="auto"/>
            <w:vAlign w:val="center"/>
          </w:tcPr>
          <w:p w14:paraId="09517F5C">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D=1800mm N=4.3kW</w:t>
            </w:r>
          </w:p>
        </w:tc>
        <w:tc>
          <w:tcPr>
            <w:tcW w:w="396" w:type="pct"/>
            <w:shd w:val="clear" w:color="auto" w:fill="auto"/>
            <w:vAlign w:val="center"/>
          </w:tcPr>
          <w:p w14:paraId="4E6081CD">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62B6A8D1">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35285055">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17</w:t>
            </w:r>
          </w:p>
        </w:tc>
        <w:tc>
          <w:tcPr>
            <w:tcW w:w="1321" w:type="pct"/>
            <w:shd w:val="clear" w:color="auto" w:fill="auto"/>
            <w:vAlign w:val="center"/>
          </w:tcPr>
          <w:p w14:paraId="179D24BA">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16</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冷备，配套提升装置</w:t>
            </w:r>
          </w:p>
        </w:tc>
      </w:tr>
      <w:tr w14:paraId="7A776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58E9B10D">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1140" w:type="pct"/>
            <w:shd w:val="clear" w:color="auto" w:fill="auto"/>
            <w:vAlign w:val="center"/>
          </w:tcPr>
          <w:p w14:paraId="5CF6FC51">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潜水推进器</w:t>
            </w:r>
          </w:p>
        </w:tc>
        <w:tc>
          <w:tcPr>
            <w:tcW w:w="1222" w:type="pct"/>
            <w:shd w:val="clear" w:color="auto" w:fill="auto"/>
            <w:vAlign w:val="center"/>
          </w:tcPr>
          <w:p w14:paraId="2924D886">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D=2500mm N=5.7kW</w:t>
            </w:r>
          </w:p>
        </w:tc>
        <w:tc>
          <w:tcPr>
            <w:tcW w:w="396" w:type="pct"/>
            <w:shd w:val="clear" w:color="auto" w:fill="auto"/>
            <w:vAlign w:val="center"/>
          </w:tcPr>
          <w:p w14:paraId="2B3D0136">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7D26CC8D">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1B38D26C">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17</w:t>
            </w:r>
          </w:p>
        </w:tc>
        <w:tc>
          <w:tcPr>
            <w:tcW w:w="1321" w:type="pct"/>
            <w:shd w:val="clear" w:color="auto" w:fill="auto"/>
            <w:vAlign w:val="center"/>
          </w:tcPr>
          <w:p w14:paraId="202A4DB6">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16</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ascii="楷体" w:hAnsi="楷体" w:eastAsia="楷体" w:cs="楷体"/>
                <w:i w:val="0"/>
                <w:iCs w:val="0"/>
                <w:color w:val="auto"/>
                <w:kern w:val="0"/>
                <w:sz w:val="21"/>
                <w:szCs w:val="21"/>
                <w:highlight w:val="none"/>
                <w:u w:val="none"/>
                <w:lang w:val="en-US" w:eastAsia="zh-CN" w:bidi="ar"/>
              </w:rPr>
              <w:t>冷备，配套提升装置</w:t>
            </w:r>
          </w:p>
        </w:tc>
      </w:tr>
      <w:tr w14:paraId="44E40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4FF94760">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140" w:type="pct"/>
            <w:shd w:val="clear" w:color="auto" w:fill="auto"/>
            <w:vAlign w:val="center"/>
          </w:tcPr>
          <w:p w14:paraId="384F6198">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内回流泵</w:t>
            </w:r>
          </w:p>
        </w:tc>
        <w:tc>
          <w:tcPr>
            <w:tcW w:w="1222" w:type="pct"/>
            <w:shd w:val="clear" w:color="auto" w:fill="auto"/>
            <w:vAlign w:val="center"/>
          </w:tcPr>
          <w:p w14:paraId="1C4FED48">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Q=1875m³/h H=1.0m N=10kw</w:t>
            </w:r>
          </w:p>
        </w:tc>
        <w:tc>
          <w:tcPr>
            <w:tcW w:w="396" w:type="pct"/>
            <w:shd w:val="clear" w:color="auto" w:fill="auto"/>
            <w:vAlign w:val="center"/>
          </w:tcPr>
          <w:p w14:paraId="75279463">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533A02C4">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106BFF75">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w:t>
            </w:r>
          </w:p>
        </w:tc>
        <w:tc>
          <w:tcPr>
            <w:tcW w:w="1321" w:type="pct"/>
            <w:shd w:val="clear" w:color="auto" w:fill="auto"/>
            <w:vAlign w:val="center"/>
          </w:tcPr>
          <w:p w14:paraId="5992BB85">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冷备，变频，配套提升装置</w:t>
            </w:r>
          </w:p>
        </w:tc>
      </w:tr>
      <w:tr w14:paraId="14F63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0545F350">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140" w:type="pct"/>
            <w:shd w:val="clear" w:color="auto" w:fill="auto"/>
            <w:vAlign w:val="center"/>
          </w:tcPr>
          <w:p w14:paraId="4156F734">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拍门</w:t>
            </w:r>
          </w:p>
        </w:tc>
        <w:tc>
          <w:tcPr>
            <w:tcW w:w="1222" w:type="pct"/>
            <w:shd w:val="clear" w:color="auto" w:fill="auto"/>
            <w:vAlign w:val="center"/>
          </w:tcPr>
          <w:p w14:paraId="612911B1">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DN600</w:t>
            </w:r>
          </w:p>
        </w:tc>
        <w:tc>
          <w:tcPr>
            <w:tcW w:w="396" w:type="pct"/>
            <w:shd w:val="clear" w:color="auto" w:fill="auto"/>
            <w:vAlign w:val="center"/>
          </w:tcPr>
          <w:p w14:paraId="7515CB53">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0C1E22C1">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0670BF73">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1321" w:type="pct"/>
            <w:shd w:val="clear" w:color="auto" w:fill="auto"/>
            <w:vAlign w:val="center"/>
          </w:tcPr>
          <w:p w14:paraId="4350D77F">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与内回流泵配套</w:t>
            </w:r>
          </w:p>
        </w:tc>
      </w:tr>
      <w:tr w14:paraId="489EC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2B7168E9">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1140" w:type="pct"/>
            <w:shd w:val="clear" w:color="auto" w:fill="auto"/>
            <w:vAlign w:val="center"/>
          </w:tcPr>
          <w:p w14:paraId="2C4D9AB9">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镶铜铸铁方闸门</w:t>
            </w:r>
          </w:p>
        </w:tc>
        <w:tc>
          <w:tcPr>
            <w:tcW w:w="1222" w:type="pct"/>
            <w:shd w:val="clear" w:color="auto" w:fill="auto"/>
            <w:vAlign w:val="center"/>
          </w:tcPr>
          <w:p w14:paraId="03D3480F">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1500×1500mm</w:t>
            </w:r>
            <w:r>
              <w:rPr>
                <w:rFonts w:hint="eastAsia" w:ascii="楷体" w:hAnsi="楷体" w:eastAsia="楷体" w:cs="楷体"/>
                <w:i w:val="0"/>
                <w:iCs w:val="0"/>
                <w:color w:val="auto"/>
                <w:kern w:val="0"/>
                <w:sz w:val="21"/>
                <w:szCs w:val="21"/>
                <w:highlight w:val="none"/>
                <w:u w:val="none"/>
                <w:lang w:val="en-US" w:eastAsia="zh-CN" w:bidi="ar"/>
              </w:rPr>
              <w:t>配套手动启闭机，双向止水</w:t>
            </w:r>
          </w:p>
        </w:tc>
        <w:tc>
          <w:tcPr>
            <w:tcW w:w="396" w:type="pct"/>
            <w:shd w:val="clear" w:color="auto" w:fill="auto"/>
            <w:vAlign w:val="center"/>
          </w:tcPr>
          <w:p w14:paraId="0CF8F0F7">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16927CB4">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403EDF4E">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321" w:type="pct"/>
            <w:shd w:val="clear" w:color="auto" w:fill="auto"/>
            <w:vAlign w:val="center"/>
          </w:tcPr>
          <w:p w14:paraId="2D8FB460">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55019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3DDC47E9">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1140" w:type="pct"/>
            <w:shd w:val="clear" w:color="auto" w:fill="auto"/>
            <w:vAlign w:val="center"/>
          </w:tcPr>
          <w:p w14:paraId="1F0578A6">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镶铜铸铁圆闸门</w:t>
            </w:r>
          </w:p>
        </w:tc>
        <w:tc>
          <w:tcPr>
            <w:tcW w:w="1222" w:type="pct"/>
            <w:shd w:val="clear" w:color="auto" w:fill="auto"/>
            <w:vAlign w:val="center"/>
          </w:tcPr>
          <w:p w14:paraId="03200E56">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DN900</w:t>
            </w:r>
            <w:r>
              <w:rPr>
                <w:rFonts w:hint="eastAsia" w:ascii="楷体" w:hAnsi="楷体" w:eastAsia="楷体" w:cs="楷体"/>
                <w:i w:val="0"/>
                <w:iCs w:val="0"/>
                <w:color w:val="auto"/>
                <w:kern w:val="0"/>
                <w:sz w:val="21"/>
                <w:szCs w:val="21"/>
                <w:highlight w:val="none"/>
                <w:u w:val="none"/>
                <w:lang w:val="en-US" w:eastAsia="zh-CN" w:bidi="ar"/>
              </w:rPr>
              <w:t>，配手动启闭机</w:t>
            </w:r>
          </w:p>
        </w:tc>
        <w:tc>
          <w:tcPr>
            <w:tcW w:w="396" w:type="pct"/>
            <w:shd w:val="clear" w:color="auto" w:fill="auto"/>
            <w:vAlign w:val="center"/>
          </w:tcPr>
          <w:p w14:paraId="7CD8195F">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31FA5D91">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7F037C63">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321" w:type="pct"/>
            <w:shd w:val="clear" w:color="auto" w:fill="auto"/>
            <w:vAlign w:val="center"/>
          </w:tcPr>
          <w:p w14:paraId="258B3E89">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生物池出水管隔离</w:t>
            </w:r>
          </w:p>
        </w:tc>
      </w:tr>
      <w:tr w14:paraId="20F45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07244D59">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1140" w:type="pct"/>
            <w:shd w:val="clear" w:color="auto" w:fill="auto"/>
            <w:vAlign w:val="center"/>
          </w:tcPr>
          <w:p w14:paraId="70CBF0E1">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镶铜铸铁圆闸门</w:t>
            </w:r>
          </w:p>
        </w:tc>
        <w:tc>
          <w:tcPr>
            <w:tcW w:w="1222" w:type="pct"/>
            <w:shd w:val="clear" w:color="auto" w:fill="auto"/>
            <w:vAlign w:val="center"/>
          </w:tcPr>
          <w:p w14:paraId="3D5E98B6">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DN1000</w:t>
            </w:r>
            <w:r>
              <w:rPr>
                <w:rFonts w:hint="eastAsia" w:ascii="楷体" w:hAnsi="楷体" w:eastAsia="楷体" w:cs="楷体"/>
                <w:i w:val="0"/>
                <w:iCs w:val="0"/>
                <w:color w:val="auto"/>
                <w:kern w:val="0"/>
                <w:sz w:val="21"/>
                <w:szCs w:val="21"/>
                <w:highlight w:val="none"/>
                <w:u w:val="none"/>
                <w:lang w:val="en-US" w:eastAsia="zh-CN" w:bidi="ar"/>
              </w:rPr>
              <w:t>，配手动启闭机</w:t>
            </w:r>
          </w:p>
        </w:tc>
        <w:tc>
          <w:tcPr>
            <w:tcW w:w="396" w:type="pct"/>
            <w:shd w:val="clear" w:color="auto" w:fill="auto"/>
            <w:vAlign w:val="center"/>
          </w:tcPr>
          <w:p w14:paraId="364D43BB">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47CA2B10">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42CAABE1">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7C5E2C0E">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生物池进水管隔离</w:t>
            </w:r>
          </w:p>
        </w:tc>
      </w:tr>
      <w:tr w14:paraId="4E499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4108288B">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w:t>
            </w:r>
          </w:p>
        </w:tc>
        <w:tc>
          <w:tcPr>
            <w:tcW w:w="1140" w:type="pct"/>
            <w:shd w:val="clear" w:color="auto" w:fill="auto"/>
            <w:vAlign w:val="center"/>
          </w:tcPr>
          <w:p w14:paraId="5B9FDAFD">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镶铜铸铁圆闸门</w:t>
            </w:r>
          </w:p>
        </w:tc>
        <w:tc>
          <w:tcPr>
            <w:tcW w:w="1222" w:type="pct"/>
            <w:shd w:val="clear" w:color="auto" w:fill="auto"/>
            <w:vAlign w:val="center"/>
          </w:tcPr>
          <w:p w14:paraId="0A1B8F29">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DN1000</w:t>
            </w:r>
            <w:r>
              <w:rPr>
                <w:rFonts w:hint="eastAsia" w:ascii="楷体" w:hAnsi="楷体" w:eastAsia="楷体" w:cs="楷体"/>
                <w:i w:val="0"/>
                <w:iCs w:val="0"/>
                <w:color w:val="auto"/>
                <w:kern w:val="0"/>
                <w:sz w:val="21"/>
                <w:szCs w:val="21"/>
                <w:highlight w:val="none"/>
                <w:u w:val="none"/>
                <w:lang w:val="en-US" w:eastAsia="zh-CN" w:bidi="ar"/>
              </w:rPr>
              <w:t>，配手动启闭机</w:t>
            </w:r>
          </w:p>
        </w:tc>
        <w:tc>
          <w:tcPr>
            <w:tcW w:w="396" w:type="pct"/>
            <w:shd w:val="clear" w:color="auto" w:fill="auto"/>
            <w:vAlign w:val="center"/>
          </w:tcPr>
          <w:p w14:paraId="426A9DC5">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5972D00B">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3EF3BE90">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4A499566">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生物池回流管隔离</w:t>
            </w:r>
          </w:p>
        </w:tc>
      </w:tr>
      <w:tr w14:paraId="609A6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2AE8EC74">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1140" w:type="pct"/>
            <w:shd w:val="clear" w:color="auto" w:fill="auto"/>
            <w:vAlign w:val="center"/>
          </w:tcPr>
          <w:p w14:paraId="18353D6C">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不锈钢渠道闸门</w:t>
            </w:r>
          </w:p>
        </w:tc>
        <w:tc>
          <w:tcPr>
            <w:tcW w:w="1222" w:type="pct"/>
            <w:shd w:val="clear" w:color="auto" w:fill="auto"/>
            <w:vAlign w:val="center"/>
          </w:tcPr>
          <w:p w14:paraId="04FBEA32">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渠道尺寸</w:t>
            </w:r>
            <w:r>
              <w:rPr>
                <w:rStyle w:val="247"/>
                <w:rFonts w:eastAsia="楷体"/>
                <w:color w:val="auto"/>
                <w:highlight w:val="none"/>
                <w:lang w:val="en-US" w:eastAsia="zh-CN" w:bidi="ar"/>
              </w:rPr>
              <w:t>BxH=1200x1200mm</w:t>
            </w:r>
            <w:r>
              <w:rPr>
                <w:rFonts w:hint="eastAsia" w:ascii="楷体" w:hAnsi="楷体" w:eastAsia="楷体" w:cs="楷体"/>
                <w:i w:val="0"/>
                <w:iCs w:val="0"/>
                <w:color w:val="auto"/>
                <w:kern w:val="0"/>
                <w:sz w:val="21"/>
                <w:szCs w:val="21"/>
                <w:highlight w:val="none"/>
                <w:u w:val="none"/>
                <w:lang w:val="en-US" w:eastAsia="zh-CN" w:bidi="ar"/>
              </w:rPr>
              <w:t>，配套手动启闭机</w:t>
            </w:r>
          </w:p>
        </w:tc>
        <w:tc>
          <w:tcPr>
            <w:tcW w:w="396" w:type="pct"/>
            <w:shd w:val="clear" w:color="auto" w:fill="auto"/>
            <w:vAlign w:val="center"/>
          </w:tcPr>
          <w:p w14:paraId="2037C437">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091A6E75">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2FC89CF7">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12</w:t>
            </w:r>
          </w:p>
        </w:tc>
        <w:tc>
          <w:tcPr>
            <w:tcW w:w="1321" w:type="pct"/>
            <w:shd w:val="clear" w:color="auto" w:fill="auto"/>
            <w:vAlign w:val="center"/>
          </w:tcPr>
          <w:p w14:paraId="581EAD34">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生物池配水渠隔断</w:t>
            </w:r>
          </w:p>
        </w:tc>
      </w:tr>
      <w:tr w14:paraId="504F2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54FCD789">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11</w:t>
            </w:r>
          </w:p>
        </w:tc>
        <w:tc>
          <w:tcPr>
            <w:tcW w:w="1140" w:type="pct"/>
            <w:shd w:val="clear" w:color="auto" w:fill="auto"/>
            <w:vAlign w:val="center"/>
          </w:tcPr>
          <w:p w14:paraId="2FA29E94">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不锈钢渠道闸门</w:t>
            </w:r>
          </w:p>
        </w:tc>
        <w:tc>
          <w:tcPr>
            <w:tcW w:w="1222" w:type="pct"/>
            <w:shd w:val="clear" w:color="auto" w:fill="auto"/>
            <w:vAlign w:val="center"/>
          </w:tcPr>
          <w:p w14:paraId="296CCCFD">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渠道尺寸</w:t>
            </w:r>
            <w:r>
              <w:rPr>
                <w:rStyle w:val="247"/>
                <w:rFonts w:eastAsia="楷体"/>
                <w:color w:val="auto"/>
                <w:highlight w:val="none"/>
                <w:lang w:val="en-US" w:eastAsia="zh-CN" w:bidi="ar"/>
              </w:rPr>
              <w:t>BxH=1000x1800mm</w:t>
            </w:r>
            <w:r>
              <w:rPr>
                <w:rFonts w:hint="eastAsia" w:ascii="楷体" w:hAnsi="楷体" w:eastAsia="楷体" w:cs="楷体"/>
                <w:i w:val="0"/>
                <w:iCs w:val="0"/>
                <w:color w:val="auto"/>
                <w:kern w:val="0"/>
                <w:sz w:val="21"/>
                <w:szCs w:val="21"/>
                <w:highlight w:val="none"/>
                <w:u w:val="none"/>
                <w:lang w:val="en-US" w:eastAsia="zh-CN" w:bidi="ar"/>
              </w:rPr>
              <w:t>，配套手动启闭机</w:t>
            </w:r>
          </w:p>
        </w:tc>
        <w:tc>
          <w:tcPr>
            <w:tcW w:w="396" w:type="pct"/>
            <w:shd w:val="clear" w:color="auto" w:fill="auto"/>
            <w:vAlign w:val="center"/>
          </w:tcPr>
          <w:p w14:paraId="3B977DFE">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6872874D">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7905B81F">
            <w:pPr>
              <w:keepNext w:val="0"/>
              <w:keepLines w:val="0"/>
              <w:widowControl/>
              <w:suppressLineNumbers w:val="0"/>
              <w:jc w:val="left"/>
              <w:textAlignment w:val="center"/>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321" w:type="pct"/>
            <w:shd w:val="clear" w:color="auto" w:fill="auto"/>
            <w:vAlign w:val="center"/>
          </w:tcPr>
          <w:p w14:paraId="2BC433DB">
            <w:pPr>
              <w:keepNext w:val="0"/>
              <w:keepLines w:val="0"/>
              <w:widowControl/>
              <w:suppressLineNumbers w:val="0"/>
              <w:jc w:val="left"/>
              <w:textAlignment w:val="center"/>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污泥回流渠出口隔断</w:t>
            </w:r>
          </w:p>
        </w:tc>
      </w:tr>
      <w:tr w14:paraId="5DE06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0D58B26C">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12</w:t>
            </w:r>
          </w:p>
        </w:tc>
        <w:tc>
          <w:tcPr>
            <w:tcW w:w="1140" w:type="pct"/>
            <w:shd w:val="clear" w:color="auto" w:fill="auto"/>
            <w:vAlign w:val="center"/>
          </w:tcPr>
          <w:p w14:paraId="4629A850">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电动调节蝶阀</w:t>
            </w:r>
          </w:p>
        </w:tc>
        <w:tc>
          <w:tcPr>
            <w:tcW w:w="1222" w:type="pct"/>
            <w:shd w:val="clear" w:color="auto" w:fill="auto"/>
            <w:vAlign w:val="center"/>
          </w:tcPr>
          <w:p w14:paraId="6F71FC8D">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DN700</w:t>
            </w:r>
            <w:r>
              <w:rPr>
                <w:rFonts w:hint="eastAsia" w:ascii="楷体" w:hAnsi="楷体" w:eastAsia="楷体" w:cs="楷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N=0.75kw</w:t>
            </w:r>
          </w:p>
        </w:tc>
        <w:tc>
          <w:tcPr>
            <w:tcW w:w="396" w:type="pct"/>
            <w:shd w:val="clear" w:color="auto" w:fill="auto"/>
            <w:vAlign w:val="center"/>
          </w:tcPr>
          <w:p w14:paraId="5FCF0B50">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41C6C1C4">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57E7FBCC">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1A0B9198">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曝气总管</w:t>
            </w:r>
          </w:p>
        </w:tc>
      </w:tr>
      <w:tr w14:paraId="323FE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2463E9B2">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13</w:t>
            </w:r>
          </w:p>
        </w:tc>
        <w:tc>
          <w:tcPr>
            <w:tcW w:w="1140" w:type="pct"/>
            <w:shd w:val="clear" w:color="auto" w:fill="auto"/>
            <w:vAlign w:val="center"/>
          </w:tcPr>
          <w:p w14:paraId="7AEF034D">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菱形空气调节阀</w:t>
            </w:r>
          </w:p>
        </w:tc>
        <w:tc>
          <w:tcPr>
            <w:tcW w:w="1222" w:type="pct"/>
            <w:shd w:val="clear" w:color="auto" w:fill="auto"/>
            <w:vAlign w:val="center"/>
          </w:tcPr>
          <w:p w14:paraId="1A302764">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DN500</w:t>
            </w:r>
            <w:r>
              <w:rPr>
                <w:rFonts w:hint="eastAsia" w:ascii="楷体" w:hAnsi="楷体" w:eastAsia="楷体" w:cs="楷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N=0.75kw</w:t>
            </w:r>
          </w:p>
        </w:tc>
        <w:tc>
          <w:tcPr>
            <w:tcW w:w="396" w:type="pct"/>
            <w:shd w:val="clear" w:color="auto" w:fill="auto"/>
            <w:vAlign w:val="center"/>
          </w:tcPr>
          <w:p w14:paraId="1BB3BB25">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61C78AE5">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01F309BE">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321" w:type="pct"/>
            <w:shd w:val="clear" w:color="auto" w:fill="auto"/>
            <w:vAlign w:val="center"/>
          </w:tcPr>
          <w:p w14:paraId="4CABCEF9">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曝气总管</w:t>
            </w:r>
          </w:p>
        </w:tc>
      </w:tr>
      <w:tr w14:paraId="298E9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43A6AADA">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14</w:t>
            </w:r>
          </w:p>
        </w:tc>
        <w:tc>
          <w:tcPr>
            <w:tcW w:w="1140" w:type="pct"/>
            <w:shd w:val="clear" w:color="auto" w:fill="auto"/>
            <w:vAlign w:val="center"/>
          </w:tcPr>
          <w:p w14:paraId="3FFCA056">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手动闸阀</w:t>
            </w:r>
          </w:p>
        </w:tc>
        <w:tc>
          <w:tcPr>
            <w:tcW w:w="1222" w:type="pct"/>
            <w:shd w:val="clear" w:color="auto" w:fill="auto"/>
            <w:vAlign w:val="center"/>
          </w:tcPr>
          <w:p w14:paraId="38A00DFA">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DN400</w:t>
            </w:r>
          </w:p>
        </w:tc>
        <w:tc>
          <w:tcPr>
            <w:tcW w:w="396" w:type="pct"/>
            <w:shd w:val="clear" w:color="auto" w:fill="auto"/>
            <w:vAlign w:val="center"/>
          </w:tcPr>
          <w:p w14:paraId="31A8E242">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1664320F">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7479C2B8">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1321" w:type="pct"/>
            <w:shd w:val="clear" w:color="auto" w:fill="auto"/>
            <w:vAlign w:val="center"/>
          </w:tcPr>
          <w:p w14:paraId="24A5D83A">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生物池放空管</w:t>
            </w:r>
          </w:p>
        </w:tc>
      </w:tr>
      <w:tr w14:paraId="4165E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05E4948D">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1140" w:type="pct"/>
            <w:shd w:val="clear" w:color="auto" w:fill="auto"/>
            <w:vAlign w:val="center"/>
          </w:tcPr>
          <w:p w14:paraId="147E370D">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手动蝶阀</w:t>
            </w:r>
          </w:p>
        </w:tc>
        <w:tc>
          <w:tcPr>
            <w:tcW w:w="1222" w:type="pct"/>
            <w:shd w:val="clear" w:color="auto" w:fill="auto"/>
            <w:vAlign w:val="center"/>
          </w:tcPr>
          <w:p w14:paraId="7CD1427D">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DN200</w:t>
            </w:r>
          </w:p>
        </w:tc>
        <w:tc>
          <w:tcPr>
            <w:tcW w:w="396" w:type="pct"/>
            <w:shd w:val="clear" w:color="auto" w:fill="auto"/>
            <w:vAlign w:val="center"/>
          </w:tcPr>
          <w:p w14:paraId="2FA8E743">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6D6343C2">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0E1193C6">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76</w:t>
            </w:r>
          </w:p>
        </w:tc>
        <w:tc>
          <w:tcPr>
            <w:tcW w:w="1321" w:type="pct"/>
            <w:shd w:val="clear" w:color="auto" w:fill="auto"/>
            <w:vAlign w:val="center"/>
          </w:tcPr>
          <w:p w14:paraId="65701836">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曝气竖管</w:t>
            </w:r>
          </w:p>
        </w:tc>
      </w:tr>
      <w:tr w14:paraId="68890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3FCB307E">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16</w:t>
            </w:r>
          </w:p>
        </w:tc>
        <w:tc>
          <w:tcPr>
            <w:tcW w:w="1140" w:type="pct"/>
            <w:shd w:val="clear" w:color="auto" w:fill="auto"/>
            <w:vAlign w:val="center"/>
          </w:tcPr>
          <w:p w14:paraId="471BEF1B">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可提升式曝气器</w:t>
            </w:r>
          </w:p>
        </w:tc>
        <w:tc>
          <w:tcPr>
            <w:tcW w:w="1222" w:type="pct"/>
            <w:shd w:val="clear" w:color="auto" w:fill="auto"/>
            <w:vAlign w:val="center"/>
          </w:tcPr>
          <w:p w14:paraId="21B1299B">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单个曝气量：</w:t>
            </w:r>
            <w:r>
              <w:rPr>
                <w:rFonts w:hint="default" w:ascii="Times New Roman" w:hAnsi="Times New Roman" w:eastAsia="楷体" w:cs="Times New Roman"/>
                <w:i w:val="0"/>
                <w:iCs w:val="0"/>
                <w:color w:val="auto"/>
                <w:kern w:val="0"/>
                <w:sz w:val="21"/>
                <w:szCs w:val="21"/>
                <w:highlight w:val="none"/>
                <w:u w:val="none"/>
                <w:lang w:val="en-US" w:eastAsia="zh-CN" w:bidi="ar"/>
              </w:rPr>
              <w:t>6m3/h</w:t>
            </w:r>
          </w:p>
        </w:tc>
        <w:tc>
          <w:tcPr>
            <w:tcW w:w="396" w:type="pct"/>
            <w:shd w:val="clear" w:color="auto" w:fill="auto"/>
            <w:vAlign w:val="center"/>
          </w:tcPr>
          <w:p w14:paraId="5365CDC5">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2D2D3C0C">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6F2C88BF">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5280</w:t>
            </w:r>
          </w:p>
        </w:tc>
        <w:tc>
          <w:tcPr>
            <w:tcW w:w="1321" w:type="pct"/>
            <w:shd w:val="clear" w:color="auto" w:fill="auto"/>
            <w:vAlign w:val="center"/>
          </w:tcPr>
          <w:p w14:paraId="40735785">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w:t>
            </w:r>
            <w:r>
              <w:rPr>
                <w:rFonts w:hint="eastAsia" w:ascii="楷体" w:hAnsi="楷体" w:eastAsia="楷体" w:cs="楷体"/>
                <w:i w:val="0"/>
                <w:iCs w:val="0"/>
                <w:color w:val="auto"/>
                <w:kern w:val="0"/>
                <w:sz w:val="21"/>
                <w:szCs w:val="21"/>
                <w:highlight w:val="none"/>
                <w:u w:val="none"/>
                <w:lang w:val="en-US" w:eastAsia="zh-CN" w:bidi="ar"/>
              </w:rPr>
              <w:t>备用</w:t>
            </w:r>
          </w:p>
        </w:tc>
      </w:tr>
      <w:tr w14:paraId="150DE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0E94D320">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17</w:t>
            </w:r>
          </w:p>
        </w:tc>
        <w:tc>
          <w:tcPr>
            <w:tcW w:w="1140" w:type="pct"/>
            <w:shd w:val="clear" w:color="auto" w:fill="auto"/>
            <w:vAlign w:val="center"/>
          </w:tcPr>
          <w:p w14:paraId="05473355">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除臭培养箱</w:t>
            </w:r>
          </w:p>
        </w:tc>
        <w:tc>
          <w:tcPr>
            <w:tcW w:w="1222" w:type="pct"/>
            <w:shd w:val="clear" w:color="auto" w:fill="auto"/>
            <w:vAlign w:val="center"/>
          </w:tcPr>
          <w:p w14:paraId="28521B7D">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D=1200mm</w:t>
            </w:r>
          </w:p>
        </w:tc>
        <w:tc>
          <w:tcPr>
            <w:tcW w:w="396" w:type="pct"/>
            <w:shd w:val="clear" w:color="auto" w:fill="auto"/>
            <w:vAlign w:val="center"/>
          </w:tcPr>
          <w:p w14:paraId="197EB2E1">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0CEE7071">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0070EC5F">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48</w:t>
            </w:r>
          </w:p>
        </w:tc>
        <w:tc>
          <w:tcPr>
            <w:tcW w:w="1321" w:type="pct"/>
            <w:shd w:val="clear" w:color="auto" w:fill="auto"/>
            <w:vAlign w:val="center"/>
          </w:tcPr>
          <w:p w14:paraId="58772ECE">
            <w:pPr>
              <w:jc w:val="left"/>
              <w:rPr>
                <w:rFonts w:hint="default" w:ascii="Times New Roman" w:hAnsi="Times New Roman" w:cs="Times New Roman"/>
                <w:i w:val="0"/>
                <w:iCs w:val="0"/>
                <w:color w:val="auto"/>
                <w:sz w:val="21"/>
                <w:szCs w:val="21"/>
                <w:highlight w:val="none"/>
                <w:u w:val="none"/>
              </w:rPr>
            </w:pPr>
          </w:p>
        </w:tc>
      </w:tr>
      <w:tr w14:paraId="34B9B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13E8DB6B">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18</w:t>
            </w:r>
          </w:p>
        </w:tc>
        <w:tc>
          <w:tcPr>
            <w:tcW w:w="1140" w:type="pct"/>
            <w:shd w:val="clear" w:color="auto" w:fill="auto"/>
            <w:vAlign w:val="center"/>
          </w:tcPr>
          <w:p w14:paraId="19201711">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手动蝶阀</w:t>
            </w:r>
          </w:p>
        </w:tc>
        <w:tc>
          <w:tcPr>
            <w:tcW w:w="1222" w:type="pct"/>
            <w:shd w:val="clear" w:color="auto" w:fill="auto"/>
            <w:vAlign w:val="center"/>
          </w:tcPr>
          <w:p w14:paraId="272F3081">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DN80</w:t>
            </w:r>
          </w:p>
        </w:tc>
        <w:tc>
          <w:tcPr>
            <w:tcW w:w="396" w:type="pct"/>
            <w:shd w:val="clear" w:color="auto" w:fill="auto"/>
            <w:vAlign w:val="center"/>
          </w:tcPr>
          <w:p w14:paraId="18592A6F">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2EE8E827">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73C0A768">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321" w:type="pct"/>
            <w:shd w:val="clear" w:color="auto" w:fill="auto"/>
            <w:vAlign w:val="center"/>
          </w:tcPr>
          <w:p w14:paraId="60CD4143">
            <w:pPr>
              <w:jc w:val="left"/>
              <w:rPr>
                <w:rFonts w:hint="default" w:ascii="Times New Roman" w:hAnsi="Times New Roman" w:cs="Times New Roman"/>
                <w:i w:val="0"/>
                <w:iCs w:val="0"/>
                <w:color w:val="auto"/>
                <w:sz w:val="21"/>
                <w:szCs w:val="21"/>
                <w:highlight w:val="none"/>
                <w:u w:val="none"/>
              </w:rPr>
            </w:pPr>
          </w:p>
        </w:tc>
      </w:tr>
      <w:tr w14:paraId="68108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5000" w:type="pct"/>
            <w:gridSpan w:val="7"/>
            <w:shd w:val="clear" w:color="auto" w:fill="auto"/>
            <w:vAlign w:val="center"/>
          </w:tcPr>
          <w:p w14:paraId="4FA2156B">
            <w:pPr>
              <w:keepNext w:val="0"/>
              <w:keepLines w:val="0"/>
              <w:widowControl/>
              <w:suppressLineNumbers w:val="0"/>
              <w:jc w:val="left"/>
              <w:textAlignment w:val="top"/>
              <w:rPr>
                <w:rFonts w:hint="default" w:ascii="Times New Roman" w:hAnsi="Times New Roman"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4.</w:t>
            </w:r>
            <w:r>
              <w:rPr>
                <w:rFonts w:hint="eastAsia" w:ascii="楷体" w:hAnsi="楷体" w:eastAsia="楷体" w:cs="楷体"/>
                <w:b/>
                <w:bCs/>
                <w:i w:val="0"/>
                <w:iCs w:val="0"/>
                <w:color w:val="auto"/>
                <w:kern w:val="0"/>
                <w:sz w:val="21"/>
                <w:szCs w:val="21"/>
                <w:highlight w:val="none"/>
                <w:u w:val="none"/>
                <w:lang w:val="en-US" w:eastAsia="zh-CN" w:bidi="ar"/>
              </w:rPr>
              <w:t>二沉池</w:t>
            </w:r>
          </w:p>
        </w:tc>
      </w:tr>
      <w:tr w14:paraId="4352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3D862A18">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140" w:type="pct"/>
            <w:shd w:val="clear" w:color="auto" w:fill="auto"/>
            <w:vAlign w:val="center"/>
          </w:tcPr>
          <w:p w14:paraId="23A7B5CB">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中心传动单管吸泥机</w:t>
            </w:r>
          </w:p>
        </w:tc>
        <w:tc>
          <w:tcPr>
            <w:tcW w:w="1222" w:type="pct"/>
            <w:shd w:val="clear" w:color="auto" w:fill="auto"/>
            <w:vAlign w:val="center"/>
          </w:tcPr>
          <w:p w14:paraId="7B812CD6">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D40m 0.37kW</w:t>
            </w:r>
          </w:p>
        </w:tc>
        <w:tc>
          <w:tcPr>
            <w:tcW w:w="396" w:type="pct"/>
            <w:shd w:val="clear" w:color="auto" w:fill="auto"/>
            <w:vAlign w:val="center"/>
          </w:tcPr>
          <w:p w14:paraId="55772BF1">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135B4446">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23384DB9">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321" w:type="pct"/>
            <w:shd w:val="clear" w:color="auto" w:fill="auto"/>
            <w:vAlign w:val="center"/>
          </w:tcPr>
          <w:p w14:paraId="1800A51B">
            <w:pPr>
              <w:jc w:val="left"/>
              <w:rPr>
                <w:rFonts w:hint="default" w:ascii="Times New Roman" w:hAnsi="Times New Roman" w:cs="Times New Roman"/>
                <w:i w:val="0"/>
                <w:iCs w:val="0"/>
                <w:color w:val="auto"/>
                <w:sz w:val="21"/>
                <w:szCs w:val="21"/>
                <w:highlight w:val="none"/>
                <w:u w:val="none"/>
              </w:rPr>
            </w:pPr>
          </w:p>
        </w:tc>
      </w:tr>
      <w:tr w14:paraId="12AC3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2DDC39F0">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140" w:type="pct"/>
            <w:shd w:val="clear" w:color="auto" w:fill="auto"/>
            <w:vAlign w:val="center"/>
          </w:tcPr>
          <w:p w14:paraId="0A2089D7">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电动排渣闸门</w:t>
            </w:r>
          </w:p>
        </w:tc>
        <w:tc>
          <w:tcPr>
            <w:tcW w:w="1222" w:type="pct"/>
            <w:shd w:val="clear" w:color="auto" w:fill="auto"/>
            <w:vAlign w:val="center"/>
          </w:tcPr>
          <w:p w14:paraId="76A2F56E">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600×600mm 0.37kW</w:t>
            </w:r>
          </w:p>
        </w:tc>
        <w:tc>
          <w:tcPr>
            <w:tcW w:w="396" w:type="pct"/>
            <w:shd w:val="clear" w:color="auto" w:fill="auto"/>
            <w:vAlign w:val="center"/>
          </w:tcPr>
          <w:p w14:paraId="57B092D3">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0B27AB4C">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12C26858">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321" w:type="pct"/>
            <w:shd w:val="clear" w:color="auto" w:fill="auto"/>
            <w:vAlign w:val="center"/>
          </w:tcPr>
          <w:p w14:paraId="39B82C9D">
            <w:pPr>
              <w:jc w:val="left"/>
              <w:rPr>
                <w:rFonts w:hint="default" w:ascii="Times New Roman" w:hAnsi="Times New Roman" w:cs="Times New Roman"/>
                <w:i w:val="0"/>
                <w:iCs w:val="0"/>
                <w:color w:val="auto"/>
                <w:sz w:val="21"/>
                <w:szCs w:val="21"/>
                <w:highlight w:val="none"/>
                <w:u w:val="none"/>
              </w:rPr>
            </w:pPr>
          </w:p>
        </w:tc>
      </w:tr>
      <w:tr w14:paraId="46127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5000" w:type="pct"/>
            <w:gridSpan w:val="7"/>
            <w:shd w:val="clear" w:color="auto" w:fill="auto"/>
            <w:vAlign w:val="center"/>
          </w:tcPr>
          <w:p w14:paraId="65661789">
            <w:pPr>
              <w:keepNext w:val="0"/>
              <w:keepLines w:val="0"/>
              <w:widowControl/>
              <w:suppressLineNumbers w:val="0"/>
              <w:jc w:val="left"/>
              <w:textAlignment w:val="top"/>
              <w:rPr>
                <w:rFonts w:hint="default" w:ascii="Times New Roman" w:hAnsi="Times New Roman"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5.</w:t>
            </w:r>
            <w:r>
              <w:rPr>
                <w:rFonts w:hint="eastAsia" w:ascii="楷体" w:hAnsi="楷体" w:eastAsia="楷体" w:cs="楷体"/>
                <w:b/>
                <w:bCs/>
                <w:i w:val="0"/>
                <w:iCs w:val="0"/>
                <w:color w:val="auto"/>
                <w:kern w:val="0"/>
                <w:sz w:val="21"/>
                <w:szCs w:val="21"/>
                <w:highlight w:val="none"/>
                <w:u w:val="none"/>
                <w:lang w:val="en-US" w:eastAsia="zh-CN" w:bidi="ar"/>
              </w:rPr>
              <w:t>集配水井及污泥泵池</w:t>
            </w:r>
          </w:p>
        </w:tc>
      </w:tr>
      <w:tr w14:paraId="44367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3EAB7E5A">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140" w:type="pct"/>
            <w:shd w:val="clear" w:color="auto" w:fill="auto"/>
            <w:vAlign w:val="center"/>
          </w:tcPr>
          <w:p w14:paraId="24AFA70E">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不锈钢排泥套筒阀</w:t>
            </w:r>
          </w:p>
        </w:tc>
        <w:tc>
          <w:tcPr>
            <w:tcW w:w="1222" w:type="pct"/>
            <w:shd w:val="clear" w:color="auto" w:fill="auto"/>
            <w:vAlign w:val="center"/>
          </w:tcPr>
          <w:p w14:paraId="003A8851">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Φ700mm 0.37kW</w:t>
            </w:r>
          </w:p>
        </w:tc>
        <w:tc>
          <w:tcPr>
            <w:tcW w:w="396" w:type="pct"/>
            <w:shd w:val="clear" w:color="auto" w:fill="auto"/>
            <w:vAlign w:val="center"/>
          </w:tcPr>
          <w:p w14:paraId="151D4C9A">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1675863D">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1C2046BF">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321" w:type="pct"/>
            <w:shd w:val="clear" w:color="auto" w:fill="auto"/>
            <w:vAlign w:val="center"/>
          </w:tcPr>
          <w:p w14:paraId="74DF3203">
            <w:pPr>
              <w:jc w:val="left"/>
              <w:rPr>
                <w:rFonts w:hint="default" w:ascii="Times New Roman" w:hAnsi="Times New Roman" w:cs="Times New Roman"/>
                <w:i w:val="0"/>
                <w:iCs w:val="0"/>
                <w:color w:val="auto"/>
                <w:sz w:val="21"/>
                <w:szCs w:val="21"/>
                <w:highlight w:val="none"/>
                <w:u w:val="none"/>
              </w:rPr>
            </w:pPr>
          </w:p>
        </w:tc>
      </w:tr>
      <w:tr w14:paraId="2BAB1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492D5C0C">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140" w:type="pct"/>
            <w:shd w:val="clear" w:color="auto" w:fill="auto"/>
            <w:vAlign w:val="center"/>
          </w:tcPr>
          <w:p w14:paraId="0711606A">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回流污泥泵（轴流泵）</w:t>
            </w:r>
          </w:p>
        </w:tc>
        <w:tc>
          <w:tcPr>
            <w:tcW w:w="1222" w:type="pct"/>
            <w:shd w:val="clear" w:color="auto" w:fill="auto"/>
            <w:vAlign w:val="center"/>
          </w:tcPr>
          <w:p w14:paraId="3FCD50DF">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Q=1670m</w:t>
            </w:r>
            <w:r>
              <w:rPr>
                <w:rFonts w:hint="default" w:ascii="Times New Roman" w:hAnsi="Times New Roman" w:eastAsia="宋体" w:cs="Times New Roman"/>
                <w:i w:val="0"/>
                <w:iCs w:val="0"/>
                <w:color w:val="auto"/>
                <w:kern w:val="0"/>
                <w:sz w:val="13"/>
                <w:szCs w:val="13"/>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/h H=6.0m N=45kW</w:t>
            </w:r>
          </w:p>
        </w:tc>
        <w:tc>
          <w:tcPr>
            <w:tcW w:w="396" w:type="pct"/>
            <w:shd w:val="clear" w:color="auto" w:fill="auto"/>
            <w:vAlign w:val="center"/>
          </w:tcPr>
          <w:p w14:paraId="303C7AB6">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0051FDA8">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2FF78B52">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321" w:type="pct"/>
            <w:shd w:val="clear" w:color="auto" w:fill="auto"/>
            <w:vAlign w:val="center"/>
          </w:tcPr>
          <w:p w14:paraId="6BC9A63C">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备，其中</w:t>
            </w: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ascii="楷体" w:hAnsi="楷体" w:eastAsia="楷体" w:cs="楷体"/>
                <w:i w:val="0"/>
                <w:iCs w:val="0"/>
                <w:color w:val="auto"/>
                <w:kern w:val="0"/>
                <w:sz w:val="21"/>
                <w:szCs w:val="21"/>
                <w:highlight w:val="none"/>
                <w:u w:val="none"/>
                <w:lang w:val="en-US" w:eastAsia="zh-CN" w:bidi="ar"/>
              </w:rPr>
              <w:t>台变频</w:t>
            </w:r>
          </w:p>
        </w:tc>
      </w:tr>
      <w:tr w14:paraId="16C46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07B6B9D3">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1140" w:type="pct"/>
            <w:shd w:val="clear" w:color="auto" w:fill="auto"/>
            <w:vAlign w:val="center"/>
          </w:tcPr>
          <w:p w14:paraId="25AB0967">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剩余污泥泵（潜污泵）</w:t>
            </w:r>
          </w:p>
        </w:tc>
        <w:tc>
          <w:tcPr>
            <w:tcW w:w="1222" w:type="pct"/>
            <w:shd w:val="clear" w:color="auto" w:fill="auto"/>
            <w:vAlign w:val="center"/>
          </w:tcPr>
          <w:p w14:paraId="3CD2B3EA">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Q=180m</w:t>
            </w:r>
            <w:r>
              <w:rPr>
                <w:rFonts w:hint="default" w:ascii="Times New Roman" w:hAnsi="Times New Roman" w:eastAsia="宋体" w:cs="Times New Roman"/>
                <w:i w:val="0"/>
                <w:iCs w:val="0"/>
                <w:color w:val="auto"/>
                <w:kern w:val="0"/>
                <w:sz w:val="13"/>
                <w:szCs w:val="13"/>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/h H=10.0m N=7.5kW</w:t>
            </w:r>
          </w:p>
        </w:tc>
        <w:tc>
          <w:tcPr>
            <w:tcW w:w="396" w:type="pct"/>
            <w:shd w:val="clear" w:color="auto" w:fill="auto"/>
            <w:vAlign w:val="center"/>
          </w:tcPr>
          <w:p w14:paraId="668D2802">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66DCDA23">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1CC16FD3">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47162995">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备</w:t>
            </w:r>
          </w:p>
        </w:tc>
      </w:tr>
      <w:tr w14:paraId="22BFE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40DE44FA">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140" w:type="pct"/>
            <w:shd w:val="clear" w:color="auto" w:fill="auto"/>
            <w:vAlign w:val="center"/>
          </w:tcPr>
          <w:p w14:paraId="4272878A">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除臭污泥回流泵（潜污泵）</w:t>
            </w:r>
          </w:p>
        </w:tc>
        <w:tc>
          <w:tcPr>
            <w:tcW w:w="1222" w:type="pct"/>
            <w:shd w:val="clear" w:color="auto" w:fill="auto"/>
            <w:vAlign w:val="center"/>
          </w:tcPr>
          <w:p w14:paraId="2A33121C">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Q=150m</w:t>
            </w:r>
            <w:r>
              <w:rPr>
                <w:rFonts w:hint="default" w:ascii="Times New Roman" w:hAnsi="Times New Roman" w:eastAsia="宋体" w:cs="Times New Roman"/>
                <w:i w:val="0"/>
                <w:iCs w:val="0"/>
                <w:color w:val="auto"/>
                <w:kern w:val="0"/>
                <w:sz w:val="13"/>
                <w:szCs w:val="13"/>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/h H=20.0m N=11kW</w:t>
            </w:r>
          </w:p>
        </w:tc>
        <w:tc>
          <w:tcPr>
            <w:tcW w:w="396" w:type="pct"/>
            <w:shd w:val="clear" w:color="auto" w:fill="auto"/>
            <w:vAlign w:val="center"/>
          </w:tcPr>
          <w:p w14:paraId="24CAD76F">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62E9CB9A">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5FFD46DB">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1321" w:type="pct"/>
            <w:shd w:val="clear" w:color="auto" w:fill="auto"/>
            <w:vAlign w:val="center"/>
          </w:tcPr>
          <w:p w14:paraId="5445D0DD">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备</w:t>
            </w:r>
          </w:p>
        </w:tc>
      </w:tr>
      <w:tr w14:paraId="61EA1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0096769B">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140" w:type="pct"/>
            <w:shd w:val="clear" w:color="auto" w:fill="auto"/>
            <w:vAlign w:val="center"/>
          </w:tcPr>
          <w:p w14:paraId="4939E3F6">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电动单梁桥式起重机</w:t>
            </w:r>
          </w:p>
        </w:tc>
        <w:tc>
          <w:tcPr>
            <w:tcW w:w="1222" w:type="pct"/>
            <w:shd w:val="clear" w:color="auto" w:fill="auto"/>
            <w:vAlign w:val="center"/>
          </w:tcPr>
          <w:p w14:paraId="5A78E645">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T=3t</w:t>
            </w:r>
            <w:r>
              <w:rPr>
                <w:rFonts w:hint="eastAsia" w:ascii="楷体" w:hAnsi="楷体" w:eastAsia="楷体" w:cs="楷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H=12m</w:t>
            </w:r>
            <w:r>
              <w:rPr>
                <w:rFonts w:hint="eastAsia" w:ascii="楷体" w:hAnsi="楷体" w:eastAsia="楷体" w:cs="楷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N=4.5+0.4kW</w:t>
            </w:r>
          </w:p>
        </w:tc>
        <w:tc>
          <w:tcPr>
            <w:tcW w:w="396" w:type="pct"/>
            <w:shd w:val="clear" w:color="auto" w:fill="auto"/>
            <w:vAlign w:val="center"/>
          </w:tcPr>
          <w:p w14:paraId="58F717A1">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0E8EDC50">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2FAC5DF9">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48F79A02">
            <w:pPr>
              <w:jc w:val="left"/>
              <w:rPr>
                <w:rFonts w:hint="default" w:ascii="Times New Roman" w:hAnsi="Times New Roman" w:cs="Times New Roman"/>
                <w:i w:val="0"/>
                <w:iCs w:val="0"/>
                <w:color w:val="auto"/>
                <w:sz w:val="21"/>
                <w:szCs w:val="21"/>
                <w:highlight w:val="none"/>
                <w:u w:val="none"/>
              </w:rPr>
            </w:pPr>
          </w:p>
        </w:tc>
      </w:tr>
      <w:tr w14:paraId="13032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4117769C">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1140" w:type="pct"/>
            <w:shd w:val="clear" w:color="auto" w:fill="auto"/>
            <w:vAlign w:val="center"/>
          </w:tcPr>
          <w:p w14:paraId="3398CDB6">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电动镶铜铸铁圆闸门</w:t>
            </w:r>
          </w:p>
        </w:tc>
        <w:tc>
          <w:tcPr>
            <w:tcW w:w="1222" w:type="pct"/>
            <w:shd w:val="clear" w:color="auto" w:fill="auto"/>
            <w:vAlign w:val="center"/>
          </w:tcPr>
          <w:p w14:paraId="2F664EAA">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Φ1400 0.37kW</w:t>
            </w:r>
          </w:p>
        </w:tc>
        <w:tc>
          <w:tcPr>
            <w:tcW w:w="396" w:type="pct"/>
            <w:shd w:val="clear" w:color="auto" w:fill="auto"/>
            <w:vAlign w:val="center"/>
          </w:tcPr>
          <w:p w14:paraId="7C688D72">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2D3EB9A5">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59303FF0">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1321" w:type="pct"/>
            <w:shd w:val="clear" w:color="auto" w:fill="auto"/>
            <w:vAlign w:val="center"/>
          </w:tcPr>
          <w:p w14:paraId="0E6E4FB1">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进水管、出水管</w:t>
            </w:r>
          </w:p>
        </w:tc>
      </w:tr>
      <w:tr w14:paraId="0A9ED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7BBF9892">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1140" w:type="pct"/>
            <w:shd w:val="clear" w:color="auto" w:fill="auto"/>
            <w:vAlign w:val="center"/>
          </w:tcPr>
          <w:p w14:paraId="6539199F">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手动法兰式闸阀</w:t>
            </w:r>
          </w:p>
        </w:tc>
        <w:tc>
          <w:tcPr>
            <w:tcW w:w="1222" w:type="pct"/>
            <w:shd w:val="clear" w:color="auto" w:fill="auto"/>
            <w:vAlign w:val="center"/>
          </w:tcPr>
          <w:p w14:paraId="5500313E">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DN150 PN1.0MPa</w:t>
            </w:r>
          </w:p>
        </w:tc>
        <w:tc>
          <w:tcPr>
            <w:tcW w:w="396" w:type="pct"/>
            <w:shd w:val="clear" w:color="auto" w:fill="auto"/>
            <w:vAlign w:val="center"/>
          </w:tcPr>
          <w:p w14:paraId="40544882">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5CBF0C65">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0A8FF5A5">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321" w:type="pct"/>
            <w:shd w:val="clear" w:color="auto" w:fill="auto"/>
            <w:vAlign w:val="center"/>
          </w:tcPr>
          <w:p w14:paraId="451B0B9C">
            <w:pPr>
              <w:jc w:val="left"/>
              <w:rPr>
                <w:rFonts w:hint="default" w:ascii="Times New Roman" w:hAnsi="Times New Roman" w:cs="Times New Roman"/>
                <w:i w:val="0"/>
                <w:iCs w:val="0"/>
                <w:color w:val="auto"/>
                <w:sz w:val="21"/>
                <w:szCs w:val="21"/>
                <w:highlight w:val="none"/>
                <w:u w:val="none"/>
              </w:rPr>
            </w:pPr>
          </w:p>
        </w:tc>
      </w:tr>
      <w:tr w14:paraId="3DC1A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515CC0DB">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1140" w:type="pct"/>
            <w:shd w:val="clear" w:color="auto" w:fill="auto"/>
            <w:vAlign w:val="center"/>
          </w:tcPr>
          <w:p w14:paraId="3CD3D79C">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止回阀</w:t>
            </w:r>
          </w:p>
        </w:tc>
        <w:tc>
          <w:tcPr>
            <w:tcW w:w="1222" w:type="pct"/>
            <w:shd w:val="clear" w:color="auto" w:fill="auto"/>
            <w:vAlign w:val="center"/>
          </w:tcPr>
          <w:p w14:paraId="2CCC6A30">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DN150 PN1.0MPa</w:t>
            </w:r>
          </w:p>
        </w:tc>
        <w:tc>
          <w:tcPr>
            <w:tcW w:w="396" w:type="pct"/>
            <w:shd w:val="clear" w:color="auto" w:fill="auto"/>
            <w:vAlign w:val="center"/>
          </w:tcPr>
          <w:p w14:paraId="37D02574">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2205ED21">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1DFA0025">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321" w:type="pct"/>
            <w:shd w:val="clear" w:color="auto" w:fill="auto"/>
            <w:vAlign w:val="center"/>
          </w:tcPr>
          <w:p w14:paraId="3676DA72">
            <w:pPr>
              <w:jc w:val="left"/>
              <w:rPr>
                <w:rFonts w:hint="default" w:ascii="Times New Roman" w:hAnsi="Times New Roman" w:cs="Times New Roman"/>
                <w:i w:val="0"/>
                <w:iCs w:val="0"/>
                <w:color w:val="auto"/>
                <w:sz w:val="21"/>
                <w:szCs w:val="21"/>
                <w:highlight w:val="none"/>
                <w:u w:val="none"/>
              </w:rPr>
            </w:pPr>
          </w:p>
        </w:tc>
      </w:tr>
      <w:tr w14:paraId="48FF7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5000" w:type="pct"/>
            <w:gridSpan w:val="7"/>
            <w:shd w:val="clear" w:color="auto" w:fill="auto"/>
            <w:vAlign w:val="center"/>
          </w:tcPr>
          <w:p w14:paraId="5C5AF7A4">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6.</w:t>
            </w:r>
            <w:r>
              <w:rPr>
                <w:rFonts w:hint="eastAsia" w:ascii="楷体" w:hAnsi="楷体" w:eastAsia="楷体" w:cs="楷体"/>
                <w:b/>
                <w:bCs/>
                <w:i w:val="0"/>
                <w:iCs w:val="0"/>
                <w:color w:val="auto"/>
                <w:kern w:val="0"/>
                <w:sz w:val="21"/>
                <w:szCs w:val="21"/>
                <w:highlight w:val="none"/>
                <w:u w:val="none"/>
                <w:lang w:val="en-US" w:eastAsia="zh-CN" w:bidi="ar"/>
              </w:rPr>
              <w:t>加介质高效沉淀池</w:t>
            </w:r>
          </w:p>
        </w:tc>
      </w:tr>
      <w:tr w14:paraId="57C64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3876EB5E">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140" w:type="pct"/>
            <w:shd w:val="clear" w:color="auto" w:fill="auto"/>
            <w:vAlign w:val="center"/>
          </w:tcPr>
          <w:p w14:paraId="21B7F989">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中心传动刮泥机</w:t>
            </w:r>
          </w:p>
        </w:tc>
        <w:tc>
          <w:tcPr>
            <w:tcW w:w="1222" w:type="pct"/>
            <w:shd w:val="clear" w:color="auto" w:fill="auto"/>
            <w:vAlign w:val="center"/>
          </w:tcPr>
          <w:p w14:paraId="25392F9B">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D=13m</w:t>
            </w:r>
            <w:r>
              <w:rPr>
                <w:rFonts w:hint="eastAsia" w:ascii="楷体" w:hAnsi="楷体" w:eastAsia="楷体" w:cs="楷体"/>
                <w:i w:val="0"/>
                <w:iCs w:val="0"/>
                <w:color w:val="auto"/>
                <w:kern w:val="0"/>
                <w:sz w:val="21"/>
                <w:szCs w:val="21"/>
                <w:highlight w:val="none"/>
                <w:u w:val="none"/>
                <w:lang w:val="en-US" w:eastAsia="zh-CN" w:bidi="ar"/>
              </w:rPr>
              <w:t>，转速</w:t>
            </w:r>
            <w:r>
              <w:rPr>
                <w:rFonts w:hint="default" w:ascii="Times New Roman" w:hAnsi="Times New Roman" w:eastAsia="宋体" w:cs="Times New Roman"/>
                <w:i w:val="0"/>
                <w:iCs w:val="0"/>
                <w:color w:val="auto"/>
                <w:kern w:val="0"/>
                <w:sz w:val="21"/>
                <w:szCs w:val="21"/>
                <w:highlight w:val="none"/>
                <w:u w:val="none"/>
                <w:lang w:val="en-US" w:eastAsia="zh-CN" w:bidi="ar"/>
              </w:rPr>
              <w:t>2.5m/min</w:t>
            </w:r>
            <w:r>
              <w:rPr>
                <w:rFonts w:hint="eastAsia" w:ascii="楷体" w:hAnsi="楷体" w:eastAsia="楷体" w:cs="楷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N=0.75kw</w:t>
            </w:r>
          </w:p>
        </w:tc>
        <w:tc>
          <w:tcPr>
            <w:tcW w:w="396" w:type="pct"/>
            <w:shd w:val="clear" w:color="auto" w:fill="auto"/>
            <w:vAlign w:val="center"/>
          </w:tcPr>
          <w:p w14:paraId="404C9EB4">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SS304</w:t>
            </w:r>
          </w:p>
        </w:tc>
        <w:tc>
          <w:tcPr>
            <w:tcW w:w="311" w:type="pct"/>
            <w:shd w:val="clear" w:color="auto" w:fill="auto"/>
            <w:vAlign w:val="center"/>
          </w:tcPr>
          <w:p w14:paraId="44F2163F">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75B6E6AD">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577AA252">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带钢走桥</w:t>
            </w:r>
          </w:p>
        </w:tc>
      </w:tr>
      <w:tr w14:paraId="25C2F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2880FC02">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140" w:type="pct"/>
            <w:shd w:val="clear" w:color="auto" w:fill="auto"/>
            <w:vAlign w:val="center"/>
          </w:tcPr>
          <w:p w14:paraId="608DE596">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混合池搅拌器</w:t>
            </w:r>
          </w:p>
        </w:tc>
        <w:tc>
          <w:tcPr>
            <w:tcW w:w="1222" w:type="pct"/>
            <w:shd w:val="clear" w:color="auto" w:fill="auto"/>
            <w:vAlign w:val="center"/>
          </w:tcPr>
          <w:p w14:paraId="25A9A786">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三叶式，转速</w:t>
            </w:r>
            <w:r>
              <w:rPr>
                <w:rFonts w:hint="default" w:ascii="Times New Roman" w:hAnsi="Times New Roman" w:eastAsia="楷体" w:cs="Times New Roman"/>
                <w:i w:val="0"/>
                <w:iCs w:val="0"/>
                <w:color w:val="auto"/>
                <w:kern w:val="0"/>
                <w:sz w:val="21"/>
                <w:szCs w:val="21"/>
                <w:highlight w:val="none"/>
                <w:u w:val="none"/>
                <w:lang w:val="en-US" w:eastAsia="zh-CN" w:bidi="ar"/>
              </w:rPr>
              <w:t>≤60rpm</w:t>
            </w:r>
            <w:r>
              <w:rPr>
                <w:rFonts w:hint="eastAsia" w:ascii="楷体" w:hAnsi="楷体" w:eastAsia="楷体" w:cs="楷体"/>
                <w:i w:val="0"/>
                <w:iCs w:val="0"/>
                <w:color w:val="auto"/>
                <w:kern w:val="0"/>
                <w:sz w:val="21"/>
                <w:szCs w:val="21"/>
                <w:highlight w:val="none"/>
                <w:u w:val="none"/>
                <w:lang w:val="en-US" w:eastAsia="zh-CN" w:bidi="ar"/>
              </w:rPr>
              <w:t>，</w:t>
            </w:r>
            <w:r>
              <w:rPr>
                <w:rFonts w:hint="default" w:ascii="Times New Roman" w:hAnsi="Times New Roman" w:eastAsia="楷体" w:cs="Times New Roman"/>
                <w:i w:val="0"/>
                <w:iCs w:val="0"/>
                <w:color w:val="auto"/>
                <w:kern w:val="0"/>
                <w:sz w:val="21"/>
                <w:szCs w:val="21"/>
                <w:highlight w:val="none"/>
                <w:u w:val="none"/>
                <w:lang w:val="en-US" w:eastAsia="zh-CN" w:bidi="ar"/>
              </w:rPr>
              <w:t>N=5.5kw</w:t>
            </w:r>
          </w:p>
        </w:tc>
        <w:tc>
          <w:tcPr>
            <w:tcW w:w="396" w:type="pct"/>
            <w:shd w:val="clear" w:color="auto" w:fill="auto"/>
            <w:vAlign w:val="center"/>
          </w:tcPr>
          <w:p w14:paraId="42851888">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5F424BAE">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15BBB3FD">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77E03923">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变频</w:t>
            </w:r>
          </w:p>
        </w:tc>
      </w:tr>
      <w:tr w14:paraId="54E48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0805F10B">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1140" w:type="pct"/>
            <w:shd w:val="clear" w:color="auto" w:fill="auto"/>
            <w:vAlign w:val="center"/>
          </w:tcPr>
          <w:p w14:paraId="6965D987">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磁粉池搅拌器</w:t>
            </w:r>
          </w:p>
        </w:tc>
        <w:tc>
          <w:tcPr>
            <w:tcW w:w="1222" w:type="pct"/>
            <w:shd w:val="clear" w:color="auto" w:fill="auto"/>
            <w:vAlign w:val="center"/>
          </w:tcPr>
          <w:p w14:paraId="4E902F2C">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三叶式，转速</w:t>
            </w:r>
            <w:r>
              <w:rPr>
                <w:rFonts w:hint="default" w:ascii="Times New Roman" w:hAnsi="Times New Roman" w:eastAsia="楷体" w:cs="Times New Roman"/>
                <w:i w:val="0"/>
                <w:iCs w:val="0"/>
                <w:color w:val="auto"/>
                <w:kern w:val="0"/>
                <w:sz w:val="21"/>
                <w:szCs w:val="21"/>
                <w:highlight w:val="none"/>
                <w:u w:val="none"/>
                <w:lang w:val="en-US" w:eastAsia="zh-CN" w:bidi="ar"/>
              </w:rPr>
              <w:t>≤60rpm</w:t>
            </w:r>
            <w:r>
              <w:rPr>
                <w:rFonts w:hint="eastAsia" w:ascii="楷体" w:hAnsi="楷体" w:eastAsia="楷体" w:cs="楷体"/>
                <w:i w:val="0"/>
                <w:iCs w:val="0"/>
                <w:color w:val="auto"/>
                <w:kern w:val="0"/>
                <w:sz w:val="21"/>
                <w:szCs w:val="21"/>
                <w:highlight w:val="none"/>
                <w:u w:val="none"/>
                <w:lang w:val="en-US" w:eastAsia="zh-CN" w:bidi="ar"/>
              </w:rPr>
              <w:t>，</w:t>
            </w:r>
            <w:r>
              <w:rPr>
                <w:rFonts w:hint="default" w:ascii="Times New Roman" w:hAnsi="Times New Roman" w:eastAsia="楷体" w:cs="Times New Roman"/>
                <w:i w:val="0"/>
                <w:iCs w:val="0"/>
                <w:color w:val="auto"/>
                <w:kern w:val="0"/>
                <w:sz w:val="21"/>
                <w:szCs w:val="21"/>
                <w:highlight w:val="none"/>
                <w:u w:val="none"/>
                <w:lang w:val="en-US" w:eastAsia="zh-CN" w:bidi="ar"/>
              </w:rPr>
              <w:t>N=7.5kw</w:t>
            </w:r>
          </w:p>
        </w:tc>
        <w:tc>
          <w:tcPr>
            <w:tcW w:w="396" w:type="pct"/>
            <w:shd w:val="clear" w:color="auto" w:fill="auto"/>
            <w:vAlign w:val="center"/>
          </w:tcPr>
          <w:p w14:paraId="08EFF826">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471F9451">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5AD2F913">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59FAF8CD">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变频</w:t>
            </w:r>
          </w:p>
        </w:tc>
      </w:tr>
      <w:tr w14:paraId="53236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439C7298">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140" w:type="pct"/>
            <w:shd w:val="clear" w:color="auto" w:fill="auto"/>
            <w:vAlign w:val="center"/>
          </w:tcPr>
          <w:p w14:paraId="7C472005">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絮凝池搅拌器</w:t>
            </w:r>
          </w:p>
        </w:tc>
        <w:tc>
          <w:tcPr>
            <w:tcW w:w="1222" w:type="pct"/>
            <w:shd w:val="clear" w:color="auto" w:fill="auto"/>
            <w:vAlign w:val="center"/>
          </w:tcPr>
          <w:p w14:paraId="667F98FF">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三叶式，转速</w:t>
            </w:r>
            <w:r>
              <w:rPr>
                <w:rFonts w:hint="default" w:ascii="Times New Roman" w:hAnsi="Times New Roman" w:eastAsia="楷体" w:cs="Times New Roman"/>
                <w:i w:val="0"/>
                <w:iCs w:val="0"/>
                <w:color w:val="auto"/>
                <w:kern w:val="0"/>
                <w:sz w:val="21"/>
                <w:szCs w:val="21"/>
                <w:highlight w:val="none"/>
                <w:u w:val="none"/>
                <w:lang w:val="en-US" w:eastAsia="zh-CN" w:bidi="ar"/>
              </w:rPr>
              <w:t>≤60rpm</w:t>
            </w:r>
            <w:r>
              <w:rPr>
                <w:rFonts w:hint="eastAsia" w:ascii="楷体" w:hAnsi="楷体" w:eastAsia="楷体" w:cs="楷体"/>
                <w:i w:val="0"/>
                <w:iCs w:val="0"/>
                <w:color w:val="auto"/>
                <w:kern w:val="0"/>
                <w:sz w:val="21"/>
                <w:szCs w:val="21"/>
                <w:highlight w:val="none"/>
                <w:u w:val="none"/>
                <w:lang w:val="en-US" w:eastAsia="zh-CN" w:bidi="ar"/>
              </w:rPr>
              <w:t>，</w:t>
            </w:r>
            <w:r>
              <w:rPr>
                <w:rFonts w:hint="default" w:ascii="Times New Roman" w:hAnsi="Times New Roman" w:eastAsia="楷体" w:cs="Times New Roman"/>
                <w:i w:val="0"/>
                <w:iCs w:val="0"/>
                <w:color w:val="auto"/>
                <w:kern w:val="0"/>
                <w:sz w:val="21"/>
                <w:szCs w:val="21"/>
                <w:highlight w:val="none"/>
                <w:u w:val="none"/>
                <w:lang w:val="en-US" w:eastAsia="zh-CN" w:bidi="ar"/>
              </w:rPr>
              <w:t>N=11kw</w:t>
            </w:r>
          </w:p>
        </w:tc>
        <w:tc>
          <w:tcPr>
            <w:tcW w:w="396" w:type="pct"/>
            <w:shd w:val="clear" w:color="auto" w:fill="auto"/>
            <w:vAlign w:val="center"/>
          </w:tcPr>
          <w:p w14:paraId="5451BB2B">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787139FE">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7D32E5F7">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49E1A299">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变频</w:t>
            </w:r>
          </w:p>
        </w:tc>
      </w:tr>
      <w:tr w14:paraId="5723A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6F192D78">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140" w:type="pct"/>
            <w:shd w:val="clear" w:color="auto" w:fill="auto"/>
            <w:vAlign w:val="center"/>
          </w:tcPr>
          <w:p w14:paraId="182639FA">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磁泥剪切机</w:t>
            </w:r>
          </w:p>
        </w:tc>
        <w:tc>
          <w:tcPr>
            <w:tcW w:w="1222" w:type="pct"/>
            <w:shd w:val="clear" w:color="auto" w:fill="auto"/>
            <w:vAlign w:val="center"/>
          </w:tcPr>
          <w:p w14:paraId="19AA3C25">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Q=20m</w:t>
            </w:r>
            <w:r>
              <w:rPr>
                <w:rFonts w:hint="default" w:ascii="Times New Roman" w:hAnsi="Times New Roman" w:eastAsia="宋体" w:cs="Times New Roman"/>
                <w:i w:val="0"/>
                <w:iCs w:val="0"/>
                <w:color w:val="auto"/>
                <w:kern w:val="0"/>
                <w:sz w:val="13"/>
                <w:szCs w:val="13"/>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/h N=5.5kW</w:t>
            </w:r>
          </w:p>
        </w:tc>
        <w:tc>
          <w:tcPr>
            <w:tcW w:w="396" w:type="pct"/>
            <w:shd w:val="clear" w:color="auto" w:fill="auto"/>
            <w:vAlign w:val="center"/>
          </w:tcPr>
          <w:p w14:paraId="3A996CD1">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29D2A72A">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6A22D40D">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07EA280D">
            <w:pPr>
              <w:jc w:val="left"/>
              <w:rPr>
                <w:rFonts w:hint="default" w:ascii="Times New Roman" w:hAnsi="Times New Roman" w:cs="Times New Roman"/>
                <w:i w:val="0"/>
                <w:iCs w:val="0"/>
                <w:color w:val="auto"/>
                <w:sz w:val="21"/>
                <w:szCs w:val="21"/>
                <w:highlight w:val="none"/>
                <w:u w:val="none"/>
              </w:rPr>
            </w:pPr>
          </w:p>
        </w:tc>
      </w:tr>
      <w:tr w14:paraId="0AA2A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750EFC7C">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1140" w:type="pct"/>
            <w:shd w:val="clear" w:color="auto" w:fill="auto"/>
            <w:vAlign w:val="center"/>
          </w:tcPr>
          <w:p w14:paraId="19FB8B5C">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磁分离机</w:t>
            </w:r>
          </w:p>
        </w:tc>
        <w:tc>
          <w:tcPr>
            <w:tcW w:w="1222" w:type="pct"/>
            <w:shd w:val="clear" w:color="auto" w:fill="auto"/>
            <w:vAlign w:val="center"/>
          </w:tcPr>
          <w:p w14:paraId="4F0D11D2">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Q=30m</w:t>
            </w:r>
            <w:r>
              <w:rPr>
                <w:rFonts w:hint="default" w:ascii="Times New Roman" w:hAnsi="Times New Roman" w:eastAsia="宋体" w:cs="Times New Roman"/>
                <w:i w:val="0"/>
                <w:iCs w:val="0"/>
                <w:color w:val="auto"/>
                <w:kern w:val="0"/>
                <w:sz w:val="13"/>
                <w:szCs w:val="13"/>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/h N=5.5kW</w:t>
            </w:r>
          </w:p>
        </w:tc>
        <w:tc>
          <w:tcPr>
            <w:tcW w:w="396" w:type="pct"/>
            <w:shd w:val="clear" w:color="auto" w:fill="auto"/>
            <w:vAlign w:val="center"/>
          </w:tcPr>
          <w:p w14:paraId="0D51A503">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092DD3EF">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62B5E70E">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74E72D70">
            <w:pPr>
              <w:jc w:val="left"/>
              <w:rPr>
                <w:rFonts w:hint="default" w:ascii="Times New Roman" w:hAnsi="Times New Roman" w:cs="Times New Roman"/>
                <w:i w:val="0"/>
                <w:iCs w:val="0"/>
                <w:color w:val="auto"/>
                <w:sz w:val="21"/>
                <w:szCs w:val="21"/>
                <w:highlight w:val="none"/>
                <w:u w:val="none"/>
              </w:rPr>
            </w:pPr>
          </w:p>
        </w:tc>
      </w:tr>
      <w:tr w14:paraId="6481A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35299B2D">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1140" w:type="pct"/>
            <w:shd w:val="clear" w:color="auto" w:fill="auto"/>
            <w:vAlign w:val="center"/>
          </w:tcPr>
          <w:p w14:paraId="6AE311C5">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斜管</w:t>
            </w:r>
          </w:p>
        </w:tc>
        <w:tc>
          <w:tcPr>
            <w:tcW w:w="1222" w:type="pct"/>
            <w:shd w:val="clear" w:color="auto" w:fill="auto"/>
            <w:vAlign w:val="center"/>
          </w:tcPr>
          <w:p w14:paraId="23D00B63">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D80*1500</w:t>
            </w:r>
          </w:p>
        </w:tc>
        <w:tc>
          <w:tcPr>
            <w:tcW w:w="396" w:type="pct"/>
            <w:shd w:val="clear" w:color="auto" w:fill="auto"/>
            <w:vAlign w:val="center"/>
          </w:tcPr>
          <w:p w14:paraId="2935EA0D">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ABS</w:t>
            </w:r>
          </w:p>
        </w:tc>
        <w:tc>
          <w:tcPr>
            <w:tcW w:w="311" w:type="pct"/>
            <w:shd w:val="clear" w:color="auto" w:fill="auto"/>
            <w:vAlign w:val="center"/>
          </w:tcPr>
          <w:p w14:paraId="467B7C8F">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m</w:t>
            </w:r>
            <w:r>
              <w:rPr>
                <w:rFonts w:hint="default" w:ascii="Times New Roman" w:hAnsi="Times New Roman" w:eastAsia="宋体" w:cs="Times New Roman"/>
                <w:i w:val="0"/>
                <w:iCs w:val="0"/>
                <w:color w:val="auto"/>
                <w:kern w:val="0"/>
                <w:sz w:val="13"/>
                <w:szCs w:val="13"/>
                <w:highlight w:val="none"/>
                <w:u w:val="none"/>
                <w:lang w:val="en-US" w:eastAsia="zh-CN" w:bidi="ar"/>
              </w:rPr>
              <w:t>2</w:t>
            </w:r>
          </w:p>
        </w:tc>
        <w:tc>
          <w:tcPr>
            <w:tcW w:w="296" w:type="pct"/>
            <w:shd w:val="clear" w:color="auto" w:fill="auto"/>
            <w:vAlign w:val="center"/>
          </w:tcPr>
          <w:p w14:paraId="0E5FC2FA">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270</w:t>
            </w:r>
          </w:p>
        </w:tc>
        <w:tc>
          <w:tcPr>
            <w:tcW w:w="1321" w:type="pct"/>
            <w:shd w:val="clear" w:color="auto" w:fill="auto"/>
            <w:vAlign w:val="center"/>
          </w:tcPr>
          <w:p w14:paraId="56DE6468">
            <w:pPr>
              <w:jc w:val="left"/>
              <w:rPr>
                <w:rFonts w:hint="default" w:ascii="Times New Roman" w:hAnsi="Times New Roman" w:cs="Times New Roman"/>
                <w:i w:val="0"/>
                <w:iCs w:val="0"/>
                <w:color w:val="auto"/>
                <w:sz w:val="21"/>
                <w:szCs w:val="21"/>
                <w:highlight w:val="none"/>
                <w:u w:val="none"/>
              </w:rPr>
            </w:pPr>
          </w:p>
        </w:tc>
      </w:tr>
      <w:tr w14:paraId="5862B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04CCD82F">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1140" w:type="pct"/>
            <w:shd w:val="clear" w:color="auto" w:fill="auto"/>
            <w:vAlign w:val="center"/>
          </w:tcPr>
          <w:p w14:paraId="2466A5CE">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斜板支撑桁架</w:t>
            </w:r>
          </w:p>
        </w:tc>
        <w:tc>
          <w:tcPr>
            <w:tcW w:w="1222" w:type="pct"/>
            <w:shd w:val="clear" w:color="auto" w:fill="auto"/>
            <w:vAlign w:val="center"/>
          </w:tcPr>
          <w:p w14:paraId="57CADEFB">
            <w:pPr>
              <w:jc w:val="left"/>
              <w:rPr>
                <w:rFonts w:hint="default" w:ascii="Times New Roman" w:hAnsi="Times New Roman" w:cs="Times New Roman"/>
                <w:i w:val="0"/>
                <w:iCs w:val="0"/>
                <w:color w:val="auto"/>
                <w:sz w:val="21"/>
                <w:szCs w:val="21"/>
                <w:highlight w:val="none"/>
                <w:u w:val="none"/>
              </w:rPr>
            </w:pPr>
          </w:p>
        </w:tc>
        <w:tc>
          <w:tcPr>
            <w:tcW w:w="396" w:type="pct"/>
            <w:shd w:val="clear" w:color="auto" w:fill="auto"/>
            <w:vAlign w:val="center"/>
          </w:tcPr>
          <w:p w14:paraId="58A7CAD7">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SS304</w:t>
            </w:r>
          </w:p>
        </w:tc>
        <w:tc>
          <w:tcPr>
            <w:tcW w:w="311" w:type="pct"/>
            <w:shd w:val="clear" w:color="auto" w:fill="auto"/>
            <w:vAlign w:val="center"/>
          </w:tcPr>
          <w:p w14:paraId="22AC8C16">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4BD4445A">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4CC1A0B7">
            <w:pPr>
              <w:jc w:val="left"/>
              <w:rPr>
                <w:rFonts w:hint="default" w:ascii="Times New Roman" w:hAnsi="Times New Roman" w:cs="Times New Roman"/>
                <w:i w:val="0"/>
                <w:iCs w:val="0"/>
                <w:color w:val="auto"/>
                <w:sz w:val="21"/>
                <w:szCs w:val="21"/>
                <w:highlight w:val="none"/>
                <w:u w:val="none"/>
              </w:rPr>
            </w:pPr>
          </w:p>
        </w:tc>
      </w:tr>
      <w:tr w14:paraId="375B1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7A34A5C2">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w:t>
            </w:r>
          </w:p>
        </w:tc>
        <w:tc>
          <w:tcPr>
            <w:tcW w:w="1140" w:type="pct"/>
            <w:shd w:val="clear" w:color="auto" w:fill="auto"/>
            <w:vAlign w:val="center"/>
          </w:tcPr>
          <w:p w14:paraId="023A083E">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出水槽及堰板</w:t>
            </w:r>
          </w:p>
        </w:tc>
        <w:tc>
          <w:tcPr>
            <w:tcW w:w="1222" w:type="pct"/>
            <w:shd w:val="clear" w:color="auto" w:fill="auto"/>
            <w:vAlign w:val="center"/>
          </w:tcPr>
          <w:p w14:paraId="662B3522">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5.8m*0.3m*0.55m</w:t>
            </w:r>
            <w:r>
              <w:rPr>
                <w:rFonts w:hint="eastAsia" w:ascii="楷体" w:hAnsi="楷体" w:eastAsia="楷体" w:cs="楷体"/>
                <w:i w:val="0"/>
                <w:iCs w:val="0"/>
                <w:color w:val="auto"/>
                <w:kern w:val="0"/>
                <w:sz w:val="21"/>
                <w:szCs w:val="21"/>
                <w:highlight w:val="none"/>
                <w:u w:val="none"/>
                <w:lang w:val="en-US" w:eastAsia="zh-CN" w:bidi="ar"/>
              </w:rPr>
              <w:t>厚度</w:t>
            </w:r>
            <w:r>
              <w:rPr>
                <w:rFonts w:hint="default" w:ascii="Times New Roman" w:hAnsi="Times New Roman" w:eastAsia="宋体" w:cs="Times New Roman"/>
                <w:i w:val="0"/>
                <w:iCs w:val="0"/>
                <w:color w:val="auto"/>
                <w:kern w:val="0"/>
                <w:sz w:val="21"/>
                <w:szCs w:val="21"/>
                <w:highlight w:val="none"/>
                <w:u w:val="none"/>
                <w:lang w:val="en-US" w:eastAsia="zh-CN" w:bidi="ar"/>
              </w:rPr>
              <w:t>6mm</w:t>
            </w:r>
          </w:p>
        </w:tc>
        <w:tc>
          <w:tcPr>
            <w:tcW w:w="396" w:type="pct"/>
            <w:shd w:val="clear" w:color="auto" w:fill="auto"/>
            <w:vAlign w:val="center"/>
          </w:tcPr>
          <w:p w14:paraId="3930D206">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SS304</w:t>
            </w:r>
          </w:p>
        </w:tc>
        <w:tc>
          <w:tcPr>
            <w:tcW w:w="311" w:type="pct"/>
            <w:shd w:val="clear" w:color="auto" w:fill="auto"/>
            <w:vAlign w:val="center"/>
          </w:tcPr>
          <w:p w14:paraId="6DFA7B0C">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5008C72E">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18</w:t>
            </w:r>
          </w:p>
        </w:tc>
        <w:tc>
          <w:tcPr>
            <w:tcW w:w="1321" w:type="pct"/>
            <w:shd w:val="clear" w:color="auto" w:fill="auto"/>
            <w:vAlign w:val="center"/>
          </w:tcPr>
          <w:p w14:paraId="5FBFA42A">
            <w:pPr>
              <w:jc w:val="left"/>
              <w:rPr>
                <w:rFonts w:hint="default" w:ascii="Times New Roman" w:hAnsi="Times New Roman" w:cs="Times New Roman"/>
                <w:i w:val="0"/>
                <w:iCs w:val="0"/>
                <w:color w:val="auto"/>
                <w:sz w:val="21"/>
                <w:szCs w:val="21"/>
                <w:highlight w:val="none"/>
                <w:u w:val="none"/>
              </w:rPr>
            </w:pPr>
          </w:p>
        </w:tc>
      </w:tr>
      <w:tr w14:paraId="3241E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1BB1DEB5">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1140" w:type="pct"/>
            <w:shd w:val="clear" w:color="auto" w:fill="auto"/>
            <w:vAlign w:val="center"/>
          </w:tcPr>
          <w:p w14:paraId="7003B58A">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出水槽及堰板</w:t>
            </w:r>
          </w:p>
        </w:tc>
        <w:tc>
          <w:tcPr>
            <w:tcW w:w="1222" w:type="pct"/>
            <w:shd w:val="clear" w:color="auto" w:fill="auto"/>
            <w:vAlign w:val="center"/>
          </w:tcPr>
          <w:p w14:paraId="2EC07869">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4.6m*0.3m*0.55m</w:t>
            </w:r>
            <w:r>
              <w:rPr>
                <w:rFonts w:hint="eastAsia" w:ascii="楷体" w:hAnsi="楷体" w:eastAsia="楷体" w:cs="楷体"/>
                <w:i w:val="0"/>
                <w:iCs w:val="0"/>
                <w:color w:val="auto"/>
                <w:kern w:val="0"/>
                <w:sz w:val="21"/>
                <w:szCs w:val="21"/>
                <w:highlight w:val="none"/>
                <w:u w:val="none"/>
                <w:lang w:val="en-US" w:eastAsia="zh-CN" w:bidi="ar"/>
              </w:rPr>
              <w:t>厚度</w:t>
            </w:r>
            <w:r>
              <w:rPr>
                <w:rFonts w:hint="default" w:ascii="Times New Roman" w:hAnsi="Times New Roman" w:eastAsia="宋体" w:cs="Times New Roman"/>
                <w:i w:val="0"/>
                <w:iCs w:val="0"/>
                <w:color w:val="auto"/>
                <w:kern w:val="0"/>
                <w:sz w:val="21"/>
                <w:szCs w:val="21"/>
                <w:highlight w:val="none"/>
                <w:u w:val="none"/>
                <w:lang w:val="en-US" w:eastAsia="zh-CN" w:bidi="ar"/>
              </w:rPr>
              <w:t>6mm</w:t>
            </w:r>
          </w:p>
        </w:tc>
        <w:tc>
          <w:tcPr>
            <w:tcW w:w="396" w:type="pct"/>
            <w:shd w:val="clear" w:color="auto" w:fill="auto"/>
            <w:vAlign w:val="center"/>
          </w:tcPr>
          <w:p w14:paraId="731B75A6">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SS304</w:t>
            </w:r>
          </w:p>
        </w:tc>
        <w:tc>
          <w:tcPr>
            <w:tcW w:w="311" w:type="pct"/>
            <w:shd w:val="clear" w:color="auto" w:fill="auto"/>
            <w:vAlign w:val="center"/>
          </w:tcPr>
          <w:p w14:paraId="3C37D06B">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1893A165">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18</w:t>
            </w:r>
          </w:p>
        </w:tc>
        <w:tc>
          <w:tcPr>
            <w:tcW w:w="1321" w:type="pct"/>
            <w:shd w:val="clear" w:color="auto" w:fill="auto"/>
            <w:vAlign w:val="center"/>
          </w:tcPr>
          <w:p w14:paraId="0008C242">
            <w:pPr>
              <w:jc w:val="left"/>
              <w:rPr>
                <w:rFonts w:hint="default" w:ascii="Times New Roman" w:hAnsi="Times New Roman" w:cs="Times New Roman"/>
                <w:i w:val="0"/>
                <w:iCs w:val="0"/>
                <w:color w:val="auto"/>
                <w:sz w:val="21"/>
                <w:szCs w:val="21"/>
                <w:highlight w:val="none"/>
                <w:u w:val="none"/>
              </w:rPr>
            </w:pPr>
          </w:p>
        </w:tc>
      </w:tr>
      <w:tr w14:paraId="17A25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5BA95A2A">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11</w:t>
            </w:r>
          </w:p>
        </w:tc>
        <w:tc>
          <w:tcPr>
            <w:tcW w:w="1140" w:type="pct"/>
            <w:shd w:val="clear" w:color="auto" w:fill="auto"/>
            <w:vAlign w:val="center"/>
          </w:tcPr>
          <w:p w14:paraId="42F4289F">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磁粉内回流泵</w:t>
            </w:r>
          </w:p>
        </w:tc>
        <w:tc>
          <w:tcPr>
            <w:tcW w:w="1222" w:type="pct"/>
            <w:shd w:val="clear" w:color="auto" w:fill="auto"/>
            <w:vAlign w:val="center"/>
          </w:tcPr>
          <w:p w14:paraId="4D4B3348">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Q=125m</w:t>
            </w:r>
            <w:r>
              <w:rPr>
                <w:rFonts w:hint="default" w:ascii="Times New Roman" w:hAnsi="Times New Roman" w:eastAsia="宋体" w:cs="Times New Roman"/>
                <w:i w:val="0"/>
                <w:iCs w:val="0"/>
                <w:color w:val="auto"/>
                <w:kern w:val="0"/>
                <w:sz w:val="13"/>
                <w:szCs w:val="13"/>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/h H=10m N=11kW</w:t>
            </w:r>
          </w:p>
        </w:tc>
        <w:tc>
          <w:tcPr>
            <w:tcW w:w="396" w:type="pct"/>
            <w:shd w:val="clear" w:color="auto" w:fill="auto"/>
            <w:vAlign w:val="center"/>
          </w:tcPr>
          <w:p w14:paraId="7B59289B">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52C4A3AC">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20050756">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1321" w:type="pct"/>
            <w:shd w:val="clear" w:color="auto" w:fill="auto"/>
            <w:vAlign w:val="center"/>
          </w:tcPr>
          <w:p w14:paraId="04C39449">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备，</w:t>
            </w: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ascii="楷体" w:hAnsi="楷体" w:eastAsia="楷体" w:cs="楷体"/>
                <w:i w:val="0"/>
                <w:iCs w:val="0"/>
                <w:color w:val="auto"/>
                <w:kern w:val="0"/>
                <w:sz w:val="21"/>
                <w:szCs w:val="21"/>
                <w:highlight w:val="none"/>
                <w:u w:val="none"/>
                <w:lang w:val="en-US" w:eastAsia="zh-CN" w:bidi="ar"/>
              </w:rPr>
              <w:t>台变频</w:t>
            </w:r>
          </w:p>
        </w:tc>
      </w:tr>
      <w:tr w14:paraId="09740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40C2B195">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12</w:t>
            </w:r>
          </w:p>
        </w:tc>
        <w:tc>
          <w:tcPr>
            <w:tcW w:w="1140" w:type="pct"/>
            <w:shd w:val="clear" w:color="auto" w:fill="auto"/>
            <w:vAlign w:val="center"/>
          </w:tcPr>
          <w:p w14:paraId="11BDEA2C">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剩余污泥泵</w:t>
            </w:r>
          </w:p>
        </w:tc>
        <w:tc>
          <w:tcPr>
            <w:tcW w:w="1222" w:type="pct"/>
            <w:shd w:val="clear" w:color="auto" w:fill="auto"/>
            <w:vAlign w:val="center"/>
          </w:tcPr>
          <w:p w14:paraId="58AB4F88">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Q=22m</w:t>
            </w:r>
            <w:r>
              <w:rPr>
                <w:rFonts w:hint="default" w:ascii="Times New Roman" w:hAnsi="Times New Roman" w:eastAsia="宋体" w:cs="Times New Roman"/>
                <w:i w:val="0"/>
                <w:iCs w:val="0"/>
                <w:color w:val="auto"/>
                <w:kern w:val="0"/>
                <w:sz w:val="13"/>
                <w:szCs w:val="13"/>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/h H=10m</w:t>
            </w:r>
            <w:r>
              <w:rPr>
                <w:rFonts w:hint="eastAsia" w:ascii="Times New Roman" w:hAnsi="Times New Roman" w:eastAsia="宋体" w:cs="Times New Roman"/>
                <w:i w:val="0"/>
                <w:iCs w:val="0"/>
                <w:color w:val="auto"/>
                <w:kern w:val="0"/>
                <w:sz w:val="21"/>
                <w:szCs w:val="21"/>
                <w:highlight w:val="none"/>
                <w:u w:val="none"/>
                <w:lang w:val="en-US" w:eastAsia="zh-CN" w:bidi="ar"/>
              </w:rPr>
              <w:t xml:space="preserve"> </w:t>
            </w:r>
            <w:r>
              <w:rPr>
                <w:rFonts w:hint="default" w:ascii="Times New Roman" w:hAnsi="Times New Roman" w:eastAsia="宋体" w:cs="Times New Roman"/>
                <w:i w:val="0"/>
                <w:iCs w:val="0"/>
                <w:color w:val="auto"/>
                <w:kern w:val="0"/>
                <w:sz w:val="21"/>
                <w:szCs w:val="21"/>
                <w:highlight w:val="none"/>
                <w:u w:val="none"/>
                <w:lang w:val="en-US" w:eastAsia="zh-CN" w:bidi="ar"/>
              </w:rPr>
              <w:t>N=5.5kW</w:t>
            </w:r>
          </w:p>
        </w:tc>
        <w:tc>
          <w:tcPr>
            <w:tcW w:w="396" w:type="pct"/>
            <w:shd w:val="clear" w:color="auto" w:fill="auto"/>
            <w:vAlign w:val="center"/>
          </w:tcPr>
          <w:p w14:paraId="26F7B237">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6DDE1E20">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3F4B3684">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1321" w:type="pct"/>
            <w:shd w:val="clear" w:color="auto" w:fill="auto"/>
            <w:vAlign w:val="center"/>
          </w:tcPr>
          <w:p w14:paraId="04C4C74C">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备，</w:t>
            </w: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ascii="楷体" w:hAnsi="楷体" w:eastAsia="楷体" w:cs="楷体"/>
                <w:i w:val="0"/>
                <w:iCs w:val="0"/>
                <w:color w:val="auto"/>
                <w:kern w:val="0"/>
                <w:sz w:val="21"/>
                <w:szCs w:val="21"/>
                <w:highlight w:val="none"/>
                <w:u w:val="none"/>
                <w:lang w:val="en-US" w:eastAsia="zh-CN" w:bidi="ar"/>
              </w:rPr>
              <w:t>台变频</w:t>
            </w:r>
          </w:p>
        </w:tc>
      </w:tr>
      <w:tr w14:paraId="04713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5C8009E6">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13</w:t>
            </w:r>
          </w:p>
        </w:tc>
        <w:tc>
          <w:tcPr>
            <w:tcW w:w="1140" w:type="pct"/>
            <w:shd w:val="clear" w:color="auto" w:fill="auto"/>
            <w:vAlign w:val="center"/>
          </w:tcPr>
          <w:p w14:paraId="357B3DDC">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污泥排放泵</w:t>
            </w:r>
          </w:p>
        </w:tc>
        <w:tc>
          <w:tcPr>
            <w:tcW w:w="1222" w:type="pct"/>
            <w:shd w:val="clear" w:color="auto" w:fill="auto"/>
            <w:vAlign w:val="center"/>
          </w:tcPr>
          <w:p w14:paraId="322B757A">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Q=45m</w:t>
            </w:r>
            <w:r>
              <w:rPr>
                <w:rFonts w:hint="default" w:ascii="Times New Roman" w:hAnsi="Times New Roman" w:eastAsia="宋体" w:cs="Times New Roman"/>
                <w:i w:val="0"/>
                <w:iCs w:val="0"/>
                <w:color w:val="auto"/>
                <w:kern w:val="0"/>
                <w:sz w:val="13"/>
                <w:szCs w:val="13"/>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/h H=15m</w:t>
            </w:r>
            <w:r>
              <w:rPr>
                <w:rFonts w:hint="eastAsia" w:ascii="Times New Roman" w:hAnsi="Times New Roman" w:eastAsia="宋体" w:cs="Times New Roman"/>
                <w:i w:val="0"/>
                <w:iCs w:val="0"/>
                <w:color w:val="auto"/>
                <w:kern w:val="0"/>
                <w:sz w:val="21"/>
                <w:szCs w:val="21"/>
                <w:highlight w:val="none"/>
                <w:u w:val="none"/>
                <w:lang w:val="en-US" w:eastAsia="zh-CN" w:bidi="ar"/>
              </w:rPr>
              <w:t xml:space="preserve"> </w:t>
            </w:r>
            <w:r>
              <w:rPr>
                <w:rFonts w:hint="default" w:ascii="Times New Roman" w:hAnsi="Times New Roman" w:eastAsia="宋体" w:cs="Times New Roman"/>
                <w:i w:val="0"/>
                <w:iCs w:val="0"/>
                <w:color w:val="auto"/>
                <w:kern w:val="0"/>
                <w:sz w:val="21"/>
                <w:szCs w:val="21"/>
                <w:highlight w:val="none"/>
                <w:u w:val="none"/>
                <w:lang w:val="en-US" w:eastAsia="zh-CN" w:bidi="ar"/>
              </w:rPr>
              <w:t>N=7.5kW</w:t>
            </w:r>
          </w:p>
        </w:tc>
        <w:tc>
          <w:tcPr>
            <w:tcW w:w="396" w:type="pct"/>
            <w:shd w:val="clear" w:color="auto" w:fill="auto"/>
            <w:vAlign w:val="center"/>
          </w:tcPr>
          <w:p w14:paraId="668A276B">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043BA9A7">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6CE5E6FC">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5A15A14E">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备，</w:t>
            </w: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ascii="楷体" w:hAnsi="楷体" w:eastAsia="楷体" w:cs="楷体"/>
                <w:i w:val="0"/>
                <w:iCs w:val="0"/>
                <w:color w:val="auto"/>
                <w:kern w:val="0"/>
                <w:sz w:val="21"/>
                <w:szCs w:val="21"/>
                <w:highlight w:val="none"/>
                <w:u w:val="none"/>
                <w:lang w:val="en-US" w:eastAsia="zh-CN" w:bidi="ar"/>
              </w:rPr>
              <w:t>台变频</w:t>
            </w:r>
          </w:p>
        </w:tc>
      </w:tr>
      <w:tr w14:paraId="1429D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2A697F31">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14</w:t>
            </w:r>
          </w:p>
        </w:tc>
        <w:tc>
          <w:tcPr>
            <w:tcW w:w="1140" w:type="pct"/>
            <w:shd w:val="clear" w:color="auto" w:fill="auto"/>
            <w:vAlign w:val="center"/>
          </w:tcPr>
          <w:p w14:paraId="1B6AC894">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高压冲洗泵</w:t>
            </w:r>
          </w:p>
        </w:tc>
        <w:tc>
          <w:tcPr>
            <w:tcW w:w="1222" w:type="pct"/>
            <w:shd w:val="clear" w:color="auto" w:fill="auto"/>
            <w:vAlign w:val="center"/>
          </w:tcPr>
          <w:p w14:paraId="7BEB7FCE">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Q=10m</w:t>
            </w:r>
            <w:r>
              <w:rPr>
                <w:rFonts w:hint="default" w:ascii="Times New Roman" w:hAnsi="Times New Roman" w:eastAsia="宋体" w:cs="Times New Roman"/>
                <w:i w:val="0"/>
                <w:iCs w:val="0"/>
                <w:color w:val="auto"/>
                <w:kern w:val="0"/>
                <w:sz w:val="13"/>
                <w:szCs w:val="13"/>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/h H=29m N=2.2kW</w:t>
            </w:r>
          </w:p>
        </w:tc>
        <w:tc>
          <w:tcPr>
            <w:tcW w:w="396" w:type="pct"/>
            <w:shd w:val="clear" w:color="auto" w:fill="auto"/>
            <w:vAlign w:val="center"/>
          </w:tcPr>
          <w:p w14:paraId="4A0C862B">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7176117B">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58893B15">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5942E7EC">
            <w:pPr>
              <w:jc w:val="left"/>
              <w:rPr>
                <w:rFonts w:hint="default" w:ascii="Times New Roman" w:hAnsi="Times New Roman" w:cs="Times New Roman"/>
                <w:i w:val="0"/>
                <w:iCs w:val="0"/>
                <w:color w:val="auto"/>
                <w:sz w:val="21"/>
                <w:szCs w:val="21"/>
                <w:highlight w:val="none"/>
                <w:u w:val="none"/>
              </w:rPr>
            </w:pPr>
          </w:p>
        </w:tc>
      </w:tr>
      <w:tr w14:paraId="6DD02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1F3B2636">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1140" w:type="pct"/>
            <w:shd w:val="clear" w:color="auto" w:fill="auto"/>
            <w:vAlign w:val="center"/>
          </w:tcPr>
          <w:p w14:paraId="29E9047C">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镶铜铸铁圆闸门</w:t>
            </w:r>
          </w:p>
        </w:tc>
        <w:tc>
          <w:tcPr>
            <w:tcW w:w="1222" w:type="pct"/>
            <w:shd w:val="clear" w:color="auto" w:fill="auto"/>
            <w:vAlign w:val="center"/>
          </w:tcPr>
          <w:p w14:paraId="7AE9B280">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g1200 N=0.55kW</w:t>
            </w:r>
          </w:p>
        </w:tc>
        <w:tc>
          <w:tcPr>
            <w:tcW w:w="396" w:type="pct"/>
            <w:shd w:val="clear" w:color="auto" w:fill="auto"/>
            <w:vAlign w:val="center"/>
          </w:tcPr>
          <w:p w14:paraId="7A1DAB68">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24EA6FC8">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0B376D5D">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0E9249C2">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配手电两用启闭机</w:t>
            </w:r>
          </w:p>
        </w:tc>
      </w:tr>
      <w:tr w14:paraId="120F3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8" w:hRule="atLeast"/>
        </w:trPr>
        <w:tc>
          <w:tcPr>
            <w:tcW w:w="310" w:type="pct"/>
            <w:shd w:val="clear" w:color="auto" w:fill="auto"/>
            <w:vAlign w:val="center"/>
          </w:tcPr>
          <w:p w14:paraId="39886F40">
            <w:pPr>
              <w:jc w:val="left"/>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16</w:t>
            </w:r>
          </w:p>
        </w:tc>
        <w:tc>
          <w:tcPr>
            <w:tcW w:w="1140" w:type="pct"/>
            <w:shd w:val="clear" w:color="auto" w:fill="auto"/>
            <w:vAlign w:val="center"/>
          </w:tcPr>
          <w:p w14:paraId="63467705">
            <w:pPr>
              <w:keepNext w:val="0"/>
              <w:keepLines w:val="0"/>
              <w:widowControl/>
              <w:suppressLineNumbers w:val="0"/>
              <w:jc w:val="left"/>
              <w:textAlignment w:val="top"/>
              <w:rPr>
                <w:rFonts w:hint="default" w:ascii="楷体" w:hAnsi="楷体" w:eastAsia="楷体" w:cs="楷体"/>
                <w:i w:val="0"/>
                <w:iCs w:val="0"/>
                <w:color w:val="auto"/>
                <w:kern w:val="2"/>
                <w:sz w:val="21"/>
                <w:szCs w:val="21"/>
                <w:highlight w:val="none"/>
                <w:u w:val="none"/>
                <w:lang w:val="en-US" w:eastAsia="zh-CN" w:bidi="ar-SA"/>
              </w:rPr>
            </w:pPr>
            <w:r>
              <w:rPr>
                <w:rFonts w:hint="eastAsia" w:ascii="楷体" w:hAnsi="楷体" w:eastAsia="楷体" w:cs="楷体"/>
                <w:i w:val="0"/>
                <w:iCs w:val="0"/>
                <w:color w:val="auto"/>
                <w:kern w:val="0"/>
                <w:sz w:val="21"/>
                <w:szCs w:val="21"/>
                <w:highlight w:val="none"/>
                <w:u w:val="none"/>
                <w:lang w:val="en-US" w:eastAsia="zh-CN" w:bidi="ar"/>
              </w:rPr>
              <w:t>不锈钢渠道闸</w:t>
            </w:r>
          </w:p>
        </w:tc>
        <w:tc>
          <w:tcPr>
            <w:tcW w:w="1222" w:type="pct"/>
            <w:shd w:val="clear" w:color="auto" w:fill="auto"/>
            <w:vAlign w:val="center"/>
          </w:tcPr>
          <w:p w14:paraId="604E60D6">
            <w:pPr>
              <w:keepNext w:val="0"/>
              <w:keepLines w:val="0"/>
              <w:widowControl/>
              <w:suppressLineNumbers w:val="0"/>
              <w:jc w:val="left"/>
              <w:textAlignment w:val="top"/>
              <w:rPr>
                <w:rFonts w:hint="default" w:ascii="Times New Roman" w:hAnsi="Times New Roman" w:cs="Times New Roman" w:eastAsiaTheme="minorEastAsia"/>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BxH=800x1800</w:t>
            </w:r>
          </w:p>
        </w:tc>
        <w:tc>
          <w:tcPr>
            <w:tcW w:w="396" w:type="pct"/>
            <w:shd w:val="clear" w:color="auto" w:fill="auto"/>
            <w:vAlign w:val="center"/>
          </w:tcPr>
          <w:p w14:paraId="5676F4E7">
            <w:pPr>
              <w:keepNext w:val="0"/>
              <w:keepLines w:val="0"/>
              <w:widowControl/>
              <w:suppressLineNumbers w:val="0"/>
              <w:jc w:val="left"/>
              <w:textAlignment w:val="top"/>
              <w:rPr>
                <w:rFonts w:hint="default" w:ascii="楷体" w:hAnsi="楷体" w:eastAsia="楷体" w:cs="楷体"/>
                <w:i w:val="0"/>
                <w:iCs w:val="0"/>
                <w:color w:val="auto"/>
                <w:kern w:val="2"/>
                <w:sz w:val="21"/>
                <w:szCs w:val="21"/>
                <w:highlight w:val="none"/>
                <w:u w:val="none"/>
                <w:lang w:val="en-US" w:eastAsia="zh-CN" w:bidi="ar-SA"/>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5FF3A5B1">
            <w:pPr>
              <w:keepNext w:val="0"/>
              <w:keepLines w:val="0"/>
              <w:widowControl/>
              <w:suppressLineNumbers w:val="0"/>
              <w:jc w:val="left"/>
              <w:textAlignment w:val="top"/>
              <w:rPr>
                <w:rFonts w:hint="default" w:ascii="楷体" w:hAnsi="楷体" w:eastAsia="楷体" w:cs="楷体"/>
                <w:i w:val="0"/>
                <w:iCs w:val="0"/>
                <w:color w:val="auto"/>
                <w:kern w:val="2"/>
                <w:sz w:val="21"/>
                <w:szCs w:val="21"/>
                <w:highlight w:val="none"/>
                <w:u w:val="none"/>
                <w:lang w:val="en-US" w:eastAsia="zh-CN" w:bidi="ar-SA"/>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57B85913">
            <w:pPr>
              <w:keepNext w:val="0"/>
              <w:keepLines w:val="0"/>
              <w:widowControl/>
              <w:suppressLineNumbers w:val="0"/>
              <w:jc w:val="left"/>
              <w:textAlignment w:val="top"/>
              <w:rPr>
                <w:rFonts w:hint="default" w:ascii="Times New Roman" w:hAnsi="Times New Roman" w:cs="Times New Roman" w:eastAsiaTheme="minorEastAsia"/>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3C0C9DE2">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配摇臂式启闭机闸框高度应满足闸板完全提起高度</w:t>
            </w:r>
          </w:p>
        </w:tc>
      </w:tr>
      <w:tr w14:paraId="35DA6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06A0DACF">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17</w:t>
            </w:r>
          </w:p>
        </w:tc>
        <w:tc>
          <w:tcPr>
            <w:tcW w:w="1140" w:type="pct"/>
            <w:shd w:val="clear" w:color="auto" w:fill="auto"/>
            <w:vAlign w:val="center"/>
          </w:tcPr>
          <w:p w14:paraId="48907EBE">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电动葫芦</w:t>
            </w:r>
          </w:p>
        </w:tc>
        <w:tc>
          <w:tcPr>
            <w:tcW w:w="1222" w:type="pct"/>
            <w:shd w:val="clear" w:color="auto" w:fill="auto"/>
            <w:vAlign w:val="center"/>
          </w:tcPr>
          <w:p w14:paraId="6861265F">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r>
              <w:rPr>
                <w:rFonts w:hint="eastAsia" w:ascii="楷体" w:hAnsi="楷体" w:eastAsia="楷体" w:cs="楷体"/>
                <w:i w:val="0"/>
                <w:iCs w:val="0"/>
                <w:color w:val="auto"/>
                <w:kern w:val="0"/>
                <w:sz w:val="21"/>
                <w:szCs w:val="21"/>
                <w:highlight w:val="none"/>
                <w:u w:val="none"/>
                <w:lang w:val="en-US" w:eastAsia="zh-CN" w:bidi="ar"/>
              </w:rPr>
              <w:t>吨</w:t>
            </w:r>
            <w:r>
              <w:rPr>
                <w:rFonts w:hint="default" w:ascii="Times New Roman" w:hAnsi="Times New Roman" w:eastAsia="宋体" w:cs="Times New Roman"/>
                <w:i w:val="0"/>
                <w:iCs w:val="0"/>
                <w:color w:val="auto"/>
                <w:kern w:val="0"/>
                <w:sz w:val="21"/>
                <w:szCs w:val="21"/>
                <w:highlight w:val="none"/>
                <w:u w:val="none"/>
                <w:lang w:val="en-US" w:eastAsia="zh-CN" w:bidi="ar"/>
              </w:rPr>
              <w:t>3kW+0.4kW</w:t>
            </w:r>
            <w:r>
              <w:rPr>
                <w:rFonts w:hint="eastAsia" w:ascii="楷体" w:hAnsi="楷体" w:eastAsia="楷体" w:cs="楷体"/>
                <w:i w:val="0"/>
                <w:iCs w:val="0"/>
                <w:color w:val="auto"/>
                <w:kern w:val="0"/>
                <w:sz w:val="21"/>
                <w:szCs w:val="21"/>
                <w:highlight w:val="none"/>
                <w:u w:val="none"/>
                <w:lang w:val="en-US" w:eastAsia="zh-CN" w:bidi="ar"/>
              </w:rPr>
              <w:t>起吊高度</w:t>
            </w:r>
            <w:r>
              <w:rPr>
                <w:rFonts w:hint="default" w:ascii="Times New Roman" w:hAnsi="Times New Roman" w:eastAsia="宋体" w:cs="Times New Roman"/>
                <w:i w:val="0"/>
                <w:iCs w:val="0"/>
                <w:color w:val="auto"/>
                <w:kern w:val="0"/>
                <w:sz w:val="21"/>
                <w:szCs w:val="21"/>
                <w:highlight w:val="none"/>
                <w:u w:val="none"/>
                <w:lang w:val="en-US" w:eastAsia="zh-CN" w:bidi="ar"/>
              </w:rPr>
              <w:t>9m</w:t>
            </w:r>
          </w:p>
        </w:tc>
        <w:tc>
          <w:tcPr>
            <w:tcW w:w="396" w:type="pct"/>
            <w:shd w:val="clear" w:color="auto" w:fill="auto"/>
            <w:vAlign w:val="center"/>
          </w:tcPr>
          <w:p w14:paraId="684EBC68">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555738EB">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29021962">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2ACD806D">
            <w:pPr>
              <w:jc w:val="left"/>
              <w:rPr>
                <w:rFonts w:hint="default" w:ascii="Times New Roman" w:hAnsi="Times New Roman" w:cs="Times New Roman"/>
                <w:i w:val="0"/>
                <w:iCs w:val="0"/>
                <w:color w:val="auto"/>
                <w:sz w:val="21"/>
                <w:szCs w:val="21"/>
                <w:highlight w:val="none"/>
                <w:u w:val="none"/>
              </w:rPr>
            </w:pPr>
          </w:p>
        </w:tc>
      </w:tr>
      <w:tr w14:paraId="18338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5000" w:type="pct"/>
            <w:gridSpan w:val="7"/>
            <w:shd w:val="clear" w:color="auto" w:fill="auto"/>
            <w:vAlign w:val="center"/>
          </w:tcPr>
          <w:p w14:paraId="0272E16F">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7.</w:t>
            </w:r>
            <w:r>
              <w:rPr>
                <w:rFonts w:hint="eastAsia" w:ascii="楷体" w:hAnsi="楷体" w:eastAsia="楷体" w:cs="楷体"/>
                <w:b/>
                <w:bCs/>
                <w:i w:val="0"/>
                <w:iCs w:val="0"/>
                <w:color w:val="auto"/>
                <w:kern w:val="0"/>
                <w:sz w:val="21"/>
                <w:szCs w:val="21"/>
                <w:highlight w:val="none"/>
                <w:u w:val="none"/>
                <w:lang w:val="en-US" w:eastAsia="zh-CN" w:bidi="ar"/>
              </w:rPr>
              <w:t>紫外</w:t>
            </w:r>
            <w:r>
              <w:rPr>
                <w:rFonts w:hint="default" w:ascii="Times New Roman" w:hAnsi="Times New Roman" w:eastAsia="宋体" w:cs="Times New Roman"/>
                <w:b/>
                <w:bCs/>
                <w:i w:val="0"/>
                <w:iCs w:val="0"/>
                <w:color w:val="auto"/>
                <w:kern w:val="0"/>
                <w:sz w:val="21"/>
                <w:szCs w:val="21"/>
                <w:highlight w:val="none"/>
                <w:u w:val="none"/>
                <w:lang w:val="en-US" w:eastAsia="zh-CN" w:bidi="ar"/>
              </w:rPr>
              <w:t>-</w:t>
            </w:r>
            <w:r>
              <w:rPr>
                <w:rFonts w:hint="eastAsia" w:ascii="楷体" w:hAnsi="楷体" w:eastAsia="楷体" w:cs="楷体"/>
                <w:b/>
                <w:bCs/>
                <w:i w:val="0"/>
                <w:iCs w:val="0"/>
                <w:color w:val="auto"/>
                <w:kern w:val="0"/>
                <w:sz w:val="21"/>
                <w:szCs w:val="21"/>
                <w:highlight w:val="none"/>
                <w:u w:val="none"/>
                <w:lang w:val="en-US" w:eastAsia="zh-CN" w:bidi="ar"/>
              </w:rPr>
              <w:t>次钠消毒、计量渠及排放泵池</w:t>
            </w:r>
          </w:p>
        </w:tc>
      </w:tr>
      <w:tr w14:paraId="03C5F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500C7C3E">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140" w:type="pct"/>
            <w:shd w:val="clear" w:color="auto" w:fill="auto"/>
            <w:vAlign w:val="center"/>
          </w:tcPr>
          <w:p w14:paraId="711BDB4E">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潜污泵</w:t>
            </w:r>
          </w:p>
        </w:tc>
        <w:tc>
          <w:tcPr>
            <w:tcW w:w="1222" w:type="pct"/>
            <w:shd w:val="clear" w:color="auto" w:fill="auto"/>
            <w:vAlign w:val="center"/>
          </w:tcPr>
          <w:p w14:paraId="4C1F39CA">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Q=1625m</w:t>
            </w:r>
            <w:r>
              <w:rPr>
                <w:rFonts w:hint="default" w:ascii="Times New Roman" w:hAnsi="Times New Roman" w:eastAsia="宋体" w:cs="Times New Roman"/>
                <w:i w:val="0"/>
                <w:iCs w:val="0"/>
                <w:color w:val="auto"/>
                <w:kern w:val="0"/>
                <w:sz w:val="13"/>
                <w:szCs w:val="13"/>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/h H=13m N=90kW</w:t>
            </w:r>
          </w:p>
        </w:tc>
        <w:tc>
          <w:tcPr>
            <w:tcW w:w="396" w:type="pct"/>
            <w:shd w:val="clear" w:color="auto" w:fill="auto"/>
            <w:vAlign w:val="center"/>
          </w:tcPr>
          <w:p w14:paraId="5276AF22">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5604E38C">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671B6D57">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321" w:type="pct"/>
            <w:shd w:val="clear" w:color="auto" w:fill="auto"/>
            <w:vAlign w:val="center"/>
          </w:tcPr>
          <w:p w14:paraId="589044AF">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备，</w:t>
            </w: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ascii="楷体" w:hAnsi="楷体" w:eastAsia="楷体" w:cs="楷体"/>
                <w:i w:val="0"/>
                <w:iCs w:val="0"/>
                <w:color w:val="auto"/>
                <w:kern w:val="0"/>
                <w:sz w:val="21"/>
                <w:szCs w:val="21"/>
                <w:highlight w:val="none"/>
                <w:u w:val="none"/>
                <w:lang w:val="en-US" w:eastAsia="zh-CN" w:bidi="ar"/>
              </w:rPr>
              <w:t>台变频</w:t>
            </w:r>
          </w:p>
        </w:tc>
      </w:tr>
      <w:tr w14:paraId="2ED29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74761FC3">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140" w:type="pct"/>
            <w:shd w:val="clear" w:color="auto" w:fill="auto"/>
            <w:vAlign w:val="center"/>
          </w:tcPr>
          <w:p w14:paraId="1F2F9275">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潜污泵</w:t>
            </w:r>
          </w:p>
        </w:tc>
        <w:tc>
          <w:tcPr>
            <w:tcW w:w="1222" w:type="pct"/>
            <w:shd w:val="clear" w:color="auto" w:fill="auto"/>
            <w:vAlign w:val="center"/>
          </w:tcPr>
          <w:p w14:paraId="5277B1C1">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Q=160m</w:t>
            </w:r>
            <w:r>
              <w:rPr>
                <w:rFonts w:hint="default" w:ascii="Times New Roman" w:hAnsi="Times New Roman" w:eastAsia="宋体" w:cs="Times New Roman"/>
                <w:i w:val="0"/>
                <w:iCs w:val="0"/>
                <w:color w:val="auto"/>
                <w:kern w:val="0"/>
                <w:sz w:val="13"/>
                <w:szCs w:val="13"/>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/h H=30m N=22kW</w:t>
            </w:r>
          </w:p>
        </w:tc>
        <w:tc>
          <w:tcPr>
            <w:tcW w:w="396" w:type="pct"/>
            <w:shd w:val="clear" w:color="auto" w:fill="auto"/>
            <w:vAlign w:val="center"/>
          </w:tcPr>
          <w:p w14:paraId="2B6799FA">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0E9AD68E">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4A239FBD">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25B47D7D">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备，全部变频</w:t>
            </w:r>
          </w:p>
        </w:tc>
      </w:tr>
      <w:tr w14:paraId="1C3E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1FF3CFDA">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1140" w:type="pct"/>
            <w:shd w:val="clear" w:color="auto" w:fill="auto"/>
            <w:vAlign w:val="center"/>
          </w:tcPr>
          <w:p w14:paraId="1330802E">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潜污泵</w:t>
            </w:r>
          </w:p>
        </w:tc>
        <w:tc>
          <w:tcPr>
            <w:tcW w:w="1222" w:type="pct"/>
            <w:shd w:val="clear" w:color="auto" w:fill="auto"/>
            <w:vAlign w:val="center"/>
          </w:tcPr>
          <w:p w14:paraId="7BA4F671">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Q=100m</w:t>
            </w:r>
            <w:r>
              <w:rPr>
                <w:rFonts w:hint="default" w:ascii="Times New Roman" w:hAnsi="Times New Roman" w:eastAsia="宋体" w:cs="Times New Roman"/>
                <w:i w:val="0"/>
                <w:iCs w:val="0"/>
                <w:color w:val="auto"/>
                <w:kern w:val="0"/>
                <w:sz w:val="13"/>
                <w:szCs w:val="13"/>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/h H=20m N=11kW</w:t>
            </w:r>
          </w:p>
        </w:tc>
        <w:tc>
          <w:tcPr>
            <w:tcW w:w="396" w:type="pct"/>
            <w:shd w:val="clear" w:color="auto" w:fill="auto"/>
            <w:vAlign w:val="center"/>
          </w:tcPr>
          <w:p w14:paraId="42004029">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5E49289C">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23F2AC6B">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7EA8E4CF">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备</w:t>
            </w:r>
          </w:p>
        </w:tc>
      </w:tr>
      <w:tr w14:paraId="4B0F9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78845806">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140" w:type="pct"/>
            <w:shd w:val="clear" w:color="auto" w:fill="auto"/>
            <w:vAlign w:val="center"/>
          </w:tcPr>
          <w:p w14:paraId="6EFC5B31">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通风管（</w:t>
            </w:r>
            <w:r>
              <w:rPr>
                <w:rFonts w:hint="default" w:ascii="Times New Roman" w:hAnsi="Times New Roman" w:eastAsia="楷体" w:cs="Times New Roman"/>
                <w:i w:val="0"/>
                <w:iCs w:val="0"/>
                <w:color w:val="auto"/>
                <w:kern w:val="0"/>
                <w:sz w:val="21"/>
                <w:szCs w:val="21"/>
                <w:highlight w:val="none"/>
                <w:u w:val="none"/>
                <w:lang w:val="en-US" w:eastAsia="zh-CN" w:bidi="ar"/>
              </w:rPr>
              <w:t>A</w:t>
            </w:r>
            <w:r>
              <w:rPr>
                <w:rFonts w:hint="eastAsia" w:ascii="楷体" w:hAnsi="楷体" w:eastAsia="楷体" w:cs="楷体"/>
                <w:i w:val="0"/>
                <w:iCs w:val="0"/>
                <w:color w:val="auto"/>
                <w:kern w:val="0"/>
                <w:sz w:val="21"/>
                <w:szCs w:val="21"/>
                <w:highlight w:val="none"/>
                <w:u w:val="none"/>
                <w:lang w:val="en-US" w:eastAsia="zh-CN" w:bidi="ar"/>
              </w:rPr>
              <w:t>型）</w:t>
            </w:r>
          </w:p>
        </w:tc>
        <w:tc>
          <w:tcPr>
            <w:tcW w:w="1222" w:type="pct"/>
            <w:shd w:val="clear" w:color="auto" w:fill="auto"/>
            <w:vAlign w:val="center"/>
          </w:tcPr>
          <w:p w14:paraId="18C110AC">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φ200 H=1400/H=900</w:t>
            </w:r>
          </w:p>
        </w:tc>
        <w:tc>
          <w:tcPr>
            <w:tcW w:w="396" w:type="pct"/>
            <w:shd w:val="clear" w:color="auto" w:fill="auto"/>
            <w:vAlign w:val="center"/>
          </w:tcPr>
          <w:p w14:paraId="49E87BD9">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46A3D9BE">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648374B6">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12</w:t>
            </w:r>
          </w:p>
        </w:tc>
        <w:tc>
          <w:tcPr>
            <w:tcW w:w="1321" w:type="pct"/>
            <w:shd w:val="clear" w:color="auto" w:fill="auto"/>
            <w:vAlign w:val="center"/>
          </w:tcPr>
          <w:p w14:paraId="791122BD">
            <w:pPr>
              <w:jc w:val="left"/>
              <w:rPr>
                <w:rFonts w:hint="default" w:ascii="Times New Roman" w:hAnsi="Times New Roman" w:cs="Times New Roman"/>
                <w:i w:val="0"/>
                <w:iCs w:val="0"/>
                <w:color w:val="auto"/>
                <w:sz w:val="21"/>
                <w:szCs w:val="21"/>
                <w:highlight w:val="none"/>
                <w:u w:val="none"/>
              </w:rPr>
            </w:pPr>
          </w:p>
        </w:tc>
      </w:tr>
      <w:tr w14:paraId="6F423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4645A189">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140" w:type="pct"/>
            <w:shd w:val="clear" w:color="auto" w:fill="auto"/>
            <w:vAlign w:val="center"/>
          </w:tcPr>
          <w:p w14:paraId="407CF11C">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紫外线消毒模块</w:t>
            </w:r>
          </w:p>
        </w:tc>
        <w:tc>
          <w:tcPr>
            <w:tcW w:w="1222" w:type="pct"/>
            <w:shd w:val="clear" w:color="auto" w:fill="auto"/>
            <w:vAlign w:val="center"/>
          </w:tcPr>
          <w:p w14:paraId="6CA43F1A">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14</w:t>
            </w:r>
            <w:r>
              <w:rPr>
                <w:rFonts w:hint="eastAsia" w:ascii="楷体" w:hAnsi="楷体" w:eastAsia="楷体" w:cs="楷体"/>
                <w:i w:val="0"/>
                <w:iCs w:val="0"/>
                <w:color w:val="auto"/>
                <w:kern w:val="0"/>
                <w:sz w:val="21"/>
                <w:szCs w:val="21"/>
                <w:highlight w:val="none"/>
                <w:u w:val="none"/>
                <w:lang w:val="en-US" w:eastAsia="zh-CN" w:bidi="ar"/>
              </w:rPr>
              <w:t>个模块，</w:t>
            </w:r>
            <w:r>
              <w:rPr>
                <w:rFonts w:hint="default" w:ascii="Times New Roman" w:hAnsi="Times New Roman" w:eastAsia="宋体" w:cs="Times New Roman"/>
                <w:i w:val="0"/>
                <w:iCs w:val="0"/>
                <w:color w:val="auto"/>
                <w:kern w:val="0"/>
                <w:sz w:val="21"/>
                <w:szCs w:val="21"/>
                <w:highlight w:val="none"/>
                <w:u w:val="none"/>
                <w:lang w:val="en-US" w:eastAsia="zh-CN" w:bidi="ar"/>
              </w:rPr>
              <w:t>112</w:t>
            </w:r>
            <w:r>
              <w:rPr>
                <w:rFonts w:hint="eastAsia" w:ascii="楷体" w:hAnsi="楷体" w:eastAsia="楷体" w:cs="楷体"/>
                <w:i w:val="0"/>
                <w:iCs w:val="0"/>
                <w:color w:val="auto"/>
                <w:kern w:val="0"/>
                <w:sz w:val="21"/>
                <w:szCs w:val="21"/>
                <w:highlight w:val="none"/>
                <w:u w:val="none"/>
                <w:lang w:val="en-US" w:eastAsia="zh-CN" w:bidi="ar"/>
              </w:rPr>
              <w:t>支灯管，总功率</w:t>
            </w:r>
            <w:r>
              <w:rPr>
                <w:rFonts w:hint="default" w:ascii="Times New Roman" w:hAnsi="Times New Roman" w:eastAsia="宋体" w:cs="Times New Roman"/>
                <w:i w:val="0"/>
                <w:iCs w:val="0"/>
                <w:color w:val="auto"/>
                <w:kern w:val="0"/>
                <w:sz w:val="21"/>
                <w:szCs w:val="21"/>
                <w:highlight w:val="none"/>
                <w:u w:val="none"/>
                <w:lang w:val="en-US" w:eastAsia="zh-CN" w:bidi="ar"/>
              </w:rPr>
              <w:t>28kW</w:t>
            </w:r>
          </w:p>
        </w:tc>
        <w:tc>
          <w:tcPr>
            <w:tcW w:w="396" w:type="pct"/>
            <w:shd w:val="clear" w:color="auto" w:fill="auto"/>
            <w:vAlign w:val="center"/>
          </w:tcPr>
          <w:p w14:paraId="28FFB28E">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2573A373">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6CA05ECF">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7D471B5F">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系统包括：紫外消毒模块、控制柜、镇流器柜、自动清洗装置、水位传感器、水位自动控制器、起吊装置、导流格栅、空压机及所需的管路和安装附件。</w:t>
            </w:r>
          </w:p>
        </w:tc>
      </w:tr>
      <w:tr w14:paraId="42601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2551E796">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1140" w:type="pct"/>
            <w:shd w:val="clear" w:color="auto" w:fill="auto"/>
            <w:vAlign w:val="center"/>
          </w:tcPr>
          <w:p w14:paraId="69814A1F">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电动葫芦</w:t>
            </w:r>
          </w:p>
        </w:tc>
        <w:tc>
          <w:tcPr>
            <w:tcW w:w="1222" w:type="pct"/>
            <w:shd w:val="clear" w:color="auto" w:fill="auto"/>
            <w:vAlign w:val="center"/>
          </w:tcPr>
          <w:p w14:paraId="7186A57F">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T=5t N=7.5+0.8kW H=12m</w:t>
            </w:r>
          </w:p>
        </w:tc>
        <w:tc>
          <w:tcPr>
            <w:tcW w:w="396" w:type="pct"/>
            <w:shd w:val="clear" w:color="auto" w:fill="auto"/>
            <w:vAlign w:val="center"/>
          </w:tcPr>
          <w:p w14:paraId="454F00C7">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6BAA5121">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3DB734D5">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2160FFA3">
            <w:pPr>
              <w:jc w:val="left"/>
              <w:rPr>
                <w:rFonts w:hint="default" w:ascii="Times New Roman" w:hAnsi="Times New Roman" w:cs="Times New Roman"/>
                <w:i w:val="0"/>
                <w:iCs w:val="0"/>
                <w:color w:val="auto"/>
                <w:sz w:val="21"/>
                <w:szCs w:val="21"/>
                <w:highlight w:val="none"/>
                <w:u w:val="none"/>
              </w:rPr>
            </w:pPr>
          </w:p>
        </w:tc>
      </w:tr>
      <w:tr w14:paraId="16381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08D36FE9">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1140" w:type="pct"/>
            <w:shd w:val="clear" w:color="auto" w:fill="auto"/>
            <w:vAlign w:val="center"/>
          </w:tcPr>
          <w:p w14:paraId="7A6E1B54">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手动铸铁镶铜方闸门</w:t>
            </w:r>
          </w:p>
        </w:tc>
        <w:tc>
          <w:tcPr>
            <w:tcW w:w="1222" w:type="pct"/>
            <w:shd w:val="clear" w:color="auto" w:fill="auto"/>
            <w:vAlign w:val="center"/>
          </w:tcPr>
          <w:p w14:paraId="5049C38E">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1400x1400 </w:t>
            </w:r>
            <w:r>
              <w:rPr>
                <w:rFonts w:hint="eastAsia" w:ascii="楷体" w:hAnsi="楷体" w:eastAsia="楷体" w:cs="楷体"/>
                <w:i w:val="0"/>
                <w:iCs w:val="0"/>
                <w:color w:val="auto"/>
                <w:kern w:val="0"/>
                <w:sz w:val="21"/>
                <w:szCs w:val="21"/>
                <w:highlight w:val="none"/>
                <w:u w:val="none"/>
                <w:lang w:val="en-US" w:eastAsia="zh-CN" w:bidi="ar"/>
              </w:rPr>
              <w:t>双向止水</w:t>
            </w:r>
          </w:p>
        </w:tc>
        <w:tc>
          <w:tcPr>
            <w:tcW w:w="396" w:type="pct"/>
            <w:shd w:val="clear" w:color="auto" w:fill="auto"/>
            <w:vAlign w:val="center"/>
          </w:tcPr>
          <w:p w14:paraId="559B5FCB">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2A92F627">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49E838FA">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1321" w:type="pct"/>
            <w:shd w:val="clear" w:color="auto" w:fill="auto"/>
            <w:vAlign w:val="center"/>
          </w:tcPr>
          <w:p w14:paraId="22719F02">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带手动启闭机</w:t>
            </w:r>
          </w:p>
        </w:tc>
      </w:tr>
      <w:tr w14:paraId="1EFF9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2628BF63">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1140" w:type="pct"/>
            <w:shd w:val="clear" w:color="auto" w:fill="auto"/>
            <w:vAlign w:val="center"/>
          </w:tcPr>
          <w:p w14:paraId="48FA648D">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微阻缓闭止回阀</w:t>
            </w:r>
          </w:p>
        </w:tc>
        <w:tc>
          <w:tcPr>
            <w:tcW w:w="1222" w:type="pct"/>
            <w:shd w:val="clear" w:color="auto" w:fill="auto"/>
            <w:vAlign w:val="center"/>
          </w:tcPr>
          <w:p w14:paraId="24A4A261">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DN600 PN=1.0MPa</w:t>
            </w:r>
          </w:p>
        </w:tc>
        <w:tc>
          <w:tcPr>
            <w:tcW w:w="396" w:type="pct"/>
            <w:shd w:val="clear" w:color="auto" w:fill="auto"/>
            <w:vAlign w:val="center"/>
          </w:tcPr>
          <w:p w14:paraId="704E332E">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68D9E8D1">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352E162F">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321" w:type="pct"/>
            <w:shd w:val="clear" w:color="auto" w:fill="auto"/>
            <w:vAlign w:val="center"/>
          </w:tcPr>
          <w:p w14:paraId="610C17CD">
            <w:pPr>
              <w:jc w:val="left"/>
              <w:rPr>
                <w:rFonts w:hint="default" w:ascii="Times New Roman" w:hAnsi="Times New Roman" w:cs="Times New Roman"/>
                <w:i w:val="0"/>
                <w:iCs w:val="0"/>
                <w:color w:val="auto"/>
                <w:sz w:val="21"/>
                <w:szCs w:val="21"/>
                <w:highlight w:val="none"/>
                <w:u w:val="none"/>
              </w:rPr>
            </w:pPr>
          </w:p>
        </w:tc>
      </w:tr>
      <w:tr w14:paraId="2AF6D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642EE890">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w:t>
            </w:r>
          </w:p>
        </w:tc>
        <w:tc>
          <w:tcPr>
            <w:tcW w:w="1140" w:type="pct"/>
            <w:shd w:val="clear" w:color="auto" w:fill="auto"/>
            <w:vAlign w:val="center"/>
          </w:tcPr>
          <w:p w14:paraId="46760233">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微阻缓闭止回阀</w:t>
            </w:r>
          </w:p>
        </w:tc>
        <w:tc>
          <w:tcPr>
            <w:tcW w:w="1222" w:type="pct"/>
            <w:shd w:val="clear" w:color="auto" w:fill="auto"/>
            <w:vAlign w:val="center"/>
          </w:tcPr>
          <w:p w14:paraId="66E1BE75">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DN250 PN=1.0MPa</w:t>
            </w:r>
          </w:p>
        </w:tc>
        <w:tc>
          <w:tcPr>
            <w:tcW w:w="396" w:type="pct"/>
            <w:shd w:val="clear" w:color="auto" w:fill="auto"/>
            <w:vAlign w:val="center"/>
          </w:tcPr>
          <w:p w14:paraId="4A6B73B6">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001943C4">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7AEBD2AB">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2EF91A0A">
            <w:pPr>
              <w:jc w:val="left"/>
              <w:rPr>
                <w:rFonts w:hint="default" w:ascii="Times New Roman" w:hAnsi="Times New Roman" w:cs="Times New Roman"/>
                <w:i w:val="0"/>
                <w:iCs w:val="0"/>
                <w:color w:val="auto"/>
                <w:sz w:val="21"/>
                <w:szCs w:val="21"/>
                <w:highlight w:val="none"/>
                <w:u w:val="none"/>
              </w:rPr>
            </w:pPr>
          </w:p>
        </w:tc>
      </w:tr>
      <w:tr w14:paraId="57254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3B2E2C3B">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1140" w:type="pct"/>
            <w:shd w:val="clear" w:color="auto" w:fill="auto"/>
            <w:vAlign w:val="center"/>
          </w:tcPr>
          <w:p w14:paraId="5D9D95DA">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微阻缓闭止回阀</w:t>
            </w:r>
          </w:p>
        </w:tc>
        <w:tc>
          <w:tcPr>
            <w:tcW w:w="1222" w:type="pct"/>
            <w:shd w:val="clear" w:color="auto" w:fill="auto"/>
            <w:vAlign w:val="center"/>
          </w:tcPr>
          <w:p w14:paraId="7087E90C">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DN200 PN=1.0MPa</w:t>
            </w:r>
          </w:p>
        </w:tc>
        <w:tc>
          <w:tcPr>
            <w:tcW w:w="396" w:type="pct"/>
            <w:shd w:val="clear" w:color="auto" w:fill="auto"/>
            <w:vAlign w:val="center"/>
          </w:tcPr>
          <w:p w14:paraId="51358C2B">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0BE783B2">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1AF67C3B">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16368816">
            <w:pPr>
              <w:jc w:val="left"/>
              <w:rPr>
                <w:rFonts w:hint="default" w:ascii="Times New Roman" w:hAnsi="Times New Roman" w:cs="Times New Roman"/>
                <w:i w:val="0"/>
                <w:iCs w:val="0"/>
                <w:color w:val="auto"/>
                <w:sz w:val="21"/>
                <w:szCs w:val="21"/>
                <w:highlight w:val="none"/>
                <w:u w:val="none"/>
              </w:rPr>
            </w:pPr>
          </w:p>
        </w:tc>
      </w:tr>
      <w:tr w14:paraId="4A41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6129A2DF">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11</w:t>
            </w:r>
          </w:p>
        </w:tc>
        <w:tc>
          <w:tcPr>
            <w:tcW w:w="1140" w:type="pct"/>
            <w:shd w:val="clear" w:color="auto" w:fill="auto"/>
            <w:vAlign w:val="center"/>
          </w:tcPr>
          <w:p w14:paraId="08A8FA7C">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电动法兰式蝶阀</w:t>
            </w:r>
          </w:p>
        </w:tc>
        <w:tc>
          <w:tcPr>
            <w:tcW w:w="1222" w:type="pct"/>
            <w:shd w:val="clear" w:color="auto" w:fill="auto"/>
            <w:vAlign w:val="center"/>
          </w:tcPr>
          <w:p w14:paraId="266607ED">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DN600 PN=1.0MPa</w:t>
            </w:r>
          </w:p>
        </w:tc>
        <w:tc>
          <w:tcPr>
            <w:tcW w:w="396" w:type="pct"/>
            <w:shd w:val="clear" w:color="auto" w:fill="auto"/>
            <w:vAlign w:val="center"/>
          </w:tcPr>
          <w:p w14:paraId="0588341D">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5E00A0A3">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5E46AD94">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321" w:type="pct"/>
            <w:shd w:val="clear" w:color="auto" w:fill="auto"/>
            <w:vAlign w:val="center"/>
          </w:tcPr>
          <w:p w14:paraId="3B57006B">
            <w:pPr>
              <w:jc w:val="left"/>
              <w:rPr>
                <w:rFonts w:hint="default" w:ascii="Times New Roman" w:hAnsi="Times New Roman" w:cs="Times New Roman"/>
                <w:i w:val="0"/>
                <w:iCs w:val="0"/>
                <w:color w:val="auto"/>
                <w:sz w:val="21"/>
                <w:szCs w:val="21"/>
                <w:highlight w:val="none"/>
                <w:u w:val="none"/>
              </w:rPr>
            </w:pPr>
          </w:p>
        </w:tc>
      </w:tr>
      <w:tr w14:paraId="5175D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511F276A">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12</w:t>
            </w:r>
          </w:p>
        </w:tc>
        <w:tc>
          <w:tcPr>
            <w:tcW w:w="1140" w:type="pct"/>
            <w:shd w:val="clear" w:color="auto" w:fill="auto"/>
            <w:vAlign w:val="center"/>
          </w:tcPr>
          <w:p w14:paraId="0733B46F">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电动法兰式蝶阀</w:t>
            </w:r>
          </w:p>
        </w:tc>
        <w:tc>
          <w:tcPr>
            <w:tcW w:w="1222" w:type="pct"/>
            <w:shd w:val="clear" w:color="auto" w:fill="auto"/>
            <w:vAlign w:val="center"/>
          </w:tcPr>
          <w:p w14:paraId="071ED876">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DN250 PN=1.0MPa</w:t>
            </w:r>
          </w:p>
        </w:tc>
        <w:tc>
          <w:tcPr>
            <w:tcW w:w="396" w:type="pct"/>
            <w:shd w:val="clear" w:color="auto" w:fill="auto"/>
            <w:vAlign w:val="center"/>
          </w:tcPr>
          <w:p w14:paraId="07A172AD">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1E4EEF86">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752E1523">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25BEA930">
            <w:pPr>
              <w:jc w:val="left"/>
              <w:rPr>
                <w:rFonts w:hint="default" w:ascii="Times New Roman" w:hAnsi="Times New Roman" w:cs="Times New Roman"/>
                <w:i w:val="0"/>
                <w:iCs w:val="0"/>
                <w:color w:val="auto"/>
                <w:sz w:val="21"/>
                <w:szCs w:val="21"/>
                <w:highlight w:val="none"/>
                <w:u w:val="none"/>
              </w:rPr>
            </w:pPr>
          </w:p>
        </w:tc>
      </w:tr>
      <w:tr w14:paraId="22CC4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35B6D580">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13</w:t>
            </w:r>
          </w:p>
        </w:tc>
        <w:tc>
          <w:tcPr>
            <w:tcW w:w="1140" w:type="pct"/>
            <w:shd w:val="clear" w:color="auto" w:fill="auto"/>
            <w:vAlign w:val="center"/>
          </w:tcPr>
          <w:p w14:paraId="284A0B41">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电动法兰式蝶阀</w:t>
            </w:r>
          </w:p>
        </w:tc>
        <w:tc>
          <w:tcPr>
            <w:tcW w:w="1222" w:type="pct"/>
            <w:shd w:val="clear" w:color="auto" w:fill="auto"/>
            <w:vAlign w:val="center"/>
          </w:tcPr>
          <w:p w14:paraId="134702DC">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DN200 PN=1.0MPa</w:t>
            </w:r>
          </w:p>
        </w:tc>
        <w:tc>
          <w:tcPr>
            <w:tcW w:w="396" w:type="pct"/>
            <w:shd w:val="clear" w:color="auto" w:fill="auto"/>
            <w:vAlign w:val="center"/>
          </w:tcPr>
          <w:p w14:paraId="64B2C129">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211DA736">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2448ED69">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0C370BB0">
            <w:pPr>
              <w:jc w:val="left"/>
              <w:rPr>
                <w:rFonts w:hint="default" w:ascii="Times New Roman" w:hAnsi="Times New Roman" w:cs="Times New Roman"/>
                <w:i w:val="0"/>
                <w:iCs w:val="0"/>
                <w:color w:val="auto"/>
                <w:sz w:val="21"/>
                <w:szCs w:val="21"/>
                <w:highlight w:val="none"/>
                <w:u w:val="none"/>
              </w:rPr>
            </w:pPr>
          </w:p>
        </w:tc>
      </w:tr>
      <w:tr w14:paraId="5D3AC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73A4634D">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14</w:t>
            </w:r>
          </w:p>
        </w:tc>
        <w:tc>
          <w:tcPr>
            <w:tcW w:w="1140" w:type="pct"/>
            <w:shd w:val="clear" w:color="auto" w:fill="auto"/>
            <w:vAlign w:val="center"/>
          </w:tcPr>
          <w:p w14:paraId="1C5B4C04">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手动法兰式蝶阀</w:t>
            </w:r>
          </w:p>
        </w:tc>
        <w:tc>
          <w:tcPr>
            <w:tcW w:w="1222" w:type="pct"/>
            <w:shd w:val="clear" w:color="auto" w:fill="auto"/>
            <w:vAlign w:val="center"/>
          </w:tcPr>
          <w:p w14:paraId="56FFAB17">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DN600 PN=1.0MPa</w:t>
            </w:r>
          </w:p>
        </w:tc>
        <w:tc>
          <w:tcPr>
            <w:tcW w:w="396" w:type="pct"/>
            <w:shd w:val="clear" w:color="auto" w:fill="auto"/>
            <w:vAlign w:val="center"/>
          </w:tcPr>
          <w:p w14:paraId="03445932">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772D22A9">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11A38AE6">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321" w:type="pct"/>
            <w:shd w:val="clear" w:color="auto" w:fill="auto"/>
            <w:vAlign w:val="center"/>
          </w:tcPr>
          <w:p w14:paraId="4B10B9A4">
            <w:pPr>
              <w:jc w:val="left"/>
              <w:rPr>
                <w:rFonts w:hint="default" w:ascii="Times New Roman" w:hAnsi="Times New Roman" w:cs="Times New Roman"/>
                <w:i w:val="0"/>
                <w:iCs w:val="0"/>
                <w:color w:val="auto"/>
                <w:sz w:val="21"/>
                <w:szCs w:val="21"/>
                <w:highlight w:val="none"/>
                <w:u w:val="none"/>
              </w:rPr>
            </w:pPr>
          </w:p>
        </w:tc>
      </w:tr>
      <w:tr w14:paraId="22765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443C7F1F">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1140" w:type="pct"/>
            <w:shd w:val="clear" w:color="auto" w:fill="auto"/>
            <w:vAlign w:val="center"/>
          </w:tcPr>
          <w:p w14:paraId="342CD17D">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手动法兰式蝶阀</w:t>
            </w:r>
          </w:p>
        </w:tc>
        <w:tc>
          <w:tcPr>
            <w:tcW w:w="1222" w:type="pct"/>
            <w:shd w:val="clear" w:color="auto" w:fill="auto"/>
            <w:vAlign w:val="center"/>
          </w:tcPr>
          <w:p w14:paraId="738E24B1">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DN250 PN=1.0MPa</w:t>
            </w:r>
          </w:p>
        </w:tc>
        <w:tc>
          <w:tcPr>
            <w:tcW w:w="396" w:type="pct"/>
            <w:shd w:val="clear" w:color="auto" w:fill="auto"/>
            <w:vAlign w:val="center"/>
          </w:tcPr>
          <w:p w14:paraId="3C1B8877">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5AAC6115">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27085563">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5C5FC110">
            <w:pPr>
              <w:jc w:val="left"/>
              <w:rPr>
                <w:rFonts w:hint="default" w:ascii="Times New Roman" w:hAnsi="Times New Roman" w:cs="Times New Roman"/>
                <w:i w:val="0"/>
                <w:iCs w:val="0"/>
                <w:color w:val="auto"/>
                <w:sz w:val="21"/>
                <w:szCs w:val="21"/>
                <w:highlight w:val="none"/>
                <w:u w:val="none"/>
              </w:rPr>
            </w:pPr>
          </w:p>
        </w:tc>
      </w:tr>
      <w:tr w14:paraId="29062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2C3A1800">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16</w:t>
            </w:r>
          </w:p>
        </w:tc>
        <w:tc>
          <w:tcPr>
            <w:tcW w:w="1140" w:type="pct"/>
            <w:shd w:val="clear" w:color="auto" w:fill="auto"/>
            <w:vAlign w:val="center"/>
          </w:tcPr>
          <w:p w14:paraId="086CF776">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手动法兰式蝶阀</w:t>
            </w:r>
          </w:p>
        </w:tc>
        <w:tc>
          <w:tcPr>
            <w:tcW w:w="1222" w:type="pct"/>
            <w:shd w:val="clear" w:color="auto" w:fill="auto"/>
            <w:vAlign w:val="center"/>
          </w:tcPr>
          <w:p w14:paraId="591F2646">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DN200 PN=1.0MPa</w:t>
            </w:r>
          </w:p>
        </w:tc>
        <w:tc>
          <w:tcPr>
            <w:tcW w:w="396" w:type="pct"/>
            <w:shd w:val="clear" w:color="auto" w:fill="auto"/>
            <w:vAlign w:val="center"/>
          </w:tcPr>
          <w:p w14:paraId="19C17882">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42ED168E">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个</w:t>
            </w:r>
          </w:p>
        </w:tc>
        <w:tc>
          <w:tcPr>
            <w:tcW w:w="296" w:type="pct"/>
            <w:shd w:val="clear" w:color="auto" w:fill="auto"/>
            <w:vAlign w:val="center"/>
          </w:tcPr>
          <w:p w14:paraId="1E137A6E">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6A73928C">
            <w:pPr>
              <w:jc w:val="left"/>
              <w:rPr>
                <w:rFonts w:hint="default" w:ascii="Times New Roman" w:hAnsi="Times New Roman" w:cs="Times New Roman"/>
                <w:i w:val="0"/>
                <w:iCs w:val="0"/>
                <w:color w:val="auto"/>
                <w:sz w:val="21"/>
                <w:szCs w:val="21"/>
                <w:highlight w:val="none"/>
                <w:u w:val="none"/>
              </w:rPr>
            </w:pPr>
          </w:p>
        </w:tc>
      </w:tr>
      <w:tr w14:paraId="607BE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3BEC6DDD">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17</w:t>
            </w:r>
          </w:p>
        </w:tc>
        <w:tc>
          <w:tcPr>
            <w:tcW w:w="1140" w:type="pct"/>
            <w:shd w:val="clear" w:color="auto" w:fill="auto"/>
            <w:vAlign w:val="center"/>
          </w:tcPr>
          <w:p w14:paraId="2BCF8E61">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巴式计量槽</w:t>
            </w:r>
          </w:p>
        </w:tc>
        <w:tc>
          <w:tcPr>
            <w:tcW w:w="1222" w:type="pct"/>
            <w:shd w:val="clear" w:color="auto" w:fill="auto"/>
            <w:vAlign w:val="center"/>
          </w:tcPr>
          <w:p w14:paraId="35E516AD">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Q=35-2000L/s </w:t>
            </w:r>
            <w:r>
              <w:rPr>
                <w:rFonts w:hint="eastAsia" w:ascii="楷体" w:hAnsi="楷体" w:eastAsia="楷体" w:cs="楷体"/>
                <w:i w:val="0"/>
                <w:iCs w:val="0"/>
                <w:color w:val="auto"/>
                <w:kern w:val="0"/>
                <w:sz w:val="21"/>
                <w:szCs w:val="21"/>
                <w:highlight w:val="none"/>
                <w:u w:val="none"/>
                <w:lang w:val="en-US" w:eastAsia="zh-CN" w:bidi="ar"/>
              </w:rPr>
              <w:t>喉宽</w:t>
            </w:r>
            <w:r>
              <w:rPr>
                <w:rFonts w:hint="default" w:ascii="Times New Roman" w:hAnsi="Times New Roman" w:eastAsia="宋体" w:cs="Times New Roman"/>
                <w:i w:val="0"/>
                <w:iCs w:val="0"/>
                <w:color w:val="auto"/>
                <w:kern w:val="0"/>
                <w:sz w:val="21"/>
                <w:szCs w:val="21"/>
                <w:highlight w:val="none"/>
                <w:u w:val="none"/>
                <w:lang w:val="en-US" w:eastAsia="zh-CN" w:bidi="ar"/>
              </w:rPr>
              <w:t>B=1.2m</w:t>
            </w:r>
          </w:p>
        </w:tc>
        <w:tc>
          <w:tcPr>
            <w:tcW w:w="396" w:type="pct"/>
            <w:shd w:val="clear" w:color="auto" w:fill="auto"/>
            <w:vAlign w:val="center"/>
          </w:tcPr>
          <w:p w14:paraId="00EE4F30">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玻璃钢</w:t>
            </w:r>
          </w:p>
        </w:tc>
        <w:tc>
          <w:tcPr>
            <w:tcW w:w="311" w:type="pct"/>
            <w:shd w:val="clear" w:color="auto" w:fill="auto"/>
            <w:vAlign w:val="center"/>
          </w:tcPr>
          <w:p w14:paraId="63E5B871">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5E77F1A0">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60B73AB0">
            <w:pPr>
              <w:jc w:val="left"/>
              <w:rPr>
                <w:rFonts w:hint="default" w:ascii="Times New Roman" w:hAnsi="Times New Roman" w:cs="Times New Roman"/>
                <w:i w:val="0"/>
                <w:iCs w:val="0"/>
                <w:color w:val="auto"/>
                <w:sz w:val="21"/>
                <w:szCs w:val="21"/>
                <w:highlight w:val="none"/>
                <w:u w:val="none"/>
              </w:rPr>
            </w:pPr>
          </w:p>
        </w:tc>
      </w:tr>
      <w:tr w14:paraId="0D899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5000" w:type="pct"/>
            <w:gridSpan w:val="7"/>
            <w:shd w:val="clear" w:color="auto" w:fill="auto"/>
            <w:vAlign w:val="center"/>
          </w:tcPr>
          <w:p w14:paraId="0177D9CB">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8.</w:t>
            </w:r>
            <w:r>
              <w:rPr>
                <w:rFonts w:hint="eastAsia" w:ascii="楷体" w:hAnsi="楷体" w:eastAsia="楷体" w:cs="楷体"/>
                <w:b/>
                <w:bCs/>
                <w:i w:val="0"/>
                <w:iCs w:val="0"/>
                <w:color w:val="auto"/>
                <w:kern w:val="0"/>
                <w:sz w:val="21"/>
                <w:szCs w:val="21"/>
                <w:highlight w:val="none"/>
                <w:u w:val="none"/>
                <w:lang w:val="en-US" w:eastAsia="zh-CN" w:bidi="ar"/>
              </w:rPr>
              <w:t>鼓风机房</w:t>
            </w:r>
          </w:p>
        </w:tc>
      </w:tr>
      <w:tr w14:paraId="1F128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7ABD33C7">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140" w:type="pct"/>
            <w:shd w:val="clear" w:color="auto" w:fill="auto"/>
            <w:vAlign w:val="center"/>
          </w:tcPr>
          <w:p w14:paraId="14DC6F27">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磁悬浮鼓风机</w:t>
            </w:r>
          </w:p>
        </w:tc>
        <w:tc>
          <w:tcPr>
            <w:tcW w:w="1222" w:type="pct"/>
            <w:shd w:val="clear" w:color="auto" w:fill="auto"/>
            <w:vAlign w:val="center"/>
          </w:tcPr>
          <w:p w14:paraId="06F3D988">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Q=120m</w:t>
            </w:r>
            <w:r>
              <w:rPr>
                <w:rFonts w:hint="default" w:ascii="Times New Roman" w:hAnsi="Times New Roman" w:eastAsia="宋体" w:cs="Times New Roman"/>
                <w:i w:val="0"/>
                <w:iCs w:val="0"/>
                <w:color w:val="auto"/>
                <w:kern w:val="0"/>
                <w:sz w:val="13"/>
                <w:szCs w:val="13"/>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/min P=70kPa</w:t>
            </w:r>
            <w:r>
              <w:rPr>
                <w:rFonts w:hint="eastAsia" w:ascii="Times New Roman" w:hAnsi="Times New Roman" w:eastAsia="宋体" w:cs="Times New Roman"/>
                <w:i w:val="0"/>
                <w:iCs w:val="0"/>
                <w:color w:val="auto"/>
                <w:kern w:val="0"/>
                <w:sz w:val="21"/>
                <w:szCs w:val="21"/>
                <w:highlight w:val="none"/>
                <w:u w:val="none"/>
                <w:lang w:val="en-US" w:eastAsia="zh-CN" w:bidi="ar"/>
              </w:rPr>
              <w:t xml:space="preserve"> </w:t>
            </w:r>
            <w:r>
              <w:rPr>
                <w:rFonts w:hint="default" w:ascii="Times New Roman" w:hAnsi="Times New Roman" w:eastAsia="宋体" w:cs="Times New Roman"/>
                <w:i w:val="0"/>
                <w:iCs w:val="0"/>
                <w:color w:val="auto"/>
                <w:kern w:val="0"/>
                <w:sz w:val="21"/>
                <w:szCs w:val="21"/>
                <w:highlight w:val="none"/>
                <w:u w:val="none"/>
                <w:lang w:val="en-US" w:eastAsia="zh-CN" w:bidi="ar"/>
              </w:rPr>
              <w:t>N=160kW</w:t>
            </w:r>
          </w:p>
        </w:tc>
        <w:tc>
          <w:tcPr>
            <w:tcW w:w="396" w:type="pct"/>
            <w:shd w:val="clear" w:color="auto" w:fill="auto"/>
            <w:vAlign w:val="center"/>
          </w:tcPr>
          <w:p w14:paraId="49DD2941">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1DBC604B">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7F82F187">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321" w:type="pct"/>
            <w:shd w:val="clear" w:color="auto" w:fill="auto"/>
            <w:vAlign w:val="center"/>
          </w:tcPr>
          <w:p w14:paraId="2E52BA14">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备，全部变频（供货包括引风罩等配件）</w:t>
            </w:r>
          </w:p>
        </w:tc>
      </w:tr>
      <w:tr w14:paraId="756D0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0BE3B45D">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140" w:type="pct"/>
            <w:shd w:val="clear" w:color="auto" w:fill="auto"/>
            <w:vAlign w:val="center"/>
          </w:tcPr>
          <w:p w14:paraId="66EF99E4">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自动卷绕空气粗过滤器</w:t>
            </w:r>
          </w:p>
        </w:tc>
        <w:tc>
          <w:tcPr>
            <w:tcW w:w="1222" w:type="pct"/>
            <w:shd w:val="clear" w:color="auto" w:fill="auto"/>
            <w:vAlign w:val="center"/>
          </w:tcPr>
          <w:p w14:paraId="79A95EB6">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BXH=1700x2500</w:t>
            </w:r>
            <w:r>
              <w:rPr>
                <w:rFonts w:hint="eastAsia" w:ascii="楷体" w:hAnsi="楷体" w:eastAsia="楷体" w:cs="楷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1.5kW</w:t>
            </w:r>
          </w:p>
        </w:tc>
        <w:tc>
          <w:tcPr>
            <w:tcW w:w="396" w:type="pct"/>
            <w:shd w:val="clear" w:color="auto" w:fill="auto"/>
            <w:vAlign w:val="center"/>
          </w:tcPr>
          <w:p w14:paraId="3ED0D381">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358BA263">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0CF35919">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738D2982">
            <w:pPr>
              <w:jc w:val="left"/>
              <w:rPr>
                <w:rFonts w:hint="default" w:ascii="Times New Roman" w:hAnsi="Times New Roman" w:cs="Times New Roman"/>
                <w:i w:val="0"/>
                <w:iCs w:val="0"/>
                <w:color w:val="auto"/>
                <w:sz w:val="21"/>
                <w:szCs w:val="21"/>
                <w:highlight w:val="none"/>
                <w:u w:val="none"/>
              </w:rPr>
            </w:pPr>
          </w:p>
        </w:tc>
      </w:tr>
      <w:tr w14:paraId="6483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066EC214">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1140" w:type="pct"/>
            <w:shd w:val="clear" w:color="auto" w:fill="auto"/>
            <w:vAlign w:val="center"/>
          </w:tcPr>
          <w:p w14:paraId="34E8E69B">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电动单梁悬挂起重机</w:t>
            </w:r>
          </w:p>
        </w:tc>
        <w:tc>
          <w:tcPr>
            <w:tcW w:w="1222" w:type="pct"/>
            <w:shd w:val="clear" w:color="auto" w:fill="auto"/>
            <w:vAlign w:val="center"/>
          </w:tcPr>
          <w:p w14:paraId="4F3C6DFB">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Gn=2t L=5.0m N=2x0.4+3+0.4</w:t>
            </w:r>
          </w:p>
        </w:tc>
        <w:tc>
          <w:tcPr>
            <w:tcW w:w="396" w:type="pct"/>
            <w:shd w:val="clear" w:color="auto" w:fill="auto"/>
            <w:vAlign w:val="center"/>
          </w:tcPr>
          <w:p w14:paraId="32F08186">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7613A0BC">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3CB475BA">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436AECB3">
            <w:pPr>
              <w:jc w:val="left"/>
              <w:rPr>
                <w:rFonts w:hint="default" w:ascii="Times New Roman" w:hAnsi="Times New Roman" w:cs="Times New Roman"/>
                <w:i w:val="0"/>
                <w:iCs w:val="0"/>
                <w:color w:val="auto"/>
                <w:sz w:val="21"/>
                <w:szCs w:val="21"/>
                <w:highlight w:val="none"/>
                <w:u w:val="none"/>
              </w:rPr>
            </w:pPr>
          </w:p>
        </w:tc>
      </w:tr>
      <w:tr w14:paraId="3567A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5000" w:type="pct"/>
            <w:gridSpan w:val="7"/>
            <w:shd w:val="clear" w:color="auto" w:fill="auto"/>
            <w:vAlign w:val="center"/>
          </w:tcPr>
          <w:p w14:paraId="0E788C9C">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9.</w:t>
            </w:r>
            <w:r>
              <w:rPr>
                <w:rFonts w:hint="eastAsia" w:ascii="楷体" w:hAnsi="楷体" w:eastAsia="楷体" w:cs="楷体"/>
                <w:b/>
                <w:bCs/>
                <w:i w:val="0"/>
                <w:iCs w:val="0"/>
                <w:color w:val="auto"/>
                <w:kern w:val="0"/>
                <w:sz w:val="21"/>
                <w:szCs w:val="21"/>
                <w:highlight w:val="none"/>
                <w:u w:val="none"/>
                <w:lang w:val="en-US" w:eastAsia="zh-CN" w:bidi="ar"/>
              </w:rPr>
              <w:t>加药间</w:t>
            </w:r>
          </w:p>
        </w:tc>
      </w:tr>
      <w:tr w14:paraId="39E88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34B86727">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140" w:type="pct"/>
            <w:shd w:val="clear" w:color="auto" w:fill="auto"/>
            <w:vAlign w:val="center"/>
          </w:tcPr>
          <w:p w14:paraId="56C5A638">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PAC</w:t>
            </w:r>
            <w:r>
              <w:rPr>
                <w:rFonts w:hint="eastAsia" w:ascii="楷体" w:hAnsi="楷体" w:eastAsia="楷体" w:cs="楷体"/>
                <w:i w:val="0"/>
                <w:iCs w:val="0"/>
                <w:color w:val="auto"/>
                <w:kern w:val="0"/>
                <w:sz w:val="21"/>
                <w:szCs w:val="21"/>
                <w:highlight w:val="none"/>
                <w:u w:val="none"/>
                <w:lang w:val="en-US" w:eastAsia="zh-CN" w:bidi="ar"/>
              </w:rPr>
              <w:t>储罐</w:t>
            </w:r>
          </w:p>
        </w:tc>
        <w:tc>
          <w:tcPr>
            <w:tcW w:w="1222" w:type="pct"/>
            <w:shd w:val="clear" w:color="auto" w:fill="auto"/>
            <w:vAlign w:val="center"/>
          </w:tcPr>
          <w:p w14:paraId="0238689B">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V=35m</w:t>
            </w:r>
            <w:r>
              <w:rPr>
                <w:rFonts w:hint="default" w:ascii="Times New Roman" w:hAnsi="Times New Roman" w:eastAsia="宋体" w:cs="Times New Roman"/>
                <w:i w:val="0"/>
                <w:iCs w:val="0"/>
                <w:color w:val="auto"/>
                <w:kern w:val="0"/>
                <w:sz w:val="13"/>
                <w:szCs w:val="13"/>
                <w:highlight w:val="none"/>
                <w:u w:val="none"/>
                <w:lang w:val="en-US" w:eastAsia="zh-CN" w:bidi="ar"/>
              </w:rPr>
              <w:t>3</w:t>
            </w:r>
          </w:p>
        </w:tc>
        <w:tc>
          <w:tcPr>
            <w:tcW w:w="396" w:type="pct"/>
            <w:shd w:val="clear" w:color="auto" w:fill="auto"/>
            <w:vAlign w:val="center"/>
          </w:tcPr>
          <w:p w14:paraId="6ED046D4">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7105376B">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38F6D1E3">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1DD59FB3">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碳钢衬玻璃钢</w:t>
            </w:r>
          </w:p>
        </w:tc>
      </w:tr>
      <w:tr w14:paraId="29E61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649C0686">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140" w:type="pct"/>
            <w:shd w:val="clear" w:color="auto" w:fill="auto"/>
            <w:vAlign w:val="center"/>
          </w:tcPr>
          <w:p w14:paraId="319F75E9">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PAC</w:t>
            </w:r>
            <w:r>
              <w:rPr>
                <w:rFonts w:hint="eastAsia" w:ascii="楷体" w:hAnsi="楷体" w:eastAsia="楷体" w:cs="楷体"/>
                <w:i w:val="0"/>
                <w:iCs w:val="0"/>
                <w:color w:val="auto"/>
                <w:kern w:val="0"/>
                <w:sz w:val="21"/>
                <w:szCs w:val="21"/>
                <w:highlight w:val="none"/>
                <w:u w:val="none"/>
                <w:lang w:val="en-US" w:eastAsia="zh-CN" w:bidi="ar"/>
              </w:rPr>
              <w:t>卸料泵</w:t>
            </w:r>
          </w:p>
        </w:tc>
        <w:tc>
          <w:tcPr>
            <w:tcW w:w="1222" w:type="pct"/>
            <w:shd w:val="clear" w:color="auto" w:fill="auto"/>
            <w:vAlign w:val="center"/>
          </w:tcPr>
          <w:p w14:paraId="78CCE128">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Q=20.0m</w:t>
            </w:r>
            <w:r>
              <w:rPr>
                <w:rFonts w:hint="default" w:ascii="Times New Roman" w:hAnsi="Times New Roman" w:eastAsia="宋体" w:cs="Times New Roman"/>
                <w:i w:val="0"/>
                <w:iCs w:val="0"/>
                <w:color w:val="auto"/>
                <w:kern w:val="0"/>
                <w:sz w:val="13"/>
                <w:szCs w:val="13"/>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/h H=10m P=0.75kW</w:t>
            </w:r>
          </w:p>
        </w:tc>
        <w:tc>
          <w:tcPr>
            <w:tcW w:w="396" w:type="pct"/>
            <w:shd w:val="clear" w:color="auto" w:fill="auto"/>
            <w:vAlign w:val="center"/>
          </w:tcPr>
          <w:p w14:paraId="664FC6E7">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7E522DA8">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595544FD">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5EA45C0D">
            <w:pPr>
              <w:jc w:val="left"/>
              <w:rPr>
                <w:rFonts w:hint="default" w:ascii="Times New Roman" w:hAnsi="Times New Roman" w:cs="Times New Roman"/>
                <w:i w:val="0"/>
                <w:iCs w:val="0"/>
                <w:color w:val="auto"/>
                <w:sz w:val="21"/>
                <w:szCs w:val="21"/>
                <w:highlight w:val="none"/>
                <w:u w:val="none"/>
              </w:rPr>
            </w:pPr>
          </w:p>
        </w:tc>
      </w:tr>
      <w:tr w14:paraId="20DDF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11E22130">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1140" w:type="pct"/>
            <w:shd w:val="clear" w:color="auto" w:fill="auto"/>
            <w:vAlign w:val="center"/>
          </w:tcPr>
          <w:p w14:paraId="03BF0078">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计量泵</w:t>
            </w:r>
          </w:p>
        </w:tc>
        <w:tc>
          <w:tcPr>
            <w:tcW w:w="1222" w:type="pct"/>
            <w:shd w:val="clear" w:color="auto" w:fill="auto"/>
            <w:vAlign w:val="center"/>
          </w:tcPr>
          <w:p w14:paraId="180F5348">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Q=0.25m</w:t>
            </w:r>
            <w:r>
              <w:rPr>
                <w:rFonts w:hint="default" w:ascii="Times New Roman" w:hAnsi="Times New Roman" w:eastAsia="宋体" w:cs="Times New Roman"/>
                <w:i w:val="0"/>
                <w:iCs w:val="0"/>
                <w:color w:val="auto"/>
                <w:kern w:val="0"/>
                <w:sz w:val="13"/>
                <w:szCs w:val="13"/>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/h H=30m P=0.37kW</w:t>
            </w:r>
          </w:p>
        </w:tc>
        <w:tc>
          <w:tcPr>
            <w:tcW w:w="396" w:type="pct"/>
            <w:shd w:val="clear" w:color="auto" w:fill="auto"/>
            <w:vAlign w:val="center"/>
          </w:tcPr>
          <w:p w14:paraId="356A0743">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0F11A9B2">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239327B1">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321" w:type="pct"/>
            <w:shd w:val="clear" w:color="auto" w:fill="auto"/>
            <w:vAlign w:val="center"/>
          </w:tcPr>
          <w:p w14:paraId="6972D8CD">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备，变频控制</w:t>
            </w:r>
          </w:p>
        </w:tc>
      </w:tr>
      <w:tr w14:paraId="3F40E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6BF892BC">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140" w:type="pct"/>
            <w:shd w:val="clear" w:color="auto" w:fill="auto"/>
            <w:vAlign w:val="center"/>
          </w:tcPr>
          <w:p w14:paraId="70C9915C">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PAM</w:t>
            </w:r>
            <w:r>
              <w:rPr>
                <w:rFonts w:hint="eastAsia" w:ascii="楷体" w:hAnsi="楷体" w:eastAsia="楷体" w:cs="楷体"/>
                <w:i w:val="0"/>
                <w:iCs w:val="0"/>
                <w:color w:val="auto"/>
                <w:kern w:val="0"/>
                <w:sz w:val="21"/>
                <w:szCs w:val="21"/>
                <w:highlight w:val="none"/>
                <w:u w:val="none"/>
                <w:lang w:val="en-US" w:eastAsia="zh-CN" w:bidi="ar"/>
              </w:rPr>
              <w:t>制备装置</w:t>
            </w:r>
          </w:p>
        </w:tc>
        <w:tc>
          <w:tcPr>
            <w:tcW w:w="1222" w:type="pct"/>
            <w:shd w:val="clear" w:color="auto" w:fill="auto"/>
            <w:vAlign w:val="center"/>
          </w:tcPr>
          <w:p w14:paraId="1BEA6042">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Q=4kg/hN=5kW</w:t>
            </w:r>
          </w:p>
        </w:tc>
        <w:tc>
          <w:tcPr>
            <w:tcW w:w="396" w:type="pct"/>
            <w:shd w:val="clear" w:color="auto" w:fill="auto"/>
            <w:vAlign w:val="center"/>
          </w:tcPr>
          <w:p w14:paraId="51F5A07D">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02A7C496">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5AA0A264">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19E1584C">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含全部管配件</w:t>
            </w:r>
          </w:p>
        </w:tc>
      </w:tr>
      <w:tr w14:paraId="6B9E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51B7973E">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140" w:type="pct"/>
            <w:shd w:val="clear" w:color="auto" w:fill="auto"/>
            <w:vAlign w:val="center"/>
          </w:tcPr>
          <w:p w14:paraId="5816F839">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PAM</w:t>
            </w:r>
            <w:r>
              <w:rPr>
                <w:rFonts w:hint="eastAsia" w:ascii="楷体" w:hAnsi="楷体" w:eastAsia="楷体" w:cs="楷体"/>
                <w:i w:val="0"/>
                <w:iCs w:val="0"/>
                <w:color w:val="auto"/>
                <w:kern w:val="0"/>
                <w:sz w:val="21"/>
                <w:szCs w:val="21"/>
                <w:highlight w:val="none"/>
                <w:u w:val="none"/>
                <w:lang w:val="en-US" w:eastAsia="zh-CN" w:bidi="ar"/>
              </w:rPr>
              <w:t>加药泵</w:t>
            </w:r>
          </w:p>
        </w:tc>
        <w:tc>
          <w:tcPr>
            <w:tcW w:w="1222" w:type="pct"/>
            <w:shd w:val="clear" w:color="auto" w:fill="auto"/>
            <w:vAlign w:val="center"/>
          </w:tcPr>
          <w:p w14:paraId="017D8BC4">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Q=2.5m</w:t>
            </w:r>
            <w:r>
              <w:rPr>
                <w:rFonts w:hint="default" w:ascii="Times New Roman" w:hAnsi="Times New Roman" w:eastAsia="宋体" w:cs="Times New Roman"/>
                <w:i w:val="0"/>
                <w:iCs w:val="0"/>
                <w:color w:val="auto"/>
                <w:kern w:val="0"/>
                <w:sz w:val="13"/>
                <w:szCs w:val="13"/>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/h H=40m P=1.50kW</w:t>
            </w:r>
          </w:p>
        </w:tc>
        <w:tc>
          <w:tcPr>
            <w:tcW w:w="396" w:type="pct"/>
            <w:shd w:val="clear" w:color="auto" w:fill="auto"/>
            <w:vAlign w:val="center"/>
          </w:tcPr>
          <w:p w14:paraId="355A7385">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563481A7">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21E5BDFD">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1321" w:type="pct"/>
            <w:shd w:val="clear" w:color="auto" w:fill="auto"/>
            <w:vAlign w:val="center"/>
          </w:tcPr>
          <w:p w14:paraId="5C759EB2">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备，变频控制</w:t>
            </w:r>
          </w:p>
        </w:tc>
      </w:tr>
      <w:tr w14:paraId="75E23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1D2167B8">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1140" w:type="pct"/>
            <w:shd w:val="clear" w:color="auto" w:fill="auto"/>
            <w:vAlign w:val="center"/>
          </w:tcPr>
          <w:p w14:paraId="75B90449">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次氯酸钠储罐</w:t>
            </w:r>
          </w:p>
        </w:tc>
        <w:tc>
          <w:tcPr>
            <w:tcW w:w="1222" w:type="pct"/>
            <w:shd w:val="clear" w:color="auto" w:fill="auto"/>
            <w:vAlign w:val="center"/>
          </w:tcPr>
          <w:p w14:paraId="1494CB26">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V=30m</w:t>
            </w:r>
            <w:r>
              <w:rPr>
                <w:rFonts w:hint="default" w:ascii="Times New Roman" w:hAnsi="Times New Roman" w:eastAsia="宋体" w:cs="Times New Roman"/>
                <w:i w:val="0"/>
                <w:iCs w:val="0"/>
                <w:color w:val="auto"/>
                <w:kern w:val="0"/>
                <w:sz w:val="13"/>
                <w:szCs w:val="13"/>
                <w:highlight w:val="none"/>
                <w:u w:val="none"/>
                <w:lang w:val="en-US" w:eastAsia="zh-CN" w:bidi="ar"/>
              </w:rPr>
              <w:t>3</w:t>
            </w:r>
          </w:p>
        </w:tc>
        <w:tc>
          <w:tcPr>
            <w:tcW w:w="396" w:type="pct"/>
            <w:shd w:val="clear" w:color="auto" w:fill="auto"/>
            <w:vAlign w:val="center"/>
          </w:tcPr>
          <w:p w14:paraId="13CA0437">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42D6584A">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30C311E1">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3B0DEF7E">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碳钢衬玻璃钢</w:t>
            </w:r>
          </w:p>
        </w:tc>
      </w:tr>
      <w:tr w14:paraId="605F9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23BFC0E0">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1140" w:type="pct"/>
            <w:shd w:val="clear" w:color="auto" w:fill="auto"/>
            <w:vAlign w:val="center"/>
          </w:tcPr>
          <w:p w14:paraId="1F0CFB17">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次氯酸钠卸料泵</w:t>
            </w:r>
          </w:p>
        </w:tc>
        <w:tc>
          <w:tcPr>
            <w:tcW w:w="1222" w:type="pct"/>
            <w:shd w:val="clear" w:color="auto" w:fill="auto"/>
            <w:vAlign w:val="center"/>
          </w:tcPr>
          <w:p w14:paraId="18DD07CA">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Q=20.0m</w:t>
            </w:r>
            <w:r>
              <w:rPr>
                <w:rFonts w:hint="default" w:ascii="Times New Roman" w:hAnsi="Times New Roman" w:eastAsia="宋体" w:cs="Times New Roman"/>
                <w:i w:val="0"/>
                <w:iCs w:val="0"/>
                <w:color w:val="auto"/>
                <w:kern w:val="0"/>
                <w:sz w:val="13"/>
                <w:szCs w:val="13"/>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/h H=10m P=0.75kW</w:t>
            </w:r>
          </w:p>
        </w:tc>
        <w:tc>
          <w:tcPr>
            <w:tcW w:w="396" w:type="pct"/>
            <w:shd w:val="clear" w:color="auto" w:fill="auto"/>
            <w:vAlign w:val="center"/>
          </w:tcPr>
          <w:p w14:paraId="65631672">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68E5CC08">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3436F086">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19804A90">
            <w:pPr>
              <w:jc w:val="left"/>
              <w:rPr>
                <w:rFonts w:hint="default" w:ascii="Times New Roman" w:hAnsi="Times New Roman" w:cs="Times New Roman"/>
                <w:i w:val="0"/>
                <w:iCs w:val="0"/>
                <w:color w:val="auto"/>
                <w:sz w:val="21"/>
                <w:szCs w:val="21"/>
                <w:highlight w:val="none"/>
                <w:u w:val="none"/>
              </w:rPr>
            </w:pPr>
          </w:p>
        </w:tc>
      </w:tr>
      <w:tr w14:paraId="03A1F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6AA0A3C7">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1140" w:type="pct"/>
            <w:shd w:val="clear" w:color="auto" w:fill="auto"/>
            <w:vAlign w:val="center"/>
          </w:tcPr>
          <w:p w14:paraId="46BECAEC">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计量泵</w:t>
            </w:r>
          </w:p>
        </w:tc>
        <w:tc>
          <w:tcPr>
            <w:tcW w:w="1222" w:type="pct"/>
            <w:shd w:val="clear" w:color="auto" w:fill="auto"/>
            <w:vAlign w:val="center"/>
          </w:tcPr>
          <w:p w14:paraId="61EF24AE">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Q=0.40m</w:t>
            </w:r>
            <w:r>
              <w:rPr>
                <w:rFonts w:hint="default" w:ascii="Times New Roman" w:hAnsi="Times New Roman" w:eastAsia="宋体" w:cs="Times New Roman"/>
                <w:i w:val="0"/>
                <w:iCs w:val="0"/>
                <w:color w:val="auto"/>
                <w:kern w:val="0"/>
                <w:sz w:val="13"/>
                <w:szCs w:val="13"/>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//h H=30m P=0.37kW</w:t>
            </w:r>
          </w:p>
        </w:tc>
        <w:tc>
          <w:tcPr>
            <w:tcW w:w="396" w:type="pct"/>
            <w:shd w:val="clear" w:color="auto" w:fill="auto"/>
            <w:vAlign w:val="center"/>
          </w:tcPr>
          <w:p w14:paraId="4FD66ECE">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4C8DDFC7">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75057071">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1321" w:type="pct"/>
            <w:shd w:val="clear" w:color="auto" w:fill="auto"/>
            <w:vAlign w:val="center"/>
          </w:tcPr>
          <w:p w14:paraId="4C17F1A8">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备，变频控制</w:t>
            </w:r>
          </w:p>
        </w:tc>
      </w:tr>
      <w:tr w14:paraId="4E344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0F0DF46C">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w:t>
            </w:r>
          </w:p>
        </w:tc>
        <w:tc>
          <w:tcPr>
            <w:tcW w:w="1140" w:type="pct"/>
            <w:shd w:val="clear" w:color="auto" w:fill="auto"/>
            <w:vAlign w:val="center"/>
          </w:tcPr>
          <w:p w14:paraId="4D4B05B3">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乙酸钠储罐</w:t>
            </w:r>
          </w:p>
        </w:tc>
        <w:tc>
          <w:tcPr>
            <w:tcW w:w="1222" w:type="pct"/>
            <w:shd w:val="clear" w:color="auto" w:fill="auto"/>
            <w:vAlign w:val="center"/>
          </w:tcPr>
          <w:p w14:paraId="5487224B">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V=50m3</w:t>
            </w:r>
          </w:p>
        </w:tc>
        <w:tc>
          <w:tcPr>
            <w:tcW w:w="396" w:type="pct"/>
            <w:shd w:val="clear" w:color="auto" w:fill="auto"/>
            <w:vAlign w:val="center"/>
          </w:tcPr>
          <w:p w14:paraId="4665AD40">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059F4917">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4DC640CB">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7273ED9E">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碳钢衬玻璃钢</w:t>
            </w:r>
          </w:p>
        </w:tc>
      </w:tr>
      <w:tr w14:paraId="57B94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4D15EFC8">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1140" w:type="pct"/>
            <w:shd w:val="clear" w:color="auto" w:fill="auto"/>
            <w:vAlign w:val="center"/>
          </w:tcPr>
          <w:p w14:paraId="0FB55133">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乙酸钠卸料泵</w:t>
            </w:r>
          </w:p>
        </w:tc>
        <w:tc>
          <w:tcPr>
            <w:tcW w:w="1222" w:type="pct"/>
            <w:shd w:val="clear" w:color="auto" w:fill="auto"/>
            <w:vAlign w:val="center"/>
          </w:tcPr>
          <w:p w14:paraId="27485509">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Q=20.0m</w:t>
            </w:r>
            <w:r>
              <w:rPr>
                <w:rFonts w:hint="default" w:ascii="Times New Roman" w:hAnsi="Times New Roman" w:eastAsia="宋体" w:cs="Times New Roman"/>
                <w:i w:val="0"/>
                <w:iCs w:val="0"/>
                <w:color w:val="auto"/>
                <w:kern w:val="0"/>
                <w:sz w:val="13"/>
                <w:szCs w:val="13"/>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/h H=10m P=0.75kW</w:t>
            </w:r>
          </w:p>
        </w:tc>
        <w:tc>
          <w:tcPr>
            <w:tcW w:w="396" w:type="pct"/>
            <w:shd w:val="clear" w:color="auto" w:fill="auto"/>
            <w:vAlign w:val="center"/>
          </w:tcPr>
          <w:p w14:paraId="1BA5E20D">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0B42E0D3">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29162C40">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22EF7D57">
            <w:pPr>
              <w:jc w:val="left"/>
              <w:rPr>
                <w:rFonts w:hint="default" w:ascii="Times New Roman" w:hAnsi="Times New Roman" w:cs="Times New Roman"/>
                <w:i w:val="0"/>
                <w:iCs w:val="0"/>
                <w:color w:val="auto"/>
                <w:sz w:val="21"/>
                <w:szCs w:val="21"/>
                <w:highlight w:val="none"/>
                <w:u w:val="none"/>
              </w:rPr>
            </w:pPr>
          </w:p>
        </w:tc>
      </w:tr>
      <w:tr w14:paraId="7251B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5000" w:type="pct"/>
            <w:gridSpan w:val="7"/>
            <w:shd w:val="clear" w:color="auto" w:fill="auto"/>
            <w:vAlign w:val="center"/>
          </w:tcPr>
          <w:p w14:paraId="6D0081CF">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10.</w:t>
            </w:r>
            <w:r>
              <w:rPr>
                <w:rFonts w:hint="eastAsia" w:ascii="楷体" w:hAnsi="楷体" w:eastAsia="楷体" w:cs="楷体"/>
                <w:b/>
                <w:bCs/>
                <w:i w:val="0"/>
                <w:iCs w:val="0"/>
                <w:color w:val="auto"/>
                <w:kern w:val="0"/>
                <w:sz w:val="21"/>
                <w:szCs w:val="21"/>
                <w:highlight w:val="none"/>
                <w:u w:val="none"/>
                <w:lang w:val="en-US" w:eastAsia="zh-CN" w:bidi="ar"/>
              </w:rPr>
              <w:t>污泥脱水系统</w:t>
            </w:r>
          </w:p>
        </w:tc>
      </w:tr>
      <w:tr w14:paraId="37DFE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32CBCA16">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140" w:type="pct"/>
            <w:shd w:val="clear" w:color="auto" w:fill="auto"/>
            <w:vAlign w:val="center"/>
          </w:tcPr>
          <w:p w14:paraId="62498F51">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中心传动浓缩机</w:t>
            </w:r>
          </w:p>
        </w:tc>
        <w:tc>
          <w:tcPr>
            <w:tcW w:w="1222" w:type="pct"/>
            <w:shd w:val="clear" w:color="auto" w:fill="auto"/>
            <w:vAlign w:val="center"/>
          </w:tcPr>
          <w:p w14:paraId="6CD54E07">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14m</w:t>
            </w:r>
            <w:r>
              <w:rPr>
                <w:rFonts w:hint="eastAsia" w:ascii="楷体" w:hAnsi="楷体" w:eastAsia="楷体" w:cs="楷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5.5Kw</w:t>
            </w:r>
          </w:p>
        </w:tc>
        <w:tc>
          <w:tcPr>
            <w:tcW w:w="396" w:type="pct"/>
            <w:shd w:val="clear" w:color="auto" w:fill="auto"/>
            <w:vAlign w:val="center"/>
          </w:tcPr>
          <w:p w14:paraId="2D27516B">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075617D6">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49C680F5">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7B2A0988">
            <w:pPr>
              <w:jc w:val="left"/>
              <w:rPr>
                <w:rFonts w:hint="default" w:ascii="Times New Roman" w:hAnsi="Times New Roman" w:cs="Times New Roman"/>
                <w:i w:val="0"/>
                <w:iCs w:val="0"/>
                <w:color w:val="auto"/>
                <w:sz w:val="21"/>
                <w:szCs w:val="21"/>
                <w:highlight w:val="none"/>
                <w:u w:val="none"/>
              </w:rPr>
            </w:pPr>
          </w:p>
        </w:tc>
      </w:tr>
      <w:tr w14:paraId="7AB23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01D2741F">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140" w:type="pct"/>
            <w:shd w:val="clear" w:color="auto" w:fill="auto"/>
            <w:vAlign w:val="center"/>
          </w:tcPr>
          <w:p w14:paraId="6FE0D748">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立式搅拌器</w:t>
            </w:r>
          </w:p>
        </w:tc>
        <w:tc>
          <w:tcPr>
            <w:tcW w:w="1222" w:type="pct"/>
            <w:shd w:val="clear" w:color="auto" w:fill="auto"/>
            <w:vAlign w:val="center"/>
          </w:tcPr>
          <w:p w14:paraId="06FCB93E">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N=3.0kw</w:t>
            </w:r>
          </w:p>
        </w:tc>
        <w:tc>
          <w:tcPr>
            <w:tcW w:w="396" w:type="pct"/>
            <w:shd w:val="clear" w:color="auto" w:fill="auto"/>
            <w:vAlign w:val="center"/>
          </w:tcPr>
          <w:p w14:paraId="6ABA8385">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3FBA340A">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2FAF26C1">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1C38C2DD">
            <w:pPr>
              <w:jc w:val="left"/>
              <w:rPr>
                <w:rFonts w:hint="default" w:ascii="Times New Roman" w:hAnsi="Times New Roman" w:cs="Times New Roman"/>
                <w:i w:val="0"/>
                <w:iCs w:val="0"/>
                <w:color w:val="auto"/>
                <w:sz w:val="21"/>
                <w:szCs w:val="21"/>
                <w:highlight w:val="none"/>
                <w:u w:val="none"/>
              </w:rPr>
            </w:pPr>
          </w:p>
        </w:tc>
      </w:tr>
      <w:tr w14:paraId="6DC9E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147AC4B5">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1140" w:type="pct"/>
            <w:shd w:val="clear" w:color="auto" w:fill="auto"/>
            <w:vAlign w:val="center"/>
          </w:tcPr>
          <w:p w14:paraId="1B11D44D">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污泥切割机</w:t>
            </w:r>
          </w:p>
        </w:tc>
        <w:tc>
          <w:tcPr>
            <w:tcW w:w="1222" w:type="pct"/>
            <w:shd w:val="clear" w:color="auto" w:fill="auto"/>
            <w:vAlign w:val="center"/>
          </w:tcPr>
          <w:p w14:paraId="1FCF9E47">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Q=20-60m</w:t>
            </w:r>
            <w:r>
              <w:rPr>
                <w:rFonts w:hint="default" w:ascii="Times New Roman" w:hAnsi="Times New Roman" w:eastAsia="宋体" w:cs="Times New Roman"/>
                <w:i w:val="0"/>
                <w:iCs w:val="0"/>
                <w:color w:val="auto"/>
                <w:kern w:val="0"/>
                <w:sz w:val="13"/>
                <w:szCs w:val="13"/>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/h N=1.5kW</w:t>
            </w:r>
          </w:p>
        </w:tc>
        <w:tc>
          <w:tcPr>
            <w:tcW w:w="396" w:type="pct"/>
            <w:shd w:val="clear" w:color="auto" w:fill="auto"/>
            <w:vAlign w:val="center"/>
          </w:tcPr>
          <w:p w14:paraId="6DF86EB2">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0081AE43">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35F3320F">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4D61FEBD">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备</w:t>
            </w:r>
          </w:p>
        </w:tc>
      </w:tr>
      <w:tr w14:paraId="5D732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51AE9E88">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140" w:type="pct"/>
            <w:shd w:val="clear" w:color="auto" w:fill="auto"/>
            <w:vAlign w:val="center"/>
          </w:tcPr>
          <w:p w14:paraId="07BC8F2B">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污泥进料泵</w:t>
            </w:r>
          </w:p>
        </w:tc>
        <w:tc>
          <w:tcPr>
            <w:tcW w:w="1222" w:type="pct"/>
            <w:shd w:val="clear" w:color="auto" w:fill="auto"/>
            <w:vAlign w:val="center"/>
          </w:tcPr>
          <w:p w14:paraId="47A3D083">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Q=20-45m</w:t>
            </w:r>
            <w:r>
              <w:rPr>
                <w:rFonts w:hint="default" w:ascii="Times New Roman" w:hAnsi="Times New Roman" w:eastAsia="宋体" w:cs="Times New Roman"/>
                <w:i w:val="0"/>
                <w:iCs w:val="0"/>
                <w:color w:val="auto"/>
                <w:kern w:val="0"/>
                <w:sz w:val="13"/>
                <w:szCs w:val="13"/>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/hN=11kW P=0.3MPa</w:t>
            </w:r>
          </w:p>
        </w:tc>
        <w:tc>
          <w:tcPr>
            <w:tcW w:w="396" w:type="pct"/>
            <w:shd w:val="clear" w:color="auto" w:fill="auto"/>
            <w:vAlign w:val="center"/>
          </w:tcPr>
          <w:p w14:paraId="11188344">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4422A32B">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1779DA1E">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231C5BCE">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备，变频</w:t>
            </w:r>
          </w:p>
        </w:tc>
      </w:tr>
      <w:tr w14:paraId="12C9D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793FB5CC">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140" w:type="pct"/>
            <w:shd w:val="clear" w:color="auto" w:fill="auto"/>
            <w:vAlign w:val="center"/>
          </w:tcPr>
          <w:p w14:paraId="2FB65C2A">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离心脱水机</w:t>
            </w:r>
          </w:p>
        </w:tc>
        <w:tc>
          <w:tcPr>
            <w:tcW w:w="1222" w:type="pct"/>
            <w:shd w:val="clear" w:color="auto" w:fill="auto"/>
            <w:vAlign w:val="center"/>
          </w:tcPr>
          <w:p w14:paraId="189FC6EC">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Q=35-40m</w:t>
            </w:r>
            <w:r>
              <w:rPr>
                <w:rFonts w:hint="default" w:ascii="Times New Roman" w:hAnsi="Times New Roman" w:eastAsia="宋体" w:cs="Times New Roman"/>
                <w:i w:val="0"/>
                <w:iCs w:val="0"/>
                <w:color w:val="auto"/>
                <w:kern w:val="0"/>
                <w:sz w:val="13"/>
                <w:szCs w:val="13"/>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 xml:space="preserve">/h </w:t>
            </w:r>
            <w:r>
              <w:rPr>
                <w:rFonts w:hint="eastAsia" w:ascii="楷体" w:hAnsi="楷体" w:eastAsia="楷体" w:cs="楷体"/>
                <w:i w:val="0"/>
                <w:iCs w:val="0"/>
                <w:color w:val="auto"/>
                <w:kern w:val="0"/>
                <w:sz w:val="21"/>
                <w:szCs w:val="21"/>
                <w:highlight w:val="none"/>
                <w:u w:val="none"/>
                <w:lang w:val="en-US" w:eastAsia="zh-CN" w:bidi="ar"/>
              </w:rPr>
              <w:t>固体负荷</w:t>
            </w:r>
            <w:r>
              <w:rPr>
                <w:rFonts w:hint="default" w:ascii="Times New Roman" w:hAnsi="Times New Roman" w:eastAsia="宋体" w:cs="Times New Roman"/>
                <w:i w:val="0"/>
                <w:iCs w:val="0"/>
                <w:color w:val="auto"/>
                <w:kern w:val="0"/>
                <w:sz w:val="21"/>
                <w:szCs w:val="21"/>
                <w:highlight w:val="none"/>
                <w:u w:val="none"/>
                <w:lang w:val="en-US" w:eastAsia="zh-CN" w:bidi="ar"/>
              </w:rPr>
              <w:t>800kg/h N=37+11kW</w:t>
            </w:r>
          </w:p>
        </w:tc>
        <w:tc>
          <w:tcPr>
            <w:tcW w:w="396" w:type="pct"/>
            <w:shd w:val="clear" w:color="auto" w:fill="auto"/>
            <w:vAlign w:val="center"/>
          </w:tcPr>
          <w:p w14:paraId="0D106C78">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02C7B392">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11EE1E6C">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3B1CBB6F">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备，变频，包括配套液相槽及阀门</w:t>
            </w:r>
          </w:p>
        </w:tc>
      </w:tr>
      <w:tr w14:paraId="7851F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3249E783">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1140" w:type="pct"/>
            <w:shd w:val="clear" w:color="auto" w:fill="auto"/>
            <w:vAlign w:val="center"/>
          </w:tcPr>
          <w:p w14:paraId="163B2E52">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出泥口电动刀闸阀</w:t>
            </w:r>
          </w:p>
        </w:tc>
        <w:tc>
          <w:tcPr>
            <w:tcW w:w="1222" w:type="pct"/>
            <w:shd w:val="clear" w:color="auto" w:fill="auto"/>
            <w:vAlign w:val="center"/>
          </w:tcPr>
          <w:p w14:paraId="7CC80E05">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660*400N=0.15kW</w:t>
            </w:r>
          </w:p>
        </w:tc>
        <w:tc>
          <w:tcPr>
            <w:tcW w:w="396" w:type="pct"/>
            <w:shd w:val="clear" w:color="auto" w:fill="auto"/>
            <w:vAlign w:val="center"/>
          </w:tcPr>
          <w:p w14:paraId="08706496">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1AFF828D">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124587D3">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0BCA987F">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与离心脱水机出泥口配套</w:t>
            </w:r>
          </w:p>
        </w:tc>
      </w:tr>
      <w:tr w14:paraId="6051A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7F6ED8B8">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1140" w:type="pct"/>
            <w:shd w:val="clear" w:color="auto" w:fill="auto"/>
            <w:vAlign w:val="center"/>
          </w:tcPr>
          <w:p w14:paraId="0C62DF3F">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储水箱</w:t>
            </w:r>
          </w:p>
        </w:tc>
        <w:tc>
          <w:tcPr>
            <w:tcW w:w="1222" w:type="pct"/>
            <w:shd w:val="clear" w:color="auto" w:fill="auto"/>
            <w:vAlign w:val="center"/>
          </w:tcPr>
          <w:p w14:paraId="50A58002">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V=3m</w:t>
            </w:r>
            <w:r>
              <w:rPr>
                <w:rFonts w:hint="eastAsia" w:ascii="Times New Roman" w:hAnsi="Times New Roman" w:eastAsia="宋体" w:cs="Times New Roman"/>
                <w:i w:val="0"/>
                <w:iCs w:val="0"/>
                <w:color w:val="auto"/>
                <w:kern w:val="0"/>
                <w:sz w:val="21"/>
                <w:szCs w:val="21"/>
                <w:highlight w:val="none"/>
                <w:u w:val="none"/>
                <w:lang w:val="en-US" w:eastAsia="zh-CN" w:bidi="ar"/>
              </w:rPr>
              <w:t xml:space="preserve">  </w:t>
            </w:r>
            <w:r>
              <w:rPr>
                <w:rFonts w:hint="default" w:ascii="Times New Roman" w:hAnsi="Times New Roman" w:eastAsia="宋体" w:cs="Times New Roman"/>
                <w:i w:val="0"/>
                <w:iCs w:val="0"/>
                <w:color w:val="auto"/>
                <w:kern w:val="0"/>
                <w:sz w:val="21"/>
                <w:szCs w:val="21"/>
                <w:highlight w:val="none"/>
                <w:u w:val="none"/>
                <w:lang w:val="en-US" w:eastAsia="zh-CN" w:bidi="ar"/>
              </w:rPr>
              <w:t>3DxH=1.6x2.05m</w:t>
            </w:r>
          </w:p>
        </w:tc>
        <w:tc>
          <w:tcPr>
            <w:tcW w:w="396" w:type="pct"/>
            <w:shd w:val="clear" w:color="auto" w:fill="auto"/>
            <w:vAlign w:val="center"/>
          </w:tcPr>
          <w:p w14:paraId="74A664F2">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07DFF4E9">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7FD5F2F9">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11</w:t>
            </w:r>
          </w:p>
        </w:tc>
        <w:tc>
          <w:tcPr>
            <w:tcW w:w="1321" w:type="pct"/>
            <w:shd w:val="clear" w:color="auto" w:fill="auto"/>
            <w:vAlign w:val="center"/>
          </w:tcPr>
          <w:p w14:paraId="3B6821DC">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包括配套阀门</w:t>
            </w:r>
          </w:p>
        </w:tc>
      </w:tr>
      <w:tr w14:paraId="14B32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5F509E3F">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1140" w:type="pct"/>
            <w:shd w:val="clear" w:color="auto" w:fill="auto"/>
            <w:vAlign w:val="center"/>
          </w:tcPr>
          <w:p w14:paraId="09F6C391">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冲洗泵</w:t>
            </w:r>
          </w:p>
        </w:tc>
        <w:tc>
          <w:tcPr>
            <w:tcW w:w="1222" w:type="pct"/>
            <w:shd w:val="clear" w:color="auto" w:fill="auto"/>
            <w:vAlign w:val="center"/>
          </w:tcPr>
          <w:p w14:paraId="25002745">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Q=10-20m</w:t>
            </w:r>
            <w:r>
              <w:rPr>
                <w:rFonts w:hint="default" w:ascii="Times New Roman" w:hAnsi="Times New Roman" w:eastAsia="宋体" w:cs="Times New Roman"/>
                <w:i w:val="0"/>
                <w:iCs w:val="0"/>
                <w:color w:val="auto"/>
                <w:kern w:val="0"/>
                <w:sz w:val="13"/>
                <w:szCs w:val="13"/>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/hN=4kW P=0.3MPa</w:t>
            </w:r>
          </w:p>
        </w:tc>
        <w:tc>
          <w:tcPr>
            <w:tcW w:w="396" w:type="pct"/>
            <w:shd w:val="clear" w:color="auto" w:fill="auto"/>
            <w:vAlign w:val="center"/>
          </w:tcPr>
          <w:p w14:paraId="5685D268">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60BEEA5E">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3F13101B">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224DA3A8">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冷备，变频</w:t>
            </w:r>
          </w:p>
        </w:tc>
      </w:tr>
      <w:tr w14:paraId="16989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09993F99">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w:t>
            </w:r>
          </w:p>
        </w:tc>
        <w:tc>
          <w:tcPr>
            <w:tcW w:w="1140" w:type="pct"/>
            <w:shd w:val="clear" w:color="auto" w:fill="auto"/>
            <w:vAlign w:val="center"/>
          </w:tcPr>
          <w:p w14:paraId="1F92FB84">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絮凝剂制备装置</w:t>
            </w:r>
          </w:p>
        </w:tc>
        <w:tc>
          <w:tcPr>
            <w:tcW w:w="1222" w:type="pct"/>
            <w:shd w:val="clear" w:color="auto" w:fill="auto"/>
            <w:vAlign w:val="center"/>
          </w:tcPr>
          <w:p w14:paraId="246AE731">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制药能力</w:t>
            </w:r>
            <w:r>
              <w:rPr>
                <w:rFonts w:hint="default" w:ascii="Times New Roman" w:hAnsi="Times New Roman" w:eastAsia="楷体" w:cs="Times New Roman"/>
                <w:i w:val="0"/>
                <w:iCs w:val="0"/>
                <w:color w:val="auto"/>
                <w:kern w:val="0"/>
                <w:sz w:val="21"/>
                <w:szCs w:val="21"/>
                <w:highlight w:val="none"/>
                <w:u w:val="none"/>
                <w:lang w:val="en-US" w:eastAsia="zh-CN" w:bidi="ar"/>
              </w:rPr>
              <w:t xml:space="preserve"> 6000L/h N=1.5+2x0.55kW</w:t>
            </w:r>
          </w:p>
        </w:tc>
        <w:tc>
          <w:tcPr>
            <w:tcW w:w="396" w:type="pct"/>
            <w:shd w:val="clear" w:color="auto" w:fill="auto"/>
            <w:vAlign w:val="center"/>
          </w:tcPr>
          <w:p w14:paraId="54E6429D">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074B21EC">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1566FB2B">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0F92BEFB">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含自动进料器等附件</w:t>
            </w:r>
          </w:p>
        </w:tc>
      </w:tr>
      <w:tr w14:paraId="4F11D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2CDFCD42">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1140" w:type="pct"/>
            <w:shd w:val="clear" w:color="auto" w:fill="auto"/>
            <w:vAlign w:val="center"/>
          </w:tcPr>
          <w:p w14:paraId="5B3A79C4">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加药螺杆泵</w:t>
            </w:r>
          </w:p>
        </w:tc>
        <w:tc>
          <w:tcPr>
            <w:tcW w:w="1222" w:type="pct"/>
            <w:shd w:val="clear" w:color="auto" w:fill="auto"/>
            <w:vAlign w:val="center"/>
          </w:tcPr>
          <w:p w14:paraId="1D6CC868">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Q=0.4-3.0m</w:t>
            </w:r>
            <w:r>
              <w:rPr>
                <w:rFonts w:hint="default" w:ascii="Times New Roman" w:hAnsi="Times New Roman" w:eastAsia="宋体" w:cs="Times New Roman"/>
                <w:i w:val="0"/>
                <w:iCs w:val="0"/>
                <w:color w:val="auto"/>
                <w:kern w:val="0"/>
                <w:sz w:val="13"/>
                <w:szCs w:val="13"/>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/h</w:t>
            </w:r>
            <w:r>
              <w:rPr>
                <w:rFonts w:hint="eastAsia" w:ascii="Times New Roman" w:hAnsi="Times New Roman" w:eastAsia="宋体" w:cs="Times New Roman"/>
                <w:i w:val="0"/>
                <w:iCs w:val="0"/>
                <w:color w:val="auto"/>
                <w:kern w:val="0"/>
                <w:sz w:val="21"/>
                <w:szCs w:val="21"/>
                <w:highlight w:val="none"/>
                <w:u w:val="none"/>
                <w:lang w:val="en-US" w:eastAsia="zh-CN" w:bidi="ar"/>
              </w:rPr>
              <w:t xml:space="preserve"> </w:t>
            </w:r>
            <w:r>
              <w:rPr>
                <w:rFonts w:hint="default" w:ascii="Times New Roman" w:hAnsi="Times New Roman" w:eastAsia="宋体" w:cs="Times New Roman"/>
                <w:i w:val="0"/>
                <w:iCs w:val="0"/>
                <w:color w:val="auto"/>
                <w:kern w:val="0"/>
                <w:sz w:val="21"/>
                <w:szCs w:val="21"/>
                <w:highlight w:val="none"/>
                <w:u w:val="none"/>
                <w:lang w:val="en-US" w:eastAsia="zh-CN" w:bidi="ar"/>
              </w:rPr>
              <w:t>P=0.3MPa N=1.5kW</w:t>
            </w:r>
          </w:p>
        </w:tc>
        <w:tc>
          <w:tcPr>
            <w:tcW w:w="396" w:type="pct"/>
            <w:shd w:val="clear" w:color="auto" w:fill="auto"/>
            <w:vAlign w:val="center"/>
          </w:tcPr>
          <w:p w14:paraId="136FACCA">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0E86CA1B">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11E50B07">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22</w:t>
            </w:r>
          </w:p>
        </w:tc>
        <w:tc>
          <w:tcPr>
            <w:tcW w:w="1321" w:type="pct"/>
            <w:shd w:val="clear" w:color="auto" w:fill="auto"/>
            <w:vAlign w:val="center"/>
          </w:tcPr>
          <w:p w14:paraId="39ADB097">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备，变频</w:t>
            </w:r>
          </w:p>
        </w:tc>
      </w:tr>
      <w:tr w14:paraId="602CA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5FAE6E44">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11</w:t>
            </w:r>
          </w:p>
        </w:tc>
        <w:tc>
          <w:tcPr>
            <w:tcW w:w="1140" w:type="pct"/>
            <w:shd w:val="clear" w:color="auto" w:fill="auto"/>
            <w:vAlign w:val="center"/>
          </w:tcPr>
          <w:p w14:paraId="5EDC3E31">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絮凝剂稀释装置</w:t>
            </w:r>
          </w:p>
        </w:tc>
        <w:tc>
          <w:tcPr>
            <w:tcW w:w="1222" w:type="pct"/>
            <w:shd w:val="clear" w:color="auto" w:fill="auto"/>
            <w:vAlign w:val="center"/>
          </w:tcPr>
          <w:p w14:paraId="6C56FB9B">
            <w:pPr>
              <w:jc w:val="left"/>
              <w:rPr>
                <w:rFonts w:hint="default" w:ascii="Times New Roman" w:hAnsi="Times New Roman" w:cs="Times New Roman"/>
                <w:i w:val="0"/>
                <w:iCs w:val="0"/>
                <w:color w:val="auto"/>
                <w:sz w:val="21"/>
                <w:szCs w:val="21"/>
                <w:highlight w:val="none"/>
                <w:u w:val="none"/>
              </w:rPr>
            </w:pPr>
          </w:p>
        </w:tc>
        <w:tc>
          <w:tcPr>
            <w:tcW w:w="396" w:type="pct"/>
            <w:shd w:val="clear" w:color="auto" w:fill="auto"/>
            <w:vAlign w:val="center"/>
          </w:tcPr>
          <w:p w14:paraId="65C9749B">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5B4FF7B2">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3B564F0F">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22</w:t>
            </w:r>
          </w:p>
        </w:tc>
        <w:tc>
          <w:tcPr>
            <w:tcW w:w="1321" w:type="pct"/>
            <w:shd w:val="clear" w:color="auto" w:fill="auto"/>
            <w:vAlign w:val="center"/>
          </w:tcPr>
          <w:p w14:paraId="23CB87F6">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备</w:t>
            </w:r>
          </w:p>
        </w:tc>
      </w:tr>
      <w:tr w14:paraId="5748F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5715B7EB">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12</w:t>
            </w:r>
          </w:p>
        </w:tc>
        <w:tc>
          <w:tcPr>
            <w:tcW w:w="1140" w:type="pct"/>
            <w:shd w:val="clear" w:color="auto" w:fill="auto"/>
            <w:vAlign w:val="center"/>
          </w:tcPr>
          <w:p w14:paraId="51AD07DE">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水平螺旋输送机</w:t>
            </w:r>
          </w:p>
        </w:tc>
        <w:tc>
          <w:tcPr>
            <w:tcW w:w="1222" w:type="pct"/>
            <w:shd w:val="clear" w:color="auto" w:fill="auto"/>
            <w:vAlign w:val="center"/>
          </w:tcPr>
          <w:p w14:paraId="4287D6AC">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WLS400  L=7m N=5.5kW</w:t>
            </w:r>
          </w:p>
        </w:tc>
        <w:tc>
          <w:tcPr>
            <w:tcW w:w="396" w:type="pct"/>
            <w:shd w:val="clear" w:color="auto" w:fill="auto"/>
            <w:vAlign w:val="center"/>
          </w:tcPr>
          <w:p w14:paraId="6701DCC0">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316935AC">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40C57AC2">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11</w:t>
            </w:r>
          </w:p>
        </w:tc>
        <w:tc>
          <w:tcPr>
            <w:tcW w:w="1321" w:type="pct"/>
            <w:shd w:val="clear" w:color="auto" w:fill="auto"/>
            <w:vAlign w:val="center"/>
          </w:tcPr>
          <w:p w14:paraId="0F1DA767">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与离心脱水机配套</w:t>
            </w:r>
          </w:p>
        </w:tc>
      </w:tr>
      <w:tr w14:paraId="0A1DC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6AA2BDD3">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13</w:t>
            </w:r>
          </w:p>
        </w:tc>
        <w:tc>
          <w:tcPr>
            <w:tcW w:w="1140" w:type="pct"/>
            <w:shd w:val="clear" w:color="auto" w:fill="auto"/>
            <w:vAlign w:val="center"/>
          </w:tcPr>
          <w:p w14:paraId="3D26525C">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干泥输送泵</w:t>
            </w:r>
          </w:p>
        </w:tc>
        <w:tc>
          <w:tcPr>
            <w:tcW w:w="1222" w:type="pct"/>
            <w:shd w:val="clear" w:color="auto" w:fill="auto"/>
            <w:vAlign w:val="center"/>
          </w:tcPr>
          <w:p w14:paraId="72A1C5AF">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Q=3-8m</w:t>
            </w:r>
            <w:r>
              <w:rPr>
                <w:rFonts w:hint="default" w:ascii="Times New Roman" w:hAnsi="Times New Roman" w:eastAsia="宋体" w:cs="Times New Roman"/>
                <w:i w:val="0"/>
                <w:iCs w:val="0"/>
                <w:color w:val="auto"/>
                <w:kern w:val="0"/>
                <w:sz w:val="13"/>
                <w:szCs w:val="13"/>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/h N=22kW P=16bar</w:t>
            </w:r>
          </w:p>
        </w:tc>
        <w:tc>
          <w:tcPr>
            <w:tcW w:w="396" w:type="pct"/>
            <w:shd w:val="clear" w:color="auto" w:fill="auto"/>
            <w:vAlign w:val="center"/>
          </w:tcPr>
          <w:p w14:paraId="4F02EBFD">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5774C5C4">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台</w:t>
            </w:r>
          </w:p>
        </w:tc>
        <w:tc>
          <w:tcPr>
            <w:tcW w:w="296" w:type="pct"/>
            <w:shd w:val="clear" w:color="auto" w:fill="auto"/>
            <w:vAlign w:val="center"/>
          </w:tcPr>
          <w:p w14:paraId="56C80C9D">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321" w:type="pct"/>
            <w:shd w:val="clear" w:color="auto" w:fill="auto"/>
            <w:vAlign w:val="center"/>
          </w:tcPr>
          <w:p w14:paraId="0A3DC6F2">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用</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楷体" w:hAnsi="楷体" w:eastAsia="楷体" w:cs="楷体"/>
                <w:i w:val="0"/>
                <w:iCs w:val="0"/>
                <w:color w:val="auto"/>
                <w:kern w:val="0"/>
                <w:sz w:val="21"/>
                <w:szCs w:val="21"/>
                <w:highlight w:val="none"/>
                <w:u w:val="none"/>
                <w:lang w:val="en-US" w:eastAsia="zh-CN" w:bidi="ar"/>
              </w:rPr>
              <w:t>备，含缓冲料斗及破拱装置</w:t>
            </w:r>
          </w:p>
        </w:tc>
      </w:tr>
      <w:tr w14:paraId="57F01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10" w:type="pct"/>
            <w:shd w:val="clear" w:color="auto" w:fill="auto"/>
            <w:vAlign w:val="center"/>
          </w:tcPr>
          <w:p w14:paraId="78CE5427">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14</w:t>
            </w:r>
          </w:p>
        </w:tc>
        <w:tc>
          <w:tcPr>
            <w:tcW w:w="1140" w:type="pct"/>
            <w:shd w:val="clear" w:color="auto" w:fill="auto"/>
            <w:vAlign w:val="center"/>
          </w:tcPr>
          <w:p w14:paraId="16A25532">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污泥料仓</w:t>
            </w:r>
          </w:p>
        </w:tc>
        <w:tc>
          <w:tcPr>
            <w:tcW w:w="1222" w:type="pct"/>
            <w:shd w:val="clear" w:color="auto" w:fill="auto"/>
            <w:vAlign w:val="center"/>
          </w:tcPr>
          <w:p w14:paraId="513B92BC">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V=50m</w:t>
            </w:r>
            <w:r>
              <w:rPr>
                <w:rFonts w:hint="default" w:ascii="Times New Roman" w:hAnsi="Times New Roman" w:eastAsia="宋体" w:cs="Times New Roman"/>
                <w:i w:val="0"/>
                <w:iCs w:val="0"/>
                <w:color w:val="auto"/>
                <w:kern w:val="0"/>
                <w:sz w:val="13"/>
                <w:szCs w:val="13"/>
                <w:highlight w:val="none"/>
                <w:u w:val="none"/>
                <w:lang w:val="en-US" w:eastAsia="zh-CN" w:bidi="ar"/>
              </w:rPr>
              <w:t>3</w:t>
            </w:r>
            <w:r>
              <w:rPr>
                <w:rFonts w:hint="eastAsia" w:ascii="Times New Roman" w:hAnsi="Times New Roman" w:eastAsia="宋体" w:cs="Times New Roman"/>
                <w:i w:val="0"/>
                <w:iCs w:val="0"/>
                <w:color w:val="auto"/>
                <w:kern w:val="0"/>
                <w:sz w:val="13"/>
                <w:szCs w:val="13"/>
                <w:highlight w:val="none"/>
                <w:u w:val="none"/>
                <w:lang w:val="en-US" w:eastAsia="zh-CN" w:bidi="ar"/>
              </w:rPr>
              <w:t xml:space="preserve"> </w:t>
            </w:r>
            <w:r>
              <w:rPr>
                <w:rFonts w:hint="default" w:ascii="Times New Roman" w:hAnsi="Times New Roman" w:eastAsia="宋体" w:cs="Times New Roman"/>
                <w:i w:val="0"/>
                <w:iCs w:val="0"/>
                <w:color w:val="auto"/>
                <w:kern w:val="0"/>
                <w:sz w:val="21"/>
                <w:szCs w:val="21"/>
                <w:highlight w:val="none"/>
                <w:u w:val="none"/>
                <w:lang w:val="en-US" w:eastAsia="zh-CN" w:bidi="ar"/>
              </w:rPr>
              <w:t>L*B*H=4*4*10</w:t>
            </w:r>
            <w:r>
              <w:rPr>
                <w:rFonts w:hint="eastAsia" w:ascii="楷体" w:hAnsi="楷体" w:eastAsia="楷体" w:cs="楷体"/>
                <w:i w:val="0"/>
                <w:iCs w:val="0"/>
                <w:color w:val="auto"/>
                <w:kern w:val="0"/>
                <w:sz w:val="21"/>
                <w:szCs w:val="21"/>
                <w:highlight w:val="none"/>
                <w:u w:val="none"/>
                <w:lang w:val="en-US" w:eastAsia="zh-CN" w:bidi="ar"/>
              </w:rPr>
              <w:t>（有效</w:t>
            </w:r>
            <w:r>
              <w:rPr>
                <w:rFonts w:hint="default" w:ascii="Times New Roman" w:hAnsi="Times New Roman" w:eastAsia="宋体" w:cs="Times New Roman"/>
                <w:i w:val="0"/>
                <w:iCs w:val="0"/>
                <w:color w:val="auto"/>
                <w:kern w:val="0"/>
                <w:sz w:val="21"/>
                <w:szCs w:val="21"/>
                <w:highlight w:val="none"/>
                <w:u w:val="none"/>
                <w:lang w:val="en-US" w:eastAsia="zh-CN" w:bidi="ar"/>
              </w:rPr>
              <w:t>3.5m</w:t>
            </w:r>
            <w:r>
              <w:rPr>
                <w:rFonts w:hint="eastAsia" w:ascii="楷体" w:hAnsi="楷体" w:eastAsia="楷体" w:cs="楷体"/>
                <w:i w:val="0"/>
                <w:iCs w:val="0"/>
                <w:color w:val="auto"/>
                <w:kern w:val="0"/>
                <w:sz w:val="21"/>
                <w:szCs w:val="21"/>
                <w:highlight w:val="none"/>
                <w:u w:val="none"/>
                <w:lang w:val="en-US" w:eastAsia="zh-CN" w:bidi="ar"/>
              </w:rPr>
              <w:t xml:space="preserve">） </w:t>
            </w:r>
            <w:r>
              <w:rPr>
                <w:rFonts w:hint="default" w:ascii="Times New Roman" w:hAnsi="Times New Roman" w:eastAsia="宋体" w:cs="Times New Roman"/>
                <w:i w:val="0"/>
                <w:iCs w:val="0"/>
                <w:color w:val="auto"/>
                <w:kern w:val="0"/>
                <w:sz w:val="21"/>
                <w:szCs w:val="21"/>
                <w:highlight w:val="none"/>
                <w:u w:val="none"/>
                <w:lang w:val="en-US" w:eastAsia="zh-CN" w:bidi="ar"/>
              </w:rPr>
              <w:t>N=4+3kW</w:t>
            </w:r>
          </w:p>
        </w:tc>
        <w:tc>
          <w:tcPr>
            <w:tcW w:w="396" w:type="pct"/>
            <w:shd w:val="clear" w:color="auto" w:fill="auto"/>
            <w:vAlign w:val="center"/>
          </w:tcPr>
          <w:p w14:paraId="212DDFFE">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399BA704">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4D6280DF">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vAlign w:val="center"/>
          </w:tcPr>
          <w:p w14:paraId="67BAF559">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含液压滑架，液压包、操作平台及其它相关配套设备。</w:t>
            </w:r>
          </w:p>
        </w:tc>
      </w:tr>
      <w:tr w14:paraId="442C8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shd w:val="clear" w:color="auto" w:fill="auto"/>
            <w:vAlign w:val="center"/>
          </w:tcPr>
          <w:p w14:paraId="1B00F5FE">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1140" w:type="pct"/>
            <w:shd w:val="clear" w:color="auto" w:fill="auto"/>
            <w:vAlign w:val="center"/>
          </w:tcPr>
          <w:p w14:paraId="53E7A9E0">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电动单梁悬挂起重机</w:t>
            </w:r>
          </w:p>
        </w:tc>
        <w:tc>
          <w:tcPr>
            <w:tcW w:w="1222" w:type="pct"/>
            <w:shd w:val="clear" w:color="auto" w:fill="auto"/>
            <w:vAlign w:val="center"/>
          </w:tcPr>
          <w:p w14:paraId="5BA63C70">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T=5</w:t>
            </w:r>
            <w:r>
              <w:rPr>
                <w:rFonts w:hint="eastAsia" w:ascii="楷体" w:hAnsi="楷体" w:eastAsia="楷体" w:cs="楷体"/>
                <w:i w:val="0"/>
                <w:iCs w:val="0"/>
                <w:color w:val="auto"/>
                <w:kern w:val="0"/>
                <w:sz w:val="21"/>
                <w:szCs w:val="21"/>
                <w:highlight w:val="none"/>
                <w:u w:val="none"/>
                <w:lang w:val="en-US" w:eastAsia="zh-CN" w:bidi="ar"/>
              </w:rPr>
              <w:t xml:space="preserve">吨 </w:t>
            </w:r>
            <w:r>
              <w:rPr>
                <w:rFonts w:hint="default" w:ascii="Times New Roman" w:hAnsi="Times New Roman" w:eastAsia="宋体" w:cs="Times New Roman"/>
                <w:i w:val="0"/>
                <w:iCs w:val="0"/>
                <w:color w:val="auto"/>
                <w:kern w:val="0"/>
                <w:sz w:val="21"/>
                <w:szCs w:val="21"/>
                <w:highlight w:val="none"/>
                <w:u w:val="none"/>
                <w:lang w:val="en-US" w:eastAsia="zh-CN" w:bidi="ar"/>
              </w:rPr>
              <w:t>N=7.5+2x0.8kW Lk=8m</w:t>
            </w:r>
          </w:p>
        </w:tc>
        <w:tc>
          <w:tcPr>
            <w:tcW w:w="396" w:type="pct"/>
            <w:shd w:val="clear" w:color="auto" w:fill="auto"/>
            <w:vAlign w:val="center"/>
          </w:tcPr>
          <w:p w14:paraId="0CFED0B2">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成品</w:t>
            </w:r>
          </w:p>
        </w:tc>
        <w:tc>
          <w:tcPr>
            <w:tcW w:w="311" w:type="pct"/>
            <w:shd w:val="clear" w:color="auto" w:fill="auto"/>
            <w:vAlign w:val="center"/>
          </w:tcPr>
          <w:p w14:paraId="5A62C39D">
            <w:pPr>
              <w:keepNext w:val="0"/>
              <w:keepLines w:val="0"/>
              <w:widowControl/>
              <w:suppressLineNumbers w:val="0"/>
              <w:jc w:val="left"/>
              <w:textAlignment w:val="top"/>
              <w:rPr>
                <w:rFonts w:hint="eastAsia" w:ascii="楷体" w:hAnsi="楷体" w:eastAsia="楷体" w:cs="楷体"/>
                <w:i w:val="0"/>
                <w:iCs w:val="0"/>
                <w:color w:val="auto"/>
                <w:sz w:val="21"/>
                <w:szCs w:val="21"/>
                <w:highlight w:val="none"/>
                <w:u w:val="none"/>
              </w:rPr>
            </w:pPr>
            <w:r>
              <w:rPr>
                <w:rFonts w:hint="eastAsia" w:ascii="楷体" w:hAnsi="楷体" w:eastAsia="楷体" w:cs="楷体"/>
                <w:i w:val="0"/>
                <w:iCs w:val="0"/>
                <w:color w:val="auto"/>
                <w:kern w:val="0"/>
                <w:sz w:val="21"/>
                <w:szCs w:val="21"/>
                <w:highlight w:val="none"/>
                <w:u w:val="none"/>
                <w:lang w:val="en-US" w:eastAsia="zh-CN" w:bidi="ar"/>
              </w:rPr>
              <w:t>套</w:t>
            </w:r>
          </w:p>
        </w:tc>
        <w:tc>
          <w:tcPr>
            <w:tcW w:w="296" w:type="pct"/>
            <w:shd w:val="clear" w:color="auto" w:fill="auto"/>
            <w:vAlign w:val="center"/>
          </w:tcPr>
          <w:p w14:paraId="118DC6A8">
            <w:pPr>
              <w:keepNext w:val="0"/>
              <w:keepLines w:val="0"/>
              <w:widowControl/>
              <w:suppressLineNumbers w:val="0"/>
              <w:jc w:val="left"/>
              <w:textAlignment w:val="top"/>
              <w:rPr>
                <w:rFonts w:hint="default" w:ascii="Times New Roman" w:hAnsi="Times New Roman"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321" w:type="pct"/>
            <w:shd w:val="clear" w:color="auto" w:fill="auto"/>
            <w:noWrap/>
            <w:vAlign w:val="center"/>
          </w:tcPr>
          <w:p w14:paraId="14E16074">
            <w:pPr>
              <w:jc w:val="left"/>
              <w:rPr>
                <w:rFonts w:hint="default" w:ascii="Times New Roman" w:hAnsi="Times New Roman" w:cs="Times New Roman"/>
                <w:i w:val="0"/>
                <w:iCs w:val="0"/>
                <w:color w:val="auto"/>
                <w:sz w:val="22"/>
                <w:szCs w:val="22"/>
                <w:highlight w:val="none"/>
                <w:u w:val="none"/>
              </w:rPr>
            </w:pPr>
          </w:p>
        </w:tc>
      </w:tr>
    </w:tbl>
    <w:p w14:paraId="67378D19">
      <w:pPr>
        <w:spacing w:before="100" w:after="100"/>
        <w:ind w:firstLine="602" w:firstLineChars="200"/>
        <w:outlineLvl w:val="9"/>
        <w:rPr>
          <w:rFonts w:hint="default" w:ascii="Times New Roman" w:hAnsi="Times New Roman" w:eastAsia="楷体" w:cs="Times New Roman"/>
          <w:b/>
          <w:bCs/>
          <w:color w:val="auto"/>
          <w:sz w:val="30"/>
          <w:szCs w:val="30"/>
          <w:highlight w:val="none"/>
          <w:lang w:eastAsia="zh-CN"/>
        </w:rPr>
      </w:pPr>
      <w:bookmarkStart w:id="669" w:name="_Toc17790"/>
      <w:r>
        <w:rPr>
          <w:rFonts w:hint="default" w:ascii="Times New Roman" w:hAnsi="Times New Roman" w:eastAsia="楷体" w:cs="Times New Roman"/>
          <w:b/>
          <w:bCs/>
          <w:color w:val="auto"/>
          <w:sz w:val="30"/>
          <w:szCs w:val="30"/>
          <w:highlight w:val="none"/>
          <w:lang w:eastAsia="zh-CN"/>
        </w:rPr>
        <w:t>（</w:t>
      </w:r>
      <w:r>
        <w:rPr>
          <w:rFonts w:hint="default" w:ascii="Times New Roman" w:hAnsi="Times New Roman" w:eastAsia="楷体" w:cs="Times New Roman"/>
          <w:b/>
          <w:bCs/>
          <w:color w:val="auto"/>
          <w:sz w:val="30"/>
          <w:szCs w:val="30"/>
          <w:highlight w:val="none"/>
          <w:lang w:val="en-US" w:eastAsia="zh-CN"/>
        </w:rPr>
        <w:t>3</w:t>
      </w:r>
      <w:r>
        <w:rPr>
          <w:rFonts w:hint="default" w:ascii="Times New Roman" w:hAnsi="Times New Roman" w:eastAsia="楷体" w:cs="Times New Roman"/>
          <w:b/>
          <w:bCs/>
          <w:color w:val="auto"/>
          <w:sz w:val="30"/>
          <w:szCs w:val="30"/>
          <w:highlight w:val="none"/>
          <w:lang w:eastAsia="zh-CN"/>
        </w:rPr>
        <w:t>）</w:t>
      </w:r>
      <w:r>
        <w:rPr>
          <w:rFonts w:hint="default" w:ascii="Times New Roman" w:hAnsi="Times New Roman" w:eastAsia="楷体" w:cs="Times New Roman"/>
          <w:b/>
          <w:bCs/>
          <w:color w:val="auto"/>
          <w:sz w:val="30"/>
          <w:szCs w:val="30"/>
          <w:highlight w:val="none"/>
        </w:rPr>
        <w:t>交通工具及其他</w:t>
      </w:r>
      <w:r>
        <w:rPr>
          <w:rFonts w:hint="default" w:ascii="Times New Roman" w:hAnsi="Times New Roman" w:eastAsia="楷体" w:cs="Times New Roman"/>
          <w:b/>
          <w:bCs/>
          <w:color w:val="auto"/>
          <w:sz w:val="30"/>
          <w:szCs w:val="30"/>
          <w:highlight w:val="none"/>
          <w:lang w:eastAsia="zh-CN"/>
        </w:rPr>
        <w:t>设备</w:t>
      </w:r>
      <w:bookmarkEnd w:id="669"/>
    </w:p>
    <w:p w14:paraId="6068EAD6">
      <w:pPr>
        <w:spacing w:line="146" w:lineRule="exact"/>
        <w:rPr>
          <w:rFonts w:hint="default" w:ascii="Times New Roman" w:hAnsi="Times New Roman" w:eastAsia="楷体" w:cs="Times New Roman"/>
          <w:color w:val="auto"/>
          <w:highlight w:val="none"/>
        </w:rPr>
      </w:pPr>
    </w:p>
    <w:tbl>
      <w:tblPr>
        <w:tblStyle w:val="240"/>
        <w:tblW w:w="50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999"/>
        <w:gridCol w:w="2709"/>
        <w:gridCol w:w="2770"/>
        <w:gridCol w:w="2742"/>
        <w:gridCol w:w="2751"/>
      </w:tblGrid>
      <w:tr w14:paraId="092FD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073" w:type="pct"/>
            <w:vAlign w:val="center"/>
          </w:tcPr>
          <w:p w14:paraId="485F37CB">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楷体" w:cs="Times New Roman"/>
                <w:b/>
                <w:bCs/>
                <w:color w:val="auto"/>
                <w:sz w:val="21"/>
                <w:szCs w:val="21"/>
                <w:highlight w:val="none"/>
              </w:rPr>
            </w:pPr>
            <w:r>
              <w:rPr>
                <w:rFonts w:hint="default" w:ascii="Times New Roman" w:hAnsi="Times New Roman" w:eastAsia="楷体" w:cs="Times New Roman"/>
                <w:b/>
                <w:bCs/>
                <w:color w:val="auto"/>
                <w:spacing w:val="-5"/>
                <w:sz w:val="21"/>
                <w:szCs w:val="21"/>
                <w:highlight w:val="none"/>
              </w:rPr>
              <w:t>序号</w:t>
            </w:r>
          </w:p>
        </w:tc>
        <w:tc>
          <w:tcPr>
            <w:tcW w:w="969" w:type="pct"/>
            <w:vAlign w:val="center"/>
          </w:tcPr>
          <w:p w14:paraId="5D7BBF69">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楷体" w:cs="Times New Roman"/>
                <w:b/>
                <w:bCs/>
                <w:color w:val="auto"/>
                <w:sz w:val="21"/>
                <w:szCs w:val="21"/>
                <w:highlight w:val="none"/>
              </w:rPr>
            </w:pPr>
            <w:r>
              <w:rPr>
                <w:rFonts w:hint="default" w:ascii="Times New Roman" w:hAnsi="Times New Roman" w:eastAsia="楷体" w:cs="Times New Roman"/>
                <w:b/>
                <w:bCs/>
                <w:color w:val="auto"/>
                <w:spacing w:val="-7"/>
                <w:sz w:val="21"/>
                <w:szCs w:val="21"/>
                <w:highlight w:val="none"/>
              </w:rPr>
              <w:t>名称</w:t>
            </w:r>
          </w:p>
        </w:tc>
        <w:tc>
          <w:tcPr>
            <w:tcW w:w="991" w:type="pct"/>
            <w:vAlign w:val="center"/>
          </w:tcPr>
          <w:p w14:paraId="6978084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楷体" w:cs="Times New Roman"/>
                <w:b/>
                <w:bCs/>
                <w:color w:val="auto"/>
                <w:sz w:val="21"/>
                <w:szCs w:val="21"/>
                <w:highlight w:val="none"/>
              </w:rPr>
            </w:pPr>
            <w:r>
              <w:rPr>
                <w:rFonts w:hint="default" w:ascii="Times New Roman" w:hAnsi="Times New Roman" w:eastAsia="楷体" w:cs="Times New Roman"/>
                <w:b/>
                <w:bCs/>
                <w:color w:val="auto"/>
                <w:spacing w:val="-4"/>
                <w:sz w:val="21"/>
                <w:szCs w:val="21"/>
                <w:highlight w:val="none"/>
              </w:rPr>
              <w:t>规格型号</w:t>
            </w:r>
          </w:p>
        </w:tc>
        <w:tc>
          <w:tcPr>
            <w:tcW w:w="981" w:type="pct"/>
            <w:vAlign w:val="center"/>
          </w:tcPr>
          <w:p w14:paraId="144632FD">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楷体" w:cs="Times New Roman"/>
                <w:b/>
                <w:bCs/>
                <w:color w:val="auto"/>
                <w:sz w:val="21"/>
                <w:szCs w:val="21"/>
                <w:highlight w:val="none"/>
              </w:rPr>
            </w:pPr>
            <w:r>
              <w:rPr>
                <w:rFonts w:hint="default" w:ascii="Times New Roman" w:hAnsi="Times New Roman" w:eastAsia="楷体" w:cs="Times New Roman"/>
                <w:b/>
                <w:bCs/>
                <w:color w:val="auto"/>
                <w:spacing w:val="-6"/>
                <w:sz w:val="21"/>
                <w:szCs w:val="21"/>
                <w:highlight w:val="none"/>
              </w:rPr>
              <w:t>单位</w:t>
            </w:r>
          </w:p>
        </w:tc>
        <w:tc>
          <w:tcPr>
            <w:tcW w:w="984" w:type="pct"/>
            <w:vAlign w:val="center"/>
          </w:tcPr>
          <w:p w14:paraId="628207CE">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楷体" w:cs="Times New Roman"/>
                <w:b/>
                <w:bCs/>
                <w:color w:val="auto"/>
                <w:sz w:val="21"/>
                <w:szCs w:val="21"/>
                <w:highlight w:val="none"/>
              </w:rPr>
            </w:pPr>
            <w:r>
              <w:rPr>
                <w:rFonts w:hint="default" w:ascii="Times New Roman" w:hAnsi="Times New Roman" w:eastAsia="楷体" w:cs="Times New Roman"/>
                <w:b/>
                <w:bCs/>
                <w:color w:val="auto"/>
                <w:spacing w:val="-6"/>
                <w:sz w:val="21"/>
                <w:szCs w:val="21"/>
                <w:highlight w:val="none"/>
              </w:rPr>
              <w:t>数量</w:t>
            </w:r>
          </w:p>
        </w:tc>
      </w:tr>
      <w:tr w14:paraId="6E033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073" w:type="pct"/>
            <w:vAlign w:val="center"/>
          </w:tcPr>
          <w:p w14:paraId="43877C95">
            <w:pPr>
              <w:pStyle w:val="23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4"/>
                <w:position w:val="4"/>
                <w:highlight w:val="none"/>
              </w:rPr>
              <w:t>1</w:t>
            </w:r>
          </w:p>
        </w:tc>
        <w:tc>
          <w:tcPr>
            <w:tcW w:w="969" w:type="pct"/>
            <w:vAlign w:val="center"/>
          </w:tcPr>
          <w:p w14:paraId="437B38E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5"/>
                <w:sz w:val="21"/>
                <w:szCs w:val="21"/>
                <w:highlight w:val="none"/>
              </w:rPr>
              <w:t>公务用车</w:t>
            </w:r>
          </w:p>
        </w:tc>
        <w:tc>
          <w:tcPr>
            <w:tcW w:w="991" w:type="pct"/>
            <w:vAlign w:val="center"/>
          </w:tcPr>
          <w:p w14:paraId="59504045">
            <w:pPr>
              <w:pStyle w:val="23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8"/>
                <w:highlight w:val="none"/>
              </w:rPr>
              <w:t>6人位</w:t>
            </w:r>
          </w:p>
        </w:tc>
        <w:tc>
          <w:tcPr>
            <w:tcW w:w="981" w:type="pct"/>
            <w:vAlign w:val="center"/>
          </w:tcPr>
          <w:p w14:paraId="6E154A0E">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辆</w:t>
            </w:r>
          </w:p>
        </w:tc>
        <w:tc>
          <w:tcPr>
            <w:tcW w:w="984" w:type="pct"/>
            <w:vAlign w:val="center"/>
          </w:tcPr>
          <w:p w14:paraId="2978D0C0">
            <w:pPr>
              <w:pStyle w:val="23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4"/>
                <w:position w:val="4"/>
                <w:highlight w:val="none"/>
              </w:rPr>
              <w:t>1</w:t>
            </w:r>
          </w:p>
        </w:tc>
      </w:tr>
      <w:tr w14:paraId="67746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073" w:type="pct"/>
            <w:vAlign w:val="center"/>
          </w:tcPr>
          <w:p w14:paraId="71A28ECD">
            <w:pPr>
              <w:pStyle w:val="23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position w:val="4"/>
                <w:highlight w:val="none"/>
              </w:rPr>
              <w:t>2</w:t>
            </w:r>
          </w:p>
        </w:tc>
        <w:tc>
          <w:tcPr>
            <w:tcW w:w="969" w:type="pct"/>
            <w:vAlign w:val="center"/>
          </w:tcPr>
          <w:p w14:paraId="60CB6992">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5"/>
                <w:sz w:val="21"/>
                <w:szCs w:val="21"/>
                <w:highlight w:val="none"/>
              </w:rPr>
              <w:t>污泥车</w:t>
            </w:r>
          </w:p>
        </w:tc>
        <w:tc>
          <w:tcPr>
            <w:tcW w:w="991" w:type="pct"/>
            <w:vAlign w:val="center"/>
          </w:tcPr>
          <w:p w14:paraId="231C3598">
            <w:pPr>
              <w:pStyle w:val="23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6"/>
                <w:position w:val="3"/>
                <w:highlight w:val="none"/>
              </w:rPr>
              <w:t>20t</w:t>
            </w:r>
          </w:p>
        </w:tc>
        <w:tc>
          <w:tcPr>
            <w:tcW w:w="981" w:type="pct"/>
            <w:vAlign w:val="center"/>
          </w:tcPr>
          <w:p w14:paraId="1CCC2352">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辆</w:t>
            </w:r>
          </w:p>
        </w:tc>
        <w:tc>
          <w:tcPr>
            <w:tcW w:w="984" w:type="pct"/>
            <w:vAlign w:val="center"/>
          </w:tcPr>
          <w:p w14:paraId="3F765062">
            <w:pPr>
              <w:pStyle w:val="23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position w:val="4"/>
                <w:highlight w:val="none"/>
              </w:rPr>
              <w:t>2</w:t>
            </w:r>
          </w:p>
        </w:tc>
      </w:tr>
      <w:tr w14:paraId="406DD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073" w:type="pct"/>
            <w:vAlign w:val="center"/>
          </w:tcPr>
          <w:p w14:paraId="134ECDA4">
            <w:pPr>
              <w:pStyle w:val="23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Times New Roman" w:hAnsi="Times New Roman" w:eastAsia="楷体" w:cs="Times New Roman"/>
                <w:b w:val="0"/>
                <w:bCs w:val="0"/>
                <w:color w:val="auto"/>
                <w:highlight w:val="none"/>
                <w:lang w:eastAsia="zh-CN"/>
              </w:rPr>
            </w:pPr>
            <w:r>
              <w:rPr>
                <w:rFonts w:hint="eastAsia" w:ascii="Times New Roman" w:hAnsi="Times New Roman" w:eastAsia="楷体" w:cs="Times New Roman"/>
                <w:b w:val="0"/>
                <w:bCs w:val="0"/>
                <w:color w:val="auto"/>
                <w:position w:val="4"/>
                <w:highlight w:val="none"/>
                <w:lang w:val="en-US" w:eastAsia="zh-CN"/>
              </w:rPr>
              <w:t>3</w:t>
            </w:r>
          </w:p>
        </w:tc>
        <w:tc>
          <w:tcPr>
            <w:tcW w:w="969" w:type="pct"/>
            <w:vAlign w:val="center"/>
          </w:tcPr>
          <w:p w14:paraId="4B50949F">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机修设备</w:t>
            </w:r>
          </w:p>
        </w:tc>
        <w:tc>
          <w:tcPr>
            <w:tcW w:w="991" w:type="pct"/>
            <w:vAlign w:val="center"/>
          </w:tcPr>
          <w:p w14:paraId="6005869D">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楷体" w:cs="Times New Roman"/>
                <w:b w:val="0"/>
                <w:bCs w:val="0"/>
                <w:color w:val="auto"/>
                <w:sz w:val="21"/>
                <w:highlight w:val="none"/>
              </w:rPr>
            </w:pPr>
          </w:p>
        </w:tc>
        <w:tc>
          <w:tcPr>
            <w:tcW w:w="981" w:type="pct"/>
            <w:vAlign w:val="center"/>
          </w:tcPr>
          <w:p w14:paraId="1EDBC116">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套</w:t>
            </w:r>
          </w:p>
        </w:tc>
        <w:tc>
          <w:tcPr>
            <w:tcW w:w="984" w:type="pct"/>
            <w:vAlign w:val="center"/>
          </w:tcPr>
          <w:p w14:paraId="11D242AC">
            <w:pPr>
              <w:pStyle w:val="23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4"/>
                <w:position w:val="4"/>
                <w:highlight w:val="none"/>
              </w:rPr>
              <w:t>1</w:t>
            </w:r>
          </w:p>
        </w:tc>
      </w:tr>
      <w:tr w14:paraId="030C7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073" w:type="pct"/>
            <w:vAlign w:val="center"/>
          </w:tcPr>
          <w:p w14:paraId="42FEBF13">
            <w:pPr>
              <w:pStyle w:val="23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Times New Roman" w:hAnsi="Times New Roman" w:eastAsia="楷体" w:cs="Times New Roman"/>
                <w:b w:val="0"/>
                <w:bCs w:val="0"/>
                <w:color w:val="auto"/>
                <w:highlight w:val="none"/>
                <w:lang w:eastAsia="zh-CN"/>
              </w:rPr>
            </w:pPr>
            <w:r>
              <w:rPr>
                <w:rFonts w:hint="eastAsia" w:ascii="Times New Roman" w:hAnsi="Times New Roman" w:eastAsia="楷体" w:cs="Times New Roman"/>
                <w:b w:val="0"/>
                <w:bCs w:val="0"/>
                <w:color w:val="auto"/>
                <w:spacing w:val="1"/>
                <w:highlight w:val="none"/>
                <w:lang w:val="en-US" w:eastAsia="zh-CN"/>
              </w:rPr>
              <w:t>4</w:t>
            </w:r>
          </w:p>
        </w:tc>
        <w:tc>
          <w:tcPr>
            <w:tcW w:w="969" w:type="pct"/>
            <w:vAlign w:val="center"/>
          </w:tcPr>
          <w:p w14:paraId="7DB7E44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化验设备</w:t>
            </w:r>
          </w:p>
        </w:tc>
        <w:tc>
          <w:tcPr>
            <w:tcW w:w="991" w:type="pct"/>
            <w:vAlign w:val="center"/>
          </w:tcPr>
          <w:p w14:paraId="2834BBC9">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楷体" w:cs="Times New Roman"/>
                <w:b w:val="0"/>
                <w:bCs w:val="0"/>
                <w:color w:val="auto"/>
                <w:sz w:val="21"/>
                <w:highlight w:val="none"/>
              </w:rPr>
            </w:pPr>
          </w:p>
        </w:tc>
        <w:tc>
          <w:tcPr>
            <w:tcW w:w="981" w:type="pct"/>
            <w:vAlign w:val="center"/>
          </w:tcPr>
          <w:p w14:paraId="5CDFE179">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套</w:t>
            </w:r>
          </w:p>
        </w:tc>
        <w:tc>
          <w:tcPr>
            <w:tcW w:w="984" w:type="pct"/>
            <w:vAlign w:val="center"/>
          </w:tcPr>
          <w:p w14:paraId="057A8553">
            <w:pPr>
              <w:pStyle w:val="23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4"/>
                <w:position w:val="4"/>
                <w:highlight w:val="none"/>
              </w:rPr>
              <w:t>1</w:t>
            </w:r>
          </w:p>
        </w:tc>
      </w:tr>
    </w:tbl>
    <w:p w14:paraId="568DC55F">
      <w:pPr>
        <w:spacing w:before="100" w:after="100"/>
        <w:ind w:firstLineChars="200"/>
        <w:rPr>
          <w:rFonts w:hint="default" w:ascii="Times New Roman" w:hAnsi="Times New Roman" w:eastAsia="楷体" w:cs="Times New Roman"/>
          <w:b/>
          <w:bCs/>
          <w:color w:val="auto"/>
          <w:sz w:val="30"/>
          <w:szCs w:val="30"/>
          <w:highlight w:val="none"/>
          <w:lang w:eastAsia="zh-CN"/>
        </w:rPr>
      </w:pPr>
      <w:bookmarkStart w:id="670" w:name="_Toc7855"/>
      <w:r>
        <w:rPr>
          <w:rFonts w:hint="default" w:ascii="Times New Roman" w:hAnsi="Times New Roman" w:eastAsia="楷体" w:cs="Times New Roman"/>
          <w:b/>
          <w:bCs/>
          <w:color w:val="auto"/>
          <w:sz w:val="30"/>
          <w:szCs w:val="30"/>
          <w:highlight w:val="none"/>
          <w:lang w:eastAsia="zh-CN"/>
        </w:rPr>
        <w:br w:type="page"/>
      </w:r>
    </w:p>
    <w:p w14:paraId="20CED4AB">
      <w:pPr>
        <w:spacing w:before="100" w:after="100"/>
        <w:ind w:firstLine="602" w:firstLineChars="200"/>
        <w:outlineLvl w:val="9"/>
        <w:rPr>
          <w:rFonts w:hint="default" w:ascii="Times New Roman" w:hAnsi="Times New Roman" w:eastAsia="楷体" w:cs="Times New Roman"/>
          <w:b/>
          <w:bCs/>
          <w:color w:val="auto"/>
          <w:sz w:val="30"/>
          <w:szCs w:val="30"/>
          <w:highlight w:val="none"/>
          <w:lang w:eastAsia="zh-CN"/>
        </w:rPr>
      </w:pPr>
      <w:r>
        <w:rPr>
          <w:rFonts w:hint="default" w:ascii="Times New Roman" w:hAnsi="Times New Roman" w:eastAsia="楷体" w:cs="Times New Roman"/>
          <w:b/>
          <w:bCs/>
          <w:color w:val="auto"/>
          <w:sz w:val="30"/>
          <w:szCs w:val="30"/>
          <w:highlight w:val="none"/>
          <w:lang w:eastAsia="zh-CN"/>
        </w:rPr>
        <w:t>（</w:t>
      </w:r>
      <w:r>
        <w:rPr>
          <w:rFonts w:hint="default" w:ascii="Times New Roman" w:hAnsi="Times New Roman" w:eastAsia="楷体" w:cs="Times New Roman"/>
          <w:b/>
          <w:bCs/>
          <w:color w:val="auto"/>
          <w:sz w:val="30"/>
          <w:szCs w:val="30"/>
          <w:highlight w:val="none"/>
          <w:lang w:val="en-US" w:eastAsia="zh-CN"/>
        </w:rPr>
        <w:t>4</w:t>
      </w:r>
      <w:r>
        <w:rPr>
          <w:rFonts w:hint="default" w:ascii="Times New Roman" w:hAnsi="Times New Roman" w:eastAsia="楷体" w:cs="Times New Roman"/>
          <w:b/>
          <w:bCs/>
          <w:color w:val="auto"/>
          <w:sz w:val="30"/>
          <w:szCs w:val="30"/>
          <w:highlight w:val="none"/>
          <w:lang w:eastAsia="zh-CN"/>
        </w:rPr>
        <w:t>）</w:t>
      </w:r>
      <w:r>
        <w:rPr>
          <w:rFonts w:hint="default" w:ascii="Times New Roman" w:hAnsi="Times New Roman" w:eastAsia="楷体" w:cs="Times New Roman"/>
          <w:b/>
          <w:bCs/>
          <w:color w:val="auto"/>
          <w:sz w:val="30"/>
          <w:szCs w:val="30"/>
          <w:highlight w:val="none"/>
        </w:rPr>
        <w:t>电气专业</w:t>
      </w:r>
      <w:r>
        <w:rPr>
          <w:rFonts w:hint="default" w:ascii="Times New Roman" w:hAnsi="Times New Roman" w:eastAsia="楷体" w:cs="Times New Roman"/>
          <w:b/>
          <w:bCs/>
          <w:color w:val="auto"/>
          <w:sz w:val="30"/>
          <w:szCs w:val="30"/>
          <w:highlight w:val="none"/>
          <w:lang w:eastAsia="zh-CN"/>
        </w:rPr>
        <w:t>设备</w:t>
      </w:r>
      <w:bookmarkEnd w:id="670"/>
    </w:p>
    <w:tbl>
      <w:tblPr>
        <w:tblStyle w:val="240"/>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20"/>
        <w:gridCol w:w="3999"/>
        <w:gridCol w:w="5533"/>
        <w:gridCol w:w="1143"/>
        <w:gridCol w:w="1109"/>
        <w:gridCol w:w="1138"/>
      </w:tblGrid>
      <w:tr w14:paraId="63D3D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1" w:type="pct"/>
            <w:tcMar>
              <w:top w:w="96" w:type="dxa"/>
              <w:left w:w="96" w:type="dxa"/>
              <w:bottom w:w="96" w:type="dxa"/>
              <w:right w:w="96" w:type="dxa"/>
            </w:tcMar>
            <w:vAlign w:val="center"/>
          </w:tcPr>
          <w:p w14:paraId="7D44CAE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bCs/>
                <w:color w:val="auto"/>
                <w:sz w:val="21"/>
                <w:szCs w:val="21"/>
                <w:highlight w:val="none"/>
              </w:rPr>
            </w:pPr>
            <w:r>
              <w:rPr>
                <w:rFonts w:hint="default" w:ascii="Times New Roman" w:hAnsi="Times New Roman" w:eastAsia="楷体" w:cs="Times New Roman"/>
                <w:b/>
                <w:bCs/>
                <w:color w:val="auto"/>
                <w:spacing w:val="-5"/>
                <w:sz w:val="21"/>
                <w:szCs w:val="21"/>
                <w:highlight w:val="none"/>
              </w:rPr>
              <w:t>序号</w:t>
            </w:r>
          </w:p>
        </w:tc>
        <w:tc>
          <w:tcPr>
            <w:tcW w:w="1413" w:type="pct"/>
            <w:tcMar>
              <w:top w:w="96" w:type="dxa"/>
              <w:left w:w="96" w:type="dxa"/>
              <w:bottom w:w="96" w:type="dxa"/>
              <w:right w:w="96" w:type="dxa"/>
            </w:tcMar>
            <w:vAlign w:val="center"/>
          </w:tcPr>
          <w:p w14:paraId="7E649E4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bCs/>
                <w:color w:val="auto"/>
                <w:sz w:val="21"/>
                <w:szCs w:val="21"/>
                <w:highlight w:val="none"/>
              </w:rPr>
            </w:pPr>
            <w:r>
              <w:rPr>
                <w:rFonts w:hint="default" w:ascii="Times New Roman" w:hAnsi="Times New Roman" w:eastAsia="楷体" w:cs="Times New Roman"/>
                <w:b/>
                <w:bCs/>
                <w:color w:val="auto"/>
                <w:spacing w:val="-4"/>
                <w:sz w:val="21"/>
                <w:szCs w:val="21"/>
                <w:highlight w:val="none"/>
              </w:rPr>
              <w:t>设备名称</w:t>
            </w:r>
          </w:p>
        </w:tc>
        <w:tc>
          <w:tcPr>
            <w:tcW w:w="1955" w:type="pct"/>
            <w:tcMar>
              <w:top w:w="96" w:type="dxa"/>
              <w:left w:w="96" w:type="dxa"/>
              <w:bottom w:w="96" w:type="dxa"/>
              <w:right w:w="96" w:type="dxa"/>
            </w:tcMar>
            <w:vAlign w:val="center"/>
          </w:tcPr>
          <w:p w14:paraId="50736F0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bCs/>
                <w:color w:val="auto"/>
                <w:sz w:val="21"/>
                <w:szCs w:val="21"/>
                <w:highlight w:val="none"/>
              </w:rPr>
            </w:pPr>
            <w:r>
              <w:rPr>
                <w:rFonts w:hint="default" w:ascii="Times New Roman" w:hAnsi="Times New Roman" w:eastAsia="楷体" w:cs="Times New Roman"/>
                <w:b/>
                <w:bCs/>
                <w:color w:val="auto"/>
                <w:spacing w:val="-4"/>
                <w:sz w:val="21"/>
                <w:szCs w:val="21"/>
                <w:highlight w:val="none"/>
              </w:rPr>
              <w:t>设备参数</w:t>
            </w:r>
          </w:p>
        </w:tc>
        <w:tc>
          <w:tcPr>
            <w:tcW w:w="404" w:type="pct"/>
            <w:tcMar>
              <w:top w:w="96" w:type="dxa"/>
              <w:left w:w="96" w:type="dxa"/>
              <w:bottom w:w="96" w:type="dxa"/>
              <w:right w:w="96" w:type="dxa"/>
            </w:tcMar>
            <w:vAlign w:val="center"/>
          </w:tcPr>
          <w:p w14:paraId="424E665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bCs/>
                <w:color w:val="auto"/>
                <w:sz w:val="21"/>
                <w:szCs w:val="21"/>
                <w:highlight w:val="none"/>
              </w:rPr>
            </w:pPr>
            <w:r>
              <w:rPr>
                <w:rFonts w:hint="default" w:ascii="Times New Roman" w:hAnsi="Times New Roman" w:eastAsia="楷体" w:cs="Times New Roman"/>
                <w:b/>
                <w:bCs/>
                <w:color w:val="auto"/>
                <w:spacing w:val="-6"/>
                <w:sz w:val="21"/>
                <w:szCs w:val="21"/>
                <w:highlight w:val="none"/>
              </w:rPr>
              <w:t>材质</w:t>
            </w:r>
          </w:p>
        </w:tc>
        <w:tc>
          <w:tcPr>
            <w:tcW w:w="392" w:type="pct"/>
            <w:tcMar>
              <w:top w:w="96" w:type="dxa"/>
              <w:left w:w="96" w:type="dxa"/>
              <w:bottom w:w="96" w:type="dxa"/>
              <w:right w:w="96" w:type="dxa"/>
            </w:tcMar>
            <w:vAlign w:val="center"/>
          </w:tcPr>
          <w:p w14:paraId="140E184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bCs/>
                <w:color w:val="auto"/>
                <w:sz w:val="21"/>
                <w:szCs w:val="21"/>
                <w:highlight w:val="none"/>
              </w:rPr>
            </w:pPr>
            <w:r>
              <w:rPr>
                <w:rFonts w:hint="default" w:ascii="Times New Roman" w:hAnsi="Times New Roman" w:eastAsia="楷体" w:cs="Times New Roman"/>
                <w:b/>
                <w:bCs/>
                <w:color w:val="auto"/>
                <w:spacing w:val="-6"/>
                <w:sz w:val="21"/>
                <w:szCs w:val="21"/>
                <w:highlight w:val="none"/>
              </w:rPr>
              <w:t>单位</w:t>
            </w:r>
          </w:p>
        </w:tc>
        <w:tc>
          <w:tcPr>
            <w:tcW w:w="402" w:type="pct"/>
            <w:tcMar>
              <w:top w:w="96" w:type="dxa"/>
              <w:left w:w="96" w:type="dxa"/>
              <w:bottom w:w="96" w:type="dxa"/>
              <w:right w:w="96" w:type="dxa"/>
            </w:tcMar>
            <w:vAlign w:val="center"/>
          </w:tcPr>
          <w:p w14:paraId="152A391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bCs/>
                <w:color w:val="auto"/>
                <w:sz w:val="21"/>
                <w:szCs w:val="21"/>
                <w:highlight w:val="none"/>
              </w:rPr>
            </w:pPr>
            <w:r>
              <w:rPr>
                <w:rFonts w:hint="default" w:ascii="Times New Roman" w:hAnsi="Times New Roman" w:eastAsia="楷体" w:cs="Times New Roman"/>
                <w:b/>
                <w:bCs/>
                <w:color w:val="auto"/>
                <w:spacing w:val="-6"/>
                <w:sz w:val="21"/>
                <w:szCs w:val="21"/>
                <w:highlight w:val="none"/>
              </w:rPr>
              <w:t>数量</w:t>
            </w:r>
          </w:p>
        </w:tc>
      </w:tr>
      <w:tr w14:paraId="0B6C9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1" w:type="pct"/>
            <w:tcMar>
              <w:top w:w="96" w:type="dxa"/>
              <w:left w:w="96" w:type="dxa"/>
              <w:bottom w:w="96" w:type="dxa"/>
              <w:right w:w="96" w:type="dxa"/>
            </w:tcMar>
            <w:vAlign w:val="center"/>
          </w:tcPr>
          <w:p w14:paraId="1734CDC5">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4"/>
                <w:position w:val="4"/>
                <w:highlight w:val="none"/>
              </w:rPr>
              <w:t>1</w:t>
            </w:r>
          </w:p>
        </w:tc>
        <w:tc>
          <w:tcPr>
            <w:tcW w:w="1413" w:type="pct"/>
            <w:tcMar>
              <w:top w:w="96" w:type="dxa"/>
              <w:left w:w="96" w:type="dxa"/>
              <w:bottom w:w="96" w:type="dxa"/>
              <w:right w:w="96" w:type="dxa"/>
            </w:tcMar>
            <w:vAlign w:val="center"/>
          </w:tcPr>
          <w:p w14:paraId="5CBDB67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智能型高压开关柜</w:t>
            </w:r>
          </w:p>
        </w:tc>
        <w:tc>
          <w:tcPr>
            <w:tcW w:w="1955" w:type="pct"/>
            <w:tcMar>
              <w:top w:w="96" w:type="dxa"/>
              <w:left w:w="96" w:type="dxa"/>
              <w:bottom w:w="96" w:type="dxa"/>
              <w:right w:w="96" w:type="dxa"/>
            </w:tcMar>
            <w:vAlign w:val="center"/>
          </w:tcPr>
          <w:p w14:paraId="0C820F84">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8"/>
                <w:highlight w:val="none"/>
              </w:rPr>
              <w:t>Smart-P</w:t>
            </w:r>
            <w:r>
              <w:rPr>
                <w:rFonts w:hint="eastAsia" w:ascii="Times New Roman" w:hAnsi="Times New Roman" w:eastAsia="楷体" w:cs="Times New Roman"/>
                <w:b w:val="0"/>
                <w:bCs w:val="0"/>
                <w:color w:val="auto"/>
                <w:spacing w:val="-8"/>
                <w:highlight w:val="none"/>
                <w:lang w:val="en-US" w:eastAsia="zh-CN"/>
              </w:rPr>
              <w:t>I</w:t>
            </w:r>
            <w:r>
              <w:rPr>
                <w:rFonts w:hint="default" w:ascii="Times New Roman" w:hAnsi="Times New Roman" w:eastAsia="楷体" w:cs="Times New Roman"/>
                <w:b w:val="0"/>
                <w:bCs w:val="0"/>
                <w:color w:val="auto"/>
                <w:spacing w:val="-8"/>
                <w:highlight w:val="none"/>
              </w:rPr>
              <w:t>X型金属铠装中置式手车柜</w:t>
            </w:r>
            <w:r>
              <w:rPr>
                <w:rFonts w:hint="default" w:ascii="Times New Roman" w:hAnsi="Times New Roman" w:eastAsia="楷体" w:cs="Times New Roman"/>
                <w:b w:val="0"/>
                <w:bCs w:val="0"/>
                <w:color w:val="auto"/>
                <w:spacing w:val="1"/>
                <w:highlight w:val="none"/>
              </w:rPr>
              <w:t>体配1250A/31.5</w:t>
            </w:r>
            <w:r>
              <w:rPr>
                <w:rFonts w:hint="default" w:ascii="Times New Roman" w:hAnsi="Times New Roman" w:eastAsia="楷体" w:cs="Times New Roman"/>
                <w:b w:val="0"/>
                <w:bCs w:val="0"/>
                <w:color w:val="auto"/>
                <w:highlight w:val="none"/>
              </w:rPr>
              <w:t>KA</w:t>
            </w:r>
          </w:p>
        </w:tc>
        <w:tc>
          <w:tcPr>
            <w:tcW w:w="404" w:type="pct"/>
            <w:tcMar>
              <w:top w:w="96" w:type="dxa"/>
              <w:left w:w="96" w:type="dxa"/>
              <w:bottom w:w="96" w:type="dxa"/>
              <w:right w:w="96" w:type="dxa"/>
            </w:tcMar>
            <w:vAlign w:val="center"/>
          </w:tcPr>
          <w:p w14:paraId="53F10443">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highlight w:val="none"/>
              </w:rPr>
            </w:pPr>
          </w:p>
        </w:tc>
        <w:tc>
          <w:tcPr>
            <w:tcW w:w="392" w:type="pct"/>
            <w:tcMar>
              <w:top w:w="96" w:type="dxa"/>
              <w:left w:w="96" w:type="dxa"/>
              <w:bottom w:w="96" w:type="dxa"/>
              <w:right w:w="96" w:type="dxa"/>
            </w:tcMar>
            <w:vAlign w:val="center"/>
          </w:tcPr>
          <w:p w14:paraId="6E4722E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台</w:t>
            </w:r>
          </w:p>
        </w:tc>
        <w:tc>
          <w:tcPr>
            <w:tcW w:w="402" w:type="pct"/>
            <w:tcMar>
              <w:top w:w="96" w:type="dxa"/>
              <w:left w:w="96" w:type="dxa"/>
              <w:bottom w:w="96" w:type="dxa"/>
              <w:right w:w="96" w:type="dxa"/>
            </w:tcMar>
            <w:vAlign w:val="center"/>
          </w:tcPr>
          <w:p w14:paraId="4647E520">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2"/>
                <w:position w:val="2"/>
                <w:highlight w:val="none"/>
              </w:rPr>
              <w:t>16</w:t>
            </w:r>
          </w:p>
        </w:tc>
      </w:tr>
      <w:tr w14:paraId="2B517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1" w:type="pct"/>
            <w:tcMar>
              <w:top w:w="96" w:type="dxa"/>
              <w:left w:w="96" w:type="dxa"/>
              <w:bottom w:w="96" w:type="dxa"/>
              <w:right w:w="96" w:type="dxa"/>
            </w:tcMar>
            <w:vAlign w:val="center"/>
          </w:tcPr>
          <w:p w14:paraId="78287B28">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position w:val="4"/>
                <w:highlight w:val="none"/>
              </w:rPr>
              <w:t>2</w:t>
            </w:r>
          </w:p>
        </w:tc>
        <w:tc>
          <w:tcPr>
            <w:tcW w:w="1413" w:type="pct"/>
            <w:tcMar>
              <w:top w:w="96" w:type="dxa"/>
              <w:left w:w="96" w:type="dxa"/>
              <w:bottom w:w="96" w:type="dxa"/>
              <w:right w:w="96" w:type="dxa"/>
            </w:tcMar>
            <w:vAlign w:val="center"/>
          </w:tcPr>
          <w:p w14:paraId="61CE061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紧凑型高压开关柜</w:t>
            </w:r>
          </w:p>
        </w:tc>
        <w:tc>
          <w:tcPr>
            <w:tcW w:w="1955" w:type="pct"/>
            <w:tcMar>
              <w:top w:w="96" w:type="dxa"/>
              <w:left w:w="96" w:type="dxa"/>
              <w:bottom w:w="96" w:type="dxa"/>
              <w:right w:w="96" w:type="dxa"/>
            </w:tcMar>
            <w:vAlign w:val="center"/>
          </w:tcPr>
          <w:p w14:paraId="4925B9D7">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9"/>
                <w:highlight w:val="none"/>
              </w:rPr>
              <w:t>Premset型高压开关柜配630A/25KA</w:t>
            </w:r>
          </w:p>
        </w:tc>
        <w:tc>
          <w:tcPr>
            <w:tcW w:w="404" w:type="pct"/>
            <w:tcMar>
              <w:top w:w="96" w:type="dxa"/>
              <w:left w:w="96" w:type="dxa"/>
              <w:bottom w:w="96" w:type="dxa"/>
              <w:right w:w="96" w:type="dxa"/>
            </w:tcMar>
            <w:vAlign w:val="center"/>
          </w:tcPr>
          <w:p w14:paraId="6F9451E0">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highlight w:val="none"/>
              </w:rPr>
            </w:pPr>
          </w:p>
        </w:tc>
        <w:tc>
          <w:tcPr>
            <w:tcW w:w="392" w:type="pct"/>
            <w:tcMar>
              <w:top w:w="96" w:type="dxa"/>
              <w:left w:w="96" w:type="dxa"/>
              <w:bottom w:w="96" w:type="dxa"/>
              <w:right w:w="96" w:type="dxa"/>
            </w:tcMar>
            <w:vAlign w:val="center"/>
          </w:tcPr>
          <w:p w14:paraId="54F47C2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台</w:t>
            </w:r>
          </w:p>
        </w:tc>
        <w:tc>
          <w:tcPr>
            <w:tcW w:w="402" w:type="pct"/>
            <w:tcMar>
              <w:top w:w="96" w:type="dxa"/>
              <w:left w:w="96" w:type="dxa"/>
              <w:bottom w:w="96" w:type="dxa"/>
              <w:right w:w="96" w:type="dxa"/>
            </w:tcMar>
            <w:vAlign w:val="center"/>
          </w:tcPr>
          <w:p w14:paraId="5D3A8B03">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position w:val="2"/>
                <w:highlight w:val="none"/>
              </w:rPr>
              <w:t>6</w:t>
            </w:r>
          </w:p>
        </w:tc>
      </w:tr>
      <w:tr w14:paraId="6FAC5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1" w:type="pct"/>
            <w:tcMar>
              <w:top w:w="96" w:type="dxa"/>
              <w:left w:w="96" w:type="dxa"/>
              <w:bottom w:w="96" w:type="dxa"/>
              <w:right w:w="96" w:type="dxa"/>
            </w:tcMar>
            <w:vAlign w:val="center"/>
          </w:tcPr>
          <w:p w14:paraId="34816C44">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1"/>
                <w:highlight w:val="none"/>
              </w:rPr>
              <w:t>3</w:t>
            </w:r>
          </w:p>
        </w:tc>
        <w:tc>
          <w:tcPr>
            <w:tcW w:w="1413" w:type="pct"/>
            <w:tcMar>
              <w:top w:w="96" w:type="dxa"/>
              <w:left w:w="96" w:type="dxa"/>
              <w:bottom w:w="96" w:type="dxa"/>
              <w:right w:w="96" w:type="dxa"/>
            </w:tcMar>
            <w:vAlign w:val="center"/>
          </w:tcPr>
          <w:p w14:paraId="065F7FB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直流电源屏</w:t>
            </w:r>
          </w:p>
        </w:tc>
        <w:tc>
          <w:tcPr>
            <w:tcW w:w="1955" w:type="pct"/>
            <w:tcMar>
              <w:top w:w="96" w:type="dxa"/>
              <w:left w:w="96" w:type="dxa"/>
              <w:bottom w:w="96" w:type="dxa"/>
              <w:right w:w="96" w:type="dxa"/>
            </w:tcMar>
            <w:vAlign w:val="center"/>
          </w:tcPr>
          <w:p w14:paraId="7ABF5048">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6"/>
                <w:highlight w:val="none"/>
              </w:rPr>
              <w:t>PGD型配65Ah/220V铅酸免维护蓄</w:t>
            </w:r>
            <w:r>
              <w:rPr>
                <w:rFonts w:hint="default" w:ascii="Times New Roman" w:hAnsi="Times New Roman" w:eastAsia="楷体" w:cs="Times New Roman"/>
                <w:b w:val="0"/>
                <w:bCs w:val="0"/>
                <w:color w:val="auto"/>
                <w:spacing w:val="-7"/>
                <w:sz w:val="21"/>
                <w:szCs w:val="21"/>
                <w:highlight w:val="none"/>
              </w:rPr>
              <w:t>电池及高频开关</w:t>
            </w:r>
          </w:p>
        </w:tc>
        <w:tc>
          <w:tcPr>
            <w:tcW w:w="404" w:type="pct"/>
            <w:tcMar>
              <w:top w:w="96" w:type="dxa"/>
              <w:left w:w="96" w:type="dxa"/>
              <w:bottom w:w="96" w:type="dxa"/>
              <w:right w:w="96" w:type="dxa"/>
            </w:tcMar>
            <w:vAlign w:val="center"/>
          </w:tcPr>
          <w:p w14:paraId="069D547B">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highlight w:val="none"/>
              </w:rPr>
            </w:pPr>
          </w:p>
        </w:tc>
        <w:tc>
          <w:tcPr>
            <w:tcW w:w="392" w:type="pct"/>
            <w:tcMar>
              <w:top w:w="96" w:type="dxa"/>
              <w:left w:w="96" w:type="dxa"/>
              <w:bottom w:w="96" w:type="dxa"/>
              <w:right w:w="96" w:type="dxa"/>
            </w:tcMar>
            <w:vAlign w:val="center"/>
          </w:tcPr>
          <w:p w14:paraId="3F52610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套</w:t>
            </w:r>
          </w:p>
        </w:tc>
        <w:tc>
          <w:tcPr>
            <w:tcW w:w="402" w:type="pct"/>
            <w:tcMar>
              <w:top w:w="96" w:type="dxa"/>
              <w:left w:w="96" w:type="dxa"/>
              <w:bottom w:w="96" w:type="dxa"/>
              <w:right w:w="96" w:type="dxa"/>
            </w:tcMar>
            <w:vAlign w:val="center"/>
          </w:tcPr>
          <w:p w14:paraId="377DE308">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4"/>
                <w:position w:val="4"/>
                <w:highlight w:val="none"/>
              </w:rPr>
              <w:t>1</w:t>
            </w:r>
          </w:p>
        </w:tc>
      </w:tr>
      <w:tr w14:paraId="557C8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1" w:type="pct"/>
            <w:tcMar>
              <w:top w:w="96" w:type="dxa"/>
              <w:left w:w="96" w:type="dxa"/>
              <w:bottom w:w="96" w:type="dxa"/>
              <w:right w:w="96" w:type="dxa"/>
            </w:tcMar>
            <w:vAlign w:val="center"/>
          </w:tcPr>
          <w:p w14:paraId="7C4BEE25">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highlight w:val="none"/>
              </w:rPr>
              <w:t>4</w:t>
            </w:r>
          </w:p>
        </w:tc>
        <w:tc>
          <w:tcPr>
            <w:tcW w:w="1413" w:type="pct"/>
            <w:tcMar>
              <w:top w:w="96" w:type="dxa"/>
              <w:left w:w="96" w:type="dxa"/>
              <w:bottom w:w="96" w:type="dxa"/>
              <w:right w:w="96" w:type="dxa"/>
            </w:tcMar>
            <w:vAlign w:val="center"/>
          </w:tcPr>
          <w:p w14:paraId="45520CD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站用电交流配电屏</w:t>
            </w:r>
          </w:p>
        </w:tc>
        <w:tc>
          <w:tcPr>
            <w:tcW w:w="1955" w:type="pct"/>
            <w:tcMar>
              <w:top w:w="96" w:type="dxa"/>
              <w:left w:w="96" w:type="dxa"/>
              <w:bottom w:w="96" w:type="dxa"/>
              <w:right w:w="96" w:type="dxa"/>
            </w:tcMar>
            <w:vAlign w:val="center"/>
          </w:tcPr>
          <w:p w14:paraId="56999FED">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3"/>
                <w:highlight w:val="none"/>
              </w:rPr>
              <w:t>PK10柜体，含双电源切换等</w:t>
            </w:r>
          </w:p>
        </w:tc>
        <w:tc>
          <w:tcPr>
            <w:tcW w:w="404" w:type="pct"/>
            <w:tcMar>
              <w:top w:w="96" w:type="dxa"/>
              <w:left w:w="96" w:type="dxa"/>
              <w:bottom w:w="96" w:type="dxa"/>
              <w:right w:w="96" w:type="dxa"/>
            </w:tcMar>
            <w:vAlign w:val="center"/>
          </w:tcPr>
          <w:p w14:paraId="2C1340F2">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highlight w:val="none"/>
              </w:rPr>
            </w:pPr>
          </w:p>
        </w:tc>
        <w:tc>
          <w:tcPr>
            <w:tcW w:w="392" w:type="pct"/>
            <w:tcMar>
              <w:top w:w="96" w:type="dxa"/>
              <w:left w:w="96" w:type="dxa"/>
              <w:bottom w:w="96" w:type="dxa"/>
              <w:right w:w="96" w:type="dxa"/>
            </w:tcMar>
            <w:vAlign w:val="center"/>
          </w:tcPr>
          <w:p w14:paraId="32484B7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台</w:t>
            </w:r>
          </w:p>
        </w:tc>
        <w:tc>
          <w:tcPr>
            <w:tcW w:w="402" w:type="pct"/>
            <w:tcMar>
              <w:top w:w="96" w:type="dxa"/>
              <w:left w:w="96" w:type="dxa"/>
              <w:bottom w:w="96" w:type="dxa"/>
              <w:right w:w="96" w:type="dxa"/>
            </w:tcMar>
            <w:vAlign w:val="center"/>
          </w:tcPr>
          <w:p w14:paraId="7E614F6F">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4"/>
                <w:position w:val="4"/>
                <w:highlight w:val="none"/>
              </w:rPr>
              <w:t>1</w:t>
            </w:r>
          </w:p>
        </w:tc>
      </w:tr>
      <w:tr w14:paraId="40B0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1" w:type="pct"/>
            <w:tcMar>
              <w:top w:w="96" w:type="dxa"/>
              <w:left w:w="96" w:type="dxa"/>
              <w:bottom w:w="96" w:type="dxa"/>
              <w:right w:w="96" w:type="dxa"/>
            </w:tcMar>
            <w:vAlign w:val="center"/>
          </w:tcPr>
          <w:p w14:paraId="60AF860B">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highlight w:val="none"/>
              </w:rPr>
              <w:t>5</w:t>
            </w:r>
          </w:p>
        </w:tc>
        <w:tc>
          <w:tcPr>
            <w:tcW w:w="1413" w:type="pct"/>
            <w:tcMar>
              <w:top w:w="96" w:type="dxa"/>
              <w:left w:w="96" w:type="dxa"/>
              <w:bottom w:w="96" w:type="dxa"/>
              <w:right w:w="96" w:type="dxa"/>
            </w:tcMar>
            <w:vAlign w:val="center"/>
          </w:tcPr>
          <w:p w14:paraId="23AC43C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变电站微机监控系统</w:t>
            </w:r>
          </w:p>
        </w:tc>
        <w:tc>
          <w:tcPr>
            <w:tcW w:w="1955" w:type="pct"/>
            <w:tcMar>
              <w:top w:w="96" w:type="dxa"/>
              <w:left w:w="96" w:type="dxa"/>
              <w:bottom w:w="96" w:type="dxa"/>
              <w:right w:w="96" w:type="dxa"/>
            </w:tcMar>
            <w:vAlign w:val="center"/>
          </w:tcPr>
          <w:p w14:paraId="4F5ABFC7">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highlight w:val="none"/>
              </w:rPr>
            </w:pPr>
          </w:p>
        </w:tc>
        <w:tc>
          <w:tcPr>
            <w:tcW w:w="404" w:type="pct"/>
            <w:tcMar>
              <w:top w:w="96" w:type="dxa"/>
              <w:left w:w="96" w:type="dxa"/>
              <w:bottom w:w="96" w:type="dxa"/>
              <w:right w:w="96" w:type="dxa"/>
            </w:tcMar>
            <w:vAlign w:val="center"/>
          </w:tcPr>
          <w:p w14:paraId="529C333C">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highlight w:val="none"/>
              </w:rPr>
            </w:pPr>
          </w:p>
        </w:tc>
        <w:tc>
          <w:tcPr>
            <w:tcW w:w="392" w:type="pct"/>
            <w:tcMar>
              <w:top w:w="96" w:type="dxa"/>
              <w:left w:w="96" w:type="dxa"/>
              <w:bottom w:w="96" w:type="dxa"/>
              <w:right w:w="96" w:type="dxa"/>
            </w:tcMar>
            <w:vAlign w:val="center"/>
          </w:tcPr>
          <w:p w14:paraId="3292D0D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套</w:t>
            </w:r>
          </w:p>
        </w:tc>
        <w:tc>
          <w:tcPr>
            <w:tcW w:w="402" w:type="pct"/>
            <w:tcMar>
              <w:top w:w="96" w:type="dxa"/>
              <w:left w:w="96" w:type="dxa"/>
              <w:bottom w:w="96" w:type="dxa"/>
              <w:right w:w="96" w:type="dxa"/>
            </w:tcMar>
            <w:vAlign w:val="center"/>
          </w:tcPr>
          <w:p w14:paraId="3A16ACD2">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4"/>
                <w:position w:val="4"/>
                <w:highlight w:val="none"/>
              </w:rPr>
              <w:t>1</w:t>
            </w:r>
          </w:p>
        </w:tc>
      </w:tr>
      <w:tr w14:paraId="40C4D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1" w:type="pct"/>
            <w:tcMar>
              <w:top w:w="96" w:type="dxa"/>
              <w:left w:w="96" w:type="dxa"/>
              <w:bottom w:w="96" w:type="dxa"/>
              <w:right w:w="96" w:type="dxa"/>
            </w:tcMar>
            <w:vAlign w:val="center"/>
          </w:tcPr>
          <w:p w14:paraId="028B7957">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position w:val="1"/>
                <w:highlight w:val="none"/>
              </w:rPr>
              <w:t>6</w:t>
            </w:r>
          </w:p>
        </w:tc>
        <w:tc>
          <w:tcPr>
            <w:tcW w:w="1413" w:type="pct"/>
            <w:tcMar>
              <w:top w:w="96" w:type="dxa"/>
              <w:left w:w="96" w:type="dxa"/>
              <w:bottom w:w="96" w:type="dxa"/>
              <w:right w:w="96" w:type="dxa"/>
            </w:tcMar>
            <w:vAlign w:val="center"/>
          </w:tcPr>
          <w:p w14:paraId="2FF0993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智能配电系统</w:t>
            </w:r>
          </w:p>
        </w:tc>
        <w:tc>
          <w:tcPr>
            <w:tcW w:w="1955" w:type="pct"/>
            <w:tcMar>
              <w:top w:w="96" w:type="dxa"/>
              <w:left w:w="96" w:type="dxa"/>
              <w:bottom w:w="96" w:type="dxa"/>
              <w:right w:w="96" w:type="dxa"/>
            </w:tcMar>
            <w:vAlign w:val="center"/>
          </w:tcPr>
          <w:p w14:paraId="60D2BA42">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highlight w:val="none"/>
              </w:rPr>
            </w:pPr>
          </w:p>
        </w:tc>
        <w:tc>
          <w:tcPr>
            <w:tcW w:w="404" w:type="pct"/>
            <w:tcMar>
              <w:top w:w="96" w:type="dxa"/>
              <w:left w:w="96" w:type="dxa"/>
              <w:bottom w:w="96" w:type="dxa"/>
              <w:right w:w="96" w:type="dxa"/>
            </w:tcMar>
            <w:vAlign w:val="center"/>
          </w:tcPr>
          <w:p w14:paraId="513C167C">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highlight w:val="none"/>
              </w:rPr>
            </w:pPr>
          </w:p>
        </w:tc>
        <w:tc>
          <w:tcPr>
            <w:tcW w:w="392" w:type="pct"/>
            <w:tcMar>
              <w:top w:w="96" w:type="dxa"/>
              <w:left w:w="96" w:type="dxa"/>
              <w:bottom w:w="96" w:type="dxa"/>
              <w:right w:w="96" w:type="dxa"/>
            </w:tcMar>
            <w:vAlign w:val="center"/>
          </w:tcPr>
          <w:p w14:paraId="486E8EC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套</w:t>
            </w:r>
          </w:p>
        </w:tc>
        <w:tc>
          <w:tcPr>
            <w:tcW w:w="402" w:type="pct"/>
            <w:tcMar>
              <w:top w:w="96" w:type="dxa"/>
              <w:left w:w="96" w:type="dxa"/>
              <w:bottom w:w="96" w:type="dxa"/>
              <w:right w:w="96" w:type="dxa"/>
            </w:tcMar>
            <w:vAlign w:val="center"/>
          </w:tcPr>
          <w:p w14:paraId="0074FFF3">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4"/>
                <w:position w:val="4"/>
                <w:highlight w:val="none"/>
              </w:rPr>
              <w:t>1</w:t>
            </w:r>
          </w:p>
        </w:tc>
      </w:tr>
      <w:tr w14:paraId="370BB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1" w:type="pct"/>
            <w:tcMar>
              <w:top w:w="96" w:type="dxa"/>
              <w:left w:w="96" w:type="dxa"/>
              <w:bottom w:w="96" w:type="dxa"/>
              <w:right w:w="96" w:type="dxa"/>
            </w:tcMar>
            <w:vAlign w:val="center"/>
          </w:tcPr>
          <w:p w14:paraId="4A1D07E3">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highlight w:val="none"/>
              </w:rPr>
              <w:t>7</w:t>
            </w:r>
          </w:p>
        </w:tc>
        <w:tc>
          <w:tcPr>
            <w:tcW w:w="1413" w:type="pct"/>
            <w:tcMar>
              <w:top w:w="96" w:type="dxa"/>
              <w:left w:w="96" w:type="dxa"/>
              <w:bottom w:w="96" w:type="dxa"/>
              <w:right w:w="96" w:type="dxa"/>
            </w:tcMar>
            <w:vAlign w:val="center"/>
          </w:tcPr>
          <w:p w14:paraId="689DB6A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9"/>
                <w:sz w:val="21"/>
                <w:szCs w:val="21"/>
                <w:highlight w:val="none"/>
              </w:rPr>
              <w:t>电力变压器</w:t>
            </w:r>
          </w:p>
        </w:tc>
        <w:tc>
          <w:tcPr>
            <w:tcW w:w="1955" w:type="pct"/>
            <w:tcMar>
              <w:top w:w="96" w:type="dxa"/>
              <w:left w:w="96" w:type="dxa"/>
              <w:bottom w:w="96" w:type="dxa"/>
              <w:right w:w="96" w:type="dxa"/>
            </w:tcMar>
            <w:vAlign w:val="center"/>
          </w:tcPr>
          <w:p w14:paraId="4A0B2DBF">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highlight w:val="none"/>
              </w:rPr>
              <w:t>SCB</w:t>
            </w:r>
            <w:r>
              <w:rPr>
                <w:rFonts w:hint="default" w:ascii="Times New Roman" w:hAnsi="Times New Roman" w:eastAsia="楷体" w:cs="Times New Roman"/>
                <w:b w:val="0"/>
                <w:bCs w:val="0"/>
                <w:color w:val="auto"/>
                <w:spacing w:val="1"/>
                <w:highlight w:val="none"/>
              </w:rPr>
              <w:t>14-630/10</w:t>
            </w:r>
            <w:r>
              <w:rPr>
                <w:rFonts w:hint="default" w:ascii="Times New Roman" w:hAnsi="Times New Roman" w:eastAsia="楷体" w:cs="Times New Roman"/>
                <w:b w:val="0"/>
                <w:bCs w:val="0"/>
                <w:color w:val="auto"/>
                <w:spacing w:val="27"/>
                <w:w w:val="101"/>
                <w:highlight w:val="none"/>
              </w:rPr>
              <w:t xml:space="preserve"> </w:t>
            </w:r>
            <w:r>
              <w:rPr>
                <w:rFonts w:hint="default" w:ascii="Times New Roman" w:hAnsi="Times New Roman" w:eastAsia="楷体" w:cs="Times New Roman"/>
                <w:b w:val="0"/>
                <w:bCs w:val="0"/>
                <w:color w:val="auto"/>
                <w:spacing w:val="1"/>
                <w:highlight w:val="none"/>
              </w:rPr>
              <w:t>10/0.4</w:t>
            </w:r>
            <w:r>
              <w:rPr>
                <w:rFonts w:hint="default" w:ascii="Times New Roman" w:hAnsi="Times New Roman" w:eastAsia="楷体" w:cs="Times New Roman"/>
                <w:b w:val="0"/>
                <w:bCs w:val="0"/>
                <w:color w:val="auto"/>
                <w:highlight w:val="none"/>
              </w:rPr>
              <w:t>kV</w:t>
            </w:r>
            <w:r>
              <w:rPr>
                <w:rFonts w:hint="default" w:ascii="Times New Roman" w:hAnsi="Times New Roman" w:eastAsia="楷体" w:cs="Times New Roman"/>
                <w:b w:val="0"/>
                <w:bCs w:val="0"/>
                <w:color w:val="auto"/>
                <w:spacing w:val="1"/>
                <w:highlight w:val="none"/>
              </w:rPr>
              <w:t xml:space="preserve"> </w:t>
            </w:r>
            <w:r>
              <w:rPr>
                <w:rFonts w:hint="default" w:ascii="Times New Roman" w:hAnsi="Times New Roman" w:eastAsia="楷体" w:cs="Times New Roman"/>
                <w:b w:val="0"/>
                <w:bCs w:val="0"/>
                <w:color w:val="auto"/>
                <w:highlight w:val="none"/>
              </w:rPr>
              <w:t>△/Y11 配</w:t>
            </w:r>
            <w:r>
              <w:rPr>
                <w:rFonts w:hint="default" w:ascii="Times New Roman" w:hAnsi="Times New Roman" w:eastAsia="楷体" w:cs="Times New Roman"/>
                <w:b w:val="0"/>
                <w:bCs w:val="0"/>
                <w:color w:val="auto"/>
                <w:spacing w:val="-5"/>
                <w:highlight w:val="none"/>
              </w:rPr>
              <w:t>风冷及温度保护器带IP3X防护外</w:t>
            </w:r>
            <w:r>
              <w:rPr>
                <w:rFonts w:hint="default" w:ascii="Times New Roman" w:hAnsi="Times New Roman" w:eastAsia="楷体" w:cs="Times New Roman"/>
                <w:b w:val="0"/>
                <w:bCs w:val="0"/>
                <w:color w:val="auto"/>
                <w:spacing w:val="-3"/>
                <w:sz w:val="21"/>
                <w:szCs w:val="21"/>
                <w:highlight w:val="none"/>
              </w:rPr>
              <w:t>壳</w:t>
            </w:r>
          </w:p>
        </w:tc>
        <w:tc>
          <w:tcPr>
            <w:tcW w:w="404" w:type="pct"/>
            <w:tcMar>
              <w:top w:w="96" w:type="dxa"/>
              <w:left w:w="96" w:type="dxa"/>
              <w:bottom w:w="96" w:type="dxa"/>
              <w:right w:w="96" w:type="dxa"/>
            </w:tcMar>
            <w:vAlign w:val="center"/>
          </w:tcPr>
          <w:p w14:paraId="218857B8">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highlight w:val="none"/>
              </w:rPr>
            </w:pPr>
          </w:p>
        </w:tc>
        <w:tc>
          <w:tcPr>
            <w:tcW w:w="392" w:type="pct"/>
            <w:tcMar>
              <w:top w:w="96" w:type="dxa"/>
              <w:left w:w="96" w:type="dxa"/>
              <w:bottom w:w="96" w:type="dxa"/>
              <w:right w:w="96" w:type="dxa"/>
            </w:tcMar>
            <w:vAlign w:val="center"/>
          </w:tcPr>
          <w:p w14:paraId="266217A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台</w:t>
            </w:r>
          </w:p>
        </w:tc>
        <w:tc>
          <w:tcPr>
            <w:tcW w:w="402" w:type="pct"/>
            <w:tcMar>
              <w:top w:w="96" w:type="dxa"/>
              <w:left w:w="96" w:type="dxa"/>
              <w:bottom w:w="96" w:type="dxa"/>
              <w:right w:w="96" w:type="dxa"/>
            </w:tcMar>
            <w:vAlign w:val="center"/>
          </w:tcPr>
          <w:p w14:paraId="33CC4516">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position w:val="4"/>
                <w:highlight w:val="none"/>
              </w:rPr>
              <w:t>2</w:t>
            </w:r>
          </w:p>
        </w:tc>
      </w:tr>
      <w:tr w14:paraId="1C407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1" w:type="pct"/>
            <w:tcMar>
              <w:top w:w="96" w:type="dxa"/>
              <w:left w:w="96" w:type="dxa"/>
              <w:bottom w:w="96" w:type="dxa"/>
              <w:right w:w="96" w:type="dxa"/>
            </w:tcMar>
            <w:vAlign w:val="center"/>
          </w:tcPr>
          <w:p w14:paraId="09C23020">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position w:val="2"/>
                <w:highlight w:val="none"/>
              </w:rPr>
              <w:t>8</w:t>
            </w:r>
          </w:p>
        </w:tc>
        <w:tc>
          <w:tcPr>
            <w:tcW w:w="1413" w:type="pct"/>
            <w:tcMar>
              <w:top w:w="96" w:type="dxa"/>
              <w:left w:w="96" w:type="dxa"/>
              <w:bottom w:w="96" w:type="dxa"/>
              <w:right w:w="96" w:type="dxa"/>
            </w:tcMar>
            <w:vAlign w:val="center"/>
          </w:tcPr>
          <w:p w14:paraId="168E95D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9"/>
                <w:sz w:val="21"/>
                <w:szCs w:val="21"/>
                <w:highlight w:val="none"/>
              </w:rPr>
              <w:t>电力变压器</w:t>
            </w:r>
          </w:p>
        </w:tc>
        <w:tc>
          <w:tcPr>
            <w:tcW w:w="1955" w:type="pct"/>
            <w:tcMar>
              <w:top w:w="96" w:type="dxa"/>
              <w:left w:w="96" w:type="dxa"/>
              <w:bottom w:w="96" w:type="dxa"/>
              <w:right w:w="96" w:type="dxa"/>
            </w:tcMar>
            <w:vAlign w:val="center"/>
          </w:tcPr>
          <w:p w14:paraId="5334AA4C">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highlight w:val="none"/>
              </w:rPr>
              <w:t>SCB</w:t>
            </w:r>
            <w:r>
              <w:rPr>
                <w:rFonts w:hint="default" w:ascii="Times New Roman" w:hAnsi="Times New Roman" w:eastAsia="楷体" w:cs="Times New Roman"/>
                <w:b w:val="0"/>
                <w:bCs w:val="0"/>
                <w:color w:val="auto"/>
                <w:spacing w:val="2"/>
                <w:highlight w:val="none"/>
              </w:rPr>
              <w:t>14-1250/10</w:t>
            </w:r>
            <w:r>
              <w:rPr>
                <w:rFonts w:hint="default" w:ascii="Times New Roman" w:hAnsi="Times New Roman" w:eastAsia="楷体" w:cs="Times New Roman"/>
                <w:b w:val="0"/>
                <w:bCs w:val="0"/>
                <w:color w:val="auto"/>
                <w:spacing w:val="35"/>
                <w:highlight w:val="none"/>
              </w:rPr>
              <w:t xml:space="preserve"> </w:t>
            </w:r>
            <w:r>
              <w:rPr>
                <w:rFonts w:hint="default" w:ascii="Times New Roman" w:hAnsi="Times New Roman" w:eastAsia="楷体" w:cs="Times New Roman"/>
                <w:b w:val="0"/>
                <w:bCs w:val="0"/>
                <w:color w:val="auto"/>
                <w:spacing w:val="2"/>
                <w:highlight w:val="none"/>
              </w:rPr>
              <w:t>10/0.4</w:t>
            </w:r>
            <w:r>
              <w:rPr>
                <w:rFonts w:hint="default" w:ascii="Times New Roman" w:hAnsi="Times New Roman" w:eastAsia="楷体" w:cs="Times New Roman"/>
                <w:b w:val="0"/>
                <w:bCs w:val="0"/>
                <w:color w:val="auto"/>
                <w:highlight w:val="none"/>
              </w:rPr>
              <w:t>kV</w:t>
            </w:r>
            <w:r>
              <w:rPr>
                <w:rFonts w:hint="default" w:ascii="Times New Roman" w:hAnsi="Times New Roman" w:eastAsia="楷体" w:cs="Times New Roman"/>
                <w:b w:val="0"/>
                <w:bCs w:val="0"/>
                <w:color w:val="auto"/>
                <w:spacing w:val="2"/>
                <w:highlight w:val="none"/>
              </w:rPr>
              <w:t xml:space="preserve"> △/Y11</w:t>
            </w:r>
            <w:r>
              <w:rPr>
                <w:rFonts w:hint="default" w:ascii="Times New Roman" w:hAnsi="Times New Roman" w:eastAsia="楷体" w:cs="Times New Roman"/>
                <w:b w:val="0"/>
                <w:bCs w:val="0"/>
                <w:color w:val="auto"/>
                <w:spacing w:val="-5"/>
                <w:highlight w:val="none"/>
              </w:rPr>
              <w:t>配风冷及温度保护器带IP3X防护</w:t>
            </w:r>
            <w:r>
              <w:rPr>
                <w:rFonts w:hint="default" w:ascii="Times New Roman" w:hAnsi="Times New Roman" w:eastAsia="楷体" w:cs="Times New Roman"/>
                <w:b w:val="0"/>
                <w:bCs w:val="0"/>
                <w:color w:val="auto"/>
                <w:spacing w:val="-8"/>
                <w:sz w:val="21"/>
                <w:szCs w:val="21"/>
                <w:highlight w:val="none"/>
              </w:rPr>
              <w:t>外壳</w:t>
            </w:r>
          </w:p>
        </w:tc>
        <w:tc>
          <w:tcPr>
            <w:tcW w:w="404" w:type="pct"/>
            <w:tcMar>
              <w:top w:w="96" w:type="dxa"/>
              <w:left w:w="96" w:type="dxa"/>
              <w:bottom w:w="96" w:type="dxa"/>
              <w:right w:w="96" w:type="dxa"/>
            </w:tcMar>
            <w:vAlign w:val="center"/>
          </w:tcPr>
          <w:p w14:paraId="734F3884">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highlight w:val="none"/>
              </w:rPr>
            </w:pPr>
          </w:p>
        </w:tc>
        <w:tc>
          <w:tcPr>
            <w:tcW w:w="392" w:type="pct"/>
            <w:tcMar>
              <w:top w:w="96" w:type="dxa"/>
              <w:left w:w="96" w:type="dxa"/>
              <w:bottom w:w="96" w:type="dxa"/>
              <w:right w:w="96" w:type="dxa"/>
            </w:tcMar>
            <w:vAlign w:val="center"/>
          </w:tcPr>
          <w:p w14:paraId="7C2C6B2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台</w:t>
            </w:r>
          </w:p>
        </w:tc>
        <w:tc>
          <w:tcPr>
            <w:tcW w:w="402" w:type="pct"/>
            <w:tcMar>
              <w:top w:w="96" w:type="dxa"/>
              <w:left w:w="96" w:type="dxa"/>
              <w:bottom w:w="96" w:type="dxa"/>
              <w:right w:w="96" w:type="dxa"/>
            </w:tcMar>
            <w:vAlign w:val="center"/>
          </w:tcPr>
          <w:p w14:paraId="45A06A3B">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position w:val="4"/>
                <w:highlight w:val="none"/>
              </w:rPr>
              <w:t>2</w:t>
            </w:r>
          </w:p>
        </w:tc>
      </w:tr>
      <w:tr w14:paraId="4B99F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1" w:type="pct"/>
            <w:tcMar>
              <w:top w:w="96" w:type="dxa"/>
              <w:left w:w="96" w:type="dxa"/>
              <w:bottom w:w="96" w:type="dxa"/>
              <w:right w:w="96" w:type="dxa"/>
            </w:tcMar>
            <w:vAlign w:val="center"/>
          </w:tcPr>
          <w:p w14:paraId="068C2BD6">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highlight w:val="none"/>
              </w:rPr>
              <w:t>9</w:t>
            </w:r>
          </w:p>
        </w:tc>
        <w:tc>
          <w:tcPr>
            <w:tcW w:w="1413" w:type="pct"/>
            <w:tcMar>
              <w:top w:w="96" w:type="dxa"/>
              <w:left w:w="96" w:type="dxa"/>
              <w:bottom w:w="96" w:type="dxa"/>
              <w:right w:w="96" w:type="dxa"/>
            </w:tcMar>
            <w:vAlign w:val="center"/>
          </w:tcPr>
          <w:p w14:paraId="55809C3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低压开关柜</w:t>
            </w:r>
          </w:p>
        </w:tc>
        <w:tc>
          <w:tcPr>
            <w:tcW w:w="1955" w:type="pct"/>
            <w:tcMar>
              <w:top w:w="96" w:type="dxa"/>
              <w:left w:w="96" w:type="dxa"/>
              <w:bottom w:w="96" w:type="dxa"/>
              <w:right w:w="96" w:type="dxa"/>
            </w:tcMar>
            <w:vAlign w:val="center"/>
          </w:tcPr>
          <w:p w14:paraId="3FAC135F">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12"/>
                <w:w w:val="96"/>
                <w:position w:val="1"/>
                <w:highlight w:val="none"/>
              </w:rPr>
              <w:t>blockset型</w:t>
            </w:r>
          </w:p>
        </w:tc>
        <w:tc>
          <w:tcPr>
            <w:tcW w:w="404" w:type="pct"/>
            <w:tcMar>
              <w:top w:w="96" w:type="dxa"/>
              <w:left w:w="96" w:type="dxa"/>
              <w:bottom w:w="96" w:type="dxa"/>
              <w:right w:w="96" w:type="dxa"/>
            </w:tcMar>
            <w:vAlign w:val="center"/>
          </w:tcPr>
          <w:p w14:paraId="7A29E22A">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highlight w:val="none"/>
              </w:rPr>
            </w:pPr>
          </w:p>
        </w:tc>
        <w:tc>
          <w:tcPr>
            <w:tcW w:w="392" w:type="pct"/>
            <w:tcMar>
              <w:top w:w="96" w:type="dxa"/>
              <w:left w:w="96" w:type="dxa"/>
              <w:bottom w:w="96" w:type="dxa"/>
              <w:right w:w="96" w:type="dxa"/>
            </w:tcMar>
            <w:vAlign w:val="center"/>
          </w:tcPr>
          <w:p w14:paraId="7BEA0B2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面</w:t>
            </w:r>
          </w:p>
        </w:tc>
        <w:tc>
          <w:tcPr>
            <w:tcW w:w="402" w:type="pct"/>
            <w:tcMar>
              <w:top w:w="96" w:type="dxa"/>
              <w:left w:w="96" w:type="dxa"/>
              <w:bottom w:w="96" w:type="dxa"/>
              <w:right w:w="96" w:type="dxa"/>
            </w:tcMar>
            <w:vAlign w:val="center"/>
          </w:tcPr>
          <w:p w14:paraId="6A7793C6">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14"/>
                <w:highlight w:val="none"/>
              </w:rPr>
              <w:t>31</w:t>
            </w:r>
          </w:p>
        </w:tc>
      </w:tr>
      <w:tr w14:paraId="61FB7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1" w:type="pct"/>
            <w:tcMar>
              <w:top w:w="96" w:type="dxa"/>
              <w:left w:w="96" w:type="dxa"/>
              <w:bottom w:w="96" w:type="dxa"/>
              <w:right w:w="96" w:type="dxa"/>
            </w:tcMar>
            <w:vAlign w:val="center"/>
          </w:tcPr>
          <w:p w14:paraId="2FD24133">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2"/>
                <w:position w:val="4"/>
                <w:highlight w:val="none"/>
              </w:rPr>
              <w:t>10</w:t>
            </w:r>
          </w:p>
        </w:tc>
        <w:tc>
          <w:tcPr>
            <w:tcW w:w="1413" w:type="pct"/>
            <w:tcMar>
              <w:top w:w="96" w:type="dxa"/>
              <w:left w:w="96" w:type="dxa"/>
              <w:bottom w:w="96" w:type="dxa"/>
              <w:right w:w="96" w:type="dxa"/>
            </w:tcMar>
            <w:vAlign w:val="center"/>
          </w:tcPr>
          <w:p w14:paraId="7601BED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变频柜</w:t>
            </w:r>
          </w:p>
        </w:tc>
        <w:tc>
          <w:tcPr>
            <w:tcW w:w="1955" w:type="pct"/>
            <w:tcMar>
              <w:top w:w="96" w:type="dxa"/>
              <w:left w:w="96" w:type="dxa"/>
              <w:bottom w:w="96" w:type="dxa"/>
              <w:right w:w="96" w:type="dxa"/>
            </w:tcMar>
            <w:vAlign w:val="center"/>
          </w:tcPr>
          <w:p w14:paraId="38CB55C9">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highlight w:val="none"/>
              </w:rPr>
              <w:t>配15kW变频器2台</w:t>
            </w:r>
          </w:p>
        </w:tc>
        <w:tc>
          <w:tcPr>
            <w:tcW w:w="404" w:type="pct"/>
            <w:tcMar>
              <w:top w:w="96" w:type="dxa"/>
              <w:left w:w="96" w:type="dxa"/>
              <w:bottom w:w="96" w:type="dxa"/>
              <w:right w:w="96" w:type="dxa"/>
            </w:tcMar>
            <w:vAlign w:val="center"/>
          </w:tcPr>
          <w:p w14:paraId="0861F5F3">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highlight w:val="none"/>
              </w:rPr>
            </w:pPr>
          </w:p>
        </w:tc>
        <w:tc>
          <w:tcPr>
            <w:tcW w:w="392" w:type="pct"/>
            <w:tcMar>
              <w:top w:w="96" w:type="dxa"/>
              <w:left w:w="96" w:type="dxa"/>
              <w:bottom w:w="96" w:type="dxa"/>
              <w:right w:w="96" w:type="dxa"/>
            </w:tcMar>
            <w:vAlign w:val="center"/>
          </w:tcPr>
          <w:p w14:paraId="1A122AB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面</w:t>
            </w:r>
          </w:p>
        </w:tc>
        <w:tc>
          <w:tcPr>
            <w:tcW w:w="402" w:type="pct"/>
            <w:tcMar>
              <w:top w:w="96" w:type="dxa"/>
              <w:left w:w="96" w:type="dxa"/>
              <w:bottom w:w="96" w:type="dxa"/>
              <w:right w:w="96" w:type="dxa"/>
            </w:tcMar>
            <w:vAlign w:val="center"/>
          </w:tcPr>
          <w:p w14:paraId="1AFC6ED4">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highlight w:val="none"/>
              </w:rPr>
              <w:t>4</w:t>
            </w:r>
          </w:p>
        </w:tc>
      </w:tr>
      <w:tr w14:paraId="79D7D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1" w:type="pct"/>
            <w:tcMar>
              <w:top w:w="96" w:type="dxa"/>
              <w:left w:w="96" w:type="dxa"/>
              <w:bottom w:w="96" w:type="dxa"/>
              <w:right w:w="96" w:type="dxa"/>
            </w:tcMar>
            <w:vAlign w:val="center"/>
          </w:tcPr>
          <w:p w14:paraId="58B65313">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16"/>
                <w:position w:val="4"/>
                <w:highlight w:val="none"/>
              </w:rPr>
              <w:t>11</w:t>
            </w:r>
          </w:p>
        </w:tc>
        <w:tc>
          <w:tcPr>
            <w:tcW w:w="1413" w:type="pct"/>
            <w:tcMar>
              <w:top w:w="96" w:type="dxa"/>
              <w:left w:w="96" w:type="dxa"/>
              <w:bottom w:w="96" w:type="dxa"/>
              <w:right w:w="96" w:type="dxa"/>
            </w:tcMar>
            <w:vAlign w:val="center"/>
          </w:tcPr>
          <w:p w14:paraId="5923FE7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变频柜</w:t>
            </w:r>
          </w:p>
        </w:tc>
        <w:tc>
          <w:tcPr>
            <w:tcW w:w="1955" w:type="pct"/>
            <w:tcMar>
              <w:top w:w="96" w:type="dxa"/>
              <w:left w:w="96" w:type="dxa"/>
              <w:bottom w:w="96" w:type="dxa"/>
              <w:right w:w="96" w:type="dxa"/>
            </w:tcMar>
            <w:vAlign w:val="center"/>
          </w:tcPr>
          <w:p w14:paraId="5B4DB63C">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5"/>
                <w:highlight w:val="none"/>
              </w:rPr>
              <w:t>配45kW变频器1台</w:t>
            </w:r>
          </w:p>
        </w:tc>
        <w:tc>
          <w:tcPr>
            <w:tcW w:w="404" w:type="pct"/>
            <w:tcMar>
              <w:top w:w="96" w:type="dxa"/>
              <w:left w:w="96" w:type="dxa"/>
              <w:bottom w:w="96" w:type="dxa"/>
              <w:right w:w="96" w:type="dxa"/>
            </w:tcMar>
            <w:vAlign w:val="center"/>
          </w:tcPr>
          <w:p w14:paraId="01D506AD">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highlight w:val="none"/>
              </w:rPr>
            </w:pPr>
          </w:p>
        </w:tc>
        <w:tc>
          <w:tcPr>
            <w:tcW w:w="392" w:type="pct"/>
            <w:tcMar>
              <w:top w:w="96" w:type="dxa"/>
              <w:left w:w="96" w:type="dxa"/>
              <w:bottom w:w="96" w:type="dxa"/>
              <w:right w:w="96" w:type="dxa"/>
            </w:tcMar>
            <w:vAlign w:val="center"/>
          </w:tcPr>
          <w:p w14:paraId="3189DFF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面</w:t>
            </w:r>
          </w:p>
        </w:tc>
        <w:tc>
          <w:tcPr>
            <w:tcW w:w="402" w:type="pct"/>
            <w:tcMar>
              <w:top w:w="96" w:type="dxa"/>
              <w:left w:w="96" w:type="dxa"/>
              <w:bottom w:w="96" w:type="dxa"/>
              <w:right w:w="96" w:type="dxa"/>
            </w:tcMar>
            <w:vAlign w:val="center"/>
          </w:tcPr>
          <w:p w14:paraId="4493F1B4">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position w:val="4"/>
                <w:highlight w:val="none"/>
              </w:rPr>
              <w:t>2</w:t>
            </w:r>
          </w:p>
        </w:tc>
      </w:tr>
      <w:tr w14:paraId="3336A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1" w:type="pct"/>
            <w:tcMar>
              <w:top w:w="96" w:type="dxa"/>
              <w:left w:w="96" w:type="dxa"/>
              <w:bottom w:w="96" w:type="dxa"/>
              <w:right w:w="96" w:type="dxa"/>
            </w:tcMar>
            <w:vAlign w:val="center"/>
          </w:tcPr>
          <w:p w14:paraId="24A62960">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3"/>
                <w:position w:val="4"/>
                <w:highlight w:val="none"/>
              </w:rPr>
              <w:t>12</w:t>
            </w:r>
          </w:p>
        </w:tc>
        <w:tc>
          <w:tcPr>
            <w:tcW w:w="1413" w:type="pct"/>
            <w:tcMar>
              <w:top w:w="96" w:type="dxa"/>
              <w:left w:w="96" w:type="dxa"/>
              <w:bottom w:w="96" w:type="dxa"/>
              <w:right w:w="96" w:type="dxa"/>
            </w:tcMar>
            <w:vAlign w:val="center"/>
          </w:tcPr>
          <w:p w14:paraId="17426D8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变频柜</w:t>
            </w:r>
          </w:p>
        </w:tc>
        <w:tc>
          <w:tcPr>
            <w:tcW w:w="1955" w:type="pct"/>
            <w:tcMar>
              <w:top w:w="96" w:type="dxa"/>
              <w:left w:w="96" w:type="dxa"/>
              <w:bottom w:w="96" w:type="dxa"/>
              <w:right w:w="96" w:type="dxa"/>
            </w:tcMar>
            <w:vAlign w:val="center"/>
          </w:tcPr>
          <w:p w14:paraId="4D4435D6">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5"/>
                <w:highlight w:val="none"/>
              </w:rPr>
              <w:t>配22kW变频器1台</w:t>
            </w:r>
          </w:p>
        </w:tc>
        <w:tc>
          <w:tcPr>
            <w:tcW w:w="404" w:type="pct"/>
            <w:tcMar>
              <w:top w:w="96" w:type="dxa"/>
              <w:left w:w="96" w:type="dxa"/>
              <w:bottom w:w="96" w:type="dxa"/>
              <w:right w:w="96" w:type="dxa"/>
            </w:tcMar>
            <w:vAlign w:val="center"/>
          </w:tcPr>
          <w:p w14:paraId="3DC7EC35">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highlight w:val="none"/>
              </w:rPr>
            </w:pPr>
          </w:p>
        </w:tc>
        <w:tc>
          <w:tcPr>
            <w:tcW w:w="392" w:type="pct"/>
            <w:tcMar>
              <w:top w:w="96" w:type="dxa"/>
              <w:left w:w="96" w:type="dxa"/>
              <w:bottom w:w="96" w:type="dxa"/>
              <w:right w:w="96" w:type="dxa"/>
            </w:tcMar>
            <w:vAlign w:val="center"/>
          </w:tcPr>
          <w:p w14:paraId="457CBCC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面</w:t>
            </w:r>
          </w:p>
        </w:tc>
        <w:tc>
          <w:tcPr>
            <w:tcW w:w="402" w:type="pct"/>
            <w:tcMar>
              <w:top w:w="96" w:type="dxa"/>
              <w:left w:w="96" w:type="dxa"/>
              <w:bottom w:w="96" w:type="dxa"/>
              <w:right w:w="96" w:type="dxa"/>
            </w:tcMar>
            <w:vAlign w:val="center"/>
          </w:tcPr>
          <w:p w14:paraId="09D546B0">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4"/>
                <w:position w:val="4"/>
                <w:highlight w:val="none"/>
              </w:rPr>
              <w:t>1</w:t>
            </w:r>
          </w:p>
        </w:tc>
      </w:tr>
      <w:tr w14:paraId="61936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1" w:type="pct"/>
            <w:tcMar>
              <w:top w:w="96" w:type="dxa"/>
              <w:left w:w="96" w:type="dxa"/>
              <w:bottom w:w="96" w:type="dxa"/>
              <w:right w:w="96" w:type="dxa"/>
            </w:tcMar>
            <w:vAlign w:val="center"/>
          </w:tcPr>
          <w:p w14:paraId="678CDA0E">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6"/>
                <w:highlight w:val="none"/>
              </w:rPr>
              <w:t>13</w:t>
            </w:r>
          </w:p>
        </w:tc>
        <w:tc>
          <w:tcPr>
            <w:tcW w:w="1413" w:type="pct"/>
            <w:tcMar>
              <w:top w:w="96" w:type="dxa"/>
              <w:left w:w="96" w:type="dxa"/>
              <w:bottom w:w="96" w:type="dxa"/>
              <w:right w:w="96" w:type="dxa"/>
            </w:tcMar>
            <w:vAlign w:val="center"/>
          </w:tcPr>
          <w:p w14:paraId="1DA53FA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变频柜</w:t>
            </w:r>
          </w:p>
        </w:tc>
        <w:tc>
          <w:tcPr>
            <w:tcW w:w="1955" w:type="pct"/>
            <w:tcMar>
              <w:top w:w="96" w:type="dxa"/>
              <w:left w:w="96" w:type="dxa"/>
              <w:bottom w:w="96" w:type="dxa"/>
              <w:right w:w="96" w:type="dxa"/>
            </w:tcMar>
            <w:vAlign w:val="center"/>
          </w:tcPr>
          <w:p w14:paraId="6668EE47">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4"/>
                <w:highlight w:val="none"/>
              </w:rPr>
              <w:t>配15kW软启动器1台</w:t>
            </w:r>
          </w:p>
        </w:tc>
        <w:tc>
          <w:tcPr>
            <w:tcW w:w="404" w:type="pct"/>
            <w:tcMar>
              <w:top w:w="96" w:type="dxa"/>
              <w:left w:w="96" w:type="dxa"/>
              <w:bottom w:w="96" w:type="dxa"/>
              <w:right w:w="96" w:type="dxa"/>
            </w:tcMar>
            <w:vAlign w:val="center"/>
          </w:tcPr>
          <w:p w14:paraId="7B67F74C">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highlight w:val="none"/>
              </w:rPr>
            </w:pPr>
          </w:p>
        </w:tc>
        <w:tc>
          <w:tcPr>
            <w:tcW w:w="392" w:type="pct"/>
            <w:tcMar>
              <w:top w:w="96" w:type="dxa"/>
              <w:left w:w="96" w:type="dxa"/>
              <w:bottom w:w="96" w:type="dxa"/>
              <w:right w:w="96" w:type="dxa"/>
            </w:tcMar>
            <w:vAlign w:val="center"/>
          </w:tcPr>
          <w:p w14:paraId="29B825E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面</w:t>
            </w:r>
          </w:p>
        </w:tc>
        <w:tc>
          <w:tcPr>
            <w:tcW w:w="402" w:type="pct"/>
            <w:tcMar>
              <w:top w:w="96" w:type="dxa"/>
              <w:left w:w="96" w:type="dxa"/>
              <w:bottom w:w="96" w:type="dxa"/>
              <w:right w:w="96" w:type="dxa"/>
            </w:tcMar>
            <w:vAlign w:val="center"/>
          </w:tcPr>
          <w:p w14:paraId="4FBD0C19">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4"/>
                <w:position w:val="3"/>
                <w:highlight w:val="none"/>
              </w:rPr>
              <w:t>1</w:t>
            </w:r>
          </w:p>
        </w:tc>
      </w:tr>
      <w:tr w14:paraId="4EB3B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1" w:type="pct"/>
            <w:tcMar>
              <w:top w:w="96" w:type="dxa"/>
              <w:left w:w="96" w:type="dxa"/>
              <w:bottom w:w="96" w:type="dxa"/>
              <w:right w:w="96" w:type="dxa"/>
            </w:tcMar>
            <w:vAlign w:val="center"/>
          </w:tcPr>
          <w:p w14:paraId="3C02D902">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2"/>
                <w:highlight w:val="none"/>
              </w:rPr>
              <w:t>14</w:t>
            </w:r>
          </w:p>
        </w:tc>
        <w:tc>
          <w:tcPr>
            <w:tcW w:w="1413" w:type="pct"/>
            <w:tcMar>
              <w:top w:w="96" w:type="dxa"/>
              <w:left w:w="96" w:type="dxa"/>
              <w:bottom w:w="96" w:type="dxa"/>
              <w:right w:w="96" w:type="dxa"/>
            </w:tcMar>
            <w:vAlign w:val="center"/>
          </w:tcPr>
          <w:p w14:paraId="2CA698F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变频柜</w:t>
            </w:r>
          </w:p>
        </w:tc>
        <w:tc>
          <w:tcPr>
            <w:tcW w:w="1955" w:type="pct"/>
            <w:tcMar>
              <w:top w:w="96" w:type="dxa"/>
              <w:left w:w="96" w:type="dxa"/>
              <w:bottom w:w="96" w:type="dxa"/>
              <w:right w:w="96" w:type="dxa"/>
            </w:tcMar>
            <w:vAlign w:val="center"/>
          </w:tcPr>
          <w:p w14:paraId="083B21D3">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8"/>
                <w:highlight w:val="none"/>
              </w:rPr>
              <w:t>配90kW软启动器1台</w:t>
            </w:r>
          </w:p>
        </w:tc>
        <w:tc>
          <w:tcPr>
            <w:tcW w:w="404" w:type="pct"/>
            <w:tcMar>
              <w:top w:w="96" w:type="dxa"/>
              <w:left w:w="96" w:type="dxa"/>
              <w:bottom w:w="96" w:type="dxa"/>
              <w:right w:w="96" w:type="dxa"/>
            </w:tcMar>
            <w:vAlign w:val="center"/>
          </w:tcPr>
          <w:p w14:paraId="373FE2FF">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highlight w:val="none"/>
              </w:rPr>
            </w:pPr>
          </w:p>
        </w:tc>
        <w:tc>
          <w:tcPr>
            <w:tcW w:w="392" w:type="pct"/>
            <w:tcMar>
              <w:top w:w="96" w:type="dxa"/>
              <w:left w:w="96" w:type="dxa"/>
              <w:bottom w:w="96" w:type="dxa"/>
              <w:right w:w="96" w:type="dxa"/>
            </w:tcMar>
            <w:vAlign w:val="center"/>
          </w:tcPr>
          <w:p w14:paraId="1964CD9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面</w:t>
            </w:r>
          </w:p>
        </w:tc>
        <w:tc>
          <w:tcPr>
            <w:tcW w:w="402" w:type="pct"/>
            <w:tcMar>
              <w:top w:w="96" w:type="dxa"/>
              <w:left w:w="96" w:type="dxa"/>
              <w:bottom w:w="96" w:type="dxa"/>
              <w:right w:w="96" w:type="dxa"/>
            </w:tcMar>
            <w:vAlign w:val="center"/>
          </w:tcPr>
          <w:p w14:paraId="1AFD59A2">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position w:val="3"/>
                <w:highlight w:val="none"/>
              </w:rPr>
              <w:t>2</w:t>
            </w:r>
          </w:p>
        </w:tc>
      </w:tr>
      <w:tr w14:paraId="5A958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1" w:type="pct"/>
            <w:tcMar>
              <w:top w:w="96" w:type="dxa"/>
              <w:left w:w="96" w:type="dxa"/>
              <w:bottom w:w="96" w:type="dxa"/>
              <w:right w:w="96" w:type="dxa"/>
            </w:tcMar>
            <w:vAlign w:val="center"/>
          </w:tcPr>
          <w:p w14:paraId="30CAAF77">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5"/>
                <w:highlight w:val="none"/>
              </w:rPr>
              <w:t>15</w:t>
            </w:r>
          </w:p>
        </w:tc>
        <w:tc>
          <w:tcPr>
            <w:tcW w:w="1413" w:type="pct"/>
            <w:tcMar>
              <w:top w:w="96" w:type="dxa"/>
              <w:left w:w="96" w:type="dxa"/>
              <w:bottom w:w="96" w:type="dxa"/>
              <w:right w:w="96" w:type="dxa"/>
            </w:tcMar>
            <w:vAlign w:val="center"/>
          </w:tcPr>
          <w:p w14:paraId="1E91EC3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泵软启动柜</w:t>
            </w:r>
          </w:p>
        </w:tc>
        <w:tc>
          <w:tcPr>
            <w:tcW w:w="1955" w:type="pct"/>
            <w:tcMar>
              <w:top w:w="96" w:type="dxa"/>
              <w:left w:w="96" w:type="dxa"/>
              <w:bottom w:w="96" w:type="dxa"/>
              <w:right w:w="96" w:type="dxa"/>
            </w:tcMar>
            <w:vAlign w:val="center"/>
          </w:tcPr>
          <w:p w14:paraId="193EFE78">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5"/>
                <w:highlight w:val="none"/>
              </w:rPr>
              <w:t>配45kW软启动器1台</w:t>
            </w:r>
          </w:p>
        </w:tc>
        <w:tc>
          <w:tcPr>
            <w:tcW w:w="404" w:type="pct"/>
            <w:tcMar>
              <w:top w:w="96" w:type="dxa"/>
              <w:left w:w="96" w:type="dxa"/>
              <w:bottom w:w="96" w:type="dxa"/>
              <w:right w:w="96" w:type="dxa"/>
            </w:tcMar>
            <w:vAlign w:val="center"/>
          </w:tcPr>
          <w:p w14:paraId="5E9742C9">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highlight w:val="none"/>
              </w:rPr>
            </w:pPr>
          </w:p>
        </w:tc>
        <w:tc>
          <w:tcPr>
            <w:tcW w:w="392" w:type="pct"/>
            <w:tcMar>
              <w:top w:w="96" w:type="dxa"/>
              <w:left w:w="96" w:type="dxa"/>
              <w:bottom w:w="96" w:type="dxa"/>
              <w:right w:w="96" w:type="dxa"/>
            </w:tcMar>
            <w:vAlign w:val="center"/>
          </w:tcPr>
          <w:p w14:paraId="434C6BE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面</w:t>
            </w:r>
          </w:p>
        </w:tc>
        <w:tc>
          <w:tcPr>
            <w:tcW w:w="402" w:type="pct"/>
            <w:tcMar>
              <w:top w:w="96" w:type="dxa"/>
              <w:left w:w="96" w:type="dxa"/>
              <w:bottom w:w="96" w:type="dxa"/>
              <w:right w:w="96" w:type="dxa"/>
            </w:tcMar>
            <w:vAlign w:val="center"/>
          </w:tcPr>
          <w:p w14:paraId="4EB660DE">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position w:val="4"/>
                <w:highlight w:val="none"/>
              </w:rPr>
              <w:t>2</w:t>
            </w:r>
          </w:p>
        </w:tc>
      </w:tr>
      <w:tr w14:paraId="72826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1" w:type="pct"/>
            <w:tcMar>
              <w:top w:w="96" w:type="dxa"/>
              <w:left w:w="96" w:type="dxa"/>
              <w:bottom w:w="96" w:type="dxa"/>
              <w:right w:w="96" w:type="dxa"/>
            </w:tcMar>
            <w:vAlign w:val="center"/>
          </w:tcPr>
          <w:p w14:paraId="7FC9632B">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2"/>
                <w:position w:val="1"/>
                <w:highlight w:val="none"/>
              </w:rPr>
              <w:t>16</w:t>
            </w:r>
          </w:p>
        </w:tc>
        <w:tc>
          <w:tcPr>
            <w:tcW w:w="1413" w:type="pct"/>
            <w:tcMar>
              <w:top w:w="96" w:type="dxa"/>
              <w:left w:w="96" w:type="dxa"/>
              <w:bottom w:w="96" w:type="dxa"/>
              <w:right w:w="96" w:type="dxa"/>
            </w:tcMar>
            <w:vAlign w:val="center"/>
          </w:tcPr>
          <w:p w14:paraId="61E8154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泵软启动柜</w:t>
            </w:r>
          </w:p>
        </w:tc>
        <w:tc>
          <w:tcPr>
            <w:tcW w:w="1955" w:type="pct"/>
            <w:tcMar>
              <w:top w:w="96" w:type="dxa"/>
              <w:left w:w="96" w:type="dxa"/>
              <w:bottom w:w="96" w:type="dxa"/>
              <w:right w:w="96" w:type="dxa"/>
            </w:tcMar>
            <w:vAlign w:val="center"/>
          </w:tcPr>
          <w:p w14:paraId="029E851D">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8"/>
                <w:highlight w:val="none"/>
              </w:rPr>
              <w:t>配90kW软启动器1台</w:t>
            </w:r>
          </w:p>
        </w:tc>
        <w:tc>
          <w:tcPr>
            <w:tcW w:w="404" w:type="pct"/>
            <w:tcMar>
              <w:top w:w="96" w:type="dxa"/>
              <w:left w:w="96" w:type="dxa"/>
              <w:bottom w:w="96" w:type="dxa"/>
              <w:right w:w="96" w:type="dxa"/>
            </w:tcMar>
            <w:vAlign w:val="center"/>
          </w:tcPr>
          <w:p w14:paraId="4BBA7D61">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highlight w:val="none"/>
              </w:rPr>
            </w:pPr>
          </w:p>
        </w:tc>
        <w:tc>
          <w:tcPr>
            <w:tcW w:w="392" w:type="pct"/>
            <w:tcMar>
              <w:top w:w="96" w:type="dxa"/>
              <w:left w:w="96" w:type="dxa"/>
              <w:bottom w:w="96" w:type="dxa"/>
              <w:right w:w="96" w:type="dxa"/>
            </w:tcMar>
            <w:vAlign w:val="center"/>
          </w:tcPr>
          <w:p w14:paraId="244FF71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面</w:t>
            </w:r>
          </w:p>
        </w:tc>
        <w:tc>
          <w:tcPr>
            <w:tcW w:w="402" w:type="pct"/>
            <w:tcMar>
              <w:top w:w="96" w:type="dxa"/>
              <w:left w:w="96" w:type="dxa"/>
              <w:bottom w:w="96" w:type="dxa"/>
              <w:right w:w="96" w:type="dxa"/>
            </w:tcMar>
            <w:vAlign w:val="center"/>
          </w:tcPr>
          <w:p w14:paraId="28F82F06">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1"/>
                <w:highlight w:val="none"/>
              </w:rPr>
              <w:t>3</w:t>
            </w:r>
          </w:p>
        </w:tc>
      </w:tr>
      <w:tr w14:paraId="4C622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1" w:type="pct"/>
            <w:tcMar>
              <w:top w:w="96" w:type="dxa"/>
              <w:left w:w="96" w:type="dxa"/>
              <w:bottom w:w="96" w:type="dxa"/>
              <w:right w:w="96" w:type="dxa"/>
            </w:tcMar>
            <w:vAlign w:val="center"/>
          </w:tcPr>
          <w:p w14:paraId="49CCEEB9">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5"/>
                <w:highlight w:val="none"/>
              </w:rPr>
              <w:t>17</w:t>
            </w:r>
          </w:p>
        </w:tc>
        <w:tc>
          <w:tcPr>
            <w:tcW w:w="1413" w:type="pct"/>
            <w:tcMar>
              <w:top w:w="96" w:type="dxa"/>
              <w:left w:w="96" w:type="dxa"/>
              <w:bottom w:w="96" w:type="dxa"/>
              <w:right w:w="96" w:type="dxa"/>
            </w:tcMar>
            <w:vAlign w:val="center"/>
          </w:tcPr>
          <w:p w14:paraId="7554334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有源滤波柜</w:t>
            </w:r>
          </w:p>
        </w:tc>
        <w:tc>
          <w:tcPr>
            <w:tcW w:w="1955" w:type="pct"/>
            <w:tcMar>
              <w:top w:w="96" w:type="dxa"/>
              <w:left w:w="96" w:type="dxa"/>
              <w:bottom w:w="96" w:type="dxa"/>
              <w:right w:w="96" w:type="dxa"/>
            </w:tcMar>
            <w:vAlign w:val="center"/>
          </w:tcPr>
          <w:p w14:paraId="51193D0B">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5"/>
                <w:highlight w:val="none"/>
              </w:rPr>
              <w:t>100A</w:t>
            </w:r>
          </w:p>
        </w:tc>
        <w:tc>
          <w:tcPr>
            <w:tcW w:w="404" w:type="pct"/>
            <w:tcMar>
              <w:top w:w="96" w:type="dxa"/>
              <w:left w:w="96" w:type="dxa"/>
              <w:bottom w:w="96" w:type="dxa"/>
              <w:right w:w="96" w:type="dxa"/>
            </w:tcMar>
            <w:vAlign w:val="center"/>
          </w:tcPr>
          <w:p w14:paraId="0B69A053">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highlight w:val="none"/>
              </w:rPr>
            </w:pPr>
          </w:p>
        </w:tc>
        <w:tc>
          <w:tcPr>
            <w:tcW w:w="392" w:type="pct"/>
            <w:tcMar>
              <w:top w:w="96" w:type="dxa"/>
              <w:left w:w="96" w:type="dxa"/>
              <w:bottom w:w="96" w:type="dxa"/>
              <w:right w:w="96" w:type="dxa"/>
            </w:tcMar>
            <w:vAlign w:val="center"/>
          </w:tcPr>
          <w:p w14:paraId="3DBBDF1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套</w:t>
            </w:r>
          </w:p>
        </w:tc>
        <w:tc>
          <w:tcPr>
            <w:tcW w:w="402" w:type="pct"/>
            <w:tcMar>
              <w:top w:w="96" w:type="dxa"/>
              <w:left w:w="96" w:type="dxa"/>
              <w:bottom w:w="96" w:type="dxa"/>
              <w:right w:w="96" w:type="dxa"/>
            </w:tcMar>
            <w:vAlign w:val="center"/>
          </w:tcPr>
          <w:p w14:paraId="2E83415D">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highlight w:val="none"/>
              </w:rPr>
              <w:t>5</w:t>
            </w:r>
          </w:p>
        </w:tc>
      </w:tr>
      <w:tr w14:paraId="0FCE0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1" w:type="pct"/>
            <w:tcMar>
              <w:top w:w="96" w:type="dxa"/>
              <w:left w:w="96" w:type="dxa"/>
              <w:bottom w:w="96" w:type="dxa"/>
              <w:right w:w="96" w:type="dxa"/>
            </w:tcMar>
            <w:vAlign w:val="center"/>
          </w:tcPr>
          <w:p w14:paraId="714CE968">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2"/>
                <w:position w:val="2"/>
                <w:highlight w:val="none"/>
              </w:rPr>
              <w:t>18</w:t>
            </w:r>
          </w:p>
        </w:tc>
        <w:tc>
          <w:tcPr>
            <w:tcW w:w="1413" w:type="pct"/>
            <w:tcMar>
              <w:top w:w="96" w:type="dxa"/>
              <w:left w:w="96" w:type="dxa"/>
              <w:bottom w:w="96" w:type="dxa"/>
              <w:right w:w="96" w:type="dxa"/>
            </w:tcMar>
            <w:vAlign w:val="center"/>
          </w:tcPr>
          <w:p w14:paraId="66659EE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有源滤波柜</w:t>
            </w:r>
          </w:p>
        </w:tc>
        <w:tc>
          <w:tcPr>
            <w:tcW w:w="1955" w:type="pct"/>
            <w:tcMar>
              <w:top w:w="96" w:type="dxa"/>
              <w:left w:w="96" w:type="dxa"/>
              <w:bottom w:w="96" w:type="dxa"/>
              <w:right w:w="96" w:type="dxa"/>
            </w:tcMar>
            <w:vAlign w:val="center"/>
          </w:tcPr>
          <w:p w14:paraId="64FFDF3C">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3"/>
                <w:position w:val="2"/>
                <w:highlight w:val="none"/>
              </w:rPr>
              <w:t>50A</w:t>
            </w:r>
          </w:p>
        </w:tc>
        <w:tc>
          <w:tcPr>
            <w:tcW w:w="404" w:type="pct"/>
            <w:tcMar>
              <w:top w:w="96" w:type="dxa"/>
              <w:left w:w="96" w:type="dxa"/>
              <w:bottom w:w="96" w:type="dxa"/>
              <w:right w:w="96" w:type="dxa"/>
            </w:tcMar>
            <w:vAlign w:val="center"/>
          </w:tcPr>
          <w:p w14:paraId="518334A6">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highlight w:val="none"/>
              </w:rPr>
            </w:pPr>
          </w:p>
        </w:tc>
        <w:tc>
          <w:tcPr>
            <w:tcW w:w="392" w:type="pct"/>
            <w:tcMar>
              <w:top w:w="96" w:type="dxa"/>
              <w:left w:w="96" w:type="dxa"/>
              <w:bottom w:w="96" w:type="dxa"/>
              <w:right w:w="96" w:type="dxa"/>
            </w:tcMar>
            <w:vAlign w:val="center"/>
          </w:tcPr>
          <w:p w14:paraId="611681E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套</w:t>
            </w:r>
          </w:p>
        </w:tc>
        <w:tc>
          <w:tcPr>
            <w:tcW w:w="402" w:type="pct"/>
            <w:tcMar>
              <w:top w:w="96" w:type="dxa"/>
              <w:left w:w="96" w:type="dxa"/>
              <w:bottom w:w="96" w:type="dxa"/>
              <w:right w:w="96" w:type="dxa"/>
            </w:tcMar>
            <w:vAlign w:val="center"/>
          </w:tcPr>
          <w:p w14:paraId="42CB2C13">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position w:val="4"/>
                <w:highlight w:val="none"/>
              </w:rPr>
              <w:t>2</w:t>
            </w:r>
          </w:p>
        </w:tc>
      </w:tr>
      <w:tr w14:paraId="187D1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1" w:type="pct"/>
            <w:tcMar>
              <w:top w:w="96" w:type="dxa"/>
              <w:left w:w="96" w:type="dxa"/>
              <w:bottom w:w="96" w:type="dxa"/>
              <w:right w:w="96" w:type="dxa"/>
            </w:tcMar>
            <w:vAlign w:val="center"/>
          </w:tcPr>
          <w:p w14:paraId="455255AD">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2"/>
                <w:highlight w:val="none"/>
              </w:rPr>
              <w:t>19</w:t>
            </w:r>
          </w:p>
        </w:tc>
        <w:tc>
          <w:tcPr>
            <w:tcW w:w="1413" w:type="pct"/>
            <w:tcMar>
              <w:top w:w="96" w:type="dxa"/>
              <w:left w:w="96" w:type="dxa"/>
              <w:bottom w:w="96" w:type="dxa"/>
              <w:right w:w="96" w:type="dxa"/>
            </w:tcMar>
            <w:vAlign w:val="center"/>
          </w:tcPr>
          <w:p w14:paraId="47F0355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有源滤波柜</w:t>
            </w:r>
          </w:p>
        </w:tc>
        <w:tc>
          <w:tcPr>
            <w:tcW w:w="1955" w:type="pct"/>
            <w:tcMar>
              <w:top w:w="96" w:type="dxa"/>
              <w:left w:w="96" w:type="dxa"/>
              <w:bottom w:w="96" w:type="dxa"/>
              <w:right w:w="96" w:type="dxa"/>
            </w:tcMar>
            <w:vAlign w:val="center"/>
          </w:tcPr>
          <w:p w14:paraId="2DDA3F82">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position w:val="2"/>
                <w:highlight w:val="none"/>
              </w:rPr>
              <w:t>250A</w:t>
            </w:r>
          </w:p>
        </w:tc>
        <w:tc>
          <w:tcPr>
            <w:tcW w:w="404" w:type="pct"/>
            <w:tcMar>
              <w:top w:w="96" w:type="dxa"/>
              <w:left w:w="96" w:type="dxa"/>
              <w:bottom w:w="96" w:type="dxa"/>
              <w:right w:w="96" w:type="dxa"/>
            </w:tcMar>
            <w:vAlign w:val="center"/>
          </w:tcPr>
          <w:p w14:paraId="73263ED2">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highlight w:val="none"/>
              </w:rPr>
            </w:pPr>
          </w:p>
        </w:tc>
        <w:tc>
          <w:tcPr>
            <w:tcW w:w="392" w:type="pct"/>
            <w:tcMar>
              <w:top w:w="96" w:type="dxa"/>
              <w:left w:w="96" w:type="dxa"/>
              <w:bottom w:w="96" w:type="dxa"/>
              <w:right w:w="96" w:type="dxa"/>
            </w:tcMar>
            <w:vAlign w:val="center"/>
          </w:tcPr>
          <w:p w14:paraId="0F1EF26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套</w:t>
            </w:r>
          </w:p>
        </w:tc>
        <w:tc>
          <w:tcPr>
            <w:tcW w:w="402" w:type="pct"/>
            <w:tcMar>
              <w:top w:w="96" w:type="dxa"/>
              <w:left w:w="96" w:type="dxa"/>
              <w:bottom w:w="96" w:type="dxa"/>
              <w:right w:w="96" w:type="dxa"/>
            </w:tcMar>
            <w:vAlign w:val="center"/>
          </w:tcPr>
          <w:p w14:paraId="7E948299">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position w:val="4"/>
                <w:highlight w:val="none"/>
              </w:rPr>
              <w:t>2</w:t>
            </w:r>
          </w:p>
        </w:tc>
      </w:tr>
      <w:tr w14:paraId="763D3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1" w:type="pct"/>
            <w:tcMar>
              <w:top w:w="96" w:type="dxa"/>
              <w:left w:w="96" w:type="dxa"/>
              <w:bottom w:w="96" w:type="dxa"/>
              <w:right w:w="96" w:type="dxa"/>
            </w:tcMar>
            <w:vAlign w:val="center"/>
          </w:tcPr>
          <w:p w14:paraId="524CBC55">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1"/>
                <w:position w:val="4"/>
                <w:highlight w:val="none"/>
              </w:rPr>
              <w:t>20</w:t>
            </w:r>
          </w:p>
        </w:tc>
        <w:tc>
          <w:tcPr>
            <w:tcW w:w="1413" w:type="pct"/>
            <w:tcMar>
              <w:top w:w="96" w:type="dxa"/>
              <w:left w:w="96" w:type="dxa"/>
              <w:bottom w:w="96" w:type="dxa"/>
              <w:right w:w="96" w:type="dxa"/>
            </w:tcMar>
            <w:vAlign w:val="center"/>
          </w:tcPr>
          <w:p w14:paraId="7A8AB9F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5"/>
                <w:sz w:val="21"/>
                <w:szCs w:val="21"/>
                <w:highlight w:val="none"/>
              </w:rPr>
              <w:t>动力柜</w:t>
            </w:r>
          </w:p>
        </w:tc>
        <w:tc>
          <w:tcPr>
            <w:tcW w:w="1955" w:type="pct"/>
            <w:tcMar>
              <w:top w:w="96" w:type="dxa"/>
              <w:left w:w="96" w:type="dxa"/>
              <w:bottom w:w="96" w:type="dxa"/>
              <w:right w:w="96" w:type="dxa"/>
            </w:tcMar>
            <w:vAlign w:val="center"/>
          </w:tcPr>
          <w:p w14:paraId="0765A734">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highlight w:val="none"/>
              </w:rPr>
              <w:t>XL</w:t>
            </w:r>
            <w:r>
              <w:rPr>
                <w:rFonts w:hint="default" w:ascii="Times New Roman" w:hAnsi="Times New Roman" w:eastAsia="楷体" w:cs="Times New Roman"/>
                <w:b w:val="0"/>
                <w:bCs w:val="0"/>
                <w:color w:val="auto"/>
                <w:spacing w:val="9"/>
                <w:highlight w:val="none"/>
              </w:rPr>
              <w:t>-21型</w:t>
            </w:r>
          </w:p>
        </w:tc>
        <w:tc>
          <w:tcPr>
            <w:tcW w:w="404" w:type="pct"/>
            <w:tcMar>
              <w:top w:w="96" w:type="dxa"/>
              <w:left w:w="96" w:type="dxa"/>
              <w:bottom w:w="96" w:type="dxa"/>
              <w:right w:w="96" w:type="dxa"/>
            </w:tcMar>
            <w:vAlign w:val="center"/>
          </w:tcPr>
          <w:p w14:paraId="7F0BA153">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highlight w:val="none"/>
              </w:rPr>
            </w:pPr>
          </w:p>
        </w:tc>
        <w:tc>
          <w:tcPr>
            <w:tcW w:w="392" w:type="pct"/>
            <w:tcMar>
              <w:top w:w="96" w:type="dxa"/>
              <w:left w:w="96" w:type="dxa"/>
              <w:bottom w:w="96" w:type="dxa"/>
              <w:right w:w="96" w:type="dxa"/>
            </w:tcMar>
            <w:vAlign w:val="center"/>
          </w:tcPr>
          <w:p w14:paraId="2C626A4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面</w:t>
            </w:r>
          </w:p>
        </w:tc>
        <w:tc>
          <w:tcPr>
            <w:tcW w:w="402" w:type="pct"/>
            <w:tcMar>
              <w:top w:w="96" w:type="dxa"/>
              <w:left w:w="96" w:type="dxa"/>
              <w:bottom w:w="96" w:type="dxa"/>
              <w:right w:w="96" w:type="dxa"/>
            </w:tcMar>
            <w:vAlign w:val="center"/>
          </w:tcPr>
          <w:p w14:paraId="41483378">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highlight w:val="none"/>
              </w:rPr>
              <w:t>4</w:t>
            </w:r>
          </w:p>
        </w:tc>
      </w:tr>
      <w:tr w14:paraId="64B1B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1" w:type="pct"/>
            <w:tcMar>
              <w:top w:w="96" w:type="dxa"/>
              <w:left w:w="96" w:type="dxa"/>
              <w:bottom w:w="96" w:type="dxa"/>
              <w:right w:w="96" w:type="dxa"/>
            </w:tcMar>
            <w:vAlign w:val="center"/>
          </w:tcPr>
          <w:p w14:paraId="4E0C2C3A">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14"/>
                <w:position w:val="4"/>
                <w:highlight w:val="none"/>
              </w:rPr>
              <w:t>21</w:t>
            </w:r>
          </w:p>
        </w:tc>
        <w:tc>
          <w:tcPr>
            <w:tcW w:w="1413" w:type="pct"/>
            <w:tcMar>
              <w:top w:w="96" w:type="dxa"/>
              <w:left w:w="96" w:type="dxa"/>
              <w:bottom w:w="96" w:type="dxa"/>
              <w:right w:w="96" w:type="dxa"/>
            </w:tcMar>
            <w:vAlign w:val="center"/>
          </w:tcPr>
          <w:p w14:paraId="7651593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12"/>
                <w:sz w:val="21"/>
                <w:szCs w:val="21"/>
                <w:highlight w:val="none"/>
              </w:rPr>
              <w:t>电源箱</w:t>
            </w:r>
          </w:p>
        </w:tc>
        <w:tc>
          <w:tcPr>
            <w:tcW w:w="1955" w:type="pct"/>
            <w:tcMar>
              <w:top w:w="96" w:type="dxa"/>
              <w:left w:w="96" w:type="dxa"/>
              <w:bottom w:w="96" w:type="dxa"/>
              <w:right w:w="96" w:type="dxa"/>
            </w:tcMar>
            <w:vAlign w:val="center"/>
          </w:tcPr>
          <w:p w14:paraId="21662017">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聚碳酸酯防水型箱体</w:t>
            </w:r>
          </w:p>
        </w:tc>
        <w:tc>
          <w:tcPr>
            <w:tcW w:w="404" w:type="pct"/>
            <w:tcMar>
              <w:top w:w="96" w:type="dxa"/>
              <w:left w:w="96" w:type="dxa"/>
              <w:bottom w:w="96" w:type="dxa"/>
              <w:right w:w="96" w:type="dxa"/>
            </w:tcMar>
            <w:vAlign w:val="center"/>
          </w:tcPr>
          <w:p w14:paraId="41D9F8E4">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highlight w:val="none"/>
              </w:rPr>
            </w:pPr>
          </w:p>
        </w:tc>
        <w:tc>
          <w:tcPr>
            <w:tcW w:w="392" w:type="pct"/>
            <w:tcMar>
              <w:top w:w="96" w:type="dxa"/>
              <w:left w:w="96" w:type="dxa"/>
              <w:bottom w:w="96" w:type="dxa"/>
              <w:right w:w="96" w:type="dxa"/>
            </w:tcMar>
            <w:vAlign w:val="center"/>
          </w:tcPr>
          <w:p w14:paraId="583EC36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台</w:t>
            </w:r>
          </w:p>
        </w:tc>
        <w:tc>
          <w:tcPr>
            <w:tcW w:w="402" w:type="pct"/>
            <w:tcMar>
              <w:top w:w="96" w:type="dxa"/>
              <w:left w:w="96" w:type="dxa"/>
              <w:bottom w:w="96" w:type="dxa"/>
              <w:right w:w="96" w:type="dxa"/>
            </w:tcMar>
            <w:vAlign w:val="center"/>
          </w:tcPr>
          <w:p w14:paraId="1064B765">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1"/>
                <w:position w:val="4"/>
                <w:highlight w:val="none"/>
              </w:rPr>
              <w:t>20</w:t>
            </w:r>
          </w:p>
        </w:tc>
      </w:tr>
      <w:tr w14:paraId="67103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1" w:type="pct"/>
            <w:tcMar>
              <w:top w:w="96" w:type="dxa"/>
              <w:left w:w="96" w:type="dxa"/>
              <w:bottom w:w="96" w:type="dxa"/>
              <w:right w:w="96" w:type="dxa"/>
            </w:tcMar>
            <w:vAlign w:val="center"/>
          </w:tcPr>
          <w:p w14:paraId="77B891A4">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1"/>
                <w:position w:val="3"/>
                <w:highlight w:val="none"/>
              </w:rPr>
              <w:t>22</w:t>
            </w:r>
          </w:p>
        </w:tc>
        <w:tc>
          <w:tcPr>
            <w:tcW w:w="1413" w:type="pct"/>
            <w:tcMar>
              <w:top w:w="96" w:type="dxa"/>
              <w:left w:w="96" w:type="dxa"/>
              <w:bottom w:w="96" w:type="dxa"/>
              <w:right w:w="96" w:type="dxa"/>
            </w:tcMar>
            <w:vAlign w:val="center"/>
          </w:tcPr>
          <w:p w14:paraId="4B7B73EC">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9"/>
                <w:highlight w:val="none"/>
              </w:rPr>
              <w:t>电动阀/闸门配电箱</w:t>
            </w:r>
          </w:p>
        </w:tc>
        <w:tc>
          <w:tcPr>
            <w:tcW w:w="1955" w:type="pct"/>
            <w:tcMar>
              <w:top w:w="96" w:type="dxa"/>
              <w:left w:w="96" w:type="dxa"/>
              <w:bottom w:w="96" w:type="dxa"/>
              <w:right w:w="96" w:type="dxa"/>
            </w:tcMar>
            <w:vAlign w:val="center"/>
          </w:tcPr>
          <w:p w14:paraId="0CD80AD2">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聚碳酸酯防水型箱体</w:t>
            </w:r>
          </w:p>
        </w:tc>
        <w:tc>
          <w:tcPr>
            <w:tcW w:w="404" w:type="pct"/>
            <w:tcMar>
              <w:top w:w="96" w:type="dxa"/>
              <w:left w:w="96" w:type="dxa"/>
              <w:bottom w:w="96" w:type="dxa"/>
              <w:right w:w="96" w:type="dxa"/>
            </w:tcMar>
            <w:vAlign w:val="center"/>
          </w:tcPr>
          <w:p w14:paraId="02DE8945">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highlight w:val="none"/>
              </w:rPr>
            </w:pPr>
          </w:p>
        </w:tc>
        <w:tc>
          <w:tcPr>
            <w:tcW w:w="392" w:type="pct"/>
            <w:tcMar>
              <w:top w:w="96" w:type="dxa"/>
              <w:left w:w="96" w:type="dxa"/>
              <w:bottom w:w="96" w:type="dxa"/>
              <w:right w:w="96" w:type="dxa"/>
            </w:tcMar>
            <w:vAlign w:val="center"/>
          </w:tcPr>
          <w:p w14:paraId="3546C76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台</w:t>
            </w:r>
          </w:p>
        </w:tc>
        <w:tc>
          <w:tcPr>
            <w:tcW w:w="402" w:type="pct"/>
            <w:tcMar>
              <w:top w:w="96" w:type="dxa"/>
              <w:left w:w="96" w:type="dxa"/>
              <w:bottom w:w="96" w:type="dxa"/>
              <w:right w:w="96" w:type="dxa"/>
            </w:tcMar>
            <w:vAlign w:val="center"/>
          </w:tcPr>
          <w:p w14:paraId="7CF5CE41">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2"/>
                <w:position w:val="4"/>
                <w:highlight w:val="none"/>
              </w:rPr>
              <w:t>10</w:t>
            </w:r>
          </w:p>
        </w:tc>
      </w:tr>
      <w:tr w14:paraId="3318F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1" w:type="pct"/>
            <w:tcMar>
              <w:top w:w="96" w:type="dxa"/>
              <w:left w:w="96" w:type="dxa"/>
              <w:bottom w:w="96" w:type="dxa"/>
              <w:right w:w="96" w:type="dxa"/>
            </w:tcMar>
            <w:vAlign w:val="center"/>
          </w:tcPr>
          <w:p w14:paraId="5D72A677">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4"/>
                <w:highlight w:val="none"/>
              </w:rPr>
              <w:t>23</w:t>
            </w:r>
          </w:p>
        </w:tc>
        <w:tc>
          <w:tcPr>
            <w:tcW w:w="1413" w:type="pct"/>
            <w:tcMar>
              <w:top w:w="96" w:type="dxa"/>
              <w:left w:w="96" w:type="dxa"/>
              <w:bottom w:w="96" w:type="dxa"/>
              <w:right w:w="96" w:type="dxa"/>
            </w:tcMar>
            <w:vAlign w:val="center"/>
          </w:tcPr>
          <w:p w14:paraId="4040197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机旁操作箱（兼接线箱）</w:t>
            </w:r>
          </w:p>
        </w:tc>
        <w:tc>
          <w:tcPr>
            <w:tcW w:w="1955" w:type="pct"/>
            <w:tcMar>
              <w:top w:w="96" w:type="dxa"/>
              <w:left w:w="96" w:type="dxa"/>
              <w:bottom w:w="96" w:type="dxa"/>
              <w:right w:w="96" w:type="dxa"/>
            </w:tcMar>
            <w:vAlign w:val="center"/>
          </w:tcPr>
          <w:p w14:paraId="1559B495">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2"/>
                <w:highlight w:val="none"/>
              </w:rPr>
              <w:t>聚碳酸酯防水型箱体配</w:t>
            </w:r>
            <w:r>
              <w:rPr>
                <w:rFonts w:hint="default" w:ascii="Times New Roman" w:hAnsi="Times New Roman" w:eastAsia="楷体" w:cs="Times New Roman"/>
                <w:b w:val="0"/>
                <w:bCs w:val="0"/>
                <w:color w:val="auto"/>
                <w:spacing w:val="-49"/>
                <w:highlight w:val="none"/>
              </w:rPr>
              <w:t xml:space="preserve"> </w:t>
            </w:r>
            <w:r>
              <w:rPr>
                <w:rFonts w:hint="default" w:ascii="Times New Roman" w:hAnsi="Times New Roman" w:eastAsia="楷体" w:cs="Times New Roman"/>
                <w:b w:val="0"/>
                <w:bCs w:val="0"/>
                <w:color w:val="auto"/>
                <w:spacing w:val="-2"/>
                <w:highlight w:val="none"/>
              </w:rPr>
              <w:t>LA39系列</w:t>
            </w:r>
          </w:p>
          <w:p w14:paraId="1DC7CF35">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5"/>
                <w:sz w:val="21"/>
                <w:szCs w:val="21"/>
                <w:highlight w:val="none"/>
              </w:rPr>
              <w:t>防水按钮及信号灯</w:t>
            </w:r>
          </w:p>
        </w:tc>
        <w:tc>
          <w:tcPr>
            <w:tcW w:w="404" w:type="pct"/>
            <w:tcMar>
              <w:top w:w="96" w:type="dxa"/>
              <w:left w:w="96" w:type="dxa"/>
              <w:bottom w:w="96" w:type="dxa"/>
              <w:right w:w="96" w:type="dxa"/>
            </w:tcMar>
            <w:vAlign w:val="center"/>
          </w:tcPr>
          <w:p w14:paraId="71CBB87B">
            <w:pPr>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sz w:val="21"/>
                <w:highlight w:val="none"/>
              </w:rPr>
            </w:pPr>
          </w:p>
        </w:tc>
        <w:tc>
          <w:tcPr>
            <w:tcW w:w="392" w:type="pct"/>
            <w:tcMar>
              <w:top w:w="96" w:type="dxa"/>
              <w:left w:w="96" w:type="dxa"/>
              <w:bottom w:w="96" w:type="dxa"/>
              <w:right w:w="96" w:type="dxa"/>
            </w:tcMar>
            <w:vAlign w:val="center"/>
          </w:tcPr>
          <w:p w14:paraId="526325E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个</w:t>
            </w:r>
          </w:p>
        </w:tc>
        <w:tc>
          <w:tcPr>
            <w:tcW w:w="402" w:type="pct"/>
            <w:tcMar>
              <w:top w:w="96" w:type="dxa"/>
              <w:left w:w="96" w:type="dxa"/>
              <w:bottom w:w="96" w:type="dxa"/>
              <w:right w:w="96" w:type="dxa"/>
            </w:tcMar>
            <w:vAlign w:val="center"/>
          </w:tcPr>
          <w:p w14:paraId="53037157">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3"/>
                <w:w w:val="97"/>
                <w:highlight w:val="none"/>
              </w:rPr>
              <w:t>97</w:t>
            </w:r>
          </w:p>
        </w:tc>
      </w:tr>
      <w:tr w14:paraId="00BDC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31" w:type="pct"/>
            <w:tcMar>
              <w:top w:w="96" w:type="dxa"/>
              <w:left w:w="96" w:type="dxa"/>
              <w:bottom w:w="96" w:type="dxa"/>
              <w:right w:w="96" w:type="dxa"/>
            </w:tcMar>
            <w:vAlign w:val="center"/>
          </w:tcPr>
          <w:p w14:paraId="10BF9748">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1"/>
                <w:highlight w:val="none"/>
              </w:rPr>
              <w:t>24</w:t>
            </w:r>
          </w:p>
        </w:tc>
        <w:tc>
          <w:tcPr>
            <w:tcW w:w="1413" w:type="pct"/>
            <w:tcMar>
              <w:top w:w="96" w:type="dxa"/>
              <w:left w:w="96" w:type="dxa"/>
              <w:bottom w:w="96" w:type="dxa"/>
              <w:right w:w="96" w:type="dxa"/>
            </w:tcMar>
            <w:vAlign w:val="center"/>
          </w:tcPr>
          <w:p w14:paraId="152FE94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6"/>
                <w:sz w:val="21"/>
                <w:szCs w:val="21"/>
                <w:highlight w:val="none"/>
              </w:rPr>
              <w:t>路灯</w:t>
            </w:r>
          </w:p>
        </w:tc>
        <w:tc>
          <w:tcPr>
            <w:tcW w:w="1955" w:type="pct"/>
            <w:tcMar>
              <w:top w:w="96" w:type="dxa"/>
              <w:left w:w="96" w:type="dxa"/>
              <w:bottom w:w="96" w:type="dxa"/>
              <w:right w:w="96" w:type="dxa"/>
            </w:tcMar>
            <w:vAlign w:val="center"/>
          </w:tcPr>
          <w:p w14:paraId="792B0008">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7"/>
                <w:highlight w:val="none"/>
              </w:rPr>
              <w:t>灯杆高度：H=8m</w:t>
            </w:r>
            <w:r>
              <w:rPr>
                <w:rFonts w:hint="default" w:ascii="Times New Roman" w:hAnsi="Times New Roman" w:eastAsia="楷体" w:cs="Times New Roman"/>
                <w:b w:val="0"/>
                <w:bCs w:val="0"/>
                <w:color w:val="auto"/>
                <w:spacing w:val="18"/>
                <w:highlight w:val="none"/>
              </w:rPr>
              <w:t xml:space="preserve"> </w:t>
            </w:r>
            <w:r>
              <w:rPr>
                <w:rFonts w:hint="default" w:ascii="Times New Roman" w:hAnsi="Times New Roman" w:eastAsia="楷体" w:cs="Times New Roman"/>
                <w:b w:val="0"/>
                <w:bCs w:val="0"/>
                <w:color w:val="auto"/>
                <w:spacing w:val="-7"/>
                <w:highlight w:val="none"/>
              </w:rPr>
              <w:t>150W</w:t>
            </w:r>
          </w:p>
        </w:tc>
        <w:tc>
          <w:tcPr>
            <w:tcW w:w="404" w:type="pct"/>
            <w:tcMar>
              <w:top w:w="96" w:type="dxa"/>
              <w:left w:w="96" w:type="dxa"/>
              <w:bottom w:w="96" w:type="dxa"/>
              <w:right w:w="96" w:type="dxa"/>
            </w:tcMar>
            <w:vAlign w:val="center"/>
          </w:tcPr>
          <w:p w14:paraId="3F76C40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highlight w:val="none"/>
              </w:rPr>
            </w:pPr>
          </w:p>
        </w:tc>
        <w:tc>
          <w:tcPr>
            <w:tcW w:w="392" w:type="pct"/>
            <w:tcMar>
              <w:top w:w="96" w:type="dxa"/>
              <w:left w:w="96" w:type="dxa"/>
              <w:bottom w:w="96" w:type="dxa"/>
              <w:right w:w="96" w:type="dxa"/>
            </w:tcMar>
            <w:vAlign w:val="center"/>
          </w:tcPr>
          <w:p w14:paraId="40962B2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套</w:t>
            </w:r>
          </w:p>
        </w:tc>
        <w:tc>
          <w:tcPr>
            <w:tcW w:w="402" w:type="pct"/>
            <w:tcMar>
              <w:top w:w="96" w:type="dxa"/>
              <w:left w:w="96" w:type="dxa"/>
              <w:bottom w:w="96" w:type="dxa"/>
              <w:right w:w="96" w:type="dxa"/>
            </w:tcMar>
            <w:vAlign w:val="center"/>
          </w:tcPr>
          <w:p w14:paraId="466416A8">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highlight w:val="none"/>
              </w:rPr>
            </w:pPr>
            <w:r>
              <w:rPr>
                <w:rFonts w:hint="default" w:ascii="Times New Roman" w:hAnsi="Times New Roman" w:eastAsia="楷体" w:cs="Times New Roman"/>
                <w:b w:val="0"/>
                <w:bCs w:val="0"/>
                <w:color w:val="auto"/>
                <w:spacing w:val="5"/>
                <w:highlight w:val="none"/>
              </w:rPr>
              <w:t>125</w:t>
            </w:r>
          </w:p>
        </w:tc>
      </w:tr>
    </w:tbl>
    <w:p w14:paraId="2BE91D0A">
      <w:pPr>
        <w:spacing w:before="100" w:after="100"/>
        <w:ind w:firstLineChars="200"/>
        <w:outlineLvl w:val="9"/>
        <w:rPr>
          <w:rFonts w:hint="default" w:ascii="Times New Roman" w:hAnsi="Times New Roman" w:eastAsia="楷体" w:cs="Times New Roman"/>
          <w:b/>
          <w:bCs/>
          <w:color w:val="auto"/>
          <w:sz w:val="30"/>
          <w:szCs w:val="30"/>
          <w:highlight w:val="none"/>
          <w:lang w:eastAsia="zh-CN"/>
        </w:rPr>
      </w:pPr>
      <w:bookmarkStart w:id="671" w:name="_Toc6082"/>
      <w:r>
        <w:rPr>
          <w:rFonts w:hint="default" w:ascii="Times New Roman" w:hAnsi="Times New Roman" w:eastAsia="楷体" w:cs="Times New Roman"/>
          <w:b/>
          <w:bCs/>
          <w:color w:val="auto"/>
          <w:sz w:val="30"/>
          <w:szCs w:val="30"/>
          <w:highlight w:val="none"/>
          <w:lang w:eastAsia="zh-CN"/>
        </w:rPr>
        <w:t>（</w:t>
      </w:r>
      <w:r>
        <w:rPr>
          <w:rFonts w:hint="default" w:ascii="Times New Roman" w:hAnsi="Times New Roman" w:eastAsia="楷体" w:cs="Times New Roman"/>
          <w:b/>
          <w:bCs/>
          <w:color w:val="auto"/>
          <w:sz w:val="30"/>
          <w:szCs w:val="30"/>
          <w:highlight w:val="none"/>
          <w:lang w:val="en-US" w:eastAsia="zh-CN"/>
        </w:rPr>
        <w:t>5</w:t>
      </w:r>
      <w:r>
        <w:rPr>
          <w:rFonts w:hint="default" w:ascii="Times New Roman" w:hAnsi="Times New Roman" w:eastAsia="楷体" w:cs="Times New Roman"/>
          <w:b/>
          <w:bCs/>
          <w:color w:val="auto"/>
          <w:sz w:val="30"/>
          <w:szCs w:val="30"/>
          <w:highlight w:val="none"/>
          <w:lang w:eastAsia="zh-CN"/>
        </w:rPr>
        <w:t>）</w:t>
      </w:r>
      <w:r>
        <w:rPr>
          <w:rFonts w:hint="default" w:ascii="Times New Roman" w:hAnsi="Times New Roman" w:eastAsia="楷体" w:cs="Times New Roman"/>
          <w:b/>
          <w:bCs/>
          <w:color w:val="auto"/>
          <w:sz w:val="30"/>
          <w:szCs w:val="30"/>
          <w:highlight w:val="none"/>
        </w:rPr>
        <w:t>自控专业</w:t>
      </w:r>
      <w:r>
        <w:rPr>
          <w:rFonts w:hint="default" w:ascii="Times New Roman" w:hAnsi="Times New Roman" w:eastAsia="楷体" w:cs="Times New Roman"/>
          <w:b/>
          <w:bCs/>
          <w:color w:val="auto"/>
          <w:sz w:val="30"/>
          <w:szCs w:val="30"/>
          <w:highlight w:val="none"/>
          <w:lang w:eastAsia="zh-CN"/>
        </w:rPr>
        <w:t>设备</w:t>
      </w:r>
      <w:bookmarkEnd w:id="671"/>
    </w:p>
    <w:tbl>
      <w:tblPr>
        <w:tblStyle w:val="36"/>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35"/>
        <w:gridCol w:w="4030"/>
        <w:gridCol w:w="4387"/>
        <w:gridCol w:w="1003"/>
        <w:gridCol w:w="1831"/>
        <w:gridCol w:w="2077"/>
      </w:tblGrid>
      <w:tr w14:paraId="37B8D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6DB1A0AC">
            <w:pPr>
              <w:keepNext w:val="0"/>
              <w:keepLines w:val="0"/>
              <w:widowControl/>
              <w:suppressLineNumbers w:val="0"/>
              <w:jc w:val="center"/>
              <w:textAlignment w:val="top"/>
              <w:rPr>
                <w:rFonts w:ascii="Times New Roman" w:hAnsi="Times New Roman" w:eastAsia="楷体" w:cs="Times New Roman"/>
                <w:b/>
                <w:bCs/>
                <w:i w:val="0"/>
                <w:iCs w:val="0"/>
                <w:color w:val="auto"/>
                <w:sz w:val="21"/>
                <w:szCs w:val="21"/>
                <w:highlight w:val="none"/>
                <w:u w:val="none"/>
              </w:rPr>
            </w:pPr>
            <w:r>
              <w:rPr>
                <w:rFonts w:hint="default" w:ascii="Times New Roman" w:hAnsi="Times New Roman" w:eastAsia="楷体" w:cs="Times New Roman"/>
                <w:b/>
                <w:bCs/>
                <w:i w:val="0"/>
                <w:iCs w:val="0"/>
                <w:color w:val="auto"/>
                <w:kern w:val="0"/>
                <w:sz w:val="21"/>
                <w:szCs w:val="21"/>
                <w:highlight w:val="none"/>
                <w:u w:val="none"/>
                <w:lang w:val="en-US" w:eastAsia="zh-CN" w:bidi="ar"/>
              </w:rPr>
              <w:t>序号</w:t>
            </w:r>
          </w:p>
        </w:tc>
        <w:tc>
          <w:tcPr>
            <w:tcW w:w="1422" w:type="pct"/>
            <w:shd w:val="clear" w:color="auto" w:fill="auto"/>
            <w:vAlign w:val="center"/>
          </w:tcPr>
          <w:p w14:paraId="228BEC74">
            <w:pPr>
              <w:keepNext w:val="0"/>
              <w:keepLines w:val="0"/>
              <w:widowControl/>
              <w:suppressLineNumbers w:val="0"/>
              <w:jc w:val="center"/>
              <w:textAlignment w:val="top"/>
              <w:rPr>
                <w:rFonts w:hint="default" w:ascii="Times New Roman" w:hAnsi="Times New Roman" w:eastAsia="楷体" w:cs="Times New Roman"/>
                <w:b/>
                <w:bCs/>
                <w:i w:val="0"/>
                <w:iCs w:val="0"/>
                <w:color w:val="auto"/>
                <w:sz w:val="21"/>
                <w:szCs w:val="21"/>
                <w:highlight w:val="none"/>
                <w:u w:val="none"/>
              </w:rPr>
            </w:pPr>
            <w:r>
              <w:rPr>
                <w:rFonts w:hint="default" w:ascii="Times New Roman" w:hAnsi="Times New Roman" w:eastAsia="楷体" w:cs="Times New Roman"/>
                <w:b/>
                <w:bCs/>
                <w:i w:val="0"/>
                <w:iCs w:val="0"/>
                <w:color w:val="auto"/>
                <w:kern w:val="0"/>
                <w:sz w:val="21"/>
                <w:szCs w:val="21"/>
                <w:highlight w:val="none"/>
                <w:u w:val="none"/>
                <w:lang w:val="en-US" w:eastAsia="zh-CN" w:bidi="ar"/>
              </w:rPr>
              <w:t>名称</w:t>
            </w:r>
          </w:p>
        </w:tc>
        <w:tc>
          <w:tcPr>
            <w:tcW w:w="1548" w:type="pct"/>
            <w:shd w:val="clear" w:color="auto" w:fill="auto"/>
            <w:vAlign w:val="center"/>
          </w:tcPr>
          <w:p w14:paraId="18D6A0CD">
            <w:pPr>
              <w:keepNext w:val="0"/>
              <w:keepLines w:val="0"/>
              <w:widowControl/>
              <w:suppressLineNumbers w:val="0"/>
              <w:jc w:val="center"/>
              <w:textAlignment w:val="top"/>
              <w:rPr>
                <w:rFonts w:hint="default" w:ascii="Times New Roman" w:hAnsi="Times New Roman" w:eastAsia="楷体" w:cs="Times New Roman"/>
                <w:b/>
                <w:bCs/>
                <w:i w:val="0"/>
                <w:iCs w:val="0"/>
                <w:color w:val="auto"/>
                <w:sz w:val="21"/>
                <w:szCs w:val="21"/>
                <w:highlight w:val="none"/>
                <w:u w:val="none"/>
              </w:rPr>
            </w:pPr>
            <w:r>
              <w:rPr>
                <w:rFonts w:hint="default" w:ascii="Times New Roman" w:hAnsi="Times New Roman" w:eastAsia="楷体" w:cs="Times New Roman"/>
                <w:b/>
                <w:bCs/>
                <w:i w:val="0"/>
                <w:iCs w:val="0"/>
                <w:color w:val="auto"/>
                <w:kern w:val="0"/>
                <w:sz w:val="21"/>
                <w:szCs w:val="21"/>
                <w:highlight w:val="none"/>
                <w:u w:val="none"/>
                <w:lang w:val="en-US" w:eastAsia="zh-CN" w:bidi="ar"/>
              </w:rPr>
              <w:t>规格及型号</w:t>
            </w:r>
          </w:p>
        </w:tc>
        <w:tc>
          <w:tcPr>
            <w:tcW w:w="354" w:type="pct"/>
            <w:shd w:val="clear" w:color="auto" w:fill="auto"/>
            <w:vAlign w:val="center"/>
          </w:tcPr>
          <w:p w14:paraId="4405145C">
            <w:pPr>
              <w:keepNext w:val="0"/>
              <w:keepLines w:val="0"/>
              <w:widowControl/>
              <w:suppressLineNumbers w:val="0"/>
              <w:jc w:val="center"/>
              <w:textAlignment w:val="top"/>
              <w:rPr>
                <w:rFonts w:hint="default" w:ascii="Times New Roman" w:hAnsi="Times New Roman" w:eastAsia="楷体" w:cs="Times New Roman"/>
                <w:b/>
                <w:bCs/>
                <w:i w:val="0"/>
                <w:iCs w:val="0"/>
                <w:color w:val="auto"/>
                <w:sz w:val="21"/>
                <w:szCs w:val="21"/>
                <w:highlight w:val="none"/>
                <w:u w:val="none"/>
              </w:rPr>
            </w:pPr>
            <w:r>
              <w:rPr>
                <w:rFonts w:hint="default" w:ascii="Times New Roman" w:hAnsi="Times New Roman" w:eastAsia="楷体" w:cs="Times New Roman"/>
                <w:b/>
                <w:bCs/>
                <w:i w:val="0"/>
                <w:iCs w:val="0"/>
                <w:color w:val="auto"/>
                <w:kern w:val="0"/>
                <w:sz w:val="21"/>
                <w:szCs w:val="21"/>
                <w:highlight w:val="none"/>
                <w:u w:val="none"/>
                <w:lang w:val="en-US" w:eastAsia="zh-CN" w:bidi="ar"/>
              </w:rPr>
              <w:t>数量</w:t>
            </w:r>
          </w:p>
        </w:tc>
        <w:tc>
          <w:tcPr>
            <w:tcW w:w="646" w:type="pct"/>
            <w:shd w:val="clear" w:color="auto" w:fill="auto"/>
            <w:vAlign w:val="center"/>
          </w:tcPr>
          <w:p w14:paraId="3B086F3A">
            <w:pPr>
              <w:keepNext w:val="0"/>
              <w:keepLines w:val="0"/>
              <w:widowControl/>
              <w:suppressLineNumbers w:val="0"/>
              <w:jc w:val="center"/>
              <w:textAlignment w:val="top"/>
              <w:rPr>
                <w:rFonts w:hint="default" w:ascii="Times New Roman" w:hAnsi="Times New Roman" w:eastAsia="楷体" w:cs="Times New Roman"/>
                <w:b/>
                <w:bCs/>
                <w:i w:val="0"/>
                <w:iCs w:val="0"/>
                <w:color w:val="auto"/>
                <w:sz w:val="21"/>
                <w:szCs w:val="21"/>
                <w:highlight w:val="none"/>
                <w:u w:val="none"/>
              </w:rPr>
            </w:pPr>
            <w:r>
              <w:rPr>
                <w:rFonts w:hint="default" w:ascii="Times New Roman" w:hAnsi="Times New Roman" w:eastAsia="楷体" w:cs="Times New Roman"/>
                <w:b/>
                <w:bCs/>
                <w:i w:val="0"/>
                <w:iCs w:val="0"/>
                <w:color w:val="auto"/>
                <w:kern w:val="0"/>
                <w:sz w:val="21"/>
                <w:szCs w:val="21"/>
                <w:highlight w:val="none"/>
                <w:u w:val="none"/>
                <w:lang w:val="en-US" w:eastAsia="zh-CN" w:bidi="ar"/>
              </w:rPr>
              <w:t>安装位置</w:t>
            </w:r>
          </w:p>
        </w:tc>
        <w:tc>
          <w:tcPr>
            <w:tcW w:w="733" w:type="pct"/>
            <w:shd w:val="clear" w:color="auto" w:fill="auto"/>
            <w:vAlign w:val="center"/>
          </w:tcPr>
          <w:p w14:paraId="23B38761">
            <w:pPr>
              <w:keepNext w:val="0"/>
              <w:keepLines w:val="0"/>
              <w:widowControl/>
              <w:suppressLineNumbers w:val="0"/>
              <w:jc w:val="center"/>
              <w:textAlignment w:val="top"/>
              <w:rPr>
                <w:rFonts w:hint="default" w:ascii="Times New Roman" w:hAnsi="Times New Roman" w:eastAsia="楷体" w:cs="Times New Roman"/>
                <w:b/>
                <w:bCs/>
                <w:i w:val="0"/>
                <w:iCs w:val="0"/>
                <w:color w:val="auto"/>
                <w:sz w:val="21"/>
                <w:szCs w:val="21"/>
                <w:highlight w:val="none"/>
                <w:u w:val="none"/>
              </w:rPr>
            </w:pPr>
            <w:r>
              <w:rPr>
                <w:rFonts w:hint="default" w:ascii="Times New Roman" w:hAnsi="Times New Roman" w:eastAsia="楷体" w:cs="Times New Roman"/>
                <w:b/>
                <w:bCs/>
                <w:i w:val="0"/>
                <w:iCs w:val="0"/>
                <w:color w:val="auto"/>
                <w:kern w:val="0"/>
                <w:sz w:val="21"/>
                <w:szCs w:val="21"/>
                <w:highlight w:val="none"/>
                <w:u w:val="none"/>
                <w:lang w:val="en-US" w:eastAsia="zh-CN" w:bidi="ar"/>
              </w:rPr>
              <w:t>备注</w:t>
            </w:r>
          </w:p>
        </w:tc>
      </w:tr>
      <w:tr w14:paraId="0A61D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21836731">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一</w:t>
            </w:r>
          </w:p>
        </w:tc>
        <w:tc>
          <w:tcPr>
            <w:tcW w:w="1422" w:type="pct"/>
            <w:shd w:val="clear" w:color="auto" w:fill="auto"/>
            <w:vAlign w:val="center"/>
          </w:tcPr>
          <w:p w14:paraId="66105FE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仪表系统</w:t>
            </w:r>
          </w:p>
        </w:tc>
        <w:tc>
          <w:tcPr>
            <w:tcW w:w="1548" w:type="pct"/>
            <w:shd w:val="clear" w:color="auto" w:fill="auto"/>
            <w:vAlign w:val="center"/>
          </w:tcPr>
          <w:p w14:paraId="09F0F0D2">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142F8164">
            <w:pPr>
              <w:jc w:val="center"/>
              <w:rPr>
                <w:rFonts w:hint="default" w:ascii="Times New Roman" w:hAnsi="Times New Roman" w:eastAsia="楷体" w:cs="Times New Roman"/>
                <w:i w:val="0"/>
                <w:iCs w:val="0"/>
                <w:color w:val="auto"/>
                <w:sz w:val="21"/>
                <w:szCs w:val="21"/>
                <w:highlight w:val="none"/>
                <w:u w:val="none"/>
              </w:rPr>
            </w:pPr>
          </w:p>
        </w:tc>
        <w:tc>
          <w:tcPr>
            <w:tcW w:w="646" w:type="pct"/>
            <w:shd w:val="clear" w:color="auto" w:fill="auto"/>
            <w:vAlign w:val="center"/>
          </w:tcPr>
          <w:p w14:paraId="1AD7BC94">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769A7B30">
            <w:pPr>
              <w:jc w:val="center"/>
              <w:rPr>
                <w:rFonts w:hint="default" w:ascii="Times New Roman" w:hAnsi="Times New Roman" w:eastAsia="楷体" w:cs="Times New Roman"/>
                <w:i w:val="0"/>
                <w:iCs w:val="0"/>
                <w:color w:val="auto"/>
                <w:sz w:val="21"/>
                <w:szCs w:val="21"/>
                <w:highlight w:val="none"/>
                <w:u w:val="none"/>
              </w:rPr>
            </w:pPr>
          </w:p>
        </w:tc>
      </w:tr>
      <w:tr w14:paraId="41A33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7FB9B85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w:t>
            </w:r>
          </w:p>
        </w:tc>
        <w:tc>
          <w:tcPr>
            <w:tcW w:w="1422" w:type="pct"/>
            <w:shd w:val="clear" w:color="auto" w:fill="auto"/>
            <w:vAlign w:val="center"/>
          </w:tcPr>
          <w:p w14:paraId="40326D2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超声波液位差计</w:t>
            </w:r>
          </w:p>
        </w:tc>
        <w:tc>
          <w:tcPr>
            <w:tcW w:w="1548" w:type="pct"/>
            <w:shd w:val="clear" w:color="auto" w:fill="auto"/>
            <w:vAlign w:val="center"/>
          </w:tcPr>
          <w:p w14:paraId="4AB86AE5">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Hmax=10m</w:t>
            </w:r>
          </w:p>
        </w:tc>
        <w:tc>
          <w:tcPr>
            <w:tcW w:w="354" w:type="pct"/>
            <w:shd w:val="clear" w:color="auto" w:fill="auto"/>
            <w:vAlign w:val="center"/>
          </w:tcPr>
          <w:p w14:paraId="416AF2D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3套</w:t>
            </w:r>
          </w:p>
        </w:tc>
        <w:tc>
          <w:tcPr>
            <w:tcW w:w="646" w:type="pct"/>
            <w:shd w:val="clear" w:color="auto" w:fill="auto"/>
            <w:vAlign w:val="center"/>
          </w:tcPr>
          <w:p w14:paraId="20DB7BFD">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中格栅</w:t>
            </w:r>
          </w:p>
        </w:tc>
        <w:tc>
          <w:tcPr>
            <w:tcW w:w="733" w:type="pct"/>
            <w:shd w:val="clear" w:color="auto" w:fill="auto"/>
            <w:vAlign w:val="center"/>
          </w:tcPr>
          <w:p w14:paraId="3ECB08C5">
            <w:pPr>
              <w:jc w:val="center"/>
              <w:rPr>
                <w:rFonts w:hint="default" w:ascii="Times New Roman" w:hAnsi="Times New Roman" w:eastAsia="楷体" w:cs="Times New Roman"/>
                <w:i w:val="0"/>
                <w:iCs w:val="0"/>
                <w:color w:val="auto"/>
                <w:sz w:val="21"/>
                <w:szCs w:val="21"/>
                <w:highlight w:val="none"/>
                <w:u w:val="none"/>
              </w:rPr>
            </w:pPr>
          </w:p>
        </w:tc>
      </w:tr>
      <w:tr w14:paraId="31C8D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7841F2F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w:t>
            </w:r>
          </w:p>
        </w:tc>
        <w:tc>
          <w:tcPr>
            <w:tcW w:w="1422" w:type="pct"/>
            <w:shd w:val="clear" w:color="auto" w:fill="auto"/>
            <w:vAlign w:val="center"/>
          </w:tcPr>
          <w:p w14:paraId="11CE2B7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超声波液位差计</w:t>
            </w:r>
          </w:p>
        </w:tc>
        <w:tc>
          <w:tcPr>
            <w:tcW w:w="1548" w:type="pct"/>
            <w:shd w:val="clear" w:color="auto" w:fill="auto"/>
            <w:vAlign w:val="center"/>
          </w:tcPr>
          <w:p w14:paraId="06B6F544">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Hmax=10m</w:t>
            </w:r>
          </w:p>
        </w:tc>
        <w:tc>
          <w:tcPr>
            <w:tcW w:w="354" w:type="pct"/>
            <w:shd w:val="clear" w:color="auto" w:fill="auto"/>
            <w:vAlign w:val="center"/>
          </w:tcPr>
          <w:p w14:paraId="05B43B4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3套</w:t>
            </w:r>
          </w:p>
        </w:tc>
        <w:tc>
          <w:tcPr>
            <w:tcW w:w="646" w:type="pct"/>
            <w:shd w:val="clear" w:color="auto" w:fill="auto"/>
            <w:vAlign w:val="center"/>
          </w:tcPr>
          <w:p w14:paraId="0050CDE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细格栅</w:t>
            </w:r>
          </w:p>
        </w:tc>
        <w:tc>
          <w:tcPr>
            <w:tcW w:w="733" w:type="pct"/>
            <w:shd w:val="clear" w:color="auto" w:fill="auto"/>
            <w:vAlign w:val="center"/>
          </w:tcPr>
          <w:p w14:paraId="3967A17D">
            <w:pPr>
              <w:jc w:val="center"/>
              <w:rPr>
                <w:rFonts w:hint="default" w:ascii="Times New Roman" w:hAnsi="Times New Roman" w:eastAsia="楷体" w:cs="Times New Roman"/>
                <w:i w:val="0"/>
                <w:iCs w:val="0"/>
                <w:color w:val="auto"/>
                <w:sz w:val="21"/>
                <w:szCs w:val="21"/>
                <w:highlight w:val="none"/>
                <w:u w:val="none"/>
              </w:rPr>
            </w:pPr>
          </w:p>
        </w:tc>
      </w:tr>
      <w:tr w14:paraId="10216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5706376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w:t>
            </w:r>
          </w:p>
        </w:tc>
        <w:tc>
          <w:tcPr>
            <w:tcW w:w="1422" w:type="pct"/>
            <w:shd w:val="clear" w:color="auto" w:fill="auto"/>
            <w:vAlign w:val="center"/>
          </w:tcPr>
          <w:p w14:paraId="5D4F438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硫化氢测定仪</w:t>
            </w:r>
          </w:p>
        </w:tc>
        <w:tc>
          <w:tcPr>
            <w:tcW w:w="1548" w:type="pct"/>
            <w:shd w:val="clear" w:color="auto" w:fill="auto"/>
            <w:vAlign w:val="center"/>
          </w:tcPr>
          <w:p w14:paraId="615AF55B">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0~20mg/m</w:t>
            </w:r>
            <w:r>
              <w:rPr>
                <w:rFonts w:hint="default" w:ascii="Times New Roman" w:hAnsi="Times New Roman" w:eastAsia="楷体" w:cs="Times New Roman"/>
                <w:i w:val="0"/>
                <w:iCs w:val="0"/>
                <w:color w:val="auto"/>
                <w:kern w:val="0"/>
                <w:sz w:val="13"/>
                <w:szCs w:val="13"/>
                <w:highlight w:val="none"/>
                <w:u w:val="none"/>
                <w:lang w:val="en-US" w:eastAsia="zh-CN" w:bidi="ar"/>
              </w:rPr>
              <w:t>3</w:t>
            </w:r>
          </w:p>
        </w:tc>
        <w:tc>
          <w:tcPr>
            <w:tcW w:w="354" w:type="pct"/>
            <w:shd w:val="clear" w:color="auto" w:fill="auto"/>
            <w:vAlign w:val="center"/>
          </w:tcPr>
          <w:p w14:paraId="1269857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2套</w:t>
            </w:r>
          </w:p>
        </w:tc>
        <w:tc>
          <w:tcPr>
            <w:tcW w:w="646" w:type="pct"/>
            <w:shd w:val="clear" w:color="auto" w:fill="auto"/>
            <w:vAlign w:val="center"/>
          </w:tcPr>
          <w:p w14:paraId="28B359C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格栅间</w:t>
            </w:r>
          </w:p>
        </w:tc>
        <w:tc>
          <w:tcPr>
            <w:tcW w:w="733" w:type="pct"/>
            <w:shd w:val="clear" w:color="auto" w:fill="auto"/>
            <w:vAlign w:val="center"/>
          </w:tcPr>
          <w:p w14:paraId="35E68B4F">
            <w:pPr>
              <w:jc w:val="center"/>
              <w:rPr>
                <w:rFonts w:hint="default" w:ascii="Times New Roman" w:hAnsi="Times New Roman" w:eastAsia="楷体" w:cs="Times New Roman"/>
                <w:i w:val="0"/>
                <w:iCs w:val="0"/>
                <w:color w:val="auto"/>
                <w:sz w:val="21"/>
                <w:szCs w:val="21"/>
                <w:highlight w:val="none"/>
                <w:u w:val="none"/>
              </w:rPr>
            </w:pPr>
          </w:p>
        </w:tc>
      </w:tr>
      <w:tr w14:paraId="5CE01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276279D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w:t>
            </w:r>
          </w:p>
        </w:tc>
        <w:tc>
          <w:tcPr>
            <w:tcW w:w="1422" w:type="pct"/>
            <w:shd w:val="clear" w:color="auto" w:fill="auto"/>
            <w:vAlign w:val="center"/>
          </w:tcPr>
          <w:p w14:paraId="4C7CFE41">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PH+温度测定仪</w:t>
            </w:r>
          </w:p>
        </w:tc>
        <w:tc>
          <w:tcPr>
            <w:tcW w:w="1548" w:type="pct"/>
            <w:shd w:val="clear" w:color="auto" w:fill="auto"/>
            <w:vAlign w:val="center"/>
          </w:tcPr>
          <w:p w14:paraId="4F2B33BD">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1~14PH0~50C</w:t>
            </w:r>
          </w:p>
        </w:tc>
        <w:tc>
          <w:tcPr>
            <w:tcW w:w="354" w:type="pct"/>
            <w:shd w:val="clear" w:color="auto" w:fill="auto"/>
            <w:vAlign w:val="center"/>
          </w:tcPr>
          <w:p w14:paraId="20ED6942">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30F678F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进水仪表检测间</w:t>
            </w:r>
          </w:p>
        </w:tc>
        <w:tc>
          <w:tcPr>
            <w:tcW w:w="733" w:type="pct"/>
            <w:shd w:val="clear" w:color="auto" w:fill="auto"/>
            <w:vAlign w:val="center"/>
          </w:tcPr>
          <w:p w14:paraId="71F1F51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进水计量</w:t>
            </w:r>
          </w:p>
        </w:tc>
      </w:tr>
      <w:tr w14:paraId="0AD07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236F979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5</w:t>
            </w:r>
          </w:p>
        </w:tc>
        <w:tc>
          <w:tcPr>
            <w:tcW w:w="1422" w:type="pct"/>
            <w:shd w:val="clear" w:color="auto" w:fill="auto"/>
            <w:vAlign w:val="center"/>
          </w:tcPr>
          <w:p w14:paraId="3FE2DEB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SS测定仪</w:t>
            </w:r>
          </w:p>
        </w:tc>
        <w:tc>
          <w:tcPr>
            <w:tcW w:w="1548" w:type="pct"/>
            <w:shd w:val="clear" w:color="auto" w:fill="auto"/>
            <w:vAlign w:val="center"/>
          </w:tcPr>
          <w:p w14:paraId="457F0FF5">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0~500mg/l</w:t>
            </w:r>
          </w:p>
        </w:tc>
        <w:tc>
          <w:tcPr>
            <w:tcW w:w="354" w:type="pct"/>
            <w:shd w:val="clear" w:color="auto" w:fill="auto"/>
            <w:vAlign w:val="center"/>
          </w:tcPr>
          <w:p w14:paraId="3705519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720FA2C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进水仪表检测间</w:t>
            </w:r>
          </w:p>
        </w:tc>
        <w:tc>
          <w:tcPr>
            <w:tcW w:w="733" w:type="pct"/>
            <w:shd w:val="clear" w:color="auto" w:fill="auto"/>
            <w:vAlign w:val="center"/>
          </w:tcPr>
          <w:p w14:paraId="71BBCC5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进水计量</w:t>
            </w:r>
          </w:p>
        </w:tc>
      </w:tr>
      <w:tr w14:paraId="082ED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2F3AE86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6</w:t>
            </w:r>
          </w:p>
        </w:tc>
        <w:tc>
          <w:tcPr>
            <w:tcW w:w="1422" w:type="pct"/>
            <w:shd w:val="clear" w:color="auto" w:fill="auto"/>
            <w:vAlign w:val="center"/>
          </w:tcPr>
          <w:p w14:paraId="1EA9698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COD测定仪</w:t>
            </w:r>
          </w:p>
        </w:tc>
        <w:tc>
          <w:tcPr>
            <w:tcW w:w="1548" w:type="pct"/>
            <w:shd w:val="clear" w:color="auto" w:fill="auto"/>
            <w:vAlign w:val="center"/>
          </w:tcPr>
          <w:p w14:paraId="7CD91373">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0~500mg/l</w:t>
            </w:r>
          </w:p>
        </w:tc>
        <w:tc>
          <w:tcPr>
            <w:tcW w:w="354" w:type="pct"/>
            <w:shd w:val="clear" w:color="auto" w:fill="auto"/>
            <w:vAlign w:val="center"/>
          </w:tcPr>
          <w:p w14:paraId="60E24A3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6528BC01">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进水仪表检测间</w:t>
            </w:r>
          </w:p>
        </w:tc>
        <w:tc>
          <w:tcPr>
            <w:tcW w:w="733" w:type="pct"/>
            <w:shd w:val="clear" w:color="auto" w:fill="auto"/>
            <w:vAlign w:val="center"/>
          </w:tcPr>
          <w:p w14:paraId="3D56DCB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进水计量</w:t>
            </w:r>
          </w:p>
        </w:tc>
      </w:tr>
      <w:tr w14:paraId="00BA0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2D2EC70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7</w:t>
            </w:r>
          </w:p>
        </w:tc>
        <w:tc>
          <w:tcPr>
            <w:tcW w:w="1422" w:type="pct"/>
            <w:shd w:val="clear" w:color="auto" w:fill="auto"/>
            <w:vAlign w:val="center"/>
          </w:tcPr>
          <w:p w14:paraId="29342F7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氨氮测定仪</w:t>
            </w:r>
          </w:p>
        </w:tc>
        <w:tc>
          <w:tcPr>
            <w:tcW w:w="1548" w:type="pct"/>
            <w:shd w:val="clear" w:color="auto" w:fill="auto"/>
            <w:vAlign w:val="center"/>
          </w:tcPr>
          <w:p w14:paraId="482F0613">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0~50mg/l</w:t>
            </w:r>
          </w:p>
        </w:tc>
        <w:tc>
          <w:tcPr>
            <w:tcW w:w="354" w:type="pct"/>
            <w:shd w:val="clear" w:color="auto" w:fill="auto"/>
            <w:vAlign w:val="center"/>
          </w:tcPr>
          <w:p w14:paraId="2C3DD28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4194A54D">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进水仪表检测间</w:t>
            </w:r>
          </w:p>
        </w:tc>
        <w:tc>
          <w:tcPr>
            <w:tcW w:w="733" w:type="pct"/>
            <w:shd w:val="clear" w:color="auto" w:fill="auto"/>
            <w:vAlign w:val="center"/>
          </w:tcPr>
          <w:p w14:paraId="0FC3B52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进水计量</w:t>
            </w:r>
          </w:p>
        </w:tc>
      </w:tr>
      <w:tr w14:paraId="717D2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0D92BB3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8</w:t>
            </w:r>
          </w:p>
        </w:tc>
        <w:tc>
          <w:tcPr>
            <w:tcW w:w="1422" w:type="pct"/>
            <w:shd w:val="clear" w:color="auto" w:fill="auto"/>
            <w:vAlign w:val="center"/>
          </w:tcPr>
          <w:p w14:paraId="2FE929F2">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总磷、总氮一体仪</w:t>
            </w:r>
          </w:p>
        </w:tc>
        <w:tc>
          <w:tcPr>
            <w:tcW w:w="1548" w:type="pct"/>
            <w:shd w:val="clear" w:color="auto" w:fill="auto"/>
            <w:vAlign w:val="center"/>
          </w:tcPr>
          <w:p w14:paraId="27EDA0B6">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0~15mg/l</w:t>
            </w:r>
          </w:p>
        </w:tc>
        <w:tc>
          <w:tcPr>
            <w:tcW w:w="354" w:type="pct"/>
            <w:shd w:val="clear" w:color="auto" w:fill="auto"/>
            <w:vAlign w:val="center"/>
          </w:tcPr>
          <w:p w14:paraId="4F81CA6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7E2F8C92">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进水仪表检测间</w:t>
            </w:r>
          </w:p>
        </w:tc>
        <w:tc>
          <w:tcPr>
            <w:tcW w:w="733" w:type="pct"/>
            <w:shd w:val="clear" w:color="auto" w:fill="auto"/>
            <w:vAlign w:val="center"/>
          </w:tcPr>
          <w:p w14:paraId="26BD02B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进水计量</w:t>
            </w:r>
          </w:p>
        </w:tc>
      </w:tr>
      <w:tr w14:paraId="1B3E7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00053BC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9</w:t>
            </w:r>
          </w:p>
        </w:tc>
        <w:tc>
          <w:tcPr>
            <w:tcW w:w="1422" w:type="pct"/>
            <w:shd w:val="clear" w:color="auto" w:fill="auto"/>
            <w:vAlign w:val="center"/>
          </w:tcPr>
          <w:p w14:paraId="4C0997C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进水采样单元</w:t>
            </w:r>
          </w:p>
        </w:tc>
        <w:tc>
          <w:tcPr>
            <w:tcW w:w="1548" w:type="pct"/>
            <w:shd w:val="clear" w:color="auto" w:fill="auto"/>
            <w:vAlign w:val="center"/>
          </w:tcPr>
          <w:p w14:paraId="55EE90E0">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53A4109D">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4B57EF9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进水仪表检测间</w:t>
            </w:r>
          </w:p>
        </w:tc>
        <w:tc>
          <w:tcPr>
            <w:tcW w:w="733" w:type="pct"/>
            <w:shd w:val="clear" w:color="auto" w:fill="auto"/>
            <w:vAlign w:val="center"/>
          </w:tcPr>
          <w:p w14:paraId="57F753B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进水计量</w:t>
            </w:r>
          </w:p>
        </w:tc>
      </w:tr>
      <w:tr w14:paraId="34B49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49914A6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10</w:t>
            </w:r>
          </w:p>
        </w:tc>
        <w:tc>
          <w:tcPr>
            <w:tcW w:w="1422" w:type="pct"/>
            <w:shd w:val="clear" w:color="auto" w:fill="auto"/>
            <w:vAlign w:val="center"/>
          </w:tcPr>
          <w:p w14:paraId="6A9EF91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进水流量计</w:t>
            </w:r>
          </w:p>
        </w:tc>
        <w:tc>
          <w:tcPr>
            <w:tcW w:w="1548" w:type="pct"/>
            <w:shd w:val="clear" w:color="auto" w:fill="auto"/>
            <w:vAlign w:val="center"/>
          </w:tcPr>
          <w:p w14:paraId="68CB1D52">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DN12000~5000m</w:t>
            </w:r>
            <w:r>
              <w:rPr>
                <w:rFonts w:hint="default" w:ascii="Times New Roman" w:hAnsi="Times New Roman" w:eastAsia="楷体" w:cs="Times New Roman"/>
                <w:i w:val="0"/>
                <w:iCs w:val="0"/>
                <w:color w:val="auto"/>
                <w:kern w:val="0"/>
                <w:sz w:val="13"/>
                <w:szCs w:val="13"/>
                <w:highlight w:val="none"/>
                <w:u w:val="none"/>
                <w:lang w:val="en-US" w:eastAsia="zh-CN" w:bidi="ar"/>
              </w:rPr>
              <w:t>3</w:t>
            </w:r>
            <w:r>
              <w:rPr>
                <w:rFonts w:hint="default" w:ascii="Times New Roman" w:hAnsi="Times New Roman" w:eastAsia="楷体" w:cs="Times New Roman"/>
                <w:i w:val="0"/>
                <w:iCs w:val="0"/>
                <w:color w:val="auto"/>
                <w:kern w:val="0"/>
                <w:sz w:val="21"/>
                <w:szCs w:val="21"/>
                <w:highlight w:val="none"/>
                <w:u w:val="none"/>
                <w:lang w:val="en-US" w:eastAsia="zh-CN" w:bidi="ar"/>
              </w:rPr>
              <w:t>/h</w:t>
            </w:r>
          </w:p>
        </w:tc>
        <w:tc>
          <w:tcPr>
            <w:tcW w:w="354" w:type="pct"/>
            <w:shd w:val="clear" w:color="auto" w:fill="auto"/>
            <w:vAlign w:val="center"/>
          </w:tcPr>
          <w:p w14:paraId="23884BD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2套</w:t>
            </w:r>
          </w:p>
        </w:tc>
        <w:tc>
          <w:tcPr>
            <w:tcW w:w="646" w:type="pct"/>
            <w:shd w:val="clear" w:color="auto" w:fill="auto"/>
            <w:vAlign w:val="center"/>
          </w:tcPr>
          <w:p w14:paraId="5D05323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进水计量</w:t>
            </w:r>
          </w:p>
        </w:tc>
        <w:tc>
          <w:tcPr>
            <w:tcW w:w="733" w:type="pct"/>
            <w:shd w:val="clear" w:color="auto" w:fill="auto"/>
            <w:vAlign w:val="center"/>
          </w:tcPr>
          <w:p w14:paraId="6749DA91">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进水计量</w:t>
            </w:r>
          </w:p>
        </w:tc>
      </w:tr>
      <w:tr w14:paraId="2E02A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6CF5E88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11</w:t>
            </w:r>
          </w:p>
        </w:tc>
        <w:tc>
          <w:tcPr>
            <w:tcW w:w="1422" w:type="pct"/>
            <w:shd w:val="clear" w:color="auto" w:fill="auto"/>
            <w:vAlign w:val="center"/>
          </w:tcPr>
          <w:p w14:paraId="77E4E14D">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溶氧仪</w:t>
            </w:r>
          </w:p>
        </w:tc>
        <w:tc>
          <w:tcPr>
            <w:tcW w:w="1548" w:type="pct"/>
            <w:shd w:val="clear" w:color="auto" w:fill="auto"/>
            <w:vAlign w:val="center"/>
          </w:tcPr>
          <w:p w14:paraId="7528114F">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0~10mg/L</w:t>
            </w:r>
          </w:p>
        </w:tc>
        <w:tc>
          <w:tcPr>
            <w:tcW w:w="354" w:type="pct"/>
            <w:shd w:val="clear" w:color="auto" w:fill="auto"/>
            <w:vAlign w:val="center"/>
          </w:tcPr>
          <w:p w14:paraId="75DBB342">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8套</w:t>
            </w:r>
          </w:p>
        </w:tc>
        <w:tc>
          <w:tcPr>
            <w:tcW w:w="646" w:type="pct"/>
            <w:shd w:val="clear" w:color="auto" w:fill="auto"/>
            <w:vAlign w:val="center"/>
          </w:tcPr>
          <w:p w14:paraId="4B644C51">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生物池</w:t>
            </w:r>
          </w:p>
        </w:tc>
        <w:tc>
          <w:tcPr>
            <w:tcW w:w="733" w:type="pct"/>
            <w:shd w:val="clear" w:color="auto" w:fill="auto"/>
            <w:vAlign w:val="center"/>
          </w:tcPr>
          <w:p w14:paraId="1DD62930">
            <w:pPr>
              <w:jc w:val="center"/>
              <w:rPr>
                <w:rFonts w:hint="default" w:ascii="Times New Roman" w:hAnsi="Times New Roman" w:eastAsia="楷体" w:cs="Times New Roman"/>
                <w:i w:val="0"/>
                <w:iCs w:val="0"/>
                <w:color w:val="auto"/>
                <w:sz w:val="21"/>
                <w:szCs w:val="21"/>
                <w:highlight w:val="none"/>
                <w:u w:val="none"/>
              </w:rPr>
            </w:pPr>
          </w:p>
        </w:tc>
      </w:tr>
      <w:tr w14:paraId="2D99D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6AF5699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12</w:t>
            </w:r>
          </w:p>
        </w:tc>
        <w:tc>
          <w:tcPr>
            <w:tcW w:w="1422" w:type="pct"/>
            <w:shd w:val="clear" w:color="auto" w:fill="auto"/>
            <w:vAlign w:val="center"/>
          </w:tcPr>
          <w:p w14:paraId="6EE9714D">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MLSS计</w:t>
            </w:r>
          </w:p>
        </w:tc>
        <w:tc>
          <w:tcPr>
            <w:tcW w:w="1548" w:type="pct"/>
            <w:shd w:val="clear" w:color="auto" w:fill="auto"/>
            <w:vAlign w:val="center"/>
          </w:tcPr>
          <w:p w14:paraId="2239C49B">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0~1g/L</w:t>
            </w:r>
          </w:p>
        </w:tc>
        <w:tc>
          <w:tcPr>
            <w:tcW w:w="354" w:type="pct"/>
            <w:shd w:val="clear" w:color="auto" w:fill="auto"/>
            <w:vAlign w:val="center"/>
          </w:tcPr>
          <w:p w14:paraId="6D8331FD">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4套</w:t>
            </w:r>
          </w:p>
        </w:tc>
        <w:tc>
          <w:tcPr>
            <w:tcW w:w="646" w:type="pct"/>
            <w:shd w:val="clear" w:color="auto" w:fill="auto"/>
            <w:vAlign w:val="center"/>
          </w:tcPr>
          <w:p w14:paraId="63418782">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生物池</w:t>
            </w:r>
          </w:p>
        </w:tc>
        <w:tc>
          <w:tcPr>
            <w:tcW w:w="733" w:type="pct"/>
            <w:shd w:val="clear" w:color="auto" w:fill="auto"/>
            <w:vAlign w:val="center"/>
          </w:tcPr>
          <w:p w14:paraId="752C420F">
            <w:pPr>
              <w:jc w:val="center"/>
              <w:rPr>
                <w:rFonts w:hint="default" w:ascii="Times New Roman" w:hAnsi="Times New Roman" w:eastAsia="楷体" w:cs="Times New Roman"/>
                <w:i w:val="0"/>
                <w:iCs w:val="0"/>
                <w:color w:val="auto"/>
                <w:sz w:val="21"/>
                <w:szCs w:val="21"/>
                <w:highlight w:val="none"/>
                <w:u w:val="none"/>
              </w:rPr>
            </w:pPr>
          </w:p>
        </w:tc>
      </w:tr>
      <w:tr w14:paraId="678E4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2E6715F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13</w:t>
            </w:r>
          </w:p>
        </w:tc>
        <w:tc>
          <w:tcPr>
            <w:tcW w:w="1422" w:type="pct"/>
            <w:shd w:val="clear" w:color="auto" w:fill="auto"/>
            <w:vAlign w:val="center"/>
          </w:tcPr>
          <w:p w14:paraId="690ABF1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ORP测定仪</w:t>
            </w:r>
          </w:p>
        </w:tc>
        <w:tc>
          <w:tcPr>
            <w:tcW w:w="1548" w:type="pct"/>
            <w:shd w:val="clear" w:color="auto" w:fill="auto"/>
            <w:vAlign w:val="center"/>
          </w:tcPr>
          <w:p w14:paraId="6F7C5762">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-500~+500mV</w:t>
            </w:r>
          </w:p>
        </w:tc>
        <w:tc>
          <w:tcPr>
            <w:tcW w:w="354" w:type="pct"/>
            <w:shd w:val="clear" w:color="auto" w:fill="auto"/>
            <w:vAlign w:val="center"/>
          </w:tcPr>
          <w:p w14:paraId="3110C36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4套</w:t>
            </w:r>
          </w:p>
        </w:tc>
        <w:tc>
          <w:tcPr>
            <w:tcW w:w="646" w:type="pct"/>
            <w:shd w:val="clear" w:color="auto" w:fill="auto"/>
            <w:vAlign w:val="center"/>
          </w:tcPr>
          <w:p w14:paraId="79A251C1">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生物池</w:t>
            </w:r>
          </w:p>
        </w:tc>
        <w:tc>
          <w:tcPr>
            <w:tcW w:w="733" w:type="pct"/>
            <w:shd w:val="clear" w:color="auto" w:fill="auto"/>
            <w:vAlign w:val="center"/>
          </w:tcPr>
          <w:p w14:paraId="677124A6">
            <w:pPr>
              <w:jc w:val="center"/>
              <w:rPr>
                <w:rFonts w:hint="default" w:ascii="Times New Roman" w:hAnsi="Times New Roman" w:eastAsia="楷体" w:cs="Times New Roman"/>
                <w:i w:val="0"/>
                <w:iCs w:val="0"/>
                <w:color w:val="auto"/>
                <w:sz w:val="21"/>
                <w:szCs w:val="21"/>
                <w:highlight w:val="none"/>
                <w:u w:val="none"/>
              </w:rPr>
            </w:pPr>
          </w:p>
        </w:tc>
      </w:tr>
      <w:tr w14:paraId="328A9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6414973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14</w:t>
            </w:r>
          </w:p>
        </w:tc>
        <w:tc>
          <w:tcPr>
            <w:tcW w:w="1422" w:type="pct"/>
            <w:shd w:val="clear" w:color="auto" w:fill="auto"/>
            <w:vAlign w:val="center"/>
          </w:tcPr>
          <w:p w14:paraId="72BD63F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硝氮分析仪</w:t>
            </w:r>
          </w:p>
        </w:tc>
        <w:tc>
          <w:tcPr>
            <w:tcW w:w="1548" w:type="pct"/>
            <w:shd w:val="clear" w:color="auto" w:fill="auto"/>
            <w:vAlign w:val="center"/>
          </w:tcPr>
          <w:p w14:paraId="4FDFAC6A">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26A8D26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2套</w:t>
            </w:r>
          </w:p>
        </w:tc>
        <w:tc>
          <w:tcPr>
            <w:tcW w:w="646" w:type="pct"/>
            <w:shd w:val="clear" w:color="auto" w:fill="auto"/>
            <w:vAlign w:val="center"/>
          </w:tcPr>
          <w:p w14:paraId="6639200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生物池</w:t>
            </w:r>
          </w:p>
        </w:tc>
        <w:tc>
          <w:tcPr>
            <w:tcW w:w="733" w:type="pct"/>
            <w:shd w:val="clear" w:color="auto" w:fill="auto"/>
            <w:vAlign w:val="center"/>
          </w:tcPr>
          <w:p w14:paraId="43769211">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精确曝气</w:t>
            </w:r>
          </w:p>
        </w:tc>
      </w:tr>
      <w:tr w14:paraId="0A607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2E33125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15</w:t>
            </w:r>
          </w:p>
        </w:tc>
        <w:tc>
          <w:tcPr>
            <w:tcW w:w="1422" w:type="pct"/>
            <w:shd w:val="clear" w:color="auto" w:fill="auto"/>
            <w:vAlign w:val="center"/>
          </w:tcPr>
          <w:p w14:paraId="37796F7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氨氮分析仪</w:t>
            </w:r>
          </w:p>
        </w:tc>
        <w:tc>
          <w:tcPr>
            <w:tcW w:w="1548" w:type="pct"/>
            <w:shd w:val="clear" w:color="auto" w:fill="auto"/>
            <w:vAlign w:val="center"/>
          </w:tcPr>
          <w:p w14:paraId="0204029E">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4035084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2套</w:t>
            </w:r>
          </w:p>
        </w:tc>
        <w:tc>
          <w:tcPr>
            <w:tcW w:w="646" w:type="pct"/>
            <w:shd w:val="clear" w:color="auto" w:fill="auto"/>
            <w:vAlign w:val="center"/>
          </w:tcPr>
          <w:p w14:paraId="5AC1EF22">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生物池</w:t>
            </w:r>
          </w:p>
        </w:tc>
        <w:tc>
          <w:tcPr>
            <w:tcW w:w="733" w:type="pct"/>
            <w:shd w:val="clear" w:color="auto" w:fill="auto"/>
            <w:vAlign w:val="center"/>
          </w:tcPr>
          <w:p w14:paraId="240C03F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精确曝气</w:t>
            </w:r>
          </w:p>
        </w:tc>
      </w:tr>
      <w:tr w14:paraId="523D7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3343ADC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16</w:t>
            </w:r>
          </w:p>
        </w:tc>
        <w:tc>
          <w:tcPr>
            <w:tcW w:w="1422" w:type="pct"/>
            <w:shd w:val="clear" w:color="auto" w:fill="auto"/>
            <w:vAlign w:val="center"/>
          </w:tcPr>
          <w:p w14:paraId="1C0E383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压力变送器</w:t>
            </w:r>
          </w:p>
        </w:tc>
        <w:tc>
          <w:tcPr>
            <w:tcW w:w="1548" w:type="pct"/>
            <w:shd w:val="clear" w:color="auto" w:fill="auto"/>
            <w:vAlign w:val="center"/>
          </w:tcPr>
          <w:p w14:paraId="1DBA5E6C">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15D1112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2套</w:t>
            </w:r>
          </w:p>
        </w:tc>
        <w:tc>
          <w:tcPr>
            <w:tcW w:w="646" w:type="pct"/>
            <w:shd w:val="clear" w:color="auto" w:fill="auto"/>
            <w:vAlign w:val="center"/>
          </w:tcPr>
          <w:p w14:paraId="602AD92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鼓风机空气总管</w:t>
            </w:r>
          </w:p>
        </w:tc>
        <w:tc>
          <w:tcPr>
            <w:tcW w:w="733" w:type="pct"/>
            <w:shd w:val="clear" w:color="auto" w:fill="auto"/>
            <w:vAlign w:val="center"/>
          </w:tcPr>
          <w:p w14:paraId="597CAB2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精确曝气</w:t>
            </w:r>
          </w:p>
        </w:tc>
      </w:tr>
      <w:tr w14:paraId="5AE18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0EF8BC5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17</w:t>
            </w:r>
          </w:p>
        </w:tc>
        <w:tc>
          <w:tcPr>
            <w:tcW w:w="1422" w:type="pct"/>
            <w:shd w:val="clear" w:color="auto" w:fill="auto"/>
            <w:vAlign w:val="center"/>
          </w:tcPr>
          <w:p w14:paraId="7A62927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热式流量计</w:t>
            </w:r>
          </w:p>
        </w:tc>
        <w:tc>
          <w:tcPr>
            <w:tcW w:w="1548" w:type="pct"/>
            <w:shd w:val="clear" w:color="auto" w:fill="auto"/>
            <w:vAlign w:val="center"/>
          </w:tcPr>
          <w:p w14:paraId="56D85BE0">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444678B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8套</w:t>
            </w:r>
          </w:p>
        </w:tc>
        <w:tc>
          <w:tcPr>
            <w:tcW w:w="646" w:type="pct"/>
            <w:shd w:val="clear" w:color="auto" w:fill="auto"/>
            <w:vAlign w:val="center"/>
          </w:tcPr>
          <w:p w14:paraId="230C579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鼓风机空气支管</w:t>
            </w:r>
          </w:p>
        </w:tc>
        <w:tc>
          <w:tcPr>
            <w:tcW w:w="733" w:type="pct"/>
            <w:shd w:val="clear" w:color="auto" w:fill="auto"/>
            <w:vAlign w:val="center"/>
          </w:tcPr>
          <w:p w14:paraId="0F48E01D">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精确曝气</w:t>
            </w:r>
          </w:p>
        </w:tc>
      </w:tr>
      <w:tr w14:paraId="44055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1549E3E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18</w:t>
            </w:r>
          </w:p>
        </w:tc>
        <w:tc>
          <w:tcPr>
            <w:tcW w:w="1422" w:type="pct"/>
            <w:shd w:val="clear" w:color="auto" w:fill="auto"/>
            <w:vAlign w:val="center"/>
          </w:tcPr>
          <w:p w14:paraId="147FD9C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超声波液位计</w:t>
            </w:r>
          </w:p>
        </w:tc>
        <w:tc>
          <w:tcPr>
            <w:tcW w:w="1548" w:type="pct"/>
            <w:shd w:val="clear" w:color="auto" w:fill="auto"/>
            <w:vAlign w:val="center"/>
          </w:tcPr>
          <w:p w14:paraId="6A7682C1">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Hmax=10m</w:t>
            </w:r>
          </w:p>
        </w:tc>
        <w:tc>
          <w:tcPr>
            <w:tcW w:w="354" w:type="pct"/>
            <w:shd w:val="clear" w:color="auto" w:fill="auto"/>
            <w:vAlign w:val="center"/>
          </w:tcPr>
          <w:p w14:paraId="67154301">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06307AE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回流泵池</w:t>
            </w:r>
          </w:p>
        </w:tc>
        <w:tc>
          <w:tcPr>
            <w:tcW w:w="733" w:type="pct"/>
            <w:shd w:val="clear" w:color="auto" w:fill="auto"/>
            <w:vAlign w:val="center"/>
          </w:tcPr>
          <w:p w14:paraId="45A58868">
            <w:pPr>
              <w:jc w:val="center"/>
              <w:rPr>
                <w:rFonts w:hint="default" w:ascii="Times New Roman" w:hAnsi="Times New Roman" w:eastAsia="楷体" w:cs="Times New Roman"/>
                <w:i w:val="0"/>
                <w:iCs w:val="0"/>
                <w:color w:val="auto"/>
                <w:sz w:val="21"/>
                <w:szCs w:val="21"/>
                <w:highlight w:val="none"/>
                <w:u w:val="none"/>
              </w:rPr>
            </w:pPr>
          </w:p>
        </w:tc>
      </w:tr>
      <w:tr w14:paraId="055D9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6DA1315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19</w:t>
            </w:r>
          </w:p>
        </w:tc>
        <w:tc>
          <w:tcPr>
            <w:tcW w:w="1422" w:type="pct"/>
            <w:shd w:val="clear" w:color="auto" w:fill="auto"/>
            <w:vAlign w:val="center"/>
          </w:tcPr>
          <w:p w14:paraId="72F3C1B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液位开关</w:t>
            </w:r>
          </w:p>
        </w:tc>
        <w:tc>
          <w:tcPr>
            <w:tcW w:w="1548" w:type="pct"/>
            <w:shd w:val="clear" w:color="auto" w:fill="auto"/>
            <w:vAlign w:val="center"/>
          </w:tcPr>
          <w:p w14:paraId="4B6E2B5C">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48DFB5E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4914AA5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回流泵池</w:t>
            </w:r>
          </w:p>
        </w:tc>
        <w:tc>
          <w:tcPr>
            <w:tcW w:w="733" w:type="pct"/>
            <w:shd w:val="clear" w:color="auto" w:fill="auto"/>
            <w:vAlign w:val="center"/>
          </w:tcPr>
          <w:p w14:paraId="60F08D32">
            <w:pPr>
              <w:jc w:val="center"/>
              <w:rPr>
                <w:rFonts w:hint="default" w:ascii="Times New Roman" w:hAnsi="Times New Roman" w:eastAsia="楷体" w:cs="Times New Roman"/>
                <w:i w:val="0"/>
                <w:iCs w:val="0"/>
                <w:color w:val="auto"/>
                <w:sz w:val="21"/>
                <w:szCs w:val="21"/>
                <w:highlight w:val="none"/>
                <w:u w:val="none"/>
              </w:rPr>
            </w:pPr>
          </w:p>
        </w:tc>
      </w:tr>
      <w:tr w14:paraId="754CE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57E0830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20</w:t>
            </w:r>
          </w:p>
        </w:tc>
        <w:tc>
          <w:tcPr>
            <w:tcW w:w="1422" w:type="pct"/>
            <w:shd w:val="clear" w:color="auto" w:fill="auto"/>
            <w:vAlign w:val="center"/>
          </w:tcPr>
          <w:p w14:paraId="2ADDD3B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在线MLSS仪</w:t>
            </w:r>
          </w:p>
        </w:tc>
        <w:tc>
          <w:tcPr>
            <w:tcW w:w="1548" w:type="pct"/>
            <w:shd w:val="clear" w:color="auto" w:fill="auto"/>
            <w:vAlign w:val="center"/>
          </w:tcPr>
          <w:p w14:paraId="00BC5E68">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0~10g/L</w:t>
            </w:r>
          </w:p>
        </w:tc>
        <w:tc>
          <w:tcPr>
            <w:tcW w:w="354" w:type="pct"/>
            <w:shd w:val="clear" w:color="auto" w:fill="auto"/>
            <w:vAlign w:val="center"/>
          </w:tcPr>
          <w:p w14:paraId="1380F46D">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7E270E6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回流泵池</w:t>
            </w:r>
          </w:p>
        </w:tc>
        <w:tc>
          <w:tcPr>
            <w:tcW w:w="733" w:type="pct"/>
            <w:shd w:val="clear" w:color="auto" w:fill="auto"/>
            <w:vAlign w:val="center"/>
          </w:tcPr>
          <w:p w14:paraId="3073EFC6">
            <w:pPr>
              <w:jc w:val="center"/>
              <w:rPr>
                <w:rFonts w:hint="default" w:ascii="Times New Roman" w:hAnsi="Times New Roman" w:eastAsia="楷体" w:cs="Times New Roman"/>
                <w:i w:val="0"/>
                <w:iCs w:val="0"/>
                <w:color w:val="auto"/>
                <w:sz w:val="21"/>
                <w:szCs w:val="21"/>
                <w:highlight w:val="none"/>
                <w:u w:val="none"/>
              </w:rPr>
            </w:pPr>
          </w:p>
        </w:tc>
      </w:tr>
      <w:tr w14:paraId="121F8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63AB87F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21</w:t>
            </w:r>
          </w:p>
        </w:tc>
        <w:tc>
          <w:tcPr>
            <w:tcW w:w="1422" w:type="pct"/>
            <w:shd w:val="clear" w:color="auto" w:fill="auto"/>
            <w:vAlign w:val="center"/>
          </w:tcPr>
          <w:p w14:paraId="62CF827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回流污泥流量计</w:t>
            </w:r>
          </w:p>
        </w:tc>
        <w:tc>
          <w:tcPr>
            <w:tcW w:w="1548" w:type="pct"/>
            <w:shd w:val="clear" w:color="auto" w:fill="auto"/>
            <w:vAlign w:val="center"/>
          </w:tcPr>
          <w:p w14:paraId="4B9D1CB3">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DN14000~5000m</w:t>
            </w:r>
            <w:r>
              <w:rPr>
                <w:rFonts w:hint="default" w:ascii="Times New Roman" w:hAnsi="Times New Roman" w:eastAsia="楷体" w:cs="Times New Roman"/>
                <w:i w:val="0"/>
                <w:iCs w:val="0"/>
                <w:color w:val="auto"/>
                <w:kern w:val="0"/>
                <w:sz w:val="13"/>
                <w:szCs w:val="13"/>
                <w:highlight w:val="none"/>
                <w:u w:val="none"/>
                <w:lang w:val="en-US" w:eastAsia="zh-CN" w:bidi="ar"/>
              </w:rPr>
              <w:t>3</w:t>
            </w:r>
            <w:r>
              <w:rPr>
                <w:rFonts w:hint="default" w:ascii="Times New Roman" w:hAnsi="Times New Roman" w:eastAsia="楷体" w:cs="Times New Roman"/>
                <w:i w:val="0"/>
                <w:iCs w:val="0"/>
                <w:color w:val="auto"/>
                <w:kern w:val="0"/>
                <w:sz w:val="21"/>
                <w:szCs w:val="21"/>
                <w:highlight w:val="none"/>
                <w:u w:val="none"/>
                <w:lang w:val="en-US" w:eastAsia="zh-CN" w:bidi="ar"/>
              </w:rPr>
              <w:t>/h</w:t>
            </w:r>
          </w:p>
        </w:tc>
        <w:tc>
          <w:tcPr>
            <w:tcW w:w="354" w:type="pct"/>
            <w:shd w:val="clear" w:color="auto" w:fill="auto"/>
            <w:vAlign w:val="center"/>
          </w:tcPr>
          <w:p w14:paraId="3932B2A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3847963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回流污泥管</w:t>
            </w:r>
          </w:p>
        </w:tc>
        <w:tc>
          <w:tcPr>
            <w:tcW w:w="733" w:type="pct"/>
            <w:shd w:val="clear" w:color="auto" w:fill="auto"/>
            <w:vAlign w:val="center"/>
          </w:tcPr>
          <w:p w14:paraId="3113D618">
            <w:pPr>
              <w:jc w:val="center"/>
              <w:rPr>
                <w:rFonts w:hint="default" w:ascii="Times New Roman" w:hAnsi="Times New Roman" w:eastAsia="楷体" w:cs="Times New Roman"/>
                <w:i w:val="0"/>
                <w:iCs w:val="0"/>
                <w:color w:val="auto"/>
                <w:sz w:val="21"/>
                <w:szCs w:val="21"/>
                <w:highlight w:val="none"/>
                <w:u w:val="none"/>
              </w:rPr>
            </w:pPr>
          </w:p>
        </w:tc>
      </w:tr>
      <w:tr w14:paraId="22ED2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5325DF3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22</w:t>
            </w:r>
          </w:p>
        </w:tc>
        <w:tc>
          <w:tcPr>
            <w:tcW w:w="1422" w:type="pct"/>
            <w:shd w:val="clear" w:color="auto" w:fill="auto"/>
            <w:vAlign w:val="center"/>
          </w:tcPr>
          <w:p w14:paraId="3D3146C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剩余污泥流量计</w:t>
            </w:r>
          </w:p>
        </w:tc>
        <w:tc>
          <w:tcPr>
            <w:tcW w:w="1548" w:type="pct"/>
            <w:shd w:val="clear" w:color="auto" w:fill="auto"/>
            <w:vAlign w:val="center"/>
          </w:tcPr>
          <w:p w14:paraId="09821ACC">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DN3000~1500m</w:t>
            </w:r>
            <w:r>
              <w:rPr>
                <w:rFonts w:hint="default" w:ascii="Times New Roman" w:hAnsi="Times New Roman" w:eastAsia="楷体" w:cs="Times New Roman"/>
                <w:i w:val="0"/>
                <w:iCs w:val="0"/>
                <w:color w:val="auto"/>
                <w:kern w:val="0"/>
                <w:sz w:val="13"/>
                <w:szCs w:val="13"/>
                <w:highlight w:val="none"/>
                <w:u w:val="none"/>
                <w:lang w:val="en-US" w:eastAsia="zh-CN" w:bidi="ar"/>
              </w:rPr>
              <w:t>3</w:t>
            </w:r>
            <w:r>
              <w:rPr>
                <w:rFonts w:hint="default" w:ascii="Times New Roman" w:hAnsi="Times New Roman" w:eastAsia="楷体" w:cs="Times New Roman"/>
                <w:i w:val="0"/>
                <w:iCs w:val="0"/>
                <w:color w:val="auto"/>
                <w:kern w:val="0"/>
                <w:sz w:val="21"/>
                <w:szCs w:val="21"/>
                <w:highlight w:val="none"/>
                <w:u w:val="none"/>
                <w:lang w:val="en-US" w:eastAsia="zh-CN" w:bidi="ar"/>
              </w:rPr>
              <w:t>/h</w:t>
            </w:r>
          </w:p>
        </w:tc>
        <w:tc>
          <w:tcPr>
            <w:tcW w:w="354" w:type="pct"/>
            <w:shd w:val="clear" w:color="auto" w:fill="auto"/>
            <w:vAlign w:val="center"/>
          </w:tcPr>
          <w:p w14:paraId="473AFC1D">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2套</w:t>
            </w:r>
          </w:p>
        </w:tc>
        <w:tc>
          <w:tcPr>
            <w:tcW w:w="646" w:type="pct"/>
            <w:shd w:val="clear" w:color="auto" w:fill="auto"/>
            <w:vAlign w:val="center"/>
          </w:tcPr>
          <w:p w14:paraId="4244B0B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剩余污泥管</w:t>
            </w:r>
          </w:p>
        </w:tc>
        <w:tc>
          <w:tcPr>
            <w:tcW w:w="733" w:type="pct"/>
            <w:shd w:val="clear" w:color="auto" w:fill="auto"/>
            <w:vAlign w:val="center"/>
          </w:tcPr>
          <w:p w14:paraId="6472A43B">
            <w:pPr>
              <w:jc w:val="center"/>
              <w:rPr>
                <w:rFonts w:hint="default" w:ascii="Times New Roman" w:hAnsi="Times New Roman" w:eastAsia="楷体" w:cs="Times New Roman"/>
                <w:i w:val="0"/>
                <w:iCs w:val="0"/>
                <w:color w:val="auto"/>
                <w:sz w:val="21"/>
                <w:szCs w:val="21"/>
                <w:highlight w:val="none"/>
                <w:u w:val="none"/>
              </w:rPr>
            </w:pPr>
          </w:p>
        </w:tc>
      </w:tr>
      <w:tr w14:paraId="55A68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4DA2BFE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21</w:t>
            </w:r>
          </w:p>
        </w:tc>
        <w:tc>
          <w:tcPr>
            <w:tcW w:w="1422" w:type="pct"/>
            <w:shd w:val="clear" w:color="auto" w:fill="auto"/>
            <w:vAlign w:val="center"/>
          </w:tcPr>
          <w:p w14:paraId="3C6BCFD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污泥界面仪</w:t>
            </w:r>
          </w:p>
        </w:tc>
        <w:tc>
          <w:tcPr>
            <w:tcW w:w="1548" w:type="pct"/>
            <w:shd w:val="clear" w:color="auto" w:fill="auto"/>
            <w:vAlign w:val="center"/>
          </w:tcPr>
          <w:p w14:paraId="1C179C57">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2D8D23B2">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4套</w:t>
            </w:r>
          </w:p>
        </w:tc>
        <w:tc>
          <w:tcPr>
            <w:tcW w:w="646" w:type="pct"/>
            <w:shd w:val="clear" w:color="auto" w:fill="auto"/>
            <w:vAlign w:val="center"/>
          </w:tcPr>
          <w:p w14:paraId="1DD6197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二沉池</w:t>
            </w:r>
          </w:p>
        </w:tc>
        <w:tc>
          <w:tcPr>
            <w:tcW w:w="733" w:type="pct"/>
            <w:shd w:val="clear" w:color="auto" w:fill="auto"/>
            <w:vAlign w:val="center"/>
          </w:tcPr>
          <w:p w14:paraId="74115866">
            <w:pPr>
              <w:jc w:val="center"/>
              <w:rPr>
                <w:rFonts w:hint="default" w:ascii="Times New Roman" w:hAnsi="Times New Roman" w:eastAsia="楷体" w:cs="Times New Roman"/>
                <w:i w:val="0"/>
                <w:iCs w:val="0"/>
                <w:color w:val="auto"/>
                <w:sz w:val="21"/>
                <w:szCs w:val="21"/>
                <w:highlight w:val="none"/>
                <w:u w:val="none"/>
              </w:rPr>
            </w:pPr>
          </w:p>
        </w:tc>
      </w:tr>
      <w:tr w14:paraId="20244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1C36686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22</w:t>
            </w:r>
          </w:p>
        </w:tc>
        <w:tc>
          <w:tcPr>
            <w:tcW w:w="1422" w:type="pct"/>
            <w:shd w:val="clear" w:color="auto" w:fill="auto"/>
            <w:vAlign w:val="center"/>
          </w:tcPr>
          <w:p w14:paraId="3238698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电磁流量计</w:t>
            </w:r>
          </w:p>
        </w:tc>
        <w:tc>
          <w:tcPr>
            <w:tcW w:w="1548" w:type="pct"/>
            <w:shd w:val="clear" w:color="auto" w:fill="auto"/>
            <w:vAlign w:val="center"/>
          </w:tcPr>
          <w:p w14:paraId="43ECCE2D">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DN800</w:t>
            </w:r>
          </w:p>
        </w:tc>
        <w:tc>
          <w:tcPr>
            <w:tcW w:w="354" w:type="pct"/>
            <w:shd w:val="clear" w:color="auto" w:fill="auto"/>
            <w:vAlign w:val="center"/>
          </w:tcPr>
          <w:p w14:paraId="6ED152D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2套</w:t>
            </w:r>
          </w:p>
        </w:tc>
        <w:tc>
          <w:tcPr>
            <w:tcW w:w="646" w:type="pct"/>
            <w:shd w:val="clear" w:color="auto" w:fill="auto"/>
            <w:vAlign w:val="center"/>
          </w:tcPr>
          <w:p w14:paraId="13F0243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高效沉淀池</w:t>
            </w:r>
          </w:p>
        </w:tc>
        <w:tc>
          <w:tcPr>
            <w:tcW w:w="733" w:type="pct"/>
            <w:shd w:val="clear" w:color="auto" w:fill="auto"/>
            <w:vAlign w:val="center"/>
          </w:tcPr>
          <w:p w14:paraId="1F15BED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进水</w:t>
            </w:r>
          </w:p>
        </w:tc>
      </w:tr>
      <w:tr w14:paraId="143F9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7BE0974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23</w:t>
            </w:r>
          </w:p>
        </w:tc>
        <w:tc>
          <w:tcPr>
            <w:tcW w:w="1422" w:type="pct"/>
            <w:shd w:val="clear" w:color="auto" w:fill="auto"/>
            <w:vAlign w:val="center"/>
          </w:tcPr>
          <w:p w14:paraId="64D2C7C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浊度计</w:t>
            </w:r>
          </w:p>
        </w:tc>
        <w:tc>
          <w:tcPr>
            <w:tcW w:w="1548" w:type="pct"/>
            <w:shd w:val="clear" w:color="auto" w:fill="auto"/>
            <w:vAlign w:val="center"/>
          </w:tcPr>
          <w:p w14:paraId="250ED1A5">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0~1g/l</w:t>
            </w:r>
          </w:p>
        </w:tc>
        <w:tc>
          <w:tcPr>
            <w:tcW w:w="354" w:type="pct"/>
            <w:shd w:val="clear" w:color="auto" w:fill="auto"/>
            <w:vAlign w:val="center"/>
          </w:tcPr>
          <w:p w14:paraId="16E9B2B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2套</w:t>
            </w:r>
          </w:p>
        </w:tc>
        <w:tc>
          <w:tcPr>
            <w:tcW w:w="646" w:type="pct"/>
            <w:shd w:val="clear" w:color="auto" w:fill="auto"/>
            <w:vAlign w:val="center"/>
          </w:tcPr>
          <w:p w14:paraId="2407FD0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高效沉淀池</w:t>
            </w:r>
          </w:p>
        </w:tc>
        <w:tc>
          <w:tcPr>
            <w:tcW w:w="733" w:type="pct"/>
            <w:shd w:val="clear" w:color="auto" w:fill="auto"/>
            <w:vAlign w:val="center"/>
          </w:tcPr>
          <w:p w14:paraId="3F4E2E87">
            <w:pPr>
              <w:jc w:val="center"/>
              <w:rPr>
                <w:rFonts w:hint="default" w:ascii="Times New Roman" w:hAnsi="Times New Roman" w:eastAsia="楷体" w:cs="Times New Roman"/>
                <w:i w:val="0"/>
                <w:iCs w:val="0"/>
                <w:color w:val="auto"/>
                <w:sz w:val="21"/>
                <w:szCs w:val="21"/>
                <w:highlight w:val="none"/>
                <w:u w:val="none"/>
              </w:rPr>
            </w:pPr>
          </w:p>
        </w:tc>
      </w:tr>
      <w:tr w14:paraId="47B6B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72F3B4A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24</w:t>
            </w:r>
          </w:p>
        </w:tc>
        <w:tc>
          <w:tcPr>
            <w:tcW w:w="1422" w:type="pct"/>
            <w:shd w:val="clear" w:color="auto" w:fill="auto"/>
            <w:vAlign w:val="center"/>
          </w:tcPr>
          <w:p w14:paraId="5FABC87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电磁流量计</w:t>
            </w:r>
          </w:p>
        </w:tc>
        <w:tc>
          <w:tcPr>
            <w:tcW w:w="1548" w:type="pct"/>
            <w:shd w:val="clear" w:color="auto" w:fill="auto"/>
            <w:vAlign w:val="center"/>
          </w:tcPr>
          <w:p w14:paraId="773A66CE">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DN300</w:t>
            </w:r>
          </w:p>
        </w:tc>
        <w:tc>
          <w:tcPr>
            <w:tcW w:w="354" w:type="pct"/>
            <w:shd w:val="clear" w:color="auto" w:fill="auto"/>
            <w:vAlign w:val="center"/>
          </w:tcPr>
          <w:p w14:paraId="08FE683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2套</w:t>
            </w:r>
          </w:p>
        </w:tc>
        <w:tc>
          <w:tcPr>
            <w:tcW w:w="646" w:type="pct"/>
            <w:shd w:val="clear" w:color="auto" w:fill="auto"/>
            <w:vAlign w:val="center"/>
          </w:tcPr>
          <w:p w14:paraId="7E3591B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高效沉淀池</w:t>
            </w:r>
          </w:p>
        </w:tc>
        <w:tc>
          <w:tcPr>
            <w:tcW w:w="733" w:type="pct"/>
            <w:shd w:val="clear" w:color="auto" w:fill="auto"/>
            <w:vAlign w:val="center"/>
          </w:tcPr>
          <w:p w14:paraId="117CF9D2">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剩余污泥管</w:t>
            </w:r>
          </w:p>
        </w:tc>
      </w:tr>
      <w:tr w14:paraId="419DF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15CE1102">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25</w:t>
            </w:r>
          </w:p>
        </w:tc>
        <w:tc>
          <w:tcPr>
            <w:tcW w:w="1422" w:type="pct"/>
            <w:shd w:val="clear" w:color="auto" w:fill="auto"/>
            <w:vAlign w:val="center"/>
          </w:tcPr>
          <w:p w14:paraId="34257F4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一体式液位计</w:t>
            </w:r>
          </w:p>
        </w:tc>
        <w:tc>
          <w:tcPr>
            <w:tcW w:w="1548" w:type="pct"/>
            <w:shd w:val="clear" w:color="auto" w:fill="auto"/>
            <w:vAlign w:val="center"/>
          </w:tcPr>
          <w:p w14:paraId="5BD2EDA5">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60C246F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6套</w:t>
            </w:r>
          </w:p>
        </w:tc>
        <w:tc>
          <w:tcPr>
            <w:tcW w:w="646" w:type="pct"/>
            <w:shd w:val="clear" w:color="auto" w:fill="auto"/>
            <w:vAlign w:val="center"/>
          </w:tcPr>
          <w:p w14:paraId="343AAA92">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加药间</w:t>
            </w:r>
          </w:p>
        </w:tc>
        <w:tc>
          <w:tcPr>
            <w:tcW w:w="733" w:type="pct"/>
            <w:shd w:val="clear" w:color="auto" w:fill="auto"/>
            <w:vAlign w:val="center"/>
          </w:tcPr>
          <w:p w14:paraId="734C8C2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厂家配套提供</w:t>
            </w:r>
          </w:p>
        </w:tc>
      </w:tr>
      <w:tr w14:paraId="71436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6A8C9F71">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26</w:t>
            </w:r>
          </w:p>
        </w:tc>
        <w:tc>
          <w:tcPr>
            <w:tcW w:w="1422" w:type="pct"/>
            <w:shd w:val="clear" w:color="auto" w:fill="auto"/>
            <w:vAlign w:val="center"/>
          </w:tcPr>
          <w:p w14:paraId="6DD7358D">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电磁流量计</w:t>
            </w:r>
          </w:p>
        </w:tc>
        <w:tc>
          <w:tcPr>
            <w:tcW w:w="1548" w:type="pct"/>
            <w:shd w:val="clear" w:color="auto" w:fill="auto"/>
            <w:vAlign w:val="center"/>
          </w:tcPr>
          <w:p w14:paraId="050F93DD">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3C1A3E6D">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6套</w:t>
            </w:r>
          </w:p>
        </w:tc>
        <w:tc>
          <w:tcPr>
            <w:tcW w:w="646" w:type="pct"/>
            <w:shd w:val="clear" w:color="auto" w:fill="auto"/>
            <w:vAlign w:val="center"/>
          </w:tcPr>
          <w:p w14:paraId="4B86D28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加药间</w:t>
            </w:r>
          </w:p>
        </w:tc>
        <w:tc>
          <w:tcPr>
            <w:tcW w:w="733" w:type="pct"/>
            <w:shd w:val="clear" w:color="auto" w:fill="auto"/>
            <w:vAlign w:val="center"/>
          </w:tcPr>
          <w:p w14:paraId="66E651A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厂家配套提供</w:t>
            </w:r>
          </w:p>
        </w:tc>
      </w:tr>
      <w:tr w14:paraId="6E628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350F1C0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27</w:t>
            </w:r>
          </w:p>
        </w:tc>
        <w:tc>
          <w:tcPr>
            <w:tcW w:w="1422" w:type="pct"/>
            <w:shd w:val="clear" w:color="auto" w:fill="auto"/>
            <w:vAlign w:val="center"/>
          </w:tcPr>
          <w:p w14:paraId="4C589EC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超声波液位计</w:t>
            </w:r>
          </w:p>
        </w:tc>
        <w:tc>
          <w:tcPr>
            <w:tcW w:w="1548" w:type="pct"/>
            <w:shd w:val="clear" w:color="auto" w:fill="auto"/>
            <w:vAlign w:val="center"/>
          </w:tcPr>
          <w:p w14:paraId="344CDF38">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分体</w:t>
            </w:r>
          </w:p>
        </w:tc>
        <w:tc>
          <w:tcPr>
            <w:tcW w:w="354" w:type="pct"/>
            <w:shd w:val="clear" w:color="auto" w:fill="auto"/>
            <w:vAlign w:val="center"/>
          </w:tcPr>
          <w:p w14:paraId="33DAB7C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2套</w:t>
            </w:r>
          </w:p>
        </w:tc>
        <w:tc>
          <w:tcPr>
            <w:tcW w:w="646" w:type="pct"/>
            <w:shd w:val="clear" w:color="auto" w:fill="auto"/>
            <w:vAlign w:val="center"/>
          </w:tcPr>
          <w:p w14:paraId="35151392">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紫外消毒池</w:t>
            </w:r>
          </w:p>
        </w:tc>
        <w:tc>
          <w:tcPr>
            <w:tcW w:w="733" w:type="pct"/>
            <w:shd w:val="clear" w:color="auto" w:fill="auto"/>
            <w:vAlign w:val="center"/>
          </w:tcPr>
          <w:p w14:paraId="17F9B55A">
            <w:pPr>
              <w:jc w:val="center"/>
              <w:rPr>
                <w:rFonts w:hint="default" w:ascii="Times New Roman" w:hAnsi="Times New Roman" w:eastAsia="楷体" w:cs="Times New Roman"/>
                <w:i w:val="0"/>
                <w:iCs w:val="0"/>
                <w:color w:val="auto"/>
                <w:sz w:val="21"/>
                <w:szCs w:val="21"/>
                <w:highlight w:val="none"/>
                <w:u w:val="none"/>
              </w:rPr>
            </w:pPr>
          </w:p>
        </w:tc>
      </w:tr>
      <w:tr w14:paraId="30D2F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625B961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28</w:t>
            </w:r>
          </w:p>
        </w:tc>
        <w:tc>
          <w:tcPr>
            <w:tcW w:w="1422" w:type="pct"/>
            <w:shd w:val="clear" w:color="auto" w:fill="auto"/>
            <w:vAlign w:val="center"/>
          </w:tcPr>
          <w:p w14:paraId="7D942C2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紫外光强度计</w:t>
            </w:r>
          </w:p>
        </w:tc>
        <w:tc>
          <w:tcPr>
            <w:tcW w:w="1548" w:type="pct"/>
            <w:shd w:val="clear" w:color="auto" w:fill="auto"/>
            <w:vAlign w:val="center"/>
          </w:tcPr>
          <w:p w14:paraId="4B297A38">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73C821F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2套</w:t>
            </w:r>
          </w:p>
        </w:tc>
        <w:tc>
          <w:tcPr>
            <w:tcW w:w="646" w:type="pct"/>
            <w:shd w:val="clear" w:color="auto" w:fill="auto"/>
            <w:vAlign w:val="center"/>
          </w:tcPr>
          <w:p w14:paraId="5671053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紫外消毒渠</w:t>
            </w:r>
          </w:p>
        </w:tc>
        <w:tc>
          <w:tcPr>
            <w:tcW w:w="733" w:type="pct"/>
            <w:shd w:val="clear" w:color="auto" w:fill="auto"/>
            <w:vAlign w:val="center"/>
          </w:tcPr>
          <w:p w14:paraId="38D6A3E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厂家配套提供</w:t>
            </w:r>
          </w:p>
        </w:tc>
      </w:tr>
      <w:tr w14:paraId="40111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6EC0BD2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29</w:t>
            </w:r>
          </w:p>
        </w:tc>
        <w:tc>
          <w:tcPr>
            <w:tcW w:w="1422" w:type="pct"/>
            <w:shd w:val="clear" w:color="auto" w:fill="auto"/>
            <w:vAlign w:val="center"/>
          </w:tcPr>
          <w:p w14:paraId="5844867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超声波液位计</w:t>
            </w:r>
          </w:p>
        </w:tc>
        <w:tc>
          <w:tcPr>
            <w:tcW w:w="1548" w:type="pct"/>
            <w:shd w:val="clear" w:color="auto" w:fill="auto"/>
            <w:vAlign w:val="center"/>
          </w:tcPr>
          <w:p w14:paraId="62E90F63">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分体</w:t>
            </w:r>
          </w:p>
        </w:tc>
        <w:tc>
          <w:tcPr>
            <w:tcW w:w="354" w:type="pct"/>
            <w:shd w:val="clear" w:color="auto" w:fill="auto"/>
            <w:vAlign w:val="center"/>
          </w:tcPr>
          <w:p w14:paraId="76787AD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2套</w:t>
            </w:r>
          </w:p>
        </w:tc>
        <w:tc>
          <w:tcPr>
            <w:tcW w:w="646" w:type="pct"/>
            <w:shd w:val="clear" w:color="auto" w:fill="auto"/>
            <w:vAlign w:val="center"/>
          </w:tcPr>
          <w:p w14:paraId="59D480BD">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排放泵池</w:t>
            </w:r>
          </w:p>
        </w:tc>
        <w:tc>
          <w:tcPr>
            <w:tcW w:w="733" w:type="pct"/>
            <w:shd w:val="clear" w:color="auto" w:fill="auto"/>
            <w:vAlign w:val="center"/>
          </w:tcPr>
          <w:p w14:paraId="3ED5E60E">
            <w:pPr>
              <w:jc w:val="center"/>
              <w:rPr>
                <w:rFonts w:hint="default" w:ascii="Times New Roman" w:hAnsi="Times New Roman" w:eastAsia="楷体" w:cs="Times New Roman"/>
                <w:i w:val="0"/>
                <w:iCs w:val="0"/>
                <w:color w:val="auto"/>
                <w:sz w:val="21"/>
                <w:szCs w:val="21"/>
                <w:highlight w:val="none"/>
                <w:u w:val="none"/>
              </w:rPr>
            </w:pPr>
          </w:p>
        </w:tc>
      </w:tr>
      <w:tr w14:paraId="1FCE6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5E343EC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30</w:t>
            </w:r>
          </w:p>
        </w:tc>
        <w:tc>
          <w:tcPr>
            <w:tcW w:w="1422" w:type="pct"/>
            <w:shd w:val="clear" w:color="auto" w:fill="auto"/>
            <w:vAlign w:val="center"/>
          </w:tcPr>
          <w:p w14:paraId="406DD2F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液位开关</w:t>
            </w:r>
          </w:p>
        </w:tc>
        <w:tc>
          <w:tcPr>
            <w:tcW w:w="1548" w:type="pct"/>
            <w:shd w:val="clear" w:color="auto" w:fill="auto"/>
            <w:vAlign w:val="center"/>
          </w:tcPr>
          <w:p w14:paraId="7AD09837">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30F6429D">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2套</w:t>
            </w:r>
          </w:p>
        </w:tc>
        <w:tc>
          <w:tcPr>
            <w:tcW w:w="646" w:type="pct"/>
            <w:shd w:val="clear" w:color="auto" w:fill="auto"/>
            <w:vAlign w:val="center"/>
          </w:tcPr>
          <w:p w14:paraId="6FFE719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排放泵池</w:t>
            </w:r>
          </w:p>
        </w:tc>
        <w:tc>
          <w:tcPr>
            <w:tcW w:w="733" w:type="pct"/>
            <w:shd w:val="clear" w:color="auto" w:fill="auto"/>
            <w:vAlign w:val="center"/>
          </w:tcPr>
          <w:p w14:paraId="0C06B086">
            <w:pPr>
              <w:jc w:val="center"/>
              <w:rPr>
                <w:rFonts w:hint="default" w:ascii="Times New Roman" w:hAnsi="Times New Roman" w:eastAsia="楷体" w:cs="Times New Roman"/>
                <w:i w:val="0"/>
                <w:iCs w:val="0"/>
                <w:color w:val="auto"/>
                <w:sz w:val="21"/>
                <w:szCs w:val="21"/>
                <w:highlight w:val="none"/>
                <w:u w:val="none"/>
              </w:rPr>
            </w:pPr>
          </w:p>
        </w:tc>
      </w:tr>
      <w:tr w14:paraId="418BC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2E7F648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31</w:t>
            </w:r>
          </w:p>
        </w:tc>
        <w:tc>
          <w:tcPr>
            <w:tcW w:w="1422" w:type="pct"/>
            <w:shd w:val="clear" w:color="auto" w:fill="auto"/>
            <w:vAlign w:val="center"/>
          </w:tcPr>
          <w:p w14:paraId="3691A7B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超声波液位计</w:t>
            </w:r>
          </w:p>
        </w:tc>
        <w:tc>
          <w:tcPr>
            <w:tcW w:w="1548" w:type="pct"/>
            <w:shd w:val="clear" w:color="auto" w:fill="auto"/>
            <w:vAlign w:val="center"/>
          </w:tcPr>
          <w:p w14:paraId="15CF17FF">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Hmax=10m</w:t>
            </w:r>
          </w:p>
        </w:tc>
        <w:tc>
          <w:tcPr>
            <w:tcW w:w="354" w:type="pct"/>
            <w:shd w:val="clear" w:color="auto" w:fill="auto"/>
            <w:vAlign w:val="center"/>
          </w:tcPr>
          <w:p w14:paraId="1CED4AE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1CE797A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储泥池</w:t>
            </w:r>
          </w:p>
        </w:tc>
        <w:tc>
          <w:tcPr>
            <w:tcW w:w="733" w:type="pct"/>
            <w:shd w:val="clear" w:color="auto" w:fill="auto"/>
            <w:vAlign w:val="center"/>
          </w:tcPr>
          <w:p w14:paraId="331D3EEE">
            <w:pPr>
              <w:jc w:val="center"/>
              <w:rPr>
                <w:rFonts w:hint="default" w:ascii="Times New Roman" w:hAnsi="Times New Roman" w:eastAsia="楷体" w:cs="Times New Roman"/>
                <w:i w:val="0"/>
                <w:iCs w:val="0"/>
                <w:color w:val="auto"/>
                <w:sz w:val="21"/>
                <w:szCs w:val="21"/>
                <w:highlight w:val="none"/>
                <w:u w:val="none"/>
              </w:rPr>
            </w:pPr>
          </w:p>
        </w:tc>
      </w:tr>
      <w:tr w14:paraId="59837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154E7C8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32</w:t>
            </w:r>
          </w:p>
        </w:tc>
        <w:tc>
          <w:tcPr>
            <w:tcW w:w="1422" w:type="pct"/>
            <w:shd w:val="clear" w:color="auto" w:fill="auto"/>
            <w:vAlign w:val="center"/>
          </w:tcPr>
          <w:p w14:paraId="32D0B55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电磁流量计</w:t>
            </w:r>
          </w:p>
        </w:tc>
        <w:tc>
          <w:tcPr>
            <w:tcW w:w="1548" w:type="pct"/>
            <w:shd w:val="clear" w:color="auto" w:fill="auto"/>
            <w:vAlign w:val="center"/>
          </w:tcPr>
          <w:p w14:paraId="7686FF82">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DN100</w:t>
            </w:r>
          </w:p>
        </w:tc>
        <w:tc>
          <w:tcPr>
            <w:tcW w:w="354" w:type="pct"/>
            <w:shd w:val="clear" w:color="auto" w:fill="auto"/>
            <w:vAlign w:val="center"/>
          </w:tcPr>
          <w:p w14:paraId="7A3410B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3套</w:t>
            </w:r>
          </w:p>
        </w:tc>
        <w:tc>
          <w:tcPr>
            <w:tcW w:w="646" w:type="pct"/>
            <w:shd w:val="clear" w:color="auto" w:fill="auto"/>
            <w:vAlign w:val="center"/>
          </w:tcPr>
          <w:p w14:paraId="5332830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污泥管</w:t>
            </w:r>
          </w:p>
        </w:tc>
        <w:tc>
          <w:tcPr>
            <w:tcW w:w="733" w:type="pct"/>
            <w:shd w:val="clear" w:color="auto" w:fill="auto"/>
            <w:vAlign w:val="center"/>
          </w:tcPr>
          <w:p w14:paraId="45806302">
            <w:pPr>
              <w:jc w:val="center"/>
              <w:rPr>
                <w:rFonts w:hint="default" w:ascii="Times New Roman" w:hAnsi="Times New Roman" w:eastAsia="楷体" w:cs="Times New Roman"/>
                <w:i w:val="0"/>
                <w:iCs w:val="0"/>
                <w:color w:val="auto"/>
                <w:sz w:val="21"/>
                <w:szCs w:val="21"/>
                <w:highlight w:val="none"/>
                <w:u w:val="none"/>
              </w:rPr>
            </w:pPr>
          </w:p>
        </w:tc>
      </w:tr>
      <w:tr w14:paraId="0AA6F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4AF608E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33</w:t>
            </w:r>
          </w:p>
        </w:tc>
        <w:tc>
          <w:tcPr>
            <w:tcW w:w="1422" w:type="pct"/>
            <w:shd w:val="clear" w:color="auto" w:fill="auto"/>
            <w:vAlign w:val="center"/>
          </w:tcPr>
          <w:p w14:paraId="4270C81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电磁流量计</w:t>
            </w:r>
          </w:p>
        </w:tc>
        <w:tc>
          <w:tcPr>
            <w:tcW w:w="1548" w:type="pct"/>
            <w:shd w:val="clear" w:color="auto" w:fill="auto"/>
            <w:vAlign w:val="center"/>
          </w:tcPr>
          <w:p w14:paraId="61FD315A">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DN32</w:t>
            </w:r>
          </w:p>
        </w:tc>
        <w:tc>
          <w:tcPr>
            <w:tcW w:w="354" w:type="pct"/>
            <w:shd w:val="clear" w:color="auto" w:fill="auto"/>
            <w:vAlign w:val="center"/>
          </w:tcPr>
          <w:p w14:paraId="3EBCE8E1">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3套</w:t>
            </w:r>
          </w:p>
        </w:tc>
        <w:tc>
          <w:tcPr>
            <w:tcW w:w="646" w:type="pct"/>
            <w:shd w:val="clear" w:color="auto" w:fill="auto"/>
            <w:vAlign w:val="center"/>
          </w:tcPr>
          <w:p w14:paraId="30C946A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加药管</w:t>
            </w:r>
          </w:p>
        </w:tc>
        <w:tc>
          <w:tcPr>
            <w:tcW w:w="733" w:type="pct"/>
            <w:shd w:val="clear" w:color="auto" w:fill="auto"/>
            <w:vAlign w:val="center"/>
          </w:tcPr>
          <w:p w14:paraId="4E839854">
            <w:pPr>
              <w:jc w:val="center"/>
              <w:rPr>
                <w:rFonts w:hint="default" w:ascii="Times New Roman" w:hAnsi="Times New Roman" w:eastAsia="楷体" w:cs="Times New Roman"/>
                <w:i w:val="0"/>
                <w:iCs w:val="0"/>
                <w:color w:val="auto"/>
                <w:sz w:val="21"/>
                <w:szCs w:val="21"/>
                <w:highlight w:val="none"/>
                <w:u w:val="none"/>
              </w:rPr>
            </w:pPr>
          </w:p>
        </w:tc>
      </w:tr>
      <w:tr w14:paraId="1D5A8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7FF593D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34</w:t>
            </w:r>
          </w:p>
        </w:tc>
        <w:tc>
          <w:tcPr>
            <w:tcW w:w="1422" w:type="pct"/>
            <w:shd w:val="clear" w:color="auto" w:fill="auto"/>
            <w:vAlign w:val="center"/>
          </w:tcPr>
          <w:p w14:paraId="69185AB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硫化氢测定仪</w:t>
            </w:r>
          </w:p>
        </w:tc>
        <w:tc>
          <w:tcPr>
            <w:tcW w:w="1548" w:type="pct"/>
            <w:shd w:val="clear" w:color="auto" w:fill="auto"/>
            <w:vAlign w:val="center"/>
          </w:tcPr>
          <w:p w14:paraId="71B84D96">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0~20mg/m</w:t>
            </w:r>
            <w:r>
              <w:rPr>
                <w:rFonts w:hint="default" w:ascii="Times New Roman" w:hAnsi="Times New Roman" w:eastAsia="楷体" w:cs="Times New Roman"/>
                <w:i w:val="0"/>
                <w:iCs w:val="0"/>
                <w:color w:val="auto"/>
                <w:kern w:val="0"/>
                <w:sz w:val="13"/>
                <w:szCs w:val="13"/>
                <w:highlight w:val="none"/>
                <w:u w:val="none"/>
                <w:lang w:val="en-US" w:eastAsia="zh-CN" w:bidi="ar"/>
              </w:rPr>
              <w:t>3</w:t>
            </w:r>
          </w:p>
        </w:tc>
        <w:tc>
          <w:tcPr>
            <w:tcW w:w="354" w:type="pct"/>
            <w:shd w:val="clear" w:color="auto" w:fill="auto"/>
            <w:vAlign w:val="center"/>
          </w:tcPr>
          <w:p w14:paraId="4666EAB2">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2套</w:t>
            </w:r>
          </w:p>
        </w:tc>
        <w:tc>
          <w:tcPr>
            <w:tcW w:w="646" w:type="pct"/>
            <w:shd w:val="clear" w:color="auto" w:fill="auto"/>
            <w:vAlign w:val="center"/>
          </w:tcPr>
          <w:p w14:paraId="7BC5CEB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脱水机房</w:t>
            </w:r>
          </w:p>
        </w:tc>
        <w:tc>
          <w:tcPr>
            <w:tcW w:w="733" w:type="pct"/>
            <w:shd w:val="clear" w:color="auto" w:fill="auto"/>
            <w:vAlign w:val="center"/>
          </w:tcPr>
          <w:p w14:paraId="1DD2161A">
            <w:pPr>
              <w:jc w:val="center"/>
              <w:rPr>
                <w:rFonts w:hint="default" w:ascii="Times New Roman" w:hAnsi="Times New Roman" w:eastAsia="楷体" w:cs="Times New Roman"/>
                <w:i w:val="0"/>
                <w:iCs w:val="0"/>
                <w:color w:val="auto"/>
                <w:sz w:val="21"/>
                <w:szCs w:val="21"/>
                <w:highlight w:val="none"/>
                <w:u w:val="none"/>
              </w:rPr>
            </w:pPr>
          </w:p>
        </w:tc>
      </w:tr>
      <w:tr w14:paraId="5B9C4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4AC6EED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35</w:t>
            </w:r>
          </w:p>
        </w:tc>
        <w:tc>
          <w:tcPr>
            <w:tcW w:w="1422" w:type="pct"/>
            <w:shd w:val="clear" w:color="auto" w:fill="auto"/>
            <w:vAlign w:val="center"/>
          </w:tcPr>
          <w:p w14:paraId="173A1CE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物位计</w:t>
            </w:r>
          </w:p>
        </w:tc>
        <w:tc>
          <w:tcPr>
            <w:tcW w:w="1548" w:type="pct"/>
            <w:shd w:val="clear" w:color="auto" w:fill="auto"/>
            <w:vAlign w:val="center"/>
          </w:tcPr>
          <w:p w14:paraId="3FD4E85C">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1ADED97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2套</w:t>
            </w:r>
          </w:p>
        </w:tc>
        <w:tc>
          <w:tcPr>
            <w:tcW w:w="646" w:type="pct"/>
            <w:shd w:val="clear" w:color="auto" w:fill="auto"/>
            <w:vAlign w:val="center"/>
          </w:tcPr>
          <w:p w14:paraId="515BCD1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污泥料仓</w:t>
            </w:r>
          </w:p>
        </w:tc>
        <w:tc>
          <w:tcPr>
            <w:tcW w:w="733" w:type="pct"/>
            <w:shd w:val="clear" w:color="auto" w:fill="auto"/>
            <w:vAlign w:val="center"/>
          </w:tcPr>
          <w:p w14:paraId="02F65744">
            <w:pPr>
              <w:jc w:val="center"/>
              <w:rPr>
                <w:rFonts w:hint="default" w:ascii="Times New Roman" w:hAnsi="Times New Roman" w:eastAsia="楷体" w:cs="Times New Roman"/>
                <w:i w:val="0"/>
                <w:iCs w:val="0"/>
                <w:color w:val="auto"/>
                <w:sz w:val="21"/>
                <w:szCs w:val="21"/>
                <w:highlight w:val="none"/>
                <w:u w:val="none"/>
              </w:rPr>
            </w:pPr>
          </w:p>
        </w:tc>
      </w:tr>
      <w:tr w14:paraId="4F2F4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5A12FD8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36</w:t>
            </w:r>
          </w:p>
        </w:tc>
        <w:tc>
          <w:tcPr>
            <w:tcW w:w="1422" w:type="pct"/>
            <w:shd w:val="clear" w:color="auto" w:fill="auto"/>
            <w:vAlign w:val="center"/>
          </w:tcPr>
          <w:p w14:paraId="652D773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PH计</w:t>
            </w:r>
          </w:p>
        </w:tc>
        <w:tc>
          <w:tcPr>
            <w:tcW w:w="1548" w:type="pct"/>
            <w:shd w:val="clear" w:color="auto" w:fill="auto"/>
            <w:vAlign w:val="center"/>
          </w:tcPr>
          <w:p w14:paraId="14CCE6E0">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1~14PH 0~50C</w:t>
            </w:r>
          </w:p>
        </w:tc>
        <w:tc>
          <w:tcPr>
            <w:tcW w:w="354" w:type="pct"/>
            <w:shd w:val="clear" w:color="auto" w:fill="auto"/>
            <w:vAlign w:val="center"/>
          </w:tcPr>
          <w:p w14:paraId="2BA5597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38C1C09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出水检测间</w:t>
            </w:r>
          </w:p>
        </w:tc>
        <w:tc>
          <w:tcPr>
            <w:tcW w:w="733" w:type="pct"/>
            <w:shd w:val="clear" w:color="auto" w:fill="auto"/>
            <w:vAlign w:val="center"/>
          </w:tcPr>
          <w:p w14:paraId="1202DD9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出水计量</w:t>
            </w:r>
          </w:p>
        </w:tc>
      </w:tr>
      <w:tr w14:paraId="466E8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2F96DB5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37</w:t>
            </w:r>
          </w:p>
        </w:tc>
        <w:tc>
          <w:tcPr>
            <w:tcW w:w="1422" w:type="pct"/>
            <w:shd w:val="clear" w:color="auto" w:fill="auto"/>
            <w:vAlign w:val="center"/>
          </w:tcPr>
          <w:p w14:paraId="75E65F6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SS测定仪</w:t>
            </w:r>
          </w:p>
        </w:tc>
        <w:tc>
          <w:tcPr>
            <w:tcW w:w="1548" w:type="pct"/>
            <w:shd w:val="clear" w:color="auto" w:fill="auto"/>
            <w:vAlign w:val="center"/>
          </w:tcPr>
          <w:p w14:paraId="3E802A2F">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0~10mg/l</w:t>
            </w:r>
          </w:p>
        </w:tc>
        <w:tc>
          <w:tcPr>
            <w:tcW w:w="354" w:type="pct"/>
            <w:shd w:val="clear" w:color="auto" w:fill="auto"/>
            <w:vAlign w:val="center"/>
          </w:tcPr>
          <w:p w14:paraId="79EF839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2C7E48A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出水检测间</w:t>
            </w:r>
          </w:p>
        </w:tc>
        <w:tc>
          <w:tcPr>
            <w:tcW w:w="733" w:type="pct"/>
            <w:shd w:val="clear" w:color="auto" w:fill="auto"/>
            <w:vAlign w:val="center"/>
          </w:tcPr>
          <w:p w14:paraId="48B9239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出水计量</w:t>
            </w:r>
          </w:p>
        </w:tc>
      </w:tr>
      <w:tr w14:paraId="5185A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68BEBE6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38</w:t>
            </w:r>
          </w:p>
        </w:tc>
        <w:tc>
          <w:tcPr>
            <w:tcW w:w="1422" w:type="pct"/>
            <w:shd w:val="clear" w:color="auto" w:fill="auto"/>
            <w:vAlign w:val="center"/>
          </w:tcPr>
          <w:p w14:paraId="4CB1C63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COD测定仪</w:t>
            </w:r>
          </w:p>
        </w:tc>
        <w:tc>
          <w:tcPr>
            <w:tcW w:w="1548" w:type="pct"/>
            <w:shd w:val="clear" w:color="auto" w:fill="auto"/>
            <w:vAlign w:val="center"/>
          </w:tcPr>
          <w:p w14:paraId="28A50C8C">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0~50mg/l</w:t>
            </w:r>
          </w:p>
        </w:tc>
        <w:tc>
          <w:tcPr>
            <w:tcW w:w="354" w:type="pct"/>
            <w:shd w:val="clear" w:color="auto" w:fill="auto"/>
            <w:vAlign w:val="center"/>
          </w:tcPr>
          <w:p w14:paraId="151DE8A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19C082A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出水检测间</w:t>
            </w:r>
          </w:p>
        </w:tc>
        <w:tc>
          <w:tcPr>
            <w:tcW w:w="733" w:type="pct"/>
            <w:shd w:val="clear" w:color="auto" w:fill="auto"/>
            <w:vAlign w:val="center"/>
          </w:tcPr>
          <w:p w14:paraId="4816760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出水计量</w:t>
            </w:r>
          </w:p>
        </w:tc>
      </w:tr>
      <w:tr w14:paraId="1A5B6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3312318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39</w:t>
            </w:r>
          </w:p>
        </w:tc>
        <w:tc>
          <w:tcPr>
            <w:tcW w:w="1422" w:type="pct"/>
            <w:shd w:val="clear" w:color="auto" w:fill="auto"/>
            <w:vAlign w:val="center"/>
          </w:tcPr>
          <w:p w14:paraId="5664AA0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氨氮测定仪</w:t>
            </w:r>
          </w:p>
        </w:tc>
        <w:tc>
          <w:tcPr>
            <w:tcW w:w="1548" w:type="pct"/>
            <w:shd w:val="clear" w:color="auto" w:fill="auto"/>
            <w:vAlign w:val="center"/>
          </w:tcPr>
          <w:p w14:paraId="397ED3F6">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0~5mg/l</w:t>
            </w:r>
          </w:p>
        </w:tc>
        <w:tc>
          <w:tcPr>
            <w:tcW w:w="354" w:type="pct"/>
            <w:shd w:val="clear" w:color="auto" w:fill="auto"/>
            <w:vAlign w:val="center"/>
          </w:tcPr>
          <w:p w14:paraId="1146881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3B5E947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出水检测间</w:t>
            </w:r>
          </w:p>
        </w:tc>
        <w:tc>
          <w:tcPr>
            <w:tcW w:w="733" w:type="pct"/>
            <w:shd w:val="clear" w:color="auto" w:fill="auto"/>
            <w:vAlign w:val="center"/>
          </w:tcPr>
          <w:p w14:paraId="6445761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出水计量</w:t>
            </w:r>
          </w:p>
        </w:tc>
      </w:tr>
      <w:tr w14:paraId="20DB5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1243325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40</w:t>
            </w:r>
          </w:p>
        </w:tc>
        <w:tc>
          <w:tcPr>
            <w:tcW w:w="1422" w:type="pct"/>
            <w:shd w:val="clear" w:color="auto" w:fill="auto"/>
            <w:vAlign w:val="center"/>
          </w:tcPr>
          <w:p w14:paraId="53D0DCA1">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总磷、总氮一体仪</w:t>
            </w:r>
          </w:p>
        </w:tc>
        <w:tc>
          <w:tcPr>
            <w:tcW w:w="1548" w:type="pct"/>
            <w:shd w:val="clear" w:color="auto" w:fill="auto"/>
            <w:vAlign w:val="center"/>
          </w:tcPr>
          <w:p w14:paraId="1BC12FA6">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0~5mg/l</w:t>
            </w:r>
          </w:p>
        </w:tc>
        <w:tc>
          <w:tcPr>
            <w:tcW w:w="354" w:type="pct"/>
            <w:shd w:val="clear" w:color="auto" w:fill="auto"/>
            <w:vAlign w:val="center"/>
          </w:tcPr>
          <w:p w14:paraId="3CA371A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44B057B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出水仪表检测间</w:t>
            </w:r>
          </w:p>
        </w:tc>
        <w:tc>
          <w:tcPr>
            <w:tcW w:w="733" w:type="pct"/>
            <w:shd w:val="clear" w:color="auto" w:fill="auto"/>
            <w:vAlign w:val="center"/>
          </w:tcPr>
          <w:p w14:paraId="6B52C33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出水计量</w:t>
            </w:r>
          </w:p>
        </w:tc>
      </w:tr>
      <w:tr w14:paraId="538E5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5C506AF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41</w:t>
            </w:r>
          </w:p>
        </w:tc>
        <w:tc>
          <w:tcPr>
            <w:tcW w:w="1422" w:type="pct"/>
            <w:shd w:val="clear" w:color="auto" w:fill="auto"/>
            <w:vAlign w:val="center"/>
          </w:tcPr>
          <w:p w14:paraId="5DEC8EE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出水采样单元</w:t>
            </w:r>
          </w:p>
        </w:tc>
        <w:tc>
          <w:tcPr>
            <w:tcW w:w="1548" w:type="pct"/>
            <w:shd w:val="clear" w:color="auto" w:fill="auto"/>
            <w:vAlign w:val="center"/>
          </w:tcPr>
          <w:p w14:paraId="35C32C85">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5A66D4D2">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3664598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出水检测间</w:t>
            </w:r>
          </w:p>
        </w:tc>
        <w:tc>
          <w:tcPr>
            <w:tcW w:w="733" w:type="pct"/>
            <w:shd w:val="clear" w:color="auto" w:fill="auto"/>
            <w:vAlign w:val="center"/>
          </w:tcPr>
          <w:p w14:paraId="6FD04EE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出水计量</w:t>
            </w:r>
          </w:p>
        </w:tc>
      </w:tr>
      <w:tr w14:paraId="14C4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3DA9E48D">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42</w:t>
            </w:r>
          </w:p>
        </w:tc>
        <w:tc>
          <w:tcPr>
            <w:tcW w:w="1422" w:type="pct"/>
            <w:shd w:val="clear" w:color="auto" w:fill="auto"/>
            <w:vAlign w:val="center"/>
          </w:tcPr>
          <w:p w14:paraId="2A55F86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出水明渠流量计</w:t>
            </w:r>
          </w:p>
        </w:tc>
        <w:tc>
          <w:tcPr>
            <w:tcW w:w="1548" w:type="pct"/>
            <w:shd w:val="clear" w:color="auto" w:fill="auto"/>
            <w:vAlign w:val="center"/>
          </w:tcPr>
          <w:p w14:paraId="6CA90F78">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696AD4E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4D21F22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出水计量渠</w:t>
            </w:r>
          </w:p>
        </w:tc>
        <w:tc>
          <w:tcPr>
            <w:tcW w:w="733" w:type="pct"/>
            <w:shd w:val="clear" w:color="auto" w:fill="auto"/>
            <w:vAlign w:val="center"/>
          </w:tcPr>
          <w:p w14:paraId="609757E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出水计量</w:t>
            </w:r>
          </w:p>
        </w:tc>
      </w:tr>
      <w:tr w14:paraId="7A914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4E03144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43</w:t>
            </w:r>
          </w:p>
        </w:tc>
        <w:tc>
          <w:tcPr>
            <w:tcW w:w="1422" w:type="pct"/>
            <w:shd w:val="clear" w:color="auto" w:fill="auto"/>
            <w:vAlign w:val="center"/>
          </w:tcPr>
          <w:p w14:paraId="122953E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无线数采仪</w:t>
            </w:r>
          </w:p>
        </w:tc>
        <w:tc>
          <w:tcPr>
            <w:tcW w:w="1548" w:type="pct"/>
            <w:shd w:val="clear" w:color="auto" w:fill="auto"/>
            <w:vAlign w:val="center"/>
          </w:tcPr>
          <w:p w14:paraId="26191477">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3648837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2套</w:t>
            </w:r>
          </w:p>
        </w:tc>
        <w:tc>
          <w:tcPr>
            <w:tcW w:w="646" w:type="pct"/>
            <w:shd w:val="clear" w:color="auto" w:fill="auto"/>
            <w:vAlign w:val="center"/>
          </w:tcPr>
          <w:p w14:paraId="0D17C56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进出水检测间</w:t>
            </w:r>
          </w:p>
        </w:tc>
        <w:tc>
          <w:tcPr>
            <w:tcW w:w="733" w:type="pct"/>
            <w:shd w:val="clear" w:color="auto" w:fill="auto"/>
            <w:vAlign w:val="center"/>
          </w:tcPr>
          <w:p w14:paraId="07D66059">
            <w:pPr>
              <w:jc w:val="center"/>
              <w:rPr>
                <w:rFonts w:hint="default" w:ascii="Times New Roman" w:hAnsi="Times New Roman" w:eastAsia="楷体" w:cs="Times New Roman"/>
                <w:i w:val="0"/>
                <w:iCs w:val="0"/>
                <w:color w:val="auto"/>
                <w:sz w:val="21"/>
                <w:szCs w:val="21"/>
                <w:highlight w:val="none"/>
                <w:u w:val="none"/>
              </w:rPr>
            </w:pPr>
          </w:p>
        </w:tc>
      </w:tr>
      <w:tr w14:paraId="65810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42A3827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44</w:t>
            </w:r>
          </w:p>
        </w:tc>
        <w:tc>
          <w:tcPr>
            <w:tcW w:w="1422" w:type="pct"/>
            <w:shd w:val="clear" w:color="auto" w:fill="auto"/>
            <w:vAlign w:val="center"/>
          </w:tcPr>
          <w:p w14:paraId="2DB5CCB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仪表电源柜</w:t>
            </w:r>
          </w:p>
        </w:tc>
        <w:tc>
          <w:tcPr>
            <w:tcW w:w="1548" w:type="pct"/>
            <w:shd w:val="clear" w:color="auto" w:fill="auto"/>
            <w:vAlign w:val="center"/>
          </w:tcPr>
          <w:p w14:paraId="00D30FB4">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519F300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2套</w:t>
            </w:r>
          </w:p>
        </w:tc>
        <w:tc>
          <w:tcPr>
            <w:tcW w:w="646" w:type="pct"/>
            <w:shd w:val="clear" w:color="auto" w:fill="auto"/>
            <w:vAlign w:val="center"/>
          </w:tcPr>
          <w:p w14:paraId="3FF3F23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进出水检测间</w:t>
            </w:r>
          </w:p>
        </w:tc>
        <w:tc>
          <w:tcPr>
            <w:tcW w:w="733" w:type="pct"/>
            <w:shd w:val="clear" w:color="auto" w:fill="auto"/>
            <w:vAlign w:val="center"/>
          </w:tcPr>
          <w:p w14:paraId="72A09280">
            <w:pPr>
              <w:jc w:val="center"/>
              <w:rPr>
                <w:rFonts w:hint="default" w:ascii="Times New Roman" w:hAnsi="Times New Roman" w:eastAsia="楷体" w:cs="Times New Roman"/>
                <w:i w:val="0"/>
                <w:iCs w:val="0"/>
                <w:color w:val="auto"/>
                <w:sz w:val="21"/>
                <w:szCs w:val="21"/>
                <w:highlight w:val="none"/>
                <w:u w:val="none"/>
              </w:rPr>
            </w:pPr>
          </w:p>
        </w:tc>
      </w:tr>
      <w:tr w14:paraId="418A0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018B02F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45</w:t>
            </w:r>
          </w:p>
        </w:tc>
        <w:tc>
          <w:tcPr>
            <w:tcW w:w="1422" w:type="pct"/>
            <w:shd w:val="clear" w:color="auto" w:fill="auto"/>
            <w:vAlign w:val="center"/>
          </w:tcPr>
          <w:p w14:paraId="324DDF5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采样泵</w:t>
            </w:r>
          </w:p>
        </w:tc>
        <w:tc>
          <w:tcPr>
            <w:tcW w:w="1548" w:type="pct"/>
            <w:shd w:val="clear" w:color="auto" w:fill="auto"/>
            <w:vAlign w:val="center"/>
          </w:tcPr>
          <w:p w14:paraId="2BC459F1">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15CB56C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2套</w:t>
            </w:r>
          </w:p>
        </w:tc>
        <w:tc>
          <w:tcPr>
            <w:tcW w:w="646" w:type="pct"/>
            <w:shd w:val="clear" w:color="auto" w:fill="auto"/>
            <w:vAlign w:val="center"/>
          </w:tcPr>
          <w:p w14:paraId="6EABFBB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进出水检测间</w:t>
            </w:r>
          </w:p>
        </w:tc>
        <w:tc>
          <w:tcPr>
            <w:tcW w:w="733" w:type="pct"/>
            <w:shd w:val="clear" w:color="auto" w:fill="auto"/>
            <w:vAlign w:val="center"/>
          </w:tcPr>
          <w:p w14:paraId="16CC35B9">
            <w:pPr>
              <w:jc w:val="center"/>
              <w:rPr>
                <w:rFonts w:hint="default" w:ascii="Times New Roman" w:hAnsi="Times New Roman" w:eastAsia="楷体" w:cs="Times New Roman"/>
                <w:i w:val="0"/>
                <w:iCs w:val="0"/>
                <w:color w:val="auto"/>
                <w:sz w:val="21"/>
                <w:szCs w:val="21"/>
                <w:highlight w:val="none"/>
                <w:u w:val="none"/>
              </w:rPr>
            </w:pPr>
          </w:p>
        </w:tc>
      </w:tr>
      <w:tr w14:paraId="538F8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30D9E5A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46</w:t>
            </w:r>
          </w:p>
        </w:tc>
        <w:tc>
          <w:tcPr>
            <w:tcW w:w="1422" w:type="pct"/>
            <w:shd w:val="clear" w:color="auto" w:fill="auto"/>
            <w:vAlign w:val="center"/>
          </w:tcPr>
          <w:p w14:paraId="4C99BB7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仪表保护箱</w:t>
            </w:r>
          </w:p>
        </w:tc>
        <w:tc>
          <w:tcPr>
            <w:tcW w:w="1548" w:type="pct"/>
            <w:shd w:val="clear" w:color="auto" w:fill="auto"/>
            <w:vAlign w:val="center"/>
          </w:tcPr>
          <w:p w14:paraId="664B36B0">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4B66D5B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36套</w:t>
            </w:r>
          </w:p>
        </w:tc>
        <w:tc>
          <w:tcPr>
            <w:tcW w:w="646" w:type="pct"/>
            <w:shd w:val="clear" w:color="auto" w:fill="auto"/>
            <w:vAlign w:val="center"/>
          </w:tcPr>
          <w:p w14:paraId="3152EC5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户外</w:t>
            </w:r>
          </w:p>
        </w:tc>
        <w:tc>
          <w:tcPr>
            <w:tcW w:w="733" w:type="pct"/>
            <w:shd w:val="clear" w:color="auto" w:fill="auto"/>
            <w:vAlign w:val="center"/>
          </w:tcPr>
          <w:p w14:paraId="61AF4ABA">
            <w:pPr>
              <w:jc w:val="center"/>
              <w:rPr>
                <w:rFonts w:hint="default" w:ascii="Times New Roman" w:hAnsi="Times New Roman" w:eastAsia="楷体" w:cs="Times New Roman"/>
                <w:i w:val="0"/>
                <w:iCs w:val="0"/>
                <w:color w:val="auto"/>
                <w:sz w:val="21"/>
                <w:szCs w:val="21"/>
                <w:highlight w:val="none"/>
                <w:u w:val="none"/>
              </w:rPr>
            </w:pPr>
          </w:p>
        </w:tc>
      </w:tr>
      <w:tr w14:paraId="467DB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259233C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二</w:t>
            </w:r>
          </w:p>
        </w:tc>
        <w:tc>
          <w:tcPr>
            <w:tcW w:w="1422" w:type="pct"/>
            <w:shd w:val="clear" w:color="auto" w:fill="auto"/>
            <w:vAlign w:val="center"/>
          </w:tcPr>
          <w:p w14:paraId="3CCA1C0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自控系统</w:t>
            </w:r>
          </w:p>
        </w:tc>
        <w:tc>
          <w:tcPr>
            <w:tcW w:w="1548" w:type="pct"/>
            <w:shd w:val="clear" w:color="auto" w:fill="auto"/>
            <w:vAlign w:val="center"/>
          </w:tcPr>
          <w:p w14:paraId="495B1998">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682CF440">
            <w:pPr>
              <w:jc w:val="center"/>
              <w:rPr>
                <w:rFonts w:hint="default" w:ascii="Times New Roman" w:hAnsi="Times New Roman" w:eastAsia="楷体" w:cs="Times New Roman"/>
                <w:i w:val="0"/>
                <w:iCs w:val="0"/>
                <w:color w:val="auto"/>
                <w:sz w:val="21"/>
                <w:szCs w:val="21"/>
                <w:highlight w:val="none"/>
                <w:u w:val="none"/>
              </w:rPr>
            </w:pPr>
          </w:p>
        </w:tc>
        <w:tc>
          <w:tcPr>
            <w:tcW w:w="646" w:type="pct"/>
            <w:shd w:val="clear" w:color="auto" w:fill="auto"/>
            <w:vAlign w:val="center"/>
          </w:tcPr>
          <w:p w14:paraId="5CDA69BD">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448C99C8">
            <w:pPr>
              <w:jc w:val="center"/>
              <w:rPr>
                <w:rFonts w:hint="default" w:ascii="Times New Roman" w:hAnsi="Times New Roman" w:eastAsia="楷体" w:cs="Times New Roman"/>
                <w:i w:val="0"/>
                <w:iCs w:val="0"/>
                <w:color w:val="auto"/>
                <w:sz w:val="21"/>
                <w:szCs w:val="21"/>
                <w:highlight w:val="none"/>
                <w:u w:val="none"/>
              </w:rPr>
            </w:pPr>
          </w:p>
        </w:tc>
      </w:tr>
      <w:tr w14:paraId="6303A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3F6F4E6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w:t>
            </w:r>
          </w:p>
        </w:tc>
        <w:tc>
          <w:tcPr>
            <w:tcW w:w="1422" w:type="pct"/>
            <w:shd w:val="clear" w:color="auto" w:fill="auto"/>
            <w:vAlign w:val="center"/>
          </w:tcPr>
          <w:p w14:paraId="370AEE8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监控管理计算机、数据服务器</w:t>
            </w:r>
          </w:p>
        </w:tc>
        <w:tc>
          <w:tcPr>
            <w:tcW w:w="1548" w:type="pct"/>
            <w:shd w:val="clear" w:color="auto" w:fill="auto"/>
            <w:vAlign w:val="center"/>
          </w:tcPr>
          <w:p w14:paraId="43B7E6B4">
            <w:pPr>
              <w:keepNext w:val="0"/>
              <w:keepLines w:val="0"/>
              <w:widowControl/>
              <w:suppressLineNumbers w:val="0"/>
              <w:wordWrap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八核/2.2GHz/2X8GB/DDR3/2TB/16DVD-RW/100/1000以太网卡</w:t>
            </w:r>
          </w:p>
        </w:tc>
        <w:tc>
          <w:tcPr>
            <w:tcW w:w="354" w:type="pct"/>
            <w:shd w:val="clear" w:color="auto" w:fill="auto"/>
            <w:vAlign w:val="center"/>
          </w:tcPr>
          <w:p w14:paraId="1F56416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3台</w:t>
            </w:r>
          </w:p>
        </w:tc>
        <w:tc>
          <w:tcPr>
            <w:tcW w:w="646" w:type="pct"/>
            <w:shd w:val="clear" w:color="auto" w:fill="auto"/>
            <w:vAlign w:val="center"/>
          </w:tcPr>
          <w:p w14:paraId="1143577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控制室</w:t>
            </w:r>
          </w:p>
        </w:tc>
        <w:tc>
          <w:tcPr>
            <w:tcW w:w="733" w:type="pct"/>
            <w:shd w:val="clear" w:color="auto" w:fill="auto"/>
            <w:vAlign w:val="center"/>
          </w:tcPr>
          <w:p w14:paraId="5684FD4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工程师站、操作员站、数据库服务器</w:t>
            </w:r>
          </w:p>
        </w:tc>
      </w:tr>
      <w:tr w14:paraId="06111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796CBF6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w:t>
            </w:r>
          </w:p>
        </w:tc>
        <w:tc>
          <w:tcPr>
            <w:tcW w:w="1422" w:type="pct"/>
            <w:shd w:val="clear" w:color="auto" w:fill="auto"/>
            <w:vAlign w:val="center"/>
          </w:tcPr>
          <w:p w14:paraId="4E32CA7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显示器</w:t>
            </w:r>
          </w:p>
        </w:tc>
        <w:tc>
          <w:tcPr>
            <w:tcW w:w="1548" w:type="pct"/>
            <w:shd w:val="clear" w:color="auto" w:fill="auto"/>
            <w:vAlign w:val="center"/>
          </w:tcPr>
          <w:p w14:paraId="744259FD">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27”LCD</w:t>
            </w:r>
          </w:p>
        </w:tc>
        <w:tc>
          <w:tcPr>
            <w:tcW w:w="354" w:type="pct"/>
            <w:shd w:val="clear" w:color="auto" w:fill="auto"/>
            <w:vAlign w:val="center"/>
          </w:tcPr>
          <w:p w14:paraId="6E5BF49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3台</w:t>
            </w:r>
          </w:p>
        </w:tc>
        <w:tc>
          <w:tcPr>
            <w:tcW w:w="646" w:type="pct"/>
            <w:shd w:val="clear" w:color="auto" w:fill="auto"/>
            <w:vAlign w:val="center"/>
          </w:tcPr>
          <w:p w14:paraId="6726727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控制室</w:t>
            </w:r>
          </w:p>
        </w:tc>
        <w:tc>
          <w:tcPr>
            <w:tcW w:w="733" w:type="pct"/>
            <w:shd w:val="clear" w:color="auto" w:fill="auto"/>
            <w:vAlign w:val="center"/>
          </w:tcPr>
          <w:p w14:paraId="4DD2C88C">
            <w:pPr>
              <w:jc w:val="center"/>
              <w:rPr>
                <w:rFonts w:hint="default" w:ascii="Times New Roman" w:hAnsi="Times New Roman" w:eastAsia="楷体" w:cs="Times New Roman"/>
                <w:i w:val="0"/>
                <w:iCs w:val="0"/>
                <w:color w:val="auto"/>
                <w:sz w:val="21"/>
                <w:szCs w:val="21"/>
                <w:highlight w:val="none"/>
                <w:u w:val="none"/>
              </w:rPr>
            </w:pPr>
          </w:p>
        </w:tc>
      </w:tr>
      <w:tr w14:paraId="7F40E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1251F89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w:t>
            </w:r>
          </w:p>
        </w:tc>
        <w:tc>
          <w:tcPr>
            <w:tcW w:w="1422" w:type="pct"/>
            <w:shd w:val="clear" w:color="auto" w:fill="auto"/>
            <w:vAlign w:val="center"/>
          </w:tcPr>
          <w:p w14:paraId="613E1132">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便携计算机</w:t>
            </w:r>
          </w:p>
        </w:tc>
        <w:tc>
          <w:tcPr>
            <w:tcW w:w="1548" w:type="pct"/>
            <w:shd w:val="clear" w:color="auto" w:fill="auto"/>
            <w:vAlign w:val="center"/>
          </w:tcPr>
          <w:p w14:paraId="4D0DFE08">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i7/2.8GHz/8G/16DVD-RW/1TB/1000/100以太网/USB/WIFI</w:t>
            </w:r>
          </w:p>
        </w:tc>
        <w:tc>
          <w:tcPr>
            <w:tcW w:w="354" w:type="pct"/>
            <w:shd w:val="clear" w:color="auto" w:fill="auto"/>
            <w:vAlign w:val="center"/>
          </w:tcPr>
          <w:p w14:paraId="0E083C1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1台</w:t>
            </w:r>
          </w:p>
        </w:tc>
        <w:tc>
          <w:tcPr>
            <w:tcW w:w="646" w:type="pct"/>
            <w:shd w:val="clear" w:color="auto" w:fill="auto"/>
            <w:vAlign w:val="center"/>
          </w:tcPr>
          <w:p w14:paraId="6110B6B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控制室</w:t>
            </w:r>
          </w:p>
        </w:tc>
        <w:tc>
          <w:tcPr>
            <w:tcW w:w="733" w:type="pct"/>
            <w:shd w:val="clear" w:color="auto" w:fill="auto"/>
            <w:vAlign w:val="center"/>
          </w:tcPr>
          <w:p w14:paraId="51535B11">
            <w:pPr>
              <w:jc w:val="center"/>
              <w:rPr>
                <w:rFonts w:hint="default" w:ascii="Times New Roman" w:hAnsi="Times New Roman" w:eastAsia="楷体" w:cs="Times New Roman"/>
                <w:i w:val="0"/>
                <w:iCs w:val="0"/>
                <w:color w:val="auto"/>
                <w:sz w:val="21"/>
                <w:szCs w:val="21"/>
                <w:highlight w:val="none"/>
                <w:u w:val="none"/>
              </w:rPr>
            </w:pPr>
          </w:p>
        </w:tc>
      </w:tr>
      <w:tr w14:paraId="11EB0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67D83DC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w:t>
            </w:r>
          </w:p>
        </w:tc>
        <w:tc>
          <w:tcPr>
            <w:tcW w:w="1422" w:type="pct"/>
            <w:shd w:val="clear" w:color="auto" w:fill="auto"/>
            <w:vAlign w:val="center"/>
          </w:tcPr>
          <w:p w14:paraId="55676E4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在线式UPS电源柜</w:t>
            </w:r>
          </w:p>
        </w:tc>
        <w:tc>
          <w:tcPr>
            <w:tcW w:w="1548" w:type="pct"/>
            <w:shd w:val="clear" w:color="auto" w:fill="auto"/>
            <w:vAlign w:val="center"/>
          </w:tcPr>
          <w:p w14:paraId="5F26F6A0">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10KVA在线隔离式</w:t>
            </w:r>
          </w:p>
        </w:tc>
        <w:tc>
          <w:tcPr>
            <w:tcW w:w="354" w:type="pct"/>
            <w:shd w:val="clear" w:color="auto" w:fill="auto"/>
            <w:vAlign w:val="center"/>
          </w:tcPr>
          <w:p w14:paraId="06E4782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1台</w:t>
            </w:r>
          </w:p>
        </w:tc>
        <w:tc>
          <w:tcPr>
            <w:tcW w:w="646" w:type="pct"/>
            <w:shd w:val="clear" w:color="auto" w:fill="auto"/>
            <w:vAlign w:val="center"/>
          </w:tcPr>
          <w:p w14:paraId="3BF818C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控制室</w:t>
            </w:r>
          </w:p>
        </w:tc>
        <w:tc>
          <w:tcPr>
            <w:tcW w:w="733" w:type="pct"/>
            <w:shd w:val="clear" w:color="auto" w:fill="auto"/>
            <w:vAlign w:val="center"/>
          </w:tcPr>
          <w:p w14:paraId="5E4E0308">
            <w:pPr>
              <w:jc w:val="center"/>
              <w:rPr>
                <w:rFonts w:hint="default" w:ascii="Times New Roman" w:hAnsi="Times New Roman" w:eastAsia="楷体" w:cs="Times New Roman"/>
                <w:i w:val="0"/>
                <w:iCs w:val="0"/>
                <w:color w:val="auto"/>
                <w:sz w:val="21"/>
                <w:szCs w:val="21"/>
                <w:highlight w:val="none"/>
                <w:u w:val="none"/>
              </w:rPr>
            </w:pPr>
          </w:p>
        </w:tc>
      </w:tr>
      <w:tr w14:paraId="736E7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618A0D32">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5</w:t>
            </w:r>
          </w:p>
        </w:tc>
        <w:tc>
          <w:tcPr>
            <w:tcW w:w="1422" w:type="pct"/>
            <w:shd w:val="clear" w:color="auto" w:fill="auto"/>
            <w:vAlign w:val="center"/>
          </w:tcPr>
          <w:p w14:paraId="16BCAF0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在线式UPS电源</w:t>
            </w:r>
          </w:p>
        </w:tc>
        <w:tc>
          <w:tcPr>
            <w:tcW w:w="1548" w:type="pct"/>
            <w:shd w:val="clear" w:color="auto" w:fill="auto"/>
            <w:vAlign w:val="center"/>
          </w:tcPr>
          <w:p w14:paraId="2B4915E2">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3000VA</w:t>
            </w:r>
          </w:p>
        </w:tc>
        <w:tc>
          <w:tcPr>
            <w:tcW w:w="354" w:type="pct"/>
            <w:shd w:val="clear" w:color="auto" w:fill="auto"/>
            <w:vAlign w:val="center"/>
          </w:tcPr>
          <w:p w14:paraId="2CF6E8A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4台</w:t>
            </w:r>
          </w:p>
        </w:tc>
        <w:tc>
          <w:tcPr>
            <w:tcW w:w="646" w:type="pct"/>
            <w:shd w:val="clear" w:color="auto" w:fill="auto"/>
            <w:vAlign w:val="center"/>
          </w:tcPr>
          <w:p w14:paraId="4BBBD9F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PLC柜</w:t>
            </w:r>
          </w:p>
        </w:tc>
        <w:tc>
          <w:tcPr>
            <w:tcW w:w="733" w:type="pct"/>
            <w:shd w:val="clear" w:color="auto" w:fill="auto"/>
            <w:vAlign w:val="center"/>
          </w:tcPr>
          <w:p w14:paraId="24D8E5BC">
            <w:pPr>
              <w:jc w:val="center"/>
              <w:rPr>
                <w:rFonts w:hint="default" w:ascii="Times New Roman" w:hAnsi="Times New Roman" w:eastAsia="楷体" w:cs="Times New Roman"/>
                <w:i w:val="0"/>
                <w:iCs w:val="0"/>
                <w:color w:val="auto"/>
                <w:sz w:val="21"/>
                <w:szCs w:val="21"/>
                <w:highlight w:val="none"/>
                <w:u w:val="none"/>
              </w:rPr>
            </w:pPr>
          </w:p>
        </w:tc>
      </w:tr>
      <w:tr w14:paraId="6BB72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28BFE4B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6</w:t>
            </w:r>
          </w:p>
        </w:tc>
        <w:tc>
          <w:tcPr>
            <w:tcW w:w="1422" w:type="pct"/>
            <w:shd w:val="clear" w:color="auto" w:fill="auto"/>
            <w:vAlign w:val="center"/>
          </w:tcPr>
          <w:p w14:paraId="02DE57E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环网光端交换机</w:t>
            </w:r>
          </w:p>
        </w:tc>
        <w:tc>
          <w:tcPr>
            <w:tcW w:w="1548" w:type="pct"/>
            <w:shd w:val="clear" w:color="auto" w:fill="auto"/>
            <w:vAlign w:val="center"/>
          </w:tcPr>
          <w:p w14:paraId="73438BA9">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1000/100M六电二光</w:t>
            </w:r>
          </w:p>
        </w:tc>
        <w:tc>
          <w:tcPr>
            <w:tcW w:w="354" w:type="pct"/>
            <w:shd w:val="clear" w:color="auto" w:fill="auto"/>
            <w:vAlign w:val="center"/>
          </w:tcPr>
          <w:p w14:paraId="0C1EE81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5套</w:t>
            </w:r>
          </w:p>
        </w:tc>
        <w:tc>
          <w:tcPr>
            <w:tcW w:w="646" w:type="pct"/>
            <w:shd w:val="clear" w:color="auto" w:fill="auto"/>
            <w:vAlign w:val="center"/>
          </w:tcPr>
          <w:p w14:paraId="5641B4D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PLC柜及中控室</w:t>
            </w:r>
          </w:p>
        </w:tc>
        <w:tc>
          <w:tcPr>
            <w:tcW w:w="733" w:type="pct"/>
            <w:shd w:val="clear" w:color="auto" w:fill="auto"/>
            <w:vAlign w:val="center"/>
          </w:tcPr>
          <w:p w14:paraId="61196E94">
            <w:pPr>
              <w:jc w:val="center"/>
              <w:rPr>
                <w:rFonts w:hint="default" w:ascii="Times New Roman" w:hAnsi="Times New Roman" w:eastAsia="楷体" w:cs="Times New Roman"/>
                <w:i w:val="0"/>
                <w:iCs w:val="0"/>
                <w:color w:val="auto"/>
                <w:sz w:val="21"/>
                <w:szCs w:val="21"/>
                <w:highlight w:val="none"/>
                <w:u w:val="none"/>
              </w:rPr>
            </w:pPr>
          </w:p>
        </w:tc>
      </w:tr>
      <w:tr w14:paraId="22FCB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11B3FB3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7</w:t>
            </w:r>
          </w:p>
        </w:tc>
        <w:tc>
          <w:tcPr>
            <w:tcW w:w="1422" w:type="pct"/>
            <w:shd w:val="clear" w:color="auto" w:fill="auto"/>
            <w:vAlign w:val="center"/>
          </w:tcPr>
          <w:p w14:paraId="27C631E1">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可编程序控制器PLC1，施耐德M580系列</w:t>
            </w:r>
          </w:p>
        </w:tc>
        <w:tc>
          <w:tcPr>
            <w:tcW w:w="1548" w:type="pct"/>
            <w:shd w:val="clear" w:color="auto" w:fill="auto"/>
            <w:vAlign w:val="center"/>
          </w:tcPr>
          <w:p w14:paraId="6DE8FC98">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198B70F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788AF3D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PLC柜内</w:t>
            </w:r>
          </w:p>
        </w:tc>
        <w:tc>
          <w:tcPr>
            <w:tcW w:w="733" w:type="pct"/>
            <w:shd w:val="clear" w:color="auto" w:fill="auto"/>
            <w:vAlign w:val="center"/>
          </w:tcPr>
          <w:p w14:paraId="03C10B6D">
            <w:pPr>
              <w:jc w:val="center"/>
              <w:rPr>
                <w:rFonts w:hint="default" w:ascii="Times New Roman" w:hAnsi="Times New Roman" w:eastAsia="楷体" w:cs="Times New Roman"/>
                <w:i w:val="0"/>
                <w:iCs w:val="0"/>
                <w:color w:val="auto"/>
                <w:sz w:val="21"/>
                <w:szCs w:val="21"/>
                <w:highlight w:val="none"/>
                <w:u w:val="none"/>
              </w:rPr>
            </w:pPr>
          </w:p>
        </w:tc>
      </w:tr>
      <w:tr w14:paraId="5BE91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5540B95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8</w:t>
            </w:r>
          </w:p>
        </w:tc>
        <w:tc>
          <w:tcPr>
            <w:tcW w:w="1422" w:type="pct"/>
            <w:shd w:val="clear" w:color="auto" w:fill="auto"/>
            <w:vAlign w:val="center"/>
          </w:tcPr>
          <w:p w14:paraId="34C1F7A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可编程序控制器PLC2，施耐德M580系列</w:t>
            </w:r>
          </w:p>
        </w:tc>
        <w:tc>
          <w:tcPr>
            <w:tcW w:w="1548" w:type="pct"/>
            <w:shd w:val="clear" w:color="auto" w:fill="auto"/>
            <w:vAlign w:val="center"/>
          </w:tcPr>
          <w:p w14:paraId="62FD3230">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76307CB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31B7AB51">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PLC柜内</w:t>
            </w:r>
          </w:p>
        </w:tc>
        <w:tc>
          <w:tcPr>
            <w:tcW w:w="733" w:type="pct"/>
            <w:shd w:val="clear" w:color="auto" w:fill="auto"/>
            <w:vAlign w:val="center"/>
          </w:tcPr>
          <w:p w14:paraId="1A8D983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包含CPU、通讯、电源、</w:t>
            </w:r>
          </w:p>
        </w:tc>
      </w:tr>
      <w:tr w14:paraId="0464B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1FD01B9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9</w:t>
            </w:r>
          </w:p>
        </w:tc>
        <w:tc>
          <w:tcPr>
            <w:tcW w:w="1422" w:type="pct"/>
            <w:shd w:val="clear" w:color="auto" w:fill="auto"/>
            <w:vAlign w:val="center"/>
          </w:tcPr>
          <w:p w14:paraId="3684AFA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可编程序控制器PLC3施耐德M580系列</w:t>
            </w:r>
          </w:p>
        </w:tc>
        <w:tc>
          <w:tcPr>
            <w:tcW w:w="1548" w:type="pct"/>
            <w:shd w:val="clear" w:color="auto" w:fill="auto"/>
            <w:vAlign w:val="center"/>
          </w:tcPr>
          <w:p w14:paraId="0F44BAC8">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2A458CE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20747E6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PLC柜内</w:t>
            </w:r>
          </w:p>
        </w:tc>
        <w:tc>
          <w:tcPr>
            <w:tcW w:w="733" w:type="pct"/>
            <w:shd w:val="clear" w:color="auto" w:fill="auto"/>
            <w:vAlign w:val="center"/>
          </w:tcPr>
          <w:p w14:paraId="777C406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IO模块及配件</w:t>
            </w:r>
          </w:p>
        </w:tc>
      </w:tr>
      <w:tr w14:paraId="1FAAF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02DE2FD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10</w:t>
            </w:r>
          </w:p>
        </w:tc>
        <w:tc>
          <w:tcPr>
            <w:tcW w:w="1422" w:type="pct"/>
            <w:shd w:val="clear" w:color="auto" w:fill="auto"/>
            <w:vAlign w:val="center"/>
          </w:tcPr>
          <w:p w14:paraId="32E3D81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可编程序控制器PLC4施耐德M580系列</w:t>
            </w:r>
          </w:p>
        </w:tc>
        <w:tc>
          <w:tcPr>
            <w:tcW w:w="1548" w:type="pct"/>
            <w:shd w:val="clear" w:color="auto" w:fill="auto"/>
            <w:vAlign w:val="center"/>
          </w:tcPr>
          <w:p w14:paraId="35408485">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3BB0FAD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75982F8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PLC柜内</w:t>
            </w:r>
          </w:p>
        </w:tc>
        <w:tc>
          <w:tcPr>
            <w:tcW w:w="733" w:type="pct"/>
            <w:shd w:val="clear" w:color="auto" w:fill="auto"/>
            <w:noWrap/>
            <w:vAlign w:val="center"/>
          </w:tcPr>
          <w:p w14:paraId="3AA109F1">
            <w:pPr>
              <w:jc w:val="center"/>
              <w:rPr>
                <w:rFonts w:hint="default" w:ascii="Times New Roman" w:hAnsi="Times New Roman" w:eastAsia="楷体" w:cs="Times New Roman"/>
                <w:i w:val="0"/>
                <w:iCs w:val="0"/>
                <w:color w:val="auto"/>
                <w:sz w:val="22"/>
                <w:szCs w:val="22"/>
                <w:highlight w:val="none"/>
                <w:u w:val="none"/>
              </w:rPr>
            </w:pPr>
          </w:p>
        </w:tc>
      </w:tr>
      <w:tr w14:paraId="2591B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0AB609D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11</w:t>
            </w:r>
          </w:p>
        </w:tc>
        <w:tc>
          <w:tcPr>
            <w:tcW w:w="1422" w:type="pct"/>
            <w:shd w:val="clear" w:color="auto" w:fill="auto"/>
            <w:vAlign w:val="center"/>
          </w:tcPr>
          <w:p w14:paraId="40AFD13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可编程序控制器PLC5施耐德M580系列</w:t>
            </w:r>
          </w:p>
        </w:tc>
        <w:tc>
          <w:tcPr>
            <w:tcW w:w="1548" w:type="pct"/>
            <w:shd w:val="clear" w:color="auto" w:fill="auto"/>
            <w:vAlign w:val="center"/>
          </w:tcPr>
          <w:p w14:paraId="25EF6F2C">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2EF287E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78C429E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PLC柜内</w:t>
            </w:r>
          </w:p>
        </w:tc>
        <w:tc>
          <w:tcPr>
            <w:tcW w:w="733" w:type="pct"/>
            <w:shd w:val="clear" w:color="auto" w:fill="auto"/>
            <w:noWrap/>
            <w:vAlign w:val="center"/>
          </w:tcPr>
          <w:p w14:paraId="171F775A">
            <w:pPr>
              <w:jc w:val="center"/>
              <w:rPr>
                <w:rFonts w:hint="default" w:ascii="Times New Roman" w:hAnsi="Times New Roman" w:eastAsia="楷体" w:cs="Times New Roman"/>
                <w:i w:val="0"/>
                <w:iCs w:val="0"/>
                <w:color w:val="auto"/>
                <w:sz w:val="22"/>
                <w:szCs w:val="22"/>
                <w:highlight w:val="none"/>
                <w:u w:val="none"/>
              </w:rPr>
            </w:pPr>
          </w:p>
        </w:tc>
      </w:tr>
      <w:tr w14:paraId="38F57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3844364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12</w:t>
            </w:r>
          </w:p>
        </w:tc>
        <w:tc>
          <w:tcPr>
            <w:tcW w:w="1422" w:type="pct"/>
            <w:shd w:val="clear" w:color="auto" w:fill="auto"/>
            <w:vAlign w:val="center"/>
          </w:tcPr>
          <w:p w14:paraId="113072FD">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PLC柜</w:t>
            </w:r>
          </w:p>
        </w:tc>
        <w:tc>
          <w:tcPr>
            <w:tcW w:w="1548" w:type="pct"/>
            <w:shd w:val="clear" w:color="auto" w:fill="auto"/>
            <w:vAlign w:val="center"/>
          </w:tcPr>
          <w:p w14:paraId="5D1086C4">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HxWxD=2200x800x600</w:t>
            </w:r>
          </w:p>
        </w:tc>
        <w:tc>
          <w:tcPr>
            <w:tcW w:w="354" w:type="pct"/>
            <w:shd w:val="clear" w:color="auto" w:fill="auto"/>
            <w:vAlign w:val="center"/>
          </w:tcPr>
          <w:p w14:paraId="183A0E21">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6面</w:t>
            </w:r>
          </w:p>
        </w:tc>
        <w:tc>
          <w:tcPr>
            <w:tcW w:w="646" w:type="pct"/>
            <w:shd w:val="clear" w:color="auto" w:fill="auto"/>
            <w:vAlign w:val="center"/>
          </w:tcPr>
          <w:p w14:paraId="6B1AEFB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PLC站</w:t>
            </w:r>
          </w:p>
        </w:tc>
        <w:tc>
          <w:tcPr>
            <w:tcW w:w="733" w:type="pct"/>
            <w:shd w:val="clear" w:color="auto" w:fill="auto"/>
            <w:vAlign w:val="center"/>
          </w:tcPr>
          <w:p w14:paraId="4E73C5FE">
            <w:pPr>
              <w:jc w:val="center"/>
              <w:rPr>
                <w:rFonts w:hint="default" w:ascii="Times New Roman" w:hAnsi="Times New Roman" w:eastAsia="楷体" w:cs="Times New Roman"/>
                <w:i w:val="0"/>
                <w:iCs w:val="0"/>
                <w:color w:val="auto"/>
                <w:sz w:val="21"/>
                <w:szCs w:val="21"/>
                <w:highlight w:val="none"/>
                <w:u w:val="none"/>
              </w:rPr>
            </w:pPr>
          </w:p>
        </w:tc>
      </w:tr>
      <w:tr w14:paraId="78EDD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7EBFDF6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13</w:t>
            </w:r>
          </w:p>
        </w:tc>
        <w:tc>
          <w:tcPr>
            <w:tcW w:w="1422" w:type="pct"/>
            <w:shd w:val="clear" w:color="auto" w:fill="auto"/>
            <w:vAlign w:val="center"/>
          </w:tcPr>
          <w:p w14:paraId="1F97FC7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人机界面</w:t>
            </w:r>
          </w:p>
        </w:tc>
        <w:tc>
          <w:tcPr>
            <w:tcW w:w="1548" w:type="pct"/>
            <w:shd w:val="clear" w:color="auto" w:fill="auto"/>
            <w:vAlign w:val="center"/>
          </w:tcPr>
          <w:p w14:paraId="326431B9">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15寸</w:t>
            </w:r>
          </w:p>
        </w:tc>
        <w:tc>
          <w:tcPr>
            <w:tcW w:w="354" w:type="pct"/>
            <w:shd w:val="clear" w:color="auto" w:fill="auto"/>
            <w:vAlign w:val="center"/>
          </w:tcPr>
          <w:p w14:paraId="62957441">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4面</w:t>
            </w:r>
          </w:p>
        </w:tc>
        <w:tc>
          <w:tcPr>
            <w:tcW w:w="646" w:type="pct"/>
            <w:shd w:val="clear" w:color="auto" w:fill="auto"/>
            <w:vAlign w:val="center"/>
          </w:tcPr>
          <w:p w14:paraId="71F0298D">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PLC站</w:t>
            </w:r>
          </w:p>
        </w:tc>
        <w:tc>
          <w:tcPr>
            <w:tcW w:w="733" w:type="pct"/>
            <w:shd w:val="clear" w:color="auto" w:fill="auto"/>
            <w:vAlign w:val="center"/>
          </w:tcPr>
          <w:p w14:paraId="797F8E9F">
            <w:pPr>
              <w:jc w:val="center"/>
              <w:rPr>
                <w:rFonts w:hint="default" w:ascii="Times New Roman" w:hAnsi="Times New Roman" w:eastAsia="楷体" w:cs="Times New Roman"/>
                <w:i w:val="0"/>
                <w:iCs w:val="0"/>
                <w:color w:val="auto"/>
                <w:sz w:val="21"/>
                <w:szCs w:val="21"/>
                <w:highlight w:val="none"/>
                <w:u w:val="none"/>
              </w:rPr>
            </w:pPr>
          </w:p>
        </w:tc>
      </w:tr>
      <w:tr w14:paraId="4E65E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548C0A8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14</w:t>
            </w:r>
          </w:p>
        </w:tc>
        <w:tc>
          <w:tcPr>
            <w:tcW w:w="1422" w:type="pct"/>
            <w:shd w:val="clear" w:color="auto" w:fill="auto"/>
            <w:vAlign w:val="center"/>
          </w:tcPr>
          <w:p w14:paraId="34C5AA9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电源防雷器</w:t>
            </w:r>
          </w:p>
        </w:tc>
        <w:tc>
          <w:tcPr>
            <w:tcW w:w="1548" w:type="pct"/>
            <w:shd w:val="clear" w:color="auto" w:fill="auto"/>
            <w:vAlign w:val="center"/>
          </w:tcPr>
          <w:p w14:paraId="786B66D6">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224ECD1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100套</w:t>
            </w:r>
          </w:p>
        </w:tc>
        <w:tc>
          <w:tcPr>
            <w:tcW w:w="646" w:type="pct"/>
            <w:shd w:val="clear" w:color="auto" w:fill="auto"/>
            <w:vAlign w:val="center"/>
          </w:tcPr>
          <w:p w14:paraId="363D9B38">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0F6DC108">
            <w:pPr>
              <w:jc w:val="center"/>
              <w:rPr>
                <w:rFonts w:hint="default" w:ascii="Times New Roman" w:hAnsi="Times New Roman" w:eastAsia="楷体" w:cs="Times New Roman"/>
                <w:i w:val="0"/>
                <w:iCs w:val="0"/>
                <w:color w:val="auto"/>
                <w:sz w:val="21"/>
                <w:szCs w:val="21"/>
                <w:highlight w:val="none"/>
                <w:u w:val="none"/>
              </w:rPr>
            </w:pPr>
          </w:p>
        </w:tc>
      </w:tr>
      <w:tr w14:paraId="082E6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369B2D1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15</w:t>
            </w:r>
          </w:p>
        </w:tc>
        <w:tc>
          <w:tcPr>
            <w:tcW w:w="1422" w:type="pct"/>
            <w:shd w:val="clear" w:color="auto" w:fill="auto"/>
            <w:vAlign w:val="center"/>
          </w:tcPr>
          <w:p w14:paraId="7E80FEF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信号防雷器</w:t>
            </w:r>
          </w:p>
        </w:tc>
        <w:tc>
          <w:tcPr>
            <w:tcW w:w="1548" w:type="pct"/>
            <w:shd w:val="clear" w:color="auto" w:fill="auto"/>
            <w:vAlign w:val="center"/>
          </w:tcPr>
          <w:p w14:paraId="579B2A33">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4FB625E2">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100套</w:t>
            </w:r>
          </w:p>
        </w:tc>
        <w:tc>
          <w:tcPr>
            <w:tcW w:w="646" w:type="pct"/>
            <w:shd w:val="clear" w:color="auto" w:fill="auto"/>
            <w:vAlign w:val="center"/>
          </w:tcPr>
          <w:p w14:paraId="2D1F85BE">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4A7AB8A8">
            <w:pPr>
              <w:jc w:val="center"/>
              <w:rPr>
                <w:rFonts w:hint="default" w:ascii="Times New Roman" w:hAnsi="Times New Roman" w:eastAsia="楷体" w:cs="Times New Roman"/>
                <w:i w:val="0"/>
                <w:iCs w:val="0"/>
                <w:color w:val="auto"/>
                <w:sz w:val="21"/>
                <w:szCs w:val="21"/>
                <w:highlight w:val="none"/>
                <w:u w:val="none"/>
              </w:rPr>
            </w:pPr>
          </w:p>
        </w:tc>
      </w:tr>
      <w:tr w14:paraId="11250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3C61858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16</w:t>
            </w:r>
          </w:p>
        </w:tc>
        <w:tc>
          <w:tcPr>
            <w:tcW w:w="1422" w:type="pct"/>
            <w:shd w:val="clear" w:color="auto" w:fill="auto"/>
            <w:vAlign w:val="center"/>
          </w:tcPr>
          <w:p w14:paraId="13F77A5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操作系统软件</w:t>
            </w:r>
          </w:p>
        </w:tc>
        <w:tc>
          <w:tcPr>
            <w:tcW w:w="1548" w:type="pct"/>
            <w:shd w:val="clear" w:color="auto" w:fill="auto"/>
            <w:vAlign w:val="center"/>
          </w:tcPr>
          <w:p w14:paraId="0043AA60">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WIN7/10</w:t>
            </w:r>
          </w:p>
        </w:tc>
        <w:tc>
          <w:tcPr>
            <w:tcW w:w="354" w:type="pct"/>
            <w:shd w:val="clear" w:color="auto" w:fill="auto"/>
            <w:vAlign w:val="center"/>
          </w:tcPr>
          <w:p w14:paraId="192AC6A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3套</w:t>
            </w:r>
          </w:p>
        </w:tc>
        <w:tc>
          <w:tcPr>
            <w:tcW w:w="646" w:type="pct"/>
            <w:shd w:val="clear" w:color="auto" w:fill="auto"/>
            <w:vAlign w:val="center"/>
          </w:tcPr>
          <w:p w14:paraId="22420F7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控制室</w:t>
            </w:r>
          </w:p>
        </w:tc>
        <w:tc>
          <w:tcPr>
            <w:tcW w:w="733" w:type="pct"/>
            <w:shd w:val="clear" w:color="auto" w:fill="auto"/>
            <w:vAlign w:val="center"/>
          </w:tcPr>
          <w:p w14:paraId="65C0EDC8">
            <w:pPr>
              <w:jc w:val="center"/>
              <w:rPr>
                <w:rFonts w:hint="default" w:ascii="Times New Roman" w:hAnsi="Times New Roman" w:eastAsia="楷体" w:cs="Times New Roman"/>
                <w:i w:val="0"/>
                <w:iCs w:val="0"/>
                <w:color w:val="auto"/>
                <w:sz w:val="21"/>
                <w:szCs w:val="21"/>
                <w:highlight w:val="none"/>
                <w:u w:val="none"/>
              </w:rPr>
            </w:pPr>
          </w:p>
        </w:tc>
      </w:tr>
      <w:tr w14:paraId="4DCE6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77932BC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17</w:t>
            </w:r>
          </w:p>
        </w:tc>
        <w:tc>
          <w:tcPr>
            <w:tcW w:w="1422" w:type="pct"/>
            <w:shd w:val="clear" w:color="auto" w:fill="auto"/>
            <w:vAlign w:val="center"/>
          </w:tcPr>
          <w:p w14:paraId="728EFF6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监控管理计算机编程软件</w:t>
            </w:r>
          </w:p>
        </w:tc>
        <w:tc>
          <w:tcPr>
            <w:tcW w:w="1548" w:type="pct"/>
            <w:shd w:val="clear" w:color="auto" w:fill="auto"/>
            <w:vAlign w:val="center"/>
          </w:tcPr>
          <w:p w14:paraId="6E4C8499">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10000物理点</w:t>
            </w:r>
          </w:p>
        </w:tc>
        <w:tc>
          <w:tcPr>
            <w:tcW w:w="354" w:type="pct"/>
            <w:shd w:val="clear" w:color="auto" w:fill="auto"/>
            <w:vAlign w:val="center"/>
          </w:tcPr>
          <w:p w14:paraId="2BA4C71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1+1套</w:t>
            </w:r>
          </w:p>
        </w:tc>
        <w:tc>
          <w:tcPr>
            <w:tcW w:w="646" w:type="pct"/>
            <w:shd w:val="clear" w:color="auto" w:fill="auto"/>
            <w:vAlign w:val="center"/>
          </w:tcPr>
          <w:p w14:paraId="3D278ED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控制室</w:t>
            </w:r>
          </w:p>
        </w:tc>
        <w:tc>
          <w:tcPr>
            <w:tcW w:w="733" w:type="pct"/>
            <w:shd w:val="clear" w:color="auto" w:fill="auto"/>
            <w:vAlign w:val="center"/>
          </w:tcPr>
          <w:p w14:paraId="0053516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组态软件</w:t>
            </w:r>
          </w:p>
        </w:tc>
      </w:tr>
      <w:tr w14:paraId="11DD7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416A853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18</w:t>
            </w:r>
          </w:p>
        </w:tc>
        <w:tc>
          <w:tcPr>
            <w:tcW w:w="1422" w:type="pct"/>
            <w:shd w:val="clear" w:color="auto" w:fill="auto"/>
            <w:vAlign w:val="center"/>
          </w:tcPr>
          <w:p w14:paraId="1C4F38F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工业实时数据库系统</w:t>
            </w:r>
          </w:p>
        </w:tc>
        <w:tc>
          <w:tcPr>
            <w:tcW w:w="1548" w:type="pct"/>
            <w:shd w:val="clear" w:color="auto" w:fill="auto"/>
            <w:vAlign w:val="center"/>
          </w:tcPr>
          <w:p w14:paraId="12A6BA1D">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10000点</w:t>
            </w:r>
          </w:p>
        </w:tc>
        <w:tc>
          <w:tcPr>
            <w:tcW w:w="354" w:type="pct"/>
            <w:shd w:val="clear" w:color="auto" w:fill="auto"/>
            <w:vAlign w:val="center"/>
          </w:tcPr>
          <w:p w14:paraId="145A0DC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3E4C5BA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控制室</w:t>
            </w:r>
          </w:p>
        </w:tc>
        <w:tc>
          <w:tcPr>
            <w:tcW w:w="733" w:type="pct"/>
            <w:shd w:val="clear" w:color="auto" w:fill="auto"/>
            <w:vAlign w:val="center"/>
          </w:tcPr>
          <w:p w14:paraId="352C967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数据库</w:t>
            </w:r>
          </w:p>
        </w:tc>
      </w:tr>
      <w:tr w14:paraId="7CEE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3DFFEBF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19</w:t>
            </w:r>
          </w:p>
        </w:tc>
        <w:tc>
          <w:tcPr>
            <w:tcW w:w="1422" w:type="pct"/>
            <w:shd w:val="clear" w:color="auto" w:fill="auto"/>
            <w:vAlign w:val="center"/>
          </w:tcPr>
          <w:p w14:paraId="5D65FFB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厂内局域网服务器</w:t>
            </w:r>
          </w:p>
        </w:tc>
        <w:tc>
          <w:tcPr>
            <w:tcW w:w="1548" w:type="pct"/>
            <w:shd w:val="clear" w:color="auto" w:fill="auto"/>
            <w:vAlign w:val="center"/>
          </w:tcPr>
          <w:p w14:paraId="0ED781DA">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0ACAC12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34BE7EF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控制室</w:t>
            </w:r>
          </w:p>
        </w:tc>
        <w:tc>
          <w:tcPr>
            <w:tcW w:w="733" w:type="pct"/>
            <w:shd w:val="clear" w:color="auto" w:fill="auto"/>
            <w:vAlign w:val="center"/>
          </w:tcPr>
          <w:p w14:paraId="6CAAAFE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办公网</w:t>
            </w:r>
          </w:p>
        </w:tc>
      </w:tr>
      <w:tr w14:paraId="510A6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0C94093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20</w:t>
            </w:r>
          </w:p>
        </w:tc>
        <w:tc>
          <w:tcPr>
            <w:tcW w:w="1422" w:type="pct"/>
            <w:shd w:val="clear" w:color="auto" w:fill="auto"/>
            <w:vAlign w:val="center"/>
          </w:tcPr>
          <w:p w14:paraId="220864D1">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Web发布软件</w:t>
            </w:r>
          </w:p>
        </w:tc>
        <w:tc>
          <w:tcPr>
            <w:tcW w:w="1548" w:type="pct"/>
            <w:shd w:val="clear" w:color="auto" w:fill="auto"/>
            <w:vAlign w:val="center"/>
          </w:tcPr>
          <w:p w14:paraId="5E571B1E">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05DE660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782AE23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控制室</w:t>
            </w:r>
          </w:p>
        </w:tc>
        <w:tc>
          <w:tcPr>
            <w:tcW w:w="733" w:type="pct"/>
            <w:shd w:val="clear" w:color="auto" w:fill="auto"/>
            <w:vAlign w:val="center"/>
          </w:tcPr>
          <w:p w14:paraId="7012E25F">
            <w:pPr>
              <w:jc w:val="center"/>
              <w:rPr>
                <w:rFonts w:hint="default" w:ascii="Times New Roman" w:hAnsi="Times New Roman" w:eastAsia="楷体" w:cs="Times New Roman"/>
                <w:i w:val="0"/>
                <w:iCs w:val="0"/>
                <w:color w:val="auto"/>
                <w:sz w:val="21"/>
                <w:szCs w:val="21"/>
                <w:highlight w:val="none"/>
                <w:u w:val="none"/>
              </w:rPr>
            </w:pPr>
          </w:p>
        </w:tc>
      </w:tr>
      <w:tr w14:paraId="7E59C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5D84246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21</w:t>
            </w:r>
          </w:p>
        </w:tc>
        <w:tc>
          <w:tcPr>
            <w:tcW w:w="1422" w:type="pct"/>
            <w:shd w:val="clear" w:color="auto" w:fill="auto"/>
            <w:vAlign w:val="center"/>
          </w:tcPr>
          <w:p w14:paraId="5281520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人机界面软件</w:t>
            </w:r>
          </w:p>
        </w:tc>
        <w:tc>
          <w:tcPr>
            <w:tcW w:w="1548" w:type="pct"/>
            <w:shd w:val="clear" w:color="auto" w:fill="auto"/>
            <w:vAlign w:val="center"/>
          </w:tcPr>
          <w:p w14:paraId="6FBB13E5">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2F8A204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46891E91">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PLC站</w:t>
            </w:r>
          </w:p>
        </w:tc>
        <w:tc>
          <w:tcPr>
            <w:tcW w:w="733" w:type="pct"/>
            <w:shd w:val="clear" w:color="auto" w:fill="auto"/>
            <w:vAlign w:val="center"/>
          </w:tcPr>
          <w:p w14:paraId="129DE549">
            <w:pPr>
              <w:jc w:val="center"/>
              <w:rPr>
                <w:rFonts w:hint="default" w:ascii="Times New Roman" w:hAnsi="Times New Roman" w:eastAsia="楷体" w:cs="Times New Roman"/>
                <w:i w:val="0"/>
                <w:iCs w:val="0"/>
                <w:color w:val="auto"/>
                <w:sz w:val="21"/>
                <w:szCs w:val="21"/>
                <w:highlight w:val="none"/>
                <w:u w:val="none"/>
              </w:rPr>
            </w:pPr>
          </w:p>
        </w:tc>
      </w:tr>
      <w:tr w14:paraId="29C2C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47FF4AA1">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22</w:t>
            </w:r>
          </w:p>
        </w:tc>
        <w:tc>
          <w:tcPr>
            <w:tcW w:w="1422" w:type="pct"/>
            <w:shd w:val="clear" w:color="auto" w:fill="auto"/>
            <w:vAlign w:val="center"/>
          </w:tcPr>
          <w:p w14:paraId="1B5E752D">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PLC编程软件</w:t>
            </w:r>
          </w:p>
        </w:tc>
        <w:tc>
          <w:tcPr>
            <w:tcW w:w="1548" w:type="pct"/>
            <w:shd w:val="clear" w:color="auto" w:fill="auto"/>
            <w:vAlign w:val="center"/>
          </w:tcPr>
          <w:p w14:paraId="75F28DA8">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33CF865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78CEEF1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PLC站</w:t>
            </w:r>
          </w:p>
        </w:tc>
        <w:tc>
          <w:tcPr>
            <w:tcW w:w="733" w:type="pct"/>
            <w:shd w:val="clear" w:color="auto" w:fill="auto"/>
            <w:vAlign w:val="center"/>
          </w:tcPr>
          <w:p w14:paraId="55FD471B">
            <w:pPr>
              <w:jc w:val="center"/>
              <w:rPr>
                <w:rFonts w:hint="default" w:ascii="Times New Roman" w:hAnsi="Times New Roman" w:eastAsia="楷体" w:cs="Times New Roman"/>
                <w:i w:val="0"/>
                <w:iCs w:val="0"/>
                <w:color w:val="auto"/>
                <w:sz w:val="21"/>
                <w:szCs w:val="21"/>
                <w:highlight w:val="none"/>
                <w:u w:val="none"/>
              </w:rPr>
            </w:pPr>
          </w:p>
        </w:tc>
      </w:tr>
      <w:tr w14:paraId="32477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7170C31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23</w:t>
            </w:r>
          </w:p>
        </w:tc>
        <w:tc>
          <w:tcPr>
            <w:tcW w:w="1422" w:type="pct"/>
            <w:shd w:val="clear" w:color="auto" w:fill="auto"/>
            <w:vAlign w:val="center"/>
          </w:tcPr>
          <w:p w14:paraId="060B74C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污水厂运行及监控软件</w:t>
            </w:r>
          </w:p>
        </w:tc>
        <w:tc>
          <w:tcPr>
            <w:tcW w:w="1548" w:type="pct"/>
            <w:shd w:val="clear" w:color="auto" w:fill="auto"/>
            <w:vAlign w:val="center"/>
          </w:tcPr>
          <w:p w14:paraId="57C27AD1">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二次开发</w:t>
            </w:r>
          </w:p>
        </w:tc>
        <w:tc>
          <w:tcPr>
            <w:tcW w:w="354" w:type="pct"/>
            <w:shd w:val="clear" w:color="auto" w:fill="auto"/>
            <w:vAlign w:val="center"/>
          </w:tcPr>
          <w:p w14:paraId="681EAFF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2套</w:t>
            </w:r>
          </w:p>
        </w:tc>
        <w:tc>
          <w:tcPr>
            <w:tcW w:w="646" w:type="pct"/>
            <w:shd w:val="clear" w:color="auto" w:fill="auto"/>
            <w:vAlign w:val="center"/>
          </w:tcPr>
          <w:p w14:paraId="1DDBECC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控制室</w:t>
            </w:r>
          </w:p>
        </w:tc>
        <w:tc>
          <w:tcPr>
            <w:tcW w:w="733" w:type="pct"/>
            <w:shd w:val="clear" w:color="auto" w:fill="auto"/>
            <w:vAlign w:val="center"/>
          </w:tcPr>
          <w:p w14:paraId="6506953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运行软件</w:t>
            </w:r>
          </w:p>
        </w:tc>
      </w:tr>
      <w:tr w14:paraId="7B0AE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08AA528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24</w:t>
            </w:r>
          </w:p>
        </w:tc>
        <w:tc>
          <w:tcPr>
            <w:tcW w:w="1422" w:type="pct"/>
            <w:shd w:val="clear" w:color="auto" w:fill="auto"/>
            <w:vAlign w:val="center"/>
          </w:tcPr>
          <w:p w14:paraId="414FD36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打印服务器</w:t>
            </w:r>
          </w:p>
        </w:tc>
        <w:tc>
          <w:tcPr>
            <w:tcW w:w="1548" w:type="pct"/>
            <w:shd w:val="clear" w:color="auto" w:fill="auto"/>
            <w:vAlign w:val="center"/>
          </w:tcPr>
          <w:p w14:paraId="2EC00BE7">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2B29FEE2">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557FD1D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控制室</w:t>
            </w:r>
          </w:p>
        </w:tc>
        <w:tc>
          <w:tcPr>
            <w:tcW w:w="733" w:type="pct"/>
            <w:shd w:val="clear" w:color="auto" w:fill="auto"/>
            <w:vAlign w:val="center"/>
          </w:tcPr>
          <w:p w14:paraId="6FB163A0">
            <w:pPr>
              <w:jc w:val="center"/>
              <w:rPr>
                <w:rFonts w:hint="default" w:ascii="Times New Roman" w:hAnsi="Times New Roman" w:eastAsia="楷体" w:cs="Times New Roman"/>
                <w:i w:val="0"/>
                <w:iCs w:val="0"/>
                <w:color w:val="auto"/>
                <w:sz w:val="21"/>
                <w:szCs w:val="21"/>
                <w:highlight w:val="none"/>
                <w:u w:val="none"/>
              </w:rPr>
            </w:pPr>
          </w:p>
        </w:tc>
      </w:tr>
      <w:tr w14:paraId="40D7E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1CD6D491">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25</w:t>
            </w:r>
          </w:p>
        </w:tc>
        <w:tc>
          <w:tcPr>
            <w:tcW w:w="1422" w:type="pct"/>
            <w:shd w:val="clear" w:color="auto" w:fill="auto"/>
            <w:vAlign w:val="center"/>
          </w:tcPr>
          <w:p w14:paraId="153B678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100/1000M二层工业以太网交换机</w:t>
            </w:r>
          </w:p>
        </w:tc>
        <w:tc>
          <w:tcPr>
            <w:tcW w:w="1548" w:type="pct"/>
            <w:shd w:val="clear" w:color="auto" w:fill="auto"/>
            <w:vAlign w:val="center"/>
          </w:tcPr>
          <w:p w14:paraId="0A3963FC">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24口</w:t>
            </w:r>
          </w:p>
        </w:tc>
        <w:tc>
          <w:tcPr>
            <w:tcW w:w="354" w:type="pct"/>
            <w:shd w:val="clear" w:color="auto" w:fill="auto"/>
            <w:vAlign w:val="center"/>
          </w:tcPr>
          <w:p w14:paraId="050BD092">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1F03CF7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控制室</w:t>
            </w:r>
          </w:p>
        </w:tc>
        <w:tc>
          <w:tcPr>
            <w:tcW w:w="733" w:type="pct"/>
            <w:shd w:val="clear" w:color="auto" w:fill="auto"/>
            <w:vAlign w:val="center"/>
          </w:tcPr>
          <w:p w14:paraId="33A1DD4F">
            <w:pPr>
              <w:jc w:val="center"/>
              <w:rPr>
                <w:rFonts w:hint="default" w:ascii="Times New Roman" w:hAnsi="Times New Roman" w:eastAsia="楷体" w:cs="Times New Roman"/>
                <w:i w:val="0"/>
                <w:iCs w:val="0"/>
                <w:color w:val="auto"/>
                <w:sz w:val="21"/>
                <w:szCs w:val="21"/>
                <w:highlight w:val="none"/>
                <w:u w:val="none"/>
              </w:rPr>
            </w:pPr>
          </w:p>
        </w:tc>
      </w:tr>
      <w:tr w14:paraId="1E795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1F45590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26</w:t>
            </w:r>
          </w:p>
        </w:tc>
        <w:tc>
          <w:tcPr>
            <w:tcW w:w="1422" w:type="pct"/>
            <w:shd w:val="clear" w:color="auto" w:fill="auto"/>
            <w:vAlign w:val="center"/>
          </w:tcPr>
          <w:p w14:paraId="03C5E47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激光打印机</w:t>
            </w:r>
          </w:p>
        </w:tc>
        <w:tc>
          <w:tcPr>
            <w:tcW w:w="1548" w:type="pct"/>
            <w:shd w:val="clear" w:color="auto" w:fill="auto"/>
            <w:vAlign w:val="center"/>
          </w:tcPr>
          <w:p w14:paraId="0D22A4C2">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32M17页/分A31200X1200DPI</w:t>
            </w:r>
          </w:p>
        </w:tc>
        <w:tc>
          <w:tcPr>
            <w:tcW w:w="354" w:type="pct"/>
            <w:shd w:val="clear" w:color="auto" w:fill="auto"/>
            <w:vAlign w:val="center"/>
          </w:tcPr>
          <w:p w14:paraId="4F5D83B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3F25AD7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控制室</w:t>
            </w:r>
          </w:p>
        </w:tc>
        <w:tc>
          <w:tcPr>
            <w:tcW w:w="733" w:type="pct"/>
            <w:shd w:val="clear" w:color="auto" w:fill="auto"/>
            <w:vAlign w:val="center"/>
          </w:tcPr>
          <w:p w14:paraId="44FE10F2">
            <w:pPr>
              <w:jc w:val="center"/>
              <w:rPr>
                <w:rFonts w:hint="default" w:ascii="Times New Roman" w:hAnsi="Times New Roman" w:eastAsia="楷体" w:cs="Times New Roman"/>
                <w:i w:val="0"/>
                <w:iCs w:val="0"/>
                <w:color w:val="auto"/>
                <w:sz w:val="21"/>
                <w:szCs w:val="21"/>
                <w:highlight w:val="none"/>
                <w:u w:val="none"/>
              </w:rPr>
            </w:pPr>
          </w:p>
        </w:tc>
      </w:tr>
      <w:tr w14:paraId="4E90D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75A878D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27</w:t>
            </w:r>
          </w:p>
        </w:tc>
        <w:tc>
          <w:tcPr>
            <w:tcW w:w="1422" w:type="pct"/>
            <w:shd w:val="clear" w:color="auto" w:fill="auto"/>
            <w:vAlign w:val="center"/>
          </w:tcPr>
          <w:p w14:paraId="6443E19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中控室电源柜</w:t>
            </w:r>
          </w:p>
        </w:tc>
        <w:tc>
          <w:tcPr>
            <w:tcW w:w="1548" w:type="pct"/>
            <w:shd w:val="clear" w:color="auto" w:fill="auto"/>
            <w:vAlign w:val="center"/>
          </w:tcPr>
          <w:p w14:paraId="6AFFCA89">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1987727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709F5A5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控制室</w:t>
            </w:r>
          </w:p>
        </w:tc>
        <w:tc>
          <w:tcPr>
            <w:tcW w:w="733" w:type="pct"/>
            <w:shd w:val="clear" w:color="auto" w:fill="auto"/>
            <w:vAlign w:val="center"/>
          </w:tcPr>
          <w:p w14:paraId="6F899BD0">
            <w:pPr>
              <w:jc w:val="center"/>
              <w:rPr>
                <w:rFonts w:hint="default" w:ascii="Times New Roman" w:hAnsi="Times New Roman" w:eastAsia="楷体" w:cs="Times New Roman"/>
                <w:i w:val="0"/>
                <w:iCs w:val="0"/>
                <w:color w:val="auto"/>
                <w:sz w:val="21"/>
                <w:szCs w:val="21"/>
                <w:highlight w:val="none"/>
                <w:u w:val="none"/>
              </w:rPr>
            </w:pPr>
          </w:p>
        </w:tc>
      </w:tr>
      <w:tr w14:paraId="0F9A2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36C45EF1">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28</w:t>
            </w:r>
          </w:p>
        </w:tc>
        <w:tc>
          <w:tcPr>
            <w:tcW w:w="1422" w:type="pct"/>
            <w:shd w:val="clear" w:color="auto" w:fill="auto"/>
            <w:vAlign w:val="center"/>
          </w:tcPr>
          <w:p w14:paraId="24EEA902">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LCD大屏</w:t>
            </w:r>
          </w:p>
        </w:tc>
        <w:tc>
          <w:tcPr>
            <w:tcW w:w="1548" w:type="pct"/>
            <w:shd w:val="clear" w:color="auto" w:fill="auto"/>
            <w:vAlign w:val="center"/>
          </w:tcPr>
          <w:p w14:paraId="1EE8E1B9">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4X3 55寸</w:t>
            </w:r>
          </w:p>
        </w:tc>
        <w:tc>
          <w:tcPr>
            <w:tcW w:w="354" w:type="pct"/>
            <w:shd w:val="clear" w:color="auto" w:fill="auto"/>
            <w:vAlign w:val="center"/>
          </w:tcPr>
          <w:p w14:paraId="345C7EF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7680DBA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中控室</w:t>
            </w:r>
          </w:p>
        </w:tc>
        <w:tc>
          <w:tcPr>
            <w:tcW w:w="733" w:type="pct"/>
            <w:shd w:val="clear" w:color="auto" w:fill="auto"/>
            <w:vAlign w:val="center"/>
          </w:tcPr>
          <w:p w14:paraId="66BF731A">
            <w:pPr>
              <w:jc w:val="center"/>
              <w:rPr>
                <w:rFonts w:hint="default" w:ascii="Times New Roman" w:hAnsi="Times New Roman" w:eastAsia="楷体" w:cs="Times New Roman"/>
                <w:i w:val="0"/>
                <w:iCs w:val="0"/>
                <w:color w:val="auto"/>
                <w:sz w:val="21"/>
                <w:szCs w:val="21"/>
                <w:highlight w:val="none"/>
                <w:u w:val="none"/>
              </w:rPr>
            </w:pPr>
          </w:p>
        </w:tc>
      </w:tr>
      <w:tr w14:paraId="7D095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2B13C79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29</w:t>
            </w:r>
          </w:p>
        </w:tc>
        <w:tc>
          <w:tcPr>
            <w:tcW w:w="1422" w:type="pct"/>
            <w:shd w:val="clear" w:color="auto" w:fill="auto"/>
            <w:vAlign w:val="center"/>
          </w:tcPr>
          <w:p w14:paraId="6AF5BBB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LCD大屏控制系统</w:t>
            </w:r>
          </w:p>
        </w:tc>
        <w:tc>
          <w:tcPr>
            <w:tcW w:w="1548" w:type="pct"/>
            <w:shd w:val="clear" w:color="auto" w:fill="auto"/>
            <w:vAlign w:val="center"/>
          </w:tcPr>
          <w:p w14:paraId="75331971">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4356A88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6FF9F02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中控室</w:t>
            </w:r>
          </w:p>
        </w:tc>
        <w:tc>
          <w:tcPr>
            <w:tcW w:w="733" w:type="pct"/>
            <w:shd w:val="clear" w:color="auto" w:fill="auto"/>
            <w:vAlign w:val="center"/>
          </w:tcPr>
          <w:p w14:paraId="3699FC92">
            <w:pPr>
              <w:jc w:val="center"/>
              <w:rPr>
                <w:rFonts w:hint="default" w:ascii="Times New Roman" w:hAnsi="Times New Roman" w:eastAsia="楷体" w:cs="Times New Roman"/>
                <w:i w:val="0"/>
                <w:iCs w:val="0"/>
                <w:color w:val="auto"/>
                <w:sz w:val="21"/>
                <w:szCs w:val="21"/>
                <w:highlight w:val="none"/>
                <w:u w:val="none"/>
              </w:rPr>
            </w:pPr>
          </w:p>
        </w:tc>
      </w:tr>
      <w:tr w14:paraId="08131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3EC7AD5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30</w:t>
            </w:r>
          </w:p>
        </w:tc>
        <w:tc>
          <w:tcPr>
            <w:tcW w:w="1422" w:type="pct"/>
            <w:shd w:val="clear" w:color="auto" w:fill="auto"/>
            <w:vAlign w:val="center"/>
          </w:tcPr>
          <w:p w14:paraId="6AB230E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LCD屏控制软件</w:t>
            </w:r>
          </w:p>
        </w:tc>
        <w:tc>
          <w:tcPr>
            <w:tcW w:w="1548" w:type="pct"/>
            <w:shd w:val="clear" w:color="auto" w:fill="auto"/>
            <w:vAlign w:val="center"/>
          </w:tcPr>
          <w:p w14:paraId="29C8AD20">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23B3E3C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36AF908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中控室</w:t>
            </w:r>
          </w:p>
        </w:tc>
        <w:tc>
          <w:tcPr>
            <w:tcW w:w="733" w:type="pct"/>
            <w:shd w:val="clear" w:color="auto" w:fill="auto"/>
            <w:vAlign w:val="center"/>
          </w:tcPr>
          <w:p w14:paraId="1C1C7260">
            <w:pPr>
              <w:jc w:val="center"/>
              <w:rPr>
                <w:rFonts w:hint="default" w:ascii="Times New Roman" w:hAnsi="Times New Roman" w:eastAsia="楷体" w:cs="Times New Roman"/>
                <w:i w:val="0"/>
                <w:iCs w:val="0"/>
                <w:color w:val="auto"/>
                <w:sz w:val="21"/>
                <w:szCs w:val="21"/>
                <w:highlight w:val="none"/>
                <w:u w:val="none"/>
              </w:rPr>
            </w:pPr>
          </w:p>
        </w:tc>
      </w:tr>
      <w:tr w14:paraId="4B61A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3576C7B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31</w:t>
            </w:r>
          </w:p>
        </w:tc>
        <w:tc>
          <w:tcPr>
            <w:tcW w:w="1422" w:type="pct"/>
            <w:shd w:val="clear" w:color="auto" w:fill="auto"/>
            <w:vAlign w:val="center"/>
          </w:tcPr>
          <w:p w14:paraId="2B1CA97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硬件防火墙</w:t>
            </w:r>
          </w:p>
        </w:tc>
        <w:tc>
          <w:tcPr>
            <w:tcW w:w="1548" w:type="pct"/>
            <w:shd w:val="clear" w:color="auto" w:fill="auto"/>
            <w:vAlign w:val="center"/>
          </w:tcPr>
          <w:p w14:paraId="5BD5DF50">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322E41A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2套</w:t>
            </w:r>
          </w:p>
        </w:tc>
        <w:tc>
          <w:tcPr>
            <w:tcW w:w="646" w:type="pct"/>
            <w:shd w:val="clear" w:color="auto" w:fill="auto"/>
            <w:vAlign w:val="center"/>
          </w:tcPr>
          <w:p w14:paraId="6B7B097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中控室</w:t>
            </w:r>
          </w:p>
        </w:tc>
        <w:tc>
          <w:tcPr>
            <w:tcW w:w="733" w:type="pct"/>
            <w:shd w:val="clear" w:color="auto" w:fill="auto"/>
            <w:vAlign w:val="center"/>
          </w:tcPr>
          <w:p w14:paraId="1B990F6C">
            <w:pPr>
              <w:jc w:val="center"/>
              <w:rPr>
                <w:rFonts w:hint="default" w:ascii="Times New Roman" w:hAnsi="Times New Roman" w:eastAsia="楷体" w:cs="Times New Roman"/>
                <w:i w:val="0"/>
                <w:iCs w:val="0"/>
                <w:color w:val="auto"/>
                <w:sz w:val="21"/>
                <w:szCs w:val="21"/>
                <w:highlight w:val="none"/>
                <w:u w:val="none"/>
              </w:rPr>
            </w:pPr>
          </w:p>
        </w:tc>
      </w:tr>
      <w:tr w14:paraId="34408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0A63514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32</w:t>
            </w:r>
          </w:p>
        </w:tc>
        <w:tc>
          <w:tcPr>
            <w:tcW w:w="1422" w:type="pct"/>
            <w:shd w:val="clear" w:color="auto" w:fill="auto"/>
            <w:vAlign w:val="center"/>
          </w:tcPr>
          <w:p w14:paraId="09FAD1F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安全卫士</w:t>
            </w:r>
          </w:p>
        </w:tc>
        <w:tc>
          <w:tcPr>
            <w:tcW w:w="1548" w:type="pct"/>
            <w:shd w:val="clear" w:color="auto" w:fill="auto"/>
            <w:vAlign w:val="center"/>
          </w:tcPr>
          <w:p w14:paraId="48FE1C33">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1D442CC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3套</w:t>
            </w:r>
          </w:p>
        </w:tc>
        <w:tc>
          <w:tcPr>
            <w:tcW w:w="646" w:type="pct"/>
            <w:shd w:val="clear" w:color="auto" w:fill="auto"/>
            <w:vAlign w:val="center"/>
          </w:tcPr>
          <w:p w14:paraId="3522E28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中控室</w:t>
            </w:r>
          </w:p>
        </w:tc>
        <w:tc>
          <w:tcPr>
            <w:tcW w:w="733" w:type="pct"/>
            <w:shd w:val="clear" w:color="auto" w:fill="auto"/>
            <w:vAlign w:val="center"/>
          </w:tcPr>
          <w:p w14:paraId="6046968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安全运行软件</w:t>
            </w:r>
          </w:p>
        </w:tc>
      </w:tr>
      <w:tr w14:paraId="45A9E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3E1086E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33</w:t>
            </w:r>
          </w:p>
        </w:tc>
        <w:tc>
          <w:tcPr>
            <w:tcW w:w="1422" w:type="pct"/>
            <w:shd w:val="clear" w:color="auto" w:fill="auto"/>
            <w:vAlign w:val="center"/>
          </w:tcPr>
          <w:p w14:paraId="739A33C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安全监管平台</w:t>
            </w:r>
          </w:p>
        </w:tc>
        <w:tc>
          <w:tcPr>
            <w:tcW w:w="1548" w:type="pct"/>
            <w:shd w:val="clear" w:color="auto" w:fill="auto"/>
            <w:vAlign w:val="center"/>
          </w:tcPr>
          <w:p w14:paraId="0A10E2A8">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4CDA157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3C484EE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中控室</w:t>
            </w:r>
          </w:p>
        </w:tc>
        <w:tc>
          <w:tcPr>
            <w:tcW w:w="733" w:type="pct"/>
            <w:shd w:val="clear" w:color="auto" w:fill="auto"/>
            <w:vAlign w:val="center"/>
          </w:tcPr>
          <w:p w14:paraId="7B4AE03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安全管理平台</w:t>
            </w:r>
          </w:p>
        </w:tc>
      </w:tr>
      <w:tr w14:paraId="76E7A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49E6425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34</w:t>
            </w:r>
          </w:p>
        </w:tc>
        <w:tc>
          <w:tcPr>
            <w:tcW w:w="1422" w:type="pct"/>
            <w:shd w:val="clear" w:color="auto" w:fill="auto"/>
            <w:vAlign w:val="center"/>
          </w:tcPr>
          <w:p w14:paraId="7139D47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二级安保测评</w:t>
            </w:r>
          </w:p>
        </w:tc>
        <w:tc>
          <w:tcPr>
            <w:tcW w:w="1548" w:type="pct"/>
            <w:shd w:val="clear" w:color="auto" w:fill="auto"/>
            <w:vAlign w:val="center"/>
          </w:tcPr>
          <w:p w14:paraId="29E90FAF">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60E4843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1批</w:t>
            </w:r>
          </w:p>
        </w:tc>
        <w:tc>
          <w:tcPr>
            <w:tcW w:w="646" w:type="pct"/>
            <w:shd w:val="clear" w:color="auto" w:fill="auto"/>
            <w:vAlign w:val="center"/>
          </w:tcPr>
          <w:p w14:paraId="1FFF406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中控室</w:t>
            </w:r>
          </w:p>
        </w:tc>
        <w:tc>
          <w:tcPr>
            <w:tcW w:w="733" w:type="pct"/>
            <w:shd w:val="clear" w:color="auto" w:fill="auto"/>
            <w:vAlign w:val="center"/>
          </w:tcPr>
          <w:p w14:paraId="6A2E1B3D">
            <w:pPr>
              <w:jc w:val="center"/>
              <w:rPr>
                <w:rFonts w:hint="default" w:ascii="Times New Roman" w:hAnsi="Times New Roman" w:eastAsia="楷体" w:cs="Times New Roman"/>
                <w:i w:val="0"/>
                <w:iCs w:val="0"/>
                <w:color w:val="auto"/>
                <w:sz w:val="21"/>
                <w:szCs w:val="21"/>
                <w:highlight w:val="none"/>
                <w:u w:val="none"/>
              </w:rPr>
            </w:pPr>
          </w:p>
        </w:tc>
      </w:tr>
      <w:tr w14:paraId="3C581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5249610D">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35</w:t>
            </w:r>
          </w:p>
        </w:tc>
        <w:tc>
          <w:tcPr>
            <w:tcW w:w="1422" w:type="pct"/>
            <w:shd w:val="clear" w:color="auto" w:fill="auto"/>
            <w:vAlign w:val="center"/>
          </w:tcPr>
          <w:p w14:paraId="14CDBE0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安全白名单库</w:t>
            </w:r>
          </w:p>
        </w:tc>
        <w:tc>
          <w:tcPr>
            <w:tcW w:w="1548" w:type="pct"/>
            <w:shd w:val="clear" w:color="auto" w:fill="auto"/>
            <w:vAlign w:val="center"/>
          </w:tcPr>
          <w:p w14:paraId="5CC48FB5">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6DA376E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45D5A8F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中控室</w:t>
            </w:r>
          </w:p>
        </w:tc>
        <w:tc>
          <w:tcPr>
            <w:tcW w:w="733" w:type="pct"/>
            <w:shd w:val="clear" w:color="auto" w:fill="auto"/>
            <w:vAlign w:val="center"/>
          </w:tcPr>
          <w:p w14:paraId="4C9D3C12">
            <w:pPr>
              <w:jc w:val="center"/>
              <w:rPr>
                <w:rFonts w:hint="default" w:ascii="Times New Roman" w:hAnsi="Times New Roman" w:eastAsia="楷体" w:cs="Times New Roman"/>
                <w:i w:val="0"/>
                <w:iCs w:val="0"/>
                <w:color w:val="auto"/>
                <w:sz w:val="21"/>
                <w:szCs w:val="21"/>
                <w:highlight w:val="none"/>
                <w:u w:val="none"/>
              </w:rPr>
            </w:pPr>
          </w:p>
        </w:tc>
      </w:tr>
      <w:tr w14:paraId="7BEF3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147B2B4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36</w:t>
            </w:r>
          </w:p>
        </w:tc>
        <w:tc>
          <w:tcPr>
            <w:tcW w:w="1422" w:type="pct"/>
            <w:shd w:val="clear" w:color="auto" w:fill="auto"/>
            <w:vAlign w:val="center"/>
          </w:tcPr>
          <w:p w14:paraId="647B82C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安全漏扫</w:t>
            </w:r>
          </w:p>
        </w:tc>
        <w:tc>
          <w:tcPr>
            <w:tcW w:w="1548" w:type="pct"/>
            <w:shd w:val="clear" w:color="auto" w:fill="auto"/>
            <w:vAlign w:val="center"/>
          </w:tcPr>
          <w:p w14:paraId="1D835AA0">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09F0056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66A7BC5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中控室</w:t>
            </w:r>
          </w:p>
        </w:tc>
        <w:tc>
          <w:tcPr>
            <w:tcW w:w="733" w:type="pct"/>
            <w:shd w:val="clear" w:color="auto" w:fill="auto"/>
            <w:vAlign w:val="center"/>
          </w:tcPr>
          <w:p w14:paraId="3AFBAEF1">
            <w:pPr>
              <w:jc w:val="center"/>
              <w:rPr>
                <w:rFonts w:hint="default" w:ascii="Times New Roman" w:hAnsi="Times New Roman" w:eastAsia="楷体" w:cs="Times New Roman"/>
                <w:i w:val="0"/>
                <w:iCs w:val="0"/>
                <w:color w:val="auto"/>
                <w:sz w:val="21"/>
                <w:szCs w:val="21"/>
                <w:highlight w:val="none"/>
                <w:u w:val="none"/>
              </w:rPr>
            </w:pPr>
          </w:p>
        </w:tc>
      </w:tr>
      <w:tr w14:paraId="2B792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089CC10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37</w:t>
            </w:r>
          </w:p>
        </w:tc>
        <w:tc>
          <w:tcPr>
            <w:tcW w:w="1422" w:type="pct"/>
            <w:shd w:val="clear" w:color="auto" w:fill="auto"/>
            <w:vAlign w:val="center"/>
          </w:tcPr>
          <w:p w14:paraId="254FFF32">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中控台</w:t>
            </w:r>
          </w:p>
        </w:tc>
        <w:tc>
          <w:tcPr>
            <w:tcW w:w="1548" w:type="pct"/>
            <w:shd w:val="clear" w:color="auto" w:fill="auto"/>
            <w:vAlign w:val="center"/>
          </w:tcPr>
          <w:p w14:paraId="74BA64A6">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5914030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50B2C0C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中控室</w:t>
            </w:r>
          </w:p>
        </w:tc>
        <w:tc>
          <w:tcPr>
            <w:tcW w:w="733" w:type="pct"/>
            <w:shd w:val="clear" w:color="auto" w:fill="auto"/>
            <w:vAlign w:val="center"/>
          </w:tcPr>
          <w:p w14:paraId="2B4C759B">
            <w:pPr>
              <w:jc w:val="center"/>
              <w:rPr>
                <w:rFonts w:hint="default" w:ascii="Times New Roman" w:hAnsi="Times New Roman" w:eastAsia="楷体" w:cs="Times New Roman"/>
                <w:i w:val="0"/>
                <w:iCs w:val="0"/>
                <w:color w:val="auto"/>
                <w:sz w:val="21"/>
                <w:szCs w:val="21"/>
                <w:highlight w:val="none"/>
                <w:u w:val="none"/>
              </w:rPr>
            </w:pPr>
          </w:p>
        </w:tc>
      </w:tr>
      <w:tr w14:paraId="629D1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49DAF4E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38</w:t>
            </w:r>
          </w:p>
        </w:tc>
        <w:tc>
          <w:tcPr>
            <w:tcW w:w="1422" w:type="pct"/>
            <w:shd w:val="clear" w:color="auto" w:fill="auto"/>
            <w:vAlign w:val="center"/>
          </w:tcPr>
          <w:p w14:paraId="78A9F36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办公椅</w:t>
            </w:r>
          </w:p>
        </w:tc>
        <w:tc>
          <w:tcPr>
            <w:tcW w:w="1548" w:type="pct"/>
            <w:shd w:val="clear" w:color="auto" w:fill="auto"/>
            <w:vAlign w:val="center"/>
          </w:tcPr>
          <w:p w14:paraId="57EBD618">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1F0B66C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3套</w:t>
            </w:r>
          </w:p>
        </w:tc>
        <w:tc>
          <w:tcPr>
            <w:tcW w:w="646" w:type="pct"/>
            <w:shd w:val="clear" w:color="auto" w:fill="auto"/>
            <w:vAlign w:val="center"/>
          </w:tcPr>
          <w:p w14:paraId="5084471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中控室</w:t>
            </w:r>
          </w:p>
        </w:tc>
        <w:tc>
          <w:tcPr>
            <w:tcW w:w="733" w:type="pct"/>
            <w:shd w:val="clear" w:color="auto" w:fill="auto"/>
            <w:vAlign w:val="center"/>
          </w:tcPr>
          <w:p w14:paraId="7F5E7CC9">
            <w:pPr>
              <w:jc w:val="center"/>
              <w:rPr>
                <w:rFonts w:hint="default" w:ascii="Times New Roman" w:hAnsi="Times New Roman" w:eastAsia="楷体" w:cs="Times New Roman"/>
                <w:i w:val="0"/>
                <w:iCs w:val="0"/>
                <w:color w:val="auto"/>
                <w:sz w:val="21"/>
                <w:szCs w:val="21"/>
                <w:highlight w:val="none"/>
                <w:u w:val="none"/>
              </w:rPr>
            </w:pPr>
          </w:p>
        </w:tc>
      </w:tr>
      <w:tr w14:paraId="7B399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129084E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39</w:t>
            </w:r>
          </w:p>
        </w:tc>
        <w:tc>
          <w:tcPr>
            <w:tcW w:w="1422" w:type="pct"/>
            <w:shd w:val="clear" w:color="auto" w:fill="auto"/>
            <w:vAlign w:val="center"/>
          </w:tcPr>
          <w:p w14:paraId="33B14F2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智慧管理平台</w:t>
            </w:r>
          </w:p>
        </w:tc>
        <w:tc>
          <w:tcPr>
            <w:tcW w:w="1548" w:type="pct"/>
            <w:shd w:val="clear" w:color="auto" w:fill="auto"/>
            <w:vAlign w:val="center"/>
          </w:tcPr>
          <w:p w14:paraId="0AB55518">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04E3072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3B48197D">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中控室</w:t>
            </w:r>
          </w:p>
        </w:tc>
        <w:tc>
          <w:tcPr>
            <w:tcW w:w="733" w:type="pct"/>
            <w:shd w:val="clear" w:color="auto" w:fill="auto"/>
            <w:vAlign w:val="center"/>
          </w:tcPr>
          <w:p w14:paraId="32B4B82D">
            <w:pPr>
              <w:jc w:val="center"/>
              <w:rPr>
                <w:rFonts w:hint="default" w:ascii="Times New Roman" w:hAnsi="Times New Roman" w:eastAsia="楷体" w:cs="Times New Roman"/>
                <w:i w:val="0"/>
                <w:iCs w:val="0"/>
                <w:color w:val="auto"/>
                <w:sz w:val="21"/>
                <w:szCs w:val="21"/>
                <w:highlight w:val="none"/>
                <w:u w:val="none"/>
              </w:rPr>
            </w:pPr>
          </w:p>
        </w:tc>
      </w:tr>
      <w:tr w14:paraId="17D33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764BC2C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40</w:t>
            </w:r>
          </w:p>
        </w:tc>
        <w:tc>
          <w:tcPr>
            <w:tcW w:w="1422" w:type="pct"/>
            <w:shd w:val="clear" w:color="auto" w:fill="auto"/>
            <w:vAlign w:val="center"/>
          </w:tcPr>
          <w:p w14:paraId="5121CA6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设备管理</w:t>
            </w:r>
          </w:p>
        </w:tc>
        <w:tc>
          <w:tcPr>
            <w:tcW w:w="1548" w:type="pct"/>
            <w:shd w:val="clear" w:color="auto" w:fill="auto"/>
            <w:vAlign w:val="center"/>
          </w:tcPr>
          <w:p w14:paraId="3B8263F3">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398CB6D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6622290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厂内</w:t>
            </w:r>
          </w:p>
        </w:tc>
        <w:tc>
          <w:tcPr>
            <w:tcW w:w="733" w:type="pct"/>
            <w:shd w:val="clear" w:color="auto" w:fill="auto"/>
            <w:vAlign w:val="center"/>
          </w:tcPr>
          <w:p w14:paraId="012D70D3">
            <w:pPr>
              <w:jc w:val="center"/>
              <w:rPr>
                <w:rFonts w:hint="default" w:ascii="Times New Roman" w:hAnsi="Times New Roman" w:eastAsia="楷体" w:cs="Times New Roman"/>
                <w:i w:val="0"/>
                <w:iCs w:val="0"/>
                <w:color w:val="auto"/>
                <w:sz w:val="21"/>
                <w:szCs w:val="21"/>
                <w:highlight w:val="none"/>
                <w:u w:val="none"/>
              </w:rPr>
            </w:pPr>
          </w:p>
        </w:tc>
      </w:tr>
      <w:tr w14:paraId="77949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556A28B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41</w:t>
            </w:r>
          </w:p>
        </w:tc>
        <w:tc>
          <w:tcPr>
            <w:tcW w:w="1422" w:type="pct"/>
            <w:shd w:val="clear" w:color="auto" w:fill="auto"/>
            <w:vAlign w:val="center"/>
          </w:tcPr>
          <w:p w14:paraId="617905D2">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信息化办公</w:t>
            </w:r>
          </w:p>
        </w:tc>
        <w:tc>
          <w:tcPr>
            <w:tcW w:w="1548" w:type="pct"/>
            <w:shd w:val="clear" w:color="auto" w:fill="auto"/>
            <w:vAlign w:val="center"/>
          </w:tcPr>
          <w:p w14:paraId="7AB6425F">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32174BF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35715E02">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综合楼</w:t>
            </w:r>
          </w:p>
        </w:tc>
        <w:tc>
          <w:tcPr>
            <w:tcW w:w="733" w:type="pct"/>
            <w:shd w:val="clear" w:color="auto" w:fill="auto"/>
            <w:vAlign w:val="center"/>
          </w:tcPr>
          <w:p w14:paraId="243CBB51">
            <w:pPr>
              <w:jc w:val="center"/>
              <w:rPr>
                <w:rFonts w:hint="default" w:ascii="Times New Roman" w:hAnsi="Times New Roman" w:eastAsia="楷体" w:cs="Times New Roman"/>
                <w:i w:val="0"/>
                <w:iCs w:val="0"/>
                <w:color w:val="auto"/>
                <w:sz w:val="21"/>
                <w:szCs w:val="21"/>
                <w:highlight w:val="none"/>
                <w:u w:val="none"/>
              </w:rPr>
            </w:pPr>
          </w:p>
        </w:tc>
      </w:tr>
      <w:tr w14:paraId="6F0E1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47013DF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42</w:t>
            </w:r>
          </w:p>
        </w:tc>
        <w:tc>
          <w:tcPr>
            <w:tcW w:w="1422" w:type="pct"/>
            <w:shd w:val="clear" w:color="auto" w:fill="auto"/>
            <w:vAlign w:val="center"/>
          </w:tcPr>
          <w:p w14:paraId="74CCE54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巡检系统</w:t>
            </w:r>
          </w:p>
        </w:tc>
        <w:tc>
          <w:tcPr>
            <w:tcW w:w="1548" w:type="pct"/>
            <w:shd w:val="clear" w:color="auto" w:fill="auto"/>
            <w:vAlign w:val="center"/>
          </w:tcPr>
          <w:p w14:paraId="428181D9">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7617F75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3BD086C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厂内</w:t>
            </w:r>
          </w:p>
        </w:tc>
        <w:tc>
          <w:tcPr>
            <w:tcW w:w="733" w:type="pct"/>
            <w:shd w:val="clear" w:color="auto" w:fill="auto"/>
            <w:vAlign w:val="center"/>
          </w:tcPr>
          <w:p w14:paraId="3FEC3B66">
            <w:pPr>
              <w:jc w:val="center"/>
              <w:rPr>
                <w:rFonts w:hint="default" w:ascii="Times New Roman" w:hAnsi="Times New Roman" w:eastAsia="楷体" w:cs="Times New Roman"/>
                <w:i w:val="0"/>
                <w:iCs w:val="0"/>
                <w:color w:val="auto"/>
                <w:sz w:val="21"/>
                <w:szCs w:val="21"/>
                <w:highlight w:val="none"/>
                <w:u w:val="none"/>
              </w:rPr>
            </w:pPr>
          </w:p>
        </w:tc>
      </w:tr>
      <w:tr w14:paraId="2FA40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13E72E5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43</w:t>
            </w:r>
          </w:p>
        </w:tc>
        <w:tc>
          <w:tcPr>
            <w:tcW w:w="1422" w:type="pct"/>
            <w:shd w:val="clear" w:color="auto" w:fill="auto"/>
            <w:vAlign w:val="center"/>
          </w:tcPr>
          <w:p w14:paraId="770A83C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无线WIFI定位</w:t>
            </w:r>
          </w:p>
        </w:tc>
        <w:tc>
          <w:tcPr>
            <w:tcW w:w="1548" w:type="pct"/>
            <w:shd w:val="clear" w:color="auto" w:fill="auto"/>
            <w:vAlign w:val="center"/>
          </w:tcPr>
          <w:p w14:paraId="6CE1B389">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789BB73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5124E73D">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厂内</w:t>
            </w:r>
          </w:p>
        </w:tc>
        <w:tc>
          <w:tcPr>
            <w:tcW w:w="733" w:type="pct"/>
            <w:shd w:val="clear" w:color="auto" w:fill="auto"/>
            <w:vAlign w:val="center"/>
          </w:tcPr>
          <w:p w14:paraId="2104130D">
            <w:pPr>
              <w:jc w:val="center"/>
              <w:rPr>
                <w:rFonts w:hint="default" w:ascii="Times New Roman" w:hAnsi="Times New Roman" w:eastAsia="楷体" w:cs="Times New Roman"/>
                <w:i w:val="0"/>
                <w:iCs w:val="0"/>
                <w:color w:val="auto"/>
                <w:sz w:val="21"/>
                <w:szCs w:val="21"/>
                <w:highlight w:val="none"/>
                <w:u w:val="none"/>
              </w:rPr>
            </w:pPr>
          </w:p>
        </w:tc>
      </w:tr>
      <w:tr w14:paraId="6DA39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3A8E6F1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44</w:t>
            </w:r>
          </w:p>
        </w:tc>
        <w:tc>
          <w:tcPr>
            <w:tcW w:w="1422" w:type="pct"/>
            <w:shd w:val="clear" w:color="auto" w:fill="auto"/>
            <w:vAlign w:val="center"/>
          </w:tcPr>
          <w:p w14:paraId="37DEE74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人员管理</w:t>
            </w:r>
          </w:p>
        </w:tc>
        <w:tc>
          <w:tcPr>
            <w:tcW w:w="1548" w:type="pct"/>
            <w:shd w:val="clear" w:color="auto" w:fill="auto"/>
            <w:vAlign w:val="center"/>
          </w:tcPr>
          <w:p w14:paraId="2AF4276B">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73B7A39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23499D5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厂内</w:t>
            </w:r>
          </w:p>
        </w:tc>
        <w:tc>
          <w:tcPr>
            <w:tcW w:w="733" w:type="pct"/>
            <w:shd w:val="clear" w:color="auto" w:fill="auto"/>
            <w:vAlign w:val="center"/>
          </w:tcPr>
          <w:p w14:paraId="0DE2BA82">
            <w:pPr>
              <w:jc w:val="center"/>
              <w:rPr>
                <w:rFonts w:hint="default" w:ascii="Times New Roman" w:hAnsi="Times New Roman" w:eastAsia="楷体" w:cs="Times New Roman"/>
                <w:i w:val="0"/>
                <w:iCs w:val="0"/>
                <w:color w:val="auto"/>
                <w:sz w:val="21"/>
                <w:szCs w:val="21"/>
                <w:highlight w:val="none"/>
                <w:u w:val="none"/>
              </w:rPr>
            </w:pPr>
          </w:p>
        </w:tc>
      </w:tr>
      <w:tr w14:paraId="02EE3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554EBF4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45</w:t>
            </w:r>
          </w:p>
        </w:tc>
        <w:tc>
          <w:tcPr>
            <w:tcW w:w="1422" w:type="pct"/>
            <w:shd w:val="clear" w:color="auto" w:fill="auto"/>
            <w:vAlign w:val="center"/>
          </w:tcPr>
          <w:p w14:paraId="0ABA9AB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门禁管理</w:t>
            </w:r>
          </w:p>
        </w:tc>
        <w:tc>
          <w:tcPr>
            <w:tcW w:w="1548" w:type="pct"/>
            <w:shd w:val="clear" w:color="auto" w:fill="auto"/>
            <w:vAlign w:val="center"/>
          </w:tcPr>
          <w:p w14:paraId="18A2AB1F">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033477C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754FC1A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厂内</w:t>
            </w:r>
          </w:p>
        </w:tc>
        <w:tc>
          <w:tcPr>
            <w:tcW w:w="733" w:type="pct"/>
            <w:shd w:val="clear" w:color="auto" w:fill="auto"/>
            <w:vAlign w:val="center"/>
          </w:tcPr>
          <w:p w14:paraId="097CF46A">
            <w:pPr>
              <w:jc w:val="center"/>
              <w:rPr>
                <w:rFonts w:hint="default" w:ascii="Times New Roman" w:hAnsi="Times New Roman" w:eastAsia="楷体" w:cs="Times New Roman"/>
                <w:i w:val="0"/>
                <w:iCs w:val="0"/>
                <w:color w:val="auto"/>
                <w:sz w:val="21"/>
                <w:szCs w:val="21"/>
                <w:highlight w:val="none"/>
                <w:u w:val="none"/>
              </w:rPr>
            </w:pPr>
          </w:p>
        </w:tc>
      </w:tr>
      <w:tr w14:paraId="4CEAF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0DD8814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46</w:t>
            </w:r>
          </w:p>
        </w:tc>
        <w:tc>
          <w:tcPr>
            <w:tcW w:w="1422" w:type="pct"/>
            <w:shd w:val="clear" w:color="auto" w:fill="auto"/>
            <w:vAlign w:val="center"/>
          </w:tcPr>
          <w:p w14:paraId="1D2C767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车辆管理</w:t>
            </w:r>
          </w:p>
        </w:tc>
        <w:tc>
          <w:tcPr>
            <w:tcW w:w="1548" w:type="pct"/>
            <w:shd w:val="clear" w:color="auto" w:fill="auto"/>
            <w:vAlign w:val="center"/>
          </w:tcPr>
          <w:p w14:paraId="6AF0DBAC">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232587C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64648DA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厂内</w:t>
            </w:r>
          </w:p>
        </w:tc>
        <w:tc>
          <w:tcPr>
            <w:tcW w:w="733" w:type="pct"/>
            <w:shd w:val="clear" w:color="auto" w:fill="auto"/>
            <w:vAlign w:val="center"/>
          </w:tcPr>
          <w:p w14:paraId="16CC3E1E">
            <w:pPr>
              <w:jc w:val="center"/>
              <w:rPr>
                <w:rFonts w:hint="default" w:ascii="Times New Roman" w:hAnsi="Times New Roman" w:eastAsia="楷体" w:cs="Times New Roman"/>
                <w:i w:val="0"/>
                <w:iCs w:val="0"/>
                <w:color w:val="auto"/>
                <w:sz w:val="21"/>
                <w:szCs w:val="21"/>
                <w:highlight w:val="none"/>
                <w:u w:val="none"/>
              </w:rPr>
            </w:pPr>
          </w:p>
        </w:tc>
      </w:tr>
      <w:tr w14:paraId="6BC00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567686A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47</w:t>
            </w:r>
          </w:p>
        </w:tc>
        <w:tc>
          <w:tcPr>
            <w:tcW w:w="1422" w:type="pct"/>
            <w:shd w:val="clear" w:color="auto" w:fill="auto"/>
            <w:vAlign w:val="center"/>
          </w:tcPr>
          <w:p w14:paraId="748A29D2">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人脸识别摄像头</w:t>
            </w:r>
          </w:p>
        </w:tc>
        <w:tc>
          <w:tcPr>
            <w:tcW w:w="1548" w:type="pct"/>
            <w:shd w:val="clear" w:color="auto" w:fill="auto"/>
            <w:vAlign w:val="center"/>
          </w:tcPr>
          <w:p w14:paraId="03820333">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159B575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30套</w:t>
            </w:r>
          </w:p>
        </w:tc>
        <w:tc>
          <w:tcPr>
            <w:tcW w:w="646" w:type="pct"/>
            <w:shd w:val="clear" w:color="auto" w:fill="auto"/>
            <w:vAlign w:val="center"/>
          </w:tcPr>
          <w:p w14:paraId="32ED439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厂内</w:t>
            </w:r>
          </w:p>
        </w:tc>
        <w:tc>
          <w:tcPr>
            <w:tcW w:w="733" w:type="pct"/>
            <w:shd w:val="clear" w:color="auto" w:fill="auto"/>
            <w:vAlign w:val="center"/>
          </w:tcPr>
          <w:p w14:paraId="434F6EB0">
            <w:pPr>
              <w:jc w:val="center"/>
              <w:rPr>
                <w:rFonts w:hint="default" w:ascii="Times New Roman" w:hAnsi="Times New Roman" w:eastAsia="楷体" w:cs="Times New Roman"/>
                <w:i w:val="0"/>
                <w:iCs w:val="0"/>
                <w:color w:val="auto"/>
                <w:sz w:val="21"/>
                <w:szCs w:val="21"/>
                <w:highlight w:val="none"/>
                <w:u w:val="none"/>
              </w:rPr>
            </w:pPr>
          </w:p>
        </w:tc>
      </w:tr>
      <w:tr w14:paraId="40E64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6FA4645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48</w:t>
            </w:r>
          </w:p>
        </w:tc>
        <w:tc>
          <w:tcPr>
            <w:tcW w:w="1422" w:type="pct"/>
            <w:shd w:val="clear" w:color="auto" w:fill="auto"/>
            <w:vAlign w:val="center"/>
          </w:tcPr>
          <w:p w14:paraId="3ABEB0B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电源箱和配件</w:t>
            </w:r>
          </w:p>
        </w:tc>
        <w:tc>
          <w:tcPr>
            <w:tcW w:w="1548" w:type="pct"/>
            <w:shd w:val="clear" w:color="auto" w:fill="auto"/>
            <w:vAlign w:val="center"/>
          </w:tcPr>
          <w:p w14:paraId="71DD5148">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3878397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30套</w:t>
            </w:r>
          </w:p>
        </w:tc>
        <w:tc>
          <w:tcPr>
            <w:tcW w:w="646" w:type="pct"/>
            <w:shd w:val="clear" w:color="auto" w:fill="auto"/>
            <w:vAlign w:val="center"/>
          </w:tcPr>
          <w:p w14:paraId="6AF05EA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厂内</w:t>
            </w:r>
          </w:p>
        </w:tc>
        <w:tc>
          <w:tcPr>
            <w:tcW w:w="733" w:type="pct"/>
            <w:shd w:val="clear" w:color="auto" w:fill="auto"/>
            <w:vAlign w:val="center"/>
          </w:tcPr>
          <w:p w14:paraId="658FF726">
            <w:pPr>
              <w:jc w:val="center"/>
              <w:rPr>
                <w:rFonts w:hint="default" w:ascii="Times New Roman" w:hAnsi="Times New Roman" w:eastAsia="楷体" w:cs="Times New Roman"/>
                <w:i w:val="0"/>
                <w:iCs w:val="0"/>
                <w:color w:val="auto"/>
                <w:sz w:val="21"/>
                <w:szCs w:val="21"/>
                <w:highlight w:val="none"/>
                <w:u w:val="none"/>
              </w:rPr>
            </w:pPr>
          </w:p>
        </w:tc>
      </w:tr>
      <w:tr w14:paraId="6192A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1D6FBAF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49</w:t>
            </w:r>
          </w:p>
        </w:tc>
        <w:tc>
          <w:tcPr>
            <w:tcW w:w="1422" w:type="pct"/>
            <w:shd w:val="clear" w:color="auto" w:fill="auto"/>
            <w:vAlign w:val="center"/>
          </w:tcPr>
          <w:p w14:paraId="6E88077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信息化屏</w:t>
            </w:r>
          </w:p>
        </w:tc>
        <w:tc>
          <w:tcPr>
            <w:tcW w:w="1548" w:type="pct"/>
            <w:shd w:val="clear" w:color="auto" w:fill="auto"/>
            <w:vAlign w:val="center"/>
          </w:tcPr>
          <w:p w14:paraId="3584E90B">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20C9528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2套</w:t>
            </w:r>
          </w:p>
        </w:tc>
        <w:tc>
          <w:tcPr>
            <w:tcW w:w="646" w:type="pct"/>
            <w:shd w:val="clear" w:color="auto" w:fill="auto"/>
            <w:vAlign w:val="center"/>
          </w:tcPr>
          <w:p w14:paraId="17E68C1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综合楼入口、会议室</w:t>
            </w:r>
          </w:p>
        </w:tc>
        <w:tc>
          <w:tcPr>
            <w:tcW w:w="733" w:type="pct"/>
            <w:shd w:val="clear" w:color="auto" w:fill="auto"/>
            <w:vAlign w:val="center"/>
          </w:tcPr>
          <w:p w14:paraId="45E56551">
            <w:pPr>
              <w:jc w:val="center"/>
              <w:rPr>
                <w:rFonts w:hint="default" w:ascii="Times New Roman" w:hAnsi="Times New Roman" w:eastAsia="楷体" w:cs="Times New Roman"/>
                <w:i w:val="0"/>
                <w:iCs w:val="0"/>
                <w:color w:val="auto"/>
                <w:sz w:val="21"/>
                <w:szCs w:val="21"/>
                <w:highlight w:val="none"/>
                <w:u w:val="none"/>
              </w:rPr>
            </w:pPr>
          </w:p>
        </w:tc>
      </w:tr>
      <w:tr w14:paraId="57AF6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591589D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三</w:t>
            </w:r>
          </w:p>
        </w:tc>
        <w:tc>
          <w:tcPr>
            <w:tcW w:w="1422" w:type="pct"/>
            <w:shd w:val="clear" w:color="auto" w:fill="auto"/>
            <w:vAlign w:val="center"/>
          </w:tcPr>
          <w:p w14:paraId="6911F05D">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视频监控系统</w:t>
            </w:r>
          </w:p>
        </w:tc>
        <w:tc>
          <w:tcPr>
            <w:tcW w:w="1548" w:type="pct"/>
            <w:shd w:val="clear" w:color="auto" w:fill="auto"/>
            <w:vAlign w:val="center"/>
          </w:tcPr>
          <w:p w14:paraId="5A79631F">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5D9B797B">
            <w:pPr>
              <w:jc w:val="center"/>
              <w:rPr>
                <w:rFonts w:hint="default" w:ascii="Times New Roman" w:hAnsi="Times New Roman" w:eastAsia="楷体" w:cs="Times New Roman"/>
                <w:i w:val="0"/>
                <w:iCs w:val="0"/>
                <w:color w:val="auto"/>
                <w:sz w:val="21"/>
                <w:szCs w:val="21"/>
                <w:highlight w:val="none"/>
                <w:u w:val="none"/>
              </w:rPr>
            </w:pPr>
          </w:p>
        </w:tc>
        <w:tc>
          <w:tcPr>
            <w:tcW w:w="646" w:type="pct"/>
            <w:shd w:val="clear" w:color="auto" w:fill="auto"/>
            <w:vAlign w:val="center"/>
          </w:tcPr>
          <w:p w14:paraId="6E45DAB0">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518F5DA1">
            <w:pPr>
              <w:jc w:val="center"/>
              <w:rPr>
                <w:rFonts w:hint="default" w:ascii="Times New Roman" w:hAnsi="Times New Roman" w:eastAsia="楷体" w:cs="Times New Roman"/>
                <w:i w:val="0"/>
                <w:iCs w:val="0"/>
                <w:color w:val="auto"/>
                <w:sz w:val="21"/>
                <w:szCs w:val="21"/>
                <w:highlight w:val="none"/>
                <w:u w:val="none"/>
              </w:rPr>
            </w:pPr>
          </w:p>
        </w:tc>
      </w:tr>
      <w:tr w14:paraId="4334F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18FD792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w:t>
            </w:r>
          </w:p>
        </w:tc>
        <w:tc>
          <w:tcPr>
            <w:tcW w:w="1422" w:type="pct"/>
            <w:shd w:val="clear" w:color="auto" w:fill="auto"/>
            <w:vAlign w:val="center"/>
          </w:tcPr>
          <w:p w14:paraId="7378044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室外彩色一体化高速球型摄像机</w:t>
            </w:r>
          </w:p>
        </w:tc>
        <w:tc>
          <w:tcPr>
            <w:tcW w:w="1548" w:type="pct"/>
            <w:shd w:val="clear" w:color="auto" w:fill="auto"/>
            <w:vAlign w:val="center"/>
          </w:tcPr>
          <w:p w14:paraId="6DD6F85E">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300万像素0.05Lux彩色，0.01Lux黑白，水平0°~356°垂直0°~90°高强度阻燃</w:t>
            </w:r>
          </w:p>
        </w:tc>
        <w:tc>
          <w:tcPr>
            <w:tcW w:w="354" w:type="pct"/>
            <w:shd w:val="clear" w:color="auto" w:fill="auto"/>
            <w:vAlign w:val="center"/>
          </w:tcPr>
          <w:p w14:paraId="1EEF680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15套</w:t>
            </w:r>
          </w:p>
        </w:tc>
        <w:tc>
          <w:tcPr>
            <w:tcW w:w="646" w:type="pct"/>
            <w:shd w:val="clear" w:color="auto" w:fill="auto"/>
            <w:vAlign w:val="center"/>
          </w:tcPr>
          <w:p w14:paraId="3429ABA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户外</w:t>
            </w:r>
          </w:p>
        </w:tc>
        <w:tc>
          <w:tcPr>
            <w:tcW w:w="733" w:type="pct"/>
            <w:shd w:val="clear" w:color="auto" w:fill="auto"/>
            <w:vAlign w:val="center"/>
          </w:tcPr>
          <w:p w14:paraId="6C94027B">
            <w:pPr>
              <w:jc w:val="center"/>
              <w:rPr>
                <w:rFonts w:hint="default" w:ascii="Times New Roman" w:hAnsi="Times New Roman" w:eastAsia="楷体" w:cs="Times New Roman"/>
                <w:i w:val="0"/>
                <w:iCs w:val="0"/>
                <w:color w:val="auto"/>
                <w:sz w:val="21"/>
                <w:szCs w:val="21"/>
                <w:highlight w:val="none"/>
                <w:u w:val="none"/>
              </w:rPr>
            </w:pPr>
          </w:p>
        </w:tc>
      </w:tr>
      <w:tr w14:paraId="04F5C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4C726C7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w:t>
            </w:r>
          </w:p>
        </w:tc>
        <w:tc>
          <w:tcPr>
            <w:tcW w:w="1422" w:type="pct"/>
            <w:shd w:val="clear" w:color="auto" w:fill="auto"/>
            <w:vAlign w:val="center"/>
          </w:tcPr>
          <w:p w14:paraId="0D62C10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室内彩色一体化高速球型摄像机</w:t>
            </w:r>
          </w:p>
        </w:tc>
        <w:tc>
          <w:tcPr>
            <w:tcW w:w="1548" w:type="pct"/>
            <w:shd w:val="clear" w:color="auto" w:fill="auto"/>
            <w:vAlign w:val="center"/>
          </w:tcPr>
          <w:p w14:paraId="170B7E0C">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300万像素0.05Lux彩色，0.01Lux黑白，水平0°~356°垂直0°~90°高强度阻燃</w:t>
            </w:r>
          </w:p>
        </w:tc>
        <w:tc>
          <w:tcPr>
            <w:tcW w:w="354" w:type="pct"/>
            <w:shd w:val="clear" w:color="auto" w:fill="auto"/>
            <w:vAlign w:val="center"/>
          </w:tcPr>
          <w:p w14:paraId="63660E1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35套</w:t>
            </w:r>
          </w:p>
        </w:tc>
        <w:tc>
          <w:tcPr>
            <w:tcW w:w="646" w:type="pct"/>
            <w:shd w:val="clear" w:color="auto" w:fill="auto"/>
            <w:vAlign w:val="center"/>
          </w:tcPr>
          <w:p w14:paraId="42C444B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户内</w:t>
            </w:r>
          </w:p>
        </w:tc>
        <w:tc>
          <w:tcPr>
            <w:tcW w:w="733" w:type="pct"/>
            <w:shd w:val="clear" w:color="auto" w:fill="auto"/>
            <w:vAlign w:val="center"/>
          </w:tcPr>
          <w:p w14:paraId="31D01A98">
            <w:pPr>
              <w:jc w:val="center"/>
              <w:rPr>
                <w:rFonts w:hint="default" w:ascii="Times New Roman" w:hAnsi="Times New Roman" w:eastAsia="楷体" w:cs="Times New Roman"/>
                <w:i w:val="0"/>
                <w:iCs w:val="0"/>
                <w:color w:val="auto"/>
                <w:sz w:val="21"/>
                <w:szCs w:val="21"/>
                <w:highlight w:val="none"/>
                <w:u w:val="none"/>
              </w:rPr>
            </w:pPr>
          </w:p>
        </w:tc>
      </w:tr>
      <w:tr w14:paraId="49CDD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6A82F9C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w:t>
            </w:r>
          </w:p>
        </w:tc>
        <w:tc>
          <w:tcPr>
            <w:tcW w:w="1422" w:type="pct"/>
            <w:shd w:val="clear" w:color="auto" w:fill="auto"/>
            <w:vAlign w:val="center"/>
          </w:tcPr>
          <w:p w14:paraId="7C1C9A7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视频监控管理计算机</w:t>
            </w:r>
          </w:p>
        </w:tc>
        <w:tc>
          <w:tcPr>
            <w:tcW w:w="1548" w:type="pct"/>
            <w:shd w:val="clear" w:color="auto" w:fill="auto"/>
            <w:vAlign w:val="center"/>
          </w:tcPr>
          <w:p w14:paraId="33113A46">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I7/3.0GHz/4GB/DDR324XDVD-R/W/2T/以太网卡/23”显示器</w:t>
            </w:r>
          </w:p>
        </w:tc>
        <w:tc>
          <w:tcPr>
            <w:tcW w:w="354" w:type="pct"/>
            <w:shd w:val="clear" w:color="auto" w:fill="auto"/>
            <w:vAlign w:val="center"/>
          </w:tcPr>
          <w:p w14:paraId="0521D6E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2套</w:t>
            </w:r>
          </w:p>
        </w:tc>
        <w:tc>
          <w:tcPr>
            <w:tcW w:w="646" w:type="pct"/>
            <w:shd w:val="clear" w:color="auto" w:fill="auto"/>
            <w:vAlign w:val="center"/>
          </w:tcPr>
          <w:p w14:paraId="0CB8B33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中控室</w:t>
            </w:r>
          </w:p>
        </w:tc>
        <w:tc>
          <w:tcPr>
            <w:tcW w:w="733" w:type="pct"/>
            <w:shd w:val="clear" w:color="auto" w:fill="auto"/>
            <w:vAlign w:val="center"/>
          </w:tcPr>
          <w:p w14:paraId="5C7F32E7">
            <w:pPr>
              <w:jc w:val="center"/>
              <w:rPr>
                <w:rFonts w:hint="default" w:ascii="Times New Roman" w:hAnsi="Times New Roman" w:eastAsia="楷体" w:cs="Times New Roman"/>
                <w:i w:val="0"/>
                <w:iCs w:val="0"/>
                <w:color w:val="auto"/>
                <w:sz w:val="21"/>
                <w:szCs w:val="21"/>
                <w:highlight w:val="none"/>
                <w:u w:val="none"/>
              </w:rPr>
            </w:pPr>
          </w:p>
        </w:tc>
      </w:tr>
      <w:tr w14:paraId="47D2D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5BEA684D">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w:t>
            </w:r>
          </w:p>
        </w:tc>
        <w:tc>
          <w:tcPr>
            <w:tcW w:w="1422" w:type="pct"/>
            <w:shd w:val="clear" w:color="auto" w:fill="auto"/>
            <w:vAlign w:val="center"/>
          </w:tcPr>
          <w:p w14:paraId="56B52C7D">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32路网络存储服务器</w:t>
            </w:r>
          </w:p>
        </w:tc>
        <w:tc>
          <w:tcPr>
            <w:tcW w:w="1548" w:type="pct"/>
            <w:shd w:val="clear" w:color="auto" w:fill="auto"/>
            <w:vAlign w:val="center"/>
          </w:tcPr>
          <w:p w14:paraId="53685898">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335564D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2套</w:t>
            </w:r>
          </w:p>
        </w:tc>
        <w:tc>
          <w:tcPr>
            <w:tcW w:w="646" w:type="pct"/>
            <w:shd w:val="clear" w:color="auto" w:fill="auto"/>
            <w:vAlign w:val="center"/>
          </w:tcPr>
          <w:p w14:paraId="1F93B4CC">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32598682">
            <w:pPr>
              <w:jc w:val="center"/>
              <w:rPr>
                <w:rFonts w:hint="default" w:ascii="Times New Roman" w:hAnsi="Times New Roman" w:eastAsia="楷体" w:cs="Times New Roman"/>
                <w:i w:val="0"/>
                <w:iCs w:val="0"/>
                <w:color w:val="auto"/>
                <w:sz w:val="21"/>
                <w:szCs w:val="21"/>
                <w:highlight w:val="none"/>
                <w:u w:val="none"/>
              </w:rPr>
            </w:pPr>
          </w:p>
        </w:tc>
      </w:tr>
      <w:tr w14:paraId="6C3E8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181DBEE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5</w:t>
            </w:r>
          </w:p>
        </w:tc>
        <w:tc>
          <w:tcPr>
            <w:tcW w:w="1422" w:type="pct"/>
            <w:shd w:val="clear" w:color="auto" w:fill="auto"/>
            <w:vAlign w:val="center"/>
          </w:tcPr>
          <w:p w14:paraId="4A4402D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硬盘</w:t>
            </w:r>
          </w:p>
        </w:tc>
        <w:tc>
          <w:tcPr>
            <w:tcW w:w="1548" w:type="pct"/>
            <w:shd w:val="clear" w:color="auto" w:fill="auto"/>
            <w:vAlign w:val="center"/>
          </w:tcPr>
          <w:p w14:paraId="79687F7B">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存储期30天</w:t>
            </w:r>
          </w:p>
        </w:tc>
        <w:tc>
          <w:tcPr>
            <w:tcW w:w="354" w:type="pct"/>
            <w:shd w:val="clear" w:color="auto" w:fill="auto"/>
            <w:vAlign w:val="center"/>
          </w:tcPr>
          <w:p w14:paraId="4F65EF4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025963F8">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610DA878">
            <w:pPr>
              <w:jc w:val="center"/>
              <w:rPr>
                <w:rFonts w:hint="default" w:ascii="Times New Roman" w:hAnsi="Times New Roman" w:eastAsia="楷体" w:cs="Times New Roman"/>
                <w:i w:val="0"/>
                <w:iCs w:val="0"/>
                <w:color w:val="auto"/>
                <w:sz w:val="21"/>
                <w:szCs w:val="21"/>
                <w:highlight w:val="none"/>
                <w:u w:val="none"/>
              </w:rPr>
            </w:pPr>
          </w:p>
        </w:tc>
      </w:tr>
      <w:tr w14:paraId="0A784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2C09517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6</w:t>
            </w:r>
          </w:p>
        </w:tc>
        <w:tc>
          <w:tcPr>
            <w:tcW w:w="1422" w:type="pct"/>
            <w:shd w:val="clear" w:color="auto" w:fill="auto"/>
            <w:vAlign w:val="center"/>
          </w:tcPr>
          <w:p w14:paraId="7BC4880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平台管理服务器</w:t>
            </w:r>
          </w:p>
        </w:tc>
        <w:tc>
          <w:tcPr>
            <w:tcW w:w="1548" w:type="pct"/>
            <w:shd w:val="clear" w:color="auto" w:fill="auto"/>
            <w:vAlign w:val="center"/>
          </w:tcPr>
          <w:p w14:paraId="6556B721">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6DC20D6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29293DE8">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10499328">
            <w:pPr>
              <w:jc w:val="center"/>
              <w:rPr>
                <w:rFonts w:hint="default" w:ascii="Times New Roman" w:hAnsi="Times New Roman" w:eastAsia="楷体" w:cs="Times New Roman"/>
                <w:i w:val="0"/>
                <w:iCs w:val="0"/>
                <w:color w:val="auto"/>
                <w:sz w:val="21"/>
                <w:szCs w:val="21"/>
                <w:highlight w:val="none"/>
                <w:u w:val="none"/>
              </w:rPr>
            </w:pPr>
          </w:p>
        </w:tc>
      </w:tr>
      <w:tr w14:paraId="1F2D3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409E718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7</w:t>
            </w:r>
          </w:p>
        </w:tc>
        <w:tc>
          <w:tcPr>
            <w:tcW w:w="1422" w:type="pct"/>
            <w:shd w:val="clear" w:color="auto" w:fill="auto"/>
            <w:vAlign w:val="center"/>
          </w:tcPr>
          <w:p w14:paraId="6DCAC9F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流媒体服务器</w:t>
            </w:r>
          </w:p>
        </w:tc>
        <w:tc>
          <w:tcPr>
            <w:tcW w:w="1548" w:type="pct"/>
            <w:shd w:val="clear" w:color="auto" w:fill="auto"/>
            <w:vAlign w:val="center"/>
          </w:tcPr>
          <w:p w14:paraId="16EF7C1F">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564A848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6B943154">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2CBB888D">
            <w:pPr>
              <w:jc w:val="center"/>
              <w:rPr>
                <w:rFonts w:hint="default" w:ascii="Times New Roman" w:hAnsi="Times New Roman" w:eastAsia="楷体" w:cs="Times New Roman"/>
                <w:i w:val="0"/>
                <w:iCs w:val="0"/>
                <w:color w:val="auto"/>
                <w:sz w:val="21"/>
                <w:szCs w:val="21"/>
                <w:highlight w:val="none"/>
                <w:u w:val="none"/>
              </w:rPr>
            </w:pPr>
          </w:p>
        </w:tc>
      </w:tr>
      <w:tr w14:paraId="33EB1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09B589D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8</w:t>
            </w:r>
          </w:p>
        </w:tc>
        <w:tc>
          <w:tcPr>
            <w:tcW w:w="1422" w:type="pct"/>
            <w:shd w:val="clear" w:color="auto" w:fill="auto"/>
            <w:vAlign w:val="center"/>
          </w:tcPr>
          <w:p w14:paraId="50F9AE8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核心交换机</w:t>
            </w:r>
          </w:p>
        </w:tc>
        <w:tc>
          <w:tcPr>
            <w:tcW w:w="1548" w:type="pct"/>
            <w:shd w:val="clear" w:color="auto" w:fill="auto"/>
            <w:vAlign w:val="center"/>
          </w:tcPr>
          <w:p w14:paraId="20EA4FB9">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千兆32口光电可选</w:t>
            </w:r>
          </w:p>
        </w:tc>
        <w:tc>
          <w:tcPr>
            <w:tcW w:w="354" w:type="pct"/>
            <w:shd w:val="clear" w:color="auto" w:fill="auto"/>
            <w:vAlign w:val="center"/>
          </w:tcPr>
          <w:p w14:paraId="6F3C19FD">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2套</w:t>
            </w:r>
          </w:p>
        </w:tc>
        <w:tc>
          <w:tcPr>
            <w:tcW w:w="646" w:type="pct"/>
            <w:shd w:val="clear" w:color="auto" w:fill="auto"/>
            <w:vAlign w:val="center"/>
          </w:tcPr>
          <w:p w14:paraId="62A848F0">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0B5EBA1F">
            <w:pPr>
              <w:jc w:val="center"/>
              <w:rPr>
                <w:rFonts w:hint="default" w:ascii="Times New Roman" w:hAnsi="Times New Roman" w:eastAsia="楷体" w:cs="Times New Roman"/>
                <w:i w:val="0"/>
                <w:iCs w:val="0"/>
                <w:color w:val="auto"/>
                <w:sz w:val="21"/>
                <w:szCs w:val="21"/>
                <w:highlight w:val="none"/>
                <w:u w:val="none"/>
              </w:rPr>
            </w:pPr>
          </w:p>
        </w:tc>
      </w:tr>
      <w:tr w14:paraId="6E34A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0D3B9772">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9</w:t>
            </w:r>
          </w:p>
        </w:tc>
        <w:tc>
          <w:tcPr>
            <w:tcW w:w="1422" w:type="pct"/>
            <w:shd w:val="clear" w:color="auto" w:fill="auto"/>
            <w:vAlign w:val="center"/>
          </w:tcPr>
          <w:p w14:paraId="4F106ED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光纤收发器</w:t>
            </w:r>
          </w:p>
        </w:tc>
        <w:tc>
          <w:tcPr>
            <w:tcW w:w="1548" w:type="pct"/>
            <w:shd w:val="clear" w:color="auto" w:fill="auto"/>
            <w:vAlign w:val="center"/>
          </w:tcPr>
          <w:p w14:paraId="046262BB">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100/1000M</w:t>
            </w:r>
          </w:p>
        </w:tc>
        <w:tc>
          <w:tcPr>
            <w:tcW w:w="354" w:type="pct"/>
            <w:shd w:val="clear" w:color="auto" w:fill="auto"/>
            <w:vAlign w:val="center"/>
          </w:tcPr>
          <w:p w14:paraId="7094624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50套</w:t>
            </w:r>
          </w:p>
        </w:tc>
        <w:tc>
          <w:tcPr>
            <w:tcW w:w="646" w:type="pct"/>
            <w:shd w:val="clear" w:color="auto" w:fill="auto"/>
            <w:vAlign w:val="center"/>
          </w:tcPr>
          <w:p w14:paraId="7CBC4064">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128F675C">
            <w:pPr>
              <w:jc w:val="center"/>
              <w:rPr>
                <w:rFonts w:hint="default" w:ascii="Times New Roman" w:hAnsi="Times New Roman" w:eastAsia="楷体" w:cs="Times New Roman"/>
                <w:i w:val="0"/>
                <w:iCs w:val="0"/>
                <w:color w:val="auto"/>
                <w:sz w:val="21"/>
                <w:szCs w:val="21"/>
                <w:highlight w:val="none"/>
                <w:u w:val="none"/>
              </w:rPr>
            </w:pPr>
          </w:p>
        </w:tc>
      </w:tr>
      <w:tr w14:paraId="355D7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4CCAD96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10</w:t>
            </w:r>
          </w:p>
        </w:tc>
        <w:tc>
          <w:tcPr>
            <w:tcW w:w="1422" w:type="pct"/>
            <w:shd w:val="clear" w:color="auto" w:fill="auto"/>
            <w:vAlign w:val="center"/>
          </w:tcPr>
          <w:p w14:paraId="1D075A5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室外电源视频箱</w:t>
            </w:r>
          </w:p>
        </w:tc>
        <w:tc>
          <w:tcPr>
            <w:tcW w:w="1548" w:type="pct"/>
            <w:shd w:val="clear" w:color="auto" w:fill="auto"/>
            <w:vAlign w:val="center"/>
          </w:tcPr>
          <w:p w14:paraId="462FF20F">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0C239F9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15套</w:t>
            </w:r>
          </w:p>
        </w:tc>
        <w:tc>
          <w:tcPr>
            <w:tcW w:w="646" w:type="pct"/>
            <w:shd w:val="clear" w:color="auto" w:fill="auto"/>
            <w:vAlign w:val="center"/>
          </w:tcPr>
          <w:p w14:paraId="587BDA93">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0BD9E696">
            <w:pPr>
              <w:jc w:val="center"/>
              <w:rPr>
                <w:rFonts w:hint="default" w:ascii="Times New Roman" w:hAnsi="Times New Roman" w:eastAsia="楷体" w:cs="Times New Roman"/>
                <w:i w:val="0"/>
                <w:iCs w:val="0"/>
                <w:color w:val="auto"/>
                <w:sz w:val="21"/>
                <w:szCs w:val="21"/>
                <w:highlight w:val="none"/>
                <w:u w:val="none"/>
              </w:rPr>
            </w:pPr>
          </w:p>
        </w:tc>
      </w:tr>
      <w:tr w14:paraId="07426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637CA4E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11</w:t>
            </w:r>
          </w:p>
        </w:tc>
        <w:tc>
          <w:tcPr>
            <w:tcW w:w="1422" w:type="pct"/>
            <w:shd w:val="clear" w:color="auto" w:fill="auto"/>
            <w:vAlign w:val="center"/>
          </w:tcPr>
          <w:p w14:paraId="5FCAC0E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二合一防雷器</w:t>
            </w:r>
          </w:p>
        </w:tc>
        <w:tc>
          <w:tcPr>
            <w:tcW w:w="1548" w:type="pct"/>
            <w:shd w:val="clear" w:color="auto" w:fill="auto"/>
            <w:vAlign w:val="center"/>
          </w:tcPr>
          <w:p w14:paraId="012058A4">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7E50F76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15套</w:t>
            </w:r>
          </w:p>
        </w:tc>
        <w:tc>
          <w:tcPr>
            <w:tcW w:w="646" w:type="pct"/>
            <w:shd w:val="clear" w:color="auto" w:fill="auto"/>
            <w:vAlign w:val="center"/>
          </w:tcPr>
          <w:p w14:paraId="07123244">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2147B2D0">
            <w:pPr>
              <w:jc w:val="center"/>
              <w:rPr>
                <w:rFonts w:hint="default" w:ascii="Times New Roman" w:hAnsi="Times New Roman" w:eastAsia="楷体" w:cs="Times New Roman"/>
                <w:i w:val="0"/>
                <w:iCs w:val="0"/>
                <w:color w:val="auto"/>
                <w:sz w:val="21"/>
                <w:szCs w:val="21"/>
                <w:highlight w:val="none"/>
                <w:u w:val="none"/>
              </w:rPr>
            </w:pPr>
          </w:p>
        </w:tc>
      </w:tr>
      <w:tr w14:paraId="0D187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1C8C7B6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12</w:t>
            </w:r>
          </w:p>
        </w:tc>
        <w:tc>
          <w:tcPr>
            <w:tcW w:w="1422" w:type="pct"/>
            <w:shd w:val="clear" w:color="auto" w:fill="auto"/>
            <w:vAlign w:val="center"/>
          </w:tcPr>
          <w:p w14:paraId="709FA3E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避雷针</w:t>
            </w:r>
          </w:p>
        </w:tc>
        <w:tc>
          <w:tcPr>
            <w:tcW w:w="1548" w:type="pct"/>
            <w:shd w:val="clear" w:color="auto" w:fill="auto"/>
            <w:vAlign w:val="center"/>
          </w:tcPr>
          <w:p w14:paraId="3EF6815E">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7B886691">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15套</w:t>
            </w:r>
          </w:p>
        </w:tc>
        <w:tc>
          <w:tcPr>
            <w:tcW w:w="646" w:type="pct"/>
            <w:shd w:val="clear" w:color="auto" w:fill="auto"/>
            <w:vAlign w:val="center"/>
          </w:tcPr>
          <w:p w14:paraId="15DE3999">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295B9C6E">
            <w:pPr>
              <w:jc w:val="center"/>
              <w:rPr>
                <w:rFonts w:hint="default" w:ascii="Times New Roman" w:hAnsi="Times New Roman" w:eastAsia="楷体" w:cs="Times New Roman"/>
                <w:i w:val="0"/>
                <w:iCs w:val="0"/>
                <w:color w:val="auto"/>
                <w:sz w:val="21"/>
                <w:szCs w:val="21"/>
                <w:highlight w:val="none"/>
                <w:u w:val="none"/>
              </w:rPr>
            </w:pPr>
          </w:p>
        </w:tc>
      </w:tr>
      <w:tr w14:paraId="009EC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25EC26D1">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13</w:t>
            </w:r>
          </w:p>
        </w:tc>
        <w:tc>
          <w:tcPr>
            <w:tcW w:w="1422" w:type="pct"/>
            <w:shd w:val="clear" w:color="auto" w:fill="auto"/>
            <w:vAlign w:val="center"/>
          </w:tcPr>
          <w:p w14:paraId="036DA7E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室内电源视频箱</w:t>
            </w:r>
          </w:p>
        </w:tc>
        <w:tc>
          <w:tcPr>
            <w:tcW w:w="1548" w:type="pct"/>
            <w:shd w:val="clear" w:color="auto" w:fill="auto"/>
            <w:vAlign w:val="center"/>
          </w:tcPr>
          <w:p w14:paraId="0842AAA2">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68F0DA01">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35套</w:t>
            </w:r>
          </w:p>
        </w:tc>
        <w:tc>
          <w:tcPr>
            <w:tcW w:w="646" w:type="pct"/>
            <w:shd w:val="clear" w:color="auto" w:fill="auto"/>
            <w:vAlign w:val="center"/>
          </w:tcPr>
          <w:p w14:paraId="037432F4">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15A0A494">
            <w:pPr>
              <w:jc w:val="center"/>
              <w:rPr>
                <w:rFonts w:hint="default" w:ascii="Times New Roman" w:hAnsi="Times New Roman" w:eastAsia="楷体" w:cs="Times New Roman"/>
                <w:i w:val="0"/>
                <w:iCs w:val="0"/>
                <w:color w:val="auto"/>
                <w:sz w:val="21"/>
                <w:szCs w:val="21"/>
                <w:highlight w:val="none"/>
                <w:u w:val="none"/>
              </w:rPr>
            </w:pPr>
          </w:p>
        </w:tc>
      </w:tr>
      <w:tr w14:paraId="710E0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023F2A6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14</w:t>
            </w:r>
          </w:p>
        </w:tc>
        <w:tc>
          <w:tcPr>
            <w:tcW w:w="1422" w:type="pct"/>
            <w:shd w:val="clear" w:color="auto" w:fill="auto"/>
            <w:vAlign w:val="center"/>
          </w:tcPr>
          <w:p w14:paraId="2B7252D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室内支架及连接电缆</w:t>
            </w:r>
          </w:p>
        </w:tc>
        <w:tc>
          <w:tcPr>
            <w:tcW w:w="1548" w:type="pct"/>
            <w:shd w:val="clear" w:color="auto" w:fill="auto"/>
            <w:vAlign w:val="center"/>
          </w:tcPr>
          <w:p w14:paraId="02AD3E91">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431AAED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35套</w:t>
            </w:r>
          </w:p>
        </w:tc>
        <w:tc>
          <w:tcPr>
            <w:tcW w:w="646" w:type="pct"/>
            <w:shd w:val="clear" w:color="auto" w:fill="auto"/>
            <w:vAlign w:val="center"/>
          </w:tcPr>
          <w:p w14:paraId="01B6C8FA">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5B2A23E2">
            <w:pPr>
              <w:jc w:val="center"/>
              <w:rPr>
                <w:rFonts w:hint="default" w:ascii="Times New Roman" w:hAnsi="Times New Roman" w:eastAsia="楷体" w:cs="Times New Roman"/>
                <w:i w:val="0"/>
                <w:iCs w:val="0"/>
                <w:color w:val="auto"/>
                <w:sz w:val="21"/>
                <w:szCs w:val="21"/>
                <w:highlight w:val="none"/>
                <w:u w:val="none"/>
              </w:rPr>
            </w:pPr>
          </w:p>
        </w:tc>
      </w:tr>
      <w:tr w14:paraId="20CA0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5AB24F1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15</w:t>
            </w:r>
          </w:p>
        </w:tc>
        <w:tc>
          <w:tcPr>
            <w:tcW w:w="1422" w:type="pct"/>
            <w:shd w:val="clear" w:color="auto" w:fill="auto"/>
            <w:vAlign w:val="center"/>
          </w:tcPr>
          <w:p w14:paraId="067C453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视频机柜</w:t>
            </w:r>
          </w:p>
        </w:tc>
        <w:tc>
          <w:tcPr>
            <w:tcW w:w="1548" w:type="pct"/>
            <w:shd w:val="clear" w:color="auto" w:fill="auto"/>
            <w:vAlign w:val="center"/>
          </w:tcPr>
          <w:p w14:paraId="43256CA5">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7F62076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55D09C95">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7345D8B5">
            <w:pPr>
              <w:jc w:val="center"/>
              <w:rPr>
                <w:rFonts w:hint="default" w:ascii="Times New Roman" w:hAnsi="Times New Roman" w:eastAsia="楷体" w:cs="Times New Roman"/>
                <w:i w:val="0"/>
                <w:iCs w:val="0"/>
                <w:color w:val="auto"/>
                <w:sz w:val="21"/>
                <w:szCs w:val="21"/>
                <w:highlight w:val="none"/>
                <w:u w:val="none"/>
              </w:rPr>
            </w:pPr>
          </w:p>
        </w:tc>
      </w:tr>
      <w:tr w14:paraId="66041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5209A32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16</w:t>
            </w:r>
          </w:p>
        </w:tc>
        <w:tc>
          <w:tcPr>
            <w:tcW w:w="1422" w:type="pct"/>
            <w:shd w:val="clear" w:color="auto" w:fill="auto"/>
            <w:vAlign w:val="center"/>
          </w:tcPr>
          <w:p w14:paraId="783D275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UPS电源</w:t>
            </w:r>
          </w:p>
        </w:tc>
        <w:tc>
          <w:tcPr>
            <w:tcW w:w="1548" w:type="pct"/>
            <w:shd w:val="clear" w:color="auto" w:fill="auto"/>
            <w:vAlign w:val="center"/>
          </w:tcPr>
          <w:p w14:paraId="04C157EE">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5000VA</w:t>
            </w:r>
          </w:p>
        </w:tc>
        <w:tc>
          <w:tcPr>
            <w:tcW w:w="354" w:type="pct"/>
            <w:shd w:val="clear" w:color="auto" w:fill="auto"/>
            <w:vAlign w:val="center"/>
          </w:tcPr>
          <w:p w14:paraId="4A89B65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1套</w:t>
            </w:r>
          </w:p>
        </w:tc>
        <w:tc>
          <w:tcPr>
            <w:tcW w:w="646" w:type="pct"/>
            <w:shd w:val="clear" w:color="auto" w:fill="auto"/>
            <w:vAlign w:val="center"/>
          </w:tcPr>
          <w:p w14:paraId="3F1B25E2">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7DA44625">
            <w:pPr>
              <w:jc w:val="center"/>
              <w:rPr>
                <w:rFonts w:hint="default" w:ascii="Times New Roman" w:hAnsi="Times New Roman" w:eastAsia="楷体" w:cs="Times New Roman"/>
                <w:i w:val="0"/>
                <w:iCs w:val="0"/>
                <w:color w:val="auto"/>
                <w:sz w:val="21"/>
                <w:szCs w:val="21"/>
                <w:highlight w:val="none"/>
                <w:u w:val="none"/>
              </w:rPr>
            </w:pPr>
          </w:p>
        </w:tc>
      </w:tr>
      <w:tr w14:paraId="7D08B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7CAB818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17</w:t>
            </w:r>
          </w:p>
        </w:tc>
        <w:tc>
          <w:tcPr>
            <w:tcW w:w="1422" w:type="pct"/>
            <w:shd w:val="clear" w:color="auto" w:fill="auto"/>
            <w:vAlign w:val="center"/>
          </w:tcPr>
          <w:p w14:paraId="1DD9DFF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光纤熔接盒</w:t>
            </w:r>
          </w:p>
        </w:tc>
        <w:tc>
          <w:tcPr>
            <w:tcW w:w="1548" w:type="pct"/>
            <w:shd w:val="clear" w:color="auto" w:fill="auto"/>
            <w:vAlign w:val="center"/>
          </w:tcPr>
          <w:p w14:paraId="61D80ACA">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006447ED">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50套</w:t>
            </w:r>
          </w:p>
        </w:tc>
        <w:tc>
          <w:tcPr>
            <w:tcW w:w="646" w:type="pct"/>
            <w:shd w:val="clear" w:color="auto" w:fill="auto"/>
            <w:vAlign w:val="center"/>
          </w:tcPr>
          <w:p w14:paraId="7A75C6F8">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2AB2459D">
            <w:pPr>
              <w:jc w:val="center"/>
              <w:rPr>
                <w:rFonts w:hint="default" w:ascii="Times New Roman" w:hAnsi="Times New Roman" w:eastAsia="楷体" w:cs="Times New Roman"/>
                <w:i w:val="0"/>
                <w:iCs w:val="0"/>
                <w:color w:val="auto"/>
                <w:sz w:val="21"/>
                <w:szCs w:val="21"/>
                <w:highlight w:val="none"/>
                <w:u w:val="none"/>
              </w:rPr>
            </w:pPr>
          </w:p>
        </w:tc>
      </w:tr>
      <w:tr w14:paraId="5471E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12ECEDA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18</w:t>
            </w:r>
          </w:p>
        </w:tc>
        <w:tc>
          <w:tcPr>
            <w:tcW w:w="1422" w:type="pct"/>
            <w:shd w:val="clear" w:color="auto" w:fill="auto"/>
            <w:vAlign w:val="center"/>
          </w:tcPr>
          <w:p w14:paraId="2F02A0F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光纤熔接头等配件</w:t>
            </w:r>
          </w:p>
        </w:tc>
        <w:tc>
          <w:tcPr>
            <w:tcW w:w="1548" w:type="pct"/>
            <w:shd w:val="clear" w:color="auto" w:fill="auto"/>
            <w:vAlign w:val="center"/>
          </w:tcPr>
          <w:p w14:paraId="2BC05291">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31189D0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1项</w:t>
            </w:r>
          </w:p>
        </w:tc>
        <w:tc>
          <w:tcPr>
            <w:tcW w:w="646" w:type="pct"/>
            <w:shd w:val="clear" w:color="auto" w:fill="auto"/>
            <w:vAlign w:val="center"/>
          </w:tcPr>
          <w:p w14:paraId="21E1DD95">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5E3DD60D">
            <w:pPr>
              <w:jc w:val="center"/>
              <w:rPr>
                <w:rFonts w:hint="default" w:ascii="Times New Roman" w:hAnsi="Times New Roman" w:eastAsia="楷体" w:cs="Times New Roman"/>
                <w:i w:val="0"/>
                <w:iCs w:val="0"/>
                <w:color w:val="auto"/>
                <w:sz w:val="21"/>
                <w:szCs w:val="21"/>
                <w:highlight w:val="none"/>
                <w:u w:val="none"/>
              </w:rPr>
            </w:pPr>
          </w:p>
        </w:tc>
      </w:tr>
      <w:tr w14:paraId="4B677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7E00BE5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五</w:t>
            </w:r>
          </w:p>
        </w:tc>
        <w:tc>
          <w:tcPr>
            <w:tcW w:w="1422" w:type="pct"/>
            <w:shd w:val="clear" w:color="auto" w:fill="auto"/>
            <w:vAlign w:val="center"/>
          </w:tcPr>
          <w:p w14:paraId="27FE252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安装材料</w:t>
            </w:r>
          </w:p>
        </w:tc>
        <w:tc>
          <w:tcPr>
            <w:tcW w:w="1548" w:type="pct"/>
            <w:shd w:val="clear" w:color="auto" w:fill="auto"/>
            <w:vAlign w:val="center"/>
          </w:tcPr>
          <w:p w14:paraId="4191375A">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2CC85DEB">
            <w:pPr>
              <w:jc w:val="center"/>
              <w:rPr>
                <w:rFonts w:hint="default" w:ascii="Times New Roman" w:hAnsi="Times New Roman" w:eastAsia="楷体" w:cs="Times New Roman"/>
                <w:i w:val="0"/>
                <w:iCs w:val="0"/>
                <w:color w:val="auto"/>
                <w:sz w:val="21"/>
                <w:szCs w:val="21"/>
                <w:highlight w:val="none"/>
                <w:u w:val="none"/>
              </w:rPr>
            </w:pPr>
          </w:p>
        </w:tc>
        <w:tc>
          <w:tcPr>
            <w:tcW w:w="646" w:type="pct"/>
            <w:shd w:val="clear" w:color="auto" w:fill="auto"/>
            <w:vAlign w:val="center"/>
          </w:tcPr>
          <w:p w14:paraId="1905F5FA">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1757405D">
            <w:pPr>
              <w:jc w:val="center"/>
              <w:rPr>
                <w:rFonts w:hint="default" w:ascii="Times New Roman" w:hAnsi="Times New Roman" w:eastAsia="楷体" w:cs="Times New Roman"/>
                <w:i w:val="0"/>
                <w:iCs w:val="0"/>
                <w:color w:val="auto"/>
                <w:sz w:val="21"/>
                <w:szCs w:val="21"/>
                <w:highlight w:val="none"/>
                <w:u w:val="none"/>
              </w:rPr>
            </w:pPr>
          </w:p>
        </w:tc>
      </w:tr>
      <w:tr w14:paraId="68DF0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58E91CA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w:t>
            </w:r>
          </w:p>
        </w:tc>
        <w:tc>
          <w:tcPr>
            <w:tcW w:w="1422" w:type="pct"/>
            <w:shd w:val="clear" w:color="auto" w:fill="auto"/>
            <w:vAlign w:val="center"/>
          </w:tcPr>
          <w:p w14:paraId="3BD8FFA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信号电缆</w:t>
            </w:r>
          </w:p>
        </w:tc>
        <w:tc>
          <w:tcPr>
            <w:tcW w:w="1548" w:type="pct"/>
            <w:shd w:val="clear" w:color="auto" w:fill="auto"/>
            <w:vAlign w:val="center"/>
          </w:tcPr>
          <w:p w14:paraId="0039BEC8">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DJYVP-1X2X1.5</w:t>
            </w:r>
          </w:p>
        </w:tc>
        <w:tc>
          <w:tcPr>
            <w:tcW w:w="354" w:type="pct"/>
            <w:shd w:val="clear" w:color="auto" w:fill="auto"/>
            <w:vAlign w:val="center"/>
          </w:tcPr>
          <w:p w14:paraId="71D06A0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10000米</w:t>
            </w:r>
          </w:p>
        </w:tc>
        <w:tc>
          <w:tcPr>
            <w:tcW w:w="646" w:type="pct"/>
            <w:shd w:val="clear" w:color="auto" w:fill="auto"/>
            <w:vAlign w:val="center"/>
          </w:tcPr>
          <w:p w14:paraId="404EA92E">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120375B8">
            <w:pPr>
              <w:jc w:val="center"/>
              <w:rPr>
                <w:rFonts w:hint="default" w:ascii="Times New Roman" w:hAnsi="Times New Roman" w:eastAsia="楷体" w:cs="Times New Roman"/>
                <w:i w:val="0"/>
                <w:iCs w:val="0"/>
                <w:color w:val="auto"/>
                <w:sz w:val="21"/>
                <w:szCs w:val="21"/>
                <w:highlight w:val="none"/>
                <w:u w:val="none"/>
              </w:rPr>
            </w:pPr>
          </w:p>
        </w:tc>
      </w:tr>
      <w:tr w14:paraId="2E992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21D8152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w:t>
            </w:r>
          </w:p>
        </w:tc>
        <w:tc>
          <w:tcPr>
            <w:tcW w:w="1422" w:type="pct"/>
            <w:shd w:val="clear" w:color="auto" w:fill="auto"/>
            <w:vAlign w:val="center"/>
          </w:tcPr>
          <w:p w14:paraId="3F32CCB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信号电缆</w:t>
            </w:r>
          </w:p>
        </w:tc>
        <w:tc>
          <w:tcPr>
            <w:tcW w:w="1548" w:type="pct"/>
            <w:shd w:val="clear" w:color="auto" w:fill="auto"/>
            <w:vAlign w:val="center"/>
          </w:tcPr>
          <w:p w14:paraId="5ACBF815">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DJYVP-2X2X1.5</w:t>
            </w:r>
          </w:p>
        </w:tc>
        <w:tc>
          <w:tcPr>
            <w:tcW w:w="354" w:type="pct"/>
            <w:shd w:val="clear" w:color="auto" w:fill="auto"/>
            <w:vAlign w:val="center"/>
          </w:tcPr>
          <w:p w14:paraId="39EC428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5000米</w:t>
            </w:r>
          </w:p>
        </w:tc>
        <w:tc>
          <w:tcPr>
            <w:tcW w:w="646" w:type="pct"/>
            <w:shd w:val="clear" w:color="auto" w:fill="auto"/>
            <w:vAlign w:val="center"/>
          </w:tcPr>
          <w:p w14:paraId="21452B02">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648BCADA">
            <w:pPr>
              <w:jc w:val="center"/>
              <w:rPr>
                <w:rFonts w:hint="default" w:ascii="Times New Roman" w:hAnsi="Times New Roman" w:eastAsia="楷体" w:cs="Times New Roman"/>
                <w:i w:val="0"/>
                <w:iCs w:val="0"/>
                <w:color w:val="auto"/>
                <w:sz w:val="21"/>
                <w:szCs w:val="21"/>
                <w:highlight w:val="none"/>
                <w:u w:val="none"/>
              </w:rPr>
            </w:pPr>
          </w:p>
        </w:tc>
      </w:tr>
      <w:tr w14:paraId="62FC8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11A1DD5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w:t>
            </w:r>
          </w:p>
        </w:tc>
        <w:tc>
          <w:tcPr>
            <w:tcW w:w="1422" w:type="pct"/>
            <w:shd w:val="clear" w:color="auto" w:fill="auto"/>
            <w:vAlign w:val="center"/>
          </w:tcPr>
          <w:p w14:paraId="599FEBF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控制电缆</w:t>
            </w:r>
          </w:p>
        </w:tc>
        <w:tc>
          <w:tcPr>
            <w:tcW w:w="1548" w:type="pct"/>
            <w:shd w:val="clear" w:color="auto" w:fill="auto"/>
            <w:vAlign w:val="center"/>
          </w:tcPr>
          <w:p w14:paraId="31AD8016">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KVVP-16X1.0</w:t>
            </w:r>
          </w:p>
        </w:tc>
        <w:tc>
          <w:tcPr>
            <w:tcW w:w="354" w:type="pct"/>
            <w:shd w:val="clear" w:color="auto" w:fill="auto"/>
            <w:vAlign w:val="center"/>
          </w:tcPr>
          <w:p w14:paraId="77CF7A3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2000米</w:t>
            </w:r>
          </w:p>
        </w:tc>
        <w:tc>
          <w:tcPr>
            <w:tcW w:w="646" w:type="pct"/>
            <w:shd w:val="clear" w:color="auto" w:fill="auto"/>
            <w:vAlign w:val="center"/>
          </w:tcPr>
          <w:p w14:paraId="50C91CBA">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065FAB6A">
            <w:pPr>
              <w:jc w:val="center"/>
              <w:rPr>
                <w:rFonts w:hint="default" w:ascii="Times New Roman" w:hAnsi="Times New Roman" w:eastAsia="楷体" w:cs="Times New Roman"/>
                <w:i w:val="0"/>
                <w:iCs w:val="0"/>
                <w:color w:val="auto"/>
                <w:sz w:val="21"/>
                <w:szCs w:val="21"/>
                <w:highlight w:val="none"/>
                <w:u w:val="none"/>
              </w:rPr>
            </w:pPr>
          </w:p>
        </w:tc>
      </w:tr>
      <w:tr w14:paraId="768BC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7D4FACE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w:t>
            </w:r>
          </w:p>
        </w:tc>
        <w:tc>
          <w:tcPr>
            <w:tcW w:w="1422" w:type="pct"/>
            <w:shd w:val="clear" w:color="auto" w:fill="auto"/>
            <w:vAlign w:val="center"/>
          </w:tcPr>
          <w:p w14:paraId="59FCB7D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控制电缆</w:t>
            </w:r>
          </w:p>
        </w:tc>
        <w:tc>
          <w:tcPr>
            <w:tcW w:w="1548" w:type="pct"/>
            <w:shd w:val="clear" w:color="auto" w:fill="auto"/>
            <w:vAlign w:val="center"/>
          </w:tcPr>
          <w:p w14:paraId="6EC9F7E5">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KVVP-10X1.0</w:t>
            </w:r>
          </w:p>
        </w:tc>
        <w:tc>
          <w:tcPr>
            <w:tcW w:w="354" w:type="pct"/>
            <w:shd w:val="clear" w:color="auto" w:fill="auto"/>
            <w:vAlign w:val="center"/>
          </w:tcPr>
          <w:p w14:paraId="7574AA8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5000米</w:t>
            </w:r>
          </w:p>
        </w:tc>
        <w:tc>
          <w:tcPr>
            <w:tcW w:w="646" w:type="pct"/>
            <w:shd w:val="clear" w:color="auto" w:fill="auto"/>
            <w:vAlign w:val="center"/>
          </w:tcPr>
          <w:p w14:paraId="5495B37D">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1813A1B4">
            <w:pPr>
              <w:jc w:val="center"/>
              <w:rPr>
                <w:rFonts w:hint="default" w:ascii="Times New Roman" w:hAnsi="Times New Roman" w:eastAsia="楷体" w:cs="Times New Roman"/>
                <w:i w:val="0"/>
                <w:iCs w:val="0"/>
                <w:color w:val="auto"/>
                <w:sz w:val="21"/>
                <w:szCs w:val="21"/>
                <w:highlight w:val="none"/>
                <w:u w:val="none"/>
              </w:rPr>
            </w:pPr>
          </w:p>
        </w:tc>
      </w:tr>
      <w:tr w14:paraId="2A165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3FAF2D6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5</w:t>
            </w:r>
          </w:p>
        </w:tc>
        <w:tc>
          <w:tcPr>
            <w:tcW w:w="1422" w:type="pct"/>
            <w:shd w:val="clear" w:color="auto" w:fill="auto"/>
            <w:vAlign w:val="center"/>
          </w:tcPr>
          <w:p w14:paraId="22B61D9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控制电缆</w:t>
            </w:r>
          </w:p>
        </w:tc>
        <w:tc>
          <w:tcPr>
            <w:tcW w:w="1548" w:type="pct"/>
            <w:shd w:val="clear" w:color="auto" w:fill="auto"/>
            <w:vAlign w:val="center"/>
          </w:tcPr>
          <w:p w14:paraId="1FF84879">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KVVP-7X1.0</w:t>
            </w:r>
          </w:p>
        </w:tc>
        <w:tc>
          <w:tcPr>
            <w:tcW w:w="354" w:type="pct"/>
            <w:shd w:val="clear" w:color="auto" w:fill="auto"/>
            <w:vAlign w:val="center"/>
          </w:tcPr>
          <w:p w14:paraId="45349B1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5000米</w:t>
            </w:r>
          </w:p>
        </w:tc>
        <w:tc>
          <w:tcPr>
            <w:tcW w:w="646" w:type="pct"/>
            <w:shd w:val="clear" w:color="auto" w:fill="auto"/>
            <w:vAlign w:val="center"/>
          </w:tcPr>
          <w:p w14:paraId="6168DE66">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4434FF8F">
            <w:pPr>
              <w:jc w:val="center"/>
              <w:rPr>
                <w:rFonts w:hint="default" w:ascii="Times New Roman" w:hAnsi="Times New Roman" w:eastAsia="楷体" w:cs="Times New Roman"/>
                <w:i w:val="0"/>
                <w:iCs w:val="0"/>
                <w:color w:val="auto"/>
                <w:sz w:val="21"/>
                <w:szCs w:val="21"/>
                <w:highlight w:val="none"/>
                <w:u w:val="none"/>
              </w:rPr>
            </w:pPr>
          </w:p>
        </w:tc>
      </w:tr>
      <w:tr w14:paraId="06A50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2233179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6</w:t>
            </w:r>
          </w:p>
        </w:tc>
        <w:tc>
          <w:tcPr>
            <w:tcW w:w="1422" w:type="pct"/>
            <w:shd w:val="clear" w:color="auto" w:fill="auto"/>
            <w:vAlign w:val="center"/>
          </w:tcPr>
          <w:p w14:paraId="6633948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控制电缆</w:t>
            </w:r>
          </w:p>
        </w:tc>
        <w:tc>
          <w:tcPr>
            <w:tcW w:w="1548" w:type="pct"/>
            <w:shd w:val="clear" w:color="auto" w:fill="auto"/>
            <w:vAlign w:val="center"/>
          </w:tcPr>
          <w:p w14:paraId="4E65B263">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KVVP-3X1.5</w:t>
            </w:r>
          </w:p>
        </w:tc>
        <w:tc>
          <w:tcPr>
            <w:tcW w:w="354" w:type="pct"/>
            <w:shd w:val="clear" w:color="auto" w:fill="auto"/>
            <w:vAlign w:val="center"/>
          </w:tcPr>
          <w:p w14:paraId="5F7A6F2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10000米</w:t>
            </w:r>
          </w:p>
        </w:tc>
        <w:tc>
          <w:tcPr>
            <w:tcW w:w="646" w:type="pct"/>
            <w:shd w:val="clear" w:color="auto" w:fill="auto"/>
            <w:vAlign w:val="center"/>
          </w:tcPr>
          <w:p w14:paraId="5D533395">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4CF78AB9">
            <w:pPr>
              <w:jc w:val="center"/>
              <w:rPr>
                <w:rFonts w:hint="default" w:ascii="Times New Roman" w:hAnsi="Times New Roman" w:eastAsia="楷体" w:cs="Times New Roman"/>
                <w:i w:val="0"/>
                <w:iCs w:val="0"/>
                <w:color w:val="auto"/>
                <w:sz w:val="21"/>
                <w:szCs w:val="21"/>
                <w:highlight w:val="none"/>
                <w:u w:val="none"/>
              </w:rPr>
            </w:pPr>
          </w:p>
        </w:tc>
      </w:tr>
      <w:tr w14:paraId="0530A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59C7B69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7</w:t>
            </w:r>
          </w:p>
        </w:tc>
        <w:tc>
          <w:tcPr>
            <w:tcW w:w="1422" w:type="pct"/>
            <w:shd w:val="clear" w:color="auto" w:fill="auto"/>
            <w:vAlign w:val="center"/>
          </w:tcPr>
          <w:p w14:paraId="38EC670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总线通讯电缆</w:t>
            </w:r>
          </w:p>
        </w:tc>
        <w:tc>
          <w:tcPr>
            <w:tcW w:w="1548" w:type="pct"/>
            <w:shd w:val="clear" w:color="auto" w:fill="auto"/>
            <w:vAlign w:val="center"/>
          </w:tcPr>
          <w:p w14:paraId="5FF3C228">
            <w:pPr>
              <w:jc w:val="left"/>
              <w:rPr>
                <w:rFonts w:hint="default" w:ascii="Times New Roman" w:hAnsi="Times New Roman" w:eastAsia="楷体" w:cs="Times New Roman"/>
                <w:i w:val="0"/>
                <w:iCs w:val="0"/>
                <w:color w:val="auto"/>
                <w:sz w:val="21"/>
                <w:szCs w:val="21"/>
                <w:highlight w:val="none"/>
                <w:u w:val="none"/>
              </w:rPr>
            </w:pPr>
          </w:p>
        </w:tc>
        <w:tc>
          <w:tcPr>
            <w:tcW w:w="354" w:type="pct"/>
            <w:shd w:val="clear" w:color="auto" w:fill="auto"/>
            <w:vAlign w:val="center"/>
          </w:tcPr>
          <w:p w14:paraId="5CC14208">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2000米</w:t>
            </w:r>
          </w:p>
        </w:tc>
        <w:tc>
          <w:tcPr>
            <w:tcW w:w="646" w:type="pct"/>
            <w:shd w:val="clear" w:color="auto" w:fill="auto"/>
            <w:vAlign w:val="center"/>
          </w:tcPr>
          <w:p w14:paraId="5E98A8ED">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2471CCF0">
            <w:pPr>
              <w:jc w:val="center"/>
              <w:rPr>
                <w:rFonts w:hint="default" w:ascii="Times New Roman" w:hAnsi="Times New Roman" w:eastAsia="楷体" w:cs="Times New Roman"/>
                <w:i w:val="0"/>
                <w:iCs w:val="0"/>
                <w:color w:val="auto"/>
                <w:sz w:val="21"/>
                <w:szCs w:val="21"/>
                <w:highlight w:val="none"/>
                <w:u w:val="none"/>
              </w:rPr>
            </w:pPr>
          </w:p>
        </w:tc>
      </w:tr>
      <w:tr w14:paraId="591C7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6D14E7B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8</w:t>
            </w:r>
          </w:p>
        </w:tc>
        <w:tc>
          <w:tcPr>
            <w:tcW w:w="1422" w:type="pct"/>
            <w:shd w:val="clear" w:color="auto" w:fill="auto"/>
            <w:vAlign w:val="center"/>
          </w:tcPr>
          <w:p w14:paraId="0480408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通讯网线</w:t>
            </w:r>
          </w:p>
        </w:tc>
        <w:tc>
          <w:tcPr>
            <w:tcW w:w="1548" w:type="pct"/>
            <w:shd w:val="clear" w:color="auto" w:fill="auto"/>
            <w:vAlign w:val="center"/>
          </w:tcPr>
          <w:p w14:paraId="37BE5B76">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超六类电缆</w:t>
            </w:r>
          </w:p>
        </w:tc>
        <w:tc>
          <w:tcPr>
            <w:tcW w:w="354" w:type="pct"/>
            <w:shd w:val="clear" w:color="auto" w:fill="auto"/>
            <w:vAlign w:val="center"/>
          </w:tcPr>
          <w:p w14:paraId="1E3F8FE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1000米</w:t>
            </w:r>
          </w:p>
        </w:tc>
        <w:tc>
          <w:tcPr>
            <w:tcW w:w="646" w:type="pct"/>
            <w:shd w:val="clear" w:color="auto" w:fill="auto"/>
            <w:vAlign w:val="center"/>
          </w:tcPr>
          <w:p w14:paraId="461AB803">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53A9BB7A">
            <w:pPr>
              <w:jc w:val="center"/>
              <w:rPr>
                <w:rFonts w:hint="default" w:ascii="Times New Roman" w:hAnsi="Times New Roman" w:eastAsia="楷体" w:cs="Times New Roman"/>
                <w:i w:val="0"/>
                <w:iCs w:val="0"/>
                <w:color w:val="auto"/>
                <w:sz w:val="21"/>
                <w:szCs w:val="21"/>
                <w:highlight w:val="none"/>
                <w:u w:val="none"/>
              </w:rPr>
            </w:pPr>
          </w:p>
        </w:tc>
      </w:tr>
      <w:tr w14:paraId="763C8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13CF071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9</w:t>
            </w:r>
          </w:p>
        </w:tc>
        <w:tc>
          <w:tcPr>
            <w:tcW w:w="1422" w:type="pct"/>
            <w:shd w:val="clear" w:color="auto" w:fill="auto"/>
            <w:vAlign w:val="center"/>
          </w:tcPr>
          <w:p w14:paraId="63F1F7C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通讯光缆</w:t>
            </w:r>
          </w:p>
        </w:tc>
        <w:tc>
          <w:tcPr>
            <w:tcW w:w="1548" w:type="pct"/>
            <w:shd w:val="clear" w:color="auto" w:fill="auto"/>
            <w:vAlign w:val="center"/>
          </w:tcPr>
          <w:p w14:paraId="4E7A5980">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铠装单膜4芯</w:t>
            </w:r>
          </w:p>
        </w:tc>
        <w:tc>
          <w:tcPr>
            <w:tcW w:w="354" w:type="pct"/>
            <w:shd w:val="clear" w:color="auto" w:fill="auto"/>
            <w:vAlign w:val="center"/>
          </w:tcPr>
          <w:p w14:paraId="49F1A1B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2000米</w:t>
            </w:r>
          </w:p>
        </w:tc>
        <w:tc>
          <w:tcPr>
            <w:tcW w:w="646" w:type="pct"/>
            <w:shd w:val="clear" w:color="auto" w:fill="auto"/>
            <w:vAlign w:val="center"/>
          </w:tcPr>
          <w:p w14:paraId="68A3F124">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6745943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工控网</w:t>
            </w:r>
          </w:p>
        </w:tc>
      </w:tr>
      <w:tr w14:paraId="53E8B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3BCDE78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10</w:t>
            </w:r>
          </w:p>
        </w:tc>
        <w:tc>
          <w:tcPr>
            <w:tcW w:w="1422" w:type="pct"/>
            <w:shd w:val="clear" w:color="auto" w:fill="auto"/>
            <w:vAlign w:val="center"/>
          </w:tcPr>
          <w:p w14:paraId="1910F0A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通讯光缆</w:t>
            </w:r>
          </w:p>
        </w:tc>
        <w:tc>
          <w:tcPr>
            <w:tcW w:w="1548" w:type="pct"/>
            <w:shd w:val="clear" w:color="auto" w:fill="auto"/>
            <w:vAlign w:val="center"/>
          </w:tcPr>
          <w:p w14:paraId="5978FA6C">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铠装单膜4芯</w:t>
            </w:r>
          </w:p>
        </w:tc>
        <w:tc>
          <w:tcPr>
            <w:tcW w:w="354" w:type="pct"/>
            <w:shd w:val="clear" w:color="auto" w:fill="auto"/>
            <w:vAlign w:val="center"/>
          </w:tcPr>
          <w:p w14:paraId="67A3B6FA">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2000米</w:t>
            </w:r>
          </w:p>
        </w:tc>
        <w:tc>
          <w:tcPr>
            <w:tcW w:w="646" w:type="pct"/>
            <w:shd w:val="clear" w:color="auto" w:fill="auto"/>
            <w:vAlign w:val="center"/>
          </w:tcPr>
          <w:p w14:paraId="2B6D0393">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2929E7E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安防网</w:t>
            </w:r>
          </w:p>
        </w:tc>
      </w:tr>
      <w:tr w14:paraId="5F9CA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0E37F50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11</w:t>
            </w:r>
          </w:p>
        </w:tc>
        <w:tc>
          <w:tcPr>
            <w:tcW w:w="1422" w:type="pct"/>
            <w:shd w:val="clear" w:color="auto" w:fill="auto"/>
            <w:vAlign w:val="center"/>
          </w:tcPr>
          <w:p w14:paraId="305ED4F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PVC管</w:t>
            </w:r>
          </w:p>
        </w:tc>
        <w:tc>
          <w:tcPr>
            <w:tcW w:w="1548" w:type="pct"/>
            <w:shd w:val="clear" w:color="auto" w:fill="auto"/>
            <w:vAlign w:val="center"/>
          </w:tcPr>
          <w:p w14:paraId="782B7734">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25PVC管</w:t>
            </w:r>
          </w:p>
        </w:tc>
        <w:tc>
          <w:tcPr>
            <w:tcW w:w="354" w:type="pct"/>
            <w:shd w:val="clear" w:color="auto" w:fill="auto"/>
            <w:vAlign w:val="center"/>
          </w:tcPr>
          <w:p w14:paraId="040845F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2000米</w:t>
            </w:r>
          </w:p>
        </w:tc>
        <w:tc>
          <w:tcPr>
            <w:tcW w:w="646" w:type="pct"/>
            <w:shd w:val="clear" w:color="auto" w:fill="auto"/>
            <w:vAlign w:val="center"/>
          </w:tcPr>
          <w:p w14:paraId="2CB78E15">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7B83D83E">
            <w:pPr>
              <w:jc w:val="center"/>
              <w:rPr>
                <w:rFonts w:hint="default" w:ascii="Times New Roman" w:hAnsi="Times New Roman" w:eastAsia="楷体" w:cs="Times New Roman"/>
                <w:i w:val="0"/>
                <w:iCs w:val="0"/>
                <w:color w:val="auto"/>
                <w:sz w:val="21"/>
                <w:szCs w:val="21"/>
                <w:highlight w:val="none"/>
                <w:u w:val="none"/>
              </w:rPr>
            </w:pPr>
          </w:p>
        </w:tc>
      </w:tr>
      <w:tr w14:paraId="641AA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573F8031">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12</w:t>
            </w:r>
          </w:p>
        </w:tc>
        <w:tc>
          <w:tcPr>
            <w:tcW w:w="1422" w:type="pct"/>
            <w:shd w:val="clear" w:color="auto" w:fill="auto"/>
            <w:vAlign w:val="center"/>
          </w:tcPr>
          <w:p w14:paraId="7866F73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镀锌钢管</w:t>
            </w:r>
          </w:p>
        </w:tc>
        <w:tc>
          <w:tcPr>
            <w:tcW w:w="1548" w:type="pct"/>
            <w:shd w:val="clear" w:color="auto" w:fill="auto"/>
            <w:vAlign w:val="center"/>
          </w:tcPr>
          <w:p w14:paraId="3CED7BA0">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SC25</w:t>
            </w:r>
          </w:p>
        </w:tc>
        <w:tc>
          <w:tcPr>
            <w:tcW w:w="354" w:type="pct"/>
            <w:shd w:val="clear" w:color="auto" w:fill="auto"/>
            <w:vAlign w:val="center"/>
          </w:tcPr>
          <w:p w14:paraId="0C55E875">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2000米</w:t>
            </w:r>
          </w:p>
        </w:tc>
        <w:tc>
          <w:tcPr>
            <w:tcW w:w="646" w:type="pct"/>
            <w:shd w:val="clear" w:color="auto" w:fill="auto"/>
            <w:vAlign w:val="center"/>
          </w:tcPr>
          <w:p w14:paraId="48D96064">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76078AA7">
            <w:pPr>
              <w:jc w:val="center"/>
              <w:rPr>
                <w:rFonts w:hint="default" w:ascii="Times New Roman" w:hAnsi="Times New Roman" w:eastAsia="楷体" w:cs="Times New Roman"/>
                <w:i w:val="0"/>
                <w:iCs w:val="0"/>
                <w:color w:val="auto"/>
                <w:sz w:val="21"/>
                <w:szCs w:val="21"/>
                <w:highlight w:val="none"/>
                <w:u w:val="none"/>
              </w:rPr>
            </w:pPr>
          </w:p>
        </w:tc>
      </w:tr>
      <w:tr w14:paraId="322F5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2BE36D8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13</w:t>
            </w:r>
          </w:p>
        </w:tc>
        <w:tc>
          <w:tcPr>
            <w:tcW w:w="1422" w:type="pct"/>
            <w:shd w:val="clear" w:color="auto" w:fill="auto"/>
            <w:vAlign w:val="center"/>
          </w:tcPr>
          <w:p w14:paraId="4D0839A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镀锌钢管</w:t>
            </w:r>
          </w:p>
        </w:tc>
        <w:tc>
          <w:tcPr>
            <w:tcW w:w="1548" w:type="pct"/>
            <w:shd w:val="clear" w:color="auto" w:fill="auto"/>
            <w:vAlign w:val="center"/>
          </w:tcPr>
          <w:p w14:paraId="4BED05FB">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SC32</w:t>
            </w:r>
          </w:p>
        </w:tc>
        <w:tc>
          <w:tcPr>
            <w:tcW w:w="354" w:type="pct"/>
            <w:shd w:val="clear" w:color="auto" w:fill="auto"/>
            <w:vAlign w:val="center"/>
          </w:tcPr>
          <w:p w14:paraId="74E97E2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3000米</w:t>
            </w:r>
          </w:p>
        </w:tc>
        <w:tc>
          <w:tcPr>
            <w:tcW w:w="646" w:type="pct"/>
            <w:shd w:val="clear" w:color="auto" w:fill="auto"/>
            <w:vAlign w:val="center"/>
          </w:tcPr>
          <w:p w14:paraId="30A40E3D">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494EF668">
            <w:pPr>
              <w:jc w:val="center"/>
              <w:rPr>
                <w:rFonts w:hint="default" w:ascii="Times New Roman" w:hAnsi="Times New Roman" w:eastAsia="楷体" w:cs="Times New Roman"/>
                <w:i w:val="0"/>
                <w:iCs w:val="0"/>
                <w:color w:val="auto"/>
                <w:sz w:val="21"/>
                <w:szCs w:val="21"/>
                <w:highlight w:val="none"/>
                <w:u w:val="none"/>
              </w:rPr>
            </w:pPr>
          </w:p>
        </w:tc>
      </w:tr>
      <w:tr w14:paraId="25770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33145709">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14</w:t>
            </w:r>
          </w:p>
        </w:tc>
        <w:tc>
          <w:tcPr>
            <w:tcW w:w="1422" w:type="pct"/>
            <w:shd w:val="clear" w:color="auto" w:fill="auto"/>
            <w:vAlign w:val="center"/>
          </w:tcPr>
          <w:p w14:paraId="5FAE903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视频电缆</w:t>
            </w:r>
          </w:p>
        </w:tc>
        <w:tc>
          <w:tcPr>
            <w:tcW w:w="1548" w:type="pct"/>
            <w:shd w:val="clear" w:color="auto" w:fill="auto"/>
            <w:vAlign w:val="center"/>
          </w:tcPr>
          <w:p w14:paraId="1DE45810">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SYV75-5-41</w:t>
            </w:r>
          </w:p>
        </w:tc>
        <w:tc>
          <w:tcPr>
            <w:tcW w:w="354" w:type="pct"/>
            <w:shd w:val="clear" w:color="auto" w:fill="auto"/>
            <w:vAlign w:val="center"/>
          </w:tcPr>
          <w:p w14:paraId="434BCD23">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1000米</w:t>
            </w:r>
          </w:p>
        </w:tc>
        <w:tc>
          <w:tcPr>
            <w:tcW w:w="646" w:type="pct"/>
            <w:shd w:val="clear" w:color="auto" w:fill="auto"/>
            <w:vAlign w:val="center"/>
          </w:tcPr>
          <w:p w14:paraId="44B7DF9E">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1A70CFA5">
            <w:pPr>
              <w:jc w:val="center"/>
              <w:rPr>
                <w:rFonts w:hint="default" w:ascii="Times New Roman" w:hAnsi="Times New Roman" w:eastAsia="楷体" w:cs="Times New Roman"/>
                <w:i w:val="0"/>
                <w:iCs w:val="0"/>
                <w:color w:val="auto"/>
                <w:sz w:val="21"/>
                <w:szCs w:val="21"/>
                <w:highlight w:val="none"/>
                <w:u w:val="none"/>
              </w:rPr>
            </w:pPr>
          </w:p>
        </w:tc>
      </w:tr>
      <w:tr w14:paraId="5AC6B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62B16617">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15</w:t>
            </w:r>
          </w:p>
        </w:tc>
        <w:tc>
          <w:tcPr>
            <w:tcW w:w="1422" w:type="pct"/>
            <w:shd w:val="clear" w:color="auto" w:fill="auto"/>
            <w:vAlign w:val="center"/>
          </w:tcPr>
          <w:p w14:paraId="13C42F24">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电缆槽盒</w:t>
            </w:r>
          </w:p>
        </w:tc>
        <w:tc>
          <w:tcPr>
            <w:tcW w:w="1548" w:type="pct"/>
            <w:shd w:val="clear" w:color="auto" w:fill="auto"/>
            <w:vAlign w:val="center"/>
          </w:tcPr>
          <w:p w14:paraId="37D52031">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300X100</w:t>
            </w:r>
          </w:p>
        </w:tc>
        <w:tc>
          <w:tcPr>
            <w:tcW w:w="354" w:type="pct"/>
            <w:shd w:val="clear" w:color="auto" w:fill="auto"/>
            <w:vAlign w:val="center"/>
          </w:tcPr>
          <w:p w14:paraId="7C28226D">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2000米</w:t>
            </w:r>
          </w:p>
        </w:tc>
        <w:tc>
          <w:tcPr>
            <w:tcW w:w="646" w:type="pct"/>
            <w:shd w:val="clear" w:color="auto" w:fill="auto"/>
            <w:vAlign w:val="center"/>
          </w:tcPr>
          <w:p w14:paraId="73680E97">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0885824C">
            <w:pPr>
              <w:jc w:val="center"/>
              <w:rPr>
                <w:rFonts w:hint="default" w:ascii="Times New Roman" w:hAnsi="Times New Roman" w:eastAsia="楷体" w:cs="Times New Roman"/>
                <w:i w:val="0"/>
                <w:iCs w:val="0"/>
                <w:color w:val="auto"/>
                <w:sz w:val="21"/>
                <w:szCs w:val="21"/>
                <w:highlight w:val="none"/>
                <w:u w:val="none"/>
              </w:rPr>
            </w:pPr>
          </w:p>
        </w:tc>
      </w:tr>
      <w:tr w14:paraId="574B5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32E7CFAC">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16</w:t>
            </w:r>
          </w:p>
        </w:tc>
        <w:tc>
          <w:tcPr>
            <w:tcW w:w="1422" w:type="pct"/>
            <w:shd w:val="clear" w:color="auto" w:fill="auto"/>
            <w:vAlign w:val="center"/>
          </w:tcPr>
          <w:p w14:paraId="5C0A4BF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室外仪表保护箱</w:t>
            </w:r>
          </w:p>
        </w:tc>
        <w:tc>
          <w:tcPr>
            <w:tcW w:w="1548" w:type="pct"/>
            <w:shd w:val="clear" w:color="auto" w:fill="auto"/>
            <w:vAlign w:val="center"/>
          </w:tcPr>
          <w:p w14:paraId="18199108">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不锈钢500X400X350</w:t>
            </w:r>
          </w:p>
        </w:tc>
        <w:tc>
          <w:tcPr>
            <w:tcW w:w="354" w:type="pct"/>
            <w:shd w:val="clear" w:color="auto" w:fill="auto"/>
            <w:vAlign w:val="center"/>
          </w:tcPr>
          <w:p w14:paraId="574526A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30套</w:t>
            </w:r>
          </w:p>
        </w:tc>
        <w:tc>
          <w:tcPr>
            <w:tcW w:w="646" w:type="pct"/>
            <w:shd w:val="clear" w:color="auto" w:fill="auto"/>
            <w:vAlign w:val="center"/>
          </w:tcPr>
          <w:p w14:paraId="700372FC">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64BC7A83">
            <w:pPr>
              <w:jc w:val="center"/>
              <w:rPr>
                <w:rFonts w:hint="default" w:ascii="Times New Roman" w:hAnsi="Times New Roman" w:eastAsia="楷体" w:cs="Times New Roman"/>
                <w:i w:val="0"/>
                <w:iCs w:val="0"/>
                <w:color w:val="auto"/>
                <w:sz w:val="21"/>
                <w:szCs w:val="21"/>
                <w:highlight w:val="none"/>
                <w:u w:val="none"/>
              </w:rPr>
            </w:pPr>
          </w:p>
        </w:tc>
      </w:tr>
      <w:tr w14:paraId="1E167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shd w:val="clear" w:color="auto" w:fill="auto"/>
            <w:vAlign w:val="center"/>
          </w:tcPr>
          <w:p w14:paraId="445DF7EB">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17</w:t>
            </w:r>
          </w:p>
        </w:tc>
        <w:tc>
          <w:tcPr>
            <w:tcW w:w="1422" w:type="pct"/>
            <w:shd w:val="clear" w:color="auto" w:fill="auto"/>
            <w:vAlign w:val="center"/>
          </w:tcPr>
          <w:p w14:paraId="7C20B0B1">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防水挠性接头</w:t>
            </w:r>
          </w:p>
        </w:tc>
        <w:tc>
          <w:tcPr>
            <w:tcW w:w="1548" w:type="pct"/>
            <w:shd w:val="clear" w:color="auto" w:fill="auto"/>
            <w:vAlign w:val="center"/>
          </w:tcPr>
          <w:p w14:paraId="422C6F31">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L=600</w:t>
            </w:r>
          </w:p>
        </w:tc>
        <w:tc>
          <w:tcPr>
            <w:tcW w:w="354" w:type="pct"/>
            <w:shd w:val="clear" w:color="auto" w:fill="auto"/>
            <w:vAlign w:val="center"/>
          </w:tcPr>
          <w:p w14:paraId="764E7BCE">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300米</w:t>
            </w:r>
          </w:p>
        </w:tc>
        <w:tc>
          <w:tcPr>
            <w:tcW w:w="646" w:type="pct"/>
            <w:shd w:val="clear" w:color="auto" w:fill="auto"/>
            <w:vAlign w:val="center"/>
          </w:tcPr>
          <w:p w14:paraId="40B54325">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vAlign w:val="center"/>
          </w:tcPr>
          <w:p w14:paraId="31527934">
            <w:pPr>
              <w:jc w:val="center"/>
              <w:rPr>
                <w:rFonts w:hint="default" w:ascii="Times New Roman" w:hAnsi="Times New Roman" w:eastAsia="楷体" w:cs="Times New Roman"/>
                <w:i w:val="0"/>
                <w:iCs w:val="0"/>
                <w:color w:val="auto"/>
                <w:sz w:val="21"/>
                <w:szCs w:val="21"/>
                <w:highlight w:val="none"/>
                <w:u w:val="none"/>
              </w:rPr>
            </w:pPr>
          </w:p>
        </w:tc>
      </w:tr>
      <w:tr w14:paraId="1CD8D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294" w:type="pct"/>
            <w:shd w:val="clear" w:color="auto" w:fill="auto"/>
            <w:vAlign w:val="center"/>
          </w:tcPr>
          <w:p w14:paraId="2D8F216F">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18</w:t>
            </w:r>
          </w:p>
        </w:tc>
        <w:tc>
          <w:tcPr>
            <w:tcW w:w="1422" w:type="pct"/>
            <w:shd w:val="clear" w:color="auto" w:fill="auto"/>
            <w:vAlign w:val="center"/>
          </w:tcPr>
          <w:p w14:paraId="3FBBB5B0">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接地导线</w:t>
            </w:r>
          </w:p>
        </w:tc>
        <w:tc>
          <w:tcPr>
            <w:tcW w:w="1548" w:type="pct"/>
            <w:shd w:val="clear" w:color="auto" w:fill="auto"/>
            <w:vAlign w:val="center"/>
          </w:tcPr>
          <w:p w14:paraId="17DD7C7A">
            <w:pPr>
              <w:keepNext w:val="0"/>
              <w:keepLines w:val="0"/>
              <w:widowControl/>
              <w:suppressLineNumbers w:val="0"/>
              <w:jc w:val="left"/>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BV-1X4mm</w:t>
            </w:r>
            <w:r>
              <w:rPr>
                <w:rFonts w:hint="default" w:ascii="Times New Roman" w:hAnsi="Times New Roman" w:eastAsia="楷体" w:cs="Times New Roman"/>
                <w:i w:val="0"/>
                <w:iCs w:val="0"/>
                <w:color w:val="auto"/>
                <w:kern w:val="0"/>
                <w:sz w:val="13"/>
                <w:szCs w:val="13"/>
                <w:highlight w:val="none"/>
                <w:u w:val="none"/>
                <w:lang w:val="en-US" w:eastAsia="zh-CN" w:bidi="ar"/>
              </w:rPr>
              <w:t>2</w:t>
            </w:r>
          </w:p>
        </w:tc>
        <w:tc>
          <w:tcPr>
            <w:tcW w:w="354" w:type="pct"/>
            <w:shd w:val="clear" w:color="auto" w:fill="auto"/>
            <w:vAlign w:val="center"/>
          </w:tcPr>
          <w:p w14:paraId="3C3FB0E6">
            <w:pPr>
              <w:keepNext w:val="0"/>
              <w:keepLines w:val="0"/>
              <w:widowControl/>
              <w:suppressLineNumbers w:val="0"/>
              <w:jc w:val="center"/>
              <w:textAlignment w:val="top"/>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500米</w:t>
            </w:r>
          </w:p>
        </w:tc>
        <w:tc>
          <w:tcPr>
            <w:tcW w:w="646" w:type="pct"/>
            <w:shd w:val="clear" w:color="auto" w:fill="auto"/>
            <w:vAlign w:val="center"/>
          </w:tcPr>
          <w:p w14:paraId="33A3D681">
            <w:pPr>
              <w:jc w:val="center"/>
              <w:rPr>
                <w:rFonts w:hint="default" w:ascii="Times New Roman" w:hAnsi="Times New Roman" w:eastAsia="楷体" w:cs="Times New Roman"/>
                <w:i w:val="0"/>
                <w:iCs w:val="0"/>
                <w:color w:val="auto"/>
                <w:sz w:val="21"/>
                <w:szCs w:val="21"/>
                <w:highlight w:val="none"/>
                <w:u w:val="none"/>
              </w:rPr>
            </w:pPr>
          </w:p>
        </w:tc>
        <w:tc>
          <w:tcPr>
            <w:tcW w:w="733" w:type="pct"/>
            <w:shd w:val="clear" w:color="auto" w:fill="auto"/>
            <w:noWrap/>
            <w:vAlign w:val="center"/>
          </w:tcPr>
          <w:p w14:paraId="73B03FA8">
            <w:pPr>
              <w:jc w:val="center"/>
              <w:rPr>
                <w:rFonts w:hint="default" w:ascii="Times New Roman" w:hAnsi="Times New Roman" w:eastAsia="楷体" w:cs="Times New Roman"/>
                <w:i w:val="0"/>
                <w:iCs w:val="0"/>
                <w:color w:val="auto"/>
                <w:sz w:val="22"/>
                <w:szCs w:val="22"/>
                <w:highlight w:val="none"/>
                <w:u w:val="none"/>
              </w:rPr>
            </w:pPr>
          </w:p>
        </w:tc>
      </w:tr>
    </w:tbl>
    <w:p w14:paraId="443C1F54">
      <w:pPr>
        <w:spacing w:line="146" w:lineRule="exact"/>
        <w:jc w:val="center"/>
        <w:rPr>
          <w:rFonts w:hint="default" w:ascii="Times New Roman" w:hAnsi="Times New Roman" w:eastAsia="楷体" w:cs="Times New Roman"/>
          <w:color w:val="auto"/>
          <w:highlight w:val="none"/>
        </w:rPr>
      </w:pPr>
    </w:p>
    <w:p w14:paraId="3E092198">
      <w:pPr>
        <w:spacing w:line="240" w:lineRule="auto"/>
        <w:jc w:val="left"/>
        <w:outlineLvl w:val="9"/>
        <w:rPr>
          <w:rFonts w:hint="default" w:ascii="Times New Roman" w:hAnsi="Times New Roman" w:eastAsia="楷体" w:cs="Times New Roman"/>
          <w:b/>
          <w:bCs/>
          <w:color w:val="auto"/>
          <w:highlight w:val="none"/>
        </w:rPr>
      </w:pPr>
      <w:bookmarkStart w:id="672" w:name="_Toc32708"/>
      <w:r>
        <w:rPr>
          <w:rFonts w:hint="default" w:ascii="Times New Roman" w:hAnsi="Times New Roman" w:eastAsia="楷体" w:cs="Times New Roman"/>
          <w:b/>
          <w:bCs/>
          <w:color w:val="auto"/>
          <w:sz w:val="30"/>
          <w:szCs w:val="30"/>
          <w:highlight w:val="none"/>
          <w:lang w:eastAsia="zh-CN"/>
        </w:rPr>
        <w:t>（</w:t>
      </w:r>
      <w:r>
        <w:rPr>
          <w:rFonts w:hint="default" w:ascii="Times New Roman" w:hAnsi="Times New Roman" w:eastAsia="楷体" w:cs="Times New Roman"/>
          <w:b/>
          <w:bCs/>
          <w:color w:val="auto"/>
          <w:sz w:val="30"/>
          <w:szCs w:val="30"/>
          <w:highlight w:val="none"/>
          <w:lang w:val="en-US" w:eastAsia="zh-CN"/>
        </w:rPr>
        <w:t>6</w:t>
      </w:r>
      <w:r>
        <w:rPr>
          <w:rFonts w:hint="default" w:ascii="Times New Roman" w:hAnsi="Times New Roman" w:eastAsia="楷体" w:cs="Times New Roman"/>
          <w:b/>
          <w:bCs/>
          <w:color w:val="auto"/>
          <w:sz w:val="30"/>
          <w:szCs w:val="30"/>
          <w:highlight w:val="none"/>
          <w:lang w:eastAsia="zh-CN"/>
        </w:rPr>
        <w:t>）</w:t>
      </w:r>
      <w:r>
        <w:rPr>
          <w:rFonts w:hint="default" w:ascii="Times New Roman" w:hAnsi="Times New Roman" w:eastAsia="楷体" w:cs="Times New Roman"/>
          <w:b/>
          <w:bCs/>
          <w:color w:val="auto"/>
          <w:sz w:val="30"/>
          <w:szCs w:val="30"/>
          <w:highlight w:val="none"/>
        </w:rPr>
        <w:t>暖通专业</w:t>
      </w:r>
      <w:r>
        <w:rPr>
          <w:rFonts w:hint="default" w:ascii="Times New Roman" w:hAnsi="Times New Roman" w:eastAsia="楷体" w:cs="Times New Roman"/>
          <w:b/>
          <w:bCs/>
          <w:color w:val="auto"/>
          <w:sz w:val="30"/>
          <w:szCs w:val="30"/>
          <w:highlight w:val="none"/>
          <w:lang w:eastAsia="zh-CN"/>
        </w:rPr>
        <w:t>设备</w:t>
      </w:r>
      <w:bookmarkEnd w:id="672"/>
    </w:p>
    <w:tbl>
      <w:tblPr>
        <w:tblStyle w:val="240"/>
        <w:tblW w:w="50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94"/>
        <w:gridCol w:w="3775"/>
        <w:gridCol w:w="5828"/>
        <w:gridCol w:w="1195"/>
        <w:gridCol w:w="1096"/>
        <w:gridCol w:w="1665"/>
      </w:tblGrid>
      <w:tr w14:paraId="6BAD2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0" w:type="pct"/>
            <w:tcMar>
              <w:top w:w="96" w:type="dxa"/>
              <w:left w:w="96" w:type="dxa"/>
              <w:bottom w:w="96" w:type="dxa"/>
              <w:right w:w="96" w:type="dxa"/>
            </w:tcMar>
            <w:vAlign w:val="center"/>
          </w:tcPr>
          <w:p w14:paraId="212B5DB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bCs/>
                <w:color w:val="auto"/>
                <w:sz w:val="21"/>
                <w:szCs w:val="21"/>
                <w:highlight w:val="none"/>
              </w:rPr>
            </w:pPr>
            <w:r>
              <w:rPr>
                <w:rFonts w:hint="default" w:ascii="Times New Roman" w:hAnsi="Times New Roman" w:eastAsia="楷体" w:cs="Times New Roman"/>
                <w:b/>
                <w:bCs/>
                <w:color w:val="auto"/>
                <w:spacing w:val="-6"/>
                <w:sz w:val="21"/>
                <w:szCs w:val="21"/>
                <w:highlight w:val="none"/>
              </w:rPr>
              <w:t>编号</w:t>
            </w:r>
          </w:p>
        </w:tc>
        <w:tc>
          <w:tcPr>
            <w:tcW w:w="1333" w:type="pct"/>
            <w:tcMar>
              <w:top w:w="96" w:type="dxa"/>
              <w:left w:w="96" w:type="dxa"/>
              <w:bottom w:w="96" w:type="dxa"/>
              <w:right w:w="96" w:type="dxa"/>
            </w:tcMar>
            <w:vAlign w:val="center"/>
          </w:tcPr>
          <w:p w14:paraId="75FFEAB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bCs/>
                <w:color w:val="auto"/>
                <w:sz w:val="21"/>
                <w:szCs w:val="21"/>
                <w:highlight w:val="none"/>
              </w:rPr>
            </w:pPr>
            <w:r>
              <w:rPr>
                <w:rFonts w:hint="default" w:ascii="Times New Roman" w:hAnsi="Times New Roman" w:eastAsia="楷体" w:cs="Times New Roman"/>
                <w:b/>
                <w:bCs/>
                <w:color w:val="auto"/>
                <w:spacing w:val="-5"/>
                <w:sz w:val="21"/>
                <w:szCs w:val="21"/>
                <w:highlight w:val="none"/>
              </w:rPr>
              <w:t>设备名称</w:t>
            </w:r>
          </w:p>
        </w:tc>
        <w:tc>
          <w:tcPr>
            <w:tcW w:w="2058" w:type="pct"/>
            <w:tcMar>
              <w:top w:w="96" w:type="dxa"/>
              <w:left w:w="96" w:type="dxa"/>
              <w:bottom w:w="96" w:type="dxa"/>
              <w:right w:w="96" w:type="dxa"/>
            </w:tcMar>
            <w:vAlign w:val="center"/>
          </w:tcPr>
          <w:p w14:paraId="572BA01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bCs/>
                <w:color w:val="auto"/>
                <w:sz w:val="21"/>
                <w:szCs w:val="21"/>
                <w:highlight w:val="none"/>
              </w:rPr>
            </w:pPr>
            <w:r>
              <w:rPr>
                <w:rFonts w:hint="default" w:ascii="Times New Roman" w:hAnsi="Times New Roman" w:eastAsia="楷体" w:cs="Times New Roman"/>
                <w:b/>
                <w:bCs/>
                <w:color w:val="auto"/>
                <w:spacing w:val="-6"/>
                <w:sz w:val="21"/>
                <w:szCs w:val="21"/>
                <w:highlight w:val="none"/>
              </w:rPr>
              <w:t>规格</w:t>
            </w:r>
          </w:p>
        </w:tc>
        <w:tc>
          <w:tcPr>
            <w:tcW w:w="422" w:type="pct"/>
            <w:tcMar>
              <w:top w:w="96" w:type="dxa"/>
              <w:left w:w="96" w:type="dxa"/>
              <w:bottom w:w="96" w:type="dxa"/>
              <w:right w:w="96" w:type="dxa"/>
            </w:tcMar>
            <w:vAlign w:val="center"/>
          </w:tcPr>
          <w:p w14:paraId="6A876DA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bCs/>
                <w:color w:val="auto"/>
                <w:sz w:val="21"/>
                <w:szCs w:val="21"/>
                <w:highlight w:val="none"/>
              </w:rPr>
            </w:pPr>
            <w:r>
              <w:rPr>
                <w:rFonts w:hint="default" w:ascii="Times New Roman" w:hAnsi="Times New Roman" w:eastAsia="楷体" w:cs="Times New Roman"/>
                <w:b/>
                <w:bCs/>
                <w:color w:val="auto"/>
                <w:spacing w:val="-6"/>
                <w:sz w:val="21"/>
                <w:szCs w:val="21"/>
                <w:highlight w:val="none"/>
              </w:rPr>
              <w:t>单位</w:t>
            </w:r>
          </w:p>
        </w:tc>
        <w:tc>
          <w:tcPr>
            <w:tcW w:w="387" w:type="pct"/>
            <w:tcMar>
              <w:top w:w="96" w:type="dxa"/>
              <w:left w:w="96" w:type="dxa"/>
              <w:bottom w:w="96" w:type="dxa"/>
              <w:right w:w="96" w:type="dxa"/>
            </w:tcMar>
            <w:vAlign w:val="center"/>
          </w:tcPr>
          <w:p w14:paraId="5BD8E1D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bCs/>
                <w:color w:val="auto"/>
                <w:sz w:val="21"/>
                <w:szCs w:val="21"/>
                <w:highlight w:val="none"/>
              </w:rPr>
            </w:pPr>
            <w:r>
              <w:rPr>
                <w:rFonts w:hint="default" w:ascii="Times New Roman" w:hAnsi="Times New Roman" w:eastAsia="楷体" w:cs="Times New Roman"/>
                <w:b/>
                <w:bCs/>
                <w:color w:val="auto"/>
                <w:spacing w:val="-6"/>
                <w:sz w:val="21"/>
                <w:szCs w:val="21"/>
                <w:highlight w:val="none"/>
              </w:rPr>
              <w:t>数量</w:t>
            </w:r>
          </w:p>
        </w:tc>
        <w:tc>
          <w:tcPr>
            <w:tcW w:w="588" w:type="pct"/>
            <w:tcMar>
              <w:top w:w="96" w:type="dxa"/>
              <w:left w:w="96" w:type="dxa"/>
              <w:bottom w:w="96" w:type="dxa"/>
              <w:right w:w="96" w:type="dxa"/>
            </w:tcMar>
            <w:vAlign w:val="center"/>
          </w:tcPr>
          <w:p w14:paraId="67E2BCD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bCs/>
                <w:color w:val="auto"/>
                <w:sz w:val="21"/>
                <w:szCs w:val="21"/>
                <w:highlight w:val="none"/>
              </w:rPr>
            </w:pPr>
            <w:r>
              <w:rPr>
                <w:rFonts w:hint="default" w:ascii="Times New Roman" w:hAnsi="Times New Roman" w:eastAsia="楷体" w:cs="Times New Roman"/>
                <w:b/>
                <w:bCs/>
                <w:color w:val="auto"/>
                <w:spacing w:val="-7"/>
                <w:sz w:val="21"/>
                <w:szCs w:val="21"/>
                <w:highlight w:val="none"/>
              </w:rPr>
              <w:t>备注</w:t>
            </w:r>
          </w:p>
        </w:tc>
      </w:tr>
      <w:tr w14:paraId="38103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0" w:type="pct"/>
            <w:tcMar>
              <w:top w:w="96" w:type="dxa"/>
              <w:left w:w="96" w:type="dxa"/>
              <w:bottom w:w="96" w:type="dxa"/>
              <w:right w:w="96" w:type="dxa"/>
            </w:tcMar>
            <w:vAlign w:val="center"/>
          </w:tcPr>
          <w:p w14:paraId="0634B103">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position w:val="4"/>
                <w:sz w:val="21"/>
                <w:szCs w:val="21"/>
                <w:highlight w:val="none"/>
              </w:rPr>
              <w:t>1</w:t>
            </w:r>
          </w:p>
        </w:tc>
        <w:tc>
          <w:tcPr>
            <w:tcW w:w="1333" w:type="pct"/>
            <w:tcMar>
              <w:top w:w="96" w:type="dxa"/>
              <w:left w:w="96" w:type="dxa"/>
              <w:bottom w:w="96" w:type="dxa"/>
              <w:right w:w="96" w:type="dxa"/>
            </w:tcMar>
            <w:vAlign w:val="center"/>
          </w:tcPr>
          <w:p w14:paraId="35E05B51">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T35-11轴流风机No5.6</w:t>
            </w:r>
          </w:p>
        </w:tc>
        <w:tc>
          <w:tcPr>
            <w:tcW w:w="2058" w:type="pct"/>
            <w:tcMar>
              <w:top w:w="96" w:type="dxa"/>
              <w:left w:w="96" w:type="dxa"/>
              <w:bottom w:w="96" w:type="dxa"/>
              <w:right w:w="96" w:type="dxa"/>
            </w:tcMar>
            <w:vAlign w:val="center"/>
          </w:tcPr>
          <w:p w14:paraId="3C5C3812">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9"/>
                <w:sz w:val="21"/>
                <w:szCs w:val="21"/>
                <w:highlight w:val="none"/>
              </w:rPr>
              <w:t>G=8667m</w:t>
            </w:r>
            <w:r>
              <w:rPr>
                <w:rFonts w:hint="default" w:ascii="Times New Roman" w:hAnsi="Times New Roman" w:eastAsia="楷体" w:cs="Times New Roman"/>
                <w:b w:val="0"/>
                <w:bCs w:val="0"/>
                <w:color w:val="auto"/>
                <w:spacing w:val="12"/>
                <w:position w:val="6"/>
                <w:sz w:val="21"/>
                <w:szCs w:val="21"/>
                <w:highlight w:val="none"/>
              </w:rPr>
              <w:t>3</w:t>
            </w:r>
            <w:r>
              <w:rPr>
                <w:rFonts w:hint="default" w:ascii="Times New Roman" w:hAnsi="Times New Roman" w:eastAsia="楷体" w:cs="Times New Roman"/>
                <w:b w:val="0"/>
                <w:bCs w:val="0"/>
                <w:color w:val="auto"/>
                <w:spacing w:val="-7"/>
                <w:sz w:val="21"/>
                <w:szCs w:val="21"/>
                <w:highlight w:val="none"/>
              </w:rPr>
              <w:t>/h;P=0.55kW;H=169Pa</w:t>
            </w:r>
          </w:p>
        </w:tc>
        <w:tc>
          <w:tcPr>
            <w:tcW w:w="422" w:type="pct"/>
            <w:tcMar>
              <w:top w:w="96" w:type="dxa"/>
              <w:left w:w="96" w:type="dxa"/>
              <w:bottom w:w="96" w:type="dxa"/>
              <w:right w:w="96" w:type="dxa"/>
            </w:tcMar>
            <w:vAlign w:val="center"/>
          </w:tcPr>
          <w:p w14:paraId="07B2C54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台</w:t>
            </w:r>
          </w:p>
        </w:tc>
        <w:tc>
          <w:tcPr>
            <w:tcW w:w="387" w:type="pct"/>
            <w:tcMar>
              <w:top w:w="96" w:type="dxa"/>
              <w:left w:w="96" w:type="dxa"/>
              <w:bottom w:w="96" w:type="dxa"/>
              <w:right w:w="96" w:type="dxa"/>
            </w:tcMar>
            <w:vAlign w:val="center"/>
          </w:tcPr>
          <w:p w14:paraId="2C2F56A8">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1"/>
                <w:position w:val="4"/>
                <w:sz w:val="21"/>
                <w:szCs w:val="21"/>
                <w:highlight w:val="none"/>
              </w:rPr>
              <w:t>20</w:t>
            </w:r>
          </w:p>
        </w:tc>
        <w:tc>
          <w:tcPr>
            <w:tcW w:w="588" w:type="pct"/>
            <w:tcMar>
              <w:top w:w="96" w:type="dxa"/>
              <w:left w:w="96" w:type="dxa"/>
              <w:bottom w:w="96" w:type="dxa"/>
              <w:right w:w="96" w:type="dxa"/>
            </w:tcMar>
            <w:vAlign w:val="center"/>
          </w:tcPr>
          <w:p w14:paraId="2D4441D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p>
        </w:tc>
      </w:tr>
      <w:tr w14:paraId="0D6EF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0" w:type="pct"/>
            <w:tcMar>
              <w:top w:w="96" w:type="dxa"/>
              <w:left w:w="96" w:type="dxa"/>
              <w:bottom w:w="96" w:type="dxa"/>
              <w:right w:w="96" w:type="dxa"/>
            </w:tcMar>
            <w:vAlign w:val="center"/>
          </w:tcPr>
          <w:p w14:paraId="0714B6E6">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position w:val="4"/>
                <w:sz w:val="21"/>
                <w:szCs w:val="21"/>
                <w:highlight w:val="none"/>
              </w:rPr>
              <w:t>2</w:t>
            </w:r>
          </w:p>
        </w:tc>
        <w:tc>
          <w:tcPr>
            <w:tcW w:w="1333" w:type="pct"/>
            <w:tcMar>
              <w:top w:w="96" w:type="dxa"/>
              <w:left w:w="96" w:type="dxa"/>
              <w:bottom w:w="96" w:type="dxa"/>
              <w:right w:w="96" w:type="dxa"/>
            </w:tcMar>
            <w:vAlign w:val="center"/>
          </w:tcPr>
          <w:p w14:paraId="2EE7BEB3">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T35-11轴流风机No7.1</w:t>
            </w:r>
          </w:p>
        </w:tc>
        <w:tc>
          <w:tcPr>
            <w:tcW w:w="2058" w:type="pct"/>
            <w:tcMar>
              <w:top w:w="96" w:type="dxa"/>
              <w:left w:w="96" w:type="dxa"/>
              <w:bottom w:w="96" w:type="dxa"/>
              <w:right w:w="96" w:type="dxa"/>
            </w:tcMar>
            <w:vAlign w:val="center"/>
          </w:tcPr>
          <w:p w14:paraId="14A0A4E8">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G=23815m</w:t>
            </w:r>
            <w:r>
              <w:rPr>
                <w:rFonts w:hint="default" w:ascii="Times New Roman" w:hAnsi="Times New Roman" w:eastAsia="楷体" w:cs="Times New Roman"/>
                <w:b w:val="0"/>
                <w:bCs w:val="0"/>
                <w:color w:val="auto"/>
                <w:spacing w:val="-4"/>
                <w:position w:val="6"/>
                <w:sz w:val="21"/>
                <w:szCs w:val="21"/>
                <w:highlight w:val="none"/>
              </w:rPr>
              <w:t>3</w:t>
            </w:r>
            <w:r>
              <w:rPr>
                <w:rFonts w:hint="default" w:ascii="Times New Roman" w:hAnsi="Times New Roman" w:eastAsia="楷体" w:cs="Times New Roman"/>
                <w:b w:val="0"/>
                <w:bCs w:val="0"/>
                <w:color w:val="auto"/>
                <w:spacing w:val="-4"/>
                <w:sz w:val="21"/>
                <w:szCs w:val="21"/>
                <w:highlight w:val="none"/>
              </w:rPr>
              <w:t>/h;P=3kW;</w:t>
            </w:r>
            <w:r>
              <w:rPr>
                <w:rFonts w:hint="default" w:ascii="Times New Roman" w:hAnsi="Times New Roman" w:eastAsia="楷体" w:cs="Times New Roman"/>
                <w:b w:val="0"/>
                <w:bCs w:val="0"/>
                <w:color w:val="auto"/>
                <w:spacing w:val="-9"/>
                <w:sz w:val="21"/>
                <w:szCs w:val="21"/>
                <w:highlight w:val="none"/>
              </w:rPr>
              <w:t>H=300Pa</w:t>
            </w:r>
          </w:p>
        </w:tc>
        <w:tc>
          <w:tcPr>
            <w:tcW w:w="422" w:type="pct"/>
            <w:tcMar>
              <w:top w:w="96" w:type="dxa"/>
              <w:left w:w="96" w:type="dxa"/>
              <w:bottom w:w="96" w:type="dxa"/>
              <w:right w:w="96" w:type="dxa"/>
            </w:tcMar>
            <w:vAlign w:val="center"/>
          </w:tcPr>
          <w:p w14:paraId="6A1EA1E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台</w:t>
            </w:r>
          </w:p>
        </w:tc>
        <w:tc>
          <w:tcPr>
            <w:tcW w:w="387" w:type="pct"/>
            <w:tcMar>
              <w:top w:w="96" w:type="dxa"/>
              <w:left w:w="96" w:type="dxa"/>
              <w:bottom w:w="96" w:type="dxa"/>
              <w:right w:w="96" w:type="dxa"/>
            </w:tcMar>
            <w:vAlign w:val="center"/>
          </w:tcPr>
          <w:p w14:paraId="3CAE328C">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z w:val="21"/>
                <w:szCs w:val="21"/>
                <w:highlight w:val="none"/>
              </w:rPr>
              <w:t>5</w:t>
            </w:r>
          </w:p>
        </w:tc>
        <w:tc>
          <w:tcPr>
            <w:tcW w:w="588" w:type="pct"/>
            <w:tcMar>
              <w:top w:w="96" w:type="dxa"/>
              <w:left w:w="96" w:type="dxa"/>
              <w:bottom w:w="96" w:type="dxa"/>
              <w:right w:w="96" w:type="dxa"/>
            </w:tcMar>
            <w:vAlign w:val="center"/>
          </w:tcPr>
          <w:p w14:paraId="7AF39FF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p>
        </w:tc>
      </w:tr>
      <w:tr w14:paraId="4F116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0" w:type="pct"/>
            <w:tcMar>
              <w:top w:w="96" w:type="dxa"/>
              <w:left w:w="96" w:type="dxa"/>
              <w:bottom w:w="96" w:type="dxa"/>
              <w:right w:w="96" w:type="dxa"/>
            </w:tcMar>
            <w:vAlign w:val="center"/>
          </w:tcPr>
          <w:p w14:paraId="0E060EE5">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1"/>
                <w:sz w:val="21"/>
                <w:szCs w:val="21"/>
                <w:highlight w:val="none"/>
              </w:rPr>
              <w:t>3</w:t>
            </w:r>
          </w:p>
        </w:tc>
        <w:tc>
          <w:tcPr>
            <w:tcW w:w="1333" w:type="pct"/>
            <w:tcMar>
              <w:top w:w="96" w:type="dxa"/>
              <w:left w:w="96" w:type="dxa"/>
              <w:bottom w:w="96" w:type="dxa"/>
              <w:right w:w="96" w:type="dxa"/>
            </w:tcMar>
            <w:vAlign w:val="center"/>
          </w:tcPr>
          <w:p w14:paraId="5DE50BD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分体柜式空调</w:t>
            </w:r>
          </w:p>
        </w:tc>
        <w:tc>
          <w:tcPr>
            <w:tcW w:w="2058" w:type="pct"/>
            <w:tcMar>
              <w:top w:w="96" w:type="dxa"/>
              <w:left w:w="96" w:type="dxa"/>
              <w:bottom w:w="96" w:type="dxa"/>
              <w:right w:w="96" w:type="dxa"/>
            </w:tcMar>
            <w:vAlign w:val="center"/>
          </w:tcPr>
          <w:p w14:paraId="4E6259CE">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8"/>
                <w:sz w:val="21"/>
                <w:szCs w:val="21"/>
                <w:highlight w:val="none"/>
              </w:rPr>
              <w:t>Q=10kW，N=2.9kW</w:t>
            </w:r>
          </w:p>
        </w:tc>
        <w:tc>
          <w:tcPr>
            <w:tcW w:w="422" w:type="pct"/>
            <w:tcMar>
              <w:top w:w="96" w:type="dxa"/>
              <w:left w:w="96" w:type="dxa"/>
              <w:bottom w:w="96" w:type="dxa"/>
              <w:right w:w="96" w:type="dxa"/>
            </w:tcMar>
            <w:vAlign w:val="center"/>
          </w:tcPr>
          <w:p w14:paraId="566B80D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台</w:t>
            </w:r>
          </w:p>
        </w:tc>
        <w:tc>
          <w:tcPr>
            <w:tcW w:w="387" w:type="pct"/>
            <w:tcMar>
              <w:top w:w="96" w:type="dxa"/>
              <w:left w:w="96" w:type="dxa"/>
              <w:bottom w:w="96" w:type="dxa"/>
              <w:right w:w="96" w:type="dxa"/>
            </w:tcMar>
            <w:vAlign w:val="center"/>
          </w:tcPr>
          <w:p w14:paraId="52F4DD2A">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z w:val="21"/>
                <w:szCs w:val="21"/>
                <w:highlight w:val="none"/>
              </w:rPr>
              <w:t>5</w:t>
            </w:r>
          </w:p>
        </w:tc>
        <w:tc>
          <w:tcPr>
            <w:tcW w:w="588" w:type="pct"/>
            <w:tcMar>
              <w:top w:w="96" w:type="dxa"/>
              <w:left w:w="96" w:type="dxa"/>
              <w:bottom w:w="96" w:type="dxa"/>
              <w:right w:w="96" w:type="dxa"/>
            </w:tcMar>
            <w:vAlign w:val="center"/>
          </w:tcPr>
          <w:p w14:paraId="4266DF8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p>
        </w:tc>
      </w:tr>
      <w:tr w14:paraId="3E8C3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0" w:type="pct"/>
            <w:tcMar>
              <w:top w:w="96" w:type="dxa"/>
              <w:left w:w="96" w:type="dxa"/>
              <w:bottom w:w="96" w:type="dxa"/>
              <w:right w:w="96" w:type="dxa"/>
            </w:tcMar>
            <w:vAlign w:val="center"/>
          </w:tcPr>
          <w:p w14:paraId="2CC03992">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z w:val="21"/>
                <w:szCs w:val="21"/>
                <w:highlight w:val="none"/>
              </w:rPr>
              <w:t>4</w:t>
            </w:r>
          </w:p>
        </w:tc>
        <w:tc>
          <w:tcPr>
            <w:tcW w:w="1333" w:type="pct"/>
            <w:tcMar>
              <w:top w:w="96" w:type="dxa"/>
              <w:left w:w="96" w:type="dxa"/>
              <w:bottom w:w="96" w:type="dxa"/>
              <w:right w:w="96" w:type="dxa"/>
            </w:tcMar>
            <w:vAlign w:val="center"/>
          </w:tcPr>
          <w:p w14:paraId="6DC0C7C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风机盘管</w:t>
            </w:r>
          </w:p>
        </w:tc>
        <w:tc>
          <w:tcPr>
            <w:tcW w:w="2058" w:type="pct"/>
            <w:tcMar>
              <w:top w:w="96" w:type="dxa"/>
              <w:left w:w="96" w:type="dxa"/>
              <w:bottom w:w="96" w:type="dxa"/>
              <w:right w:w="96" w:type="dxa"/>
            </w:tcMar>
            <w:vAlign w:val="center"/>
          </w:tcPr>
          <w:p w14:paraId="24B3557D">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11"/>
                <w:sz w:val="21"/>
                <w:szCs w:val="21"/>
                <w:highlight w:val="none"/>
              </w:rPr>
              <w:t>Qr=3.5kW，510m3/h，30pa，0.10kW</w:t>
            </w:r>
          </w:p>
        </w:tc>
        <w:tc>
          <w:tcPr>
            <w:tcW w:w="422" w:type="pct"/>
            <w:tcMar>
              <w:top w:w="96" w:type="dxa"/>
              <w:left w:w="96" w:type="dxa"/>
              <w:bottom w:w="96" w:type="dxa"/>
              <w:right w:w="96" w:type="dxa"/>
            </w:tcMar>
            <w:vAlign w:val="center"/>
          </w:tcPr>
          <w:p w14:paraId="14515ED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台</w:t>
            </w:r>
          </w:p>
        </w:tc>
        <w:tc>
          <w:tcPr>
            <w:tcW w:w="387" w:type="pct"/>
            <w:tcMar>
              <w:top w:w="96" w:type="dxa"/>
              <w:left w:w="96" w:type="dxa"/>
              <w:bottom w:w="96" w:type="dxa"/>
              <w:right w:w="96" w:type="dxa"/>
            </w:tcMar>
            <w:vAlign w:val="center"/>
          </w:tcPr>
          <w:p w14:paraId="3061BD2B">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z w:val="21"/>
                <w:szCs w:val="21"/>
                <w:highlight w:val="none"/>
              </w:rPr>
              <w:t>30</w:t>
            </w:r>
          </w:p>
        </w:tc>
        <w:tc>
          <w:tcPr>
            <w:tcW w:w="588" w:type="pct"/>
            <w:tcMar>
              <w:top w:w="96" w:type="dxa"/>
              <w:left w:w="96" w:type="dxa"/>
              <w:bottom w:w="96" w:type="dxa"/>
              <w:right w:w="96" w:type="dxa"/>
            </w:tcMar>
            <w:vAlign w:val="center"/>
          </w:tcPr>
          <w:p w14:paraId="020FB4B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p>
        </w:tc>
      </w:tr>
      <w:tr w14:paraId="3A15A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0" w:type="pct"/>
            <w:tcMar>
              <w:top w:w="96" w:type="dxa"/>
              <w:left w:w="96" w:type="dxa"/>
              <w:bottom w:w="96" w:type="dxa"/>
              <w:right w:w="96" w:type="dxa"/>
            </w:tcMar>
            <w:vAlign w:val="center"/>
          </w:tcPr>
          <w:p w14:paraId="39D6753A">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z w:val="21"/>
                <w:szCs w:val="21"/>
                <w:highlight w:val="none"/>
              </w:rPr>
              <w:t>5</w:t>
            </w:r>
          </w:p>
        </w:tc>
        <w:tc>
          <w:tcPr>
            <w:tcW w:w="1333" w:type="pct"/>
            <w:tcMar>
              <w:top w:w="96" w:type="dxa"/>
              <w:left w:w="96" w:type="dxa"/>
              <w:bottom w:w="96" w:type="dxa"/>
              <w:right w:w="96" w:type="dxa"/>
            </w:tcMar>
            <w:vAlign w:val="center"/>
          </w:tcPr>
          <w:p w14:paraId="54C1632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水源热泵机组</w:t>
            </w:r>
          </w:p>
        </w:tc>
        <w:tc>
          <w:tcPr>
            <w:tcW w:w="2058" w:type="pct"/>
            <w:tcMar>
              <w:top w:w="96" w:type="dxa"/>
              <w:left w:w="96" w:type="dxa"/>
              <w:bottom w:w="96" w:type="dxa"/>
              <w:right w:w="96" w:type="dxa"/>
            </w:tcMar>
            <w:vAlign w:val="center"/>
          </w:tcPr>
          <w:p w14:paraId="524C3E2D">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6"/>
                <w:sz w:val="21"/>
                <w:szCs w:val="21"/>
                <w:highlight w:val="none"/>
              </w:rPr>
              <w:t>内切换型</w:t>
            </w:r>
            <w:r>
              <w:rPr>
                <w:rFonts w:hint="default" w:ascii="Times New Roman" w:hAnsi="Times New Roman" w:eastAsia="楷体" w:cs="Times New Roman"/>
                <w:b w:val="0"/>
                <w:bCs w:val="0"/>
                <w:color w:val="auto"/>
                <w:spacing w:val="-45"/>
                <w:sz w:val="21"/>
                <w:szCs w:val="21"/>
                <w:highlight w:val="none"/>
              </w:rPr>
              <w:t xml:space="preserve"> </w:t>
            </w:r>
            <w:r>
              <w:rPr>
                <w:rFonts w:hint="default" w:ascii="Times New Roman" w:hAnsi="Times New Roman" w:eastAsia="楷体" w:cs="Times New Roman"/>
                <w:b w:val="0"/>
                <w:bCs w:val="0"/>
                <w:color w:val="auto"/>
                <w:spacing w:val="-6"/>
                <w:sz w:val="21"/>
                <w:szCs w:val="21"/>
                <w:highlight w:val="none"/>
              </w:rPr>
              <w:t>环保134a冷媒</w:t>
            </w:r>
          </w:p>
          <w:p w14:paraId="70712BD7">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制冷量：466</w:t>
            </w:r>
            <w:r>
              <w:rPr>
                <w:rFonts w:hint="default" w:ascii="Times New Roman" w:hAnsi="Times New Roman" w:eastAsia="楷体" w:cs="Times New Roman"/>
                <w:b w:val="0"/>
                <w:bCs w:val="0"/>
                <w:color w:val="auto"/>
                <w:spacing w:val="-11"/>
                <w:sz w:val="21"/>
                <w:szCs w:val="21"/>
                <w:highlight w:val="none"/>
              </w:rPr>
              <w:t>kW</w:t>
            </w:r>
            <w:r>
              <w:rPr>
                <w:rFonts w:hint="default" w:ascii="Times New Roman" w:hAnsi="Times New Roman" w:eastAsia="楷体" w:cs="Times New Roman"/>
                <w:b w:val="0"/>
                <w:bCs w:val="0"/>
                <w:color w:val="auto"/>
                <w:spacing w:val="-4"/>
                <w:sz w:val="21"/>
                <w:szCs w:val="21"/>
                <w:highlight w:val="none"/>
              </w:rPr>
              <w:t>，制冷功率：129</w:t>
            </w:r>
            <w:r>
              <w:rPr>
                <w:rFonts w:hint="default" w:ascii="Times New Roman" w:hAnsi="Times New Roman" w:eastAsia="楷体" w:cs="Times New Roman"/>
                <w:b w:val="0"/>
                <w:bCs w:val="0"/>
                <w:color w:val="auto"/>
                <w:spacing w:val="-11"/>
                <w:sz w:val="21"/>
                <w:szCs w:val="21"/>
                <w:highlight w:val="none"/>
              </w:rPr>
              <w:t>kW</w:t>
            </w:r>
          </w:p>
          <w:p w14:paraId="6E6D3285">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1"/>
                <w:sz w:val="21"/>
                <w:szCs w:val="21"/>
                <w:highlight w:val="none"/>
              </w:rPr>
              <w:t>制热量：540</w:t>
            </w:r>
            <w:r>
              <w:rPr>
                <w:rFonts w:hint="default" w:ascii="Times New Roman" w:hAnsi="Times New Roman" w:eastAsia="楷体" w:cs="Times New Roman"/>
                <w:b w:val="0"/>
                <w:bCs w:val="0"/>
                <w:color w:val="auto"/>
                <w:spacing w:val="-11"/>
                <w:sz w:val="21"/>
                <w:szCs w:val="21"/>
                <w:highlight w:val="none"/>
              </w:rPr>
              <w:t>kW</w:t>
            </w:r>
            <w:r>
              <w:rPr>
                <w:rFonts w:hint="default" w:ascii="Times New Roman" w:hAnsi="Times New Roman" w:eastAsia="楷体" w:cs="Times New Roman"/>
                <w:b w:val="0"/>
                <w:bCs w:val="0"/>
                <w:color w:val="auto"/>
                <w:spacing w:val="-1"/>
                <w:sz w:val="21"/>
                <w:szCs w:val="21"/>
                <w:highlight w:val="none"/>
              </w:rPr>
              <w:t>，制热功率：155</w:t>
            </w:r>
            <w:r>
              <w:rPr>
                <w:rFonts w:hint="default" w:ascii="Times New Roman" w:hAnsi="Times New Roman" w:eastAsia="楷体" w:cs="Times New Roman"/>
                <w:b w:val="0"/>
                <w:bCs w:val="0"/>
                <w:color w:val="auto"/>
                <w:spacing w:val="-11"/>
                <w:sz w:val="21"/>
                <w:szCs w:val="21"/>
                <w:highlight w:val="none"/>
              </w:rPr>
              <w:t>kW</w:t>
            </w:r>
          </w:p>
        </w:tc>
        <w:tc>
          <w:tcPr>
            <w:tcW w:w="422" w:type="pct"/>
            <w:tcMar>
              <w:top w:w="96" w:type="dxa"/>
              <w:left w:w="96" w:type="dxa"/>
              <w:bottom w:w="96" w:type="dxa"/>
              <w:right w:w="96" w:type="dxa"/>
            </w:tcMar>
            <w:vAlign w:val="center"/>
          </w:tcPr>
          <w:p w14:paraId="11BC34F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台</w:t>
            </w:r>
          </w:p>
        </w:tc>
        <w:tc>
          <w:tcPr>
            <w:tcW w:w="387" w:type="pct"/>
            <w:tcMar>
              <w:top w:w="96" w:type="dxa"/>
              <w:left w:w="96" w:type="dxa"/>
              <w:bottom w:w="96" w:type="dxa"/>
              <w:right w:w="96" w:type="dxa"/>
            </w:tcMar>
            <w:vAlign w:val="center"/>
          </w:tcPr>
          <w:p w14:paraId="3D3706F6">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position w:val="4"/>
                <w:sz w:val="21"/>
                <w:szCs w:val="21"/>
                <w:highlight w:val="none"/>
              </w:rPr>
              <w:t>1</w:t>
            </w:r>
          </w:p>
        </w:tc>
        <w:tc>
          <w:tcPr>
            <w:tcW w:w="588" w:type="pct"/>
            <w:tcMar>
              <w:top w:w="96" w:type="dxa"/>
              <w:left w:w="96" w:type="dxa"/>
              <w:bottom w:w="96" w:type="dxa"/>
              <w:right w:w="96" w:type="dxa"/>
            </w:tcMar>
            <w:vAlign w:val="center"/>
          </w:tcPr>
          <w:p w14:paraId="09EF68C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p>
        </w:tc>
      </w:tr>
      <w:tr w14:paraId="5C5C9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0" w:type="pct"/>
            <w:tcMar>
              <w:top w:w="96" w:type="dxa"/>
              <w:left w:w="96" w:type="dxa"/>
              <w:bottom w:w="96" w:type="dxa"/>
              <w:right w:w="96" w:type="dxa"/>
            </w:tcMar>
            <w:vAlign w:val="center"/>
          </w:tcPr>
          <w:p w14:paraId="7DC4806B">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position w:val="2"/>
                <w:sz w:val="21"/>
                <w:szCs w:val="21"/>
                <w:highlight w:val="none"/>
              </w:rPr>
              <w:t>6</w:t>
            </w:r>
          </w:p>
        </w:tc>
        <w:tc>
          <w:tcPr>
            <w:tcW w:w="1333" w:type="pct"/>
            <w:tcMar>
              <w:top w:w="96" w:type="dxa"/>
              <w:left w:w="96" w:type="dxa"/>
              <w:bottom w:w="96" w:type="dxa"/>
              <w:right w:w="96" w:type="dxa"/>
            </w:tcMar>
            <w:vAlign w:val="center"/>
          </w:tcPr>
          <w:p w14:paraId="7B2CB3E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7"/>
                <w:sz w:val="21"/>
                <w:szCs w:val="21"/>
                <w:highlight w:val="none"/>
              </w:rPr>
              <w:t>自清洁耐压畅通型换</w:t>
            </w:r>
            <w:r>
              <w:rPr>
                <w:rFonts w:hint="default" w:ascii="Times New Roman" w:hAnsi="Times New Roman" w:eastAsia="楷体" w:cs="Times New Roman"/>
                <w:b w:val="0"/>
                <w:bCs w:val="0"/>
                <w:color w:val="auto"/>
                <w:spacing w:val="-6"/>
                <w:sz w:val="21"/>
                <w:szCs w:val="21"/>
                <w:highlight w:val="none"/>
              </w:rPr>
              <w:t>热装置</w:t>
            </w:r>
          </w:p>
        </w:tc>
        <w:tc>
          <w:tcPr>
            <w:tcW w:w="2058" w:type="pct"/>
            <w:tcMar>
              <w:top w:w="96" w:type="dxa"/>
              <w:left w:w="96" w:type="dxa"/>
              <w:bottom w:w="96" w:type="dxa"/>
              <w:right w:w="96" w:type="dxa"/>
            </w:tcMar>
            <w:vAlign w:val="center"/>
          </w:tcPr>
          <w:p w14:paraId="01E948DA">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7"/>
                <w:sz w:val="21"/>
                <w:szCs w:val="21"/>
                <w:highlight w:val="none"/>
              </w:rPr>
              <w:t>单台换热量540kw 换热面积180m2</w:t>
            </w:r>
            <w:r>
              <w:rPr>
                <w:rFonts w:hint="default" w:ascii="Times New Roman" w:hAnsi="Times New Roman" w:eastAsia="楷体" w:cs="Times New Roman"/>
                <w:b w:val="0"/>
                <w:bCs w:val="0"/>
                <w:color w:val="auto"/>
                <w:spacing w:val="-6"/>
                <w:sz w:val="21"/>
                <w:szCs w:val="21"/>
                <w:highlight w:val="none"/>
              </w:rPr>
              <w:t>专用污水型B级防腐过污直径30mm，</w:t>
            </w:r>
            <w:r>
              <w:rPr>
                <w:rFonts w:hint="default" w:ascii="Times New Roman" w:hAnsi="Times New Roman" w:eastAsia="楷体" w:cs="Times New Roman"/>
                <w:b w:val="0"/>
                <w:bCs w:val="0"/>
                <w:color w:val="auto"/>
                <w:spacing w:val="-4"/>
                <w:sz w:val="21"/>
                <w:szCs w:val="21"/>
                <w:highlight w:val="none"/>
              </w:rPr>
              <w:t>自清洁型不锈钢材质</w:t>
            </w:r>
          </w:p>
        </w:tc>
        <w:tc>
          <w:tcPr>
            <w:tcW w:w="422" w:type="pct"/>
            <w:tcMar>
              <w:top w:w="96" w:type="dxa"/>
              <w:left w:w="96" w:type="dxa"/>
              <w:bottom w:w="96" w:type="dxa"/>
              <w:right w:w="96" w:type="dxa"/>
            </w:tcMar>
            <w:vAlign w:val="center"/>
          </w:tcPr>
          <w:p w14:paraId="54EDC81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台</w:t>
            </w:r>
          </w:p>
        </w:tc>
        <w:tc>
          <w:tcPr>
            <w:tcW w:w="387" w:type="pct"/>
            <w:tcMar>
              <w:top w:w="96" w:type="dxa"/>
              <w:left w:w="96" w:type="dxa"/>
              <w:bottom w:w="96" w:type="dxa"/>
              <w:right w:w="96" w:type="dxa"/>
            </w:tcMar>
            <w:vAlign w:val="center"/>
          </w:tcPr>
          <w:p w14:paraId="163B9128">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position w:val="4"/>
                <w:sz w:val="21"/>
                <w:szCs w:val="21"/>
                <w:highlight w:val="none"/>
              </w:rPr>
              <w:t>1</w:t>
            </w:r>
          </w:p>
        </w:tc>
        <w:tc>
          <w:tcPr>
            <w:tcW w:w="588" w:type="pct"/>
            <w:tcMar>
              <w:top w:w="96" w:type="dxa"/>
              <w:left w:w="96" w:type="dxa"/>
              <w:bottom w:w="96" w:type="dxa"/>
              <w:right w:w="96" w:type="dxa"/>
            </w:tcMar>
            <w:vAlign w:val="center"/>
          </w:tcPr>
          <w:p w14:paraId="570D41D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p>
        </w:tc>
      </w:tr>
      <w:tr w14:paraId="2471A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0" w:type="pct"/>
            <w:tcMar>
              <w:top w:w="96" w:type="dxa"/>
              <w:left w:w="96" w:type="dxa"/>
              <w:bottom w:w="96" w:type="dxa"/>
              <w:right w:w="96" w:type="dxa"/>
            </w:tcMar>
            <w:vAlign w:val="center"/>
          </w:tcPr>
          <w:p w14:paraId="3C9AA189">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z w:val="21"/>
                <w:szCs w:val="21"/>
                <w:highlight w:val="none"/>
              </w:rPr>
              <w:t>7</w:t>
            </w:r>
          </w:p>
        </w:tc>
        <w:tc>
          <w:tcPr>
            <w:tcW w:w="1333" w:type="pct"/>
            <w:tcMar>
              <w:top w:w="96" w:type="dxa"/>
              <w:left w:w="96" w:type="dxa"/>
              <w:bottom w:w="96" w:type="dxa"/>
              <w:right w:w="96" w:type="dxa"/>
            </w:tcMar>
            <w:vAlign w:val="center"/>
          </w:tcPr>
          <w:p w14:paraId="361FD59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7"/>
                <w:sz w:val="21"/>
                <w:szCs w:val="21"/>
                <w:highlight w:val="none"/>
              </w:rPr>
              <w:t>中介水循环泵</w:t>
            </w:r>
          </w:p>
        </w:tc>
        <w:tc>
          <w:tcPr>
            <w:tcW w:w="2058" w:type="pct"/>
            <w:tcMar>
              <w:top w:w="96" w:type="dxa"/>
              <w:left w:w="96" w:type="dxa"/>
              <w:bottom w:w="96" w:type="dxa"/>
              <w:right w:w="96" w:type="dxa"/>
            </w:tcMar>
            <w:vAlign w:val="center"/>
          </w:tcPr>
          <w:p w14:paraId="6B90120F">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6"/>
                <w:position w:val="2"/>
                <w:sz w:val="21"/>
                <w:szCs w:val="21"/>
                <w:highlight w:val="none"/>
              </w:rPr>
              <w:t>G=100m</w:t>
            </w:r>
            <w:r>
              <w:rPr>
                <w:rFonts w:hint="default" w:ascii="Times New Roman" w:hAnsi="Times New Roman" w:eastAsia="楷体" w:cs="Times New Roman"/>
                <w:b w:val="0"/>
                <w:bCs w:val="0"/>
                <w:color w:val="auto"/>
                <w:spacing w:val="-6"/>
                <w:position w:val="8"/>
                <w:sz w:val="21"/>
                <w:szCs w:val="21"/>
                <w:highlight w:val="none"/>
              </w:rPr>
              <w:t>3</w:t>
            </w:r>
            <w:r>
              <w:rPr>
                <w:rFonts w:hint="default" w:ascii="Times New Roman" w:hAnsi="Times New Roman" w:eastAsia="楷体" w:cs="Times New Roman"/>
                <w:b w:val="0"/>
                <w:bCs w:val="0"/>
                <w:color w:val="auto"/>
                <w:spacing w:val="-10"/>
                <w:position w:val="2"/>
                <w:sz w:val="21"/>
                <w:szCs w:val="21"/>
                <w:highlight w:val="none"/>
              </w:rPr>
              <w:t>/h</w:t>
            </w:r>
            <w:r>
              <w:rPr>
                <w:rFonts w:hint="default" w:ascii="Times New Roman" w:hAnsi="Times New Roman" w:eastAsia="楷体" w:cs="Times New Roman"/>
                <w:b w:val="0"/>
                <w:bCs w:val="0"/>
                <w:color w:val="auto"/>
                <w:spacing w:val="-10"/>
                <w:position w:val="1"/>
                <w:sz w:val="21"/>
                <w:szCs w:val="21"/>
                <w:highlight w:val="none"/>
              </w:rPr>
              <w:t>，</w:t>
            </w:r>
            <w:r>
              <w:rPr>
                <w:rFonts w:hint="default" w:ascii="Times New Roman" w:hAnsi="Times New Roman" w:eastAsia="楷体" w:cs="Times New Roman"/>
                <w:b w:val="0"/>
                <w:bCs w:val="0"/>
                <w:color w:val="auto"/>
                <w:spacing w:val="-10"/>
                <w:position w:val="2"/>
                <w:sz w:val="21"/>
                <w:szCs w:val="21"/>
                <w:highlight w:val="none"/>
              </w:rPr>
              <w:t>H=20m</w:t>
            </w:r>
            <w:r>
              <w:rPr>
                <w:rFonts w:hint="default" w:ascii="Times New Roman" w:hAnsi="Times New Roman" w:eastAsia="楷体" w:cs="Times New Roman"/>
                <w:b w:val="0"/>
                <w:bCs w:val="0"/>
                <w:color w:val="auto"/>
                <w:spacing w:val="-10"/>
                <w:position w:val="1"/>
                <w:sz w:val="21"/>
                <w:szCs w:val="21"/>
                <w:highlight w:val="none"/>
              </w:rPr>
              <w:t>，</w:t>
            </w:r>
            <w:r>
              <w:rPr>
                <w:rFonts w:hint="default" w:ascii="Times New Roman" w:hAnsi="Times New Roman" w:eastAsia="楷体" w:cs="Times New Roman"/>
                <w:b w:val="0"/>
                <w:bCs w:val="0"/>
                <w:color w:val="auto"/>
                <w:spacing w:val="-10"/>
                <w:position w:val="2"/>
                <w:sz w:val="21"/>
                <w:szCs w:val="21"/>
                <w:highlight w:val="none"/>
              </w:rPr>
              <w:t>P=11kW</w:t>
            </w:r>
          </w:p>
        </w:tc>
        <w:tc>
          <w:tcPr>
            <w:tcW w:w="422" w:type="pct"/>
            <w:tcMar>
              <w:top w:w="96" w:type="dxa"/>
              <w:left w:w="96" w:type="dxa"/>
              <w:bottom w:w="96" w:type="dxa"/>
              <w:right w:w="96" w:type="dxa"/>
            </w:tcMar>
            <w:vAlign w:val="center"/>
          </w:tcPr>
          <w:p w14:paraId="1AEEEE6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台</w:t>
            </w:r>
          </w:p>
        </w:tc>
        <w:tc>
          <w:tcPr>
            <w:tcW w:w="387" w:type="pct"/>
            <w:tcMar>
              <w:top w:w="96" w:type="dxa"/>
              <w:left w:w="96" w:type="dxa"/>
              <w:bottom w:w="96" w:type="dxa"/>
              <w:right w:w="96" w:type="dxa"/>
            </w:tcMar>
            <w:vAlign w:val="center"/>
          </w:tcPr>
          <w:p w14:paraId="7B7F501F">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position w:val="4"/>
                <w:sz w:val="21"/>
                <w:szCs w:val="21"/>
                <w:highlight w:val="none"/>
              </w:rPr>
              <w:t>2</w:t>
            </w:r>
          </w:p>
        </w:tc>
        <w:tc>
          <w:tcPr>
            <w:tcW w:w="588" w:type="pct"/>
            <w:tcMar>
              <w:top w:w="96" w:type="dxa"/>
              <w:left w:w="96" w:type="dxa"/>
              <w:bottom w:w="96" w:type="dxa"/>
              <w:right w:w="96" w:type="dxa"/>
            </w:tcMar>
            <w:vAlign w:val="center"/>
          </w:tcPr>
          <w:p w14:paraId="26E4B8B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5"/>
                <w:sz w:val="21"/>
                <w:szCs w:val="21"/>
                <w:highlight w:val="none"/>
              </w:rPr>
              <w:t>一用一备</w:t>
            </w:r>
          </w:p>
        </w:tc>
      </w:tr>
      <w:tr w14:paraId="71871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0" w:type="pct"/>
            <w:tcMar>
              <w:top w:w="96" w:type="dxa"/>
              <w:left w:w="96" w:type="dxa"/>
              <w:bottom w:w="96" w:type="dxa"/>
              <w:right w:w="96" w:type="dxa"/>
            </w:tcMar>
            <w:vAlign w:val="center"/>
          </w:tcPr>
          <w:p w14:paraId="4391FB92">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position w:val="2"/>
                <w:sz w:val="21"/>
                <w:szCs w:val="21"/>
                <w:highlight w:val="none"/>
              </w:rPr>
              <w:t>8</w:t>
            </w:r>
          </w:p>
        </w:tc>
        <w:tc>
          <w:tcPr>
            <w:tcW w:w="1333" w:type="pct"/>
            <w:tcMar>
              <w:top w:w="96" w:type="dxa"/>
              <w:left w:w="96" w:type="dxa"/>
              <w:bottom w:w="96" w:type="dxa"/>
              <w:right w:w="96" w:type="dxa"/>
            </w:tcMar>
            <w:vAlign w:val="center"/>
          </w:tcPr>
          <w:p w14:paraId="7C2F6DC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末端水循环泵</w:t>
            </w:r>
          </w:p>
        </w:tc>
        <w:tc>
          <w:tcPr>
            <w:tcW w:w="2058" w:type="pct"/>
            <w:tcMar>
              <w:top w:w="96" w:type="dxa"/>
              <w:left w:w="96" w:type="dxa"/>
              <w:bottom w:w="96" w:type="dxa"/>
              <w:right w:w="96" w:type="dxa"/>
            </w:tcMar>
            <w:vAlign w:val="center"/>
          </w:tcPr>
          <w:p w14:paraId="76D1A436">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6"/>
                <w:sz w:val="21"/>
                <w:szCs w:val="21"/>
                <w:highlight w:val="none"/>
              </w:rPr>
              <w:t>G=100m</w:t>
            </w:r>
            <w:r>
              <w:rPr>
                <w:rFonts w:hint="default" w:ascii="Times New Roman" w:hAnsi="Times New Roman" w:eastAsia="楷体" w:cs="Times New Roman"/>
                <w:b w:val="0"/>
                <w:bCs w:val="0"/>
                <w:color w:val="auto"/>
                <w:spacing w:val="-6"/>
                <w:position w:val="6"/>
                <w:sz w:val="21"/>
                <w:szCs w:val="21"/>
                <w:highlight w:val="none"/>
              </w:rPr>
              <w:t>3</w:t>
            </w:r>
            <w:r>
              <w:rPr>
                <w:rFonts w:hint="default" w:ascii="Times New Roman" w:hAnsi="Times New Roman" w:eastAsia="楷体" w:cs="Times New Roman"/>
                <w:b w:val="0"/>
                <w:bCs w:val="0"/>
                <w:color w:val="auto"/>
                <w:spacing w:val="-10"/>
                <w:sz w:val="21"/>
                <w:szCs w:val="21"/>
                <w:highlight w:val="none"/>
              </w:rPr>
              <w:t>/h</w:t>
            </w:r>
            <w:r>
              <w:rPr>
                <w:rFonts w:hint="default" w:ascii="Times New Roman" w:hAnsi="Times New Roman" w:eastAsia="楷体" w:cs="Times New Roman"/>
                <w:b w:val="0"/>
                <w:bCs w:val="0"/>
                <w:color w:val="auto"/>
                <w:spacing w:val="-10"/>
                <w:position w:val="-1"/>
                <w:sz w:val="21"/>
                <w:szCs w:val="21"/>
                <w:highlight w:val="none"/>
              </w:rPr>
              <w:t>，</w:t>
            </w:r>
            <w:r>
              <w:rPr>
                <w:rFonts w:hint="default" w:ascii="Times New Roman" w:hAnsi="Times New Roman" w:eastAsia="楷体" w:cs="Times New Roman"/>
                <w:b w:val="0"/>
                <w:bCs w:val="0"/>
                <w:color w:val="auto"/>
                <w:spacing w:val="-10"/>
                <w:sz w:val="21"/>
                <w:szCs w:val="21"/>
                <w:highlight w:val="none"/>
              </w:rPr>
              <w:t>H=32m</w:t>
            </w:r>
            <w:r>
              <w:rPr>
                <w:rFonts w:hint="default" w:ascii="Times New Roman" w:hAnsi="Times New Roman" w:eastAsia="楷体" w:cs="Times New Roman"/>
                <w:b w:val="0"/>
                <w:bCs w:val="0"/>
                <w:color w:val="auto"/>
                <w:spacing w:val="-10"/>
                <w:position w:val="-1"/>
                <w:sz w:val="21"/>
                <w:szCs w:val="21"/>
                <w:highlight w:val="none"/>
              </w:rPr>
              <w:t>，</w:t>
            </w:r>
            <w:r>
              <w:rPr>
                <w:rFonts w:hint="default" w:ascii="Times New Roman" w:hAnsi="Times New Roman" w:eastAsia="楷体" w:cs="Times New Roman"/>
                <w:b w:val="0"/>
                <w:bCs w:val="0"/>
                <w:color w:val="auto"/>
                <w:spacing w:val="-10"/>
                <w:sz w:val="21"/>
                <w:szCs w:val="21"/>
                <w:highlight w:val="none"/>
              </w:rPr>
              <w:t>P=15kW</w:t>
            </w:r>
          </w:p>
        </w:tc>
        <w:tc>
          <w:tcPr>
            <w:tcW w:w="422" w:type="pct"/>
            <w:tcMar>
              <w:top w:w="96" w:type="dxa"/>
              <w:left w:w="96" w:type="dxa"/>
              <w:bottom w:w="96" w:type="dxa"/>
              <w:right w:w="96" w:type="dxa"/>
            </w:tcMar>
            <w:vAlign w:val="center"/>
          </w:tcPr>
          <w:p w14:paraId="1E8A483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台</w:t>
            </w:r>
          </w:p>
        </w:tc>
        <w:tc>
          <w:tcPr>
            <w:tcW w:w="387" w:type="pct"/>
            <w:tcMar>
              <w:top w:w="96" w:type="dxa"/>
              <w:left w:w="96" w:type="dxa"/>
              <w:bottom w:w="96" w:type="dxa"/>
              <w:right w:w="96" w:type="dxa"/>
            </w:tcMar>
            <w:vAlign w:val="center"/>
          </w:tcPr>
          <w:p w14:paraId="3AAD23FB">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position w:val="4"/>
                <w:sz w:val="21"/>
                <w:szCs w:val="21"/>
                <w:highlight w:val="none"/>
              </w:rPr>
              <w:t>2</w:t>
            </w:r>
          </w:p>
        </w:tc>
        <w:tc>
          <w:tcPr>
            <w:tcW w:w="588" w:type="pct"/>
            <w:tcMar>
              <w:top w:w="96" w:type="dxa"/>
              <w:left w:w="96" w:type="dxa"/>
              <w:bottom w:w="96" w:type="dxa"/>
              <w:right w:w="96" w:type="dxa"/>
            </w:tcMar>
            <w:vAlign w:val="center"/>
          </w:tcPr>
          <w:p w14:paraId="199246A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5"/>
                <w:sz w:val="21"/>
                <w:szCs w:val="21"/>
                <w:highlight w:val="none"/>
              </w:rPr>
              <w:t>一用一备</w:t>
            </w:r>
          </w:p>
        </w:tc>
      </w:tr>
      <w:tr w14:paraId="2AC51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0" w:type="pct"/>
            <w:tcMar>
              <w:top w:w="96" w:type="dxa"/>
              <w:left w:w="96" w:type="dxa"/>
              <w:bottom w:w="96" w:type="dxa"/>
              <w:right w:w="96" w:type="dxa"/>
            </w:tcMar>
            <w:vAlign w:val="center"/>
          </w:tcPr>
          <w:p w14:paraId="37D4B56D">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z w:val="21"/>
                <w:szCs w:val="21"/>
                <w:highlight w:val="none"/>
              </w:rPr>
              <w:t>9</w:t>
            </w:r>
          </w:p>
        </w:tc>
        <w:tc>
          <w:tcPr>
            <w:tcW w:w="1333" w:type="pct"/>
            <w:tcMar>
              <w:top w:w="96" w:type="dxa"/>
              <w:left w:w="96" w:type="dxa"/>
              <w:bottom w:w="96" w:type="dxa"/>
              <w:right w:w="96" w:type="dxa"/>
            </w:tcMar>
            <w:vAlign w:val="center"/>
          </w:tcPr>
          <w:p w14:paraId="3F5B538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11"/>
                <w:sz w:val="21"/>
                <w:szCs w:val="21"/>
                <w:highlight w:val="none"/>
              </w:rPr>
              <w:t>末端水定压补水装置</w:t>
            </w:r>
          </w:p>
        </w:tc>
        <w:tc>
          <w:tcPr>
            <w:tcW w:w="2058" w:type="pct"/>
            <w:tcMar>
              <w:top w:w="96" w:type="dxa"/>
              <w:left w:w="96" w:type="dxa"/>
              <w:bottom w:w="96" w:type="dxa"/>
              <w:right w:w="96" w:type="dxa"/>
            </w:tcMar>
            <w:vAlign w:val="center"/>
          </w:tcPr>
          <w:p w14:paraId="1FACCD47">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5"/>
                <w:sz w:val="21"/>
                <w:szCs w:val="21"/>
                <w:highlight w:val="none"/>
              </w:rPr>
              <w:t>G=2.5m</w:t>
            </w:r>
            <w:r>
              <w:rPr>
                <w:rFonts w:hint="default" w:ascii="Times New Roman" w:hAnsi="Times New Roman" w:eastAsia="楷体" w:cs="Times New Roman"/>
                <w:b w:val="0"/>
                <w:bCs w:val="0"/>
                <w:color w:val="auto"/>
                <w:spacing w:val="-5"/>
                <w:position w:val="7"/>
                <w:sz w:val="21"/>
                <w:szCs w:val="21"/>
                <w:highlight w:val="none"/>
              </w:rPr>
              <w:t>3</w:t>
            </w:r>
            <w:r>
              <w:rPr>
                <w:rFonts w:hint="default" w:ascii="Times New Roman" w:hAnsi="Times New Roman" w:eastAsia="楷体" w:cs="Times New Roman"/>
                <w:b w:val="0"/>
                <w:bCs w:val="0"/>
                <w:color w:val="auto"/>
                <w:spacing w:val="-12"/>
                <w:sz w:val="21"/>
                <w:szCs w:val="21"/>
                <w:highlight w:val="none"/>
              </w:rPr>
              <w:t>/h，H=30m，P=2.2kW，定压罐</w:t>
            </w:r>
            <w:r>
              <w:rPr>
                <w:rFonts w:hint="default" w:ascii="Times New Roman" w:hAnsi="Times New Roman" w:eastAsia="楷体" w:cs="Times New Roman"/>
                <w:b w:val="0"/>
                <w:bCs w:val="0"/>
                <w:color w:val="auto"/>
                <w:spacing w:val="-14"/>
                <w:sz w:val="21"/>
                <w:szCs w:val="21"/>
                <w:highlight w:val="none"/>
              </w:rPr>
              <w:t>直径600mm</w:t>
            </w:r>
          </w:p>
        </w:tc>
        <w:tc>
          <w:tcPr>
            <w:tcW w:w="422" w:type="pct"/>
            <w:tcMar>
              <w:top w:w="96" w:type="dxa"/>
              <w:left w:w="96" w:type="dxa"/>
              <w:bottom w:w="96" w:type="dxa"/>
              <w:right w:w="96" w:type="dxa"/>
            </w:tcMar>
            <w:vAlign w:val="center"/>
          </w:tcPr>
          <w:p w14:paraId="5551475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套</w:t>
            </w:r>
          </w:p>
        </w:tc>
        <w:tc>
          <w:tcPr>
            <w:tcW w:w="387" w:type="pct"/>
            <w:tcMar>
              <w:top w:w="96" w:type="dxa"/>
              <w:left w:w="96" w:type="dxa"/>
              <w:bottom w:w="96" w:type="dxa"/>
              <w:right w:w="96" w:type="dxa"/>
            </w:tcMar>
            <w:vAlign w:val="center"/>
          </w:tcPr>
          <w:p w14:paraId="7023FA9E">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position w:val="4"/>
                <w:sz w:val="21"/>
                <w:szCs w:val="21"/>
                <w:highlight w:val="none"/>
              </w:rPr>
              <w:t>1</w:t>
            </w:r>
          </w:p>
        </w:tc>
        <w:tc>
          <w:tcPr>
            <w:tcW w:w="588" w:type="pct"/>
            <w:tcMar>
              <w:top w:w="96" w:type="dxa"/>
              <w:left w:w="96" w:type="dxa"/>
              <w:bottom w:w="96" w:type="dxa"/>
              <w:right w:w="96" w:type="dxa"/>
            </w:tcMar>
            <w:vAlign w:val="center"/>
          </w:tcPr>
          <w:p w14:paraId="6AAFA51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p>
        </w:tc>
      </w:tr>
      <w:tr w14:paraId="2E761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0" w:type="pct"/>
            <w:tcMar>
              <w:top w:w="96" w:type="dxa"/>
              <w:left w:w="96" w:type="dxa"/>
              <w:bottom w:w="96" w:type="dxa"/>
              <w:right w:w="96" w:type="dxa"/>
            </w:tcMar>
            <w:vAlign w:val="center"/>
          </w:tcPr>
          <w:p w14:paraId="29248A99">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2"/>
                <w:position w:val="4"/>
                <w:sz w:val="21"/>
                <w:szCs w:val="21"/>
                <w:highlight w:val="none"/>
              </w:rPr>
              <w:t>10</w:t>
            </w:r>
          </w:p>
        </w:tc>
        <w:tc>
          <w:tcPr>
            <w:tcW w:w="1333" w:type="pct"/>
            <w:tcMar>
              <w:top w:w="96" w:type="dxa"/>
              <w:left w:w="96" w:type="dxa"/>
              <w:bottom w:w="96" w:type="dxa"/>
              <w:right w:w="96" w:type="dxa"/>
            </w:tcMar>
            <w:vAlign w:val="center"/>
          </w:tcPr>
          <w:p w14:paraId="4AE6746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13"/>
                <w:sz w:val="21"/>
                <w:szCs w:val="21"/>
                <w:highlight w:val="none"/>
              </w:rPr>
              <w:t>中介水定压补水装置</w:t>
            </w:r>
          </w:p>
        </w:tc>
        <w:tc>
          <w:tcPr>
            <w:tcW w:w="2058" w:type="pct"/>
            <w:tcMar>
              <w:top w:w="96" w:type="dxa"/>
              <w:left w:w="96" w:type="dxa"/>
              <w:bottom w:w="96" w:type="dxa"/>
              <w:right w:w="96" w:type="dxa"/>
            </w:tcMar>
            <w:vAlign w:val="center"/>
          </w:tcPr>
          <w:p w14:paraId="3C00DDD3">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2"/>
                <w:sz w:val="21"/>
                <w:szCs w:val="21"/>
                <w:highlight w:val="none"/>
              </w:rPr>
              <w:t>G=1.5m</w:t>
            </w:r>
            <w:r>
              <w:rPr>
                <w:rFonts w:hint="default" w:ascii="Times New Roman" w:hAnsi="Times New Roman" w:eastAsia="楷体" w:cs="Times New Roman"/>
                <w:b w:val="0"/>
                <w:bCs w:val="0"/>
                <w:color w:val="auto"/>
                <w:spacing w:val="-2"/>
                <w:position w:val="7"/>
                <w:sz w:val="21"/>
                <w:szCs w:val="21"/>
                <w:highlight w:val="none"/>
              </w:rPr>
              <w:t>3</w:t>
            </w:r>
            <w:r>
              <w:rPr>
                <w:rFonts w:hint="default" w:ascii="Times New Roman" w:hAnsi="Times New Roman" w:eastAsia="楷体" w:cs="Times New Roman"/>
                <w:b w:val="0"/>
                <w:bCs w:val="0"/>
                <w:color w:val="auto"/>
                <w:spacing w:val="-11"/>
                <w:sz w:val="21"/>
                <w:szCs w:val="21"/>
                <w:highlight w:val="none"/>
              </w:rPr>
              <w:t>/h，H=20m，P=1.5kW，定压罐</w:t>
            </w:r>
            <w:r>
              <w:rPr>
                <w:rFonts w:hint="default" w:ascii="Times New Roman" w:hAnsi="Times New Roman" w:eastAsia="楷体" w:cs="Times New Roman"/>
                <w:b w:val="0"/>
                <w:bCs w:val="0"/>
                <w:color w:val="auto"/>
                <w:spacing w:val="-14"/>
                <w:sz w:val="21"/>
                <w:szCs w:val="21"/>
                <w:highlight w:val="none"/>
              </w:rPr>
              <w:t>直径600mm</w:t>
            </w:r>
          </w:p>
        </w:tc>
        <w:tc>
          <w:tcPr>
            <w:tcW w:w="422" w:type="pct"/>
            <w:tcMar>
              <w:top w:w="96" w:type="dxa"/>
              <w:left w:w="96" w:type="dxa"/>
              <w:bottom w:w="96" w:type="dxa"/>
              <w:right w:w="96" w:type="dxa"/>
            </w:tcMar>
            <w:vAlign w:val="center"/>
          </w:tcPr>
          <w:p w14:paraId="5AD5BEF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套</w:t>
            </w:r>
          </w:p>
        </w:tc>
        <w:tc>
          <w:tcPr>
            <w:tcW w:w="387" w:type="pct"/>
            <w:tcMar>
              <w:top w:w="96" w:type="dxa"/>
              <w:left w:w="96" w:type="dxa"/>
              <w:bottom w:w="96" w:type="dxa"/>
              <w:right w:w="96" w:type="dxa"/>
            </w:tcMar>
            <w:vAlign w:val="center"/>
          </w:tcPr>
          <w:p w14:paraId="7D151FC2">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position w:val="4"/>
                <w:sz w:val="21"/>
                <w:szCs w:val="21"/>
                <w:highlight w:val="none"/>
              </w:rPr>
              <w:t>1</w:t>
            </w:r>
          </w:p>
        </w:tc>
        <w:tc>
          <w:tcPr>
            <w:tcW w:w="588" w:type="pct"/>
            <w:tcMar>
              <w:top w:w="96" w:type="dxa"/>
              <w:left w:w="96" w:type="dxa"/>
              <w:bottom w:w="96" w:type="dxa"/>
              <w:right w:w="96" w:type="dxa"/>
            </w:tcMar>
            <w:vAlign w:val="center"/>
          </w:tcPr>
          <w:p w14:paraId="22F2CEB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p>
        </w:tc>
      </w:tr>
      <w:tr w14:paraId="73639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0" w:type="pct"/>
            <w:tcMar>
              <w:top w:w="96" w:type="dxa"/>
              <w:left w:w="96" w:type="dxa"/>
              <w:bottom w:w="96" w:type="dxa"/>
              <w:right w:w="96" w:type="dxa"/>
            </w:tcMar>
            <w:vAlign w:val="center"/>
          </w:tcPr>
          <w:p w14:paraId="364BE462">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16"/>
                <w:position w:val="4"/>
                <w:sz w:val="21"/>
                <w:szCs w:val="21"/>
                <w:highlight w:val="none"/>
              </w:rPr>
              <w:t>11</w:t>
            </w:r>
          </w:p>
        </w:tc>
        <w:tc>
          <w:tcPr>
            <w:tcW w:w="1333" w:type="pct"/>
            <w:tcMar>
              <w:top w:w="96" w:type="dxa"/>
              <w:left w:w="96" w:type="dxa"/>
              <w:bottom w:w="96" w:type="dxa"/>
              <w:right w:w="96" w:type="dxa"/>
            </w:tcMar>
            <w:vAlign w:val="center"/>
          </w:tcPr>
          <w:p w14:paraId="7508C63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全自动软水器</w:t>
            </w:r>
          </w:p>
        </w:tc>
        <w:tc>
          <w:tcPr>
            <w:tcW w:w="2058" w:type="pct"/>
            <w:tcMar>
              <w:top w:w="96" w:type="dxa"/>
              <w:left w:w="96" w:type="dxa"/>
              <w:bottom w:w="96" w:type="dxa"/>
              <w:right w:w="96" w:type="dxa"/>
            </w:tcMar>
            <w:vAlign w:val="center"/>
          </w:tcPr>
          <w:p w14:paraId="35CB7B86">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9"/>
                <w:sz w:val="21"/>
                <w:szCs w:val="21"/>
                <w:highlight w:val="none"/>
              </w:rPr>
              <w:t>处理水量：4t/h</w:t>
            </w:r>
          </w:p>
        </w:tc>
        <w:tc>
          <w:tcPr>
            <w:tcW w:w="422" w:type="pct"/>
            <w:tcMar>
              <w:top w:w="96" w:type="dxa"/>
              <w:left w:w="96" w:type="dxa"/>
              <w:bottom w:w="96" w:type="dxa"/>
              <w:right w:w="96" w:type="dxa"/>
            </w:tcMar>
            <w:vAlign w:val="center"/>
          </w:tcPr>
          <w:p w14:paraId="3024AD0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套</w:t>
            </w:r>
          </w:p>
        </w:tc>
        <w:tc>
          <w:tcPr>
            <w:tcW w:w="387" w:type="pct"/>
            <w:tcMar>
              <w:top w:w="96" w:type="dxa"/>
              <w:left w:w="96" w:type="dxa"/>
              <w:bottom w:w="96" w:type="dxa"/>
              <w:right w:w="96" w:type="dxa"/>
            </w:tcMar>
            <w:vAlign w:val="center"/>
          </w:tcPr>
          <w:p w14:paraId="20B188F9">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position w:val="4"/>
                <w:sz w:val="21"/>
                <w:szCs w:val="21"/>
                <w:highlight w:val="none"/>
              </w:rPr>
              <w:t>1</w:t>
            </w:r>
          </w:p>
        </w:tc>
        <w:tc>
          <w:tcPr>
            <w:tcW w:w="588" w:type="pct"/>
            <w:tcMar>
              <w:top w:w="96" w:type="dxa"/>
              <w:left w:w="96" w:type="dxa"/>
              <w:bottom w:w="96" w:type="dxa"/>
              <w:right w:w="96" w:type="dxa"/>
            </w:tcMar>
            <w:vAlign w:val="center"/>
          </w:tcPr>
          <w:p w14:paraId="2BCC108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p>
        </w:tc>
      </w:tr>
      <w:tr w14:paraId="14C7B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0" w:type="pct"/>
            <w:tcMar>
              <w:top w:w="96" w:type="dxa"/>
              <w:left w:w="96" w:type="dxa"/>
              <w:bottom w:w="96" w:type="dxa"/>
              <w:right w:w="96" w:type="dxa"/>
            </w:tcMar>
            <w:vAlign w:val="center"/>
          </w:tcPr>
          <w:p w14:paraId="26D56ACA">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position w:val="4"/>
                <w:sz w:val="21"/>
                <w:szCs w:val="21"/>
                <w:highlight w:val="none"/>
              </w:rPr>
              <w:t>12</w:t>
            </w:r>
          </w:p>
        </w:tc>
        <w:tc>
          <w:tcPr>
            <w:tcW w:w="1333" w:type="pct"/>
            <w:tcMar>
              <w:top w:w="96" w:type="dxa"/>
              <w:left w:w="96" w:type="dxa"/>
              <w:bottom w:w="96" w:type="dxa"/>
              <w:right w:w="96" w:type="dxa"/>
            </w:tcMar>
            <w:vAlign w:val="center"/>
          </w:tcPr>
          <w:p w14:paraId="51D66A8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软化水箱</w:t>
            </w:r>
          </w:p>
        </w:tc>
        <w:tc>
          <w:tcPr>
            <w:tcW w:w="2058" w:type="pct"/>
            <w:tcMar>
              <w:top w:w="96" w:type="dxa"/>
              <w:left w:w="96" w:type="dxa"/>
              <w:bottom w:w="96" w:type="dxa"/>
              <w:right w:w="96" w:type="dxa"/>
            </w:tcMar>
            <w:vAlign w:val="center"/>
          </w:tcPr>
          <w:p w14:paraId="73EE6FA7">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position w:val="2"/>
                <w:sz w:val="21"/>
                <w:szCs w:val="21"/>
                <w:highlight w:val="none"/>
              </w:rPr>
              <w:t>V=2m</w:t>
            </w:r>
            <w:r>
              <w:rPr>
                <w:rFonts w:hint="eastAsia" w:ascii="Times New Roman" w:hAnsi="Times New Roman" w:eastAsia="楷体" w:cs="Times New Roman"/>
                <w:b w:val="0"/>
                <w:bCs w:val="0"/>
                <w:color w:val="auto"/>
                <w:spacing w:val="-4"/>
                <w:position w:val="2"/>
                <w:sz w:val="21"/>
                <w:szCs w:val="21"/>
                <w:highlight w:val="none"/>
                <w:vertAlign w:val="superscript"/>
                <w:lang w:val="en-US" w:eastAsia="zh-CN"/>
              </w:rPr>
              <w:t>3</w:t>
            </w:r>
            <w:r>
              <w:rPr>
                <w:rFonts w:hint="default" w:ascii="Times New Roman" w:hAnsi="Times New Roman" w:eastAsia="楷体" w:cs="Times New Roman"/>
                <w:b w:val="0"/>
                <w:bCs w:val="0"/>
                <w:color w:val="auto"/>
                <w:spacing w:val="-4"/>
                <w:position w:val="2"/>
                <w:sz w:val="21"/>
                <w:szCs w:val="21"/>
                <w:highlight w:val="none"/>
              </w:rPr>
              <w:t>，2000*1000*1000</w:t>
            </w:r>
          </w:p>
        </w:tc>
        <w:tc>
          <w:tcPr>
            <w:tcW w:w="422" w:type="pct"/>
            <w:tcMar>
              <w:top w:w="96" w:type="dxa"/>
              <w:left w:w="96" w:type="dxa"/>
              <w:bottom w:w="96" w:type="dxa"/>
              <w:right w:w="96" w:type="dxa"/>
            </w:tcMar>
            <w:vAlign w:val="center"/>
          </w:tcPr>
          <w:p w14:paraId="3281BCC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个</w:t>
            </w:r>
          </w:p>
        </w:tc>
        <w:tc>
          <w:tcPr>
            <w:tcW w:w="387" w:type="pct"/>
            <w:tcMar>
              <w:top w:w="96" w:type="dxa"/>
              <w:left w:w="96" w:type="dxa"/>
              <w:bottom w:w="96" w:type="dxa"/>
              <w:right w:w="96" w:type="dxa"/>
            </w:tcMar>
            <w:vAlign w:val="center"/>
          </w:tcPr>
          <w:p w14:paraId="476388CD">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position w:val="4"/>
                <w:sz w:val="21"/>
                <w:szCs w:val="21"/>
                <w:highlight w:val="none"/>
              </w:rPr>
              <w:t>1</w:t>
            </w:r>
          </w:p>
        </w:tc>
        <w:tc>
          <w:tcPr>
            <w:tcW w:w="588" w:type="pct"/>
            <w:tcMar>
              <w:top w:w="96" w:type="dxa"/>
              <w:left w:w="96" w:type="dxa"/>
              <w:bottom w:w="96" w:type="dxa"/>
              <w:right w:w="96" w:type="dxa"/>
            </w:tcMar>
            <w:vAlign w:val="center"/>
          </w:tcPr>
          <w:p w14:paraId="11F8DB0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现场制作</w:t>
            </w:r>
          </w:p>
        </w:tc>
      </w:tr>
      <w:tr w14:paraId="284AC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0" w:type="pct"/>
            <w:tcMar>
              <w:top w:w="96" w:type="dxa"/>
              <w:left w:w="96" w:type="dxa"/>
              <w:bottom w:w="96" w:type="dxa"/>
              <w:right w:w="96" w:type="dxa"/>
            </w:tcMar>
            <w:vAlign w:val="center"/>
          </w:tcPr>
          <w:p w14:paraId="7E9F41E0">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6"/>
                <w:sz w:val="21"/>
                <w:szCs w:val="21"/>
                <w:highlight w:val="none"/>
              </w:rPr>
              <w:t>13</w:t>
            </w:r>
          </w:p>
        </w:tc>
        <w:tc>
          <w:tcPr>
            <w:tcW w:w="1333" w:type="pct"/>
            <w:tcMar>
              <w:top w:w="96" w:type="dxa"/>
              <w:left w:w="96" w:type="dxa"/>
              <w:bottom w:w="96" w:type="dxa"/>
              <w:right w:w="96" w:type="dxa"/>
            </w:tcMar>
            <w:vAlign w:val="center"/>
          </w:tcPr>
          <w:p w14:paraId="7D404DA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快速除污器</w:t>
            </w:r>
          </w:p>
        </w:tc>
        <w:tc>
          <w:tcPr>
            <w:tcW w:w="2058" w:type="pct"/>
            <w:tcMar>
              <w:top w:w="96" w:type="dxa"/>
              <w:left w:w="96" w:type="dxa"/>
              <w:bottom w:w="96" w:type="dxa"/>
              <w:right w:w="96" w:type="dxa"/>
            </w:tcMar>
            <w:vAlign w:val="center"/>
          </w:tcPr>
          <w:p w14:paraId="7B49D80E">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7"/>
                <w:sz w:val="21"/>
                <w:szCs w:val="21"/>
                <w:highlight w:val="none"/>
              </w:rPr>
              <w:t>DN200</w:t>
            </w:r>
          </w:p>
        </w:tc>
        <w:tc>
          <w:tcPr>
            <w:tcW w:w="422" w:type="pct"/>
            <w:tcMar>
              <w:top w:w="96" w:type="dxa"/>
              <w:left w:w="96" w:type="dxa"/>
              <w:bottom w:w="96" w:type="dxa"/>
              <w:right w:w="96" w:type="dxa"/>
            </w:tcMar>
            <w:vAlign w:val="center"/>
          </w:tcPr>
          <w:p w14:paraId="41ACCE7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个</w:t>
            </w:r>
          </w:p>
        </w:tc>
        <w:tc>
          <w:tcPr>
            <w:tcW w:w="387" w:type="pct"/>
            <w:tcMar>
              <w:top w:w="96" w:type="dxa"/>
              <w:left w:w="96" w:type="dxa"/>
              <w:bottom w:w="96" w:type="dxa"/>
              <w:right w:w="96" w:type="dxa"/>
            </w:tcMar>
            <w:vAlign w:val="center"/>
          </w:tcPr>
          <w:p w14:paraId="17F294FA">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position w:val="4"/>
                <w:sz w:val="21"/>
                <w:szCs w:val="21"/>
                <w:highlight w:val="none"/>
              </w:rPr>
              <w:t>1</w:t>
            </w:r>
          </w:p>
        </w:tc>
        <w:tc>
          <w:tcPr>
            <w:tcW w:w="588" w:type="pct"/>
            <w:tcMar>
              <w:top w:w="96" w:type="dxa"/>
              <w:left w:w="96" w:type="dxa"/>
              <w:bottom w:w="96" w:type="dxa"/>
              <w:right w:w="96" w:type="dxa"/>
            </w:tcMar>
            <w:vAlign w:val="center"/>
          </w:tcPr>
          <w:p w14:paraId="68F0407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p>
        </w:tc>
      </w:tr>
      <w:tr w14:paraId="2B885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0" w:type="pct"/>
            <w:tcMar>
              <w:top w:w="96" w:type="dxa"/>
              <w:left w:w="96" w:type="dxa"/>
              <w:bottom w:w="96" w:type="dxa"/>
              <w:right w:w="96" w:type="dxa"/>
            </w:tcMar>
            <w:vAlign w:val="center"/>
          </w:tcPr>
          <w:p w14:paraId="78EB07A0">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2"/>
                <w:sz w:val="21"/>
                <w:szCs w:val="21"/>
                <w:highlight w:val="none"/>
              </w:rPr>
              <w:t>14</w:t>
            </w:r>
          </w:p>
        </w:tc>
        <w:tc>
          <w:tcPr>
            <w:tcW w:w="1333" w:type="pct"/>
            <w:tcMar>
              <w:top w:w="96" w:type="dxa"/>
              <w:left w:w="96" w:type="dxa"/>
              <w:bottom w:w="96" w:type="dxa"/>
              <w:right w:w="96" w:type="dxa"/>
            </w:tcMar>
            <w:vAlign w:val="center"/>
          </w:tcPr>
          <w:p w14:paraId="48C5E36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配套管路、阀门、管件、保温等辅件的供</w:t>
            </w:r>
          </w:p>
          <w:p w14:paraId="5339421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5"/>
                <w:sz w:val="21"/>
                <w:szCs w:val="21"/>
                <w:highlight w:val="none"/>
              </w:rPr>
              <w:t>货及安装</w:t>
            </w:r>
          </w:p>
        </w:tc>
        <w:tc>
          <w:tcPr>
            <w:tcW w:w="2058" w:type="pct"/>
            <w:tcMar>
              <w:top w:w="96" w:type="dxa"/>
              <w:left w:w="96" w:type="dxa"/>
              <w:bottom w:w="96" w:type="dxa"/>
              <w:right w:w="96" w:type="dxa"/>
            </w:tcMar>
            <w:vAlign w:val="center"/>
          </w:tcPr>
          <w:p w14:paraId="3AF9ADD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p>
        </w:tc>
        <w:tc>
          <w:tcPr>
            <w:tcW w:w="422" w:type="pct"/>
            <w:tcMar>
              <w:top w:w="96" w:type="dxa"/>
              <w:left w:w="96" w:type="dxa"/>
              <w:bottom w:w="96" w:type="dxa"/>
              <w:right w:w="96" w:type="dxa"/>
            </w:tcMar>
            <w:vAlign w:val="center"/>
          </w:tcPr>
          <w:p w14:paraId="719EAA2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套</w:t>
            </w:r>
          </w:p>
        </w:tc>
        <w:tc>
          <w:tcPr>
            <w:tcW w:w="387" w:type="pct"/>
            <w:tcMar>
              <w:top w:w="96" w:type="dxa"/>
              <w:left w:w="96" w:type="dxa"/>
              <w:bottom w:w="96" w:type="dxa"/>
              <w:right w:w="96" w:type="dxa"/>
            </w:tcMar>
            <w:vAlign w:val="center"/>
          </w:tcPr>
          <w:p w14:paraId="79721971">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position w:val="4"/>
                <w:sz w:val="21"/>
                <w:szCs w:val="21"/>
                <w:highlight w:val="none"/>
              </w:rPr>
              <w:t>1</w:t>
            </w:r>
          </w:p>
        </w:tc>
        <w:tc>
          <w:tcPr>
            <w:tcW w:w="588" w:type="pct"/>
            <w:tcMar>
              <w:top w:w="96" w:type="dxa"/>
              <w:left w:w="96" w:type="dxa"/>
              <w:bottom w:w="96" w:type="dxa"/>
              <w:right w:w="96" w:type="dxa"/>
            </w:tcMar>
            <w:vAlign w:val="center"/>
          </w:tcPr>
          <w:p w14:paraId="3B05104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p>
        </w:tc>
      </w:tr>
      <w:tr w14:paraId="3EF9F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0" w:type="pct"/>
            <w:tcMar>
              <w:top w:w="96" w:type="dxa"/>
              <w:left w:w="96" w:type="dxa"/>
              <w:bottom w:w="96" w:type="dxa"/>
              <w:right w:w="96" w:type="dxa"/>
            </w:tcMar>
            <w:vAlign w:val="center"/>
          </w:tcPr>
          <w:p w14:paraId="262590C3">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5"/>
                <w:sz w:val="21"/>
                <w:szCs w:val="21"/>
                <w:highlight w:val="none"/>
              </w:rPr>
              <w:t>15</w:t>
            </w:r>
          </w:p>
        </w:tc>
        <w:tc>
          <w:tcPr>
            <w:tcW w:w="1333" w:type="pct"/>
            <w:tcMar>
              <w:top w:w="96" w:type="dxa"/>
              <w:left w:w="96" w:type="dxa"/>
              <w:bottom w:w="96" w:type="dxa"/>
              <w:right w:w="96" w:type="dxa"/>
            </w:tcMar>
            <w:vAlign w:val="center"/>
          </w:tcPr>
          <w:p w14:paraId="21F9EDB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12"/>
                <w:sz w:val="21"/>
                <w:szCs w:val="21"/>
                <w:highlight w:val="none"/>
              </w:rPr>
              <w:t>配套电控柜、自控系</w:t>
            </w:r>
            <w:r>
              <w:rPr>
                <w:rFonts w:hint="default" w:ascii="Times New Roman" w:hAnsi="Times New Roman" w:eastAsia="楷体" w:cs="Times New Roman"/>
                <w:b w:val="0"/>
                <w:bCs w:val="0"/>
                <w:color w:val="auto"/>
                <w:spacing w:val="-13"/>
                <w:sz w:val="21"/>
                <w:szCs w:val="21"/>
                <w:highlight w:val="none"/>
              </w:rPr>
              <w:t>统、电缆等供货及安装</w:t>
            </w:r>
          </w:p>
        </w:tc>
        <w:tc>
          <w:tcPr>
            <w:tcW w:w="2058" w:type="pct"/>
            <w:tcMar>
              <w:top w:w="96" w:type="dxa"/>
              <w:left w:w="96" w:type="dxa"/>
              <w:bottom w:w="96" w:type="dxa"/>
              <w:right w:w="96" w:type="dxa"/>
            </w:tcMar>
            <w:vAlign w:val="center"/>
          </w:tcPr>
          <w:p w14:paraId="000D28A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p>
        </w:tc>
        <w:tc>
          <w:tcPr>
            <w:tcW w:w="422" w:type="pct"/>
            <w:tcMar>
              <w:top w:w="96" w:type="dxa"/>
              <w:left w:w="96" w:type="dxa"/>
              <w:bottom w:w="96" w:type="dxa"/>
              <w:right w:w="96" w:type="dxa"/>
            </w:tcMar>
            <w:vAlign w:val="center"/>
          </w:tcPr>
          <w:p w14:paraId="7F323D1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套</w:t>
            </w:r>
          </w:p>
        </w:tc>
        <w:tc>
          <w:tcPr>
            <w:tcW w:w="387" w:type="pct"/>
            <w:tcMar>
              <w:top w:w="96" w:type="dxa"/>
              <w:left w:w="96" w:type="dxa"/>
              <w:bottom w:w="96" w:type="dxa"/>
              <w:right w:w="96" w:type="dxa"/>
            </w:tcMar>
            <w:vAlign w:val="center"/>
          </w:tcPr>
          <w:p w14:paraId="35EECD87">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position w:val="4"/>
                <w:sz w:val="21"/>
                <w:szCs w:val="21"/>
                <w:highlight w:val="none"/>
              </w:rPr>
              <w:t>1</w:t>
            </w:r>
          </w:p>
        </w:tc>
        <w:tc>
          <w:tcPr>
            <w:tcW w:w="588" w:type="pct"/>
            <w:tcMar>
              <w:top w:w="96" w:type="dxa"/>
              <w:left w:w="96" w:type="dxa"/>
              <w:bottom w:w="96" w:type="dxa"/>
              <w:right w:w="96" w:type="dxa"/>
            </w:tcMar>
            <w:vAlign w:val="center"/>
          </w:tcPr>
          <w:p w14:paraId="10423D1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p>
        </w:tc>
      </w:tr>
      <w:tr w14:paraId="0A5C8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0" w:type="pct"/>
            <w:tcMar>
              <w:top w:w="96" w:type="dxa"/>
              <w:left w:w="96" w:type="dxa"/>
              <w:bottom w:w="96" w:type="dxa"/>
              <w:right w:w="96" w:type="dxa"/>
            </w:tcMar>
            <w:vAlign w:val="center"/>
          </w:tcPr>
          <w:p w14:paraId="18EC32B8">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2"/>
                <w:position w:val="1"/>
                <w:sz w:val="21"/>
                <w:szCs w:val="21"/>
                <w:highlight w:val="none"/>
              </w:rPr>
              <w:t>16</w:t>
            </w:r>
          </w:p>
        </w:tc>
        <w:tc>
          <w:tcPr>
            <w:tcW w:w="1333" w:type="pct"/>
            <w:tcMar>
              <w:top w:w="96" w:type="dxa"/>
              <w:left w:w="96" w:type="dxa"/>
              <w:bottom w:w="96" w:type="dxa"/>
              <w:right w:w="96" w:type="dxa"/>
            </w:tcMar>
            <w:vAlign w:val="center"/>
          </w:tcPr>
          <w:p w14:paraId="2BBEC6D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生物除臭设备</w:t>
            </w:r>
          </w:p>
        </w:tc>
        <w:tc>
          <w:tcPr>
            <w:tcW w:w="2058" w:type="pct"/>
            <w:tcMar>
              <w:top w:w="96" w:type="dxa"/>
              <w:left w:w="96" w:type="dxa"/>
              <w:bottom w:w="96" w:type="dxa"/>
              <w:right w:w="96" w:type="dxa"/>
            </w:tcMar>
            <w:vAlign w:val="center"/>
          </w:tcPr>
          <w:p w14:paraId="34142B6D">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11"/>
                <w:w w:val="96"/>
                <w:sz w:val="21"/>
                <w:szCs w:val="21"/>
                <w:highlight w:val="none"/>
              </w:rPr>
              <w:t>19000m³/h，50kW</w:t>
            </w:r>
          </w:p>
        </w:tc>
        <w:tc>
          <w:tcPr>
            <w:tcW w:w="422" w:type="pct"/>
            <w:tcMar>
              <w:top w:w="96" w:type="dxa"/>
              <w:left w:w="96" w:type="dxa"/>
              <w:bottom w:w="96" w:type="dxa"/>
              <w:right w:w="96" w:type="dxa"/>
            </w:tcMar>
            <w:vAlign w:val="center"/>
          </w:tcPr>
          <w:p w14:paraId="15044F6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套</w:t>
            </w:r>
          </w:p>
        </w:tc>
        <w:tc>
          <w:tcPr>
            <w:tcW w:w="387" w:type="pct"/>
            <w:tcMar>
              <w:top w:w="96" w:type="dxa"/>
              <w:left w:w="96" w:type="dxa"/>
              <w:bottom w:w="96" w:type="dxa"/>
              <w:right w:w="96" w:type="dxa"/>
            </w:tcMar>
            <w:vAlign w:val="center"/>
          </w:tcPr>
          <w:p w14:paraId="41909B59">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position w:val="4"/>
                <w:sz w:val="21"/>
                <w:szCs w:val="21"/>
                <w:highlight w:val="none"/>
              </w:rPr>
              <w:t>2</w:t>
            </w:r>
          </w:p>
        </w:tc>
        <w:tc>
          <w:tcPr>
            <w:tcW w:w="588" w:type="pct"/>
            <w:tcMar>
              <w:top w:w="96" w:type="dxa"/>
              <w:left w:w="96" w:type="dxa"/>
              <w:bottom w:w="96" w:type="dxa"/>
              <w:right w:w="96" w:type="dxa"/>
            </w:tcMar>
            <w:vAlign w:val="center"/>
          </w:tcPr>
          <w:p w14:paraId="69DE53D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p>
        </w:tc>
      </w:tr>
      <w:tr w14:paraId="23BF4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0" w:type="pct"/>
            <w:tcMar>
              <w:top w:w="96" w:type="dxa"/>
              <w:left w:w="96" w:type="dxa"/>
              <w:bottom w:w="96" w:type="dxa"/>
              <w:right w:w="96" w:type="dxa"/>
            </w:tcMar>
            <w:vAlign w:val="center"/>
          </w:tcPr>
          <w:p w14:paraId="56DDFE5C">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5"/>
                <w:sz w:val="21"/>
                <w:szCs w:val="21"/>
                <w:highlight w:val="none"/>
              </w:rPr>
              <w:t>17</w:t>
            </w:r>
          </w:p>
        </w:tc>
        <w:tc>
          <w:tcPr>
            <w:tcW w:w="1333" w:type="pct"/>
            <w:tcMar>
              <w:top w:w="96" w:type="dxa"/>
              <w:left w:w="96" w:type="dxa"/>
              <w:bottom w:w="96" w:type="dxa"/>
              <w:right w:w="96" w:type="dxa"/>
            </w:tcMar>
            <w:vAlign w:val="center"/>
          </w:tcPr>
          <w:p w14:paraId="6D00431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sz w:val="21"/>
                <w:szCs w:val="21"/>
                <w:highlight w:val="none"/>
              </w:rPr>
              <w:t>生物除臭设备</w:t>
            </w:r>
          </w:p>
        </w:tc>
        <w:tc>
          <w:tcPr>
            <w:tcW w:w="2058" w:type="pct"/>
            <w:tcMar>
              <w:top w:w="96" w:type="dxa"/>
              <w:left w:w="96" w:type="dxa"/>
              <w:bottom w:w="96" w:type="dxa"/>
              <w:right w:w="96" w:type="dxa"/>
            </w:tcMar>
            <w:vAlign w:val="center"/>
          </w:tcPr>
          <w:p w14:paraId="76434B3A">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11"/>
                <w:w w:val="95"/>
                <w:sz w:val="21"/>
                <w:szCs w:val="21"/>
                <w:highlight w:val="none"/>
              </w:rPr>
              <w:t>30000m³/h，66kW</w:t>
            </w:r>
          </w:p>
        </w:tc>
        <w:tc>
          <w:tcPr>
            <w:tcW w:w="422" w:type="pct"/>
            <w:tcMar>
              <w:top w:w="96" w:type="dxa"/>
              <w:left w:w="96" w:type="dxa"/>
              <w:bottom w:w="96" w:type="dxa"/>
              <w:right w:w="96" w:type="dxa"/>
            </w:tcMar>
            <w:vAlign w:val="center"/>
          </w:tcPr>
          <w:p w14:paraId="3A7344D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3"/>
                <w:sz w:val="21"/>
                <w:szCs w:val="21"/>
                <w:highlight w:val="none"/>
              </w:rPr>
              <w:t>套</w:t>
            </w:r>
          </w:p>
        </w:tc>
        <w:tc>
          <w:tcPr>
            <w:tcW w:w="387" w:type="pct"/>
            <w:tcMar>
              <w:top w:w="96" w:type="dxa"/>
              <w:left w:w="96" w:type="dxa"/>
              <w:bottom w:w="96" w:type="dxa"/>
              <w:right w:w="96" w:type="dxa"/>
            </w:tcMar>
            <w:vAlign w:val="center"/>
          </w:tcPr>
          <w:p w14:paraId="29B25A63">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4"/>
                <w:position w:val="4"/>
                <w:sz w:val="21"/>
                <w:szCs w:val="21"/>
                <w:highlight w:val="none"/>
              </w:rPr>
              <w:t>1</w:t>
            </w:r>
          </w:p>
        </w:tc>
        <w:tc>
          <w:tcPr>
            <w:tcW w:w="588" w:type="pct"/>
            <w:tcMar>
              <w:top w:w="96" w:type="dxa"/>
              <w:left w:w="96" w:type="dxa"/>
              <w:bottom w:w="96" w:type="dxa"/>
              <w:right w:w="96" w:type="dxa"/>
            </w:tcMar>
            <w:vAlign w:val="center"/>
          </w:tcPr>
          <w:p w14:paraId="6D46031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p>
        </w:tc>
      </w:tr>
      <w:tr w14:paraId="5BC09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0" w:type="pct"/>
            <w:tcMar>
              <w:top w:w="96" w:type="dxa"/>
              <w:left w:w="96" w:type="dxa"/>
              <w:bottom w:w="96" w:type="dxa"/>
              <w:right w:w="96" w:type="dxa"/>
            </w:tcMar>
            <w:vAlign w:val="center"/>
          </w:tcPr>
          <w:p w14:paraId="187DEE98">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2"/>
                <w:position w:val="2"/>
                <w:sz w:val="21"/>
                <w:szCs w:val="21"/>
                <w:highlight w:val="none"/>
              </w:rPr>
              <w:t>18</w:t>
            </w:r>
          </w:p>
        </w:tc>
        <w:tc>
          <w:tcPr>
            <w:tcW w:w="1333" w:type="pct"/>
            <w:tcMar>
              <w:top w:w="96" w:type="dxa"/>
              <w:left w:w="96" w:type="dxa"/>
              <w:bottom w:w="96" w:type="dxa"/>
              <w:right w:w="96" w:type="dxa"/>
            </w:tcMar>
            <w:vAlign w:val="center"/>
          </w:tcPr>
          <w:p w14:paraId="78D510C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7"/>
                <w:sz w:val="21"/>
                <w:szCs w:val="21"/>
                <w:highlight w:val="none"/>
              </w:rPr>
              <w:t>除臭风管</w:t>
            </w:r>
          </w:p>
        </w:tc>
        <w:tc>
          <w:tcPr>
            <w:tcW w:w="2058" w:type="pct"/>
            <w:tcMar>
              <w:top w:w="96" w:type="dxa"/>
              <w:left w:w="96" w:type="dxa"/>
              <w:bottom w:w="96" w:type="dxa"/>
              <w:right w:w="96" w:type="dxa"/>
            </w:tcMar>
            <w:vAlign w:val="center"/>
          </w:tcPr>
          <w:p w14:paraId="513067F4">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1"/>
                <w:position w:val="-2"/>
                <w:sz w:val="21"/>
                <w:szCs w:val="21"/>
                <w:highlight w:val="none"/>
              </w:rPr>
              <w:t>SS304L</w:t>
            </w:r>
          </w:p>
        </w:tc>
        <w:tc>
          <w:tcPr>
            <w:tcW w:w="422" w:type="pct"/>
            <w:tcMar>
              <w:top w:w="96" w:type="dxa"/>
              <w:left w:w="96" w:type="dxa"/>
              <w:bottom w:w="96" w:type="dxa"/>
              <w:right w:w="96" w:type="dxa"/>
            </w:tcMar>
            <w:vAlign w:val="center"/>
          </w:tcPr>
          <w:p w14:paraId="59C3431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lang w:val="en-US" w:eastAsia="zh-CN"/>
              </w:rPr>
            </w:pPr>
            <w:r>
              <w:rPr>
                <w:rFonts w:hint="eastAsia" w:ascii="Times New Roman" w:hAnsi="Times New Roman" w:eastAsia="楷体" w:cs="Times New Roman"/>
                <w:b w:val="0"/>
                <w:bCs w:val="0"/>
                <w:color w:val="auto"/>
                <w:sz w:val="21"/>
                <w:szCs w:val="21"/>
                <w:highlight w:val="none"/>
                <w:lang w:val="en-US" w:eastAsia="zh-CN"/>
              </w:rPr>
              <w:t>m</w:t>
            </w:r>
            <w:r>
              <w:rPr>
                <w:rFonts w:hint="eastAsia" w:ascii="Times New Roman" w:hAnsi="Times New Roman" w:eastAsia="楷体" w:cs="Times New Roman"/>
                <w:b w:val="0"/>
                <w:bCs w:val="0"/>
                <w:color w:val="auto"/>
                <w:sz w:val="21"/>
                <w:szCs w:val="21"/>
                <w:highlight w:val="none"/>
                <w:vertAlign w:val="superscript"/>
                <w:lang w:val="en-US" w:eastAsia="zh-CN"/>
              </w:rPr>
              <w:t>2</w:t>
            </w:r>
          </w:p>
        </w:tc>
        <w:tc>
          <w:tcPr>
            <w:tcW w:w="387" w:type="pct"/>
            <w:tcMar>
              <w:top w:w="96" w:type="dxa"/>
              <w:left w:w="96" w:type="dxa"/>
              <w:bottom w:w="96" w:type="dxa"/>
              <w:right w:w="96" w:type="dxa"/>
            </w:tcMar>
            <w:vAlign w:val="center"/>
          </w:tcPr>
          <w:p w14:paraId="607027FF">
            <w:pPr>
              <w:pStyle w:val="23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r>
              <w:rPr>
                <w:rFonts w:hint="default" w:ascii="Times New Roman" w:hAnsi="Times New Roman" w:eastAsia="楷体" w:cs="Times New Roman"/>
                <w:b w:val="0"/>
                <w:bCs w:val="0"/>
                <w:color w:val="auto"/>
                <w:spacing w:val="-1"/>
                <w:sz w:val="21"/>
                <w:szCs w:val="21"/>
                <w:highlight w:val="none"/>
              </w:rPr>
              <w:t>1300</w:t>
            </w:r>
          </w:p>
        </w:tc>
        <w:tc>
          <w:tcPr>
            <w:tcW w:w="588" w:type="pct"/>
            <w:tcMar>
              <w:top w:w="96" w:type="dxa"/>
              <w:left w:w="96" w:type="dxa"/>
              <w:bottom w:w="96" w:type="dxa"/>
              <w:right w:w="96" w:type="dxa"/>
            </w:tcMar>
            <w:vAlign w:val="center"/>
          </w:tcPr>
          <w:p w14:paraId="435CED8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楷体" w:cs="Times New Roman"/>
                <w:b w:val="0"/>
                <w:bCs w:val="0"/>
                <w:color w:val="auto"/>
                <w:sz w:val="21"/>
                <w:szCs w:val="21"/>
                <w:highlight w:val="none"/>
              </w:rPr>
            </w:pPr>
          </w:p>
        </w:tc>
      </w:tr>
    </w:tbl>
    <w:p w14:paraId="158A544A">
      <w:pPr>
        <w:spacing w:before="100" w:after="100"/>
        <w:ind w:firstLineChars="200"/>
        <w:outlineLvl w:val="9"/>
        <w:rPr>
          <w:rFonts w:hint="default" w:ascii="Times New Roman" w:hAnsi="Times New Roman" w:eastAsia="楷体" w:cs="Times New Roman"/>
          <w:b/>
          <w:bCs/>
          <w:color w:val="auto"/>
          <w:sz w:val="30"/>
          <w:szCs w:val="30"/>
          <w:highlight w:val="none"/>
          <w:lang w:val="en-US" w:eastAsia="zh-CN"/>
        </w:rPr>
      </w:pPr>
      <w:bookmarkStart w:id="673" w:name="_Toc27258"/>
      <w:r>
        <w:rPr>
          <w:rFonts w:hint="default" w:ascii="Times New Roman" w:hAnsi="Times New Roman" w:eastAsia="楷体" w:cs="Times New Roman"/>
          <w:b/>
          <w:bCs/>
          <w:color w:val="auto"/>
          <w:sz w:val="30"/>
          <w:szCs w:val="30"/>
          <w:highlight w:val="none"/>
          <w:lang w:eastAsia="zh-CN"/>
        </w:rPr>
        <w:t>（</w:t>
      </w:r>
      <w:r>
        <w:rPr>
          <w:rFonts w:hint="default" w:ascii="Times New Roman" w:hAnsi="Times New Roman" w:eastAsia="楷体" w:cs="Times New Roman"/>
          <w:b/>
          <w:bCs/>
          <w:color w:val="auto"/>
          <w:sz w:val="30"/>
          <w:szCs w:val="30"/>
          <w:highlight w:val="none"/>
          <w:lang w:val="en-US" w:eastAsia="zh-CN"/>
        </w:rPr>
        <w:t>7</w:t>
      </w:r>
      <w:r>
        <w:rPr>
          <w:rFonts w:hint="default" w:ascii="Times New Roman" w:hAnsi="Times New Roman" w:eastAsia="楷体" w:cs="Times New Roman"/>
          <w:b/>
          <w:bCs/>
          <w:color w:val="auto"/>
          <w:sz w:val="30"/>
          <w:szCs w:val="30"/>
          <w:highlight w:val="none"/>
          <w:lang w:eastAsia="zh-CN"/>
        </w:rPr>
        <w:t>）</w:t>
      </w:r>
      <w:r>
        <w:rPr>
          <w:rFonts w:hint="default" w:ascii="Times New Roman" w:hAnsi="Times New Roman" w:eastAsia="楷体" w:cs="Times New Roman"/>
          <w:b/>
          <w:bCs/>
          <w:color w:val="auto"/>
          <w:sz w:val="30"/>
          <w:szCs w:val="30"/>
          <w:highlight w:val="none"/>
          <w:lang w:val="en-US" w:eastAsia="zh-CN"/>
        </w:rPr>
        <w:t>提标工程设备</w:t>
      </w:r>
      <w:bookmarkEnd w:id="673"/>
    </w:p>
    <w:tbl>
      <w:tblPr>
        <w:tblStyle w:val="36"/>
        <w:tblW w:w="14078"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519"/>
        <w:gridCol w:w="2551"/>
        <w:gridCol w:w="6076"/>
        <w:gridCol w:w="1143"/>
        <w:gridCol w:w="1166"/>
        <w:gridCol w:w="1623"/>
      </w:tblGrid>
      <w:tr w14:paraId="4772B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19" w:type="dxa"/>
            <w:shd w:val="clear" w:color="auto" w:fill="auto"/>
            <w:noWrap/>
            <w:vAlign w:val="center"/>
          </w:tcPr>
          <w:p w14:paraId="32BE2E7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b/>
                <w:bCs/>
                <w:i w:val="0"/>
                <w:iCs w:val="0"/>
                <w:color w:val="auto"/>
                <w:sz w:val="21"/>
                <w:szCs w:val="21"/>
                <w:highlight w:val="none"/>
                <w:u w:val="none"/>
              </w:rPr>
            </w:pPr>
            <w:r>
              <w:rPr>
                <w:rFonts w:hint="default" w:ascii="Times New Roman" w:hAnsi="Times New Roman" w:eastAsia="楷体" w:cs="Times New Roman"/>
                <w:b/>
                <w:bCs/>
                <w:i w:val="0"/>
                <w:iCs w:val="0"/>
                <w:color w:val="auto"/>
                <w:kern w:val="0"/>
                <w:sz w:val="21"/>
                <w:szCs w:val="21"/>
                <w:highlight w:val="none"/>
                <w:u w:val="none"/>
                <w:lang w:val="en-US" w:eastAsia="zh-CN" w:bidi="ar"/>
              </w:rPr>
              <w:t>序号</w:t>
            </w:r>
          </w:p>
        </w:tc>
        <w:tc>
          <w:tcPr>
            <w:tcW w:w="2551" w:type="dxa"/>
            <w:shd w:val="clear" w:color="auto" w:fill="auto"/>
            <w:noWrap/>
            <w:vAlign w:val="center"/>
          </w:tcPr>
          <w:p w14:paraId="1CD1E8A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b/>
                <w:bCs/>
                <w:i w:val="0"/>
                <w:iCs w:val="0"/>
                <w:color w:val="auto"/>
                <w:sz w:val="21"/>
                <w:szCs w:val="21"/>
                <w:highlight w:val="none"/>
                <w:u w:val="none"/>
              </w:rPr>
            </w:pPr>
            <w:r>
              <w:rPr>
                <w:rFonts w:hint="default" w:ascii="Times New Roman" w:hAnsi="Times New Roman" w:eastAsia="楷体" w:cs="Times New Roman"/>
                <w:b/>
                <w:bCs/>
                <w:i w:val="0"/>
                <w:iCs w:val="0"/>
                <w:color w:val="auto"/>
                <w:kern w:val="0"/>
                <w:sz w:val="21"/>
                <w:szCs w:val="21"/>
                <w:highlight w:val="none"/>
                <w:u w:val="none"/>
                <w:lang w:val="en-US" w:eastAsia="zh-CN" w:bidi="ar"/>
              </w:rPr>
              <w:t>名称</w:t>
            </w:r>
          </w:p>
        </w:tc>
        <w:tc>
          <w:tcPr>
            <w:tcW w:w="6076" w:type="dxa"/>
            <w:shd w:val="clear" w:color="auto" w:fill="auto"/>
            <w:noWrap/>
            <w:vAlign w:val="center"/>
          </w:tcPr>
          <w:p w14:paraId="192857D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b/>
                <w:bCs/>
                <w:i w:val="0"/>
                <w:iCs w:val="0"/>
                <w:color w:val="auto"/>
                <w:sz w:val="21"/>
                <w:szCs w:val="21"/>
                <w:highlight w:val="none"/>
                <w:u w:val="none"/>
              </w:rPr>
            </w:pPr>
            <w:r>
              <w:rPr>
                <w:rFonts w:hint="default" w:ascii="Times New Roman" w:hAnsi="Times New Roman" w:eastAsia="楷体" w:cs="Times New Roman"/>
                <w:b/>
                <w:bCs/>
                <w:i w:val="0"/>
                <w:iCs w:val="0"/>
                <w:color w:val="auto"/>
                <w:kern w:val="0"/>
                <w:sz w:val="21"/>
                <w:szCs w:val="21"/>
                <w:highlight w:val="none"/>
                <w:u w:val="none"/>
                <w:lang w:val="en-US" w:eastAsia="zh-CN" w:bidi="ar"/>
              </w:rPr>
              <w:t>规格</w:t>
            </w:r>
          </w:p>
        </w:tc>
        <w:tc>
          <w:tcPr>
            <w:tcW w:w="1143" w:type="dxa"/>
            <w:shd w:val="clear" w:color="auto" w:fill="auto"/>
            <w:noWrap/>
            <w:vAlign w:val="center"/>
          </w:tcPr>
          <w:p w14:paraId="456B3ED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b/>
                <w:bCs/>
                <w:i w:val="0"/>
                <w:iCs w:val="0"/>
                <w:color w:val="auto"/>
                <w:sz w:val="21"/>
                <w:szCs w:val="21"/>
                <w:highlight w:val="none"/>
                <w:u w:val="none"/>
              </w:rPr>
            </w:pPr>
            <w:r>
              <w:rPr>
                <w:rFonts w:hint="default" w:ascii="Times New Roman" w:hAnsi="Times New Roman" w:eastAsia="楷体" w:cs="Times New Roman"/>
                <w:b/>
                <w:bCs/>
                <w:i w:val="0"/>
                <w:iCs w:val="0"/>
                <w:color w:val="auto"/>
                <w:kern w:val="0"/>
                <w:sz w:val="21"/>
                <w:szCs w:val="21"/>
                <w:highlight w:val="none"/>
                <w:u w:val="none"/>
                <w:lang w:val="en-US" w:eastAsia="zh-CN" w:bidi="ar"/>
              </w:rPr>
              <w:t>数量</w:t>
            </w:r>
          </w:p>
        </w:tc>
        <w:tc>
          <w:tcPr>
            <w:tcW w:w="1166" w:type="dxa"/>
            <w:shd w:val="clear" w:color="auto" w:fill="auto"/>
            <w:noWrap/>
            <w:vAlign w:val="center"/>
          </w:tcPr>
          <w:p w14:paraId="6EB1D3D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b/>
                <w:bCs/>
                <w:i w:val="0"/>
                <w:iCs w:val="0"/>
                <w:color w:val="auto"/>
                <w:sz w:val="21"/>
                <w:szCs w:val="21"/>
                <w:highlight w:val="none"/>
                <w:u w:val="none"/>
              </w:rPr>
            </w:pPr>
            <w:r>
              <w:rPr>
                <w:rFonts w:hint="default" w:ascii="Times New Roman" w:hAnsi="Times New Roman" w:eastAsia="楷体" w:cs="Times New Roman"/>
                <w:b/>
                <w:bCs/>
                <w:i w:val="0"/>
                <w:iCs w:val="0"/>
                <w:color w:val="auto"/>
                <w:kern w:val="0"/>
                <w:sz w:val="21"/>
                <w:szCs w:val="21"/>
                <w:highlight w:val="none"/>
                <w:u w:val="none"/>
                <w:lang w:val="en-US" w:eastAsia="zh-CN" w:bidi="ar"/>
              </w:rPr>
              <w:t>单位</w:t>
            </w:r>
          </w:p>
        </w:tc>
        <w:tc>
          <w:tcPr>
            <w:tcW w:w="1623" w:type="dxa"/>
            <w:shd w:val="clear" w:color="auto" w:fill="auto"/>
            <w:noWrap/>
            <w:vAlign w:val="center"/>
          </w:tcPr>
          <w:p w14:paraId="04B4952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b/>
                <w:bCs/>
                <w:i w:val="0"/>
                <w:iCs w:val="0"/>
                <w:color w:val="auto"/>
                <w:sz w:val="21"/>
                <w:szCs w:val="21"/>
                <w:highlight w:val="none"/>
                <w:u w:val="none"/>
              </w:rPr>
            </w:pPr>
            <w:r>
              <w:rPr>
                <w:rFonts w:hint="default" w:ascii="Times New Roman" w:hAnsi="Times New Roman" w:eastAsia="楷体" w:cs="Times New Roman"/>
                <w:b/>
                <w:bCs/>
                <w:i w:val="0"/>
                <w:iCs w:val="0"/>
                <w:color w:val="auto"/>
                <w:kern w:val="0"/>
                <w:sz w:val="21"/>
                <w:szCs w:val="21"/>
                <w:highlight w:val="none"/>
                <w:u w:val="none"/>
                <w:lang w:val="en-US" w:eastAsia="zh-CN" w:bidi="ar"/>
              </w:rPr>
              <w:t>备注</w:t>
            </w:r>
          </w:p>
        </w:tc>
      </w:tr>
      <w:tr w14:paraId="71D1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078" w:type="dxa"/>
            <w:gridSpan w:val="6"/>
            <w:shd w:val="clear" w:color="auto" w:fill="auto"/>
            <w:noWrap/>
            <w:vAlign w:val="center"/>
          </w:tcPr>
          <w:p w14:paraId="1EC0179F">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楷体" w:cs="Times New Roman"/>
                <w:b/>
                <w:bCs/>
                <w:i w:val="0"/>
                <w:iCs w:val="0"/>
                <w:color w:val="auto"/>
                <w:sz w:val="21"/>
                <w:szCs w:val="21"/>
                <w:highlight w:val="none"/>
                <w:u w:val="none"/>
              </w:rPr>
            </w:pPr>
            <w:r>
              <w:rPr>
                <w:rFonts w:hint="default" w:ascii="Times New Roman" w:hAnsi="Times New Roman" w:eastAsia="楷体" w:cs="Times New Roman"/>
                <w:b/>
                <w:bCs/>
                <w:i w:val="0"/>
                <w:iCs w:val="0"/>
                <w:color w:val="auto"/>
                <w:kern w:val="0"/>
                <w:sz w:val="21"/>
                <w:szCs w:val="21"/>
                <w:highlight w:val="none"/>
                <w:u w:val="none"/>
                <w:lang w:val="en-US" w:eastAsia="zh-CN" w:bidi="ar"/>
              </w:rPr>
              <w:t>一、提升泵池</w:t>
            </w:r>
          </w:p>
        </w:tc>
      </w:tr>
      <w:tr w14:paraId="2E761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19" w:type="dxa"/>
            <w:shd w:val="clear" w:color="auto" w:fill="auto"/>
            <w:noWrap/>
            <w:vAlign w:val="center"/>
          </w:tcPr>
          <w:p w14:paraId="3585D87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w:t>
            </w:r>
          </w:p>
        </w:tc>
        <w:tc>
          <w:tcPr>
            <w:tcW w:w="2551" w:type="dxa"/>
            <w:shd w:val="clear" w:color="auto" w:fill="auto"/>
            <w:noWrap/>
            <w:vAlign w:val="center"/>
          </w:tcPr>
          <w:p w14:paraId="100E35D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潜水泵</w:t>
            </w:r>
          </w:p>
        </w:tc>
        <w:tc>
          <w:tcPr>
            <w:tcW w:w="6076" w:type="dxa"/>
            <w:shd w:val="clear" w:color="auto" w:fill="auto"/>
            <w:noWrap/>
            <w:vAlign w:val="center"/>
          </w:tcPr>
          <w:p w14:paraId="1672688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Q=1700m³/h，H=6m，N=37kW</w:t>
            </w:r>
          </w:p>
        </w:tc>
        <w:tc>
          <w:tcPr>
            <w:tcW w:w="1143" w:type="dxa"/>
            <w:shd w:val="clear" w:color="auto" w:fill="auto"/>
            <w:noWrap/>
            <w:vAlign w:val="center"/>
          </w:tcPr>
          <w:p w14:paraId="7F9E8C7F">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w:t>
            </w:r>
          </w:p>
        </w:tc>
        <w:tc>
          <w:tcPr>
            <w:tcW w:w="1166" w:type="dxa"/>
            <w:shd w:val="clear" w:color="auto" w:fill="auto"/>
            <w:noWrap/>
            <w:vAlign w:val="center"/>
          </w:tcPr>
          <w:p w14:paraId="65E358A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台</w:t>
            </w:r>
          </w:p>
        </w:tc>
        <w:tc>
          <w:tcPr>
            <w:tcW w:w="1623" w:type="dxa"/>
            <w:shd w:val="clear" w:color="auto" w:fill="auto"/>
            <w:noWrap/>
            <w:vAlign w:val="center"/>
          </w:tcPr>
          <w:p w14:paraId="202BD4F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3用1备</w:t>
            </w:r>
          </w:p>
        </w:tc>
      </w:tr>
      <w:tr w14:paraId="50725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4078" w:type="dxa"/>
            <w:gridSpan w:val="6"/>
            <w:shd w:val="clear" w:color="auto" w:fill="auto"/>
            <w:noWrap/>
            <w:vAlign w:val="center"/>
          </w:tcPr>
          <w:p w14:paraId="299BF58E">
            <w:pPr>
              <w:keepNext w:val="0"/>
              <w:keepLines w:val="0"/>
              <w:pageBreakBefore w:val="0"/>
              <w:widowControl/>
              <w:kinsoku/>
              <w:wordWrap/>
              <w:overflowPunct/>
              <w:topLinePunct w:val="0"/>
              <w:autoSpaceDE/>
              <w:autoSpaceDN/>
              <w:bidi w:val="0"/>
              <w:adjustRightInd/>
              <w:snapToGrid/>
              <w:rPr>
                <w:rFonts w:hint="default" w:ascii="Times New Roman" w:hAnsi="Times New Roman" w:eastAsia="楷体" w:cs="Times New Roman"/>
                <w:b/>
                <w:bCs/>
                <w:i w:val="0"/>
                <w:iCs w:val="0"/>
                <w:color w:val="auto"/>
                <w:sz w:val="21"/>
                <w:szCs w:val="21"/>
                <w:highlight w:val="none"/>
                <w:u w:val="none"/>
              </w:rPr>
            </w:pPr>
            <w:r>
              <w:rPr>
                <w:rFonts w:hint="default" w:ascii="Times New Roman" w:hAnsi="Times New Roman" w:eastAsia="楷体" w:cs="Times New Roman"/>
                <w:b/>
                <w:bCs/>
                <w:i w:val="0"/>
                <w:iCs w:val="0"/>
                <w:color w:val="auto"/>
                <w:kern w:val="0"/>
                <w:sz w:val="21"/>
                <w:szCs w:val="21"/>
                <w:highlight w:val="none"/>
                <w:u w:val="none"/>
                <w:lang w:val="en-US" w:eastAsia="zh-CN" w:bidi="ar"/>
              </w:rPr>
              <w:t>二、后置反硝化滤池</w:t>
            </w:r>
          </w:p>
        </w:tc>
      </w:tr>
      <w:tr w14:paraId="23BB0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19" w:type="dxa"/>
            <w:shd w:val="clear" w:color="auto" w:fill="auto"/>
            <w:noWrap/>
            <w:vAlign w:val="center"/>
          </w:tcPr>
          <w:p w14:paraId="69A14A0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w:t>
            </w:r>
          </w:p>
        </w:tc>
        <w:tc>
          <w:tcPr>
            <w:tcW w:w="2551" w:type="dxa"/>
            <w:shd w:val="clear" w:color="auto" w:fill="auto"/>
            <w:noWrap/>
            <w:vAlign w:val="center"/>
          </w:tcPr>
          <w:p w14:paraId="32427C6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出水气动闸板阀</w:t>
            </w:r>
          </w:p>
        </w:tc>
        <w:tc>
          <w:tcPr>
            <w:tcW w:w="6076" w:type="dxa"/>
            <w:shd w:val="clear" w:color="auto" w:fill="auto"/>
            <w:noWrap/>
            <w:vAlign w:val="center"/>
          </w:tcPr>
          <w:p w14:paraId="43DFF6E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阀体：L×B=500×500mm，材质：不锈钢304</w:t>
            </w:r>
          </w:p>
        </w:tc>
        <w:tc>
          <w:tcPr>
            <w:tcW w:w="1143" w:type="dxa"/>
            <w:shd w:val="clear" w:color="auto" w:fill="auto"/>
            <w:noWrap/>
            <w:vAlign w:val="center"/>
          </w:tcPr>
          <w:p w14:paraId="341F953A">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10</w:t>
            </w:r>
          </w:p>
        </w:tc>
        <w:tc>
          <w:tcPr>
            <w:tcW w:w="1166" w:type="dxa"/>
            <w:shd w:val="clear" w:color="auto" w:fill="auto"/>
            <w:noWrap/>
            <w:vAlign w:val="center"/>
          </w:tcPr>
          <w:p w14:paraId="6C45FAB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套</w:t>
            </w:r>
          </w:p>
        </w:tc>
        <w:tc>
          <w:tcPr>
            <w:tcW w:w="1623" w:type="dxa"/>
            <w:shd w:val="clear" w:color="auto" w:fill="auto"/>
            <w:noWrap/>
            <w:vAlign w:val="center"/>
          </w:tcPr>
          <w:p w14:paraId="3DB3EE2C">
            <w:pPr>
              <w:keepNext w:val="0"/>
              <w:keepLines w:val="0"/>
              <w:pageBreakBefore w:val="0"/>
              <w:widowControl/>
              <w:kinsoku/>
              <w:wordWrap/>
              <w:overflowPunct/>
              <w:topLinePunct w:val="0"/>
              <w:autoSpaceDE/>
              <w:autoSpaceDN/>
              <w:bidi w:val="0"/>
              <w:adjustRightInd/>
              <w:snapToGrid/>
              <w:jc w:val="left"/>
              <w:rPr>
                <w:rFonts w:hint="default" w:ascii="Times New Roman" w:hAnsi="Times New Roman" w:eastAsia="楷体" w:cs="Times New Roman"/>
                <w:i w:val="0"/>
                <w:iCs w:val="0"/>
                <w:color w:val="auto"/>
                <w:sz w:val="21"/>
                <w:szCs w:val="21"/>
                <w:highlight w:val="none"/>
                <w:u w:val="none"/>
              </w:rPr>
            </w:pPr>
          </w:p>
        </w:tc>
      </w:tr>
      <w:tr w14:paraId="758F6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519" w:type="dxa"/>
            <w:shd w:val="clear" w:color="auto" w:fill="auto"/>
            <w:noWrap/>
            <w:vAlign w:val="center"/>
          </w:tcPr>
          <w:p w14:paraId="104FCA6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w:t>
            </w:r>
          </w:p>
        </w:tc>
        <w:tc>
          <w:tcPr>
            <w:tcW w:w="2551" w:type="dxa"/>
            <w:shd w:val="clear" w:color="auto" w:fill="auto"/>
            <w:noWrap/>
            <w:vAlign w:val="center"/>
          </w:tcPr>
          <w:p w14:paraId="0E4DD45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反洗排水气动翻板阀</w:t>
            </w:r>
          </w:p>
        </w:tc>
        <w:tc>
          <w:tcPr>
            <w:tcW w:w="6076" w:type="dxa"/>
            <w:shd w:val="clear" w:color="auto" w:fill="auto"/>
            <w:noWrap/>
            <w:vAlign w:val="center"/>
          </w:tcPr>
          <w:p w14:paraId="31D8B91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阀体：L×B=2700×200mm，一拖二，材质：不锈钢304</w:t>
            </w:r>
          </w:p>
        </w:tc>
        <w:tc>
          <w:tcPr>
            <w:tcW w:w="1143" w:type="dxa"/>
            <w:shd w:val="clear" w:color="auto" w:fill="auto"/>
            <w:noWrap/>
            <w:vAlign w:val="center"/>
          </w:tcPr>
          <w:p w14:paraId="6929D540">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10</w:t>
            </w:r>
          </w:p>
        </w:tc>
        <w:tc>
          <w:tcPr>
            <w:tcW w:w="1166" w:type="dxa"/>
            <w:shd w:val="clear" w:color="auto" w:fill="auto"/>
            <w:noWrap/>
            <w:vAlign w:val="center"/>
          </w:tcPr>
          <w:p w14:paraId="2108E23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套</w:t>
            </w:r>
          </w:p>
        </w:tc>
        <w:tc>
          <w:tcPr>
            <w:tcW w:w="1623" w:type="dxa"/>
            <w:shd w:val="clear" w:color="auto" w:fill="auto"/>
            <w:noWrap/>
            <w:vAlign w:val="center"/>
          </w:tcPr>
          <w:p w14:paraId="3EA429C9">
            <w:pPr>
              <w:keepNext w:val="0"/>
              <w:keepLines w:val="0"/>
              <w:pageBreakBefore w:val="0"/>
              <w:widowControl/>
              <w:kinsoku/>
              <w:wordWrap/>
              <w:overflowPunct/>
              <w:topLinePunct w:val="0"/>
              <w:autoSpaceDE/>
              <w:autoSpaceDN/>
              <w:bidi w:val="0"/>
              <w:adjustRightInd/>
              <w:snapToGrid/>
              <w:jc w:val="left"/>
              <w:rPr>
                <w:rFonts w:hint="default" w:ascii="Times New Roman" w:hAnsi="Times New Roman" w:eastAsia="楷体" w:cs="Times New Roman"/>
                <w:i w:val="0"/>
                <w:iCs w:val="0"/>
                <w:color w:val="auto"/>
                <w:sz w:val="21"/>
                <w:szCs w:val="21"/>
                <w:highlight w:val="none"/>
                <w:u w:val="none"/>
              </w:rPr>
            </w:pPr>
          </w:p>
        </w:tc>
      </w:tr>
      <w:tr w14:paraId="71784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519" w:type="dxa"/>
            <w:shd w:val="clear" w:color="auto" w:fill="auto"/>
            <w:noWrap/>
            <w:vAlign w:val="center"/>
          </w:tcPr>
          <w:p w14:paraId="4F56B6D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w:t>
            </w:r>
          </w:p>
        </w:tc>
        <w:tc>
          <w:tcPr>
            <w:tcW w:w="2551" w:type="dxa"/>
            <w:shd w:val="clear" w:color="auto" w:fill="auto"/>
            <w:noWrap/>
            <w:vAlign w:val="center"/>
          </w:tcPr>
          <w:p w14:paraId="68AD6FA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进水调节气动蝶阀</w:t>
            </w:r>
          </w:p>
        </w:tc>
        <w:tc>
          <w:tcPr>
            <w:tcW w:w="6076" w:type="dxa"/>
            <w:shd w:val="clear" w:color="auto" w:fill="auto"/>
            <w:noWrap/>
            <w:vAlign w:val="center"/>
          </w:tcPr>
          <w:p w14:paraId="183A39D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DN500，PN=1.0MPa</w:t>
            </w:r>
          </w:p>
        </w:tc>
        <w:tc>
          <w:tcPr>
            <w:tcW w:w="1143" w:type="dxa"/>
            <w:shd w:val="clear" w:color="auto" w:fill="auto"/>
            <w:noWrap/>
            <w:vAlign w:val="center"/>
          </w:tcPr>
          <w:p w14:paraId="31BB741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10</w:t>
            </w:r>
          </w:p>
        </w:tc>
        <w:tc>
          <w:tcPr>
            <w:tcW w:w="1166" w:type="dxa"/>
            <w:shd w:val="clear" w:color="auto" w:fill="auto"/>
            <w:noWrap/>
            <w:vAlign w:val="center"/>
          </w:tcPr>
          <w:p w14:paraId="6EDFBD1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套</w:t>
            </w:r>
          </w:p>
        </w:tc>
        <w:tc>
          <w:tcPr>
            <w:tcW w:w="1623" w:type="dxa"/>
            <w:shd w:val="clear" w:color="auto" w:fill="auto"/>
            <w:noWrap/>
            <w:vAlign w:val="center"/>
          </w:tcPr>
          <w:p w14:paraId="367F096A">
            <w:pPr>
              <w:keepNext w:val="0"/>
              <w:keepLines w:val="0"/>
              <w:pageBreakBefore w:val="0"/>
              <w:widowControl/>
              <w:kinsoku/>
              <w:wordWrap/>
              <w:overflowPunct/>
              <w:topLinePunct w:val="0"/>
              <w:autoSpaceDE/>
              <w:autoSpaceDN/>
              <w:bidi w:val="0"/>
              <w:adjustRightInd/>
              <w:snapToGrid/>
              <w:jc w:val="left"/>
              <w:rPr>
                <w:rFonts w:hint="default" w:ascii="Times New Roman" w:hAnsi="Times New Roman" w:eastAsia="楷体" w:cs="Times New Roman"/>
                <w:i w:val="0"/>
                <w:iCs w:val="0"/>
                <w:color w:val="auto"/>
                <w:sz w:val="21"/>
                <w:szCs w:val="21"/>
                <w:highlight w:val="none"/>
                <w:u w:val="none"/>
              </w:rPr>
            </w:pPr>
          </w:p>
        </w:tc>
      </w:tr>
      <w:tr w14:paraId="0BB6B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519" w:type="dxa"/>
            <w:shd w:val="clear" w:color="auto" w:fill="auto"/>
            <w:noWrap/>
            <w:vAlign w:val="center"/>
          </w:tcPr>
          <w:p w14:paraId="1CC6FF0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w:t>
            </w:r>
          </w:p>
        </w:tc>
        <w:tc>
          <w:tcPr>
            <w:tcW w:w="2551" w:type="dxa"/>
            <w:shd w:val="clear" w:color="auto" w:fill="auto"/>
            <w:noWrap/>
            <w:vAlign w:val="center"/>
          </w:tcPr>
          <w:p w14:paraId="00B6D8C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反洗进水气动蝶阀</w:t>
            </w:r>
          </w:p>
        </w:tc>
        <w:tc>
          <w:tcPr>
            <w:tcW w:w="6076" w:type="dxa"/>
            <w:shd w:val="clear" w:color="auto" w:fill="auto"/>
            <w:noWrap/>
            <w:vAlign w:val="center"/>
          </w:tcPr>
          <w:p w14:paraId="4FCB116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DN600，PN=1.0MPa</w:t>
            </w:r>
          </w:p>
        </w:tc>
        <w:tc>
          <w:tcPr>
            <w:tcW w:w="1143" w:type="dxa"/>
            <w:shd w:val="clear" w:color="auto" w:fill="auto"/>
            <w:noWrap/>
            <w:vAlign w:val="center"/>
          </w:tcPr>
          <w:p w14:paraId="3E6FD1B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12</w:t>
            </w:r>
          </w:p>
        </w:tc>
        <w:tc>
          <w:tcPr>
            <w:tcW w:w="1166" w:type="dxa"/>
            <w:shd w:val="clear" w:color="auto" w:fill="auto"/>
            <w:noWrap/>
            <w:vAlign w:val="center"/>
          </w:tcPr>
          <w:p w14:paraId="74FA3A7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套</w:t>
            </w:r>
          </w:p>
        </w:tc>
        <w:tc>
          <w:tcPr>
            <w:tcW w:w="1623" w:type="dxa"/>
            <w:shd w:val="clear" w:color="auto" w:fill="auto"/>
            <w:noWrap/>
            <w:vAlign w:val="center"/>
          </w:tcPr>
          <w:p w14:paraId="23C483FE">
            <w:pPr>
              <w:keepNext w:val="0"/>
              <w:keepLines w:val="0"/>
              <w:pageBreakBefore w:val="0"/>
              <w:widowControl/>
              <w:kinsoku/>
              <w:wordWrap/>
              <w:overflowPunct/>
              <w:topLinePunct w:val="0"/>
              <w:autoSpaceDE/>
              <w:autoSpaceDN/>
              <w:bidi w:val="0"/>
              <w:adjustRightInd/>
              <w:snapToGrid/>
              <w:jc w:val="left"/>
              <w:rPr>
                <w:rFonts w:hint="default" w:ascii="Times New Roman" w:hAnsi="Times New Roman" w:eastAsia="楷体" w:cs="Times New Roman"/>
                <w:i w:val="0"/>
                <w:iCs w:val="0"/>
                <w:color w:val="auto"/>
                <w:sz w:val="21"/>
                <w:szCs w:val="21"/>
                <w:highlight w:val="none"/>
                <w:u w:val="none"/>
              </w:rPr>
            </w:pPr>
          </w:p>
        </w:tc>
      </w:tr>
      <w:tr w14:paraId="0FD2C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19" w:type="dxa"/>
            <w:shd w:val="clear" w:color="auto" w:fill="auto"/>
            <w:noWrap/>
            <w:vAlign w:val="center"/>
          </w:tcPr>
          <w:p w14:paraId="7C90F92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5</w:t>
            </w:r>
          </w:p>
        </w:tc>
        <w:tc>
          <w:tcPr>
            <w:tcW w:w="2551" w:type="dxa"/>
            <w:shd w:val="clear" w:color="auto" w:fill="auto"/>
            <w:noWrap/>
            <w:vAlign w:val="center"/>
          </w:tcPr>
          <w:p w14:paraId="48DB5A3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反洗进气气动蝶阀</w:t>
            </w:r>
          </w:p>
        </w:tc>
        <w:tc>
          <w:tcPr>
            <w:tcW w:w="6076" w:type="dxa"/>
            <w:shd w:val="clear" w:color="auto" w:fill="auto"/>
            <w:noWrap/>
            <w:vAlign w:val="center"/>
          </w:tcPr>
          <w:p w14:paraId="2E2ABFC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DN350，PN=1.0MPa</w:t>
            </w:r>
          </w:p>
        </w:tc>
        <w:tc>
          <w:tcPr>
            <w:tcW w:w="1143" w:type="dxa"/>
            <w:shd w:val="clear" w:color="auto" w:fill="auto"/>
            <w:noWrap/>
            <w:vAlign w:val="center"/>
          </w:tcPr>
          <w:p w14:paraId="4C38ED82">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10</w:t>
            </w:r>
          </w:p>
        </w:tc>
        <w:tc>
          <w:tcPr>
            <w:tcW w:w="1166" w:type="dxa"/>
            <w:shd w:val="clear" w:color="auto" w:fill="auto"/>
            <w:noWrap/>
            <w:vAlign w:val="center"/>
          </w:tcPr>
          <w:p w14:paraId="2837015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套</w:t>
            </w:r>
          </w:p>
        </w:tc>
        <w:tc>
          <w:tcPr>
            <w:tcW w:w="1623" w:type="dxa"/>
            <w:shd w:val="clear" w:color="auto" w:fill="auto"/>
            <w:noWrap/>
            <w:vAlign w:val="center"/>
          </w:tcPr>
          <w:p w14:paraId="0DF16707">
            <w:pPr>
              <w:keepNext w:val="0"/>
              <w:keepLines w:val="0"/>
              <w:pageBreakBefore w:val="0"/>
              <w:widowControl/>
              <w:kinsoku/>
              <w:wordWrap/>
              <w:overflowPunct/>
              <w:topLinePunct w:val="0"/>
              <w:autoSpaceDE/>
              <w:autoSpaceDN/>
              <w:bidi w:val="0"/>
              <w:adjustRightInd/>
              <w:snapToGrid/>
              <w:jc w:val="left"/>
              <w:rPr>
                <w:rFonts w:hint="default" w:ascii="Times New Roman" w:hAnsi="Times New Roman" w:eastAsia="楷体" w:cs="Times New Roman"/>
                <w:i w:val="0"/>
                <w:iCs w:val="0"/>
                <w:color w:val="auto"/>
                <w:sz w:val="21"/>
                <w:szCs w:val="21"/>
                <w:highlight w:val="none"/>
                <w:u w:val="none"/>
              </w:rPr>
            </w:pPr>
          </w:p>
        </w:tc>
      </w:tr>
      <w:tr w14:paraId="7FF46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19" w:type="dxa"/>
            <w:shd w:val="clear" w:color="auto" w:fill="auto"/>
            <w:noWrap/>
            <w:vAlign w:val="center"/>
          </w:tcPr>
          <w:p w14:paraId="36CBCF6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6</w:t>
            </w:r>
          </w:p>
        </w:tc>
        <w:tc>
          <w:tcPr>
            <w:tcW w:w="2551" w:type="dxa"/>
            <w:shd w:val="clear" w:color="auto" w:fill="auto"/>
            <w:noWrap/>
            <w:vAlign w:val="center"/>
          </w:tcPr>
          <w:p w14:paraId="447AB35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排气气动蝶阀</w:t>
            </w:r>
          </w:p>
        </w:tc>
        <w:tc>
          <w:tcPr>
            <w:tcW w:w="6076" w:type="dxa"/>
            <w:shd w:val="clear" w:color="auto" w:fill="auto"/>
            <w:noWrap/>
            <w:vAlign w:val="center"/>
          </w:tcPr>
          <w:p w14:paraId="7ACBE72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DN50，PN=1.0MPa</w:t>
            </w:r>
          </w:p>
        </w:tc>
        <w:tc>
          <w:tcPr>
            <w:tcW w:w="1143" w:type="dxa"/>
            <w:shd w:val="clear" w:color="auto" w:fill="auto"/>
            <w:noWrap/>
            <w:vAlign w:val="center"/>
          </w:tcPr>
          <w:p w14:paraId="6E171335">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10</w:t>
            </w:r>
          </w:p>
        </w:tc>
        <w:tc>
          <w:tcPr>
            <w:tcW w:w="1166" w:type="dxa"/>
            <w:shd w:val="clear" w:color="auto" w:fill="auto"/>
            <w:noWrap/>
            <w:vAlign w:val="center"/>
          </w:tcPr>
          <w:p w14:paraId="05F0049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套</w:t>
            </w:r>
          </w:p>
        </w:tc>
        <w:tc>
          <w:tcPr>
            <w:tcW w:w="1623" w:type="dxa"/>
            <w:shd w:val="clear" w:color="auto" w:fill="auto"/>
            <w:noWrap/>
            <w:vAlign w:val="center"/>
          </w:tcPr>
          <w:p w14:paraId="5366D127">
            <w:pPr>
              <w:keepNext w:val="0"/>
              <w:keepLines w:val="0"/>
              <w:pageBreakBefore w:val="0"/>
              <w:widowControl/>
              <w:kinsoku/>
              <w:wordWrap/>
              <w:overflowPunct/>
              <w:topLinePunct w:val="0"/>
              <w:autoSpaceDE/>
              <w:autoSpaceDN/>
              <w:bidi w:val="0"/>
              <w:adjustRightInd/>
              <w:snapToGrid/>
              <w:jc w:val="left"/>
              <w:rPr>
                <w:rFonts w:hint="default" w:ascii="Times New Roman" w:hAnsi="Times New Roman" w:eastAsia="楷体" w:cs="Times New Roman"/>
                <w:i w:val="0"/>
                <w:iCs w:val="0"/>
                <w:color w:val="auto"/>
                <w:sz w:val="21"/>
                <w:szCs w:val="21"/>
                <w:highlight w:val="none"/>
                <w:u w:val="none"/>
              </w:rPr>
            </w:pPr>
          </w:p>
        </w:tc>
      </w:tr>
      <w:tr w14:paraId="00A82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19" w:type="dxa"/>
            <w:shd w:val="clear" w:color="auto" w:fill="auto"/>
            <w:noWrap/>
            <w:vAlign w:val="center"/>
          </w:tcPr>
          <w:p w14:paraId="06160F9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7</w:t>
            </w:r>
          </w:p>
        </w:tc>
        <w:tc>
          <w:tcPr>
            <w:tcW w:w="2551" w:type="dxa"/>
            <w:shd w:val="clear" w:color="auto" w:fill="auto"/>
            <w:noWrap/>
            <w:vAlign w:val="center"/>
          </w:tcPr>
          <w:p w14:paraId="0E6DFB3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石英砂滤料</w:t>
            </w:r>
          </w:p>
        </w:tc>
        <w:tc>
          <w:tcPr>
            <w:tcW w:w="6076" w:type="dxa"/>
            <w:shd w:val="clear" w:color="auto" w:fill="auto"/>
            <w:noWrap/>
            <w:vAlign w:val="center"/>
          </w:tcPr>
          <w:p w14:paraId="37B7562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石英砂，有效粒径2～4mm，厚度2.4m</w:t>
            </w:r>
          </w:p>
        </w:tc>
        <w:tc>
          <w:tcPr>
            <w:tcW w:w="1143" w:type="dxa"/>
            <w:shd w:val="clear" w:color="auto" w:fill="auto"/>
            <w:noWrap/>
            <w:vAlign w:val="center"/>
          </w:tcPr>
          <w:p w14:paraId="65F4F3D0">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1796</w:t>
            </w:r>
          </w:p>
        </w:tc>
        <w:tc>
          <w:tcPr>
            <w:tcW w:w="1166" w:type="dxa"/>
            <w:shd w:val="clear" w:color="auto" w:fill="auto"/>
            <w:noWrap/>
            <w:vAlign w:val="center"/>
          </w:tcPr>
          <w:p w14:paraId="75989B2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m³</w:t>
            </w:r>
          </w:p>
        </w:tc>
        <w:tc>
          <w:tcPr>
            <w:tcW w:w="1623" w:type="dxa"/>
            <w:shd w:val="clear" w:color="auto" w:fill="auto"/>
            <w:noWrap/>
            <w:vAlign w:val="center"/>
          </w:tcPr>
          <w:p w14:paraId="41A1C103">
            <w:pPr>
              <w:keepNext w:val="0"/>
              <w:keepLines w:val="0"/>
              <w:pageBreakBefore w:val="0"/>
              <w:widowControl/>
              <w:kinsoku/>
              <w:wordWrap/>
              <w:overflowPunct/>
              <w:topLinePunct w:val="0"/>
              <w:autoSpaceDE/>
              <w:autoSpaceDN/>
              <w:bidi w:val="0"/>
              <w:adjustRightInd/>
              <w:snapToGrid/>
              <w:jc w:val="left"/>
              <w:rPr>
                <w:rFonts w:hint="default" w:ascii="Times New Roman" w:hAnsi="Times New Roman" w:eastAsia="楷体" w:cs="Times New Roman"/>
                <w:i w:val="0"/>
                <w:iCs w:val="0"/>
                <w:color w:val="auto"/>
                <w:sz w:val="21"/>
                <w:szCs w:val="21"/>
                <w:highlight w:val="none"/>
                <w:u w:val="none"/>
              </w:rPr>
            </w:pPr>
          </w:p>
        </w:tc>
      </w:tr>
      <w:tr w14:paraId="45AD4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519" w:type="dxa"/>
            <w:shd w:val="clear" w:color="auto" w:fill="auto"/>
            <w:noWrap/>
            <w:vAlign w:val="center"/>
          </w:tcPr>
          <w:p w14:paraId="50C22FE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8</w:t>
            </w:r>
          </w:p>
        </w:tc>
        <w:tc>
          <w:tcPr>
            <w:tcW w:w="2551" w:type="dxa"/>
            <w:shd w:val="clear" w:color="auto" w:fill="auto"/>
            <w:noWrap/>
            <w:vAlign w:val="center"/>
          </w:tcPr>
          <w:p w14:paraId="62C684C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卵石承托层</w:t>
            </w:r>
          </w:p>
        </w:tc>
        <w:tc>
          <w:tcPr>
            <w:tcW w:w="6076" w:type="dxa"/>
            <w:shd w:val="clear" w:color="auto" w:fill="auto"/>
            <w:noWrap/>
            <w:vAlign w:val="center"/>
          </w:tcPr>
          <w:p w14:paraId="4BE8E12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天然鹅卵石，有效粒径4～32mm，厚度0.3m</w:t>
            </w:r>
          </w:p>
        </w:tc>
        <w:tc>
          <w:tcPr>
            <w:tcW w:w="1143" w:type="dxa"/>
            <w:shd w:val="clear" w:color="auto" w:fill="auto"/>
            <w:noWrap/>
            <w:vAlign w:val="center"/>
          </w:tcPr>
          <w:p w14:paraId="0D12010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225</w:t>
            </w:r>
          </w:p>
        </w:tc>
        <w:tc>
          <w:tcPr>
            <w:tcW w:w="1166" w:type="dxa"/>
            <w:shd w:val="clear" w:color="auto" w:fill="auto"/>
            <w:noWrap/>
            <w:vAlign w:val="center"/>
          </w:tcPr>
          <w:p w14:paraId="6CE788F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m³</w:t>
            </w:r>
          </w:p>
        </w:tc>
        <w:tc>
          <w:tcPr>
            <w:tcW w:w="1623" w:type="dxa"/>
            <w:shd w:val="clear" w:color="auto" w:fill="auto"/>
            <w:noWrap/>
            <w:vAlign w:val="center"/>
          </w:tcPr>
          <w:p w14:paraId="2FCA2054">
            <w:pPr>
              <w:keepNext w:val="0"/>
              <w:keepLines w:val="0"/>
              <w:pageBreakBefore w:val="0"/>
              <w:widowControl/>
              <w:kinsoku/>
              <w:wordWrap/>
              <w:overflowPunct/>
              <w:topLinePunct w:val="0"/>
              <w:autoSpaceDE/>
              <w:autoSpaceDN/>
              <w:bidi w:val="0"/>
              <w:adjustRightInd/>
              <w:snapToGrid/>
              <w:jc w:val="left"/>
              <w:rPr>
                <w:rFonts w:hint="default" w:ascii="Times New Roman" w:hAnsi="Times New Roman" w:eastAsia="楷体" w:cs="Times New Roman"/>
                <w:i w:val="0"/>
                <w:iCs w:val="0"/>
                <w:color w:val="auto"/>
                <w:sz w:val="21"/>
                <w:szCs w:val="21"/>
                <w:highlight w:val="none"/>
                <w:u w:val="none"/>
              </w:rPr>
            </w:pPr>
          </w:p>
        </w:tc>
      </w:tr>
      <w:tr w14:paraId="06400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519" w:type="dxa"/>
            <w:shd w:val="clear" w:color="auto" w:fill="auto"/>
            <w:noWrap/>
            <w:vAlign w:val="center"/>
          </w:tcPr>
          <w:p w14:paraId="5741AC1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9</w:t>
            </w:r>
          </w:p>
        </w:tc>
        <w:tc>
          <w:tcPr>
            <w:tcW w:w="2551" w:type="dxa"/>
            <w:shd w:val="clear" w:color="auto" w:fill="auto"/>
            <w:noWrap/>
            <w:vAlign w:val="center"/>
          </w:tcPr>
          <w:p w14:paraId="503B40C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多功能滤管</w:t>
            </w:r>
          </w:p>
        </w:tc>
        <w:tc>
          <w:tcPr>
            <w:tcW w:w="6076" w:type="dxa"/>
            <w:shd w:val="clear" w:color="auto" w:fill="auto"/>
            <w:noWrap/>
            <w:vAlign w:val="center"/>
          </w:tcPr>
          <w:p w14:paraId="308BABC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QLB-II，HDPE材质，L=3330mm</w:t>
            </w:r>
          </w:p>
        </w:tc>
        <w:tc>
          <w:tcPr>
            <w:tcW w:w="1143" w:type="dxa"/>
            <w:shd w:val="clear" w:color="auto" w:fill="auto"/>
            <w:noWrap/>
            <w:vAlign w:val="center"/>
          </w:tcPr>
          <w:p w14:paraId="634D0FC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748</w:t>
            </w:r>
          </w:p>
        </w:tc>
        <w:tc>
          <w:tcPr>
            <w:tcW w:w="1166" w:type="dxa"/>
            <w:shd w:val="clear" w:color="auto" w:fill="auto"/>
            <w:noWrap/>
            <w:vAlign w:val="center"/>
          </w:tcPr>
          <w:p w14:paraId="002B5B7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w:t>
            </w:r>
          </w:p>
        </w:tc>
        <w:tc>
          <w:tcPr>
            <w:tcW w:w="1623" w:type="dxa"/>
            <w:shd w:val="clear" w:color="auto" w:fill="auto"/>
            <w:noWrap/>
            <w:vAlign w:val="center"/>
          </w:tcPr>
          <w:p w14:paraId="299E5E33">
            <w:pPr>
              <w:keepNext w:val="0"/>
              <w:keepLines w:val="0"/>
              <w:pageBreakBefore w:val="0"/>
              <w:widowControl/>
              <w:kinsoku/>
              <w:wordWrap/>
              <w:overflowPunct/>
              <w:topLinePunct w:val="0"/>
              <w:autoSpaceDE/>
              <w:autoSpaceDN/>
              <w:bidi w:val="0"/>
              <w:adjustRightInd/>
              <w:snapToGrid/>
              <w:jc w:val="left"/>
              <w:rPr>
                <w:rFonts w:hint="default" w:ascii="Times New Roman" w:hAnsi="Times New Roman" w:eastAsia="楷体" w:cs="Times New Roman"/>
                <w:i w:val="0"/>
                <w:iCs w:val="0"/>
                <w:color w:val="auto"/>
                <w:sz w:val="21"/>
                <w:szCs w:val="21"/>
                <w:highlight w:val="none"/>
                <w:u w:val="none"/>
              </w:rPr>
            </w:pPr>
          </w:p>
        </w:tc>
      </w:tr>
      <w:tr w14:paraId="3CB97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078" w:type="dxa"/>
            <w:gridSpan w:val="6"/>
            <w:shd w:val="clear" w:color="auto" w:fill="auto"/>
            <w:noWrap/>
            <w:vAlign w:val="center"/>
          </w:tcPr>
          <w:p w14:paraId="33A112D8">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楷体" w:cs="Times New Roman"/>
                <w:b/>
                <w:bCs/>
                <w:i w:val="0"/>
                <w:iCs w:val="0"/>
                <w:color w:val="auto"/>
                <w:sz w:val="21"/>
                <w:szCs w:val="21"/>
                <w:highlight w:val="none"/>
                <w:u w:val="none"/>
              </w:rPr>
            </w:pPr>
            <w:r>
              <w:rPr>
                <w:rFonts w:hint="default" w:ascii="Times New Roman" w:hAnsi="Times New Roman" w:eastAsia="楷体" w:cs="Times New Roman"/>
                <w:b/>
                <w:bCs/>
                <w:i w:val="0"/>
                <w:iCs w:val="0"/>
                <w:color w:val="auto"/>
                <w:kern w:val="0"/>
                <w:sz w:val="21"/>
                <w:szCs w:val="21"/>
                <w:highlight w:val="none"/>
                <w:u w:val="none"/>
                <w:lang w:val="en-US" w:eastAsia="zh-CN" w:bidi="ar"/>
              </w:rPr>
              <w:t>三、反冲洗水池</w:t>
            </w:r>
          </w:p>
        </w:tc>
      </w:tr>
      <w:tr w14:paraId="3DFD6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19" w:type="dxa"/>
            <w:shd w:val="clear" w:color="auto" w:fill="auto"/>
            <w:noWrap/>
            <w:vAlign w:val="center"/>
          </w:tcPr>
          <w:p w14:paraId="46EC2B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w:t>
            </w:r>
          </w:p>
        </w:tc>
        <w:tc>
          <w:tcPr>
            <w:tcW w:w="2551" w:type="dxa"/>
            <w:shd w:val="clear" w:color="auto" w:fill="auto"/>
            <w:noWrap/>
            <w:vAlign w:val="center"/>
          </w:tcPr>
          <w:p w14:paraId="4195FF5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潜水泵</w:t>
            </w:r>
          </w:p>
        </w:tc>
        <w:tc>
          <w:tcPr>
            <w:tcW w:w="6076" w:type="dxa"/>
            <w:shd w:val="clear" w:color="auto" w:fill="auto"/>
            <w:noWrap/>
            <w:vAlign w:val="center"/>
          </w:tcPr>
          <w:p w14:paraId="44D272A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Q=1250m³/h，H=10m，N=45kW</w:t>
            </w:r>
          </w:p>
        </w:tc>
        <w:tc>
          <w:tcPr>
            <w:tcW w:w="1143" w:type="dxa"/>
            <w:shd w:val="clear" w:color="auto" w:fill="auto"/>
            <w:noWrap/>
            <w:vAlign w:val="center"/>
          </w:tcPr>
          <w:p w14:paraId="1C7A756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w:t>
            </w:r>
          </w:p>
        </w:tc>
        <w:tc>
          <w:tcPr>
            <w:tcW w:w="1166" w:type="dxa"/>
            <w:shd w:val="clear" w:color="auto" w:fill="auto"/>
            <w:noWrap/>
            <w:vAlign w:val="center"/>
          </w:tcPr>
          <w:p w14:paraId="34714C4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台</w:t>
            </w:r>
          </w:p>
        </w:tc>
        <w:tc>
          <w:tcPr>
            <w:tcW w:w="1623" w:type="dxa"/>
            <w:shd w:val="clear" w:color="auto" w:fill="auto"/>
            <w:noWrap/>
            <w:vAlign w:val="center"/>
          </w:tcPr>
          <w:p w14:paraId="142A7EA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2用1备</w:t>
            </w:r>
          </w:p>
        </w:tc>
      </w:tr>
      <w:tr w14:paraId="2DD59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19" w:type="dxa"/>
            <w:shd w:val="clear" w:color="auto" w:fill="auto"/>
            <w:noWrap/>
            <w:vAlign w:val="center"/>
          </w:tcPr>
          <w:p w14:paraId="0DBC200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w:t>
            </w:r>
          </w:p>
        </w:tc>
        <w:tc>
          <w:tcPr>
            <w:tcW w:w="2551" w:type="dxa"/>
            <w:shd w:val="clear" w:color="auto" w:fill="auto"/>
            <w:noWrap/>
            <w:vAlign w:val="center"/>
          </w:tcPr>
          <w:p w14:paraId="5C77D26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手动蝶阀</w:t>
            </w:r>
          </w:p>
        </w:tc>
        <w:tc>
          <w:tcPr>
            <w:tcW w:w="6076" w:type="dxa"/>
            <w:shd w:val="clear" w:color="auto" w:fill="auto"/>
            <w:noWrap/>
            <w:vAlign w:val="center"/>
          </w:tcPr>
          <w:p w14:paraId="5AE581C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DN400，PN=1.0MPa</w:t>
            </w:r>
          </w:p>
        </w:tc>
        <w:tc>
          <w:tcPr>
            <w:tcW w:w="1143" w:type="dxa"/>
            <w:shd w:val="clear" w:color="auto" w:fill="auto"/>
            <w:noWrap/>
            <w:vAlign w:val="center"/>
          </w:tcPr>
          <w:p w14:paraId="3892388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w:t>
            </w:r>
          </w:p>
        </w:tc>
        <w:tc>
          <w:tcPr>
            <w:tcW w:w="1166" w:type="dxa"/>
            <w:shd w:val="clear" w:color="auto" w:fill="auto"/>
            <w:noWrap/>
            <w:vAlign w:val="center"/>
          </w:tcPr>
          <w:p w14:paraId="6388248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套</w:t>
            </w:r>
          </w:p>
        </w:tc>
        <w:tc>
          <w:tcPr>
            <w:tcW w:w="1623" w:type="dxa"/>
            <w:shd w:val="clear" w:color="auto" w:fill="auto"/>
            <w:noWrap/>
            <w:vAlign w:val="center"/>
          </w:tcPr>
          <w:p w14:paraId="11AF996C">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楷体" w:cs="Times New Roman"/>
                <w:i w:val="0"/>
                <w:iCs w:val="0"/>
                <w:color w:val="auto"/>
                <w:sz w:val="21"/>
                <w:szCs w:val="21"/>
                <w:highlight w:val="none"/>
                <w:u w:val="none"/>
              </w:rPr>
            </w:pPr>
          </w:p>
        </w:tc>
      </w:tr>
      <w:tr w14:paraId="5544B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519" w:type="dxa"/>
            <w:shd w:val="clear" w:color="auto" w:fill="auto"/>
            <w:noWrap/>
            <w:vAlign w:val="center"/>
          </w:tcPr>
          <w:p w14:paraId="31EBE53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w:t>
            </w:r>
          </w:p>
        </w:tc>
        <w:tc>
          <w:tcPr>
            <w:tcW w:w="2551" w:type="dxa"/>
            <w:shd w:val="clear" w:color="auto" w:fill="auto"/>
            <w:noWrap/>
            <w:vAlign w:val="center"/>
          </w:tcPr>
          <w:p w14:paraId="033E186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微阻缓闭止回阀</w:t>
            </w:r>
          </w:p>
        </w:tc>
        <w:tc>
          <w:tcPr>
            <w:tcW w:w="6076" w:type="dxa"/>
            <w:shd w:val="clear" w:color="auto" w:fill="auto"/>
            <w:noWrap/>
            <w:vAlign w:val="center"/>
          </w:tcPr>
          <w:p w14:paraId="09D48DA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DN400，PN=1.0MPa</w:t>
            </w:r>
          </w:p>
        </w:tc>
        <w:tc>
          <w:tcPr>
            <w:tcW w:w="1143" w:type="dxa"/>
            <w:shd w:val="clear" w:color="auto" w:fill="auto"/>
            <w:noWrap/>
            <w:vAlign w:val="center"/>
          </w:tcPr>
          <w:p w14:paraId="3DD90AB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w:t>
            </w:r>
          </w:p>
        </w:tc>
        <w:tc>
          <w:tcPr>
            <w:tcW w:w="1166" w:type="dxa"/>
            <w:shd w:val="clear" w:color="auto" w:fill="auto"/>
            <w:noWrap/>
            <w:vAlign w:val="center"/>
          </w:tcPr>
          <w:p w14:paraId="235BD04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套</w:t>
            </w:r>
          </w:p>
        </w:tc>
        <w:tc>
          <w:tcPr>
            <w:tcW w:w="1623" w:type="dxa"/>
            <w:shd w:val="clear" w:color="auto" w:fill="auto"/>
            <w:noWrap/>
            <w:vAlign w:val="center"/>
          </w:tcPr>
          <w:p w14:paraId="653C2281">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楷体" w:cs="Times New Roman"/>
                <w:i w:val="0"/>
                <w:iCs w:val="0"/>
                <w:color w:val="auto"/>
                <w:sz w:val="21"/>
                <w:szCs w:val="21"/>
                <w:highlight w:val="none"/>
                <w:u w:val="none"/>
              </w:rPr>
            </w:pPr>
          </w:p>
        </w:tc>
      </w:tr>
      <w:tr w14:paraId="17041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078" w:type="dxa"/>
            <w:gridSpan w:val="6"/>
            <w:shd w:val="clear" w:color="auto" w:fill="auto"/>
            <w:noWrap/>
            <w:vAlign w:val="center"/>
          </w:tcPr>
          <w:p w14:paraId="590DC681">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楷体" w:cs="Times New Roman"/>
                <w:b/>
                <w:bCs/>
                <w:i w:val="0"/>
                <w:iCs w:val="0"/>
                <w:color w:val="auto"/>
                <w:sz w:val="21"/>
                <w:szCs w:val="21"/>
                <w:highlight w:val="none"/>
                <w:u w:val="none"/>
              </w:rPr>
            </w:pPr>
            <w:r>
              <w:rPr>
                <w:rFonts w:hint="default" w:ascii="Times New Roman" w:hAnsi="Times New Roman" w:eastAsia="楷体" w:cs="Times New Roman"/>
                <w:b/>
                <w:bCs/>
                <w:i w:val="0"/>
                <w:iCs w:val="0"/>
                <w:color w:val="auto"/>
                <w:kern w:val="0"/>
                <w:sz w:val="21"/>
                <w:szCs w:val="21"/>
                <w:highlight w:val="none"/>
                <w:u w:val="none"/>
                <w:lang w:val="en-US" w:eastAsia="zh-CN" w:bidi="ar"/>
              </w:rPr>
              <w:t>四、废水池</w:t>
            </w:r>
          </w:p>
        </w:tc>
      </w:tr>
      <w:tr w14:paraId="625AF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519" w:type="dxa"/>
            <w:shd w:val="clear" w:color="auto" w:fill="auto"/>
            <w:noWrap/>
            <w:vAlign w:val="center"/>
          </w:tcPr>
          <w:p w14:paraId="1509E1D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w:t>
            </w:r>
          </w:p>
        </w:tc>
        <w:tc>
          <w:tcPr>
            <w:tcW w:w="2551" w:type="dxa"/>
            <w:shd w:val="clear" w:color="auto" w:fill="auto"/>
            <w:noWrap/>
            <w:vAlign w:val="center"/>
          </w:tcPr>
          <w:p w14:paraId="73EA23C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潜水泵</w:t>
            </w:r>
          </w:p>
        </w:tc>
        <w:tc>
          <w:tcPr>
            <w:tcW w:w="6076" w:type="dxa"/>
            <w:shd w:val="clear" w:color="auto" w:fill="auto"/>
            <w:noWrap/>
            <w:vAlign w:val="center"/>
          </w:tcPr>
          <w:p w14:paraId="086A622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Q=500m³/h，H=10m，N=22kW</w:t>
            </w:r>
          </w:p>
        </w:tc>
        <w:tc>
          <w:tcPr>
            <w:tcW w:w="1143" w:type="dxa"/>
            <w:shd w:val="clear" w:color="auto" w:fill="auto"/>
            <w:noWrap/>
            <w:vAlign w:val="center"/>
          </w:tcPr>
          <w:p w14:paraId="4655C4C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w:t>
            </w:r>
          </w:p>
        </w:tc>
        <w:tc>
          <w:tcPr>
            <w:tcW w:w="1166" w:type="dxa"/>
            <w:shd w:val="clear" w:color="auto" w:fill="auto"/>
            <w:noWrap/>
            <w:vAlign w:val="center"/>
          </w:tcPr>
          <w:p w14:paraId="7A9DDB4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台</w:t>
            </w:r>
          </w:p>
        </w:tc>
        <w:tc>
          <w:tcPr>
            <w:tcW w:w="1623" w:type="dxa"/>
            <w:shd w:val="clear" w:color="auto" w:fill="auto"/>
            <w:noWrap/>
            <w:vAlign w:val="center"/>
          </w:tcPr>
          <w:p w14:paraId="33FE685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1用1备</w:t>
            </w:r>
          </w:p>
        </w:tc>
      </w:tr>
      <w:tr w14:paraId="6B045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19" w:type="dxa"/>
            <w:shd w:val="clear" w:color="auto" w:fill="auto"/>
            <w:noWrap/>
            <w:vAlign w:val="center"/>
          </w:tcPr>
          <w:p w14:paraId="707E6B0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w:t>
            </w:r>
          </w:p>
        </w:tc>
        <w:tc>
          <w:tcPr>
            <w:tcW w:w="2551" w:type="dxa"/>
            <w:shd w:val="clear" w:color="auto" w:fill="auto"/>
            <w:noWrap/>
            <w:vAlign w:val="center"/>
          </w:tcPr>
          <w:p w14:paraId="313BD0D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微阻缓闭止回阀</w:t>
            </w:r>
          </w:p>
        </w:tc>
        <w:tc>
          <w:tcPr>
            <w:tcW w:w="6076" w:type="dxa"/>
            <w:shd w:val="clear" w:color="auto" w:fill="auto"/>
            <w:noWrap/>
            <w:vAlign w:val="center"/>
          </w:tcPr>
          <w:p w14:paraId="154E91C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DN350，PN=1.0MPa</w:t>
            </w:r>
          </w:p>
        </w:tc>
        <w:tc>
          <w:tcPr>
            <w:tcW w:w="1143" w:type="dxa"/>
            <w:shd w:val="clear" w:color="auto" w:fill="auto"/>
            <w:noWrap/>
            <w:vAlign w:val="center"/>
          </w:tcPr>
          <w:p w14:paraId="640293F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w:t>
            </w:r>
          </w:p>
        </w:tc>
        <w:tc>
          <w:tcPr>
            <w:tcW w:w="1166" w:type="dxa"/>
            <w:shd w:val="clear" w:color="auto" w:fill="auto"/>
            <w:noWrap/>
            <w:vAlign w:val="center"/>
          </w:tcPr>
          <w:p w14:paraId="67EBA41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个</w:t>
            </w:r>
          </w:p>
        </w:tc>
        <w:tc>
          <w:tcPr>
            <w:tcW w:w="1623" w:type="dxa"/>
            <w:shd w:val="clear" w:color="auto" w:fill="auto"/>
            <w:noWrap/>
            <w:vAlign w:val="center"/>
          </w:tcPr>
          <w:p w14:paraId="33E59B12">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楷体" w:cs="Times New Roman"/>
                <w:i w:val="0"/>
                <w:iCs w:val="0"/>
                <w:color w:val="auto"/>
                <w:sz w:val="21"/>
                <w:szCs w:val="21"/>
                <w:highlight w:val="none"/>
                <w:u w:val="none"/>
              </w:rPr>
            </w:pPr>
          </w:p>
        </w:tc>
      </w:tr>
      <w:tr w14:paraId="4B9F4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519" w:type="dxa"/>
            <w:shd w:val="clear" w:color="auto" w:fill="auto"/>
            <w:noWrap/>
            <w:vAlign w:val="center"/>
          </w:tcPr>
          <w:p w14:paraId="6874023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w:t>
            </w:r>
          </w:p>
        </w:tc>
        <w:tc>
          <w:tcPr>
            <w:tcW w:w="2551" w:type="dxa"/>
            <w:shd w:val="clear" w:color="auto" w:fill="auto"/>
            <w:noWrap/>
            <w:vAlign w:val="center"/>
          </w:tcPr>
          <w:p w14:paraId="36491C5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手动蝶阀</w:t>
            </w:r>
          </w:p>
        </w:tc>
        <w:tc>
          <w:tcPr>
            <w:tcW w:w="6076" w:type="dxa"/>
            <w:shd w:val="clear" w:color="auto" w:fill="auto"/>
            <w:noWrap/>
            <w:vAlign w:val="center"/>
          </w:tcPr>
          <w:p w14:paraId="6CF08E2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DN350，PN=1.0MPa</w:t>
            </w:r>
          </w:p>
        </w:tc>
        <w:tc>
          <w:tcPr>
            <w:tcW w:w="1143" w:type="dxa"/>
            <w:shd w:val="clear" w:color="auto" w:fill="auto"/>
            <w:noWrap/>
            <w:vAlign w:val="center"/>
          </w:tcPr>
          <w:p w14:paraId="422AAB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w:t>
            </w:r>
          </w:p>
        </w:tc>
        <w:tc>
          <w:tcPr>
            <w:tcW w:w="1166" w:type="dxa"/>
            <w:shd w:val="clear" w:color="auto" w:fill="auto"/>
            <w:noWrap/>
            <w:vAlign w:val="center"/>
          </w:tcPr>
          <w:p w14:paraId="2326753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个</w:t>
            </w:r>
          </w:p>
        </w:tc>
        <w:tc>
          <w:tcPr>
            <w:tcW w:w="1623" w:type="dxa"/>
            <w:shd w:val="clear" w:color="auto" w:fill="auto"/>
            <w:noWrap/>
            <w:vAlign w:val="center"/>
          </w:tcPr>
          <w:p w14:paraId="60C5F826">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楷体" w:cs="Times New Roman"/>
                <w:i w:val="0"/>
                <w:iCs w:val="0"/>
                <w:color w:val="auto"/>
                <w:sz w:val="21"/>
                <w:szCs w:val="21"/>
                <w:highlight w:val="none"/>
                <w:u w:val="none"/>
              </w:rPr>
            </w:pPr>
          </w:p>
        </w:tc>
      </w:tr>
      <w:tr w14:paraId="36BD1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19" w:type="dxa"/>
            <w:shd w:val="clear" w:color="auto" w:fill="auto"/>
            <w:noWrap/>
            <w:vAlign w:val="center"/>
          </w:tcPr>
          <w:p w14:paraId="315DE68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w:t>
            </w:r>
          </w:p>
        </w:tc>
        <w:tc>
          <w:tcPr>
            <w:tcW w:w="2551" w:type="dxa"/>
            <w:shd w:val="clear" w:color="auto" w:fill="auto"/>
            <w:noWrap/>
            <w:vAlign w:val="center"/>
          </w:tcPr>
          <w:p w14:paraId="4C8F97C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潜水搅拌机</w:t>
            </w:r>
          </w:p>
        </w:tc>
        <w:tc>
          <w:tcPr>
            <w:tcW w:w="6076" w:type="dxa"/>
            <w:shd w:val="clear" w:color="auto" w:fill="auto"/>
            <w:noWrap/>
            <w:vAlign w:val="center"/>
          </w:tcPr>
          <w:p w14:paraId="73D4B81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N=4.0kW，r=480r/min，液下采用304材质，配起吊装置</w:t>
            </w:r>
          </w:p>
        </w:tc>
        <w:tc>
          <w:tcPr>
            <w:tcW w:w="1143" w:type="dxa"/>
            <w:shd w:val="clear" w:color="auto" w:fill="auto"/>
            <w:noWrap/>
            <w:vAlign w:val="center"/>
          </w:tcPr>
          <w:p w14:paraId="38F59D5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w:t>
            </w:r>
          </w:p>
        </w:tc>
        <w:tc>
          <w:tcPr>
            <w:tcW w:w="1166" w:type="dxa"/>
            <w:shd w:val="clear" w:color="auto" w:fill="auto"/>
            <w:noWrap/>
            <w:vAlign w:val="center"/>
          </w:tcPr>
          <w:p w14:paraId="612BCD9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台</w:t>
            </w:r>
          </w:p>
        </w:tc>
        <w:tc>
          <w:tcPr>
            <w:tcW w:w="1623" w:type="dxa"/>
            <w:shd w:val="clear" w:color="auto" w:fill="auto"/>
            <w:noWrap/>
            <w:vAlign w:val="center"/>
          </w:tcPr>
          <w:p w14:paraId="13F06B02">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楷体" w:cs="Times New Roman"/>
                <w:i w:val="0"/>
                <w:iCs w:val="0"/>
                <w:color w:val="auto"/>
                <w:sz w:val="21"/>
                <w:szCs w:val="21"/>
                <w:highlight w:val="none"/>
                <w:u w:val="none"/>
              </w:rPr>
            </w:pPr>
          </w:p>
        </w:tc>
      </w:tr>
      <w:tr w14:paraId="3B151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4078" w:type="dxa"/>
            <w:gridSpan w:val="6"/>
            <w:shd w:val="clear" w:color="auto" w:fill="auto"/>
            <w:noWrap/>
            <w:vAlign w:val="center"/>
          </w:tcPr>
          <w:p w14:paraId="0D9AAB8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b/>
                <w:bCs/>
                <w:i w:val="0"/>
                <w:iCs w:val="0"/>
                <w:color w:val="auto"/>
                <w:sz w:val="21"/>
                <w:szCs w:val="21"/>
                <w:highlight w:val="none"/>
                <w:u w:val="none"/>
              </w:rPr>
            </w:pPr>
            <w:r>
              <w:rPr>
                <w:rFonts w:hint="default" w:ascii="Times New Roman" w:hAnsi="Times New Roman" w:eastAsia="楷体" w:cs="Times New Roman"/>
                <w:b/>
                <w:bCs/>
                <w:i w:val="0"/>
                <w:iCs w:val="0"/>
                <w:color w:val="auto"/>
                <w:kern w:val="0"/>
                <w:sz w:val="21"/>
                <w:szCs w:val="21"/>
                <w:highlight w:val="none"/>
                <w:u w:val="none"/>
                <w:lang w:val="en-US" w:eastAsia="zh-CN" w:bidi="ar"/>
              </w:rPr>
              <w:t>五、风机房</w:t>
            </w:r>
          </w:p>
        </w:tc>
      </w:tr>
      <w:tr w14:paraId="2C47B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519" w:type="dxa"/>
            <w:shd w:val="clear" w:color="auto" w:fill="auto"/>
            <w:noWrap/>
            <w:vAlign w:val="center"/>
          </w:tcPr>
          <w:p w14:paraId="7359AA0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w:t>
            </w:r>
          </w:p>
        </w:tc>
        <w:tc>
          <w:tcPr>
            <w:tcW w:w="2551" w:type="dxa"/>
            <w:shd w:val="clear" w:color="auto" w:fill="auto"/>
            <w:noWrap/>
            <w:vAlign w:val="center"/>
          </w:tcPr>
          <w:p w14:paraId="50CA61B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罗茨风机</w:t>
            </w:r>
          </w:p>
        </w:tc>
        <w:tc>
          <w:tcPr>
            <w:tcW w:w="6076" w:type="dxa"/>
            <w:shd w:val="clear" w:color="auto" w:fill="auto"/>
            <w:noWrap/>
            <w:vAlign w:val="center"/>
          </w:tcPr>
          <w:p w14:paraId="0287CCC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Q=40.8m³/min，P=68.6kPa，N=90kW，2用1备，变频电机，配套止回阀、橡胶接头、消音器、隔音罩等</w:t>
            </w:r>
          </w:p>
        </w:tc>
        <w:tc>
          <w:tcPr>
            <w:tcW w:w="1143" w:type="dxa"/>
            <w:shd w:val="clear" w:color="auto" w:fill="auto"/>
            <w:noWrap/>
            <w:vAlign w:val="center"/>
          </w:tcPr>
          <w:p w14:paraId="6C6BD19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w:t>
            </w:r>
          </w:p>
        </w:tc>
        <w:tc>
          <w:tcPr>
            <w:tcW w:w="1166" w:type="dxa"/>
            <w:shd w:val="clear" w:color="auto" w:fill="auto"/>
            <w:noWrap/>
            <w:vAlign w:val="center"/>
          </w:tcPr>
          <w:p w14:paraId="51392C2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台</w:t>
            </w:r>
          </w:p>
        </w:tc>
        <w:tc>
          <w:tcPr>
            <w:tcW w:w="1623" w:type="dxa"/>
            <w:shd w:val="clear" w:color="auto" w:fill="auto"/>
            <w:noWrap/>
            <w:vAlign w:val="center"/>
          </w:tcPr>
          <w:p w14:paraId="12458FF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2用1备</w:t>
            </w:r>
          </w:p>
        </w:tc>
      </w:tr>
      <w:tr w14:paraId="0CB0F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19" w:type="dxa"/>
            <w:shd w:val="clear" w:color="auto" w:fill="auto"/>
            <w:noWrap/>
            <w:vAlign w:val="center"/>
          </w:tcPr>
          <w:p w14:paraId="0EE8E8E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w:t>
            </w:r>
          </w:p>
        </w:tc>
        <w:tc>
          <w:tcPr>
            <w:tcW w:w="2551" w:type="dxa"/>
            <w:shd w:val="clear" w:color="auto" w:fill="auto"/>
            <w:noWrap/>
            <w:vAlign w:val="center"/>
          </w:tcPr>
          <w:p w14:paraId="0334016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手动蝶阀</w:t>
            </w:r>
          </w:p>
        </w:tc>
        <w:tc>
          <w:tcPr>
            <w:tcW w:w="6076" w:type="dxa"/>
            <w:shd w:val="clear" w:color="auto" w:fill="auto"/>
            <w:noWrap/>
            <w:vAlign w:val="center"/>
          </w:tcPr>
          <w:p w14:paraId="32DBE9C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DN200，PN=1.0MPa</w:t>
            </w:r>
          </w:p>
        </w:tc>
        <w:tc>
          <w:tcPr>
            <w:tcW w:w="1143" w:type="dxa"/>
            <w:shd w:val="clear" w:color="auto" w:fill="auto"/>
            <w:noWrap/>
            <w:vAlign w:val="center"/>
          </w:tcPr>
          <w:p w14:paraId="13C7836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w:t>
            </w:r>
          </w:p>
        </w:tc>
        <w:tc>
          <w:tcPr>
            <w:tcW w:w="1166" w:type="dxa"/>
            <w:shd w:val="clear" w:color="auto" w:fill="auto"/>
            <w:noWrap/>
            <w:vAlign w:val="center"/>
          </w:tcPr>
          <w:p w14:paraId="6A01235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套</w:t>
            </w:r>
          </w:p>
        </w:tc>
        <w:tc>
          <w:tcPr>
            <w:tcW w:w="1623" w:type="dxa"/>
            <w:shd w:val="clear" w:color="auto" w:fill="auto"/>
            <w:noWrap/>
            <w:vAlign w:val="center"/>
          </w:tcPr>
          <w:p w14:paraId="4B95B30B">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楷体" w:cs="Times New Roman"/>
                <w:i w:val="0"/>
                <w:iCs w:val="0"/>
                <w:color w:val="auto"/>
                <w:sz w:val="21"/>
                <w:szCs w:val="21"/>
                <w:highlight w:val="none"/>
                <w:u w:val="none"/>
              </w:rPr>
            </w:pPr>
          </w:p>
        </w:tc>
      </w:tr>
      <w:tr w14:paraId="15706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519" w:type="dxa"/>
            <w:shd w:val="clear" w:color="auto" w:fill="auto"/>
            <w:noWrap/>
            <w:vAlign w:val="center"/>
          </w:tcPr>
          <w:p w14:paraId="08B6E5C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3</w:t>
            </w:r>
          </w:p>
        </w:tc>
        <w:tc>
          <w:tcPr>
            <w:tcW w:w="2551" w:type="dxa"/>
            <w:shd w:val="clear" w:color="auto" w:fill="auto"/>
            <w:noWrap/>
            <w:vAlign w:val="center"/>
          </w:tcPr>
          <w:p w14:paraId="6FEFB2B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气动蝶阀</w:t>
            </w:r>
          </w:p>
        </w:tc>
        <w:tc>
          <w:tcPr>
            <w:tcW w:w="6076" w:type="dxa"/>
            <w:shd w:val="clear" w:color="auto" w:fill="auto"/>
            <w:noWrap/>
            <w:vAlign w:val="center"/>
          </w:tcPr>
          <w:p w14:paraId="1587F9E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DN100，PN=1.0MPa</w:t>
            </w:r>
          </w:p>
        </w:tc>
        <w:tc>
          <w:tcPr>
            <w:tcW w:w="1143" w:type="dxa"/>
            <w:shd w:val="clear" w:color="auto" w:fill="auto"/>
            <w:noWrap/>
            <w:vAlign w:val="center"/>
          </w:tcPr>
          <w:p w14:paraId="6B5F02C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w:t>
            </w:r>
          </w:p>
        </w:tc>
        <w:tc>
          <w:tcPr>
            <w:tcW w:w="1166" w:type="dxa"/>
            <w:shd w:val="clear" w:color="auto" w:fill="auto"/>
            <w:noWrap/>
            <w:vAlign w:val="center"/>
          </w:tcPr>
          <w:p w14:paraId="2A54AC7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套</w:t>
            </w:r>
          </w:p>
        </w:tc>
        <w:tc>
          <w:tcPr>
            <w:tcW w:w="1623" w:type="dxa"/>
            <w:shd w:val="clear" w:color="auto" w:fill="auto"/>
            <w:noWrap/>
            <w:vAlign w:val="center"/>
          </w:tcPr>
          <w:p w14:paraId="5283EA22">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楷体" w:cs="Times New Roman"/>
                <w:i w:val="0"/>
                <w:iCs w:val="0"/>
                <w:color w:val="auto"/>
                <w:sz w:val="21"/>
                <w:szCs w:val="21"/>
                <w:highlight w:val="none"/>
                <w:u w:val="none"/>
              </w:rPr>
            </w:pPr>
          </w:p>
        </w:tc>
      </w:tr>
      <w:tr w14:paraId="2FC60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19" w:type="dxa"/>
            <w:shd w:val="clear" w:color="auto" w:fill="auto"/>
            <w:noWrap/>
            <w:vAlign w:val="center"/>
          </w:tcPr>
          <w:p w14:paraId="4D53626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4</w:t>
            </w:r>
          </w:p>
        </w:tc>
        <w:tc>
          <w:tcPr>
            <w:tcW w:w="2551" w:type="dxa"/>
            <w:shd w:val="clear" w:color="auto" w:fill="auto"/>
            <w:noWrap/>
            <w:vAlign w:val="center"/>
          </w:tcPr>
          <w:p w14:paraId="2AF9061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螺杆空压机</w:t>
            </w:r>
          </w:p>
        </w:tc>
        <w:tc>
          <w:tcPr>
            <w:tcW w:w="6076" w:type="dxa"/>
            <w:shd w:val="clear" w:color="auto" w:fill="auto"/>
            <w:noWrap/>
            <w:vAlign w:val="center"/>
          </w:tcPr>
          <w:p w14:paraId="1D0BEFB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Q=0.8m³/min，P=0.7MPa，N=7.5kW</w:t>
            </w:r>
          </w:p>
        </w:tc>
        <w:tc>
          <w:tcPr>
            <w:tcW w:w="1143" w:type="dxa"/>
            <w:shd w:val="clear" w:color="auto" w:fill="auto"/>
            <w:noWrap/>
            <w:vAlign w:val="center"/>
          </w:tcPr>
          <w:p w14:paraId="3A7B0A2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w:t>
            </w:r>
          </w:p>
        </w:tc>
        <w:tc>
          <w:tcPr>
            <w:tcW w:w="1166" w:type="dxa"/>
            <w:shd w:val="clear" w:color="auto" w:fill="auto"/>
            <w:noWrap/>
            <w:vAlign w:val="center"/>
          </w:tcPr>
          <w:p w14:paraId="318C7A0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台</w:t>
            </w:r>
          </w:p>
        </w:tc>
        <w:tc>
          <w:tcPr>
            <w:tcW w:w="1623" w:type="dxa"/>
            <w:shd w:val="clear" w:color="auto" w:fill="auto"/>
            <w:noWrap/>
            <w:vAlign w:val="center"/>
          </w:tcPr>
          <w:p w14:paraId="494AD5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1用1备</w:t>
            </w:r>
          </w:p>
        </w:tc>
      </w:tr>
      <w:tr w14:paraId="2DDFE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519" w:type="dxa"/>
            <w:shd w:val="clear" w:color="auto" w:fill="auto"/>
            <w:noWrap/>
            <w:vAlign w:val="center"/>
          </w:tcPr>
          <w:p w14:paraId="7FE2453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5</w:t>
            </w:r>
          </w:p>
        </w:tc>
        <w:tc>
          <w:tcPr>
            <w:tcW w:w="2551" w:type="dxa"/>
            <w:shd w:val="clear" w:color="auto" w:fill="auto"/>
            <w:noWrap/>
            <w:vAlign w:val="center"/>
          </w:tcPr>
          <w:p w14:paraId="3F32405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冷冻式干燥机</w:t>
            </w:r>
          </w:p>
        </w:tc>
        <w:tc>
          <w:tcPr>
            <w:tcW w:w="6076" w:type="dxa"/>
            <w:shd w:val="clear" w:color="auto" w:fill="auto"/>
            <w:noWrap/>
            <w:vAlign w:val="center"/>
          </w:tcPr>
          <w:p w14:paraId="753DF91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处理风量：1.0m³/min，入口温度：80℃以下，工作压力：7-10BAR，电压要求：单相220V，冷冻形式：风冷</w:t>
            </w:r>
          </w:p>
        </w:tc>
        <w:tc>
          <w:tcPr>
            <w:tcW w:w="1143" w:type="dxa"/>
            <w:shd w:val="clear" w:color="auto" w:fill="auto"/>
            <w:noWrap/>
            <w:vAlign w:val="center"/>
          </w:tcPr>
          <w:p w14:paraId="1998701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w:t>
            </w:r>
          </w:p>
        </w:tc>
        <w:tc>
          <w:tcPr>
            <w:tcW w:w="1166" w:type="dxa"/>
            <w:shd w:val="clear" w:color="auto" w:fill="auto"/>
            <w:noWrap/>
            <w:vAlign w:val="center"/>
          </w:tcPr>
          <w:p w14:paraId="7F5A25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台</w:t>
            </w:r>
          </w:p>
        </w:tc>
        <w:tc>
          <w:tcPr>
            <w:tcW w:w="1623" w:type="dxa"/>
            <w:shd w:val="clear" w:color="auto" w:fill="auto"/>
            <w:noWrap/>
            <w:vAlign w:val="center"/>
          </w:tcPr>
          <w:p w14:paraId="1B405B3C">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楷体" w:cs="Times New Roman"/>
                <w:i w:val="0"/>
                <w:iCs w:val="0"/>
                <w:color w:val="auto"/>
                <w:sz w:val="21"/>
                <w:szCs w:val="21"/>
                <w:highlight w:val="none"/>
                <w:u w:val="none"/>
              </w:rPr>
            </w:pPr>
          </w:p>
        </w:tc>
      </w:tr>
      <w:tr w14:paraId="5E5FA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19" w:type="dxa"/>
            <w:shd w:val="clear" w:color="auto" w:fill="auto"/>
            <w:noWrap/>
            <w:vAlign w:val="center"/>
          </w:tcPr>
          <w:p w14:paraId="472ABC0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6</w:t>
            </w:r>
          </w:p>
        </w:tc>
        <w:tc>
          <w:tcPr>
            <w:tcW w:w="2551" w:type="dxa"/>
            <w:shd w:val="clear" w:color="auto" w:fill="auto"/>
            <w:noWrap/>
            <w:vAlign w:val="center"/>
          </w:tcPr>
          <w:p w14:paraId="606B33F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储气罐</w:t>
            </w:r>
          </w:p>
        </w:tc>
        <w:tc>
          <w:tcPr>
            <w:tcW w:w="6076" w:type="dxa"/>
            <w:shd w:val="clear" w:color="auto" w:fill="auto"/>
            <w:noWrap/>
            <w:vAlign w:val="center"/>
          </w:tcPr>
          <w:p w14:paraId="490C1A2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V=1.0m³，工作压力：≤10bar</w:t>
            </w:r>
          </w:p>
        </w:tc>
        <w:tc>
          <w:tcPr>
            <w:tcW w:w="1143" w:type="dxa"/>
            <w:shd w:val="clear" w:color="auto" w:fill="auto"/>
            <w:noWrap/>
            <w:vAlign w:val="center"/>
          </w:tcPr>
          <w:p w14:paraId="42CE423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w:t>
            </w:r>
          </w:p>
        </w:tc>
        <w:tc>
          <w:tcPr>
            <w:tcW w:w="1166" w:type="dxa"/>
            <w:shd w:val="clear" w:color="auto" w:fill="auto"/>
            <w:noWrap/>
            <w:vAlign w:val="center"/>
          </w:tcPr>
          <w:p w14:paraId="080FE22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个</w:t>
            </w:r>
          </w:p>
        </w:tc>
        <w:tc>
          <w:tcPr>
            <w:tcW w:w="1623" w:type="dxa"/>
            <w:shd w:val="clear" w:color="auto" w:fill="auto"/>
            <w:noWrap/>
            <w:vAlign w:val="center"/>
          </w:tcPr>
          <w:p w14:paraId="47A06713">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楷体" w:cs="Times New Roman"/>
                <w:i w:val="0"/>
                <w:iCs w:val="0"/>
                <w:color w:val="auto"/>
                <w:sz w:val="21"/>
                <w:szCs w:val="21"/>
                <w:highlight w:val="none"/>
                <w:u w:val="none"/>
              </w:rPr>
            </w:pPr>
          </w:p>
        </w:tc>
      </w:tr>
      <w:tr w14:paraId="0B1FA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519" w:type="dxa"/>
            <w:shd w:val="clear" w:color="auto" w:fill="auto"/>
            <w:noWrap/>
            <w:vAlign w:val="center"/>
          </w:tcPr>
          <w:p w14:paraId="20E1AFD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7</w:t>
            </w:r>
          </w:p>
        </w:tc>
        <w:tc>
          <w:tcPr>
            <w:tcW w:w="2551" w:type="dxa"/>
            <w:shd w:val="clear" w:color="auto" w:fill="auto"/>
            <w:noWrap/>
            <w:vAlign w:val="center"/>
          </w:tcPr>
          <w:p w14:paraId="4485EAF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粗空气过滤器</w:t>
            </w:r>
          </w:p>
        </w:tc>
        <w:tc>
          <w:tcPr>
            <w:tcW w:w="6076" w:type="dxa"/>
            <w:shd w:val="clear" w:color="auto" w:fill="auto"/>
            <w:noWrap/>
            <w:vAlign w:val="center"/>
          </w:tcPr>
          <w:p w14:paraId="69FFED5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处理能力：Q=1.5m³/min</w:t>
            </w:r>
          </w:p>
        </w:tc>
        <w:tc>
          <w:tcPr>
            <w:tcW w:w="1143" w:type="dxa"/>
            <w:shd w:val="clear" w:color="auto" w:fill="auto"/>
            <w:noWrap/>
            <w:vAlign w:val="center"/>
          </w:tcPr>
          <w:p w14:paraId="74E88AB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w:t>
            </w:r>
          </w:p>
        </w:tc>
        <w:tc>
          <w:tcPr>
            <w:tcW w:w="1166" w:type="dxa"/>
            <w:shd w:val="clear" w:color="auto" w:fill="auto"/>
            <w:noWrap/>
            <w:vAlign w:val="center"/>
          </w:tcPr>
          <w:p w14:paraId="3ACD464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套</w:t>
            </w:r>
          </w:p>
        </w:tc>
        <w:tc>
          <w:tcPr>
            <w:tcW w:w="1623" w:type="dxa"/>
            <w:shd w:val="clear" w:color="auto" w:fill="auto"/>
            <w:noWrap/>
            <w:vAlign w:val="center"/>
          </w:tcPr>
          <w:p w14:paraId="690615FF">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楷体" w:cs="Times New Roman"/>
                <w:i w:val="0"/>
                <w:iCs w:val="0"/>
                <w:color w:val="auto"/>
                <w:sz w:val="21"/>
                <w:szCs w:val="21"/>
                <w:highlight w:val="none"/>
                <w:u w:val="none"/>
              </w:rPr>
            </w:pPr>
          </w:p>
        </w:tc>
      </w:tr>
      <w:tr w14:paraId="55232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519" w:type="dxa"/>
            <w:shd w:val="clear" w:color="auto" w:fill="auto"/>
            <w:noWrap/>
            <w:vAlign w:val="center"/>
          </w:tcPr>
          <w:p w14:paraId="5218829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8</w:t>
            </w:r>
          </w:p>
        </w:tc>
        <w:tc>
          <w:tcPr>
            <w:tcW w:w="2551" w:type="dxa"/>
            <w:shd w:val="clear" w:color="auto" w:fill="auto"/>
            <w:noWrap/>
            <w:vAlign w:val="center"/>
          </w:tcPr>
          <w:p w14:paraId="268DECC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精密过滤器</w:t>
            </w:r>
          </w:p>
        </w:tc>
        <w:tc>
          <w:tcPr>
            <w:tcW w:w="6076" w:type="dxa"/>
            <w:shd w:val="clear" w:color="auto" w:fill="auto"/>
            <w:noWrap/>
            <w:vAlign w:val="center"/>
          </w:tcPr>
          <w:p w14:paraId="67DB33B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处理能力：Q=1.0m³/min</w:t>
            </w:r>
          </w:p>
        </w:tc>
        <w:tc>
          <w:tcPr>
            <w:tcW w:w="1143" w:type="dxa"/>
            <w:shd w:val="clear" w:color="auto" w:fill="auto"/>
            <w:noWrap/>
            <w:vAlign w:val="center"/>
          </w:tcPr>
          <w:p w14:paraId="34902E8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w:t>
            </w:r>
          </w:p>
        </w:tc>
        <w:tc>
          <w:tcPr>
            <w:tcW w:w="1166" w:type="dxa"/>
            <w:shd w:val="clear" w:color="auto" w:fill="auto"/>
            <w:noWrap/>
            <w:vAlign w:val="center"/>
          </w:tcPr>
          <w:p w14:paraId="4828D7E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套</w:t>
            </w:r>
          </w:p>
        </w:tc>
        <w:tc>
          <w:tcPr>
            <w:tcW w:w="1623" w:type="dxa"/>
            <w:shd w:val="clear" w:color="auto" w:fill="auto"/>
            <w:noWrap/>
            <w:vAlign w:val="center"/>
          </w:tcPr>
          <w:p w14:paraId="1CADC1DB">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楷体" w:cs="Times New Roman"/>
                <w:i w:val="0"/>
                <w:iCs w:val="0"/>
                <w:color w:val="auto"/>
                <w:sz w:val="21"/>
                <w:szCs w:val="21"/>
                <w:highlight w:val="none"/>
                <w:u w:val="none"/>
              </w:rPr>
            </w:pPr>
          </w:p>
        </w:tc>
      </w:tr>
      <w:tr w14:paraId="6A5AC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19" w:type="dxa"/>
            <w:shd w:val="clear" w:color="auto" w:fill="auto"/>
            <w:noWrap/>
            <w:vAlign w:val="center"/>
          </w:tcPr>
          <w:p w14:paraId="15CC136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9</w:t>
            </w:r>
          </w:p>
        </w:tc>
        <w:tc>
          <w:tcPr>
            <w:tcW w:w="2551" w:type="dxa"/>
            <w:shd w:val="clear" w:color="auto" w:fill="auto"/>
            <w:noWrap/>
            <w:vAlign w:val="center"/>
          </w:tcPr>
          <w:p w14:paraId="1C8EFAF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精密减压阀</w:t>
            </w:r>
          </w:p>
        </w:tc>
        <w:tc>
          <w:tcPr>
            <w:tcW w:w="6076" w:type="dxa"/>
            <w:shd w:val="clear" w:color="auto" w:fill="auto"/>
            <w:noWrap/>
            <w:vAlign w:val="center"/>
          </w:tcPr>
          <w:p w14:paraId="3919E35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额定流量：1.3m³/min</w:t>
            </w:r>
          </w:p>
        </w:tc>
        <w:tc>
          <w:tcPr>
            <w:tcW w:w="1143" w:type="dxa"/>
            <w:shd w:val="clear" w:color="auto" w:fill="auto"/>
            <w:noWrap/>
            <w:vAlign w:val="center"/>
          </w:tcPr>
          <w:p w14:paraId="05D0B3A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w:t>
            </w:r>
          </w:p>
        </w:tc>
        <w:tc>
          <w:tcPr>
            <w:tcW w:w="1166" w:type="dxa"/>
            <w:shd w:val="clear" w:color="auto" w:fill="auto"/>
            <w:noWrap/>
            <w:vAlign w:val="center"/>
          </w:tcPr>
          <w:p w14:paraId="5238D26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套</w:t>
            </w:r>
          </w:p>
        </w:tc>
        <w:tc>
          <w:tcPr>
            <w:tcW w:w="1623" w:type="dxa"/>
            <w:shd w:val="clear" w:color="auto" w:fill="auto"/>
            <w:noWrap/>
            <w:vAlign w:val="center"/>
          </w:tcPr>
          <w:p w14:paraId="2EF9A830">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楷体" w:cs="Times New Roman"/>
                <w:i w:val="0"/>
                <w:iCs w:val="0"/>
                <w:color w:val="auto"/>
                <w:sz w:val="21"/>
                <w:szCs w:val="21"/>
                <w:highlight w:val="none"/>
                <w:u w:val="none"/>
              </w:rPr>
            </w:pPr>
          </w:p>
        </w:tc>
      </w:tr>
      <w:tr w14:paraId="7B124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4078" w:type="dxa"/>
            <w:gridSpan w:val="6"/>
            <w:shd w:val="clear" w:color="auto" w:fill="auto"/>
            <w:noWrap/>
            <w:vAlign w:val="center"/>
          </w:tcPr>
          <w:p w14:paraId="400DDE09">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楷体" w:cs="Times New Roman"/>
                <w:b/>
                <w:bCs/>
                <w:i w:val="0"/>
                <w:iCs w:val="0"/>
                <w:color w:val="auto"/>
                <w:sz w:val="21"/>
                <w:szCs w:val="21"/>
                <w:highlight w:val="none"/>
                <w:u w:val="none"/>
              </w:rPr>
            </w:pPr>
            <w:r>
              <w:rPr>
                <w:rFonts w:hint="default" w:ascii="Times New Roman" w:hAnsi="Times New Roman" w:eastAsia="楷体" w:cs="Times New Roman"/>
                <w:b/>
                <w:bCs/>
                <w:i w:val="0"/>
                <w:iCs w:val="0"/>
                <w:color w:val="auto"/>
                <w:kern w:val="0"/>
                <w:sz w:val="21"/>
                <w:szCs w:val="21"/>
                <w:highlight w:val="none"/>
                <w:u w:val="none"/>
                <w:lang w:val="en-US" w:eastAsia="zh-CN" w:bidi="ar"/>
              </w:rPr>
              <w:t>六、加药间</w:t>
            </w:r>
          </w:p>
        </w:tc>
      </w:tr>
      <w:tr w14:paraId="65B52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19" w:type="dxa"/>
            <w:shd w:val="clear" w:color="auto" w:fill="auto"/>
            <w:noWrap/>
            <w:vAlign w:val="center"/>
          </w:tcPr>
          <w:p w14:paraId="0832C57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1</w:t>
            </w:r>
          </w:p>
        </w:tc>
        <w:tc>
          <w:tcPr>
            <w:tcW w:w="2551" w:type="dxa"/>
            <w:shd w:val="clear" w:color="auto" w:fill="auto"/>
            <w:noWrap/>
            <w:vAlign w:val="center"/>
          </w:tcPr>
          <w:p w14:paraId="11DD47F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碳源储药设备</w:t>
            </w:r>
          </w:p>
        </w:tc>
        <w:tc>
          <w:tcPr>
            <w:tcW w:w="6076" w:type="dxa"/>
            <w:shd w:val="clear" w:color="auto" w:fill="auto"/>
            <w:noWrap/>
            <w:vAlign w:val="center"/>
          </w:tcPr>
          <w:p w14:paraId="6883AEA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V=30m³，材质：PE，配搅拌机、磁翻板液位计（带模拟量）</w:t>
            </w:r>
          </w:p>
        </w:tc>
        <w:tc>
          <w:tcPr>
            <w:tcW w:w="1143" w:type="dxa"/>
            <w:shd w:val="clear" w:color="auto" w:fill="auto"/>
            <w:noWrap/>
            <w:vAlign w:val="center"/>
          </w:tcPr>
          <w:p w14:paraId="1B3CDBC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w:t>
            </w:r>
          </w:p>
        </w:tc>
        <w:tc>
          <w:tcPr>
            <w:tcW w:w="1166" w:type="dxa"/>
            <w:shd w:val="clear" w:color="auto" w:fill="auto"/>
            <w:noWrap/>
            <w:vAlign w:val="center"/>
          </w:tcPr>
          <w:p w14:paraId="51312BF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套</w:t>
            </w:r>
          </w:p>
        </w:tc>
        <w:tc>
          <w:tcPr>
            <w:tcW w:w="1623" w:type="dxa"/>
            <w:shd w:val="clear" w:color="auto" w:fill="auto"/>
            <w:noWrap/>
            <w:vAlign w:val="center"/>
          </w:tcPr>
          <w:p w14:paraId="379E7B08">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楷体" w:cs="Times New Roman"/>
                <w:i w:val="0"/>
                <w:iCs w:val="0"/>
                <w:color w:val="auto"/>
                <w:sz w:val="21"/>
                <w:szCs w:val="21"/>
                <w:highlight w:val="none"/>
                <w:u w:val="none"/>
              </w:rPr>
            </w:pPr>
          </w:p>
        </w:tc>
      </w:tr>
      <w:tr w14:paraId="12C89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519" w:type="dxa"/>
            <w:shd w:val="clear" w:color="auto" w:fill="auto"/>
            <w:noWrap/>
            <w:vAlign w:val="center"/>
          </w:tcPr>
          <w:p w14:paraId="3989E84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w:t>
            </w:r>
          </w:p>
        </w:tc>
        <w:tc>
          <w:tcPr>
            <w:tcW w:w="2551" w:type="dxa"/>
            <w:shd w:val="clear" w:color="auto" w:fill="auto"/>
            <w:noWrap/>
            <w:vAlign w:val="center"/>
          </w:tcPr>
          <w:p w14:paraId="4925945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机械隔膜计量泵</w:t>
            </w:r>
          </w:p>
        </w:tc>
        <w:tc>
          <w:tcPr>
            <w:tcW w:w="6076" w:type="dxa"/>
            <w:shd w:val="clear" w:color="auto" w:fill="auto"/>
            <w:noWrap/>
            <w:vAlign w:val="center"/>
          </w:tcPr>
          <w:p w14:paraId="2878AAD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Q=500L/h,P=0.5MPa</w:t>
            </w:r>
            <w:r>
              <w:rPr>
                <w:rFonts w:hint="eastAsia" w:ascii="Times New Roman" w:hAnsi="Times New Roman" w:eastAsia="楷体" w:cs="Times New Roman"/>
                <w:i w:val="0"/>
                <w:iCs w:val="0"/>
                <w:color w:val="auto"/>
                <w:kern w:val="0"/>
                <w:sz w:val="21"/>
                <w:szCs w:val="21"/>
                <w:highlight w:val="none"/>
                <w:u w:val="none"/>
                <w:lang w:val="en-US" w:eastAsia="zh-CN" w:bidi="ar"/>
              </w:rPr>
              <w:t xml:space="preserve"> </w:t>
            </w:r>
            <w:r>
              <w:rPr>
                <w:rFonts w:hint="default" w:ascii="Times New Roman" w:hAnsi="Times New Roman" w:eastAsia="楷体" w:cs="Times New Roman"/>
                <w:i w:val="0"/>
                <w:iCs w:val="0"/>
                <w:color w:val="auto"/>
                <w:kern w:val="0"/>
                <w:sz w:val="21"/>
                <w:szCs w:val="21"/>
                <w:highlight w:val="none"/>
                <w:u w:val="none"/>
                <w:lang w:val="en-US" w:eastAsia="zh-CN" w:bidi="ar"/>
              </w:rPr>
              <w:t>N=0.75kW，配背压阀、阻尼减震器、Y型过滤器、金属</w:t>
            </w:r>
          </w:p>
        </w:tc>
        <w:tc>
          <w:tcPr>
            <w:tcW w:w="1143" w:type="dxa"/>
            <w:shd w:val="clear" w:color="auto" w:fill="auto"/>
            <w:noWrap/>
            <w:vAlign w:val="center"/>
          </w:tcPr>
          <w:p w14:paraId="0450168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2</w:t>
            </w:r>
          </w:p>
        </w:tc>
        <w:tc>
          <w:tcPr>
            <w:tcW w:w="1166" w:type="dxa"/>
            <w:shd w:val="clear" w:color="auto" w:fill="auto"/>
            <w:noWrap/>
            <w:vAlign w:val="center"/>
          </w:tcPr>
          <w:p w14:paraId="1CBF963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楷体" w:cs="Times New Roman"/>
                <w:i w:val="0"/>
                <w:iCs w:val="0"/>
                <w:color w:val="auto"/>
                <w:sz w:val="21"/>
                <w:szCs w:val="21"/>
                <w:highlight w:val="none"/>
                <w:u w:val="none"/>
              </w:rPr>
            </w:pPr>
            <w:r>
              <w:rPr>
                <w:rFonts w:hint="default" w:ascii="Times New Roman" w:hAnsi="Times New Roman" w:eastAsia="楷体" w:cs="Times New Roman"/>
                <w:i w:val="0"/>
                <w:iCs w:val="0"/>
                <w:color w:val="auto"/>
                <w:kern w:val="0"/>
                <w:sz w:val="21"/>
                <w:szCs w:val="21"/>
                <w:highlight w:val="none"/>
                <w:u w:val="none"/>
                <w:lang w:val="en-US" w:eastAsia="zh-CN" w:bidi="ar"/>
              </w:rPr>
              <w:t>台</w:t>
            </w:r>
          </w:p>
        </w:tc>
        <w:tc>
          <w:tcPr>
            <w:tcW w:w="1623" w:type="dxa"/>
            <w:shd w:val="clear" w:color="auto" w:fill="auto"/>
            <w:noWrap/>
            <w:vAlign w:val="center"/>
          </w:tcPr>
          <w:p w14:paraId="76AB538F">
            <w:pPr>
              <w:keepNext w:val="0"/>
              <w:keepLines w:val="0"/>
              <w:pageBreakBefore w:val="0"/>
              <w:widowControl/>
              <w:kinsoku/>
              <w:wordWrap/>
              <w:overflowPunct/>
              <w:topLinePunct w:val="0"/>
              <w:autoSpaceDE/>
              <w:autoSpaceDN/>
              <w:bidi w:val="0"/>
              <w:adjustRightInd/>
              <w:snapToGrid/>
              <w:rPr>
                <w:rFonts w:hint="default" w:ascii="Times New Roman" w:hAnsi="Times New Roman" w:eastAsia="楷体" w:cs="Times New Roman"/>
                <w:i w:val="0"/>
                <w:iCs w:val="0"/>
                <w:color w:val="auto"/>
                <w:sz w:val="21"/>
                <w:szCs w:val="21"/>
                <w:highlight w:val="none"/>
                <w:u w:val="none"/>
              </w:rPr>
            </w:pPr>
          </w:p>
        </w:tc>
      </w:tr>
    </w:tbl>
    <w:p w14:paraId="3BE815E4">
      <w:pPr>
        <w:rPr>
          <w:rFonts w:hint="default" w:ascii="宋体" w:hAnsi="宋体" w:eastAsia="宋体" w:cs="宋体"/>
          <w:color w:val="auto"/>
          <w:sz w:val="24"/>
          <w:szCs w:val="24"/>
          <w:highlight w:val="none"/>
          <w:lang w:val="en-US" w:eastAsia="zh-CN"/>
        </w:rPr>
        <w:sectPr>
          <w:footerReference r:id="rId28" w:type="default"/>
          <w:pgSz w:w="16838" w:h="11906" w:orient="landscape"/>
          <w:pgMar w:top="1800" w:right="1440" w:bottom="1800" w:left="1440" w:header="851" w:footer="992" w:gutter="0"/>
          <w:pgNumType w:fmt="decimal"/>
          <w:cols w:space="425" w:num="1"/>
          <w:docGrid w:type="lines" w:linePitch="312" w:charSpace="0"/>
        </w:sectPr>
      </w:pPr>
    </w:p>
    <w:p w14:paraId="41DADE85">
      <w:pPr>
        <w:spacing w:before="100" w:after="100"/>
        <w:ind w:firstLineChars="200"/>
        <w:outlineLvl w:val="9"/>
        <w:rPr>
          <w:rFonts w:hint="default" w:ascii="Times New Roman" w:hAnsi="Times New Roman" w:eastAsia="楷体" w:cs="Times New Roman"/>
          <w:b/>
          <w:bCs/>
          <w:color w:val="auto"/>
          <w:sz w:val="30"/>
          <w:szCs w:val="30"/>
          <w:highlight w:val="none"/>
          <w:lang w:val="en-US" w:eastAsia="zh-CN"/>
        </w:rPr>
      </w:pPr>
      <w:r>
        <w:rPr>
          <w:rFonts w:hint="default" w:ascii="Times New Roman" w:hAnsi="Times New Roman" w:eastAsia="楷体" w:cs="Times New Roman"/>
          <w:b/>
          <w:bCs/>
          <w:color w:val="auto"/>
          <w:sz w:val="30"/>
          <w:szCs w:val="30"/>
          <w:highlight w:val="none"/>
          <w:lang w:eastAsia="zh-CN"/>
        </w:rPr>
        <w:t>（</w:t>
      </w:r>
      <w:r>
        <w:rPr>
          <w:rFonts w:hint="eastAsia" w:ascii="Times New Roman" w:hAnsi="Times New Roman" w:eastAsia="楷体" w:cs="Times New Roman"/>
          <w:b/>
          <w:bCs/>
          <w:color w:val="auto"/>
          <w:sz w:val="30"/>
          <w:szCs w:val="30"/>
          <w:highlight w:val="none"/>
          <w:lang w:val="en-US" w:eastAsia="zh-CN"/>
        </w:rPr>
        <w:t>8</w:t>
      </w:r>
      <w:r>
        <w:rPr>
          <w:rFonts w:hint="default" w:ascii="Times New Roman" w:hAnsi="Times New Roman" w:eastAsia="楷体" w:cs="Times New Roman"/>
          <w:b/>
          <w:bCs/>
          <w:color w:val="auto"/>
          <w:sz w:val="30"/>
          <w:szCs w:val="30"/>
          <w:highlight w:val="none"/>
          <w:lang w:eastAsia="zh-CN"/>
        </w:rPr>
        <w:t>）</w:t>
      </w:r>
      <w:r>
        <w:rPr>
          <w:rFonts w:hint="eastAsia" w:ascii="Times New Roman" w:hAnsi="Times New Roman" w:eastAsia="楷体" w:cs="Times New Roman"/>
          <w:b/>
          <w:bCs/>
          <w:color w:val="auto"/>
          <w:sz w:val="30"/>
          <w:szCs w:val="30"/>
          <w:highlight w:val="none"/>
          <w:lang w:val="en-US" w:eastAsia="zh-CN"/>
        </w:rPr>
        <w:t>厂外管网及泵站</w:t>
      </w:r>
    </w:p>
    <w:p w14:paraId="18B41C62">
      <w:pPr>
        <w:keepNext w:val="0"/>
        <w:keepLines w:val="0"/>
        <w:spacing w:before="100" w:after="100"/>
        <w:ind w:firstLine="560" w:firstLineChars="200"/>
        <w:rPr>
          <w:rFonts w:hint="default" w:ascii="Times New Roman" w:hAnsi="Times New Roman" w:eastAsia="楷体" w:cs="Times New Roman"/>
          <w:color w:val="auto"/>
          <w:sz w:val="28"/>
          <w:szCs w:val="28"/>
          <w:highlight w:val="none"/>
          <w:lang w:val="en-US" w:eastAsia="zh-CN"/>
        </w:rPr>
      </w:pPr>
      <w:r>
        <w:rPr>
          <w:rFonts w:hint="default" w:ascii="Times New Roman" w:hAnsi="Times New Roman" w:eastAsia="楷体" w:cs="Times New Roman"/>
          <w:color w:val="auto"/>
          <w:sz w:val="28"/>
          <w:szCs w:val="28"/>
          <w:highlight w:val="none"/>
          <w:lang w:val="en-US" w:eastAsia="zh-CN"/>
        </w:rPr>
        <w:t>①厂外污水提升泵站一座，设计规模12万m</w:t>
      </w:r>
      <w:r>
        <w:rPr>
          <w:rFonts w:hint="default" w:ascii="Times New Roman" w:hAnsi="Times New Roman" w:eastAsia="楷体" w:cs="Times New Roman"/>
          <w:color w:val="auto"/>
          <w:sz w:val="28"/>
          <w:szCs w:val="28"/>
          <w:highlight w:val="none"/>
          <w:vertAlign w:val="superscript"/>
          <w:lang w:val="en-US" w:eastAsia="zh-CN"/>
        </w:rPr>
        <w:t>3</w:t>
      </w:r>
      <w:r>
        <w:rPr>
          <w:rFonts w:hint="default" w:ascii="Times New Roman" w:hAnsi="Times New Roman" w:eastAsia="楷体" w:cs="Times New Roman"/>
          <w:color w:val="auto"/>
          <w:sz w:val="28"/>
          <w:szCs w:val="28"/>
          <w:highlight w:val="none"/>
          <w:lang w:val="en-US" w:eastAsia="zh-CN"/>
        </w:rPr>
        <w:t>/d，位于江都区仙女镇涵西村；</w:t>
      </w:r>
    </w:p>
    <w:p w14:paraId="1AF51478">
      <w:pPr>
        <w:keepNext w:val="0"/>
        <w:keepLines w:val="0"/>
        <w:spacing w:before="100" w:after="100"/>
        <w:ind w:firstLine="560" w:firstLineChars="200"/>
        <w:rPr>
          <w:rFonts w:hint="default" w:ascii="Times New Roman" w:hAnsi="Times New Roman" w:eastAsia="楷体" w:cs="Times New Roman"/>
          <w:color w:val="auto"/>
          <w:sz w:val="28"/>
          <w:szCs w:val="28"/>
          <w:highlight w:val="none"/>
          <w:lang w:val="en-US" w:eastAsia="zh-CN"/>
        </w:rPr>
      </w:pPr>
      <w:r>
        <w:rPr>
          <w:rFonts w:hint="default" w:ascii="Times New Roman" w:hAnsi="Times New Roman" w:eastAsia="楷体" w:cs="Times New Roman"/>
          <w:color w:val="auto"/>
          <w:sz w:val="28"/>
          <w:szCs w:val="28"/>
          <w:highlight w:val="none"/>
          <w:lang w:val="en-US" w:eastAsia="zh-CN"/>
        </w:rPr>
        <w:t>②厂外提升泵站至污水处理厂的污水输送管道，管径为DN1200，管道总长约3858m；</w:t>
      </w:r>
    </w:p>
    <w:p w14:paraId="4F11D3BC">
      <w:pPr>
        <w:keepNext w:val="0"/>
        <w:keepLines w:val="0"/>
        <w:spacing w:before="100" w:after="100"/>
        <w:ind w:firstLine="560" w:firstLineChars="200"/>
        <w:rPr>
          <w:rFonts w:hint="default" w:ascii="Times New Roman" w:hAnsi="Times New Roman" w:eastAsia="楷体" w:cs="Times New Roman"/>
          <w:color w:val="auto"/>
          <w:sz w:val="28"/>
          <w:szCs w:val="28"/>
          <w:highlight w:val="none"/>
          <w:lang w:val="en-US" w:eastAsia="zh-CN"/>
        </w:rPr>
      </w:pPr>
      <w:r>
        <w:rPr>
          <w:rFonts w:hint="default" w:ascii="Times New Roman" w:hAnsi="Times New Roman" w:eastAsia="楷体" w:cs="Times New Roman"/>
          <w:color w:val="auto"/>
          <w:sz w:val="28"/>
          <w:szCs w:val="28"/>
          <w:highlight w:val="none"/>
          <w:lang w:val="en-US" w:eastAsia="zh-CN"/>
        </w:rPr>
        <w:t>③污水处理厂至大涵河的尾水排放管，其中污水处理厂至厂外提升泵站处管道管径为DN1200，管道总长约为3622m；厂外提升泵站至大涵河管道管径为DN1000，管道总长约为1012m；</w:t>
      </w:r>
    </w:p>
    <w:p w14:paraId="0EAAA747">
      <w:pPr>
        <w:ind w:firstLine="560" w:firstLineChars="200"/>
        <w:rPr>
          <w:rFonts w:ascii="Times New Roman" w:hAnsi="Times New Roman" w:cs="Times New Roman"/>
          <w:color w:val="auto"/>
          <w:highlight w:val="none"/>
        </w:rPr>
      </w:pPr>
      <w:r>
        <w:rPr>
          <w:rFonts w:hint="default" w:ascii="Times New Roman" w:hAnsi="Times New Roman" w:eastAsia="楷体" w:cs="Times New Roman"/>
          <w:color w:val="auto"/>
          <w:sz w:val="28"/>
          <w:szCs w:val="28"/>
          <w:highlight w:val="none"/>
          <w:lang w:val="en-US" w:eastAsia="zh-CN"/>
        </w:rPr>
        <w:t>④为了落实厂站一体化，城区内南区泵站、二桥泵站、新通扬泵站、江都桥泵站、双沟污水泵站、黄海南路污水泵站、张纲污水泵站、金湾路污水泵站、物流园污水泵站、金桥石油苑污水泵站、涵西提升泵站和大涵河出水提升泵站全部纳入特许经营实施运维范围（除上述管网外，不含区域内其他管网运营维护）。</w:t>
      </w:r>
    </w:p>
    <w:p w14:paraId="570F8274">
      <w:pPr>
        <w:rPr>
          <w:rFonts w:hint="eastAsia" w:ascii="Times New Roman" w:hAnsi="Times New Roman" w:eastAsia="楷体" w:cs="Times New Roman"/>
          <w:color w:val="auto"/>
          <w:sz w:val="28"/>
          <w:szCs w:val="28"/>
          <w:highlight w:val="none"/>
          <w:lang w:val="en-US" w:eastAsia="zh-CN"/>
        </w:rPr>
      </w:pPr>
    </w:p>
    <w:p w14:paraId="792C7DFB">
      <w:pPr>
        <w:widowControl/>
        <w:spacing w:before="100" w:beforeAutospacing="0" w:after="100" w:afterAutospacing="0"/>
        <w:jc w:val="center"/>
        <w:rPr>
          <w:rFonts w:hint="eastAsia" w:ascii="方正小标宋简体" w:hAnsi="方正小标宋简体" w:eastAsia="方正小标宋简体" w:cs="微软雅黑"/>
          <w:bCs/>
          <w:color w:val="auto"/>
          <w:sz w:val="36"/>
          <w:szCs w:val="36"/>
          <w:highlight w:val="none"/>
          <w:lang w:val="en-US" w:eastAsia="zh-CN" w:bidi="ar-SA"/>
        </w:rPr>
        <w:sectPr>
          <w:pgSz w:w="11906" w:h="16838"/>
          <w:pgMar w:top="1440" w:right="1797" w:bottom="1440" w:left="1797" w:header="851" w:footer="992" w:gutter="0"/>
          <w:cols w:space="720" w:num="1"/>
          <w:docGrid w:linePitch="360" w:charSpace="0"/>
        </w:sectPr>
      </w:pPr>
    </w:p>
    <w:p w14:paraId="1472C3E4">
      <w:pPr>
        <w:pStyle w:val="2"/>
        <w:keepNext/>
        <w:keepLines/>
        <w:pageBreakBefore w:val="0"/>
        <w:widowControl w:val="0"/>
        <w:spacing w:line="360" w:lineRule="auto"/>
        <w:jc w:val="center"/>
        <w:rPr>
          <w:rFonts w:ascii="宋体" w:hAnsi="宋体"/>
          <w:color w:val="auto"/>
          <w:highlight w:val="none"/>
        </w:rPr>
      </w:pPr>
      <w:bookmarkStart w:id="674" w:name="_Toc55204181"/>
      <w:r>
        <w:rPr>
          <w:rFonts w:hint="eastAsia" w:ascii="宋体" w:hAnsi="宋体"/>
          <w:color w:val="auto"/>
          <w:highlight w:val="none"/>
        </w:rPr>
        <w:t>第五章 评标方法及评标标准</w:t>
      </w:r>
      <w:bookmarkEnd w:id="674"/>
    </w:p>
    <w:p w14:paraId="143A5276">
      <w:pPr>
        <w:pStyle w:val="224"/>
        <w:ind w:firstLine="422"/>
        <w:rPr>
          <w:rFonts w:ascii="宋体" w:hAnsi="宋体"/>
          <w:b/>
          <w:color w:val="auto"/>
          <w:sz w:val="21"/>
          <w:szCs w:val="21"/>
          <w:highlight w:val="none"/>
        </w:rPr>
      </w:pPr>
      <w:r>
        <w:rPr>
          <w:rFonts w:hint="eastAsia" w:ascii="宋体" w:hAnsi="宋体"/>
          <w:b/>
          <w:color w:val="auto"/>
          <w:sz w:val="21"/>
          <w:szCs w:val="21"/>
          <w:highlight w:val="none"/>
        </w:rPr>
        <w:t>一、评标方法</w:t>
      </w:r>
    </w:p>
    <w:p w14:paraId="18065B10">
      <w:pPr>
        <w:pStyle w:val="224"/>
        <w:ind w:firstLine="420"/>
        <w:rPr>
          <w:rFonts w:ascii="宋体" w:hAnsi="宋体"/>
          <w:color w:val="auto"/>
          <w:sz w:val="21"/>
          <w:szCs w:val="21"/>
          <w:highlight w:val="none"/>
        </w:rPr>
      </w:pPr>
      <w:r>
        <w:rPr>
          <w:rFonts w:hint="eastAsia" w:ascii="宋体" w:hAnsi="宋体"/>
          <w:color w:val="auto"/>
          <w:sz w:val="21"/>
          <w:szCs w:val="21"/>
          <w:highlight w:val="none"/>
        </w:rPr>
        <w:t>本项目采用综合评分法，评委会将对确定为实质性响应招标文件要求的投标文件进行评价和比较。评标结果按评审后得分由高到低顺序排列。得分相同的，按投标</w:t>
      </w:r>
      <w:r>
        <w:rPr>
          <w:rFonts w:hint="eastAsia" w:ascii="宋体" w:hAnsi="宋体"/>
          <w:color w:val="auto"/>
          <w:sz w:val="21"/>
          <w:szCs w:val="21"/>
          <w:highlight w:val="none"/>
          <w:lang w:eastAsia="zh-CN"/>
        </w:rPr>
        <w:t>优惠率</w:t>
      </w:r>
      <w:r>
        <w:rPr>
          <w:rFonts w:hint="eastAsia" w:ascii="宋体" w:hAnsi="宋体"/>
          <w:color w:val="auto"/>
          <w:sz w:val="21"/>
          <w:szCs w:val="21"/>
          <w:highlight w:val="none"/>
        </w:rPr>
        <w:t>由高到低顺序排列。得分且投标</w:t>
      </w:r>
      <w:r>
        <w:rPr>
          <w:rFonts w:hint="eastAsia" w:ascii="宋体" w:hAnsi="宋体"/>
          <w:color w:val="auto"/>
          <w:sz w:val="21"/>
          <w:szCs w:val="21"/>
          <w:highlight w:val="none"/>
          <w:lang w:eastAsia="zh-CN"/>
        </w:rPr>
        <w:t>优惠率</w:t>
      </w:r>
      <w:r>
        <w:rPr>
          <w:rFonts w:hint="eastAsia" w:ascii="宋体" w:hAnsi="宋体"/>
          <w:color w:val="auto"/>
          <w:sz w:val="21"/>
          <w:szCs w:val="21"/>
          <w:highlight w:val="none"/>
        </w:rPr>
        <w:t>相同的并列</w:t>
      </w:r>
      <w:r>
        <w:rPr>
          <w:rFonts w:hint="eastAsia" w:ascii="宋体" w:hAnsi="宋体"/>
          <w:color w:val="auto"/>
          <w:sz w:val="21"/>
          <w:szCs w:val="21"/>
          <w:highlight w:val="none"/>
          <w:lang w:eastAsia="zh-CN"/>
        </w:rPr>
        <w:t>。</w:t>
      </w:r>
      <w:r>
        <w:rPr>
          <w:rFonts w:hint="eastAsia" w:ascii="宋体" w:hAnsi="宋体"/>
          <w:color w:val="auto"/>
          <w:sz w:val="21"/>
          <w:szCs w:val="21"/>
          <w:highlight w:val="none"/>
        </w:rPr>
        <w:t>投标文件满足招标文件全部实质性要求，且按照评审因素的量化指标评审得分最高的投标人为排名第一的中标候选人。</w:t>
      </w:r>
    </w:p>
    <w:p w14:paraId="512BB8E5">
      <w:pPr>
        <w:spacing w:line="360" w:lineRule="auto"/>
        <w:ind w:firstLine="422"/>
        <w:rPr>
          <w:rFonts w:ascii="宋体" w:hAnsi="宋体"/>
          <w:b/>
          <w:color w:val="auto"/>
          <w:szCs w:val="21"/>
          <w:highlight w:val="none"/>
        </w:rPr>
      </w:pPr>
      <w:bookmarkStart w:id="675" w:name="_Toc449017024"/>
      <w:bookmarkStart w:id="676" w:name="_Toc449016388"/>
      <w:r>
        <w:rPr>
          <w:rFonts w:ascii="宋体" w:hAnsi="宋体"/>
          <w:b/>
          <w:color w:val="auto"/>
          <w:szCs w:val="21"/>
          <w:highlight w:val="none"/>
        </w:rPr>
        <w:t>二、</w:t>
      </w:r>
      <w:r>
        <w:rPr>
          <w:rFonts w:hint="eastAsia" w:ascii="宋体" w:hAnsi="宋体"/>
          <w:b/>
          <w:color w:val="auto"/>
          <w:szCs w:val="21"/>
          <w:highlight w:val="none"/>
        </w:rPr>
        <w:t>政府采购政策功能落实</w:t>
      </w:r>
      <w:bookmarkEnd w:id="675"/>
      <w:bookmarkEnd w:id="676"/>
    </w:p>
    <w:p w14:paraId="1223BF24">
      <w:pPr>
        <w:spacing w:line="360" w:lineRule="auto"/>
        <w:ind w:firstLine="420"/>
        <w:rPr>
          <w:rFonts w:ascii="宋体" w:hAnsi="宋体"/>
          <w:b/>
          <w:color w:val="auto"/>
          <w:szCs w:val="21"/>
          <w:highlight w:val="none"/>
        </w:rPr>
      </w:pPr>
      <w:r>
        <w:rPr>
          <w:color w:val="auto"/>
          <w:highlight w:val="none"/>
        </w:rPr>
        <w:t>按照《政府采购促进中小企业发展管理办法》的规定，未预留份额专门面向中小企业采购的采购项目或分包，对符合条件的小微型企业、监狱和戒毒企业价格或残疾人福利单位所制造生产的货物或提供的服务进行价格扣除，具体如下：</w:t>
      </w:r>
    </w:p>
    <w:p w14:paraId="7C2263D2">
      <w:pPr>
        <w:pStyle w:val="224"/>
        <w:ind w:left="315" w:firstLine="105"/>
        <w:rPr>
          <w:rFonts w:ascii="宋体" w:hAnsi="宋体"/>
          <w:color w:val="auto"/>
          <w:sz w:val="21"/>
          <w:szCs w:val="21"/>
          <w:highlight w:val="none"/>
        </w:rPr>
      </w:pPr>
      <w:r>
        <w:rPr>
          <w:rFonts w:ascii="宋体" w:hAnsi="宋体"/>
          <w:color w:val="auto"/>
          <w:sz w:val="21"/>
          <w:szCs w:val="21"/>
          <w:highlight w:val="none"/>
        </w:rPr>
        <w:t>1、小微型企业价格扣除</w:t>
      </w:r>
    </w:p>
    <w:p w14:paraId="3253E689">
      <w:pPr>
        <w:pStyle w:val="224"/>
        <w:ind w:firstLine="420"/>
        <w:rPr>
          <w:rFonts w:ascii="宋体" w:hAnsi="宋体"/>
          <w:color w:val="auto"/>
          <w:sz w:val="21"/>
          <w:szCs w:val="21"/>
          <w:highlight w:val="none"/>
        </w:rPr>
      </w:pPr>
      <w:r>
        <w:rPr>
          <w:rFonts w:ascii="宋体" w:hAnsi="宋体"/>
          <w:color w:val="auto"/>
          <w:sz w:val="21"/>
          <w:szCs w:val="21"/>
          <w:highlight w:val="none"/>
        </w:rPr>
        <w:t>（1）对小型和微型企业产品给予</w:t>
      </w:r>
      <w:r>
        <w:rPr>
          <w:rFonts w:hint="eastAsia" w:ascii="宋体" w:hAnsi="宋体"/>
          <w:color w:val="auto"/>
          <w:sz w:val="21"/>
          <w:szCs w:val="21"/>
          <w:highlight w:val="none"/>
        </w:rPr>
        <w:t>20</w:t>
      </w:r>
      <w:r>
        <w:rPr>
          <w:rFonts w:ascii="宋体" w:hAnsi="宋体"/>
          <w:color w:val="auto"/>
          <w:sz w:val="21"/>
          <w:szCs w:val="21"/>
          <w:highlight w:val="none"/>
        </w:rPr>
        <w:t>%的扣除价格，用扣除后的价格参与评审。</w:t>
      </w:r>
    </w:p>
    <w:p w14:paraId="11E6041F">
      <w:pPr>
        <w:pStyle w:val="224"/>
        <w:ind w:firstLine="420"/>
        <w:rPr>
          <w:rFonts w:ascii="宋体" w:hAnsi="宋体"/>
          <w:color w:val="auto"/>
          <w:sz w:val="21"/>
          <w:szCs w:val="21"/>
          <w:highlight w:val="none"/>
        </w:rPr>
      </w:pPr>
      <w:r>
        <w:rPr>
          <w:rFonts w:ascii="宋体" w:hAnsi="宋体"/>
          <w:color w:val="auto"/>
          <w:sz w:val="21"/>
          <w:szCs w:val="21"/>
          <w:highlight w:val="none"/>
        </w:rPr>
        <w:t>（2）供应商需按照采购文件的要求提供相应的《企业声明函》。</w:t>
      </w:r>
    </w:p>
    <w:p w14:paraId="2418F6C3">
      <w:pPr>
        <w:pStyle w:val="224"/>
        <w:ind w:left="420" w:firstLine="0"/>
        <w:rPr>
          <w:rFonts w:ascii="宋体" w:hAnsi="宋体"/>
          <w:color w:val="auto"/>
          <w:sz w:val="21"/>
          <w:szCs w:val="21"/>
          <w:highlight w:val="none"/>
        </w:rPr>
      </w:pPr>
      <w:r>
        <w:rPr>
          <w:rFonts w:ascii="宋体" w:hAnsi="宋体"/>
          <w:color w:val="auto"/>
          <w:sz w:val="21"/>
          <w:szCs w:val="21"/>
          <w:highlight w:val="none"/>
        </w:rPr>
        <w:t>2、残疾人福利单位价格扣除</w:t>
      </w:r>
    </w:p>
    <w:p w14:paraId="6926EE4E">
      <w:pPr>
        <w:pStyle w:val="224"/>
        <w:ind w:left="315" w:firstLine="105"/>
        <w:rPr>
          <w:rFonts w:ascii="宋体" w:hAnsi="宋体"/>
          <w:color w:val="auto"/>
          <w:sz w:val="21"/>
          <w:szCs w:val="21"/>
          <w:highlight w:val="none"/>
        </w:rPr>
      </w:pPr>
      <w:r>
        <w:rPr>
          <w:rFonts w:ascii="宋体" w:hAnsi="宋体"/>
          <w:color w:val="auto"/>
          <w:sz w:val="21"/>
          <w:szCs w:val="21"/>
          <w:highlight w:val="none"/>
        </w:rPr>
        <w:t>（1）对残疾人福利性单位视同小型、微型企业，给予</w:t>
      </w:r>
      <w:r>
        <w:rPr>
          <w:rFonts w:hint="eastAsia" w:ascii="宋体" w:hAnsi="宋体"/>
          <w:color w:val="auto"/>
          <w:sz w:val="21"/>
          <w:szCs w:val="21"/>
          <w:highlight w:val="none"/>
        </w:rPr>
        <w:t>20</w:t>
      </w:r>
      <w:r>
        <w:rPr>
          <w:rFonts w:ascii="宋体" w:hAnsi="宋体"/>
          <w:color w:val="auto"/>
          <w:sz w:val="21"/>
          <w:szCs w:val="21"/>
          <w:highlight w:val="none"/>
        </w:rPr>
        <w:t>%的价格扣除，用扣除后的价格参与评审。</w:t>
      </w:r>
    </w:p>
    <w:p w14:paraId="7ECF066E">
      <w:pPr>
        <w:pStyle w:val="224"/>
        <w:ind w:left="420" w:firstLine="0"/>
        <w:rPr>
          <w:rFonts w:ascii="宋体" w:hAnsi="宋体"/>
          <w:color w:val="auto"/>
          <w:sz w:val="21"/>
          <w:szCs w:val="21"/>
          <w:highlight w:val="none"/>
        </w:rPr>
      </w:pPr>
      <w:r>
        <w:rPr>
          <w:rFonts w:ascii="宋体" w:hAnsi="宋体"/>
          <w:color w:val="auto"/>
          <w:sz w:val="21"/>
          <w:szCs w:val="21"/>
          <w:highlight w:val="none"/>
        </w:rPr>
        <w:t>（2）残疾人福利单位需按照采购文件的要求提供《残疾人福利性单位声明函》。</w:t>
      </w:r>
    </w:p>
    <w:p w14:paraId="4A6B6D54">
      <w:pPr>
        <w:pStyle w:val="224"/>
        <w:ind w:left="420" w:firstLine="0"/>
        <w:rPr>
          <w:rFonts w:ascii="宋体" w:hAnsi="宋体"/>
          <w:color w:val="auto"/>
          <w:sz w:val="21"/>
          <w:szCs w:val="21"/>
          <w:highlight w:val="none"/>
        </w:rPr>
      </w:pPr>
      <w:r>
        <w:rPr>
          <w:rFonts w:ascii="宋体" w:hAnsi="宋体"/>
          <w:color w:val="auto"/>
          <w:sz w:val="21"/>
          <w:szCs w:val="21"/>
          <w:highlight w:val="none"/>
        </w:rPr>
        <w:t>（3）残疾人福利单位标准请参照《关于促进残疾人就业政府采购政策的通知》（财库</w:t>
      </w:r>
    </w:p>
    <w:p w14:paraId="461A8128">
      <w:pPr>
        <w:pStyle w:val="224"/>
        <w:ind w:left="420" w:hanging="420"/>
        <w:rPr>
          <w:rFonts w:ascii="宋体" w:hAnsi="宋体"/>
          <w:color w:val="auto"/>
          <w:sz w:val="21"/>
          <w:szCs w:val="21"/>
          <w:highlight w:val="none"/>
        </w:rPr>
      </w:pPr>
      <w:r>
        <w:rPr>
          <w:rFonts w:ascii="宋体" w:hAnsi="宋体"/>
          <w:color w:val="auto"/>
          <w:sz w:val="21"/>
          <w:szCs w:val="21"/>
          <w:highlight w:val="none"/>
        </w:rPr>
        <w:t>〔2017〕141号）。</w:t>
      </w:r>
    </w:p>
    <w:p w14:paraId="0F749BAF">
      <w:pPr>
        <w:pStyle w:val="224"/>
        <w:ind w:left="420" w:firstLine="0"/>
        <w:rPr>
          <w:rFonts w:ascii="宋体" w:hAnsi="宋体"/>
          <w:color w:val="auto"/>
          <w:sz w:val="21"/>
          <w:szCs w:val="21"/>
          <w:highlight w:val="none"/>
        </w:rPr>
      </w:pPr>
      <w:r>
        <w:rPr>
          <w:rFonts w:ascii="宋体" w:hAnsi="宋体"/>
          <w:color w:val="auto"/>
          <w:sz w:val="21"/>
          <w:szCs w:val="21"/>
          <w:highlight w:val="none"/>
        </w:rPr>
        <w:t>3、监狱和戒毒企业价格扣除</w:t>
      </w:r>
    </w:p>
    <w:p w14:paraId="770710E6">
      <w:pPr>
        <w:pStyle w:val="224"/>
        <w:ind w:left="420" w:firstLine="0"/>
        <w:rPr>
          <w:rFonts w:ascii="宋体" w:hAnsi="宋体"/>
          <w:color w:val="auto"/>
          <w:sz w:val="21"/>
          <w:szCs w:val="21"/>
          <w:highlight w:val="none"/>
        </w:rPr>
      </w:pPr>
      <w:r>
        <w:rPr>
          <w:rFonts w:ascii="宋体" w:hAnsi="宋体"/>
          <w:color w:val="auto"/>
          <w:sz w:val="21"/>
          <w:szCs w:val="21"/>
          <w:highlight w:val="none"/>
        </w:rPr>
        <w:t>（1）对监狱和戒毒企业（简称监狱企业）视同小型、微型企业，给予</w:t>
      </w:r>
      <w:r>
        <w:rPr>
          <w:rFonts w:hint="eastAsia" w:ascii="宋体" w:hAnsi="宋体"/>
          <w:color w:val="auto"/>
          <w:sz w:val="21"/>
          <w:szCs w:val="21"/>
          <w:highlight w:val="none"/>
        </w:rPr>
        <w:t>20</w:t>
      </w:r>
      <w:r>
        <w:rPr>
          <w:rFonts w:ascii="宋体" w:hAnsi="宋体"/>
          <w:color w:val="auto"/>
          <w:sz w:val="21"/>
          <w:szCs w:val="21"/>
          <w:highlight w:val="none"/>
        </w:rPr>
        <w:t>%的价格扣除，用扣除后的价格参与评审。</w:t>
      </w:r>
    </w:p>
    <w:p w14:paraId="10C0C51C">
      <w:pPr>
        <w:pStyle w:val="224"/>
        <w:ind w:left="420" w:firstLine="0"/>
        <w:rPr>
          <w:rFonts w:ascii="宋体" w:hAnsi="宋体"/>
          <w:color w:val="auto"/>
          <w:sz w:val="21"/>
          <w:szCs w:val="21"/>
          <w:highlight w:val="none"/>
        </w:rPr>
      </w:pPr>
      <w:r>
        <w:rPr>
          <w:rFonts w:ascii="宋体" w:hAnsi="宋体"/>
          <w:color w:val="auto"/>
          <w:sz w:val="21"/>
          <w:szCs w:val="21"/>
          <w:highlight w:val="none"/>
        </w:rPr>
        <w:t>（2）监狱企业参加政府采购活动时，需提供由省级以上监狱管理局、戒毒管理局(含</w:t>
      </w:r>
    </w:p>
    <w:p w14:paraId="2FEFCD50">
      <w:pPr>
        <w:pStyle w:val="224"/>
        <w:ind w:firstLine="0"/>
        <w:rPr>
          <w:rFonts w:ascii="宋体" w:hAnsi="宋体"/>
          <w:color w:val="auto"/>
          <w:sz w:val="21"/>
          <w:szCs w:val="21"/>
          <w:highlight w:val="none"/>
        </w:rPr>
      </w:pPr>
      <w:r>
        <w:rPr>
          <w:rFonts w:ascii="宋体" w:hAnsi="宋体"/>
          <w:color w:val="auto"/>
          <w:sz w:val="21"/>
          <w:szCs w:val="21"/>
          <w:highlight w:val="none"/>
        </w:rPr>
        <w:t>新疆生产建设兵团)出具的属于监狱企业的证明文件。供应商如不提供上述证明文件，价格将不做相应扣除。</w:t>
      </w:r>
    </w:p>
    <w:p w14:paraId="369C57DC">
      <w:pPr>
        <w:pStyle w:val="224"/>
        <w:rPr>
          <w:rFonts w:ascii="宋体" w:hAnsi="宋体"/>
          <w:color w:val="auto"/>
          <w:sz w:val="21"/>
          <w:szCs w:val="21"/>
          <w:highlight w:val="none"/>
        </w:rPr>
      </w:pPr>
      <w:r>
        <w:rPr>
          <w:rFonts w:ascii="宋体" w:hAnsi="宋体"/>
          <w:color w:val="auto"/>
          <w:sz w:val="21"/>
          <w:szCs w:val="21"/>
          <w:highlight w:val="none"/>
        </w:rPr>
        <w:t>（3）监狱企业标准请参照《关于政府采购支持监狱企业发展有关问题的通知》（财库</w:t>
      </w:r>
      <w:r>
        <w:rPr>
          <w:rFonts w:hint="eastAsia" w:ascii="宋体" w:hAnsi="宋体"/>
          <w:color w:val="auto"/>
          <w:sz w:val="21"/>
          <w:szCs w:val="21"/>
          <w:highlight w:val="none"/>
          <w:lang w:eastAsia="zh-CN"/>
        </w:rPr>
        <w:t>〔2014〕68号</w:t>
      </w:r>
      <w:r>
        <w:rPr>
          <w:rFonts w:ascii="宋体" w:hAnsi="宋体"/>
          <w:color w:val="auto"/>
          <w:sz w:val="21"/>
          <w:szCs w:val="21"/>
          <w:highlight w:val="none"/>
        </w:rPr>
        <w:t>）。</w:t>
      </w:r>
    </w:p>
    <w:p w14:paraId="1DAAE280">
      <w:pPr>
        <w:pStyle w:val="224"/>
        <w:ind w:firstLine="420"/>
        <w:rPr>
          <w:rFonts w:ascii="宋体" w:hAnsi="宋体"/>
          <w:color w:val="auto"/>
          <w:sz w:val="21"/>
          <w:szCs w:val="21"/>
          <w:highlight w:val="none"/>
        </w:rPr>
      </w:pPr>
      <w:r>
        <w:rPr>
          <w:rFonts w:ascii="宋体" w:hAnsi="宋体"/>
          <w:color w:val="auto"/>
          <w:sz w:val="21"/>
          <w:szCs w:val="21"/>
          <w:highlight w:val="none"/>
        </w:rPr>
        <w:t>4、残疾人福利单位、监狱企业属于小型、微型企业的，不重复享受政策。</w:t>
      </w:r>
    </w:p>
    <w:p w14:paraId="769CC4A2">
      <w:pPr>
        <w:pStyle w:val="224"/>
        <w:ind w:left="420" w:firstLine="0"/>
        <w:rPr>
          <w:rFonts w:ascii="宋体" w:hAnsi="宋体"/>
          <w:color w:val="auto"/>
          <w:sz w:val="21"/>
          <w:szCs w:val="21"/>
          <w:highlight w:val="none"/>
        </w:rPr>
      </w:pPr>
      <w:r>
        <w:rPr>
          <w:rFonts w:ascii="宋体" w:hAnsi="宋体"/>
          <w:color w:val="auto"/>
          <w:sz w:val="21"/>
          <w:szCs w:val="21"/>
          <w:highlight w:val="none"/>
        </w:rPr>
        <w:t>5、大中型企业和其他自然人、法人或者其他组织并与小型、微型企业（残疾人福利单</w:t>
      </w:r>
    </w:p>
    <w:p w14:paraId="7BF2D732">
      <w:pPr>
        <w:pStyle w:val="224"/>
        <w:ind w:firstLine="0"/>
        <w:rPr>
          <w:rFonts w:ascii="宋体" w:hAnsi="宋体"/>
          <w:color w:val="auto"/>
          <w:sz w:val="21"/>
          <w:szCs w:val="21"/>
          <w:highlight w:val="none"/>
        </w:rPr>
      </w:pPr>
      <w:r>
        <w:rPr>
          <w:rFonts w:ascii="宋体" w:hAnsi="宋体"/>
          <w:color w:val="auto"/>
          <w:sz w:val="21"/>
          <w:szCs w:val="21"/>
          <w:highlight w:val="none"/>
        </w:rPr>
        <w:t>位、监狱企业）组成联合体共同参加政府采购活动。联合协议中约定，小型、微型企业（残疾人福利单位、监狱企业）的协议合同金额占到联合体协议合同总金额30%以上的，给予联合体</w:t>
      </w:r>
      <w:r>
        <w:rPr>
          <w:rFonts w:hint="eastAsia" w:ascii="宋体" w:hAnsi="宋体"/>
          <w:color w:val="auto"/>
          <w:sz w:val="21"/>
          <w:szCs w:val="21"/>
          <w:highlight w:val="none"/>
        </w:rPr>
        <w:t>6</w:t>
      </w:r>
      <w:r>
        <w:rPr>
          <w:rFonts w:ascii="宋体" w:hAnsi="宋体"/>
          <w:color w:val="auto"/>
          <w:sz w:val="21"/>
          <w:szCs w:val="21"/>
          <w:highlight w:val="none"/>
        </w:rPr>
        <w:t>%的价格扣除，用扣除后的价格参与评审。</w:t>
      </w:r>
    </w:p>
    <w:p w14:paraId="5957BC53">
      <w:pPr>
        <w:pStyle w:val="224"/>
        <w:ind w:left="420" w:firstLine="0"/>
        <w:rPr>
          <w:rFonts w:ascii="宋体" w:hAnsi="宋体"/>
          <w:color w:val="auto"/>
          <w:sz w:val="21"/>
          <w:szCs w:val="21"/>
          <w:highlight w:val="none"/>
        </w:rPr>
      </w:pPr>
      <w:r>
        <w:rPr>
          <w:rFonts w:ascii="宋体" w:hAnsi="宋体"/>
          <w:color w:val="auto"/>
          <w:sz w:val="21"/>
          <w:szCs w:val="21"/>
          <w:highlight w:val="none"/>
        </w:rPr>
        <w:t>6、联合体各方均为小型、微型企业（残疾人福利单位、监狱企业）的，联合体享受</w:t>
      </w:r>
    </w:p>
    <w:p w14:paraId="63CCFA90">
      <w:pPr>
        <w:pStyle w:val="224"/>
        <w:ind w:firstLine="0"/>
        <w:rPr>
          <w:rFonts w:ascii="宋体" w:hAnsi="宋体"/>
          <w:color w:val="auto"/>
          <w:sz w:val="21"/>
          <w:szCs w:val="21"/>
          <w:highlight w:val="none"/>
        </w:rPr>
      </w:pPr>
      <w:r>
        <w:rPr>
          <w:rFonts w:hint="eastAsia" w:ascii="宋体" w:hAnsi="宋体"/>
          <w:color w:val="auto"/>
          <w:sz w:val="21"/>
          <w:szCs w:val="21"/>
          <w:highlight w:val="none"/>
        </w:rPr>
        <w:t>20</w:t>
      </w:r>
      <w:r>
        <w:rPr>
          <w:rFonts w:ascii="宋体" w:hAnsi="宋体"/>
          <w:color w:val="auto"/>
          <w:sz w:val="21"/>
          <w:szCs w:val="21"/>
          <w:highlight w:val="none"/>
        </w:rPr>
        <w:t>%价格扣除，用扣除后的价格参与评审。</w:t>
      </w:r>
    </w:p>
    <w:p w14:paraId="7C2AACB0">
      <w:pPr>
        <w:pStyle w:val="224"/>
        <w:numPr>
          <w:ilvl w:val="0"/>
          <w:numId w:val="14"/>
        </w:numPr>
        <w:ind w:firstLine="420"/>
        <w:rPr>
          <w:rFonts w:hint="eastAsia" w:ascii="宋体" w:hAnsi="宋体"/>
          <w:color w:val="auto"/>
          <w:sz w:val="21"/>
          <w:szCs w:val="21"/>
          <w:highlight w:val="none"/>
        </w:rPr>
      </w:pPr>
      <w:r>
        <w:rPr>
          <w:rFonts w:hint="eastAsia" w:ascii="宋体" w:hAnsi="宋体"/>
          <w:color w:val="auto"/>
          <w:sz w:val="21"/>
          <w:szCs w:val="21"/>
          <w:highlight w:val="none"/>
        </w:rPr>
        <w:t>大中型企业向小型、微型企业分包的，分包意向协议约定小型、微型企业合同份额占到合同总金额30%以上的，给予6%的价格扣除，用扣除后的价格参与评审。</w:t>
      </w:r>
    </w:p>
    <w:p w14:paraId="594B9693">
      <w:pPr>
        <w:pStyle w:val="224"/>
        <w:numPr>
          <w:ilvl w:val="0"/>
          <w:numId w:val="0"/>
        </w:numPr>
        <w:ind w:firstLine="482"/>
        <w:rPr>
          <w:rFonts w:hint="eastAsia" w:ascii="宋体" w:hAnsi="宋体"/>
          <w:color w:val="auto"/>
          <w:sz w:val="21"/>
          <w:szCs w:val="21"/>
          <w:highlight w:val="none"/>
        </w:rPr>
      </w:pPr>
    </w:p>
    <w:p w14:paraId="637ABDE2">
      <w:pPr>
        <w:pStyle w:val="224"/>
        <w:keepNext w:val="0"/>
        <w:keepLines w:val="0"/>
        <w:pageBreakBefore w:val="0"/>
        <w:widowControl w:val="0"/>
        <w:numPr>
          <w:ilvl w:val="0"/>
          <w:numId w:val="0"/>
        </w:numPr>
        <w:spacing w:before="0" w:after="0" w:line="360" w:lineRule="auto"/>
        <w:ind w:left="0" w:firstLine="422"/>
        <w:rPr>
          <w:rFonts w:hint="eastAsia" w:ascii="宋体" w:hAnsi="宋体"/>
          <w:b/>
          <w:color w:val="auto"/>
          <w:sz w:val="21"/>
          <w:szCs w:val="21"/>
          <w:highlight w:val="none"/>
        </w:rPr>
      </w:pPr>
      <w:r>
        <w:rPr>
          <w:rFonts w:hint="eastAsia" w:ascii="宋体" w:hAnsi="宋体" w:eastAsia="宋体" w:cs="Times New Roman"/>
          <w:b/>
          <w:color w:val="auto"/>
          <w:sz w:val="21"/>
          <w:szCs w:val="21"/>
          <w:highlight w:val="none"/>
          <w:lang w:val="en-US" w:eastAsia="zh-CN" w:bidi="ar-SA"/>
        </w:rPr>
        <w:t>三、</w:t>
      </w:r>
      <w:r>
        <w:rPr>
          <w:rFonts w:hint="eastAsia" w:ascii="宋体" w:hAnsi="宋体"/>
          <w:b/>
          <w:color w:val="auto"/>
          <w:sz w:val="21"/>
          <w:szCs w:val="21"/>
          <w:highlight w:val="none"/>
        </w:rPr>
        <w:t>评标标准</w:t>
      </w:r>
    </w:p>
    <w:tbl>
      <w:tblPr>
        <w:tblStyle w:val="36"/>
        <w:tblW w:w="89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60"/>
        <w:gridCol w:w="1154"/>
        <w:gridCol w:w="231"/>
        <w:gridCol w:w="1125"/>
        <w:gridCol w:w="5153"/>
      </w:tblGrid>
      <w:tr w14:paraId="120FB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2" w:hRule="atLeast"/>
          <w:jc w:val="center"/>
        </w:trPr>
        <w:tc>
          <w:tcPr>
            <w:tcW w:w="1260" w:type="dxa"/>
            <w:noWrap w:val="0"/>
            <w:tcMar>
              <w:top w:w="0" w:type="dxa"/>
              <w:left w:w="108" w:type="dxa"/>
              <w:bottom w:w="0" w:type="dxa"/>
              <w:right w:w="108" w:type="dxa"/>
            </w:tcMar>
            <w:vAlign w:val="center"/>
          </w:tcPr>
          <w:p w14:paraId="1AE3EB5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评分因素</w:t>
            </w:r>
          </w:p>
        </w:tc>
        <w:tc>
          <w:tcPr>
            <w:tcW w:w="7663" w:type="dxa"/>
            <w:gridSpan w:val="4"/>
            <w:noWrap w:val="0"/>
            <w:tcMar>
              <w:top w:w="0" w:type="dxa"/>
              <w:left w:w="108" w:type="dxa"/>
              <w:bottom w:w="0" w:type="dxa"/>
              <w:right w:w="108" w:type="dxa"/>
            </w:tcMar>
            <w:vAlign w:val="center"/>
          </w:tcPr>
          <w:p w14:paraId="58CF455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评分标准</w:t>
            </w:r>
          </w:p>
        </w:tc>
      </w:tr>
      <w:tr w14:paraId="442F6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260" w:type="dxa"/>
            <w:noWrap w:val="0"/>
            <w:tcMar>
              <w:top w:w="0" w:type="dxa"/>
              <w:left w:w="108" w:type="dxa"/>
              <w:bottom w:w="0" w:type="dxa"/>
              <w:right w:w="108" w:type="dxa"/>
            </w:tcMar>
            <w:vAlign w:val="center"/>
          </w:tcPr>
          <w:p w14:paraId="608AEAD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报价部分（</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0分）</w:t>
            </w:r>
          </w:p>
        </w:tc>
        <w:tc>
          <w:tcPr>
            <w:tcW w:w="2510" w:type="dxa"/>
            <w:gridSpan w:val="3"/>
            <w:noWrap w:val="0"/>
            <w:tcMar>
              <w:top w:w="0" w:type="dxa"/>
              <w:left w:w="108" w:type="dxa"/>
              <w:bottom w:w="0" w:type="dxa"/>
              <w:right w:w="108" w:type="dxa"/>
            </w:tcMar>
            <w:vAlign w:val="center"/>
          </w:tcPr>
          <w:p w14:paraId="772EF35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投标报价</w:t>
            </w:r>
          </w:p>
          <w:p w14:paraId="588BDB8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30</w:t>
            </w:r>
            <w:r>
              <w:rPr>
                <w:rFonts w:hint="eastAsia" w:ascii="仿宋" w:hAnsi="仿宋" w:eastAsia="仿宋" w:cs="仿宋"/>
                <w:color w:val="auto"/>
                <w:sz w:val="24"/>
                <w:szCs w:val="24"/>
                <w:highlight w:val="none"/>
              </w:rPr>
              <w:t>分）</w:t>
            </w:r>
          </w:p>
        </w:tc>
        <w:tc>
          <w:tcPr>
            <w:tcW w:w="5153" w:type="dxa"/>
            <w:noWrap w:val="0"/>
            <w:vAlign w:val="center"/>
          </w:tcPr>
          <w:p w14:paraId="5DCD13B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采用低价优先法计算，即满足招标文件要求且</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1-最高优惠率</w:t>
            </w:r>
            <w:r>
              <w:rPr>
                <w:rFonts w:hint="eastAsia" w:ascii="仿宋" w:hAnsi="仿宋" w:eastAsia="仿宋" w:cs="仿宋"/>
                <w:b/>
                <w:bCs/>
                <w:color w:val="auto"/>
                <w:sz w:val="24"/>
                <w:szCs w:val="24"/>
                <w:highlight w:val="none"/>
                <w:lang w:eastAsia="zh-CN"/>
              </w:rPr>
              <w:t>）最低</w:t>
            </w:r>
            <w:r>
              <w:rPr>
                <w:rFonts w:hint="eastAsia" w:ascii="仿宋" w:hAnsi="仿宋" w:eastAsia="仿宋" w:cs="仿宋"/>
                <w:color w:val="auto"/>
                <w:sz w:val="24"/>
                <w:szCs w:val="24"/>
                <w:highlight w:val="none"/>
              </w:rPr>
              <w:t>的为评标基准优惠率，其价格分为满分。其他投标人的价格分统一按照下列公式计算：</w:t>
            </w:r>
          </w:p>
          <w:p w14:paraId="592F73F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投标报价得分=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1-最高优惠率</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/（1-投标优惠率）</w:t>
            </w:r>
            <w:r>
              <w:rPr>
                <w:rFonts w:hint="eastAsia" w:ascii="仿宋" w:hAnsi="仿宋" w:eastAsia="仿宋" w:cs="仿宋"/>
                <w:color w:val="auto"/>
                <w:sz w:val="24"/>
                <w:szCs w:val="24"/>
                <w:highlight w:val="none"/>
              </w:rPr>
              <w:t>*30</w:t>
            </w:r>
          </w:p>
        </w:tc>
      </w:tr>
      <w:tr w14:paraId="4486D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66" w:hRule="atLeast"/>
          <w:jc w:val="center"/>
        </w:trPr>
        <w:tc>
          <w:tcPr>
            <w:tcW w:w="1260" w:type="dxa"/>
            <w:vMerge w:val="restart"/>
            <w:noWrap w:val="0"/>
            <w:tcMar>
              <w:top w:w="0" w:type="dxa"/>
              <w:left w:w="108" w:type="dxa"/>
              <w:bottom w:w="0" w:type="dxa"/>
              <w:right w:w="108" w:type="dxa"/>
            </w:tcMar>
            <w:vAlign w:val="center"/>
          </w:tcPr>
          <w:p w14:paraId="7694CBD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技术部分（4</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p>
        </w:tc>
        <w:tc>
          <w:tcPr>
            <w:tcW w:w="1385" w:type="dxa"/>
            <w:gridSpan w:val="2"/>
            <w:vMerge w:val="restart"/>
            <w:noWrap w:val="0"/>
            <w:tcMar>
              <w:top w:w="0" w:type="dxa"/>
              <w:left w:w="108" w:type="dxa"/>
              <w:bottom w:w="0" w:type="dxa"/>
              <w:right w:w="108" w:type="dxa"/>
            </w:tcMar>
            <w:vAlign w:val="center"/>
          </w:tcPr>
          <w:p w14:paraId="319D0F8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项目融资方案</w:t>
            </w:r>
          </w:p>
          <w:p w14:paraId="458DAB8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15分</w:t>
            </w:r>
            <w:r>
              <w:rPr>
                <w:rFonts w:hint="eastAsia" w:ascii="仿宋" w:hAnsi="仿宋" w:eastAsia="仿宋" w:cs="仿宋"/>
                <w:color w:val="auto"/>
                <w:sz w:val="24"/>
                <w:szCs w:val="24"/>
                <w:highlight w:val="none"/>
              </w:rPr>
              <w:t>）</w:t>
            </w:r>
          </w:p>
        </w:tc>
        <w:tc>
          <w:tcPr>
            <w:tcW w:w="1125" w:type="dxa"/>
            <w:noWrap w:val="0"/>
            <w:tcMar>
              <w:top w:w="0" w:type="dxa"/>
              <w:left w:w="108" w:type="dxa"/>
              <w:bottom w:w="0" w:type="dxa"/>
              <w:right w:w="108" w:type="dxa"/>
            </w:tcMar>
            <w:vAlign w:val="center"/>
          </w:tcPr>
          <w:p w14:paraId="4D4B1F7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融资计划安排</w:t>
            </w:r>
          </w:p>
          <w:p w14:paraId="2727303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（5分）</w:t>
            </w:r>
          </w:p>
        </w:tc>
        <w:tc>
          <w:tcPr>
            <w:tcW w:w="5153" w:type="dxa"/>
            <w:noWrap w:val="0"/>
            <w:tcMar>
              <w:top w:w="0" w:type="dxa"/>
              <w:left w:w="108" w:type="dxa"/>
              <w:bottom w:w="0" w:type="dxa"/>
              <w:right w:w="108" w:type="dxa"/>
            </w:tcMar>
            <w:vAlign w:val="center"/>
          </w:tcPr>
          <w:p w14:paraId="534455D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供应商根据采购文件要求提供完整融资计划、融资金额及融资到位时间：</w:t>
            </w:r>
          </w:p>
          <w:p w14:paraId="189525B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方案优于招标文件项目需求得5分，符合招标文件项目需求得3分，不符合招标文件项目需求或未提供的得0分。</w:t>
            </w:r>
          </w:p>
        </w:tc>
      </w:tr>
      <w:tr w14:paraId="79A4B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260" w:type="dxa"/>
            <w:vMerge w:val="continue"/>
            <w:noWrap w:val="0"/>
            <w:tcMar>
              <w:top w:w="0" w:type="dxa"/>
              <w:left w:w="108" w:type="dxa"/>
              <w:bottom w:w="0" w:type="dxa"/>
              <w:right w:w="108" w:type="dxa"/>
            </w:tcMar>
            <w:vAlign w:val="center"/>
          </w:tcPr>
          <w:p w14:paraId="02DDE86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rPr>
            </w:pPr>
          </w:p>
        </w:tc>
        <w:tc>
          <w:tcPr>
            <w:tcW w:w="1385" w:type="dxa"/>
            <w:gridSpan w:val="2"/>
            <w:vMerge w:val="continue"/>
            <w:noWrap w:val="0"/>
            <w:tcMar>
              <w:top w:w="0" w:type="dxa"/>
              <w:left w:w="108" w:type="dxa"/>
              <w:bottom w:w="0" w:type="dxa"/>
              <w:right w:w="108" w:type="dxa"/>
            </w:tcMar>
            <w:vAlign w:val="center"/>
          </w:tcPr>
          <w:p w14:paraId="3206672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p>
        </w:tc>
        <w:tc>
          <w:tcPr>
            <w:tcW w:w="1125" w:type="dxa"/>
            <w:noWrap w:val="0"/>
            <w:tcMar>
              <w:top w:w="0" w:type="dxa"/>
              <w:left w:w="108" w:type="dxa"/>
              <w:bottom w:w="0" w:type="dxa"/>
              <w:right w:w="108" w:type="dxa"/>
            </w:tcMar>
            <w:vAlign w:val="center"/>
          </w:tcPr>
          <w:p w14:paraId="150432D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融资种类，风险及控制措施</w:t>
            </w:r>
          </w:p>
          <w:p w14:paraId="6F758A5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c>
          <w:tcPr>
            <w:tcW w:w="5153" w:type="dxa"/>
            <w:noWrap w:val="0"/>
            <w:tcMar>
              <w:top w:w="0" w:type="dxa"/>
              <w:left w:w="108" w:type="dxa"/>
              <w:bottom w:w="0" w:type="dxa"/>
              <w:right w:w="108" w:type="dxa"/>
            </w:tcMar>
            <w:vAlign w:val="center"/>
          </w:tcPr>
          <w:p w14:paraId="1415436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供应商根据采购文件要求提供明确的融资种类、融资风险分析、对应的预案及措施： </w:t>
            </w:r>
          </w:p>
          <w:p w14:paraId="03A3939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方案优于招标文件项目需求得5分，符合招标文件项目需求得3分，不符合招标文件项目需求或未提供的得0分。</w:t>
            </w:r>
          </w:p>
        </w:tc>
      </w:tr>
      <w:tr w14:paraId="6F016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260" w:type="dxa"/>
            <w:vMerge w:val="continue"/>
            <w:noWrap w:val="0"/>
            <w:tcMar>
              <w:top w:w="0" w:type="dxa"/>
              <w:left w:w="108" w:type="dxa"/>
              <w:bottom w:w="0" w:type="dxa"/>
              <w:right w:w="108" w:type="dxa"/>
            </w:tcMar>
            <w:vAlign w:val="center"/>
          </w:tcPr>
          <w:p w14:paraId="50957E3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rPr>
            </w:pPr>
          </w:p>
        </w:tc>
        <w:tc>
          <w:tcPr>
            <w:tcW w:w="1385" w:type="dxa"/>
            <w:gridSpan w:val="2"/>
            <w:vMerge w:val="continue"/>
            <w:noWrap w:val="0"/>
            <w:tcMar>
              <w:top w:w="0" w:type="dxa"/>
              <w:left w:w="108" w:type="dxa"/>
              <w:bottom w:w="0" w:type="dxa"/>
              <w:right w:w="108" w:type="dxa"/>
            </w:tcMar>
            <w:vAlign w:val="center"/>
          </w:tcPr>
          <w:p w14:paraId="2CEB599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p>
        </w:tc>
        <w:tc>
          <w:tcPr>
            <w:tcW w:w="1125" w:type="dxa"/>
            <w:noWrap w:val="0"/>
            <w:tcMar>
              <w:top w:w="0" w:type="dxa"/>
              <w:left w:w="108" w:type="dxa"/>
              <w:bottom w:w="0" w:type="dxa"/>
              <w:right w:w="108" w:type="dxa"/>
            </w:tcMar>
            <w:vAlign w:val="center"/>
          </w:tcPr>
          <w:p w14:paraId="3AFF613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融资结构、资金成本</w:t>
            </w:r>
          </w:p>
          <w:p w14:paraId="4FDF69D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c>
          <w:tcPr>
            <w:tcW w:w="5153" w:type="dxa"/>
            <w:noWrap w:val="0"/>
            <w:tcMar>
              <w:top w:w="0" w:type="dxa"/>
              <w:left w:w="108" w:type="dxa"/>
              <w:bottom w:w="0" w:type="dxa"/>
              <w:right w:w="108" w:type="dxa"/>
            </w:tcMar>
            <w:vAlign w:val="center"/>
          </w:tcPr>
          <w:p w14:paraId="3164EE2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供应商根据采购文件要求提供项目取得融资资金的构成、比重关系以及融资利率： </w:t>
            </w:r>
          </w:p>
          <w:p w14:paraId="756B9B9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方案优于招标文件项目需求得5分，符合招标文件项目需求得3分，不符合招标文件项目需求或未提供的得0分。</w:t>
            </w:r>
          </w:p>
        </w:tc>
      </w:tr>
      <w:tr w14:paraId="11E9F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260" w:type="dxa"/>
            <w:vMerge w:val="continue"/>
            <w:noWrap w:val="0"/>
            <w:vAlign w:val="center"/>
          </w:tcPr>
          <w:p w14:paraId="098331A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rPr>
            </w:pPr>
          </w:p>
        </w:tc>
        <w:tc>
          <w:tcPr>
            <w:tcW w:w="1385" w:type="dxa"/>
            <w:gridSpan w:val="2"/>
            <w:vMerge w:val="restart"/>
            <w:noWrap w:val="0"/>
            <w:tcMar>
              <w:top w:w="0" w:type="dxa"/>
              <w:left w:w="108" w:type="dxa"/>
              <w:bottom w:w="0" w:type="dxa"/>
              <w:right w:w="108" w:type="dxa"/>
            </w:tcMar>
            <w:vAlign w:val="center"/>
          </w:tcPr>
          <w:p w14:paraId="454B711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项目运营维护方案（</w:t>
            </w:r>
            <w:r>
              <w:rPr>
                <w:rFonts w:hint="eastAsia" w:ascii="仿宋" w:hAnsi="仿宋" w:eastAsia="仿宋" w:cs="仿宋"/>
                <w:color w:val="auto"/>
                <w:sz w:val="24"/>
                <w:szCs w:val="24"/>
                <w:highlight w:val="none"/>
                <w:lang w:val="en-US" w:eastAsia="zh-CN"/>
              </w:rPr>
              <w:t>24</w:t>
            </w:r>
            <w:r>
              <w:rPr>
                <w:rFonts w:hint="eastAsia" w:ascii="仿宋" w:hAnsi="仿宋" w:eastAsia="仿宋" w:cs="仿宋"/>
                <w:color w:val="auto"/>
                <w:sz w:val="24"/>
                <w:szCs w:val="24"/>
                <w:highlight w:val="none"/>
              </w:rPr>
              <w:t>分）</w:t>
            </w:r>
          </w:p>
        </w:tc>
        <w:tc>
          <w:tcPr>
            <w:tcW w:w="1125" w:type="dxa"/>
            <w:noWrap w:val="0"/>
            <w:tcMar>
              <w:top w:w="0" w:type="dxa"/>
              <w:left w:w="108" w:type="dxa"/>
              <w:bottom w:w="0" w:type="dxa"/>
              <w:right w:w="108" w:type="dxa"/>
            </w:tcMar>
            <w:vAlign w:val="center"/>
          </w:tcPr>
          <w:p w14:paraId="0BFFCB5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整体运维方案评价</w:t>
            </w:r>
          </w:p>
          <w:p w14:paraId="7DDFA99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c>
          <w:tcPr>
            <w:tcW w:w="5153" w:type="dxa"/>
            <w:noWrap w:val="0"/>
            <w:tcMar>
              <w:top w:w="0" w:type="dxa"/>
              <w:left w:w="108" w:type="dxa"/>
              <w:bottom w:w="0" w:type="dxa"/>
              <w:right w:w="108" w:type="dxa"/>
            </w:tcMar>
            <w:vAlign w:val="center"/>
          </w:tcPr>
          <w:p w14:paraId="6B9CA10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根据采购文件要求提供的整体运维方案，考察其是否针对本项目招标文件中要求的服务内容、技术及服务质量要求、服务管理要求，根据进水水质的特性、进水浓度及排放标准、出水水质排放标准等编制科学合理的项目整体运维方案，方案中要体现各工艺段的工艺设备开启管控信息详情、运行参数管控信息详情、加药管控内容等确保出水稳定达标排放。</w:t>
            </w:r>
          </w:p>
          <w:p w14:paraId="18BDAC5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方案优于招标文件项目需求得5分，符合招标文件项目需求得3分，不符合招标文件项目需求或未提供的得0分。</w:t>
            </w:r>
          </w:p>
        </w:tc>
      </w:tr>
      <w:tr w14:paraId="51F52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260" w:type="dxa"/>
            <w:vMerge w:val="continue"/>
            <w:noWrap w:val="0"/>
            <w:vAlign w:val="center"/>
          </w:tcPr>
          <w:p w14:paraId="05BD357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rPr>
            </w:pPr>
          </w:p>
        </w:tc>
        <w:tc>
          <w:tcPr>
            <w:tcW w:w="1385" w:type="dxa"/>
            <w:gridSpan w:val="2"/>
            <w:vMerge w:val="continue"/>
            <w:noWrap w:val="0"/>
            <w:tcMar>
              <w:top w:w="0" w:type="dxa"/>
              <w:left w:w="108" w:type="dxa"/>
              <w:bottom w:w="0" w:type="dxa"/>
              <w:right w:w="108" w:type="dxa"/>
            </w:tcMar>
            <w:vAlign w:val="center"/>
          </w:tcPr>
          <w:p w14:paraId="2883A1D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p>
        </w:tc>
        <w:tc>
          <w:tcPr>
            <w:tcW w:w="1125" w:type="dxa"/>
            <w:noWrap w:val="0"/>
            <w:tcMar>
              <w:top w:w="0" w:type="dxa"/>
              <w:left w:w="108" w:type="dxa"/>
              <w:bottom w:w="0" w:type="dxa"/>
              <w:right w:w="108" w:type="dxa"/>
            </w:tcMar>
            <w:vAlign w:val="center"/>
          </w:tcPr>
          <w:p w14:paraId="748CC8B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应急预案评价</w:t>
            </w:r>
          </w:p>
          <w:p w14:paraId="3F30C24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c>
          <w:tcPr>
            <w:tcW w:w="5153" w:type="dxa"/>
            <w:noWrap w:val="0"/>
            <w:tcMar>
              <w:top w:w="0" w:type="dxa"/>
              <w:left w:w="108" w:type="dxa"/>
              <w:bottom w:w="0" w:type="dxa"/>
              <w:right w:w="108" w:type="dxa"/>
            </w:tcMar>
            <w:vAlign w:val="center"/>
          </w:tcPr>
          <w:p w14:paraId="55DFE79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供应商根据采购文件要求提供的应急预案及措施，考察其是否针对本项目招标文件中要求的服务内容、技术及服务质量要求、服务管理要求，就本项目涉及的突发</w:t>
            </w:r>
            <w:r>
              <w:rPr>
                <w:rFonts w:hint="eastAsia" w:ascii="仿宋" w:hAnsi="仿宋" w:eastAsia="仿宋" w:cs="仿宋"/>
                <w:color w:val="auto"/>
                <w:sz w:val="24"/>
                <w:szCs w:val="24"/>
                <w:highlight w:val="none"/>
                <w:lang w:val="en-US" w:eastAsia="zh-CN"/>
              </w:rPr>
              <w:t>情况</w:t>
            </w:r>
            <w:r>
              <w:rPr>
                <w:rFonts w:hint="eastAsia" w:ascii="仿宋" w:hAnsi="仿宋" w:eastAsia="仿宋" w:cs="仿宋"/>
                <w:color w:val="auto"/>
                <w:sz w:val="24"/>
                <w:szCs w:val="24"/>
                <w:highlight w:val="none"/>
              </w:rPr>
              <w:t>、水质水量波动、应急事故及日常安全运行提供保障措施、突发事件应急措施。</w:t>
            </w:r>
          </w:p>
          <w:p w14:paraId="6EFA68E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方案优于招标文件项目需求得5分，符合招标文件项目需求得3分，不符合招标文件项目需求或未提供的得0分。</w:t>
            </w:r>
          </w:p>
        </w:tc>
      </w:tr>
      <w:tr w14:paraId="2F0D8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260" w:type="dxa"/>
            <w:vMerge w:val="continue"/>
            <w:noWrap w:val="0"/>
            <w:vAlign w:val="center"/>
          </w:tcPr>
          <w:p w14:paraId="4470616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rPr>
            </w:pPr>
          </w:p>
        </w:tc>
        <w:tc>
          <w:tcPr>
            <w:tcW w:w="1385" w:type="dxa"/>
            <w:gridSpan w:val="2"/>
            <w:vMerge w:val="continue"/>
            <w:noWrap w:val="0"/>
            <w:tcMar>
              <w:top w:w="0" w:type="dxa"/>
              <w:left w:w="108" w:type="dxa"/>
              <w:bottom w:w="0" w:type="dxa"/>
              <w:right w:w="108" w:type="dxa"/>
            </w:tcMar>
            <w:vAlign w:val="center"/>
          </w:tcPr>
          <w:p w14:paraId="5A144DF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p>
        </w:tc>
        <w:tc>
          <w:tcPr>
            <w:tcW w:w="1125" w:type="dxa"/>
            <w:noWrap w:val="0"/>
            <w:tcMar>
              <w:top w:w="0" w:type="dxa"/>
              <w:left w:w="108" w:type="dxa"/>
              <w:bottom w:w="0" w:type="dxa"/>
              <w:right w:w="108" w:type="dxa"/>
            </w:tcMar>
            <w:vAlign w:val="center"/>
          </w:tcPr>
          <w:p w14:paraId="5519334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项目设备维保方案评价</w:t>
            </w:r>
          </w:p>
          <w:p w14:paraId="35F720A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c>
          <w:tcPr>
            <w:tcW w:w="5153" w:type="dxa"/>
            <w:noWrap w:val="0"/>
            <w:tcMar>
              <w:top w:w="0" w:type="dxa"/>
              <w:left w:w="108" w:type="dxa"/>
              <w:bottom w:w="0" w:type="dxa"/>
              <w:right w:w="108" w:type="dxa"/>
            </w:tcMar>
            <w:vAlign w:val="center"/>
          </w:tcPr>
          <w:p w14:paraId="624A017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根据采购文件要求提供的设备维保方案，考察其是否针对本项目所配备的设备、仪表编制科学合理的设备仪表维保方案，应及时对设备、仪表等进行保养、维护及维修，确保所有机电、电器设备处于完好状态，设备完好率不低于95%措施方案，保证设备、仪表的正常运行使用寿命。</w:t>
            </w:r>
          </w:p>
          <w:p w14:paraId="13259454">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方案优于招标文件项目需求得5分，符合招标文件项目需求得3分，不符合招标文件项目需求或未提供的得0分。</w:t>
            </w:r>
          </w:p>
        </w:tc>
      </w:tr>
      <w:tr w14:paraId="751A1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260" w:type="dxa"/>
            <w:vMerge w:val="continue"/>
            <w:noWrap w:val="0"/>
            <w:vAlign w:val="center"/>
          </w:tcPr>
          <w:p w14:paraId="45C65A9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rPr>
            </w:pPr>
          </w:p>
        </w:tc>
        <w:tc>
          <w:tcPr>
            <w:tcW w:w="1385" w:type="dxa"/>
            <w:gridSpan w:val="2"/>
            <w:vMerge w:val="continue"/>
            <w:noWrap w:val="0"/>
            <w:tcMar>
              <w:top w:w="0" w:type="dxa"/>
              <w:left w:w="108" w:type="dxa"/>
              <w:bottom w:w="0" w:type="dxa"/>
              <w:right w:w="108" w:type="dxa"/>
            </w:tcMar>
            <w:vAlign w:val="center"/>
          </w:tcPr>
          <w:p w14:paraId="6C4BCF5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p>
        </w:tc>
        <w:tc>
          <w:tcPr>
            <w:tcW w:w="1125" w:type="dxa"/>
            <w:noWrap w:val="0"/>
            <w:tcMar>
              <w:top w:w="0" w:type="dxa"/>
              <w:left w:w="108" w:type="dxa"/>
              <w:bottom w:w="0" w:type="dxa"/>
              <w:right w:w="108" w:type="dxa"/>
            </w:tcMar>
            <w:vAlign w:val="center"/>
          </w:tcPr>
          <w:p w14:paraId="0BA9CFE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项目服务管理方案评价</w:t>
            </w:r>
          </w:p>
          <w:p w14:paraId="69DBDC2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c>
          <w:tcPr>
            <w:tcW w:w="5153" w:type="dxa"/>
            <w:noWrap w:val="0"/>
            <w:tcMar>
              <w:top w:w="0" w:type="dxa"/>
              <w:left w:w="108" w:type="dxa"/>
              <w:bottom w:w="0" w:type="dxa"/>
              <w:right w:w="108" w:type="dxa"/>
            </w:tcMar>
            <w:vAlign w:val="center"/>
          </w:tcPr>
          <w:p w14:paraId="2F7A5533">
            <w:pPr>
              <w:pStyle w:val="13"/>
              <w:keepNext w:val="0"/>
              <w:keepLines w:val="0"/>
              <w:pageBreakBefore w:val="0"/>
              <w:widowControl w:val="0"/>
              <w:kinsoku/>
              <w:wordWrap/>
              <w:overflowPunct/>
              <w:topLinePunct w:val="0"/>
              <w:autoSpaceDE/>
              <w:autoSpaceDN/>
              <w:bidi w:val="0"/>
              <w:adjustRightInd/>
              <w:snapToGrid/>
              <w:spacing w:line="360" w:lineRule="auto"/>
              <w:ind w:firstLine="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根据采购文件要求提供的服务管理方案，考察投标人是否结合本项目实际情况及外部监管要求，编制合理的服务管理方案。方案须包括污水管理、台账管理、水质与检验化验室管理、设备与仪表管理、安全管理制度管理、人员安排、人员响应、办公场所相关信息、物资存放位置内容、厂容厂貌管理、制度建设管理、配合检查考核、日常相关资料报送。</w:t>
            </w:r>
          </w:p>
          <w:p w14:paraId="29073F03">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方案优于招标文件项目需求得5分，符合招标文件项目需求得3分，不符合招标文件项目需求或未提供的得0分。</w:t>
            </w:r>
          </w:p>
        </w:tc>
      </w:tr>
      <w:tr w14:paraId="43406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260" w:type="dxa"/>
            <w:vMerge w:val="continue"/>
            <w:noWrap w:val="0"/>
            <w:vAlign w:val="center"/>
          </w:tcPr>
          <w:p w14:paraId="5760C66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rPr>
            </w:pPr>
          </w:p>
        </w:tc>
        <w:tc>
          <w:tcPr>
            <w:tcW w:w="1385" w:type="dxa"/>
            <w:gridSpan w:val="2"/>
            <w:vMerge w:val="continue"/>
            <w:noWrap w:val="0"/>
            <w:tcMar>
              <w:top w:w="0" w:type="dxa"/>
              <w:left w:w="108" w:type="dxa"/>
              <w:bottom w:w="0" w:type="dxa"/>
              <w:right w:w="108" w:type="dxa"/>
            </w:tcMar>
            <w:vAlign w:val="center"/>
          </w:tcPr>
          <w:p w14:paraId="43DC534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p>
        </w:tc>
        <w:tc>
          <w:tcPr>
            <w:tcW w:w="1125" w:type="dxa"/>
            <w:noWrap w:val="0"/>
            <w:tcMar>
              <w:top w:w="0" w:type="dxa"/>
              <w:left w:w="108" w:type="dxa"/>
              <w:bottom w:w="0" w:type="dxa"/>
              <w:right w:w="108" w:type="dxa"/>
            </w:tcMar>
            <w:vAlign w:val="center"/>
          </w:tcPr>
          <w:p w14:paraId="2FE9FAA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项目运维管理制度评价</w:t>
            </w:r>
          </w:p>
          <w:p w14:paraId="59C3DEC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w:t>
            </w:r>
          </w:p>
        </w:tc>
        <w:tc>
          <w:tcPr>
            <w:tcW w:w="5153" w:type="dxa"/>
            <w:noWrap w:val="0"/>
            <w:tcMar>
              <w:top w:w="0" w:type="dxa"/>
              <w:left w:w="108" w:type="dxa"/>
              <w:bottom w:w="0" w:type="dxa"/>
              <w:right w:w="108" w:type="dxa"/>
            </w:tcMar>
            <w:vAlign w:val="center"/>
          </w:tcPr>
          <w:p w14:paraId="1B5B158A">
            <w:pPr>
              <w:pStyle w:val="13"/>
              <w:keepNext w:val="0"/>
              <w:keepLines w:val="0"/>
              <w:pageBreakBefore w:val="0"/>
              <w:widowControl w:val="0"/>
              <w:kinsoku/>
              <w:wordWrap/>
              <w:overflowPunct/>
              <w:topLinePunct w:val="0"/>
              <w:autoSpaceDE/>
              <w:autoSpaceDN/>
              <w:bidi w:val="0"/>
              <w:adjustRightInd/>
              <w:snapToGrid/>
              <w:spacing w:line="360" w:lineRule="auto"/>
              <w:ind w:firstLine="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供应商根据采购文件要求提供的项目运维管理制度，考察投标人是否结合本项目实际情况及外部监管要求，编制运行管理制度、日常运行监测和报告制度，运维管理制度在委托运维期内应完全满足项目运营要求。</w:t>
            </w:r>
          </w:p>
          <w:p w14:paraId="107441EA">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方案优于招标文件项目需求得</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分，符合招标文件项目需求得</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分，不符合招标文件项目需求或未提供的得0分。</w:t>
            </w:r>
          </w:p>
        </w:tc>
      </w:tr>
      <w:tr w14:paraId="684E0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260" w:type="dxa"/>
            <w:vMerge w:val="continue"/>
            <w:noWrap w:val="0"/>
            <w:vAlign w:val="center"/>
          </w:tcPr>
          <w:p w14:paraId="6F23544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rPr>
            </w:pPr>
          </w:p>
        </w:tc>
        <w:tc>
          <w:tcPr>
            <w:tcW w:w="1385" w:type="dxa"/>
            <w:gridSpan w:val="2"/>
            <w:noWrap w:val="0"/>
            <w:tcMar>
              <w:top w:w="0" w:type="dxa"/>
              <w:left w:w="108" w:type="dxa"/>
              <w:bottom w:w="0" w:type="dxa"/>
              <w:right w:w="108" w:type="dxa"/>
            </w:tcMar>
            <w:vAlign w:val="center"/>
          </w:tcPr>
          <w:p w14:paraId="79C02DD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移交方案</w:t>
            </w:r>
          </w:p>
          <w:p w14:paraId="38421A4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w:t>
            </w:r>
          </w:p>
        </w:tc>
        <w:tc>
          <w:tcPr>
            <w:tcW w:w="1125" w:type="dxa"/>
            <w:noWrap w:val="0"/>
            <w:tcMar>
              <w:top w:w="0" w:type="dxa"/>
              <w:left w:w="108" w:type="dxa"/>
              <w:bottom w:w="0" w:type="dxa"/>
              <w:right w:w="108" w:type="dxa"/>
            </w:tcMar>
            <w:vAlign w:val="center"/>
          </w:tcPr>
          <w:p w14:paraId="5FEAF9C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移交工作组组建方案（</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w:t>
            </w:r>
          </w:p>
        </w:tc>
        <w:tc>
          <w:tcPr>
            <w:tcW w:w="5153" w:type="dxa"/>
            <w:noWrap w:val="0"/>
            <w:tcMar>
              <w:top w:w="0" w:type="dxa"/>
              <w:left w:w="108" w:type="dxa"/>
              <w:bottom w:w="0" w:type="dxa"/>
              <w:right w:w="108" w:type="dxa"/>
            </w:tcMar>
            <w:vAlign w:val="center"/>
          </w:tcPr>
          <w:p w14:paraId="2CFAFEA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供应商根据采购文件要求明确与政府间成立移交工作组的成员、安排等工作方案</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移交前恢复性大修方案及移交后质量保证期内的质保安排和承诺等</w:t>
            </w:r>
            <w:r>
              <w:rPr>
                <w:rFonts w:hint="eastAsia" w:ascii="仿宋" w:hAnsi="仿宋" w:eastAsia="仿宋" w:cs="仿宋"/>
                <w:color w:val="auto"/>
                <w:sz w:val="24"/>
                <w:szCs w:val="24"/>
                <w:highlight w:val="none"/>
              </w:rPr>
              <w:t>。</w:t>
            </w:r>
          </w:p>
          <w:p w14:paraId="7059E6C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方案优于招标文件项目需求得</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分，符合招标文件项目需求得</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分，不符合招标文件项目需求或未提供的得0分。</w:t>
            </w:r>
          </w:p>
        </w:tc>
      </w:tr>
      <w:tr w14:paraId="2BAD4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5" w:hRule="atLeast"/>
          <w:jc w:val="center"/>
        </w:trPr>
        <w:tc>
          <w:tcPr>
            <w:tcW w:w="1260" w:type="dxa"/>
            <w:vMerge w:val="restart"/>
            <w:noWrap w:val="0"/>
            <w:tcMar>
              <w:top w:w="0" w:type="dxa"/>
              <w:left w:w="108" w:type="dxa"/>
              <w:bottom w:w="0" w:type="dxa"/>
              <w:right w:w="108" w:type="dxa"/>
            </w:tcMar>
            <w:vAlign w:val="center"/>
          </w:tcPr>
          <w:p w14:paraId="0F144F5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商务部分（</w:t>
            </w:r>
            <w:r>
              <w:rPr>
                <w:rFonts w:hint="eastAsia" w:ascii="仿宋" w:hAnsi="仿宋" w:eastAsia="仿宋" w:cs="仿宋"/>
                <w:color w:val="auto"/>
                <w:sz w:val="24"/>
                <w:szCs w:val="24"/>
                <w:highlight w:val="none"/>
                <w:lang w:val="en-US" w:eastAsia="zh-CN"/>
              </w:rPr>
              <w:t>27</w:t>
            </w:r>
            <w:r>
              <w:rPr>
                <w:rFonts w:hint="eastAsia" w:ascii="仿宋" w:hAnsi="仿宋" w:eastAsia="仿宋" w:cs="仿宋"/>
                <w:color w:val="auto"/>
                <w:sz w:val="24"/>
                <w:szCs w:val="24"/>
                <w:highlight w:val="none"/>
              </w:rPr>
              <w:t>分）</w:t>
            </w:r>
          </w:p>
        </w:tc>
        <w:tc>
          <w:tcPr>
            <w:tcW w:w="2510" w:type="dxa"/>
            <w:gridSpan w:val="3"/>
            <w:noWrap w:val="0"/>
            <w:tcMar>
              <w:top w:w="0" w:type="dxa"/>
              <w:left w:w="108" w:type="dxa"/>
              <w:bottom w:w="0" w:type="dxa"/>
              <w:right w:w="108" w:type="dxa"/>
            </w:tcMar>
            <w:vAlign w:val="center"/>
          </w:tcPr>
          <w:p w14:paraId="51FB9E1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企业业绩</w:t>
            </w:r>
          </w:p>
          <w:p w14:paraId="6D9374E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分）</w:t>
            </w:r>
          </w:p>
        </w:tc>
        <w:tc>
          <w:tcPr>
            <w:tcW w:w="5153" w:type="dxa"/>
            <w:noWrap w:val="0"/>
            <w:tcMar>
              <w:top w:w="0" w:type="dxa"/>
              <w:left w:w="108" w:type="dxa"/>
              <w:bottom w:w="0" w:type="dxa"/>
              <w:right w:w="108" w:type="dxa"/>
            </w:tcMar>
            <w:vAlign w:val="center"/>
          </w:tcPr>
          <w:p w14:paraId="731DCF4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投标人提供自2023年1月1日以来承担过</w:t>
            </w:r>
            <w:r>
              <w:rPr>
                <w:rFonts w:hint="eastAsia" w:ascii="仿宋" w:hAnsi="仿宋" w:eastAsia="仿宋" w:cs="仿宋"/>
                <w:color w:val="auto"/>
                <w:sz w:val="24"/>
                <w:szCs w:val="24"/>
                <w:highlight w:val="none"/>
                <w:lang w:val="en-US" w:eastAsia="zh-CN"/>
              </w:rPr>
              <w:t>或正在履约中</w:t>
            </w:r>
            <w:r>
              <w:rPr>
                <w:rFonts w:hint="eastAsia" w:ascii="仿宋" w:hAnsi="仿宋" w:eastAsia="仿宋" w:cs="仿宋"/>
                <w:color w:val="auto"/>
                <w:sz w:val="24"/>
                <w:szCs w:val="24"/>
                <w:highlight w:val="none"/>
                <w:lang w:val="en-US" w:eastAsia="zh-CN"/>
              </w:rPr>
              <w:t>的类似污水处理设施运营业绩，每个项目得2分,最高得10分。</w:t>
            </w:r>
          </w:p>
          <w:p w14:paraId="7B5FD28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（提供合同原件扫描上传，</w:t>
            </w:r>
            <w:r>
              <w:rPr>
                <w:rFonts w:hint="eastAsia" w:ascii="仿宋" w:hAnsi="仿宋" w:eastAsia="仿宋" w:cs="仿宋"/>
                <w:color w:val="auto"/>
                <w:sz w:val="24"/>
                <w:szCs w:val="24"/>
                <w:highlight w:val="none"/>
                <w:lang w:val="en-US" w:eastAsia="zh-CN"/>
              </w:rPr>
              <w:t>承担过的业绩时间以合同签订时间为准，正在履约中的业绩时间以合同履行期为准，</w:t>
            </w:r>
            <w:r>
              <w:rPr>
                <w:rFonts w:hint="eastAsia" w:ascii="仿宋" w:hAnsi="仿宋" w:eastAsia="仿宋" w:cs="仿宋"/>
                <w:color w:val="auto"/>
                <w:sz w:val="24"/>
                <w:szCs w:val="24"/>
                <w:highlight w:val="none"/>
                <w:lang w:val="en-US" w:eastAsia="zh-CN"/>
              </w:rPr>
              <w:t>关键信息模糊或未提供的不得分。）</w:t>
            </w:r>
          </w:p>
        </w:tc>
      </w:tr>
      <w:tr w14:paraId="32D44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260" w:type="dxa"/>
            <w:vMerge w:val="continue"/>
            <w:noWrap w:val="0"/>
            <w:vAlign w:val="center"/>
          </w:tcPr>
          <w:p w14:paraId="6E4668F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rPr>
            </w:pPr>
          </w:p>
        </w:tc>
        <w:tc>
          <w:tcPr>
            <w:tcW w:w="1154" w:type="dxa"/>
            <w:vMerge w:val="restart"/>
            <w:noWrap w:val="0"/>
            <w:tcMar>
              <w:top w:w="0" w:type="dxa"/>
              <w:left w:w="108" w:type="dxa"/>
              <w:bottom w:w="0" w:type="dxa"/>
              <w:right w:w="108" w:type="dxa"/>
            </w:tcMar>
            <w:vAlign w:val="center"/>
          </w:tcPr>
          <w:p w14:paraId="1FB2BA2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企业综合实力</w:t>
            </w:r>
          </w:p>
          <w:p w14:paraId="3BB1113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17分</w:t>
            </w:r>
            <w:r>
              <w:rPr>
                <w:rFonts w:hint="eastAsia" w:ascii="仿宋" w:hAnsi="仿宋" w:eastAsia="仿宋" w:cs="仿宋"/>
                <w:color w:val="auto"/>
                <w:sz w:val="24"/>
                <w:szCs w:val="24"/>
                <w:highlight w:val="none"/>
                <w:lang w:eastAsia="zh-CN"/>
              </w:rPr>
              <w:t>）</w:t>
            </w:r>
          </w:p>
        </w:tc>
        <w:tc>
          <w:tcPr>
            <w:tcW w:w="1356" w:type="dxa"/>
            <w:gridSpan w:val="2"/>
            <w:noWrap w:val="0"/>
            <w:tcMar>
              <w:top w:w="0" w:type="dxa"/>
              <w:left w:w="108" w:type="dxa"/>
              <w:bottom w:w="0" w:type="dxa"/>
              <w:right w:w="108" w:type="dxa"/>
            </w:tcMar>
            <w:vAlign w:val="center"/>
          </w:tcPr>
          <w:p w14:paraId="709D242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管理体系</w:t>
            </w:r>
          </w:p>
          <w:p w14:paraId="608439B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p>
        </w:tc>
        <w:tc>
          <w:tcPr>
            <w:tcW w:w="5153" w:type="dxa"/>
            <w:noWrap w:val="0"/>
            <w:tcMar>
              <w:top w:w="0" w:type="dxa"/>
              <w:left w:w="108" w:type="dxa"/>
              <w:bottom w:w="0" w:type="dxa"/>
              <w:right w:w="108" w:type="dxa"/>
            </w:tcMar>
            <w:vAlign w:val="center"/>
          </w:tcPr>
          <w:p w14:paraId="7D1C0DD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投标人具有有效的质量体系认证证书、</w:t>
            </w:r>
            <w:r>
              <w:rPr>
                <w:rFonts w:hint="eastAsia" w:ascii="仿宋" w:hAnsi="仿宋" w:eastAsia="仿宋" w:cs="仿宋"/>
                <w:color w:val="auto"/>
                <w:sz w:val="24"/>
                <w:szCs w:val="24"/>
                <w:highlight w:val="none"/>
                <w:lang w:val="en-US" w:eastAsia="zh-CN"/>
              </w:rPr>
              <w:fldChar w:fldCharType="begin"/>
            </w:r>
            <w:r>
              <w:rPr>
                <w:rFonts w:hint="eastAsia" w:ascii="仿宋" w:hAnsi="仿宋" w:eastAsia="仿宋" w:cs="仿宋"/>
                <w:color w:val="auto"/>
                <w:sz w:val="24"/>
                <w:szCs w:val="24"/>
                <w:highlight w:val="none"/>
                <w:lang w:val="en-US" w:eastAsia="zh-CN"/>
              </w:rPr>
              <w:instrText xml:space="preserve"> HYPERLINK "https://baike.baidu.com/item/ISO14001%E8%AE%A4%E8%AF%81" \t "_blank" </w:instrText>
            </w:r>
            <w:r>
              <w:rPr>
                <w:rFonts w:hint="eastAsia" w:ascii="仿宋" w:hAnsi="仿宋" w:eastAsia="仿宋" w:cs="仿宋"/>
                <w:color w:val="auto"/>
                <w:sz w:val="24"/>
                <w:szCs w:val="24"/>
                <w:highlight w:val="none"/>
                <w:lang w:val="en-US" w:eastAsia="zh-CN"/>
              </w:rPr>
              <w:fldChar w:fldCharType="separate"/>
            </w:r>
            <w:r>
              <w:rPr>
                <w:rFonts w:hint="eastAsia" w:ascii="仿宋" w:hAnsi="仿宋" w:eastAsia="仿宋" w:cs="仿宋"/>
                <w:color w:val="auto"/>
                <w:sz w:val="24"/>
                <w:szCs w:val="24"/>
                <w:highlight w:val="none"/>
                <w:lang w:val="en-US" w:eastAsia="zh-CN"/>
              </w:rPr>
              <w:t>环境管理体系认证</w:t>
            </w:r>
            <w:r>
              <w:rPr>
                <w:rFonts w:hint="eastAsia" w:ascii="仿宋" w:hAnsi="仿宋" w:eastAsia="仿宋" w:cs="仿宋"/>
                <w:color w:val="auto"/>
                <w:sz w:val="24"/>
                <w:szCs w:val="24"/>
                <w:highlight w:val="none"/>
                <w:lang w:val="en-US" w:eastAsia="zh-CN"/>
              </w:rPr>
              <w:fldChar w:fldCharType="end"/>
            </w:r>
            <w:r>
              <w:rPr>
                <w:rFonts w:hint="eastAsia" w:ascii="仿宋" w:hAnsi="仿宋" w:eastAsia="仿宋" w:cs="仿宋"/>
                <w:color w:val="auto"/>
                <w:sz w:val="24"/>
                <w:szCs w:val="24"/>
                <w:highlight w:val="none"/>
                <w:lang w:val="en-US" w:eastAsia="zh-CN"/>
              </w:rPr>
              <w:t>证书、</w:t>
            </w:r>
            <w:r>
              <w:rPr>
                <w:rFonts w:hint="eastAsia" w:ascii="仿宋" w:hAnsi="仿宋" w:eastAsia="仿宋" w:cs="仿宋"/>
                <w:color w:val="auto"/>
                <w:sz w:val="24"/>
                <w:szCs w:val="24"/>
                <w:highlight w:val="none"/>
                <w:lang w:val="en-US" w:eastAsia="zh-CN"/>
              </w:rPr>
              <w:fldChar w:fldCharType="begin"/>
            </w:r>
            <w:r>
              <w:rPr>
                <w:rFonts w:hint="eastAsia" w:ascii="仿宋" w:hAnsi="仿宋" w:eastAsia="仿宋" w:cs="仿宋"/>
                <w:color w:val="auto"/>
                <w:sz w:val="24"/>
                <w:szCs w:val="24"/>
                <w:highlight w:val="none"/>
                <w:lang w:val="en-US" w:eastAsia="zh-CN"/>
              </w:rPr>
              <w:instrText xml:space="preserve"> HYPERLINK "https://baike.baidu.com/item/OHSAS18001%E8%AE%A4%E8%AF%81" \t "_blank" </w:instrText>
            </w:r>
            <w:r>
              <w:rPr>
                <w:rFonts w:hint="eastAsia" w:ascii="仿宋" w:hAnsi="仿宋" w:eastAsia="仿宋" w:cs="仿宋"/>
                <w:color w:val="auto"/>
                <w:sz w:val="24"/>
                <w:szCs w:val="24"/>
                <w:highlight w:val="none"/>
                <w:lang w:val="en-US" w:eastAsia="zh-CN"/>
              </w:rPr>
              <w:fldChar w:fldCharType="separate"/>
            </w:r>
            <w:r>
              <w:rPr>
                <w:rFonts w:hint="eastAsia" w:ascii="仿宋" w:hAnsi="仿宋" w:eastAsia="仿宋" w:cs="仿宋"/>
                <w:color w:val="auto"/>
                <w:sz w:val="24"/>
                <w:szCs w:val="24"/>
                <w:highlight w:val="none"/>
                <w:lang w:val="en-US" w:eastAsia="zh-CN"/>
              </w:rPr>
              <w:t>职业健康安全管理体系认证</w:t>
            </w:r>
            <w:r>
              <w:rPr>
                <w:rFonts w:hint="eastAsia" w:ascii="仿宋" w:hAnsi="仿宋" w:eastAsia="仿宋" w:cs="仿宋"/>
                <w:color w:val="auto"/>
                <w:sz w:val="24"/>
                <w:szCs w:val="24"/>
                <w:highlight w:val="none"/>
                <w:lang w:val="en-US" w:eastAsia="zh-CN"/>
              </w:rPr>
              <w:fldChar w:fldCharType="end"/>
            </w:r>
            <w:r>
              <w:rPr>
                <w:rFonts w:hint="eastAsia" w:ascii="仿宋" w:hAnsi="仿宋" w:eastAsia="仿宋" w:cs="仿宋"/>
                <w:color w:val="auto"/>
                <w:sz w:val="24"/>
                <w:szCs w:val="24"/>
                <w:highlight w:val="none"/>
                <w:lang w:val="en-US" w:eastAsia="zh-CN"/>
              </w:rPr>
              <w:t>证书，每项得1分，最高得3分。（须提供国家市场监督管理总局全国认证认可信息公共服务平台查询截图（查询状态为“有效”）及证书原件扫描上传，关键信息模糊或未提供的不得分）</w:t>
            </w:r>
          </w:p>
        </w:tc>
      </w:tr>
      <w:tr w14:paraId="11836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260" w:type="dxa"/>
            <w:vMerge w:val="continue"/>
            <w:noWrap w:val="0"/>
            <w:vAlign w:val="center"/>
          </w:tcPr>
          <w:p w14:paraId="5510F69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rPr>
            </w:pPr>
          </w:p>
        </w:tc>
        <w:tc>
          <w:tcPr>
            <w:tcW w:w="1154" w:type="dxa"/>
            <w:vMerge w:val="continue"/>
            <w:noWrap w:val="0"/>
            <w:tcMar>
              <w:top w:w="0" w:type="dxa"/>
              <w:left w:w="108" w:type="dxa"/>
              <w:bottom w:w="0" w:type="dxa"/>
              <w:right w:w="108" w:type="dxa"/>
            </w:tcMar>
            <w:vAlign w:val="center"/>
          </w:tcPr>
          <w:p w14:paraId="43F0CE7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p>
        </w:tc>
        <w:tc>
          <w:tcPr>
            <w:tcW w:w="1356" w:type="dxa"/>
            <w:gridSpan w:val="2"/>
            <w:shd w:val="clear" w:color="auto" w:fill="auto"/>
            <w:noWrap w:val="0"/>
            <w:tcMar>
              <w:top w:w="0" w:type="dxa"/>
              <w:left w:w="108" w:type="dxa"/>
              <w:bottom w:w="0" w:type="dxa"/>
              <w:right w:w="108" w:type="dxa"/>
            </w:tcMar>
            <w:vAlign w:val="center"/>
          </w:tcPr>
          <w:p w14:paraId="60FE714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项目负责人</w:t>
            </w:r>
          </w:p>
          <w:p w14:paraId="5302D45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2分</w:t>
            </w:r>
            <w:r>
              <w:rPr>
                <w:rFonts w:hint="eastAsia" w:ascii="仿宋" w:hAnsi="仿宋" w:eastAsia="仿宋" w:cs="仿宋"/>
                <w:color w:val="auto"/>
                <w:sz w:val="24"/>
                <w:szCs w:val="24"/>
                <w:highlight w:val="none"/>
                <w:lang w:eastAsia="zh-CN"/>
              </w:rPr>
              <w:t>）</w:t>
            </w:r>
          </w:p>
        </w:tc>
        <w:tc>
          <w:tcPr>
            <w:tcW w:w="5153" w:type="dxa"/>
            <w:shd w:val="clear" w:color="auto" w:fill="auto"/>
            <w:noWrap w:val="0"/>
            <w:tcMar>
              <w:top w:w="0" w:type="dxa"/>
              <w:left w:w="108" w:type="dxa"/>
              <w:bottom w:w="0" w:type="dxa"/>
              <w:right w:w="108" w:type="dxa"/>
            </w:tcMar>
            <w:vAlign w:val="top"/>
          </w:tcPr>
          <w:p w14:paraId="4173AF7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项目负责人具有从事污水处理等相关专业（</w:t>
            </w:r>
            <w:r>
              <w:rPr>
                <w:rFonts w:hint="eastAsia" w:ascii="仿宋" w:hAnsi="仿宋" w:eastAsia="仿宋" w:cs="仿宋"/>
                <w:color w:val="auto"/>
                <w:sz w:val="24"/>
                <w:szCs w:val="24"/>
                <w:highlight w:val="none"/>
                <w:lang w:val="en-US" w:eastAsia="zh-CN"/>
              </w:rPr>
              <w:t>给排水、</w:t>
            </w:r>
            <w:r>
              <w:rPr>
                <w:rFonts w:hint="eastAsia" w:ascii="仿宋" w:hAnsi="仿宋" w:eastAsia="仿宋" w:cs="仿宋"/>
                <w:color w:val="auto"/>
                <w:sz w:val="24"/>
                <w:szCs w:val="24"/>
                <w:highlight w:val="none"/>
              </w:rPr>
              <w:t>环境工程、环境保护、</w:t>
            </w:r>
            <w:r>
              <w:rPr>
                <w:rFonts w:hint="eastAsia" w:ascii="仿宋" w:hAnsi="仿宋" w:eastAsia="仿宋" w:cs="仿宋"/>
                <w:color w:val="auto"/>
                <w:sz w:val="24"/>
                <w:szCs w:val="24"/>
                <w:highlight w:val="none"/>
                <w:lang w:val="en-US" w:eastAsia="zh-CN"/>
              </w:rPr>
              <w:t>环境科学、</w:t>
            </w:r>
            <w:r>
              <w:rPr>
                <w:rFonts w:hint="eastAsia" w:ascii="仿宋" w:hAnsi="仿宋" w:eastAsia="仿宋" w:cs="仿宋"/>
                <w:color w:val="auto"/>
                <w:sz w:val="24"/>
                <w:szCs w:val="24"/>
                <w:highlight w:val="none"/>
                <w:lang w:val="en-US" w:eastAsia="zh-CN"/>
              </w:rPr>
              <w:t>机械、科技管理、</w:t>
            </w:r>
            <w:r>
              <w:rPr>
                <w:rFonts w:hint="eastAsia" w:ascii="仿宋" w:hAnsi="仿宋" w:eastAsia="仿宋" w:cs="仿宋"/>
                <w:color w:val="auto"/>
                <w:sz w:val="24"/>
                <w:szCs w:val="24"/>
                <w:highlight w:val="none"/>
              </w:rPr>
              <w:t>电气工程</w:t>
            </w:r>
            <w:r>
              <w:rPr>
                <w:rFonts w:hint="eastAsia" w:ascii="仿宋" w:hAnsi="仿宋" w:eastAsia="仿宋" w:cs="仿宋"/>
                <w:color w:val="auto"/>
                <w:sz w:val="24"/>
                <w:szCs w:val="24"/>
                <w:highlight w:val="none"/>
                <w:lang w:val="en-US" w:eastAsia="zh-CN"/>
              </w:rPr>
              <w:t>等</w:t>
            </w:r>
            <w:r>
              <w:rPr>
                <w:rFonts w:hint="eastAsia" w:ascii="仿宋" w:hAnsi="仿宋" w:eastAsia="仿宋" w:cs="仿宋"/>
                <w:color w:val="auto"/>
                <w:sz w:val="24"/>
                <w:szCs w:val="24"/>
                <w:highlight w:val="none"/>
              </w:rPr>
              <w:t>）职称证书，高级及以上的得</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分，中级得1分。</w:t>
            </w:r>
          </w:p>
          <w:p w14:paraId="76A8238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注：</w:t>
            </w:r>
            <w:r>
              <w:rPr>
                <w:rFonts w:hint="eastAsia" w:ascii="仿宋" w:hAnsi="仿宋" w:eastAsia="仿宋" w:cs="仿宋"/>
                <w:color w:val="auto"/>
                <w:sz w:val="24"/>
                <w:szCs w:val="24"/>
                <w:highlight w:val="none"/>
                <w:lang w:val="en-US" w:eastAsia="zh-CN"/>
              </w:rPr>
              <w:t>①须提供有效证书原件扫描上传，关键信息模糊或未提供不得分。②须提供社保部门出具的供应商为上述人员缴纳的近六月任意一个月的社会保险证明材料原件扫描上传，采用网上自助查询的，如当地社保管理部门明确的最大查询期与磋商文件规定的月份不一致时，须提供社保管理部门的文件，关键信息模糊或未提供不得分</w:t>
            </w:r>
            <w:r>
              <w:rPr>
                <w:rFonts w:hint="eastAsia" w:ascii="仿宋" w:hAnsi="仿宋" w:eastAsia="仿宋" w:cs="仿宋"/>
                <w:color w:val="auto"/>
                <w:sz w:val="24"/>
                <w:szCs w:val="24"/>
                <w:highlight w:val="none"/>
              </w:rPr>
              <w:t>。</w:t>
            </w:r>
          </w:p>
        </w:tc>
      </w:tr>
      <w:tr w14:paraId="2C6B4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260" w:type="dxa"/>
            <w:vMerge w:val="continue"/>
            <w:noWrap w:val="0"/>
            <w:vAlign w:val="center"/>
          </w:tcPr>
          <w:p w14:paraId="5589C2C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rPr>
            </w:pPr>
          </w:p>
        </w:tc>
        <w:tc>
          <w:tcPr>
            <w:tcW w:w="1154" w:type="dxa"/>
            <w:vMerge w:val="continue"/>
            <w:noWrap w:val="0"/>
            <w:tcMar>
              <w:top w:w="0" w:type="dxa"/>
              <w:left w:w="108" w:type="dxa"/>
              <w:bottom w:w="0" w:type="dxa"/>
              <w:right w:w="108" w:type="dxa"/>
            </w:tcMar>
            <w:vAlign w:val="center"/>
          </w:tcPr>
          <w:p w14:paraId="3BDBCD7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p>
        </w:tc>
        <w:tc>
          <w:tcPr>
            <w:tcW w:w="1356" w:type="dxa"/>
            <w:gridSpan w:val="2"/>
            <w:shd w:val="clear" w:color="auto" w:fill="auto"/>
            <w:noWrap w:val="0"/>
            <w:tcMar>
              <w:top w:w="0" w:type="dxa"/>
              <w:left w:w="108" w:type="dxa"/>
              <w:bottom w:w="0" w:type="dxa"/>
              <w:right w:w="108" w:type="dxa"/>
            </w:tcMar>
            <w:vAlign w:val="center"/>
          </w:tcPr>
          <w:p w14:paraId="7D7F4E7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项目技术负责人</w:t>
            </w:r>
          </w:p>
          <w:p w14:paraId="4BC3945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2分</w:t>
            </w:r>
            <w:r>
              <w:rPr>
                <w:rFonts w:hint="eastAsia" w:ascii="仿宋" w:hAnsi="仿宋" w:eastAsia="仿宋" w:cs="仿宋"/>
                <w:color w:val="auto"/>
                <w:sz w:val="24"/>
                <w:szCs w:val="24"/>
                <w:highlight w:val="none"/>
                <w:lang w:eastAsia="zh-CN"/>
              </w:rPr>
              <w:t>）</w:t>
            </w:r>
          </w:p>
        </w:tc>
        <w:tc>
          <w:tcPr>
            <w:tcW w:w="5153" w:type="dxa"/>
            <w:shd w:val="clear" w:color="auto" w:fill="auto"/>
            <w:noWrap w:val="0"/>
            <w:tcMar>
              <w:top w:w="0" w:type="dxa"/>
              <w:left w:w="108" w:type="dxa"/>
              <w:bottom w:w="0" w:type="dxa"/>
              <w:right w:w="108" w:type="dxa"/>
            </w:tcMar>
            <w:vAlign w:val="top"/>
          </w:tcPr>
          <w:p w14:paraId="0FA4366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项目技术负责人具有从事污水处理等相关专业（</w:t>
            </w:r>
            <w:r>
              <w:rPr>
                <w:rFonts w:hint="eastAsia" w:ascii="仿宋" w:hAnsi="仿宋" w:eastAsia="仿宋" w:cs="仿宋"/>
                <w:color w:val="auto"/>
                <w:sz w:val="24"/>
                <w:szCs w:val="24"/>
                <w:highlight w:val="none"/>
                <w:lang w:val="en-US" w:eastAsia="zh-CN"/>
              </w:rPr>
              <w:t>给排水、</w:t>
            </w:r>
            <w:r>
              <w:rPr>
                <w:rFonts w:hint="eastAsia" w:ascii="仿宋" w:hAnsi="仿宋" w:eastAsia="仿宋" w:cs="仿宋"/>
                <w:color w:val="auto"/>
                <w:sz w:val="24"/>
                <w:szCs w:val="24"/>
                <w:highlight w:val="none"/>
              </w:rPr>
              <w:t>环境工程、环境保护、</w:t>
            </w:r>
            <w:r>
              <w:rPr>
                <w:rFonts w:hint="eastAsia" w:ascii="仿宋" w:hAnsi="仿宋" w:eastAsia="仿宋" w:cs="仿宋"/>
                <w:color w:val="auto"/>
                <w:sz w:val="24"/>
                <w:szCs w:val="24"/>
                <w:highlight w:val="none"/>
                <w:lang w:val="en-US" w:eastAsia="zh-CN"/>
              </w:rPr>
              <w:t>环境科学、</w:t>
            </w:r>
            <w:r>
              <w:rPr>
                <w:rFonts w:hint="eastAsia" w:ascii="仿宋" w:hAnsi="仿宋" w:eastAsia="仿宋" w:cs="仿宋"/>
                <w:color w:val="auto"/>
                <w:sz w:val="24"/>
                <w:szCs w:val="24"/>
                <w:highlight w:val="none"/>
                <w:lang w:val="en-US" w:eastAsia="zh-CN"/>
              </w:rPr>
              <w:t>机械、科技管理、</w:t>
            </w:r>
            <w:r>
              <w:rPr>
                <w:rFonts w:hint="eastAsia" w:ascii="仿宋" w:hAnsi="仿宋" w:eastAsia="仿宋" w:cs="仿宋"/>
                <w:color w:val="auto"/>
                <w:sz w:val="24"/>
                <w:szCs w:val="24"/>
                <w:highlight w:val="none"/>
              </w:rPr>
              <w:t>电气工程</w:t>
            </w:r>
            <w:r>
              <w:rPr>
                <w:rFonts w:hint="eastAsia" w:ascii="仿宋" w:hAnsi="仿宋" w:eastAsia="仿宋" w:cs="仿宋"/>
                <w:color w:val="auto"/>
                <w:sz w:val="24"/>
                <w:szCs w:val="24"/>
                <w:highlight w:val="none"/>
                <w:lang w:val="en-US" w:eastAsia="zh-CN"/>
              </w:rPr>
              <w:t>等</w:t>
            </w:r>
            <w:r>
              <w:rPr>
                <w:rFonts w:hint="eastAsia" w:ascii="仿宋" w:hAnsi="仿宋" w:eastAsia="仿宋" w:cs="仿宋"/>
                <w:color w:val="auto"/>
                <w:sz w:val="24"/>
                <w:szCs w:val="24"/>
                <w:highlight w:val="none"/>
              </w:rPr>
              <w:t>）职称证书，高级及以上的得</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分，中级得1分。</w:t>
            </w:r>
          </w:p>
          <w:p w14:paraId="7479066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注：</w:t>
            </w:r>
            <w:r>
              <w:rPr>
                <w:rFonts w:hint="eastAsia" w:ascii="仿宋" w:hAnsi="仿宋" w:eastAsia="仿宋" w:cs="仿宋"/>
                <w:color w:val="auto"/>
                <w:sz w:val="24"/>
                <w:szCs w:val="24"/>
                <w:highlight w:val="none"/>
                <w:lang w:val="en-US" w:eastAsia="zh-CN"/>
              </w:rPr>
              <w:t>①须提供有效证书原件扫描上传，关键信息模糊或未提供不得分。②须提供社保部门出具的供应商为上述人员缴纳的</w:t>
            </w:r>
            <w:r>
              <w:rPr>
                <w:rFonts w:hint="eastAsia" w:ascii="仿宋" w:hAnsi="仿宋" w:eastAsia="仿宋" w:cs="仿宋"/>
                <w:color w:val="auto"/>
                <w:sz w:val="24"/>
                <w:szCs w:val="24"/>
                <w:highlight w:val="none"/>
                <w:lang w:val="en-US" w:eastAsia="zh-CN"/>
              </w:rPr>
              <w:t>近六</w:t>
            </w:r>
            <w:r>
              <w:rPr>
                <w:rFonts w:hint="eastAsia" w:ascii="仿宋" w:hAnsi="仿宋" w:eastAsia="仿宋" w:cs="仿宋"/>
                <w:color w:val="auto"/>
                <w:sz w:val="24"/>
                <w:szCs w:val="24"/>
                <w:highlight w:val="none"/>
                <w:lang w:val="en-US" w:eastAsia="zh-CN"/>
              </w:rPr>
              <w:t>月任意一个月的社会保险证明材料原件扫描上传，采用网上自助查询的，如当地社保管理部门明确的最大查询期与磋商文件规定的月份不一致时，须提供社保管理部门的文件，关键信息模糊或未提供不得分</w:t>
            </w:r>
            <w:r>
              <w:rPr>
                <w:rFonts w:hint="eastAsia" w:ascii="仿宋" w:hAnsi="仿宋" w:eastAsia="仿宋" w:cs="仿宋"/>
                <w:color w:val="auto"/>
                <w:sz w:val="24"/>
                <w:szCs w:val="24"/>
                <w:highlight w:val="none"/>
              </w:rPr>
              <w:t>。</w:t>
            </w:r>
          </w:p>
        </w:tc>
      </w:tr>
      <w:tr w14:paraId="0E312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260" w:type="dxa"/>
            <w:vMerge w:val="continue"/>
            <w:noWrap w:val="0"/>
            <w:vAlign w:val="center"/>
          </w:tcPr>
          <w:p w14:paraId="480C5A0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rPr>
            </w:pPr>
          </w:p>
        </w:tc>
        <w:tc>
          <w:tcPr>
            <w:tcW w:w="1154" w:type="dxa"/>
            <w:vMerge w:val="continue"/>
            <w:noWrap w:val="0"/>
            <w:tcMar>
              <w:top w:w="0" w:type="dxa"/>
              <w:left w:w="108" w:type="dxa"/>
              <w:bottom w:w="0" w:type="dxa"/>
              <w:right w:w="108" w:type="dxa"/>
            </w:tcMar>
            <w:vAlign w:val="center"/>
          </w:tcPr>
          <w:p w14:paraId="7C0E35A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p>
        </w:tc>
        <w:tc>
          <w:tcPr>
            <w:tcW w:w="1356" w:type="dxa"/>
            <w:gridSpan w:val="2"/>
            <w:shd w:val="clear" w:color="auto" w:fill="auto"/>
            <w:noWrap w:val="0"/>
            <w:tcMar>
              <w:top w:w="0" w:type="dxa"/>
              <w:left w:w="108" w:type="dxa"/>
              <w:bottom w:w="0" w:type="dxa"/>
              <w:right w:w="108" w:type="dxa"/>
            </w:tcMar>
            <w:vAlign w:val="center"/>
          </w:tcPr>
          <w:p w14:paraId="7B96163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项目团队</w:t>
            </w:r>
          </w:p>
          <w:p w14:paraId="3939CE7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10分</w:t>
            </w:r>
            <w:r>
              <w:rPr>
                <w:rFonts w:hint="eastAsia" w:ascii="仿宋" w:hAnsi="仿宋" w:eastAsia="仿宋" w:cs="仿宋"/>
                <w:color w:val="auto"/>
                <w:sz w:val="24"/>
                <w:szCs w:val="24"/>
                <w:highlight w:val="none"/>
                <w:lang w:eastAsia="zh-CN"/>
              </w:rPr>
              <w:t>）</w:t>
            </w:r>
          </w:p>
        </w:tc>
        <w:tc>
          <w:tcPr>
            <w:tcW w:w="5153" w:type="dxa"/>
            <w:shd w:val="clear" w:color="auto" w:fill="auto"/>
            <w:noWrap w:val="0"/>
            <w:tcMar>
              <w:top w:w="0" w:type="dxa"/>
              <w:left w:w="108" w:type="dxa"/>
              <w:bottom w:w="0" w:type="dxa"/>
              <w:right w:w="108" w:type="dxa"/>
            </w:tcMar>
            <w:vAlign w:val="top"/>
          </w:tcPr>
          <w:p w14:paraId="08095E02">
            <w:pPr>
              <w:pStyle w:val="13"/>
              <w:keepNext w:val="0"/>
              <w:keepLines w:val="0"/>
              <w:pageBreakBefore w:val="0"/>
              <w:widowControl w:val="0"/>
              <w:kinsoku/>
              <w:wordWrap/>
              <w:overflowPunct/>
              <w:topLinePunct w:val="0"/>
              <w:autoSpaceDE/>
              <w:autoSpaceDN/>
              <w:bidi w:val="0"/>
              <w:adjustRightInd/>
              <w:snapToGrid/>
              <w:spacing w:line="360" w:lineRule="auto"/>
              <w:ind w:firstLine="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项目团队（不包含项目负责人</w:t>
            </w:r>
            <w:r>
              <w:rPr>
                <w:rFonts w:hint="eastAsia" w:ascii="仿宋" w:hAnsi="仿宋" w:eastAsia="仿宋" w:cs="仿宋"/>
                <w:color w:val="auto"/>
                <w:sz w:val="24"/>
                <w:szCs w:val="24"/>
                <w:highlight w:val="none"/>
                <w:lang w:val="en-US" w:eastAsia="zh-CN"/>
              </w:rPr>
              <w:t>和项目技术负责人</w:t>
            </w:r>
            <w:r>
              <w:rPr>
                <w:rFonts w:hint="eastAsia" w:ascii="仿宋" w:hAnsi="仿宋" w:eastAsia="仿宋" w:cs="仿宋"/>
                <w:color w:val="auto"/>
                <w:sz w:val="24"/>
                <w:szCs w:val="24"/>
                <w:highlight w:val="none"/>
              </w:rPr>
              <w:t>）</w:t>
            </w:r>
          </w:p>
          <w:p w14:paraId="33A2B12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1、有污水处理类专业（给排水、环境工程、环境保护、环境科学、污水处理等）中级及以上职称证书，有一人得1分，最高得4分。</w:t>
            </w:r>
          </w:p>
          <w:p w14:paraId="7740D3C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2、有电气</w:t>
            </w:r>
            <w:r>
              <w:rPr>
                <w:rFonts w:hint="eastAsia" w:ascii="仿宋" w:hAnsi="仿宋" w:eastAsia="仿宋" w:cs="仿宋"/>
                <w:color w:val="auto"/>
                <w:sz w:val="24"/>
                <w:szCs w:val="24"/>
                <w:highlight w:val="none"/>
                <w:lang w:val="en-US" w:eastAsia="zh-CN" w:bidi="ar-SA"/>
              </w:rPr>
              <w:t>或</w:t>
            </w:r>
            <w:r>
              <w:rPr>
                <w:rFonts w:hint="eastAsia" w:ascii="仿宋" w:hAnsi="仿宋" w:eastAsia="仿宋" w:cs="仿宋"/>
                <w:color w:val="auto"/>
                <w:sz w:val="24"/>
                <w:szCs w:val="24"/>
                <w:highlight w:val="none"/>
                <w:lang w:val="en-US" w:eastAsia="zh-CN" w:bidi="ar-SA"/>
              </w:rPr>
              <w:t>自动化类专业中级及以上职称证书，有一人得1分，最高得1分。</w:t>
            </w:r>
          </w:p>
          <w:p w14:paraId="759321A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3、有机械工程类专业中级及以上职称证书，有一人得1分，最高得1分。</w:t>
            </w:r>
          </w:p>
          <w:p w14:paraId="66E8DB2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4、有注册安全工程师资格证书，有一人得1分，最高得1分。</w:t>
            </w:r>
          </w:p>
          <w:p w14:paraId="06D0589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5、</w:t>
            </w:r>
            <w:r>
              <w:rPr>
                <w:rFonts w:hint="eastAsia" w:ascii="仿宋" w:hAnsi="仿宋" w:eastAsia="仿宋" w:cs="仿宋"/>
                <w:color w:val="auto"/>
                <w:sz w:val="24"/>
                <w:szCs w:val="24"/>
                <w:highlight w:val="none"/>
                <w:lang w:val="en-US" w:eastAsia="zh-CN" w:bidi="ar-SA"/>
              </w:rPr>
              <w:t>持有行业管理部门颁发的水质检测培训合格证书的</w:t>
            </w:r>
            <w:r>
              <w:rPr>
                <w:rFonts w:hint="eastAsia" w:ascii="仿宋" w:hAnsi="仿宋" w:eastAsia="仿宋" w:cs="仿宋"/>
                <w:color w:val="auto"/>
                <w:sz w:val="24"/>
                <w:szCs w:val="24"/>
                <w:highlight w:val="none"/>
                <w:lang w:val="en-US" w:eastAsia="zh-CN" w:bidi="ar-SA"/>
              </w:rPr>
              <w:t>，有一人得1分，最高</w:t>
            </w:r>
            <w:r>
              <w:rPr>
                <w:rFonts w:hint="eastAsia" w:ascii="仿宋" w:hAnsi="仿宋" w:eastAsia="仿宋" w:cs="仿宋"/>
                <w:color w:val="auto"/>
                <w:sz w:val="24"/>
                <w:szCs w:val="24"/>
                <w:highlight w:val="none"/>
                <w:lang w:val="en-US" w:eastAsia="zh-CN" w:bidi="ar-SA"/>
              </w:rPr>
              <w:t>得2分。</w:t>
            </w:r>
          </w:p>
          <w:p w14:paraId="36E091E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6、有中级会计师及以上证书，有一人得1分，最高得1分。</w:t>
            </w:r>
          </w:p>
          <w:p w14:paraId="399F55D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bidi="ar-SA"/>
              </w:rPr>
              <w:t>注：①</w:t>
            </w:r>
            <w:r>
              <w:rPr>
                <w:rFonts w:hint="eastAsia" w:ascii="仿宋" w:hAnsi="仿宋" w:eastAsia="仿宋" w:cs="仿宋"/>
                <w:color w:val="auto"/>
                <w:sz w:val="24"/>
                <w:szCs w:val="24"/>
                <w:highlight w:val="none"/>
                <w:lang w:val="en-US" w:eastAsia="zh-CN" w:bidi="ar-SA"/>
              </w:rPr>
              <w:t>以上同一人员具有多证的不重复得分。</w:t>
            </w:r>
            <w:r>
              <w:rPr>
                <w:rFonts w:hint="eastAsia" w:ascii="仿宋" w:hAnsi="仿宋" w:eastAsia="仿宋" w:cs="仿宋"/>
                <w:color w:val="auto"/>
                <w:sz w:val="24"/>
                <w:szCs w:val="24"/>
                <w:highlight w:val="none"/>
                <w:lang w:val="en-US" w:eastAsia="zh-CN" w:bidi="ar-SA"/>
              </w:rPr>
              <w:t>须提供有效证书原件扫描上传，关键信息模糊或未提供不得分。②须提供社保部门出具的供应商为上述人员缴纳的近六月任意一个月的社会保险证明材料原件扫描上传，采用网上自助查询的，如当地社保管理部门明确的最大查询期与磋商文件规定的月份不一致时，须提供社保管理部门的文件，关键信息模糊或未提供不得分。</w:t>
            </w:r>
          </w:p>
        </w:tc>
      </w:tr>
    </w:tbl>
    <w:p w14:paraId="4685C905">
      <w:pPr>
        <w:rPr>
          <w:color w:val="auto"/>
          <w:highlight w:val="none"/>
        </w:rPr>
      </w:pPr>
    </w:p>
    <w:p w14:paraId="797E28CC">
      <w:pPr>
        <w:pStyle w:val="224"/>
        <w:keepNext w:val="0"/>
        <w:keepLines w:val="0"/>
        <w:pageBreakBefore w:val="0"/>
        <w:widowControl w:val="0"/>
        <w:spacing w:before="0" w:after="0"/>
        <w:ind w:left="0" w:leftChars="0" w:firstLine="0" w:firstLineChars="0"/>
        <w:rPr>
          <w:rFonts w:hint="eastAsia" w:ascii="宋体" w:hAnsi="宋体"/>
          <w:b/>
          <w:bCs/>
          <w:color w:val="auto"/>
          <w:sz w:val="21"/>
          <w:szCs w:val="21"/>
          <w:highlight w:val="none"/>
        </w:rPr>
      </w:pPr>
    </w:p>
    <w:p w14:paraId="53CA0D57">
      <w:pPr>
        <w:pStyle w:val="224"/>
        <w:keepNext w:val="0"/>
        <w:keepLines w:val="0"/>
        <w:pageBreakBefore w:val="0"/>
        <w:widowControl w:val="0"/>
        <w:spacing w:before="0" w:after="0"/>
        <w:ind w:left="0" w:firstLine="422"/>
        <w:rPr>
          <w:rFonts w:hint="eastAsia" w:ascii="宋体" w:hAnsi="宋体"/>
          <w:b/>
          <w:bCs/>
          <w:color w:val="auto"/>
          <w:sz w:val="21"/>
          <w:szCs w:val="21"/>
          <w:highlight w:val="none"/>
        </w:rPr>
      </w:pPr>
    </w:p>
    <w:p w14:paraId="419378FD">
      <w:pPr>
        <w:pStyle w:val="224"/>
        <w:keepNext w:val="0"/>
        <w:keepLines w:val="0"/>
        <w:pageBreakBefore w:val="0"/>
        <w:widowControl w:val="0"/>
        <w:spacing w:before="0" w:after="0"/>
        <w:ind w:left="0" w:firstLine="422"/>
        <w:rPr>
          <w:rFonts w:hint="eastAsia" w:ascii="宋体" w:hAnsi="宋体"/>
          <w:b/>
          <w:bCs/>
          <w:color w:val="auto"/>
          <w:sz w:val="21"/>
          <w:szCs w:val="21"/>
          <w:highlight w:val="none"/>
        </w:rPr>
      </w:pPr>
      <w:r>
        <w:rPr>
          <w:rFonts w:hint="eastAsia" w:ascii="宋体" w:hAnsi="宋体"/>
          <w:b/>
          <w:bCs/>
          <w:color w:val="auto"/>
          <w:sz w:val="21"/>
          <w:szCs w:val="21"/>
          <w:highlight w:val="none"/>
        </w:rPr>
        <w:t>备注：</w:t>
      </w:r>
    </w:p>
    <w:p w14:paraId="7951DE2A">
      <w:pPr>
        <w:pStyle w:val="224"/>
        <w:keepNext w:val="0"/>
        <w:keepLines w:val="0"/>
        <w:pageBreakBefore w:val="0"/>
        <w:widowControl w:val="0"/>
        <w:spacing w:before="0" w:after="0"/>
        <w:ind w:left="0" w:firstLine="422"/>
        <w:rPr>
          <w:rFonts w:hint="eastAsia" w:ascii="宋体" w:hAnsi="宋体"/>
          <w:b/>
          <w:bCs/>
          <w:color w:val="auto"/>
          <w:sz w:val="21"/>
          <w:szCs w:val="21"/>
          <w:highlight w:val="none"/>
        </w:rPr>
      </w:pPr>
      <w:r>
        <w:rPr>
          <w:rFonts w:hint="eastAsia" w:ascii="宋体" w:hAnsi="宋体"/>
          <w:b/>
          <w:bCs/>
          <w:color w:val="auto"/>
          <w:sz w:val="21"/>
          <w:szCs w:val="21"/>
          <w:highlight w:val="none"/>
        </w:rPr>
        <w:t>1、针对评分标准中评分的每一条，投标人均应提供相关资料并作出相应说明供评委评判，不提供相关资料的视为不具备该项得分的条件。</w:t>
      </w:r>
    </w:p>
    <w:p w14:paraId="0EECC42A">
      <w:pPr>
        <w:pStyle w:val="224"/>
        <w:keepNext w:val="0"/>
        <w:keepLines w:val="0"/>
        <w:pageBreakBefore w:val="0"/>
        <w:widowControl w:val="0"/>
        <w:spacing w:before="0" w:after="0"/>
        <w:ind w:left="0" w:firstLine="422"/>
        <w:rPr>
          <w:rFonts w:hint="eastAsia" w:ascii="宋体" w:hAnsi="宋体"/>
          <w:b/>
          <w:bCs/>
          <w:color w:val="auto"/>
          <w:sz w:val="21"/>
          <w:szCs w:val="21"/>
          <w:highlight w:val="none"/>
        </w:rPr>
      </w:pPr>
      <w:r>
        <w:rPr>
          <w:rFonts w:hint="eastAsia" w:ascii="宋体" w:hAnsi="宋体"/>
          <w:b/>
          <w:bCs/>
          <w:color w:val="auto"/>
          <w:sz w:val="21"/>
          <w:szCs w:val="21"/>
          <w:highlight w:val="none"/>
        </w:rPr>
        <w:t>2、以上评分中出现无证明资料或评标委员会无法凭所提供资料判断是否得分的情况，一律作不得分处理。</w:t>
      </w:r>
    </w:p>
    <w:p w14:paraId="3B2C6171">
      <w:pPr>
        <w:pStyle w:val="224"/>
        <w:keepNext w:val="0"/>
        <w:keepLines w:val="0"/>
        <w:pageBreakBefore w:val="0"/>
        <w:widowControl w:val="0"/>
        <w:spacing w:before="0" w:after="0"/>
        <w:ind w:left="0" w:firstLine="422"/>
        <w:rPr>
          <w:rFonts w:hint="eastAsia" w:ascii="宋体" w:hAnsi="宋体" w:eastAsia="宋体"/>
          <w:b/>
          <w:bCs/>
          <w:color w:val="auto"/>
          <w:sz w:val="21"/>
          <w:szCs w:val="21"/>
          <w:highlight w:val="none"/>
          <w:lang w:val="en-US" w:eastAsia="zh-CN"/>
        </w:rPr>
      </w:pPr>
      <w:r>
        <w:rPr>
          <w:rFonts w:hint="eastAsia" w:ascii="宋体" w:hAnsi="宋体"/>
          <w:b/>
          <w:bCs/>
          <w:color w:val="auto"/>
          <w:sz w:val="21"/>
          <w:szCs w:val="21"/>
          <w:highlight w:val="none"/>
          <w:lang w:val="en-US" w:eastAsia="zh-CN"/>
        </w:rPr>
        <w:t>3、评委对以上各得分项独立评分，投标人最终得分为所有评委评分汇总的算术平均值，小数点后保留2位（四舍五入）。</w:t>
      </w:r>
    </w:p>
    <w:p w14:paraId="1265FD79">
      <w:pPr>
        <w:pStyle w:val="2"/>
        <w:jc w:val="center"/>
        <w:rPr>
          <w:rFonts w:hint="eastAsia" w:ascii="宋体" w:hAnsi="宋体"/>
          <w:color w:val="auto"/>
          <w:highlight w:val="none"/>
        </w:rPr>
        <w:sectPr>
          <w:headerReference r:id="rId29" w:type="default"/>
          <w:footerReference r:id="rId30" w:type="default"/>
          <w:pgSz w:w="11906" w:h="16838"/>
          <w:pgMar w:top="1440" w:right="1800" w:bottom="1440" w:left="1800" w:header="851" w:footer="992" w:gutter="0"/>
          <w:cols w:space="720" w:num="1"/>
          <w:docGrid w:linePitch="360" w:charSpace="0"/>
        </w:sectPr>
      </w:pPr>
    </w:p>
    <w:p w14:paraId="1F7FDB0C">
      <w:pPr>
        <w:pStyle w:val="2"/>
        <w:jc w:val="center"/>
        <w:rPr>
          <w:rFonts w:ascii="宋体" w:hAnsi="宋体"/>
          <w:color w:val="auto"/>
          <w:highlight w:val="none"/>
        </w:rPr>
      </w:pPr>
      <w:r>
        <w:rPr>
          <w:rFonts w:hint="eastAsia" w:ascii="宋体" w:hAnsi="宋体"/>
          <w:color w:val="auto"/>
          <w:highlight w:val="none"/>
        </w:rPr>
        <w:t xml:space="preserve"> 第六章 投标文件格式 </w:t>
      </w:r>
    </w:p>
    <w:p w14:paraId="31CBB79E">
      <w:pPr>
        <w:rPr>
          <w:rFonts w:ascii="黑体" w:eastAsia="黑体"/>
          <w:bCs/>
          <w:color w:val="auto"/>
          <w:sz w:val="44"/>
          <w:highlight w:val="none"/>
        </w:rPr>
      </w:pPr>
    </w:p>
    <w:p w14:paraId="481F8171">
      <w:pPr>
        <w:rPr>
          <w:color w:val="auto"/>
          <w:highlight w:val="none"/>
        </w:rPr>
      </w:pPr>
    </w:p>
    <w:p w14:paraId="4494C005">
      <w:pPr>
        <w:rPr>
          <w:color w:val="auto"/>
          <w:highlight w:val="none"/>
        </w:rPr>
      </w:pPr>
    </w:p>
    <w:p w14:paraId="50979961">
      <w:pPr>
        <w:rPr>
          <w:color w:val="auto"/>
          <w:highlight w:val="none"/>
        </w:rPr>
      </w:pPr>
    </w:p>
    <w:p w14:paraId="5C211203">
      <w:pPr>
        <w:rPr>
          <w:color w:val="auto"/>
          <w:highlight w:val="none"/>
        </w:rPr>
      </w:pPr>
    </w:p>
    <w:p w14:paraId="7060E743">
      <w:pPr>
        <w:rPr>
          <w:color w:val="auto"/>
          <w:highlight w:val="none"/>
        </w:rPr>
      </w:pPr>
    </w:p>
    <w:p w14:paraId="2E1FAED1">
      <w:pPr>
        <w:rPr>
          <w:color w:val="auto"/>
          <w:highlight w:val="none"/>
        </w:rPr>
      </w:pPr>
    </w:p>
    <w:p w14:paraId="358F8263">
      <w:pPr>
        <w:rPr>
          <w:color w:val="auto"/>
          <w:highlight w:val="none"/>
        </w:rPr>
      </w:pPr>
    </w:p>
    <w:p w14:paraId="20B37FC7">
      <w:pPr>
        <w:rPr>
          <w:color w:val="auto"/>
          <w:highlight w:val="none"/>
        </w:rPr>
      </w:pPr>
    </w:p>
    <w:p w14:paraId="689AF91D">
      <w:pPr>
        <w:jc w:val="center"/>
        <w:rPr>
          <w:rFonts w:ascii="宋体" w:hAnsi="宋体"/>
          <w:b/>
          <w:color w:val="auto"/>
          <w:sz w:val="72"/>
          <w:highlight w:val="none"/>
        </w:rPr>
      </w:pPr>
      <w:r>
        <w:rPr>
          <w:rFonts w:hint="eastAsia" w:ascii="宋体" w:hAnsi="宋体"/>
          <w:b/>
          <w:color w:val="auto"/>
          <w:sz w:val="72"/>
          <w:highlight w:val="none"/>
        </w:rPr>
        <w:t>投  标  文  件</w:t>
      </w:r>
    </w:p>
    <w:p w14:paraId="18730D19">
      <w:pPr>
        <w:jc w:val="center"/>
        <w:rPr>
          <w:rFonts w:ascii="宋体" w:hAnsi="宋体"/>
          <w:b/>
          <w:color w:val="auto"/>
          <w:sz w:val="72"/>
          <w:highlight w:val="none"/>
        </w:rPr>
      </w:pPr>
    </w:p>
    <w:p w14:paraId="05EB7E35">
      <w:pPr>
        <w:jc w:val="center"/>
        <w:rPr>
          <w:rFonts w:ascii="宋体" w:hAnsi="宋体"/>
          <w:b/>
          <w:color w:val="auto"/>
          <w:sz w:val="72"/>
          <w:highlight w:val="none"/>
        </w:rPr>
      </w:pPr>
    </w:p>
    <w:p w14:paraId="3AE2EE54">
      <w:pPr>
        <w:jc w:val="center"/>
        <w:rPr>
          <w:rFonts w:ascii="宋体" w:hAnsi="宋体"/>
          <w:b/>
          <w:color w:val="auto"/>
          <w:sz w:val="36"/>
          <w:highlight w:val="none"/>
        </w:rPr>
      </w:pPr>
    </w:p>
    <w:p w14:paraId="54D78E24">
      <w:pPr>
        <w:jc w:val="center"/>
        <w:rPr>
          <w:rFonts w:ascii="宋体" w:hAnsi="宋体"/>
          <w:b/>
          <w:color w:val="auto"/>
          <w:sz w:val="36"/>
          <w:highlight w:val="none"/>
        </w:rPr>
      </w:pPr>
    </w:p>
    <w:p w14:paraId="4DD4A584">
      <w:pPr>
        <w:jc w:val="center"/>
        <w:rPr>
          <w:rFonts w:ascii="宋体" w:hAnsi="宋体"/>
          <w:b/>
          <w:color w:val="auto"/>
          <w:sz w:val="36"/>
          <w:highlight w:val="none"/>
        </w:rPr>
      </w:pPr>
    </w:p>
    <w:p w14:paraId="36519FB2">
      <w:pPr>
        <w:jc w:val="center"/>
        <w:rPr>
          <w:rFonts w:ascii="宋体" w:hAnsi="宋体"/>
          <w:b/>
          <w:color w:val="auto"/>
          <w:sz w:val="36"/>
          <w:highlight w:val="none"/>
        </w:rPr>
      </w:pPr>
    </w:p>
    <w:p w14:paraId="75A449E7">
      <w:pPr>
        <w:rPr>
          <w:rFonts w:ascii="宋体" w:hAnsi="宋体"/>
          <w:b/>
          <w:color w:val="auto"/>
          <w:sz w:val="36"/>
          <w:highlight w:val="none"/>
        </w:rPr>
      </w:pPr>
    </w:p>
    <w:p w14:paraId="4001F09E">
      <w:pPr>
        <w:pStyle w:val="26"/>
        <w:rPr>
          <w:color w:val="auto"/>
          <w:highlight w:val="none"/>
        </w:rPr>
      </w:pPr>
    </w:p>
    <w:p w14:paraId="427D61CE">
      <w:pPr>
        <w:jc w:val="center"/>
        <w:rPr>
          <w:rFonts w:ascii="宋体" w:hAnsi="宋体"/>
          <w:b/>
          <w:color w:val="auto"/>
          <w:sz w:val="36"/>
          <w:highlight w:val="none"/>
        </w:rPr>
      </w:pPr>
    </w:p>
    <w:p w14:paraId="3933CF92">
      <w:pPr>
        <w:ind w:firstLine="1084"/>
        <w:rPr>
          <w:rFonts w:ascii="宋体" w:hAnsi="宋体"/>
          <w:b/>
          <w:color w:val="auto"/>
          <w:sz w:val="36"/>
          <w:highlight w:val="none"/>
        </w:rPr>
      </w:pPr>
      <w:r>
        <w:rPr>
          <w:rFonts w:hint="eastAsia" w:ascii="宋体" w:hAnsi="宋体"/>
          <w:b/>
          <w:color w:val="auto"/>
          <w:sz w:val="36"/>
          <w:highlight w:val="none"/>
        </w:rPr>
        <w:t>项 目 名 称：</w:t>
      </w:r>
      <w:r>
        <w:rPr>
          <w:rFonts w:hint="eastAsia" w:ascii="宋体" w:hAnsi="宋体"/>
          <w:b/>
          <w:color w:val="auto"/>
          <w:sz w:val="36"/>
          <w:highlight w:val="none"/>
          <w:u w:val="single"/>
        </w:rPr>
        <w:t xml:space="preserve">               </w:t>
      </w:r>
    </w:p>
    <w:p w14:paraId="19EE6EE8">
      <w:pPr>
        <w:ind w:firstLine="1084"/>
        <w:rPr>
          <w:rFonts w:ascii="宋体" w:hAnsi="宋体"/>
          <w:b/>
          <w:color w:val="auto"/>
          <w:sz w:val="36"/>
          <w:highlight w:val="none"/>
          <w:u w:val="single"/>
        </w:rPr>
      </w:pPr>
      <w:r>
        <w:rPr>
          <w:rFonts w:hint="eastAsia" w:ascii="宋体" w:hAnsi="宋体"/>
          <w:b/>
          <w:color w:val="auto"/>
          <w:sz w:val="36"/>
          <w:highlight w:val="none"/>
        </w:rPr>
        <w:t>招 标 编 号：</w:t>
      </w:r>
      <w:r>
        <w:rPr>
          <w:rFonts w:hint="eastAsia" w:ascii="宋体" w:hAnsi="宋体"/>
          <w:b/>
          <w:color w:val="auto"/>
          <w:sz w:val="36"/>
          <w:highlight w:val="none"/>
          <w:u w:val="single"/>
        </w:rPr>
        <w:t xml:space="preserve">               </w:t>
      </w:r>
    </w:p>
    <w:p w14:paraId="325AAB0B">
      <w:pPr>
        <w:rPr>
          <w:rFonts w:hint="eastAsia" w:ascii="宋体" w:hAnsi="宋体"/>
          <w:b/>
          <w:color w:val="auto"/>
          <w:sz w:val="36"/>
          <w:highlight w:val="none"/>
        </w:rPr>
      </w:pPr>
      <w:r>
        <w:rPr>
          <w:rFonts w:hint="eastAsia" w:ascii="宋体" w:hAnsi="宋体"/>
          <w:b/>
          <w:color w:val="auto"/>
          <w:sz w:val="36"/>
          <w:highlight w:val="none"/>
        </w:rPr>
        <w:t xml:space="preserve">      </w:t>
      </w:r>
      <w:r>
        <w:rPr>
          <w:rFonts w:hint="eastAsia" w:ascii="宋体" w:hAnsi="宋体"/>
          <w:b/>
          <w:color w:val="auto"/>
          <w:sz w:val="36"/>
          <w:highlight w:val="none"/>
          <w:lang w:val="en-US" w:eastAsia="zh-CN"/>
        </w:rPr>
        <w:t>采 购 包 号：</w:t>
      </w:r>
      <w:r>
        <w:rPr>
          <w:rFonts w:hint="eastAsia" w:ascii="宋体" w:hAnsi="宋体"/>
          <w:b/>
          <w:color w:val="auto"/>
          <w:sz w:val="36"/>
          <w:highlight w:val="none"/>
          <w:u w:val="single"/>
        </w:rPr>
        <w:t xml:space="preserve">               </w:t>
      </w:r>
    </w:p>
    <w:p w14:paraId="7BBC4CEB">
      <w:pPr>
        <w:ind w:firstLine="1084"/>
        <w:rPr>
          <w:rFonts w:ascii="宋体" w:hAnsi="宋体"/>
          <w:b/>
          <w:color w:val="auto"/>
          <w:sz w:val="36"/>
          <w:highlight w:val="none"/>
          <w:u w:val="single"/>
        </w:rPr>
      </w:pPr>
      <w:r>
        <w:rPr>
          <w:rFonts w:hint="eastAsia" w:ascii="宋体" w:hAnsi="宋体"/>
          <w:b/>
          <w:color w:val="auto"/>
          <w:sz w:val="36"/>
          <w:highlight w:val="none"/>
        </w:rPr>
        <w:t>投标人名称 ：</w:t>
      </w:r>
      <w:r>
        <w:rPr>
          <w:rFonts w:hint="eastAsia" w:ascii="宋体" w:hAnsi="宋体"/>
          <w:b/>
          <w:color w:val="auto"/>
          <w:sz w:val="36"/>
          <w:highlight w:val="none"/>
          <w:u w:val="single"/>
        </w:rPr>
        <w:t xml:space="preserve">               </w:t>
      </w:r>
    </w:p>
    <w:p w14:paraId="4D1D8449">
      <w:pPr>
        <w:rPr>
          <w:rFonts w:ascii="宋体" w:hAnsi="宋体"/>
          <w:b/>
          <w:color w:val="auto"/>
          <w:sz w:val="36"/>
          <w:highlight w:val="none"/>
          <w:u w:val="single"/>
        </w:rPr>
      </w:pPr>
      <w:r>
        <w:rPr>
          <w:rFonts w:hint="eastAsia" w:ascii="宋体" w:hAnsi="宋体"/>
          <w:b/>
          <w:color w:val="auto"/>
          <w:sz w:val="36"/>
          <w:highlight w:val="none"/>
        </w:rPr>
        <w:t xml:space="preserve">      日      期 ：</w:t>
      </w:r>
      <w:r>
        <w:rPr>
          <w:rFonts w:hint="eastAsia" w:ascii="宋体" w:hAnsi="宋体"/>
          <w:b/>
          <w:color w:val="auto"/>
          <w:sz w:val="36"/>
          <w:highlight w:val="none"/>
          <w:u w:val="single"/>
        </w:rPr>
        <w:t xml:space="preserve">               </w:t>
      </w:r>
    </w:p>
    <w:p w14:paraId="168001F2">
      <w:pPr>
        <w:ind w:firstLine="1084"/>
        <w:rPr>
          <w:rFonts w:ascii="宋体" w:hAnsi="宋体"/>
          <w:b/>
          <w:color w:val="auto"/>
          <w:sz w:val="36"/>
          <w:highlight w:val="none"/>
        </w:rPr>
      </w:pPr>
      <w:r>
        <w:rPr>
          <w:rFonts w:hint="eastAsia" w:ascii="宋体" w:hAnsi="宋体"/>
          <w:b/>
          <w:color w:val="auto"/>
          <w:sz w:val="36"/>
          <w:highlight w:val="none"/>
        </w:rPr>
        <w:t>投  标  人</w:t>
      </w:r>
      <w:r>
        <w:rPr>
          <w:rFonts w:hint="eastAsia" w:ascii="宋体" w:hAnsi="宋体"/>
          <w:b/>
          <w:color w:val="auto"/>
          <w:sz w:val="36"/>
          <w:highlight w:val="none"/>
          <w:lang w:val="en-US" w:eastAsia="zh-CN"/>
        </w:rPr>
        <w:t xml:space="preserve"> </w:t>
      </w:r>
      <w:r>
        <w:rPr>
          <w:rFonts w:hint="eastAsia" w:ascii="宋体" w:hAnsi="宋体"/>
          <w:b/>
          <w:color w:val="auto"/>
          <w:sz w:val="36"/>
          <w:highlight w:val="none"/>
        </w:rPr>
        <w:t>：</w:t>
      </w:r>
      <w:r>
        <w:rPr>
          <w:rFonts w:hint="eastAsia" w:ascii="宋体" w:hAnsi="宋体"/>
          <w:b/>
          <w:color w:val="auto"/>
          <w:sz w:val="36"/>
          <w:highlight w:val="none"/>
          <w:u w:val="single"/>
        </w:rPr>
        <w:t xml:space="preserve">         </w:t>
      </w:r>
      <w:r>
        <w:rPr>
          <w:rFonts w:hint="eastAsia" w:ascii="宋体" w:hAnsi="宋体"/>
          <w:b/>
          <w:color w:val="auto"/>
          <w:sz w:val="36"/>
          <w:highlight w:val="none"/>
        </w:rPr>
        <w:t>（</w:t>
      </w:r>
      <w:r>
        <w:rPr>
          <w:rFonts w:hint="eastAsia" w:ascii="宋体" w:hAnsi="宋体"/>
          <w:b/>
          <w:color w:val="auto"/>
          <w:sz w:val="36"/>
          <w:highlight w:val="none"/>
          <w:lang w:eastAsia="zh-CN"/>
        </w:rPr>
        <w:t>加盖CA电子签章</w:t>
      </w:r>
      <w:r>
        <w:rPr>
          <w:rFonts w:hint="eastAsia" w:ascii="宋体" w:hAnsi="宋体"/>
          <w:b/>
          <w:color w:val="auto"/>
          <w:sz w:val="36"/>
          <w:highlight w:val="none"/>
        </w:rPr>
        <w:t>）</w:t>
      </w:r>
    </w:p>
    <w:p w14:paraId="201B22C3">
      <w:pPr>
        <w:spacing w:line="440" w:lineRule="exact"/>
        <w:jc w:val="center"/>
        <w:rPr>
          <w:rFonts w:ascii="宋体" w:hAnsi="宋体"/>
          <w:b/>
          <w:bCs/>
          <w:color w:val="auto"/>
          <w:sz w:val="32"/>
          <w:szCs w:val="32"/>
          <w:highlight w:val="none"/>
        </w:rPr>
      </w:pPr>
    </w:p>
    <w:p w14:paraId="66452508">
      <w:pPr>
        <w:spacing w:line="440" w:lineRule="exact"/>
        <w:jc w:val="center"/>
        <w:rPr>
          <w:rFonts w:hint="eastAsia" w:ascii="宋体" w:hAnsi="宋体"/>
          <w:b/>
          <w:bCs/>
          <w:color w:val="auto"/>
          <w:sz w:val="32"/>
          <w:szCs w:val="32"/>
          <w:highlight w:val="none"/>
        </w:rPr>
      </w:pPr>
    </w:p>
    <w:p w14:paraId="1F4B9C76">
      <w:pPr>
        <w:spacing w:line="440" w:lineRule="exact"/>
        <w:jc w:val="center"/>
        <w:rPr>
          <w:rFonts w:hint="eastAsia" w:ascii="宋体" w:hAnsi="宋体"/>
          <w:b/>
          <w:bCs/>
          <w:color w:val="auto"/>
          <w:sz w:val="32"/>
          <w:szCs w:val="32"/>
          <w:highlight w:val="none"/>
        </w:rPr>
      </w:pPr>
    </w:p>
    <w:p w14:paraId="2AAD517F">
      <w:pPr>
        <w:spacing w:line="440" w:lineRule="exact"/>
        <w:jc w:val="center"/>
        <w:rPr>
          <w:rFonts w:ascii="宋体" w:hAnsi="宋体"/>
          <w:b/>
          <w:bCs/>
          <w:color w:val="auto"/>
          <w:sz w:val="32"/>
          <w:szCs w:val="32"/>
          <w:highlight w:val="none"/>
        </w:rPr>
      </w:pPr>
      <w:r>
        <w:rPr>
          <w:rFonts w:hint="eastAsia" w:ascii="宋体" w:hAnsi="宋体"/>
          <w:b/>
          <w:bCs/>
          <w:color w:val="auto"/>
          <w:sz w:val="32"/>
          <w:szCs w:val="32"/>
          <w:highlight w:val="none"/>
        </w:rPr>
        <w:t>投标主要文件目录</w:t>
      </w:r>
    </w:p>
    <w:p w14:paraId="3741D319">
      <w:pPr>
        <w:spacing w:line="440" w:lineRule="exact"/>
        <w:jc w:val="center"/>
        <w:rPr>
          <w:rFonts w:ascii="宋体" w:hAnsi="宋体"/>
          <w:b/>
          <w:bCs/>
          <w:color w:val="auto"/>
          <w:sz w:val="32"/>
          <w:szCs w:val="32"/>
          <w:highlight w:val="none"/>
        </w:rPr>
      </w:pPr>
    </w:p>
    <w:p w14:paraId="5C9006E3">
      <w:pPr>
        <w:spacing w:line="360" w:lineRule="auto"/>
        <w:ind w:firstLine="480"/>
        <w:rPr>
          <w:rFonts w:ascii="宋体" w:hAnsi="宋体"/>
          <w:color w:val="auto"/>
          <w:sz w:val="24"/>
          <w:highlight w:val="none"/>
        </w:rPr>
      </w:pPr>
      <w:r>
        <w:rPr>
          <w:rFonts w:hint="eastAsia" w:ascii="宋体" w:hAnsi="宋体"/>
          <w:color w:val="auto"/>
          <w:sz w:val="24"/>
          <w:highlight w:val="none"/>
        </w:rPr>
        <w:t>一、资格审查响应对照表</w:t>
      </w:r>
    </w:p>
    <w:p w14:paraId="7FF71B8A">
      <w:pPr>
        <w:spacing w:line="360" w:lineRule="auto"/>
        <w:ind w:left="480"/>
        <w:rPr>
          <w:rFonts w:ascii="宋体" w:hAnsi="宋体"/>
          <w:color w:val="auto"/>
          <w:sz w:val="24"/>
          <w:highlight w:val="none"/>
        </w:rPr>
      </w:pPr>
      <w:r>
        <w:rPr>
          <w:rFonts w:hint="eastAsia" w:ascii="宋体" w:hAnsi="宋体"/>
          <w:color w:val="auto"/>
          <w:sz w:val="24"/>
          <w:highlight w:val="none"/>
        </w:rPr>
        <w:t>二、符合性审查响应对照表</w:t>
      </w:r>
    </w:p>
    <w:p w14:paraId="29F3FE9D">
      <w:pPr>
        <w:spacing w:line="360" w:lineRule="auto"/>
        <w:ind w:firstLine="480"/>
        <w:rPr>
          <w:rFonts w:ascii="宋体" w:hAnsi="宋体"/>
          <w:b/>
          <w:bCs/>
          <w:color w:val="auto"/>
          <w:sz w:val="24"/>
          <w:highlight w:val="none"/>
        </w:rPr>
      </w:pPr>
      <w:r>
        <w:rPr>
          <w:rFonts w:hint="eastAsia" w:ascii="宋体" w:hAnsi="宋体"/>
          <w:color w:val="auto"/>
          <w:sz w:val="24"/>
          <w:highlight w:val="none"/>
          <w:lang w:val="en-US" w:eastAsia="zh-CN"/>
        </w:rPr>
        <w:t>三</w:t>
      </w:r>
      <w:r>
        <w:rPr>
          <w:rFonts w:hint="eastAsia" w:ascii="宋体" w:hAnsi="宋体"/>
          <w:b/>
          <w:bCs/>
          <w:color w:val="auto"/>
          <w:sz w:val="24"/>
          <w:highlight w:val="none"/>
        </w:rPr>
        <w:t>、</w:t>
      </w:r>
      <w:r>
        <w:rPr>
          <w:rFonts w:hint="eastAsia" w:ascii="宋体" w:hAnsi="宋体"/>
          <w:i/>
          <w:color w:val="auto"/>
          <w:sz w:val="24"/>
          <w:highlight w:val="none"/>
          <w:u w:val="single"/>
        </w:rPr>
        <w:t>开标一览表</w:t>
      </w:r>
    </w:p>
    <w:p w14:paraId="0CD070D9">
      <w:pPr>
        <w:spacing w:line="360" w:lineRule="auto"/>
        <w:ind w:firstLine="480"/>
        <w:rPr>
          <w:rFonts w:ascii="宋体" w:hAnsi="宋体"/>
          <w:color w:val="auto"/>
          <w:sz w:val="24"/>
          <w:highlight w:val="none"/>
        </w:rPr>
      </w:pPr>
      <w:r>
        <w:rPr>
          <w:rFonts w:hint="eastAsia" w:ascii="宋体" w:hAnsi="宋体"/>
          <w:color w:val="auto"/>
          <w:sz w:val="24"/>
          <w:highlight w:val="none"/>
          <w:lang w:val="en-US" w:eastAsia="zh-CN"/>
        </w:rPr>
        <w:t>四</w:t>
      </w:r>
      <w:r>
        <w:rPr>
          <w:rFonts w:hint="eastAsia" w:ascii="宋体" w:hAnsi="宋体"/>
          <w:color w:val="auto"/>
          <w:sz w:val="24"/>
          <w:highlight w:val="none"/>
        </w:rPr>
        <w:t>、分项报价表</w:t>
      </w:r>
    </w:p>
    <w:p w14:paraId="41A5500B">
      <w:pPr>
        <w:spacing w:line="360" w:lineRule="auto"/>
        <w:ind w:firstLine="480"/>
        <w:rPr>
          <w:rFonts w:ascii="宋体" w:hAnsi="宋体"/>
          <w:color w:val="auto"/>
          <w:sz w:val="24"/>
          <w:highlight w:val="none"/>
        </w:rPr>
      </w:pPr>
      <w:r>
        <w:rPr>
          <w:rFonts w:hint="eastAsia" w:ascii="宋体" w:hAnsi="宋体"/>
          <w:color w:val="auto"/>
          <w:sz w:val="24"/>
          <w:highlight w:val="none"/>
          <w:lang w:val="en-US" w:eastAsia="zh-CN"/>
        </w:rPr>
        <w:t>五</w:t>
      </w:r>
      <w:r>
        <w:rPr>
          <w:rFonts w:hint="eastAsia" w:ascii="宋体" w:hAnsi="宋体" w:cs="Courier New"/>
          <w:color w:val="auto"/>
          <w:sz w:val="24"/>
          <w:szCs w:val="24"/>
          <w:highlight w:val="none"/>
        </w:rPr>
        <w:t>、拟投入</w:t>
      </w:r>
      <w:r>
        <w:rPr>
          <w:rFonts w:hint="eastAsia" w:ascii="宋体" w:hAnsi="宋体" w:cs="Courier New"/>
          <w:color w:val="auto"/>
          <w:sz w:val="24"/>
          <w:szCs w:val="24"/>
          <w:highlight w:val="none"/>
          <w:lang w:val="en-US" w:eastAsia="zh-CN"/>
        </w:rPr>
        <w:t>本项目</w:t>
      </w:r>
      <w:r>
        <w:rPr>
          <w:rFonts w:hint="eastAsia" w:ascii="宋体" w:hAnsi="宋体" w:cs="Courier New"/>
          <w:color w:val="auto"/>
          <w:sz w:val="24"/>
          <w:szCs w:val="24"/>
          <w:highlight w:val="none"/>
        </w:rPr>
        <w:t>人员一览表</w:t>
      </w:r>
    </w:p>
    <w:p w14:paraId="50565BC7">
      <w:pPr>
        <w:spacing w:line="360" w:lineRule="auto"/>
        <w:ind w:firstLine="480"/>
        <w:rPr>
          <w:rFonts w:ascii="宋体" w:hAnsi="宋体"/>
          <w:color w:val="auto"/>
          <w:sz w:val="24"/>
          <w:highlight w:val="none"/>
        </w:rPr>
      </w:pPr>
      <w:r>
        <w:rPr>
          <w:rFonts w:hint="eastAsia" w:ascii="宋体" w:hAnsi="宋体"/>
          <w:color w:val="auto"/>
          <w:sz w:val="24"/>
          <w:highlight w:val="none"/>
          <w:lang w:val="en-US" w:eastAsia="zh-CN"/>
        </w:rPr>
        <w:t>六</w:t>
      </w:r>
      <w:r>
        <w:rPr>
          <w:rFonts w:hint="eastAsia" w:ascii="宋体" w:hAnsi="宋体"/>
          <w:color w:val="auto"/>
          <w:sz w:val="24"/>
          <w:highlight w:val="none"/>
        </w:rPr>
        <w:t>、商务条款响应及偏离表</w:t>
      </w:r>
    </w:p>
    <w:p w14:paraId="4E55A851">
      <w:pPr>
        <w:spacing w:line="360" w:lineRule="auto"/>
        <w:ind w:firstLine="48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七</w:t>
      </w:r>
      <w:r>
        <w:rPr>
          <w:rFonts w:hint="eastAsia" w:ascii="宋体" w:hAnsi="宋体"/>
          <w:color w:val="auto"/>
          <w:sz w:val="24"/>
          <w:highlight w:val="none"/>
        </w:rPr>
        <w:t>、</w:t>
      </w:r>
      <w:r>
        <w:rPr>
          <w:rFonts w:hint="eastAsia" w:ascii="宋体" w:hAnsi="宋体"/>
          <w:color w:val="auto"/>
          <w:sz w:val="24"/>
          <w:highlight w:val="none"/>
          <w:lang w:val="en-US" w:eastAsia="zh-CN"/>
        </w:rPr>
        <w:t>技术要求响应及偏离表</w:t>
      </w:r>
    </w:p>
    <w:p w14:paraId="40857F68">
      <w:pPr>
        <w:spacing w:line="360" w:lineRule="auto"/>
        <w:ind w:firstLine="48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八、主要标的信息</w:t>
      </w:r>
    </w:p>
    <w:p w14:paraId="7A9C99F6">
      <w:pPr>
        <w:spacing w:line="360" w:lineRule="auto"/>
        <w:ind w:firstLine="48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九、联合体协议书（如有）</w:t>
      </w:r>
    </w:p>
    <w:p w14:paraId="56F7ED41">
      <w:pPr>
        <w:spacing w:line="360" w:lineRule="auto"/>
        <w:ind w:firstLine="480"/>
        <w:rPr>
          <w:color w:val="auto"/>
          <w:sz w:val="36"/>
          <w:szCs w:val="36"/>
          <w:highlight w:val="none"/>
        </w:rPr>
      </w:pPr>
      <w:r>
        <w:rPr>
          <w:rFonts w:hint="eastAsia" w:ascii="宋体" w:hAnsi="宋体"/>
          <w:color w:val="auto"/>
          <w:sz w:val="24"/>
          <w:highlight w:val="none"/>
          <w:lang w:eastAsia="zh-CN"/>
        </w:rPr>
        <w:t>十、</w:t>
      </w:r>
      <w:r>
        <w:rPr>
          <w:rFonts w:hint="eastAsia" w:ascii="宋体" w:hAnsi="宋体"/>
          <w:color w:val="auto"/>
          <w:sz w:val="24"/>
          <w:highlight w:val="none"/>
        </w:rPr>
        <w:t>其他 （投标人认为有必要提供的声明和文件，如有自拟并自行添加）</w:t>
      </w:r>
    </w:p>
    <w:p w14:paraId="55F768D7">
      <w:pPr>
        <w:contextualSpacing/>
        <w:jc w:val="center"/>
        <w:rPr>
          <w:rFonts w:ascii="宋体" w:hAnsi="宋体"/>
          <w:b/>
          <w:color w:val="auto"/>
          <w:sz w:val="72"/>
          <w:highlight w:val="none"/>
        </w:rPr>
      </w:pPr>
    </w:p>
    <w:p w14:paraId="467BAF8D">
      <w:pPr>
        <w:spacing w:line="600" w:lineRule="exact"/>
        <w:contextualSpacing/>
        <w:jc w:val="center"/>
        <w:rPr>
          <w:rFonts w:ascii="宋体" w:hAnsi="宋体"/>
          <w:b/>
          <w:color w:val="auto"/>
          <w:sz w:val="72"/>
          <w:highlight w:val="none"/>
        </w:rPr>
      </w:pPr>
    </w:p>
    <w:p w14:paraId="4B982095">
      <w:pPr>
        <w:spacing w:line="600" w:lineRule="exact"/>
        <w:contextualSpacing/>
        <w:jc w:val="center"/>
        <w:rPr>
          <w:rFonts w:ascii="宋体" w:hAnsi="宋体"/>
          <w:b/>
          <w:color w:val="auto"/>
          <w:sz w:val="72"/>
          <w:highlight w:val="none"/>
        </w:rPr>
      </w:pPr>
    </w:p>
    <w:p w14:paraId="1149084C">
      <w:pPr>
        <w:spacing w:line="600" w:lineRule="exact"/>
        <w:contextualSpacing/>
        <w:rPr>
          <w:rFonts w:ascii="宋体" w:hAnsi="宋体"/>
          <w:b/>
          <w:color w:val="auto"/>
          <w:sz w:val="36"/>
          <w:highlight w:val="none"/>
        </w:rPr>
      </w:pPr>
    </w:p>
    <w:p w14:paraId="171D3C47">
      <w:pPr>
        <w:spacing w:line="600" w:lineRule="exact"/>
        <w:contextualSpacing/>
        <w:rPr>
          <w:rFonts w:ascii="宋体" w:hAnsi="宋体"/>
          <w:b/>
          <w:color w:val="auto"/>
          <w:sz w:val="36"/>
          <w:highlight w:val="none"/>
        </w:rPr>
      </w:pPr>
    </w:p>
    <w:p w14:paraId="79D8E42A">
      <w:pPr>
        <w:spacing w:line="600" w:lineRule="exact"/>
        <w:contextualSpacing/>
        <w:rPr>
          <w:rFonts w:ascii="宋体" w:hAnsi="宋体"/>
          <w:b/>
          <w:color w:val="auto"/>
          <w:sz w:val="36"/>
          <w:highlight w:val="none"/>
        </w:rPr>
      </w:pPr>
    </w:p>
    <w:p w14:paraId="6F49F41E">
      <w:pPr>
        <w:spacing w:line="600" w:lineRule="exact"/>
        <w:contextualSpacing/>
        <w:rPr>
          <w:rFonts w:ascii="宋体" w:hAnsi="宋体"/>
          <w:b/>
          <w:color w:val="auto"/>
          <w:sz w:val="36"/>
          <w:highlight w:val="none"/>
        </w:rPr>
      </w:pPr>
    </w:p>
    <w:p w14:paraId="55232D2B">
      <w:pPr>
        <w:spacing w:line="600" w:lineRule="exact"/>
        <w:contextualSpacing/>
        <w:rPr>
          <w:rFonts w:ascii="宋体" w:hAnsi="宋体"/>
          <w:b/>
          <w:color w:val="auto"/>
          <w:sz w:val="36"/>
          <w:highlight w:val="none"/>
        </w:rPr>
      </w:pPr>
    </w:p>
    <w:p w14:paraId="28177D42">
      <w:pPr>
        <w:spacing w:line="600" w:lineRule="exact"/>
        <w:contextualSpacing/>
        <w:rPr>
          <w:rFonts w:ascii="宋体" w:hAnsi="宋体"/>
          <w:b/>
          <w:color w:val="auto"/>
          <w:sz w:val="36"/>
          <w:highlight w:val="none"/>
        </w:rPr>
      </w:pPr>
    </w:p>
    <w:p w14:paraId="658DC308">
      <w:pPr>
        <w:spacing w:line="600" w:lineRule="exact"/>
        <w:contextualSpacing/>
        <w:rPr>
          <w:rFonts w:ascii="宋体" w:hAnsi="宋体"/>
          <w:b/>
          <w:color w:val="auto"/>
          <w:sz w:val="36"/>
          <w:highlight w:val="none"/>
        </w:rPr>
      </w:pPr>
    </w:p>
    <w:p w14:paraId="6E9AA964">
      <w:pPr>
        <w:rPr>
          <w:rFonts w:ascii="宋体" w:hAnsi="宋体"/>
          <w:b/>
          <w:color w:val="auto"/>
          <w:sz w:val="32"/>
          <w:szCs w:val="32"/>
          <w:highlight w:val="none"/>
        </w:rPr>
      </w:pPr>
    </w:p>
    <w:p w14:paraId="4F2ADD08">
      <w:pPr>
        <w:keepNext/>
        <w:keepLines/>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asciiTheme="minorEastAsia" w:hAnsiTheme="minorEastAsia" w:eastAsiaTheme="minorEastAsia"/>
          <w:b w:val="0"/>
          <w:color w:val="auto"/>
          <w:sz w:val="32"/>
          <w:szCs w:val="32"/>
          <w:highlight w:val="none"/>
        </w:rPr>
      </w:pPr>
      <w:r>
        <w:rPr>
          <w:rFonts w:hint="eastAsia" w:ascii="宋体" w:hAnsi="宋体"/>
          <w:color w:val="auto"/>
          <w:sz w:val="32"/>
          <w:szCs w:val="32"/>
          <w:highlight w:val="none"/>
        </w:rPr>
        <w:br w:type="page" w:clear="all"/>
      </w:r>
      <w:r>
        <w:rPr>
          <w:rFonts w:hint="eastAsia" w:ascii="宋体" w:hAnsi="宋体" w:eastAsia="宋体" w:cs="宋体"/>
          <w:b/>
          <w:bCs/>
          <w:color w:val="auto"/>
          <w:sz w:val="36"/>
          <w:szCs w:val="36"/>
          <w:highlight w:val="none"/>
        </w:rPr>
        <w:t>一、资格审查响应对照表</w:t>
      </w:r>
    </w:p>
    <w:tbl>
      <w:tblPr>
        <w:tblStyle w:val="36"/>
        <w:tblW w:w="90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21"/>
        <w:gridCol w:w="5175"/>
        <w:gridCol w:w="1700"/>
        <w:gridCol w:w="1488"/>
      </w:tblGrid>
      <w:tr w14:paraId="0E198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646" w:type="dxa"/>
            <w:tcBorders>
              <w:top w:val="single" w:color="auto" w:sz="4" w:space="0"/>
              <w:left w:val="single" w:color="auto" w:sz="4" w:space="0"/>
              <w:bottom w:val="single" w:color="auto" w:sz="4" w:space="0"/>
              <w:right w:val="single" w:color="auto" w:sz="4" w:space="0"/>
            </w:tcBorders>
            <w:noWrap w:val="0"/>
            <w:vAlign w:val="center"/>
          </w:tcPr>
          <w:p w14:paraId="00857460">
            <w:pPr>
              <w:spacing w:line="240" w:lineRule="atLeast"/>
              <w:jc w:val="center"/>
              <w:rPr>
                <w:rFonts w:ascii="幼圆" w:eastAsia="幼圆"/>
                <w:b/>
                <w:color w:val="auto"/>
                <w:szCs w:val="21"/>
                <w:highlight w:val="none"/>
              </w:rPr>
            </w:pPr>
            <w:r>
              <w:rPr>
                <w:rFonts w:hint="eastAsia" w:ascii="幼圆" w:eastAsia="幼圆"/>
                <w:b/>
                <w:color w:val="auto"/>
                <w:szCs w:val="21"/>
                <w:highlight w:val="none"/>
              </w:rPr>
              <w:t>序号</w:t>
            </w:r>
          </w:p>
        </w:tc>
        <w:tc>
          <w:tcPr>
            <w:tcW w:w="5196" w:type="dxa"/>
            <w:gridSpan w:val="2"/>
            <w:tcBorders>
              <w:top w:val="single" w:color="auto" w:sz="4" w:space="0"/>
              <w:left w:val="single" w:color="auto" w:sz="4" w:space="0"/>
              <w:bottom w:val="single" w:color="auto" w:sz="4" w:space="0"/>
              <w:right w:val="single" w:color="auto" w:sz="4" w:space="0"/>
            </w:tcBorders>
            <w:noWrap w:val="0"/>
            <w:vAlign w:val="center"/>
          </w:tcPr>
          <w:p w14:paraId="4BDAD263">
            <w:pPr>
              <w:spacing w:line="240" w:lineRule="atLeast"/>
              <w:jc w:val="center"/>
              <w:rPr>
                <w:rFonts w:ascii="幼圆" w:eastAsia="幼圆"/>
                <w:b/>
                <w:color w:val="auto"/>
                <w:szCs w:val="21"/>
                <w:highlight w:val="none"/>
              </w:rPr>
            </w:pPr>
            <w:r>
              <w:rPr>
                <w:rFonts w:hint="eastAsia" w:ascii="幼圆" w:eastAsia="幼圆"/>
                <w:b/>
                <w:color w:val="auto"/>
                <w:szCs w:val="21"/>
                <w:highlight w:val="none"/>
              </w:rPr>
              <w:t>资格审查响应内容</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48A7D8FF">
            <w:pPr>
              <w:spacing w:line="240" w:lineRule="atLeast"/>
              <w:jc w:val="center"/>
              <w:rPr>
                <w:rFonts w:ascii="幼圆" w:eastAsia="幼圆"/>
                <w:b/>
                <w:color w:val="auto"/>
                <w:szCs w:val="21"/>
                <w:highlight w:val="none"/>
              </w:rPr>
            </w:pPr>
            <w:r>
              <w:rPr>
                <w:rFonts w:hint="eastAsia" w:ascii="幼圆" w:eastAsia="幼圆"/>
                <w:b/>
                <w:color w:val="auto"/>
                <w:szCs w:val="21"/>
                <w:highlight w:val="none"/>
              </w:rPr>
              <w:t>是否响应</w:t>
            </w:r>
          </w:p>
          <w:p w14:paraId="5914FEC2">
            <w:pPr>
              <w:spacing w:line="240" w:lineRule="atLeast"/>
              <w:jc w:val="center"/>
              <w:rPr>
                <w:rFonts w:ascii="幼圆" w:eastAsia="幼圆"/>
                <w:b/>
                <w:color w:val="auto"/>
                <w:szCs w:val="21"/>
                <w:highlight w:val="none"/>
              </w:rPr>
            </w:pPr>
            <w:r>
              <w:rPr>
                <w:rFonts w:hint="eastAsia" w:ascii="幼圆" w:eastAsia="幼圆"/>
                <w:b/>
                <w:color w:val="auto"/>
                <w:szCs w:val="21"/>
                <w:highlight w:val="none"/>
              </w:rPr>
              <w:t>（填是或者否）</w:t>
            </w:r>
          </w:p>
        </w:tc>
        <w:tc>
          <w:tcPr>
            <w:tcW w:w="1488" w:type="dxa"/>
            <w:tcBorders>
              <w:top w:val="single" w:color="auto" w:sz="4" w:space="0"/>
              <w:left w:val="single" w:color="auto" w:sz="4" w:space="0"/>
              <w:bottom w:val="single" w:color="auto" w:sz="4" w:space="0"/>
              <w:right w:val="single" w:color="auto" w:sz="4" w:space="0"/>
            </w:tcBorders>
            <w:noWrap w:val="0"/>
            <w:vAlign w:val="center"/>
          </w:tcPr>
          <w:p w14:paraId="463754A5">
            <w:pPr>
              <w:spacing w:line="240" w:lineRule="atLeast"/>
              <w:jc w:val="center"/>
              <w:rPr>
                <w:rFonts w:ascii="宋体" w:hAnsi="宋体"/>
                <w:b/>
                <w:color w:val="auto"/>
                <w:szCs w:val="21"/>
                <w:highlight w:val="none"/>
              </w:rPr>
            </w:pPr>
            <w:r>
              <w:rPr>
                <w:rFonts w:hint="eastAsia" w:ascii="宋体" w:hAnsi="宋体"/>
                <w:b/>
                <w:color w:val="auto"/>
                <w:szCs w:val="21"/>
                <w:highlight w:val="none"/>
              </w:rPr>
              <w:t>投标文件中的</w:t>
            </w:r>
          </w:p>
          <w:p w14:paraId="4351D380">
            <w:pPr>
              <w:spacing w:line="240" w:lineRule="atLeast"/>
              <w:jc w:val="center"/>
              <w:rPr>
                <w:rFonts w:ascii="幼圆" w:eastAsia="幼圆"/>
                <w:b/>
                <w:color w:val="auto"/>
                <w:szCs w:val="21"/>
                <w:highlight w:val="none"/>
              </w:rPr>
            </w:pPr>
            <w:r>
              <w:rPr>
                <w:rFonts w:hint="eastAsia" w:ascii="宋体" w:hAnsi="宋体"/>
                <w:b/>
                <w:color w:val="auto"/>
                <w:szCs w:val="21"/>
                <w:highlight w:val="none"/>
              </w:rPr>
              <w:t>页码位置</w:t>
            </w:r>
          </w:p>
        </w:tc>
      </w:tr>
      <w:tr w14:paraId="2F783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7542" w:type="dxa"/>
            <w:gridSpan w:val="4"/>
            <w:tcBorders>
              <w:top w:val="single" w:color="auto" w:sz="4" w:space="0"/>
              <w:left w:val="single" w:color="auto" w:sz="4" w:space="0"/>
              <w:bottom w:val="single" w:color="auto" w:sz="4" w:space="0"/>
              <w:right w:val="single" w:color="auto" w:sz="4" w:space="0"/>
            </w:tcBorders>
            <w:noWrap w:val="0"/>
            <w:vAlign w:val="center"/>
          </w:tcPr>
          <w:p w14:paraId="2705F81F">
            <w:pPr>
              <w:rPr>
                <w:rFonts w:ascii="宋体" w:hAnsi="宋体"/>
                <w:b/>
                <w:color w:val="auto"/>
                <w:szCs w:val="21"/>
                <w:highlight w:val="none"/>
              </w:rPr>
            </w:pPr>
            <w:r>
              <w:rPr>
                <w:rFonts w:hint="eastAsia" w:ascii="宋体" w:hAnsi="宋体"/>
                <w:b/>
                <w:color w:val="auto"/>
                <w:szCs w:val="21"/>
                <w:highlight w:val="none"/>
              </w:rPr>
              <w:t>通用资格条件</w:t>
            </w:r>
          </w:p>
        </w:tc>
        <w:tc>
          <w:tcPr>
            <w:tcW w:w="1488" w:type="dxa"/>
            <w:tcBorders>
              <w:top w:val="single" w:color="auto" w:sz="4" w:space="0"/>
              <w:left w:val="single" w:color="auto" w:sz="4" w:space="0"/>
              <w:bottom w:val="single" w:color="auto" w:sz="4" w:space="0"/>
              <w:right w:val="single" w:color="auto" w:sz="4" w:space="0"/>
            </w:tcBorders>
            <w:noWrap w:val="0"/>
            <w:vAlign w:val="center"/>
          </w:tcPr>
          <w:p w14:paraId="07977D3F">
            <w:pPr>
              <w:rPr>
                <w:rFonts w:ascii="宋体" w:hAnsi="宋体"/>
                <w:b/>
                <w:color w:val="auto"/>
                <w:szCs w:val="21"/>
                <w:highlight w:val="none"/>
              </w:rPr>
            </w:pPr>
          </w:p>
        </w:tc>
      </w:tr>
      <w:tr w14:paraId="0B1AC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646" w:type="dxa"/>
            <w:tcBorders>
              <w:top w:val="single" w:color="auto" w:sz="4" w:space="0"/>
              <w:left w:val="single" w:color="auto" w:sz="4" w:space="0"/>
              <w:bottom w:val="single" w:color="auto" w:sz="4" w:space="0"/>
              <w:right w:val="single" w:color="auto" w:sz="4" w:space="0"/>
            </w:tcBorders>
            <w:noWrap w:val="0"/>
            <w:vAlign w:val="center"/>
          </w:tcPr>
          <w:p w14:paraId="723861BC">
            <w:pPr>
              <w:jc w:val="center"/>
              <w:rPr>
                <w:rFonts w:ascii="宋体" w:hAnsi="宋体"/>
                <w:color w:val="auto"/>
                <w:szCs w:val="21"/>
                <w:highlight w:val="none"/>
              </w:rPr>
            </w:pPr>
            <w:r>
              <w:rPr>
                <w:rFonts w:hint="eastAsia" w:ascii="宋体" w:hAnsi="宋体"/>
                <w:color w:val="auto"/>
                <w:szCs w:val="21"/>
                <w:highlight w:val="none"/>
              </w:rPr>
              <w:t>1</w:t>
            </w:r>
          </w:p>
        </w:tc>
        <w:tc>
          <w:tcPr>
            <w:tcW w:w="5196" w:type="dxa"/>
            <w:gridSpan w:val="2"/>
            <w:tcBorders>
              <w:top w:val="single" w:color="auto" w:sz="4" w:space="0"/>
              <w:left w:val="single" w:color="auto" w:sz="4" w:space="0"/>
              <w:bottom w:val="single" w:color="auto" w:sz="4" w:space="0"/>
              <w:right w:val="single" w:color="auto" w:sz="4" w:space="0"/>
            </w:tcBorders>
            <w:noWrap w:val="0"/>
            <w:vAlign w:val="center"/>
          </w:tcPr>
          <w:p w14:paraId="372FCB07">
            <w:pPr>
              <w:spacing w:line="360" w:lineRule="auto"/>
              <w:rPr>
                <w:rFonts w:ascii="宋体" w:hAnsi="宋体" w:eastAsia="宋体" w:cs="Times New Roman"/>
                <w:i/>
                <w:iCs w:val="0"/>
                <w:color w:val="auto"/>
                <w:sz w:val="21"/>
                <w:szCs w:val="21"/>
                <w:highlight w:val="none"/>
                <w:u w:val="single"/>
                <w:lang w:val="en-US" w:eastAsia="zh-CN" w:bidi="ar-SA"/>
              </w:rPr>
            </w:pPr>
            <w:r>
              <w:rPr>
                <w:rFonts w:hint="eastAsia" w:ascii="宋体" w:hAnsi="宋体" w:cs="宋体"/>
                <w:i/>
                <w:iCs w:val="0"/>
                <w:color w:val="auto"/>
                <w:szCs w:val="21"/>
                <w:highlight w:val="none"/>
                <w:u w:val="single"/>
              </w:rPr>
              <w:t>法人或者其他组织的营业执照等证明文件，自然人的身份证明（身份证为正、反面）</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5382205B">
            <w:pPr>
              <w:rPr>
                <w:rFonts w:ascii="宋体" w:hAnsi="宋体"/>
                <w:b/>
                <w:color w:val="auto"/>
                <w:szCs w:val="21"/>
                <w:highlight w:val="none"/>
              </w:rPr>
            </w:pPr>
          </w:p>
        </w:tc>
        <w:tc>
          <w:tcPr>
            <w:tcW w:w="1488" w:type="dxa"/>
            <w:tcBorders>
              <w:top w:val="single" w:color="auto" w:sz="4" w:space="0"/>
              <w:left w:val="single" w:color="auto" w:sz="4" w:space="0"/>
              <w:bottom w:val="single" w:color="auto" w:sz="4" w:space="0"/>
              <w:right w:val="single" w:color="auto" w:sz="4" w:space="0"/>
            </w:tcBorders>
            <w:noWrap w:val="0"/>
            <w:vAlign w:val="center"/>
          </w:tcPr>
          <w:p w14:paraId="6DFD7B31">
            <w:pPr>
              <w:rPr>
                <w:rFonts w:ascii="宋体" w:hAnsi="宋体"/>
                <w:b/>
                <w:color w:val="auto"/>
                <w:szCs w:val="21"/>
                <w:highlight w:val="none"/>
              </w:rPr>
            </w:pPr>
          </w:p>
        </w:tc>
      </w:tr>
      <w:tr w14:paraId="1D687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646" w:type="dxa"/>
            <w:tcBorders>
              <w:top w:val="single" w:color="auto" w:sz="4" w:space="0"/>
              <w:left w:val="single" w:color="auto" w:sz="4" w:space="0"/>
              <w:bottom w:val="single" w:color="auto" w:sz="4" w:space="0"/>
              <w:right w:val="single" w:color="auto" w:sz="4" w:space="0"/>
            </w:tcBorders>
            <w:noWrap w:val="0"/>
            <w:vAlign w:val="center"/>
          </w:tcPr>
          <w:p w14:paraId="36D10A1B">
            <w:pPr>
              <w:jc w:val="center"/>
              <w:rPr>
                <w:rFonts w:ascii="宋体" w:hAnsi="宋体"/>
                <w:color w:val="auto"/>
                <w:szCs w:val="21"/>
                <w:highlight w:val="none"/>
              </w:rPr>
            </w:pPr>
            <w:r>
              <w:rPr>
                <w:rFonts w:hint="eastAsia" w:ascii="宋体" w:hAnsi="宋体"/>
                <w:color w:val="auto"/>
                <w:szCs w:val="21"/>
                <w:highlight w:val="none"/>
              </w:rPr>
              <w:t>2</w:t>
            </w:r>
          </w:p>
        </w:tc>
        <w:tc>
          <w:tcPr>
            <w:tcW w:w="5196" w:type="dxa"/>
            <w:gridSpan w:val="2"/>
            <w:tcBorders>
              <w:top w:val="single" w:color="auto" w:sz="4" w:space="0"/>
              <w:left w:val="single" w:color="auto" w:sz="4" w:space="0"/>
              <w:bottom w:val="single" w:color="auto" w:sz="4" w:space="0"/>
              <w:right w:val="single" w:color="auto" w:sz="4" w:space="0"/>
            </w:tcBorders>
            <w:noWrap w:val="0"/>
            <w:vAlign w:val="center"/>
          </w:tcPr>
          <w:p w14:paraId="27A7A131">
            <w:pPr>
              <w:spacing w:line="360" w:lineRule="auto"/>
              <w:rPr>
                <w:rFonts w:ascii="宋体" w:hAnsi="宋体" w:eastAsia="宋体" w:cs="宋体"/>
                <w:b/>
                <w:bCs/>
                <w:i/>
                <w:iCs w:val="0"/>
                <w:color w:val="auto"/>
                <w:sz w:val="21"/>
                <w:szCs w:val="21"/>
                <w:highlight w:val="none"/>
                <w:u w:val="single"/>
                <w:lang w:val="en-US" w:eastAsia="zh-CN" w:bidi="ar-SA"/>
              </w:rPr>
            </w:pPr>
            <w:r>
              <w:rPr>
                <w:rFonts w:hint="eastAsia" w:ascii="宋体" w:hAnsi="宋体" w:cs="宋体"/>
                <w:i/>
                <w:iCs w:val="0"/>
                <w:color w:val="auto"/>
                <w:szCs w:val="21"/>
                <w:highlight w:val="none"/>
                <w:u w:val="single"/>
              </w:rPr>
              <w:t>依法缴纳职工社会保障资金的证明材料</w:t>
            </w:r>
            <w:r>
              <w:rPr>
                <w:rFonts w:hint="eastAsia" w:ascii="宋体" w:hAnsi="宋体" w:cs="宋体"/>
                <w:b/>
                <w:bCs/>
                <w:i/>
                <w:iCs w:val="0"/>
                <w:color w:val="auto"/>
                <w:szCs w:val="21"/>
                <w:highlight w:val="none"/>
                <w:u w:val="single"/>
              </w:rPr>
              <w:t>（可提供“基本资格条件承诺函”）</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4845E29A">
            <w:pPr>
              <w:rPr>
                <w:rFonts w:ascii="宋体" w:hAnsi="宋体"/>
                <w:b/>
                <w:color w:val="auto"/>
                <w:szCs w:val="21"/>
                <w:highlight w:val="none"/>
              </w:rPr>
            </w:pPr>
          </w:p>
        </w:tc>
        <w:tc>
          <w:tcPr>
            <w:tcW w:w="1488" w:type="dxa"/>
            <w:tcBorders>
              <w:top w:val="single" w:color="auto" w:sz="4" w:space="0"/>
              <w:left w:val="single" w:color="auto" w:sz="4" w:space="0"/>
              <w:bottom w:val="single" w:color="auto" w:sz="4" w:space="0"/>
              <w:right w:val="single" w:color="auto" w:sz="4" w:space="0"/>
            </w:tcBorders>
            <w:noWrap w:val="0"/>
            <w:vAlign w:val="center"/>
          </w:tcPr>
          <w:p w14:paraId="5BABD2CB">
            <w:pPr>
              <w:rPr>
                <w:rFonts w:ascii="宋体" w:hAnsi="宋体"/>
                <w:b/>
                <w:color w:val="auto"/>
                <w:szCs w:val="21"/>
                <w:highlight w:val="none"/>
              </w:rPr>
            </w:pPr>
          </w:p>
        </w:tc>
      </w:tr>
      <w:tr w14:paraId="38B14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646" w:type="dxa"/>
            <w:tcBorders>
              <w:top w:val="single" w:color="auto" w:sz="4" w:space="0"/>
              <w:left w:val="single" w:color="auto" w:sz="4" w:space="0"/>
              <w:bottom w:val="single" w:color="auto" w:sz="4" w:space="0"/>
              <w:right w:val="single" w:color="auto" w:sz="4" w:space="0"/>
            </w:tcBorders>
            <w:noWrap w:val="0"/>
            <w:vAlign w:val="center"/>
          </w:tcPr>
          <w:p w14:paraId="6F03367D">
            <w:pPr>
              <w:jc w:val="center"/>
              <w:rPr>
                <w:rFonts w:ascii="宋体" w:hAnsi="宋体"/>
                <w:color w:val="auto"/>
                <w:szCs w:val="21"/>
                <w:highlight w:val="none"/>
              </w:rPr>
            </w:pPr>
            <w:r>
              <w:rPr>
                <w:rFonts w:hint="eastAsia" w:ascii="宋体" w:hAnsi="宋体"/>
                <w:color w:val="auto"/>
                <w:szCs w:val="21"/>
                <w:highlight w:val="none"/>
              </w:rPr>
              <w:t>3</w:t>
            </w:r>
          </w:p>
        </w:tc>
        <w:tc>
          <w:tcPr>
            <w:tcW w:w="5196" w:type="dxa"/>
            <w:gridSpan w:val="2"/>
            <w:tcBorders>
              <w:top w:val="single" w:color="auto" w:sz="4" w:space="0"/>
              <w:left w:val="single" w:color="auto" w:sz="4" w:space="0"/>
              <w:bottom w:val="single" w:color="auto" w:sz="4" w:space="0"/>
              <w:right w:val="single" w:color="auto" w:sz="4" w:space="0"/>
            </w:tcBorders>
            <w:noWrap w:val="0"/>
            <w:vAlign w:val="center"/>
          </w:tcPr>
          <w:p w14:paraId="6A3991CE">
            <w:pPr>
              <w:spacing w:line="360" w:lineRule="auto"/>
              <w:rPr>
                <w:rFonts w:ascii="宋体" w:hAnsi="宋体" w:eastAsia="宋体" w:cs="Times New Roman"/>
                <w:i/>
                <w:iCs w:val="0"/>
                <w:color w:val="auto"/>
                <w:sz w:val="21"/>
                <w:szCs w:val="21"/>
                <w:highlight w:val="none"/>
                <w:u w:val="single"/>
                <w:lang w:val="en-US" w:eastAsia="zh-CN" w:bidi="ar-SA"/>
              </w:rPr>
            </w:pPr>
            <w:r>
              <w:rPr>
                <w:rFonts w:hint="eastAsia" w:ascii="宋体" w:hAnsi="宋体" w:cs="宋体"/>
                <w:i/>
                <w:iCs w:val="0"/>
                <w:color w:val="auto"/>
                <w:szCs w:val="21"/>
                <w:highlight w:val="none"/>
                <w:u w:val="single"/>
                <w:lang w:eastAsia="zh-CN"/>
              </w:rPr>
              <w:t>供应商</w:t>
            </w:r>
            <w:r>
              <w:rPr>
                <w:rFonts w:hint="eastAsia" w:ascii="宋体" w:hAnsi="宋体" w:cs="宋体"/>
                <w:i/>
                <w:iCs w:val="0"/>
                <w:color w:val="auto"/>
                <w:szCs w:val="21"/>
                <w:highlight w:val="none"/>
                <w:u w:val="single"/>
              </w:rPr>
              <w:t>依法纳税的缴款凭证</w:t>
            </w:r>
            <w:r>
              <w:rPr>
                <w:rFonts w:hint="eastAsia" w:ascii="宋体" w:hAnsi="宋体" w:cs="宋体"/>
                <w:b/>
                <w:bCs/>
                <w:i/>
                <w:iCs w:val="0"/>
                <w:color w:val="auto"/>
                <w:szCs w:val="21"/>
                <w:highlight w:val="none"/>
                <w:u w:val="single"/>
              </w:rPr>
              <w:t>（可提供“基本资格条件承诺函”）</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76711D41">
            <w:pPr>
              <w:rPr>
                <w:rFonts w:ascii="宋体" w:hAnsi="宋体"/>
                <w:b/>
                <w:color w:val="auto"/>
                <w:szCs w:val="21"/>
                <w:highlight w:val="none"/>
              </w:rPr>
            </w:pPr>
          </w:p>
        </w:tc>
        <w:tc>
          <w:tcPr>
            <w:tcW w:w="1488" w:type="dxa"/>
            <w:tcBorders>
              <w:top w:val="single" w:color="auto" w:sz="4" w:space="0"/>
              <w:left w:val="single" w:color="auto" w:sz="4" w:space="0"/>
              <w:bottom w:val="single" w:color="auto" w:sz="4" w:space="0"/>
              <w:right w:val="single" w:color="auto" w:sz="4" w:space="0"/>
            </w:tcBorders>
            <w:noWrap w:val="0"/>
            <w:vAlign w:val="center"/>
          </w:tcPr>
          <w:p w14:paraId="17AA41E1">
            <w:pPr>
              <w:rPr>
                <w:rFonts w:ascii="宋体" w:hAnsi="宋体"/>
                <w:b/>
                <w:color w:val="auto"/>
                <w:szCs w:val="21"/>
                <w:highlight w:val="none"/>
              </w:rPr>
            </w:pPr>
          </w:p>
        </w:tc>
      </w:tr>
      <w:tr w14:paraId="60889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646" w:type="dxa"/>
            <w:tcBorders>
              <w:top w:val="single" w:color="auto" w:sz="4" w:space="0"/>
              <w:left w:val="single" w:color="auto" w:sz="4" w:space="0"/>
              <w:bottom w:val="single" w:color="auto" w:sz="4" w:space="0"/>
              <w:right w:val="single" w:color="auto" w:sz="4" w:space="0"/>
            </w:tcBorders>
            <w:noWrap w:val="0"/>
            <w:vAlign w:val="center"/>
          </w:tcPr>
          <w:p w14:paraId="2836548A">
            <w:pPr>
              <w:jc w:val="center"/>
              <w:rPr>
                <w:rFonts w:ascii="宋体" w:hAnsi="宋体"/>
                <w:color w:val="auto"/>
                <w:szCs w:val="21"/>
                <w:highlight w:val="none"/>
              </w:rPr>
            </w:pPr>
            <w:r>
              <w:rPr>
                <w:rFonts w:hint="eastAsia" w:ascii="宋体" w:hAnsi="宋体"/>
                <w:color w:val="auto"/>
                <w:szCs w:val="21"/>
                <w:highlight w:val="none"/>
              </w:rPr>
              <w:t>4</w:t>
            </w:r>
          </w:p>
        </w:tc>
        <w:tc>
          <w:tcPr>
            <w:tcW w:w="5196" w:type="dxa"/>
            <w:gridSpan w:val="2"/>
            <w:tcBorders>
              <w:top w:val="single" w:color="auto" w:sz="4" w:space="0"/>
              <w:left w:val="single" w:color="auto" w:sz="4" w:space="0"/>
              <w:bottom w:val="single" w:color="auto" w:sz="4" w:space="0"/>
              <w:right w:val="single" w:color="auto" w:sz="4" w:space="0"/>
            </w:tcBorders>
            <w:noWrap w:val="0"/>
            <w:vAlign w:val="center"/>
          </w:tcPr>
          <w:p w14:paraId="040DE67F">
            <w:pPr>
              <w:spacing w:line="360" w:lineRule="auto"/>
              <w:rPr>
                <w:rFonts w:ascii="宋体" w:hAnsi="宋体" w:eastAsia="宋体" w:cs="宋体"/>
                <w:b/>
                <w:bCs/>
                <w:i/>
                <w:iCs w:val="0"/>
                <w:color w:val="auto"/>
                <w:sz w:val="21"/>
                <w:szCs w:val="21"/>
                <w:highlight w:val="none"/>
                <w:u w:val="single"/>
                <w:lang w:val="en-US" w:eastAsia="zh-CN" w:bidi="ar-SA"/>
              </w:rPr>
            </w:pPr>
            <w:r>
              <w:rPr>
                <w:rFonts w:hint="eastAsia" w:ascii="宋体" w:hAnsi="宋体" w:cs="宋体"/>
                <w:i/>
                <w:iCs w:val="0"/>
                <w:color w:val="auto"/>
                <w:szCs w:val="21"/>
                <w:highlight w:val="none"/>
                <w:u w:val="single"/>
              </w:rPr>
              <w:t>上一年度的财务报告情况</w:t>
            </w:r>
            <w:r>
              <w:rPr>
                <w:rFonts w:hint="eastAsia" w:ascii="宋体" w:hAnsi="宋体" w:cs="宋体"/>
                <w:i/>
                <w:iCs w:val="0"/>
                <w:color w:val="auto"/>
                <w:szCs w:val="21"/>
                <w:highlight w:val="none"/>
                <w:u w:val="single"/>
                <w:lang w:val="en-US" w:eastAsia="zh-CN"/>
              </w:rPr>
              <w:t>(成立不满一年无需提供)</w:t>
            </w:r>
            <w:r>
              <w:rPr>
                <w:rFonts w:hint="eastAsia" w:ascii="宋体" w:hAnsi="宋体" w:cs="宋体"/>
                <w:b/>
                <w:bCs/>
                <w:i/>
                <w:iCs w:val="0"/>
                <w:color w:val="auto"/>
                <w:szCs w:val="21"/>
                <w:highlight w:val="none"/>
                <w:u w:val="single"/>
              </w:rPr>
              <w:t>（可提供“基本资格条件承诺函”）</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05E48990">
            <w:pPr>
              <w:rPr>
                <w:rFonts w:ascii="宋体" w:hAnsi="宋体"/>
                <w:b/>
                <w:color w:val="auto"/>
                <w:szCs w:val="21"/>
                <w:highlight w:val="none"/>
              </w:rPr>
            </w:pPr>
          </w:p>
        </w:tc>
        <w:tc>
          <w:tcPr>
            <w:tcW w:w="1488" w:type="dxa"/>
            <w:tcBorders>
              <w:top w:val="single" w:color="auto" w:sz="4" w:space="0"/>
              <w:left w:val="single" w:color="auto" w:sz="4" w:space="0"/>
              <w:bottom w:val="single" w:color="auto" w:sz="4" w:space="0"/>
              <w:right w:val="single" w:color="auto" w:sz="4" w:space="0"/>
            </w:tcBorders>
            <w:noWrap w:val="0"/>
            <w:vAlign w:val="center"/>
          </w:tcPr>
          <w:p w14:paraId="79EB02CB">
            <w:pPr>
              <w:rPr>
                <w:rFonts w:ascii="宋体" w:hAnsi="宋体"/>
                <w:b/>
                <w:color w:val="auto"/>
                <w:szCs w:val="21"/>
                <w:highlight w:val="none"/>
              </w:rPr>
            </w:pPr>
          </w:p>
        </w:tc>
      </w:tr>
      <w:tr w14:paraId="3D9AC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46" w:type="dxa"/>
            <w:tcBorders>
              <w:top w:val="single" w:color="auto" w:sz="4" w:space="0"/>
              <w:left w:val="single" w:color="auto" w:sz="4" w:space="0"/>
              <w:bottom w:val="single" w:color="auto" w:sz="4" w:space="0"/>
              <w:right w:val="single" w:color="auto" w:sz="4" w:space="0"/>
            </w:tcBorders>
            <w:noWrap w:val="0"/>
            <w:vAlign w:val="center"/>
          </w:tcPr>
          <w:p w14:paraId="2CD496CA">
            <w:pPr>
              <w:jc w:val="center"/>
              <w:rPr>
                <w:rFonts w:ascii="宋体" w:hAnsi="宋体"/>
                <w:color w:val="auto"/>
                <w:szCs w:val="21"/>
                <w:highlight w:val="none"/>
              </w:rPr>
            </w:pPr>
            <w:r>
              <w:rPr>
                <w:rFonts w:hint="eastAsia" w:ascii="宋体" w:hAnsi="宋体"/>
                <w:color w:val="auto"/>
                <w:szCs w:val="21"/>
                <w:highlight w:val="none"/>
              </w:rPr>
              <w:t>5</w:t>
            </w:r>
          </w:p>
        </w:tc>
        <w:tc>
          <w:tcPr>
            <w:tcW w:w="5196" w:type="dxa"/>
            <w:gridSpan w:val="2"/>
            <w:tcBorders>
              <w:top w:val="single" w:color="auto" w:sz="4" w:space="0"/>
              <w:left w:val="single" w:color="auto" w:sz="4" w:space="0"/>
              <w:bottom w:val="single" w:color="auto" w:sz="4" w:space="0"/>
              <w:right w:val="single" w:color="auto" w:sz="4" w:space="0"/>
            </w:tcBorders>
            <w:noWrap w:val="0"/>
            <w:vAlign w:val="center"/>
          </w:tcPr>
          <w:p w14:paraId="7145E574">
            <w:pPr>
              <w:spacing w:line="360" w:lineRule="auto"/>
              <w:rPr>
                <w:rFonts w:ascii="宋体" w:hAnsi="宋体" w:eastAsia="宋体" w:cs="宋体"/>
                <w:i/>
                <w:iCs w:val="0"/>
                <w:color w:val="auto"/>
                <w:sz w:val="21"/>
                <w:szCs w:val="21"/>
                <w:highlight w:val="none"/>
                <w:u w:val="single"/>
                <w:lang w:val="en-US" w:eastAsia="zh-CN" w:bidi="ar-SA"/>
              </w:rPr>
            </w:pPr>
            <w:r>
              <w:rPr>
                <w:rFonts w:hint="eastAsia" w:ascii="宋体" w:hAnsi="宋体" w:cs="宋体"/>
                <w:i/>
                <w:iCs w:val="0"/>
                <w:color w:val="auto"/>
                <w:szCs w:val="21"/>
                <w:highlight w:val="none"/>
                <w:u w:val="single"/>
              </w:rPr>
              <w:t>具备履行合同所必需的设备和专业技术能力的证明材料</w:t>
            </w:r>
            <w:r>
              <w:rPr>
                <w:rFonts w:hint="eastAsia" w:ascii="宋体" w:hAnsi="宋体" w:cs="宋体"/>
                <w:b/>
                <w:bCs/>
                <w:i/>
                <w:iCs w:val="0"/>
                <w:color w:val="auto"/>
                <w:szCs w:val="21"/>
                <w:highlight w:val="none"/>
                <w:u w:val="single"/>
              </w:rPr>
              <w:t>（可提供“基本资格条件承诺函”）</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2A5B2CC3">
            <w:pPr>
              <w:rPr>
                <w:rFonts w:ascii="宋体" w:hAnsi="宋体"/>
                <w:color w:val="auto"/>
                <w:szCs w:val="21"/>
                <w:highlight w:val="none"/>
              </w:rPr>
            </w:pPr>
          </w:p>
        </w:tc>
        <w:tc>
          <w:tcPr>
            <w:tcW w:w="1488" w:type="dxa"/>
            <w:tcBorders>
              <w:top w:val="single" w:color="auto" w:sz="4" w:space="0"/>
              <w:left w:val="single" w:color="auto" w:sz="4" w:space="0"/>
              <w:bottom w:val="single" w:color="auto" w:sz="4" w:space="0"/>
              <w:right w:val="single" w:color="auto" w:sz="4" w:space="0"/>
            </w:tcBorders>
            <w:noWrap w:val="0"/>
            <w:vAlign w:val="center"/>
          </w:tcPr>
          <w:p w14:paraId="5BD273D8">
            <w:pPr>
              <w:rPr>
                <w:rFonts w:ascii="宋体" w:hAnsi="宋体"/>
                <w:color w:val="auto"/>
                <w:szCs w:val="21"/>
                <w:highlight w:val="none"/>
              </w:rPr>
            </w:pPr>
          </w:p>
        </w:tc>
      </w:tr>
      <w:tr w14:paraId="1DC3C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46" w:type="dxa"/>
            <w:tcBorders>
              <w:top w:val="single" w:color="auto" w:sz="4" w:space="0"/>
              <w:left w:val="single" w:color="auto" w:sz="4" w:space="0"/>
              <w:bottom w:val="single" w:color="auto" w:sz="4" w:space="0"/>
              <w:right w:val="single" w:color="auto" w:sz="4" w:space="0"/>
            </w:tcBorders>
            <w:noWrap w:val="0"/>
            <w:vAlign w:val="center"/>
          </w:tcPr>
          <w:p w14:paraId="64AC557F">
            <w:pPr>
              <w:jc w:val="center"/>
              <w:rPr>
                <w:rFonts w:ascii="宋体" w:hAnsi="宋体"/>
                <w:color w:val="auto"/>
                <w:szCs w:val="21"/>
                <w:highlight w:val="none"/>
              </w:rPr>
            </w:pPr>
            <w:r>
              <w:rPr>
                <w:rFonts w:hint="eastAsia" w:ascii="宋体" w:hAnsi="宋体"/>
                <w:color w:val="auto"/>
                <w:szCs w:val="21"/>
                <w:highlight w:val="none"/>
              </w:rPr>
              <w:t>6</w:t>
            </w:r>
          </w:p>
        </w:tc>
        <w:tc>
          <w:tcPr>
            <w:tcW w:w="5196" w:type="dxa"/>
            <w:gridSpan w:val="2"/>
            <w:tcBorders>
              <w:top w:val="single" w:color="auto" w:sz="4" w:space="0"/>
              <w:left w:val="single" w:color="auto" w:sz="4" w:space="0"/>
              <w:bottom w:val="single" w:color="auto" w:sz="4" w:space="0"/>
              <w:right w:val="single" w:color="auto" w:sz="4" w:space="0"/>
            </w:tcBorders>
            <w:noWrap w:val="0"/>
            <w:vAlign w:val="center"/>
          </w:tcPr>
          <w:p w14:paraId="69386BE2">
            <w:pPr>
              <w:spacing w:line="360" w:lineRule="auto"/>
              <w:rPr>
                <w:rFonts w:ascii="宋体" w:hAnsi="宋体" w:eastAsia="宋体" w:cs="宋体"/>
                <w:i/>
                <w:iCs w:val="0"/>
                <w:color w:val="auto"/>
                <w:sz w:val="21"/>
                <w:szCs w:val="21"/>
                <w:highlight w:val="none"/>
                <w:u w:val="single"/>
                <w:lang w:val="en-US" w:eastAsia="zh-CN" w:bidi="ar-SA"/>
              </w:rPr>
            </w:pPr>
            <w:r>
              <w:rPr>
                <w:rFonts w:hint="eastAsia" w:ascii="宋体" w:hAnsi="宋体"/>
                <w:i/>
                <w:color w:val="auto"/>
                <w:highlight w:val="none"/>
                <w:u w:val="single"/>
              </w:rPr>
              <w:t>投标人参加本次政府采购活动前3年内在经营活动中没有重大违法记录的书面声明</w:t>
            </w:r>
            <w:r>
              <w:rPr>
                <w:rFonts w:hint="eastAsia" w:ascii="宋体" w:hAnsi="宋体" w:cs="宋体"/>
                <w:b/>
                <w:bCs/>
                <w:i/>
                <w:iCs/>
                <w:color w:val="auto"/>
                <w:szCs w:val="21"/>
                <w:highlight w:val="none"/>
                <w:u w:val="single"/>
              </w:rPr>
              <w:t>（可提供“基本资格条件承诺函”）</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75B0C68A">
            <w:pPr>
              <w:rPr>
                <w:rFonts w:ascii="宋体" w:hAnsi="宋体"/>
                <w:color w:val="auto"/>
                <w:szCs w:val="21"/>
                <w:highlight w:val="none"/>
              </w:rPr>
            </w:pPr>
          </w:p>
        </w:tc>
        <w:tc>
          <w:tcPr>
            <w:tcW w:w="1488" w:type="dxa"/>
            <w:tcBorders>
              <w:top w:val="single" w:color="auto" w:sz="4" w:space="0"/>
              <w:left w:val="single" w:color="auto" w:sz="4" w:space="0"/>
              <w:bottom w:val="single" w:color="auto" w:sz="4" w:space="0"/>
              <w:right w:val="single" w:color="auto" w:sz="4" w:space="0"/>
            </w:tcBorders>
            <w:noWrap w:val="0"/>
            <w:vAlign w:val="center"/>
          </w:tcPr>
          <w:p w14:paraId="62ECFED5">
            <w:pPr>
              <w:rPr>
                <w:rFonts w:ascii="宋体" w:hAnsi="宋体"/>
                <w:color w:val="auto"/>
                <w:szCs w:val="21"/>
                <w:highlight w:val="none"/>
              </w:rPr>
            </w:pPr>
          </w:p>
        </w:tc>
      </w:tr>
      <w:tr w14:paraId="69C0F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646" w:type="dxa"/>
            <w:tcBorders>
              <w:top w:val="single" w:color="auto" w:sz="4" w:space="0"/>
              <w:left w:val="single" w:color="auto" w:sz="4" w:space="0"/>
              <w:bottom w:val="single" w:color="auto" w:sz="4" w:space="0"/>
              <w:right w:val="single" w:color="auto" w:sz="4" w:space="0"/>
            </w:tcBorders>
            <w:noWrap w:val="0"/>
            <w:vAlign w:val="center"/>
          </w:tcPr>
          <w:p w14:paraId="210B0E72">
            <w:pPr>
              <w:jc w:val="center"/>
              <w:rPr>
                <w:rFonts w:ascii="宋体" w:hAnsi="宋体"/>
                <w:color w:val="auto"/>
                <w:szCs w:val="21"/>
                <w:highlight w:val="none"/>
              </w:rPr>
            </w:pPr>
            <w:r>
              <w:rPr>
                <w:rFonts w:hint="eastAsia" w:ascii="宋体" w:hAnsi="宋体"/>
                <w:color w:val="auto"/>
                <w:szCs w:val="21"/>
                <w:highlight w:val="none"/>
              </w:rPr>
              <w:t>7</w:t>
            </w:r>
          </w:p>
        </w:tc>
        <w:tc>
          <w:tcPr>
            <w:tcW w:w="5196" w:type="dxa"/>
            <w:gridSpan w:val="2"/>
            <w:tcBorders>
              <w:top w:val="single" w:color="auto" w:sz="4" w:space="0"/>
              <w:left w:val="single" w:color="auto" w:sz="4" w:space="0"/>
              <w:bottom w:val="single" w:color="auto" w:sz="4" w:space="0"/>
              <w:right w:val="single" w:color="auto" w:sz="4" w:space="0"/>
            </w:tcBorders>
            <w:noWrap w:val="0"/>
            <w:vAlign w:val="center"/>
          </w:tcPr>
          <w:p w14:paraId="67770E4D">
            <w:pPr>
              <w:spacing w:line="360" w:lineRule="auto"/>
              <w:rPr>
                <w:rFonts w:ascii="宋体" w:hAnsi="宋体" w:eastAsia="宋体" w:cs="宋体"/>
                <w:b/>
                <w:bCs/>
                <w:i/>
                <w:iCs w:val="0"/>
                <w:color w:val="auto"/>
                <w:sz w:val="21"/>
                <w:szCs w:val="21"/>
                <w:highlight w:val="none"/>
                <w:u w:val="single"/>
                <w:lang w:val="en-US" w:eastAsia="zh-CN" w:bidi="ar-SA"/>
              </w:rPr>
            </w:pPr>
            <w:r>
              <w:rPr>
                <w:rFonts w:hint="eastAsia" w:ascii="宋体" w:hAnsi="宋体" w:cs="宋体"/>
                <w:i/>
                <w:iCs/>
                <w:color w:val="auto"/>
                <w:szCs w:val="21"/>
                <w:highlight w:val="none"/>
                <w:u w:val="single"/>
              </w:rPr>
              <w:t>未被“信用中国”网站、“中国政府采购网”列入失信被执行人、重大税收违法案件当事人名单、政府采购严重违法失信行为记录名单</w:t>
            </w:r>
            <w:r>
              <w:rPr>
                <w:rFonts w:hint="eastAsia" w:ascii="宋体" w:hAnsi="宋体" w:cs="宋体"/>
                <w:b/>
                <w:bCs/>
                <w:i/>
                <w:iCs/>
                <w:color w:val="auto"/>
                <w:szCs w:val="21"/>
                <w:highlight w:val="none"/>
                <w:u w:val="single"/>
              </w:rPr>
              <w:t>（可提供“基本资格条件承诺函”）</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71F3D482">
            <w:pPr>
              <w:rPr>
                <w:rFonts w:ascii="宋体" w:hAnsi="宋体"/>
                <w:color w:val="auto"/>
                <w:szCs w:val="21"/>
                <w:highlight w:val="none"/>
              </w:rPr>
            </w:pPr>
          </w:p>
        </w:tc>
        <w:tc>
          <w:tcPr>
            <w:tcW w:w="1488" w:type="dxa"/>
            <w:tcBorders>
              <w:top w:val="single" w:color="auto" w:sz="4" w:space="0"/>
              <w:left w:val="single" w:color="auto" w:sz="4" w:space="0"/>
              <w:bottom w:val="single" w:color="auto" w:sz="4" w:space="0"/>
              <w:right w:val="single" w:color="auto" w:sz="4" w:space="0"/>
            </w:tcBorders>
            <w:noWrap w:val="0"/>
            <w:vAlign w:val="center"/>
          </w:tcPr>
          <w:p w14:paraId="4F2F6331">
            <w:pPr>
              <w:rPr>
                <w:rFonts w:ascii="宋体" w:hAnsi="宋体"/>
                <w:color w:val="auto"/>
                <w:szCs w:val="21"/>
                <w:highlight w:val="none"/>
              </w:rPr>
            </w:pPr>
          </w:p>
        </w:tc>
      </w:tr>
      <w:tr w14:paraId="09D77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6" w:type="dxa"/>
            <w:tcBorders>
              <w:top w:val="single" w:color="auto" w:sz="4" w:space="0"/>
              <w:left w:val="single" w:color="auto" w:sz="4" w:space="0"/>
              <w:bottom w:val="single" w:color="auto" w:sz="4" w:space="0"/>
              <w:right w:val="single" w:color="auto" w:sz="4" w:space="0"/>
            </w:tcBorders>
            <w:noWrap w:val="0"/>
            <w:vAlign w:val="center"/>
          </w:tcPr>
          <w:p w14:paraId="5EAD6F2A">
            <w:pPr>
              <w:jc w:val="center"/>
              <w:rPr>
                <w:rFonts w:ascii="宋体" w:hAnsi="宋体"/>
                <w:color w:val="auto"/>
                <w:szCs w:val="21"/>
                <w:highlight w:val="none"/>
              </w:rPr>
            </w:pPr>
            <w:r>
              <w:rPr>
                <w:rFonts w:hint="eastAsia" w:ascii="宋体" w:hAnsi="宋体"/>
                <w:color w:val="auto"/>
                <w:szCs w:val="21"/>
                <w:highlight w:val="none"/>
              </w:rPr>
              <w:t>8</w:t>
            </w:r>
          </w:p>
        </w:tc>
        <w:tc>
          <w:tcPr>
            <w:tcW w:w="5196" w:type="dxa"/>
            <w:gridSpan w:val="2"/>
            <w:tcBorders>
              <w:top w:val="single" w:color="auto" w:sz="4" w:space="0"/>
              <w:left w:val="single" w:color="auto" w:sz="4" w:space="0"/>
              <w:bottom w:val="single" w:color="auto" w:sz="4" w:space="0"/>
              <w:right w:val="single" w:color="auto" w:sz="4" w:space="0"/>
            </w:tcBorders>
            <w:noWrap w:val="0"/>
            <w:vAlign w:val="center"/>
          </w:tcPr>
          <w:p w14:paraId="213A1D50">
            <w:pPr>
              <w:spacing w:line="360" w:lineRule="auto"/>
              <w:rPr>
                <w:rFonts w:ascii="宋体" w:hAnsi="宋体" w:cs="宋体"/>
                <w:i/>
                <w:iCs w:val="0"/>
                <w:color w:val="auto"/>
                <w:szCs w:val="21"/>
                <w:highlight w:val="none"/>
                <w:u w:val="single"/>
              </w:rPr>
            </w:pPr>
            <w:r>
              <w:rPr>
                <w:rFonts w:hint="eastAsia" w:ascii="宋体" w:hAnsi="宋体" w:cs="宋体"/>
                <w:i/>
                <w:iCs w:val="0"/>
                <w:color w:val="auto"/>
                <w:szCs w:val="21"/>
                <w:highlight w:val="none"/>
                <w:u w:val="single"/>
              </w:rPr>
              <w:t>供应商信用承诺函</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5226745D">
            <w:pPr>
              <w:rPr>
                <w:rFonts w:ascii="宋体" w:hAnsi="宋体"/>
                <w:color w:val="auto"/>
                <w:szCs w:val="21"/>
                <w:highlight w:val="none"/>
              </w:rPr>
            </w:pPr>
          </w:p>
        </w:tc>
        <w:tc>
          <w:tcPr>
            <w:tcW w:w="1488" w:type="dxa"/>
            <w:tcBorders>
              <w:top w:val="single" w:color="auto" w:sz="4" w:space="0"/>
              <w:left w:val="single" w:color="auto" w:sz="4" w:space="0"/>
              <w:bottom w:val="single" w:color="auto" w:sz="4" w:space="0"/>
              <w:right w:val="single" w:color="auto" w:sz="4" w:space="0"/>
            </w:tcBorders>
            <w:noWrap w:val="0"/>
            <w:vAlign w:val="center"/>
          </w:tcPr>
          <w:p w14:paraId="012B96F4">
            <w:pPr>
              <w:rPr>
                <w:rFonts w:ascii="宋体" w:hAnsi="宋体"/>
                <w:color w:val="auto"/>
                <w:szCs w:val="21"/>
                <w:highlight w:val="none"/>
              </w:rPr>
            </w:pPr>
          </w:p>
        </w:tc>
      </w:tr>
      <w:tr w14:paraId="6E3B3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42" w:type="dxa"/>
            <w:gridSpan w:val="4"/>
            <w:tcBorders>
              <w:top w:val="single" w:color="auto" w:sz="4" w:space="0"/>
              <w:left w:val="single" w:color="auto" w:sz="4" w:space="0"/>
              <w:bottom w:val="single" w:color="auto" w:sz="4" w:space="0"/>
              <w:right w:val="single" w:color="auto" w:sz="4" w:space="0"/>
            </w:tcBorders>
            <w:noWrap w:val="0"/>
            <w:vAlign w:val="center"/>
          </w:tcPr>
          <w:p w14:paraId="5FFE4311">
            <w:pPr>
              <w:rPr>
                <w:rFonts w:ascii="宋体" w:hAnsi="宋体"/>
                <w:color w:val="auto"/>
                <w:szCs w:val="21"/>
                <w:highlight w:val="none"/>
              </w:rPr>
            </w:pPr>
            <w:r>
              <w:rPr>
                <w:rFonts w:hint="eastAsia" w:ascii="宋体" w:hAnsi="宋体" w:cs="宋体"/>
                <w:b/>
                <w:bCs/>
                <w:color w:val="auto"/>
                <w:szCs w:val="21"/>
                <w:highlight w:val="none"/>
              </w:rPr>
              <w:t>落实政府采购政策需满足的资格要求</w:t>
            </w:r>
          </w:p>
        </w:tc>
        <w:tc>
          <w:tcPr>
            <w:tcW w:w="1488" w:type="dxa"/>
            <w:tcBorders>
              <w:top w:val="single" w:color="auto" w:sz="4" w:space="0"/>
              <w:left w:val="single" w:color="auto" w:sz="4" w:space="0"/>
              <w:bottom w:val="single" w:color="auto" w:sz="4" w:space="0"/>
              <w:right w:val="single" w:color="auto" w:sz="4" w:space="0"/>
            </w:tcBorders>
            <w:noWrap w:val="0"/>
            <w:vAlign w:val="center"/>
          </w:tcPr>
          <w:p w14:paraId="3B9C719E">
            <w:pPr>
              <w:rPr>
                <w:rFonts w:ascii="宋体" w:hAnsi="宋体" w:cs="宋体"/>
                <w:b/>
                <w:bCs/>
                <w:color w:val="auto"/>
                <w:szCs w:val="21"/>
                <w:highlight w:val="none"/>
              </w:rPr>
            </w:pPr>
          </w:p>
        </w:tc>
      </w:tr>
      <w:tr w14:paraId="139C3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646" w:type="dxa"/>
            <w:tcBorders>
              <w:top w:val="single" w:color="auto" w:sz="4" w:space="0"/>
              <w:left w:val="single" w:color="auto" w:sz="4" w:space="0"/>
              <w:bottom w:val="single" w:color="auto" w:sz="4" w:space="0"/>
              <w:right w:val="single" w:color="auto" w:sz="4" w:space="0"/>
            </w:tcBorders>
            <w:noWrap w:val="0"/>
            <w:vAlign w:val="center"/>
          </w:tcPr>
          <w:p w14:paraId="4A253C65">
            <w:pPr>
              <w:jc w:val="center"/>
              <w:rPr>
                <w:rFonts w:ascii="宋体" w:hAnsi="宋体"/>
                <w:color w:val="auto"/>
                <w:szCs w:val="21"/>
                <w:highlight w:val="none"/>
              </w:rPr>
            </w:pPr>
            <w:r>
              <w:rPr>
                <w:rFonts w:hint="eastAsia" w:ascii="宋体" w:hAnsi="宋体"/>
                <w:color w:val="auto"/>
                <w:szCs w:val="21"/>
                <w:highlight w:val="none"/>
              </w:rPr>
              <w:t>9</w:t>
            </w:r>
          </w:p>
        </w:tc>
        <w:tc>
          <w:tcPr>
            <w:tcW w:w="5196" w:type="dxa"/>
            <w:gridSpan w:val="2"/>
            <w:tcBorders>
              <w:top w:val="single" w:color="auto" w:sz="4" w:space="0"/>
              <w:left w:val="single" w:color="auto" w:sz="4" w:space="0"/>
              <w:bottom w:val="single" w:color="auto" w:sz="4" w:space="0"/>
              <w:right w:val="single" w:color="auto" w:sz="4" w:space="0"/>
            </w:tcBorders>
            <w:noWrap w:val="0"/>
            <w:vAlign w:val="center"/>
          </w:tcPr>
          <w:p w14:paraId="2F8F1219">
            <w:pPr>
              <w:rPr>
                <w:rFonts w:hint="eastAsia" w:eastAsia="宋体"/>
                <w:b w:val="0"/>
                <w:color w:val="auto"/>
                <w:highlight w:val="none"/>
                <w:lang w:eastAsia="zh-CN"/>
              </w:rPr>
            </w:pPr>
            <w:r>
              <w:rPr>
                <w:rFonts w:hint="eastAsia" w:ascii="宋体" w:hAnsi="宋体" w:cs="宋体"/>
                <w:b w:val="0"/>
                <w:bCs/>
                <w:i/>
                <w:iCs/>
                <w:color w:val="auto"/>
                <w:sz w:val="21"/>
                <w:szCs w:val="21"/>
                <w:highlight w:val="none"/>
                <w:u w:val="single"/>
                <w:lang w:val="en-US" w:eastAsia="zh-CN" w:bidi="ar-SA"/>
              </w:rPr>
              <w:t>无</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5AFCDBE1">
            <w:pPr>
              <w:rPr>
                <w:rFonts w:ascii="宋体" w:hAnsi="宋体"/>
                <w:color w:val="auto"/>
                <w:szCs w:val="21"/>
                <w:highlight w:val="none"/>
              </w:rPr>
            </w:pPr>
          </w:p>
        </w:tc>
        <w:tc>
          <w:tcPr>
            <w:tcW w:w="1488" w:type="dxa"/>
            <w:tcBorders>
              <w:top w:val="single" w:color="auto" w:sz="4" w:space="0"/>
              <w:left w:val="single" w:color="auto" w:sz="4" w:space="0"/>
              <w:bottom w:val="single" w:color="auto" w:sz="4" w:space="0"/>
              <w:right w:val="single" w:color="auto" w:sz="4" w:space="0"/>
            </w:tcBorders>
            <w:noWrap w:val="0"/>
            <w:vAlign w:val="center"/>
          </w:tcPr>
          <w:p w14:paraId="7B567939">
            <w:pPr>
              <w:rPr>
                <w:rFonts w:ascii="宋体" w:hAnsi="宋体"/>
                <w:color w:val="auto"/>
                <w:szCs w:val="21"/>
                <w:highlight w:val="none"/>
              </w:rPr>
            </w:pPr>
          </w:p>
        </w:tc>
      </w:tr>
      <w:tr w14:paraId="1FEC5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542" w:type="dxa"/>
            <w:gridSpan w:val="4"/>
            <w:tcBorders>
              <w:top w:val="single" w:color="auto" w:sz="4" w:space="0"/>
              <w:left w:val="single" w:color="auto" w:sz="4" w:space="0"/>
              <w:bottom w:val="single" w:color="auto" w:sz="4" w:space="0"/>
              <w:right w:val="single" w:color="auto" w:sz="4" w:space="0"/>
            </w:tcBorders>
            <w:noWrap w:val="0"/>
            <w:vAlign w:val="center"/>
          </w:tcPr>
          <w:p w14:paraId="1449A9B9">
            <w:pPr>
              <w:spacing w:line="360" w:lineRule="auto"/>
              <w:rPr>
                <w:rFonts w:ascii="宋体" w:hAnsi="宋体"/>
                <w:color w:val="auto"/>
                <w:szCs w:val="21"/>
                <w:highlight w:val="none"/>
              </w:rPr>
            </w:pPr>
            <w:r>
              <w:rPr>
                <w:rFonts w:hint="eastAsia" w:ascii="宋体" w:hAnsi="宋体"/>
                <w:b/>
                <w:color w:val="auto"/>
                <w:szCs w:val="21"/>
                <w:highlight w:val="none"/>
              </w:rPr>
              <w:t>特定资格条件</w:t>
            </w:r>
          </w:p>
        </w:tc>
        <w:tc>
          <w:tcPr>
            <w:tcW w:w="1488" w:type="dxa"/>
            <w:tcBorders>
              <w:top w:val="single" w:color="auto" w:sz="4" w:space="0"/>
              <w:left w:val="single" w:color="auto" w:sz="4" w:space="0"/>
              <w:bottom w:val="single" w:color="auto" w:sz="4" w:space="0"/>
              <w:right w:val="single" w:color="auto" w:sz="4" w:space="0"/>
            </w:tcBorders>
            <w:noWrap w:val="0"/>
            <w:vAlign w:val="center"/>
          </w:tcPr>
          <w:p w14:paraId="52BFA0E0">
            <w:pPr>
              <w:spacing w:line="360" w:lineRule="auto"/>
              <w:rPr>
                <w:rFonts w:ascii="宋体" w:hAnsi="宋体"/>
                <w:b/>
                <w:color w:val="auto"/>
                <w:szCs w:val="21"/>
                <w:highlight w:val="none"/>
              </w:rPr>
            </w:pPr>
          </w:p>
        </w:tc>
      </w:tr>
      <w:tr w14:paraId="2C92E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646" w:type="dxa"/>
            <w:tcBorders>
              <w:top w:val="single" w:color="auto" w:sz="4" w:space="0"/>
              <w:left w:val="single" w:color="auto" w:sz="4" w:space="0"/>
              <w:bottom w:val="single" w:color="auto" w:sz="4" w:space="0"/>
              <w:right w:val="single" w:color="auto" w:sz="4" w:space="0"/>
            </w:tcBorders>
            <w:noWrap w:val="0"/>
            <w:vAlign w:val="center"/>
          </w:tcPr>
          <w:p w14:paraId="77D8715F">
            <w:pPr>
              <w:jc w:val="center"/>
              <w:rPr>
                <w:rFonts w:ascii="宋体" w:hAnsi="宋体"/>
                <w:color w:val="auto"/>
                <w:szCs w:val="21"/>
                <w:highlight w:val="none"/>
              </w:rPr>
            </w:pPr>
            <w:r>
              <w:rPr>
                <w:rFonts w:hint="eastAsia" w:ascii="宋体" w:hAnsi="宋体"/>
                <w:color w:val="auto"/>
                <w:szCs w:val="21"/>
                <w:highlight w:val="none"/>
              </w:rPr>
              <w:t>10</w:t>
            </w:r>
          </w:p>
        </w:tc>
        <w:tc>
          <w:tcPr>
            <w:tcW w:w="5196" w:type="dxa"/>
            <w:gridSpan w:val="2"/>
            <w:tcBorders>
              <w:top w:val="single" w:color="auto" w:sz="4" w:space="0"/>
              <w:left w:val="single" w:color="auto" w:sz="4" w:space="0"/>
              <w:bottom w:val="single" w:color="auto" w:sz="4" w:space="0"/>
              <w:right w:val="single" w:color="auto" w:sz="4" w:space="0"/>
            </w:tcBorders>
            <w:noWrap w:val="0"/>
            <w:vAlign w:val="center"/>
          </w:tcPr>
          <w:p w14:paraId="45A01539">
            <w:pPr>
              <w:rPr>
                <w:rFonts w:ascii="宋体" w:hAnsi="宋体"/>
                <w:iCs/>
                <w:color w:val="auto"/>
                <w:szCs w:val="21"/>
                <w:highlight w:val="none"/>
              </w:rPr>
            </w:pPr>
            <w:r>
              <w:rPr>
                <w:rFonts w:hint="eastAsia" w:ascii="宋体" w:hAnsi="宋体" w:cs="宋体"/>
                <w:b w:val="0"/>
                <w:bCs/>
                <w:i/>
                <w:iCs/>
                <w:color w:val="auto"/>
                <w:sz w:val="21"/>
                <w:szCs w:val="21"/>
                <w:highlight w:val="none"/>
                <w:u w:val="single"/>
                <w:lang w:val="en-US" w:eastAsia="zh-CN" w:bidi="ar-SA"/>
              </w:rPr>
              <w:t>无</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587B49EC">
            <w:pPr>
              <w:rPr>
                <w:rFonts w:ascii="宋体" w:hAnsi="宋体"/>
                <w:color w:val="auto"/>
                <w:szCs w:val="21"/>
                <w:highlight w:val="none"/>
              </w:rPr>
            </w:pPr>
          </w:p>
        </w:tc>
        <w:tc>
          <w:tcPr>
            <w:tcW w:w="1488" w:type="dxa"/>
            <w:tcBorders>
              <w:top w:val="single" w:color="auto" w:sz="4" w:space="0"/>
              <w:left w:val="single" w:color="auto" w:sz="4" w:space="0"/>
              <w:bottom w:val="single" w:color="auto" w:sz="4" w:space="0"/>
              <w:right w:val="single" w:color="auto" w:sz="4" w:space="0"/>
            </w:tcBorders>
            <w:noWrap w:val="0"/>
            <w:vAlign w:val="center"/>
          </w:tcPr>
          <w:p w14:paraId="5E2271AC">
            <w:pPr>
              <w:rPr>
                <w:rFonts w:ascii="宋体" w:hAnsi="宋体"/>
                <w:color w:val="auto"/>
                <w:szCs w:val="21"/>
                <w:highlight w:val="none"/>
              </w:rPr>
            </w:pPr>
          </w:p>
        </w:tc>
      </w:tr>
      <w:tr w14:paraId="53C71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7542" w:type="dxa"/>
            <w:gridSpan w:val="4"/>
            <w:tcBorders>
              <w:top w:val="single" w:color="auto" w:sz="4" w:space="0"/>
              <w:left w:val="single" w:color="auto" w:sz="4" w:space="0"/>
              <w:bottom w:val="single" w:color="auto" w:sz="4" w:space="0"/>
              <w:right w:val="single" w:color="auto" w:sz="4" w:space="0"/>
            </w:tcBorders>
            <w:noWrap w:val="0"/>
            <w:vAlign w:val="center"/>
          </w:tcPr>
          <w:p w14:paraId="636B81F5">
            <w:pPr>
              <w:rPr>
                <w:rFonts w:ascii="宋体" w:hAnsi="宋体"/>
                <w:color w:val="auto"/>
                <w:szCs w:val="21"/>
                <w:highlight w:val="none"/>
              </w:rPr>
            </w:pPr>
            <w:r>
              <w:rPr>
                <w:rFonts w:hint="eastAsia" w:ascii="宋体" w:hAnsi="宋体"/>
                <w:b/>
                <w:color w:val="auto"/>
                <w:szCs w:val="21"/>
                <w:highlight w:val="none"/>
              </w:rPr>
              <w:t>其他资格条件</w:t>
            </w:r>
          </w:p>
        </w:tc>
        <w:tc>
          <w:tcPr>
            <w:tcW w:w="1488" w:type="dxa"/>
            <w:tcBorders>
              <w:top w:val="single" w:color="auto" w:sz="4" w:space="0"/>
              <w:left w:val="single" w:color="auto" w:sz="4" w:space="0"/>
              <w:bottom w:val="single" w:color="auto" w:sz="4" w:space="0"/>
              <w:right w:val="single" w:color="auto" w:sz="4" w:space="0"/>
            </w:tcBorders>
            <w:noWrap w:val="0"/>
            <w:vAlign w:val="center"/>
          </w:tcPr>
          <w:p w14:paraId="5EE36F1F">
            <w:pPr>
              <w:rPr>
                <w:rFonts w:ascii="宋体" w:hAnsi="宋体"/>
                <w:color w:val="auto"/>
                <w:szCs w:val="21"/>
                <w:highlight w:val="none"/>
              </w:rPr>
            </w:pPr>
          </w:p>
        </w:tc>
      </w:tr>
      <w:tr w14:paraId="753BD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667" w:type="dxa"/>
            <w:gridSpan w:val="2"/>
            <w:tcBorders>
              <w:top w:val="single" w:color="auto" w:sz="4" w:space="0"/>
              <w:left w:val="single" w:color="auto" w:sz="4" w:space="0"/>
              <w:bottom w:val="single" w:color="auto" w:sz="4" w:space="0"/>
              <w:right w:val="single" w:color="auto" w:sz="4" w:space="0"/>
            </w:tcBorders>
            <w:noWrap w:val="0"/>
            <w:vAlign w:val="center"/>
          </w:tcPr>
          <w:p w14:paraId="2E132973">
            <w:pPr>
              <w:jc w:val="center"/>
              <w:rPr>
                <w:rFonts w:ascii="宋体" w:hAnsi="宋体"/>
                <w:color w:val="auto"/>
                <w:szCs w:val="21"/>
                <w:highlight w:val="none"/>
              </w:rPr>
            </w:pPr>
            <w:r>
              <w:rPr>
                <w:rFonts w:hint="eastAsia" w:ascii="宋体" w:hAnsi="宋体"/>
                <w:color w:val="auto"/>
                <w:szCs w:val="21"/>
                <w:highlight w:val="none"/>
              </w:rPr>
              <w:t>11</w:t>
            </w:r>
          </w:p>
        </w:tc>
        <w:tc>
          <w:tcPr>
            <w:tcW w:w="5175" w:type="dxa"/>
            <w:tcBorders>
              <w:top w:val="single" w:color="auto" w:sz="4" w:space="0"/>
              <w:left w:val="single" w:color="auto" w:sz="4" w:space="0"/>
              <w:bottom w:val="single" w:color="auto" w:sz="4" w:space="0"/>
              <w:right w:val="single" w:color="auto" w:sz="4" w:space="0"/>
            </w:tcBorders>
            <w:noWrap w:val="0"/>
            <w:vAlign w:val="center"/>
          </w:tcPr>
          <w:p w14:paraId="1430E729">
            <w:pPr>
              <w:spacing w:line="0" w:lineRule="atLeast"/>
              <w:jc w:val="left"/>
              <w:rPr>
                <w:rFonts w:ascii="宋体" w:hAnsi="宋体"/>
                <w:iCs/>
                <w:color w:val="auto"/>
                <w:szCs w:val="21"/>
                <w:highlight w:val="none"/>
              </w:rPr>
            </w:pPr>
            <w:r>
              <w:rPr>
                <w:rFonts w:hint="eastAsia" w:ascii="宋体" w:hAnsi="宋体"/>
                <w:iCs/>
                <w:color w:val="auto"/>
                <w:szCs w:val="21"/>
                <w:highlight w:val="none"/>
              </w:rPr>
              <w:t>投标函</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5C052D7D">
            <w:pPr>
              <w:rPr>
                <w:rFonts w:ascii="宋体" w:hAnsi="宋体"/>
                <w:b/>
                <w:color w:val="auto"/>
                <w:szCs w:val="21"/>
                <w:highlight w:val="none"/>
              </w:rPr>
            </w:pPr>
          </w:p>
        </w:tc>
        <w:tc>
          <w:tcPr>
            <w:tcW w:w="1488" w:type="dxa"/>
            <w:tcBorders>
              <w:top w:val="single" w:color="auto" w:sz="4" w:space="0"/>
              <w:left w:val="single" w:color="auto" w:sz="4" w:space="0"/>
              <w:bottom w:val="single" w:color="auto" w:sz="4" w:space="0"/>
              <w:right w:val="single" w:color="auto" w:sz="4" w:space="0"/>
            </w:tcBorders>
            <w:noWrap w:val="0"/>
            <w:vAlign w:val="center"/>
          </w:tcPr>
          <w:p w14:paraId="0AEFE4D9">
            <w:pPr>
              <w:rPr>
                <w:rFonts w:ascii="宋体" w:hAnsi="宋体"/>
                <w:color w:val="auto"/>
                <w:szCs w:val="21"/>
                <w:highlight w:val="none"/>
              </w:rPr>
            </w:pPr>
          </w:p>
        </w:tc>
      </w:tr>
      <w:tr w14:paraId="2363A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667" w:type="dxa"/>
            <w:gridSpan w:val="2"/>
            <w:tcBorders>
              <w:top w:val="single" w:color="auto" w:sz="4" w:space="0"/>
              <w:left w:val="single" w:color="auto" w:sz="4" w:space="0"/>
              <w:bottom w:val="single" w:color="auto" w:sz="4" w:space="0"/>
              <w:right w:val="single" w:color="auto" w:sz="4" w:space="0"/>
            </w:tcBorders>
            <w:noWrap w:val="0"/>
            <w:vAlign w:val="center"/>
          </w:tcPr>
          <w:p w14:paraId="5CB6154C">
            <w:pPr>
              <w:jc w:val="center"/>
              <w:rPr>
                <w:rFonts w:ascii="宋体" w:hAnsi="宋体"/>
                <w:color w:val="auto"/>
                <w:szCs w:val="21"/>
                <w:highlight w:val="none"/>
              </w:rPr>
            </w:pPr>
            <w:r>
              <w:rPr>
                <w:rFonts w:hint="eastAsia" w:ascii="宋体" w:hAnsi="宋体"/>
                <w:color w:val="auto"/>
                <w:szCs w:val="21"/>
                <w:highlight w:val="none"/>
              </w:rPr>
              <w:t>12</w:t>
            </w:r>
          </w:p>
        </w:tc>
        <w:tc>
          <w:tcPr>
            <w:tcW w:w="5175" w:type="dxa"/>
            <w:tcBorders>
              <w:top w:val="single" w:color="auto" w:sz="4" w:space="0"/>
              <w:left w:val="single" w:color="auto" w:sz="4" w:space="0"/>
              <w:bottom w:val="single" w:color="auto" w:sz="4" w:space="0"/>
              <w:right w:val="single" w:color="auto" w:sz="4" w:space="0"/>
            </w:tcBorders>
            <w:noWrap w:val="0"/>
            <w:vAlign w:val="center"/>
          </w:tcPr>
          <w:p w14:paraId="3D70A73E">
            <w:pPr>
              <w:spacing w:line="0" w:lineRule="atLeast"/>
              <w:jc w:val="left"/>
              <w:rPr>
                <w:rFonts w:ascii="宋体" w:hAnsi="宋体"/>
                <w:iCs/>
                <w:color w:val="auto"/>
                <w:szCs w:val="21"/>
                <w:highlight w:val="none"/>
              </w:rPr>
            </w:pPr>
            <w:r>
              <w:rPr>
                <w:rFonts w:hint="eastAsia" w:ascii="宋体" w:hAnsi="宋体"/>
                <w:iCs/>
                <w:color w:val="auto"/>
                <w:szCs w:val="21"/>
                <w:highlight w:val="none"/>
              </w:rPr>
              <w:t>法人授权书</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1900251D">
            <w:pPr>
              <w:rPr>
                <w:rFonts w:ascii="宋体" w:hAnsi="宋体"/>
                <w:b/>
                <w:color w:val="auto"/>
                <w:szCs w:val="21"/>
                <w:highlight w:val="none"/>
              </w:rPr>
            </w:pPr>
          </w:p>
        </w:tc>
        <w:tc>
          <w:tcPr>
            <w:tcW w:w="1488" w:type="dxa"/>
            <w:tcBorders>
              <w:top w:val="single" w:color="auto" w:sz="4" w:space="0"/>
              <w:left w:val="single" w:color="auto" w:sz="4" w:space="0"/>
              <w:bottom w:val="single" w:color="auto" w:sz="4" w:space="0"/>
              <w:right w:val="single" w:color="auto" w:sz="4" w:space="0"/>
            </w:tcBorders>
            <w:noWrap w:val="0"/>
            <w:vAlign w:val="center"/>
          </w:tcPr>
          <w:p w14:paraId="0EC8FABB">
            <w:pPr>
              <w:rPr>
                <w:rFonts w:ascii="宋体" w:hAnsi="宋体"/>
                <w:color w:val="auto"/>
                <w:szCs w:val="21"/>
                <w:highlight w:val="none"/>
              </w:rPr>
            </w:pPr>
          </w:p>
        </w:tc>
      </w:tr>
      <w:tr w14:paraId="0266D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667" w:type="dxa"/>
            <w:gridSpan w:val="2"/>
            <w:tcBorders>
              <w:top w:val="single" w:color="auto" w:sz="4" w:space="0"/>
              <w:left w:val="single" w:color="auto" w:sz="4" w:space="0"/>
              <w:bottom w:val="single" w:color="auto" w:sz="4" w:space="0"/>
              <w:right w:val="single" w:color="auto" w:sz="4" w:space="0"/>
            </w:tcBorders>
            <w:noWrap w:val="0"/>
            <w:vAlign w:val="center"/>
          </w:tcPr>
          <w:p w14:paraId="26200F16">
            <w:pPr>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13</w:t>
            </w:r>
          </w:p>
        </w:tc>
        <w:tc>
          <w:tcPr>
            <w:tcW w:w="5175" w:type="dxa"/>
            <w:tcBorders>
              <w:top w:val="single" w:color="auto" w:sz="4" w:space="0"/>
              <w:left w:val="single" w:color="auto" w:sz="4" w:space="0"/>
              <w:bottom w:val="single" w:color="auto" w:sz="4" w:space="0"/>
              <w:right w:val="single" w:color="auto" w:sz="4" w:space="0"/>
            </w:tcBorders>
            <w:noWrap w:val="0"/>
            <w:vAlign w:val="center"/>
          </w:tcPr>
          <w:p w14:paraId="2860D1B7">
            <w:pPr>
              <w:spacing w:line="0" w:lineRule="atLeast"/>
              <w:jc w:val="left"/>
              <w:rPr>
                <w:rFonts w:hint="eastAsia" w:ascii="宋体" w:hAnsi="宋体"/>
                <w:iCs/>
                <w:color w:val="auto"/>
                <w:szCs w:val="21"/>
                <w:highlight w:val="none"/>
              </w:rPr>
            </w:pPr>
            <w:r>
              <w:rPr>
                <w:rFonts w:hint="eastAsia" w:ascii="宋体" w:hAnsi="宋体"/>
                <w:iCs/>
                <w:color w:val="auto"/>
                <w:szCs w:val="21"/>
                <w:highlight w:val="none"/>
                <w:lang w:val="en-US" w:eastAsia="zh-CN"/>
              </w:rPr>
              <w:t>联合体协议（如有）</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63D20D7E">
            <w:pPr>
              <w:rPr>
                <w:rFonts w:ascii="宋体" w:hAnsi="宋体"/>
                <w:b/>
                <w:color w:val="auto"/>
                <w:szCs w:val="21"/>
                <w:highlight w:val="none"/>
              </w:rPr>
            </w:pPr>
          </w:p>
        </w:tc>
        <w:tc>
          <w:tcPr>
            <w:tcW w:w="1488" w:type="dxa"/>
            <w:tcBorders>
              <w:top w:val="single" w:color="auto" w:sz="4" w:space="0"/>
              <w:left w:val="single" w:color="auto" w:sz="4" w:space="0"/>
              <w:bottom w:val="single" w:color="auto" w:sz="4" w:space="0"/>
              <w:right w:val="single" w:color="auto" w:sz="4" w:space="0"/>
            </w:tcBorders>
            <w:noWrap w:val="0"/>
            <w:vAlign w:val="center"/>
          </w:tcPr>
          <w:p w14:paraId="0D3D71C2">
            <w:pPr>
              <w:rPr>
                <w:rFonts w:ascii="宋体" w:hAnsi="宋体"/>
                <w:color w:val="auto"/>
                <w:szCs w:val="21"/>
                <w:highlight w:val="none"/>
              </w:rPr>
            </w:pPr>
          </w:p>
        </w:tc>
      </w:tr>
    </w:tbl>
    <w:p w14:paraId="5F98BEB7">
      <w:pPr>
        <w:rPr>
          <w:rFonts w:hint="eastAsia"/>
          <w:b/>
          <w:bCs/>
          <w:color w:val="auto"/>
          <w:highlight w:val="none"/>
          <w:lang w:val="en-US" w:eastAsia="zh-CN"/>
        </w:rPr>
      </w:pPr>
    </w:p>
    <w:p w14:paraId="4C7F383C">
      <w:pPr>
        <w:rPr>
          <w:rFonts w:hint="eastAsia" w:eastAsia="宋体"/>
          <w:b/>
          <w:bCs/>
          <w:color w:val="auto"/>
          <w:sz w:val="24"/>
          <w:szCs w:val="28"/>
          <w:highlight w:val="none"/>
          <w:lang w:eastAsia="zh-CN"/>
        </w:rPr>
      </w:pPr>
      <w:r>
        <w:rPr>
          <w:rFonts w:hint="eastAsia"/>
          <w:b/>
          <w:bCs/>
          <w:color w:val="auto"/>
          <w:sz w:val="24"/>
          <w:szCs w:val="28"/>
          <w:highlight w:val="none"/>
          <w:lang w:val="en-US" w:eastAsia="zh-CN"/>
        </w:rPr>
        <w:t>注：</w:t>
      </w:r>
      <w:r>
        <w:rPr>
          <w:rFonts w:hint="eastAsia"/>
          <w:b/>
          <w:bCs/>
          <w:color w:val="auto"/>
          <w:sz w:val="24"/>
          <w:szCs w:val="28"/>
          <w:highlight w:val="none"/>
        </w:rPr>
        <w:t>如为联合体参加采购活动的，联合体各方均须提供上述</w:t>
      </w:r>
      <w:r>
        <w:rPr>
          <w:rFonts w:hint="eastAsia"/>
          <w:b/>
          <w:bCs/>
          <w:color w:val="auto"/>
          <w:sz w:val="24"/>
          <w:szCs w:val="28"/>
          <w:highlight w:val="none"/>
          <w:lang w:eastAsia="zh-CN"/>
        </w:rPr>
        <w:t>通用</w:t>
      </w:r>
      <w:r>
        <w:rPr>
          <w:rFonts w:hint="eastAsia"/>
          <w:b/>
          <w:bCs/>
          <w:color w:val="auto"/>
          <w:sz w:val="24"/>
          <w:szCs w:val="28"/>
          <w:highlight w:val="none"/>
        </w:rPr>
        <w:t>资格条件</w:t>
      </w:r>
      <w:r>
        <w:rPr>
          <w:rFonts w:hint="eastAsia"/>
          <w:b/>
          <w:bCs/>
          <w:color w:val="auto"/>
          <w:sz w:val="24"/>
          <w:szCs w:val="28"/>
          <w:highlight w:val="none"/>
          <w:lang w:eastAsia="zh-CN"/>
        </w:rPr>
        <w:t>、</w:t>
      </w:r>
      <w:r>
        <w:rPr>
          <w:rFonts w:hint="eastAsia"/>
          <w:b/>
          <w:bCs/>
          <w:color w:val="auto"/>
          <w:sz w:val="24"/>
          <w:szCs w:val="28"/>
          <w:highlight w:val="none"/>
        </w:rPr>
        <w:t>落实政府采购政策</w:t>
      </w:r>
      <w:r>
        <w:rPr>
          <w:rFonts w:hint="eastAsia"/>
          <w:b/>
          <w:bCs/>
          <w:color w:val="auto"/>
          <w:sz w:val="24"/>
          <w:szCs w:val="28"/>
          <w:highlight w:val="none"/>
          <w:lang w:eastAsia="zh-CN"/>
        </w:rPr>
        <w:t>（如有）、特定资格条件（如有）、其他资格条件</w:t>
      </w:r>
      <w:r>
        <w:rPr>
          <w:rFonts w:hint="eastAsia"/>
          <w:b/>
          <w:bCs/>
          <w:color w:val="auto"/>
          <w:sz w:val="24"/>
          <w:szCs w:val="28"/>
          <w:highlight w:val="none"/>
        </w:rPr>
        <w:t>的相关证明材料</w:t>
      </w:r>
      <w:r>
        <w:rPr>
          <w:rFonts w:hint="eastAsia"/>
          <w:b/>
          <w:bCs/>
          <w:color w:val="auto"/>
          <w:sz w:val="24"/>
          <w:szCs w:val="28"/>
          <w:highlight w:val="none"/>
          <w:lang w:eastAsia="zh-CN"/>
        </w:rPr>
        <w:t>。除</w:t>
      </w:r>
      <w:r>
        <w:rPr>
          <w:rFonts w:hint="eastAsia"/>
          <w:b/>
          <w:bCs/>
          <w:color w:val="auto"/>
          <w:sz w:val="24"/>
          <w:szCs w:val="28"/>
          <w:highlight w:val="none"/>
          <w:lang w:val="en-US" w:eastAsia="zh-CN"/>
        </w:rPr>
        <w:t>联合体协议外，其他证明材料由联合体牵头单位加盖CA电子签章。</w:t>
      </w:r>
    </w:p>
    <w:p w14:paraId="75E9736F">
      <w:pPr>
        <w:rPr>
          <w:color w:val="auto"/>
          <w:highlight w:val="none"/>
        </w:rPr>
      </w:pPr>
    </w:p>
    <w:p w14:paraId="2603DB54">
      <w:pPr>
        <w:spacing w:line="500" w:lineRule="exact"/>
        <w:jc w:val="center"/>
        <w:rPr>
          <w:rFonts w:ascii="宋体" w:hAnsi="宋体"/>
          <w:b/>
          <w:color w:val="auto"/>
          <w:szCs w:val="21"/>
          <w:highlight w:val="none"/>
        </w:rPr>
        <w:sectPr>
          <w:pgSz w:w="11906" w:h="16838"/>
          <w:pgMar w:top="1440" w:right="1800" w:bottom="1440" w:left="1800" w:header="851" w:footer="992" w:gutter="0"/>
          <w:cols w:space="720" w:num="1"/>
          <w:docGrid w:linePitch="360" w:charSpace="0"/>
        </w:sectPr>
      </w:pPr>
    </w:p>
    <w:p w14:paraId="4F60150D">
      <w:pPr>
        <w:spacing w:line="500" w:lineRule="exact"/>
        <w:jc w:val="center"/>
        <w:rPr>
          <w:rFonts w:hint="eastAsia" w:ascii="宋体" w:hAnsi="宋体" w:eastAsia="宋体"/>
          <w:b/>
          <w:color w:val="auto"/>
          <w:szCs w:val="21"/>
          <w:highlight w:val="none"/>
          <w:lang w:eastAsia="zh-CN"/>
        </w:rPr>
      </w:pPr>
      <w:r>
        <w:rPr>
          <w:rFonts w:ascii="宋体" w:hAnsi="宋体"/>
          <w:b/>
          <w:color w:val="auto"/>
          <w:szCs w:val="21"/>
          <w:highlight w:val="none"/>
        </w:rPr>
        <w:t>基本资格条件承诺函</w:t>
      </w:r>
    </w:p>
    <w:p w14:paraId="1A8D292B">
      <w:pPr>
        <w:tabs>
          <w:tab w:val="left" w:pos="6300"/>
        </w:tabs>
        <w:spacing w:line="530" w:lineRule="exact"/>
        <w:rPr>
          <w:rFonts w:ascii="Times New Roman" w:hAnsi="Times New Roman"/>
          <w:color w:val="auto"/>
          <w:sz w:val="24"/>
          <w:highlight w:val="none"/>
        </w:rPr>
      </w:pPr>
    </w:p>
    <w:p w14:paraId="508DA438">
      <w:pPr>
        <w:spacing w:line="560" w:lineRule="exact"/>
        <w:ind w:firstLine="420"/>
        <w:rPr>
          <w:rFonts w:ascii="宋体" w:hAnsi="宋体"/>
          <w:color w:val="auto"/>
          <w:szCs w:val="21"/>
          <w:highlight w:val="none"/>
        </w:rPr>
      </w:pPr>
      <w:r>
        <w:rPr>
          <w:rFonts w:ascii="宋体" w:hAnsi="宋体"/>
          <w:color w:val="auto"/>
          <w:szCs w:val="21"/>
          <w:highlight w:val="none"/>
        </w:rPr>
        <w:t xml:space="preserve">致 </w:t>
      </w:r>
      <w:r>
        <w:rPr>
          <w:rFonts w:ascii="宋体" w:hAnsi="宋体"/>
          <w:color w:val="auto"/>
          <w:szCs w:val="21"/>
          <w:highlight w:val="none"/>
          <w:u w:val="single"/>
        </w:rPr>
        <w:t xml:space="preserve">                  </w:t>
      </w:r>
      <w:r>
        <w:rPr>
          <w:rFonts w:ascii="宋体" w:hAnsi="宋体"/>
          <w:color w:val="auto"/>
          <w:szCs w:val="21"/>
          <w:highlight w:val="none"/>
        </w:rPr>
        <w:t>（采购代理机构名称）：</w:t>
      </w:r>
    </w:p>
    <w:p w14:paraId="1A813562">
      <w:pPr>
        <w:spacing w:line="560" w:lineRule="exact"/>
        <w:ind w:firstLine="420"/>
        <w:rPr>
          <w:rFonts w:ascii="宋体" w:hAnsi="宋体"/>
          <w:color w:val="auto"/>
          <w:szCs w:val="21"/>
          <w:highlight w:val="none"/>
        </w:rPr>
      </w:pPr>
      <w:r>
        <w:rPr>
          <w:rFonts w:hint="eastAsia" w:ascii="宋体" w:hAnsi="宋体"/>
          <w:color w:val="auto"/>
          <w:szCs w:val="21"/>
          <w:highlight w:val="none"/>
        </w:rPr>
        <w:t>我公司自愿参加</w:t>
      </w:r>
      <w:r>
        <w:rPr>
          <w:rFonts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none"/>
          <w:lang w:val="en-US" w:eastAsia="zh-CN"/>
        </w:rPr>
        <w:t>（项目名称）</w:t>
      </w:r>
      <w:r>
        <w:rPr>
          <w:rFonts w:hint="eastAsia" w:ascii="宋体" w:hAnsi="宋体"/>
          <w:color w:val="auto"/>
          <w:szCs w:val="21"/>
          <w:highlight w:val="none"/>
        </w:rPr>
        <w:t>政府采购活动，并</w:t>
      </w:r>
      <w:r>
        <w:rPr>
          <w:rFonts w:ascii="宋体" w:hAnsi="宋体"/>
          <w:color w:val="auto"/>
          <w:szCs w:val="21"/>
          <w:highlight w:val="none"/>
        </w:rPr>
        <w:t>郑重承诺：</w:t>
      </w:r>
    </w:p>
    <w:p w14:paraId="4C1E4413">
      <w:pPr>
        <w:spacing w:line="560" w:lineRule="exact"/>
        <w:ind w:firstLine="420"/>
        <w:rPr>
          <w:rFonts w:ascii="宋体" w:hAnsi="宋体"/>
          <w:color w:val="auto"/>
          <w:szCs w:val="21"/>
          <w:highlight w:val="none"/>
        </w:rPr>
      </w:pPr>
      <w:r>
        <w:rPr>
          <w:rFonts w:ascii="宋体" w:hAnsi="宋体"/>
          <w:color w:val="auto"/>
          <w:szCs w:val="21"/>
          <w:highlight w:val="none"/>
        </w:rPr>
        <w:t>1.我方具有良好的商业信誉和健全的财务会计制度，具有履行合同所必需的设备和专业技术能力，具</w:t>
      </w:r>
      <w:r>
        <w:rPr>
          <w:rFonts w:ascii="宋体" w:hAnsi="宋体"/>
          <w:color w:val="auto"/>
          <w:szCs w:val="21"/>
          <w:highlight w:val="none"/>
          <w:lang w:val="zh-CN"/>
        </w:rPr>
        <w:t>有依法缴纳税收和社会保障金的良好记录</w:t>
      </w:r>
      <w:r>
        <w:rPr>
          <w:rFonts w:ascii="宋体" w:hAnsi="宋体"/>
          <w:color w:val="auto"/>
          <w:szCs w:val="21"/>
          <w:highlight w:val="none"/>
        </w:rPr>
        <w:t>，参加本项目采购活动前三年内无重大违法活动记录。</w:t>
      </w:r>
    </w:p>
    <w:p w14:paraId="63BA353C">
      <w:pPr>
        <w:spacing w:line="560" w:lineRule="exact"/>
        <w:ind w:firstLine="420"/>
        <w:rPr>
          <w:rFonts w:ascii="宋体" w:hAnsi="宋体"/>
          <w:color w:val="auto"/>
          <w:szCs w:val="21"/>
          <w:highlight w:val="none"/>
        </w:rPr>
      </w:pPr>
      <w:r>
        <w:rPr>
          <w:rFonts w:ascii="宋体" w:hAnsi="宋体"/>
          <w:color w:val="auto"/>
          <w:szCs w:val="21"/>
          <w:highlight w:val="none"/>
        </w:rPr>
        <w:t>2.我方未列入在信用中国网站（</w:t>
      </w:r>
      <w:r>
        <w:rPr>
          <w:rFonts w:hint="eastAsia" w:ascii="宋体" w:hAnsi="宋体"/>
          <w:color w:val="auto"/>
          <w:szCs w:val="21"/>
          <w:highlight w:val="none"/>
          <w:lang w:val="en-US" w:eastAsia="zh-CN"/>
        </w:rPr>
        <w:t>http://</w:t>
      </w:r>
      <w:r>
        <w:rPr>
          <w:rFonts w:ascii="宋体" w:hAnsi="宋体"/>
          <w:color w:val="auto"/>
          <w:szCs w:val="21"/>
          <w:highlight w:val="none"/>
        </w:rPr>
        <w:t>www.creditchina.gov.cn）“失信被执行人”、“重大税收违法案件当事人名单”中，也未列入中国政府采购网（</w:t>
      </w:r>
      <w:r>
        <w:rPr>
          <w:rFonts w:hint="eastAsia" w:ascii="宋体" w:hAnsi="宋体"/>
          <w:color w:val="auto"/>
          <w:szCs w:val="21"/>
          <w:highlight w:val="none"/>
          <w:lang w:val="en-US" w:eastAsia="zh-CN"/>
        </w:rPr>
        <w:t>http://</w:t>
      </w:r>
      <w:r>
        <w:rPr>
          <w:rFonts w:ascii="宋体" w:hAnsi="宋体"/>
          <w:color w:val="auto"/>
          <w:szCs w:val="21"/>
          <w:highlight w:val="none"/>
        </w:rPr>
        <w:t>www.ccgp.gov.cn）“政府采购严重违法失信行为记录名单”中。</w:t>
      </w:r>
    </w:p>
    <w:p w14:paraId="1F396452">
      <w:pPr>
        <w:spacing w:line="560" w:lineRule="exact"/>
        <w:ind w:firstLine="420"/>
        <w:rPr>
          <w:rFonts w:ascii="宋体" w:hAnsi="宋体"/>
          <w:color w:val="auto"/>
          <w:szCs w:val="21"/>
          <w:highlight w:val="none"/>
        </w:rPr>
      </w:pPr>
      <w:r>
        <w:rPr>
          <w:rFonts w:ascii="宋体" w:hAnsi="宋体"/>
          <w:color w:val="auto"/>
          <w:szCs w:val="21"/>
          <w:highlight w:val="none"/>
        </w:rPr>
        <w:t>3.我方在采购项目评审（评标）环节结束后，随时接受采购人、采购代理机构的检查验证，配合提供相关证明材料，证明符合《中华人民共和国政府采购法》规定的投标人基本资格条件。</w:t>
      </w:r>
    </w:p>
    <w:p w14:paraId="0E0D34B2">
      <w:pPr>
        <w:spacing w:line="560" w:lineRule="exact"/>
        <w:ind w:firstLine="420"/>
        <w:rPr>
          <w:rFonts w:ascii="宋体" w:hAnsi="宋体"/>
          <w:color w:val="auto"/>
          <w:szCs w:val="21"/>
          <w:highlight w:val="none"/>
        </w:rPr>
      </w:pPr>
      <w:r>
        <w:rPr>
          <w:rFonts w:ascii="宋体" w:hAnsi="宋体"/>
          <w:color w:val="auto"/>
          <w:szCs w:val="21"/>
          <w:highlight w:val="none"/>
        </w:rPr>
        <w:t>我方对以上承诺负全部法律责任。</w:t>
      </w:r>
    </w:p>
    <w:p w14:paraId="2B474517">
      <w:pPr>
        <w:spacing w:line="560" w:lineRule="exact"/>
        <w:ind w:firstLine="420"/>
        <w:rPr>
          <w:rFonts w:ascii="宋体" w:hAnsi="宋体"/>
          <w:color w:val="auto"/>
          <w:szCs w:val="21"/>
          <w:highlight w:val="none"/>
        </w:rPr>
      </w:pPr>
      <w:r>
        <w:rPr>
          <w:rFonts w:ascii="宋体" w:hAnsi="宋体"/>
          <w:color w:val="auto"/>
          <w:szCs w:val="21"/>
          <w:highlight w:val="none"/>
        </w:rPr>
        <w:t>特此承诺。</w:t>
      </w:r>
    </w:p>
    <w:p w14:paraId="603D7C9E">
      <w:pPr>
        <w:spacing w:line="560" w:lineRule="exact"/>
        <w:ind w:firstLine="420"/>
        <w:rPr>
          <w:rFonts w:ascii="宋体" w:hAnsi="宋体"/>
          <w:color w:val="auto"/>
          <w:szCs w:val="21"/>
          <w:highlight w:val="none"/>
        </w:rPr>
      </w:pPr>
    </w:p>
    <w:p w14:paraId="694AC1B9">
      <w:pPr>
        <w:spacing w:line="560" w:lineRule="exact"/>
        <w:ind w:firstLine="420"/>
        <w:rPr>
          <w:rFonts w:ascii="宋体" w:hAnsi="宋体"/>
          <w:color w:val="auto"/>
          <w:szCs w:val="21"/>
          <w:highlight w:val="none"/>
        </w:rPr>
      </w:pPr>
      <w:r>
        <w:rPr>
          <w:rFonts w:hint="eastAsia" w:ascii="宋体" w:hAnsi="宋体"/>
          <w:color w:val="auto"/>
          <w:szCs w:val="21"/>
          <w:highlight w:val="none"/>
        </w:rPr>
        <w:t xml:space="preserve">     </w:t>
      </w:r>
    </w:p>
    <w:p w14:paraId="43215E41">
      <w:pPr>
        <w:spacing w:line="560" w:lineRule="exact"/>
        <w:ind w:firstLine="1260"/>
        <w:jc w:val="center"/>
        <w:rPr>
          <w:rFonts w:ascii="宋体" w:hAnsi="宋体"/>
          <w:color w:val="auto"/>
          <w:szCs w:val="21"/>
          <w:highlight w:val="none"/>
        </w:rPr>
      </w:pPr>
      <w:r>
        <w:rPr>
          <w:rFonts w:hint="eastAsia" w:ascii="宋体" w:hAnsi="宋体"/>
          <w:color w:val="auto"/>
          <w:szCs w:val="21"/>
          <w:highlight w:val="none"/>
        </w:rPr>
        <w:t xml:space="preserve">                      法定代表人（签章）：</w:t>
      </w:r>
    </w:p>
    <w:p w14:paraId="1A74B7C6">
      <w:pPr>
        <w:spacing w:line="560" w:lineRule="exact"/>
        <w:ind w:firstLine="420"/>
        <w:rPr>
          <w:rFonts w:ascii="宋体" w:hAnsi="宋体"/>
          <w:color w:val="auto"/>
          <w:szCs w:val="21"/>
          <w:highlight w:val="none"/>
        </w:rPr>
      </w:pPr>
      <w:r>
        <w:rPr>
          <w:rFonts w:hint="eastAsia" w:ascii="宋体" w:hAnsi="宋体"/>
          <w:color w:val="auto"/>
          <w:szCs w:val="21"/>
          <w:highlight w:val="none"/>
        </w:rPr>
        <w:t xml:space="preserve">        </w:t>
      </w:r>
    </w:p>
    <w:p w14:paraId="11285C0D">
      <w:pPr>
        <w:spacing w:line="560" w:lineRule="exact"/>
        <w:ind w:firstLine="420"/>
        <w:jc w:val="left"/>
        <w:rPr>
          <w:rFonts w:ascii="宋体" w:hAnsi="宋体"/>
          <w:color w:val="auto"/>
          <w:szCs w:val="21"/>
          <w:highlight w:val="none"/>
        </w:rPr>
      </w:pPr>
      <w:r>
        <w:rPr>
          <w:rFonts w:hint="eastAsia" w:ascii="宋体" w:hAnsi="宋体"/>
          <w:color w:val="auto"/>
          <w:szCs w:val="21"/>
          <w:highlight w:val="none"/>
        </w:rPr>
        <w:t xml:space="preserve">                                           供应商名称（</w:t>
      </w:r>
      <w:r>
        <w:rPr>
          <w:rFonts w:hint="eastAsia" w:ascii="宋体" w:hAnsi="宋体"/>
          <w:color w:val="auto"/>
          <w:sz w:val="21"/>
          <w:szCs w:val="21"/>
          <w:highlight w:val="none"/>
          <w:lang w:eastAsia="zh-CN"/>
        </w:rPr>
        <w:t>加盖CA电子签章</w:t>
      </w:r>
      <w:r>
        <w:rPr>
          <w:rFonts w:hint="eastAsia" w:ascii="宋体" w:hAnsi="宋体"/>
          <w:color w:val="auto"/>
          <w:szCs w:val="21"/>
          <w:highlight w:val="none"/>
        </w:rPr>
        <w:t>）：</w:t>
      </w:r>
    </w:p>
    <w:p w14:paraId="40C15658">
      <w:pPr>
        <w:spacing w:line="560" w:lineRule="exact"/>
        <w:ind w:firstLine="420"/>
        <w:rPr>
          <w:rFonts w:ascii="宋体" w:hAnsi="宋体"/>
          <w:color w:val="auto"/>
          <w:szCs w:val="21"/>
          <w:highlight w:val="none"/>
        </w:rPr>
      </w:pPr>
    </w:p>
    <w:p w14:paraId="071AAD2E">
      <w:pPr>
        <w:spacing w:line="560" w:lineRule="exact"/>
        <w:ind w:firstLine="1470"/>
        <w:jc w:val="center"/>
        <w:rPr>
          <w:rFonts w:ascii="宋体" w:hAnsi="宋体"/>
          <w:color w:val="auto"/>
          <w:szCs w:val="21"/>
          <w:highlight w:val="none"/>
        </w:rPr>
      </w:pPr>
      <w:r>
        <w:rPr>
          <w:rFonts w:hint="eastAsia" w:ascii="宋体" w:hAnsi="宋体"/>
          <w:color w:val="auto"/>
          <w:szCs w:val="21"/>
          <w:highlight w:val="none"/>
        </w:rPr>
        <w:t xml:space="preserve">                            </w:t>
      </w:r>
      <w:r>
        <w:rPr>
          <w:rFonts w:ascii="宋体" w:hAnsi="宋体"/>
          <w:color w:val="auto"/>
          <w:szCs w:val="21"/>
          <w:highlight w:val="none"/>
        </w:rPr>
        <w:t>年   月   日</w:t>
      </w:r>
    </w:p>
    <w:p w14:paraId="304ED570">
      <w:pPr>
        <w:spacing w:line="360" w:lineRule="auto"/>
        <w:jc w:val="center"/>
        <w:rPr>
          <w:rFonts w:ascii="宋体" w:hAnsi="宋体"/>
          <w:b/>
          <w:bCs/>
          <w:color w:val="auto"/>
          <w:highlight w:val="none"/>
        </w:rPr>
      </w:pPr>
    </w:p>
    <w:p w14:paraId="20CD656D">
      <w:pPr>
        <w:spacing w:line="360" w:lineRule="auto"/>
        <w:jc w:val="center"/>
        <w:rPr>
          <w:rFonts w:ascii="宋体" w:hAnsi="宋体"/>
          <w:b/>
          <w:bCs/>
          <w:color w:val="auto"/>
          <w:highlight w:val="none"/>
        </w:rPr>
      </w:pPr>
    </w:p>
    <w:p w14:paraId="18F96966">
      <w:pPr>
        <w:spacing w:line="360" w:lineRule="auto"/>
        <w:jc w:val="center"/>
        <w:rPr>
          <w:rFonts w:ascii="宋体" w:hAnsi="宋体"/>
          <w:b/>
          <w:bCs/>
          <w:color w:val="auto"/>
          <w:highlight w:val="none"/>
        </w:rPr>
      </w:pPr>
    </w:p>
    <w:p w14:paraId="2A4E5199">
      <w:pPr>
        <w:pStyle w:val="26"/>
        <w:rPr>
          <w:color w:val="auto"/>
          <w:highlight w:val="none"/>
        </w:rPr>
      </w:pPr>
    </w:p>
    <w:p w14:paraId="67A277F0">
      <w:pPr>
        <w:spacing w:line="500" w:lineRule="exact"/>
        <w:jc w:val="center"/>
        <w:rPr>
          <w:rFonts w:ascii="宋体" w:hAnsi="宋体"/>
          <w:b/>
          <w:color w:val="auto"/>
          <w:szCs w:val="21"/>
          <w:highlight w:val="none"/>
        </w:rPr>
      </w:pPr>
      <w:r>
        <w:rPr>
          <w:rFonts w:hint="eastAsia" w:ascii="宋体" w:hAnsi="宋体"/>
          <w:b/>
          <w:color w:val="auto"/>
          <w:szCs w:val="21"/>
          <w:highlight w:val="none"/>
        </w:rPr>
        <w:t>供应商信用承诺书</w:t>
      </w:r>
    </w:p>
    <w:p w14:paraId="4BD784BF">
      <w:pPr>
        <w:keepNext w:val="0"/>
        <w:keepLines w:val="0"/>
        <w:pageBreakBefore w:val="0"/>
        <w:widowControl w:val="0"/>
        <w:spacing w:line="360" w:lineRule="auto"/>
        <w:rPr>
          <w:rFonts w:ascii="宋体" w:hAnsi="宋体"/>
          <w:color w:val="auto"/>
          <w:szCs w:val="21"/>
          <w:highlight w:val="none"/>
        </w:rPr>
      </w:pPr>
      <w:r>
        <w:rPr>
          <w:rFonts w:hint="eastAsia" w:ascii="宋体" w:hAnsi="宋体"/>
          <w:color w:val="auto"/>
          <w:szCs w:val="21"/>
          <w:highlight w:val="none"/>
        </w:rPr>
        <w:t>承诺主体名称：</w:t>
      </w:r>
    </w:p>
    <w:p w14:paraId="0B6E36C0">
      <w:pPr>
        <w:keepNext w:val="0"/>
        <w:keepLines w:val="0"/>
        <w:pageBreakBefore w:val="0"/>
        <w:widowControl w:val="0"/>
        <w:spacing w:line="360" w:lineRule="auto"/>
        <w:rPr>
          <w:rFonts w:ascii="宋体" w:hAnsi="宋体"/>
          <w:color w:val="auto"/>
          <w:szCs w:val="21"/>
          <w:highlight w:val="none"/>
        </w:rPr>
      </w:pPr>
      <w:r>
        <w:rPr>
          <w:rFonts w:hint="eastAsia" w:ascii="宋体" w:hAnsi="宋体"/>
          <w:color w:val="auto"/>
          <w:szCs w:val="21"/>
          <w:highlight w:val="none"/>
        </w:rPr>
        <w:t>统一社会信用代码：</w:t>
      </w:r>
    </w:p>
    <w:p w14:paraId="03CCF3F0">
      <w:pPr>
        <w:keepNext w:val="0"/>
        <w:keepLines w:val="0"/>
        <w:pageBreakBefore w:val="0"/>
        <w:widowControl w:val="0"/>
        <w:spacing w:line="360" w:lineRule="auto"/>
        <w:ind w:firstLine="420"/>
        <w:rPr>
          <w:rFonts w:ascii="宋体" w:hAnsi="宋体"/>
          <w:color w:val="auto"/>
          <w:szCs w:val="21"/>
          <w:highlight w:val="none"/>
        </w:rPr>
      </w:pPr>
      <w:r>
        <w:rPr>
          <w:rFonts w:hint="eastAsia" w:ascii="宋体" w:hAnsi="宋体"/>
          <w:color w:val="auto"/>
          <w:szCs w:val="21"/>
          <w:highlight w:val="none"/>
        </w:rPr>
        <w:t>为维护公平竞争、规范有序的市场秩序，营造诚实守信的信用环境，共同推进社会信用体系建设完善，树立企业诚信守法形象，本企业对</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项目政府采购活动郑重承诺如下:</w:t>
      </w:r>
    </w:p>
    <w:p w14:paraId="6385399D">
      <w:pPr>
        <w:keepNext w:val="0"/>
        <w:keepLines w:val="0"/>
        <w:pageBreakBefore w:val="0"/>
        <w:widowControl w:val="0"/>
        <w:spacing w:line="360" w:lineRule="auto"/>
        <w:ind w:firstLine="420"/>
        <w:rPr>
          <w:rFonts w:ascii="宋体" w:hAnsi="宋体"/>
          <w:color w:val="auto"/>
          <w:szCs w:val="21"/>
          <w:highlight w:val="none"/>
        </w:rPr>
      </w:pPr>
      <w:r>
        <w:rPr>
          <w:rFonts w:hint="eastAsia" w:ascii="宋体" w:hAnsi="宋体"/>
          <w:color w:val="auto"/>
          <w:szCs w:val="21"/>
          <w:highlight w:val="none"/>
        </w:rPr>
        <w:t>一、对提供给注册登记部门、行业管理部门、司法部门、行业组织以及在政府采购活动中提交的所有资料的合法性、真实性、准确性和有效性负责；</w:t>
      </w:r>
    </w:p>
    <w:p w14:paraId="41527546">
      <w:pPr>
        <w:keepNext w:val="0"/>
        <w:keepLines w:val="0"/>
        <w:pageBreakBefore w:val="0"/>
        <w:widowControl w:val="0"/>
        <w:spacing w:line="360" w:lineRule="auto"/>
        <w:ind w:firstLine="420"/>
        <w:rPr>
          <w:rFonts w:ascii="宋体" w:hAnsi="宋体"/>
          <w:color w:val="auto"/>
          <w:szCs w:val="21"/>
          <w:highlight w:val="none"/>
        </w:rPr>
      </w:pPr>
      <w:r>
        <w:rPr>
          <w:rFonts w:hint="eastAsia" w:ascii="宋体" w:hAnsi="宋体"/>
          <w:color w:val="auto"/>
          <w:szCs w:val="21"/>
          <w:highlight w:val="none"/>
        </w:rPr>
        <w:t>二、严格按照国家法律、法规和规章开展采购活动，全面履行应尽的责任和义务，全面做到履约守信，具备《中华人民共和国政府采购法》第二十二条第一款规定的条件;</w:t>
      </w:r>
    </w:p>
    <w:p w14:paraId="0BEE6577">
      <w:pPr>
        <w:keepNext w:val="0"/>
        <w:keepLines w:val="0"/>
        <w:pageBreakBefore w:val="0"/>
        <w:widowControl w:val="0"/>
        <w:spacing w:line="360" w:lineRule="auto"/>
        <w:ind w:firstLine="420"/>
        <w:rPr>
          <w:rFonts w:ascii="宋体" w:hAnsi="宋体"/>
          <w:color w:val="auto"/>
          <w:szCs w:val="21"/>
          <w:highlight w:val="none"/>
        </w:rPr>
      </w:pPr>
      <w:r>
        <w:rPr>
          <w:rFonts w:hint="eastAsia" w:ascii="宋体" w:hAnsi="宋体"/>
          <w:color w:val="auto"/>
          <w:szCs w:val="21"/>
          <w:highlight w:val="none"/>
        </w:rPr>
        <w:t>三、严格依法开展生产经营活动，主动接受行业监管，自愿接受依法开展的日常检查；违法失信经营后将自愿接受约束和惩戒，并依法承担相应责任；</w:t>
      </w:r>
    </w:p>
    <w:p w14:paraId="2DD2594B">
      <w:pPr>
        <w:keepNext w:val="0"/>
        <w:keepLines w:val="0"/>
        <w:pageBreakBefore w:val="0"/>
        <w:widowControl w:val="0"/>
        <w:spacing w:line="360" w:lineRule="auto"/>
        <w:ind w:firstLine="420"/>
        <w:rPr>
          <w:rFonts w:ascii="宋体" w:hAnsi="宋体"/>
          <w:color w:val="auto"/>
          <w:szCs w:val="21"/>
          <w:highlight w:val="none"/>
        </w:rPr>
      </w:pPr>
      <w:r>
        <w:rPr>
          <w:rFonts w:hint="eastAsia" w:ascii="宋体" w:hAnsi="宋体"/>
          <w:color w:val="auto"/>
          <w:szCs w:val="21"/>
          <w:highlight w:val="none"/>
        </w:rPr>
        <w:t>四、自觉接受行政管理部门、行业组织、社会公众、新闻舆论的监督；</w:t>
      </w:r>
    </w:p>
    <w:p w14:paraId="66313DE8">
      <w:pPr>
        <w:keepNext w:val="0"/>
        <w:keepLines w:val="0"/>
        <w:pageBreakBefore w:val="0"/>
        <w:widowControl w:val="0"/>
        <w:spacing w:line="360" w:lineRule="auto"/>
        <w:ind w:firstLine="420"/>
        <w:rPr>
          <w:rFonts w:ascii="宋体" w:hAnsi="宋体"/>
          <w:color w:val="auto"/>
          <w:szCs w:val="21"/>
          <w:highlight w:val="none"/>
        </w:rPr>
      </w:pPr>
      <w:r>
        <w:rPr>
          <w:rFonts w:hint="eastAsia" w:ascii="宋体" w:hAnsi="宋体"/>
          <w:color w:val="auto"/>
          <w:szCs w:val="21"/>
          <w:highlight w:val="none"/>
        </w:rPr>
        <w:t>五、自觉做到自我约束、自我管理，不制假售假、商标侵权、虚假宣传、违约毁约、恶意逃债、偷税漏税、垄断和不正当竞争，维护经营者、消费者的合法权益；</w:t>
      </w:r>
    </w:p>
    <w:p w14:paraId="17C37244">
      <w:pPr>
        <w:keepNext w:val="0"/>
        <w:keepLines w:val="0"/>
        <w:pageBreakBefore w:val="0"/>
        <w:widowControl w:val="0"/>
        <w:spacing w:line="360" w:lineRule="auto"/>
        <w:ind w:firstLine="420"/>
        <w:rPr>
          <w:rFonts w:ascii="宋体" w:hAnsi="宋体"/>
          <w:color w:val="auto"/>
          <w:szCs w:val="21"/>
          <w:highlight w:val="none"/>
        </w:rPr>
      </w:pPr>
      <w:r>
        <w:rPr>
          <w:rFonts w:hint="eastAsia" w:ascii="宋体" w:hAnsi="宋体"/>
          <w:color w:val="auto"/>
          <w:szCs w:val="21"/>
          <w:highlight w:val="none"/>
        </w:rPr>
        <w:t>六、提出政府采购质疑和投诉坚持依法依规、诚实信用原则，在全国范围12个月内没有三次以上查无实据的政府采购投诉；</w:t>
      </w:r>
    </w:p>
    <w:p w14:paraId="2E3BDAFE">
      <w:pPr>
        <w:keepNext w:val="0"/>
        <w:keepLines w:val="0"/>
        <w:pageBreakBefore w:val="0"/>
        <w:widowControl w:val="0"/>
        <w:spacing w:line="360" w:lineRule="auto"/>
        <w:ind w:firstLine="420"/>
        <w:rPr>
          <w:rFonts w:ascii="宋体" w:hAnsi="宋体"/>
          <w:color w:val="auto"/>
          <w:szCs w:val="21"/>
          <w:highlight w:val="none"/>
        </w:rPr>
      </w:pPr>
      <w:r>
        <w:rPr>
          <w:rFonts w:hint="eastAsia" w:ascii="宋体" w:hAnsi="宋体"/>
          <w:color w:val="auto"/>
          <w:szCs w:val="21"/>
          <w:highlight w:val="none"/>
        </w:rPr>
        <w:t>七、严格遵守信用信息公示相关规定，向社会公示信用信息；</w:t>
      </w:r>
    </w:p>
    <w:p w14:paraId="1E1D49FA">
      <w:pPr>
        <w:keepNext w:val="0"/>
        <w:keepLines w:val="0"/>
        <w:pageBreakBefore w:val="0"/>
        <w:widowControl w:val="0"/>
        <w:spacing w:line="360" w:lineRule="auto"/>
        <w:ind w:firstLine="420"/>
        <w:rPr>
          <w:rFonts w:ascii="宋体" w:hAnsi="宋体"/>
          <w:color w:val="auto"/>
          <w:szCs w:val="21"/>
          <w:highlight w:val="none"/>
        </w:rPr>
      </w:pPr>
      <w:r>
        <w:rPr>
          <w:rFonts w:hint="eastAsia" w:ascii="宋体" w:hAnsi="宋体"/>
          <w:color w:val="auto"/>
          <w:szCs w:val="21"/>
          <w:highlight w:val="none"/>
        </w:rPr>
        <w:t>八、在“信用中国”和“中国政府采购网”网站中无严重失信记录；</w:t>
      </w:r>
    </w:p>
    <w:p w14:paraId="21051469">
      <w:pPr>
        <w:keepNext w:val="0"/>
        <w:keepLines w:val="0"/>
        <w:pageBreakBefore w:val="0"/>
        <w:widowControl w:val="0"/>
        <w:spacing w:line="360" w:lineRule="auto"/>
        <w:ind w:firstLine="420"/>
        <w:rPr>
          <w:rFonts w:ascii="宋体" w:hAnsi="宋体"/>
          <w:color w:val="auto"/>
          <w:szCs w:val="21"/>
          <w:highlight w:val="none"/>
        </w:rPr>
      </w:pPr>
      <w:r>
        <w:rPr>
          <w:rFonts w:hint="eastAsia" w:ascii="宋体" w:hAnsi="宋体"/>
          <w:color w:val="auto"/>
          <w:szCs w:val="21"/>
          <w:highlight w:val="none"/>
        </w:rPr>
        <w:t>九、如违反承诺，自愿接受管理部门依法给予的行政处罚，同意将违反承诺的行为作为不良记录记入信用档案，依法依规进行信息公示，并承担所产生的一切法律责任和经济损失。</w:t>
      </w:r>
    </w:p>
    <w:p w14:paraId="04C9E023">
      <w:pPr>
        <w:keepNext w:val="0"/>
        <w:keepLines w:val="0"/>
        <w:pageBreakBefore w:val="0"/>
        <w:widowControl w:val="0"/>
        <w:spacing w:line="360" w:lineRule="auto"/>
        <w:ind w:firstLine="420"/>
        <w:rPr>
          <w:rFonts w:ascii="宋体" w:hAnsi="宋体"/>
          <w:color w:val="auto"/>
          <w:szCs w:val="21"/>
          <w:highlight w:val="none"/>
        </w:rPr>
      </w:pPr>
      <w:r>
        <w:rPr>
          <w:rFonts w:hint="eastAsia" w:ascii="宋体" w:hAnsi="宋体"/>
          <w:color w:val="auto"/>
          <w:szCs w:val="21"/>
          <w:highlight w:val="none"/>
        </w:rPr>
        <w:t>十、本承诺书自签订之日起生效。</w:t>
      </w:r>
    </w:p>
    <w:p w14:paraId="1238B475">
      <w:pPr>
        <w:keepNext w:val="0"/>
        <w:keepLines w:val="0"/>
        <w:pageBreakBefore w:val="0"/>
        <w:widowControl w:val="0"/>
        <w:spacing w:line="360" w:lineRule="auto"/>
        <w:ind w:firstLine="420"/>
        <w:rPr>
          <w:rFonts w:ascii="宋体" w:hAnsi="宋体"/>
          <w:color w:val="auto"/>
          <w:szCs w:val="21"/>
          <w:highlight w:val="none"/>
        </w:rPr>
      </w:pPr>
      <w:r>
        <w:rPr>
          <w:rFonts w:hint="eastAsia" w:ascii="宋体" w:hAnsi="宋体"/>
          <w:color w:val="auto"/>
          <w:szCs w:val="21"/>
          <w:highlight w:val="none"/>
        </w:rPr>
        <w:t> （注：法定代表人或负责人、主体名称发生变更的应当重新</w:t>
      </w:r>
      <w:r>
        <w:rPr>
          <w:rFonts w:hint="eastAsia" w:ascii="宋体" w:hAnsi="宋体"/>
          <w:color w:val="auto"/>
          <w:szCs w:val="21"/>
          <w:highlight w:val="none"/>
          <w:lang w:eastAsia="zh-CN"/>
        </w:rPr>
        <w:t>作出</w:t>
      </w:r>
      <w:r>
        <w:rPr>
          <w:rFonts w:hint="eastAsia" w:ascii="宋体" w:hAnsi="宋体"/>
          <w:color w:val="auto"/>
          <w:szCs w:val="21"/>
          <w:highlight w:val="none"/>
        </w:rPr>
        <w:t>承诺。）</w:t>
      </w:r>
    </w:p>
    <w:p w14:paraId="686250D9">
      <w:pPr>
        <w:keepNext w:val="0"/>
        <w:keepLines w:val="0"/>
        <w:pageBreakBefore w:val="0"/>
        <w:widowControl w:val="0"/>
        <w:spacing w:line="360" w:lineRule="auto"/>
        <w:rPr>
          <w:rFonts w:ascii="宋体" w:hAnsi="宋体"/>
          <w:color w:val="auto"/>
          <w:szCs w:val="21"/>
          <w:highlight w:val="none"/>
        </w:rPr>
      </w:pPr>
    </w:p>
    <w:p w14:paraId="2AD55650">
      <w:pPr>
        <w:keepNext w:val="0"/>
        <w:keepLines w:val="0"/>
        <w:pageBreakBefore w:val="0"/>
        <w:widowControl w:val="0"/>
        <w:spacing w:line="360" w:lineRule="auto"/>
        <w:jc w:val="center"/>
        <w:rPr>
          <w:rFonts w:ascii="宋体" w:hAnsi="宋体"/>
          <w:color w:val="auto"/>
          <w:szCs w:val="21"/>
          <w:highlight w:val="none"/>
        </w:rPr>
      </w:pPr>
      <w:r>
        <w:rPr>
          <w:rFonts w:hint="eastAsia" w:ascii="宋体" w:hAnsi="宋体"/>
          <w:color w:val="auto"/>
          <w:szCs w:val="21"/>
          <w:highlight w:val="none"/>
        </w:rPr>
        <w:t>　　　　　　　　　　        承诺单位（</w:t>
      </w:r>
      <w:r>
        <w:rPr>
          <w:rFonts w:hint="eastAsia" w:ascii="宋体" w:hAnsi="宋体"/>
          <w:color w:val="auto"/>
          <w:sz w:val="21"/>
          <w:szCs w:val="21"/>
          <w:highlight w:val="none"/>
          <w:lang w:eastAsia="zh-CN"/>
        </w:rPr>
        <w:t>加盖CA电子签章</w:t>
      </w:r>
      <w:r>
        <w:rPr>
          <w:rFonts w:hint="eastAsia" w:ascii="宋体" w:hAnsi="宋体"/>
          <w:color w:val="auto"/>
          <w:szCs w:val="21"/>
          <w:highlight w:val="none"/>
        </w:rPr>
        <w:t xml:space="preserve">）： </w:t>
      </w:r>
    </w:p>
    <w:p w14:paraId="5177BA00">
      <w:pPr>
        <w:keepNext w:val="0"/>
        <w:keepLines w:val="0"/>
        <w:pageBreakBefore w:val="0"/>
        <w:widowControl w:val="0"/>
        <w:spacing w:line="360" w:lineRule="auto"/>
        <w:jc w:val="center"/>
        <w:rPr>
          <w:rFonts w:ascii="宋体" w:hAnsi="宋体"/>
          <w:color w:val="auto"/>
          <w:szCs w:val="21"/>
          <w:highlight w:val="none"/>
        </w:rPr>
      </w:pPr>
      <w:r>
        <w:rPr>
          <w:rFonts w:hint="eastAsia" w:ascii="宋体" w:hAnsi="宋体"/>
          <w:color w:val="auto"/>
          <w:szCs w:val="21"/>
          <w:highlight w:val="none"/>
        </w:rPr>
        <w:t>　　　　　　　　　   　  法定代表人（负责人）：</w:t>
      </w:r>
    </w:p>
    <w:p w14:paraId="3FE8ABA4">
      <w:pPr>
        <w:keepNext w:val="0"/>
        <w:keepLines w:val="0"/>
        <w:pageBreakBefore w:val="0"/>
        <w:widowControl w:val="0"/>
        <w:spacing w:line="360" w:lineRule="auto"/>
        <w:jc w:val="center"/>
        <w:rPr>
          <w:rFonts w:ascii="宋体" w:hAnsi="宋体"/>
          <w:color w:val="auto"/>
          <w:szCs w:val="21"/>
          <w:highlight w:val="none"/>
        </w:rPr>
      </w:pPr>
      <w:r>
        <w:rPr>
          <w:rFonts w:hint="eastAsia" w:ascii="宋体" w:hAnsi="宋体"/>
          <w:color w:val="auto"/>
          <w:szCs w:val="21"/>
          <w:highlight w:val="none"/>
        </w:rPr>
        <w:t>　　　　　　　　　      　年</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月</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日</w:t>
      </w:r>
    </w:p>
    <w:p w14:paraId="6CD18F18">
      <w:pPr>
        <w:rPr>
          <w:color w:val="auto"/>
          <w:highlight w:val="none"/>
        </w:rPr>
      </w:pPr>
    </w:p>
    <w:p w14:paraId="426FD1F5">
      <w:pPr>
        <w:spacing w:before="312" w:after="312" w:line="360" w:lineRule="auto"/>
        <w:jc w:val="center"/>
        <w:rPr>
          <w:rFonts w:hint="eastAsia"/>
          <w:b/>
          <w:bCs/>
          <w:color w:val="auto"/>
          <w:highlight w:val="none"/>
        </w:rPr>
        <w:sectPr>
          <w:pgSz w:w="11906" w:h="16838"/>
          <w:pgMar w:top="1440" w:right="1800" w:bottom="1440" w:left="1800" w:header="851" w:footer="992" w:gutter="0"/>
          <w:cols w:space="720" w:num="1"/>
          <w:docGrid w:linePitch="360" w:charSpace="0"/>
        </w:sectPr>
      </w:pPr>
    </w:p>
    <w:p w14:paraId="2420B11B">
      <w:pPr>
        <w:spacing w:before="312" w:after="312" w:line="360" w:lineRule="auto"/>
        <w:jc w:val="center"/>
        <w:rPr>
          <w:b/>
          <w:bCs/>
          <w:color w:val="auto"/>
          <w:highlight w:val="none"/>
        </w:rPr>
      </w:pPr>
      <w:r>
        <w:rPr>
          <w:rFonts w:hint="eastAsia"/>
          <w:b/>
          <w:bCs/>
          <w:color w:val="auto"/>
          <w:highlight w:val="none"/>
        </w:rPr>
        <w:t>中小企业声明函（工程、服务）</w:t>
      </w:r>
    </w:p>
    <w:p w14:paraId="0168E953">
      <w:pPr>
        <w:spacing w:line="360" w:lineRule="auto"/>
        <w:ind w:firstLine="420"/>
        <w:jc w:val="left"/>
        <w:rPr>
          <w:color w:val="auto"/>
          <w:highlight w:val="none"/>
        </w:rPr>
      </w:pPr>
      <w:r>
        <w:rPr>
          <w:rFonts w:hint="eastAsia"/>
          <w:color w:val="auto"/>
          <w:highlight w:val="none"/>
        </w:rPr>
        <w:t>本公司（联合体）郑重声明，根据《政府采购促进中小企业发展管理办法》（财库﹝</w:t>
      </w:r>
      <w:r>
        <w:rPr>
          <w:color w:val="auto"/>
          <w:highlight w:val="none"/>
        </w:rPr>
        <w:t>2020</w:t>
      </w:r>
      <w:r>
        <w:rPr>
          <w:rFonts w:hint="eastAsia"/>
          <w:color w:val="auto"/>
          <w:highlight w:val="none"/>
        </w:rPr>
        <w:t>﹞</w:t>
      </w:r>
      <w:r>
        <w:rPr>
          <w:color w:val="auto"/>
          <w:highlight w:val="none"/>
        </w:rPr>
        <w:t xml:space="preserve">46 </w:t>
      </w:r>
      <w:r>
        <w:rPr>
          <w:rFonts w:hint="eastAsia"/>
          <w:color w:val="auto"/>
          <w:highlight w:val="none"/>
        </w:rPr>
        <w:t>号）的规定，本公司（联合体）参加</w:t>
      </w:r>
      <w:r>
        <w:rPr>
          <w:rFonts w:hint="eastAsia"/>
          <w:color w:val="auto"/>
          <w:highlight w:val="none"/>
          <w:u w:val="single"/>
          <w:lang w:eastAsia="zh-CN"/>
        </w:rPr>
        <w:t>（单位名称）</w:t>
      </w:r>
      <w:r>
        <w:rPr>
          <w:rFonts w:hint="eastAsia"/>
          <w:color w:val="auto"/>
          <w:highlight w:val="none"/>
        </w:rPr>
        <w:t>的</w:t>
      </w:r>
      <w:r>
        <w:rPr>
          <w:rFonts w:hint="eastAsia"/>
          <w:color w:val="auto"/>
          <w:highlight w:val="none"/>
          <w:lang w:eastAsia="zh-CN"/>
        </w:rPr>
        <w:t>（</w:t>
      </w:r>
      <w:r>
        <w:rPr>
          <w:rFonts w:hint="eastAsia"/>
          <w:color w:val="auto"/>
          <w:highlight w:val="none"/>
          <w:u w:val="single"/>
          <w:lang w:eastAsia="zh-CN"/>
        </w:rPr>
        <w:t>项目名称）</w:t>
      </w:r>
      <w:r>
        <w:rPr>
          <w:rFonts w:hint="eastAsia"/>
          <w:color w:val="auto"/>
          <w:highlight w:val="none"/>
          <w:lang w:eastAsia="zh-CN"/>
        </w:rPr>
        <w:t>采购</w:t>
      </w:r>
      <w:r>
        <w:rPr>
          <w:rFonts w:hint="eastAsia"/>
          <w:color w:val="auto"/>
          <w:highlight w:val="none"/>
        </w:rPr>
        <w:t>活动，工程的施工单位全部为符合政策要求的中小企业（或者：服务全部由符合政策要求的中小企业承接）。相关企业（含联合体中的中小企业、签订分包意向协议的中小企业）的具体情况如下：</w:t>
      </w:r>
    </w:p>
    <w:p w14:paraId="6F412E47">
      <w:pPr>
        <w:spacing w:line="360" w:lineRule="auto"/>
        <w:ind w:firstLine="420"/>
        <w:jc w:val="left"/>
        <w:rPr>
          <w:color w:val="auto"/>
          <w:highlight w:val="none"/>
          <w:u w:val="single"/>
        </w:rPr>
      </w:pPr>
      <w:r>
        <w:rPr>
          <w:color w:val="auto"/>
          <w:highlight w:val="none"/>
        </w:rPr>
        <w:t xml:space="preserve">1. </w:t>
      </w:r>
      <w:r>
        <w:rPr>
          <w:rFonts w:hint="eastAsia"/>
          <w:color w:val="auto"/>
          <w:highlight w:val="none"/>
          <w:u w:val="single"/>
          <w:lang w:eastAsia="zh-CN"/>
        </w:rPr>
        <w:t>（标的名称）</w:t>
      </w:r>
      <w:r>
        <w:rPr>
          <w:rFonts w:hint="eastAsia"/>
          <w:color w:val="auto"/>
          <w:highlight w:val="none"/>
        </w:rPr>
        <w:t>，属于</w:t>
      </w:r>
      <w:r>
        <w:rPr>
          <w:rFonts w:hint="eastAsia"/>
          <w:color w:val="auto"/>
          <w:highlight w:val="none"/>
          <w:u w:val="single"/>
        </w:rPr>
        <w:t>（采购文件中明确的所属行业）</w:t>
      </w:r>
      <w:r>
        <w:rPr>
          <w:rFonts w:hint="eastAsia"/>
          <w:color w:val="auto"/>
          <w:highlight w:val="none"/>
        </w:rPr>
        <w:t>；承建（承接）企业为</w:t>
      </w:r>
      <w:r>
        <w:rPr>
          <w:rFonts w:hint="eastAsia"/>
          <w:color w:val="auto"/>
          <w:highlight w:val="none"/>
          <w:u w:val="single"/>
        </w:rPr>
        <w:t>（企业名称）</w:t>
      </w:r>
      <w:r>
        <w:rPr>
          <w:rFonts w:hint="eastAsia"/>
          <w:color w:val="auto"/>
          <w:highlight w:val="none"/>
        </w:rPr>
        <w:t>，从业人员</w:t>
      </w:r>
      <w:r>
        <w:rPr>
          <w:color w:val="auto"/>
          <w:highlight w:val="none"/>
          <w:u w:val="single"/>
        </w:rPr>
        <w:t xml:space="preserve">      </w:t>
      </w:r>
      <w:r>
        <w:rPr>
          <w:rFonts w:hint="eastAsia"/>
          <w:color w:val="auto"/>
          <w:highlight w:val="none"/>
        </w:rPr>
        <w:t>人，营业收入为</w:t>
      </w:r>
      <w:r>
        <w:rPr>
          <w:color w:val="auto"/>
          <w:highlight w:val="none"/>
          <w:u w:val="single"/>
        </w:rPr>
        <w:t xml:space="preserve">      </w:t>
      </w:r>
      <w:r>
        <w:rPr>
          <w:rFonts w:hint="eastAsia"/>
          <w:color w:val="auto"/>
          <w:highlight w:val="none"/>
        </w:rPr>
        <w:t>万元，资产总额为</w:t>
      </w:r>
      <w:r>
        <w:rPr>
          <w:color w:val="auto"/>
          <w:highlight w:val="none"/>
          <w:u w:val="single"/>
        </w:rPr>
        <w:t xml:space="preserve">       </w:t>
      </w:r>
      <w:r>
        <w:rPr>
          <w:rFonts w:hint="eastAsia"/>
          <w:color w:val="auto"/>
          <w:highlight w:val="none"/>
        </w:rPr>
        <w:t>万元</w:t>
      </w:r>
      <w:r>
        <w:rPr>
          <w:color w:val="auto"/>
          <w:highlight w:val="none"/>
        </w:rPr>
        <w:fldChar w:fldCharType="begin"/>
      </w:r>
      <w:r>
        <w:rPr>
          <w:color w:val="auto"/>
          <w:highlight w:val="none"/>
        </w:rPr>
        <w:instrText xml:space="preserve"> HYPERLINK "../../Microsoft/Windows/INetCache/Down/undefined.doc" \l "br1" </w:instrText>
      </w:r>
      <w:r>
        <w:rPr>
          <w:color w:val="auto"/>
          <w:highlight w:val="none"/>
        </w:rPr>
        <w:fldChar w:fldCharType="separate"/>
      </w:r>
      <w:r>
        <w:rPr>
          <w:rStyle w:val="44"/>
          <w:rFonts w:hint="eastAsia" w:ascii="仿宋" w:eastAsia="Times New Roman"/>
          <w:color w:val="auto"/>
          <w:spacing w:val="-1"/>
          <w:highlight w:val="none"/>
          <w:vertAlign w:val="superscript"/>
        </w:rPr>
        <w:t>1</w:t>
      </w:r>
      <w:r>
        <w:rPr>
          <w:rStyle w:val="44"/>
          <w:rFonts w:hint="eastAsia" w:ascii="仿宋" w:eastAsia="Times New Roman"/>
          <w:color w:val="auto"/>
          <w:spacing w:val="-1"/>
          <w:highlight w:val="none"/>
          <w:vertAlign w:val="superscript"/>
        </w:rPr>
        <w:fldChar w:fldCharType="end"/>
      </w:r>
      <w:r>
        <w:rPr>
          <w:rFonts w:hint="eastAsia"/>
          <w:color w:val="auto"/>
          <w:highlight w:val="none"/>
        </w:rPr>
        <w:t>，属于</w:t>
      </w:r>
      <w:r>
        <w:rPr>
          <w:rFonts w:hint="eastAsia"/>
          <w:color w:val="auto"/>
          <w:highlight w:val="none"/>
          <w:u w:val="single"/>
        </w:rPr>
        <w:t>（□中型企业 □小型企业 □微型企业）；</w:t>
      </w:r>
    </w:p>
    <w:p w14:paraId="3B7AFBE9">
      <w:pPr>
        <w:spacing w:line="360" w:lineRule="auto"/>
        <w:ind w:firstLine="420"/>
        <w:jc w:val="left"/>
        <w:rPr>
          <w:color w:val="auto"/>
          <w:highlight w:val="none"/>
          <w:u w:val="single"/>
        </w:rPr>
      </w:pPr>
      <w:r>
        <w:rPr>
          <w:color w:val="auto"/>
          <w:highlight w:val="none"/>
        </w:rPr>
        <w:t xml:space="preserve">2. </w:t>
      </w:r>
      <w:r>
        <w:rPr>
          <w:rFonts w:hint="eastAsia"/>
          <w:color w:val="auto"/>
          <w:highlight w:val="none"/>
          <w:u w:val="single"/>
        </w:rPr>
        <w:t>（标的名称）</w:t>
      </w:r>
      <w:r>
        <w:rPr>
          <w:color w:val="auto"/>
          <w:highlight w:val="none"/>
        </w:rPr>
        <w:t xml:space="preserve"> </w:t>
      </w:r>
      <w:r>
        <w:rPr>
          <w:rFonts w:hint="eastAsia"/>
          <w:color w:val="auto"/>
          <w:highlight w:val="none"/>
        </w:rPr>
        <w:t>，属于</w:t>
      </w:r>
      <w:r>
        <w:rPr>
          <w:rFonts w:hint="eastAsia"/>
          <w:color w:val="auto"/>
          <w:highlight w:val="none"/>
          <w:u w:val="single"/>
        </w:rPr>
        <w:t>（采购文件中明确的所属行业）</w:t>
      </w:r>
      <w:r>
        <w:rPr>
          <w:rFonts w:hint="eastAsia"/>
          <w:color w:val="auto"/>
          <w:highlight w:val="none"/>
        </w:rPr>
        <w:t>；承建（承接）企业为</w:t>
      </w:r>
      <w:r>
        <w:rPr>
          <w:rFonts w:hint="eastAsia"/>
          <w:color w:val="auto"/>
          <w:highlight w:val="none"/>
          <w:u w:val="single"/>
        </w:rPr>
        <w:t>（企业名称）</w:t>
      </w:r>
      <w:r>
        <w:rPr>
          <w:rFonts w:hint="eastAsia"/>
          <w:color w:val="auto"/>
          <w:highlight w:val="none"/>
        </w:rPr>
        <w:t>，从业人员</w:t>
      </w:r>
      <w:r>
        <w:rPr>
          <w:color w:val="auto"/>
          <w:highlight w:val="none"/>
          <w:u w:val="single"/>
        </w:rPr>
        <w:t xml:space="preserve">      </w:t>
      </w:r>
      <w:r>
        <w:rPr>
          <w:rFonts w:hint="eastAsia"/>
          <w:color w:val="auto"/>
          <w:highlight w:val="none"/>
        </w:rPr>
        <w:t>人，营业收入为</w:t>
      </w:r>
      <w:r>
        <w:rPr>
          <w:color w:val="auto"/>
          <w:highlight w:val="none"/>
          <w:u w:val="single"/>
        </w:rPr>
        <w:t xml:space="preserve">      </w:t>
      </w:r>
      <w:r>
        <w:rPr>
          <w:rFonts w:hint="eastAsia"/>
          <w:color w:val="auto"/>
          <w:highlight w:val="none"/>
        </w:rPr>
        <w:t>万元，资产总额为</w:t>
      </w:r>
      <w:r>
        <w:rPr>
          <w:color w:val="auto"/>
          <w:highlight w:val="none"/>
          <w:u w:val="single"/>
        </w:rPr>
        <w:t xml:space="preserve">       </w:t>
      </w:r>
      <w:r>
        <w:rPr>
          <w:rFonts w:hint="eastAsia"/>
          <w:color w:val="auto"/>
          <w:highlight w:val="none"/>
        </w:rPr>
        <w:t>万元，属于</w:t>
      </w:r>
      <w:r>
        <w:rPr>
          <w:rFonts w:hint="eastAsia"/>
          <w:color w:val="auto"/>
          <w:highlight w:val="none"/>
          <w:u w:val="single"/>
        </w:rPr>
        <w:t>（□中型企业 □小型企业 □微型企业）；</w:t>
      </w:r>
    </w:p>
    <w:p w14:paraId="425ABFEB">
      <w:pPr>
        <w:spacing w:line="360" w:lineRule="auto"/>
        <w:ind w:firstLine="420"/>
        <w:jc w:val="left"/>
        <w:rPr>
          <w:color w:val="auto"/>
          <w:highlight w:val="none"/>
        </w:rPr>
      </w:pPr>
      <w:r>
        <w:rPr>
          <w:rFonts w:hint="eastAsia"/>
          <w:color w:val="auto"/>
          <w:highlight w:val="none"/>
        </w:rPr>
        <w:t>……</w:t>
      </w:r>
    </w:p>
    <w:p w14:paraId="79D8C397">
      <w:pPr>
        <w:spacing w:line="360" w:lineRule="auto"/>
        <w:ind w:firstLine="420"/>
        <w:jc w:val="left"/>
        <w:rPr>
          <w:color w:val="auto"/>
          <w:highlight w:val="none"/>
        </w:rPr>
      </w:pPr>
      <w:r>
        <w:rPr>
          <w:rFonts w:hint="eastAsia"/>
          <w:color w:val="auto"/>
          <w:highlight w:val="none"/>
        </w:rPr>
        <w:t>以上企业，不属于大企业的分支机构，不存在控股股东为大企业的情形，也不存在与大企业的负责人为同一人的情形。</w:t>
      </w:r>
    </w:p>
    <w:p w14:paraId="22B9A386">
      <w:pPr>
        <w:spacing w:line="360" w:lineRule="auto"/>
        <w:ind w:firstLine="420"/>
        <w:jc w:val="left"/>
        <w:rPr>
          <w:color w:val="auto"/>
          <w:highlight w:val="none"/>
        </w:rPr>
      </w:pPr>
      <w:r>
        <w:rPr>
          <w:rFonts w:hint="eastAsia"/>
          <w:color w:val="auto"/>
          <w:highlight w:val="none"/>
        </w:rPr>
        <w:t>本企业对上述声明内容的真实性负责。如有虚假，将依法承担相应责任。</w:t>
      </w:r>
    </w:p>
    <w:p w14:paraId="7A70B570">
      <w:pPr>
        <w:spacing w:line="360" w:lineRule="auto"/>
        <w:ind w:firstLine="420"/>
        <w:jc w:val="left"/>
        <w:rPr>
          <w:color w:val="auto"/>
          <w:highlight w:val="none"/>
        </w:rPr>
      </w:pPr>
    </w:p>
    <w:p w14:paraId="3B1061E4">
      <w:pPr>
        <w:spacing w:line="360" w:lineRule="auto"/>
        <w:rPr>
          <w:rFonts w:ascii="宋体" w:hAnsi="宋体"/>
          <w:color w:val="auto"/>
          <w:highlight w:val="none"/>
        </w:rPr>
      </w:pPr>
      <w:r>
        <w:rPr>
          <w:rFonts w:hint="eastAsia" w:ascii="宋体" w:hAnsi="宋体"/>
          <w:color w:val="auto"/>
          <w:highlight w:val="none"/>
        </w:rPr>
        <w:t>注：1、</w:t>
      </w:r>
      <w:r>
        <w:rPr>
          <w:rFonts w:hint="eastAsia"/>
          <w:color w:val="auto"/>
          <w:highlight w:val="none"/>
        </w:rPr>
        <w:t>从业人员（不仅指在职职工）、营业收入、资产总额填报上一年度数据，无上一年度数据的新成立企业可不填报。</w:t>
      </w:r>
    </w:p>
    <w:p w14:paraId="542142C7">
      <w:pPr>
        <w:spacing w:line="360" w:lineRule="auto"/>
        <w:ind w:firstLine="420"/>
        <w:rPr>
          <w:rFonts w:ascii="宋体" w:hAnsi="宋体"/>
          <w:color w:val="auto"/>
          <w:highlight w:val="none"/>
        </w:rPr>
      </w:pPr>
      <w:r>
        <w:rPr>
          <w:rFonts w:hint="eastAsia" w:ascii="宋体" w:hAnsi="宋体"/>
          <w:color w:val="auto"/>
          <w:highlight w:val="none"/>
        </w:rPr>
        <w:t>2、供应商如不提供此声明函，价格将不做相应扣除。</w:t>
      </w:r>
    </w:p>
    <w:p w14:paraId="025F9FB6">
      <w:pPr>
        <w:spacing w:line="360" w:lineRule="auto"/>
        <w:rPr>
          <w:rFonts w:ascii="宋体" w:hAnsi="宋体"/>
          <w:color w:val="auto"/>
          <w:highlight w:val="none"/>
        </w:rPr>
      </w:pPr>
      <w:r>
        <w:rPr>
          <w:rFonts w:hint="eastAsia" w:ascii="宋体" w:hAnsi="宋体"/>
          <w:color w:val="auto"/>
          <w:highlight w:val="none"/>
        </w:rPr>
        <w:t xml:space="preserve">    3、企业声明函请完整填写，中标后将公示。</w:t>
      </w:r>
    </w:p>
    <w:p w14:paraId="6E208D50">
      <w:pPr>
        <w:spacing w:line="360" w:lineRule="auto"/>
        <w:ind w:firstLine="420"/>
        <w:jc w:val="left"/>
        <w:rPr>
          <w:color w:val="auto"/>
          <w:highlight w:val="none"/>
        </w:rPr>
      </w:pPr>
      <w:r>
        <w:rPr>
          <w:rFonts w:hint="eastAsia"/>
          <w:color w:val="auto"/>
          <w:highlight w:val="none"/>
        </w:rPr>
        <w:t>4、投标人应当对其出具的《中小企业声明函》真实性负责，投标人出具的《中小企业声明函》内容不实的，属于提供虚假材料谋取中标。对相关制造商信息了解不充分，或者不能确定相关信息真实、准确的，不建议出具《中小企业声明函》。</w:t>
      </w:r>
    </w:p>
    <w:p w14:paraId="20DCAE78">
      <w:pPr>
        <w:spacing w:line="360" w:lineRule="auto"/>
        <w:ind w:firstLine="420"/>
        <w:jc w:val="left"/>
        <w:rPr>
          <w:color w:val="auto"/>
          <w:highlight w:val="none"/>
        </w:rPr>
      </w:pPr>
      <w:r>
        <w:rPr>
          <w:rFonts w:hint="eastAsia"/>
          <w:color w:val="auto"/>
          <w:highlight w:val="none"/>
        </w:rPr>
        <w:t>5、中小企业不得属于大企业的分支机构，不得存在控股股东为大企业的情形，不得存在与大企业的负责人为同一人的情形。</w:t>
      </w:r>
    </w:p>
    <w:p w14:paraId="7D23C200">
      <w:pPr>
        <w:spacing w:line="360" w:lineRule="auto"/>
        <w:ind w:firstLine="420"/>
        <w:jc w:val="left"/>
        <w:rPr>
          <w:color w:val="auto"/>
          <w:highlight w:val="none"/>
        </w:rPr>
      </w:pPr>
      <w:r>
        <w:rPr>
          <w:rFonts w:hint="eastAsia"/>
          <w:color w:val="auto"/>
          <w:highlight w:val="none"/>
        </w:rPr>
        <w:t>6、《政府采购法》第七十七条第一款：提供虚假材料谋取中标、成交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 。</w:t>
      </w:r>
    </w:p>
    <w:p w14:paraId="04D5EE91">
      <w:pPr>
        <w:spacing w:line="360" w:lineRule="auto"/>
        <w:ind w:firstLine="4620"/>
        <w:jc w:val="left"/>
        <w:rPr>
          <w:color w:val="auto"/>
          <w:highlight w:val="none"/>
        </w:rPr>
      </w:pPr>
      <w:r>
        <w:rPr>
          <w:rFonts w:hint="eastAsia"/>
          <w:color w:val="auto"/>
          <w:highlight w:val="none"/>
        </w:rPr>
        <w:t>企业名称（</w:t>
      </w:r>
      <w:r>
        <w:rPr>
          <w:rFonts w:hint="eastAsia" w:ascii="宋体" w:hAnsi="宋体"/>
          <w:color w:val="auto"/>
          <w:sz w:val="21"/>
          <w:szCs w:val="21"/>
          <w:highlight w:val="none"/>
          <w:lang w:eastAsia="zh-CN"/>
        </w:rPr>
        <w:t>加盖CA电子签章</w:t>
      </w:r>
      <w:r>
        <w:rPr>
          <w:rFonts w:hint="eastAsia"/>
          <w:color w:val="auto"/>
          <w:highlight w:val="none"/>
        </w:rPr>
        <w:t>）：</w:t>
      </w:r>
    </w:p>
    <w:p w14:paraId="5CF50062">
      <w:pPr>
        <w:spacing w:line="360" w:lineRule="auto"/>
        <w:ind w:firstLine="4620"/>
        <w:jc w:val="left"/>
        <w:rPr>
          <w:color w:val="auto"/>
          <w:highlight w:val="none"/>
        </w:rPr>
      </w:pPr>
      <w:r>
        <w:rPr>
          <w:rFonts w:hint="eastAsia"/>
          <w:color w:val="auto"/>
          <w:highlight w:val="none"/>
        </w:rPr>
        <w:t xml:space="preserve">日 </w:t>
      </w:r>
      <w:r>
        <w:rPr>
          <w:rFonts w:hint="eastAsia"/>
          <w:color w:val="auto"/>
          <w:highlight w:val="none"/>
          <w:lang w:val="en-US" w:eastAsia="zh-CN"/>
        </w:rPr>
        <w:t xml:space="preserve">  </w:t>
      </w:r>
      <w:r>
        <w:rPr>
          <w:rFonts w:hint="eastAsia"/>
          <w:color w:val="auto"/>
          <w:highlight w:val="none"/>
        </w:rPr>
        <w:t>期：</w:t>
      </w:r>
    </w:p>
    <w:p w14:paraId="745F1CED">
      <w:pPr>
        <w:pStyle w:val="3"/>
        <w:widowControl/>
        <w:spacing w:before="300" w:after="300" w:line="360" w:lineRule="auto"/>
        <w:rPr>
          <w:rFonts w:ascii="宋体" w:hAnsi="宋体"/>
          <w:color w:val="auto"/>
          <w:sz w:val="21"/>
          <w:szCs w:val="21"/>
          <w:highlight w:val="none"/>
        </w:rPr>
      </w:pPr>
      <w:r>
        <w:rPr>
          <w:rFonts w:hint="eastAsia" w:ascii="宋体" w:hAnsi="宋体" w:cs="微软雅黑"/>
          <w:bCs w:val="0"/>
          <w:color w:val="auto"/>
          <w:sz w:val="21"/>
          <w:szCs w:val="21"/>
          <w:highlight w:val="none"/>
        </w:rPr>
        <w:t>中小微企业划型标准 </w:t>
      </w:r>
    </w:p>
    <w:p w14:paraId="08042A81">
      <w:pPr>
        <w:pStyle w:val="34"/>
        <w:keepNext w:val="0"/>
        <w:keepLines w:val="0"/>
        <w:pageBreakBefore w:val="0"/>
        <w:spacing w:line="360" w:lineRule="auto"/>
        <w:ind w:firstLine="0"/>
        <w:rPr>
          <w:color w:val="auto"/>
          <w:sz w:val="21"/>
          <w:szCs w:val="21"/>
          <w:highlight w:val="none"/>
        </w:rPr>
      </w:pPr>
      <w:r>
        <w:rPr>
          <w:rFonts w:hint="eastAsia" w:cs="仿宋"/>
          <w:color w:val="auto"/>
          <w:sz w:val="21"/>
          <w:szCs w:val="21"/>
          <w:highlight w:val="none"/>
        </w:rPr>
        <w:t>    </w:t>
      </w:r>
      <w:r>
        <w:rPr>
          <w:rStyle w:val="39"/>
          <w:rFonts w:hint="eastAsia" w:cs="仿宋"/>
          <w:color w:val="auto"/>
          <w:sz w:val="21"/>
          <w:szCs w:val="21"/>
          <w:highlight w:val="none"/>
        </w:rPr>
        <w:t>中小微企业划型标准如下：</w:t>
      </w:r>
    </w:p>
    <w:tbl>
      <w:tblPr>
        <w:tblStyle w:val="36"/>
        <w:tblW w:w="8988" w:type="dxa"/>
        <w:tblCellSpacing w:w="15" w:type="dxa"/>
        <w:tblInd w:w="0" w:type="dxa"/>
        <w:tblBorders>
          <w:top w:val="single" w:color="999999" w:sz="6" w:space="0"/>
          <w:left w:val="single" w:color="999999" w:sz="6"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46"/>
        <w:gridCol w:w="1739"/>
        <w:gridCol w:w="810"/>
        <w:gridCol w:w="1784"/>
        <w:gridCol w:w="1709"/>
        <w:gridCol w:w="1500"/>
      </w:tblGrid>
      <w:tr w14:paraId="0F342BDE">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blCellSpacing w:w="15" w:type="dxa"/>
        </w:trPr>
        <w:tc>
          <w:tcPr>
            <w:tcW w:w="1401" w:type="dxa"/>
            <w:tcBorders>
              <w:top w:val="single" w:color="auto" w:sz="6" w:space="0"/>
              <w:left w:val="single" w:color="auto" w:sz="6" w:space="0"/>
              <w:bottom w:val="single" w:color="auto" w:sz="6" w:space="0"/>
              <w:right w:val="single" w:color="auto" w:sz="6" w:space="0"/>
            </w:tcBorders>
            <w:noWrap w:val="0"/>
            <w:tcMar>
              <w:top w:w="0" w:type="dxa"/>
              <w:left w:w="105" w:type="dxa"/>
              <w:bottom w:w="0" w:type="dxa"/>
              <w:right w:w="105" w:type="dxa"/>
            </w:tcMar>
            <w:vAlign w:val="center"/>
          </w:tcPr>
          <w:p w14:paraId="52A0FC80">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行业名称</w:t>
            </w:r>
          </w:p>
        </w:tc>
        <w:tc>
          <w:tcPr>
            <w:tcW w:w="1709" w:type="dxa"/>
            <w:tcBorders>
              <w:top w:val="single" w:color="auto" w:sz="6" w:space="0"/>
              <w:left w:val="nil"/>
              <w:bottom w:val="single" w:color="999999" w:sz="6" w:space="0"/>
              <w:right w:val="single" w:color="999999" w:sz="6" w:space="0"/>
            </w:tcBorders>
            <w:noWrap w:val="0"/>
            <w:tcMar>
              <w:top w:w="0" w:type="dxa"/>
              <w:left w:w="105" w:type="dxa"/>
              <w:bottom w:w="0" w:type="dxa"/>
              <w:right w:w="105" w:type="dxa"/>
            </w:tcMar>
            <w:vAlign w:val="center"/>
          </w:tcPr>
          <w:p w14:paraId="33B3387E">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指标名称</w:t>
            </w:r>
          </w:p>
        </w:tc>
        <w:tc>
          <w:tcPr>
            <w:tcW w:w="780" w:type="dxa"/>
            <w:tcBorders>
              <w:top w:val="single" w:color="auto" w:sz="6" w:space="0"/>
              <w:left w:val="nil"/>
              <w:bottom w:val="single" w:color="999999" w:sz="6" w:space="0"/>
              <w:right w:val="single" w:color="999999" w:sz="6" w:space="0"/>
            </w:tcBorders>
            <w:noWrap w:val="0"/>
            <w:tcMar>
              <w:top w:w="0" w:type="dxa"/>
              <w:left w:w="105" w:type="dxa"/>
              <w:bottom w:w="0" w:type="dxa"/>
              <w:right w:w="105" w:type="dxa"/>
            </w:tcMar>
            <w:vAlign w:val="center"/>
          </w:tcPr>
          <w:p w14:paraId="4CA18321">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计量单位</w:t>
            </w:r>
          </w:p>
        </w:tc>
        <w:tc>
          <w:tcPr>
            <w:tcW w:w="1754" w:type="dxa"/>
            <w:tcBorders>
              <w:top w:val="single" w:color="auto" w:sz="6" w:space="0"/>
              <w:left w:val="nil"/>
              <w:bottom w:val="single" w:color="999999" w:sz="6" w:space="0"/>
              <w:right w:val="single" w:color="999999" w:sz="6" w:space="0"/>
            </w:tcBorders>
            <w:noWrap w:val="0"/>
            <w:tcMar>
              <w:top w:w="0" w:type="dxa"/>
              <w:left w:w="105" w:type="dxa"/>
              <w:bottom w:w="0" w:type="dxa"/>
              <w:right w:w="105" w:type="dxa"/>
            </w:tcMar>
            <w:vAlign w:val="center"/>
          </w:tcPr>
          <w:p w14:paraId="5C0BA5AF">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中型</w:t>
            </w:r>
          </w:p>
        </w:tc>
        <w:tc>
          <w:tcPr>
            <w:tcW w:w="1679" w:type="dxa"/>
            <w:tcBorders>
              <w:top w:val="single" w:color="auto" w:sz="6" w:space="0"/>
              <w:left w:val="nil"/>
              <w:bottom w:val="single" w:color="999999" w:sz="6" w:space="0"/>
              <w:right w:val="single" w:color="999999" w:sz="6" w:space="0"/>
            </w:tcBorders>
            <w:noWrap w:val="0"/>
            <w:tcMar>
              <w:top w:w="0" w:type="dxa"/>
              <w:left w:w="105" w:type="dxa"/>
              <w:bottom w:w="0" w:type="dxa"/>
              <w:right w:w="105" w:type="dxa"/>
            </w:tcMar>
            <w:vAlign w:val="center"/>
          </w:tcPr>
          <w:p w14:paraId="038D304E">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小型</w:t>
            </w:r>
          </w:p>
        </w:tc>
        <w:tc>
          <w:tcPr>
            <w:tcW w:w="1455" w:type="dxa"/>
            <w:tcBorders>
              <w:top w:val="single" w:color="auto" w:sz="6" w:space="0"/>
              <w:left w:val="nil"/>
              <w:bottom w:val="single" w:color="999999" w:sz="6" w:space="0"/>
              <w:right w:val="single" w:color="999999" w:sz="6" w:space="0"/>
            </w:tcBorders>
            <w:noWrap w:val="0"/>
            <w:tcMar>
              <w:top w:w="0" w:type="dxa"/>
              <w:left w:w="105" w:type="dxa"/>
              <w:bottom w:w="0" w:type="dxa"/>
              <w:right w:w="105" w:type="dxa"/>
            </w:tcMar>
            <w:vAlign w:val="center"/>
          </w:tcPr>
          <w:p w14:paraId="6406DF65">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微型</w:t>
            </w:r>
          </w:p>
        </w:tc>
      </w:tr>
      <w:tr w14:paraId="7B2BAA15">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tcBorders>
              <w:top w:val="nil"/>
              <w:left w:val="single" w:color="auto" w:sz="6" w:space="0"/>
              <w:bottom w:val="single" w:color="999999" w:sz="6" w:space="0"/>
              <w:right w:val="single" w:color="999999" w:sz="6" w:space="0"/>
            </w:tcBorders>
            <w:noWrap w:val="0"/>
            <w:tcMar>
              <w:top w:w="0" w:type="dxa"/>
              <w:left w:w="105" w:type="dxa"/>
              <w:bottom w:w="0" w:type="dxa"/>
              <w:right w:w="105" w:type="dxa"/>
            </w:tcMar>
            <w:vAlign w:val="center"/>
          </w:tcPr>
          <w:p w14:paraId="49044E61">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农、林、牧、渔</w:t>
            </w: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3BBA8E78">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营业收入（Y）</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4011CDFD">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万元</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22B23F1B">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500≤Y＜20000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3CE38BFB">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50≤Y＜500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639223CD">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Y＜50</w:t>
            </w:r>
          </w:p>
        </w:tc>
      </w:tr>
      <w:tr w14:paraId="6DA81DB9">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vMerge w:val="restart"/>
            <w:tcBorders>
              <w:top w:val="nil"/>
              <w:left w:val="single" w:color="auto" w:sz="6" w:space="0"/>
              <w:bottom w:val="single" w:color="999999" w:sz="6" w:space="0"/>
              <w:right w:val="single" w:color="999999" w:sz="6" w:space="0"/>
            </w:tcBorders>
            <w:noWrap w:val="0"/>
            <w:tcMar>
              <w:top w:w="0" w:type="dxa"/>
              <w:left w:w="105" w:type="dxa"/>
              <w:bottom w:w="0" w:type="dxa"/>
              <w:right w:w="105" w:type="dxa"/>
            </w:tcMar>
            <w:vAlign w:val="center"/>
          </w:tcPr>
          <w:p w14:paraId="58F6B021">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工业</w:t>
            </w: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1870220E">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从业人员（X）</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44207E8C">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人</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2E6DCCB0">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300≤X＜1000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1653CF9F">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20≤X＜300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6733B876">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X＜20</w:t>
            </w:r>
          </w:p>
        </w:tc>
      </w:tr>
      <w:tr w14:paraId="52E83DF1">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vMerge w:val="continue"/>
            <w:tcBorders>
              <w:top w:val="nil"/>
              <w:left w:val="single" w:color="auto" w:sz="6" w:space="0"/>
              <w:bottom w:val="single" w:color="999999" w:sz="6" w:space="0"/>
              <w:right w:val="single" w:color="999999" w:sz="6" w:space="0"/>
            </w:tcBorders>
            <w:noWrap w:val="0"/>
            <w:vAlign w:val="center"/>
          </w:tcPr>
          <w:p w14:paraId="2B4E43DF">
            <w:pPr>
              <w:keepNext w:val="0"/>
              <w:keepLines w:val="0"/>
              <w:pageBreakBefore w:val="0"/>
              <w:widowControl/>
              <w:spacing w:line="360" w:lineRule="auto"/>
              <w:ind w:firstLine="0"/>
              <w:jc w:val="center"/>
              <w:rPr>
                <w:rFonts w:ascii="宋体" w:hAnsi="宋体"/>
                <w:color w:val="auto"/>
                <w:szCs w:val="21"/>
                <w:highlight w:val="none"/>
              </w:rPr>
            </w:pP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0E4BEDD2">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营业收入（Y）</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13BD3CB7">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万元</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5348CD6A">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2000≤Y＜40000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4C6A7230">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300≤Y＜2000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18FF1986">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Y＜300</w:t>
            </w:r>
          </w:p>
        </w:tc>
      </w:tr>
      <w:tr w14:paraId="1F078F3C">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vMerge w:val="restart"/>
            <w:tcBorders>
              <w:top w:val="nil"/>
              <w:left w:val="single" w:color="auto" w:sz="6" w:space="0"/>
              <w:bottom w:val="single" w:color="999999" w:sz="6" w:space="0"/>
              <w:right w:val="single" w:color="999999" w:sz="6" w:space="0"/>
            </w:tcBorders>
            <w:noWrap w:val="0"/>
            <w:tcMar>
              <w:top w:w="0" w:type="dxa"/>
              <w:left w:w="105" w:type="dxa"/>
              <w:bottom w:w="0" w:type="dxa"/>
              <w:right w:w="105" w:type="dxa"/>
            </w:tcMar>
            <w:vAlign w:val="center"/>
          </w:tcPr>
          <w:p w14:paraId="0344FD67">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建筑业</w:t>
            </w: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5F5C0714">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营业收入（Y）</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18FE7E86">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万元</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1930441C">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6000≤Y＜80000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3267DE07">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300≤Y＜6000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7CEC2BCE">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Y＜300</w:t>
            </w:r>
          </w:p>
        </w:tc>
      </w:tr>
      <w:tr w14:paraId="72FAE8D5">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vMerge w:val="continue"/>
            <w:tcBorders>
              <w:top w:val="nil"/>
              <w:left w:val="single" w:color="auto" w:sz="6" w:space="0"/>
              <w:bottom w:val="single" w:color="999999" w:sz="6" w:space="0"/>
              <w:right w:val="single" w:color="999999" w:sz="6" w:space="0"/>
            </w:tcBorders>
            <w:noWrap w:val="0"/>
            <w:vAlign w:val="center"/>
          </w:tcPr>
          <w:p w14:paraId="21A0E3DC">
            <w:pPr>
              <w:keepNext w:val="0"/>
              <w:keepLines w:val="0"/>
              <w:pageBreakBefore w:val="0"/>
              <w:widowControl/>
              <w:spacing w:line="360" w:lineRule="auto"/>
              <w:ind w:firstLine="0"/>
              <w:jc w:val="center"/>
              <w:rPr>
                <w:rFonts w:ascii="宋体" w:hAnsi="宋体"/>
                <w:color w:val="auto"/>
                <w:szCs w:val="21"/>
                <w:highlight w:val="none"/>
              </w:rPr>
            </w:pP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7D2D07CA">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资产总额（Z）</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2A865D93">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万元</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71CD0467">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5000≤Z＜80000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3114DBA2">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300≤Z＜5000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2C87CB5D">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Z＜300</w:t>
            </w:r>
          </w:p>
        </w:tc>
      </w:tr>
      <w:tr w14:paraId="2BB1FF96">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vMerge w:val="restart"/>
            <w:tcBorders>
              <w:top w:val="nil"/>
              <w:left w:val="single" w:color="auto" w:sz="6" w:space="0"/>
              <w:bottom w:val="single" w:color="999999" w:sz="6" w:space="0"/>
              <w:right w:val="single" w:color="999999" w:sz="6" w:space="0"/>
            </w:tcBorders>
            <w:noWrap w:val="0"/>
            <w:tcMar>
              <w:top w:w="0" w:type="dxa"/>
              <w:left w:w="105" w:type="dxa"/>
              <w:bottom w:w="0" w:type="dxa"/>
              <w:right w:w="105" w:type="dxa"/>
            </w:tcMar>
            <w:vAlign w:val="center"/>
          </w:tcPr>
          <w:p w14:paraId="2E969A36">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批发业</w:t>
            </w: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6E4F200C">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从业人员（X）</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4817396A">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人</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621D5ABC">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20≤X＜200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2DD53A2C">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5≤X＜20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4FCFA1F1">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X＜5</w:t>
            </w:r>
          </w:p>
        </w:tc>
      </w:tr>
      <w:tr w14:paraId="2A059044">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vMerge w:val="continue"/>
            <w:tcBorders>
              <w:top w:val="nil"/>
              <w:left w:val="single" w:color="auto" w:sz="6" w:space="0"/>
              <w:bottom w:val="single" w:color="999999" w:sz="6" w:space="0"/>
              <w:right w:val="single" w:color="999999" w:sz="6" w:space="0"/>
            </w:tcBorders>
            <w:noWrap w:val="0"/>
            <w:vAlign w:val="center"/>
          </w:tcPr>
          <w:p w14:paraId="0D7DD231">
            <w:pPr>
              <w:keepNext w:val="0"/>
              <w:keepLines w:val="0"/>
              <w:pageBreakBefore w:val="0"/>
              <w:widowControl/>
              <w:spacing w:line="360" w:lineRule="auto"/>
              <w:ind w:firstLine="0"/>
              <w:jc w:val="center"/>
              <w:rPr>
                <w:rFonts w:ascii="宋体" w:hAnsi="宋体"/>
                <w:color w:val="auto"/>
                <w:szCs w:val="21"/>
                <w:highlight w:val="none"/>
              </w:rPr>
            </w:pP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19D0D543">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营业收入（Y）</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3CEBC208">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万元</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74C4CB5E">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5000≤Y＜40000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3D0665A0">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1000≤Y＜5000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3A692CF4">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Y＜1000</w:t>
            </w:r>
          </w:p>
        </w:tc>
      </w:tr>
      <w:tr w14:paraId="0D95003F">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vMerge w:val="restart"/>
            <w:tcBorders>
              <w:top w:val="nil"/>
              <w:left w:val="single" w:color="auto" w:sz="6" w:space="0"/>
              <w:bottom w:val="single" w:color="999999" w:sz="6" w:space="0"/>
              <w:right w:val="single" w:color="999999" w:sz="6" w:space="0"/>
            </w:tcBorders>
            <w:noWrap w:val="0"/>
            <w:tcMar>
              <w:top w:w="0" w:type="dxa"/>
              <w:left w:w="105" w:type="dxa"/>
              <w:bottom w:w="0" w:type="dxa"/>
              <w:right w:w="105" w:type="dxa"/>
            </w:tcMar>
            <w:vAlign w:val="center"/>
          </w:tcPr>
          <w:p w14:paraId="4D5DAA9F">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零售业</w:t>
            </w: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68863B62">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从业人员（X）</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0FE2AA58">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人</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2D6724F3">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50≤X＜300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5D1027FC">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10≤X＜50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0D569CCD">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X＜10</w:t>
            </w:r>
          </w:p>
        </w:tc>
      </w:tr>
      <w:tr w14:paraId="1E4B37A5">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vMerge w:val="continue"/>
            <w:tcBorders>
              <w:top w:val="nil"/>
              <w:left w:val="single" w:color="auto" w:sz="6" w:space="0"/>
              <w:bottom w:val="single" w:color="999999" w:sz="6" w:space="0"/>
              <w:right w:val="single" w:color="999999" w:sz="6" w:space="0"/>
            </w:tcBorders>
            <w:noWrap w:val="0"/>
            <w:vAlign w:val="center"/>
          </w:tcPr>
          <w:p w14:paraId="4BFCB1E7">
            <w:pPr>
              <w:keepNext w:val="0"/>
              <w:keepLines w:val="0"/>
              <w:pageBreakBefore w:val="0"/>
              <w:widowControl/>
              <w:spacing w:line="360" w:lineRule="auto"/>
              <w:ind w:firstLine="0"/>
              <w:jc w:val="center"/>
              <w:rPr>
                <w:rFonts w:ascii="宋体" w:hAnsi="宋体"/>
                <w:color w:val="auto"/>
                <w:szCs w:val="21"/>
                <w:highlight w:val="none"/>
              </w:rPr>
            </w:pP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2E886DD6">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营业收入（Y）</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784F6A97">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万元</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64AD4CBC">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500≤Y＜20000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19A4478F">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100≤Y＜500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19B6D42A">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Y＜100</w:t>
            </w:r>
          </w:p>
        </w:tc>
      </w:tr>
      <w:tr w14:paraId="55ED323E">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vMerge w:val="restart"/>
            <w:tcBorders>
              <w:top w:val="nil"/>
              <w:left w:val="single" w:color="auto" w:sz="6" w:space="0"/>
              <w:bottom w:val="single" w:color="999999" w:sz="6" w:space="0"/>
              <w:right w:val="single" w:color="999999" w:sz="6" w:space="0"/>
            </w:tcBorders>
            <w:noWrap w:val="0"/>
            <w:tcMar>
              <w:top w:w="0" w:type="dxa"/>
              <w:left w:w="105" w:type="dxa"/>
              <w:bottom w:w="0" w:type="dxa"/>
              <w:right w:w="105" w:type="dxa"/>
            </w:tcMar>
            <w:vAlign w:val="center"/>
          </w:tcPr>
          <w:p w14:paraId="0DA2EF4B">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交通运输业</w:t>
            </w: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43C9B2F0">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从业人员（X）</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3E522835">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人</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7EBF3C19">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300≤X＜1000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3A2FA5E2">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20≤X＜300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6824968C">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X＜20</w:t>
            </w:r>
          </w:p>
        </w:tc>
      </w:tr>
      <w:tr w14:paraId="4AD4BB90">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vMerge w:val="continue"/>
            <w:tcBorders>
              <w:top w:val="nil"/>
              <w:left w:val="single" w:color="auto" w:sz="6" w:space="0"/>
              <w:bottom w:val="single" w:color="999999" w:sz="6" w:space="0"/>
              <w:right w:val="single" w:color="999999" w:sz="6" w:space="0"/>
            </w:tcBorders>
            <w:noWrap w:val="0"/>
            <w:vAlign w:val="center"/>
          </w:tcPr>
          <w:p w14:paraId="7CB6C099">
            <w:pPr>
              <w:keepNext w:val="0"/>
              <w:keepLines w:val="0"/>
              <w:pageBreakBefore w:val="0"/>
              <w:widowControl/>
              <w:spacing w:line="360" w:lineRule="auto"/>
              <w:ind w:firstLine="0"/>
              <w:jc w:val="center"/>
              <w:rPr>
                <w:rFonts w:ascii="宋体" w:hAnsi="宋体"/>
                <w:color w:val="auto"/>
                <w:szCs w:val="21"/>
                <w:highlight w:val="none"/>
              </w:rPr>
            </w:pP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39413A25">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营业收入（Y）</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584020C2">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万元</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1337FF0F">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3000≤Y＜30000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3A945FC1">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200≤Y＜3000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41E3F724">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Y＜200</w:t>
            </w:r>
          </w:p>
        </w:tc>
      </w:tr>
      <w:tr w14:paraId="4BE72DE5">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vMerge w:val="restart"/>
            <w:tcBorders>
              <w:top w:val="nil"/>
              <w:left w:val="single" w:color="auto" w:sz="6" w:space="0"/>
              <w:bottom w:val="single" w:color="999999" w:sz="6" w:space="0"/>
              <w:right w:val="single" w:color="999999" w:sz="6" w:space="0"/>
            </w:tcBorders>
            <w:noWrap w:val="0"/>
            <w:tcMar>
              <w:top w:w="0" w:type="dxa"/>
              <w:left w:w="105" w:type="dxa"/>
              <w:bottom w:w="0" w:type="dxa"/>
              <w:right w:w="105" w:type="dxa"/>
            </w:tcMar>
            <w:vAlign w:val="center"/>
          </w:tcPr>
          <w:p w14:paraId="7C3E56A0">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仓储业</w:t>
            </w: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63C734C6">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从业人员（X）</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63C853B3">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人</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2793F4CF">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100≤X＜200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69D20697">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20≤X＜100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400C00B0">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X＜20</w:t>
            </w:r>
          </w:p>
        </w:tc>
      </w:tr>
      <w:tr w14:paraId="5F6DA432">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vMerge w:val="continue"/>
            <w:tcBorders>
              <w:top w:val="nil"/>
              <w:left w:val="single" w:color="auto" w:sz="6" w:space="0"/>
              <w:bottom w:val="single" w:color="999999" w:sz="6" w:space="0"/>
              <w:right w:val="single" w:color="999999" w:sz="6" w:space="0"/>
            </w:tcBorders>
            <w:noWrap w:val="0"/>
            <w:vAlign w:val="center"/>
          </w:tcPr>
          <w:p w14:paraId="1EC581CF">
            <w:pPr>
              <w:keepNext w:val="0"/>
              <w:keepLines w:val="0"/>
              <w:pageBreakBefore w:val="0"/>
              <w:widowControl/>
              <w:spacing w:line="360" w:lineRule="auto"/>
              <w:ind w:firstLine="0"/>
              <w:jc w:val="center"/>
              <w:rPr>
                <w:rFonts w:ascii="宋体" w:hAnsi="宋体"/>
                <w:color w:val="auto"/>
                <w:szCs w:val="21"/>
                <w:highlight w:val="none"/>
              </w:rPr>
            </w:pP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0A1D16A1">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营业收入（Y）</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2919BA04">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万元</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2AEBA258">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1000≤Y＜30000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5B0CAB87">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100≤Y＜1000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6718920B">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Y＜100</w:t>
            </w:r>
          </w:p>
        </w:tc>
      </w:tr>
      <w:tr w14:paraId="705BA462">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vMerge w:val="restart"/>
            <w:tcBorders>
              <w:top w:val="nil"/>
              <w:left w:val="single" w:color="auto" w:sz="6" w:space="0"/>
              <w:bottom w:val="single" w:color="999999" w:sz="6" w:space="0"/>
              <w:right w:val="single" w:color="999999" w:sz="6" w:space="0"/>
            </w:tcBorders>
            <w:noWrap w:val="0"/>
            <w:tcMar>
              <w:top w:w="0" w:type="dxa"/>
              <w:left w:w="105" w:type="dxa"/>
              <w:bottom w:w="0" w:type="dxa"/>
              <w:right w:w="105" w:type="dxa"/>
            </w:tcMar>
            <w:vAlign w:val="center"/>
          </w:tcPr>
          <w:p w14:paraId="772531A7">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邮政业</w:t>
            </w: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5CF95500">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从业人员（X）</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653FD39F">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人</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3E26E5E3">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300≤X＜1000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310D96FC">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20≤X＜300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2F107B18">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X＜20</w:t>
            </w:r>
          </w:p>
        </w:tc>
      </w:tr>
      <w:tr w14:paraId="0AD408A1">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vMerge w:val="continue"/>
            <w:tcBorders>
              <w:top w:val="nil"/>
              <w:left w:val="single" w:color="auto" w:sz="6" w:space="0"/>
              <w:bottom w:val="single" w:color="999999" w:sz="6" w:space="0"/>
              <w:right w:val="single" w:color="999999" w:sz="6" w:space="0"/>
            </w:tcBorders>
            <w:noWrap w:val="0"/>
            <w:vAlign w:val="center"/>
          </w:tcPr>
          <w:p w14:paraId="0762CD0E">
            <w:pPr>
              <w:keepNext w:val="0"/>
              <w:keepLines w:val="0"/>
              <w:pageBreakBefore w:val="0"/>
              <w:widowControl/>
              <w:spacing w:line="360" w:lineRule="auto"/>
              <w:ind w:firstLine="0"/>
              <w:jc w:val="center"/>
              <w:rPr>
                <w:rFonts w:ascii="宋体" w:hAnsi="宋体"/>
                <w:color w:val="auto"/>
                <w:szCs w:val="21"/>
                <w:highlight w:val="none"/>
              </w:rPr>
            </w:pP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6AFDD4A5">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营业收入（Y）</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1FA767F5">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万元</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76E70D6B">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2000≤Y＜30000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1D8B1136">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100≤Y＜2000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3D91B353">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Y＜100</w:t>
            </w:r>
          </w:p>
        </w:tc>
      </w:tr>
      <w:tr w14:paraId="036E5658">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vMerge w:val="restart"/>
            <w:tcBorders>
              <w:top w:val="nil"/>
              <w:left w:val="single" w:color="auto" w:sz="6" w:space="0"/>
              <w:bottom w:val="single" w:color="999999" w:sz="6" w:space="0"/>
              <w:right w:val="single" w:color="999999" w:sz="6" w:space="0"/>
            </w:tcBorders>
            <w:noWrap w:val="0"/>
            <w:tcMar>
              <w:top w:w="0" w:type="dxa"/>
              <w:left w:w="105" w:type="dxa"/>
              <w:bottom w:w="0" w:type="dxa"/>
              <w:right w:w="105" w:type="dxa"/>
            </w:tcMar>
            <w:vAlign w:val="center"/>
          </w:tcPr>
          <w:p w14:paraId="7BEBA172">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住宿业</w:t>
            </w: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5C4D889D">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从业人员（X）</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652686BA">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人</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4DA48B3D">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100≤X＜300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4498A806">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10≤X＜100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148F484B">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X＜10</w:t>
            </w:r>
          </w:p>
        </w:tc>
      </w:tr>
      <w:tr w14:paraId="27977B6E">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vMerge w:val="continue"/>
            <w:tcBorders>
              <w:top w:val="nil"/>
              <w:left w:val="single" w:color="auto" w:sz="6" w:space="0"/>
              <w:bottom w:val="single" w:color="999999" w:sz="6" w:space="0"/>
              <w:right w:val="single" w:color="999999" w:sz="6" w:space="0"/>
            </w:tcBorders>
            <w:noWrap w:val="0"/>
            <w:vAlign w:val="center"/>
          </w:tcPr>
          <w:p w14:paraId="06D99466">
            <w:pPr>
              <w:keepNext w:val="0"/>
              <w:keepLines w:val="0"/>
              <w:pageBreakBefore w:val="0"/>
              <w:widowControl/>
              <w:spacing w:line="360" w:lineRule="auto"/>
              <w:ind w:firstLine="0"/>
              <w:jc w:val="center"/>
              <w:rPr>
                <w:rFonts w:ascii="宋体" w:hAnsi="宋体"/>
                <w:color w:val="auto"/>
                <w:szCs w:val="21"/>
                <w:highlight w:val="none"/>
              </w:rPr>
            </w:pP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4690EE45">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营业收入（Y）</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5F8CB245">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万元</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7D5BD77E">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2000≤Y＜10000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7B65E382">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100≤Y＜2000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3D99DC0C">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Y＜100</w:t>
            </w:r>
          </w:p>
        </w:tc>
      </w:tr>
      <w:tr w14:paraId="525485E5">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vMerge w:val="restart"/>
            <w:tcBorders>
              <w:top w:val="nil"/>
              <w:left w:val="single" w:color="auto" w:sz="6" w:space="0"/>
              <w:bottom w:val="single" w:color="999999" w:sz="6" w:space="0"/>
              <w:right w:val="single" w:color="999999" w:sz="6" w:space="0"/>
            </w:tcBorders>
            <w:noWrap w:val="0"/>
            <w:tcMar>
              <w:top w:w="0" w:type="dxa"/>
              <w:left w:w="105" w:type="dxa"/>
              <w:bottom w:w="0" w:type="dxa"/>
              <w:right w:w="105" w:type="dxa"/>
            </w:tcMar>
            <w:vAlign w:val="center"/>
          </w:tcPr>
          <w:p w14:paraId="29A0C6BA">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餐饮业</w:t>
            </w: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7FA695B9">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从业人员（X）</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6ADDB053">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人</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1D1C85EC">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100≤X＜300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6D8F24FC">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10≤X＜100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0FFC6B89">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X＜10</w:t>
            </w:r>
          </w:p>
        </w:tc>
      </w:tr>
      <w:tr w14:paraId="6C8A3A7D">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vMerge w:val="continue"/>
            <w:tcBorders>
              <w:top w:val="nil"/>
              <w:left w:val="single" w:color="auto" w:sz="6" w:space="0"/>
              <w:bottom w:val="single" w:color="999999" w:sz="6" w:space="0"/>
              <w:right w:val="single" w:color="999999" w:sz="6" w:space="0"/>
            </w:tcBorders>
            <w:noWrap w:val="0"/>
            <w:vAlign w:val="center"/>
          </w:tcPr>
          <w:p w14:paraId="45F9132C">
            <w:pPr>
              <w:keepNext w:val="0"/>
              <w:keepLines w:val="0"/>
              <w:pageBreakBefore w:val="0"/>
              <w:widowControl/>
              <w:spacing w:line="360" w:lineRule="auto"/>
              <w:ind w:firstLine="0"/>
              <w:jc w:val="center"/>
              <w:rPr>
                <w:rFonts w:ascii="宋体" w:hAnsi="宋体"/>
                <w:color w:val="auto"/>
                <w:szCs w:val="21"/>
                <w:highlight w:val="none"/>
              </w:rPr>
            </w:pP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496B8F9E">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营业收入（Y）</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1F334772">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万元</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5B5E49C5">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2000≤Y＜10000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08DF6F8E">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100≤Y＜2000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29B9E0E8">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Y＜100</w:t>
            </w:r>
          </w:p>
        </w:tc>
      </w:tr>
      <w:tr w14:paraId="69727466">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vMerge w:val="restart"/>
            <w:tcBorders>
              <w:top w:val="nil"/>
              <w:left w:val="single" w:color="auto" w:sz="6" w:space="0"/>
              <w:bottom w:val="single" w:color="999999" w:sz="6" w:space="0"/>
              <w:right w:val="single" w:color="999999" w:sz="6" w:space="0"/>
            </w:tcBorders>
            <w:noWrap w:val="0"/>
            <w:tcMar>
              <w:top w:w="0" w:type="dxa"/>
              <w:left w:w="105" w:type="dxa"/>
              <w:bottom w:w="0" w:type="dxa"/>
              <w:right w:w="105" w:type="dxa"/>
            </w:tcMar>
            <w:vAlign w:val="center"/>
          </w:tcPr>
          <w:p w14:paraId="4E827878">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信息传输业</w:t>
            </w: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4818D553">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从业人员（X）</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3530AC26">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人</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765B4D3A">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100≤X＜2000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3416E449">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10≤X＜100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69BDB061">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X＜10</w:t>
            </w:r>
          </w:p>
        </w:tc>
      </w:tr>
      <w:tr w14:paraId="19487C92">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vMerge w:val="continue"/>
            <w:tcBorders>
              <w:top w:val="nil"/>
              <w:left w:val="single" w:color="auto" w:sz="6" w:space="0"/>
              <w:bottom w:val="single" w:color="999999" w:sz="6" w:space="0"/>
              <w:right w:val="single" w:color="999999" w:sz="6" w:space="0"/>
            </w:tcBorders>
            <w:noWrap w:val="0"/>
            <w:vAlign w:val="center"/>
          </w:tcPr>
          <w:p w14:paraId="32F8DE4F">
            <w:pPr>
              <w:keepNext w:val="0"/>
              <w:keepLines w:val="0"/>
              <w:pageBreakBefore w:val="0"/>
              <w:widowControl/>
              <w:spacing w:line="360" w:lineRule="auto"/>
              <w:ind w:firstLine="0"/>
              <w:jc w:val="center"/>
              <w:rPr>
                <w:rFonts w:ascii="宋体" w:hAnsi="宋体"/>
                <w:color w:val="auto"/>
                <w:szCs w:val="21"/>
                <w:highlight w:val="none"/>
              </w:rPr>
            </w:pP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18EC6F4D">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营业收入（Y）</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296859EA">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万元</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6486BB14">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1000≤Y＜100000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65605EF3">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100≤Y＜1000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41AC329D">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Y＜100</w:t>
            </w:r>
          </w:p>
        </w:tc>
      </w:tr>
      <w:tr w14:paraId="773B04FA">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vMerge w:val="restart"/>
            <w:tcBorders>
              <w:top w:val="nil"/>
              <w:left w:val="single" w:color="auto" w:sz="6" w:space="0"/>
              <w:bottom w:val="single" w:color="999999" w:sz="6" w:space="0"/>
              <w:right w:val="single" w:color="999999" w:sz="6" w:space="0"/>
            </w:tcBorders>
            <w:noWrap w:val="0"/>
            <w:tcMar>
              <w:top w:w="0" w:type="dxa"/>
              <w:left w:w="105" w:type="dxa"/>
              <w:bottom w:w="0" w:type="dxa"/>
              <w:right w:w="105" w:type="dxa"/>
            </w:tcMar>
            <w:vAlign w:val="center"/>
          </w:tcPr>
          <w:p w14:paraId="3F832BA5">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软件和信息技术服务业</w:t>
            </w: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595DCE33">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从业人员（X）</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6E16262D">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人</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163238CD">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100≤X＜300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51D80788">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10≤X＜100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3DB28484">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X＜10</w:t>
            </w:r>
          </w:p>
        </w:tc>
      </w:tr>
      <w:tr w14:paraId="6A89C99D">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vMerge w:val="continue"/>
            <w:tcBorders>
              <w:top w:val="nil"/>
              <w:left w:val="single" w:color="auto" w:sz="6" w:space="0"/>
              <w:bottom w:val="single" w:color="999999" w:sz="6" w:space="0"/>
              <w:right w:val="single" w:color="999999" w:sz="6" w:space="0"/>
            </w:tcBorders>
            <w:noWrap w:val="0"/>
            <w:vAlign w:val="center"/>
          </w:tcPr>
          <w:p w14:paraId="5B658580">
            <w:pPr>
              <w:keepNext w:val="0"/>
              <w:keepLines w:val="0"/>
              <w:pageBreakBefore w:val="0"/>
              <w:widowControl/>
              <w:spacing w:line="360" w:lineRule="auto"/>
              <w:ind w:firstLine="0"/>
              <w:jc w:val="center"/>
              <w:rPr>
                <w:rFonts w:ascii="宋体" w:hAnsi="宋体"/>
                <w:color w:val="auto"/>
                <w:szCs w:val="21"/>
                <w:highlight w:val="none"/>
              </w:rPr>
            </w:pP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38E8E9E4">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营业收入（Y）</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7F97ACAD">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万元</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19446DE1">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1000≤Y＜10000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491BE44F">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50≤Y＜1000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01931BD4">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Y＜50</w:t>
            </w:r>
          </w:p>
        </w:tc>
      </w:tr>
      <w:tr w14:paraId="0527329E">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vMerge w:val="restart"/>
            <w:tcBorders>
              <w:top w:val="nil"/>
              <w:left w:val="single" w:color="auto" w:sz="6" w:space="0"/>
              <w:bottom w:val="single" w:color="999999" w:sz="6" w:space="0"/>
              <w:right w:val="single" w:color="999999" w:sz="6" w:space="0"/>
            </w:tcBorders>
            <w:noWrap w:val="0"/>
            <w:tcMar>
              <w:top w:w="0" w:type="dxa"/>
              <w:left w:w="105" w:type="dxa"/>
              <w:bottom w:w="0" w:type="dxa"/>
              <w:right w:w="105" w:type="dxa"/>
            </w:tcMar>
            <w:vAlign w:val="center"/>
          </w:tcPr>
          <w:p w14:paraId="698B4787">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房地产开发经营</w:t>
            </w: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1D0234AD">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营业收入（Y）</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681FF36D">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万元</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16C937DD">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1000≤Y＜200000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2AA54CD6">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100≤X＜1000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42DC2307">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X＜100</w:t>
            </w:r>
          </w:p>
        </w:tc>
      </w:tr>
      <w:tr w14:paraId="0363F92A">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vMerge w:val="continue"/>
            <w:tcBorders>
              <w:top w:val="nil"/>
              <w:left w:val="single" w:color="auto" w:sz="6" w:space="0"/>
              <w:bottom w:val="single" w:color="999999" w:sz="6" w:space="0"/>
              <w:right w:val="single" w:color="999999" w:sz="6" w:space="0"/>
            </w:tcBorders>
            <w:noWrap w:val="0"/>
            <w:vAlign w:val="center"/>
          </w:tcPr>
          <w:p w14:paraId="6D5F99D1">
            <w:pPr>
              <w:keepNext w:val="0"/>
              <w:keepLines w:val="0"/>
              <w:pageBreakBefore w:val="0"/>
              <w:widowControl/>
              <w:spacing w:line="360" w:lineRule="auto"/>
              <w:ind w:firstLine="0"/>
              <w:jc w:val="center"/>
              <w:rPr>
                <w:rFonts w:ascii="宋体" w:hAnsi="宋体"/>
                <w:color w:val="auto"/>
                <w:szCs w:val="21"/>
                <w:highlight w:val="none"/>
              </w:rPr>
            </w:pP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02E2A8D8">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资产总额（Z）</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1EF530B6">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万元</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1490DA15">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5000≤Z＜10000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6FD2057D">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2000≤Y＜5000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10D8EF2C">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Y＜2000</w:t>
            </w:r>
          </w:p>
        </w:tc>
      </w:tr>
      <w:tr w14:paraId="68708F68">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vMerge w:val="restart"/>
            <w:tcBorders>
              <w:top w:val="nil"/>
              <w:left w:val="single" w:color="auto" w:sz="6" w:space="0"/>
              <w:bottom w:val="single" w:color="999999" w:sz="6" w:space="0"/>
              <w:right w:val="single" w:color="999999" w:sz="6" w:space="0"/>
            </w:tcBorders>
            <w:noWrap w:val="0"/>
            <w:tcMar>
              <w:top w:w="0" w:type="dxa"/>
              <w:left w:w="105" w:type="dxa"/>
              <w:bottom w:w="0" w:type="dxa"/>
              <w:right w:w="105" w:type="dxa"/>
            </w:tcMar>
            <w:vAlign w:val="center"/>
          </w:tcPr>
          <w:p w14:paraId="61CD5685">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物业管理</w:t>
            </w: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30466C5D">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从业人员（X）</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17267DE3">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人</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04505F09">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300≤X＜1000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6E1AC8CD">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100≤X＜300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64BF3389">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X＜100</w:t>
            </w:r>
          </w:p>
        </w:tc>
      </w:tr>
      <w:tr w14:paraId="3CAFD138">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vMerge w:val="continue"/>
            <w:tcBorders>
              <w:top w:val="nil"/>
              <w:left w:val="single" w:color="auto" w:sz="6" w:space="0"/>
              <w:bottom w:val="single" w:color="999999" w:sz="6" w:space="0"/>
              <w:right w:val="single" w:color="999999" w:sz="6" w:space="0"/>
            </w:tcBorders>
            <w:noWrap w:val="0"/>
            <w:vAlign w:val="center"/>
          </w:tcPr>
          <w:p w14:paraId="041092BE">
            <w:pPr>
              <w:keepNext w:val="0"/>
              <w:keepLines w:val="0"/>
              <w:pageBreakBefore w:val="0"/>
              <w:widowControl/>
              <w:spacing w:line="360" w:lineRule="auto"/>
              <w:ind w:firstLine="0"/>
              <w:jc w:val="center"/>
              <w:rPr>
                <w:rFonts w:ascii="宋体" w:hAnsi="宋体"/>
                <w:color w:val="auto"/>
                <w:szCs w:val="21"/>
                <w:highlight w:val="none"/>
              </w:rPr>
            </w:pP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223AA0AE">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营业收入（Y）</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527B0272">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万元</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54907C5C">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1000≤Y＜5000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2D9CCB37">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500≤Y＜1000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36D23548">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Y＜500</w:t>
            </w:r>
          </w:p>
        </w:tc>
      </w:tr>
      <w:tr w14:paraId="0D8136C7">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vMerge w:val="restart"/>
            <w:tcBorders>
              <w:top w:val="nil"/>
              <w:left w:val="single" w:color="auto" w:sz="6" w:space="0"/>
              <w:bottom w:val="single" w:color="999999" w:sz="6" w:space="0"/>
              <w:right w:val="single" w:color="999999" w:sz="6" w:space="0"/>
            </w:tcBorders>
            <w:noWrap w:val="0"/>
            <w:tcMar>
              <w:top w:w="0" w:type="dxa"/>
              <w:left w:w="105" w:type="dxa"/>
              <w:bottom w:w="0" w:type="dxa"/>
              <w:right w:w="105" w:type="dxa"/>
            </w:tcMar>
            <w:vAlign w:val="center"/>
          </w:tcPr>
          <w:p w14:paraId="12880DD8">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租赁和商务服务业</w:t>
            </w: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0B0D8C1E">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从业人员（X）</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266D725F">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人</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46895E17">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100≤X＜300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1BA8F454">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10≤X＜100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7CA96FEE">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X＜10</w:t>
            </w:r>
          </w:p>
        </w:tc>
      </w:tr>
      <w:tr w14:paraId="64FA2776">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vMerge w:val="continue"/>
            <w:tcBorders>
              <w:top w:val="nil"/>
              <w:left w:val="single" w:color="auto" w:sz="6" w:space="0"/>
              <w:bottom w:val="single" w:color="999999" w:sz="6" w:space="0"/>
              <w:right w:val="single" w:color="999999" w:sz="6" w:space="0"/>
            </w:tcBorders>
            <w:noWrap w:val="0"/>
            <w:vAlign w:val="center"/>
          </w:tcPr>
          <w:p w14:paraId="12A7FDD7">
            <w:pPr>
              <w:keepNext w:val="0"/>
              <w:keepLines w:val="0"/>
              <w:pageBreakBefore w:val="0"/>
              <w:widowControl/>
              <w:spacing w:line="360" w:lineRule="auto"/>
              <w:ind w:firstLine="0"/>
              <w:jc w:val="center"/>
              <w:rPr>
                <w:rFonts w:ascii="宋体" w:hAnsi="宋体"/>
                <w:color w:val="auto"/>
                <w:szCs w:val="21"/>
                <w:highlight w:val="none"/>
              </w:rPr>
            </w:pP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1EED8CAF">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资产总额（Z）</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5F883922">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万元</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5D030D63">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8000≤Z＜120000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3B698E85">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100≤Z＜8000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671D47E8">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Y＜100</w:t>
            </w:r>
          </w:p>
        </w:tc>
      </w:tr>
      <w:tr w14:paraId="2E5E6D4D">
        <w:tblPrEx>
          <w:tblBorders>
            <w:top w:val="single" w:color="999999" w:sz="6" w:space="0"/>
            <w:left w:val="single" w:color="999999" w:sz="6"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blCellSpacing w:w="15" w:type="dxa"/>
        </w:trPr>
        <w:tc>
          <w:tcPr>
            <w:tcW w:w="1401" w:type="dxa"/>
            <w:tcBorders>
              <w:top w:val="nil"/>
              <w:left w:val="single" w:color="auto" w:sz="6" w:space="0"/>
              <w:bottom w:val="single" w:color="999999" w:sz="6" w:space="0"/>
              <w:right w:val="single" w:color="999999" w:sz="6" w:space="0"/>
            </w:tcBorders>
            <w:noWrap w:val="0"/>
            <w:tcMar>
              <w:top w:w="0" w:type="dxa"/>
              <w:left w:w="105" w:type="dxa"/>
              <w:bottom w:w="0" w:type="dxa"/>
              <w:right w:w="105" w:type="dxa"/>
            </w:tcMar>
            <w:vAlign w:val="center"/>
          </w:tcPr>
          <w:p w14:paraId="20C3F3DE">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其他未列明行业</w:t>
            </w:r>
          </w:p>
        </w:tc>
        <w:tc>
          <w:tcPr>
            <w:tcW w:w="170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201ED5B0">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从业人员（X）</w:t>
            </w:r>
          </w:p>
        </w:tc>
        <w:tc>
          <w:tcPr>
            <w:tcW w:w="780"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610D3F7E">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人</w:t>
            </w:r>
          </w:p>
        </w:tc>
        <w:tc>
          <w:tcPr>
            <w:tcW w:w="1754"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610610A2">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100≤X＜300</w:t>
            </w:r>
          </w:p>
        </w:tc>
        <w:tc>
          <w:tcPr>
            <w:tcW w:w="1679"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077D9DBB">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10≤X＜100</w:t>
            </w:r>
          </w:p>
        </w:tc>
        <w:tc>
          <w:tcPr>
            <w:tcW w:w="1455" w:type="dxa"/>
            <w:tcBorders>
              <w:top w:val="nil"/>
              <w:left w:val="nil"/>
              <w:bottom w:val="single" w:color="999999" w:sz="6" w:space="0"/>
              <w:right w:val="single" w:color="999999" w:sz="6" w:space="0"/>
            </w:tcBorders>
            <w:noWrap w:val="0"/>
            <w:tcMar>
              <w:top w:w="0" w:type="dxa"/>
              <w:left w:w="105" w:type="dxa"/>
              <w:bottom w:w="0" w:type="dxa"/>
              <w:right w:w="105" w:type="dxa"/>
            </w:tcMar>
            <w:vAlign w:val="center"/>
          </w:tcPr>
          <w:p w14:paraId="41053A4D">
            <w:pPr>
              <w:pStyle w:val="34"/>
              <w:keepNext w:val="0"/>
              <w:keepLines w:val="0"/>
              <w:pageBreakBefore w:val="0"/>
              <w:spacing w:line="360" w:lineRule="auto"/>
              <w:ind w:firstLine="0"/>
              <w:jc w:val="center"/>
              <w:rPr>
                <w:color w:val="auto"/>
                <w:sz w:val="21"/>
                <w:szCs w:val="21"/>
                <w:highlight w:val="none"/>
              </w:rPr>
            </w:pPr>
            <w:r>
              <w:rPr>
                <w:rStyle w:val="39"/>
                <w:rFonts w:hint="eastAsia" w:cs="仿宋"/>
                <w:color w:val="auto"/>
                <w:sz w:val="21"/>
                <w:szCs w:val="21"/>
                <w:highlight w:val="none"/>
              </w:rPr>
              <w:t>X＜10</w:t>
            </w:r>
          </w:p>
        </w:tc>
      </w:tr>
    </w:tbl>
    <w:p w14:paraId="528A89A3">
      <w:pPr>
        <w:pStyle w:val="34"/>
        <w:spacing w:before="300" w:after="452" w:line="360" w:lineRule="auto"/>
        <w:ind w:firstLine="810"/>
        <w:rPr>
          <w:rFonts w:cs="仿宋"/>
          <w:b/>
          <w:color w:val="auto"/>
          <w:sz w:val="21"/>
          <w:szCs w:val="21"/>
          <w:highlight w:val="none"/>
        </w:rPr>
      </w:pPr>
      <w:r>
        <w:rPr>
          <w:rStyle w:val="39"/>
          <w:rFonts w:hint="eastAsia" w:cs="仿宋"/>
          <w:color w:val="auto"/>
          <w:sz w:val="21"/>
          <w:szCs w:val="21"/>
          <w:highlight w:val="none"/>
        </w:rPr>
        <w:t>说明：上述标准参照《关于印发中小企业划型标准规定的通知》（工信部联企业</w:t>
      </w:r>
      <w:r>
        <w:rPr>
          <w:rStyle w:val="39"/>
          <w:rFonts w:hint="eastAsia" w:cs="仿宋"/>
          <w:color w:val="auto"/>
          <w:sz w:val="21"/>
          <w:szCs w:val="21"/>
          <w:highlight w:val="none"/>
          <w:lang w:eastAsia="zh-CN"/>
        </w:rPr>
        <w:t>〔2011〕300号</w:t>
      </w:r>
      <w:r>
        <w:rPr>
          <w:rStyle w:val="39"/>
          <w:rFonts w:hint="eastAsia" w:cs="仿宋"/>
          <w:color w:val="auto"/>
          <w:sz w:val="21"/>
          <w:szCs w:val="21"/>
          <w:highlight w:val="none"/>
        </w:rPr>
        <w:t>），大型、中型和小型企业须同时满足所列指标的下限，否则下划一档；微型企业只须满足所列指标中的一项即可。</w:t>
      </w:r>
    </w:p>
    <w:p w14:paraId="6B82EAA0">
      <w:pPr>
        <w:jc w:val="left"/>
        <w:rPr>
          <w:color w:val="auto"/>
          <w:highlight w:val="none"/>
        </w:rPr>
      </w:pPr>
    </w:p>
    <w:p w14:paraId="4414FA73">
      <w:pPr>
        <w:widowControl/>
        <w:jc w:val="left"/>
        <w:rPr>
          <w:rFonts w:ascii="宋体" w:hAnsi="宋体" w:cs="Arial"/>
          <w:b/>
          <w:bCs/>
          <w:color w:val="auto"/>
          <w:highlight w:val="none"/>
        </w:rPr>
      </w:pPr>
      <w:r>
        <w:rPr>
          <w:rFonts w:ascii="宋体" w:hAnsi="宋体" w:cs="Arial"/>
          <w:b/>
          <w:bCs/>
          <w:color w:val="auto"/>
          <w:highlight w:val="none"/>
        </w:rPr>
        <w:br w:type="page" w:clear="all"/>
      </w:r>
    </w:p>
    <w:p w14:paraId="6AD2EFDC">
      <w:pPr>
        <w:widowControl/>
        <w:jc w:val="left"/>
        <w:rPr>
          <w:rFonts w:ascii="宋体" w:hAnsi="宋体" w:cs="Arial"/>
          <w:b/>
          <w:bCs/>
          <w:color w:val="auto"/>
          <w:highlight w:val="none"/>
        </w:rPr>
      </w:pPr>
    </w:p>
    <w:p w14:paraId="77F64DD9">
      <w:pPr>
        <w:spacing w:line="360" w:lineRule="auto"/>
        <w:jc w:val="center"/>
        <w:rPr>
          <w:rFonts w:ascii="宋体" w:hAnsi="宋体"/>
          <w:b/>
          <w:bCs/>
          <w:color w:val="auto"/>
          <w:highlight w:val="none"/>
        </w:rPr>
      </w:pPr>
      <w:r>
        <w:rPr>
          <w:rFonts w:hint="eastAsia" w:ascii="宋体" w:hAnsi="宋体"/>
          <w:b/>
          <w:bCs/>
          <w:color w:val="auto"/>
          <w:highlight w:val="none"/>
        </w:rPr>
        <w:t>残疾人福利性单位声明函</w:t>
      </w:r>
    </w:p>
    <w:p w14:paraId="037B41BC">
      <w:pPr>
        <w:spacing w:line="588" w:lineRule="exact"/>
        <w:ind w:firstLine="624"/>
        <w:rPr>
          <w:rFonts w:ascii="仿宋_GB2312" w:eastAsia="仿宋_GB2312"/>
          <w:color w:val="auto"/>
          <w:spacing w:val="6"/>
          <w:sz w:val="30"/>
          <w:szCs w:val="30"/>
          <w:highlight w:val="none"/>
        </w:rPr>
      </w:pPr>
    </w:p>
    <w:p w14:paraId="54881D5C">
      <w:pPr>
        <w:spacing w:line="588" w:lineRule="exact"/>
        <w:ind w:firstLine="420"/>
        <w:rPr>
          <w:rFonts w:ascii="宋体" w:hAnsi="宋体"/>
          <w:color w:val="auto"/>
          <w:szCs w:val="21"/>
          <w:highlight w:val="none"/>
        </w:rPr>
      </w:pPr>
      <w:r>
        <w:rPr>
          <w:rFonts w:hint="eastAsia" w:ascii="宋体" w:hAnsi="宋体"/>
          <w:color w:val="auto"/>
          <w:szCs w:val="21"/>
          <w:highlight w:val="none"/>
        </w:rPr>
        <w:t>本单位郑重声明，根据《财政部 民政部 中国残疾人联合会关于促进残疾人就业政府采购政策的通知》（财库〔2017〕 141号）的规定，本单位为符合条件的残疾人福利性单位，且本单位参加______单位的采购文件编号为______的</w:t>
      </w:r>
      <w:r>
        <w:rPr>
          <w:rFonts w:hint="eastAsia" w:ascii="宋体" w:hAnsi="宋体"/>
          <w:color w:val="auto"/>
          <w:szCs w:val="21"/>
          <w:highlight w:val="none"/>
          <w:u w:val="single"/>
        </w:rPr>
        <w:t xml:space="preserve">       </w:t>
      </w:r>
      <w:r>
        <w:rPr>
          <w:rFonts w:hint="eastAsia" w:ascii="宋体" w:hAnsi="宋体"/>
          <w:color w:val="auto"/>
          <w:szCs w:val="21"/>
          <w:highlight w:val="none"/>
        </w:rPr>
        <w:t>项目采购活动提供本单位制造的产品或服务（由本单位承担工程/提供服务），或者提供其他残疾人福利性单位制造的产品或服务（不包括使用非残疾人福利性单位注册商标的产品或服务）。</w:t>
      </w:r>
    </w:p>
    <w:p w14:paraId="2FAE7EEF">
      <w:pPr>
        <w:spacing w:line="588" w:lineRule="exact"/>
        <w:ind w:firstLine="420"/>
        <w:rPr>
          <w:rFonts w:ascii="宋体" w:hAnsi="宋体"/>
          <w:color w:val="auto"/>
          <w:szCs w:val="21"/>
          <w:highlight w:val="none"/>
        </w:rPr>
      </w:pPr>
      <w:r>
        <w:rPr>
          <w:rFonts w:hint="eastAsia" w:ascii="宋体" w:hAnsi="宋体"/>
          <w:color w:val="auto"/>
          <w:szCs w:val="21"/>
          <w:highlight w:val="none"/>
        </w:rPr>
        <w:t>本单位在本次政府采购活动中提供的残疾人福利单位产品报价合计为人民币（大写）</w:t>
      </w:r>
      <w:r>
        <w:rPr>
          <w:rFonts w:hint="eastAsia" w:ascii="宋体" w:hAnsi="宋体"/>
          <w:color w:val="auto"/>
          <w:szCs w:val="21"/>
          <w:highlight w:val="none"/>
          <w:u w:val="single"/>
        </w:rPr>
        <w:t xml:space="preserve">      </w:t>
      </w:r>
      <w:r>
        <w:rPr>
          <w:rFonts w:hint="eastAsia" w:ascii="宋体" w:hAnsi="宋体"/>
          <w:color w:val="auto"/>
          <w:szCs w:val="21"/>
          <w:highlight w:val="none"/>
        </w:rPr>
        <w:t>圆整（￥：</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5F7671C9">
      <w:pPr>
        <w:spacing w:line="588" w:lineRule="exact"/>
        <w:ind w:firstLine="420"/>
        <w:rPr>
          <w:rFonts w:ascii="宋体" w:hAnsi="宋体"/>
          <w:color w:val="auto"/>
          <w:szCs w:val="21"/>
          <w:highlight w:val="none"/>
        </w:rPr>
      </w:pPr>
      <w:r>
        <w:rPr>
          <w:rFonts w:hint="eastAsia" w:ascii="宋体" w:hAnsi="宋体"/>
          <w:color w:val="auto"/>
          <w:szCs w:val="21"/>
          <w:highlight w:val="none"/>
        </w:rPr>
        <w:t>本单位对上述声明的真实性负责。如有虚假，将依法承担相应责任。</w:t>
      </w:r>
    </w:p>
    <w:p w14:paraId="74A6CB10">
      <w:pPr>
        <w:spacing w:line="588" w:lineRule="exact"/>
        <w:ind w:firstLine="420"/>
        <w:rPr>
          <w:rFonts w:ascii="宋体" w:hAnsi="宋体"/>
          <w:color w:val="auto"/>
          <w:szCs w:val="21"/>
          <w:highlight w:val="none"/>
        </w:rPr>
      </w:pPr>
    </w:p>
    <w:p w14:paraId="200D20BE">
      <w:pPr>
        <w:spacing w:line="588" w:lineRule="exact"/>
        <w:ind w:firstLine="420"/>
        <w:rPr>
          <w:rFonts w:ascii="宋体" w:hAnsi="宋体"/>
          <w:color w:val="auto"/>
          <w:szCs w:val="21"/>
          <w:highlight w:val="none"/>
        </w:rPr>
      </w:pPr>
      <w:r>
        <w:rPr>
          <w:rFonts w:hint="eastAsia" w:ascii="宋体" w:hAnsi="宋体"/>
          <w:color w:val="auto"/>
          <w:szCs w:val="21"/>
          <w:highlight w:val="none"/>
        </w:rPr>
        <w:t>（备注：1、供应商如不提供此声明函，价格将不做相应扣除。2、中标供应商为残疾人福利单位的，此声明函将随中标结果同时公告，接受社会监督）</w:t>
      </w:r>
    </w:p>
    <w:p w14:paraId="1B2A1D35">
      <w:pPr>
        <w:spacing w:line="588" w:lineRule="exact"/>
        <w:ind w:firstLine="444"/>
        <w:rPr>
          <w:rFonts w:ascii="仿宋_GB2312" w:eastAsia="仿宋_GB2312"/>
          <w:color w:val="auto"/>
          <w:spacing w:val="6"/>
          <w:szCs w:val="21"/>
          <w:highlight w:val="none"/>
        </w:rPr>
      </w:pPr>
    </w:p>
    <w:p w14:paraId="10A51D23">
      <w:pPr>
        <w:tabs>
          <w:tab w:val="left" w:pos="4860"/>
        </w:tabs>
        <w:spacing w:line="588" w:lineRule="exact"/>
        <w:ind w:right="1560" w:firstLine="444"/>
        <w:jc w:val="center"/>
        <w:rPr>
          <w:rFonts w:ascii="宋体" w:hAnsi="宋体"/>
          <w:color w:val="auto"/>
          <w:szCs w:val="21"/>
          <w:highlight w:val="none"/>
        </w:rPr>
      </w:pPr>
      <w:r>
        <w:rPr>
          <w:rFonts w:hint="eastAsia" w:ascii="仿宋_GB2312" w:eastAsia="仿宋_GB2312"/>
          <w:color w:val="auto"/>
          <w:spacing w:val="6"/>
          <w:szCs w:val="21"/>
          <w:highlight w:val="none"/>
        </w:rPr>
        <w:t xml:space="preserve">             </w:t>
      </w:r>
      <w:r>
        <w:rPr>
          <w:rFonts w:hint="eastAsia" w:ascii="宋体" w:hAnsi="宋体"/>
          <w:color w:val="auto"/>
          <w:szCs w:val="21"/>
          <w:highlight w:val="none"/>
        </w:rPr>
        <w:t xml:space="preserve">               供应商全称（</w:t>
      </w:r>
      <w:r>
        <w:rPr>
          <w:rFonts w:hint="eastAsia" w:ascii="宋体" w:hAnsi="宋体"/>
          <w:color w:val="auto"/>
          <w:sz w:val="21"/>
          <w:szCs w:val="21"/>
          <w:highlight w:val="none"/>
          <w:lang w:eastAsia="zh-CN"/>
        </w:rPr>
        <w:t>加盖CA电子签章</w:t>
      </w:r>
      <w:r>
        <w:rPr>
          <w:rFonts w:hint="eastAsia" w:ascii="宋体" w:hAnsi="宋体"/>
          <w:color w:val="auto"/>
          <w:szCs w:val="21"/>
          <w:highlight w:val="none"/>
        </w:rPr>
        <w:t>）：</w:t>
      </w:r>
    </w:p>
    <w:p w14:paraId="6167A8F4">
      <w:pPr>
        <w:tabs>
          <w:tab w:val="left" w:pos="4860"/>
        </w:tabs>
        <w:spacing w:line="588" w:lineRule="exact"/>
        <w:ind w:right="1560" w:firstLine="420"/>
        <w:jc w:val="center"/>
        <w:rPr>
          <w:rFonts w:ascii="宋体" w:hAnsi="宋体"/>
          <w:color w:val="auto"/>
          <w:szCs w:val="21"/>
          <w:highlight w:val="none"/>
        </w:rPr>
      </w:pPr>
      <w:r>
        <w:rPr>
          <w:rFonts w:hint="eastAsia" w:ascii="宋体" w:hAnsi="宋体"/>
          <w:color w:val="auto"/>
          <w:szCs w:val="21"/>
          <w:highlight w:val="none"/>
        </w:rPr>
        <w:t xml:space="preserve">                              日  期：</w:t>
      </w:r>
    </w:p>
    <w:p w14:paraId="2508B290">
      <w:pPr>
        <w:widowControl/>
        <w:jc w:val="left"/>
        <w:rPr>
          <w:rFonts w:ascii="宋体" w:hAnsi="宋体" w:cs="Arial"/>
          <w:b/>
          <w:bCs/>
          <w:color w:val="auto"/>
          <w:highlight w:val="none"/>
        </w:rPr>
      </w:pPr>
    </w:p>
    <w:p w14:paraId="5CC88961">
      <w:pPr>
        <w:widowControl/>
        <w:jc w:val="left"/>
        <w:rPr>
          <w:rFonts w:ascii="宋体" w:hAnsi="宋体" w:cs="Arial"/>
          <w:b/>
          <w:bCs/>
          <w:color w:val="auto"/>
          <w:highlight w:val="none"/>
        </w:rPr>
      </w:pPr>
    </w:p>
    <w:p w14:paraId="022C7216">
      <w:pPr>
        <w:widowControl/>
        <w:jc w:val="left"/>
        <w:rPr>
          <w:rFonts w:ascii="宋体" w:hAnsi="宋体" w:cs="Arial"/>
          <w:b/>
          <w:bCs/>
          <w:color w:val="auto"/>
          <w:highlight w:val="none"/>
        </w:rPr>
      </w:pPr>
    </w:p>
    <w:p w14:paraId="0299BC55">
      <w:pPr>
        <w:widowControl/>
        <w:jc w:val="left"/>
        <w:rPr>
          <w:rFonts w:ascii="宋体" w:hAnsi="宋体" w:cs="Arial"/>
          <w:b/>
          <w:bCs/>
          <w:color w:val="auto"/>
          <w:highlight w:val="none"/>
        </w:rPr>
      </w:pPr>
    </w:p>
    <w:p w14:paraId="0F13EE19">
      <w:pPr>
        <w:widowControl/>
        <w:jc w:val="left"/>
        <w:rPr>
          <w:rFonts w:ascii="宋体" w:hAnsi="宋体" w:cs="Arial"/>
          <w:b/>
          <w:bCs/>
          <w:color w:val="auto"/>
          <w:highlight w:val="none"/>
        </w:rPr>
      </w:pPr>
    </w:p>
    <w:p w14:paraId="4E609B51">
      <w:pPr>
        <w:pStyle w:val="219"/>
        <w:rPr>
          <w:rFonts w:hAnsi="宋体" w:cs="Arial"/>
          <w:b/>
          <w:bCs/>
          <w:color w:val="auto"/>
          <w:highlight w:val="none"/>
        </w:rPr>
      </w:pPr>
    </w:p>
    <w:p w14:paraId="49FE756A">
      <w:pPr>
        <w:pStyle w:val="220"/>
        <w:rPr>
          <w:rFonts w:hAnsi="宋体" w:cs="Arial"/>
          <w:b/>
          <w:bCs/>
          <w:color w:val="auto"/>
          <w:highlight w:val="none"/>
        </w:rPr>
      </w:pPr>
    </w:p>
    <w:p w14:paraId="155C8B3C">
      <w:pPr>
        <w:rPr>
          <w:color w:val="auto"/>
          <w:highlight w:val="none"/>
        </w:rPr>
      </w:pPr>
    </w:p>
    <w:p w14:paraId="4C8B3CB3">
      <w:pPr>
        <w:pStyle w:val="223"/>
        <w:rPr>
          <w:rFonts w:hAnsi="宋体" w:cs="Arial"/>
          <w:b/>
          <w:bCs/>
          <w:color w:val="auto"/>
          <w:highlight w:val="none"/>
        </w:rPr>
      </w:pPr>
    </w:p>
    <w:p w14:paraId="173BF844">
      <w:pPr>
        <w:rPr>
          <w:color w:val="auto"/>
          <w:highlight w:val="none"/>
        </w:rPr>
      </w:pPr>
    </w:p>
    <w:p w14:paraId="4A5AB909">
      <w:pPr>
        <w:widowControl/>
        <w:jc w:val="left"/>
        <w:rPr>
          <w:rFonts w:ascii="宋体" w:hAnsi="宋体" w:cs="Arial"/>
          <w:b/>
          <w:bCs/>
          <w:color w:val="auto"/>
          <w:highlight w:val="none"/>
        </w:rPr>
      </w:pPr>
    </w:p>
    <w:p w14:paraId="60B31549">
      <w:pPr>
        <w:pStyle w:val="219"/>
        <w:rPr>
          <w:color w:val="auto"/>
          <w:highlight w:val="none"/>
        </w:rPr>
      </w:pPr>
    </w:p>
    <w:p w14:paraId="26897CE2">
      <w:pPr>
        <w:widowControl/>
        <w:jc w:val="left"/>
        <w:rPr>
          <w:rFonts w:ascii="宋体" w:hAnsi="宋体" w:cs="Arial"/>
          <w:b/>
          <w:bCs/>
          <w:color w:val="auto"/>
          <w:highlight w:val="none"/>
        </w:rPr>
      </w:pPr>
    </w:p>
    <w:p w14:paraId="4B8425AE">
      <w:pPr>
        <w:pStyle w:val="26"/>
        <w:rPr>
          <w:color w:val="auto"/>
          <w:highlight w:val="none"/>
        </w:rPr>
      </w:pPr>
    </w:p>
    <w:p w14:paraId="6BA27CCB">
      <w:pPr>
        <w:jc w:val="center"/>
        <w:rPr>
          <w:rFonts w:ascii="宋体" w:hAnsi="宋体"/>
          <w:b/>
          <w:bCs/>
          <w:color w:val="auto"/>
          <w:szCs w:val="21"/>
          <w:highlight w:val="none"/>
        </w:rPr>
      </w:pPr>
      <w:r>
        <w:rPr>
          <w:rFonts w:hint="eastAsia" w:ascii="宋体" w:hAnsi="宋体"/>
          <w:b/>
          <w:bCs/>
          <w:color w:val="auto"/>
          <w:szCs w:val="21"/>
          <w:highlight w:val="none"/>
        </w:rPr>
        <w:t>投标函</w:t>
      </w:r>
    </w:p>
    <w:p w14:paraId="4002B4D8">
      <w:pPr>
        <w:pStyle w:val="224"/>
        <w:spacing w:before="0" w:after="0"/>
        <w:ind w:firstLine="0"/>
        <w:rPr>
          <w:rFonts w:hint="eastAsia" w:ascii="宋体" w:hAnsi="宋体" w:eastAsia="宋体"/>
          <w:color w:val="auto"/>
          <w:sz w:val="21"/>
          <w:szCs w:val="21"/>
          <w:highlight w:val="none"/>
          <w:lang w:eastAsia="zh-CN"/>
        </w:rPr>
      </w:pPr>
      <w:r>
        <w:rPr>
          <w:rFonts w:hint="eastAsia" w:ascii="宋体" w:hAnsi="宋体"/>
          <w:color w:val="auto"/>
          <w:sz w:val="21"/>
          <w:szCs w:val="21"/>
          <w:highlight w:val="none"/>
        </w:rPr>
        <w:t>致：</w:t>
      </w:r>
      <w:r>
        <w:rPr>
          <w:rFonts w:hint="eastAsia" w:ascii="宋体" w:hAnsi="宋体"/>
          <w:color w:val="auto"/>
          <w:sz w:val="21"/>
          <w:szCs w:val="21"/>
          <w:highlight w:val="none"/>
          <w:lang w:eastAsia="zh-CN"/>
        </w:rPr>
        <w:t>江苏誉森建设项目管理有限公司</w:t>
      </w:r>
    </w:p>
    <w:p w14:paraId="6AC5DF01">
      <w:pPr>
        <w:pStyle w:val="224"/>
        <w:spacing w:before="0" w:after="0"/>
        <w:ind w:firstLine="420"/>
        <w:rPr>
          <w:rFonts w:ascii="宋体" w:hAnsi="宋体"/>
          <w:color w:val="auto"/>
          <w:sz w:val="21"/>
          <w:szCs w:val="21"/>
          <w:highlight w:val="none"/>
        </w:rPr>
      </w:pPr>
      <w:r>
        <w:rPr>
          <w:rFonts w:hint="eastAsia" w:ascii="宋体" w:hAnsi="宋体"/>
          <w:color w:val="auto"/>
          <w:sz w:val="21"/>
          <w:szCs w:val="21"/>
          <w:highlight w:val="none"/>
        </w:rPr>
        <w:t>根据贵方的________________ 号招标文件，正式授权下述签字人_________________(姓名)代表我方______________（投标人的名称），全权处理本次项目投标的有关事宜。</w:t>
      </w:r>
    </w:p>
    <w:p w14:paraId="6DB68FA7">
      <w:pPr>
        <w:pStyle w:val="224"/>
        <w:spacing w:before="0" w:after="0"/>
        <w:ind w:firstLine="420"/>
        <w:rPr>
          <w:rFonts w:ascii="宋体" w:hAnsi="宋体"/>
          <w:color w:val="auto"/>
          <w:sz w:val="21"/>
          <w:szCs w:val="21"/>
          <w:highlight w:val="none"/>
        </w:rPr>
      </w:pPr>
      <w:r>
        <w:rPr>
          <w:rFonts w:hint="eastAsia" w:ascii="宋体" w:hAnsi="宋体"/>
          <w:color w:val="auto"/>
          <w:sz w:val="21"/>
          <w:szCs w:val="21"/>
          <w:highlight w:val="none"/>
        </w:rPr>
        <w:t>据此函，__________签字人兹宣布同意如下：</w:t>
      </w:r>
    </w:p>
    <w:p w14:paraId="1F19CCBC">
      <w:pPr>
        <w:pStyle w:val="224"/>
        <w:spacing w:before="0" w:after="0"/>
        <w:ind w:firstLine="420"/>
        <w:rPr>
          <w:rFonts w:ascii="宋体" w:hAnsi="宋体"/>
          <w:color w:val="auto"/>
          <w:sz w:val="21"/>
          <w:szCs w:val="21"/>
          <w:highlight w:val="none"/>
        </w:rPr>
      </w:pPr>
      <w:r>
        <w:rPr>
          <w:rFonts w:hint="eastAsia" w:ascii="宋体" w:hAnsi="宋体"/>
          <w:color w:val="auto"/>
          <w:sz w:val="21"/>
          <w:szCs w:val="21"/>
          <w:highlight w:val="none"/>
        </w:rPr>
        <w:t>1.按招标文件规定的各项要求，向买方提供所需货物与服务。</w:t>
      </w:r>
    </w:p>
    <w:p w14:paraId="01454A50">
      <w:pPr>
        <w:pStyle w:val="224"/>
        <w:spacing w:before="0" w:after="0"/>
        <w:ind w:firstLine="420"/>
        <w:rPr>
          <w:rFonts w:ascii="宋体" w:hAnsi="宋体"/>
          <w:color w:val="auto"/>
          <w:sz w:val="21"/>
          <w:szCs w:val="21"/>
          <w:highlight w:val="none"/>
        </w:rPr>
      </w:pPr>
      <w:r>
        <w:rPr>
          <w:rFonts w:hint="eastAsia" w:ascii="宋体" w:hAnsi="宋体"/>
          <w:color w:val="auto"/>
          <w:sz w:val="21"/>
          <w:szCs w:val="21"/>
          <w:highlight w:val="none"/>
        </w:rPr>
        <w:t>2.我们完全理解贵方不一定将合同授予最低报价的投标人。</w:t>
      </w:r>
    </w:p>
    <w:p w14:paraId="61AEB782">
      <w:pPr>
        <w:pStyle w:val="224"/>
        <w:spacing w:before="0" w:after="0"/>
        <w:ind w:firstLine="420"/>
        <w:rPr>
          <w:rFonts w:ascii="宋体" w:hAnsi="宋体"/>
          <w:color w:val="auto"/>
          <w:sz w:val="21"/>
          <w:szCs w:val="21"/>
          <w:highlight w:val="none"/>
        </w:rPr>
      </w:pPr>
      <w:r>
        <w:rPr>
          <w:rFonts w:hint="eastAsia" w:ascii="宋体" w:hAnsi="宋体"/>
          <w:color w:val="auto"/>
          <w:sz w:val="21"/>
          <w:szCs w:val="21"/>
          <w:highlight w:val="none"/>
        </w:rPr>
        <w:t>3.我们已详细审核全部招标文件及其有效补充文件，我们知道必须放弃提出含糊不清或误解问题的权利。</w:t>
      </w:r>
    </w:p>
    <w:p w14:paraId="7A87878B">
      <w:pPr>
        <w:pStyle w:val="224"/>
        <w:spacing w:before="0" w:after="0"/>
        <w:rPr>
          <w:rFonts w:ascii="宋体" w:hAnsi="宋体"/>
          <w:color w:val="auto"/>
          <w:sz w:val="21"/>
          <w:szCs w:val="21"/>
          <w:highlight w:val="none"/>
        </w:rPr>
      </w:pPr>
      <w:r>
        <w:rPr>
          <w:rFonts w:hint="eastAsia" w:ascii="宋体" w:hAnsi="宋体"/>
          <w:color w:val="auto"/>
          <w:sz w:val="21"/>
          <w:szCs w:val="21"/>
          <w:highlight w:val="none"/>
        </w:rPr>
        <w:t>4.我们同意从规定的开标日期起遵循本投标文件，并在规定的投标有效期期满之前均具有约束力。</w:t>
      </w:r>
    </w:p>
    <w:p w14:paraId="65E3A669">
      <w:pPr>
        <w:pStyle w:val="224"/>
        <w:spacing w:before="0" w:after="0"/>
        <w:rPr>
          <w:rFonts w:ascii="宋体" w:hAnsi="宋体"/>
          <w:color w:val="auto"/>
          <w:sz w:val="21"/>
          <w:szCs w:val="21"/>
          <w:highlight w:val="none"/>
        </w:rPr>
      </w:pPr>
      <w:r>
        <w:rPr>
          <w:rFonts w:hint="eastAsia" w:ascii="宋体" w:hAnsi="宋体"/>
          <w:color w:val="auto"/>
          <w:sz w:val="21"/>
          <w:szCs w:val="21"/>
          <w:highlight w:val="none"/>
        </w:rPr>
        <w:t>5.同意向贵方提供贵方可能另外要求的与投标有关的任何证据或资料，并保证我方已提供和将要提供的文件是真实的、准确的。</w:t>
      </w:r>
    </w:p>
    <w:p w14:paraId="1F22E4ED">
      <w:pPr>
        <w:pStyle w:val="224"/>
        <w:spacing w:before="0" w:after="0"/>
        <w:rPr>
          <w:rFonts w:ascii="宋体" w:hAnsi="宋体"/>
          <w:color w:val="auto"/>
          <w:sz w:val="21"/>
          <w:szCs w:val="21"/>
          <w:highlight w:val="none"/>
        </w:rPr>
      </w:pPr>
      <w:r>
        <w:rPr>
          <w:rFonts w:hint="eastAsia" w:ascii="宋体" w:hAnsi="宋体"/>
          <w:color w:val="auto"/>
          <w:sz w:val="21"/>
          <w:szCs w:val="21"/>
          <w:highlight w:val="none"/>
        </w:rPr>
        <w:t>6.一旦我方中标,我方将根据招标文件的规定，严格履行合同的责任和义务,并保证在招标文件规定的时间完成项目，交付买方验收、使用。</w:t>
      </w:r>
    </w:p>
    <w:p w14:paraId="7209725B">
      <w:pPr>
        <w:pStyle w:val="224"/>
        <w:spacing w:before="0" w:after="0"/>
        <w:ind w:left="425" w:firstLine="105"/>
        <w:rPr>
          <w:rFonts w:ascii="宋体" w:hAnsi="宋体"/>
          <w:color w:val="auto"/>
          <w:sz w:val="21"/>
          <w:szCs w:val="21"/>
          <w:highlight w:val="none"/>
        </w:rPr>
      </w:pPr>
      <w:r>
        <w:rPr>
          <w:rFonts w:hint="eastAsia" w:ascii="宋体" w:hAnsi="宋体"/>
          <w:color w:val="auto"/>
          <w:sz w:val="21"/>
          <w:szCs w:val="21"/>
          <w:highlight w:val="none"/>
        </w:rPr>
        <w:t>7.与本投标有关的正式通讯地址为：</w:t>
      </w:r>
    </w:p>
    <w:p w14:paraId="21BA6C6B">
      <w:pPr>
        <w:pStyle w:val="224"/>
        <w:spacing w:before="0" w:after="0"/>
        <w:ind w:firstLine="478"/>
        <w:rPr>
          <w:rFonts w:ascii="宋体" w:hAnsi="宋体"/>
          <w:color w:val="auto"/>
          <w:sz w:val="21"/>
          <w:szCs w:val="21"/>
          <w:highlight w:val="none"/>
        </w:rPr>
      </w:pPr>
      <w:r>
        <w:rPr>
          <w:rFonts w:hint="eastAsia" w:ascii="宋体" w:hAnsi="宋体"/>
          <w:color w:val="auto"/>
          <w:sz w:val="21"/>
          <w:szCs w:val="21"/>
          <w:highlight w:val="none"/>
        </w:rPr>
        <w:t>地 址：</w:t>
      </w:r>
    </w:p>
    <w:p w14:paraId="62DAAFCB">
      <w:pPr>
        <w:pStyle w:val="224"/>
        <w:spacing w:before="0" w:after="0"/>
        <w:ind w:firstLine="478"/>
        <w:rPr>
          <w:rFonts w:ascii="宋体" w:hAnsi="宋体"/>
          <w:color w:val="auto"/>
          <w:sz w:val="21"/>
          <w:szCs w:val="21"/>
          <w:highlight w:val="none"/>
        </w:rPr>
      </w:pPr>
      <w:r>
        <w:rPr>
          <w:rFonts w:hint="eastAsia" w:ascii="宋体" w:hAnsi="宋体"/>
          <w:color w:val="auto"/>
          <w:sz w:val="21"/>
          <w:szCs w:val="21"/>
          <w:highlight w:val="none"/>
        </w:rPr>
        <w:t>邮 编：</w:t>
      </w:r>
    </w:p>
    <w:p w14:paraId="557FEA11">
      <w:pPr>
        <w:pStyle w:val="224"/>
        <w:spacing w:before="0" w:after="0"/>
        <w:ind w:firstLine="478"/>
        <w:rPr>
          <w:rFonts w:ascii="宋体" w:hAnsi="宋体"/>
          <w:color w:val="auto"/>
          <w:sz w:val="21"/>
          <w:szCs w:val="21"/>
          <w:highlight w:val="none"/>
        </w:rPr>
      </w:pPr>
      <w:r>
        <w:rPr>
          <w:rFonts w:hint="eastAsia" w:ascii="宋体" w:hAnsi="宋体"/>
          <w:color w:val="auto"/>
          <w:sz w:val="21"/>
          <w:szCs w:val="21"/>
          <w:highlight w:val="none"/>
        </w:rPr>
        <w:t xml:space="preserve">电 话： </w:t>
      </w:r>
    </w:p>
    <w:p w14:paraId="2297435B">
      <w:pPr>
        <w:pStyle w:val="224"/>
        <w:spacing w:before="0" w:after="0"/>
        <w:ind w:firstLine="478"/>
        <w:rPr>
          <w:rFonts w:ascii="宋体" w:hAnsi="宋体"/>
          <w:color w:val="auto"/>
          <w:sz w:val="21"/>
          <w:szCs w:val="21"/>
          <w:highlight w:val="none"/>
        </w:rPr>
      </w:pPr>
      <w:r>
        <w:rPr>
          <w:rFonts w:hint="eastAsia" w:ascii="宋体" w:hAnsi="宋体"/>
          <w:color w:val="auto"/>
          <w:sz w:val="21"/>
          <w:szCs w:val="21"/>
          <w:highlight w:val="none"/>
        </w:rPr>
        <w:t xml:space="preserve">传 真： </w:t>
      </w:r>
    </w:p>
    <w:p w14:paraId="1AC3AD3B">
      <w:pPr>
        <w:pStyle w:val="224"/>
        <w:spacing w:before="0" w:after="0"/>
        <w:ind w:firstLine="478"/>
        <w:rPr>
          <w:rFonts w:ascii="宋体" w:hAnsi="宋体"/>
          <w:color w:val="auto"/>
          <w:sz w:val="21"/>
          <w:szCs w:val="21"/>
          <w:highlight w:val="none"/>
        </w:rPr>
      </w:pPr>
      <w:r>
        <w:rPr>
          <w:rFonts w:hint="eastAsia" w:ascii="宋体" w:hAnsi="宋体"/>
          <w:color w:val="auto"/>
          <w:sz w:val="21"/>
          <w:szCs w:val="21"/>
          <w:highlight w:val="none"/>
        </w:rPr>
        <w:t>投标人开户行：</w:t>
      </w:r>
    </w:p>
    <w:p w14:paraId="2AB65B23">
      <w:pPr>
        <w:pStyle w:val="224"/>
        <w:spacing w:before="0" w:after="0"/>
        <w:ind w:firstLine="478"/>
        <w:rPr>
          <w:rFonts w:ascii="宋体" w:hAnsi="宋体"/>
          <w:color w:val="auto"/>
          <w:sz w:val="21"/>
          <w:szCs w:val="21"/>
          <w:highlight w:val="none"/>
        </w:rPr>
      </w:pPr>
      <w:r>
        <w:rPr>
          <w:rFonts w:hint="eastAsia" w:ascii="宋体" w:hAnsi="宋体"/>
          <w:color w:val="auto"/>
          <w:sz w:val="21"/>
          <w:szCs w:val="21"/>
          <w:highlight w:val="none"/>
        </w:rPr>
        <w:t xml:space="preserve">账 户： </w:t>
      </w:r>
    </w:p>
    <w:p w14:paraId="5DD688CE">
      <w:pPr>
        <w:pStyle w:val="224"/>
        <w:spacing w:before="0" w:after="0"/>
        <w:ind w:firstLine="478"/>
        <w:rPr>
          <w:rFonts w:ascii="宋体" w:hAnsi="宋体"/>
          <w:color w:val="auto"/>
          <w:sz w:val="21"/>
          <w:szCs w:val="21"/>
          <w:highlight w:val="none"/>
        </w:rPr>
      </w:pPr>
      <w:r>
        <w:rPr>
          <w:rFonts w:hint="eastAsia" w:ascii="宋体" w:hAnsi="宋体"/>
          <w:color w:val="auto"/>
          <w:sz w:val="21"/>
          <w:szCs w:val="21"/>
          <w:highlight w:val="none"/>
        </w:rPr>
        <w:t>行 号：</w:t>
      </w:r>
    </w:p>
    <w:p w14:paraId="6161429C">
      <w:pPr>
        <w:pStyle w:val="224"/>
        <w:spacing w:before="0" w:after="0"/>
        <w:ind w:firstLine="478"/>
        <w:rPr>
          <w:rFonts w:ascii="宋体" w:hAnsi="宋体"/>
          <w:color w:val="auto"/>
          <w:sz w:val="21"/>
          <w:szCs w:val="21"/>
          <w:highlight w:val="none"/>
        </w:rPr>
      </w:pPr>
      <w:r>
        <w:rPr>
          <w:rFonts w:hint="eastAsia" w:ascii="宋体" w:hAnsi="宋体"/>
          <w:color w:val="auto"/>
          <w:sz w:val="21"/>
          <w:szCs w:val="21"/>
          <w:highlight w:val="none"/>
        </w:rPr>
        <w:t xml:space="preserve">法定代表人或授权代表（签字）： </w:t>
      </w:r>
    </w:p>
    <w:p w14:paraId="62AEBAC6">
      <w:pPr>
        <w:pStyle w:val="224"/>
        <w:spacing w:before="0" w:after="0"/>
        <w:ind w:firstLine="478"/>
        <w:rPr>
          <w:rFonts w:ascii="宋体" w:hAnsi="宋体"/>
          <w:color w:val="auto"/>
          <w:sz w:val="21"/>
          <w:szCs w:val="21"/>
          <w:highlight w:val="none"/>
        </w:rPr>
      </w:pPr>
      <w:r>
        <w:rPr>
          <w:rFonts w:hint="eastAsia" w:ascii="宋体" w:hAnsi="宋体"/>
          <w:color w:val="auto"/>
          <w:sz w:val="21"/>
          <w:szCs w:val="21"/>
          <w:highlight w:val="none"/>
        </w:rPr>
        <w:t xml:space="preserve">投标人名称（加盖CA电子签章）： </w:t>
      </w:r>
    </w:p>
    <w:p w14:paraId="41101667">
      <w:pPr>
        <w:pStyle w:val="224"/>
        <w:spacing w:before="0" w:after="0"/>
        <w:ind w:firstLine="478"/>
        <w:rPr>
          <w:rFonts w:ascii="宋体" w:hAnsi="宋体"/>
          <w:color w:val="auto"/>
          <w:sz w:val="21"/>
          <w:szCs w:val="21"/>
          <w:highlight w:val="none"/>
        </w:rPr>
      </w:pPr>
      <w:r>
        <w:rPr>
          <w:rFonts w:hint="eastAsia" w:ascii="宋体" w:hAnsi="宋体"/>
          <w:color w:val="auto"/>
          <w:sz w:val="21"/>
          <w:szCs w:val="21"/>
          <w:highlight w:val="none"/>
        </w:rPr>
        <w:t>日 期：________年____月____日</w:t>
      </w:r>
    </w:p>
    <w:p w14:paraId="24DB53D0">
      <w:pPr>
        <w:pStyle w:val="224"/>
        <w:spacing w:before="0" w:after="0"/>
        <w:ind w:firstLine="478"/>
        <w:rPr>
          <w:rFonts w:ascii="宋体" w:hAnsi="宋体"/>
          <w:color w:val="auto"/>
          <w:sz w:val="21"/>
          <w:szCs w:val="21"/>
          <w:highlight w:val="none"/>
        </w:rPr>
      </w:pPr>
    </w:p>
    <w:p w14:paraId="2D591004">
      <w:pPr>
        <w:rPr>
          <w:rFonts w:ascii="宋体" w:hAnsi="宋体"/>
          <w:b/>
          <w:color w:val="auto"/>
          <w:sz w:val="32"/>
          <w:szCs w:val="32"/>
          <w:highlight w:val="none"/>
        </w:rPr>
      </w:pPr>
      <w:r>
        <w:rPr>
          <w:rFonts w:hint="eastAsia" w:ascii="宋体" w:hAnsi="宋体"/>
          <w:b/>
          <w:color w:val="auto"/>
          <w:sz w:val="32"/>
          <w:szCs w:val="32"/>
          <w:highlight w:val="none"/>
        </w:rPr>
        <w:br w:type="page" w:clear="all"/>
      </w:r>
    </w:p>
    <w:p w14:paraId="0BE8A1E8">
      <w:pPr>
        <w:pStyle w:val="225"/>
        <w:spacing w:after="312" w:line="360" w:lineRule="auto"/>
        <w:ind w:firstLine="422"/>
        <w:jc w:val="center"/>
        <w:rPr>
          <w:rFonts w:ascii="宋体" w:hAnsi="宋体"/>
          <w:b/>
          <w:color w:val="auto"/>
          <w:sz w:val="21"/>
          <w:szCs w:val="21"/>
          <w:highlight w:val="none"/>
        </w:rPr>
      </w:pPr>
      <w:r>
        <w:rPr>
          <w:rFonts w:hint="eastAsia" w:ascii="宋体" w:hAnsi="宋体"/>
          <w:b/>
          <w:color w:val="auto"/>
          <w:sz w:val="21"/>
          <w:szCs w:val="21"/>
          <w:highlight w:val="none"/>
        </w:rPr>
        <w:t>法人授权书</w:t>
      </w:r>
    </w:p>
    <w:p w14:paraId="366FC33D">
      <w:pPr>
        <w:pStyle w:val="225"/>
        <w:spacing w:line="360" w:lineRule="auto"/>
        <w:ind w:firstLine="420"/>
        <w:rPr>
          <w:rFonts w:ascii="宋体" w:hAnsi="宋体"/>
          <w:color w:val="auto"/>
          <w:sz w:val="21"/>
          <w:szCs w:val="21"/>
          <w:highlight w:val="none"/>
        </w:rPr>
      </w:pPr>
      <w:r>
        <w:rPr>
          <w:rFonts w:hint="eastAsia" w:ascii="宋体" w:hAnsi="宋体"/>
          <w:color w:val="auto"/>
          <w:sz w:val="21"/>
          <w:szCs w:val="21"/>
          <w:highlight w:val="none"/>
        </w:rPr>
        <w:t>本授权书声明：________________（投标人名称）授权________________（被授权人的姓名）为我方就</w:t>
      </w:r>
      <w:r>
        <w:rPr>
          <w:rFonts w:hint="eastAsia" w:ascii="宋体" w:hAnsi="宋体"/>
          <w:color w:val="auto"/>
          <w:sz w:val="21"/>
          <w:szCs w:val="21"/>
          <w:highlight w:val="none"/>
          <w:u w:val="single"/>
        </w:rPr>
        <w:t>（项目编号）</w:t>
      </w:r>
      <w:r>
        <w:rPr>
          <w:rFonts w:hint="eastAsia" w:ascii="宋体" w:hAnsi="宋体"/>
          <w:color w:val="auto"/>
          <w:sz w:val="21"/>
          <w:szCs w:val="21"/>
          <w:highlight w:val="none"/>
        </w:rPr>
        <w:t>号</w:t>
      </w:r>
      <w:r>
        <w:rPr>
          <w:rFonts w:hint="eastAsia" w:ascii="宋体" w:hAnsi="宋体"/>
          <w:color w:val="auto"/>
          <w:sz w:val="21"/>
          <w:szCs w:val="21"/>
          <w:highlight w:val="none"/>
          <w:u w:val="single"/>
        </w:rPr>
        <w:t>（项目名称）</w:t>
      </w:r>
      <w:r>
        <w:rPr>
          <w:rFonts w:hint="eastAsia" w:ascii="宋体" w:hAnsi="宋体"/>
          <w:color w:val="auto"/>
          <w:sz w:val="21"/>
          <w:szCs w:val="21"/>
          <w:highlight w:val="none"/>
        </w:rPr>
        <w:t>项目采购活动的合法代理人，以本公司名义全权处理一切与该项目采购有关的事务。</w:t>
      </w:r>
    </w:p>
    <w:p w14:paraId="5BB72715">
      <w:pPr>
        <w:pStyle w:val="225"/>
        <w:spacing w:line="360" w:lineRule="auto"/>
        <w:ind w:firstLine="420"/>
        <w:rPr>
          <w:rFonts w:ascii="宋体" w:hAnsi="宋体"/>
          <w:color w:val="auto"/>
          <w:sz w:val="21"/>
          <w:szCs w:val="21"/>
          <w:highlight w:val="none"/>
        </w:rPr>
      </w:pPr>
      <w:r>
        <w:rPr>
          <w:rFonts w:hint="eastAsia" w:ascii="宋体" w:hAnsi="宋体"/>
          <w:color w:val="auto"/>
          <w:sz w:val="21"/>
          <w:szCs w:val="21"/>
          <w:highlight w:val="none"/>
        </w:rPr>
        <w:t>本授权书于______年____月____日起生效，特此声明。</w:t>
      </w:r>
    </w:p>
    <w:p w14:paraId="142B441B">
      <w:pPr>
        <w:pStyle w:val="225"/>
        <w:spacing w:line="360" w:lineRule="auto"/>
        <w:ind w:firstLine="0"/>
        <w:rPr>
          <w:rFonts w:ascii="宋体" w:hAnsi="宋体"/>
          <w:color w:val="auto"/>
          <w:sz w:val="21"/>
          <w:szCs w:val="21"/>
          <w:highlight w:val="none"/>
        </w:rPr>
      </w:pPr>
      <w:r>
        <w:rPr>
          <w:rFonts w:hint="eastAsia" w:ascii="宋体" w:hAnsi="宋体"/>
          <w:color w:val="auto"/>
          <w:sz w:val="21"/>
          <w:szCs w:val="21"/>
          <w:highlight w:val="none"/>
        </w:rPr>
        <w:t xml:space="preserve">    </w:t>
      </w:r>
    </w:p>
    <w:p w14:paraId="374B54C1">
      <w:pPr>
        <w:pStyle w:val="225"/>
        <w:spacing w:line="360" w:lineRule="auto"/>
        <w:ind w:firstLine="420"/>
        <w:rPr>
          <w:rFonts w:ascii="宋体" w:hAnsi="宋体"/>
          <w:color w:val="auto"/>
          <w:sz w:val="21"/>
          <w:szCs w:val="21"/>
          <w:highlight w:val="none"/>
        </w:rPr>
      </w:pPr>
      <w:r>
        <w:rPr>
          <w:rFonts w:hint="eastAsia" w:ascii="宋体" w:hAnsi="宋体"/>
          <w:color w:val="auto"/>
          <w:sz w:val="21"/>
          <w:szCs w:val="21"/>
          <w:highlight w:val="none"/>
        </w:rPr>
        <w:t>被授权人姓名：_____________________</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___</w:t>
      </w:r>
    </w:p>
    <w:p w14:paraId="63FE9FF6">
      <w:pPr>
        <w:pStyle w:val="225"/>
        <w:spacing w:line="360" w:lineRule="auto"/>
        <w:ind w:firstLine="420"/>
        <w:rPr>
          <w:rFonts w:ascii="宋体" w:hAnsi="宋体"/>
          <w:color w:val="auto"/>
          <w:sz w:val="21"/>
          <w:szCs w:val="21"/>
          <w:highlight w:val="none"/>
          <w:u w:val="single"/>
        </w:rPr>
      </w:pPr>
      <w:r>
        <w:rPr>
          <w:rFonts w:hint="eastAsia" w:ascii="宋体" w:hAnsi="宋体"/>
          <w:color w:val="auto"/>
          <w:sz w:val="21"/>
          <w:szCs w:val="21"/>
          <w:highlight w:val="none"/>
        </w:rPr>
        <w:t>联系电话（手机）：</w:t>
      </w:r>
      <w:r>
        <w:rPr>
          <w:rFonts w:hint="eastAsia" w:ascii="宋体" w:hAnsi="宋体"/>
          <w:color w:val="auto"/>
          <w:sz w:val="21"/>
          <w:szCs w:val="21"/>
          <w:highlight w:val="none"/>
          <w:u w:val="single"/>
        </w:rPr>
        <w:t xml:space="preserve">                             </w:t>
      </w:r>
    </w:p>
    <w:p w14:paraId="64E55D4B">
      <w:pPr>
        <w:pStyle w:val="225"/>
        <w:spacing w:line="360" w:lineRule="auto"/>
        <w:ind w:firstLine="0"/>
        <w:rPr>
          <w:rFonts w:ascii="宋体" w:hAnsi="宋体"/>
          <w:color w:val="auto"/>
          <w:sz w:val="21"/>
          <w:szCs w:val="21"/>
          <w:highlight w:val="none"/>
        </w:rPr>
      </w:pPr>
      <w:r>
        <w:rPr>
          <w:rFonts w:hint="eastAsia" w:ascii="宋体" w:hAnsi="宋体"/>
          <w:color w:val="auto"/>
          <w:sz w:val="21"/>
          <w:szCs w:val="21"/>
          <w:highlight w:val="none"/>
        </w:rPr>
        <w:t xml:space="preserve">    单</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rPr>
        <w:t>位</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rPr>
        <w:t>名</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rPr>
        <w:t>称</w:t>
      </w:r>
      <w:r>
        <w:rPr>
          <w:rFonts w:hint="eastAsia" w:ascii="宋体" w:hAnsi="宋体"/>
          <w:color w:val="auto"/>
          <w:sz w:val="21"/>
          <w:szCs w:val="21"/>
          <w:highlight w:val="none"/>
          <w:lang w:eastAsia="zh-CN"/>
        </w:rPr>
        <w:t>（加盖CA电子签章）</w:t>
      </w:r>
      <w:r>
        <w:rPr>
          <w:rFonts w:hint="eastAsia" w:ascii="宋体" w:hAnsi="宋体"/>
          <w:color w:val="auto"/>
          <w:sz w:val="21"/>
          <w:szCs w:val="21"/>
          <w:highlight w:val="none"/>
        </w:rPr>
        <w:t>：__________________________________</w:t>
      </w:r>
    </w:p>
    <w:p w14:paraId="6A9746BB">
      <w:pPr>
        <w:pStyle w:val="225"/>
        <w:spacing w:line="360" w:lineRule="auto"/>
        <w:ind w:firstLine="420"/>
        <w:rPr>
          <w:color w:val="auto"/>
          <w:sz w:val="21"/>
          <w:szCs w:val="21"/>
          <w:highlight w:val="none"/>
          <w:u w:val="single"/>
        </w:rPr>
      </w:pPr>
      <w:r>
        <w:rPr>
          <w:rFonts w:hint="eastAsia"/>
          <w:color w:val="auto"/>
          <w:sz w:val="21"/>
          <w:szCs w:val="21"/>
          <w:highlight w:val="none"/>
        </w:rPr>
        <w:t>单</w:t>
      </w:r>
      <w:r>
        <w:rPr>
          <w:rFonts w:hint="eastAsia"/>
          <w:color w:val="auto"/>
          <w:sz w:val="21"/>
          <w:szCs w:val="21"/>
          <w:highlight w:val="none"/>
          <w:lang w:val="en-US" w:eastAsia="zh-CN"/>
        </w:rPr>
        <w:t xml:space="preserve"> </w:t>
      </w:r>
      <w:r>
        <w:rPr>
          <w:rFonts w:hint="eastAsia"/>
          <w:color w:val="auto"/>
          <w:sz w:val="21"/>
          <w:szCs w:val="21"/>
          <w:highlight w:val="none"/>
        </w:rPr>
        <w:t>位</w:t>
      </w:r>
      <w:r>
        <w:rPr>
          <w:rFonts w:hint="eastAsia"/>
          <w:color w:val="auto"/>
          <w:sz w:val="21"/>
          <w:szCs w:val="21"/>
          <w:highlight w:val="none"/>
          <w:lang w:val="en-US" w:eastAsia="zh-CN"/>
        </w:rPr>
        <w:t xml:space="preserve"> </w:t>
      </w:r>
      <w:r>
        <w:rPr>
          <w:rFonts w:hint="eastAsia"/>
          <w:color w:val="auto"/>
          <w:sz w:val="21"/>
          <w:szCs w:val="21"/>
          <w:highlight w:val="none"/>
        </w:rPr>
        <w:t>地</w:t>
      </w:r>
      <w:r>
        <w:rPr>
          <w:rFonts w:hint="eastAsia"/>
          <w:color w:val="auto"/>
          <w:sz w:val="21"/>
          <w:szCs w:val="21"/>
          <w:highlight w:val="none"/>
          <w:lang w:val="en-US" w:eastAsia="zh-CN"/>
        </w:rPr>
        <w:t xml:space="preserve"> </w:t>
      </w:r>
      <w:r>
        <w:rPr>
          <w:rFonts w:hint="eastAsia"/>
          <w:color w:val="auto"/>
          <w:sz w:val="21"/>
          <w:szCs w:val="21"/>
          <w:highlight w:val="none"/>
        </w:rPr>
        <w:t>址：</w:t>
      </w:r>
      <w:r>
        <w:rPr>
          <w:color w:val="auto"/>
          <w:sz w:val="21"/>
          <w:szCs w:val="21"/>
          <w:highlight w:val="none"/>
          <w:u w:val="single"/>
        </w:rPr>
        <w:t xml:space="preserve">                                  </w:t>
      </w:r>
    </w:p>
    <w:p w14:paraId="6A693D86">
      <w:pPr>
        <w:pStyle w:val="225"/>
        <w:spacing w:line="360" w:lineRule="auto"/>
        <w:ind w:firstLine="420"/>
        <w:rPr>
          <w:color w:val="auto"/>
          <w:sz w:val="21"/>
          <w:szCs w:val="21"/>
          <w:highlight w:val="none"/>
        </w:rPr>
      </w:pPr>
      <w:r>
        <w:rPr>
          <w:rFonts w:hint="eastAsia"/>
          <w:color w:val="auto"/>
          <w:sz w:val="21"/>
          <w:szCs w:val="21"/>
          <w:highlight w:val="none"/>
        </w:rPr>
        <w:t>日</w:t>
      </w:r>
      <w:r>
        <w:rPr>
          <w:rFonts w:hint="eastAsia"/>
          <w:color w:val="auto"/>
          <w:sz w:val="21"/>
          <w:szCs w:val="21"/>
          <w:highlight w:val="none"/>
          <w:lang w:val="en-US" w:eastAsia="zh-CN"/>
        </w:rPr>
        <w:t xml:space="preserve">       </w:t>
      </w:r>
      <w:r>
        <w:rPr>
          <w:rFonts w:hint="eastAsia"/>
          <w:color w:val="auto"/>
          <w:sz w:val="21"/>
          <w:szCs w:val="21"/>
          <w:highlight w:val="none"/>
        </w:rPr>
        <w:t>期：</w:t>
      </w:r>
      <w:r>
        <w:rPr>
          <w:color w:val="auto"/>
          <w:sz w:val="21"/>
          <w:szCs w:val="21"/>
          <w:highlight w:val="none"/>
          <w:u w:val="single"/>
        </w:rPr>
        <w:t xml:space="preserve">                                  </w:t>
      </w:r>
      <w:r>
        <w:rPr>
          <w:color w:val="auto"/>
          <w:sz w:val="21"/>
          <w:szCs w:val="21"/>
          <w:highlight w:val="none"/>
        </w:rPr>
        <w:t xml:space="preserve"> </w:t>
      </w:r>
    </w:p>
    <w:p w14:paraId="49FEA80C">
      <w:pPr>
        <w:spacing w:line="460" w:lineRule="exact"/>
        <w:rPr>
          <w:rFonts w:ascii="宋体" w:hAnsi="宋体"/>
          <w:bCs/>
          <w:color w:val="auto"/>
          <w:highlight w:val="none"/>
        </w:rPr>
      </w:pPr>
    </w:p>
    <w:p w14:paraId="3BF07DD1">
      <w:pPr>
        <w:spacing w:line="460" w:lineRule="exact"/>
        <w:rPr>
          <w:rFonts w:ascii="宋体" w:hAnsi="宋体"/>
          <w:bCs/>
          <w:color w:val="auto"/>
          <w:sz w:val="24"/>
          <w:highlight w:val="none"/>
        </w:rPr>
      </w:pPr>
    </w:p>
    <w:p w14:paraId="0ED67EC2">
      <w:pPr>
        <w:spacing w:line="460" w:lineRule="exact"/>
        <w:ind w:firstLine="420"/>
        <w:rPr>
          <w:rFonts w:ascii="宋体" w:hAnsi="宋体"/>
          <w:bCs/>
          <w:color w:val="auto"/>
          <w:highlight w:val="none"/>
        </w:rPr>
      </w:pPr>
      <w:r>
        <w:rPr>
          <w:rFonts w:hint="eastAsia" w:ascii="宋体" w:hAnsi="宋体"/>
          <w:bCs/>
          <w:color w:val="auto"/>
          <w:highlight w:val="none"/>
        </w:rPr>
        <w:t>被授权人身份证复印件</w:t>
      </w:r>
    </w:p>
    <w:p w14:paraId="1ED74455">
      <w:pPr>
        <w:widowControl/>
        <w:jc w:val="left"/>
        <w:rPr>
          <w:rFonts w:ascii="宋体" w:hAnsi="宋体"/>
          <w:bCs/>
          <w:color w:val="auto"/>
          <w:highlight w:val="none"/>
        </w:rPr>
        <w:sectPr>
          <w:pgSz w:w="11906" w:h="16838"/>
          <w:pgMar w:top="1440" w:right="1800" w:bottom="1440" w:left="1800" w:header="851" w:footer="992" w:gutter="0"/>
          <w:cols w:space="720" w:num="1"/>
          <w:docGrid w:linePitch="360" w:charSpace="0"/>
        </w:sectPr>
      </w:pPr>
    </w:p>
    <w:p w14:paraId="4331D376">
      <w:pPr>
        <w:pStyle w:val="3"/>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二、符合性审查响应对照表</w:t>
      </w:r>
    </w:p>
    <w:p w14:paraId="7691013E">
      <w:pPr>
        <w:rPr>
          <w:rFonts w:ascii="宋体" w:hAnsi="宋体"/>
          <w:b/>
          <w:color w:val="auto"/>
          <w:sz w:val="32"/>
          <w:szCs w:val="32"/>
          <w:highlight w:val="none"/>
        </w:rPr>
      </w:pPr>
    </w:p>
    <w:tbl>
      <w:tblPr>
        <w:tblStyle w:val="36"/>
        <w:tblW w:w="90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5447"/>
        <w:gridCol w:w="1680"/>
        <w:gridCol w:w="1308"/>
      </w:tblGrid>
      <w:tr w14:paraId="4886F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46" w:type="dxa"/>
            <w:noWrap w:val="0"/>
            <w:vAlign w:val="center"/>
          </w:tcPr>
          <w:p w14:paraId="5D44004C">
            <w:pPr>
              <w:spacing w:line="240" w:lineRule="atLeast"/>
              <w:jc w:val="center"/>
              <w:rPr>
                <w:rFonts w:ascii="幼圆" w:eastAsia="幼圆"/>
                <w:b/>
                <w:color w:val="auto"/>
                <w:szCs w:val="21"/>
                <w:highlight w:val="none"/>
              </w:rPr>
            </w:pPr>
            <w:r>
              <w:rPr>
                <w:rFonts w:hint="eastAsia" w:ascii="宋体" w:hAnsi="宋体" w:cs="宋体"/>
                <w:b/>
                <w:color w:val="auto"/>
                <w:szCs w:val="21"/>
                <w:highlight w:val="none"/>
              </w:rPr>
              <w:t>序号</w:t>
            </w:r>
          </w:p>
        </w:tc>
        <w:tc>
          <w:tcPr>
            <w:tcW w:w="5447" w:type="dxa"/>
            <w:noWrap w:val="0"/>
            <w:vAlign w:val="center"/>
          </w:tcPr>
          <w:p w14:paraId="44FC47C7">
            <w:pPr>
              <w:spacing w:line="240" w:lineRule="atLeast"/>
              <w:jc w:val="center"/>
              <w:rPr>
                <w:rFonts w:ascii="幼圆" w:eastAsia="幼圆"/>
                <w:b/>
                <w:color w:val="auto"/>
                <w:szCs w:val="21"/>
                <w:highlight w:val="none"/>
              </w:rPr>
            </w:pPr>
            <w:r>
              <w:rPr>
                <w:rFonts w:hint="eastAsia" w:ascii="宋体" w:hAnsi="宋体" w:cs="宋体"/>
                <w:b/>
                <w:color w:val="auto"/>
                <w:szCs w:val="21"/>
                <w:highlight w:val="none"/>
              </w:rPr>
              <w:t>符合性审查响应内容</w:t>
            </w:r>
          </w:p>
        </w:tc>
        <w:tc>
          <w:tcPr>
            <w:tcW w:w="1680" w:type="dxa"/>
            <w:noWrap w:val="0"/>
            <w:vAlign w:val="center"/>
          </w:tcPr>
          <w:p w14:paraId="60908F55">
            <w:pPr>
              <w:spacing w:line="240" w:lineRule="atLeast"/>
              <w:jc w:val="center"/>
              <w:rPr>
                <w:rFonts w:ascii="宋体" w:hAnsi="宋体" w:cs="宋体"/>
                <w:b/>
                <w:color w:val="auto"/>
                <w:szCs w:val="21"/>
                <w:highlight w:val="none"/>
              </w:rPr>
            </w:pPr>
            <w:r>
              <w:rPr>
                <w:rFonts w:hint="eastAsia" w:ascii="宋体" w:hAnsi="宋体" w:cs="宋体"/>
                <w:b/>
                <w:color w:val="auto"/>
                <w:szCs w:val="21"/>
                <w:highlight w:val="none"/>
              </w:rPr>
              <w:t>是否响应</w:t>
            </w:r>
          </w:p>
          <w:p w14:paraId="7D6D8209">
            <w:pPr>
              <w:spacing w:line="240" w:lineRule="atLeast"/>
              <w:jc w:val="center"/>
              <w:rPr>
                <w:rFonts w:ascii="幼圆" w:eastAsia="幼圆"/>
                <w:b/>
                <w:color w:val="auto"/>
                <w:szCs w:val="21"/>
                <w:highlight w:val="none"/>
              </w:rPr>
            </w:pPr>
            <w:r>
              <w:rPr>
                <w:rFonts w:hint="eastAsia" w:ascii="宋体" w:hAnsi="宋体" w:cs="宋体"/>
                <w:b/>
                <w:color w:val="auto"/>
                <w:szCs w:val="21"/>
                <w:highlight w:val="none"/>
              </w:rPr>
              <w:t>（填是或者否）</w:t>
            </w:r>
          </w:p>
        </w:tc>
        <w:tc>
          <w:tcPr>
            <w:tcW w:w="1308" w:type="dxa"/>
            <w:noWrap w:val="0"/>
            <w:vAlign w:val="center"/>
          </w:tcPr>
          <w:p w14:paraId="133E8A1A">
            <w:pPr>
              <w:spacing w:line="240" w:lineRule="atLeast"/>
              <w:jc w:val="center"/>
              <w:rPr>
                <w:rFonts w:ascii="幼圆" w:eastAsia="幼圆"/>
                <w:b/>
                <w:color w:val="auto"/>
                <w:szCs w:val="21"/>
                <w:highlight w:val="none"/>
              </w:rPr>
            </w:pPr>
            <w:r>
              <w:rPr>
                <w:rFonts w:hint="eastAsia" w:ascii="宋体" w:hAnsi="宋体" w:cs="宋体"/>
                <w:b/>
                <w:color w:val="auto"/>
                <w:szCs w:val="21"/>
                <w:highlight w:val="none"/>
              </w:rPr>
              <w:t>响应情况</w:t>
            </w:r>
          </w:p>
        </w:tc>
      </w:tr>
      <w:tr w14:paraId="075E9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46" w:type="dxa"/>
            <w:noWrap w:val="0"/>
            <w:vAlign w:val="center"/>
          </w:tcPr>
          <w:p w14:paraId="36874F28">
            <w:pPr>
              <w:jc w:val="center"/>
              <w:rPr>
                <w:rFonts w:ascii="宋体" w:hAnsi="宋体"/>
                <w:b/>
                <w:color w:val="auto"/>
                <w:szCs w:val="21"/>
                <w:highlight w:val="none"/>
              </w:rPr>
            </w:pPr>
            <w:r>
              <w:rPr>
                <w:rFonts w:hint="eastAsia" w:ascii="宋体" w:hAnsi="宋体"/>
                <w:b/>
                <w:color w:val="auto"/>
                <w:szCs w:val="21"/>
                <w:highlight w:val="none"/>
              </w:rPr>
              <w:t>1</w:t>
            </w:r>
          </w:p>
        </w:tc>
        <w:tc>
          <w:tcPr>
            <w:tcW w:w="5447" w:type="dxa"/>
            <w:noWrap w:val="0"/>
            <w:vAlign w:val="center"/>
          </w:tcPr>
          <w:p w14:paraId="6EF7D097">
            <w:pPr>
              <w:spacing w:line="0" w:lineRule="atLeast"/>
              <w:rPr>
                <w:rFonts w:ascii="宋体" w:hAnsi="宋体"/>
                <w:iCs/>
                <w:color w:val="auto"/>
                <w:szCs w:val="21"/>
                <w:highlight w:val="none"/>
              </w:rPr>
            </w:pPr>
            <w:r>
              <w:rPr>
                <w:rFonts w:hint="eastAsia" w:ascii="宋体" w:hAnsi="宋体"/>
                <w:iCs/>
                <w:color w:val="auto"/>
                <w:szCs w:val="21"/>
                <w:highlight w:val="none"/>
              </w:rPr>
              <w:t>采购需求中必须满足的实质性要求（即加斜体下划线内容，每条详细列出）</w:t>
            </w:r>
          </w:p>
        </w:tc>
        <w:tc>
          <w:tcPr>
            <w:tcW w:w="1680" w:type="dxa"/>
            <w:noWrap w:val="0"/>
            <w:vAlign w:val="center"/>
          </w:tcPr>
          <w:p w14:paraId="72A565F2">
            <w:pPr>
              <w:rPr>
                <w:rFonts w:ascii="宋体" w:hAnsi="宋体"/>
                <w:b/>
                <w:color w:val="auto"/>
                <w:szCs w:val="21"/>
                <w:highlight w:val="none"/>
              </w:rPr>
            </w:pPr>
          </w:p>
        </w:tc>
        <w:tc>
          <w:tcPr>
            <w:tcW w:w="1308" w:type="dxa"/>
            <w:noWrap w:val="0"/>
            <w:vAlign w:val="center"/>
          </w:tcPr>
          <w:p w14:paraId="2F91B66B">
            <w:pPr>
              <w:rPr>
                <w:rFonts w:ascii="宋体" w:hAnsi="宋体"/>
                <w:b/>
                <w:color w:val="auto"/>
                <w:szCs w:val="21"/>
                <w:highlight w:val="none"/>
              </w:rPr>
            </w:pPr>
          </w:p>
        </w:tc>
      </w:tr>
      <w:tr w14:paraId="292D0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646" w:type="dxa"/>
            <w:noWrap w:val="0"/>
            <w:vAlign w:val="center"/>
          </w:tcPr>
          <w:p w14:paraId="6394D70D">
            <w:pPr>
              <w:jc w:val="center"/>
              <w:rPr>
                <w:rFonts w:ascii="宋体" w:hAnsi="宋体"/>
                <w:color w:val="auto"/>
                <w:szCs w:val="21"/>
                <w:highlight w:val="none"/>
              </w:rPr>
            </w:pPr>
            <w:r>
              <w:rPr>
                <w:rFonts w:hint="eastAsia" w:ascii="宋体" w:hAnsi="宋体"/>
                <w:color w:val="auto"/>
                <w:szCs w:val="21"/>
                <w:highlight w:val="none"/>
              </w:rPr>
              <w:t>2</w:t>
            </w:r>
          </w:p>
        </w:tc>
        <w:tc>
          <w:tcPr>
            <w:tcW w:w="5447" w:type="dxa"/>
            <w:noWrap w:val="0"/>
            <w:vAlign w:val="center"/>
          </w:tcPr>
          <w:p w14:paraId="44657351">
            <w:pPr>
              <w:spacing w:line="0" w:lineRule="atLeast"/>
              <w:rPr>
                <w:rFonts w:ascii="宋体" w:hAnsi="宋体"/>
                <w:iCs/>
                <w:color w:val="auto"/>
                <w:szCs w:val="21"/>
                <w:highlight w:val="none"/>
              </w:rPr>
            </w:pPr>
          </w:p>
        </w:tc>
        <w:tc>
          <w:tcPr>
            <w:tcW w:w="1680" w:type="dxa"/>
            <w:noWrap w:val="0"/>
            <w:vAlign w:val="center"/>
          </w:tcPr>
          <w:p w14:paraId="2C39209B">
            <w:pPr>
              <w:rPr>
                <w:rFonts w:ascii="宋体" w:hAnsi="宋体"/>
                <w:color w:val="auto"/>
                <w:szCs w:val="21"/>
                <w:highlight w:val="none"/>
              </w:rPr>
            </w:pPr>
          </w:p>
        </w:tc>
        <w:tc>
          <w:tcPr>
            <w:tcW w:w="1308" w:type="dxa"/>
            <w:noWrap w:val="0"/>
            <w:vAlign w:val="center"/>
          </w:tcPr>
          <w:p w14:paraId="6032B2FB">
            <w:pPr>
              <w:rPr>
                <w:rFonts w:ascii="宋体" w:hAnsi="宋体"/>
                <w:color w:val="auto"/>
                <w:szCs w:val="21"/>
                <w:highlight w:val="none"/>
              </w:rPr>
            </w:pPr>
          </w:p>
        </w:tc>
      </w:tr>
      <w:tr w14:paraId="5EF5C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646" w:type="dxa"/>
            <w:noWrap w:val="0"/>
            <w:vAlign w:val="center"/>
          </w:tcPr>
          <w:p w14:paraId="5BB73571">
            <w:pPr>
              <w:jc w:val="center"/>
              <w:rPr>
                <w:rFonts w:ascii="宋体" w:hAnsi="宋体"/>
                <w:color w:val="auto"/>
                <w:szCs w:val="21"/>
                <w:highlight w:val="none"/>
              </w:rPr>
            </w:pPr>
            <w:r>
              <w:rPr>
                <w:rFonts w:hint="eastAsia" w:ascii="宋体" w:hAnsi="宋体"/>
                <w:color w:val="auto"/>
                <w:szCs w:val="21"/>
                <w:highlight w:val="none"/>
              </w:rPr>
              <w:t>3</w:t>
            </w:r>
          </w:p>
        </w:tc>
        <w:tc>
          <w:tcPr>
            <w:tcW w:w="5447" w:type="dxa"/>
            <w:noWrap w:val="0"/>
            <w:vAlign w:val="center"/>
          </w:tcPr>
          <w:p w14:paraId="787124D8">
            <w:pPr>
              <w:spacing w:line="0" w:lineRule="atLeast"/>
              <w:rPr>
                <w:rFonts w:ascii="宋体" w:hAnsi="宋体"/>
                <w:iCs/>
                <w:color w:val="auto"/>
                <w:szCs w:val="21"/>
                <w:highlight w:val="none"/>
              </w:rPr>
            </w:pPr>
          </w:p>
        </w:tc>
        <w:tc>
          <w:tcPr>
            <w:tcW w:w="1680" w:type="dxa"/>
            <w:noWrap w:val="0"/>
            <w:vAlign w:val="center"/>
          </w:tcPr>
          <w:p w14:paraId="06DBBC5D">
            <w:pPr>
              <w:rPr>
                <w:rFonts w:ascii="宋体" w:hAnsi="宋体"/>
                <w:color w:val="auto"/>
                <w:szCs w:val="21"/>
                <w:highlight w:val="none"/>
              </w:rPr>
            </w:pPr>
          </w:p>
        </w:tc>
        <w:tc>
          <w:tcPr>
            <w:tcW w:w="1308" w:type="dxa"/>
            <w:noWrap w:val="0"/>
            <w:vAlign w:val="center"/>
          </w:tcPr>
          <w:p w14:paraId="5024E945">
            <w:pPr>
              <w:rPr>
                <w:rFonts w:ascii="宋体" w:hAnsi="宋体"/>
                <w:color w:val="auto"/>
                <w:szCs w:val="21"/>
                <w:highlight w:val="none"/>
              </w:rPr>
            </w:pPr>
          </w:p>
        </w:tc>
      </w:tr>
      <w:tr w14:paraId="72764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646" w:type="dxa"/>
            <w:noWrap w:val="0"/>
            <w:vAlign w:val="center"/>
          </w:tcPr>
          <w:p w14:paraId="14E310B6">
            <w:pPr>
              <w:jc w:val="center"/>
              <w:rPr>
                <w:rFonts w:ascii="宋体" w:hAnsi="宋体"/>
                <w:color w:val="auto"/>
                <w:szCs w:val="21"/>
                <w:highlight w:val="none"/>
              </w:rPr>
            </w:pPr>
            <w:r>
              <w:rPr>
                <w:rFonts w:hint="eastAsia" w:ascii="宋体" w:hAnsi="宋体"/>
                <w:color w:val="auto"/>
                <w:szCs w:val="21"/>
                <w:highlight w:val="none"/>
              </w:rPr>
              <w:t>4</w:t>
            </w:r>
          </w:p>
        </w:tc>
        <w:tc>
          <w:tcPr>
            <w:tcW w:w="5447" w:type="dxa"/>
            <w:noWrap w:val="0"/>
            <w:vAlign w:val="center"/>
          </w:tcPr>
          <w:p w14:paraId="7F4FAC32">
            <w:pPr>
              <w:spacing w:line="0" w:lineRule="atLeast"/>
              <w:rPr>
                <w:rFonts w:ascii="宋体" w:hAnsi="宋体"/>
                <w:iCs/>
                <w:color w:val="auto"/>
                <w:szCs w:val="21"/>
                <w:highlight w:val="none"/>
              </w:rPr>
            </w:pPr>
          </w:p>
        </w:tc>
        <w:tc>
          <w:tcPr>
            <w:tcW w:w="1680" w:type="dxa"/>
            <w:noWrap w:val="0"/>
            <w:vAlign w:val="center"/>
          </w:tcPr>
          <w:p w14:paraId="5E4EE9B6">
            <w:pPr>
              <w:rPr>
                <w:rFonts w:ascii="宋体" w:hAnsi="宋体"/>
                <w:color w:val="auto"/>
                <w:szCs w:val="21"/>
                <w:highlight w:val="none"/>
              </w:rPr>
            </w:pPr>
          </w:p>
        </w:tc>
        <w:tc>
          <w:tcPr>
            <w:tcW w:w="1308" w:type="dxa"/>
            <w:noWrap w:val="0"/>
            <w:vAlign w:val="center"/>
          </w:tcPr>
          <w:p w14:paraId="423DEA95">
            <w:pPr>
              <w:rPr>
                <w:rFonts w:ascii="宋体" w:hAnsi="宋体"/>
                <w:color w:val="auto"/>
                <w:szCs w:val="21"/>
                <w:highlight w:val="none"/>
              </w:rPr>
            </w:pPr>
          </w:p>
        </w:tc>
      </w:tr>
      <w:tr w14:paraId="099BE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646" w:type="dxa"/>
            <w:noWrap w:val="0"/>
            <w:vAlign w:val="center"/>
          </w:tcPr>
          <w:p w14:paraId="476BD78D">
            <w:pPr>
              <w:jc w:val="center"/>
              <w:rPr>
                <w:rFonts w:ascii="宋体" w:hAnsi="宋体"/>
                <w:color w:val="auto"/>
                <w:szCs w:val="21"/>
                <w:highlight w:val="none"/>
              </w:rPr>
            </w:pPr>
            <w:r>
              <w:rPr>
                <w:rFonts w:hint="eastAsia" w:ascii="宋体" w:hAnsi="宋体"/>
                <w:color w:val="auto"/>
                <w:szCs w:val="21"/>
                <w:highlight w:val="none"/>
              </w:rPr>
              <w:t>5</w:t>
            </w:r>
          </w:p>
        </w:tc>
        <w:tc>
          <w:tcPr>
            <w:tcW w:w="5447" w:type="dxa"/>
            <w:noWrap w:val="0"/>
            <w:vAlign w:val="center"/>
          </w:tcPr>
          <w:p w14:paraId="75378A90">
            <w:pPr>
              <w:spacing w:line="0" w:lineRule="atLeast"/>
              <w:rPr>
                <w:rFonts w:ascii="宋体" w:hAnsi="宋体"/>
                <w:iCs/>
                <w:color w:val="auto"/>
                <w:szCs w:val="21"/>
                <w:highlight w:val="none"/>
              </w:rPr>
            </w:pPr>
            <w:r>
              <w:rPr>
                <w:rFonts w:ascii="宋体" w:hAnsi="宋体"/>
                <w:iCs/>
                <w:color w:val="auto"/>
                <w:szCs w:val="21"/>
                <w:highlight w:val="none"/>
              </w:rPr>
              <w:t>……</w:t>
            </w:r>
          </w:p>
        </w:tc>
        <w:tc>
          <w:tcPr>
            <w:tcW w:w="1680" w:type="dxa"/>
            <w:noWrap w:val="0"/>
            <w:vAlign w:val="center"/>
          </w:tcPr>
          <w:p w14:paraId="5E16C0C7">
            <w:pPr>
              <w:rPr>
                <w:rFonts w:ascii="宋体" w:hAnsi="宋体"/>
                <w:color w:val="auto"/>
                <w:szCs w:val="21"/>
                <w:highlight w:val="none"/>
              </w:rPr>
            </w:pPr>
          </w:p>
        </w:tc>
        <w:tc>
          <w:tcPr>
            <w:tcW w:w="1308" w:type="dxa"/>
            <w:noWrap w:val="0"/>
            <w:vAlign w:val="center"/>
          </w:tcPr>
          <w:p w14:paraId="57BD95EF">
            <w:pPr>
              <w:rPr>
                <w:rFonts w:ascii="宋体" w:hAnsi="宋体"/>
                <w:color w:val="auto"/>
                <w:szCs w:val="21"/>
                <w:highlight w:val="none"/>
              </w:rPr>
            </w:pPr>
          </w:p>
        </w:tc>
      </w:tr>
    </w:tbl>
    <w:p w14:paraId="0F058CB0">
      <w:pPr>
        <w:spacing w:line="600" w:lineRule="exact"/>
        <w:rPr>
          <w:rFonts w:ascii="宋体" w:hAnsi="宋体"/>
          <w:b/>
          <w:bCs/>
          <w:color w:val="auto"/>
          <w:sz w:val="28"/>
          <w:szCs w:val="28"/>
          <w:highlight w:val="none"/>
        </w:rPr>
      </w:pPr>
      <w:r>
        <w:rPr>
          <w:rFonts w:hint="eastAsia" w:ascii="宋体" w:hAnsi="宋体"/>
          <w:b/>
          <w:bCs/>
          <w:color w:val="auto"/>
          <w:sz w:val="28"/>
          <w:szCs w:val="28"/>
          <w:highlight w:val="none"/>
        </w:rPr>
        <w:t>注：符合性审查需要提供的相关证明文件在制作标书时随此表一起上传。</w:t>
      </w:r>
    </w:p>
    <w:p w14:paraId="40984B14">
      <w:pPr>
        <w:spacing w:line="600" w:lineRule="exact"/>
        <w:contextualSpacing/>
        <w:jc w:val="left"/>
        <w:rPr>
          <w:rFonts w:ascii="宋体" w:hAnsi="宋体"/>
          <w:b/>
          <w:bCs/>
          <w:color w:val="auto"/>
          <w:sz w:val="32"/>
          <w:szCs w:val="32"/>
          <w:highlight w:val="none"/>
        </w:rPr>
      </w:pPr>
    </w:p>
    <w:p w14:paraId="0B52B6BC">
      <w:pPr>
        <w:spacing w:line="600" w:lineRule="exact"/>
        <w:contextualSpacing/>
        <w:jc w:val="center"/>
        <w:rPr>
          <w:rFonts w:ascii="宋体" w:hAnsi="宋体"/>
          <w:b/>
          <w:bCs/>
          <w:color w:val="auto"/>
          <w:sz w:val="32"/>
          <w:szCs w:val="32"/>
          <w:highlight w:val="none"/>
        </w:rPr>
      </w:pPr>
    </w:p>
    <w:p w14:paraId="2014D1CC">
      <w:pPr>
        <w:spacing w:line="600" w:lineRule="exact"/>
        <w:contextualSpacing/>
        <w:jc w:val="center"/>
        <w:rPr>
          <w:rFonts w:ascii="宋体" w:hAnsi="宋体"/>
          <w:b/>
          <w:bCs/>
          <w:color w:val="auto"/>
          <w:sz w:val="32"/>
          <w:szCs w:val="32"/>
          <w:highlight w:val="none"/>
        </w:rPr>
      </w:pPr>
    </w:p>
    <w:p w14:paraId="317ACD58">
      <w:pPr>
        <w:rPr>
          <w:color w:val="auto"/>
          <w:highlight w:val="none"/>
        </w:rPr>
      </w:pPr>
    </w:p>
    <w:p w14:paraId="15642E4F">
      <w:pPr>
        <w:rPr>
          <w:color w:val="auto"/>
          <w:highlight w:val="none"/>
        </w:rPr>
      </w:pPr>
    </w:p>
    <w:p w14:paraId="268BD3B5">
      <w:pPr>
        <w:rPr>
          <w:color w:val="auto"/>
          <w:highlight w:val="none"/>
        </w:rPr>
      </w:pPr>
    </w:p>
    <w:p w14:paraId="5937B220">
      <w:pPr>
        <w:rPr>
          <w:color w:val="auto"/>
          <w:highlight w:val="none"/>
        </w:rPr>
      </w:pPr>
    </w:p>
    <w:p w14:paraId="05208B09">
      <w:pPr>
        <w:rPr>
          <w:color w:val="auto"/>
          <w:highlight w:val="none"/>
        </w:rPr>
      </w:pPr>
    </w:p>
    <w:p w14:paraId="24BCC516">
      <w:pPr>
        <w:rPr>
          <w:color w:val="auto"/>
          <w:highlight w:val="none"/>
        </w:rPr>
      </w:pPr>
    </w:p>
    <w:p w14:paraId="5676851A">
      <w:pPr>
        <w:rPr>
          <w:color w:val="auto"/>
          <w:highlight w:val="none"/>
        </w:rPr>
      </w:pPr>
    </w:p>
    <w:p w14:paraId="1A84BD1C">
      <w:pPr>
        <w:rPr>
          <w:color w:val="auto"/>
          <w:highlight w:val="none"/>
        </w:rPr>
      </w:pPr>
    </w:p>
    <w:p w14:paraId="58BB7CD6">
      <w:pPr>
        <w:rPr>
          <w:color w:val="auto"/>
          <w:highlight w:val="none"/>
        </w:rPr>
      </w:pPr>
    </w:p>
    <w:p w14:paraId="3985029C">
      <w:pPr>
        <w:rPr>
          <w:color w:val="auto"/>
          <w:highlight w:val="none"/>
        </w:rPr>
      </w:pPr>
    </w:p>
    <w:p w14:paraId="31477740">
      <w:pPr>
        <w:rPr>
          <w:color w:val="auto"/>
          <w:highlight w:val="none"/>
        </w:rPr>
      </w:pPr>
    </w:p>
    <w:p w14:paraId="7BC0798A">
      <w:pPr>
        <w:rPr>
          <w:color w:val="auto"/>
          <w:highlight w:val="none"/>
        </w:rPr>
      </w:pPr>
    </w:p>
    <w:p w14:paraId="1AF32DBA">
      <w:pPr>
        <w:rPr>
          <w:color w:val="auto"/>
          <w:highlight w:val="none"/>
        </w:rPr>
      </w:pPr>
    </w:p>
    <w:p w14:paraId="0824CA8C">
      <w:pPr>
        <w:rPr>
          <w:color w:val="auto"/>
          <w:highlight w:val="none"/>
        </w:rPr>
      </w:pPr>
    </w:p>
    <w:p w14:paraId="03C0303C">
      <w:pPr>
        <w:rPr>
          <w:color w:val="auto"/>
          <w:highlight w:val="none"/>
        </w:rPr>
      </w:pPr>
    </w:p>
    <w:p w14:paraId="73F4F3F8">
      <w:pPr>
        <w:rPr>
          <w:color w:val="auto"/>
          <w:highlight w:val="none"/>
        </w:rPr>
      </w:pPr>
    </w:p>
    <w:p w14:paraId="61C69FC9">
      <w:pPr>
        <w:rPr>
          <w:color w:val="auto"/>
          <w:highlight w:val="none"/>
        </w:rPr>
      </w:pPr>
    </w:p>
    <w:p w14:paraId="67AA358C">
      <w:pPr>
        <w:rPr>
          <w:color w:val="auto"/>
          <w:highlight w:val="none"/>
        </w:rPr>
      </w:pPr>
    </w:p>
    <w:p w14:paraId="4BBCDBEA">
      <w:pPr>
        <w:rPr>
          <w:color w:val="auto"/>
          <w:highlight w:val="none"/>
        </w:rPr>
      </w:pPr>
    </w:p>
    <w:p w14:paraId="608E4CBE">
      <w:pPr>
        <w:pStyle w:val="3"/>
        <w:rPr>
          <w:rFonts w:ascii="宋体" w:hAnsi="宋体"/>
          <w:b/>
          <w:color w:val="auto"/>
          <w:sz w:val="36"/>
          <w:szCs w:val="24"/>
          <w:highlight w:val="none"/>
        </w:rPr>
      </w:pPr>
      <w:r>
        <w:rPr>
          <w:rFonts w:hint="eastAsia" w:ascii="宋体" w:hAnsi="宋体" w:eastAsia="宋体" w:cs="宋体"/>
          <w:color w:val="auto"/>
          <w:sz w:val="36"/>
          <w:szCs w:val="36"/>
          <w:highlight w:val="none"/>
          <w:lang w:val="en-US" w:eastAsia="zh-CN"/>
        </w:rPr>
        <w:t>三</w:t>
      </w:r>
      <w:r>
        <w:rPr>
          <w:rFonts w:hint="eastAsia" w:ascii="宋体" w:hAnsi="宋体" w:eastAsia="宋体" w:cs="宋体"/>
          <w:color w:val="auto"/>
          <w:sz w:val="36"/>
          <w:szCs w:val="36"/>
          <w:highlight w:val="none"/>
        </w:rPr>
        <w:t>、开标一览表</w:t>
      </w:r>
    </w:p>
    <w:p w14:paraId="1CC65DF0">
      <w:pPr>
        <w:spacing w:line="360" w:lineRule="auto"/>
        <w:ind w:firstLine="480"/>
        <w:rPr>
          <w:rFonts w:hint="eastAsia" w:ascii="宋体" w:hAnsi="宋体"/>
          <w:color w:val="auto"/>
          <w:szCs w:val="21"/>
          <w:highlight w:val="none"/>
        </w:rPr>
      </w:pPr>
      <w:r>
        <w:rPr>
          <w:rFonts w:hint="eastAsia" w:ascii="宋体" w:hAnsi="宋体"/>
          <w:color w:val="auto"/>
          <w:highlight w:val="none"/>
        </w:rPr>
        <w:t>投标人全称（加盖CA电子签章）：</w:t>
      </w:r>
    </w:p>
    <w:p w14:paraId="3151FB9B">
      <w:pPr>
        <w:spacing w:line="360" w:lineRule="auto"/>
        <w:ind w:firstLine="480"/>
        <w:rPr>
          <w:color w:val="auto"/>
          <w:szCs w:val="21"/>
          <w:highlight w:val="none"/>
        </w:rPr>
      </w:pPr>
      <w:r>
        <w:rPr>
          <w:rFonts w:hint="eastAsia" w:ascii="宋体" w:hAnsi="宋体"/>
          <w:color w:val="auto"/>
          <w:szCs w:val="21"/>
          <w:highlight w:val="none"/>
        </w:rPr>
        <w:t>项目名称：</w:t>
      </w:r>
    </w:p>
    <w:p w14:paraId="5BD34D7A">
      <w:pPr>
        <w:spacing w:line="360" w:lineRule="auto"/>
        <w:ind w:firstLine="480"/>
        <w:rPr>
          <w:rFonts w:ascii="宋体" w:hAnsi="宋体"/>
          <w:color w:val="auto"/>
          <w:szCs w:val="21"/>
          <w:highlight w:val="none"/>
        </w:rPr>
      </w:pPr>
      <w:r>
        <w:rPr>
          <w:rFonts w:hint="eastAsia" w:ascii="宋体" w:hAnsi="宋体"/>
          <w:color w:val="auto"/>
          <w:szCs w:val="21"/>
          <w:highlight w:val="none"/>
        </w:rPr>
        <w:t>项目编号：</w:t>
      </w:r>
    </w:p>
    <w:p w14:paraId="0D69C966">
      <w:pPr>
        <w:spacing w:line="360" w:lineRule="auto"/>
        <w:ind w:firstLine="480"/>
        <w:rPr>
          <w:rFonts w:ascii="宋体" w:hAnsi="宋体"/>
          <w:color w:val="auto"/>
          <w:szCs w:val="21"/>
          <w:highlight w:val="none"/>
        </w:rPr>
      </w:pPr>
      <w:r>
        <w:rPr>
          <w:rFonts w:hint="eastAsia" w:ascii="宋体" w:hAnsi="宋体"/>
          <w:color w:val="auto"/>
          <w:szCs w:val="21"/>
          <w:highlight w:val="none"/>
        </w:rPr>
        <w:t xml:space="preserve">分包号(如有)： </w:t>
      </w:r>
    </w:p>
    <w:p w14:paraId="2A163729">
      <w:pPr>
        <w:ind w:firstLine="480"/>
        <w:rPr>
          <w:rFonts w:ascii="宋体" w:hAnsi="宋体"/>
          <w:color w:val="auto"/>
          <w:szCs w:val="21"/>
          <w:highlight w:val="none"/>
        </w:rPr>
      </w:pPr>
      <w:r>
        <w:rPr>
          <w:rFonts w:hint="eastAsia" w:ascii="宋体" w:hAnsi="宋体"/>
          <w:color w:val="auto"/>
          <w:szCs w:val="21"/>
          <w:highlight w:val="none"/>
        </w:rPr>
        <w:t xml:space="preserve">                       </w:t>
      </w:r>
    </w:p>
    <w:tbl>
      <w:tblPr>
        <w:tblStyle w:val="36"/>
        <w:tblW w:w="861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1"/>
        <w:gridCol w:w="6132"/>
      </w:tblGrid>
      <w:tr w14:paraId="24E8B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8" w:hRule="atLeast"/>
        </w:trPr>
        <w:tc>
          <w:tcPr>
            <w:tcW w:w="2481" w:type="dxa"/>
            <w:tcBorders>
              <w:top w:val="single" w:color="auto" w:sz="4" w:space="0"/>
              <w:left w:val="single" w:color="auto" w:sz="4" w:space="0"/>
              <w:bottom w:val="single" w:color="auto" w:sz="4" w:space="0"/>
              <w:right w:val="single" w:color="auto" w:sz="4" w:space="0"/>
            </w:tcBorders>
            <w:noWrap w:val="0"/>
            <w:vAlign w:val="center"/>
          </w:tcPr>
          <w:p w14:paraId="6E0A1AC2">
            <w:pPr>
              <w:pStyle w:val="16"/>
              <w:spacing w:line="300" w:lineRule="auto"/>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服务名称</w:t>
            </w:r>
          </w:p>
        </w:tc>
        <w:tc>
          <w:tcPr>
            <w:tcW w:w="6132" w:type="dxa"/>
            <w:tcBorders>
              <w:top w:val="single" w:color="auto" w:sz="4" w:space="0"/>
              <w:left w:val="single" w:color="auto" w:sz="4" w:space="0"/>
              <w:bottom w:val="single" w:color="auto" w:sz="4" w:space="0"/>
              <w:right w:val="single" w:color="auto" w:sz="4" w:space="0"/>
            </w:tcBorders>
            <w:noWrap w:val="0"/>
            <w:vAlign w:val="center"/>
          </w:tcPr>
          <w:p w14:paraId="0E179E9D">
            <w:pPr>
              <w:jc w:val="center"/>
              <w:rPr>
                <w:rFonts w:hint="eastAsia" w:ascii="宋体" w:hAnsi="宋体" w:eastAsia="宋体"/>
                <w:color w:val="auto"/>
                <w:szCs w:val="21"/>
                <w:highlight w:val="none"/>
                <w:lang w:eastAsia="zh-CN"/>
              </w:rPr>
            </w:pPr>
            <w:r>
              <w:rPr>
                <w:rFonts w:hint="eastAsia" w:ascii="宋体" w:hAnsi="宋体"/>
                <w:color w:val="auto"/>
                <w:szCs w:val="21"/>
                <w:highlight w:val="none"/>
              </w:rPr>
              <w:t>投标</w:t>
            </w:r>
            <w:r>
              <w:rPr>
                <w:rFonts w:hint="eastAsia" w:ascii="宋体" w:hAnsi="宋体"/>
                <w:color w:val="auto"/>
                <w:szCs w:val="21"/>
                <w:highlight w:val="none"/>
                <w:lang w:eastAsia="zh-CN"/>
              </w:rPr>
              <w:t>优惠率</w:t>
            </w:r>
          </w:p>
        </w:tc>
      </w:tr>
      <w:tr w14:paraId="61354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7" w:hRule="atLeast"/>
        </w:trPr>
        <w:tc>
          <w:tcPr>
            <w:tcW w:w="2481" w:type="dxa"/>
            <w:tcBorders>
              <w:top w:val="single" w:color="auto" w:sz="4" w:space="0"/>
              <w:left w:val="single" w:color="auto" w:sz="4" w:space="0"/>
              <w:bottom w:val="single" w:color="auto" w:sz="4" w:space="0"/>
              <w:right w:val="single" w:color="auto" w:sz="4" w:space="0"/>
            </w:tcBorders>
            <w:noWrap w:val="0"/>
            <w:vAlign w:val="center"/>
          </w:tcPr>
          <w:p w14:paraId="373E0144">
            <w:pPr>
              <w:pStyle w:val="16"/>
              <w:spacing w:line="300" w:lineRule="auto"/>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江都城区污水处理设施特许经营项目</w:t>
            </w:r>
          </w:p>
        </w:tc>
        <w:tc>
          <w:tcPr>
            <w:tcW w:w="6132" w:type="dxa"/>
            <w:tcBorders>
              <w:top w:val="single" w:color="auto" w:sz="4" w:space="0"/>
              <w:left w:val="single" w:color="auto" w:sz="4" w:space="0"/>
              <w:bottom w:val="single" w:color="auto" w:sz="4" w:space="0"/>
              <w:right w:val="single" w:color="auto" w:sz="4" w:space="0"/>
            </w:tcBorders>
            <w:noWrap w:val="0"/>
            <w:vAlign w:val="center"/>
          </w:tcPr>
          <w:p w14:paraId="3A2602DC">
            <w:pPr>
              <w:pStyle w:val="224"/>
              <w:spacing w:before="0" w:after="0" w:line="500" w:lineRule="exact"/>
              <w:ind w:firstLine="0"/>
              <w:rPr>
                <w:rFonts w:hint="default" w:ascii="宋体" w:hAnsi="宋体" w:eastAsia="宋体" w:cs="宋体"/>
                <w:color w:val="auto"/>
                <w:sz w:val="21"/>
                <w:szCs w:val="21"/>
                <w:highlight w:val="none"/>
                <w:u w:val="none"/>
                <w:lang w:val="en-US" w:eastAsia="zh-CN"/>
              </w:rPr>
            </w:pPr>
            <w:r>
              <w:rPr>
                <w:rFonts w:hint="eastAsia" w:ascii="宋体" w:hAnsi="宋体" w:cs="宋体"/>
                <w:color w:val="auto"/>
                <w:sz w:val="21"/>
                <w:szCs w:val="21"/>
                <w:highlight w:val="none"/>
                <w:lang w:eastAsia="zh-CN"/>
              </w:rPr>
              <w:t>优惠率：</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w:t>
            </w:r>
          </w:p>
        </w:tc>
      </w:tr>
      <w:tr w14:paraId="54745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7" w:hRule="atLeast"/>
        </w:trPr>
        <w:tc>
          <w:tcPr>
            <w:tcW w:w="8613" w:type="dxa"/>
            <w:gridSpan w:val="2"/>
            <w:tcBorders>
              <w:top w:val="single" w:color="auto" w:sz="4" w:space="0"/>
              <w:left w:val="single" w:color="auto" w:sz="4" w:space="0"/>
              <w:bottom w:val="single" w:color="auto" w:sz="4" w:space="0"/>
              <w:right w:val="single" w:color="auto" w:sz="4" w:space="0"/>
            </w:tcBorders>
            <w:noWrap w:val="0"/>
            <w:vAlign w:val="center"/>
          </w:tcPr>
          <w:p w14:paraId="13008D01">
            <w:pPr>
              <w:pStyle w:val="224"/>
              <w:spacing w:before="0" w:after="0" w:line="500" w:lineRule="exact"/>
              <w:ind w:firstLine="0"/>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备注：</w:t>
            </w:r>
          </w:p>
          <w:p w14:paraId="6C70E94E">
            <w:pPr>
              <w:pStyle w:val="224"/>
              <w:spacing w:before="0" w:after="0" w:line="500" w:lineRule="exact"/>
              <w:ind w:firstLine="0"/>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本项目采用优惠率报价，</w:t>
            </w:r>
            <w:r>
              <w:rPr>
                <w:rFonts w:hint="eastAsia" w:ascii="宋体" w:hAnsi="宋体" w:cs="宋体"/>
                <w:b/>
                <w:bCs/>
                <w:color w:val="auto"/>
                <w:sz w:val="21"/>
                <w:szCs w:val="21"/>
                <w:highlight w:val="none"/>
                <w:lang w:eastAsia="zh-CN"/>
              </w:rPr>
              <w:t>所报优惠率不低于0%</w:t>
            </w:r>
            <w:r>
              <w:rPr>
                <w:rFonts w:hint="eastAsia" w:ascii="宋体" w:hAnsi="宋体" w:cs="宋体"/>
                <w:color w:val="auto"/>
                <w:sz w:val="21"/>
                <w:szCs w:val="21"/>
                <w:highlight w:val="none"/>
                <w:lang w:eastAsia="zh-CN"/>
              </w:rPr>
              <w:t>。</w:t>
            </w:r>
          </w:p>
          <w:p w14:paraId="0C7659C3">
            <w:pPr>
              <w:pStyle w:val="224"/>
              <w:spacing w:before="0" w:after="0" w:line="500" w:lineRule="exact"/>
              <w:ind w:firstLine="0"/>
              <w:rPr>
                <w:rFonts w:hint="eastAsia" w:ascii="宋体" w:hAnsi="宋体" w:cs="宋体"/>
                <w:color w:val="auto"/>
                <w:sz w:val="21"/>
                <w:szCs w:val="21"/>
                <w:highlight w:val="none"/>
                <w:lang w:eastAsia="zh-CN"/>
              </w:rPr>
            </w:pPr>
          </w:p>
          <w:p w14:paraId="6A108CC5">
            <w:pPr>
              <w:pStyle w:val="224"/>
              <w:spacing w:before="0" w:after="0" w:line="500" w:lineRule="exact"/>
              <w:ind w:firstLine="0"/>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（投标优惠率计算方式：如原价100元，投标优惠率10%，则结算价为100×（1-10%）=90元，以此类推）。</w:t>
            </w:r>
          </w:p>
        </w:tc>
      </w:tr>
    </w:tbl>
    <w:p w14:paraId="1A96832F">
      <w:pPr>
        <w:rPr>
          <w:rFonts w:ascii="宋体" w:hAnsi="宋体"/>
          <w:color w:val="auto"/>
          <w:szCs w:val="21"/>
          <w:highlight w:val="none"/>
        </w:rPr>
      </w:pPr>
    </w:p>
    <w:p w14:paraId="32A4D31E">
      <w:pPr>
        <w:ind w:firstLine="480"/>
        <w:rPr>
          <w:rFonts w:ascii="宋体" w:hAnsi="宋体"/>
          <w:color w:val="auto"/>
          <w:sz w:val="32"/>
          <w:szCs w:val="32"/>
          <w:highlight w:val="none"/>
        </w:rPr>
      </w:pPr>
      <w:r>
        <w:rPr>
          <w:rFonts w:hint="eastAsia" w:ascii="宋体" w:hAnsi="宋体"/>
          <w:color w:val="auto"/>
          <w:szCs w:val="21"/>
          <w:highlight w:val="none"/>
        </w:rPr>
        <w:t xml:space="preserve">                                              日期：  </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5E65DBB7">
      <w:pPr>
        <w:rPr>
          <w:color w:val="auto"/>
          <w:highlight w:val="none"/>
        </w:rPr>
      </w:pPr>
    </w:p>
    <w:p w14:paraId="373BB8E9">
      <w:pPr>
        <w:rPr>
          <w:color w:val="auto"/>
          <w:highlight w:val="none"/>
        </w:rPr>
      </w:pPr>
    </w:p>
    <w:p w14:paraId="30AC6D0C">
      <w:pPr>
        <w:rPr>
          <w:color w:val="auto"/>
          <w:highlight w:val="none"/>
        </w:rPr>
      </w:pPr>
    </w:p>
    <w:p w14:paraId="13ACCC9C">
      <w:pPr>
        <w:pStyle w:val="3"/>
        <w:spacing w:line="240" w:lineRule="auto"/>
        <w:rPr>
          <w:rFonts w:hint="eastAsia" w:ascii="宋体" w:hAnsi="宋体" w:eastAsia="宋体" w:cs="宋体"/>
          <w:color w:val="auto"/>
          <w:highlight w:val="none"/>
          <w:lang w:val="en-US" w:eastAsia="zh-CN"/>
        </w:rPr>
        <w:sectPr>
          <w:headerReference r:id="rId31" w:type="default"/>
          <w:footerReference r:id="rId32" w:type="default"/>
          <w:pgSz w:w="11906" w:h="16838"/>
          <w:pgMar w:top="1440" w:right="1800" w:bottom="1440" w:left="1800" w:header="851" w:footer="992" w:gutter="0"/>
          <w:cols w:space="720" w:num="1"/>
          <w:docGrid w:linePitch="360" w:charSpace="0"/>
        </w:sectPr>
      </w:pPr>
    </w:p>
    <w:p w14:paraId="33A046D9">
      <w:pPr>
        <w:pStyle w:val="3"/>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lang w:val="en-US" w:eastAsia="zh-CN"/>
        </w:rPr>
        <w:t>四、</w:t>
      </w:r>
      <w:r>
        <w:rPr>
          <w:rFonts w:hint="eastAsia" w:ascii="宋体" w:hAnsi="宋体" w:eastAsia="宋体" w:cs="宋体"/>
          <w:color w:val="auto"/>
          <w:sz w:val="36"/>
          <w:szCs w:val="36"/>
          <w:highlight w:val="none"/>
        </w:rPr>
        <w:t>投标分项报价表</w:t>
      </w:r>
    </w:p>
    <w:p w14:paraId="083CBDC3">
      <w:pPr>
        <w:spacing w:line="360" w:lineRule="auto"/>
        <w:ind w:firstLine="480"/>
        <w:rPr>
          <w:rFonts w:hint="eastAsia" w:ascii="宋体" w:hAnsi="宋体"/>
          <w:color w:val="auto"/>
          <w:szCs w:val="21"/>
          <w:highlight w:val="none"/>
        </w:rPr>
      </w:pPr>
      <w:r>
        <w:rPr>
          <w:rFonts w:hint="eastAsia" w:ascii="宋体" w:hAnsi="宋体"/>
          <w:color w:val="auto"/>
          <w:highlight w:val="none"/>
        </w:rPr>
        <w:t>投标人全称（加盖CA电子签章）：</w:t>
      </w:r>
    </w:p>
    <w:p w14:paraId="516BB79D">
      <w:pPr>
        <w:spacing w:line="360" w:lineRule="auto"/>
        <w:ind w:firstLine="480"/>
        <w:rPr>
          <w:color w:val="auto"/>
          <w:szCs w:val="21"/>
          <w:highlight w:val="none"/>
        </w:rPr>
      </w:pPr>
      <w:r>
        <w:rPr>
          <w:rFonts w:hint="eastAsia" w:ascii="宋体" w:hAnsi="宋体"/>
          <w:color w:val="auto"/>
          <w:szCs w:val="21"/>
          <w:highlight w:val="none"/>
        </w:rPr>
        <w:t>项目名称：</w:t>
      </w:r>
    </w:p>
    <w:p w14:paraId="7F006DED">
      <w:pPr>
        <w:spacing w:line="360" w:lineRule="auto"/>
        <w:ind w:firstLine="480"/>
        <w:rPr>
          <w:rFonts w:ascii="宋体" w:hAnsi="宋体"/>
          <w:color w:val="auto"/>
          <w:szCs w:val="21"/>
          <w:highlight w:val="none"/>
        </w:rPr>
      </w:pPr>
      <w:r>
        <w:rPr>
          <w:rFonts w:hint="eastAsia" w:ascii="宋体" w:hAnsi="宋体"/>
          <w:color w:val="auto"/>
          <w:szCs w:val="21"/>
          <w:highlight w:val="none"/>
        </w:rPr>
        <w:t>项目编号：</w:t>
      </w:r>
    </w:p>
    <w:p w14:paraId="2AE1AF0B">
      <w:pPr>
        <w:spacing w:line="360" w:lineRule="auto"/>
        <w:ind w:firstLine="480"/>
        <w:rPr>
          <w:rFonts w:ascii="宋体" w:hAnsi="宋体"/>
          <w:color w:val="auto"/>
          <w:szCs w:val="21"/>
          <w:highlight w:val="none"/>
        </w:rPr>
      </w:pPr>
      <w:r>
        <w:rPr>
          <w:rFonts w:hint="eastAsia" w:ascii="宋体" w:hAnsi="宋体"/>
          <w:color w:val="auto"/>
          <w:szCs w:val="21"/>
          <w:highlight w:val="none"/>
        </w:rPr>
        <w:t xml:space="preserve">分包号(如有)： </w:t>
      </w:r>
    </w:p>
    <w:tbl>
      <w:tblPr>
        <w:tblStyle w:val="36"/>
        <w:tblW w:w="8125" w:type="dxa"/>
        <w:tblInd w:w="2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5"/>
      </w:tblGrid>
      <w:tr w14:paraId="1CC33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5" w:hRule="atLeast"/>
        </w:trPr>
        <w:tc>
          <w:tcPr>
            <w:tcW w:w="8125" w:type="dxa"/>
            <w:noWrap w:val="0"/>
            <w:vAlign w:val="center"/>
          </w:tcPr>
          <w:p w14:paraId="133ACEAF">
            <w:pPr>
              <w:ind w:left="0" w:leftChars="0" w:right="0" w:rightChars="0" w:firstLine="0" w:firstLineChars="0"/>
              <w:jc w:val="center"/>
              <w:rPr>
                <w:rFonts w:hint="eastAsia"/>
                <w:color w:val="auto"/>
                <w:highlight w:val="none"/>
                <w:lang w:val="en-US" w:eastAsia="zh-CN"/>
              </w:rPr>
            </w:pPr>
            <w:r>
              <w:rPr>
                <w:rFonts w:hint="eastAsia"/>
                <w:color w:val="auto"/>
                <w:highlight w:val="none"/>
                <w:lang w:val="en-US" w:eastAsia="zh-CN"/>
              </w:rPr>
              <w:t>投标优惠率</w:t>
            </w:r>
          </w:p>
        </w:tc>
      </w:tr>
      <w:tr w14:paraId="6544F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5" w:hRule="atLeast"/>
        </w:trPr>
        <w:tc>
          <w:tcPr>
            <w:tcW w:w="8125" w:type="dxa"/>
            <w:noWrap w:val="0"/>
            <w:vAlign w:val="center"/>
          </w:tcPr>
          <w:p w14:paraId="76A8BE05">
            <w:pPr>
              <w:rPr>
                <w:rFonts w:hint="eastAsia"/>
                <w:color w:val="auto"/>
                <w:highlight w:val="none"/>
                <w:lang w:val="en-US" w:eastAsia="zh-CN"/>
              </w:rPr>
            </w:pPr>
            <w:r>
              <w:rPr>
                <w:rFonts w:hint="eastAsia"/>
                <w:color w:val="auto"/>
                <w:highlight w:val="none"/>
                <w:lang w:val="en-US" w:eastAsia="zh-CN"/>
              </w:rPr>
              <w:t>优惠率：</w:t>
            </w:r>
            <w:r>
              <w:rPr>
                <w:rFonts w:hint="eastAsia"/>
                <w:color w:val="auto"/>
                <w:highlight w:val="none"/>
                <w:u w:val="single"/>
                <w:lang w:val="en-US" w:eastAsia="zh-CN"/>
              </w:rPr>
              <w:t xml:space="preserve">     </w:t>
            </w:r>
            <w:r>
              <w:rPr>
                <w:rFonts w:hint="eastAsia"/>
                <w:color w:val="auto"/>
                <w:highlight w:val="none"/>
                <w:lang w:val="en-US" w:eastAsia="zh-CN"/>
              </w:rPr>
              <w:t>%</w:t>
            </w:r>
          </w:p>
        </w:tc>
      </w:tr>
      <w:tr w14:paraId="6A019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1" w:hRule="atLeast"/>
        </w:trPr>
        <w:tc>
          <w:tcPr>
            <w:tcW w:w="8125" w:type="dxa"/>
            <w:noWrap w:val="0"/>
            <w:vAlign w:val="center"/>
          </w:tcPr>
          <w:p w14:paraId="60785B5C">
            <w:pPr>
              <w:rPr>
                <w:rFonts w:hint="eastAsia"/>
                <w:color w:val="auto"/>
                <w:highlight w:val="none"/>
                <w:lang w:val="en-US" w:eastAsia="zh-CN"/>
              </w:rPr>
            </w:pPr>
            <w:r>
              <w:rPr>
                <w:rFonts w:hint="eastAsia"/>
                <w:b/>
                <w:bCs/>
                <w:color w:val="auto"/>
                <w:highlight w:val="none"/>
                <w:lang w:val="en-US" w:eastAsia="zh-CN"/>
              </w:rPr>
              <w:t>注：优惠率指优惠幅度。例如：如原价100元，投标优惠率10%，则结算价为100×（1-10%）=90元，以此类推。</w:t>
            </w:r>
          </w:p>
        </w:tc>
      </w:tr>
    </w:tbl>
    <w:p w14:paraId="1921EF7E">
      <w:pPr>
        <w:rPr>
          <w:rFonts w:hint="eastAsia"/>
          <w:color w:val="auto"/>
          <w:highlight w:val="none"/>
          <w:lang w:val="en-US" w:eastAsia="zh-CN"/>
        </w:rPr>
        <w:sectPr>
          <w:pgSz w:w="11906" w:h="16838"/>
          <w:pgMar w:top="1440" w:right="1800" w:bottom="1440" w:left="1800" w:header="851" w:footer="992" w:gutter="0"/>
          <w:cols w:space="720" w:num="1"/>
          <w:docGrid w:linePitch="360" w:charSpace="0"/>
        </w:sectPr>
      </w:pPr>
    </w:p>
    <w:p w14:paraId="51C80DF7">
      <w:pPr>
        <w:pStyle w:val="3"/>
        <w:rPr>
          <w:rFonts w:hint="eastAsia" w:ascii="宋体" w:hAnsi="宋体" w:eastAsia="宋体" w:cs="宋体"/>
          <w:color w:val="auto"/>
          <w:sz w:val="36"/>
          <w:szCs w:val="36"/>
          <w:highlight w:val="none"/>
          <w:lang w:val="en-US" w:eastAsia="zh-CN"/>
        </w:rPr>
      </w:pPr>
      <w:r>
        <w:rPr>
          <w:rFonts w:hint="eastAsia" w:ascii="宋体" w:hAnsi="宋体" w:eastAsia="宋体" w:cs="宋体"/>
          <w:color w:val="auto"/>
          <w:sz w:val="36"/>
          <w:szCs w:val="36"/>
          <w:highlight w:val="none"/>
          <w:lang w:val="en-US" w:eastAsia="zh-CN"/>
        </w:rPr>
        <w:t>五、拟投入本项目人员一览表</w:t>
      </w:r>
    </w:p>
    <w:p w14:paraId="3AB82CE8">
      <w:pPr>
        <w:keepNext w:val="0"/>
        <w:keepLines w:val="0"/>
        <w:pageBreakBefore w:val="0"/>
        <w:widowControl w:val="0"/>
        <w:numPr>
          <w:ilvl w:val="0"/>
          <w:numId w:val="0"/>
        </w:numPr>
        <w:spacing w:line="360" w:lineRule="auto"/>
        <w:rPr>
          <w:rFonts w:hint="eastAsia" w:ascii="宋体" w:hAnsi="宋体" w:eastAsia="宋体" w:cs="宋体"/>
          <w:color w:val="auto"/>
          <w:highlight w:val="none"/>
        </w:rPr>
      </w:pPr>
      <w:r>
        <w:rPr>
          <w:rFonts w:hint="eastAsia" w:ascii="宋体" w:hAnsi="宋体"/>
          <w:color w:val="auto"/>
          <w:highlight w:val="none"/>
        </w:rPr>
        <w:t>投标人全称（加盖CA电子签章）：</w:t>
      </w:r>
    </w:p>
    <w:p w14:paraId="7C755989">
      <w:pPr>
        <w:keepNext w:val="0"/>
        <w:keepLines w:val="0"/>
        <w:pageBreakBefore w:val="0"/>
        <w:widowControl w:val="0"/>
        <w:numPr>
          <w:ilvl w:val="0"/>
          <w:numId w:val="0"/>
        </w:num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项目名称：</w:t>
      </w:r>
    </w:p>
    <w:p w14:paraId="72131BE7">
      <w:pPr>
        <w:keepNext w:val="0"/>
        <w:keepLines w:val="0"/>
        <w:pageBreakBefore w:val="0"/>
        <w:widowControl w:val="0"/>
        <w:numPr>
          <w:ilvl w:val="0"/>
          <w:numId w:val="0"/>
        </w:num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项目编号：</w:t>
      </w:r>
    </w:p>
    <w:p w14:paraId="41825D14">
      <w:pPr>
        <w:numPr>
          <w:ilvl w:val="0"/>
          <w:numId w:val="0"/>
        </w:numPr>
        <w:rPr>
          <w:rFonts w:hint="eastAsia"/>
          <w:color w:val="auto"/>
          <w:highlight w:val="none"/>
        </w:rPr>
      </w:pPr>
    </w:p>
    <w:tbl>
      <w:tblPr>
        <w:tblStyle w:val="36"/>
        <w:tblW w:w="8616" w:type="dxa"/>
        <w:tblInd w:w="0" w:type="dxa"/>
        <w:tblLayout w:type="fixed"/>
        <w:tblCellMar>
          <w:top w:w="0" w:type="dxa"/>
          <w:left w:w="108" w:type="dxa"/>
          <w:bottom w:w="0" w:type="dxa"/>
          <w:right w:w="108" w:type="dxa"/>
        </w:tblCellMar>
      </w:tblPr>
      <w:tblGrid>
        <w:gridCol w:w="682"/>
        <w:gridCol w:w="1367"/>
        <w:gridCol w:w="953"/>
        <w:gridCol w:w="953"/>
        <w:gridCol w:w="1067"/>
        <w:gridCol w:w="1067"/>
        <w:gridCol w:w="1248"/>
        <w:gridCol w:w="1279"/>
      </w:tblGrid>
      <w:tr w14:paraId="5E89640A">
        <w:tblPrEx>
          <w:tblCellMar>
            <w:top w:w="0" w:type="dxa"/>
            <w:left w:w="108" w:type="dxa"/>
            <w:bottom w:w="0" w:type="dxa"/>
            <w:right w:w="108" w:type="dxa"/>
          </w:tblCellMar>
        </w:tblPrEx>
        <w:trPr>
          <w:trHeight w:val="525" w:hRule="atLeast"/>
        </w:trPr>
        <w:tc>
          <w:tcPr>
            <w:tcW w:w="682" w:type="dxa"/>
            <w:tcBorders>
              <w:top w:val="single" w:color="000000" w:sz="4" w:space="0"/>
              <w:left w:val="single" w:color="000000" w:sz="4" w:space="0"/>
              <w:bottom w:val="single" w:color="000000" w:sz="4" w:space="0"/>
              <w:right w:val="single" w:color="000000" w:sz="4" w:space="0"/>
            </w:tcBorders>
            <w:noWrap w:val="0"/>
            <w:vAlign w:val="center"/>
          </w:tcPr>
          <w:p w14:paraId="07F34338">
            <w:pPr>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1367" w:type="dxa"/>
            <w:tcBorders>
              <w:top w:val="single" w:color="000000" w:sz="4" w:space="0"/>
              <w:left w:val="single" w:color="000000" w:sz="4" w:space="0"/>
              <w:bottom w:val="single" w:color="000000" w:sz="4" w:space="0"/>
              <w:right w:val="single" w:color="000000" w:sz="4" w:space="0"/>
            </w:tcBorders>
            <w:noWrap w:val="0"/>
            <w:vAlign w:val="center"/>
          </w:tcPr>
          <w:p w14:paraId="6E2C56D2">
            <w:pPr>
              <w:spacing w:line="360" w:lineRule="auto"/>
              <w:jc w:val="center"/>
              <w:rPr>
                <w:rFonts w:ascii="宋体" w:hAnsi="宋体"/>
                <w:color w:val="auto"/>
                <w:szCs w:val="21"/>
                <w:highlight w:val="none"/>
              </w:rPr>
            </w:pPr>
            <w:r>
              <w:rPr>
                <w:rFonts w:hint="eastAsia" w:ascii="宋体" w:hAnsi="宋体"/>
                <w:color w:val="auto"/>
                <w:szCs w:val="21"/>
                <w:highlight w:val="none"/>
              </w:rPr>
              <w:t>姓名</w:t>
            </w:r>
          </w:p>
        </w:tc>
        <w:tc>
          <w:tcPr>
            <w:tcW w:w="953" w:type="dxa"/>
            <w:tcBorders>
              <w:top w:val="single" w:color="000000" w:sz="4" w:space="0"/>
              <w:left w:val="single" w:color="000000" w:sz="4" w:space="0"/>
              <w:bottom w:val="single" w:color="000000" w:sz="4" w:space="0"/>
              <w:right w:val="single" w:color="000000" w:sz="4" w:space="0"/>
            </w:tcBorders>
            <w:noWrap w:val="0"/>
            <w:vAlign w:val="center"/>
          </w:tcPr>
          <w:p w14:paraId="4A846342">
            <w:pPr>
              <w:spacing w:line="360" w:lineRule="auto"/>
              <w:jc w:val="center"/>
              <w:rPr>
                <w:rFonts w:ascii="宋体" w:hAnsi="宋体"/>
                <w:color w:val="auto"/>
                <w:szCs w:val="21"/>
                <w:highlight w:val="none"/>
              </w:rPr>
            </w:pPr>
            <w:r>
              <w:rPr>
                <w:rFonts w:hint="eastAsia" w:ascii="宋体" w:hAnsi="宋体"/>
                <w:color w:val="auto"/>
                <w:szCs w:val="21"/>
                <w:highlight w:val="none"/>
              </w:rPr>
              <w:t>性别</w:t>
            </w:r>
          </w:p>
        </w:tc>
        <w:tc>
          <w:tcPr>
            <w:tcW w:w="953" w:type="dxa"/>
            <w:tcBorders>
              <w:top w:val="single" w:color="000000" w:sz="4" w:space="0"/>
              <w:left w:val="single" w:color="000000" w:sz="4" w:space="0"/>
              <w:bottom w:val="single" w:color="000000" w:sz="4" w:space="0"/>
              <w:right w:val="single" w:color="000000" w:sz="4" w:space="0"/>
            </w:tcBorders>
            <w:noWrap w:val="0"/>
            <w:vAlign w:val="center"/>
          </w:tcPr>
          <w:p w14:paraId="52622C6D">
            <w:pPr>
              <w:spacing w:line="360" w:lineRule="auto"/>
              <w:jc w:val="center"/>
              <w:rPr>
                <w:rFonts w:ascii="宋体" w:hAnsi="宋体"/>
                <w:color w:val="auto"/>
                <w:szCs w:val="21"/>
                <w:highlight w:val="none"/>
              </w:rPr>
            </w:pPr>
            <w:r>
              <w:rPr>
                <w:rFonts w:hint="eastAsia" w:ascii="宋体" w:hAnsi="宋体"/>
                <w:color w:val="auto"/>
                <w:szCs w:val="21"/>
                <w:highlight w:val="none"/>
              </w:rPr>
              <w:t>岗位</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17C1C8B2">
            <w:pPr>
              <w:spacing w:line="360" w:lineRule="auto"/>
              <w:jc w:val="center"/>
              <w:rPr>
                <w:rFonts w:ascii="宋体" w:hAnsi="宋体"/>
                <w:color w:val="auto"/>
                <w:szCs w:val="21"/>
                <w:highlight w:val="none"/>
              </w:rPr>
            </w:pPr>
            <w:r>
              <w:rPr>
                <w:rFonts w:hint="eastAsia" w:ascii="宋体" w:hAnsi="宋体"/>
                <w:color w:val="auto"/>
                <w:szCs w:val="21"/>
                <w:highlight w:val="none"/>
              </w:rPr>
              <w:t>年龄</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75AC494D">
            <w:pPr>
              <w:spacing w:line="360" w:lineRule="auto"/>
              <w:jc w:val="center"/>
              <w:rPr>
                <w:rFonts w:ascii="宋体" w:hAnsi="宋体"/>
                <w:color w:val="auto"/>
                <w:szCs w:val="21"/>
                <w:highlight w:val="none"/>
              </w:rPr>
            </w:pPr>
            <w:r>
              <w:rPr>
                <w:rFonts w:hint="eastAsia" w:ascii="宋体" w:hAnsi="宋体"/>
                <w:color w:val="auto"/>
                <w:szCs w:val="21"/>
                <w:highlight w:val="none"/>
              </w:rPr>
              <w:t>学历</w:t>
            </w: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7B40597">
            <w:pPr>
              <w:spacing w:line="360" w:lineRule="auto"/>
              <w:jc w:val="center"/>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证书</w:t>
            </w:r>
          </w:p>
        </w:tc>
        <w:tc>
          <w:tcPr>
            <w:tcW w:w="1279" w:type="dxa"/>
            <w:tcBorders>
              <w:top w:val="single" w:color="000000" w:sz="4" w:space="0"/>
              <w:left w:val="single" w:color="000000" w:sz="4" w:space="0"/>
              <w:bottom w:val="single" w:color="000000" w:sz="4" w:space="0"/>
              <w:right w:val="single" w:color="000000" w:sz="4" w:space="0"/>
            </w:tcBorders>
            <w:noWrap w:val="0"/>
            <w:vAlign w:val="center"/>
          </w:tcPr>
          <w:p w14:paraId="041972BE">
            <w:pPr>
              <w:spacing w:line="360" w:lineRule="auto"/>
              <w:jc w:val="center"/>
              <w:rPr>
                <w:rFonts w:ascii="宋体" w:hAnsi="宋体"/>
                <w:color w:val="auto"/>
                <w:szCs w:val="21"/>
                <w:highlight w:val="none"/>
              </w:rPr>
            </w:pPr>
            <w:r>
              <w:rPr>
                <w:rFonts w:hint="eastAsia" w:ascii="宋体" w:hAnsi="宋体"/>
                <w:color w:val="auto"/>
                <w:szCs w:val="21"/>
                <w:highlight w:val="none"/>
              </w:rPr>
              <w:t>备注</w:t>
            </w:r>
          </w:p>
        </w:tc>
      </w:tr>
      <w:tr w14:paraId="6A2C3C5C">
        <w:tblPrEx>
          <w:tblCellMar>
            <w:top w:w="0" w:type="dxa"/>
            <w:left w:w="108" w:type="dxa"/>
            <w:bottom w:w="0" w:type="dxa"/>
            <w:right w:w="108" w:type="dxa"/>
          </w:tblCellMar>
        </w:tblPrEx>
        <w:trPr>
          <w:trHeight w:val="525" w:hRule="atLeast"/>
        </w:trPr>
        <w:tc>
          <w:tcPr>
            <w:tcW w:w="682" w:type="dxa"/>
            <w:tcBorders>
              <w:top w:val="single" w:color="000000" w:sz="4" w:space="0"/>
              <w:left w:val="single" w:color="000000" w:sz="4" w:space="0"/>
              <w:bottom w:val="single" w:color="000000" w:sz="4" w:space="0"/>
              <w:right w:val="single" w:color="000000" w:sz="4" w:space="0"/>
            </w:tcBorders>
            <w:noWrap w:val="0"/>
            <w:vAlign w:val="center"/>
          </w:tcPr>
          <w:p w14:paraId="04CCDC64">
            <w:pPr>
              <w:spacing w:line="360" w:lineRule="auto"/>
              <w:rPr>
                <w:rFonts w:ascii="宋体" w:hAnsi="宋体"/>
                <w:color w:val="auto"/>
                <w:szCs w:val="21"/>
                <w:highlight w:val="none"/>
              </w:rPr>
            </w:pPr>
          </w:p>
        </w:tc>
        <w:tc>
          <w:tcPr>
            <w:tcW w:w="1367" w:type="dxa"/>
            <w:tcBorders>
              <w:top w:val="single" w:color="000000" w:sz="4" w:space="0"/>
              <w:left w:val="single" w:color="000000" w:sz="4" w:space="0"/>
              <w:bottom w:val="single" w:color="000000" w:sz="4" w:space="0"/>
              <w:right w:val="single" w:color="000000" w:sz="4" w:space="0"/>
            </w:tcBorders>
            <w:noWrap w:val="0"/>
            <w:vAlign w:val="center"/>
          </w:tcPr>
          <w:p w14:paraId="4AF1873D">
            <w:pPr>
              <w:spacing w:line="360" w:lineRule="auto"/>
              <w:rPr>
                <w:rFonts w:ascii="宋体" w:hAnsi="宋体"/>
                <w:color w:val="auto"/>
                <w:szCs w:val="21"/>
                <w:highlight w:val="none"/>
              </w:rPr>
            </w:pPr>
          </w:p>
        </w:tc>
        <w:tc>
          <w:tcPr>
            <w:tcW w:w="953" w:type="dxa"/>
            <w:tcBorders>
              <w:top w:val="single" w:color="000000" w:sz="4" w:space="0"/>
              <w:left w:val="single" w:color="000000" w:sz="4" w:space="0"/>
              <w:bottom w:val="single" w:color="000000" w:sz="4" w:space="0"/>
              <w:right w:val="single" w:color="000000" w:sz="4" w:space="0"/>
            </w:tcBorders>
            <w:noWrap w:val="0"/>
            <w:vAlign w:val="center"/>
          </w:tcPr>
          <w:p w14:paraId="2850ECB4">
            <w:pPr>
              <w:spacing w:line="360" w:lineRule="auto"/>
              <w:rPr>
                <w:rFonts w:ascii="宋体" w:hAnsi="宋体"/>
                <w:color w:val="auto"/>
                <w:szCs w:val="21"/>
                <w:highlight w:val="none"/>
              </w:rPr>
            </w:pPr>
          </w:p>
        </w:tc>
        <w:tc>
          <w:tcPr>
            <w:tcW w:w="953" w:type="dxa"/>
            <w:tcBorders>
              <w:top w:val="single" w:color="000000" w:sz="4" w:space="0"/>
              <w:left w:val="single" w:color="000000" w:sz="4" w:space="0"/>
              <w:bottom w:val="single" w:color="000000" w:sz="4" w:space="0"/>
              <w:right w:val="single" w:color="000000" w:sz="4" w:space="0"/>
            </w:tcBorders>
            <w:noWrap w:val="0"/>
            <w:vAlign w:val="center"/>
          </w:tcPr>
          <w:p w14:paraId="3C98EAC3">
            <w:pPr>
              <w:spacing w:line="360" w:lineRule="auto"/>
              <w:rPr>
                <w:rFonts w:ascii="宋体" w:hAnsi="宋体"/>
                <w:color w:val="auto"/>
                <w:szCs w:val="21"/>
                <w:highlight w:val="none"/>
              </w:rPr>
            </w:pP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3D7C025B">
            <w:pPr>
              <w:spacing w:line="360" w:lineRule="auto"/>
              <w:rPr>
                <w:rFonts w:ascii="宋体" w:hAnsi="宋体"/>
                <w:color w:val="auto"/>
                <w:szCs w:val="21"/>
                <w:highlight w:val="none"/>
              </w:rPr>
            </w:pP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6DDFDBDF">
            <w:pPr>
              <w:spacing w:line="360" w:lineRule="auto"/>
              <w:rPr>
                <w:rFonts w:ascii="宋体" w:hAnsi="宋体"/>
                <w:color w:val="auto"/>
                <w:szCs w:val="21"/>
                <w:highlight w:val="none"/>
              </w:rPr>
            </w:pP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2E701B4A">
            <w:pPr>
              <w:spacing w:line="360" w:lineRule="auto"/>
              <w:rPr>
                <w:rFonts w:ascii="宋体" w:hAnsi="宋体"/>
                <w:color w:val="auto"/>
                <w:szCs w:val="21"/>
                <w:highlight w:val="none"/>
              </w:rPr>
            </w:pPr>
          </w:p>
        </w:tc>
        <w:tc>
          <w:tcPr>
            <w:tcW w:w="1279" w:type="dxa"/>
            <w:tcBorders>
              <w:top w:val="single" w:color="000000" w:sz="4" w:space="0"/>
              <w:left w:val="single" w:color="000000" w:sz="4" w:space="0"/>
              <w:bottom w:val="single" w:color="000000" w:sz="4" w:space="0"/>
              <w:right w:val="single" w:color="000000" w:sz="4" w:space="0"/>
            </w:tcBorders>
            <w:noWrap w:val="0"/>
            <w:vAlign w:val="center"/>
          </w:tcPr>
          <w:p w14:paraId="36EFC27E">
            <w:pPr>
              <w:spacing w:line="360" w:lineRule="auto"/>
              <w:rPr>
                <w:rFonts w:ascii="宋体" w:hAnsi="宋体"/>
                <w:color w:val="auto"/>
                <w:szCs w:val="21"/>
                <w:highlight w:val="none"/>
              </w:rPr>
            </w:pPr>
          </w:p>
        </w:tc>
      </w:tr>
      <w:tr w14:paraId="667A8456">
        <w:tblPrEx>
          <w:tblCellMar>
            <w:top w:w="0" w:type="dxa"/>
            <w:left w:w="108" w:type="dxa"/>
            <w:bottom w:w="0" w:type="dxa"/>
            <w:right w:w="108" w:type="dxa"/>
          </w:tblCellMar>
        </w:tblPrEx>
        <w:trPr>
          <w:trHeight w:val="525" w:hRule="atLeast"/>
        </w:trPr>
        <w:tc>
          <w:tcPr>
            <w:tcW w:w="682" w:type="dxa"/>
            <w:tcBorders>
              <w:top w:val="single" w:color="000000" w:sz="4" w:space="0"/>
              <w:left w:val="single" w:color="000000" w:sz="4" w:space="0"/>
              <w:bottom w:val="single" w:color="000000" w:sz="4" w:space="0"/>
              <w:right w:val="single" w:color="000000" w:sz="4" w:space="0"/>
            </w:tcBorders>
            <w:noWrap w:val="0"/>
            <w:vAlign w:val="center"/>
          </w:tcPr>
          <w:p w14:paraId="1F7CD6F0">
            <w:pPr>
              <w:spacing w:line="360" w:lineRule="auto"/>
              <w:rPr>
                <w:rFonts w:ascii="宋体" w:hAnsi="宋体"/>
                <w:color w:val="auto"/>
                <w:szCs w:val="21"/>
                <w:highlight w:val="none"/>
              </w:rPr>
            </w:pPr>
          </w:p>
        </w:tc>
        <w:tc>
          <w:tcPr>
            <w:tcW w:w="1367" w:type="dxa"/>
            <w:tcBorders>
              <w:top w:val="single" w:color="000000" w:sz="4" w:space="0"/>
              <w:left w:val="single" w:color="000000" w:sz="4" w:space="0"/>
              <w:bottom w:val="single" w:color="000000" w:sz="4" w:space="0"/>
              <w:right w:val="single" w:color="000000" w:sz="4" w:space="0"/>
            </w:tcBorders>
            <w:noWrap w:val="0"/>
            <w:vAlign w:val="center"/>
          </w:tcPr>
          <w:p w14:paraId="1D4A543F">
            <w:pPr>
              <w:spacing w:line="360" w:lineRule="auto"/>
              <w:rPr>
                <w:rFonts w:ascii="宋体" w:hAnsi="宋体"/>
                <w:color w:val="auto"/>
                <w:szCs w:val="21"/>
                <w:highlight w:val="none"/>
              </w:rPr>
            </w:pPr>
          </w:p>
        </w:tc>
        <w:tc>
          <w:tcPr>
            <w:tcW w:w="953" w:type="dxa"/>
            <w:tcBorders>
              <w:top w:val="single" w:color="000000" w:sz="4" w:space="0"/>
              <w:left w:val="single" w:color="000000" w:sz="4" w:space="0"/>
              <w:bottom w:val="single" w:color="000000" w:sz="4" w:space="0"/>
              <w:right w:val="single" w:color="000000" w:sz="4" w:space="0"/>
            </w:tcBorders>
            <w:noWrap w:val="0"/>
            <w:vAlign w:val="center"/>
          </w:tcPr>
          <w:p w14:paraId="487C6945">
            <w:pPr>
              <w:spacing w:line="360" w:lineRule="auto"/>
              <w:rPr>
                <w:rFonts w:ascii="宋体" w:hAnsi="宋体"/>
                <w:color w:val="auto"/>
                <w:szCs w:val="21"/>
                <w:highlight w:val="none"/>
              </w:rPr>
            </w:pPr>
          </w:p>
        </w:tc>
        <w:tc>
          <w:tcPr>
            <w:tcW w:w="953" w:type="dxa"/>
            <w:tcBorders>
              <w:top w:val="single" w:color="000000" w:sz="4" w:space="0"/>
              <w:left w:val="single" w:color="000000" w:sz="4" w:space="0"/>
              <w:bottom w:val="single" w:color="000000" w:sz="4" w:space="0"/>
              <w:right w:val="single" w:color="000000" w:sz="4" w:space="0"/>
            </w:tcBorders>
            <w:noWrap w:val="0"/>
            <w:vAlign w:val="center"/>
          </w:tcPr>
          <w:p w14:paraId="09350237">
            <w:pPr>
              <w:spacing w:line="360" w:lineRule="auto"/>
              <w:rPr>
                <w:rFonts w:ascii="宋体" w:hAnsi="宋体"/>
                <w:color w:val="auto"/>
                <w:szCs w:val="21"/>
                <w:highlight w:val="none"/>
              </w:rPr>
            </w:pP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3CF27114">
            <w:pPr>
              <w:spacing w:line="360" w:lineRule="auto"/>
              <w:rPr>
                <w:rFonts w:ascii="宋体" w:hAnsi="宋体"/>
                <w:color w:val="auto"/>
                <w:szCs w:val="21"/>
                <w:highlight w:val="none"/>
              </w:rPr>
            </w:pP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3BAA4CC5">
            <w:pPr>
              <w:spacing w:line="360" w:lineRule="auto"/>
              <w:rPr>
                <w:rFonts w:ascii="宋体" w:hAnsi="宋体"/>
                <w:color w:val="auto"/>
                <w:szCs w:val="21"/>
                <w:highlight w:val="none"/>
              </w:rPr>
            </w:pP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A6FBCCE">
            <w:pPr>
              <w:spacing w:line="360" w:lineRule="auto"/>
              <w:rPr>
                <w:rFonts w:ascii="宋体" w:hAnsi="宋体"/>
                <w:color w:val="auto"/>
                <w:szCs w:val="21"/>
                <w:highlight w:val="none"/>
              </w:rPr>
            </w:pPr>
          </w:p>
        </w:tc>
        <w:tc>
          <w:tcPr>
            <w:tcW w:w="1279" w:type="dxa"/>
            <w:tcBorders>
              <w:top w:val="single" w:color="000000" w:sz="4" w:space="0"/>
              <w:left w:val="single" w:color="000000" w:sz="4" w:space="0"/>
              <w:bottom w:val="single" w:color="000000" w:sz="4" w:space="0"/>
              <w:right w:val="single" w:color="000000" w:sz="4" w:space="0"/>
            </w:tcBorders>
            <w:noWrap w:val="0"/>
            <w:vAlign w:val="center"/>
          </w:tcPr>
          <w:p w14:paraId="3CF1AE39">
            <w:pPr>
              <w:spacing w:line="360" w:lineRule="auto"/>
              <w:rPr>
                <w:rFonts w:ascii="宋体" w:hAnsi="宋体"/>
                <w:color w:val="auto"/>
                <w:szCs w:val="21"/>
                <w:highlight w:val="none"/>
              </w:rPr>
            </w:pPr>
          </w:p>
        </w:tc>
      </w:tr>
      <w:tr w14:paraId="6E69B2A6">
        <w:tblPrEx>
          <w:tblCellMar>
            <w:top w:w="0" w:type="dxa"/>
            <w:left w:w="108" w:type="dxa"/>
            <w:bottom w:w="0" w:type="dxa"/>
            <w:right w:w="108" w:type="dxa"/>
          </w:tblCellMar>
        </w:tblPrEx>
        <w:trPr>
          <w:trHeight w:val="525" w:hRule="atLeast"/>
        </w:trPr>
        <w:tc>
          <w:tcPr>
            <w:tcW w:w="682" w:type="dxa"/>
            <w:tcBorders>
              <w:top w:val="single" w:color="000000" w:sz="4" w:space="0"/>
              <w:left w:val="single" w:color="000000" w:sz="4" w:space="0"/>
              <w:bottom w:val="single" w:color="000000" w:sz="4" w:space="0"/>
              <w:right w:val="single" w:color="000000" w:sz="4" w:space="0"/>
            </w:tcBorders>
            <w:noWrap w:val="0"/>
            <w:vAlign w:val="center"/>
          </w:tcPr>
          <w:p w14:paraId="6CEF3885">
            <w:pPr>
              <w:spacing w:line="360" w:lineRule="auto"/>
              <w:rPr>
                <w:rFonts w:ascii="宋体" w:hAnsi="宋体"/>
                <w:color w:val="auto"/>
                <w:szCs w:val="21"/>
                <w:highlight w:val="none"/>
              </w:rPr>
            </w:pPr>
          </w:p>
        </w:tc>
        <w:tc>
          <w:tcPr>
            <w:tcW w:w="1367" w:type="dxa"/>
            <w:tcBorders>
              <w:top w:val="single" w:color="000000" w:sz="4" w:space="0"/>
              <w:left w:val="single" w:color="000000" w:sz="4" w:space="0"/>
              <w:bottom w:val="single" w:color="000000" w:sz="4" w:space="0"/>
              <w:right w:val="single" w:color="000000" w:sz="4" w:space="0"/>
            </w:tcBorders>
            <w:noWrap w:val="0"/>
            <w:vAlign w:val="center"/>
          </w:tcPr>
          <w:p w14:paraId="6BBA0A47">
            <w:pPr>
              <w:spacing w:line="360" w:lineRule="auto"/>
              <w:rPr>
                <w:rFonts w:ascii="宋体" w:hAnsi="宋体"/>
                <w:color w:val="auto"/>
                <w:szCs w:val="21"/>
                <w:highlight w:val="none"/>
              </w:rPr>
            </w:pPr>
          </w:p>
        </w:tc>
        <w:tc>
          <w:tcPr>
            <w:tcW w:w="953" w:type="dxa"/>
            <w:tcBorders>
              <w:top w:val="single" w:color="000000" w:sz="4" w:space="0"/>
              <w:left w:val="single" w:color="000000" w:sz="4" w:space="0"/>
              <w:bottom w:val="single" w:color="000000" w:sz="4" w:space="0"/>
              <w:right w:val="single" w:color="000000" w:sz="4" w:space="0"/>
            </w:tcBorders>
            <w:noWrap w:val="0"/>
            <w:vAlign w:val="center"/>
          </w:tcPr>
          <w:p w14:paraId="069C84BD">
            <w:pPr>
              <w:spacing w:line="360" w:lineRule="auto"/>
              <w:rPr>
                <w:rFonts w:ascii="宋体" w:hAnsi="宋体"/>
                <w:color w:val="auto"/>
                <w:szCs w:val="21"/>
                <w:highlight w:val="none"/>
              </w:rPr>
            </w:pPr>
          </w:p>
        </w:tc>
        <w:tc>
          <w:tcPr>
            <w:tcW w:w="953" w:type="dxa"/>
            <w:tcBorders>
              <w:top w:val="single" w:color="000000" w:sz="4" w:space="0"/>
              <w:left w:val="single" w:color="000000" w:sz="4" w:space="0"/>
              <w:bottom w:val="single" w:color="000000" w:sz="4" w:space="0"/>
              <w:right w:val="single" w:color="000000" w:sz="4" w:space="0"/>
            </w:tcBorders>
            <w:noWrap w:val="0"/>
            <w:vAlign w:val="center"/>
          </w:tcPr>
          <w:p w14:paraId="15D15D5B">
            <w:pPr>
              <w:spacing w:line="360" w:lineRule="auto"/>
              <w:rPr>
                <w:rFonts w:ascii="宋体" w:hAnsi="宋体"/>
                <w:color w:val="auto"/>
                <w:szCs w:val="21"/>
                <w:highlight w:val="none"/>
              </w:rPr>
            </w:pP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7E924163">
            <w:pPr>
              <w:spacing w:line="360" w:lineRule="auto"/>
              <w:rPr>
                <w:rFonts w:ascii="宋体" w:hAnsi="宋体"/>
                <w:color w:val="auto"/>
                <w:szCs w:val="21"/>
                <w:highlight w:val="none"/>
              </w:rPr>
            </w:pP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684E0179">
            <w:pPr>
              <w:spacing w:line="360" w:lineRule="auto"/>
              <w:rPr>
                <w:rFonts w:ascii="宋体" w:hAnsi="宋体"/>
                <w:color w:val="auto"/>
                <w:szCs w:val="21"/>
                <w:highlight w:val="none"/>
              </w:rPr>
            </w:pP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19FAA4E7">
            <w:pPr>
              <w:spacing w:line="360" w:lineRule="auto"/>
              <w:rPr>
                <w:rFonts w:ascii="宋体" w:hAnsi="宋体"/>
                <w:color w:val="auto"/>
                <w:szCs w:val="21"/>
                <w:highlight w:val="none"/>
              </w:rPr>
            </w:pPr>
          </w:p>
        </w:tc>
        <w:tc>
          <w:tcPr>
            <w:tcW w:w="1279" w:type="dxa"/>
            <w:tcBorders>
              <w:top w:val="single" w:color="000000" w:sz="4" w:space="0"/>
              <w:left w:val="single" w:color="000000" w:sz="4" w:space="0"/>
              <w:bottom w:val="single" w:color="000000" w:sz="4" w:space="0"/>
              <w:right w:val="single" w:color="000000" w:sz="4" w:space="0"/>
            </w:tcBorders>
            <w:noWrap w:val="0"/>
            <w:vAlign w:val="center"/>
          </w:tcPr>
          <w:p w14:paraId="6AFB72C5">
            <w:pPr>
              <w:spacing w:line="360" w:lineRule="auto"/>
              <w:rPr>
                <w:rFonts w:ascii="宋体" w:hAnsi="宋体"/>
                <w:color w:val="auto"/>
                <w:szCs w:val="21"/>
                <w:highlight w:val="none"/>
              </w:rPr>
            </w:pPr>
          </w:p>
        </w:tc>
      </w:tr>
      <w:tr w14:paraId="719611D8">
        <w:tblPrEx>
          <w:tblCellMar>
            <w:top w:w="0" w:type="dxa"/>
            <w:left w:w="108" w:type="dxa"/>
            <w:bottom w:w="0" w:type="dxa"/>
            <w:right w:w="108" w:type="dxa"/>
          </w:tblCellMar>
        </w:tblPrEx>
        <w:trPr>
          <w:trHeight w:val="525" w:hRule="atLeast"/>
        </w:trPr>
        <w:tc>
          <w:tcPr>
            <w:tcW w:w="682" w:type="dxa"/>
            <w:tcBorders>
              <w:top w:val="single" w:color="000000" w:sz="4" w:space="0"/>
              <w:left w:val="single" w:color="000000" w:sz="4" w:space="0"/>
              <w:bottom w:val="single" w:color="000000" w:sz="4" w:space="0"/>
              <w:right w:val="single" w:color="000000" w:sz="4" w:space="0"/>
            </w:tcBorders>
            <w:noWrap w:val="0"/>
            <w:vAlign w:val="center"/>
          </w:tcPr>
          <w:p w14:paraId="14B2A7B7">
            <w:pPr>
              <w:spacing w:line="360" w:lineRule="auto"/>
              <w:rPr>
                <w:rFonts w:ascii="宋体" w:hAnsi="宋体"/>
                <w:color w:val="auto"/>
                <w:szCs w:val="21"/>
                <w:highlight w:val="none"/>
              </w:rPr>
            </w:pPr>
          </w:p>
        </w:tc>
        <w:tc>
          <w:tcPr>
            <w:tcW w:w="1367" w:type="dxa"/>
            <w:tcBorders>
              <w:top w:val="single" w:color="000000" w:sz="4" w:space="0"/>
              <w:left w:val="single" w:color="000000" w:sz="4" w:space="0"/>
              <w:bottom w:val="single" w:color="000000" w:sz="4" w:space="0"/>
              <w:right w:val="single" w:color="000000" w:sz="4" w:space="0"/>
            </w:tcBorders>
            <w:noWrap w:val="0"/>
            <w:vAlign w:val="center"/>
          </w:tcPr>
          <w:p w14:paraId="748BFECB">
            <w:pPr>
              <w:spacing w:line="360" w:lineRule="auto"/>
              <w:rPr>
                <w:rFonts w:ascii="宋体" w:hAnsi="宋体"/>
                <w:color w:val="auto"/>
                <w:szCs w:val="21"/>
                <w:highlight w:val="none"/>
              </w:rPr>
            </w:pPr>
          </w:p>
        </w:tc>
        <w:tc>
          <w:tcPr>
            <w:tcW w:w="953" w:type="dxa"/>
            <w:tcBorders>
              <w:top w:val="single" w:color="000000" w:sz="4" w:space="0"/>
              <w:left w:val="single" w:color="000000" w:sz="4" w:space="0"/>
              <w:bottom w:val="single" w:color="000000" w:sz="4" w:space="0"/>
              <w:right w:val="single" w:color="000000" w:sz="4" w:space="0"/>
            </w:tcBorders>
            <w:noWrap w:val="0"/>
            <w:vAlign w:val="center"/>
          </w:tcPr>
          <w:p w14:paraId="5B8EE65B">
            <w:pPr>
              <w:spacing w:line="360" w:lineRule="auto"/>
              <w:rPr>
                <w:rFonts w:ascii="宋体" w:hAnsi="宋体"/>
                <w:color w:val="auto"/>
                <w:szCs w:val="21"/>
                <w:highlight w:val="none"/>
              </w:rPr>
            </w:pPr>
          </w:p>
        </w:tc>
        <w:tc>
          <w:tcPr>
            <w:tcW w:w="953" w:type="dxa"/>
            <w:tcBorders>
              <w:top w:val="single" w:color="000000" w:sz="4" w:space="0"/>
              <w:left w:val="single" w:color="000000" w:sz="4" w:space="0"/>
              <w:bottom w:val="single" w:color="000000" w:sz="4" w:space="0"/>
              <w:right w:val="single" w:color="000000" w:sz="4" w:space="0"/>
            </w:tcBorders>
            <w:noWrap w:val="0"/>
            <w:vAlign w:val="center"/>
          </w:tcPr>
          <w:p w14:paraId="6845ADC1">
            <w:pPr>
              <w:spacing w:line="360" w:lineRule="auto"/>
              <w:rPr>
                <w:rFonts w:ascii="宋体" w:hAnsi="宋体"/>
                <w:color w:val="auto"/>
                <w:szCs w:val="21"/>
                <w:highlight w:val="none"/>
              </w:rPr>
            </w:pP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11E7D08E">
            <w:pPr>
              <w:spacing w:line="360" w:lineRule="auto"/>
              <w:rPr>
                <w:rFonts w:ascii="宋体" w:hAnsi="宋体"/>
                <w:color w:val="auto"/>
                <w:szCs w:val="21"/>
                <w:highlight w:val="none"/>
              </w:rPr>
            </w:pP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25856202">
            <w:pPr>
              <w:spacing w:line="360" w:lineRule="auto"/>
              <w:rPr>
                <w:rFonts w:ascii="宋体" w:hAnsi="宋体"/>
                <w:color w:val="auto"/>
                <w:szCs w:val="21"/>
                <w:highlight w:val="none"/>
              </w:rPr>
            </w:pP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5B200838">
            <w:pPr>
              <w:spacing w:line="360" w:lineRule="auto"/>
              <w:rPr>
                <w:rFonts w:ascii="宋体" w:hAnsi="宋体"/>
                <w:color w:val="auto"/>
                <w:szCs w:val="21"/>
                <w:highlight w:val="none"/>
              </w:rPr>
            </w:pPr>
          </w:p>
        </w:tc>
        <w:tc>
          <w:tcPr>
            <w:tcW w:w="1279" w:type="dxa"/>
            <w:tcBorders>
              <w:top w:val="single" w:color="000000" w:sz="4" w:space="0"/>
              <w:left w:val="single" w:color="000000" w:sz="4" w:space="0"/>
              <w:bottom w:val="single" w:color="000000" w:sz="4" w:space="0"/>
              <w:right w:val="single" w:color="000000" w:sz="4" w:space="0"/>
            </w:tcBorders>
            <w:noWrap w:val="0"/>
            <w:vAlign w:val="center"/>
          </w:tcPr>
          <w:p w14:paraId="4C17CA3E">
            <w:pPr>
              <w:spacing w:line="360" w:lineRule="auto"/>
              <w:rPr>
                <w:rFonts w:ascii="宋体" w:hAnsi="宋体"/>
                <w:color w:val="auto"/>
                <w:szCs w:val="21"/>
                <w:highlight w:val="none"/>
              </w:rPr>
            </w:pPr>
          </w:p>
        </w:tc>
      </w:tr>
      <w:tr w14:paraId="5D8289DE">
        <w:tblPrEx>
          <w:tblCellMar>
            <w:top w:w="0" w:type="dxa"/>
            <w:left w:w="108" w:type="dxa"/>
            <w:bottom w:w="0" w:type="dxa"/>
            <w:right w:w="108" w:type="dxa"/>
          </w:tblCellMar>
        </w:tblPrEx>
        <w:trPr>
          <w:trHeight w:val="525" w:hRule="atLeast"/>
        </w:trPr>
        <w:tc>
          <w:tcPr>
            <w:tcW w:w="682" w:type="dxa"/>
            <w:tcBorders>
              <w:top w:val="single" w:color="000000" w:sz="4" w:space="0"/>
              <w:left w:val="single" w:color="000000" w:sz="4" w:space="0"/>
              <w:bottom w:val="single" w:color="000000" w:sz="4" w:space="0"/>
              <w:right w:val="single" w:color="000000" w:sz="4" w:space="0"/>
            </w:tcBorders>
            <w:noWrap w:val="0"/>
            <w:vAlign w:val="center"/>
          </w:tcPr>
          <w:p w14:paraId="4C18C88C">
            <w:pPr>
              <w:spacing w:line="360" w:lineRule="auto"/>
              <w:rPr>
                <w:rFonts w:ascii="宋体" w:hAnsi="宋体"/>
                <w:color w:val="auto"/>
                <w:szCs w:val="21"/>
                <w:highlight w:val="none"/>
              </w:rPr>
            </w:pPr>
          </w:p>
        </w:tc>
        <w:tc>
          <w:tcPr>
            <w:tcW w:w="1367" w:type="dxa"/>
            <w:tcBorders>
              <w:top w:val="single" w:color="000000" w:sz="4" w:space="0"/>
              <w:left w:val="single" w:color="000000" w:sz="4" w:space="0"/>
              <w:bottom w:val="single" w:color="000000" w:sz="4" w:space="0"/>
              <w:right w:val="single" w:color="000000" w:sz="4" w:space="0"/>
            </w:tcBorders>
            <w:noWrap w:val="0"/>
            <w:vAlign w:val="center"/>
          </w:tcPr>
          <w:p w14:paraId="57B464BF">
            <w:pPr>
              <w:spacing w:line="360" w:lineRule="auto"/>
              <w:rPr>
                <w:rFonts w:ascii="宋体" w:hAnsi="宋体"/>
                <w:color w:val="auto"/>
                <w:szCs w:val="21"/>
                <w:highlight w:val="none"/>
              </w:rPr>
            </w:pPr>
          </w:p>
        </w:tc>
        <w:tc>
          <w:tcPr>
            <w:tcW w:w="953" w:type="dxa"/>
            <w:tcBorders>
              <w:top w:val="single" w:color="000000" w:sz="4" w:space="0"/>
              <w:left w:val="single" w:color="000000" w:sz="4" w:space="0"/>
              <w:bottom w:val="single" w:color="000000" w:sz="4" w:space="0"/>
              <w:right w:val="single" w:color="000000" w:sz="4" w:space="0"/>
            </w:tcBorders>
            <w:noWrap w:val="0"/>
            <w:vAlign w:val="center"/>
          </w:tcPr>
          <w:p w14:paraId="02CE20B3">
            <w:pPr>
              <w:spacing w:line="360" w:lineRule="auto"/>
              <w:rPr>
                <w:rFonts w:ascii="宋体" w:hAnsi="宋体"/>
                <w:color w:val="auto"/>
                <w:szCs w:val="21"/>
                <w:highlight w:val="none"/>
              </w:rPr>
            </w:pPr>
          </w:p>
        </w:tc>
        <w:tc>
          <w:tcPr>
            <w:tcW w:w="953" w:type="dxa"/>
            <w:tcBorders>
              <w:top w:val="single" w:color="000000" w:sz="4" w:space="0"/>
              <w:left w:val="single" w:color="000000" w:sz="4" w:space="0"/>
              <w:bottom w:val="single" w:color="000000" w:sz="4" w:space="0"/>
              <w:right w:val="single" w:color="000000" w:sz="4" w:space="0"/>
            </w:tcBorders>
            <w:noWrap w:val="0"/>
            <w:vAlign w:val="center"/>
          </w:tcPr>
          <w:p w14:paraId="16CD0470">
            <w:pPr>
              <w:spacing w:line="360" w:lineRule="auto"/>
              <w:rPr>
                <w:rFonts w:ascii="宋体" w:hAnsi="宋体"/>
                <w:color w:val="auto"/>
                <w:szCs w:val="21"/>
                <w:highlight w:val="none"/>
              </w:rPr>
            </w:pP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3635B3AD">
            <w:pPr>
              <w:spacing w:line="360" w:lineRule="auto"/>
              <w:rPr>
                <w:rFonts w:ascii="宋体" w:hAnsi="宋体"/>
                <w:color w:val="auto"/>
                <w:szCs w:val="21"/>
                <w:highlight w:val="none"/>
              </w:rPr>
            </w:pP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2607FC70">
            <w:pPr>
              <w:spacing w:line="360" w:lineRule="auto"/>
              <w:rPr>
                <w:rFonts w:ascii="宋体" w:hAnsi="宋体"/>
                <w:color w:val="auto"/>
                <w:szCs w:val="21"/>
                <w:highlight w:val="none"/>
              </w:rPr>
            </w:pP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5710D3A5">
            <w:pPr>
              <w:spacing w:line="360" w:lineRule="auto"/>
              <w:rPr>
                <w:rFonts w:ascii="宋体" w:hAnsi="宋体"/>
                <w:color w:val="auto"/>
                <w:szCs w:val="21"/>
                <w:highlight w:val="none"/>
              </w:rPr>
            </w:pPr>
          </w:p>
        </w:tc>
        <w:tc>
          <w:tcPr>
            <w:tcW w:w="1279" w:type="dxa"/>
            <w:tcBorders>
              <w:top w:val="single" w:color="000000" w:sz="4" w:space="0"/>
              <w:left w:val="single" w:color="000000" w:sz="4" w:space="0"/>
              <w:bottom w:val="single" w:color="000000" w:sz="4" w:space="0"/>
              <w:right w:val="single" w:color="000000" w:sz="4" w:space="0"/>
            </w:tcBorders>
            <w:noWrap w:val="0"/>
            <w:vAlign w:val="center"/>
          </w:tcPr>
          <w:p w14:paraId="73CBB2AD">
            <w:pPr>
              <w:spacing w:line="360" w:lineRule="auto"/>
              <w:rPr>
                <w:rFonts w:ascii="宋体" w:hAnsi="宋体"/>
                <w:color w:val="auto"/>
                <w:szCs w:val="21"/>
                <w:highlight w:val="none"/>
              </w:rPr>
            </w:pPr>
          </w:p>
        </w:tc>
      </w:tr>
      <w:tr w14:paraId="266F8EBA">
        <w:tblPrEx>
          <w:tblCellMar>
            <w:top w:w="0" w:type="dxa"/>
            <w:left w:w="108" w:type="dxa"/>
            <w:bottom w:w="0" w:type="dxa"/>
            <w:right w:w="108" w:type="dxa"/>
          </w:tblCellMar>
        </w:tblPrEx>
        <w:trPr>
          <w:trHeight w:val="525" w:hRule="atLeast"/>
        </w:trPr>
        <w:tc>
          <w:tcPr>
            <w:tcW w:w="682" w:type="dxa"/>
            <w:tcBorders>
              <w:top w:val="single" w:color="000000" w:sz="4" w:space="0"/>
              <w:left w:val="single" w:color="000000" w:sz="4" w:space="0"/>
              <w:bottom w:val="single" w:color="000000" w:sz="4" w:space="0"/>
              <w:right w:val="single" w:color="000000" w:sz="4" w:space="0"/>
            </w:tcBorders>
            <w:noWrap w:val="0"/>
            <w:vAlign w:val="center"/>
          </w:tcPr>
          <w:p w14:paraId="1F88F3EB">
            <w:pPr>
              <w:spacing w:line="360" w:lineRule="auto"/>
              <w:rPr>
                <w:rFonts w:ascii="宋体" w:hAnsi="宋体"/>
                <w:color w:val="auto"/>
                <w:szCs w:val="21"/>
                <w:highlight w:val="none"/>
              </w:rPr>
            </w:pPr>
          </w:p>
        </w:tc>
        <w:tc>
          <w:tcPr>
            <w:tcW w:w="1367" w:type="dxa"/>
            <w:tcBorders>
              <w:top w:val="single" w:color="000000" w:sz="4" w:space="0"/>
              <w:left w:val="single" w:color="000000" w:sz="4" w:space="0"/>
              <w:bottom w:val="single" w:color="000000" w:sz="4" w:space="0"/>
              <w:right w:val="single" w:color="000000" w:sz="4" w:space="0"/>
            </w:tcBorders>
            <w:noWrap w:val="0"/>
            <w:vAlign w:val="center"/>
          </w:tcPr>
          <w:p w14:paraId="6B7E1E46">
            <w:pPr>
              <w:spacing w:line="360" w:lineRule="auto"/>
              <w:rPr>
                <w:rFonts w:ascii="宋体" w:hAnsi="宋体"/>
                <w:color w:val="auto"/>
                <w:szCs w:val="21"/>
                <w:highlight w:val="none"/>
              </w:rPr>
            </w:pPr>
          </w:p>
        </w:tc>
        <w:tc>
          <w:tcPr>
            <w:tcW w:w="953" w:type="dxa"/>
            <w:tcBorders>
              <w:top w:val="single" w:color="000000" w:sz="4" w:space="0"/>
              <w:left w:val="single" w:color="000000" w:sz="4" w:space="0"/>
              <w:bottom w:val="single" w:color="000000" w:sz="4" w:space="0"/>
              <w:right w:val="single" w:color="000000" w:sz="4" w:space="0"/>
            </w:tcBorders>
            <w:noWrap w:val="0"/>
            <w:vAlign w:val="center"/>
          </w:tcPr>
          <w:p w14:paraId="586F9F4A">
            <w:pPr>
              <w:spacing w:line="360" w:lineRule="auto"/>
              <w:rPr>
                <w:rFonts w:ascii="宋体" w:hAnsi="宋体"/>
                <w:color w:val="auto"/>
                <w:szCs w:val="21"/>
                <w:highlight w:val="none"/>
              </w:rPr>
            </w:pPr>
          </w:p>
        </w:tc>
        <w:tc>
          <w:tcPr>
            <w:tcW w:w="953" w:type="dxa"/>
            <w:tcBorders>
              <w:top w:val="single" w:color="000000" w:sz="4" w:space="0"/>
              <w:left w:val="single" w:color="000000" w:sz="4" w:space="0"/>
              <w:bottom w:val="single" w:color="000000" w:sz="4" w:space="0"/>
              <w:right w:val="single" w:color="000000" w:sz="4" w:space="0"/>
            </w:tcBorders>
            <w:noWrap w:val="0"/>
            <w:vAlign w:val="center"/>
          </w:tcPr>
          <w:p w14:paraId="1D651A19">
            <w:pPr>
              <w:spacing w:line="360" w:lineRule="auto"/>
              <w:rPr>
                <w:rFonts w:ascii="宋体" w:hAnsi="宋体"/>
                <w:color w:val="auto"/>
                <w:szCs w:val="21"/>
                <w:highlight w:val="none"/>
              </w:rPr>
            </w:pP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04F0AAC7">
            <w:pPr>
              <w:spacing w:line="360" w:lineRule="auto"/>
              <w:rPr>
                <w:rFonts w:ascii="宋体" w:hAnsi="宋体"/>
                <w:color w:val="auto"/>
                <w:szCs w:val="21"/>
                <w:highlight w:val="none"/>
              </w:rPr>
            </w:pP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71CCB1A0">
            <w:pPr>
              <w:spacing w:line="360" w:lineRule="auto"/>
              <w:rPr>
                <w:rFonts w:ascii="宋体" w:hAnsi="宋体"/>
                <w:color w:val="auto"/>
                <w:szCs w:val="21"/>
                <w:highlight w:val="none"/>
              </w:rPr>
            </w:pP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F2FE692">
            <w:pPr>
              <w:spacing w:line="360" w:lineRule="auto"/>
              <w:rPr>
                <w:rFonts w:ascii="宋体" w:hAnsi="宋体"/>
                <w:color w:val="auto"/>
                <w:szCs w:val="21"/>
                <w:highlight w:val="none"/>
              </w:rPr>
            </w:pPr>
          </w:p>
        </w:tc>
        <w:tc>
          <w:tcPr>
            <w:tcW w:w="1279" w:type="dxa"/>
            <w:tcBorders>
              <w:top w:val="single" w:color="000000" w:sz="4" w:space="0"/>
              <w:left w:val="single" w:color="000000" w:sz="4" w:space="0"/>
              <w:bottom w:val="single" w:color="000000" w:sz="4" w:space="0"/>
              <w:right w:val="single" w:color="000000" w:sz="4" w:space="0"/>
            </w:tcBorders>
            <w:noWrap w:val="0"/>
            <w:vAlign w:val="center"/>
          </w:tcPr>
          <w:p w14:paraId="4A8E9716">
            <w:pPr>
              <w:spacing w:line="360" w:lineRule="auto"/>
              <w:rPr>
                <w:rFonts w:ascii="宋体" w:hAnsi="宋体"/>
                <w:color w:val="auto"/>
                <w:szCs w:val="21"/>
                <w:highlight w:val="none"/>
              </w:rPr>
            </w:pPr>
          </w:p>
        </w:tc>
      </w:tr>
      <w:tr w14:paraId="56B92E4E">
        <w:tblPrEx>
          <w:tblCellMar>
            <w:top w:w="0" w:type="dxa"/>
            <w:left w:w="108" w:type="dxa"/>
            <w:bottom w:w="0" w:type="dxa"/>
            <w:right w:w="108" w:type="dxa"/>
          </w:tblCellMar>
        </w:tblPrEx>
        <w:trPr>
          <w:trHeight w:val="525" w:hRule="atLeast"/>
        </w:trPr>
        <w:tc>
          <w:tcPr>
            <w:tcW w:w="682" w:type="dxa"/>
            <w:tcBorders>
              <w:top w:val="single" w:color="000000" w:sz="4" w:space="0"/>
              <w:left w:val="single" w:color="000000" w:sz="4" w:space="0"/>
              <w:bottom w:val="single" w:color="000000" w:sz="4" w:space="0"/>
              <w:right w:val="single" w:color="000000" w:sz="4" w:space="0"/>
            </w:tcBorders>
            <w:noWrap w:val="0"/>
            <w:vAlign w:val="center"/>
          </w:tcPr>
          <w:p w14:paraId="4EE54491">
            <w:pPr>
              <w:spacing w:line="360" w:lineRule="auto"/>
              <w:rPr>
                <w:rFonts w:ascii="宋体" w:hAnsi="宋体"/>
                <w:color w:val="auto"/>
                <w:szCs w:val="21"/>
                <w:highlight w:val="none"/>
              </w:rPr>
            </w:pPr>
          </w:p>
        </w:tc>
        <w:tc>
          <w:tcPr>
            <w:tcW w:w="1367" w:type="dxa"/>
            <w:tcBorders>
              <w:top w:val="single" w:color="000000" w:sz="4" w:space="0"/>
              <w:left w:val="single" w:color="000000" w:sz="4" w:space="0"/>
              <w:bottom w:val="single" w:color="000000" w:sz="4" w:space="0"/>
              <w:right w:val="single" w:color="000000" w:sz="4" w:space="0"/>
            </w:tcBorders>
            <w:noWrap w:val="0"/>
            <w:vAlign w:val="center"/>
          </w:tcPr>
          <w:p w14:paraId="337C1E97">
            <w:pPr>
              <w:spacing w:line="360" w:lineRule="auto"/>
              <w:rPr>
                <w:rFonts w:ascii="宋体" w:hAnsi="宋体"/>
                <w:color w:val="auto"/>
                <w:szCs w:val="21"/>
                <w:highlight w:val="none"/>
              </w:rPr>
            </w:pPr>
          </w:p>
        </w:tc>
        <w:tc>
          <w:tcPr>
            <w:tcW w:w="953" w:type="dxa"/>
            <w:tcBorders>
              <w:top w:val="single" w:color="000000" w:sz="4" w:space="0"/>
              <w:left w:val="single" w:color="000000" w:sz="4" w:space="0"/>
              <w:bottom w:val="single" w:color="000000" w:sz="4" w:space="0"/>
              <w:right w:val="single" w:color="000000" w:sz="4" w:space="0"/>
            </w:tcBorders>
            <w:noWrap w:val="0"/>
            <w:vAlign w:val="center"/>
          </w:tcPr>
          <w:p w14:paraId="4DB74780">
            <w:pPr>
              <w:spacing w:line="360" w:lineRule="auto"/>
              <w:rPr>
                <w:rFonts w:ascii="宋体" w:hAnsi="宋体"/>
                <w:color w:val="auto"/>
                <w:szCs w:val="21"/>
                <w:highlight w:val="none"/>
              </w:rPr>
            </w:pPr>
          </w:p>
        </w:tc>
        <w:tc>
          <w:tcPr>
            <w:tcW w:w="953" w:type="dxa"/>
            <w:tcBorders>
              <w:top w:val="single" w:color="000000" w:sz="4" w:space="0"/>
              <w:left w:val="single" w:color="000000" w:sz="4" w:space="0"/>
              <w:bottom w:val="single" w:color="000000" w:sz="4" w:space="0"/>
              <w:right w:val="single" w:color="000000" w:sz="4" w:space="0"/>
            </w:tcBorders>
            <w:noWrap w:val="0"/>
            <w:vAlign w:val="center"/>
          </w:tcPr>
          <w:p w14:paraId="39C36FEB">
            <w:pPr>
              <w:spacing w:line="360" w:lineRule="auto"/>
              <w:rPr>
                <w:rFonts w:ascii="宋体" w:hAnsi="宋体"/>
                <w:color w:val="auto"/>
                <w:szCs w:val="21"/>
                <w:highlight w:val="none"/>
              </w:rPr>
            </w:pP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2C8B3D2C">
            <w:pPr>
              <w:spacing w:line="360" w:lineRule="auto"/>
              <w:rPr>
                <w:rFonts w:ascii="宋体" w:hAnsi="宋体"/>
                <w:color w:val="auto"/>
                <w:szCs w:val="21"/>
                <w:highlight w:val="none"/>
              </w:rPr>
            </w:pP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12F629A5">
            <w:pPr>
              <w:spacing w:line="360" w:lineRule="auto"/>
              <w:rPr>
                <w:rFonts w:ascii="宋体" w:hAnsi="宋体"/>
                <w:color w:val="auto"/>
                <w:szCs w:val="21"/>
                <w:highlight w:val="none"/>
              </w:rPr>
            </w:pP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1D2D1C3C">
            <w:pPr>
              <w:spacing w:line="360" w:lineRule="auto"/>
              <w:rPr>
                <w:rFonts w:ascii="宋体" w:hAnsi="宋体"/>
                <w:color w:val="auto"/>
                <w:szCs w:val="21"/>
                <w:highlight w:val="none"/>
              </w:rPr>
            </w:pPr>
          </w:p>
        </w:tc>
        <w:tc>
          <w:tcPr>
            <w:tcW w:w="1279" w:type="dxa"/>
            <w:tcBorders>
              <w:top w:val="single" w:color="000000" w:sz="4" w:space="0"/>
              <w:left w:val="single" w:color="000000" w:sz="4" w:space="0"/>
              <w:bottom w:val="single" w:color="000000" w:sz="4" w:space="0"/>
              <w:right w:val="single" w:color="000000" w:sz="4" w:space="0"/>
            </w:tcBorders>
            <w:noWrap w:val="0"/>
            <w:vAlign w:val="center"/>
          </w:tcPr>
          <w:p w14:paraId="68EDBFCC">
            <w:pPr>
              <w:spacing w:line="360" w:lineRule="auto"/>
              <w:rPr>
                <w:rFonts w:ascii="宋体" w:hAnsi="宋体"/>
                <w:color w:val="auto"/>
                <w:szCs w:val="21"/>
                <w:highlight w:val="none"/>
              </w:rPr>
            </w:pPr>
          </w:p>
        </w:tc>
      </w:tr>
      <w:tr w14:paraId="7F82FF70">
        <w:tblPrEx>
          <w:tblCellMar>
            <w:top w:w="0" w:type="dxa"/>
            <w:left w:w="108" w:type="dxa"/>
            <w:bottom w:w="0" w:type="dxa"/>
            <w:right w:w="108" w:type="dxa"/>
          </w:tblCellMar>
        </w:tblPrEx>
        <w:trPr>
          <w:trHeight w:val="525" w:hRule="atLeast"/>
        </w:trPr>
        <w:tc>
          <w:tcPr>
            <w:tcW w:w="682" w:type="dxa"/>
            <w:tcBorders>
              <w:top w:val="single" w:color="000000" w:sz="4" w:space="0"/>
              <w:left w:val="single" w:color="000000" w:sz="4" w:space="0"/>
              <w:bottom w:val="single" w:color="000000" w:sz="4" w:space="0"/>
              <w:right w:val="single" w:color="000000" w:sz="4" w:space="0"/>
            </w:tcBorders>
            <w:noWrap w:val="0"/>
            <w:vAlign w:val="center"/>
          </w:tcPr>
          <w:p w14:paraId="6B519230">
            <w:pPr>
              <w:spacing w:line="360" w:lineRule="auto"/>
              <w:rPr>
                <w:rFonts w:ascii="宋体" w:hAnsi="宋体"/>
                <w:color w:val="auto"/>
                <w:szCs w:val="21"/>
                <w:highlight w:val="none"/>
              </w:rPr>
            </w:pPr>
          </w:p>
        </w:tc>
        <w:tc>
          <w:tcPr>
            <w:tcW w:w="1367" w:type="dxa"/>
            <w:tcBorders>
              <w:top w:val="single" w:color="000000" w:sz="4" w:space="0"/>
              <w:left w:val="single" w:color="000000" w:sz="4" w:space="0"/>
              <w:bottom w:val="single" w:color="000000" w:sz="4" w:space="0"/>
              <w:right w:val="single" w:color="000000" w:sz="4" w:space="0"/>
            </w:tcBorders>
            <w:noWrap w:val="0"/>
            <w:vAlign w:val="center"/>
          </w:tcPr>
          <w:p w14:paraId="4CEDD6C4">
            <w:pPr>
              <w:spacing w:line="360" w:lineRule="auto"/>
              <w:rPr>
                <w:rFonts w:ascii="宋体" w:hAnsi="宋体"/>
                <w:color w:val="auto"/>
                <w:szCs w:val="21"/>
                <w:highlight w:val="none"/>
              </w:rPr>
            </w:pPr>
          </w:p>
        </w:tc>
        <w:tc>
          <w:tcPr>
            <w:tcW w:w="953" w:type="dxa"/>
            <w:tcBorders>
              <w:top w:val="single" w:color="000000" w:sz="4" w:space="0"/>
              <w:left w:val="nil"/>
              <w:bottom w:val="single" w:color="000000" w:sz="4" w:space="0"/>
              <w:right w:val="single" w:color="000000" w:sz="4" w:space="0"/>
            </w:tcBorders>
            <w:noWrap w:val="0"/>
            <w:vAlign w:val="center"/>
          </w:tcPr>
          <w:p w14:paraId="77C5BC73">
            <w:pPr>
              <w:spacing w:line="360" w:lineRule="auto"/>
              <w:rPr>
                <w:rFonts w:ascii="宋体" w:hAnsi="宋体"/>
                <w:color w:val="auto"/>
                <w:szCs w:val="21"/>
                <w:highlight w:val="none"/>
              </w:rPr>
            </w:pPr>
          </w:p>
        </w:tc>
        <w:tc>
          <w:tcPr>
            <w:tcW w:w="953" w:type="dxa"/>
            <w:tcBorders>
              <w:top w:val="single" w:color="000000" w:sz="4" w:space="0"/>
              <w:left w:val="single" w:color="000000" w:sz="4" w:space="0"/>
              <w:bottom w:val="single" w:color="000000" w:sz="4" w:space="0"/>
              <w:right w:val="single" w:color="000000" w:sz="4" w:space="0"/>
            </w:tcBorders>
            <w:noWrap w:val="0"/>
            <w:vAlign w:val="center"/>
          </w:tcPr>
          <w:p w14:paraId="21F94CD6">
            <w:pPr>
              <w:spacing w:line="360" w:lineRule="auto"/>
              <w:rPr>
                <w:rFonts w:ascii="宋体" w:hAnsi="宋体"/>
                <w:color w:val="auto"/>
                <w:szCs w:val="21"/>
                <w:highlight w:val="none"/>
              </w:rPr>
            </w:pP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308B4671">
            <w:pPr>
              <w:spacing w:line="360" w:lineRule="auto"/>
              <w:rPr>
                <w:rFonts w:ascii="宋体" w:hAnsi="宋体"/>
                <w:color w:val="auto"/>
                <w:szCs w:val="21"/>
                <w:highlight w:val="none"/>
              </w:rPr>
            </w:pP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356A6505">
            <w:pPr>
              <w:spacing w:line="360" w:lineRule="auto"/>
              <w:rPr>
                <w:rFonts w:ascii="宋体" w:hAnsi="宋体"/>
                <w:color w:val="auto"/>
                <w:szCs w:val="21"/>
                <w:highlight w:val="none"/>
              </w:rPr>
            </w:pP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5A04D3A4">
            <w:pPr>
              <w:spacing w:line="360" w:lineRule="auto"/>
              <w:rPr>
                <w:rFonts w:ascii="宋体" w:hAnsi="宋体"/>
                <w:color w:val="auto"/>
                <w:szCs w:val="21"/>
                <w:highlight w:val="none"/>
              </w:rPr>
            </w:pPr>
          </w:p>
        </w:tc>
        <w:tc>
          <w:tcPr>
            <w:tcW w:w="1279" w:type="dxa"/>
            <w:tcBorders>
              <w:top w:val="single" w:color="000000" w:sz="4" w:space="0"/>
              <w:left w:val="single" w:color="000000" w:sz="4" w:space="0"/>
              <w:bottom w:val="single" w:color="000000" w:sz="4" w:space="0"/>
              <w:right w:val="single" w:color="000000" w:sz="4" w:space="0"/>
            </w:tcBorders>
            <w:noWrap w:val="0"/>
            <w:vAlign w:val="center"/>
          </w:tcPr>
          <w:p w14:paraId="20AF8EBF">
            <w:pPr>
              <w:spacing w:line="360" w:lineRule="auto"/>
              <w:rPr>
                <w:rFonts w:ascii="宋体" w:hAnsi="宋体"/>
                <w:color w:val="auto"/>
                <w:szCs w:val="21"/>
                <w:highlight w:val="none"/>
              </w:rPr>
            </w:pPr>
          </w:p>
        </w:tc>
      </w:tr>
      <w:tr w14:paraId="1632CF31">
        <w:tblPrEx>
          <w:tblCellMar>
            <w:top w:w="0" w:type="dxa"/>
            <w:left w:w="108" w:type="dxa"/>
            <w:bottom w:w="0" w:type="dxa"/>
            <w:right w:w="108" w:type="dxa"/>
          </w:tblCellMar>
        </w:tblPrEx>
        <w:trPr>
          <w:trHeight w:val="525" w:hRule="atLeast"/>
        </w:trPr>
        <w:tc>
          <w:tcPr>
            <w:tcW w:w="682" w:type="dxa"/>
            <w:tcBorders>
              <w:top w:val="single" w:color="000000" w:sz="4" w:space="0"/>
              <w:left w:val="single" w:color="000000" w:sz="4" w:space="0"/>
              <w:bottom w:val="single" w:color="000000" w:sz="4" w:space="0"/>
              <w:right w:val="single" w:color="000000" w:sz="4" w:space="0"/>
            </w:tcBorders>
            <w:noWrap w:val="0"/>
            <w:vAlign w:val="center"/>
          </w:tcPr>
          <w:p w14:paraId="7B98A98D">
            <w:pPr>
              <w:spacing w:line="360" w:lineRule="auto"/>
              <w:rPr>
                <w:rFonts w:ascii="宋体" w:hAnsi="宋体"/>
                <w:color w:val="auto"/>
                <w:szCs w:val="21"/>
                <w:highlight w:val="none"/>
              </w:rPr>
            </w:pPr>
          </w:p>
        </w:tc>
        <w:tc>
          <w:tcPr>
            <w:tcW w:w="1367" w:type="dxa"/>
            <w:tcBorders>
              <w:top w:val="single" w:color="000000" w:sz="4" w:space="0"/>
              <w:left w:val="single" w:color="000000" w:sz="4" w:space="0"/>
              <w:bottom w:val="single" w:color="000000" w:sz="4" w:space="0"/>
              <w:right w:val="single" w:color="000000" w:sz="4" w:space="0"/>
            </w:tcBorders>
            <w:noWrap w:val="0"/>
            <w:vAlign w:val="center"/>
          </w:tcPr>
          <w:p w14:paraId="5559F5C2">
            <w:pPr>
              <w:spacing w:line="360" w:lineRule="auto"/>
              <w:rPr>
                <w:rFonts w:ascii="宋体" w:hAnsi="宋体"/>
                <w:color w:val="auto"/>
                <w:szCs w:val="21"/>
                <w:highlight w:val="none"/>
              </w:rPr>
            </w:pPr>
          </w:p>
        </w:tc>
        <w:tc>
          <w:tcPr>
            <w:tcW w:w="953" w:type="dxa"/>
            <w:tcBorders>
              <w:top w:val="single" w:color="000000" w:sz="4" w:space="0"/>
              <w:left w:val="single" w:color="000000" w:sz="4" w:space="0"/>
              <w:bottom w:val="single" w:color="000000" w:sz="4" w:space="0"/>
              <w:right w:val="single" w:color="000000" w:sz="4" w:space="0"/>
            </w:tcBorders>
            <w:noWrap w:val="0"/>
            <w:vAlign w:val="center"/>
          </w:tcPr>
          <w:p w14:paraId="0C0022DD">
            <w:pPr>
              <w:spacing w:line="360" w:lineRule="auto"/>
              <w:rPr>
                <w:rFonts w:ascii="宋体" w:hAnsi="宋体"/>
                <w:color w:val="auto"/>
                <w:szCs w:val="21"/>
                <w:highlight w:val="none"/>
              </w:rPr>
            </w:pPr>
          </w:p>
        </w:tc>
        <w:tc>
          <w:tcPr>
            <w:tcW w:w="953" w:type="dxa"/>
            <w:tcBorders>
              <w:top w:val="single" w:color="000000" w:sz="4" w:space="0"/>
              <w:left w:val="single" w:color="000000" w:sz="4" w:space="0"/>
              <w:bottom w:val="single" w:color="000000" w:sz="4" w:space="0"/>
              <w:right w:val="single" w:color="000000" w:sz="4" w:space="0"/>
            </w:tcBorders>
            <w:noWrap w:val="0"/>
            <w:vAlign w:val="center"/>
          </w:tcPr>
          <w:p w14:paraId="3E3079FC">
            <w:pPr>
              <w:spacing w:line="360" w:lineRule="auto"/>
              <w:rPr>
                <w:rFonts w:ascii="宋体" w:hAnsi="宋体"/>
                <w:color w:val="auto"/>
                <w:szCs w:val="21"/>
                <w:highlight w:val="none"/>
              </w:rPr>
            </w:pP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5D94D0F8">
            <w:pPr>
              <w:spacing w:line="360" w:lineRule="auto"/>
              <w:rPr>
                <w:rFonts w:ascii="宋体" w:hAnsi="宋体"/>
                <w:color w:val="auto"/>
                <w:szCs w:val="21"/>
                <w:highlight w:val="none"/>
              </w:rPr>
            </w:pP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3FB2FDBF">
            <w:pPr>
              <w:spacing w:line="360" w:lineRule="auto"/>
              <w:rPr>
                <w:rFonts w:ascii="宋体" w:hAnsi="宋体"/>
                <w:color w:val="auto"/>
                <w:szCs w:val="21"/>
                <w:highlight w:val="none"/>
              </w:rPr>
            </w:pP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854A8CA">
            <w:pPr>
              <w:spacing w:line="360" w:lineRule="auto"/>
              <w:rPr>
                <w:rFonts w:ascii="宋体" w:hAnsi="宋体"/>
                <w:color w:val="auto"/>
                <w:szCs w:val="21"/>
                <w:highlight w:val="none"/>
              </w:rPr>
            </w:pPr>
          </w:p>
        </w:tc>
        <w:tc>
          <w:tcPr>
            <w:tcW w:w="1279" w:type="dxa"/>
            <w:tcBorders>
              <w:top w:val="single" w:color="000000" w:sz="4" w:space="0"/>
              <w:left w:val="single" w:color="000000" w:sz="4" w:space="0"/>
              <w:bottom w:val="single" w:color="000000" w:sz="4" w:space="0"/>
              <w:right w:val="single" w:color="000000" w:sz="4" w:space="0"/>
            </w:tcBorders>
            <w:noWrap w:val="0"/>
            <w:vAlign w:val="center"/>
          </w:tcPr>
          <w:p w14:paraId="3C5A7086">
            <w:pPr>
              <w:spacing w:line="360" w:lineRule="auto"/>
              <w:rPr>
                <w:rFonts w:ascii="宋体" w:hAnsi="宋体"/>
                <w:color w:val="auto"/>
                <w:szCs w:val="21"/>
                <w:highlight w:val="none"/>
              </w:rPr>
            </w:pPr>
          </w:p>
        </w:tc>
      </w:tr>
    </w:tbl>
    <w:p w14:paraId="59F8415C">
      <w:pPr>
        <w:rPr>
          <w:rFonts w:ascii="黑体" w:hAnsi="Arial" w:eastAsia="黑体"/>
          <w:color w:val="auto"/>
          <w:sz w:val="32"/>
          <w:highlight w:val="none"/>
        </w:rPr>
      </w:pPr>
    </w:p>
    <w:p w14:paraId="1B95185A">
      <w:pPr>
        <w:jc w:val="center"/>
        <w:rPr>
          <w:rFonts w:ascii="黑体" w:hAnsi="Arial" w:eastAsia="黑体"/>
          <w:b/>
          <w:color w:val="auto"/>
          <w:sz w:val="36"/>
          <w:highlight w:val="none"/>
        </w:rPr>
      </w:pPr>
    </w:p>
    <w:p w14:paraId="6C336754">
      <w:pPr>
        <w:rPr>
          <w:rFonts w:hint="eastAsia" w:ascii="宋体" w:hAnsi="宋体" w:eastAsia="宋体" w:cs="宋体"/>
          <w:color w:val="auto"/>
          <w:highlight w:val="none"/>
          <w:lang w:val="en-US" w:eastAsia="zh-CN"/>
        </w:rPr>
      </w:pPr>
    </w:p>
    <w:p w14:paraId="5B7BB335">
      <w:pPr>
        <w:rPr>
          <w:rFonts w:hint="eastAsia" w:ascii="宋体" w:hAnsi="宋体" w:eastAsia="宋体" w:cs="宋体"/>
          <w:color w:val="auto"/>
          <w:highlight w:val="none"/>
          <w:lang w:val="en-US" w:eastAsia="zh-CN"/>
        </w:rPr>
      </w:pPr>
    </w:p>
    <w:p w14:paraId="283B61E9">
      <w:pPr>
        <w:pStyle w:val="3"/>
        <w:rPr>
          <w:rFonts w:hint="eastAsia" w:ascii="宋体" w:hAnsi="宋体" w:eastAsia="宋体" w:cs="宋体"/>
          <w:color w:val="auto"/>
          <w:highlight w:val="none"/>
          <w:lang w:val="en-US" w:eastAsia="zh-CN"/>
        </w:rPr>
        <w:sectPr>
          <w:pgSz w:w="11906" w:h="16838"/>
          <w:pgMar w:top="1440" w:right="1800" w:bottom="1440" w:left="1800" w:header="851" w:footer="992" w:gutter="0"/>
          <w:cols w:space="720" w:num="1"/>
          <w:docGrid w:linePitch="360" w:charSpace="0"/>
        </w:sectPr>
      </w:pPr>
    </w:p>
    <w:p w14:paraId="5A3943FA">
      <w:pPr>
        <w:pStyle w:val="3"/>
        <w:rPr>
          <w:rFonts w:hint="eastAsia" w:ascii="宋体" w:hAnsi="宋体" w:eastAsia="宋体" w:cs="宋体"/>
          <w:color w:val="auto"/>
          <w:sz w:val="36"/>
          <w:szCs w:val="36"/>
          <w:highlight w:val="none"/>
          <w:lang w:val="en-US" w:eastAsia="zh-CN"/>
        </w:rPr>
      </w:pPr>
      <w:r>
        <w:rPr>
          <w:rFonts w:hint="eastAsia" w:ascii="宋体" w:hAnsi="宋体" w:eastAsia="宋体" w:cs="宋体"/>
          <w:color w:val="auto"/>
          <w:sz w:val="36"/>
          <w:szCs w:val="36"/>
          <w:highlight w:val="none"/>
          <w:lang w:val="en-US" w:eastAsia="zh-CN"/>
        </w:rPr>
        <w:t>六、商务条款响应及偏离表</w:t>
      </w:r>
    </w:p>
    <w:p w14:paraId="43C0410A">
      <w:pPr>
        <w:keepNext w:val="0"/>
        <w:keepLines w:val="0"/>
        <w:pageBreakBefore w:val="0"/>
        <w:widowControl w:val="0"/>
        <w:numPr>
          <w:ilvl w:val="0"/>
          <w:numId w:val="0"/>
        </w:numPr>
        <w:spacing w:line="360" w:lineRule="auto"/>
        <w:rPr>
          <w:rFonts w:hint="eastAsia" w:ascii="宋体" w:hAnsi="宋体" w:eastAsia="宋体" w:cs="宋体"/>
          <w:color w:val="auto"/>
          <w:highlight w:val="none"/>
        </w:rPr>
      </w:pPr>
      <w:r>
        <w:rPr>
          <w:rFonts w:hint="eastAsia" w:ascii="宋体" w:hAnsi="宋体"/>
          <w:color w:val="auto"/>
          <w:highlight w:val="none"/>
        </w:rPr>
        <w:t>投标人全称（加盖CA电子签章）：</w:t>
      </w:r>
    </w:p>
    <w:p w14:paraId="52936425">
      <w:pPr>
        <w:keepNext w:val="0"/>
        <w:keepLines w:val="0"/>
        <w:pageBreakBefore w:val="0"/>
        <w:widowControl w:val="0"/>
        <w:numPr>
          <w:ilvl w:val="0"/>
          <w:numId w:val="0"/>
        </w:num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项目名称：</w:t>
      </w:r>
    </w:p>
    <w:p w14:paraId="20FDA7BD">
      <w:pPr>
        <w:keepNext w:val="0"/>
        <w:keepLines w:val="0"/>
        <w:pageBreakBefore w:val="0"/>
        <w:widowControl w:val="0"/>
        <w:numPr>
          <w:ilvl w:val="0"/>
          <w:numId w:val="0"/>
        </w:num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项目编号：</w:t>
      </w:r>
    </w:p>
    <w:p w14:paraId="7F57AED1">
      <w:pPr>
        <w:numPr>
          <w:ilvl w:val="0"/>
          <w:numId w:val="0"/>
        </w:numPr>
        <w:rPr>
          <w:rFonts w:hint="eastAsia"/>
          <w:color w:val="auto"/>
          <w:highlight w:val="none"/>
        </w:rPr>
      </w:pPr>
    </w:p>
    <w:tbl>
      <w:tblPr>
        <w:tblStyle w:val="36"/>
        <w:tblW w:w="8959"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38"/>
        <w:gridCol w:w="2502"/>
        <w:gridCol w:w="1837"/>
        <w:gridCol w:w="2982"/>
      </w:tblGrid>
      <w:tr w14:paraId="41735A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638" w:type="dxa"/>
            <w:tcBorders>
              <w:top w:val="single" w:color="auto" w:sz="4" w:space="0"/>
              <w:left w:val="single" w:color="auto" w:sz="4" w:space="0"/>
              <w:bottom w:val="single" w:color="auto" w:sz="4" w:space="0"/>
              <w:right w:val="single" w:color="auto" w:sz="4" w:space="0"/>
            </w:tcBorders>
            <w:noWrap w:val="0"/>
            <w:vAlign w:val="top"/>
          </w:tcPr>
          <w:p w14:paraId="121D8A77">
            <w:pPr>
              <w:spacing w:before="156"/>
              <w:jc w:val="center"/>
              <w:rPr>
                <w:rFonts w:ascii="仿宋_GB2312" w:hAnsi="宋体" w:eastAsia="仿宋_GB2312"/>
                <w:color w:val="auto"/>
                <w:szCs w:val="21"/>
                <w:highlight w:val="none"/>
              </w:rPr>
            </w:pPr>
            <w:bookmarkStart w:id="677" w:name="_Hlt26580838"/>
            <w:bookmarkEnd w:id="677"/>
            <w:bookmarkStart w:id="678" w:name="_Hlt24879081"/>
            <w:bookmarkEnd w:id="678"/>
            <w:bookmarkStart w:id="679" w:name="_Hlt26782999"/>
            <w:bookmarkEnd w:id="679"/>
            <w:bookmarkStart w:id="680" w:name="_Hlt26671343"/>
            <w:bookmarkEnd w:id="680"/>
            <w:bookmarkStart w:id="681" w:name="_Hlt26609391"/>
            <w:bookmarkEnd w:id="681"/>
            <w:bookmarkStart w:id="682" w:name="_Hlt26955064"/>
            <w:bookmarkEnd w:id="682"/>
            <w:bookmarkStart w:id="683" w:name="_Hlt26955056"/>
            <w:bookmarkEnd w:id="683"/>
            <w:bookmarkStart w:id="684" w:name="_Hlt26671372"/>
            <w:bookmarkEnd w:id="684"/>
            <w:r>
              <w:rPr>
                <w:rFonts w:hint="eastAsia" w:ascii="仿宋_GB2312" w:hAnsi="宋体" w:eastAsia="宋体"/>
                <w:color w:val="auto"/>
                <w:szCs w:val="21"/>
                <w:highlight w:val="none"/>
              </w:rPr>
              <w:t>项目</w:t>
            </w:r>
          </w:p>
        </w:tc>
        <w:tc>
          <w:tcPr>
            <w:tcW w:w="2502" w:type="dxa"/>
            <w:tcBorders>
              <w:top w:val="single" w:color="auto" w:sz="4" w:space="0"/>
              <w:left w:val="single" w:color="auto" w:sz="4" w:space="0"/>
              <w:bottom w:val="single" w:color="auto" w:sz="4" w:space="0"/>
              <w:right w:val="single" w:color="auto" w:sz="4" w:space="0"/>
            </w:tcBorders>
            <w:noWrap w:val="0"/>
            <w:vAlign w:val="top"/>
          </w:tcPr>
          <w:p w14:paraId="1D517B19">
            <w:pPr>
              <w:spacing w:before="156"/>
              <w:jc w:val="center"/>
              <w:rPr>
                <w:rFonts w:ascii="仿宋_GB2312" w:hAnsi="宋体" w:eastAsia="仿宋_GB2312"/>
                <w:color w:val="auto"/>
                <w:szCs w:val="21"/>
                <w:highlight w:val="none"/>
              </w:rPr>
            </w:pPr>
            <w:r>
              <w:rPr>
                <w:rFonts w:hint="eastAsia" w:ascii="仿宋_GB2312" w:hAnsi="宋体" w:eastAsia="宋体"/>
                <w:color w:val="auto"/>
                <w:szCs w:val="21"/>
                <w:highlight w:val="none"/>
              </w:rPr>
              <w:t>招标文件要求</w:t>
            </w:r>
          </w:p>
        </w:tc>
        <w:tc>
          <w:tcPr>
            <w:tcW w:w="1837" w:type="dxa"/>
            <w:tcBorders>
              <w:top w:val="single" w:color="auto" w:sz="4" w:space="0"/>
              <w:left w:val="single" w:color="auto" w:sz="4" w:space="0"/>
              <w:bottom w:val="single" w:color="auto" w:sz="4" w:space="0"/>
              <w:right w:val="single" w:color="auto" w:sz="4" w:space="0"/>
            </w:tcBorders>
            <w:noWrap w:val="0"/>
            <w:vAlign w:val="top"/>
          </w:tcPr>
          <w:p w14:paraId="71FD89E5">
            <w:pPr>
              <w:spacing w:before="156"/>
              <w:jc w:val="center"/>
              <w:rPr>
                <w:rFonts w:ascii="仿宋_GB2312" w:hAnsi="宋体" w:eastAsia="仿宋_GB2312"/>
                <w:color w:val="auto"/>
                <w:szCs w:val="21"/>
                <w:highlight w:val="none"/>
              </w:rPr>
            </w:pPr>
            <w:r>
              <w:rPr>
                <w:rFonts w:hint="eastAsia" w:ascii="仿宋_GB2312" w:hAnsi="宋体" w:eastAsia="宋体"/>
                <w:color w:val="auto"/>
                <w:szCs w:val="21"/>
                <w:highlight w:val="none"/>
              </w:rPr>
              <w:t>是否响应</w:t>
            </w:r>
          </w:p>
        </w:tc>
        <w:tc>
          <w:tcPr>
            <w:tcW w:w="2982" w:type="dxa"/>
            <w:tcBorders>
              <w:top w:val="single" w:color="auto" w:sz="4" w:space="0"/>
              <w:left w:val="single" w:color="auto" w:sz="4" w:space="0"/>
              <w:bottom w:val="single" w:color="auto" w:sz="4" w:space="0"/>
              <w:right w:val="single" w:color="auto" w:sz="4" w:space="0"/>
            </w:tcBorders>
            <w:noWrap w:val="0"/>
            <w:vAlign w:val="top"/>
          </w:tcPr>
          <w:p w14:paraId="0F8EB56F">
            <w:pPr>
              <w:spacing w:before="156"/>
              <w:jc w:val="center"/>
              <w:rPr>
                <w:rFonts w:ascii="仿宋_GB2312" w:hAnsi="宋体" w:eastAsia="仿宋_GB2312"/>
                <w:color w:val="auto"/>
                <w:szCs w:val="21"/>
                <w:highlight w:val="none"/>
              </w:rPr>
            </w:pPr>
            <w:r>
              <w:rPr>
                <w:rFonts w:hint="eastAsia" w:ascii="仿宋_GB2312" w:hAnsi="宋体" w:eastAsia="宋体"/>
                <w:color w:val="auto"/>
                <w:szCs w:val="21"/>
                <w:highlight w:val="none"/>
              </w:rPr>
              <w:t>投标人的承诺或说明</w:t>
            </w:r>
          </w:p>
        </w:tc>
      </w:tr>
      <w:tr w14:paraId="2420EC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638" w:type="dxa"/>
            <w:tcBorders>
              <w:top w:val="single" w:color="auto" w:sz="4" w:space="0"/>
              <w:left w:val="single" w:color="auto" w:sz="4" w:space="0"/>
              <w:bottom w:val="single" w:color="auto" w:sz="4" w:space="0"/>
              <w:right w:val="single" w:color="auto" w:sz="4" w:space="0"/>
            </w:tcBorders>
            <w:noWrap w:val="0"/>
            <w:vAlign w:val="top"/>
          </w:tcPr>
          <w:p w14:paraId="4BAD0A68">
            <w:pPr>
              <w:spacing w:before="156"/>
              <w:jc w:val="center"/>
              <w:rPr>
                <w:rFonts w:hint="default" w:ascii="仿宋_GB2312" w:hAnsi="Calibri" w:eastAsia="宋体" w:cs="Times New Roman"/>
                <w:color w:val="auto"/>
                <w:sz w:val="21"/>
                <w:szCs w:val="21"/>
                <w:highlight w:val="none"/>
                <w:lang w:val="en-US" w:eastAsia="zh-CN" w:bidi="ar-SA"/>
              </w:rPr>
            </w:pPr>
            <w:r>
              <w:rPr>
                <w:rFonts w:hint="default" w:ascii="仿宋_GB2312" w:hAnsi="Calibri" w:eastAsia="宋体" w:cs="Times New Roman"/>
                <w:color w:val="auto"/>
                <w:sz w:val="21"/>
                <w:szCs w:val="21"/>
                <w:highlight w:val="none"/>
                <w:lang w:val="en-US" w:eastAsia="zh-CN" w:bidi="ar-SA"/>
              </w:rPr>
              <w:t>服务时间</w:t>
            </w:r>
          </w:p>
        </w:tc>
        <w:tc>
          <w:tcPr>
            <w:tcW w:w="2502" w:type="dxa"/>
            <w:tcBorders>
              <w:top w:val="single" w:color="auto" w:sz="4" w:space="0"/>
              <w:left w:val="single" w:color="auto" w:sz="4" w:space="0"/>
              <w:bottom w:val="single" w:color="auto" w:sz="4" w:space="0"/>
              <w:right w:val="single" w:color="auto" w:sz="4" w:space="0"/>
            </w:tcBorders>
            <w:noWrap w:val="0"/>
            <w:vAlign w:val="top"/>
          </w:tcPr>
          <w:p w14:paraId="5A786935">
            <w:pPr>
              <w:spacing w:before="156"/>
              <w:rPr>
                <w:rFonts w:ascii="仿宋_GB2312" w:hAnsi="宋体" w:eastAsia="宋体"/>
                <w:color w:val="auto"/>
                <w:szCs w:val="21"/>
                <w:highlight w:val="none"/>
              </w:rPr>
            </w:pPr>
          </w:p>
        </w:tc>
        <w:tc>
          <w:tcPr>
            <w:tcW w:w="1837" w:type="dxa"/>
            <w:tcBorders>
              <w:top w:val="single" w:color="auto" w:sz="4" w:space="0"/>
              <w:left w:val="single" w:color="auto" w:sz="4" w:space="0"/>
              <w:bottom w:val="single" w:color="auto" w:sz="4" w:space="0"/>
              <w:right w:val="single" w:color="auto" w:sz="4" w:space="0"/>
            </w:tcBorders>
            <w:noWrap w:val="0"/>
            <w:vAlign w:val="top"/>
          </w:tcPr>
          <w:p w14:paraId="107FC1B4">
            <w:pPr>
              <w:spacing w:before="156"/>
              <w:ind w:left="43"/>
              <w:jc w:val="center"/>
              <w:rPr>
                <w:rFonts w:ascii="仿宋_GB2312" w:hAnsi="宋体" w:eastAsia="仿宋_GB2312"/>
                <w:color w:val="auto"/>
                <w:szCs w:val="21"/>
                <w:highlight w:val="none"/>
              </w:rPr>
            </w:pPr>
          </w:p>
        </w:tc>
        <w:tc>
          <w:tcPr>
            <w:tcW w:w="2982" w:type="dxa"/>
            <w:tcBorders>
              <w:top w:val="single" w:color="auto" w:sz="4" w:space="0"/>
              <w:left w:val="single" w:color="auto" w:sz="4" w:space="0"/>
              <w:bottom w:val="single" w:color="auto" w:sz="4" w:space="0"/>
              <w:right w:val="single" w:color="auto" w:sz="4" w:space="0"/>
            </w:tcBorders>
            <w:noWrap w:val="0"/>
            <w:vAlign w:val="top"/>
          </w:tcPr>
          <w:p w14:paraId="6E8D63B0">
            <w:pPr>
              <w:spacing w:before="156"/>
              <w:ind w:left="43"/>
              <w:jc w:val="center"/>
              <w:rPr>
                <w:rFonts w:ascii="仿宋_GB2312" w:hAnsi="宋体" w:eastAsia="仿宋_GB2312"/>
                <w:color w:val="auto"/>
                <w:szCs w:val="21"/>
                <w:highlight w:val="none"/>
              </w:rPr>
            </w:pPr>
          </w:p>
        </w:tc>
      </w:tr>
      <w:tr w14:paraId="692D69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638" w:type="dxa"/>
            <w:tcBorders>
              <w:top w:val="single" w:color="auto" w:sz="4" w:space="0"/>
              <w:left w:val="single" w:color="auto" w:sz="4" w:space="0"/>
              <w:bottom w:val="single" w:color="auto" w:sz="4" w:space="0"/>
              <w:right w:val="single" w:color="auto" w:sz="4" w:space="0"/>
            </w:tcBorders>
            <w:noWrap w:val="0"/>
            <w:vAlign w:val="top"/>
          </w:tcPr>
          <w:p w14:paraId="233DE7BF">
            <w:pPr>
              <w:spacing w:before="156"/>
              <w:jc w:val="center"/>
              <w:rPr>
                <w:rFonts w:hint="eastAsia" w:ascii="仿宋_GB2312" w:hAnsi="Calibri" w:eastAsia="宋体" w:cs="Times New Roman"/>
                <w:color w:val="auto"/>
                <w:sz w:val="21"/>
                <w:szCs w:val="21"/>
                <w:highlight w:val="none"/>
                <w:lang w:val="en-US" w:eastAsia="zh-CN" w:bidi="ar-SA"/>
              </w:rPr>
            </w:pPr>
            <w:r>
              <w:rPr>
                <w:rFonts w:hint="eastAsia" w:ascii="仿宋_GB2312" w:hAnsi="Calibri" w:eastAsia="宋体" w:cs="Times New Roman"/>
                <w:color w:val="auto"/>
                <w:sz w:val="21"/>
                <w:szCs w:val="21"/>
                <w:highlight w:val="none"/>
                <w:lang w:val="en-US" w:eastAsia="zh-CN" w:bidi="ar-SA"/>
              </w:rPr>
              <w:t>服务地点</w:t>
            </w:r>
          </w:p>
        </w:tc>
        <w:tc>
          <w:tcPr>
            <w:tcW w:w="2502" w:type="dxa"/>
            <w:tcBorders>
              <w:top w:val="single" w:color="auto" w:sz="4" w:space="0"/>
              <w:left w:val="single" w:color="auto" w:sz="4" w:space="0"/>
              <w:bottom w:val="single" w:color="auto" w:sz="4" w:space="0"/>
              <w:right w:val="single" w:color="auto" w:sz="4" w:space="0"/>
            </w:tcBorders>
            <w:noWrap w:val="0"/>
            <w:vAlign w:val="top"/>
          </w:tcPr>
          <w:p w14:paraId="46B32997">
            <w:pPr>
              <w:spacing w:before="156"/>
              <w:rPr>
                <w:rFonts w:ascii="仿宋_GB2312" w:hAnsi="宋体" w:eastAsia="宋体"/>
                <w:color w:val="auto"/>
                <w:szCs w:val="21"/>
                <w:highlight w:val="none"/>
              </w:rPr>
            </w:pPr>
          </w:p>
        </w:tc>
        <w:tc>
          <w:tcPr>
            <w:tcW w:w="1837" w:type="dxa"/>
            <w:tcBorders>
              <w:top w:val="single" w:color="auto" w:sz="4" w:space="0"/>
              <w:left w:val="single" w:color="auto" w:sz="4" w:space="0"/>
              <w:bottom w:val="single" w:color="auto" w:sz="4" w:space="0"/>
              <w:right w:val="single" w:color="auto" w:sz="4" w:space="0"/>
            </w:tcBorders>
            <w:noWrap w:val="0"/>
            <w:vAlign w:val="top"/>
          </w:tcPr>
          <w:p w14:paraId="2D46FC0B">
            <w:pPr>
              <w:spacing w:before="156"/>
              <w:ind w:left="43"/>
              <w:jc w:val="center"/>
              <w:rPr>
                <w:rFonts w:ascii="仿宋_GB2312" w:hAnsi="宋体" w:eastAsia="仿宋_GB2312"/>
                <w:color w:val="auto"/>
                <w:szCs w:val="21"/>
                <w:highlight w:val="none"/>
              </w:rPr>
            </w:pPr>
          </w:p>
        </w:tc>
        <w:tc>
          <w:tcPr>
            <w:tcW w:w="2982" w:type="dxa"/>
            <w:tcBorders>
              <w:top w:val="single" w:color="auto" w:sz="4" w:space="0"/>
              <w:left w:val="single" w:color="auto" w:sz="4" w:space="0"/>
              <w:bottom w:val="single" w:color="auto" w:sz="4" w:space="0"/>
              <w:right w:val="single" w:color="auto" w:sz="4" w:space="0"/>
            </w:tcBorders>
            <w:noWrap w:val="0"/>
            <w:vAlign w:val="top"/>
          </w:tcPr>
          <w:p w14:paraId="1414B051">
            <w:pPr>
              <w:spacing w:before="156"/>
              <w:ind w:left="43"/>
              <w:jc w:val="center"/>
              <w:rPr>
                <w:rFonts w:ascii="仿宋_GB2312" w:hAnsi="宋体" w:eastAsia="仿宋_GB2312"/>
                <w:color w:val="auto"/>
                <w:szCs w:val="21"/>
                <w:highlight w:val="none"/>
              </w:rPr>
            </w:pPr>
          </w:p>
        </w:tc>
      </w:tr>
      <w:tr w14:paraId="04318C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63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44E88869">
            <w:pPr>
              <w:spacing w:before="156"/>
              <w:jc w:val="center"/>
              <w:rPr>
                <w:rFonts w:hint="eastAsia" w:ascii="仿宋_GB2312" w:hAnsi="Calibri" w:eastAsia="宋体" w:cs="Times New Roman"/>
                <w:color w:val="auto"/>
                <w:sz w:val="21"/>
                <w:szCs w:val="21"/>
                <w:highlight w:val="none"/>
                <w:lang w:val="en-US" w:eastAsia="zh-CN" w:bidi="ar-SA"/>
              </w:rPr>
            </w:pPr>
            <w:r>
              <w:rPr>
                <w:rFonts w:hint="eastAsia" w:ascii="仿宋_GB2312" w:hAnsi="Calibri" w:eastAsia="宋体" w:cs="Times New Roman"/>
                <w:color w:val="auto"/>
                <w:sz w:val="21"/>
                <w:szCs w:val="21"/>
                <w:highlight w:val="none"/>
                <w:lang w:val="en-US" w:eastAsia="zh-CN" w:bidi="ar-SA"/>
              </w:rPr>
              <w:t>付款方式</w:t>
            </w:r>
          </w:p>
        </w:tc>
        <w:tc>
          <w:tcPr>
            <w:tcW w:w="2502" w:type="dxa"/>
            <w:tcBorders>
              <w:top w:val="single" w:color="auto" w:sz="4" w:space="0"/>
              <w:left w:val="single" w:color="auto" w:sz="4" w:space="0"/>
              <w:bottom w:val="single" w:color="auto" w:sz="4" w:space="0"/>
              <w:right w:val="single" w:color="auto" w:sz="4" w:space="0"/>
            </w:tcBorders>
            <w:noWrap w:val="0"/>
            <w:vAlign w:val="top"/>
          </w:tcPr>
          <w:p w14:paraId="5C206588">
            <w:pPr>
              <w:spacing w:before="156"/>
              <w:rPr>
                <w:rFonts w:ascii="仿宋_GB2312" w:hAnsi="宋体" w:eastAsia="宋体"/>
                <w:color w:val="auto"/>
                <w:szCs w:val="21"/>
                <w:highlight w:val="none"/>
              </w:rPr>
            </w:pPr>
          </w:p>
        </w:tc>
        <w:tc>
          <w:tcPr>
            <w:tcW w:w="1837" w:type="dxa"/>
            <w:tcBorders>
              <w:top w:val="single" w:color="auto" w:sz="4" w:space="0"/>
              <w:left w:val="single" w:color="auto" w:sz="4" w:space="0"/>
              <w:bottom w:val="single" w:color="auto" w:sz="4" w:space="0"/>
              <w:right w:val="single" w:color="auto" w:sz="4" w:space="0"/>
            </w:tcBorders>
            <w:noWrap w:val="0"/>
            <w:vAlign w:val="top"/>
          </w:tcPr>
          <w:p w14:paraId="6E459DEE">
            <w:pPr>
              <w:spacing w:before="156"/>
              <w:ind w:left="43"/>
              <w:jc w:val="center"/>
              <w:rPr>
                <w:rFonts w:ascii="仿宋_GB2312" w:hAnsi="宋体" w:eastAsia="仿宋_GB2312"/>
                <w:color w:val="auto"/>
                <w:szCs w:val="21"/>
                <w:highlight w:val="none"/>
              </w:rPr>
            </w:pPr>
          </w:p>
        </w:tc>
        <w:tc>
          <w:tcPr>
            <w:tcW w:w="2982" w:type="dxa"/>
            <w:tcBorders>
              <w:top w:val="single" w:color="auto" w:sz="4" w:space="0"/>
              <w:left w:val="single" w:color="auto" w:sz="4" w:space="0"/>
              <w:bottom w:val="single" w:color="auto" w:sz="4" w:space="0"/>
              <w:right w:val="single" w:color="auto" w:sz="4" w:space="0"/>
            </w:tcBorders>
            <w:noWrap w:val="0"/>
            <w:vAlign w:val="top"/>
          </w:tcPr>
          <w:p w14:paraId="55BBAF66">
            <w:pPr>
              <w:spacing w:before="156"/>
              <w:ind w:left="43"/>
              <w:jc w:val="center"/>
              <w:rPr>
                <w:rFonts w:ascii="仿宋_GB2312" w:hAnsi="宋体" w:eastAsia="仿宋_GB2312"/>
                <w:color w:val="auto"/>
                <w:szCs w:val="21"/>
                <w:highlight w:val="none"/>
              </w:rPr>
            </w:pPr>
          </w:p>
        </w:tc>
      </w:tr>
      <w:tr w14:paraId="1C77FF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63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3F7B2BCC">
            <w:pPr>
              <w:spacing w:before="156"/>
              <w:jc w:val="center"/>
              <w:rPr>
                <w:rFonts w:hint="default" w:ascii="仿宋_GB2312" w:hAnsi="Calibri" w:eastAsia="宋体" w:cs="Times New Roman"/>
                <w:color w:val="auto"/>
                <w:sz w:val="21"/>
                <w:szCs w:val="21"/>
                <w:highlight w:val="none"/>
                <w:lang w:val="en-US" w:eastAsia="zh-CN" w:bidi="ar-SA"/>
              </w:rPr>
            </w:pPr>
            <w:r>
              <w:rPr>
                <w:rFonts w:hint="eastAsia" w:ascii="仿宋_GB2312" w:hAnsi="Calibri" w:eastAsia="宋体" w:cs="Times New Roman"/>
                <w:color w:val="auto"/>
                <w:sz w:val="21"/>
                <w:szCs w:val="21"/>
                <w:highlight w:val="none"/>
                <w:lang w:val="en-US" w:eastAsia="zh-CN" w:bidi="ar-SA"/>
              </w:rPr>
              <w:t>其他</w:t>
            </w:r>
          </w:p>
        </w:tc>
        <w:tc>
          <w:tcPr>
            <w:tcW w:w="2502" w:type="dxa"/>
            <w:tcBorders>
              <w:top w:val="single" w:color="auto" w:sz="4" w:space="0"/>
              <w:left w:val="single" w:color="auto" w:sz="4" w:space="0"/>
              <w:bottom w:val="single" w:color="auto" w:sz="4" w:space="0"/>
              <w:right w:val="single" w:color="auto" w:sz="4" w:space="0"/>
            </w:tcBorders>
            <w:noWrap w:val="0"/>
            <w:vAlign w:val="top"/>
          </w:tcPr>
          <w:p w14:paraId="043FA3CB">
            <w:pPr>
              <w:spacing w:before="156"/>
              <w:rPr>
                <w:rFonts w:ascii="仿宋_GB2312" w:hAnsi="宋体" w:eastAsia="宋体"/>
                <w:color w:val="auto"/>
                <w:szCs w:val="21"/>
                <w:highlight w:val="none"/>
              </w:rPr>
            </w:pPr>
          </w:p>
        </w:tc>
        <w:tc>
          <w:tcPr>
            <w:tcW w:w="1837" w:type="dxa"/>
            <w:tcBorders>
              <w:top w:val="single" w:color="auto" w:sz="4" w:space="0"/>
              <w:left w:val="single" w:color="auto" w:sz="4" w:space="0"/>
              <w:bottom w:val="single" w:color="auto" w:sz="4" w:space="0"/>
              <w:right w:val="single" w:color="auto" w:sz="4" w:space="0"/>
            </w:tcBorders>
            <w:noWrap w:val="0"/>
            <w:vAlign w:val="top"/>
          </w:tcPr>
          <w:p w14:paraId="3C63AAAD">
            <w:pPr>
              <w:spacing w:before="156"/>
              <w:ind w:left="43"/>
              <w:jc w:val="center"/>
              <w:rPr>
                <w:rFonts w:ascii="仿宋_GB2312" w:hAnsi="宋体" w:eastAsia="仿宋_GB2312"/>
                <w:color w:val="auto"/>
                <w:szCs w:val="21"/>
                <w:highlight w:val="none"/>
              </w:rPr>
            </w:pPr>
          </w:p>
        </w:tc>
        <w:tc>
          <w:tcPr>
            <w:tcW w:w="2982" w:type="dxa"/>
            <w:tcBorders>
              <w:top w:val="single" w:color="auto" w:sz="4" w:space="0"/>
              <w:left w:val="single" w:color="auto" w:sz="4" w:space="0"/>
              <w:bottom w:val="single" w:color="auto" w:sz="4" w:space="0"/>
              <w:right w:val="single" w:color="auto" w:sz="4" w:space="0"/>
            </w:tcBorders>
            <w:noWrap w:val="0"/>
            <w:vAlign w:val="top"/>
          </w:tcPr>
          <w:p w14:paraId="68B3232C">
            <w:pPr>
              <w:spacing w:before="156"/>
              <w:ind w:left="43"/>
              <w:jc w:val="center"/>
              <w:rPr>
                <w:rFonts w:ascii="仿宋_GB2312" w:hAnsi="宋体" w:eastAsia="仿宋_GB2312"/>
                <w:color w:val="auto"/>
                <w:szCs w:val="21"/>
                <w:highlight w:val="none"/>
              </w:rPr>
            </w:pPr>
          </w:p>
        </w:tc>
      </w:tr>
      <w:tr w14:paraId="011880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63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3D89ABAB">
            <w:pPr>
              <w:spacing w:before="156"/>
              <w:jc w:val="center"/>
              <w:rPr>
                <w:rFonts w:hint="default" w:ascii="仿宋_GB2312" w:hAnsi="Calibri" w:eastAsia="宋体" w:cs="Times New Roman"/>
                <w:color w:val="auto"/>
                <w:sz w:val="21"/>
                <w:szCs w:val="21"/>
                <w:highlight w:val="none"/>
                <w:lang w:val="en-US" w:eastAsia="zh-CN" w:bidi="ar-SA"/>
              </w:rPr>
            </w:pPr>
            <w:r>
              <w:rPr>
                <w:rFonts w:hint="default" w:ascii="仿宋_GB2312" w:hAnsi="Calibri" w:eastAsia="宋体" w:cs="Times New Roman"/>
                <w:color w:val="auto"/>
                <w:sz w:val="21"/>
                <w:szCs w:val="21"/>
                <w:highlight w:val="none"/>
                <w:lang w:val="en-US" w:eastAsia="zh-CN" w:bidi="ar-SA"/>
              </w:rPr>
              <w:t>……</w:t>
            </w:r>
          </w:p>
        </w:tc>
        <w:tc>
          <w:tcPr>
            <w:tcW w:w="2502" w:type="dxa"/>
            <w:tcBorders>
              <w:top w:val="single" w:color="auto" w:sz="4" w:space="0"/>
              <w:left w:val="single" w:color="auto" w:sz="4" w:space="0"/>
              <w:bottom w:val="single" w:color="auto" w:sz="4" w:space="0"/>
              <w:right w:val="single" w:color="auto" w:sz="4" w:space="0"/>
            </w:tcBorders>
            <w:noWrap w:val="0"/>
            <w:vAlign w:val="top"/>
          </w:tcPr>
          <w:p w14:paraId="3E46EAEA">
            <w:pPr>
              <w:spacing w:before="156"/>
              <w:rPr>
                <w:rFonts w:ascii="仿宋_GB2312" w:hAnsi="宋体" w:eastAsia="宋体"/>
                <w:color w:val="auto"/>
                <w:szCs w:val="21"/>
                <w:highlight w:val="none"/>
              </w:rPr>
            </w:pPr>
          </w:p>
        </w:tc>
        <w:tc>
          <w:tcPr>
            <w:tcW w:w="1837" w:type="dxa"/>
            <w:tcBorders>
              <w:top w:val="single" w:color="auto" w:sz="4" w:space="0"/>
              <w:left w:val="single" w:color="auto" w:sz="4" w:space="0"/>
              <w:bottom w:val="single" w:color="auto" w:sz="4" w:space="0"/>
              <w:right w:val="single" w:color="auto" w:sz="4" w:space="0"/>
            </w:tcBorders>
            <w:noWrap w:val="0"/>
            <w:vAlign w:val="top"/>
          </w:tcPr>
          <w:p w14:paraId="21EFE007">
            <w:pPr>
              <w:spacing w:before="156"/>
              <w:ind w:left="43"/>
              <w:jc w:val="center"/>
              <w:rPr>
                <w:rFonts w:ascii="仿宋_GB2312" w:hAnsi="宋体" w:eastAsia="仿宋_GB2312"/>
                <w:color w:val="auto"/>
                <w:szCs w:val="21"/>
                <w:highlight w:val="none"/>
              </w:rPr>
            </w:pPr>
          </w:p>
        </w:tc>
        <w:tc>
          <w:tcPr>
            <w:tcW w:w="2982" w:type="dxa"/>
            <w:tcBorders>
              <w:top w:val="single" w:color="auto" w:sz="4" w:space="0"/>
              <w:left w:val="single" w:color="auto" w:sz="4" w:space="0"/>
              <w:bottom w:val="single" w:color="auto" w:sz="4" w:space="0"/>
              <w:right w:val="single" w:color="auto" w:sz="4" w:space="0"/>
            </w:tcBorders>
            <w:noWrap w:val="0"/>
            <w:vAlign w:val="top"/>
          </w:tcPr>
          <w:p w14:paraId="33CA2717">
            <w:pPr>
              <w:spacing w:before="156"/>
              <w:ind w:left="43"/>
              <w:jc w:val="center"/>
              <w:rPr>
                <w:rFonts w:ascii="仿宋_GB2312" w:hAnsi="宋体" w:eastAsia="仿宋_GB2312"/>
                <w:color w:val="auto"/>
                <w:szCs w:val="21"/>
                <w:highlight w:val="none"/>
              </w:rPr>
            </w:pPr>
          </w:p>
        </w:tc>
      </w:tr>
      <w:tr w14:paraId="5A65A3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638" w:type="dxa"/>
            <w:tcBorders>
              <w:top w:val="single" w:color="auto" w:sz="4" w:space="0"/>
              <w:left w:val="single" w:color="auto" w:sz="4" w:space="0"/>
              <w:bottom w:val="single" w:color="auto" w:sz="4" w:space="0"/>
              <w:right w:val="single" w:color="auto" w:sz="4" w:space="0"/>
            </w:tcBorders>
            <w:noWrap w:val="0"/>
            <w:vAlign w:val="top"/>
          </w:tcPr>
          <w:p w14:paraId="6966AA54">
            <w:pPr>
              <w:spacing w:before="156"/>
              <w:jc w:val="center"/>
              <w:rPr>
                <w:rFonts w:hint="eastAsia" w:ascii="仿宋_GB2312" w:hAnsi="宋体" w:eastAsia="仿宋_GB2312"/>
                <w:color w:val="auto"/>
                <w:szCs w:val="21"/>
                <w:highlight w:val="none"/>
                <w:lang w:eastAsia="zh-CN"/>
              </w:rPr>
            </w:pPr>
          </w:p>
        </w:tc>
        <w:tc>
          <w:tcPr>
            <w:tcW w:w="2502" w:type="dxa"/>
            <w:tcBorders>
              <w:top w:val="single" w:color="auto" w:sz="4" w:space="0"/>
              <w:left w:val="single" w:color="auto" w:sz="4" w:space="0"/>
              <w:bottom w:val="single" w:color="auto" w:sz="4" w:space="0"/>
              <w:right w:val="single" w:color="auto" w:sz="4" w:space="0"/>
            </w:tcBorders>
            <w:noWrap w:val="0"/>
            <w:vAlign w:val="top"/>
          </w:tcPr>
          <w:p w14:paraId="349912D6">
            <w:pPr>
              <w:spacing w:before="156"/>
              <w:rPr>
                <w:rFonts w:ascii="仿宋_GB2312" w:hAnsi="宋体" w:eastAsia="仿宋_GB2312"/>
                <w:color w:val="auto"/>
                <w:szCs w:val="21"/>
                <w:highlight w:val="none"/>
              </w:rPr>
            </w:pPr>
          </w:p>
        </w:tc>
        <w:tc>
          <w:tcPr>
            <w:tcW w:w="1837" w:type="dxa"/>
            <w:tcBorders>
              <w:top w:val="single" w:color="auto" w:sz="4" w:space="0"/>
              <w:left w:val="single" w:color="auto" w:sz="4" w:space="0"/>
              <w:bottom w:val="single" w:color="auto" w:sz="4" w:space="0"/>
              <w:right w:val="single" w:color="auto" w:sz="4" w:space="0"/>
            </w:tcBorders>
            <w:noWrap w:val="0"/>
            <w:vAlign w:val="top"/>
          </w:tcPr>
          <w:p w14:paraId="34CA6755">
            <w:pPr>
              <w:spacing w:before="156"/>
              <w:jc w:val="center"/>
              <w:rPr>
                <w:rFonts w:ascii="仿宋_GB2312" w:hAnsi="宋体" w:eastAsia="仿宋_GB2312"/>
                <w:color w:val="auto"/>
                <w:szCs w:val="21"/>
                <w:highlight w:val="none"/>
              </w:rPr>
            </w:pPr>
          </w:p>
        </w:tc>
        <w:tc>
          <w:tcPr>
            <w:tcW w:w="2982" w:type="dxa"/>
            <w:tcBorders>
              <w:top w:val="single" w:color="auto" w:sz="4" w:space="0"/>
              <w:left w:val="single" w:color="auto" w:sz="4" w:space="0"/>
              <w:bottom w:val="single" w:color="auto" w:sz="4" w:space="0"/>
              <w:right w:val="single" w:color="auto" w:sz="4" w:space="0"/>
            </w:tcBorders>
            <w:noWrap w:val="0"/>
            <w:vAlign w:val="top"/>
          </w:tcPr>
          <w:p w14:paraId="0629DA1D">
            <w:pPr>
              <w:spacing w:before="156"/>
              <w:jc w:val="center"/>
              <w:rPr>
                <w:rFonts w:ascii="仿宋_GB2312" w:hAnsi="宋体" w:eastAsia="仿宋_GB2312"/>
                <w:color w:val="auto"/>
                <w:szCs w:val="21"/>
                <w:highlight w:val="none"/>
              </w:rPr>
            </w:pPr>
          </w:p>
        </w:tc>
      </w:tr>
      <w:tr w14:paraId="7B3BCB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638" w:type="dxa"/>
            <w:tcBorders>
              <w:top w:val="single" w:color="auto" w:sz="4" w:space="0"/>
              <w:left w:val="single" w:color="auto" w:sz="4" w:space="0"/>
              <w:bottom w:val="single" w:color="auto" w:sz="4" w:space="0"/>
              <w:right w:val="single" w:color="auto" w:sz="4" w:space="0"/>
            </w:tcBorders>
            <w:noWrap w:val="0"/>
            <w:vAlign w:val="top"/>
          </w:tcPr>
          <w:p w14:paraId="7EC6B8F7">
            <w:pPr>
              <w:spacing w:before="156"/>
              <w:jc w:val="center"/>
              <w:rPr>
                <w:rFonts w:hint="eastAsia" w:ascii="仿宋_GB2312" w:hAnsi="宋体" w:eastAsia="仿宋_GB2312"/>
                <w:color w:val="auto"/>
                <w:szCs w:val="21"/>
                <w:highlight w:val="none"/>
                <w:lang w:eastAsia="zh-CN"/>
              </w:rPr>
            </w:pPr>
          </w:p>
        </w:tc>
        <w:tc>
          <w:tcPr>
            <w:tcW w:w="2502" w:type="dxa"/>
            <w:tcBorders>
              <w:top w:val="single" w:color="auto" w:sz="4" w:space="0"/>
              <w:left w:val="single" w:color="auto" w:sz="4" w:space="0"/>
              <w:bottom w:val="single" w:color="auto" w:sz="4" w:space="0"/>
              <w:right w:val="single" w:color="auto" w:sz="4" w:space="0"/>
            </w:tcBorders>
            <w:noWrap w:val="0"/>
            <w:vAlign w:val="top"/>
          </w:tcPr>
          <w:p w14:paraId="18012629">
            <w:pPr>
              <w:spacing w:before="156"/>
              <w:rPr>
                <w:rFonts w:ascii="仿宋_GB2312" w:hAnsi="宋体" w:eastAsia="仿宋_GB2312"/>
                <w:color w:val="auto"/>
                <w:szCs w:val="21"/>
                <w:highlight w:val="none"/>
              </w:rPr>
            </w:pPr>
          </w:p>
        </w:tc>
        <w:tc>
          <w:tcPr>
            <w:tcW w:w="1837" w:type="dxa"/>
            <w:tcBorders>
              <w:top w:val="single" w:color="auto" w:sz="4" w:space="0"/>
              <w:left w:val="single" w:color="auto" w:sz="4" w:space="0"/>
              <w:bottom w:val="single" w:color="auto" w:sz="4" w:space="0"/>
              <w:right w:val="single" w:color="auto" w:sz="4" w:space="0"/>
            </w:tcBorders>
            <w:noWrap w:val="0"/>
            <w:vAlign w:val="top"/>
          </w:tcPr>
          <w:p w14:paraId="3161960D">
            <w:pPr>
              <w:spacing w:before="156"/>
              <w:jc w:val="center"/>
              <w:rPr>
                <w:rFonts w:ascii="仿宋_GB2312" w:hAnsi="宋体" w:eastAsia="仿宋_GB2312"/>
                <w:color w:val="auto"/>
                <w:szCs w:val="21"/>
                <w:highlight w:val="none"/>
              </w:rPr>
            </w:pPr>
          </w:p>
        </w:tc>
        <w:tc>
          <w:tcPr>
            <w:tcW w:w="2982" w:type="dxa"/>
            <w:tcBorders>
              <w:top w:val="single" w:color="auto" w:sz="4" w:space="0"/>
              <w:left w:val="single" w:color="auto" w:sz="4" w:space="0"/>
              <w:bottom w:val="single" w:color="auto" w:sz="4" w:space="0"/>
              <w:right w:val="single" w:color="auto" w:sz="4" w:space="0"/>
            </w:tcBorders>
            <w:noWrap w:val="0"/>
            <w:vAlign w:val="top"/>
          </w:tcPr>
          <w:p w14:paraId="59288A6B">
            <w:pPr>
              <w:spacing w:before="156"/>
              <w:jc w:val="center"/>
              <w:rPr>
                <w:rFonts w:ascii="仿宋_GB2312" w:hAnsi="宋体" w:eastAsia="仿宋_GB2312"/>
                <w:color w:val="auto"/>
                <w:szCs w:val="21"/>
                <w:highlight w:val="none"/>
              </w:rPr>
            </w:pPr>
          </w:p>
        </w:tc>
      </w:tr>
      <w:tr w14:paraId="1D97BA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638" w:type="dxa"/>
            <w:tcBorders>
              <w:top w:val="single" w:color="auto" w:sz="4" w:space="0"/>
              <w:left w:val="single" w:color="auto" w:sz="4" w:space="0"/>
              <w:bottom w:val="single" w:color="auto" w:sz="4" w:space="0"/>
              <w:right w:val="single" w:color="auto" w:sz="4" w:space="0"/>
            </w:tcBorders>
            <w:noWrap w:val="0"/>
            <w:vAlign w:val="top"/>
          </w:tcPr>
          <w:p w14:paraId="1BC2B9A9">
            <w:pPr>
              <w:spacing w:before="156"/>
              <w:jc w:val="center"/>
              <w:rPr>
                <w:rFonts w:hint="eastAsia" w:ascii="仿宋_GB2312" w:hAnsi="宋体" w:eastAsia="仿宋_GB2312"/>
                <w:color w:val="auto"/>
                <w:szCs w:val="21"/>
                <w:highlight w:val="none"/>
                <w:lang w:eastAsia="zh-CN"/>
              </w:rPr>
            </w:pPr>
          </w:p>
        </w:tc>
        <w:tc>
          <w:tcPr>
            <w:tcW w:w="2502" w:type="dxa"/>
            <w:tcBorders>
              <w:top w:val="single" w:color="auto" w:sz="4" w:space="0"/>
              <w:left w:val="single" w:color="auto" w:sz="4" w:space="0"/>
              <w:bottom w:val="single" w:color="auto" w:sz="4" w:space="0"/>
              <w:right w:val="single" w:color="auto" w:sz="4" w:space="0"/>
            </w:tcBorders>
            <w:noWrap w:val="0"/>
            <w:vAlign w:val="top"/>
          </w:tcPr>
          <w:p w14:paraId="68387EDF">
            <w:pPr>
              <w:spacing w:before="156"/>
              <w:rPr>
                <w:rFonts w:ascii="仿宋_GB2312" w:hAnsi="宋体" w:eastAsia="仿宋_GB2312"/>
                <w:color w:val="auto"/>
                <w:szCs w:val="21"/>
                <w:highlight w:val="none"/>
              </w:rPr>
            </w:pPr>
          </w:p>
        </w:tc>
        <w:tc>
          <w:tcPr>
            <w:tcW w:w="1837" w:type="dxa"/>
            <w:tcBorders>
              <w:top w:val="single" w:color="auto" w:sz="4" w:space="0"/>
              <w:left w:val="single" w:color="auto" w:sz="4" w:space="0"/>
              <w:bottom w:val="single" w:color="auto" w:sz="4" w:space="0"/>
              <w:right w:val="single" w:color="auto" w:sz="4" w:space="0"/>
            </w:tcBorders>
            <w:noWrap w:val="0"/>
            <w:vAlign w:val="top"/>
          </w:tcPr>
          <w:p w14:paraId="06EBD93D">
            <w:pPr>
              <w:spacing w:before="156"/>
              <w:jc w:val="center"/>
              <w:rPr>
                <w:rFonts w:ascii="仿宋_GB2312" w:hAnsi="宋体" w:eastAsia="仿宋_GB2312"/>
                <w:color w:val="auto"/>
                <w:szCs w:val="21"/>
                <w:highlight w:val="none"/>
              </w:rPr>
            </w:pPr>
          </w:p>
        </w:tc>
        <w:tc>
          <w:tcPr>
            <w:tcW w:w="2982" w:type="dxa"/>
            <w:tcBorders>
              <w:top w:val="single" w:color="auto" w:sz="4" w:space="0"/>
              <w:left w:val="single" w:color="auto" w:sz="4" w:space="0"/>
              <w:bottom w:val="single" w:color="auto" w:sz="4" w:space="0"/>
              <w:right w:val="single" w:color="auto" w:sz="4" w:space="0"/>
            </w:tcBorders>
            <w:noWrap w:val="0"/>
            <w:vAlign w:val="top"/>
          </w:tcPr>
          <w:p w14:paraId="61F90934">
            <w:pPr>
              <w:spacing w:before="156"/>
              <w:jc w:val="center"/>
              <w:rPr>
                <w:rFonts w:ascii="仿宋_GB2312" w:hAnsi="宋体" w:eastAsia="仿宋_GB2312"/>
                <w:color w:val="auto"/>
                <w:szCs w:val="21"/>
                <w:highlight w:val="none"/>
              </w:rPr>
            </w:pPr>
          </w:p>
        </w:tc>
      </w:tr>
    </w:tbl>
    <w:p w14:paraId="4B7C9D0A">
      <w:pPr>
        <w:spacing w:line="480" w:lineRule="auto"/>
        <w:rPr>
          <w:rFonts w:ascii="宋体" w:hAnsi="宋体"/>
          <w:color w:val="auto"/>
          <w:sz w:val="24"/>
          <w:highlight w:val="none"/>
        </w:rPr>
      </w:pPr>
    </w:p>
    <w:p w14:paraId="60885C04">
      <w:pPr>
        <w:spacing w:before="312" w:line="360" w:lineRule="auto"/>
        <w:jc w:val="center"/>
        <w:rPr>
          <w:rFonts w:hint="eastAsia" w:ascii="宋体" w:hAnsi="宋体"/>
          <w:b/>
          <w:color w:val="auto"/>
          <w:highlight w:val="none"/>
          <w:lang w:val="en-US" w:eastAsia="zh-CN"/>
        </w:rPr>
        <w:sectPr>
          <w:pgSz w:w="11906" w:h="16838"/>
          <w:pgMar w:top="1440" w:right="1800" w:bottom="1440" w:left="1800" w:header="851" w:footer="992" w:gutter="0"/>
          <w:cols w:space="720" w:num="1"/>
          <w:docGrid w:linePitch="360" w:charSpace="0"/>
        </w:sectPr>
      </w:pPr>
    </w:p>
    <w:p w14:paraId="7033EC42">
      <w:pPr>
        <w:pStyle w:val="3"/>
        <w:rPr>
          <w:rFonts w:hint="eastAsia" w:ascii="宋体" w:hAnsi="宋体" w:eastAsia="宋体" w:cs="宋体"/>
          <w:color w:val="auto"/>
          <w:sz w:val="36"/>
          <w:szCs w:val="36"/>
          <w:highlight w:val="none"/>
          <w:lang w:val="en-US" w:eastAsia="zh-CN"/>
        </w:rPr>
      </w:pPr>
      <w:r>
        <w:rPr>
          <w:rFonts w:hint="eastAsia" w:ascii="宋体" w:hAnsi="宋体" w:eastAsia="宋体" w:cs="宋体"/>
          <w:color w:val="auto"/>
          <w:sz w:val="36"/>
          <w:szCs w:val="36"/>
          <w:highlight w:val="none"/>
          <w:lang w:val="en-US" w:eastAsia="zh-CN"/>
        </w:rPr>
        <w:t>七、技术要求响应及偏离表</w:t>
      </w:r>
    </w:p>
    <w:p w14:paraId="72F90A83">
      <w:pPr>
        <w:pStyle w:val="3"/>
        <w:numPr>
          <w:ilvl w:val="0"/>
          <w:numId w:val="0"/>
        </w:numPr>
        <w:ind w:left="0" w:firstLine="0"/>
        <w:jc w:val="both"/>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投标人全称（加盖CA电子签章）：</w:t>
      </w:r>
    </w:p>
    <w:p w14:paraId="54480F50">
      <w:pPr>
        <w:pStyle w:val="3"/>
        <w:numPr>
          <w:ilvl w:val="0"/>
          <w:numId w:val="0"/>
        </w:numPr>
        <w:ind w:left="0" w:firstLine="0"/>
        <w:jc w:val="both"/>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项目名称：</w:t>
      </w:r>
    </w:p>
    <w:p w14:paraId="20F7A073">
      <w:pPr>
        <w:pStyle w:val="3"/>
        <w:numPr>
          <w:ilvl w:val="0"/>
          <w:numId w:val="0"/>
        </w:numPr>
        <w:ind w:left="0" w:firstLine="0"/>
        <w:jc w:val="both"/>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项目编号：</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3063"/>
        <w:gridCol w:w="3191"/>
        <w:gridCol w:w="2128"/>
      </w:tblGrid>
      <w:tr w14:paraId="0B5BB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5" w:type="dxa"/>
            <w:noWrap w:val="0"/>
            <w:vAlign w:val="center"/>
          </w:tcPr>
          <w:p w14:paraId="7D835433">
            <w:pPr>
              <w:pStyle w:val="3"/>
              <w:numPr>
                <w:ilvl w:val="0"/>
                <w:numId w:val="0"/>
              </w:numPr>
              <w:ind w:left="0" w:firstLine="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序号</w:t>
            </w:r>
          </w:p>
        </w:tc>
        <w:tc>
          <w:tcPr>
            <w:tcW w:w="3063" w:type="dxa"/>
            <w:noWrap w:val="0"/>
            <w:vAlign w:val="center"/>
          </w:tcPr>
          <w:p w14:paraId="34776A91">
            <w:pPr>
              <w:pStyle w:val="3"/>
              <w:numPr>
                <w:ilvl w:val="0"/>
                <w:numId w:val="0"/>
              </w:numPr>
              <w:ind w:left="0" w:firstLine="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技术要求</w:t>
            </w:r>
          </w:p>
        </w:tc>
        <w:tc>
          <w:tcPr>
            <w:tcW w:w="3191" w:type="dxa"/>
            <w:noWrap w:val="0"/>
            <w:vAlign w:val="center"/>
          </w:tcPr>
          <w:p w14:paraId="31C4ECAD">
            <w:pPr>
              <w:pStyle w:val="3"/>
              <w:numPr>
                <w:ilvl w:val="0"/>
                <w:numId w:val="0"/>
              </w:numPr>
              <w:ind w:left="0" w:firstLine="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投标响应情况</w:t>
            </w:r>
          </w:p>
        </w:tc>
        <w:tc>
          <w:tcPr>
            <w:tcW w:w="2128" w:type="dxa"/>
            <w:noWrap w:val="0"/>
            <w:vAlign w:val="center"/>
          </w:tcPr>
          <w:p w14:paraId="5019D1ED">
            <w:pPr>
              <w:pStyle w:val="3"/>
              <w:numPr>
                <w:ilvl w:val="0"/>
                <w:numId w:val="0"/>
              </w:numPr>
              <w:ind w:left="0" w:firstLine="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偏离</w:t>
            </w:r>
          </w:p>
        </w:tc>
      </w:tr>
      <w:tr w14:paraId="5E2E3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545" w:type="dxa"/>
            <w:noWrap w:val="0"/>
          </w:tcPr>
          <w:p w14:paraId="60B6A860">
            <w:pPr>
              <w:pStyle w:val="3"/>
              <w:numPr>
                <w:ilvl w:val="0"/>
                <w:numId w:val="0"/>
              </w:numPr>
              <w:ind w:left="0" w:firstLine="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w:t>
            </w:r>
          </w:p>
        </w:tc>
        <w:tc>
          <w:tcPr>
            <w:tcW w:w="3063" w:type="dxa"/>
            <w:noWrap w:val="0"/>
          </w:tcPr>
          <w:p w14:paraId="26CF0B1A">
            <w:pPr>
              <w:pStyle w:val="3"/>
              <w:numPr>
                <w:ilvl w:val="0"/>
                <w:numId w:val="0"/>
              </w:numPr>
              <w:ind w:left="0" w:firstLine="0"/>
              <w:rPr>
                <w:rFonts w:hint="eastAsia" w:ascii="宋体" w:hAnsi="宋体" w:eastAsia="宋体" w:cs="宋体"/>
                <w:b w:val="0"/>
                <w:bCs w:val="0"/>
                <w:color w:val="auto"/>
                <w:sz w:val="21"/>
                <w:szCs w:val="21"/>
                <w:highlight w:val="none"/>
                <w:lang w:val="en-US" w:eastAsia="zh-CN"/>
              </w:rPr>
            </w:pPr>
          </w:p>
        </w:tc>
        <w:tc>
          <w:tcPr>
            <w:tcW w:w="3191" w:type="dxa"/>
            <w:noWrap w:val="0"/>
          </w:tcPr>
          <w:p w14:paraId="272E17FD">
            <w:pPr>
              <w:pStyle w:val="3"/>
              <w:numPr>
                <w:ilvl w:val="0"/>
                <w:numId w:val="0"/>
              </w:numPr>
              <w:ind w:left="0" w:firstLine="0"/>
              <w:rPr>
                <w:rFonts w:hint="eastAsia" w:ascii="宋体" w:hAnsi="宋体" w:eastAsia="宋体" w:cs="宋体"/>
                <w:b w:val="0"/>
                <w:bCs w:val="0"/>
                <w:color w:val="auto"/>
                <w:sz w:val="21"/>
                <w:szCs w:val="21"/>
                <w:highlight w:val="none"/>
                <w:lang w:val="en-US" w:eastAsia="zh-CN"/>
              </w:rPr>
            </w:pPr>
          </w:p>
        </w:tc>
        <w:tc>
          <w:tcPr>
            <w:tcW w:w="2128" w:type="dxa"/>
            <w:noWrap w:val="0"/>
          </w:tcPr>
          <w:p w14:paraId="77F963F3">
            <w:pPr>
              <w:pStyle w:val="3"/>
              <w:numPr>
                <w:ilvl w:val="0"/>
                <w:numId w:val="0"/>
              </w:numPr>
              <w:ind w:left="0" w:firstLine="0"/>
              <w:rPr>
                <w:rFonts w:hint="eastAsia" w:ascii="宋体" w:hAnsi="宋体" w:eastAsia="宋体" w:cs="宋体"/>
                <w:b w:val="0"/>
                <w:bCs w:val="0"/>
                <w:color w:val="auto"/>
                <w:sz w:val="21"/>
                <w:szCs w:val="21"/>
                <w:highlight w:val="none"/>
                <w:lang w:val="en-US" w:eastAsia="zh-CN"/>
              </w:rPr>
            </w:pPr>
          </w:p>
        </w:tc>
      </w:tr>
      <w:tr w14:paraId="751DE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545" w:type="dxa"/>
            <w:noWrap w:val="0"/>
          </w:tcPr>
          <w:p w14:paraId="65795A88">
            <w:pPr>
              <w:pStyle w:val="3"/>
              <w:numPr>
                <w:ilvl w:val="0"/>
                <w:numId w:val="0"/>
              </w:numPr>
              <w:ind w:left="0" w:firstLine="0"/>
              <w:rPr>
                <w:rFonts w:hint="eastAsia" w:ascii="宋体" w:hAnsi="宋体" w:eastAsia="宋体" w:cs="宋体"/>
                <w:b w:val="0"/>
                <w:bCs w:val="0"/>
                <w:color w:val="auto"/>
                <w:sz w:val="21"/>
                <w:szCs w:val="21"/>
                <w:highlight w:val="none"/>
                <w:lang w:val="en-US" w:eastAsia="zh-CN"/>
              </w:rPr>
            </w:pPr>
          </w:p>
        </w:tc>
        <w:tc>
          <w:tcPr>
            <w:tcW w:w="3063" w:type="dxa"/>
            <w:noWrap w:val="0"/>
          </w:tcPr>
          <w:p w14:paraId="60DE1316">
            <w:pPr>
              <w:pStyle w:val="3"/>
              <w:numPr>
                <w:ilvl w:val="0"/>
                <w:numId w:val="0"/>
              </w:numPr>
              <w:ind w:left="0" w:firstLine="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w:t>
            </w:r>
          </w:p>
        </w:tc>
        <w:tc>
          <w:tcPr>
            <w:tcW w:w="3191" w:type="dxa"/>
            <w:noWrap w:val="0"/>
          </w:tcPr>
          <w:p w14:paraId="17405728">
            <w:pPr>
              <w:pStyle w:val="3"/>
              <w:numPr>
                <w:ilvl w:val="0"/>
                <w:numId w:val="0"/>
              </w:numPr>
              <w:ind w:left="0" w:firstLine="0"/>
              <w:rPr>
                <w:rFonts w:hint="eastAsia" w:ascii="宋体" w:hAnsi="宋体" w:eastAsia="宋体" w:cs="宋体"/>
                <w:b w:val="0"/>
                <w:bCs w:val="0"/>
                <w:color w:val="auto"/>
                <w:sz w:val="21"/>
                <w:szCs w:val="21"/>
                <w:highlight w:val="none"/>
                <w:lang w:val="en-US" w:eastAsia="zh-CN"/>
              </w:rPr>
            </w:pPr>
          </w:p>
        </w:tc>
        <w:tc>
          <w:tcPr>
            <w:tcW w:w="2128" w:type="dxa"/>
            <w:noWrap w:val="0"/>
          </w:tcPr>
          <w:p w14:paraId="3A03707D">
            <w:pPr>
              <w:pStyle w:val="3"/>
              <w:numPr>
                <w:ilvl w:val="0"/>
                <w:numId w:val="0"/>
              </w:numPr>
              <w:ind w:left="0" w:firstLine="0"/>
              <w:rPr>
                <w:rFonts w:hint="eastAsia" w:ascii="宋体" w:hAnsi="宋体" w:eastAsia="宋体" w:cs="宋体"/>
                <w:b w:val="0"/>
                <w:bCs w:val="0"/>
                <w:color w:val="auto"/>
                <w:sz w:val="21"/>
                <w:szCs w:val="21"/>
                <w:highlight w:val="none"/>
                <w:lang w:val="en-US" w:eastAsia="zh-CN"/>
              </w:rPr>
            </w:pPr>
          </w:p>
        </w:tc>
      </w:tr>
    </w:tbl>
    <w:p w14:paraId="4AEDF4A0">
      <w:pPr>
        <w:keepNext/>
        <w:keepLines/>
        <w:pageBreakBefore w:val="0"/>
        <w:widowControl w:val="0"/>
        <w:numPr>
          <w:ilvl w:val="0"/>
          <w:numId w:val="0"/>
        </w:numPr>
        <w:kinsoku/>
        <w:wordWrap/>
        <w:overflowPunct/>
        <w:topLinePunct w:val="0"/>
        <w:autoSpaceDE/>
        <w:autoSpaceDN/>
        <w:bidi w:val="0"/>
        <w:adjustRightInd/>
        <w:snapToGrid/>
        <w:spacing w:line="360" w:lineRule="auto"/>
        <w:ind w:left="0" w:firstLine="0"/>
        <w:jc w:val="left"/>
        <w:textAlignment w:val="auto"/>
        <w:outlineLvl w:val="9"/>
        <w:rPr>
          <w:rFonts w:hint="eastAsia" w:ascii="宋体" w:hAnsi="宋体" w:eastAsia="宋体" w:cs="宋体"/>
          <w:b w:val="0"/>
          <w:bCs w:val="0"/>
          <w:color w:val="auto"/>
          <w:sz w:val="21"/>
          <w:szCs w:val="21"/>
          <w:highlight w:val="none"/>
          <w:lang w:val="en-US" w:eastAsia="zh-CN"/>
        </w:rPr>
      </w:pPr>
    </w:p>
    <w:p w14:paraId="3F9B1F54">
      <w:pPr>
        <w:keepNext/>
        <w:keepLines/>
        <w:pageBreakBefore w:val="0"/>
        <w:widowControl w:val="0"/>
        <w:numPr>
          <w:ilvl w:val="0"/>
          <w:numId w:val="0"/>
        </w:numPr>
        <w:kinsoku/>
        <w:wordWrap/>
        <w:overflowPunct/>
        <w:topLinePunct w:val="0"/>
        <w:autoSpaceDE/>
        <w:autoSpaceDN/>
        <w:bidi w:val="0"/>
        <w:adjustRightInd/>
        <w:snapToGrid/>
        <w:spacing w:line="360" w:lineRule="auto"/>
        <w:ind w:left="0" w:firstLine="0"/>
        <w:jc w:val="left"/>
        <w:textAlignment w:val="auto"/>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备注：</w:t>
      </w:r>
    </w:p>
    <w:p w14:paraId="13013B34">
      <w:pPr>
        <w:keepNext/>
        <w:keepLines/>
        <w:pageBreakBefore w:val="0"/>
        <w:widowControl w:val="0"/>
        <w:numPr>
          <w:ilvl w:val="0"/>
          <w:numId w:val="0"/>
        </w:numPr>
        <w:kinsoku/>
        <w:wordWrap/>
        <w:overflowPunct/>
        <w:topLinePunct w:val="0"/>
        <w:autoSpaceDE/>
        <w:autoSpaceDN/>
        <w:bidi w:val="0"/>
        <w:adjustRightInd/>
        <w:snapToGrid/>
        <w:spacing w:line="360" w:lineRule="auto"/>
        <w:ind w:left="0" w:firstLine="420" w:firstLineChars="2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1、“偏离”一栏选择“正偏离”、“无偏离”、“负偏离”进行填写，正偏离指投标人的响应</w:t>
      </w:r>
      <w:r>
        <w:rPr>
          <w:rFonts w:hint="eastAsia" w:ascii="宋体" w:hAnsi="宋体" w:cs="宋体"/>
          <w:b w:val="0"/>
          <w:bCs w:val="0"/>
          <w:color w:val="auto"/>
          <w:sz w:val="21"/>
          <w:szCs w:val="21"/>
          <w:highlight w:val="none"/>
          <w:lang w:val="en-US" w:eastAsia="zh-CN"/>
        </w:rPr>
        <w:t>优于</w:t>
      </w:r>
      <w:r>
        <w:rPr>
          <w:rFonts w:hint="eastAsia" w:ascii="宋体" w:hAnsi="宋体" w:eastAsia="宋体" w:cs="宋体"/>
          <w:b w:val="0"/>
          <w:bCs w:val="0"/>
          <w:color w:val="auto"/>
          <w:sz w:val="21"/>
          <w:szCs w:val="21"/>
          <w:highlight w:val="none"/>
          <w:lang w:val="en-US" w:eastAsia="zh-CN"/>
        </w:rPr>
        <w:t>招标文件要求，负偏离指投标人的响应低于招标文件要求。</w:t>
      </w:r>
    </w:p>
    <w:p w14:paraId="01E8C993">
      <w:pPr>
        <w:keepNext/>
        <w:keepLines/>
        <w:pageBreakBefore w:val="0"/>
        <w:widowControl w:val="0"/>
        <w:numPr>
          <w:ilvl w:val="0"/>
          <w:numId w:val="0"/>
        </w:numPr>
        <w:kinsoku/>
        <w:wordWrap/>
        <w:overflowPunct/>
        <w:topLinePunct w:val="0"/>
        <w:autoSpaceDE/>
        <w:autoSpaceDN/>
        <w:bidi w:val="0"/>
        <w:adjustRightInd/>
        <w:snapToGrid/>
        <w:spacing w:line="360" w:lineRule="auto"/>
        <w:ind w:left="0" w:firstLine="420" w:firstLineChars="2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2、如有偏离项，则必须在本偏离表中体现。投标人应对照文件中采购要求对有偏离项的内容逐项、详细、真实的填写，有具体要求的应填写详细，否则该投标可能被拒绝。（行数不够可以添加）</w:t>
      </w:r>
    </w:p>
    <w:p w14:paraId="7D8C6D6F">
      <w:pPr>
        <w:keepNext/>
        <w:keepLines/>
        <w:pageBreakBefore w:val="0"/>
        <w:widowControl w:val="0"/>
        <w:numPr>
          <w:ilvl w:val="0"/>
          <w:numId w:val="0"/>
        </w:numPr>
        <w:kinsoku/>
        <w:wordWrap/>
        <w:overflowPunct/>
        <w:topLinePunct w:val="0"/>
        <w:autoSpaceDE/>
        <w:autoSpaceDN/>
        <w:bidi w:val="0"/>
        <w:adjustRightInd/>
        <w:snapToGrid/>
        <w:spacing w:line="360" w:lineRule="auto"/>
        <w:ind w:left="0" w:firstLine="420" w:firstLineChars="2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3、如完全无偏离，也无其他说明，可在本表第一行填写“全部无偏离”。未在本偏离表中列出偏离，则视为投标人承诺提供的服务完全响应招标文件采购要求。</w:t>
      </w:r>
    </w:p>
    <w:p w14:paraId="25765BF6">
      <w:pPr>
        <w:keepNext/>
        <w:keepLines/>
        <w:pageBreakBefore w:val="0"/>
        <w:widowControl w:val="0"/>
        <w:numPr>
          <w:ilvl w:val="0"/>
          <w:numId w:val="0"/>
        </w:numPr>
        <w:kinsoku/>
        <w:wordWrap/>
        <w:overflowPunct/>
        <w:topLinePunct w:val="0"/>
        <w:autoSpaceDE/>
        <w:autoSpaceDN/>
        <w:bidi w:val="0"/>
        <w:adjustRightInd/>
        <w:snapToGrid/>
        <w:spacing w:line="360" w:lineRule="auto"/>
        <w:ind w:left="0" w:firstLine="420" w:firstLineChars="200"/>
        <w:jc w:val="left"/>
        <w:textAlignment w:val="auto"/>
        <w:outlineLvl w:val="9"/>
        <w:rPr>
          <w:rFonts w:hint="eastAsia" w:ascii="宋体" w:hAnsi="宋体" w:eastAsia="宋体" w:cs="宋体"/>
          <w:b w:val="0"/>
          <w:bCs w:val="0"/>
          <w:color w:val="auto"/>
          <w:sz w:val="21"/>
          <w:szCs w:val="21"/>
          <w:highlight w:val="none"/>
          <w:lang w:val="en-US" w:eastAsia="zh-CN"/>
        </w:rPr>
        <w:sectPr>
          <w:pgSz w:w="11906" w:h="16838"/>
          <w:pgMar w:top="1440" w:right="1800" w:bottom="1440" w:left="1800" w:header="851" w:footer="992" w:gutter="0"/>
          <w:cols w:space="720" w:num="1"/>
          <w:docGrid w:linePitch="360" w:charSpace="0"/>
        </w:sectPr>
      </w:pPr>
      <w:r>
        <w:rPr>
          <w:rFonts w:hint="eastAsia" w:ascii="宋体" w:hAnsi="宋体" w:eastAsia="宋体" w:cs="宋体"/>
          <w:b w:val="0"/>
          <w:bCs w:val="0"/>
          <w:color w:val="auto"/>
          <w:sz w:val="21"/>
          <w:szCs w:val="21"/>
          <w:highlight w:val="none"/>
          <w:lang w:val="en-US" w:eastAsia="zh-CN"/>
        </w:rPr>
        <w:t>4、投标人承诺：除表中的偏离外，完全响应采购文件的其他条款。</w:t>
      </w:r>
    </w:p>
    <w:p w14:paraId="12A76944">
      <w:pPr>
        <w:spacing w:line="360" w:lineRule="auto"/>
        <w:ind w:firstLine="422" w:firstLineChars="200"/>
        <w:rPr>
          <w:rFonts w:hint="eastAsia" w:ascii="仿宋" w:hAnsi="仿宋" w:eastAsia="仿宋" w:cs="仿宋"/>
          <w:b/>
          <w:bCs/>
          <w:color w:val="auto"/>
          <w:kern w:val="0"/>
          <w:szCs w:val="21"/>
          <w:highlight w:val="none"/>
        </w:rPr>
      </w:pPr>
    </w:p>
    <w:p w14:paraId="033F9742">
      <w:pPr>
        <w:pStyle w:val="3"/>
        <w:rPr>
          <w:rFonts w:hint="eastAsia" w:ascii="宋体" w:hAnsi="宋体" w:eastAsia="宋体" w:cs="宋体"/>
          <w:color w:val="auto"/>
          <w:sz w:val="36"/>
          <w:szCs w:val="36"/>
          <w:highlight w:val="none"/>
          <w:lang w:val="en-US" w:eastAsia="zh-CN"/>
        </w:rPr>
      </w:pPr>
      <w:r>
        <w:rPr>
          <w:rFonts w:hint="eastAsia" w:ascii="宋体" w:hAnsi="宋体" w:eastAsia="宋体" w:cs="宋体"/>
          <w:color w:val="auto"/>
          <w:sz w:val="36"/>
          <w:szCs w:val="36"/>
          <w:highlight w:val="none"/>
          <w:lang w:val="en-US" w:eastAsia="zh-CN"/>
        </w:rPr>
        <w:t>八、主要标的信息（中标后将公示）</w:t>
      </w:r>
    </w:p>
    <w:p w14:paraId="70944692">
      <w:pPr>
        <w:keepNext w:val="0"/>
        <w:keepLines w:val="0"/>
        <w:pageBreakBefore w:val="0"/>
        <w:widowControl w:val="0"/>
        <w:spacing w:line="360" w:lineRule="auto"/>
        <w:ind w:firstLine="420"/>
        <w:rPr>
          <w:rFonts w:hint="eastAsia" w:ascii="宋体" w:hAnsi="宋体"/>
          <w:color w:val="auto"/>
          <w:highlight w:val="none"/>
        </w:rPr>
      </w:pPr>
      <w:r>
        <w:rPr>
          <w:rFonts w:hint="eastAsia" w:ascii="宋体" w:hAnsi="宋体"/>
          <w:color w:val="auto"/>
          <w:highlight w:val="none"/>
        </w:rPr>
        <w:t>投标人全称（加盖CA电子签章）：</w:t>
      </w:r>
    </w:p>
    <w:p w14:paraId="20E6FF9A">
      <w:pPr>
        <w:keepNext w:val="0"/>
        <w:keepLines w:val="0"/>
        <w:pageBreakBefore w:val="0"/>
        <w:widowControl w:val="0"/>
        <w:spacing w:line="360" w:lineRule="auto"/>
        <w:ind w:firstLine="420"/>
        <w:rPr>
          <w:rFonts w:hint="eastAsia" w:ascii="宋体" w:hAnsi="宋体"/>
          <w:color w:val="auto"/>
          <w:highlight w:val="none"/>
        </w:rPr>
      </w:pPr>
      <w:r>
        <w:rPr>
          <w:rFonts w:hint="eastAsia" w:ascii="宋体" w:hAnsi="宋体"/>
          <w:color w:val="auto"/>
          <w:highlight w:val="none"/>
        </w:rPr>
        <w:t>项目名称：</w:t>
      </w:r>
    </w:p>
    <w:p w14:paraId="003BCDC3">
      <w:pPr>
        <w:keepNext w:val="0"/>
        <w:keepLines w:val="0"/>
        <w:pageBreakBefore w:val="0"/>
        <w:widowControl w:val="0"/>
        <w:spacing w:line="360" w:lineRule="auto"/>
        <w:ind w:firstLine="420"/>
        <w:rPr>
          <w:rFonts w:hint="eastAsia" w:ascii="宋体" w:hAnsi="宋体"/>
          <w:color w:val="auto"/>
          <w:highlight w:val="none"/>
        </w:rPr>
      </w:pPr>
      <w:r>
        <w:rPr>
          <w:rFonts w:hint="eastAsia" w:ascii="宋体" w:hAnsi="宋体"/>
          <w:color w:val="auto"/>
          <w:highlight w:val="none"/>
        </w:rPr>
        <w:t>项目编号：</w:t>
      </w:r>
    </w:p>
    <w:tbl>
      <w:tblPr>
        <w:tblStyle w:val="36"/>
        <w:tblW w:w="84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27"/>
      </w:tblGrid>
      <w:tr w14:paraId="08CD1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8427" w:type="dxa"/>
            <w:noWrap w:val="0"/>
            <w:vAlign w:val="center"/>
          </w:tcPr>
          <w:p w14:paraId="7FDCF520">
            <w:pPr>
              <w:jc w:val="center"/>
              <w:rPr>
                <w:rFonts w:ascii="宋体" w:hAnsi="宋体" w:cs="宋体"/>
                <w:color w:val="auto"/>
                <w:highlight w:val="none"/>
              </w:rPr>
            </w:pPr>
            <w:r>
              <w:rPr>
                <w:rFonts w:hint="eastAsia" w:ascii="宋体" w:hAnsi="宋体" w:cs="宋体"/>
                <w:color w:val="auto"/>
                <w:highlight w:val="none"/>
              </w:rPr>
              <w:t>服务类</w:t>
            </w:r>
          </w:p>
        </w:tc>
      </w:tr>
      <w:tr w14:paraId="7FB14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trPr>
        <w:tc>
          <w:tcPr>
            <w:tcW w:w="8427" w:type="dxa"/>
            <w:noWrap w:val="0"/>
          </w:tcPr>
          <w:p w14:paraId="46F94A5F">
            <w:pPr>
              <w:spacing w:line="360" w:lineRule="auto"/>
              <w:rPr>
                <w:rFonts w:ascii="宋体" w:hAnsi="宋体" w:cs="宋体"/>
                <w:color w:val="auto"/>
                <w:highlight w:val="none"/>
              </w:rPr>
            </w:pPr>
            <w:r>
              <w:rPr>
                <w:rFonts w:hint="eastAsia" w:ascii="宋体" w:hAnsi="宋体" w:cs="宋体"/>
                <w:color w:val="auto"/>
                <w:highlight w:val="none"/>
              </w:rPr>
              <w:t>名称：</w:t>
            </w:r>
          </w:p>
          <w:p w14:paraId="75B91B84">
            <w:pPr>
              <w:spacing w:line="360" w:lineRule="auto"/>
              <w:rPr>
                <w:rFonts w:ascii="宋体" w:hAnsi="宋体" w:cs="宋体"/>
                <w:color w:val="auto"/>
                <w:highlight w:val="none"/>
              </w:rPr>
            </w:pPr>
            <w:r>
              <w:rPr>
                <w:rFonts w:hint="eastAsia" w:ascii="宋体" w:hAnsi="宋体" w:cs="宋体"/>
                <w:color w:val="auto"/>
                <w:highlight w:val="none"/>
              </w:rPr>
              <w:t>服务范围：</w:t>
            </w:r>
          </w:p>
          <w:p w14:paraId="56A75C66">
            <w:pPr>
              <w:spacing w:line="360" w:lineRule="auto"/>
              <w:rPr>
                <w:rFonts w:ascii="宋体" w:hAnsi="宋体" w:cs="宋体"/>
                <w:color w:val="auto"/>
                <w:highlight w:val="none"/>
                <w:u w:val="single"/>
              </w:rPr>
            </w:pPr>
            <w:r>
              <w:rPr>
                <w:rFonts w:hint="eastAsia" w:ascii="宋体" w:hAnsi="宋体" w:cs="宋体"/>
                <w:color w:val="auto"/>
                <w:highlight w:val="none"/>
              </w:rPr>
              <w:t>服务要求：</w:t>
            </w:r>
          </w:p>
          <w:p w14:paraId="44E700DB">
            <w:pPr>
              <w:spacing w:line="360" w:lineRule="auto"/>
              <w:rPr>
                <w:rFonts w:ascii="宋体" w:hAnsi="宋体" w:cs="宋体"/>
                <w:color w:val="auto"/>
                <w:highlight w:val="none"/>
                <w:u w:val="single"/>
              </w:rPr>
            </w:pPr>
            <w:r>
              <w:rPr>
                <w:rFonts w:hint="eastAsia" w:ascii="宋体" w:hAnsi="宋体" w:cs="宋体"/>
                <w:color w:val="auto"/>
                <w:highlight w:val="none"/>
              </w:rPr>
              <w:t>服务时间：</w:t>
            </w:r>
          </w:p>
          <w:p w14:paraId="077FF4DA">
            <w:pPr>
              <w:spacing w:line="360" w:lineRule="auto"/>
              <w:rPr>
                <w:rFonts w:ascii="宋体" w:hAnsi="宋体" w:cs="宋体"/>
                <w:color w:val="auto"/>
                <w:highlight w:val="none"/>
              </w:rPr>
            </w:pPr>
            <w:r>
              <w:rPr>
                <w:rFonts w:hint="eastAsia" w:ascii="宋体" w:hAnsi="宋体" w:cs="宋体"/>
                <w:color w:val="auto"/>
                <w:highlight w:val="none"/>
              </w:rPr>
              <w:t>服务标准：</w:t>
            </w:r>
          </w:p>
        </w:tc>
      </w:tr>
    </w:tbl>
    <w:p w14:paraId="221A41CB">
      <w:pPr>
        <w:widowControl/>
        <w:jc w:val="left"/>
        <w:rPr>
          <w:rFonts w:ascii="宋体" w:hAnsi="宋体" w:cs="Arial"/>
          <w:b/>
          <w:bCs/>
          <w:color w:val="auto"/>
          <w:highlight w:val="none"/>
        </w:rPr>
        <w:sectPr>
          <w:pgSz w:w="11906" w:h="16838"/>
          <w:pgMar w:top="1440" w:right="1800" w:bottom="1440" w:left="1800" w:header="851" w:footer="992" w:gutter="0"/>
          <w:cols w:space="720" w:num="1"/>
          <w:docGrid w:linePitch="360" w:charSpace="0"/>
        </w:sectPr>
      </w:pPr>
      <w:bookmarkStart w:id="685" w:name="_Hlt26955054"/>
      <w:bookmarkEnd w:id="685"/>
    </w:p>
    <w:p w14:paraId="52D4EBC3">
      <w:pPr>
        <w:pStyle w:val="3"/>
        <w:rPr>
          <w:rFonts w:hint="eastAsia" w:ascii="宋体" w:hAnsi="宋体" w:eastAsia="宋体" w:cs="宋体"/>
          <w:color w:val="auto"/>
          <w:sz w:val="36"/>
          <w:szCs w:val="36"/>
          <w:highlight w:val="none"/>
          <w:lang w:val="en-US" w:eastAsia="zh-CN"/>
        </w:rPr>
      </w:pPr>
      <w:r>
        <w:rPr>
          <w:rFonts w:hint="eastAsia" w:ascii="宋体" w:hAnsi="宋体" w:eastAsia="宋体" w:cs="宋体"/>
          <w:color w:val="auto"/>
          <w:sz w:val="36"/>
          <w:szCs w:val="36"/>
          <w:highlight w:val="none"/>
          <w:lang w:val="en-US" w:eastAsia="zh-CN"/>
        </w:rPr>
        <w:t>九、联合体协议书（如有）</w:t>
      </w:r>
    </w:p>
    <w:p w14:paraId="0B51D9F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b/>
          <w:color w:val="auto"/>
          <w:sz w:val="21"/>
          <w:szCs w:val="21"/>
          <w:highlight w:val="none"/>
        </w:rPr>
      </w:pPr>
      <w:r>
        <w:rPr>
          <w:rFonts w:hint="eastAsia" w:ascii="宋体" w:hAnsi="宋体"/>
          <w:b/>
          <w:color w:val="auto"/>
          <w:sz w:val="21"/>
          <w:szCs w:val="21"/>
          <w:highlight w:val="none"/>
        </w:rPr>
        <w:t>联合体协议（参考格式）</w:t>
      </w:r>
    </w:p>
    <w:p w14:paraId="168E4EF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olor w:val="auto"/>
          <w:sz w:val="21"/>
          <w:szCs w:val="21"/>
          <w:highlight w:val="none"/>
        </w:rPr>
      </w:pPr>
    </w:p>
    <w:p w14:paraId="4B06E0E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hAnsi="宋体"/>
          <w:color w:val="auto"/>
          <w:sz w:val="21"/>
          <w:szCs w:val="21"/>
          <w:highlight w:val="none"/>
        </w:rPr>
      </w:pPr>
      <w:r>
        <w:rPr>
          <w:rFonts w:hint="eastAsia" w:ascii="宋体" w:hAnsi="宋体"/>
          <w:color w:val="auto"/>
          <w:sz w:val="21"/>
          <w:szCs w:val="21"/>
          <w:highlight w:val="none"/>
        </w:rPr>
        <w:t>（联合体中各供应商全称）在此达成以下协议：</w:t>
      </w:r>
    </w:p>
    <w:p w14:paraId="09FB288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hAnsi="宋体"/>
          <w:color w:val="auto"/>
          <w:sz w:val="21"/>
          <w:szCs w:val="21"/>
          <w:highlight w:val="none"/>
        </w:rPr>
      </w:pPr>
      <w:r>
        <w:rPr>
          <w:rFonts w:ascii="宋体" w:hAnsi="宋体"/>
          <w:color w:val="auto"/>
          <w:sz w:val="21"/>
          <w:szCs w:val="21"/>
          <w:highlight w:val="none"/>
        </w:rPr>
        <w:t>1</w:t>
      </w:r>
      <w:r>
        <w:rPr>
          <w:rFonts w:hint="eastAsia" w:ascii="宋体" w:hAnsi="宋体"/>
          <w:color w:val="auto"/>
          <w:sz w:val="21"/>
          <w:szCs w:val="21"/>
          <w:highlight w:val="none"/>
        </w:rPr>
        <w:t>、我们</w:t>
      </w:r>
      <w:r>
        <w:rPr>
          <w:rFonts w:hint="eastAsia" w:ascii="宋体" w:hAnsi="宋体"/>
          <w:color w:val="auto"/>
          <w:sz w:val="21"/>
          <w:szCs w:val="21"/>
          <w:highlight w:val="none"/>
          <w:u w:val="single"/>
        </w:rPr>
        <w:t xml:space="preserve"> （供应商1），（供应商2） ，</w:t>
      </w:r>
      <w:r>
        <w:rPr>
          <w:rFonts w:ascii="宋体" w:hAnsi="宋体"/>
          <w:color w:val="auto"/>
          <w:sz w:val="21"/>
          <w:szCs w:val="21"/>
          <w:highlight w:val="none"/>
          <w:u w:val="single"/>
        </w:rPr>
        <w:t>……</w:t>
      </w:r>
      <w:r>
        <w:rPr>
          <w:rFonts w:hint="eastAsia" w:ascii="宋体" w:hAnsi="宋体"/>
          <w:color w:val="auto"/>
          <w:sz w:val="21"/>
          <w:szCs w:val="21"/>
          <w:highlight w:val="none"/>
        </w:rPr>
        <w:t>自愿组成联合体，参加采购编号为</w:t>
      </w:r>
      <w:r>
        <w:rPr>
          <w:rFonts w:hint="eastAsia" w:ascii="宋体" w:hAnsi="宋体"/>
          <w:color w:val="auto"/>
          <w:sz w:val="21"/>
          <w:szCs w:val="21"/>
          <w:highlight w:val="none"/>
          <w:u w:val="single"/>
        </w:rPr>
        <w:t>（编号全称），（项目全称）</w:t>
      </w:r>
      <w:r>
        <w:rPr>
          <w:rFonts w:hint="eastAsia" w:ascii="宋体" w:hAnsi="宋体"/>
          <w:color w:val="auto"/>
          <w:sz w:val="21"/>
          <w:szCs w:val="21"/>
          <w:highlight w:val="none"/>
        </w:rPr>
        <w:t>项目的政府采购活动，我联合体指定</w:t>
      </w:r>
      <w:r>
        <w:rPr>
          <w:rFonts w:hint="eastAsia" w:ascii="宋体" w:hAnsi="宋体"/>
          <w:color w:val="auto"/>
          <w:sz w:val="21"/>
          <w:szCs w:val="21"/>
          <w:highlight w:val="none"/>
          <w:u w:val="single"/>
        </w:rPr>
        <w:t>（供应商*）</w:t>
      </w:r>
      <w:r>
        <w:rPr>
          <w:rFonts w:hint="eastAsia" w:ascii="宋体" w:hAnsi="宋体"/>
          <w:color w:val="auto"/>
          <w:sz w:val="21"/>
          <w:szCs w:val="21"/>
          <w:highlight w:val="none"/>
        </w:rPr>
        <w:t>为牵头单位（牵头单位必须为联合体成员）。</w:t>
      </w:r>
    </w:p>
    <w:p w14:paraId="75B3920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hAnsi="宋体"/>
          <w:color w:val="auto"/>
          <w:sz w:val="21"/>
          <w:szCs w:val="21"/>
          <w:highlight w:val="none"/>
        </w:rPr>
      </w:pPr>
      <w:r>
        <w:rPr>
          <w:rFonts w:ascii="宋体" w:hAnsi="宋体"/>
          <w:color w:val="auto"/>
          <w:sz w:val="21"/>
          <w:szCs w:val="21"/>
          <w:highlight w:val="none"/>
        </w:rPr>
        <w:t>2</w:t>
      </w:r>
      <w:r>
        <w:rPr>
          <w:rFonts w:hint="eastAsia" w:ascii="宋体" w:hAnsi="宋体"/>
          <w:color w:val="auto"/>
          <w:sz w:val="21"/>
          <w:szCs w:val="21"/>
          <w:highlight w:val="none"/>
        </w:rPr>
        <w:t>、若我们联合中标、成交，（供应商单位</w:t>
      </w:r>
      <w:r>
        <w:rPr>
          <w:rFonts w:ascii="宋体" w:hAnsi="宋体"/>
          <w:color w:val="auto"/>
          <w:sz w:val="21"/>
          <w:szCs w:val="21"/>
          <w:highlight w:val="none"/>
        </w:rPr>
        <w:t>1</w:t>
      </w:r>
      <w:r>
        <w:rPr>
          <w:rFonts w:hint="eastAsia" w:ascii="宋体" w:hAnsi="宋体"/>
          <w:color w:val="auto"/>
          <w:sz w:val="21"/>
          <w:szCs w:val="21"/>
          <w:highlight w:val="none"/>
        </w:rPr>
        <w:t>全称）实施项目中（工作内容）部分工作，并承担相应的责任。（供应商单位</w:t>
      </w:r>
      <w:r>
        <w:rPr>
          <w:rFonts w:ascii="宋体" w:hAnsi="宋体"/>
          <w:color w:val="auto"/>
          <w:sz w:val="21"/>
          <w:szCs w:val="21"/>
          <w:highlight w:val="none"/>
        </w:rPr>
        <w:t>2</w:t>
      </w:r>
      <w:r>
        <w:rPr>
          <w:rFonts w:hint="eastAsia" w:ascii="宋体" w:hAnsi="宋体"/>
          <w:color w:val="auto"/>
          <w:sz w:val="21"/>
          <w:szCs w:val="21"/>
          <w:highlight w:val="none"/>
        </w:rPr>
        <w:t>全称）实施项目中（工作内容）部分工作，并承担相应的责任……。（注：联合体中各供应商都应明示所承担的工作和相应的责任）。</w:t>
      </w:r>
    </w:p>
    <w:p w14:paraId="6924955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hAnsi="宋体"/>
          <w:color w:val="auto"/>
          <w:sz w:val="21"/>
          <w:szCs w:val="21"/>
          <w:highlight w:val="none"/>
        </w:rPr>
      </w:pPr>
      <w:r>
        <w:rPr>
          <w:rFonts w:ascii="宋体" w:hAnsi="宋体"/>
          <w:color w:val="auto"/>
          <w:sz w:val="21"/>
          <w:szCs w:val="21"/>
          <w:highlight w:val="none"/>
        </w:rPr>
        <w:t>3</w:t>
      </w:r>
      <w:r>
        <w:rPr>
          <w:rFonts w:hint="eastAsia" w:ascii="宋体" w:hAnsi="宋体"/>
          <w:color w:val="auto"/>
          <w:sz w:val="21"/>
          <w:szCs w:val="21"/>
          <w:highlight w:val="none"/>
        </w:rPr>
        <w:t>、其中</w:t>
      </w:r>
      <w:r>
        <w:rPr>
          <w:rFonts w:ascii="宋体" w:hAnsi="宋体"/>
          <w:color w:val="auto"/>
          <w:sz w:val="21"/>
          <w:szCs w:val="21"/>
          <w:highlight w:val="none"/>
          <w:u w:val="single"/>
        </w:rPr>
        <w:t xml:space="preserve">      </w:t>
      </w:r>
      <w:r>
        <w:rPr>
          <w:rFonts w:hint="eastAsia" w:ascii="宋体" w:hAnsi="宋体"/>
          <w:color w:val="auto"/>
          <w:sz w:val="21"/>
          <w:szCs w:val="21"/>
          <w:highlight w:val="none"/>
        </w:rPr>
        <w:t>（小型、微型企业/残疾人福利性单位/监狱企业全称）为</w:t>
      </w:r>
      <w:r>
        <w:rPr>
          <w:rFonts w:ascii="宋体" w:hAnsi="宋体"/>
          <w:color w:val="auto"/>
          <w:sz w:val="21"/>
          <w:szCs w:val="21"/>
          <w:highlight w:val="none"/>
          <w:u w:val="single"/>
        </w:rPr>
        <w:t xml:space="preserve">    </w:t>
      </w:r>
      <w:r>
        <w:rPr>
          <w:rFonts w:hint="eastAsia" w:ascii="宋体" w:hAnsi="宋体"/>
          <w:color w:val="auto"/>
          <w:sz w:val="21"/>
          <w:szCs w:val="21"/>
          <w:highlight w:val="none"/>
        </w:rPr>
        <w:t>（小型、微型企业/残疾人福利性单位/监狱企业）企业，且我们约定该公司/单位所承担的合同金额将占本项目合同总金额的</w:t>
      </w:r>
      <w:r>
        <w:rPr>
          <w:rFonts w:ascii="宋体" w:hAnsi="宋体"/>
          <w:color w:val="auto"/>
          <w:sz w:val="21"/>
          <w:szCs w:val="21"/>
          <w:highlight w:val="none"/>
          <w:u w:val="single"/>
        </w:rPr>
        <w:t xml:space="preserve">  </w:t>
      </w:r>
      <w:r>
        <w:rPr>
          <w:rFonts w:ascii="宋体" w:hAnsi="宋体"/>
          <w:color w:val="auto"/>
          <w:sz w:val="21"/>
          <w:szCs w:val="21"/>
          <w:highlight w:val="none"/>
        </w:rPr>
        <w:t xml:space="preserve"> %</w:t>
      </w:r>
      <w:r>
        <w:rPr>
          <w:rFonts w:hint="eastAsia" w:ascii="宋体" w:hAnsi="宋体"/>
          <w:color w:val="auto"/>
          <w:sz w:val="21"/>
          <w:szCs w:val="21"/>
          <w:highlight w:val="none"/>
        </w:rPr>
        <w:t>。</w:t>
      </w:r>
    </w:p>
    <w:p w14:paraId="3DBA3B7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hAnsi="宋体"/>
          <w:color w:val="auto"/>
          <w:sz w:val="21"/>
          <w:szCs w:val="21"/>
          <w:highlight w:val="none"/>
        </w:rPr>
      </w:pPr>
    </w:p>
    <w:p w14:paraId="5F7CBBF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hAnsi="宋体"/>
          <w:color w:val="auto"/>
          <w:sz w:val="21"/>
          <w:szCs w:val="21"/>
          <w:highlight w:val="none"/>
        </w:rPr>
      </w:pPr>
      <w:r>
        <w:rPr>
          <w:rFonts w:ascii="宋体" w:hAnsi="宋体"/>
          <w:color w:val="auto"/>
          <w:sz w:val="21"/>
          <w:szCs w:val="21"/>
          <w:highlight w:val="none"/>
        </w:rPr>
        <w:t xml:space="preserve">                   </w:t>
      </w:r>
      <w:r>
        <w:rPr>
          <w:rFonts w:hint="eastAsia" w:ascii="宋体" w:hAnsi="宋体"/>
          <w:color w:val="auto"/>
          <w:sz w:val="21"/>
          <w:szCs w:val="21"/>
          <w:highlight w:val="none"/>
        </w:rPr>
        <w:t xml:space="preserve">                       </w:t>
      </w:r>
    </w:p>
    <w:p w14:paraId="085BF843">
      <w:pPr>
        <w:keepNext w:val="0"/>
        <w:keepLines w:val="0"/>
        <w:pageBreakBefore w:val="0"/>
        <w:widowControl w:val="0"/>
        <w:kinsoku/>
        <w:wordWrap/>
        <w:overflowPunct/>
        <w:topLinePunct w:val="0"/>
        <w:autoSpaceDE/>
        <w:autoSpaceDN/>
        <w:bidi w:val="0"/>
        <w:adjustRightInd/>
        <w:snapToGrid/>
        <w:spacing w:line="360" w:lineRule="auto"/>
        <w:ind w:firstLine="4200" w:firstLineChars="2000"/>
        <w:jc w:val="left"/>
        <w:textAlignment w:val="auto"/>
        <w:rPr>
          <w:rFonts w:ascii="宋体" w:hAnsi="宋体"/>
          <w:color w:val="auto"/>
          <w:sz w:val="21"/>
          <w:szCs w:val="21"/>
          <w:highlight w:val="none"/>
        </w:rPr>
      </w:pPr>
      <w:r>
        <w:rPr>
          <w:rFonts w:hint="eastAsia" w:ascii="宋体" w:hAnsi="宋体"/>
          <w:color w:val="auto"/>
          <w:sz w:val="21"/>
          <w:szCs w:val="21"/>
          <w:highlight w:val="none"/>
        </w:rPr>
        <w:t>联合体中各供应商全称（公章）：</w:t>
      </w:r>
      <w:r>
        <w:rPr>
          <w:rFonts w:ascii="宋体" w:hAnsi="宋体"/>
          <w:color w:val="auto"/>
          <w:sz w:val="21"/>
          <w:szCs w:val="21"/>
          <w:highlight w:val="none"/>
        </w:rPr>
        <w:t xml:space="preserve">     </w:t>
      </w:r>
    </w:p>
    <w:p w14:paraId="5EE0B95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hAnsi="宋体"/>
          <w:color w:val="auto"/>
          <w:sz w:val="21"/>
          <w:szCs w:val="21"/>
          <w:highlight w:val="none"/>
        </w:rPr>
      </w:pPr>
      <w:r>
        <w:rPr>
          <w:rFonts w:ascii="宋体" w:hAnsi="宋体"/>
          <w:color w:val="auto"/>
          <w:sz w:val="21"/>
          <w:szCs w:val="21"/>
          <w:highlight w:val="none"/>
        </w:rPr>
        <w:t xml:space="preserve">                   </w:t>
      </w:r>
      <w:r>
        <w:rPr>
          <w:rFonts w:hint="eastAsia" w:ascii="宋体" w:hAnsi="宋体"/>
          <w:color w:val="auto"/>
          <w:sz w:val="21"/>
          <w:szCs w:val="21"/>
          <w:highlight w:val="none"/>
        </w:rPr>
        <w:t xml:space="preserve">               </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rPr>
        <w:t xml:space="preserve">      日期：</w:t>
      </w:r>
    </w:p>
    <w:p w14:paraId="67C1D91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 xml:space="preserve"> </w:t>
      </w:r>
    </w:p>
    <w:p w14:paraId="79908CC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hAnsi="宋体"/>
          <w:color w:val="auto"/>
          <w:sz w:val="21"/>
          <w:szCs w:val="21"/>
          <w:highlight w:val="none"/>
        </w:rPr>
      </w:pPr>
    </w:p>
    <w:p w14:paraId="330EA12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hAnsi="宋体"/>
          <w:color w:val="auto"/>
          <w:sz w:val="24"/>
          <w:szCs w:val="21"/>
          <w:highlight w:val="none"/>
        </w:rPr>
      </w:pPr>
      <w:r>
        <w:rPr>
          <w:rFonts w:hint="eastAsia" w:ascii="宋体" w:hAnsi="宋体"/>
          <w:color w:val="auto"/>
          <w:sz w:val="21"/>
          <w:szCs w:val="21"/>
          <w:highlight w:val="none"/>
        </w:rPr>
        <w:t>备注：本招标文件中要求加盖CA电子签章的地方，仅需加盖牵头单位的CA电子签章。</w:t>
      </w:r>
    </w:p>
    <w:p w14:paraId="404AAA3E">
      <w:pPr>
        <w:widowControl/>
        <w:numPr>
          <w:ilvl w:val="0"/>
          <w:numId w:val="0"/>
        </w:numPr>
        <w:jc w:val="left"/>
        <w:rPr>
          <w:rFonts w:hint="eastAsia" w:ascii="宋体" w:hAnsi="宋体" w:cs="Arial"/>
          <w:b/>
          <w:bCs/>
          <w:color w:val="auto"/>
          <w:highlight w:val="none"/>
          <w:lang w:eastAsia="zh-CN"/>
        </w:rPr>
      </w:pPr>
    </w:p>
    <w:sectPr>
      <w:pgSz w:w="11906" w:h="16838"/>
      <w:pgMar w:top="1440" w:right="1800" w:bottom="1440" w:left="1800" w:header="851" w:footer="992"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002FE00-2C36-44CA-8461-ED4730ACEFDC}"/>
  </w:font>
  <w:font w:name="黑体">
    <w:panose1 w:val="02010609060101010101"/>
    <w:charset w:val="86"/>
    <w:family w:val="auto"/>
    <w:pitch w:val="default"/>
    <w:sig w:usb0="800002BF" w:usb1="38CF7CFA" w:usb2="00000016" w:usb3="00000000" w:csb0="00040001" w:csb1="00000000"/>
    <w:embedRegular r:id="rId2" w:fontKey="{B82752B1-064E-42B6-BE88-817CF9EB9223}"/>
  </w:font>
  <w:font w:name="Courier New">
    <w:panose1 w:val="02070309020205020404"/>
    <w:charset w:val="01"/>
    <w:family w:val="modern"/>
    <w:pitch w:val="default"/>
    <w:sig w:usb0="E0002EFF" w:usb1="C0007843" w:usb2="00000009" w:usb3="00000000" w:csb0="400001FF" w:csb1="FFFF0000"/>
    <w:embedRegular r:id="rId3" w:fontKey="{A97C10B4-86DF-4130-BE0C-56C939510F8A}"/>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B3109501-187D-485F-908E-4DE6309E9FEA}"/>
  </w:font>
  <w:font w:name="幼圆">
    <w:altName w:val="PMingLiU-ExtB"/>
    <w:panose1 w:val="02010509060101010101"/>
    <w:charset w:val="00"/>
    <w:family w:val="auto"/>
    <w:pitch w:val="default"/>
    <w:sig w:usb0="00000000" w:usb1="00000000" w:usb2="00000000" w:usb3="00000000" w:csb0="00000000" w:csb1="00000000"/>
    <w:embedRegular r:id="rId5" w:fontKey="{C1F598B2-DD35-4AF6-9C95-D6FC9FCBFCEB}"/>
  </w:font>
  <w:font w:name="PMingLiU-ExtB">
    <w:panose1 w:val="02020500000000000000"/>
    <w:charset w:val="88"/>
    <w:family w:val="auto"/>
    <w:pitch w:val="default"/>
    <w:sig w:usb0="8000002F" w:usb1="02000008" w:usb2="00000000" w:usb3="00000000" w:csb0="00100001" w:csb1="0000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embedRegular r:id="rId6" w:fontKey="{BA610769-54F5-4F0F-B1EF-ABCB79B1A7DE}"/>
  </w:font>
  <w:font w:name="Consolas">
    <w:panose1 w:val="020B0609020204030204"/>
    <w:charset w:val="00"/>
    <w:family w:val="auto"/>
    <w:pitch w:val="default"/>
    <w:sig w:usb0="E00006FF" w:usb1="0000FCFF" w:usb2="00000001" w:usb3="00000000" w:csb0="6000019F" w:csb1="DFD70000"/>
  </w:font>
  <w:font w:name="CG Times">
    <w:panose1 w:val="02020603050405020304"/>
    <w:charset w:val="00"/>
    <w:family w:val="roman"/>
    <w:pitch w:val="default"/>
    <w:sig w:usb0="00000007" w:usb1="00000000" w:usb2="00000000" w:usb3="00000000" w:csb0="00000093" w:csb1="00000000"/>
  </w:font>
  <w:font w:name="仿宋_GB2312">
    <w:altName w:val="仿宋"/>
    <w:panose1 w:val="02010609060101010101"/>
    <w:charset w:val="00"/>
    <w:family w:val="auto"/>
    <w:pitch w:val="default"/>
    <w:sig w:usb0="00000000" w:usb1="00000000" w:usb2="00000000" w:usb3="00000000" w:csb0="00000000" w:csb1="00000000"/>
    <w:embedRegular r:id="rId7" w:fontKey="{EE583F07-7452-441D-AC72-2C0A78B3B4EA}"/>
  </w:font>
  <w:font w:name="仿宋">
    <w:panose1 w:val="02010609060101010101"/>
    <w:charset w:val="86"/>
    <w:family w:val="auto"/>
    <w:pitch w:val="default"/>
    <w:sig w:usb0="800002BF" w:usb1="38CF7CFA" w:usb2="00000016" w:usb3="00000000" w:csb0="00040001" w:csb1="00000000"/>
    <w:embedRegular r:id="rId8" w:fontKey="{764DF08D-1263-4164-8EF7-B961EF3B07BA}"/>
  </w:font>
  <w:font w:name="方正小标宋_GBK">
    <w:altName w:val="微软雅黑"/>
    <w:panose1 w:val="03000509000000000000"/>
    <w:charset w:val="86"/>
    <w:family w:val="script"/>
    <w:pitch w:val="default"/>
    <w:sig w:usb0="00000000" w:usb1="00000000" w:usb2="00000000" w:usb3="00000000" w:csb0="00040000" w:csb1="00000000"/>
    <w:embedRegular r:id="rId9" w:fontKey="{3FEAFF97-4F63-40CA-96CB-98E0E3B358A5}"/>
  </w:font>
  <w:font w:name="方正仿宋_GBK">
    <w:altName w:val="微软雅黑"/>
    <w:panose1 w:val="03000509000000000000"/>
    <w:charset w:val="86"/>
    <w:family w:val="auto"/>
    <w:pitch w:val="default"/>
    <w:sig w:usb0="00000000" w:usb1="00000000" w:usb2="00000000" w:usb3="00000000" w:csb0="00040000" w:csb1="00000000"/>
    <w:embedRegular r:id="rId10" w:fontKey="{27A60B82-78BB-49FE-9E28-5ECE9CECF16F}"/>
  </w:font>
  <w:font w:name="方正黑体_GBK">
    <w:altName w:val="微软雅黑"/>
    <w:panose1 w:val="02010600010101010101"/>
    <w:charset w:val="86"/>
    <w:family w:val="auto"/>
    <w:pitch w:val="default"/>
    <w:sig w:usb0="00000000" w:usb1="00000000" w:usb2="00000000" w:usb3="00000000" w:csb0="00040000" w:csb1="00000000"/>
    <w:embedRegular r:id="rId11" w:fontKey="{0988E2F2-1B2E-4B93-AD8E-1879B4D06B76}"/>
  </w:font>
  <w:font w:name="微软雅黑">
    <w:panose1 w:val="020B0503020204020204"/>
    <w:charset w:val="86"/>
    <w:family w:val="auto"/>
    <w:pitch w:val="default"/>
    <w:sig w:usb0="80000287" w:usb1="2ACF3C50" w:usb2="00000016" w:usb3="00000000" w:csb0="0004001F" w:csb1="00000000"/>
    <w:embedRegular r:id="rId12" w:fontKey="{4DD1DA69-ABEB-46B2-8AB6-50D26BC46B62}"/>
  </w:font>
  <w:font w:name="方正公文小标宋">
    <w:altName w:val="宋体"/>
    <w:panose1 w:val="02000500000000000000"/>
    <w:charset w:val="86"/>
    <w:family w:val="auto"/>
    <w:pitch w:val="default"/>
    <w:sig w:usb0="00000000" w:usb1="00000000" w:usb2="00000016" w:usb3="00000000" w:csb0="00040001" w:csb1="00000000"/>
    <w:embedRegular r:id="rId13" w:fontKey="{F114C81E-C84B-4D1A-B11F-C45CAD972445}"/>
  </w:font>
  <w:font w:name="华文中宋">
    <w:altName w:val="宋体"/>
    <w:panose1 w:val="02010600040101010101"/>
    <w:charset w:val="86"/>
    <w:family w:val="auto"/>
    <w:pitch w:val="default"/>
    <w:sig w:usb0="00000000" w:usb1="00000000" w:usb2="00000000" w:usb3="00000000" w:csb0="0004009F" w:csb1="DFD70000"/>
    <w:embedRegular r:id="rId14" w:fontKey="{6D66FD36-3D1B-4BE0-BCF2-071CFEF34A52}"/>
  </w:font>
  <w:font w:name="等线">
    <w:panose1 w:val="02010600030101010101"/>
    <w:charset w:val="86"/>
    <w:family w:val="auto"/>
    <w:pitch w:val="default"/>
    <w:sig w:usb0="A00002BF" w:usb1="38CF7CFA" w:usb2="00000016" w:usb3="00000000" w:csb0="0004000F" w:csb1="00000000"/>
    <w:embedRegular r:id="rId15" w:fontKey="{CF36C2CB-0676-4F63-A1D4-1EFCFAE09A1A}"/>
  </w:font>
  <w:font w:name="Times News Roman">
    <w:altName w:val="Times New Roman"/>
    <w:panose1 w:val="00000000000000000000"/>
    <w:charset w:val="00"/>
    <w:family w:val="roman"/>
    <w:pitch w:val="default"/>
    <w:sig w:usb0="00000000" w:usb1="00000000" w:usb2="00000000" w:usb3="00000000" w:csb0="00000000" w:csb1="00000000"/>
    <w:embedRegular r:id="rId16" w:fontKey="{D3BF0362-5A6D-4BF7-8CA8-8B3F2D53B0F9}"/>
  </w:font>
  <w:font w:name="方正小标宋简体">
    <w:panose1 w:val="02000000000000000000"/>
    <w:charset w:val="86"/>
    <w:family w:val="auto"/>
    <w:pitch w:val="default"/>
    <w:sig w:usb0="00000001" w:usb1="08000000" w:usb2="00000000" w:usb3="00000000" w:csb0="00040000" w:csb1="00000000"/>
    <w:embedRegular r:id="rId17" w:fontKey="{9C1785A4-D25E-4905-ABBC-3DDE5879EF20}"/>
  </w:font>
  <w:font w:name="KSOFDA5758CF">
    <w:panose1 w:val="020B0703020204020201"/>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MS PGothic">
    <w:panose1 w:val="020B0600070205080204"/>
    <w:charset w:val="80"/>
    <w:family w:val="auto"/>
    <w:pitch w:val="default"/>
    <w:sig w:usb0="E00002FF" w:usb1="6AC7FDFB" w:usb2="08000012" w:usb3="00000000" w:csb0="4002009F" w:csb1="DFD7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EA4D5">
    <w:pPr>
      <w:pStyle w:val="2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E68D4">
    <w:pPr>
      <w:pStyle w:val="24"/>
      <w:framePr w:wrap="around" w:vAnchor="text" w:hAnchor="margin" w:xAlign="center" w:y="1"/>
      <w:rPr>
        <w:rStyle w:val="41"/>
      </w:rPr>
    </w:pPr>
    <w:r>
      <w:fldChar w:fldCharType="begin"/>
    </w:r>
    <w:r>
      <w:rPr>
        <w:rStyle w:val="41"/>
      </w:rPr>
      <w:instrText xml:space="preserve">PAGE  </w:instrText>
    </w:r>
    <w:r>
      <w:fldChar w:fldCharType="end"/>
    </w:r>
  </w:p>
  <w:p w14:paraId="3CDC56DB">
    <w:pPr>
      <w:pStyle w:val="2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D5E7B">
    <w:pPr>
      <w:pStyle w:val="24"/>
      <w:jc w:val="center"/>
    </w:pPr>
  </w:p>
  <w:p w14:paraId="442EA113">
    <w:pPr>
      <w:pStyle w:val="2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EA315">
    <w:pPr>
      <w:pStyle w:val="24"/>
      <w:ind w:right="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C564F8">
                          <w:pPr>
                            <w:pStyle w:val="24"/>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0lY7tAAAAAFAQAADwAAAAAAAAABACAAAAAiAAAAZHJzL2Rvd25yZXYu&#10;eG1sUEsBAhQAFAAAAAgAh07iQB0ukX88AgAAbwQAAA4AAAAAAAAAAQAgAAAAHwEAAGRycy9lMm9E&#10;b2MueG1sUEsFBgAAAAAGAAYAWQEAAM0FAAAAAA==&#10;">
              <v:fill on="f" focussize="0,0"/>
              <v:stroke on="f" weight="0.5pt"/>
              <v:imagedata o:title=""/>
              <o:lock v:ext="edit" aspectratio="f"/>
              <v:textbox inset="0mm,0mm,0mm,0mm" style="mso-fit-shape-to-text:t;">
                <w:txbxContent>
                  <w:p w14:paraId="3CC564F8">
                    <w:pPr>
                      <w:pStyle w:val="24"/>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D273F">
    <w:pPr>
      <w:widowControl w:val="0"/>
      <w:tabs>
        <w:tab w:val="left" w:pos="8280"/>
        <w:tab w:val="right" w:pos="8820"/>
      </w:tabs>
      <w:snapToGrid w:val="0"/>
      <w:spacing w:before="120"/>
      <w:ind w:right="23" w:rightChars="11"/>
      <w:jc w:val="center"/>
      <w:rPr>
        <w:rFonts w:ascii="Calibri" w:hAnsi="Calibri" w:eastAsia="宋体" w:cs="Times New Roman"/>
        <w:kern w:val="0"/>
        <w:sz w:val="21"/>
        <w:szCs w:val="18"/>
        <w:lang w:val="en-US" w:eastAsia="zh-CN" w:bidi="ar-SA"/>
      </w:rPr>
    </w:pPr>
    <w:r>
      <w:rPr>
        <w:rFonts w:ascii="Calibri" w:hAnsi="Calibri" w:eastAsia="宋体" w:cs="Times New Roman"/>
        <w:kern w:val="0"/>
        <w:sz w:val="18"/>
        <w:szCs w:val="18"/>
        <w:lang w:val="en-US" w:eastAsia="zh-CN" w:bidi="ar-SA"/>
      </w:rPr>
      <w:fldChar w:fldCharType="begin"/>
    </w:r>
    <w:r>
      <w:rPr>
        <w:rFonts w:ascii="Calibri" w:hAnsi="Calibri" w:eastAsia="宋体" w:cs="Times New Roman"/>
        <w:kern w:val="2"/>
        <w:sz w:val="21"/>
        <w:szCs w:val="22"/>
        <w:lang w:val="en-US" w:eastAsia="zh-CN" w:bidi="ar-SA"/>
      </w:rPr>
      <w:instrText xml:space="preserve"> PAGE </w:instrText>
    </w:r>
    <w:r>
      <w:rPr>
        <w:rFonts w:ascii="Calibri" w:hAnsi="Calibri" w:eastAsia="宋体" w:cs="Times New Roman"/>
        <w:kern w:val="0"/>
        <w:sz w:val="18"/>
        <w:szCs w:val="18"/>
        <w:lang w:val="en-US" w:eastAsia="zh-CN" w:bidi="ar-SA"/>
      </w:rPr>
      <w:fldChar w:fldCharType="separate"/>
    </w:r>
    <w:r>
      <w:rPr>
        <w:rFonts w:ascii="Times New Roman" w:hAnsi="Times New Roman" w:eastAsia="宋体" w:cs="Times New Roman"/>
        <w:kern w:val="2"/>
        <w:sz w:val="21"/>
        <w:szCs w:val="22"/>
        <w:lang w:val="en-US" w:eastAsia="zh-CN" w:bidi="ar-SA"/>
      </w:rPr>
      <w:t>59</w:t>
    </w:r>
    <w:r>
      <w:rPr>
        <w:rFonts w:ascii="Calibri" w:hAnsi="Calibri" w:eastAsia="宋体" w:cs="Times New Roman"/>
        <w:kern w:val="0"/>
        <w:sz w:val="18"/>
        <w:szCs w:val="18"/>
        <w:lang w:val="en-US" w:eastAsia="zh-CN" w:bidi="ar-SA"/>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47C01">
    <w:pPr>
      <w:framePr w:wrap="around" w:vAnchor="text" w:hAnchor="margin" w:xAlign="center" w:y="1"/>
      <w:widowControl w:val="0"/>
      <w:snapToGrid w:val="0"/>
      <w:spacing w:before="120"/>
      <w:jc w:val="left"/>
      <w:rPr>
        <w:rFonts w:ascii="Calibri" w:hAnsi="Calibri" w:eastAsia="宋体" w:cs="Times New Roman"/>
        <w:kern w:val="0"/>
        <w:sz w:val="18"/>
        <w:szCs w:val="18"/>
        <w:lang w:val="en-US" w:eastAsia="zh-CN" w:bidi="ar-SA"/>
      </w:rPr>
    </w:pPr>
    <w:r>
      <w:rPr>
        <w:rFonts w:ascii="Calibri" w:hAnsi="Calibri" w:eastAsia="宋体" w:cs="Times New Roman"/>
        <w:kern w:val="0"/>
        <w:sz w:val="18"/>
        <w:szCs w:val="18"/>
        <w:lang w:val="en-US" w:eastAsia="zh-CN" w:bidi="ar-SA"/>
      </w:rPr>
      <w:fldChar w:fldCharType="begin"/>
    </w:r>
    <w:r>
      <w:rPr>
        <w:rFonts w:ascii="Calibri" w:hAnsi="Calibri" w:eastAsia="宋体" w:cs="Times New Roman"/>
        <w:kern w:val="2"/>
        <w:sz w:val="21"/>
        <w:szCs w:val="22"/>
        <w:lang w:val="en-US" w:eastAsia="zh-CN" w:bidi="ar-SA"/>
      </w:rPr>
      <w:instrText xml:space="preserve">PAGE  </w:instrText>
    </w:r>
    <w:r>
      <w:rPr>
        <w:rFonts w:ascii="Calibri" w:hAnsi="Calibri" w:eastAsia="宋体" w:cs="Times New Roman"/>
        <w:kern w:val="0"/>
        <w:sz w:val="18"/>
        <w:szCs w:val="18"/>
        <w:lang w:val="en-US" w:eastAsia="zh-CN" w:bidi="ar-SA"/>
      </w:rPr>
      <w:fldChar w:fldCharType="end"/>
    </w:r>
  </w:p>
  <w:p w14:paraId="6192A44D">
    <w:pPr>
      <w:widowControl w:val="0"/>
      <w:snapToGrid w:val="0"/>
      <w:spacing w:before="120"/>
      <w:jc w:val="left"/>
      <w:rPr>
        <w:rFonts w:ascii="Calibri" w:hAnsi="Calibri" w:eastAsia="宋体" w:cs="Times New Roman"/>
        <w:kern w:val="0"/>
        <w:sz w:val="18"/>
        <w:szCs w:val="18"/>
        <w:lang w:val="en-US" w:eastAsia="zh-CN" w:bidi="ar-S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6804C">
    <w:pPr>
      <w:widowControl w:val="0"/>
      <w:snapToGrid w:val="0"/>
      <w:jc w:val="center"/>
      <w:rPr>
        <w:rFonts w:ascii="Arial" w:hAnsi="Arial" w:eastAsia="宋体" w:cs="Arial"/>
        <w:kern w:val="0"/>
        <w:sz w:val="21"/>
        <w:szCs w:val="21"/>
        <w:lang w:val="en-US" w:eastAsia="zh-CN" w:bidi="ar-SA"/>
      </w:rPr>
    </w:pPr>
  </w:p>
  <w:p w14:paraId="0C902FE8">
    <w:pPr>
      <w:widowControl w:val="0"/>
      <w:snapToGrid w:val="0"/>
      <w:spacing w:before="120"/>
      <w:jc w:val="left"/>
      <w:rPr>
        <w:rFonts w:ascii="Calibri" w:hAnsi="Calibri" w:eastAsia="宋体" w:cs="Times New Roman"/>
        <w:kern w:val="0"/>
        <w:sz w:val="18"/>
        <w:szCs w:val="18"/>
        <w:lang w:val="en-US" w:eastAsia="zh-CN" w:bidi="ar-S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45BD6">
    <w:pPr>
      <w:widowControl w:val="0"/>
      <w:snapToGrid w:val="0"/>
      <w:jc w:val="center"/>
      <w:rPr>
        <w:rFonts w:ascii="Arial" w:hAnsi="Arial" w:eastAsia="宋体" w:cs="Arial"/>
        <w:kern w:val="0"/>
        <w:sz w:val="18"/>
        <w:szCs w:val="18"/>
        <w:lang w:val="en-US" w:eastAsia="zh-CN" w:bidi="ar-SA"/>
      </w:rPr>
    </w:pPr>
    <w:r>
      <w:rPr>
        <w:rFonts w:ascii="Arial" w:hAnsi="Arial" w:eastAsia="宋体" w:cs="Arial"/>
        <w:kern w:val="0"/>
        <w:sz w:val="18"/>
        <w:szCs w:val="18"/>
        <w:lang w:val="en-US" w:eastAsia="zh-CN" w:bidi="ar-SA"/>
      </w:rPr>
      <w:fldChar w:fldCharType="begin"/>
    </w:r>
    <w:r>
      <w:rPr>
        <w:rFonts w:ascii="Arial" w:hAnsi="Arial" w:eastAsia="宋体" w:cs="Arial"/>
        <w:kern w:val="0"/>
        <w:sz w:val="18"/>
        <w:szCs w:val="18"/>
        <w:lang w:val="en-US" w:eastAsia="zh-CN" w:bidi="ar-SA"/>
      </w:rPr>
      <w:instrText xml:space="preserve">PAGE   \* MERGEFORMAT</w:instrText>
    </w:r>
    <w:r>
      <w:rPr>
        <w:rFonts w:ascii="Arial" w:hAnsi="Arial" w:eastAsia="宋体" w:cs="Arial"/>
        <w:kern w:val="0"/>
        <w:sz w:val="18"/>
        <w:szCs w:val="18"/>
        <w:lang w:val="en-US" w:eastAsia="zh-CN" w:bidi="ar-SA"/>
      </w:rPr>
      <w:fldChar w:fldCharType="separate"/>
    </w:r>
    <w:r>
      <w:rPr>
        <w:rFonts w:ascii="Arial" w:hAnsi="Arial" w:eastAsia="宋体" w:cs="Arial"/>
        <w:kern w:val="0"/>
        <w:sz w:val="18"/>
        <w:szCs w:val="18"/>
        <w:lang w:val="zh-CN" w:eastAsia="zh-CN" w:bidi="ar-SA"/>
      </w:rPr>
      <w:t>1</w:t>
    </w:r>
    <w:r>
      <w:rPr>
        <w:rFonts w:ascii="Arial" w:hAnsi="Arial" w:eastAsia="宋体" w:cs="Arial"/>
        <w:kern w:val="0"/>
        <w:sz w:val="18"/>
        <w:szCs w:val="18"/>
        <w:lang w:val="en-US" w:eastAsia="zh-CN" w:bidi="ar-SA"/>
      </w:rPr>
      <w:fldChar w:fldCharType="end"/>
    </w:r>
  </w:p>
  <w:p w14:paraId="3E54A428">
    <w:pPr>
      <w:widowControl w:val="0"/>
      <w:snapToGrid w:val="0"/>
      <w:jc w:val="left"/>
      <w:rPr>
        <w:rFonts w:ascii="Calibri" w:hAnsi="Calibri" w:eastAsia="宋体" w:cs="Times New Roman"/>
        <w:kern w:val="0"/>
        <w:sz w:val="18"/>
        <w:szCs w:val="18"/>
        <w:lang w:val="en-US" w:eastAsia="zh-CN" w:bidi="ar-SA"/>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771A0">
    <w:pPr>
      <w:widowControl w:val="0"/>
      <w:tabs>
        <w:tab w:val="left" w:pos="8280"/>
        <w:tab w:val="right" w:pos="8820"/>
      </w:tabs>
      <w:snapToGrid w:val="0"/>
      <w:spacing w:before="120"/>
      <w:ind w:right="26"/>
      <w:jc w:val="center"/>
      <w:rPr>
        <w:rFonts w:ascii="Arial" w:hAnsi="Arial" w:eastAsia="宋体" w:cs="Arial"/>
        <w:kern w:val="0"/>
        <w:sz w:val="21"/>
        <w:szCs w:val="18"/>
        <w:lang w:val="en-US" w:eastAsia="zh-CN" w:bidi="ar-SA"/>
      </w:rPr>
    </w:pPr>
    <w:r>
      <w:rPr>
        <w:rFonts w:ascii="Arial" w:hAnsi="Arial" w:eastAsia="宋体" w:cs="Arial"/>
        <w:kern w:val="0"/>
        <w:sz w:val="21"/>
        <w:szCs w:val="18"/>
        <w:lang w:val="en-US" w:eastAsia="zh-CN" w:bidi="ar-SA"/>
      </w:rPr>
      <w:fldChar w:fldCharType="begin"/>
    </w:r>
    <w:r>
      <w:rPr>
        <w:rFonts w:ascii="Arial" w:hAnsi="Arial" w:eastAsia="宋体" w:cs="Arial"/>
        <w:kern w:val="2"/>
        <w:sz w:val="21"/>
        <w:szCs w:val="22"/>
        <w:lang w:val="en-US" w:eastAsia="zh-CN" w:bidi="ar-SA"/>
      </w:rPr>
      <w:instrText xml:space="preserve"> PAGE </w:instrText>
    </w:r>
    <w:r>
      <w:rPr>
        <w:rFonts w:ascii="Arial" w:hAnsi="Arial" w:eastAsia="宋体" w:cs="Arial"/>
        <w:kern w:val="0"/>
        <w:sz w:val="21"/>
        <w:szCs w:val="18"/>
        <w:lang w:val="en-US" w:eastAsia="zh-CN" w:bidi="ar-SA"/>
      </w:rPr>
      <w:fldChar w:fldCharType="separate"/>
    </w:r>
    <w:r>
      <w:rPr>
        <w:rFonts w:ascii="Arial" w:hAnsi="Arial" w:eastAsia="宋体" w:cs="Arial"/>
        <w:kern w:val="2"/>
        <w:sz w:val="21"/>
        <w:szCs w:val="22"/>
        <w:lang w:val="en-US" w:eastAsia="zh-CN" w:bidi="ar-SA"/>
      </w:rPr>
      <w:t>15</w:t>
    </w:r>
    <w:r>
      <w:rPr>
        <w:rFonts w:ascii="Arial" w:hAnsi="Arial" w:eastAsia="宋体" w:cs="Arial"/>
        <w:kern w:val="0"/>
        <w:sz w:val="21"/>
        <w:szCs w:val="18"/>
        <w:lang w:val="en-US" w:eastAsia="zh-CN" w:bidi="ar-SA"/>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BF356">
    <w:pPr>
      <w:pStyle w:val="24"/>
      <w:tabs>
        <w:tab w:val="left" w:pos="8280"/>
        <w:tab w:val="right" w:pos="8820"/>
        <w:tab w:val="clear" w:pos="8306"/>
      </w:tabs>
      <w:spacing w:before="120"/>
      <w:ind w:right="26"/>
      <w:jc w:val="center"/>
      <w:rPr>
        <w:rFonts w:ascii="Arial" w:hAnsi="Arial" w:cs="Arial"/>
        <w:sz w:val="21"/>
      </w:rPr>
    </w:pPr>
    <w:r>
      <w:rPr>
        <w:rFonts w:ascii="Arial" w:hAnsi="Arial" w:cs="Arial"/>
        <w:sz w:val="21"/>
      </w:rPr>
      <w:fldChar w:fldCharType="begin"/>
    </w:r>
    <w:r>
      <w:rPr>
        <w:rStyle w:val="41"/>
        <w:rFonts w:ascii="Arial" w:hAnsi="Arial" w:cs="Arial"/>
        <w:sz w:val="21"/>
      </w:rPr>
      <w:instrText xml:space="preserve"> PAGE </w:instrText>
    </w:r>
    <w:r>
      <w:rPr>
        <w:rFonts w:ascii="Arial" w:hAnsi="Arial" w:cs="Arial"/>
        <w:sz w:val="21"/>
      </w:rPr>
      <w:fldChar w:fldCharType="separate"/>
    </w:r>
    <w:r>
      <w:rPr>
        <w:rStyle w:val="41"/>
        <w:rFonts w:ascii="Arial" w:hAnsi="Arial" w:cs="Arial"/>
        <w:sz w:val="21"/>
      </w:rPr>
      <w:t>15</w:t>
    </w:r>
    <w:r>
      <w:rPr>
        <w:rFonts w:ascii="Arial" w:hAnsi="Arial" w:cs="Arial"/>
        <w:sz w:val="21"/>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84D28">
    <w:pPr>
      <w:widowControl w:val="0"/>
      <w:adjustRightInd w:val="0"/>
      <w:snapToGrid w:val="0"/>
      <w:spacing w:before="50" w:beforeLines="50" w:after="50" w:afterLines="50" w:line="240" w:lineRule="atLeast"/>
      <w:ind w:firstLine="360" w:firstLineChars="200"/>
      <w:jc w:val="right"/>
      <w:rPr>
        <w:rFonts w:ascii="仿宋" w:hAnsi="仿宋" w:eastAsia="仿宋" w:cs="Times New Roman"/>
        <w:kern w:val="2"/>
        <w:sz w:val="18"/>
        <w:szCs w:val="28"/>
        <w:lang w:val="en-US" w:eastAsia="zh-CN" w:bidi="ar-SA"/>
      </w:rPr>
    </w:pPr>
    <w:r>
      <w:rPr>
        <w:rFonts w:ascii="仿宋" w:hAnsi="仿宋" w:eastAsia="仿宋" w:cs="Times New Roman"/>
        <w:kern w:val="2"/>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E96430A">
                          <w:pPr>
                            <w:widowControl w:val="0"/>
                            <w:adjustRightInd w:val="0"/>
                            <w:snapToGrid w:val="0"/>
                            <w:spacing w:before="50" w:beforeLines="50" w:after="50" w:afterLines="50" w:line="240" w:lineRule="atLeast"/>
                            <w:ind w:left="0" w:leftChars="0" w:firstLine="0" w:firstLineChars="0"/>
                            <w:jc w:val="right"/>
                            <w:rPr>
                              <w:rFonts w:ascii="仿宋" w:hAnsi="仿宋" w:eastAsia="仿宋" w:cs="Times New Roman"/>
                              <w:kern w:val="2"/>
                              <w:sz w:val="10"/>
                              <w:szCs w:val="10"/>
                              <w:lang w:val="en-US" w:eastAsia="zh-CN" w:bidi="ar-SA"/>
                            </w:rPr>
                          </w:pPr>
                          <w:r>
                            <w:rPr>
                              <w:rFonts w:ascii="Times New Roman" w:hAnsi="Times New Roman" w:eastAsia="仿宋" w:cs="Times New Roman"/>
                              <w:kern w:val="2"/>
                              <w:sz w:val="18"/>
                              <w:szCs w:val="18"/>
                              <w:lang w:val="en-US" w:eastAsia="zh-CN" w:bidi="ar-SA"/>
                            </w:rPr>
                            <w:fldChar w:fldCharType="begin"/>
                          </w:r>
                          <w:r>
                            <w:rPr>
                              <w:rFonts w:ascii="Times New Roman" w:hAnsi="Times New Roman" w:eastAsia="仿宋" w:cs="Times New Roman"/>
                              <w:kern w:val="2"/>
                              <w:sz w:val="18"/>
                              <w:szCs w:val="18"/>
                              <w:lang w:val="en-US" w:eastAsia="zh-CN" w:bidi="ar-SA"/>
                            </w:rPr>
                            <w:instrText xml:space="preserve"> PAGE   \* MERGEFORMAT </w:instrText>
                          </w:r>
                          <w:r>
                            <w:rPr>
                              <w:rFonts w:ascii="Times New Roman" w:hAnsi="Times New Roman" w:eastAsia="仿宋" w:cs="Times New Roman"/>
                              <w:kern w:val="2"/>
                              <w:sz w:val="18"/>
                              <w:szCs w:val="18"/>
                              <w:lang w:val="en-US" w:eastAsia="zh-CN" w:bidi="ar-SA"/>
                            </w:rPr>
                            <w:fldChar w:fldCharType="separate"/>
                          </w:r>
                          <w:r>
                            <w:rPr>
                              <w:rFonts w:ascii="Times New Roman" w:hAnsi="Times New Roman" w:eastAsia="仿宋" w:cs="Times New Roman"/>
                              <w:kern w:val="2"/>
                              <w:sz w:val="18"/>
                              <w:szCs w:val="18"/>
                              <w:lang w:val="zh-CN" w:eastAsia="zh-CN" w:bidi="ar-SA"/>
                            </w:rPr>
                            <w:t>1</w:t>
                          </w:r>
                          <w:r>
                            <w:rPr>
                              <w:rFonts w:ascii="Times New Roman" w:hAnsi="Times New Roman" w:eastAsia="仿宋"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14:paraId="0E96430A">
                    <w:pPr>
                      <w:widowControl w:val="0"/>
                      <w:adjustRightInd w:val="0"/>
                      <w:snapToGrid w:val="0"/>
                      <w:spacing w:before="50" w:beforeLines="50" w:after="50" w:afterLines="50" w:line="240" w:lineRule="atLeast"/>
                      <w:ind w:left="0" w:leftChars="0" w:firstLine="0" w:firstLineChars="0"/>
                      <w:jc w:val="right"/>
                      <w:rPr>
                        <w:rFonts w:ascii="仿宋" w:hAnsi="仿宋" w:eastAsia="仿宋" w:cs="Times New Roman"/>
                        <w:kern w:val="2"/>
                        <w:sz w:val="10"/>
                        <w:szCs w:val="10"/>
                        <w:lang w:val="en-US" w:eastAsia="zh-CN" w:bidi="ar-SA"/>
                      </w:rPr>
                    </w:pPr>
                    <w:r>
                      <w:rPr>
                        <w:rFonts w:ascii="Times New Roman" w:hAnsi="Times New Roman" w:eastAsia="仿宋" w:cs="Times New Roman"/>
                        <w:kern w:val="2"/>
                        <w:sz w:val="18"/>
                        <w:szCs w:val="18"/>
                        <w:lang w:val="en-US" w:eastAsia="zh-CN" w:bidi="ar-SA"/>
                      </w:rPr>
                      <w:fldChar w:fldCharType="begin"/>
                    </w:r>
                    <w:r>
                      <w:rPr>
                        <w:rFonts w:ascii="Times New Roman" w:hAnsi="Times New Roman" w:eastAsia="仿宋" w:cs="Times New Roman"/>
                        <w:kern w:val="2"/>
                        <w:sz w:val="18"/>
                        <w:szCs w:val="18"/>
                        <w:lang w:val="en-US" w:eastAsia="zh-CN" w:bidi="ar-SA"/>
                      </w:rPr>
                      <w:instrText xml:space="preserve"> PAGE   \* MERGEFORMAT </w:instrText>
                    </w:r>
                    <w:r>
                      <w:rPr>
                        <w:rFonts w:ascii="Times New Roman" w:hAnsi="Times New Roman" w:eastAsia="仿宋" w:cs="Times New Roman"/>
                        <w:kern w:val="2"/>
                        <w:sz w:val="18"/>
                        <w:szCs w:val="18"/>
                        <w:lang w:val="en-US" w:eastAsia="zh-CN" w:bidi="ar-SA"/>
                      </w:rPr>
                      <w:fldChar w:fldCharType="separate"/>
                    </w:r>
                    <w:r>
                      <w:rPr>
                        <w:rFonts w:ascii="Times New Roman" w:hAnsi="Times New Roman" w:eastAsia="仿宋" w:cs="Times New Roman"/>
                        <w:kern w:val="2"/>
                        <w:sz w:val="18"/>
                        <w:szCs w:val="18"/>
                        <w:lang w:val="zh-CN" w:eastAsia="zh-CN" w:bidi="ar-SA"/>
                      </w:rPr>
                      <w:t>1</w:t>
                    </w:r>
                    <w:r>
                      <w:rPr>
                        <w:rFonts w:ascii="Times New Roman" w:hAnsi="Times New Roman" w:eastAsia="仿宋" w:cs="Times New Roman"/>
                        <w:kern w:val="2"/>
                        <w:sz w:val="18"/>
                        <w:szCs w:val="18"/>
                        <w:lang w:val="en-US" w:eastAsia="zh-CN" w:bidi="ar-SA"/>
                      </w:rPr>
                      <w:fldChar w:fldCharType="end"/>
                    </w:r>
                  </w:p>
                </w:txbxContent>
              </v:textbox>
            </v:shape>
          </w:pict>
        </mc:Fallback>
      </mc:AlternateContent>
    </w:r>
  </w:p>
  <w:p w14:paraId="73DA2B10">
    <w:pPr>
      <w:adjustRightInd w:val="0"/>
      <w:snapToGrid w:val="0"/>
      <w:spacing w:before="120" w:beforeLines="50" w:after="120" w:afterLines="50" w:line="360" w:lineRule="auto"/>
      <w:ind w:firstLine="0" w:firstLineChars="0"/>
      <w:rPr>
        <w:rFonts w:hint="default" w:ascii="仿宋" w:hAnsi="仿宋" w:eastAsia="仿宋"/>
        <w:kern w:val="2"/>
        <w:sz w:val="28"/>
        <w:szCs w:val="28"/>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F41AF">
    <w:pPr>
      <w:widowControl w:val="0"/>
      <w:adjustRightInd w:val="0"/>
      <w:snapToGrid w:val="0"/>
      <w:spacing w:before="50" w:beforeLines="50" w:after="50" w:afterLines="50" w:line="240" w:lineRule="atLeast"/>
      <w:ind w:firstLine="360" w:firstLineChars="200"/>
      <w:jc w:val="right"/>
      <w:rPr>
        <w:rFonts w:ascii="仿宋" w:hAnsi="仿宋" w:eastAsia="仿宋" w:cs="Times New Roman"/>
        <w:kern w:val="2"/>
        <w:sz w:val="18"/>
        <w:szCs w:val="28"/>
        <w:lang w:val="en-US" w:eastAsia="zh-CN" w:bidi="ar-SA"/>
      </w:rPr>
    </w:pPr>
    <w:r>
      <w:rPr>
        <w:rFonts w:ascii="仿宋" w:hAnsi="仿宋" w:eastAsia="仿宋" w:cs="Times New Roman"/>
        <w:kern w:val="2"/>
        <w:sz w:val="18"/>
        <w:szCs w:val="18"/>
        <w:lang w:val="en-US" w:eastAsia="zh-CN"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976441B">
                          <w:pPr>
                            <w:widowControl w:val="0"/>
                            <w:adjustRightInd w:val="0"/>
                            <w:snapToGrid w:val="0"/>
                            <w:spacing w:before="50" w:beforeLines="50" w:after="50" w:afterLines="50" w:line="240" w:lineRule="atLeast"/>
                            <w:ind w:left="0" w:leftChars="0" w:firstLine="0" w:firstLineChars="0"/>
                            <w:jc w:val="right"/>
                            <w:rPr>
                              <w:rFonts w:ascii="仿宋" w:hAnsi="仿宋" w:eastAsia="仿宋" w:cs="Times New Roman"/>
                              <w:kern w:val="2"/>
                              <w:sz w:val="10"/>
                              <w:szCs w:val="10"/>
                              <w:lang w:val="en-US" w:eastAsia="zh-CN" w:bidi="ar-SA"/>
                            </w:rPr>
                          </w:pPr>
                          <w:r>
                            <w:rPr>
                              <w:rFonts w:ascii="Times New Roman" w:hAnsi="Times New Roman" w:eastAsia="仿宋" w:cs="Times New Roman"/>
                              <w:kern w:val="2"/>
                              <w:sz w:val="18"/>
                              <w:szCs w:val="18"/>
                              <w:lang w:val="en-US" w:eastAsia="zh-CN" w:bidi="ar-SA"/>
                            </w:rPr>
                            <w:fldChar w:fldCharType="begin"/>
                          </w:r>
                          <w:r>
                            <w:rPr>
                              <w:rFonts w:ascii="Times New Roman" w:hAnsi="Times New Roman" w:eastAsia="仿宋" w:cs="Times New Roman"/>
                              <w:kern w:val="2"/>
                              <w:sz w:val="18"/>
                              <w:szCs w:val="18"/>
                              <w:lang w:val="en-US" w:eastAsia="zh-CN" w:bidi="ar-SA"/>
                            </w:rPr>
                            <w:instrText xml:space="preserve"> PAGE   \* MERGEFORMAT </w:instrText>
                          </w:r>
                          <w:r>
                            <w:rPr>
                              <w:rFonts w:ascii="Times New Roman" w:hAnsi="Times New Roman" w:eastAsia="仿宋" w:cs="Times New Roman"/>
                              <w:kern w:val="2"/>
                              <w:sz w:val="18"/>
                              <w:szCs w:val="18"/>
                              <w:lang w:val="en-US" w:eastAsia="zh-CN" w:bidi="ar-SA"/>
                            </w:rPr>
                            <w:fldChar w:fldCharType="separate"/>
                          </w:r>
                          <w:r>
                            <w:rPr>
                              <w:rFonts w:ascii="Times New Roman" w:hAnsi="Times New Roman" w:eastAsia="仿宋" w:cs="Times New Roman"/>
                              <w:kern w:val="2"/>
                              <w:sz w:val="18"/>
                              <w:szCs w:val="18"/>
                              <w:lang w:val="zh-CN" w:eastAsia="zh-CN" w:bidi="ar-SA"/>
                            </w:rPr>
                            <w:t>1</w:t>
                          </w:r>
                          <w:r>
                            <w:rPr>
                              <w:rFonts w:ascii="Times New Roman" w:hAnsi="Times New Roman" w:eastAsia="仿宋"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tkm6s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2SbqyQEAAJsDAAAOAAAAAAAAAAEAIAAAAB4BAABkcnMvZTJvRG9j&#10;LnhtbFBLBQYAAAAABgAGAFkBAABZBQAAAAA=&#10;">
              <v:fill on="f" focussize="0,0"/>
              <v:stroke on="f"/>
              <v:imagedata o:title=""/>
              <o:lock v:ext="edit" aspectratio="f"/>
              <v:textbox inset="0mm,0mm,0mm,0mm" style="mso-fit-shape-to-text:t;">
                <w:txbxContent>
                  <w:p w14:paraId="2976441B">
                    <w:pPr>
                      <w:widowControl w:val="0"/>
                      <w:adjustRightInd w:val="0"/>
                      <w:snapToGrid w:val="0"/>
                      <w:spacing w:before="50" w:beforeLines="50" w:after="50" w:afterLines="50" w:line="240" w:lineRule="atLeast"/>
                      <w:ind w:left="0" w:leftChars="0" w:firstLine="0" w:firstLineChars="0"/>
                      <w:jc w:val="right"/>
                      <w:rPr>
                        <w:rFonts w:ascii="仿宋" w:hAnsi="仿宋" w:eastAsia="仿宋" w:cs="Times New Roman"/>
                        <w:kern w:val="2"/>
                        <w:sz w:val="10"/>
                        <w:szCs w:val="10"/>
                        <w:lang w:val="en-US" w:eastAsia="zh-CN" w:bidi="ar-SA"/>
                      </w:rPr>
                    </w:pPr>
                    <w:r>
                      <w:rPr>
                        <w:rFonts w:ascii="Times New Roman" w:hAnsi="Times New Roman" w:eastAsia="仿宋" w:cs="Times New Roman"/>
                        <w:kern w:val="2"/>
                        <w:sz w:val="18"/>
                        <w:szCs w:val="18"/>
                        <w:lang w:val="en-US" w:eastAsia="zh-CN" w:bidi="ar-SA"/>
                      </w:rPr>
                      <w:fldChar w:fldCharType="begin"/>
                    </w:r>
                    <w:r>
                      <w:rPr>
                        <w:rFonts w:ascii="Times New Roman" w:hAnsi="Times New Roman" w:eastAsia="仿宋" w:cs="Times New Roman"/>
                        <w:kern w:val="2"/>
                        <w:sz w:val="18"/>
                        <w:szCs w:val="18"/>
                        <w:lang w:val="en-US" w:eastAsia="zh-CN" w:bidi="ar-SA"/>
                      </w:rPr>
                      <w:instrText xml:space="preserve"> PAGE   \* MERGEFORMAT </w:instrText>
                    </w:r>
                    <w:r>
                      <w:rPr>
                        <w:rFonts w:ascii="Times New Roman" w:hAnsi="Times New Roman" w:eastAsia="仿宋" w:cs="Times New Roman"/>
                        <w:kern w:val="2"/>
                        <w:sz w:val="18"/>
                        <w:szCs w:val="18"/>
                        <w:lang w:val="en-US" w:eastAsia="zh-CN" w:bidi="ar-SA"/>
                      </w:rPr>
                      <w:fldChar w:fldCharType="separate"/>
                    </w:r>
                    <w:r>
                      <w:rPr>
                        <w:rFonts w:ascii="Times New Roman" w:hAnsi="Times New Roman" w:eastAsia="仿宋" w:cs="Times New Roman"/>
                        <w:kern w:val="2"/>
                        <w:sz w:val="18"/>
                        <w:szCs w:val="18"/>
                        <w:lang w:val="zh-CN" w:eastAsia="zh-CN" w:bidi="ar-SA"/>
                      </w:rPr>
                      <w:t>1</w:t>
                    </w:r>
                    <w:r>
                      <w:rPr>
                        <w:rFonts w:ascii="Times New Roman" w:hAnsi="Times New Roman" w:eastAsia="仿宋" w:cs="Times New Roman"/>
                        <w:kern w:val="2"/>
                        <w:sz w:val="18"/>
                        <w:szCs w:val="18"/>
                        <w:lang w:val="en-US" w:eastAsia="zh-CN" w:bidi="ar-SA"/>
                      </w:rPr>
                      <w:fldChar w:fldCharType="end"/>
                    </w:r>
                  </w:p>
                </w:txbxContent>
              </v:textbox>
            </v:shape>
          </w:pict>
        </mc:Fallback>
      </mc:AlternateContent>
    </w:r>
  </w:p>
  <w:p w14:paraId="35C42BD1">
    <w:pPr>
      <w:adjustRightInd w:val="0"/>
      <w:snapToGrid w:val="0"/>
      <w:spacing w:before="120" w:beforeLines="50" w:after="120" w:afterLines="50" w:line="360" w:lineRule="auto"/>
      <w:ind w:firstLine="0" w:firstLineChars="0"/>
      <w:rPr>
        <w:rFonts w:hint="default" w:ascii="仿宋" w:hAnsi="仿宋" w:eastAsia="仿宋"/>
        <w:kern w:val="2"/>
        <w:sz w:val="28"/>
        <w:szCs w:val="28"/>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08F2E">
    <w:pPr>
      <w:widowControl w:val="0"/>
      <w:adjustRightInd w:val="0"/>
      <w:snapToGrid w:val="0"/>
      <w:spacing w:before="50" w:beforeLines="50" w:after="50" w:afterLines="50" w:line="240" w:lineRule="atLeast"/>
      <w:ind w:firstLine="360" w:firstLineChars="200"/>
      <w:jc w:val="right"/>
      <w:rPr>
        <w:rFonts w:ascii="仿宋" w:hAnsi="仿宋" w:eastAsia="仿宋" w:cs="Times New Roman"/>
        <w:kern w:val="2"/>
        <w:sz w:val="18"/>
        <w:szCs w:val="28"/>
        <w:lang w:val="en-US" w:eastAsia="zh-CN" w:bidi="ar-SA"/>
      </w:rPr>
    </w:pPr>
    <w:r>
      <w:rPr>
        <w:rFonts w:ascii="仿宋" w:hAnsi="仿宋" w:eastAsia="仿宋" w:cs="Times New Roman"/>
        <w:kern w:val="2"/>
        <w:sz w:val="18"/>
        <w:szCs w:val="18"/>
        <w:lang w:val="en-US"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D3D00D">
                          <w:pPr>
                            <w:widowControl w:val="0"/>
                            <w:adjustRightInd w:val="0"/>
                            <w:snapToGrid w:val="0"/>
                            <w:spacing w:before="50" w:beforeLines="50" w:after="50" w:afterLines="50" w:line="240" w:lineRule="atLeast"/>
                            <w:ind w:left="0" w:leftChars="0" w:firstLine="0" w:firstLineChars="0"/>
                            <w:jc w:val="right"/>
                            <w:rPr>
                              <w:rFonts w:ascii="仿宋" w:hAnsi="仿宋" w:eastAsia="仿宋" w:cs="Times New Roman"/>
                              <w:kern w:val="2"/>
                              <w:sz w:val="10"/>
                              <w:szCs w:val="10"/>
                              <w:lang w:val="en-US" w:eastAsia="zh-CN" w:bidi="ar-SA"/>
                            </w:rPr>
                          </w:pPr>
                          <w:r>
                            <w:rPr>
                              <w:rFonts w:ascii="Times New Roman" w:hAnsi="Times New Roman" w:eastAsia="仿宋" w:cs="Times New Roman"/>
                              <w:kern w:val="2"/>
                              <w:sz w:val="18"/>
                              <w:szCs w:val="18"/>
                              <w:lang w:val="en-US" w:eastAsia="zh-CN" w:bidi="ar-SA"/>
                            </w:rPr>
                            <w:fldChar w:fldCharType="begin"/>
                          </w:r>
                          <w:r>
                            <w:rPr>
                              <w:rFonts w:ascii="Times New Roman" w:hAnsi="Times New Roman" w:eastAsia="仿宋" w:cs="Times New Roman"/>
                              <w:kern w:val="2"/>
                              <w:sz w:val="18"/>
                              <w:szCs w:val="18"/>
                              <w:lang w:val="en-US" w:eastAsia="zh-CN" w:bidi="ar-SA"/>
                            </w:rPr>
                            <w:instrText xml:space="preserve"> PAGE   \* MERGEFORMAT </w:instrText>
                          </w:r>
                          <w:r>
                            <w:rPr>
                              <w:rFonts w:ascii="Times New Roman" w:hAnsi="Times New Roman" w:eastAsia="仿宋" w:cs="Times New Roman"/>
                              <w:kern w:val="2"/>
                              <w:sz w:val="18"/>
                              <w:szCs w:val="18"/>
                              <w:lang w:val="en-US" w:eastAsia="zh-CN" w:bidi="ar-SA"/>
                            </w:rPr>
                            <w:fldChar w:fldCharType="separate"/>
                          </w:r>
                          <w:r>
                            <w:rPr>
                              <w:rFonts w:ascii="Times New Roman" w:hAnsi="Times New Roman" w:eastAsia="仿宋" w:cs="Times New Roman"/>
                              <w:kern w:val="2"/>
                              <w:sz w:val="18"/>
                              <w:szCs w:val="18"/>
                              <w:lang w:val="zh-CN" w:eastAsia="zh-CN" w:bidi="ar-SA"/>
                            </w:rPr>
                            <w:t>1</w:t>
                          </w:r>
                          <w:r>
                            <w:rPr>
                              <w:rFonts w:ascii="Times New Roman" w:hAnsi="Times New Roman" w:eastAsia="仿宋"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ZoqY8kBAACb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1mipjyQEAAJsDAAAOAAAAAAAAAAEAIAAAAB4BAABkcnMvZTJvRG9j&#10;LnhtbFBLBQYAAAAABgAGAFkBAABZBQAAAAA=&#10;">
              <v:fill on="f" focussize="0,0"/>
              <v:stroke on="f"/>
              <v:imagedata o:title=""/>
              <o:lock v:ext="edit" aspectratio="f"/>
              <v:textbox inset="0mm,0mm,0mm,0mm" style="mso-fit-shape-to-text:t;">
                <w:txbxContent>
                  <w:p w14:paraId="79D3D00D">
                    <w:pPr>
                      <w:widowControl w:val="0"/>
                      <w:adjustRightInd w:val="0"/>
                      <w:snapToGrid w:val="0"/>
                      <w:spacing w:before="50" w:beforeLines="50" w:after="50" w:afterLines="50" w:line="240" w:lineRule="atLeast"/>
                      <w:ind w:left="0" w:leftChars="0" w:firstLine="0" w:firstLineChars="0"/>
                      <w:jc w:val="right"/>
                      <w:rPr>
                        <w:rFonts w:ascii="仿宋" w:hAnsi="仿宋" w:eastAsia="仿宋" w:cs="Times New Roman"/>
                        <w:kern w:val="2"/>
                        <w:sz w:val="10"/>
                        <w:szCs w:val="10"/>
                        <w:lang w:val="en-US" w:eastAsia="zh-CN" w:bidi="ar-SA"/>
                      </w:rPr>
                    </w:pPr>
                    <w:r>
                      <w:rPr>
                        <w:rFonts w:ascii="Times New Roman" w:hAnsi="Times New Roman" w:eastAsia="仿宋" w:cs="Times New Roman"/>
                        <w:kern w:val="2"/>
                        <w:sz w:val="18"/>
                        <w:szCs w:val="18"/>
                        <w:lang w:val="en-US" w:eastAsia="zh-CN" w:bidi="ar-SA"/>
                      </w:rPr>
                      <w:fldChar w:fldCharType="begin"/>
                    </w:r>
                    <w:r>
                      <w:rPr>
                        <w:rFonts w:ascii="Times New Roman" w:hAnsi="Times New Roman" w:eastAsia="仿宋" w:cs="Times New Roman"/>
                        <w:kern w:val="2"/>
                        <w:sz w:val="18"/>
                        <w:szCs w:val="18"/>
                        <w:lang w:val="en-US" w:eastAsia="zh-CN" w:bidi="ar-SA"/>
                      </w:rPr>
                      <w:instrText xml:space="preserve"> PAGE   \* MERGEFORMAT </w:instrText>
                    </w:r>
                    <w:r>
                      <w:rPr>
                        <w:rFonts w:ascii="Times New Roman" w:hAnsi="Times New Roman" w:eastAsia="仿宋" w:cs="Times New Roman"/>
                        <w:kern w:val="2"/>
                        <w:sz w:val="18"/>
                        <w:szCs w:val="18"/>
                        <w:lang w:val="en-US" w:eastAsia="zh-CN" w:bidi="ar-SA"/>
                      </w:rPr>
                      <w:fldChar w:fldCharType="separate"/>
                    </w:r>
                    <w:r>
                      <w:rPr>
                        <w:rFonts w:ascii="Times New Roman" w:hAnsi="Times New Roman" w:eastAsia="仿宋" w:cs="Times New Roman"/>
                        <w:kern w:val="2"/>
                        <w:sz w:val="18"/>
                        <w:szCs w:val="18"/>
                        <w:lang w:val="zh-CN" w:eastAsia="zh-CN" w:bidi="ar-SA"/>
                      </w:rPr>
                      <w:t>1</w:t>
                    </w:r>
                    <w:r>
                      <w:rPr>
                        <w:rFonts w:ascii="Times New Roman" w:hAnsi="Times New Roman" w:eastAsia="仿宋" w:cs="Times New Roman"/>
                        <w:kern w:val="2"/>
                        <w:sz w:val="18"/>
                        <w:szCs w:val="18"/>
                        <w:lang w:val="en-US" w:eastAsia="zh-CN" w:bidi="ar-SA"/>
                      </w:rPr>
                      <w:fldChar w:fldCharType="end"/>
                    </w:r>
                  </w:p>
                </w:txbxContent>
              </v:textbox>
            </v:shape>
          </w:pict>
        </mc:Fallback>
      </mc:AlternateContent>
    </w:r>
  </w:p>
  <w:p w14:paraId="3074AD3A">
    <w:pPr>
      <w:adjustRightInd w:val="0"/>
      <w:snapToGrid w:val="0"/>
      <w:spacing w:before="120" w:beforeLines="50" w:after="120" w:afterLines="50" w:line="360" w:lineRule="auto"/>
      <w:ind w:firstLine="0" w:firstLineChars="0"/>
      <w:rPr>
        <w:rFonts w:hint="default" w:ascii="仿宋" w:hAnsi="仿宋" w:eastAsia="仿宋"/>
        <w:kern w:val="2"/>
        <w:sz w:val="28"/>
        <w:szCs w:val="28"/>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EDD3F">
    <w:pPr>
      <w:pStyle w:val="24"/>
      <w:jc w:val="right"/>
      <w:rPr>
        <w:szCs w:val="2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5DFD624">
                          <w:pPr>
                            <w:pStyle w:val="24"/>
                            <w:ind w:left="0" w:leftChars="0" w:firstLine="0" w:firstLineChars="0"/>
                            <w:jc w:val="right"/>
                            <w:rPr>
                              <w:sz w:val="10"/>
                              <w:szCs w:val="10"/>
                            </w:rPr>
                          </w:pPr>
                          <w:r>
                            <w:rPr>
                              <w:rFonts w:ascii="Times New Roman" w:hAnsi="Times New Roman"/>
                              <w:sz w:val="18"/>
                              <w:szCs w:val="18"/>
                            </w:rPr>
                            <w:fldChar w:fldCharType="begin"/>
                          </w:r>
                          <w:r>
                            <w:rPr>
                              <w:rFonts w:ascii="Times New Roman" w:hAnsi="Times New Roman"/>
                              <w:sz w:val="18"/>
                              <w:szCs w:val="18"/>
                            </w:rPr>
                            <w:instrText xml:space="preserve"> PAGE   \* MERGEFORMAT </w:instrText>
                          </w:r>
                          <w:r>
                            <w:rPr>
                              <w:rFonts w:ascii="Times New Roman" w:hAnsi="Times New Roman"/>
                              <w:sz w:val="18"/>
                              <w:szCs w:val="18"/>
                            </w:rPr>
                            <w:fldChar w:fldCharType="separate"/>
                          </w:r>
                          <w:r>
                            <w:rPr>
                              <w:rFonts w:ascii="Times New Roman" w:hAnsi="Times New Roman"/>
                              <w:sz w:val="18"/>
                              <w:szCs w:val="18"/>
                              <w:lang w:val="zh-CN" w:eastAsia="zh-CN"/>
                            </w:rPr>
                            <w:t>1</w:t>
                          </w:r>
                          <w:r>
                            <w:rPr>
                              <w:rFonts w:ascii="Times New Roman" w:hAnsi="Times New Roman"/>
                              <w:sz w:val="18"/>
                              <w:szCs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3sYQ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oieMWJ37+8f388/f51zeC&#10;PhSoD1Bj3mPAzDTc+AGTZz+gM/MeVLT5i4wIxhHrdJFXDomI/Gi1XK0qDAmMzRfEZ0/PQ4R0J70l&#10;2WhoxPkVWfnxHtKYOqfkas7famPKDI37y4GY2cNy72OP2UrDbpgI7Xx7Qj49jr6hDjedEvPRobLY&#10;X5qNOBu72TiEqPddWaNcD8KHQ8ImSm+5wgg7FcaZFXbTfuWleH4vWU//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97GEPIAQAAmwMAAA4AAAAAAAAAAQAgAAAAHgEAAGRycy9lMm9Eb2Mu&#10;eG1sUEsFBgAAAAAGAAYAWQEAAFgFAAAAAA==&#10;">
              <v:fill on="f" focussize="0,0"/>
              <v:stroke on="f"/>
              <v:imagedata o:title=""/>
              <o:lock v:ext="edit" aspectratio="f"/>
              <v:textbox inset="0mm,0mm,0mm,0mm" style="mso-fit-shape-to-text:t;">
                <w:txbxContent>
                  <w:p w14:paraId="25DFD624">
                    <w:pPr>
                      <w:pStyle w:val="24"/>
                      <w:ind w:left="0" w:leftChars="0" w:firstLine="0" w:firstLineChars="0"/>
                      <w:jc w:val="right"/>
                      <w:rPr>
                        <w:sz w:val="10"/>
                        <w:szCs w:val="10"/>
                      </w:rPr>
                    </w:pPr>
                    <w:r>
                      <w:rPr>
                        <w:rFonts w:ascii="Times New Roman" w:hAnsi="Times New Roman"/>
                        <w:sz w:val="18"/>
                        <w:szCs w:val="18"/>
                      </w:rPr>
                      <w:fldChar w:fldCharType="begin"/>
                    </w:r>
                    <w:r>
                      <w:rPr>
                        <w:rFonts w:ascii="Times New Roman" w:hAnsi="Times New Roman"/>
                        <w:sz w:val="18"/>
                        <w:szCs w:val="18"/>
                      </w:rPr>
                      <w:instrText xml:space="preserve"> PAGE   \* MERGEFORMAT </w:instrText>
                    </w:r>
                    <w:r>
                      <w:rPr>
                        <w:rFonts w:ascii="Times New Roman" w:hAnsi="Times New Roman"/>
                        <w:sz w:val="18"/>
                        <w:szCs w:val="18"/>
                      </w:rPr>
                      <w:fldChar w:fldCharType="separate"/>
                    </w:r>
                    <w:r>
                      <w:rPr>
                        <w:rFonts w:ascii="Times New Roman" w:hAnsi="Times New Roman"/>
                        <w:sz w:val="18"/>
                        <w:szCs w:val="18"/>
                        <w:lang w:val="zh-CN" w:eastAsia="zh-CN"/>
                      </w:rPr>
                      <w:t>1</w:t>
                    </w:r>
                    <w:r>
                      <w:rPr>
                        <w:rFonts w:ascii="Times New Roman" w:hAnsi="Times New Roman"/>
                        <w:sz w:val="18"/>
                        <w:szCs w:val="18"/>
                      </w:rPr>
                      <w:fldChar w:fldCharType="end"/>
                    </w:r>
                  </w:p>
                </w:txbxContent>
              </v:textbox>
            </v:shape>
          </w:pict>
        </mc:Fallback>
      </mc:AlternateContent>
    </w:r>
  </w:p>
  <w:p w14:paraId="41F4BD95">
    <w:pPr>
      <w:spacing w:before="120" w:after="120"/>
      <w:ind w:firstLine="0" w:firstLineChars="0"/>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87C61">
    <w:pPr>
      <w:widowControl w:val="0"/>
      <w:snapToGrid w:val="0"/>
      <w:jc w:val="center"/>
      <w:rPr>
        <w:rFonts w:ascii="Calibri" w:hAnsi="Calibri" w:eastAsia="宋体" w:cs="Times New Roman"/>
        <w:kern w:val="0"/>
        <w:sz w:val="18"/>
        <w:szCs w:val="18"/>
        <w:lang w:val="en-US" w:eastAsia="zh-CN" w:bidi="ar-SA"/>
      </w:rPr>
    </w:pPr>
    <w:r>
      <w:rPr>
        <w:rFonts w:ascii="Calibri" w:hAnsi="Calibri" w:eastAsia="宋体" w:cs="Times New Roman"/>
        <w:kern w:val="0"/>
        <w:sz w:val="18"/>
        <w:szCs w:val="18"/>
        <w:lang w:val="en-US" w:eastAsia="zh-CN" w:bidi="ar-SA"/>
      </w:rPr>
      <w:fldChar w:fldCharType="begin"/>
    </w:r>
    <w:r>
      <w:rPr>
        <w:rFonts w:ascii="Calibri" w:hAnsi="Calibri" w:eastAsia="宋体" w:cs="Times New Roman"/>
        <w:kern w:val="0"/>
        <w:sz w:val="18"/>
        <w:szCs w:val="18"/>
        <w:lang w:val="en-US" w:eastAsia="zh-CN" w:bidi="ar-SA"/>
      </w:rPr>
      <w:instrText xml:space="preserve">PAGE   \* MERGEFORMAT</w:instrText>
    </w:r>
    <w:r>
      <w:rPr>
        <w:rFonts w:ascii="Calibri" w:hAnsi="Calibri" w:eastAsia="宋体" w:cs="Times New Roman"/>
        <w:kern w:val="0"/>
        <w:sz w:val="18"/>
        <w:szCs w:val="18"/>
        <w:lang w:val="en-US" w:eastAsia="zh-CN" w:bidi="ar-SA"/>
      </w:rPr>
      <w:fldChar w:fldCharType="separate"/>
    </w:r>
    <w:r>
      <w:rPr>
        <w:rFonts w:ascii="Calibri" w:hAnsi="Calibri" w:eastAsia="宋体" w:cs="Times New Roman"/>
        <w:kern w:val="0"/>
        <w:sz w:val="18"/>
        <w:szCs w:val="18"/>
        <w:lang w:val="zh-CN" w:eastAsia="zh-CN" w:bidi="ar-SA"/>
      </w:rPr>
      <w:t>29</w:t>
    </w:r>
    <w:r>
      <w:rPr>
        <w:rFonts w:ascii="Calibri" w:hAnsi="Calibri" w:eastAsia="宋体" w:cs="Times New Roman"/>
        <w:kern w:val="0"/>
        <w:sz w:val="18"/>
        <w:szCs w:val="18"/>
        <w:lang w:val="zh-CN" w:eastAsia="zh-CN" w:bidi="ar-SA"/>
      </w:rPr>
      <w:fldChar w:fldCharType="end"/>
    </w:r>
  </w:p>
  <w:p w14:paraId="42A8CA23">
    <w:pPr>
      <w:widowControl w:val="0"/>
      <w:snapToGrid w:val="0"/>
      <w:jc w:val="left"/>
      <w:rPr>
        <w:rFonts w:ascii="Calibri" w:hAnsi="Calibri" w:eastAsia="宋体" w:cs="Times New Roman"/>
        <w:kern w:val="0"/>
        <w:sz w:val="18"/>
        <w:szCs w:val="18"/>
        <w:lang w:val="en-US" w:eastAsia="zh-CN" w:bidi="ar-SA"/>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978E3">
    <w:pPr>
      <w:widowControl w:val="0"/>
      <w:snapToGrid w:val="0"/>
      <w:jc w:val="center"/>
      <w:rPr>
        <w:rFonts w:ascii="Calibri" w:hAnsi="Calibri" w:eastAsia="宋体" w:cs="Times New Roman"/>
        <w:kern w:val="0"/>
        <w:sz w:val="18"/>
        <w:szCs w:val="18"/>
        <w:lang w:val="en-US" w:eastAsia="zh-CN" w:bidi="ar-SA"/>
      </w:rPr>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A7CB7B7">
                          <w:pPr>
                            <w:widowControl w:val="0"/>
                            <w:snapToGrid w:val="0"/>
                            <w:jc w:val="center"/>
                            <w:rPr>
                              <w:rFonts w:ascii="Calibri" w:hAnsi="Calibri" w:eastAsia="宋体" w:cs="Times New Roman"/>
                              <w:kern w:val="0"/>
                              <w:sz w:val="18"/>
                              <w:szCs w:val="18"/>
                              <w:lang w:val="en-US" w:eastAsia="zh-CN" w:bidi="ar-SA"/>
                            </w:rPr>
                          </w:pPr>
                          <w:r>
                            <w:rPr>
                              <w:rFonts w:ascii="Calibri" w:hAnsi="Calibri" w:eastAsia="宋体" w:cs="Times New Roman"/>
                              <w:kern w:val="0"/>
                              <w:sz w:val="18"/>
                              <w:szCs w:val="18"/>
                              <w:lang w:val="en-US" w:eastAsia="zh-CN" w:bidi="ar-SA"/>
                            </w:rPr>
                            <w:fldChar w:fldCharType="begin"/>
                          </w:r>
                          <w:r>
                            <w:rPr>
                              <w:rFonts w:ascii="Calibri" w:hAnsi="Calibri" w:eastAsia="宋体" w:cs="Times New Roman"/>
                              <w:kern w:val="0"/>
                              <w:sz w:val="18"/>
                              <w:szCs w:val="18"/>
                              <w:lang w:val="en-US" w:eastAsia="zh-CN" w:bidi="ar-SA"/>
                            </w:rPr>
                            <w:instrText xml:space="preserve">PAGE   \* MERGEFORMAT</w:instrText>
                          </w:r>
                          <w:r>
                            <w:rPr>
                              <w:rFonts w:ascii="Calibri" w:hAnsi="Calibri" w:eastAsia="宋体" w:cs="Times New Roman"/>
                              <w:kern w:val="0"/>
                              <w:sz w:val="18"/>
                              <w:szCs w:val="18"/>
                              <w:lang w:val="en-US" w:eastAsia="zh-CN" w:bidi="ar-SA"/>
                            </w:rPr>
                            <w:fldChar w:fldCharType="separate"/>
                          </w:r>
                          <w:r>
                            <w:rPr>
                              <w:rFonts w:ascii="Calibri" w:hAnsi="Calibri" w:eastAsia="宋体" w:cs="Times New Roman"/>
                              <w:kern w:val="0"/>
                              <w:sz w:val="18"/>
                              <w:szCs w:val="18"/>
                              <w:lang w:val="zh-CN" w:eastAsia="zh-CN" w:bidi="ar-SA"/>
                            </w:rPr>
                            <w:t>29</w:t>
                          </w:r>
                          <w:r>
                            <w:rPr>
                              <w:rFonts w:ascii="Calibri" w:hAnsi="Calibri" w:eastAsia="宋体" w:cs="Times New Roman"/>
                              <w:kern w:val="0"/>
                              <w:sz w:val="18"/>
                              <w:szCs w:val="18"/>
                              <w:lang w:val="zh-CN"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nmGe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4d8ctTvz84/v55+/zr28E&#10;fShQH6DGvMeAmWm48QMmz35AZ+Y9qGjzFxkRjKO8p4u8ckhE5Eer5WpVYUhgbL4gPnt6HiKkO+kt&#10;yUZDI86vyMqP95DG1DklV3P+VhtTZmjcXw7EzB6Wex97zFYadsNEaOfbE/LpcfQNdbjplJiPDpXN&#10;WzIbcTZ2s3EIUe+7ska5HoQPh4RNlN5yhRF2KowzK+ym/cpL8fxesp7+qc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p5hnvIAQAAmwMAAA4AAAAAAAAAAQAgAAAAHgEAAGRycy9lMm9Eb2Mu&#10;eG1sUEsFBgAAAAAGAAYAWQEAAFgFAAAAAA==&#10;">
              <v:fill on="f" focussize="0,0"/>
              <v:stroke on="f"/>
              <v:imagedata o:title=""/>
              <o:lock v:ext="edit" aspectratio="f"/>
              <v:textbox inset="0mm,0mm,0mm,0mm" style="mso-fit-shape-to-text:t;">
                <w:txbxContent>
                  <w:p w14:paraId="2A7CB7B7">
                    <w:pPr>
                      <w:widowControl w:val="0"/>
                      <w:snapToGrid w:val="0"/>
                      <w:jc w:val="center"/>
                      <w:rPr>
                        <w:rFonts w:ascii="Calibri" w:hAnsi="Calibri" w:eastAsia="宋体" w:cs="Times New Roman"/>
                        <w:kern w:val="0"/>
                        <w:sz w:val="18"/>
                        <w:szCs w:val="18"/>
                        <w:lang w:val="en-US" w:eastAsia="zh-CN" w:bidi="ar-SA"/>
                      </w:rPr>
                    </w:pPr>
                    <w:r>
                      <w:rPr>
                        <w:rFonts w:ascii="Calibri" w:hAnsi="Calibri" w:eastAsia="宋体" w:cs="Times New Roman"/>
                        <w:kern w:val="0"/>
                        <w:sz w:val="18"/>
                        <w:szCs w:val="18"/>
                        <w:lang w:val="en-US" w:eastAsia="zh-CN" w:bidi="ar-SA"/>
                      </w:rPr>
                      <w:fldChar w:fldCharType="begin"/>
                    </w:r>
                    <w:r>
                      <w:rPr>
                        <w:rFonts w:ascii="Calibri" w:hAnsi="Calibri" w:eastAsia="宋体" w:cs="Times New Roman"/>
                        <w:kern w:val="0"/>
                        <w:sz w:val="18"/>
                        <w:szCs w:val="18"/>
                        <w:lang w:val="en-US" w:eastAsia="zh-CN" w:bidi="ar-SA"/>
                      </w:rPr>
                      <w:instrText xml:space="preserve">PAGE   \* MERGEFORMAT</w:instrText>
                    </w:r>
                    <w:r>
                      <w:rPr>
                        <w:rFonts w:ascii="Calibri" w:hAnsi="Calibri" w:eastAsia="宋体" w:cs="Times New Roman"/>
                        <w:kern w:val="0"/>
                        <w:sz w:val="18"/>
                        <w:szCs w:val="18"/>
                        <w:lang w:val="en-US" w:eastAsia="zh-CN" w:bidi="ar-SA"/>
                      </w:rPr>
                      <w:fldChar w:fldCharType="separate"/>
                    </w:r>
                    <w:r>
                      <w:rPr>
                        <w:rFonts w:ascii="Calibri" w:hAnsi="Calibri" w:eastAsia="宋体" w:cs="Times New Roman"/>
                        <w:kern w:val="0"/>
                        <w:sz w:val="18"/>
                        <w:szCs w:val="18"/>
                        <w:lang w:val="zh-CN" w:eastAsia="zh-CN" w:bidi="ar-SA"/>
                      </w:rPr>
                      <w:t>29</w:t>
                    </w:r>
                    <w:r>
                      <w:rPr>
                        <w:rFonts w:ascii="Calibri" w:hAnsi="Calibri" w:eastAsia="宋体" w:cs="Times New Roman"/>
                        <w:kern w:val="0"/>
                        <w:sz w:val="18"/>
                        <w:szCs w:val="18"/>
                        <w:lang w:val="zh-CN" w:eastAsia="zh-CN" w:bidi="ar-SA"/>
                      </w:rPr>
                      <w:fldChar w:fldCharType="end"/>
                    </w:r>
                  </w:p>
                </w:txbxContent>
              </v:textbox>
            </v:shape>
          </w:pict>
        </mc:Fallback>
      </mc:AlternateContent>
    </w:r>
  </w:p>
  <w:p w14:paraId="6842567A">
    <w:pPr>
      <w:widowControl w:val="0"/>
      <w:snapToGrid w:val="0"/>
      <w:jc w:val="left"/>
      <w:rPr>
        <w:rFonts w:ascii="Calibri" w:hAnsi="Calibri" w:eastAsia="宋体" w:cs="Times New Roman"/>
        <w:kern w:val="0"/>
        <w:sz w:val="18"/>
        <w:szCs w:val="18"/>
        <w:lang w:val="en-US" w:eastAsia="zh-CN" w:bidi="ar-SA"/>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85502">
    <w:pPr>
      <w:pStyle w:val="24"/>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D6650C">
                          <w:pPr>
                            <w:pStyle w:val="24"/>
                            <w:jc w:val="center"/>
                          </w:pPr>
                          <w:r>
                            <w:fldChar w:fldCharType="begin"/>
                          </w:r>
                          <w:r>
                            <w:instrText xml:space="preserve">PAGE   \* MERGEFORMAT</w:instrText>
                          </w:r>
                          <w:r>
                            <w:fldChar w:fldCharType="separate"/>
                          </w:r>
                          <w:r>
                            <w:rPr>
                              <w:lang w:val="zh-CN"/>
                            </w:rPr>
                            <w:t>29</w:t>
                          </w:r>
                          <w:r>
                            <w:rPr>
                              <w:lang w:val="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FvRG8kBAACb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EtbsJbShy3OPHzzx/nX4/nh+8E&#10;fShQH6DGvLuAmWl47wdMnv2Azsx7UNHmLzIiGEd5Txd55ZCIyI9Wy9WqwpDA2HxBfPb0PERIH6S3&#10;JBsNjTi/Iis/foI0ps4puZrzt9qYMkPj/nIgZvaw3PvYY7bSsBsmQjvfnpBPj6NvqMNNp8R8dKhs&#10;3pLZiLOxm41DiHrflTXK9SC8OyRsovSWK4ywU2GcWWE37Vdeij/vJevpn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W9EbyQEAAJsDAAAOAAAAAAAAAAEAIAAAAB4BAABkcnMvZTJvRG9j&#10;LnhtbFBLBQYAAAAABgAGAFkBAABZBQAAAAA=&#10;">
              <v:fill on="f" focussize="0,0"/>
              <v:stroke on="f"/>
              <v:imagedata o:title=""/>
              <o:lock v:ext="edit" aspectratio="f"/>
              <v:textbox inset="0mm,0mm,0mm,0mm" style="mso-fit-shape-to-text:t;">
                <w:txbxContent>
                  <w:p w14:paraId="61D6650C">
                    <w:pPr>
                      <w:pStyle w:val="24"/>
                      <w:jc w:val="center"/>
                    </w:pPr>
                    <w:r>
                      <w:fldChar w:fldCharType="begin"/>
                    </w:r>
                    <w:r>
                      <w:instrText xml:space="preserve">PAGE   \* MERGEFORMAT</w:instrText>
                    </w:r>
                    <w:r>
                      <w:fldChar w:fldCharType="separate"/>
                    </w:r>
                    <w:r>
                      <w:rPr>
                        <w:lang w:val="zh-CN"/>
                      </w:rPr>
                      <w:t>29</w:t>
                    </w:r>
                    <w:r>
                      <w:rPr>
                        <w:lang w:val="zh-CN"/>
                      </w:rPr>
                      <w:fldChar w:fldCharType="end"/>
                    </w:r>
                  </w:p>
                </w:txbxContent>
              </v:textbox>
            </v:shape>
          </w:pict>
        </mc:Fallback>
      </mc:AlternateContent>
    </w:r>
  </w:p>
  <w:p w14:paraId="7ACD9B17">
    <w:pPr>
      <w:pStyle w:val="24"/>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3249B">
    <w:pPr>
      <w:pStyle w:val="24"/>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4B2423">
                          <w:pPr>
                            <w:pStyle w:val="24"/>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hd3eo6AgAAcQQAAA4AAABkcnMvZTJvRG9jLnhtbK1UzY7TMBC+I/EO&#10;lu80aVesSt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69oUQzhY6fvn87&#10;/fh1+vmV4A4CtdbPEPdgERm6t6bD2Az3HpeRd1c5FX/BiMAPeY8XeUUXCI+PppPpNIeLwzccgJ89&#10;PrfOh3fCKBKNgjr0L8nKDhsf+tAhJGbTZt1ImXooNWkLen31O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BoXd3qOgIAAHEEAAAOAAAAAAAAAAEAIAAAAB8BAABkcnMvZTJvRG9j&#10;LnhtbFBLBQYAAAAABgAGAFkBAADLBQAAAAA=&#10;">
              <v:fill on="f" focussize="0,0"/>
              <v:stroke on="f" weight="0.5pt"/>
              <v:imagedata o:title=""/>
              <o:lock v:ext="edit" aspectratio="f"/>
              <v:textbox inset="0mm,0mm,0mm,0mm" style="mso-fit-shape-to-text:t;">
                <w:txbxContent>
                  <w:p w14:paraId="7F4B2423">
                    <w:pPr>
                      <w:pStyle w:val="24"/>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A37B3">
    <w:pPr>
      <w:pStyle w:val="24"/>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E61355">
                          <w:pPr>
                            <w:pStyle w:val="24"/>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Ct6PG2PQIAAG8EAAAOAAAAAAAAAAEAIAAAAB8BAABkcnMvZTJv&#10;RG9jLnhtbFBLBQYAAAAABgAGAFkBAADOBQAAAAA=&#10;">
              <v:fill on="f" focussize="0,0"/>
              <v:stroke on="f" weight="0.5pt"/>
              <v:imagedata o:title=""/>
              <o:lock v:ext="edit" aspectratio="f"/>
              <v:textbox inset="0mm,0mm,0mm,0mm" style="mso-fit-shape-to-text:t;">
                <w:txbxContent>
                  <w:p w14:paraId="14E61355">
                    <w:pPr>
                      <w:pStyle w:val="24"/>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A5312">
    <w:pPr>
      <w:pStyle w:val="24"/>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4"/>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185C7A">
                          <w:pPr>
                            <w:pStyle w:val="24"/>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C4MxFUPQIAAG8EAAAOAAAAAAAAAAEAIAAAAB8BAABkcnMvZTJv&#10;RG9jLnhtbFBLBQYAAAAABgAGAFkBAADOBQAAAAA=&#10;">
              <v:fill on="f" focussize="0,0"/>
              <v:stroke on="f" weight="0.5pt"/>
              <v:imagedata o:title=""/>
              <o:lock v:ext="edit" aspectratio="f"/>
              <v:textbox inset="0mm,0mm,0mm,0mm" style="mso-fit-shape-to-text:t;">
                <w:txbxContent>
                  <w:p w14:paraId="59185C7A">
                    <w:pPr>
                      <w:pStyle w:val="24"/>
                    </w:pPr>
                    <w:r>
                      <w:fldChar w:fldCharType="begin"/>
                    </w:r>
                    <w:r>
                      <w:instrText xml:space="preserve"> PAGE  \* MERGEFORMAT </w:instrText>
                    </w:r>
                    <w:r>
                      <w:fldChar w:fldCharType="separate"/>
                    </w:r>
                    <w:r>
                      <w:t>54</w:t>
                    </w:r>
                    <w:r>
                      <w:fldChar w:fldCharType="end"/>
                    </w:r>
                  </w:p>
                </w:txbxContent>
              </v:textbox>
            </v:shape>
          </w:pict>
        </mc:Fallback>
      </mc:AlternateContent>
    </w:r>
  </w:p>
  <w:p w14:paraId="612155F9">
    <w:pPr>
      <w:pStyle w:val="2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3BB50">
    <w:pPr>
      <w:pStyle w:val="2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56326">
    <w:pPr>
      <w:widowControl w:val="0"/>
      <w:pBdr>
        <w:bottom w:val="none" w:color="auto" w:sz="0" w:space="0"/>
      </w:pBdr>
      <w:snapToGrid w:val="0"/>
      <w:spacing w:before="120"/>
      <w:jc w:val="center"/>
      <w:rPr>
        <w:rFonts w:ascii="Calibri" w:hAnsi="Calibri" w:eastAsia="宋体" w:cs="Times New Roman"/>
        <w:kern w:val="0"/>
        <w:sz w:val="18"/>
        <w:szCs w:val="18"/>
        <w:lang w:val="en-US" w:eastAsia="zh-CN"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C111F">
    <w:pPr>
      <w:widowControl w:val="0"/>
      <w:pBdr>
        <w:bottom w:val="single" w:color="auto" w:sz="6" w:space="1"/>
      </w:pBdr>
      <w:snapToGrid w:val="0"/>
      <w:spacing w:before="120"/>
      <w:jc w:val="center"/>
      <w:rPr>
        <w:rFonts w:ascii="Calibri" w:hAnsi="Calibri" w:eastAsia="宋体" w:cs="Times New Roman"/>
        <w:kern w:val="0"/>
        <w:sz w:val="18"/>
        <w:szCs w:val="18"/>
        <w:lang w:val="en-US" w:eastAsia="zh-CN" w:bidi="ar-S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F2B48">
    <w:pPr>
      <w:spacing w:before="120"/>
      <w:rPr>
        <w:rFonts w:hint="default" w:eastAsia="宋体"/>
        <w:kern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B46DB">
    <w:pPr>
      <w:widowControl w:val="0"/>
      <w:pBdr>
        <w:bottom w:val="none" w:color="auto" w:sz="0" w:space="0"/>
      </w:pBdr>
      <w:snapToGrid w:val="0"/>
      <w:jc w:val="center"/>
      <w:rPr>
        <w:rFonts w:ascii="Calibri" w:hAnsi="Calibri" w:eastAsia="宋体" w:cs="Times New Roman"/>
        <w:kern w:val="0"/>
        <w:sz w:val="18"/>
        <w:szCs w:val="18"/>
        <w:lang w:val="en-US" w:eastAsia="zh-CN" w:bidi="ar-S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9056C">
    <w:pPr>
      <w:pStyle w:val="25"/>
      <w:pBdr>
        <w:bottom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3339D">
    <w:pPr>
      <w:adjustRightInd w:val="0"/>
      <w:snapToGrid w:val="0"/>
      <w:spacing w:before="120" w:beforeLines="50" w:after="120" w:afterLines="50" w:line="360" w:lineRule="auto"/>
      <w:ind w:firstLine="560" w:firstLineChars="200"/>
      <w:rPr>
        <w:rFonts w:hint="default" w:ascii="仿宋" w:hAnsi="仿宋" w:eastAsia="仿宋"/>
        <w:kern w:val="2"/>
        <w:sz w:val="28"/>
        <w:szCs w:val="28"/>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A613E">
    <w:pPr>
      <w:spacing w:before="120" w:after="120"/>
      <w:ind w:firstLine="56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8D262">
    <w:pPr>
      <w:pStyle w:val="25"/>
      <w:pBdr>
        <w:bottom w:val="none" w:color="auto" w:sz="0" w:space="1"/>
      </w:pBdr>
      <w:jc w:val="both"/>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6F39F">
    <w:pPr>
      <w:pStyle w:val="25"/>
      <w:pBdr>
        <w:bottom w:val="none" w:color="auto" w:sz="0" w:space="1"/>
      </w:pBdr>
      <w:jc w:val="both"/>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BFD521"/>
    <w:multiLevelType w:val="singleLevel"/>
    <w:tmpl w:val="F7BFD521"/>
    <w:lvl w:ilvl="0" w:tentative="0">
      <w:start w:val="1"/>
      <w:numFmt w:val="decimal"/>
      <w:suff w:val="nothing"/>
      <w:lvlText w:val="（%1）"/>
      <w:lvlJc w:val="left"/>
    </w:lvl>
  </w:abstractNum>
  <w:abstractNum w:abstractNumId="1">
    <w:nsid w:val="0053208E"/>
    <w:multiLevelType w:val="multilevel"/>
    <w:tmpl w:val="0053208E"/>
    <w:lvl w:ilvl="0" w:tentative="0">
      <w:start w:val="1"/>
      <w:numFmt w:val="bullet"/>
      <w:pStyle w:val="17"/>
      <w:lvlText w:val=""/>
      <w:lvlJc w:val="left"/>
      <w:pPr>
        <w:tabs>
          <w:tab w:val="left" w:pos="780"/>
        </w:tabs>
        <w:ind w:left="780" w:hanging="360"/>
      </w:pPr>
      <w:rPr>
        <w:rFonts w:hint="default" w:ascii="Wingdings" w:hAnsi="Wingdings"/>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0D4A9EA7"/>
    <w:multiLevelType w:val="singleLevel"/>
    <w:tmpl w:val="0D4A9EA7"/>
    <w:lvl w:ilvl="0" w:tentative="0">
      <w:start w:val="1"/>
      <w:numFmt w:val="bullet"/>
      <w:lvlText w:val=""/>
      <w:lvlJc w:val="left"/>
      <w:pPr>
        <w:tabs>
          <w:tab w:val="left" w:pos="-420"/>
        </w:tabs>
        <w:ind w:left="0" w:hanging="420"/>
      </w:pPr>
      <w:rPr>
        <w:rFonts w:hint="default" w:ascii="Wingdings" w:hAnsi="Wingdings"/>
      </w:rPr>
    </w:lvl>
  </w:abstractNum>
  <w:abstractNum w:abstractNumId="3">
    <w:nsid w:val="17A127B8"/>
    <w:multiLevelType w:val="multilevel"/>
    <w:tmpl w:val="17A127B8"/>
    <w:lvl w:ilvl="0" w:tentative="0">
      <w:start w:val="1"/>
      <w:numFmt w:val="bullet"/>
      <w:lvlText w:val=""/>
      <w:lvlJc w:val="left"/>
      <w:pPr>
        <w:ind w:left="980" w:hanging="420"/>
      </w:pPr>
      <w:rPr>
        <w:rFonts w:hint="default" w:ascii="Wingdings" w:hAnsi="Wingdings"/>
      </w:rPr>
    </w:lvl>
    <w:lvl w:ilvl="1" w:tentative="0">
      <w:start w:val="1"/>
      <w:numFmt w:val="bullet"/>
      <w:lvlText w:val=""/>
      <w:lvlJc w:val="left"/>
      <w:pPr>
        <w:ind w:left="1400" w:hanging="420"/>
      </w:pPr>
      <w:rPr>
        <w:rFonts w:hint="default" w:ascii="Wingdings" w:hAnsi="Wingdings"/>
      </w:rPr>
    </w:lvl>
    <w:lvl w:ilvl="2" w:tentative="0">
      <w:start w:val="1"/>
      <w:numFmt w:val="bullet"/>
      <w:lvlText w:val=""/>
      <w:lvlJc w:val="left"/>
      <w:pPr>
        <w:ind w:left="1820" w:hanging="420"/>
      </w:pPr>
      <w:rPr>
        <w:rFonts w:hint="default" w:ascii="Wingdings" w:hAnsi="Wingdings"/>
      </w:rPr>
    </w:lvl>
    <w:lvl w:ilvl="3" w:tentative="0">
      <w:start w:val="1"/>
      <w:numFmt w:val="bullet"/>
      <w:lvlText w:val=""/>
      <w:lvlJc w:val="left"/>
      <w:pPr>
        <w:ind w:left="2240" w:hanging="420"/>
      </w:pPr>
      <w:rPr>
        <w:rFonts w:hint="default" w:ascii="Wingdings" w:hAnsi="Wingdings"/>
      </w:rPr>
    </w:lvl>
    <w:lvl w:ilvl="4" w:tentative="0">
      <w:start w:val="1"/>
      <w:numFmt w:val="bullet"/>
      <w:lvlText w:val=""/>
      <w:lvlJc w:val="left"/>
      <w:pPr>
        <w:ind w:left="2660" w:hanging="420"/>
      </w:pPr>
      <w:rPr>
        <w:rFonts w:hint="default" w:ascii="Wingdings" w:hAnsi="Wingdings"/>
      </w:rPr>
    </w:lvl>
    <w:lvl w:ilvl="5" w:tentative="0">
      <w:start w:val="1"/>
      <w:numFmt w:val="bullet"/>
      <w:lvlText w:val=""/>
      <w:lvlJc w:val="left"/>
      <w:pPr>
        <w:ind w:left="3080" w:hanging="420"/>
      </w:pPr>
      <w:rPr>
        <w:rFonts w:hint="default" w:ascii="Wingdings" w:hAnsi="Wingdings"/>
      </w:rPr>
    </w:lvl>
    <w:lvl w:ilvl="6" w:tentative="0">
      <w:start w:val="1"/>
      <w:numFmt w:val="bullet"/>
      <w:lvlText w:val=""/>
      <w:lvlJc w:val="left"/>
      <w:pPr>
        <w:ind w:left="3500" w:hanging="420"/>
      </w:pPr>
      <w:rPr>
        <w:rFonts w:hint="default" w:ascii="Wingdings" w:hAnsi="Wingdings"/>
      </w:rPr>
    </w:lvl>
    <w:lvl w:ilvl="7" w:tentative="0">
      <w:start w:val="1"/>
      <w:numFmt w:val="bullet"/>
      <w:lvlText w:val=""/>
      <w:lvlJc w:val="left"/>
      <w:pPr>
        <w:ind w:left="3920" w:hanging="420"/>
      </w:pPr>
      <w:rPr>
        <w:rFonts w:hint="default" w:ascii="Wingdings" w:hAnsi="Wingdings"/>
      </w:rPr>
    </w:lvl>
    <w:lvl w:ilvl="8" w:tentative="0">
      <w:start w:val="1"/>
      <w:numFmt w:val="bullet"/>
      <w:lvlText w:val=""/>
      <w:lvlJc w:val="left"/>
      <w:pPr>
        <w:ind w:left="4340" w:hanging="420"/>
      </w:pPr>
      <w:rPr>
        <w:rFonts w:hint="default" w:ascii="Wingdings" w:hAnsi="Wingdings"/>
      </w:rPr>
    </w:lvl>
  </w:abstractNum>
  <w:abstractNum w:abstractNumId="4">
    <w:nsid w:val="2107364B"/>
    <w:multiLevelType w:val="multilevel"/>
    <w:tmpl w:val="2107364B"/>
    <w:lvl w:ilvl="0" w:tentative="0">
      <w:start w:val="1"/>
      <w:numFmt w:val="bullet"/>
      <w:lvlText w:val=""/>
      <w:lvlJc w:val="left"/>
      <w:pPr>
        <w:ind w:left="980" w:hanging="420"/>
      </w:pPr>
      <w:rPr>
        <w:rFonts w:hint="default" w:ascii="Wingdings" w:hAnsi="Wingdings"/>
      </w:rPr>
    </w:lvl>
    <w:lvl w:ilvl="1" w:tentative="0">
      <w:start w:val="1"/>
      <w:numFmt w:val="bullet"/>
      <w:lvlText w:val=""/>
      <w:lvlJc w:val="left"/>
      <w:pPr>
        <w:ind w:left="1400" w:hanging="420"/>
      </w:pPr>
      <w:rPr>
        <w:rFonts w:hint="default" w:ascii="Wingdings" w:hAnsi="Wingdings"/>
      </w:rPr>
    </w:lvl>
    <w:lvl w:ilvl="2" w:tentative="0">
      <w:start w:val="1"/>
      <w:numFmt w:val="bullet"/>
      <w:lvlText w:val=""/>
      <w:lvlJc w:val="left"/>
      <w:pPr>
        <w:ind w:left="1820" w:hanging="420"/>
      </w:pPr>
      <w:rPr>
        <w:rFonts w:hint="default" w:ascii="Wingdings" w:hAnsi="Wingdings"/>
      </w:rPr>
    </w:lvl>
    <w:lvl w:ilvl="3" w:tentative="0">
      <w:start w:val="1"/>
      <w:numFmt w:val="bullet"/>
      <w:lvlText w:val=""/>
      <w:lvlJc w:val="left"/>
      <w:pPr>
        <w:ind w:left="2240" w:hanging="420"/>
      </w:pPr>
      <w:rPr>
        <w:rFonts w:hint="default" w:ascii="Wingdings" w:hAnsi="Wingdings"/>
      </w:rPr>
    </w:lvl>
    <w:lvl w:ilvl="4" w:tentative="0">
      <w:start w:val="1"/>
      <w:numFmt w:val="bullet"/>
      <w:lvlText w:val=""/>
      <w:lvlJc w:val="left"/>
      <w:pPr>
        <w:ind w:left="2660" w:hanging="420"/>
      </w:pPr>
      <w:rPr>
        <w:rFonts w:hint="default" w:ascii="Wingdings" w:hAnsi="Wingdings"/>
      </w:rPr>
    </w:lvl>
    <w:lvl w:ilvl="5" w:tentative="0">
      <w:start w:val="1"/>
      <w:numFmt w:val="bullet"/>
      <w:lvlText w:val=""/>
      <w:lvlJc w:val="left"/>
      <w:pPr>
        <w:ind w:left="3080" w:hanging="420"/>
      </w:pPr>
      <w:rPr>
        <w:rFonts w:hint="default" w:ascii="Wingdings" w:hAnsi="Wingdings"/>
      </w:rPr>
    </w:lvl>
    <w:lvl w:ilvl="6" w:tentative="0">
      <w:start w:val="1"/>
      <w:numFmt w:val="bullet"/>
      <w:lvlText w:val=""/>
      <w:lvlJc w:val="left"/>
      <w:pPr>
        <w:ind w:left="3500" w:hanging="420"/>
      </w:pPr>
      <w:rPr>
        <w:rFonts w:hint="default" w:ascii="Wingdings" w:hAnsi="Wingdings"/>
      </w:rPr>
    </w:lvl>
    <w:lvl w:ilvl="7" w:tentative="0">
      <w:start w:val="1"/>
      <w:numFmt w:val="bullet"/>
      <w:lvlText w:val=""/>
      <w:lvlJc w:val="left"/>
      <w:pPr>
        <w:ind w:left="3920" w:hanging="420"/>
      </w:pPr>
      <w:rPr>
        <w:rFonts w:hint="default" w:ascii="Wingdings" w:hAnsi="Wingdings"/>
      </w:rPr>
    </w:lvl>
    <w:lvl w:ilvl="8" w:tentative="0">
      <w:start w:val="1"/>
      <w:numFmt w:val="bullet"/>
      <w:lvlText w:val=""/>
      <w:lvlJc w:val="left"/>
      <w:pPr>
        <w:ind w:left="4340" w:hanging="420"/>
      </w:pPr>
      <w:rPr>
        <w:rFonts w:hint="default" w:ascii="Wingdings" w:hAnsi="Wingdings"/>
      </w:rPr>
    </w:lvl>
  </w:abstractNum>
  <w:abstractNum w:abstractNumId="5">
    <w:nsid w:val="34AE3562"/>
    <w:multiLevelType w:val="multilevel"/>
    <w:tmpl w:val="34AE3562"/>
    <w:lvl w:ilvl="0" w:tentative="0">
      <w:start w:val="1"/>
      <w:numFmt w:val="decimal"/>
      <w:lvlText w:val="第%1条"/>
      <w:lvlJc w:val="left"/>
      <w:pPr>
        <w:tabs>
          <w:tab w:val="left" w:pos="4051"/>
        </w:tabs>
        <w:ind w:firstLine="119"/>
      </w:pPr>
      <w:rPr>
        <w:rFonts w:hint="default" w:ascii="Times New Roman" w:hAnsi="Times New Roman" w:eastAsia="仿宋" w:cs="Times New Roman"/>
        <w:b/>
        <w:i w:val="0"/>
        <w:sz w:val="28"/>
      </w:rPr>
    </w:lvl>
    <w:lvl w:ilvl="1" w:tentative="0">
      <w:start w:val="1"/>
      <w:numFmt w:val="decimal"/>
      <w:lvlText w:val="%1.%2 "/>
      <w:lvlJc w:val="left"/>
      <w:pPr>
        <w:tabs>
          <w:tab w:val="left" w:pos="908"/>
        </w:tabs>
        <w:ind w:left="908" w:hanging="624"/>
      </w:pPr>
      <w:rPr>
        <w:rFonts w:hint="default" w:ascii="Times New Roman" w:hAnsi="Times New Roman" w:eastAsia="宋体" w:cs="Times New Roman"/>
        <w:b/>
        <w:i w:val="0"/>
        <w:sz w:val="24"/>
        <w:szCs w:val="24"/>
      </w:rPr>
    </w:lvl>
    <w:lvl w:ilvl="2" w:tentative="0">
      <w:start w:val="1"/>
      <w:numFmt w:val="decimal"/>
      <w:lvlText w:val="%1.%2.%3"/>
      <w:lvlJc w:val="left"/>
      <w:pPr>
        <w:tabs>
          <w:tab w:val="left" w:pos="2524"/>
        </w:tabs>
        <w:ind w:left="2524" w:hanging="680"/>
      </w:pPr>
      <w:rPr>
        <w:rFonts w:hint="default" w:ascii="Times New Roman" w:hAnsi="Times New Roman" w:eastAsia="宋体" w:cs="Times New Roman"/>
        <w:b w:val="0"/>
        <w:i w:val="0"/>
        <w:sz w:val="24"/>
        <w:szCs w:val="24"/>
      </w:rPr>
    </w:lvl>
    <w:lvl w:ilvl="3" w:tentative="0">
      <w:start w:val="1"/>
      <w:numFmt w:val="lowerLetter"/>
      <w:lvlText w:val="（%4）"/>
      <w:lvlJc w:val="left"/>
      <w:pPr>
        <w:tabs>
          <w:tab w:val="left" w:pos="3211"/>
        </w:tabs>
        <w:ind w:left="3267" w:hanging="567"/>
      </w:pPr>
      <w:rPr>
        <w:rFonts w:hint="default" w:cs="Times New Roman"/>
        <w:b w:val="0"/>
        <w:i w:val="0"/>
      </w:rPr>
    </w:lvl>
    <w:lvl w:ilvl="4" w:tentative="0">
      <w:start w:val="1"/>
      <w:numFmt w:val="lowerRoman"/>
      <w:lvlText w:val="(%5)"/>
      <w:lvlJc w:val="left"/>
      <w:pPr>
        <w:tabs>
          <w:tab w:val="left" w:pos="839"/>
        </w:tabs>
        <w:ind w:left="839" w:hanging="1008"/>
      </w:pPr>
      <w:rPr>
        <w:rFonts w:hint="eastAsia" w:cs="Times New Roman"/>
        <w:color w:val="auto"/>
      </w:rPr>
    </w:lvl>
    <w:lvl w:ilvl="5" w:tentative="0">
      <w:start w:val="1"/>
      <w:numFmt w:val="decimal"/>
      <w:lvlText w:val="%1.%2.%3.%4.%5.%6"/>
      <w:lvlJc w:val="left"/>
      <w:pPr>
        <w:tabs>
          <w:tab w:val="left" w:pos="983"/>
        </w:tabs>
        <w:ind w:left="983" w:hanging="1152"/>
      </w:pPr>
      <w:rPr>
        <w:rFonts w:hint="eastAsia" w:cs="Times New Roman"/>
      </w:rPr>
    </w:lvl>
    <w:lvl w:ilvl="6" w:tentative="0">
      <w:start w:val="1"/>
      <w:numFmt w:val="decimal"/>
      <w:lvlText w:val="%1.%2.%3.%4.%5.%6.%7"/>
      <w:lvlJc w:val="left"/>
      <w:pPr>
        <w:tabs>
          <w:tab w:val="left" w:pos="1127"/>
        </w:tabs>
        <w:ind w:left="1127" w:hanging="1296"/>
      </w:pPr>
      <w:rPr>
        <w:rFonts w:hint="eastAsia" w:cs="Times New Roman"/>
      </w:rPr>
    </w:lvl>
    <w:lvl w:ilvl="7" w:tentative="0">
      <w:start w:val="1"/>
      <w:numFmt w:val="decimal"/>
      <w:lvlText w:val="%1.%2.%3.%4.%5.%6.%7.%8"/>
      <w:lvlJc w:val="left"/>
      <w:pPr>
        <w:tabs>
          <w:tab w:val="left" w:pos="1271"/>
        </w:tabs>
        <w:ind w:left="1271" w:hanging="1440"/>
      </w:pPr>
      <w:rPr>
        <w:rFonts w:hint="eastAsia" w:cs="Times New Roman"/>
      </w:rPr>
    </w:lvl>
    <w:lvl w:ilvl="8" w:tentative="0">
      <w:start w:val="1"/>
      <w:numFmt w:val="decimal"/>
      <w:lvlText w:val="%1.%2.%3.%4.%5.%6.%7.%8.%9"/>
      <w:lvlJc w:val="left"/>
      <w:pPr>
        <w:tabs>
          <w:tab w:val="left" w:pos="1415"/>
        </w:tabs>
        <w:ind w:left="1415" w:hanging="1584"/>
      </w:pPr>
      <w:rPr>
        <w:rFonts w:hint="eastAsia" w:cs="Times New Roman"/>
      </w:rPr>
    </w:lvl>
  </w:abstractNum>
  <w:abstractNum w:abstractNumId="6">
    <w:nsid w:val="41D667FB"/>
    <w:multiLevelType w:val="multilevel"/>
    <w:tmpl w:val="41D667FB"/>
    <w:lvl w:ilvl="0" w:tentative="0">
      <w:start w:val="1"/>
      <w:numFmt w:val="decimal"/>
      <w:lvlText w:val="（%1）"/>
      <w:lvlJc w:val="left"/>
      <w:pPr>
        <w:ind w:left="900" w:hanging="420"/>
      </w:pPr>
      <w:rPr>
        <w:rFonts w:hint="default" w:cs="Times New Roman"/>
      </w:rPr>
    </w:lvl>
    <w:lvl w:ilvl="1" w:tentative="0">
      <w:start w:val="1"/>
      <w:numFmt w:val="lowerLetter"/>
      <w:lvlText w:val="%2)"/>
      <w:lvlJc w:val="left"/>
      <w:pPr>
        <w:ind w:left="1320" w:hanging="420"/>
      </w:pPr>
      <w:rPr>
        <w:rFonts w:cs="Times New Roman"/>
      </w:rPr>
    </w:lvl>
    <w:lvl w:ilvl="2" w:tentative="0">
      <w:start w:val="1"/>
      <w:numFmt w:val="lowerRoman"/>
      <w:lvlText w:val="%3."/>
      <w:lvlJc w:val="right"/>
      <w:pPr>
        <w:ind w:left="1740" w:hanging="420"/>
      </w:pPr>
      <w:rPr>
        <w:rFonts w:cs="Times New Roman"/>
      </w:rPr>
    </w:lvl>
    <w:lvl w:ilvl="3" w:tentative="0">
      <w:start w:val="1"/>
      <w:numFmt w:val="decimal"/>
      <w:lvlText w:val="%4."/>
      <w:lvlJc w:val="left"/>
      <w:pPr>
        <w:ind w:left="2160" w:hanging="420"/>
      </w:pPr>
      <w:rPr>
        <w:rFonts w:cs="Times New Roman"/>
      </w:rPr>
    </w:lvl>
    <w:lvl w:ilvl="4" w:tentative="0">
      <w:start w:val="1"/>
      <w:numFmt w:val="lowerLetter"/>
      <w:lvlText w:val="%5)"/>
      <w:lvlJc w:val="left"/>
      <w:pPr>
        <w:ind w:left="2580" w:hanging="420"/>
      </w:pPr>
      <w:rPr>
        <w:rFonts w:cs="Times New Roman"/>
      </w:rPr>
    </w:lvl>
    <w:lvl w:ilvl="5" w:tentative="0">
      <w:start w:val="1"/>
      <w:numFmt w:val="lowerRoman"/>
      <w:lvlText w:val="%6."/>
      <w:lvlJc w:val="right"/>
      <w:pPr>
        <w:ind w:left="3000" w:hanging="420"/>
      </w:pPr>
      <w:rPr>
        <w:rFonts w:cs="Times New Roman"/>
      </w:rPr>
    </w:lvl>
    <w:lvl w:ilvl="6" w:tentative="0">
      <w:start w:val="1"/>
      <w:numFmt w:val="decimal"/>
      <w:lvlText w:val="%7."/>
      <w:lvlJc w:val="left"/>
      <w:pPr>
        <w:ind w:left="3420" w:hanging="420"/>
      </w:pPr>
      <w:rPr>
        <w:rFonts w:cs="Times New Roman"/>
      </w:rPr>
    </w:lvl>
    <w:lvl w:ilvl="7" w:tentative="0">
      <w:start w:val="1"/>
      <w:numFmt w:val="lowerLetter"/>
      <w:lvlText w:val="%8)"/>
      <w:lvlJc w:val="left"/>
      <w:pPr>
        <w:ind w:left="3840" w:hanging="420"/>
      </w:pPr>
      <w:rPr>
        <w:rFonts w:cs="Times New Roman"/>
      </w:rPr>
    </w:lvl>
    <w:lvl w:ilvl="8" w:tentative="0">
      <w:start w:val="1"/>
      <w:numFmt w:val="lowerRoman"/>
      <w:lvlText w:val="%9."/>
      <w:lvlJc w:val="right"/>
      <w:pPr>
        <w:ind w:left="4260" w:hanging="420"/>
      </w:pPr>
      <w:rPr>
        <w:rFonts w:cs="Times New Roman"/>
      </w:rPr>
    </w:lvl>
  </w:abstractNum>
  <w:abstractNum w:abstractNumId="7">
    <w:nsid w:val="50494CA8"/>
    <w:multiLevelType w:val="multilevel"/>
    <w:tmpl w:val="50494CA8"/>
    <w:lvl w:ilvl="0" w:tentative="0">
      <w:start w:val="1"/>
      <w:numFmt w:val="decimalEnclosedCircle"/>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8">
    <w:nsid w:val="55973C47"/>
    <w:multiLevelType w:val="multilevel"/>
    <w:tmpl w:val="55973C47"/>
    <w:lvl w:ilvl="0" w:tentative="0">
      <w:start w:val="1"/>
      <w:numFmt w:val="bullet"/>
      <w:lvlText w:val=""/>
      <w:lvlJc w:val="left"/>
      <w:pPr>
        <w:ind w:left="980" w:hanging="420"/>
      </w:pPr>
      <w:rPr>
        <w:rFonts w:hint="default" w:ascii="Wingdings" w:hAnsi="Wingdings"/>
      </w:rPr>
    </w:lvl>
    <w:lvl w:ilvl="1" w:tentative="0">
      <w:start w:val="1"/>
      <w:numFmt w:val="bullet"/>
      <w:lvlText w:val=""/>
      <w:lvlJc w:val="left"/>
      <w:pPr>
        <w:ind w:left="1400" w:hanging="420"/>
      </w:pPr>
      <w:rPr>
        <w:rFonts w:hint="default" w:ascii="Wingdings" w:hAnsi="Wingdings"/>
      </w:rPr>
    </w:lvl>
    <w:lvl w:ilvl="2" w:tentative="0">
      <w:start w:val="1"/>
      <w:numFmt w:val="bullet"/>
      <w:lvlText w:val=""/>
      <w:lvlJc w:val="left"/>
      <w:pPr>
        <w:ind w:left="1820" w:hanging="420"/>
      </w:pPr>
      <w:rPr>
        <w:rFonts w:hint="default" w:ascii="Wingdings" w:hAnsi="Wingdings"/>
      </w:rPr>
    </w:lvl>
    <w:lvl w:ilvl="3" w:tentative="0">
      <w:start w:val="1"/>
      <w:numFmt w:val="bullet"/>
      <w:lvlText w:val=""/>
      <w:lvlJc w:val="left"/>
      <w:pPr>
        <w:ind w:left="2240" w:hanging="420"/>
      </w:pPr>
      <w:rPr>
        <w:rFonts w:hint="default" w:ascii="Wingdings" w:hAnsi="Wingdings"/>
      </w:rPr>
    </w:lvl>
    <w:lvl w:ilvl="4" w:tentative="0">
      <w:start w:val="1"/>
      <w:numFmt w:val="bullet"/>
      <w:lvlText w:val=""/>
      <w:lvlJc w:val="left"/>
      <w:pPr>
        <w:ind w:left="2660" w:hanging="420"/>
      </w:pPr>
      <w:rPr>
        <w:rFonts w:hint="default" w:ascii="Wingdings" w:hAnsi="Wingdings"/>
      </w:rPr>
    </w:lvl>
    <w:lvl w:ilvl="5" w:tentative="0">
      <w:start w:val="1"/>
      <w:numFmt w:val="bullet"/>
      <w:lvlText w:val=""/>
      <w:lvlJc w:val="left"/>
      <w:pPr>
        <w:ind w:left="3080" w:hanging="420"/>
      </w:pPr>
      <w:rPr>
        <w:rFonts w:hint="default" w:ascii="Wingdings" w:hAnsi="Wingdings"/>
      </w:rPr>
    </w:lvl>
    <w:lvl w:ilvl="6" w:tentative="0">
      <w:start w:val="1"/>
      <w:numFmt w:val="bullet"/>
      <w:lvlText w:val=""/>
      <w:lvlJc w:val="left"/>
      <w:pPr>
        <w:ind w:left="3500" w:hanging="420"/>
      </w:pPr>
      <w:rPr>
        <w:rFonts w:hint="default" w:ascii="Wingdings" w:hAnsi="Wingdings"/>
      </w:rPr>
    </w:lvl>
    <w:lvl w:ilvl="7" w:tentative="0">
      <w:start w:val="1"/>
      <w:numFmt w:val="bullet"/>
      <w:lvlText w:val=""/>
      <w:lvlJc w:val="left"/>
      <w:pPr>
        <w:ind w:left="3920" w:hanging="420"/>
      </w:pPr>
      <w:rPr>
        <w:rFonts w:hint="default" w:ascii="Wingdings" w:hAnsi="Wingdings"/>
      </w:rPr>
    </w:lvl>
    <w:lvl w:ilvl="8" w:tentative="0">
      <w:start w:val="1"/>
      <w:numFmt w:val="bullet"/>
      <w:lvlText w:val=""/>
      <w:lvlJc w:val="left"/>
      <w:pPr>
        <w:ind w:left="4340" w:hanging="420"/>
      </w:pPr>
      <w:rPr>
        <w:rFonts w:hint="default" w:ascii="Wingdings" w:hAnsi="Wingdings"/>
      </w:rPr>
    </w:lvl>
  </w:abstractNum>
  <w:abstractNum w:abstractNumId="9">
    <w:nsid w:val="59ADCABA"/>
    <w:multiLevelType w:val="multilevel"/>
    <w:tmpl w:val="59ADCABA"/>
    <w:lvl w:ilvl="0" w:tentative="0">
      <w:start w:val="7"/>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0">
    <w:nsid w:val="5AA64941"/>
    <w:multiLevelType w:val="multilevel"/>
    <w:tmpl w:val="5AA64941"/>
    <w:lvl w:ilvl="0" w:tentative="0">
      <w:start w:val="1"/>
      <w:numFmt w:val="bullet"/>
      <w:lvlText w:val=""/>
      <w:lvlJc w:val="left"/>
      <w:pPr>
        <w:ind w:left="980" w:hanging="420"/>
      </w:pPr>
      <w:rPr>
        <w:rFonts w:hint="default" w:ascii="Wingdings" w:hAnsi="Wingdings"/>
      </w:rPr>
    </w:lvl>
    <w:lvl w:ilvl="1" w:tentative="0">
      <w:start w:val="1"/>
      <w:numFmt w:val="bullet"/>
      <w:lvlText w:val=""/>
      <w:lvlJc w:val="left"/>
      <w:pPr>
        <w:ind w:left="1400" w:hanging="420"/>
      </w:pPr>
      <w:rPr>
        <w:rFonts w:hint="default" w:ascii="Wingdings" w:hAnsi="Wingdings"/>
      </w:rPr>
    </w:lvl>
    <w:lvl w:ilvl="2" w:tentative="0">
      <w:start w:val="1"/>
      <w:numFmt w:val="bullet"/>
      <w:lvlText w:val=""/>
      <w:lvlJc w:val="left"/>
      <w:pPr>
        <w:ind w:left="1820" w:hanging="420"/>
      </w:pPr>
      <w:rPr>
        <w:rFonts w:hint="default" w:ascii="Wingdings" w:hAnsi="Wingdings"/>
      </w:rPr>
    </w:lvl>
    <w:lvl w:ilvl="3" w:tentative="0">
      <w:start w:val="1"/>
      <w:numFmt w:val="bullet"/>
      <w:lvlText w:val=""/>
      <w:lvlJc w:val="left"/>
      <w:pPr>
        <w:ind w:left="2240" w:hanging="420"/>
      </w:pPr>
      <w:rPr>
        <w:rFonts w:hint="default" w:ascii="Wingdings" w:hAnsi="Wingdings"/>
      </w:rPr>
    </w:lvl>
    <w:lvl w:ilvl="4" w:tentative="0">
      <w:start w:val="1"/>
      <w:numFmt w:val="bullet"/>
      <w:lvlText w:val=""/>
      <w:lvlJc w:val="left"/>
      <w:pPr>
        <w:ind w:left="2660" w:hanging="420"/>
      </w:pPr>
      <w:rPr>
        <w:rFonts w:hint="default" w:ascii="Wingdings" w:hAnsi="Wingdings"/>
      </w:rPr>
    </w:lvl>
    <w:lvl w:ilvl="5" w:tentative="0">
      <w:start w:val="1"/>
      <w:numFmt w:val="bullet"/>
      <w:lvlText w:val=""/>
      <w:lvlJc w:val="left"/>
      <w:pPr>
        <w:ind w:left="3080" w:hanging="420"/>
      </w:pPr>
      <w:rPr>
        <w:rFonts w:hint="default" w:ascii="Wingdings" w:hAnsi="Wingdings"/>
      </w:rPr>
    </w:lvl>
    <w:lvl w:ilvl="6" w:tentative="0">
      <w:start w:val="1"/>
      <w:numFmt w:val="bullet"/>
      <w:lvlText w:val=""/>
      <w:lvlJc w:val="left"/>
      <w:pPr>
        <w:ind w:left="3500" w:hanging="420"/>
      </w:pPr>
      <w:rPr>
        <w:rFonts w:hint="default" w:ascii="Wingdings" w:hAnsi="Wingdings"/>
      </w:rPr>
    </w:lvl>
    <w:lvl w:ilvl="7" w:tentative="0">
      <w:start w:val="1"/>
      <w:numFmt w:val="bullet"/>
      <w:lvlText w:val=""/>
      <w:lvlJc w:val="left"/>
      <w:pPr>
        <w:ind w:left="3920" w:hanging="420"/>
      </w:pPr>
      <w:rPr>
        <w:rFonts w:hint="default" w:ascii="Wingdings" w:hAnsi="Wingdings"/>
      </w:rPr>
    </w:lvl>
    <w:lvl w:ilvl="8" w:tentative="0">
      <w:start w:val="1"/>
      <w:numFmt w:val="bullet"/>
      <w:lvlText w:val=""/>
      <w:lvlJc w:val="left"/>
      <w:pPr>
        <w:ind w:left="4340" w:hanging="420"/>
      </w:pPr>
      <w:rPr>
        <w:rFonts w:hint="default" w:ascii="Wingdings" w:hAnsi="Wingdings"/>
      </w:rPr>
    </w:lvl>
  </w:abstractNum>
  <w:abstractNum w:abstractNumId="11">
    <w:nsid w:val="60561BCC"/>
    <w:multiLevelType w:val="multilevel"/>
    <w:tmpl w:val="60561BCC"/>
    <w:lvl w:ilvl="0" w:tentative="0">
      <w:start w:val="1"/>
      <w:numFmt w:val="bullet"/>
      <w:lvlText w:val=""/>
      <w:lvlJc w:val="left"/>
      <w:pPr>
        <w:ind w:left="980" w:hanging="420"/>
      </w:pPr>
      <w:rPr>
        <w:rFonts w:hint="default" w:ascii="Wingdings" w:hAnsi="Wingdings"/>
      </w:rPr>
    </w:lvl>
    <w:lvl w:ilvl="1" w:tentative="0">
      <w:start w:val="1"/>
      <w:numFmt w:val="bullet"/>
      <w:lvlText w:val=""/>
      <w:lvlJc w:val="left"/>
      <w:pPr>
        <w:ind w:left="1400" w:hanging="420"/>
      </w:pPr>
      <w:rPr>
        <w:rFonts w:hint="default" w:ascii="Wingdings" w:hAnsi="Wingdings"/>
      </w:rPr>
    </w:lvl>
    <w:lvl w:ilvl="2" w:tentative="0">
      <w:start w:val="1"/>
      <w:numFmt w:val="bullet"/>
      <w:lvlText w:val=""/>
      <w:lvlJc w:val="left"/>
      <w:pPr>
        <w:ind w:left="1820" w:hanging="420"/>
      </w:pPr>
      <w:rPr>
        <w:rFonts w:hint="default" w:ascii="Wingdings" w:hAnsi="Wingdings"/>
      </w:rPr>
    </w:lvl>
    <w:lvl w:ilvl="3" w:tentative="0">
      <w:start w:val="1"/>
      <w:numFmt w:val="bullet"/>
      <w:lvlText w:val=""/>
      <w:lvlJc w:val="left"/>
      <w:pPr>
        <w:ind w:left="2240" w:hanging="420"/>
      </w:pPr>
      <w:rPr>
        <w:rFonts w:hint="default" w:ascii="Wingdings" w:hAnsi="Wingdings"/>
      </w:rPr>
    </w:lvl>
    <w:lvl w:ilvl="4" w:tentative="0">
      <w:start w:val="1"/>
      <w:numFmt w:val="bullet"/>
      <w:lvlText w:val=""/>
      <w:lvlJc w:val="left"/>
      <w:pPr>
        <w:ind w:left="2660" w:hanging="420"/>
      </w:pPr>
      <w:rPr>
        <w:rFonts w:hint="default" w:ascii="Wingdings" w:hAnsi="Wingdings"/>
      </w:rPr>
    </w:lvl>
    <w:lvl w:ilvl="5" w:tentative="0">
      <w:start w:val="1"/>
      <w:numFmt w:val="bullet"/>
      <w:lvlText w:val=""/>
      <w:lvlJc w:val="left"/>
      <w:pPr>
        <w:ind w:left="3080" w:hanging="420"/>
      </w:pPr>
      <w:rPr>
        <w:rFonts w:hint="default" w:ascii="Wingdings" w:hAnsi="Wingdings"/>
      </w:rPr>
    </w:lvl>
    <w:lvl w:ilvl="6" w:tentative="0">
      <w:start w:val="1"/>
      <w:numFmt w:val="bullet"/>
      <w:lvlText w:val=""/>
      <w:lvlJc w:val="left"/>
      <w:pPr>
        <w:ind w:left="3500" w:hanging="420"/>
      </w:pPr>
      <w:rPr>
        <w:rFonts w:hint="default" w:ascii="Wingdings" w:hAnsi="Wingdings"/>
      </w:rPr>
    </w:lvl>
    <w:lvl w:ilvl="7" w:tentative="0">
      <w:start w:val="1"/>
      <w:numFmt w:val="bullet"/>
      <w:lvlText w:val=""/>
      <w:lvlJc w:val="left"/>
      <w:pPr>
        <w:ind w:left="3920" w:hanging="420"/>
      </w:pPr>
      <w:rPr>
        <w:rFonts w:hint="default" w:ascii="Wingdings" w:hAnsi="Wingdings"/>
      </w:rPr>
    </w:lvl>
    <w:lvl w:ilvl="8" w:tentative="0">
      <w:start w:val="1"/>
      <w:numFmt w:val="bullet"/>
      <w:lvlText w:val=""/>
      <w:lvlJc w:val="left"/>
      <w:pPr>
        <w:ind w:left="4340" w:hanging="420"/>
      </w:pPr>
      <w:rPr>
        <w:rFonts w:hint="default" w:ascii="Wingdings" w:hAnsi="Wingdings"/>
      </w:rPr>
    </w:lvl>
  </w:abstractNum>
  <w:abstractNum w:abstractNumId="12">
    <w:nsid w:val="60C52A27"/>
    <w:multiLevelType w:val="multilevel"/>
    <w:tmpl w:val="60C52A27"/>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3">
    <w:nsid w:val="7637731F"/>
    <w:multiLevelType w:val="multilevel"/>
    <w:tmpl w:val="7637731F"/>
    <w:lvl w:ilvl="0" w:tentative="0">
      <w:start w:val="1"/>
      <w:numFmt w:val="bullet"/>
      <w:lvlText w:val=""/>
      <w:lvlJc w:val="left"/>
      <w:pPr>
        <w:ind w:left="980" w:hanging="420"/>
      </w:pPr>
      <w:rPr>
        <w:rFonts w:hint="default" w:ascii="Wingdings" w:hAnsi="Wingdings"/>
      </w:rPr>
    </w:lvl>
    <w:lvl w:ilvl="1" w:tentative="0">
      <w:start w:val="1"/>
      <w:numFmt w:val="bullet"/>
      <w:lvlText w:val=""/>
      <w:lvlJc w:val="left"/>
      <w:pPr>
        <w:ind w:left="1400" w:hanging="420"/>
      </w:pPr>
      <w:rPr>
        <w:rFonts w:hint="default" w:ascii="Wingdings" w:hAnsi="Wingdings"/>
      </w:rPr>
    </w:lvl>
    <w:lvl w:ilvl="2" w:tentative="0">
      <w:start w:val="1"/>
      <w:numFmt w:val="bullet"/>
      <w:lvlText w:val=""/>
      <w:lvlJc w:val="left"/>
      <w:pPr>
        <w:ind w:left="1820" w:hanging="420"/>
      </w:pPr>
      <w:rPr>
        <w:rFonts w:hint="default" w:ascii="Wingdings" w:hAnsi="Wingdings"/>
      </w:rPr>
    </w:lvl>
    <w:lvl w:ilvl="3" w:tentative="0">
      <w:start w:val="1"/>
      <w:numFmt w:val="bullet"/>
      <w:lvlText w:val=""/>
      <w:lvlJc w:val="left"/>
      <w:pPr>
        <w:ind w:left="2240" w:hanging="420"/>
      </w:pPr>
      <w:rPr>
        <w:rFonts w:hint="default" w:ascii="Wingdings" w:hAnsi="Wingdings"/>
      </w:rPr>
    </w:lvl>
    <w:lvl w:ilvl="4" w:tentative="0">
      <w:start w:val="1"/>
      <w:numFmt w:val="bullet"/>
      <w:lvlText w:val=""/>
      <w:lvlJc w:val="left"/>
      <w:pPr>
        <w:ind w:left="2660" w:hanging="420"/>
      </w:pPr>
      <w:rPr>
        <w:rFonts w:hint="default" w:ascii="Wingdings" w:hAnsi="Wingdings"/>
      </w:rPr>
    </w:lvl>
    <w:lvl w:ilvl="5" w:tentative="0">
      <w:start w:val="1"/>
      <w:numFmt w:val="bullet"/>
      <w:lvlText w:val=""/>
      <w:lvlJc w:val="left"/>
      <w:pPr>
        <w:ind w:left="3080" w:hanging="420"/>
      </w:pPr>
      <w:rPr>
        <w:rFonts w:hint="default" w:ascii="Wingdings" w:hAnsi="Wingdings"/>
      </w:rPr>
    </w:lvl>
    <w:lvl w:ilvl="6" w:tentative="0">
      <w:start w:val="1"/>
      <w:numFmt w:val="bullet"/>
      <w:lvlText w:val=""/>
      <w:lvlJc w:val="left"/>
      <w:pPr>
        <w:ind w:left="3500" w:hanging="420"/>
      </w:pPr>
      <w:rPr>
        <w:rFonts w:hint="default" w:ascii="Wingdings" w:hAnsi="Wingdings"/>
      </w:rPr>
    </w:lvl>
    <w:lvl w:ilvl="7" w:tentative="0">
      <w:start w:val="1"/>
      <w:numFmt w:val="bullet"/>
      <w:lvlText w:val=""/>
      <w:lvlJc w:val="left"/>
      <w:pPr>
        <w:ind w:left="3920" w:hanging="420"/>
      </w:pPr>
      <w:rPr>
        <w:rFonts w:hint="default" w:ascii="Wingdings" w:hAnsi="Wingdings"/>
      </w:rPr>
    </w:lvl>
    <w:lvl w:ilvl="8" w:tentative="0">
      <w:start w:val="1"/>
      <w:numFmt w:val="bullet"/>
      <w:lvlText w:val=""/>
      <w:lvlJc w:val="left"/>
      <w:pPr>
        <w:ind w:left="4340" w:hanging="420"/>
      </w:pPr>
      <w:rPr>
        <w:rFonts w:hint="default" w:ascii="Wingdings" w:hAnsi="Wingdings"/>
      </w:rPr>
    </w:lvl>
  </w:abstractNum>
  <w:num w:numId="1">
    <w:abstractNumId w:val="1"/>
  </w:num>
  <w:num w:numId="2">
    <w:abstractNumId w:val="6"/>
  </w:num>
  <w:num w:numId="3">
    <w:abstractNumId w:val="5"/>
  </w:num>
  <w:num w:numId="4">
    <w:abstractNumId w:val="0"/>
  </w:num>
  <w:num w:numId="5">
    <w:abstractNumId w:val="2"/>
  </w:num>
  <w:num w:numId="6">
    <w:abstractNumId w:val="12"/>
  </w:num>
  <w:num w:numId="7">
    <w:abstractNumId w:val="13"/>
  </w:num>
  <w:num w:numId="8">
    <w:abstractNumId w:val="4"/>
  </w:num>
  <w:num w:numId="9">
    <w:abstractNumId w:val="8"/>
  </w:num>
  <w:num w:numId="10">
    <w:abstractNumId w:val="7"/>
  </w:num>
  <w:num w:numId="11">
    <w:abstractNumId w:val="11"/>
  </w:num>
  <w:num w:numId="12">
    <w:abstractNumId w:val="3"/>
  </w:num>
  <w:num w:numId="13">
    <w:abstractNumId w:val="1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hdrShapeDefaults>
    <o:shapelayout v:ext="edit">
      <o:idmap v:ext="edit" data="2"/>
    </o:shapelayout>
  </w:hdrShapeDefault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A6D"/>
    <w:rsid w:val="00000089"/>
    <w:rsid w:val="00000E26"/>
    <w:rsid w:val="00001387"/>
    <w:rsid w:val="00002156"/>
    <w:rsid w:val="00002882"/>
    <w:rsid w:val="00002E4D"/>
    <w:rsid w:val="00002E97"/>
    <w:rsid w:val="000030C6"/>
    <w:rsid w:val="00003D45"/>
    <w:rsid w:val="00003FE3"/>
    <w:rsid w:val="00004167"/>
    <w:rsid w:val="00004859"/>
    <w:rsid w:val="000049EB"/>
    <w:rsid w:val="00004ABF"/>
    <w:rsid w:val="00004CA9"/>
    <w:rsid w:val="00004FF1"/>
    <w:rsid w:val="00006149"/>
    <w:rsid w:val="000065A4"/>
    <w:rsid w:val="00006E39"/>
    <w:rsid w:val="000071B1"/>
    <w:rsid w:val="00007347"/>
    <w:rsid w:val="00007B12"/>
    <w:rsid w:val="00007F95"/>
    <w:rsid w:val="00010040"/>
    <w:rsid w:val="000116CC"/>
    <w:rsid w:val="00012202"/>
    <w:rsid w:val="00012BC3"/>
    <w:rsid w:val="00013B0C"/>
    <w:rsid w:val="00013EC9"/>
    <w:rsid w:val="00014CBE"/>
    <w:rsid w:val="00015231"/>
    <w:rsid w:val="00015420"/>
    <w:rsid w:val="00015595"/>
    <w:rsid w:val="00015689"/>
    <w:rsid w:val="000166B3"/>
    <w:rsid w:val="00017675"/>
    <w:rsid w:val="00017869"/>
    <w:rsid w:val="00017D51"/>
    <w:rsid w:val="000205C8"/>
    <w:rsid w:val="00020A04"/>
    <w:rsid w:val="00020C1C"/>
    <w:rsid w:val="00021075"/>
    <w:rsid w:val="0002117B"/>
    <w:rsid w:val="000213FC"/>
    <w:rsid w:val="0002179D"/>
    <w:rsid w:val="00021A8D"/>
    <w:rsid w:val="00021D43"/>
    <w:rsid w:val="00022BC3"/>
    <w:rsid w:val="0002438D"/>
    <w:rsid w:val="00025524"/>
    <w:rsid w:val="000258A5"/>
    <w:rsid w:val="00025E46"/>
    <w:rsid w:val="00030CB5"/>
    <w:rsid w:val="00031042"/>
    <w:rsid w:val="00031466"/>
    <w:rsid w:val="00032021"/>
    <w:rsid w:val="000322BF"/>
    <w:rsid w:val="00032583"/>
    <w:rsid w:val="00032C50"/>
    <w:rsid w:val="00032C83"/>
    <w:rsid w:val="00033F79"/>
    <w:rsid w:val="000345BB"/>
    <w:rsid w:val="000346F5"/>
    <w:rsid w:val="00034AA7"/>
    <w:rsid w:val="00034BE6"/>
    <w:rsid w:val="00034E87"/>
    <w:rsid w:val="000357A1"/>
    <w:rsid w:val="00035830"/>
    <w:rsid w:val="00035CAD"/>
    <w:rsid w:val="000363A7"/>
    <w:rsid w:val="00036CF2"/>
    <w:rsid w:val="00041307"/>
    <w:rsid w:val="00041BC8"/>
    <w:rsid w:val="00041FBC"/>
    <w:rsid w:val="00043C76"/>
    <w:rsid w:val="00044036"/>
    <w:rsid w:val="000441EE"/>
    <w:rsid w:val="00046217"/>
    <w:rsid w:val="00046227"/>
    <w:rsid w:val="00046CE6"/>
    <w:rsid w:val="0004760D"/>
    <w:rsid w:val="000505A4"/>
    <w:rsid w:val="000505B6"/>
    <w:rsid w:val="00050B97"/>
    <w:rsid w:val="00051AE1"/>
    <w:rsid w:val="00052101"/>
    <w:rsid w:val="000528A0"/>
    <w:rsid w:val="00052C03"/>
    <w:rsid w:val="00053DD7"/>
    <w:rsid w:val="00053FF3"/>
    <w:rsid w:val="000540E7"/>
    <w:rsid w:val="00054417"/>
    <w:rsid w:val="00054524"/>
    <w:rsid w:val="0005551B"/>
    <w:rsid w:val="000556E8"/>
    <w:rsid w:val="00055915"/>
    <w:rsid w:val="00055998"/>
    <w:rsid w:val="00057374"/>
    <w:rsid w:val="00057389"/>
    <w:rsid w:val="000577F3"/>
    <w:rsid w:val="00057D1B"/>
    <w:rsid w:val="0006031C"/>
    <w:rsid w:val="00060CE1"/>
    <w:rsid w:val="00062B88"/>
    <w:rsid w:val="00063D54"/>
    <w:rsid w:val="00065420"/>
    <w:rsid w:val="0006548B"/>
    <w:rsid w:val="0006564F"/>
    <w:rsid w:val="0006658B"/>
    <w:rsid w:val="00066699"/>
    <w:rsid w:val="0006695A"/>
    <w:rsid w:val="00066A00"/>
    <w:rsid w:val="00070659"/>
    <w:rsid w:val="00070735"/>
    <w:rsid w:val="000708B3"/>
    <w:rsid w:val="00070C61"/>
    <w:rsid w:val="0007187C"/>
    <w:rsid w:val="00071A1F"/>
    <w:rsid w:val="000720F6"/>
    <w:rsid w:val="00072BB8"/>
    <w:rsid w:val="00072EBF"/>
    <w:rsid w:val="0007307F"/>
    <w:rsid w:val="000732EC"/>
    <w:rsid w:val="00073AE0"/>
    <w:rsid w:val="00073EFE"/>
    <w:rsid w:val="0007415F"/>
    <w:rsid w:val="00075111"/>
    <w:rsid w:val="0007553A"/>
    <w:rsid w:val="00075731"/>
    <w:rsid w:val="00076390"/>
    <w:rsid w:val="00076505"/>
    <w:rsid w:val="00076C3D"/>
    <w:rsid w:val="00077A8E"/>
    <w:rsid w:val="00080D30"/>
    <w:rsid w:val="00081637"/>
    <w:rsid w:val="000819B4"/>
    <w:rsid w:val="00081B18"/>
    <w:rsid w:val="00081DCA"/>
    <w:rsid w:val="00082D75"/>
    <w:rsid w:val="00083C50"/>
    <w:rsid w:val="00084724"/>
    <w:rsid w:val="00084736"/>
    <w:rsid w:val="0008477C"/>
    <w:rsid w:val="00086325"/>
    <w:rsid w:val="0008667C"/>
    <w:rsid w:val="00086F40"/>
    <w:rsid w:val="00086FD9"/>
    <w:rsid w:val="00087F14"/>
    <w:rsid w:val="00087FDB"/>
    <w:rsid w:val="000901B2"/>
    <w:rsid w:val="000901EB"/>
    <w:rsid w:val="000902F7"/>
    <w:rsid w:val="000903DD"/>
    <w:rsid w:val="00091E4C"/>
    <w:rsid w:val="000929A4"/>
    <w:rsid w:val="00093243"/>
    <w:rsid w:val="00093283"/>
    <w:rsid w:val="000937ED"/>
    <w:rsid w:val="000939C7"/>
    <w:rsid w:val="00094111"/>
    <w:rsid w:val="00094C35"/>
    <w:rsid w:val="00095664"/>
    <w:rsid w:val="000960BF"/>
    <w:rsid w:val="000A002F"/>
    <w:rsid w:val="000A1216"/>
    <w:rsid w:val="000A1B61"/>
    <w:rsid w:val="000A2300"/>
    <w:rsid w:val="000A24F0"/>
    <w:rsid w:val="000A3124"/>
    <w:rsid w:val="000A414C"/>
    <w:rsid w:val="000A41B3"/>
    <w:rsid w:val="000A4919"/>
    <w:rsid w:val="000A4D6F"/>
    <w:rsid w:val="000A4DBE"/>
    <w:rsid w:val="000A7514"/>
    <w:rsid w:val="000A76AF"/>
    <w:rsid w:val="000A7AB1"/>
    <w:rsid w:val="000B01C4"/>
    <w:rsid w:val="000B045C"/>
    <w:rsid w:val="000B0820"/>
    <w:rsid w:val="000B0DF3"/>
    <w:rsid w:val="000B1040"/>
    <w:rsid w:val="000B1475"/>
    <w:rsid w:val="000B1899"/>
    <w:rsid w:val="000B1C70"/>
    <w:rsid w:val="000B1E33"/>
    <w:rsid w:val="000B28FC"/>
    <w:rsid w:val="000B2B3D"/>
    <w:rsid w:val="000B2C89"/>
    <w:rsid w:val="000B2E2F"/>
    <w:rsid w:val="000B3063"/>
    <w:rsid w:val="000B3806"/>
    <w:rsid w:val="000B4544"/>
    <w:rsid w:val="000B474D"/>
    <w:rsid w:val="000B48F5"/>
    <w:rsid w:val="000B4F64"/>
    <w:rsid w:val="000B59AD"/>
    <w:rsid w:val="000B64D4"/>
    <w:rsid w:val="000B6B5B"/>
    <w:rsid w:val="000B7039"/>
    <w:rsid w:val="000B7D2E"/>
    <w:rsid w:val="000C0447"/>
    <w:rsid w:val="000C2123"/>
    <w:rsid w:val="000C2403"/>
    <w:rsid w:val="000C37ED"/>
    <w:rsid w:val="000C489A"/>
    <w:rsid w:val="000C4CBC"/>
    <w:rsid w:val="000C548E"/>
    <w:rsid w:val="000C6ABD"/>
    <w:rsid w:val="000C7807"/>
    <w:rsid w:val="000C78C9"/>
    <w:rsid w:val="000C7D30"/>
    <w:rsid w:val="000C7E19"/>
    <w:rsid w:val="000D0278"/>
    <w:rsid w:val="000D038C"/>
    <w:rsid w:val="000D0884"/>
    <w:rsid w:val="000D161C"/>
    <w:rsid w:val="000D1A74"/>
    <w:rsid w:val="000D202D"/>
    <w:rsid w:val="000D20AB"/>
    <w:rsid w:val="000D268C"/>
    <w:rsid w:val="000D27EF"/>
    <w:rsid w:val="000D2CD3"/>
    <w:rsid w:val="000D2DD5"/>
    <w:rsid w:val="000D362F"/>
    <w:rsid w:val="000D41A1"/>
    <w:rsid w:val="000D4A0E"/>
    <w:rsid w:val="000D4CF7"/>
    <w:rsid w:val="000D4DD7"/>
    <w:rsid w:val="000D5302"/>
    <w:rsid w:val="000D542B"/>
    <w:rsid w:val="000D59EE"/>
    <w:rsid w:val="000D5B00"/>
    <w:rsid w:val="000D68B1"/>
    <w:rsid w:val="000D7A90"/>
    <w:rsid w:val="000E0707"/>
    <w:rsid w:val="000E0984"/>
    <w:rsid w:val="000E110A"/>
    <w:rsid w:val="000E163B"/>
    <w:rsid w:val="000E194C"/>
    <w:rsid w:val="000E1FE8"/>
    <w:rsid w:val="000E36EF"/>
    <w:rsid w:val="000E3794"/>
    <w:rsid w:val="000E3DF5"/>
    <w:rsid w:val="000E4C96"/>
    <w:rsid w:val="000E4F5F"/>
    <w:rsid w:val="000E537D"/>
    <w:rsid w:val="000E58C8"/>
    <w:rsid w:val="000E6883"/>
    <w:rsid w:val="000E695D"/>
    <w:rsid w:val="000F079F"/>
    <w:rsid w:val="000F1155"/>
    <w:rsid w:val="000F1B72"/>
    <w:rsid w:val="000F20F1"/>
    <w:rsid w:val="000F350C"/>
    <w:rsid w:val="000F3AA5"/>
    <w:rsid w:val="000F4275"/>
    <w:rsid w:val="000F4678"/>
    <w:rsid w:val="000F483E"/>
    <w:rsid w:val="000F4921"/>
    <w:rsid w:val="000F5089"/>
    <w:rsid w:val="000F57E4"/>
    <w:rsid w:val="000F645B"/>
    <w:rsid w:val="000F6AE7"/>
    <w:rsid w:val="000F6BAD"/>
    <w:rsid w:val="000F7A3F"/>
    <w:rsid w:val="000F7F0D"/>
    <w:rsid w:val="00101492"/>
    <w:rsid w:val="001015CB"/>
    <w:rsid w:val="00101EA0"/>
    <w:rsid w:val="00102406"/>
    <w:rsid w:val="00102726"/>
    <w:rsid w:val="00102760"/>
    <w:rsid w:val="00103556"/>
    <w:rsid w:val="00104B89"/>
    <w:rsid w:val="00105A68"/>
    <w:rsid w:val="00106A9A"/>
    <w:rsid w:val="00107167"/>
    <w:rsid w:val="00107D7C"/>
    <w:rsid w:val="0011189A"/>
    <w:rsid w:val="00111E08"/>
    <w:rsid w:val="00112120"/>
    <w:rsid w:val="00112173"/>
    <w:rsid w:val="001122CE"/>
    <w:rsid w:val="00112C86"/>
    <w:rsid w:val="00112FC7"/>
    <w:rsid w:val="00113308"/>
    <w:rsid w:val="00113651"/>
    <w:rsid w:val="0011382E"/>
    <w:rsid w:val="00114116"/>
    <w:rsid w:val="001145A8"/>
    <w:rsid w:val="00114A65"/>
    <w:rsid w:val="0011521B"/>
    <w:rsid w:val="00115C2D"/>
    <w:rsid w:val="00116755"/>
    <w:rsid w:val="00117169"/>
    <w:rsid w:val="00117BF1"/>
    <w:rsid w:val="00117E11"/>
    <w:rsid w:val="001205D5"/>
    <w:rsid w:val="001207A9"/>
    <w:rsid w:val="001207F8"/>
    <w:rsid w:val="00120E09"/>
    <w:rsid w:val="001210B2"/>
    <w:rsid w:val="001211E5"/>
    <w:rsid w:val="00121F6F"/>
    <w:rsid w:val="00122208"/>
    <w:rsid w:val="00123B99"/>
    <w:rsid w:val="0012452F"/>
    <w:rsid w:val="00124A19"/>
    <w:rsid w:val="00125DFE"/>
    <w:rsid w:val="001260F3"/>
    <w:rsid w:val="001261ED"/>
    <w:rsid w:val="0012656E"/>
    <w:rsid w:val="00126A92"/>
    <w:rsid w:val="0012785E"/>
    <w:rsid w:val="0012790F"/>
    <w:rsid w:val="00127BE2"/>
    <w:rsid w:val="00130E27"/>
    <w:rsid w:val="00131764"/>
    <w:rsid w:val="00131850"/>
    <w:rsid w:val="00131A8B"/>
    <w:rsid w:val="001326DF"/>
    <w:rsid w:val="001329F7"/>
    <w:rsid w:val="00133A10"/>
    <w:rsid w:val="00134B53"/>
    <w:rsid w:val="00134D1E"/>
    <w:rsid w:val="001362A9"/>
    <w:rsid w:val="001366CB"/>
    <w:rsid w:val="00136945"/>
    <w:rsid w:val="00137D11"/>
    <w:rsid w:val="00137DA6"/>
    <w:rsid w:val="00140941"/>
    <w:rsid w:val="001418DD"/>
    <w:rsid w:val="0014196F"/>
    <w:rsid w:val="00141D57"/>
    <w:rsid w:val="00142DB9"/>
    <w:rsid w:val="001446A6"/>
    <w:rsid w:val="001448C0"/>
    <w:rsid w:val="00144D7F"/>
    <w:rsid w:val="00144FB0"/>
    <w:rsid w:val="00145527"/>
    <w:rsid w:val="0014580B"/>
    <w:rsid w:val="00145A07"/>
    <w:rsid w:val="001461C4"/>
    <w:rsid w:val="0014667A"/>
    <w:rsid w:val="00146C7D"/>
    <w:rsid w:val="0014708B"/>
    <w:rsid w:val="00147B5E"/>
    <w:rsid w:val="00147BD2"/>
    <w:rsid w:val="00147E6B"/>
    <w:rsid w:val="00147FBF"/>
    <w:rsid w:val="001500B4"/>
    <w:rsid w:val="0015023F"/>
    <w:rsid w:val="00150952"/>
    <w:rsid w:val="001509CB"/>
    <w:rsid w:val="00150BE5"/>
    <w:rsid w:val="00150F44"/>
    <w:rsid w:val="00151024"/>
    <w:rsid w:val="0015168F"/>
    <w:rsid w:val="00151936"/>
    <w:rsid w:val="0015232A"/>
    <w:rsid w:val="001529CA"/>
    <w:rsid w:val="001531ED"/>
    <w:rsid w:val="00153985"/>
    <w:rsid w:val="00153CAF"/>
    <w:rsid w:val="00153F11"/>
    <w:rsid w:val="00154135"/>
    <w:rsid w:val="001551FD"/>
    <w:rsid w:val="00155234"/>
    <w:rsid w:val="00156C53"/>
    <w:rsid w:val="00156C83"/>
    <w:rsid w:val="001623D2"/>
    <w:rsid w:val="00162542"/>
    <w:rsid w:val="00163303"/>
    <w:rsid w:val="00163647"/>
    <w:rsid w:val="00165968"/>
    <w:rsid w:val="00166608"/>
    <w:rsid w:val="001666C5"/>
    <w:rsid w:val="00166732"/>
    <w:rsid w:val="00166B3C"/>
    <w:rsid w:val="001675E2"/>
    <w:rsid w:val="00170A0C"/>
    <w:rsid w:val="00172390"/>
    <w:rsid w:val="0017255B"/>
    <w:rsid w:val="0017271A"/>
    <w:rsid w:val="0017342E"/>
    <w:rsid w:val="001737BA"/>
    <w:rsid w:val="0017393B"/>
    <w:rsid w:val="001747B4"/>
    <w:rsid w:val="00174E5C"/>
    <w:rsid w:val="0017626B"/>
    <w:rsid w:val="00176E11"/>
    <w:rsid w:val="0018044B"/>
    <w:rsid w:val="001806BB"/>
    <w:rsid w:val="00180D73"/>
    <w:rsid w:val="00181149"/>
    <w:rsid w:val="00181277"/>
    <w:rsid w:val="00181AE9"/>
    <w:rsid w:val="00181EC7"/>
    <w:rsid w:val="00182BC7"/>
    <w:rsid w:val="001839FD"/>
    <w:rsid w:val="001840DE"/>
    <w:rsid w:val="00184CBC"/>
    <w:rsid w:val="001857F7"/>
    <w:rsid w:val="00185836"/>
    <w:rsid w:val="00186B42"/>
    <w:rsid w:val="00187135"/>
    <w:rsid w:val="0018754B"/>
    <w:rsid w:val="001909A7"/>
    <w:rsid w:val="00191F48"/>
    <w:rsid w:val="00192B94"/>
    <w:rsid w:val="00193562"/>
    <w:rsid w:val="001937E8"/>
    <w:rsid w:val="00193B37"/>
    <w:rsid w:val="0019459E"/>
    <w:rsid w:val="00194BB0"/>
    <w:rsid w:val="00194D75"/>
    <w:rsid w:val="00194E63"/>
    <w:rsid w:val="001953FC"/>
    <w:rsid w:val="001958B2"/>
    <w:rsid w:val="00196EC3"/>
    <w:rsid w:val="001971AE"/>
    <w:rsid w:val="00197447"/>
    <w:rsid w:val="001975E5"/>
    <w:rsid w:val="00197634"/>
    <w:rsid w:val="001A00E8"/>
    <w:rsid w:val="001A0D6D"/>
    <w:rsid w:val="001A0D8F"/>
    <w:rsid w:val="001A105B"/>
    <w:rsid w:val="001A1277"/>
    <w:rsid w:val="001A2044"/>
    <w:rsid w:val="001A264A"/>
    <w:rsid w:val="001A265B"/>
    <w:rsid w:val="001A4A6C"/>
    <w:rsid w:val="001A5A59"/>
    <w:rsid w:val="001A5B2D"/>
    <w:rsid w:val="001A5DD8"/>
    <w:rsid w:val="001A6BC6"/>
    <w:rsid w:val="001A74B4"/>
    <w:rsid w:val="001B0118"/>
    <w:rsid w:val="001B0B6F"/>
    <w:rsid w:val="001B104C"/>
    <w:rsid w:val="001B1705"/>
    <w:rsid w:val="001B1BC2"/>
    <w:rsid w:val="001B2491"/>
    <w:rsid w:val="001B32DB"/>
    <w:rsid w:val="001B4CE9"/>
    <w:rsid w:val="001B5808"/>
    <w:rsid w:val="001B5949"/>
    <w:rsid w:val="001B597A"/>
    <w:rsid w:val="001B696C"/>
    <w:rsid w:val="001B6A9B"/>
    <w:rsid w:val="001B6C5B"/>
    <w:rsid w:val="001B71AF"/>
    <w:rsid w:val="001B76DD"/>
    <w:rsid w:val="001B7D27"/>
    <w:rsid w:val="001B7DA2"/>
    <w:rsid w:val="001C024E"/>
    <w:rsid w:val="001C0334"/>
    <w:rsid w:val="001C0469"/>
    <w:rsid w:val="001C04F5"/>
    <w:rsid w:val="001C0D51"/>
    <w:rsid w:val="001C1386"/>
    <w:rsid w:val="001C1DB7"/>
    <w:rsid w:val="001C22CD"/>
    <w:rsid w:val="001C2971"/>
    <w:rsid w:val="001C29F2"/>
    <w:rsid w:val="001C3778"/>
    <w:rsid w:val="001C4B68"/>
    <w:rsid w:val="001C4F79"/>
    <w:rsid w:val="001C50D2"/>
    <w:rsid w:val="001C52C0"/>
    <w:rsid w:val="001C5495"/>
    <w:rsid w:val="001C5F88"/>
    <w:rsid w:val="001C6A37"/>
    <w:rsid w:val="001C6DC6"/>
    <w:rsid w:val="001C73E0"/>
    <w:rsid w:val="001C7DD9"/>
    <w:rsid w:val="001D07FA"/>
    <w:rsid w:val="001D0C1A"/>
    <w:rsid w:val="001D1291"/>
    <w:rsid w:val="001D18A1"/>
    <w:rsid w:val="001D1E6D"/>
    <w:rsid w:val="001D2DE0"/>
    <w:rsid w:val="001D2F48"/>
    <w:rsid w:val="001D3274"/>
    <w:rsid w:val="001D3FDA"/>
    <w:rsid w:val="001D4048"/>
    <w:rsid w:val="001D42C7"/>
    <w:rsid w:val="001D44FD"/>
    <w:rsid w:val="001D52E0"/>
    <w:rsid w:val="001D54BC"/>
    <w:rsid w:val="001D58AC"/>
    <w:rsid w:val="001D59A9"/>
    <w:rsid w:val="001D5BCE"/>
    <w:rsid w:val="001D5D3A"/>
    <w:rsid w:val="001D5DD4"/>
    <w:rsid w:val="001D645A"/>
    <w:rsid w:val="001D668A"/>
    <w:rsid w:val="001D6BD7"/>
    <w:rsid w:val="001D7C31"/>
    <w:rsid w:val="001E03DF"/>
    <w:rsid w:val="001E0B64"/>
    <w:rsid w:val="001E0C76"/>
    <w:rsid w:val="001E0E23"/>
    <w:rsid w:val="001E26C7"/>
    <w:rsid w:val="001E2FCD"/>
    <w:rsid w:val="001E35AD"/>
    <w:rsid w:val="001E3830"/>
    <w:rsid w:val="001E432C"/>
    <w:rsid w:val="001E4534"/>
    <w:rsid w:val="001E4647"/>
    <w:rsid w:val="001E4D8F"/>
    <w:rsid w:val="001E553B"/>
    <w:rsid w:val="001E5833"/>
    <w:rsid w:val="001E5C7E"/>
    <w:rsid w:val="001E6188"/>
    <w:rsid w:val="001E65CF"/>
    <w:rsid w:val="001E66DF"/>
    <w:rsid w:val="001E6D31"/>
    <w:rsid w:val="001E723E"/>
    <w:rsid w:val="001E7A13"/>
    <w:rsid w:val="001E7A9A"/>
    <w:rsid w:val="001E7B6F"/>
    <w:rsid w:val="001F0F6D"/>
    <w:rsid w:val="001F1D15"/>
    <w:rsid w:val="001F1DF2"/>
    <w:rsid w:val="001F1E76"/>
    <w:rsid w:val="001F29AF"/>
    <w:rsid w:val="001F375D"/>
    <w:rsid w:val="001F3C51"/>
    <w:rsid w:val="001F4475"/>
    <w:rsid w:val="001F4628"/>
    <w:rsid w:val="001F4C65"/>
    <w:rsid w:val="001F540F"/>
    <w:rsid w:val="001F5467"/>
    <w:rsid w:val="001F5B25"/>
    <w:rsid w:val="001F6177"/>
    <w:rsid w:val="001F629F"/>
    <w:rsid w:val="001F67A6"/>
    <w:rsid w:val="001F6C78"/>
    <w:rsid w:val="001F768C"/>
    <w:rsid w:val="0020002A"/>
    <w:rsid w:val="0020163A"/>
    <w:rsid w:val="00202632"/>
    <w:rsid w:val="0020294D"/>
    <w:rsid w:val="00202B5B"/>
    <w:rsid w:val="002036B6"/>
    <w:rsid w:val="002037EC"/>
    <w:rsid w:val="0020398A"/>
    <w:rsid w:val="002042A3"/>
    <w:rsid w:val="00204CAB"/>
    <w:rsid w:val="00204CEA"/>
    <w:rsid w:val="00204D77"/>
    <w:rsid w:val="00204E14"/>
    <w:rsid w:val="002051F7"/>
    <w:rsid w:val="00205284"/>
    <w:rsid w:val="00205400"/>
    <w:rsid w:val="002059EE"/>
    <w:rsid w:val="002060A8"/>
    <w:rsid w:val="00206656"/>
    <w:rsid w:val="00206701"/>
    <w:rsid w:val="00206CF3"/>
    <w:rsid w:val="00206E6A"/>
    <w:rsid w:val="00207337"/>
    <w:rsid w:val="00210373"/>
    <w:rsid w:val="00210491"/>
    <w:rsid w:val="00210692"/>
    <w:rsid w:val="00210B2E"/>
    <w:rsid w:val="0021114A"/>
    <w:rsid w:val="002125D1"/>
    <w:rsid w:val="00212B1A"/>
    <w:rsid w:val="00212DBD"/>
    <w:rsid w:val="00212F2D"/>
    <w:rsid w:val="0021304A"/>
    <w:rsid w:val="00213569"/>
    <w:rsid w:val="0021472E"/>
    <w:rsid w:val="00214837"/>
    <w:rsid w:val="00215B0C"/>
    <w:rsid w:val="00215DEF"/>
    <w:rsid w:val="00216FE7"/>
    <w:rsid w:val="00217277"/>
    <w:rsid w:val="00217468"/>
    <w:rsid w:val="002175C0"/>
    <w:rsid w:val="0022055B"/>
    <w:rsid w:val="00220ADA"/>
    <w:rsid w:val="00221321"/>
    <w:rsid w:val="0022276B"/>
    <w:rsid w:val="002229CA"/>
    <w:rsid w:val="00222C97"/>
    <w:rsid w:val="00222E13"/>
    <w:rsid w:val="00223533"/>
    <w:rsid w:val="002243B5"/>
    <w:rsid w:val="00224782"/>
    <w:rsid w:val="0022482D"/>
    <w:rsid w:val="00224945"/>
    <w:rsid w:val="00224982"/>
    <w:rsid w:val="002252AD"/>
    <w:rsid w:val="002253EE"/>
    <w:rsid w:val="00225CC7"/>
    <w:rsid w:val="00225DA4"/>
    <w:rsid w:val="0022635E"/>
    <w:rsid w:val="00226848"/>
    <w:rsid w:val="002268E1"/>
    <w:rsid w:val="0022692D"/>
    <w:rsid w:val="00226AA4"/>
    <w:rsid w:val="0022703A"/>
    <w:rsid w:val="0022717F"/>
    <w:rsid w:val="00230438"/>
    <w:rsid w:val="00230CFE"/>
    <w:rsid w:val="002312C0"/>
    <w:rsid w:val="0023146B"/>
    <w:rsid w:val="0023173B"/>
    <w:rsid w:val="00231AB6"/>
    <w:rsid w:val="00233756"/>
    <w:rsid w:val="00233981"/>
    <w:rsid w:val="00233DD1"/>
    <w:rsid w:val="002341A5"/>
    <w:rsid w:val="00234210"/>
    <w:rsid w:val="00234C21"/>
    <w:rsid w:val="00235340"/>
    <w:rsid w:val="00235BBB"/>
    <w:rsid w:val="00235D35"/>
    <w:rsid w:val="00236664"/>
    <w:rsid w:val="0023682F"/>
    <w:rsid w:val="0023687E"/>
    <w:rsid w:val="00236A06"/>
    <w:rsid w:val="002401BB"/>
    <w:rsid w:val="002403E5"/>
    <w:rsid w:val="00240A32"/>
    <w:rsid w:val="002411B0"/>
    <w:rsid w:val="002412AC"/>
    <w:rsid w:val="002415CA"/>
    <w:rsid w:val="0024166D"/>
    <w:rsid w:val="00241A93"/>
    <w:rsid w:val="00242134"/>
    <w:rsid w:val="00242392"/>
    <w:rsid w:val="002423A7"/>
    <w:rsid w:val="00243D49"/>
    <w:rsid w:val="00245288"/>
    <w:rsid w:val="0024555C"/>
    <w:rsid w:val="00245D6E"/>
    <w:rsid w:val="002464BB"/>
    <w:rsid w:val="0024660F"/>
    <w:rsid w:val="0024670D"/>
    <w:rsid w:val="00247331"/>
    <w:rsid w:val="00250662"/>
    <w:rsid w:val="002512D2"/>
    <w:rsid w:val="0025199E"/>
    <w:rsid w:val="00251C4D"/>
    <w:rsid w:val="002527DE"/>
    <w:rsid w:val="00252812"/>
    <w:rsid w:val="002535AC"/>
    <w:rsid w:val="0025387A"/>
    <w:rsid w:val="00253FED"/>
    <w:rsid w:val="00254499"/>
    <w:rsid w:val="00254CE6"/>
    <w:rsid w:val="00255693"/>
    <w:rsid w:val="002579C3"/>
    <w:rsid w:val="0026071A"/>
    <w:rsid w:val="0026093C"/>
    <w:rsid w:val="00260A92"/>
    <w:rsid w:val="00260CAF"/>
    <w:rsid w:val="00261607"/>
    <w:rsid w:val="0026270B"/>
    <w:rsid w:val="00262E2B"/>
    <w:rsid w:val="00262FD6"/>
    <w:rsid w:val="0026338E"/>
    <w:rsid w:val="0026347F"/>
    <w:rsid w:val="002638F9"/>
    <w:rsid w:val="00263DE0"/>
    <w:rsid w:val="00263F7A"/>
    <w:rsid w:val="00264C6B"/>
    <w:rsid w:val="00265AEF"/>
    <w:rsid w:val="00265B98"/>
    <w:rsid w:val="00266356"/>
    <w:rsid w:val="00266719"/>
    <w:rsid w:val="002701EA"/>
    <w:rsid w:val="0027070B"/>
    <w:rsid w:val="0027141D"/>
    <w:rsid w:val="002724C1"/>
    <w:rsid w:val="00272C1B"/>
    <w:rsid w:val="00274201"/>
    <w:rsid w:val="00274708"/>
    <w:rsid w:val="002763C2"/>
    <w:rsid w:val="002767D0"/>
    <w:rsid w:val="00276F6D"/>
    <w:rsid w:val="00277A58"/>
    <w:rsid w:val="00277EDC"/>
    <w:rsid w:val="0028057B"/>
    <w:rsid w:val="00280DCA"/>
    <w:rsid w:val="00282D60"/>
    <w:rsid w:val="00282EE3"/>
    <w:rsid w:val="00283143"/>
    <w:rsid w:val="00283921"/>
    <w:rsid w:val="00283D27"/>
    <w:rsid w:val="00284FCA"/>
    <w:rsid w:val="00285217"/>
    <w:rsid w:val="00285E22"/>
    <w:rsid w:val="00286C02"/>
    <w:rsid w:val="00286C17"/>
    <w:rsid w:val="00286E12"/>
    <w:rsid w:val="00287354"/>
    <w:rsid w:val="0028786C"/>
    <w:rsid w:val="00290578"/>
    <w:rsid w:val="00290CA5"/>
    <w:rsid w:val="00292A73"/>
    <w:rsid w:val="002932A7"/>
    <w:rsid w:val="0029376F"/>
    <w:rsid w:val="00293864"/>
    <w:rsid w:val="00294440"/>
    <w:rsid w:val="002944AA"/>
    <w:rsid w:val="00294897"/>
    <w:rsid w:val="00294B88"/>
    <w:rsid w:val="002954A4"/>
    <w:rsid w:val="00296320"/>
    <w:rsid w:val="00296F4B"/>
    <w:rsid w:val="00297849"/>
    <w:rsid w:val="00297919"/>
    <w:rsid w:val="002979B0"/>
    <w:rsid w:val="00297ED8"/>
    <w:rsid w:val="002A0007"/>
    <w:rsid w:val="002A139C"/>
    <w:rsid w:val="002A261C"/>
    <w:rsid w:val="002A3041"/>
    <w:rsid w:val="002A4766"/>
    <w:rsid w:val="002B0EB0"/>
    <w:rsid w:val="002B0FBF"/>
    <w:rsid w:val="002B1D8D"/>
    <w:rsid w:val="002B2138"/>
    <w:rsid w:val="002B376B"/>
    <w:rsid w:val="002B3B21"/>
    <w:rsid w:val="002B3EB8"/>
    <w:rsid w:val="002B3F8E"/>
    <w:rsid w:val="002B4DDA"/>
    <w:rsid w:val="002B5A08"/>
    <w:rsid w:val="002B5B7F"/>
    <w:rsid w:val="002B5D20"/>
    <w:rsid w:val="002B6171"/>
    <w:rsid w:val="002B62D0"/>
    <w:rsid w:val="002B670E"/>
    <w:rsid w:val="002B6793"/>
    <w:rsid w:val="002B68CE"/>
    <w:rsid w:val="002B7D0F"/>
    <w:rsid w:val="002B7DB8"/>
    <w:rsid w:val="002B7E0C"/>
    <w:rsid w:val="002C035C"/>
    <w:rsid w:val="002C0B79"/>
    <w:rsid w:val="002C0C84"/>
    <w:rsid w:val="002C14CE"/>
    <w:rsid w:val="002C158D"/>
    <w:rsid w:val="002C1F09"/>
    <w:rsid w:val="002C1F90"/>
    <w:rsid w:val="002C2DA9"/>
    <w:rsid w:val="002C3021"/>
    <w:rsid w:val="002C3328"/>
    <w:rsid w:val="002C35C7"/>
    <w:rsid w:val="002C3793"/>
    <w:rsid w:val="002C3894"/>
    <w:rsid w:val="002C53AE"/>
    <w:rsid w:val="002C5716"/>
    <w:rsid w:val="002C5FB7"/>
    <w:rsid w:val="002C6936"/>
    <w:rsid w:val="002C6AF3"/>
    <w:rsid w:val="002C6D46"/>
    <w:rsid w:val="002C75E1"/>
    <w:rsid w:val="002D0502"/>
    <w:rsid w:val="002D0EAA"/>
    <w:rsid w:val="002D1042"/>
    <w:rsid w:val="002D10EF"/>
    <w:rsid w:val="002D120B"/>
    <w:rsid w:val="002D22C1"/>
    <w:rsid w:val="002D23A2"/>
    <w:rsid w:val="002D242D"/>
    <w:rsid w:val="002D2820"/>
    <w:rsid w:val="002D2C4E"/>
    <w:rsid w:val="002D3899"/>
    <w:rsid w:val="002D3916"/>
    <w:rsid w:val="002D53B1"/>
    <w:rsid w:val="002D5441"/>
    <w:rsid w:val="002D5930"/>
    <w:rsid w:val="002D6392"/>
    <w:rsid w:val="002E12E1"/>
    <w:rsid w:val="002E1E31"/>
    <w:rsid w:val="002E1EA1"/>
    <w:rsid w:val="002E2E64"/>
    <w:rsid w:val="002E35D0"/>
    <w:rsid w:val="002E3F28"/>
    <w:rsid w:val="002E47F3"/>
    <w:rsid w:val="002E4951"/>
    <w:rsid w:val="002E6066"/>
    <w:rsid w:val="002E6387"/>
    <w:rsid w:val="002E6521"/>
    <w:rsid w:val="002E70FB"/>
    <w:rsid w:val="002F007A"/>
    <w:rsid w:val="002F1A28"/>
    <w:rsid w:val="002F1ABA"/>
    <w:rsid w:val="002F1D70"/>
    <w:rsid w:val="002F2494"/>
    <w:rsid w:val="002F24E4"/>
    <w:rsid w:val="002F2AEB"/>
    <w:rsid w:val="002F2B75"/>
    <w:rsid w:val="002F32CE"/>
    <w:rsid w:val="002F330E"/>
    <w:rsid w:val="002F3C4F"/>
    <w:rsid w:val="002F60E2"/>
    <w:rsid w:val="002F6615"/>
    <w:rsid w:val="002F7641"/>
    <w:rsid w:val="002F7985"/>
    <w:rsid w:val="002F799C"/>
    <w:rsid w:val="00300393"/>
    <w:rsid w:val="0030079E"/>
    <w:rsid w:val="00300D65"/>
    <w:rsid w:val="00300DDA"/>
    <w:rsid w:val="00301CB2"/>
    <w:rsid w:val="00301F76"/>
    <w:rsid w:val="003022AE"/>
    <w:rsid w:val="003023A0"/>
    <w:rsid w:val="0030264F"/>
    <w:rsid w:val="003027EA"/>
    <w:rsid w:val="00302B8D"/>
    <w:rsid w:val="00302D08"/>
    <w:rsid w:val="00303D73"/>
    <w:rsid w:val="00303F43"/>
    <w:rsid w:val="003043BA"/>
    <w:rsid w:val="003043FD"/>
    <w:rsid w:val="00304AF8"/>
    <w:rsid w:val="00305263"/>
    <w:rsid w:val="0030581B"/>
    <w:rsid w:val="0030793A"/>
    <w:rsid w:val="003107CA"/>
    <w:rsid w:val="0031144F"/>
    <w:rsid w:val="003114C3"/>
    <w:rsid w:val="003115DF"/>
    <w:rsid w:val="00311B1D"/>
    <w:rsid w:val="00312055"/>
    <w:rsid w:val="003132E1"/>
    <w:rsid w:val="00313B85"/>
    <w:rsid w:val="00314A2A"/>
    <w:rsid w:val="003155EB"/>
    <w:rsid w:val="00316156"/>
    <w:rsid w:val="003206EB"/>
    <w:rsid w:val="00320DCA"/>
    <w:rsid w:val="003211EB"/>
    <w:rsid w:val="003212DF"/>
    <w:rsid w:val="00321541"/>
    <w:rsid w:val="00321654"/>
    <w:rsid w:val="00322648"/>
    <w:rsid w:val="00323E01"/>
    <w:rsid w:val="0032514D"/>
    <w:rsid w:val="003254B4"/>
    <w:rsid w:val="00325A24"/>
    <w:rsid w:val="00325C88"/>
    <w:rsid w:val="00326291"/>
    <w:rsid w:val="00326847"/>
    <w:rsid w:val="003276C6"/>
    <w:rsid w:val="003277C1"/>
    <w:rsid w:val="003279E5"/>
    <w:rsid w:val="00330350"/>
    <w:rsid w:val="00330EA9"/>
    <w:rsid w:val="003314F3"/>
    <w:rsid w:val="003323AE"/>
    <w:rsid w:val="003324D0"/>
    <w:rsid w:val="00332A9B"/>
    <w:rsid w:val="00332D58"/>
    <w:rsid w:val="00332DEE"/>
    <w:rsid w:val="00333267"/>
    <w:rsid w:val="003334F1"/>
    <w:rsid w:val="00333D84"/>
    <w:rsid w:val="00333F2D"/>
    <w:rsid w:val="00334F8F"/>
    <w:rsid w:val="0033592A"/>
    <w:rsid w:val="00336CB8"/>
    <w:rsid w:val="00337CD0"/>
    <w:rsid w:val="0034015A"/>
    <w:rsid w:val="00340232"/>
    <w:rsid w:val="00340C61"/>
    <w:rsid w:val="00341605"/>
    <w:rsid w:val="00342859"/>
    <w:rsid w:val="00342CBA"/>
    <w:rsid w:val="00343215"/>
    <w:rsid w:val="0034326A"/>
    <w:rsid w:val="00343339"/>
    <w:rsid w:val="003433CC"/>
    <w:rsid w:val="0034347E"/>
    <w:rsid w:val="00343F61"/>
    <w:rsid w:val="00344FC4"/>
    <w:rsid w:val="003453F8"/>
    <w:rsid w:val="00346740"/>
    <w:rsid w:val="00346FB4"/>
    <w:rsid w:val="00347550"/>
    <w:rsid w:val="00350023"/>
    <w:rsid w:val="00350959"/>
    <w:rsid w:val="00350EBB"/>
    <w:rsid w:val="003511BB"/>
    <w:rsid w:val="003514DD"/>
    <w:rsid w:val="00351815"/>
    <w:rsid w:val="00351B01"/>
    <w:rsid w:val="00352868"/>
    <w:rsid w:val="0035288E"/>
    <w:rsid w:val="00352A14"/>
    <w:rsid w:val="003530A6"/>
    <w:rsid w:val="00353923"/>
    <w:rsid w:val="003550C0"/>
    <w:rsid w:val="0035542D"/>
    <w:rsid w:val="00355535"/>
    <w:rsid w:val="00355537"/>
    <w:rsid w:val="00355FAE"/>
    <w:rsid w:val="00356584"/>
    <w:rsid w:val="00357454"/>
    <w:rsid w:val="003606ED"/>
    <w:rsid w:val="00360B9E"/>
    <w:rsid w:val="00360F70"/>
    <w:rsid w:val="00362D7D"/>
    <w:rsid w:val="00363178"/>
    <w:rsid w:val="00363547"/>
    <w:rsid w:val="00363A93"/>
    <w:rsid w:val="00363C3A"/>
    <w:rsid w:val="00364AE8"/>
    <w:rsid w:val="0036594D"/>
    <w:rsid w:val="003660F0"/>
    <w:rsid w:val="003661C3"/>
    <w:rsid w:val="003661EA"/>
    <w:rsid w:val="00366427"/>
    <w:rsid w:val="00366562"/>
    <w:rsid w:val="00366F4A"/>
    <w:rsid w:val="003672B3"/>
    <w:rsid w:val="003673B2"/>
    <w:rsid w:val="00367A45"/>
    <w:rsid w:val="00367A4A"/>
    <w:rsid w:val="00370275"/>
    <w:rsid w:val="00370357"/>
    <w:rsid w:val="00370984"/>
    <w:rsid w:val="003711B5"/>
    <w:rsid w:val="00371444"/>
    <w:rsid w:val="00373335"/>
    <w:rsid w:val="00373C21"/>
    <w:rsid w:val="00374732"/>
    <w:rsid w:val="00374914"/>
    <w:rsid w:val="00375044"/>
    <w:rsid w:val="00375B2B"/>
    <w:rsid w:val="00375B53"/>
    <w:rsid w:val="00377762"/>
    <w:rsid w:val="003777B0"/>
    <w:rsid w:val="00377D60"/>
    <w:rsid w:val="00377E68"/>
    <w:rsid w:val="003805F7"/>
    <w:rsid w:val="00380CF9"/>
    <w:rsid w:val="0038159E"/>
    <w:rsid w:val="003815A1"/>
    <w:rsid w:val="003815CF"/>
    <w:rsid w:val="00381D71"/>
    <w:rsid w:val="0038266C"/>
    <w:rsid w:val="003827BF"/>
    <w:rsid w:val="00383C18"/>
    <w:rsid w:val="00384897"/>
    <w:rsid w:val="00384C65"/>
    <w:rsid w:val="00384EF3"/>
    <w:rsid w:val="003857AE"/>
    <w:rsid w:val="00385B52"/>
    <w:rsid w:val="00385DD7"/>
    <w:rsid w:val="00385F9C"/>
    <w:rsid w:val="00386489"/>
    <w:rsid w:val="003866A8"/>
    <w:rsid w:val="00386B5C"/>
    <w:rsid w:val="00386D21"/>
    <w:rsid w:val="003870E1"/>
    <w:rsid w:val="003871E8"/>
    <w:rsid w:val="00387557"/>
    <w:rsid w:val="003876AF"/>
    <w:rsid w:val="0038771D"/>
    <w:rsid w:val="00387F62"/>
    <w:rsid w:val="00390544"/>
    <w:rsid w:val="003905C6"/>
    <w:rsid w:val="003907BD"/>
    <w:rsid w:val="003909EE"/>
    <w:rsid w:val="00391705"/>
    <w:rsid w:val="00392731"/>
    <w:rsid w:val="00392788"/>
    <w:rsid w:val="00392819"/>
    <w:rsid w:val="00392A3A"/>
    <w:rsid w:val="00392F18"/>
    <w:rsid w:val="00393FD7"/>
    <w:rsid w:val="003953BF"/>
    <w:rsid w:val="00395D91"/>
    <w:rsid w:val="00396438"/>
    <w:rsid w:val="003966FA"/>
    <w:rsid w:val="003A07DD"/>
    <w:rsid w:val="003A1114"/>
    <w:rsid w:val="003A1204"/>
    <w:rsid w:val="003A1D10"/>
    <w:rsid w:val="003A23AA"/>
    <w:rsid w:val="003A25E2"/>
    <w:rsid w:val="003A3556"/>
    <w:rsid w:val="003A39EC"/>
    <w:rsid w:val="003A43B0"/>
    <w:rsid w:val="003A4571"/>
    <w:rsid w:val="003A4973"/>
    <w:rsid w:val="003A4DFC"/>
    <w:rsid w:val="003A4EEC"/>
    <w:rsid w:val="003A51AD"/>
    <w:rsid w:val="003A54BB"/>
    <w:rsid w:val="003A587E"/>
    <w:rsid w:val="003A6D86"/>
    <w:rsid w:val="003A7417"/>
    <w:rsid w:val="003B0632"/>
    <w:rsid w:val="003B1A3F"/>
    <w:rsid w:val="003B1DA5"/>
    <w:rsid w:val="003B236D"/>
    <w:rsid w:val="003B2754"/>
    <w:rsid w:val="003B303C"/>
    <w:rsid w:val="003B33A5"/>
    <w:rsid w:val="003B35C1"/>
    <w:rsid w:val="003B3A07"/>
    <w:rsid w:val="003B3A99"/>
    <w:rsid w:val="003B3E89"/>
    <w:rsid w:val="003B412D"/>
    <w:rsid w:val="003B451F"/>
    <w:rsid w:val="003B4BE0"/>
    <w:rsid w:val="003B4FBC"/>
    <w:rsid w:val="003B55E8"/>
    <w:rsid w:val="003B6E78"/>
    <w:rsid w:val="003B73CF"/>
    <w:rsid w:val="003B7532"/>
    <w:rsid w:val="003C065A"/>
    <w:rsid w:val="003C0863"/>
    <w:rsid w:val="003C14AF"/>
    <w:rsid w:val="003C14EC"/>
    <w:rsid w:val="003C176A"/>
    <w:rsid w:val="003C22D8"/>
    <w:rsid w:val="003C3ED7"/>
    <w:rsid w:val="003C49B7"/>
    <w:rsid w:val="003C57CD"/>
    <w:rsid w:val="003C5D77"/>
    <w:rsid w:val="003C67C8"/>
    <w:rsid w:val="003C7652"/>
    <w:rsid w:val="003D028C"/>
    <w:rsid w:val="003D02E7"/>
    <w:rsid w:val="003D091A"/>
    <w:rsid w:val="003D0A05"/>
    <w:rsid w:val="003D111C"/>
    <w:rsid w:val="003D131E"/>
    <w:rsid w:val="003D132C"/>
    <w:rsid w:val="003D1D42"/>
    <w:rsid w:val="003D372B"/>
    <w:rsid w:val="003D477A"/>
    <w:rsid w:val="003D4C4E"/>
    <w:rsid w:val="003D51AD"/>
    <w:rsid w:val="003D5837"/>
    <w:rsid w:val="003D6151"/>
    <w:rsid w:val="003D63C0"/>
    <w:rsid w:val="003D6F5F"/>
    <w:rsid w:val="003D771F"/>
    <w:rsid w:val="003E0D58"/>
    <w:rsid w:val="003E0F15"/>
    <w:rsid w:val="003E1692"/>
    <w:rsid w:val="003E1C5C"/>
    <w:rsid w:val="003E27F5"/>
    <w:rsid w:val="003E292D"/>
    <w:rsid w:val="003E2972"/>
    <w:rsid w:val="003E2E39"/>
    <w:rsid w:val="003E3AFB"/>
    <w:rsid w:val="003E49B8"/>
    <w:rsid w:val="003E55C6"/>
    <w:rsid w:val="003E717D"/>
    <w:rsid w:val="003E7600"/>
    <w:rsid w:val="003E76D1"/>
    <w:rsid w:val="003E7CEC"/>
    <w:rsid w:val="003F0318"/>
    <w:rsid w:val="003F0BC2"/>
    <w:rsid w:val="003F0BE2"/>
    <w:rsid w:val="003F14F1"/>
    <w:rsid w:val="003F1620"/>
    <w:rsid w:val="003F1FA8"/>
    <w:rsid w:val="003F25D6"/>
    <w:rsid w:val="003F2C4D"/>
    <w:rsid w:val="003F2C99"/>
    <w:rsid w:val="003F3C8C"/>
    <w:rsid w:val="003F3F66"/>
    <w:rsid w:val="003F40E0"/>
    <w:rsid w:val="003F458F"/>
    <w:rsid w:val="003F4866"/>
    <w:rsid w:val="003F4CB9"/>
    <w:rsid w:val="003F6651"/>
    <w:rsid w:val="003F7694"/>
    <w:rsid w:val="003F7DFF"/>
    <w:rsid w:val="00400261"/>
    <w:rsid w:val="00400568"/>
    <w:rsid w:val="004005AA"/>
    <w:rsid w:val="004008D3"/>
    <w:rsid w:val="00400914"/>
    <w:rsid w:val="004011EE"/>
    <w:rsid w:val="004016C9"/>
    <w:rsid w:val="004030A0"/>
    <w:rsid w:val="00403757"/>
    <w:rsid w:val="00404558"/>
    <w:rsid w:val="00404F5E"/>
    <w:rsid w:val="00405B94"/>
    <w:rsid w:val="004069CA"/>
    <w:rsid w:val="00406EC7"/>
    <w:rsid w:val="00407AA7"/>
    <w:rsid w:val="00407DA3"/>
    <w:rsid w:val="00407F81"/>
    <w:rsid w:val="00410C95"/>
    <w:rsid w:val="00411775"/>
    <w:rsid w:val="00411C47"/>
    <w:rsid w:val="004123ED"/>
    <w:rsid w:val="00412759"/>
    <w:rsid w:val="004127A6"/>
    <w:rsid w:val="00412EDF"/>
    <w:rsid w:val="00412FEF"/>
    <w:rsid w:val="00413431"/>
    <w:rsid w:val="00413535"/>
    <w:rsid w:val="00413BAE"/>
    <w:rsid w:val="00413D8C"/>
    <w:rsid w:val="00413DBB"/>
    <w:rsid w:val="00414606"/>
    <w:rsid w:val="00414973"/>
    <w:rsid w:val="00414BBE"/>
    <w:rsid w:val="00414BCC"/>
    <w:rsid w:val="00415DB2"/>
    <w:rsid w:val="004165D5"/>
    <w:rsid w:val="00416C5C"/>
    <w:rsid w:val="00420259"/>
    <w:rsid w:val="004212F4"/>
    <w:rsid w:val="004218C4"/>
    <w:rsid w:val="004218D4"/>
    <w:rsid w:val="00422198"/>
    <w:rsid w:val="004230D5"/>
    <w:rsid w:val="004230E5"/>
    <w:rsid w:val="00423838"/>
    <w:rsid w:val="00423EE1"/>
    <w:rsid w:val="004240E2"/>
    <w:rsid w:val="004240EA"/>
    <w:rsid w:val="00424643"/>
    <w:rsid w:val="004248CA"/>
    <w:rsid w:val="00424E96"/>
    <w:rsid w:val="00424F68"/>
    <w:rsid w:val="0042568E"/>
    <w:rsid w:val="00425FAA"/>
    <w:rsid w:val="00427847"/>
    <w:rsid w:val="0043004B"/>
    <w:rsid w:val="00431231"/>
    <w:rsid w:val="004313BB"/>
    <w:rsid w:val="00432AD8"/>
    <w:rsid w:val="00433434"/>
    <w:rsid w:val="00433710"/>
    <w:rsid w:val="00434456"/>
    <w:rsid w:val="00435EFF"/>
    <w:rsid w:val="00435FEA"/>
    <w:rsid w:val="00436DCF"/>
    <w:rsid w:val="004375B0"/>
    <w:rsid w:val="00437C8D"/>
    <w:rsid w:val="004401EC"/>
    <w:rsid w:val="00440B93"/>
    <w:rsid w:val="0044270F"/>
    <w:rsid w:val="00442992"/>
    <w:rsid w:val="00443512"/>
    <w:rsid w:val="00443AE9"/>
    <w:rsid w:val="00443C80"/>
    <w:rsid w:val="004442D6"/>
    <w:rsid w:val="00444543"/>
    <w:rsid w:val="00444AD7"/>
    <w:rsid w:val="00444E4E"/>
    <w:rsid w:val="00445619"/>
    <w:rsid w:val="0044590A"/>
    <w:rsid w:val="00445F93"/>
    <w:rsid w:val="00446F00"/>
    <w:rsid w:val="00450FBC"/>
    <w:rsid w:val="004510AA"/>
    <w:rsid w:val="00451842"/>
    <w:rsid w:val="00452056"/>
    <w:rsid w:val="00452527"/>
    <w:rsid w:val="004528AA"/>
    <w:rsid w:val="00452B2A"/>
    <w:rsid w:val="00452B5F"/>
    <w:rsid w:val="00452E59"/>
    <w:rsid w:val="00453050"/>
    <w:rsid w:val="00453E93"/>
    <w:rsid w:val="0045441F"/>
    <w:rsid w:val="004546FF"/>
    <w:rsid w:val="00454708"/>
    <w:rsid w:val="00454739"/>
    <w:rsid w:val="00454B49"/>
    <w:rsid w:val="00454CE9"/>
    <w:rsid w:val="0045599D"/>
    <w:rsid w:val="00455B0F"/>
    <w:rsid w:val="0045606E"/>
    <w:rsid w:val="00456D75"/>
    <w:rsid w:val="00457735"/>
    <w:rsid w:val="00457CD9"/>
    <w:rsid w:val="00460305"/>
    <w:rsid w:val="00460464"/>
    <w:rsid w:val="004613BE"/>
    <w:rsid w:val="0046264A"/>
    <w:rsid w:val="00462945"/>
    <w:rsid w:val="00462977"/>
    <w:rsid w:val="00462F3A"/>
    <w:rsid w:val="004642E0"/>
    <w:rsid w:val="00464930"/>
    <w:rsid w:val="00465558"/>
    <w:rsid w:val="004658FD"/>
    <w:rsid w:val="00467075"/>
    <w:rsid w:val="004676BF"/>
    <w:rsid w:val="00467C0E"/>
    <w:rsid w:val="00470A59"/>
    <w:rsid w:val="0047298A"/>
    <w:rsid w:val="004730BA"/>
    <w:rsid w:val="00473253"/>
    <w:rsid w:val="004734C9"/>
    <w:rsid w:val="004736A6"/>
    <w:rsid w:val="00473A15"/>
    <w:rsid w:val="00473CDF"/>
    <w:rsid w:val="004744F1"/>
    <w:rsid w:val="004749B8"/>
    <w:rsid w:val="00474D31"/>
    <w:rsid w:val="00475321"/>
    <w:rsid w:val="00477718"/>
    <w:rsid w:val="00480432"/>
    <w:rsid w:val="00483D53"/>
    <w:rsid w:val="004841B3"/>
    <w:rsid w:val="00485046"/>
    <w:rsid w:val="00486BBB"/>
    <w:rsid w:val="00490027"/>
    <w:rsid w:val="004904EE"/>
    <w:rsid w:val="00490854"/>
    <w:rsid w:val="00491AD3"/>
    <w:rsid w:val="00491FBD"/>
    <w:rsid w:val="00492428"/>
    <w:rsid w:val="00492B8A"/>
    <w:rsid w:val="004932A7"/>
    <w:rsid w:val="00494462"/>
    <w:rsid w:val="00494F86"/>
    <w:rsid w:val="004955AD"/>
    <w:rsid w:val="004959FB"/>
    <w:rsid w:val="00495B6D"/>
    <w:rsid w:val="00495D5B"/>
    <w:rsid w:val="00496162"/>
    <w:rsid w:val="00496EB3"/>
    <w:rsid w:val="00497732"/>
    <w:rsid w:val="004A0514"/>
    <w:rsid w:val="004A1AED"/>
    <w:rsid w:val="004A2127"/>
    <w:rsid w:val="004A2486"/>
    <w:rsid w:val="004A2632"/>
    <w:rsid w:val="004A2DB6"/>
    <w:rsid w:val="004A30B1"/>
    <w:rsid w:val="004A3C8E"/>
    <w:rsid w:val="004A4550"/>
    <w:rsid w:val="004A47F9"/>
    <w:rsid w:val="004A52A6"/>
    <w:rsid w:val="004A5437"/>
    <w:rsid w:val="004A5AE6"/>
    <w:rsid w:val="004A6156"/>
    <w:rsid w:val="004A645D"/>
    <w:rsid w:val="004A707E"/>
    <w:rsid w:val="004A759B"/>
    <w:rsid w:val="004A7E39"/>
    <w:rsid w:val="004B08E7"/>
    <w:rsid w:val="004B09B3"/>
    <w:rsid w:val="004B0BB1"/>
    <w:rsid w:val="004B0D69"/>
    <w:rsid w:val="004B10B4"/>
    <w:rsid w:val="004B1FCD"/>
    <w:rsid w:val="004B33B3"/>
    <w:rsid w:val="004B43FF"/>
    <w:rsid w:val="004B4DC4"/>
    <w:rsid w:val="004B501A"/>
    <w:rsid w:val="004B572F"/>
    <w:rsid w:val="004B57FE"/>
    <w:rsid w:val="004B580F"/>
    <w:rsid w:val="004B61E8"/>
    <w:rsid w:val="004B64CA"/>
    <w:rsid w:val="004B73F3"/>
    <w:rsid w:val="004B7910"/>
    <w:rsid w:val="004C03C8"/>
    <w:rsid w:val="004C0FBA"/>
    <w:rsid w:val="004C0FDC"/>
    <w:rsid w:val="004C15E4"/>
    <w:rsid w:val="004C161E"/>
    <w:rsid w:val="004C1741"/>
    <w:rsid w:val="004C1866"/>
    <w:rsid w:val="004C2C58"/>
    <w:rsid w:val="004C2D61"/>
    <w:rsid w:val="004C472A"/>
    <w:rsid w:val="004C4E9E"/>
    <w:rsid w:val="004C4EDF"/>
    <w:rsid w:val="004C539B"/>
    <w:rsid w:val="004C553A"/>
    <w:rsid w:val="004C69A6"/>
    <w:rsid w:val="004C6F86"/>
    <w:rsid w:val="004C6FE1"/>
    <w:rsid w:val="004C709F"/>
    <w:rsid w:val="004C747B"/>
    <w:rsid w:val="004C7946"/>
    <w:rsid w:val="004C7E7D"/>
    <w:rsid w:val="004D0226"/>
    <w:rsid w:val="004D08A0"/>
    <w:rsid w:val="004D0A3B"/>
    <w:rsid w:val="004D1120"/>
    <w:rsid w:val="004D1AB4"/>
    <w:rsid w:val="004D1D94"/>
    <w:rsid w:val="004D218B"/>
    <w:rsid w:val="004D22DC"/>
    <w:rsid w:val="004D2913"/>
    <w:rsid w:val="004D3558"/>
    <w:rsid w:val="004D44D0"/>
    <w:rsid w:val="004D45DF"/>
    <w:rsid w:val="004D69E8"/>
    <w:rsid w:val="004D6C25"/>
    <w:rsid w:val="004D7010"/>
    <w:rsid w:val="004D7248"/>
    <w:rsid w:val="004D7288"/>
    <w:rsid w:val="004E0AD5"/>
    <w:rsid w:val="004E1535"/>
    <w:rsid w:val="004E20D5"/>
    <w:rsid w:val="004E3712"/>
    <w:rsid w:val="004E3E92"/>
    <w:rsid w:val="004E48FF"/>
    <w:rsid w:val="004E542F"/>
    <w:rsid w:val="004E664B"/>
    <w:rsid w:val="004E6C73"/>
    <w:rsid w:val="004E7540"/>
    <w:rsid w:val="004E7B55"/>
    <w:rsid w:val="004F0080"/>
    <w:rsid w:val="004F0120"/>
    <w:rsid w:val="004F0B2C"/>
    <w:rsid w:val="004F24DA"/>
    <w:rsid w:val="004F2A6E"/>
    <w:rsid w:val="004F3035"/>
    <w:rsid w:val="004F3F44"/>
    <w:rsid w:val="004F6717"/>
    <w:rsid w:val="004F779D"/>
    <w:rsid w:val="004F7FD7"/>
    <w:rsid w:val="00500687"/>
    <w:rsid w:val="0050078E"/>
    <w:rsid w:val="00501017"/>
    <w:rsid w:val="00501531"/>
    <w:rsid w:val="00502A7B"/>
    <w:rsid w:val="005032F9"/>
    <w:rsid w:val="00504F0D"/>
    <w:rsid w:val="005050CB"/>
    <w:rsid w:val="005053CF"/>
    <w:rsid w:val="005055EF"/>
    <w:rsid w:val="00505A9B"/>
    <w:rsid w:val="005061EF"/>
    <w:rsid w:val="00507095"/>
    <w:rsid w:val="00507224"/>
    <w:rsid w:val="00507802"/>
    <w:rsid w:val="00507976"/>
    <w:rsid w:val="00507CEF"/>
    <w:rsid w:val="00510160"/>
    <w:rsid w:val="00510AC9"/>
    <w:rsid w:val="00510CA3"/>
    <w:rsid w:val="0051126E"/>
    <w:rsid w:val="0051170F"/>
    <w:rsid w:val="005129F9"/>
    <w:rsid w:val="00512DDF"/>
    <w:rsid w:val="005131D4"/>
    <w:rsid w:val="0051333E"/>
    <w:rsid w:val="00513ADA"/>
    <w:rsid w:val="00514702"/>
    <w:rsid w:val="00514FD6"/>
    <w:rsid w:val="005153D2"/>
    <w:rsid w:val="00515B1F"/>
    <w:rsid w:val="00515B23"/>
    <w:rsid w:val="00516115"/>
    <w:rsid w:val="00517956"/>
    <w:rsid w:val="00517CC6"/>
    <w:rsid w:val="00517F31"/>
    <w:rsid w:val="00520700"/>
    <w:rsid w:val="005208D3"/>
    <w:rsid w:val="0052137C"/>
    <w:rsid w:val="00521589"/>
    <w:rsid w:val="00522EBC"/>
    <w:rsid w:val="00522F55"/>
    <w:rsid w:val="0052332D"/>
    <w:rsid w:val="0052357A"/>
    <w:rsid w:val="00523E93"/>
    <w:rsid w:val="005240BA"/>
    <w:rsid w:val="0052489D"/>
    <w:rsid w:val="00524A74"/>
    <w:rsid w:val="00525B13"/>
    <w:rsid w:val="00525D2F"/>
    <w:rsid w:val="00526CC6"/>
    <w:rsid w:val="00527023"/>
    <w:rsid w:val="005276A7"/>
    <w:rsid w:val="00527F82"/>
    <w:rsid w:val="00530599"/>
    <w:rsid w:val="00530AAF"/>
    <w:rsid w:val="00531A25"/>
    <w:rsid w:val="00531F81"/>
    <w:rsid w:val="005321D8"/>
    <w:rsid w:val="00532201"/>
    <w:rsid w:val="00532639"/>
    <w:rsid w:val="0053407A"/>
    <w:rsid w:val="005344B8"/>
    <w:rsid w:val="0053528E"/>
    <w:rsid w:val="005352A4"/>
    <w:rsid w:val="00535854"/>
    <w:rsid w:val="00536A7E"/>
    <w:rsid w:val="00536B4B"/>
    <w:rsid w:val="005371F8"/>
    <w:rsid w:val="005377F3"/>
    <w:rsid w:val="0053791A"/>
    <w:rsid w:val="00540403"/>
    <w:rsid w:val="00541867"/>
    <w:rsid w:val="005424D3"/>
    <w:rsid w:val="005425C3"/>
    <w:rsid w:val="00542AB6"/>
    <w:rsid w:val="00543ABA"/>
    <w:rsid w:val="00543B94"/>
    <w:rsid w:val="00543FA0"/>
    <w:rsid w:val="00543FBC"/>
    <w:rsid w:val="005450F0"/>
    <w:rsid w:val="005450F8"/>
    <w:rsid w:val="005456AC"/>
    <w:rsid w:val="00545F93"/>
    <w:rsid w:val="005462A9"/>
    <w:rsid w:val="00550481"/>
    <w:rsid w:val="005504BF"/>
    <w:rsid w:val="00550CF5"/>
    <w:rsid w:val="005512B4"/>
    <w:rsid w:val="00551994"/>
    <w:rsid w:val="00551CA5"/>
    <w:rsid w:val="005520B4"/>
    <w:rsid w:val="00552156"/>
    <w:rsid w:val="0055242C"/>
    <w:rsid w:val="00552B77"/>
    <w:rsid w:val="00553339"/>
    <w:rsid w:val="00553FE8"/>
    <w:rsid w:val="005542CB"/>
    <w:rsid w:val="00554A12"/>
    <w:rsid w:val="005571EB"/>
    <w:rsid w:val="00557854"/>
    <w:rsid w:val="00557FAE"/>
    <w:rsid w:val="0056058D"/>
    <w:rsid w:val="00560743"/>
    <w:rsid w:val="00560921"/>
    <w:rsid w:val="00561459"/>
    <w:rsid w:val="0056149E"/>
    <w:rsid w:val="00562AB2"/>
    <w:rsid w:val="0056314C"/>
    <w:rsid w:val="005631AB"/>
    <w:rsid w:val="0056332E"/>
    <w:rsid w:val="00565A2F"/>
    <w:rsid w:val="00566B6F"/>
    <w:rsid w:val="00567268"/>
    <w:rsid w:val="0056765B"/>
    <w:rsid w:val="005676BD"/>
    <w:rsid w:val="00570395"/>
    <w:rsid w:val="00570409"/>
    <w:rsid w:val="005708A5"/>
    <w:rsid w:val="00570AA1"/>
    <w:rsid w:val="005712E4"/>
    <w:rsid w:val="00571645"/>
    <w:rsid w:val="005717CC"/>
    <w:rsid w:val="0057180C"/>
    <w:rsid w:val="00571AA0"/>
    <w:rsid w:val="00571D46"/>
    <w:rsid w:val="00571DF8"/>
    <w:rsid w:val="00572078"/>
    <w:rsid w:val="005724D5"/>
    <w:rsid w:val="0057316F"/>
    <w:rsid w:val="00573971"/>
    <w:rsid w:val="00573B26"/>
    <w:rsid w:val="00573C29"/>
    <w:rsid w:val="00575037"/>
    <w:rsid w:val="0057779E"/>
    <w:rsid w:val="0058056B"/>
    <w:rsid w:val="0058085F"/>
    <w:rsid w:val="00580C85"/>
    <w:rsid w:val="00580E05"/>
    <w:rsid w:val="0058126A"/>
    <w:rsid w:val="00582432"/>
    <w:rsid w:val="00582BA9"/>
    <w:rsid w:val="00583306"/>
    <w:rsid w:val="005835C4"/>
    <w:rsid w:val="00583C19"/>
    <w:rsid w:val="00583E64"/>
    <w:rsid w:val="005845A0"/>
    <w:rsid w:val="00584D9E"/>
    <w:rsid w:val="00584EBB"/>
    <w:rsid w:val="00585763"/>
    <w:rsid w:val="00586059"/>
    <w:rsid w:val="00586286"/>
    <w:rsid w:val="00587621"/>
    <w:rsid w:val="00590BBF"/>
    <w:rsid w:val="00590BC9"/>
    <w:rsid w:val="00591924"/>
    <w:rsid w:val="0059229F"/>
    <w:rsid w:val="005934F8"/>
    <w:rsid w:val="00594971"/>
    <w:rsid w:val="0059535E"/>
    <w:rsid w:val="00595605"/>
    <w:rsid w:val="0059584A"/>
    <w:rsid w:val="00596B5B"/>
    <w:rsid w:val="00596D1C"/>
    <w:rsid w:val="005A10ED"/>
    <w:rsid w:val="005A15E7"/>
    <w:rsid w:val="005A182B"/>
    <w:rsid w:val="005A2209"/>
    <w:rsid w:val="005A2588"/>
    <w:rsid w:val="005A312C"/>
    <w:rsid w:val="005A325C"/>
    <w:rsid w:val="005A35F0"/>
    <w:rsid w:val="005A3D5F"/>
    <w:rsid w:val="005A3E3F"/>
    <w:rsid w:val="005A4974"/>
    <w:rsid w:val="005A4AEE"/>
    <w:rsid w:val="005A6128"/>
    <w:rsid w:val="005A6972"/>
    <w:rsid w:val="005A717D"/>
    <w:rsid w:val="005A7ACC"/>
    <w:rsid w:val="005B05A1"/>
    <w:rsid w:val="005B1938"/>
    <w:rsid w:val="005B1A4B"/>
    <w:rsid w:val="005B2C4D"/>
    <w:rsid w:val="005B3254"/>
    <w:rsid w:val="005B369C"/>
    <w:rsid w:val="005B386E"/>
    <w:rsid w:val="005B399D"/>
    <w:rsid w:val="005B4206"/>
    <w:rsid w:val="005B4A40"/>
    <w:rsid w:val="005B5E2F"/>
    <w:rsid w:val="005B6328"/>
    <w:rsid w:val="005B6F2E"/>
    <w:rsid w:val="005B6F53"/>
    <w:rsid w:val="005B7B26"/>
    <w:rsid w:val="005C0377"/>
    <w:rsid w:val="005C0940"/>
    <w:rsid w:val="005C0C56"/>
    <w:rsid w:val="005C192B"/>
    <w:rsid w:val="005C31BA"/>
    <w:rsid w:val="005C356E"/>
    <w:rsid w:val="005C3D2D"/>
    <w:rsid w:val="005C4204"/>
    <w:rsid w:val="005C42D0"/>
    <w:rsid w:val="005C5382"/>
    <w:rsid w:val="005C53C5"/>
    <w:rsid w:val="005C594F"/>
    <w:rsid w:val="005C5E3C"/>
    <w:rsid w:val="005C67A3"/>
    <w:rsid w:val="005C726C"/>
    <w:rsid w:val="005C76A1"/>
    <w:rsid w:val="005D0A18"/>
    <w:rsid w:val="005D0BB3"/>
    <w:rsid w:val="005D0C7C"/>
    <w:rsid w:val="005D16E1"/>
    <w:rsid w:val="005D2979"/>
    <w:rsid w:val="005D2B6F"/>
    <w:rsid w:val="005D2CE8"/>
    <w:rsid w:val="005D2FEA"/>
    <w:rsid w:val="005D3A12"/>
    <w:rsid w:val="005D45B5"/>
    <w:rsid w:val="005D4627"/>
    <w:rsid w:val="005D5B0D"/>
    <w:rsid w:val="005D5F4F"/>
    <w:rsid w:val="005D66A1"/>
    <w:rsid w:val="005D6B29"/>
    <w:rsid w:val="005D7B5E"/>
    <w:rsid w:val="005E01FB"/>
    <w:rsid w:val="005E080F"/>
    <w:rsid w:val="005E0E8E"/>
    <w:rsid w:val="005E10B6"/>
    <w:rsid w:val="005E19B9"/>
    <w:rsid w:val="005E1B04"/>
    <w:rsid w:val="005E1C88"/>
    <w:rsid w:val="005E3426"/>
    <w:rsid w:val="005E4071"/>
    <w:rsid w:val="005E4226"/>
    <w:rsid w:val="005E5136"/>
    <w:rsid w:val="005E576E"/>
    <w:rsid w:val="005E5DAB"/>
    <w:rsid w:val="005E6424"/>
    <w:rsid w:val="005E64B9"/>
    <w:rsid w:val="005E72BF"/>
    <w:rsid w:val="005E765D"/>
    <w:rsid w:val="005E79B0"/>
    <w:rsid w:val="005F1546"/>
    <w:rsid w:val="005F1597"/>
    <w:rsid w:val="005F1D7B"/>
    <w:rsid w:val="005F2AE2"/>
    <w:rsid w:val="005F39EA"/>
    <w:rsid w:val="005F3F9F"/>
    <w:rsid w:val="005F486B"/>
    <w:rsid w:val="005F4D12"/>
    <w:rsid w:val="005F4DDE"/>
    <w:rsid w:val="005F5167"/>
    <w:rsid w:val="005F562D"/>
    <w:rsid w:val="005F5EDF"/>
    <w:rsid w:val="005F68BC"/>
    <w:rsid w:val="005F6EA1"/>
    <w:rsid w:val="005F70C9"/>
    <w:rsid w:val="005F76EF"/>
    <w:rsid w:val="005F790A"/>
    <w:rsid w:val="00600619"/>
    <w:rsid w:val="006009DF"/>
    <w:rsid w:val="00600FA9"/>
    <w:rsid w:val="00601383"/>
    <w:rsid w:val="00601549"/>
    <w:rsid w:val="00601DB1"/>
    <w:rsid w:val="006028FB"/>
    <w:rsid w:val="00602D8C"/>
    <w:rsid w:val="00603869"/>
    <w:rsid w:val="006039A2"/>
    <w:rsid w:val="00604A96"/>
    <w:rsid w:val="00604E94"/>
    <w:rsid w:val="006056E5"/>
    <w:rsid w:val="006058E9"/>
    <w:rsid w:val="00605962"/>
    <w:rsid w:val="00605BC2"/>
    <w:rsid w:val="00606D87"/>
    <w:rsid w:val="00607823"/>
    <w:rsid w:val="00607BAC"/>
    <w:rsid w:val="00607BF7"/>
    <w:rsid w:val="00607C80"/>
    <w:rsid w:val="006104CE"/>
    <w:rsid w:val="0061098D"/>
    <w:rsid w:val="0061099F"/>
    <w:rsid w:val="006121DE"/>
    <w:rsid w:val="006122C4"/>
    <w:rsid w:val="00612B18"/>
    <w:rsid w:val="00612E03"/>
    <w:rsid w:val="00613162"/>
    <w:rsid w:val="0061452B"/>
    <w:rsid w:val="00614A79"/>
    <w:rsid w:val="00614B04"/>
    <w:rsid w:val="006153F8"/>
    <w:rsid w:val="00615D0E"/>
    <w:rsid w:val="00616E42"/>
    <w:rsid w:val="00617CC9"/>
    <w:rsid w:val="00617F09"/>
    <w:rsid w:val="006200AC"/>
    <w:rsid w:val="0062056A"/>
    <w:rsid w:val="006206E2"/>
    <w:rsid w:val="006214ED"/>
    <w:rsid w:val="0062151B"/>
    <w:rsid w:val="00621796"/>
    <w:rsid w:val="0062320B"/>
    <w:rsid w:val="006235A2"/>
    <w:rsid w:val="0062395D"/>
    <w:rsid w:val="00623B01"/>
    <w:rsid w:val="00623CD4"/>
    <w:rsid w:val="00625590"/>
    <w:rsid w:val="006259F2"/>
    <w:rsid w:val="00625B52"/>
    <w:rsid w:val="00625C65"/>
    <w:rsid w:val="00625FB0"/>
    <w:rsid w:val="00626738"/>
    <w:rsid w:val="00626D4C"/>
    <w:rsid w:val="00627F45"/>
    <w:rsid w:val="0063002A"/>
    <w:rsid w:val="006301D3"/>
    <w:rsid w:val="0063069F"/>
    <w:rsid w:val="00630A8C"/>
    <w:rsid w:val="00630AA6"/>
    <w:rsid w:val="00630E5D"/>
    <w:rsid w:val="006315D7"/>
    <w:rsid w:val="00631A11"/>
    <w:rsid w:val="00631B35"/>
    <w:rsid w:val="0063205F"/>
    <w:rsid w:val="00632808"/>
    <w:rsid w:val="00632EE1"/>
    <w:rsid w:val="00633970"/>
    <w:rsid w:val="00633B8D"/>
    <w:rsid w:val="00633F06"/>
    <w:rsid w:val="00634082"/>
    <w:rsid w:val="006341F4"/>
    <w:rsid w:val="00634D2F"/>
    <w:rsid w:val="00635156"/>
    <w:rsid w:val="0063602E"/>
    <w:rsid w:val="0063735D"/>
    <w:rsid w:val="00640011"/>
    <w:rsid w:val="006406E0"/>
    <w:rsid w:val="006409BC"/>
    <w:rsid w:val="006411F8"/>
    <w:rsid w:val="00641251"/>
    <w:rsid w:val="00641745"/>
    <w:rsid w:val="006417DE"/>
    <w:rsid w:val="00641A67"/>
    <w:rsid w:val="00641CB4"/>
    <w:rsid w:val="006425A9"/>
    <w:rsid w:val="00642C62"/>
    <w:rsid w:val="0064300E"/>
    <w:rsid w:val="00643033"/>
    <w:rsid w:val="0064322D"/>
    <w:rsid w:val="00645C1F"/>
    <w:rsid w:val="00646104"/>
    <w:rsid w:val="0064629C"/>
    <w:rsid w:val="00646541"/>
    <w:rsid w:val="00646CB2"/>
    <w:rsid w:val="00647CC8"/>
    <w:rsid w:val="00647EF8"/>
    <w:rsid w:val="00651716"/>
    <w:rsid w:val="006520BC"/>
    <w:rsid w:val="006525AA"/>
    <w:rsid w:val="00653629"/>
    <w:rsid w:val="00653AD8"/>
    <w:rsid w:val="006548BC"/>
    <w:rsid w:val="00654A06"/>
    <w:rsid w:val="00654A8A"/>
    <w:rsid w:val="00654CB1"/>
    <w:rsid w:val="00654CCF"/>
    <w:rsid w:val="00655057"/>
    <w:rsid w:val="0065525A"/>
    <w:rsid w:val="006553EE"/>
    <w:rsid w:val="00655B64"/>
    <w:rsid w:val="00655CB0"/>
    <w:rsid w:val="006560F1"/>
    <w:rsid w:val="006564D8"/>
    <w:rsid w:val="00656902"/>
    <w:rsid w:val="00656934"/>
    <w:rsid w:val="006576D5"/>
    <w:rsid w:val="00657817"/>
    <w:rsid w:val="00657A32"/>
    <w:rsid w:val="0066009A"/>
    <w:rsid w:val="00661199"/>
    <w:rsid w:val="00661B83"/>
    <w:rsid w:val="00662796"/>
    <w:rsid w:val="00662EBA"/>
    <w:rsid w:val="00663325"/>
    <w:rsid w:val="00663849"/>
    <w:rsid w:val="006645BD"/>
    <w:rsid w:val="00665188"/>
    <w:rsid w:val="00665613"/>
    <w:rsid w:val="006657F9"/>
    <w:rsid w:val="0066585E"/>
    <w:rsid w:val="00665BEB"/>
    <w:rsid w:val="00665DED"/>
    <w:rsid w:val="006660CC"/>
    <w:rsid w:val="00666BDC"/>
    <w:rsid w:val="00666E4B"/>
    <w:rsid w:val="00667B78"/>
    <w:rsid w:val="0067062C"/>
    <w:rsid w:val="00670708"/>
    <w:rsid w:val="00670E07"/>
    <w:rsid w:val="00671930"/>
    <w:rsid w:val="00673F8A"/>
    <w:rsid w:val="00674D3B"/>
    <w:rsid w:val="00675B2E"/>
    <w:rsid w:val="0067603D"/>
    <w:rsid w:val="00676845"/>
    <w:rsid w:val="00677786"/>
    <w:rsid w:val="00677D5A"/>
    <w:rsid w:val="006815A6"/>
    <w:rsid w:val="0068168B"/>
    <w:rsid w:val="00682468"/>
    <w:rsid w:val="006826D2"/>
    <w:rsid w:val="00682851"/>
    <w:rsid w:val="0068297D"/>
    <w:rsid w:val="00684470"/>
    <w:rsid w:val="00685254"/>
    <w:rsid w:val="00685BBF"/>
    <w:rsid w:val="0068660D"/>
    <w:rsid w:val="00686A47"/>
    <w:rsid w:val="006870A9"/>
    <w:rsid w:val="00687425"/>
    <w:rsid w:val="00687602"/>
    <w:rsid w:val="00687CF6"/>
    <w:rsid w:val="00687F84"/>
    <w:rsid w:val="00690122"/>
    <w:rsid w:val="00690B80"/>
    <w:rsid w:val="00690C20"/>
    <w:rsid w:val="00690C71"/>
    <w:rsid w:val="0069132D"/>
    <w:rsid w:val="006931E2"/>
    <w:rsid w:val="0069384E"/>
    <w:rsid w:val="00694002"/>
    <w:rsid w:val="00694A80"/>
    <w:rsid w:val="00694F1D"/>
    <w:rsid w:val="0069548A"/>
    <w:rsid w:val="006957DF"/>
    <w:rsid w:val="0069615F"/>
    <w:rsid w:val="006968DE"/>
    <w:rsid w:val="00697C51"/>
    <w:rsid w:val="006A0439"/>
    <w:rsid w:val="006A0FC5"/>
    <w:rsid w:val="006A11EA"/>
    <w:rsid w:val="006A14CC"/>
    <w:rsid w:val="006A159B"/>
    <w:rsid w:val="006A28B2"/>
    <w:rsid w:val="006A4704"/>
    <w:rsid w:val="006A491A"/>
    <w:rsid w:val="006A4B4A"/>
    <w:rsid w:val="006A5B5F"/>
    <w:rsid w:val="006A5DF1"/>
    <w:rsid w:val="006A62A7"/>
    <w:rsid w:val="006B0661"/>
    <w:rsid w:val="006B0E15"/>
    <w:rsid w:val="006B0FDD"/>
    <w:rsid w:val="006B12E0"/>
    <w:rsid w:val="006B2892"/>
    <w:rsid w:val="006B402A"/>
    <w:rsid w:val="006B41AA"/>
    <w:rsid w:val="006B49AF"/>
    <w:rsid w:val="006B4DC1"/>
    <w:rsid w:val="006B5207"/>
    <w:rsid w:val="006B537B"/>
    <w:rsid w:val="006B5613"/>
    <w:rsid w:val="006B57D9"/>
    <w:rsid w:val="006B7D45"/>
    <w:rsid w:val="006B7DD8"/>
    <w:rsid w:val="006C0691"/>
    <w:rsid w:val="006C06F1"/>
    <w:rsid w:val="006C0A26"/>
    <w:rsid w:val="006C120B"/>
    <w:rsid w:val="006C20FC"/>
    <w:rsid w:val="006C24E7"/>
    <w:rsid w:val="006C35F9"/>
    <w:rsid w:val="006C369C"/>
    <w:rsid w:val="006C38E4"/>
    <w:rsid w:val="006C393E"/>
    <w:rsid w:val="006C4163"/>
    <w:rsid w:val="006C4C5E"/>
    <w:rsid w:val="006C58CC"/>
    <w:rsid w:val="006C5F93"/>
    <w:rsid w:val="006C6CF8"/>
    <w:rsid w:val="006C7674"/>
    <w:rsid w:val="006C7D3D"/>
    <w:rsid w:val="006D046D"/>
    <w:rsid w:val="006D0DC9"/>
    <w:rsid w:val="006D1B31"/>
    <w:rsid w:val="006D201C"/>
    <w:rsid w:val="006D3CC3"/>
    <w:rsid w:val="006D4B50"/>
    <w:rsid w:val="006D5340"/>
    <w:rsid w:val="006D55E7"/>
    <w:rsid w:val="006D5D81"/>
    <w:rsid w:val="006D7B3A"/>
    <w:rsid w:val="006D7EC1"/>
    <w:rsid w:val="006E03F3"/>
    <w:rsid w:val="006E0853"/>
    <w:rsid w:val="006E08BF"/>
    <w:rsid w:val="006E091C"/>
    <w:rsid w:val="006E1290"/>
    <w:rsid w:val="006E2D2E"/>
    <w:rsid w:val="006E304A"/>
    <w:rsid w:val="006E33E4"/>
    <w:rsid w:val="006E3457"/>
    <w:rsid w:val="006E3458"/>
    <w:rsid w:val="006E3475"/>
    <w:rsid w:val="006E376C"/>
    <w:rsid w:val="006E392C"/>
    <w:rsid w:val="006E479F"/>
    <w:rsid w:val="006E48CE"/>
    <w:rsid w:val="006E5200"/>
    <w:rsid w:val="006E54A6"/>
    <w:rsid w:val="006E55F0"/>
    <w:rsid w:val="006E64E3"/>
    <w:rsid w:val="006E6DCB"/>
    <w:rsid w:val="006E6E0D"/>
    <w:rsid w:val="006E744C"/>
    <w:rsid w:val="006E750C"/>
    <w:rsid w:val="006F052F"/>
    <w:rsid w:val="006F0603"/>
    <w:rsid w:val="006F0A88"/>
    <w:rsid w:val="006F0CB4"/>
    <w:rsid w:val="006F1A2A"/>
    <w:rsid w:val="006F1A4F"/>
    <w:rsid w:val="006F1F1D"/>
    <w:rsid w:val="006F224F"/>
    <w:rsid w:val="006F24A1"/>
    <w:rsid w:val="006F2D4B"/>
    <w:rsid w:val="006F2FCD"/>
    <w:rsid w:val="006F33E7"/>
    <w:rsid w:val="006F36CF"/>
    <w:rsid w:val="006F4B2B"/>
    <w:rsid w:val="006F677C"/>
    <w:rsid w:val="00700346"/>
    <w:rsid w:val="007029AF"/>
    <w:rsid w:val="00703257"/>
    <w:rsid w:val="00704074"/>
    <w:rsid w:val="0070415C"/>
    <w:rsid w:val="007043C4"/>
    <w:rsid w:val="007054BD"/>
    <w:rsid w:val="00705AA1"/>
    <w:rsid w:val="00706E22"/>
    <w:rsid w:val="00707253"/>
    <w:rsid w:val="00707CF6"/>
    <w:rsid w:val="00710BB5"/>
    <w:rsid w:val="00711369"/>
    <w:rsid w:val="0071159B"/>
    <w:rsid w:val="007128D2"/>
    <w:rsid w:val="0071293A"/>
    <w:rsid w:val="0071317F"/>
    <w:rsid w:val="00713647"/>
    <w:rsid w:val="00713AA4"/>
    <w:rsid w:val="00713DF4"/>
    <w:rsid w:val="00713F4B"/>
    <w:rsid w:val="007144FA"/>
    <w:rsid w:val="00714AAE"/>
    <w:rsid w:val="0071514C"/>
    <w:rsid w:val="00715D0D"/>
    <w:rsid w:val="007161BE"/>
    <w:rsid w:val="0071672F"/>
    <w:rsid w:val="007168E5"/>
    <w:rsid w:val="00717017"/>
    <w:rsid w:val="00717596"/>
    <w:rsid w:val="00717A63"/>
    <w:rsid w:val="00717B3D"/>
    <w:rsid w:val="00717C5E"/>
    <w:rsid w:val="00721539"/>
    <w:rsid w:val="007218E7"/>
    <w:rsid w:val="00721D11"/>
    <w:rsid w:val="0072261E"/>
    <w:rsid w:val="00722A19"/>
    <w:rsid w:val="007236A9"/>
    <w:rsid w:val="00723737"/>
    <w:rsid w:val="00723748"/>
    <w:rsid w:val="00724529"/>
    <w:rsid w:val="007249DF"/>
    <w:rsid w:val="00724A42"/>
    <w:rsid w:val="00727D36"/>
    <w:rsid w:val="007303DD"/>
    <w:rsid w:val="0073151C"/>
    <w:rsid w:val="0073167F"/>
    <w:rsid w:val="00732A78"/>
    <w:rsid w:val="00732EFB"/>
    <w:rsid w:val="00733233"/>
    <w:rsid w:val="00733F62"/>
    <w:rsid w:val="0073440A"/>
    <w:rsid w:val="0073481A"/>
    <w:rsid w:val="00735370"/>
    <w:rsid w:val="007359D4"/>
    <w:rsid w:val="00735AB8"/>
    <w:rsid w:val="00735DD0"/>
    <w:rsid w:val="00736662"/>
    <w:rsid w:val="00736C9C"/>
    <w:rsid w:val="00737128"/>
    <w:rsid w:val="00737A77"/>
    <w:rsid w:val="00737BD7"/>
    <w:rsid w:val="0074178A"/>
    <w:rsid w:val="007417C8"/>
    <w:rsid w:val="0074183F"/>
    <w:rsid w:val="00741A49"/>
    <w:rsid w:val="00741DC6"/>
    <w:rsid w:val="007435BD"/>
    <w:rsid w:val="007436C7"/>
    <w:rsid w:val="00743E92"/>
    <w:rsid w:val="00744527"/>
    <w:rsid w:val="00745A3E"/>
    <w:rsid w:val="00746519"/>
    <w:rsid w:val="00750AE5"/>
    <w:rsid w:val="007510A6"/>
    <w:rsid w:val="00751611"/>
    <w:rsid w:val="00751715"/>
    <w:rsid w:val="007518D1"/>
    <w:rsid w:val="00752114"/>
    <w:rsid w:val="0075222D"/>
    <w:rsid w:val="00753339"/>
    <w:rsid w:val="00754281"/>
    <w:rsid w:val="0075435F"/>
    <w:rsid w:val="00754604"/>
    <w:rsid w:val="00754BC3"/>
    <w:rsid w:val="00755B4A"/>
    <w:rsid w:val="0075647F"/>
    <w:rsid w:val="00756E4E"/>
    <w:rsid w:val="0075739C"/>
    <w:rsid w:val="00757C96"/>
    <w:rsid w:val="00760705"/>
    <w:rsid w:val="007611FB"/>
    <w:rsid w:val="00761D5F"/>
    <w:rsid w:val="0076254D"/>
    <w:rsid w:val="007626E5"/>
    <w:rsid w:val="007629EE"/>
    <w:rsid w:val="00764039"/>
    <w:rsid w:val="00764AC5"/>
    <w:rsid w:val="00766350"/>
    <w:rsid w:val="007666B3"/>
    <w:rsid w:val="007666B4"/>
    <w:rsid w:val="007669A5"/>
    <w:rsid w:val="00766EF2"/>
    <w:rsid w:val="007679DE"/>
    <w:rsid w:val="00767A30"/>
    <w:rsid w:val="00767CA4"/>
    <w:rsid w:val="00770005"/>
    <w:rsid w:val="00770A5F"/>
    <w:rsid w:val="00770FA4"/>
    <w:rsid w:val="007711A3"/>
    <w:rsid w:val="00771634"/>
    <w:rsid w:val="00771879"/>
    <w:rsid w:val="00771B21"/>
    <w:rsid w:val="00772D97"/>
    <w:rsid w:val="00772EE3"/>
    <w:rsid w:val="007733D5"/>
    <w:rsid w:val="00773706"/>
    <w:rsid w:val="00774620"/>
    <w:rsid w:val="00774D0A"/>
    <w:rsid w:val="00774F94"/>
    <w:rsid w:val="007750C4"/>
    <w:rsid w:val="007751D1"/>
    <w:rsid w:val="0077567E"/>
    <w:rsid w:val="007759DA"/>
    <w:rsid w:val="007759E9"/>
    <w:rsid w:val="00775C96"/>
    <w:rsid w:val="00776442"/>
    <w:rsid w:val="007767F1"/>
    <w:rsid w:val="00776EAF"/>
    <w:rsid w:val="00777ECA"/>
    <w:rsid w:val="00780BB8"/>
    <w:rsid w:val="0078194A"/>
    <w:rsid w:val="0078199A"/>
    <w:rsid w:val="007825F2"/>
    <w:rsid w:val="007828E1"/>
    <w:rsid w:val="0078348F"/>
    <w:rsid w:val="00783705"/>
    <w:rsid w:val="00783DD0"/>
    <w:rsid w:val="00783F6E"/>
    <w:rsid w:val="007843D0"/>
    <w:rsid w:val="007844C4"/>
    <w:rsid w:val="00784594"/>
    <w:rsid w:val="00784697"/>
    <w:rsid w:val="007848A0"/>
    <w:rsid w:val="00784B4C"/>
    <w:rsid w:val="00786338"/>
    <w:rsid w:val="00786BD4"/>
    <w:rsid w:val="00787071"/>
    <w:rsid w:val="00787575"/>
    <w:rsid w:val="00787DFC"/>
    <w:rsid w:val="007905D6"/>
    <w:rsid w:val="00790C04"/>
    <w:rsid w:val="007918B6"/>
    <w:rsid w:val="007927DE"/>
    <w:rsid w:val="00792C3C"/>
    <w:rsid w:val="00792CCF"/>
    <w:rsid w:val="00792E4C"/>
    <w:rsid w:val="00792F56"/>
    <w:rsid w:val="00793166"/>
    <w:rsid w:val="00793845"/>
    <w:rsid w:val="00793CE0"/>
    <w:rsid w:val="00793D4E"/>
    <w:rsid w:val="0079526F"/>
    <w:rsid w:val="007954C8"/>
    <w:rsid w:val="00795B60"/>
    <w:rsid w:val="007968DF"/>
    <w:rsid w:val="00796BCA"/>
    <w:rsid w:val="00796E46"/>
    <w:rsid w:val="00797441"/>
    <w:rsid w:val="00797593"/>
    <w:rsid w:val="00797A0D"/>
    <w:rsid w:val="007A2AB6"/>
    <w:rsid w:val="007A2B6E"/>
    <w:rsid w:val="007A2D6A"/>
    <w:rsid w:val="007A347F"/>
    <w:rsid w:val="007A3619"/>
    <w:rsid w:val="007A3B6D"/>
    <w:rsid w:val="007A3F04"/>
    <w:rsid w:val="007A409F"/>
    <w:rsid w:val="007A4C9F"/>
    <w:rsid w:val="007A4ED1"/>
    <w:rsid w:val="007A4F15"/>
    <w:rsid w:val="007A624F"/>
    <w:rsid w:val="007A6BD2"/>
    <w:rsid w:val="007A6D69"/>
    <w:rsid w:val="007A6F6C"/>
    <w:rsid w:val="007A788C"/>
    <w:rsid w:val="007B0EB2"/>
    <w:rsid w:val="007B15AE"/>
    <w:rsid w:val="007B242D"/>
    <w:rsid w:val="007B3296"/>
    <w:rsid w:val="007B335A"/>
    <w:rsid w:val="007B3483"/>
    <w:rsid w:val="007B374C"/>
    <w:rsid w:val="007B3B3A"/>
    <w:rsid w:val="007B3B88"/>
    <w:rsid w:val="007B4053"/>
    <w:rsid w:val="007B4CAC"/>
    <w:rsid w:val="007B6441"/>
    <w:rsid w:val="007B70B9"/>
    <w:rsid w:val="007B78AE"/>
    <w:rsid w:val="007B79F6"/>
    <w:rsid w:val="007C05EE"/>
    <w:rsid w:val="007C0C21"/>
    <w:rsid w:val="007C1256"/>
    <w:rsid w:val="007C153B"/>
    <w:rsid w:val="007C1901"/>
    <w:rsid w:val="007C1E1E"/>
    <w:rsid w:val="007C2393"/>
    <w:rsid w:val="007C24A1"/>
    <w:rsid w:val="007C2E6A"/>
    <w:rsid w:val="007C2F1B"/>
    <w:rsid w:val="007C3317"/>
    <w:rsid w:val="007C3F3B"/>
    <w:rsid w:val="007C47D8"/>
    <w:rsid w:val="007C4B46"/>
    <w:rsid w:val="007C5211"/>
    <w:rsid w:val="007C5397"/>
    <w:rsid w:val="007C54D3"/>
    <w:rsid w:val="007C6170"/>
    <w:rsid w:val="007D11D4"/>
    <w:rsid w:val="007D1CB1"/>
    <w:rsid w:val="007D2099"/>
    <w:rsid w:val="007D26E1"/>
    <w:rsid w:val="007D309C"/>
    <w:rsid w:val="007D333D"/>
    <w:rsid w:val="007D38F7"/>
    <w:rsid w:val="007D3D51"/>
    <w:rsid w:val="007D4C0C"/>
    <w:rsid w:val="007D5341"/>
    <w:rsid w:val="007D53B1"/>
    <w:rsid w:val="007D5789"/>
    <w:rsid w:val="007D5961"/>
    <w:rsid w:val="007D5F6A"/>
    <w:rsid w:val="007D6032"/>
    <w:rsid w:val="007D604B"/>
    <w:rsid w:val="007D69BA"/>
    <w:rsid w:val="007D6C17"/>
    <w:rsid w:val="007D72F6"/>
    <w:rsid w:val="007D7471"/>
    <w:rsid w:val="007E0F19"/>
    <w:rsid w:val="007E1551"/>
    <w:rsid w:val="007E17CA"/>
    <w:rsid w:val="007E1884"/>
    <w:rsid w:val="007E199C"/>
    <w:rsid w:val="007E1D41"/>
    <w:rsid w:val="007E1D8C"/>
    <w:rsid w:val="007E25BF"/>
    <w:rsid w:val="007E2989"/>
    <w:rsid w:val="007E3D30"/>
    <w:rsid w:val="007E457E"/>
    <w:rsid w:val="007E47A6"/>
    <w:rsid w:val="007E4B66"/>
    <w:rsid w:val="007E4E43"/>
    <w:rsid w:val="007E4FE9"/>
    <w:rsid w:val="007E5221"/>
    <w:rsid w:val="007E56A3"/>
    <w:rsid w:val="007E5E61"/>
    <w:rsid w:val="007E637C"/>
    <w:rsid w:val="007E6DDC"/>
    <w:rsid w:val="007E7365"/>
    <w:rsid w:val="007E74D8"/>
    <w:rsid w:val="007E7F13"/>
    <w:rsid w:val="007F0354"/>
    <w:rsid w:val="007F07A4"/>
    <w:rsid w:val="007F15D8"/>
    <w:rsid w:val="007F1966"/>
    <w:rsid w:val="007F1BB3"/>
    <w:rsid w:val="007F247F"/>
    <w:rsid w:val="007F2519"/>
    <w:rsid w:val="007F2738"/>
    <w:rsid w:val="007F2B78"/>
    <w:rsid w:val="007F36F5"/>
    <w:rsid w:val="007F46CB"/>
    <w:rsid w:val="007F56AC"/>
    <w:rsid w:val="007F57FB"/>
    <w:rsid w:val="007F614A"/>
    <w:rsid w:val="007F63CA"/>
    <w:rsid w:val="007F6935"/>
    <w:rsid w:val="007F6B10"/>
    <w:rsid w:val="007F6EE9"/>
    <w:rsid w:val="007F740D"/>
    <w:rsid w:val="007F7CBD"/>
    <w:rsid w:val="008000EE"/>
    <w:rsid w:val="0080094C"/>
    <w:rsid w:val="00800DE3"/>
    <w:rsid w:val="00802419"/>
    <w:rsid w:val="0080273B"/>
    <w:rsid w:val="008036BF"/>
    <w:rsid w:val="008038B4"/>
    <w:rsid w:val="00803BD8"/>
    <w:rsid w:val="00804120"/>
    <w:rsid w:val="00804841"/>
    <w:rsid w:val="00804888"/>
    <w:rsid w:val="00804A7F"/>
    <w:rsid w:val="00804E6F"/>
    <w:rsid w:val="00804EC7"/>
    <w:rsid w:val="00805B44"/>
    <w:rsid w:val="00805E72"/>
    <w:rsid w:val="00806581"/>
    <w:rsid w:val="008079ED"/>
    <w:rsid w:val="00810835"/>
    <w:rsid w:val="0081224B"/>
    <w:rsid w:val="00812E4B"/>
    <w:rsid w:val="0081341A"/>
    <w:rsid w:val="008135EB"/>
    <w:rsid w:val="008137FD"/>
    <w:rsid w:val="0081537C"/>
    <w:rsid w:val="008154C5"/>
    <w:rsid w:val="008156E1"/>
    <w:rsid w:val="008157C7"/>
    <w:rsid w:val="008161B1"/>
    <w:rsid w:val="0081683B"/>
    <w:rsid w:val="00817714"/>
    <w:rsid w:val="00817AE2"/>
    <w:rsid w:val="00817F5B"/>
    <w:rsid w:val="00820E21"/>
    <w:rsid w:val="008210FF"/>
    <w:rsid w:val="008219EC"/>
    <w:rsid w:val="00821ADD"/>
    <w:rsid w:val="00822125"/>
    <w:rsid w:val="008224BB"/>
    <w:rsid w:val="00822514"/>
    <w:rsid w:val="00823039"/>
    <w:rsid w:val="0082410F"/>
    <w:rsid w:val="0082487A"/>
    <w:rsid w:val="00824C82"/>
    <w:rsid w:val="00825B74"/>
    <w:rsid w:val="008263DE"/>
    <w:rsid w:val="008264CD"/>
    <w:rsid w:val="008264D0"/>
    <w:rsid w:val="008264EC"/>
    <w:rsid w:val="00826736"/>
    <w:rsid w:val="00827BEB"/>
    <w:rsid w:val="00830518"/>
    <w:rsid w:val="008308CA"/>
    <w:rsid w:val="00830911"/>
    <w:rsid w:val="008309AF"/>
    <w:rsid w:val="00830A3A"/>
    <w:rsid w:val="00830A71"/>
    <w:rsid w:val="00832739"/>
    <w:rsid w:val="008327C3"/>
    <w:rsid w:val="0083285B"/>
    <w:rsid w:val="00833D58"/>
    <w:rsid w:val="008341F2"/>
    <w:rsid w:val="008343B9"/>
    <w:rsid w:val="008354FE"/>
    <w:rsid w:val="00835B08"/>
    <w:rsid w:val="00835B3E"/>
    <w:rsid w:val="00835E43"/>
    <w:rsid w:val="00835F3E"/>
    <w:rsid w:val="00836A9D"/>
    <w:rsid w:val="008376AF"/>
    <w:rsid w:val="0084022D"/>
    <w:rsid w:val="00840365"/>
    <w:rsid w:val="00841A0C"/>
    <w:rsid w:val="0084317B"/>
    <w:rsid w:val="00843311"/>
    <w:rsid w:val="00843427"/>
    <w:rsid w:val="008441B5"/>
    <w:rsid w:val="00844709"/>
    <w:rsid w:val="00844A65"/>
    <w:rsid w:val="0084594E"/>
    <w:rsid w:val="00845FC4"/>
    <w:rsid w:val="00846591"/>
    <w:rsid w:val="00846FA1"/>
    <w:rsid w:val="00850287"/>
    <w:rsid w:val="00850456"/>
    <w:rsid w:val="00850575"/>
    <w:rsid w:val="0085070F"/>
    <w:rsid w:val="00850B67"/>
    <w:rsid w:val="00850BA1"/>
    <w:rsid w:val="00851071"/>
    <w:rsid w:val="0085161F"/>
    <w:rsid w:val="00851937"/>
    <w:rsid w:val="00852023"/>
    <w:rsid w:val="008533F5"/>
    <w:rsid w:val="00853E0E"/>
    <w:rsid w:val="00853F14"/>
    <w:rsid w:val="008542F7"/>
    <w:rsid w:val="00854DDA"/>
    <w:rsid w:val="0085577F"/>
    <w:rsid w:val="008557D4"/>
    <w:rsid w:val="0085581E"/>
    <w:rsid w:val="00856885"/>
    <w:rsid w:val="00856A78"/>
    <w:rsid w:val="008571E4"/>
    <w:rsid w:val="00857598"/>
    <w:rsid w:val="00857CF1"/>
    <w:rsid w:val="00861B17"/>
    <w:rsid w:val="0086238A"/>
    <w:rsid w:val="008638A3"/>
    <w:rsid w:val="0086409B"/>
    <w:rsid w:val="00864758"/>
    <w:rsid w:val="00864784"/>
    <w:rsid w:val="00864E68"/>
    <w:rsid w:val="00865E98"/>
    <w:rsid w:val="00866814"/>
    <w:rsid w:val="00867570"/>
    <w:rsid w:val="00867C8C"/>
    <w:rsid w:val="00871754"/>
    <w:rsid w:val="00871F15"/>
    <w:rsid w:val="008720DC"/>
    <w:rsid w:val="008724F3"/>
    <w:rsid w:val="00872928"/>
    <w:rsid w:val="00874505"/>
    <w:rsid w:val="00874586"/>
    <w:rsid w:val="0087513A"/>
    <w:rsid w:val="00876731"/>
    <w:rsid w:val="00877354"/>
    <w:rsid w:val="008776BE"/>
    <w:rsid w:val="00877AE4"/>
    <w:rsid w:val="00880834"/>
    <w:rsid w:val="008812DE"/>
    <w:rsid w:val="00881A01"/>
    <w:rsid w:val="0088260B"/>
    <w:rsid w:val="00883183"/>
    <w:rsid w:val="008837ED"/>
    <w:rsid w:val="0088385D"/>
    <w:rsid w:val="0088430F"/>
    <w:rsid w:val="00884CF5"/>
    <w:rsid w:val="00885873"/>
    <w:rsid w:val="00887388"/>
    <w:rsid w:val="0088752A"/>
    <w:rsid w:val="00887D28"/>
    <w:rsid w:val="008918E2"/>
    <w:rsid w:val="00891E4A"/>
    <w:rsid w:val="00891FC3"/>
    <w:rsid w:val="00893240"/>
    <w:rsid w:val="008932F0"/>
    <w:rsid w:val="00893309"/>
    <w:rsid w:val="00893497"/>
    <w:rsid w:val="00893897"/>
    <w:rsid w:val="00893F33"/>
    <w:rsid w:val="0089444A"/>
    <w:rsid w:val="00895552"/>
    <w:rsid w:val="0089588C"/>
    <w:rsid w:val="00896092"/>
    <w:rsid w:val="0089622C"/>
    <w:rsid w:val="00896504"/>
    <w:rsid w:val="0089787F"/>
    <w:rsid w:val="008A137A"/>
    <w:rsid w:val="008A15FF"/>
    <w:rsid w:val="008A2176"/>
    <w:rsid w:val="008A24AE"/>
    <w:rsid w:val="008A2A2B"/>
    <w:rsid w:val="008A2D67"/>
    <w:rsid w:val="008A2F92"/>
    <w:rsid w:val="008A3A04"/>
    <w:rsid w:val="008A3FC1"/>
    <w:rsid w:val="008A4311"/>
    <w:rsid w:val="008A489F"/>
    <w:rsid w:val="008A48C2"/>
    <w:rsid w:val="008A5181"/>
    <w:rsid w:val="008A5D14"/>
    <w:rsid w:val="008A60DE"/>
    <w:rsid w:val="008A6728"/>
    <w:rsid w:val="008A68A2"/>
    <w:rsid w:val="008A68D0"/>
    <w:rsid w:val="008A7343"/>
    <w:rsid w:val="008B1454"/>
    <w:rsid w:val="008B160B"/>
    <w:rsid w:val="008B1A96"/>
    <w:rsid w:val="008B1BDF"/>
    <w:rsid w:val="008B30E2"/>
    <w:rsid w:val="008B3305"/>
    <w:rsid w:val="008B3408"/>
    <w:rsid w:val="008B455F"/>
    <w:rsid w:val="008B4A07"/>
    <w:rsid w:val="008B4D25"/>
    <w:rsid w:val="008B4FCE"/>
    <w:rsid w:val="008B5568"/>
    <w:rsid w:val="008B5721"/>
    <w:rsid w:val="008B5FF8"/>
    <w:rsid w:val="008B6642"/>
    <w:rsid w:val="008B729C"/>
    <w:rsid w:val="008C0638"/>
    <w:rsid w:val="008C0E6E"/>
    <w:rsid w:val="008C12EC"/>
    <w:rsid w:val="008C2277"/>
    <w:rsid w:val="008C28CA"/>
    <w:rsid w:val="008C3056"/>
    <w:rsid w:val="008C31F6"/>
    <w:rsid w:val="008C35E6"/>
    <w:rsid w:val="008C3F74"/>
    <w:rsid w:val="008C40A1"/>
    <w:rsid w:val="008C5316"/>
    <w:rsid w:val="008C559A"/>
    <w:rsid w:val="008C5C53"/>
    <w:rsid w:val="008C60FD"/>
    <w:rsid w:val="008C6489"/>
    <w:rsid w:val="008C768C"/>
    <w:rsid w:val="008C7879"/>
    <w:rsid w:val="008D0B07"/>
    <w:rsid w:val="008D0D3A"/>
    <w:rsid w:val="008D1C61"/>
    <w:rsid w:val="008D21F5"/>
    <w:rsid w:val="008D2288"/>
    <w:rsid w:val="008D2C01"/>
    <w:rsid w:val="008D4898"/>
    <w:rsid w:val="008D4B98"/>
    <w:rsid w:val="008D5AA4"/>
    <w:rsid w:val="008D5D98"/>
    <w:rsid w:val="008D678E"/>
    <w:rsid w:val="008D6C90"/>
    <w:rsid w:val="008D6D8E"/>
    <w:rsid w:val="008D7645"/>
    <w:rsid w:val="008D7744"/>
    <w:rsid w:val="008E0BEC"/>
    <w:rsid w:val="008E15FF"/>
    <w:rsid w:val="008E2277"/>
    <w:rsid w:val="008E241D"/>
    <w:rsid w:val="008E2EB5"/>
    <w:rsid w:val="008E2ED6"/>
    <w:rsid w:val="008E3F1E"/>
    <w:rsid w:val="008E41D7"/>
    <w:rsid w:val="008E455E"/>
    <w:rsid w:val="008E5D5D"/>
    <w:rsid w:val="008E5E09"/>
    <w:rsid w:val="008E6575"/>
    <w:rsid w:val="008E674F"/>
    <w:rsid w:val="008E6B61"/>
    <w:rsid w:val="008E70F9"/>
    <w:rsid w:val="008E7BED"/>
    <w:rsid w:val="008E7CA3"/>
    <w:rsid w:val="008E7F43"/>
    <w:rsid w:val="008F07C4"/>
    <w:rsid w:val="008F0992"/>
    <w:rsid w:val="008F17AF"/>
    <w:rsid w:val="008F214D"/>
    <w:rsid w:val="008F2274"/>
    <w:rsid w:val="008F28F1"/>
    <w:rsid w:val="008F2A8C"/>
    <w:rsid w:val="008F31ED"/>
    <w:rsid w:val="008F3224"/>
    <w:rsid w:val="008F40E3"/>
    <w:rsid w:val="008F4185"/>
    <w:rsid w:val="008F4AFD"/>
    <w:rsid w:val="008F5278"/>
    <w:rsid w:val="008F5DED"/>
    <w:rsid w:val="008F64A5"/>
    <w:rsid w:val="008F7078"/>
    <w:rsid w:val="008F710D"/>
    <w:rsid w:val="008F7A37"/>
    <w:rsid w:val="008F7ECB"/>
    <w:rsid w:val="008F7FE3"/>
    <w:rsid w:val="009008F1"/>
    <w:rsid w:val="00900AF9"/>
    <w:rsid w:val="0090283D"/>
    <w:rsid w:val="00902D3B"/>
    <w:rsid w:val="00902D44"/>
    <w:rsid w:val="00902DFB"/>
    <w:rsid w:val="00903C0C"/>
    <w:rsid w:val="0090413A"/>
    <w:rsid w:val="00904914"/>
    <w:rsid w:val="009051FE"/>
    <w:rsid w:val="00905634"/>
    <w:rsid w:val="0090689F"/>
    <w:rsid w:val="009071F0"/>
    <w:rsid w:val="00907448"/>
    <w:rsid w:val="009078F7"/>
    <w:rsid w:val="00910384"/>
    <w:rsid w:val="0091048B"/>
    <w:rsid w:val="00910895"/>
    <w:rsid w:val="00911BF9"/>
    <w:rsid w:val="00912A1E"/>
    <w:rsid w:val="0091301F"/>
    <w:rsid w:val="00913BA2"/>
    <w:rsid w:val="00914F94"/>
    <w:rsid w:val="0091563D"/>
    <w:rsid w:val="00916B09"/>
    <w:rsid w:val="00916DAA"/>
    <w:rsid w:val="00916DDD"/>
    <w:rsid w:val="009175C8"/>
    <w:rsid w:val="00917A66"/>
    <w:rsid w:val="00917E2F"/>
    <w:rsid w:val="00917FCD"/>
    <w:rsid w:val="00920ADC"/>
    <w:rsid w:val="00920CFB"/>
    <w:rsid w:val="00921980"/>
    <w:rsid w:val="00922108"/>
    <w:rsid w:val="0092218B"/>
    <w:rsid w:val="00922785"/>
    <w:rsid w:val="009227B9"/>
    <w:rsid w:val="00922853"/>
    <w:rsid w:val="00922C77"/>
    <w:rsid w:val="009232CD"/>
    <w:rsid w:val="00923779"/>
    <w:rsid w:val="00924DF4"/>
    <w:rsid w:val="00925F8A"/>
    <w:rsid w:val="009260D3"/>
    <w:rsid w:val="00926494"/>
    <w:rsid w:val="00927923"/>
    <w:rsid w:val="00932D05"/>
    <w:rsid w:val="009336CE"/>
    <w:rsid w:val="009338CD"/>
    <w:rsid w:val="00933D31"/>
    <w:rsid w:val="00933F7E"/>
    <w:rsid w:val="0093429D"/>
    <w:rsid w:val="00934B64"/>
    <w:rsid w:val="00934E38"/>
    <w:rsid w:val="0093539B"/>
    <w:rsid w:val="00936862"/>
    <w:rsid w:val="00937293"/>
    <w:rsid w:val="0093789E"/>
    <w:rsid w:val="00937D31"/>
    <w:rsid w:val="0094062A"/>
    <w:rsid w:val="00940C1A"/>
    <w:rsid w:val="00940E2D"/>
    <w:rsid w:val="00940E94"/>
    <w:rsid w:val="0094146B"/>
    <w:rsid w:val="0094182E"/>
    <w:rsid w:val="009430A3"/>
    <w:rsid w:val="009435CF"/>
    <w:rsid w:val="00943E0C"/>
    <w:rsid w:val="00944644"/>
    <w:rsid w:val="00944771"/>
    <w:rsid w:val="009448EA"/>
    <w:rsid w:val="00944BE1"/>
    <w:rsid w:val="00944F99"/>
    <w:rsid w:val="00945806"/>
    <w:rsid w:val="00945889"/>
    <w:rsid w:val="009458DF"/>
    <w:rsid w:val="00945AA8"/>
    <w:rsid w:val="00946225"/>
    <w:rsid w:val="00947251"/>
    <w:rsid w:val="00950ED0"/>
    <w:rsid w:val="00951B91"/>
    <w:rsid w:val="00951DB4"/>
    <w:rsid w:val="00952D47"/>
    <w:rsid w:val="00954B51"/>
    <w:rsid w:val="009558B4"/>
    <w:rsid w:val="00957D66"/>
    <w:rsid w:val="00960B51"/>
    <w:rsid w:val="009618AF"/>
    <w:rsid w:val="009618D6"/>
    <w:rsid w:val="009619DB"/>
    <w:rsid w:val="009621FD"/>
    <w:rsid w:val="0096266C"/>
    <w:rsid w:val="00962686"/>
    <w:rsid w:val="009630BA"/>
    <w:rsid w:val="00963764"/>
    <w:rsid w:val="009637FA"/>
    <w:rsid w:val="00963CC5"/>
    <w:rsid w:val="00963E1F"/>
    <w:rsid w:val="00964991"/>
    <w:rsid w:val="00964A37"/>
    <w:rsid w:val="00965210"/>
    <w:rsid w:val="00965234"/>
    <w:rsid w:val="009652CB"/>
    <w:rsid w:val="00965624"/>
    <w:rsid w:val="00965A83"/>
    <w:rsid w:val="00965E55"/>
    <w:rsid w:val="009673DF"/>
    <w:rsid w:val="0096761D"/>
    <w:rsid w:val="009679DC"/>
    <w:rsid w:val="00967D54"/>
    <w:rsid w:val="00967FF2"/>
    <w:rsid w:val="00970DEE"/>
    <w:rsid w:val="00971317"/>
    <w:rsid w:val="009718AC"/>
    <w:rsid w:val="00971D71"/>
    <w:rsid w:val="0097275D"/>
    <w:rsid w:val="00972CC5"/>
    <w:rsid w:val="00973BEB"/>
    <w:rsid w:val="00973DF5"/>
    <w:rsid w:val="009740D4"/>
    <w:rsid w:val="009741BA"/>
    <w:rsid w:val="00974308"/>
    <w:rsid w:val="009746CD"/>
    <w:rsid w:val="00974D1B"/>
    <w:rsid w:val="009761CD"/>
    <w:rsid w:val="00976DDF"/>
    <w:rsid w:val="00977ABF"/>
    <w:rsid w:val="00977CB1"/>
    <w:rsid w:val="0098030A"/>
    <w:rsid w:val="009803B4"/>
    <w:rsid w:val="009813FD"/>
    <w:rsid w:val="0098227F"/>
    <w:rsid w:val="00983D7C"/>
    <w:rsid w:val="00984782"/>
    <w:rsid w:val="00984A4E"/>
    <w:rsid w:val="00985AA2"/>
    <w:rsid w:val="00985B30"/>
    <w:rsid w:val="009861BD"/>
    <w:rsid w:val="00986B07"/>
    <w:rsid w:val="00986D23"/>
    <w:rsid w:val="009870CC"/>
    <w:rsid w:val="00987C12"/>
    <w:rsid w:val="00987FF2"/>
    <w:rsid w:val="0099199D"/>
    <w:rsid w:val="00992091"/>
    <w:rsid w:val="0099293C"/>
    <w:rsid w:val="009934A9"/>
    <w:rsid w:val="00994296"/>
    <w:rsid w:val="009945C7"/>
    <w:rsid w:val="00995673"/>
    <w:rsid w:val="00995C20"/>
    <w:rsid w:val="009963CD"/>
    <w:rsid w:val="00997404"/>
    <w:rsid w:val="00997CE2"/>
    <w:rsid w:val="00997FD6"/>
    <w:rsid w:val="009A009C"/>
    <w:rsid w:val="009A1760"/>
    <w:rsid w:val="009A1FF5"/>
    <w:rsid w:val="009A213A"/>
    <w:rsid w:val="009A39F6"/>
    <w:rsid w:val="009A429D"/>
    <w:rsid w:val="009A4C8C"/>
    <w:rsid w:val="009A4DF3"/>
    <w:rsid w:val="009A53E0"/>
    <w:rsid w:val="009A5FB5"/>
    <w:rsid w:val="009A617C"/>
    <w:rsid w:val="009A617E"/>
    <w:rsid w:val="009A6C76"/>
    <w:rsid w:val="009B0351"/>
    <w:rsid w:val="009B0E2B"/>
    <w:rsid w:val="009B1A28"/>
    <w:rsid w:val="009B2467"/>
    <w:rsid w:val="009B2704"/>
    <w:rsid w:val="009B363B"/>
    <w:rsid w:val="009B3B6C"/>
    <w:rsid w:val="009B5A8B"/>
    <w:rsid w:val="009B6035"/>
    <w:rsid w:val="009B66E5"/>
    <w:rsid w:val="009B6D5A"/>
    <w:rsid w:val="009B751A"/>
    <w:rsid w:val="009B7928"/>
    <w:rsid w:val="009C05BF"/>
    <w:rsid w:val="009C0A1E"/>
    <w:rsid w:val="009C10E7"/>
    <w:rsid w:val="009C115C"/>
    <w:rsid w:val="009C1D34"/>
    <w:rsid w:val="009C3223"/>
    <w:rsid w:val="009C382D"/>
    <w:rsid w:val="009C3855"/>
    <w:rsid w:val="009C3A72"/>
    <w:rsid w:val="009C5791"/>
    <w:rsid w:val="009C5870"/>
    <w:rsid w:val="009C6AE3"/>
    <w:rsid w:val="009C7F07"/>
    <w:rsid w:val="009D065A"/>
    <w:rsid w:val="009D3C75"/>
    <w:rsid w:val="009D4ECC"/>
    <w:rsid w:val="009D512B"/>
    <w:rsid w:val="009D557A"/>
    <w:rsid w:val="009D5696"/>
    <w:rsid w:val="009D591F"/>
    <w:rsid w:val="009D593A"/>
    <w:rsid w:val="009D5CC7"/>
    <w:rsid w:val="009E1017"/>
    <w:rsid w:val="009E17FB"/>
    <w:rsid w:val="009E2203"/>
    <w:rsid w:val="009E369F"/>
    <w:rsid w:val="009E3B2A"/>
    <w:rsid w:val="009E4136"/>
    <w:rsid w:val="009E4667"/>
    <w:rsid w:val="009E4749"/>
    <w:rsid w:val="009E4803"/>
    <w:rsid w:val="009E4A19"/>
    <w:rsid w:val="009E5474"/>
    <w:rsid w:val="009E55D3"/>
    <w:rsid w:val="009E6111"/>
    <w:rsid w:val="009E618D"/>
    <w:rsid w:val="009E695C"/>
    <w:rsid w:val="009E6C53"/>
    <w:rsid w:val="009E7758"/>
    <w:rsid w:val="009E7E23"/>
    <w:rsid w:val="009F138E"/>
    <w:rsid w:val="009F17BB"/>
    <w:rsid w:val="009F1BAB"/>
    <w:rsid w:val="009F1DEC"/>
    <w:rsid w:val="009F2898"/>
    <w:rsid w:val="009F2DAE"/>
    <w:rsid w:val="009F36A9"/>
    <w:rsid w:val="009F3849"/>
    <w:rsid w:val="009F3966"/>
    <w:rsid w:val="009F425A"/>
    <w:rsid w:val="009F457A"/>
    <w:rsid w:val="009F6524"/>
    <w:rsid w:val="009F6B00"/>
    <w:rsid w:val="009F7011"/>
    <w:rsid w:val="009F748D"/>
    <w:rsid w:val="009F7652"/>
    <w:rsid w:val="009F76C9"/>
    <w:rsid w:val="00A00CE9"/>
    <w:rsid w:val="00A00FB6"/>
    <w:rsid w:val="00A01ABF"/>
    <w:rsid w:val="00A021CF"/>
    <w:rsid w:val="00A02F3C"/>
    <w:rsid w:val="00A0318B"/>
    <w:rsid w:val="00A042D4"/>
    <w:rsid w:val="00A045A1"/>
    <w:rsid w:val="00A045BD"/>
    <w:rsid w:val="00A04E48"/>
    <w:rsid w:val="00A04EA2"/>
    <w:rsid w:val="00A05327"/>
    <w:rsid w:val="00A05566"/>
    <w:rsid w:val="00A06774"/>
    <w:rsid w:val="00A070E1"/>
    <w:rsid w:val="00A079B0"/>
    <w:rsid w:val="00A07AC3"/>
    <w:rsid w:val="00A07C18"/>
    <w:rsid w:val="00A1050E"/>
    <w:rsid w:val="00A105F3"/>
    <w:rsid w:val="00A113E4"/>
    <w:rsid w:val="00A118D3"/>
    <w:rsid w:val="00A11D31"/>
    <w:rsid w:val="00A12149"/>
    <w:rsid w:val="00A12E60"/>
    <w:rsid w:val="00A14562"/>
    <w:rsid w:val="00A15A27"/>
    <w:rsid w:val="00A15E03"/>
    <w:rsid w:val="00A15EB1"/>
    <w:rsid w:val="00A1601F"/>
    <w:rsid w:val="00A1618B"/>
    <w:rsid w:val="00A17DD0"/>
    <w:rsid w:val="00A17EA8"/>
    <w:rsid w:val="00A203D2"/>
    <w:rsid w:val="00A209F2"/>
    <w:rsid w:val="00A21560"/>
    <w:rsid w:val="00A2203F"/>
    <w:rsid w:val="00A22079"/>
    <w:rsid w:val="00A22681"/>
    <w:rsid w:val="00A227DB"/>
    <w:rsid w:val="00A237E3"/>
    <w:rsid w:val="00A238C6"/>
    <w:rsid w:val="00A23BD9"/>
    <w:rsid w:val="00A25336"/>
    <w:rsid w:val="00A256AA"/>
    <w:rsid w:val="00A26A5C"/>
    <w:rsid w:val="00A27387"/>
    <w:rsid w:val="00A273EC"/>
    <w:rsid w:val="00A27F44"/>
    <w:rsid w:val="00A301C9"/>
    <w:rsid w:val="00A306FA"/>
    <w:rsid w:val="00A3072A"/>
    <w:rsid w:val="00A30857"/>
    <w:rsid w:val="00A30B93"/>
    <w:rsid w:val="00A30EAD"/>
    <w:rsid w:val="00A31175"/>
    <w:rsid w:val="00A317C0"/>
    <w:rsid w:val="00A31E33"/>
    <w:rsid w:val="00A32159"/>
    <w:rsid w:val="00A33222"/>
    <w:rsid w:val="00A33250"/>
    <w:rsid w:val="00A34139"/>
    <w:rsid w:val="00A35021"/>
    <w:rsid w:val="00A35952"/>
    <w:rsid w:val="00A3597B"/>
    <w:rsid w:val="00A35E07"/>
    <w:rsid w:val="00A369D5"/>
    <w:rsid w:val="00A36F55"/>
    <w:rsid w:val="00A376D7"/>
    <w:rsid w:val="00A377F9"/>
    <w:rsid w:val="00A37DE3"/>
    <w:rsid w:val="00A37E8D"/>
    <w:rsid w:val="00A406DF"/>
    <w:rsid w:val="00A410CB"/>
    <w:rsid w:val="00A41368"/>
    <w:rsid w:val="00A414BE"/>
    <w:rsid w:val="00A41DA8"/>
    <w:rsid w:val="00A42274"/>
    <w:rsid w:val="00A424F8"/>
    <w:rsid w:val="00A435E2"/>
    <w:rsid w:val="00A437A8"/>
    <w:rsid w:val="00A43F1D"/>
    <w:rsid w:val="00A445AA"/>
    <w:rsid w:val="00A446E4"/>
    <w:rsid w:val="00A45D74"/>
    <w:rsid w:val="00A45DB2"/>
    <w:rsid w:val="00A467E8"/>
    <w:rsid w:val="00A46E17"/>
    <w:rsid w:val="00A471AA"/>
    <w:rsid w:val="00A474C3"/>
    <w:rsid w:val="00A509FB"/>
    <w:rsid w:val="00A51845"/>
    <w:rsid w:val="00A52DB2"/>
    <w:rsid w:val="00A5318F"/>
    <w:rsid w:val="00A53290"/>
    <w:rsid w:val="00A53935"/>
    <w:rsid w:val="00A53BFF"/>
    <w:rsid w:val="00A541FB"/>
    <w:rsid w:val="00A54995"/>
    <w:rsid w:val="00A54F09"/>
    <w:rsid w:val="00A54FB4"/>
    <w:rsid w:val="00A55AF2"/>
    <w:rsid w:val="00A5690A"/>
    <w:rsid w:val="00A56CFE"/>
    <w:rsid w:val="00A571FD"/>
    <w:rsid w:val="00A5723E"/>
    <w:rsid w:val="00A572A8"/>
    <w:rsid w:val="00A574E5"/>
    <w:rsid w:val="00A57552"/>
    <w:rsid w:val="00A5781E"/>
    <w:rsid w:val="00A60038"/>
    <w:rsid w:val="00A6006F"/>
    <w:rsid w:val="00A60A87"/>
    <w:rsid w:val="00A60D87"/>
    <w:rsid w:val="00A61868"/>
    <w:rsid w:val="00A61B43"/>
    <w:rsid w:val="00A62149"/>
    <w:rsid w:val="00A639DC"/>
    <w:rsid w:val="00A63C7C"/>
    <w:rsid w:val="00A6414A"/>
    <w:rsid w:val="00A64571"/>
    <w:rsid w:val="00A649A8"/>
    <w:rsid w:val="00A651F6"/>
    <w:rsid w:val="00A6599F"/>
    <w:rsid w:val="00A669A2"/>
    <w:rsid w:val="00A6726F"/>
    <w:rsid w:val="00A67478"/>
    <w:rsid w:val="00A7049A"/>
    <w:rsid w:val="00A70ABB"/>
    <w:rsid w:val="00A716C0"/>
    <w:rsid w:val="00A7283C"/>
    <w:rsid w:val="00A735D1"/>
    <w:rsid w:val="00A73886"/>
    <w:rsid w:val="00A73C3F"/>
    <w:rsid w:val="00A7414A"/>
    <w:rsid w:val="00A74A2F"/>
    <w:rsid w:val="00A75071"/>
    <w:rsid w:val="00A75832"/>
    <w:rsid w:val="00A75EAF"/>
    <w:rsid w:val="00A760E0"/>
    <w:rsid w:val="00A771DB"/>
    <w:rsid w:val="00A77C7F"/>
    <w:rsid w:val="00A80635"/>
    <w:rsid w:val="00A80736"/>
    <w:rsid w:val="00A80EFA"/>
    <w:rsid w:val="00A81BA6"/>
    <w:rsid w:val="00A81CE0"/>
    <w:rsid w:val="00A82DB1"/>
    <w:rsid w:val="00A82F37"/>
    <w:rsid w:val="00A834FD"/>
    <w:rsid w:val="00A841D2"/>
    <w:rsid w:val="00A84A00"/>
    <w:rsid w:val="00A84AFE"/>
    <w:rsid w:val="00A8500A"/>
    <w:rsid w:val="00A85092"/>
    <w:rsid w:val="00A861A1"/>
    <w:rsid w:val="00A8725D"/>
    <w:rsid w:val="00A87A39"/>
    <w:rsid w:val="00A901C7"/>
    <w:rsid w:val="00A907B5"/>
    <w:rsid w:val="00A9194D"/>
    <w:rsid w:val="00A91F45"/>
    <w:rsid w:val="00A922A5"/>
    <w:rsid w:val="00A93813"/>
    <w:rsid w:val="00A93929"/>
    <w:rsid w:val="00A95425"/>
    <w:rsid w:val="00A9559A"/>
    <w:rsid w:val="00A9588B"/>
    <w:rsid w:val="00A9610D"/>
    <w:rsid w:val="00A971B6"/>
    <w:rsid w:val="00AA05BF"/>
    <w:rsid w:val="00AA08A0"/>
    <w:rsid w:val="00AA0DA1"/>
    <w:rsid w:val="00AA14A7"/>
    <w:rsid w:val="00AA14E8"/>
    <w:rsid w:val="00AA1DF8"/>
    <w:rsid w:val="00AA1FC9"/>
    <w:rsid w:val="00AA1FD5"/>
    <w:rsid w:val="00AA2087"/>
    <w:rsid w:val="00AA3F82"/>
    <w:rsid w:val="00AA4548"/>
    <w:rsid w:val="00AA4A81"/>
    <w:rsid w:val="00AA5372"/>
    <w:rsid w:val="00AA53EA"/>
    <w:rsid w:val="00AA577B"/>
    <w:rsid w:val="00AA5ED6"/>
    <w:rsid w:val="00AA6126"/>
    <w:rsid w:val="00AA6137"/>
    <w:rsid w:val="00AA7297"/>
    <w:rsid w:val="00AA7924"/>
    <w:rsid w:val="00AA79F0"/>
    <w:rsid w:val="00AA79FC"/>
    <w:rsid w:val="00AB02C3"/>
    <w:rsid w:val="00AB03DF"/>
    <w:rsid w:val="00AB1176"/>
    <w:rsid w:val="00AB14EE"/>
    <w:rsid w:val="00AB1FC0"/>
    <w:rsid w:val="00AB24BD"/>
    <w:rsid w:val="00AB25FC"/>
    <w:rsid w:val="00AB26CC"/>
    <w:rsid w:val="00AB325E"/>
    <w:rsid w:val="00AB4CA7"/>
    <w:rsid w:val="00AB533D"/>
    <w:rsid w:val="00AB54D1"/>
    <w:rsid w:val="00AB56B6"/>
    <w:rsid w:val="00AB66A6"/>
    <w:rsid w:val="00AB69A3"/>
    <w:rsid w:val="00AB6C16"/>
    <w:rsid w:val="00AB7258"/>
    <w:rsid w:val="00AB777A"/>
    <w:rsid w:val="00AC084A"/>
    <w:rsid w:val="00AC0AC9"/>
    <w:rsid w:val="00AC0FAF"/>
    <w:rsid w:val="00AC1ADB"/>
    <w:rsid w:val="00AC220C"/>
    <w:rsid w:val="00AC22C1"/>
    <w:rsid w:val="00AC23D8"/>
    <w:rsid w:val="00AC2A3A"/>
    <w:rsid w:val="00AC2B0C"/>
    <w:rsid w:val="00AC2DD9"/>
    <w:rsid w:val="00AC402E"/>
    <w:rsid w:val="00AC564E"/>
    <w:rsid w:val="00AC58AB"/>
    <w:rsid w:val="00AC5A4F"/>
    <w:rsid w:val="00AC5B34"/>
    <w:rsid w:val="00AC5CDA"/>
    <w:rsid w:val="00AC65F7"/>
    <w:rsid w:val="00AC6918"/>
    <w:rsid w:val="00AC746D"/>
    <w:rsid w:val="00AD0B8D"/>
    <w:rsid w:val="00AD13D8"/>
    <w:rsid w:val="00AD1E8D"/>
    <w:rsid w:val="00AD2B19"/>
    <w:rsid w:val="00AD35B1"/>
    <w:rsid w:val="00AD3971"/>
    <w:rsid w:val="00AD555A"/>
    <w:rsid w:val="00AD5562"/>
    <w:rsid w:val="00AD5AE0"/>
    <w:rsid w:val="00AD5B45"/>
    <w:rsid w:val="00AD63EB"/>
    <w:rsid w:val="00AD7391"/>
    <w:rsid w:val="00AD7409"/>
    <w:rsid w:val="00AD7557"/>
    <w:rsid w:val="00AE0175"/>
    <w:rsid w:val="00AE075D"/>
    <w:rsid w:val="00AE0DA8"/>
    <w:rsid w:val="00AE1B5E"/>
    <w:rsid w:val="00AE1EEC"/>
    <w:rsid w:val="00AE295B"/>
    <w:rsid w:val="00AE3C38"/>
    <w:rsid w:val="00AE4021"/>
    <w:rsid w:val="00AE41E5"/>
    <w:rsid w:val="00AE43E5"/>
    <w:rsid w:val="00AE4562"/>
    <w:rsid w:val="00AE5782"/>
    <w:rsid w:val="00AE5BCE"/>
    <w:rsid w:val="00AE62D0"/>
    <w:rsid w:val="00AE6BFE"/>
    <w:rsid w:val="00AE75CF"/>
    <w:rsid w:val="00AE75F9"/>
    <w:rsid w:val="00AF086D"/>
    <w:rsid w:val="00AF0D51"/>
    <w:rsid w:val="00AF199A"/>
    <w:rsid w:val="00AF1A00"/>
    <w:rsid w:val="00AF3158"/>
    <w:rsid w:val="00AF3375"/>
    <w:rsid w:val="00AF4948"/>
    <w:rsid w:val="00AF5D70"/>
    <w:rsid w:val="00AF6328"/>
    <w:rsid w:val="00AF645A"/>
    <w:rsid w:val="00AF77A7"/>
    <w:rsid w:val="00AF7BDD"/>
    <w:rsid w:val="00B000EF"/>
    <w:rsid w:val="00B00256"/>
    <w:rsid w:val="00B01245"/>
    <w:rsid w:val="00B0174E"/>
    <w:rsid w:val="00B035BC"/>
    <w:rsid w:val="00B03686"/>
    <w:rsid w:val="00B03D63"/>
    <w:rsid w:val="00B043F1"/>
    <w:rsid w:val="00B05610"/>
    <w:rsid w:val="00B058F3"/>
    <w:rsid w:val="00B05DD7"/>
    <w:rsid w:val="00B0799C"/>
    <w:rsid w:val="00B100D7"/>
    <w:rsid w:val="00B10796"/>
    <w:rsid w:val="00B10B64"/>
    <w:rsid w:val="00B10B92"/>
    <w:rsid w:val="00B1114C"/>
    <w:rsid w:val="00B1173A"/>
    <w:rsid w:val="00B11815"/>
    <w:rsid w:val="00B126D0"/>
    <w:rsid w:val="00B12A66"/>
    <w:rsid w:val="00B131C4"/>
    <w:rsid w:val="00B139E7"/>
    <w:rsid w:val="00B13B26"/>
    <w:rsid w:val="00B146CC"/>
    <w:rsid w:val="00B15B99"/>
    <w:rsid w:val="00B17B6F"/>
    <w:rsid w:val="00B206A9"/>
    <w:rsid w:val="00B20C8F"/>
    <w:rsid w:val="00B20F9E"/>
    <w:rsid w:val="00B20FFA"/>
    <w:rsid w:val="00B21D7C"/>
    <w:rsid w:val="00B224CE"/>
    <w:rsid w:val="00B230BD"/>
    <w:rsid w:val="00B230DC"/>
    <w:rsid w:val="00B23612"/>
    <w:rsid w:val="00B24699"/>
    <w:rsid w:val="00B25104"/>
    <w:rsid w:val="00B25847"/>
    <w:rsid w:val="00B2591B"/>
    <w:rsid w:val="00B2653F"/>
    <w:rsid w:val="00B267BF"/>
    <w:rsid w:val="00B26E87"/>
    <w:rsid w:val="00B32149"/>
    <w:rsid w:val="00B33688"/>
    <w:rsid w:val="00B33B73"/>
    <w:rsid w:val="00B33E5B"/>
    <w:rsid w:val="00B35262"/>
    <w:rsid w:val="00B35927"/>
    <w:rsid w:val="00B35C35"/>
    <w:rsid w:val="00B36D8D"/>
    <w:rsid w:val="00B37228"/>
    <w:rsid w:val="00B3748F"/>
    <w:rsid w:val="00B37B2F"/>
    <w:rsid w:val="00B40148"/>
    <w:rsid w:val="00B407B9"/>
    <w:rsid w:val="00B40B39"/>
    <w:rsid w:val="00B40E0A"/>
    <w:rsid w:val="00B415AB"/>
    <w:rsid w:val="00B42499"/>
    <w:rsid w:val="00B43027"/>
    <w:rsid w:val="00B436F2"/>
    <w:rsid w:val="00B44040"/>
    <w:rsid w:val="00B4420F"/>
    <w:rsid w:val="00B44463"/>
    <w:rsid w:val="00B44A20"/>
    <w:rsid w:val="00B44B8B"/>
    <w:rsid w:val="00B45251"/>
    <w:rsid w:val="00B45B34"/>
    <w:rsid w:val="00B45D5D"/>
    <w:rsid w:val="00B46C66"/>
    <w:rsid w:val="00B471C6"/>
    <w:rsid w:val="00B47635"/>
    <w:rsid w:val="00B47C53"/>
    <w:rsid w:val="00B50443"/>
    <w:rsid w:val="00B50488"/>
    <w:rsid w:val="00B5053E"/>
    <w:rsid w:val="00B50A68"/>
    <w:rsid w:val="00B50D82"/>
    <w:rsid w:val="00B5115A"/>
    <w:rsid w:val="00B51E87"/>
    <w:rsid w:val="00B51F14"/>
    <w:rsid w:val="00B51FA2"/>
    <w:rsid w:val="00B522C6"/>
    <w:rsid w:val="00B524CB"/>
    <w:rsid w:val="00B52A0F"/>
    <w:rsid w:val="00B53C36"/>
    <w:rsid w:val="00B56C06"/>
    <w:rsid w:val="00B56C7A"/>
    <w:rsid w:val="00B56F24"/>
    <w:rsid w:val="00B57B33"/>
    <w:rsid w:val="00B57DBA"/>
    <w:rsid w:val="00B57EBF"/>
    <w:rsid w:val="00B60E27"/>
    <w:rsid w:val="00B612D8"/>
    <w:rsid w:val="00B61B11"/>
    <w:rsid w:val="00B6279E"/>
    <w:rsid w:val="00B6286B"/>
    <w:rsid w:val="00B63505"/>
    <w:rsid w:val="00B635BF"/>
    <w:rsid w:val="00B6390F"/>
    <w:rsid w:val="00B63AB0"/>
    <w:rsid w:val="00B63DB7"/>
    <w:rsid w:val="00B64592"/>
    <w:rsid w:val="00B64704"/>
    <w:rsid w:val="00B65D5A"/>
    <w:rsid w:val="00B65D60"/>
    <w:rsid w:val="00B66015"/>
    <w:rsid w:val="00B66404"/>
    <w:rsid w:val="00B66E2D"/>
    <w:rsid w:val="00B66F80"/>
    <w:rsid w:val="00B6705B"/>
    <w:rsid w:val="00B67C59"/>
    <w:rsid w:val="00B74698"/>
    <w:rsid w:val="00B75BA7"/>
    <w:rsid w:val="00B762F1"/>
    <w:rsid w:val="00B77136"/>
    <w:rsid w:val="00B77EEE"/>
    <w:rsid w:val="00B811A2"/>
    <w:rsid w:val="00B814CC"/>
    <w:rsid w:val="00B81A62"/>
    <w:rsid w:val="00B81B67"/>
    <w:rsid w:val="00B82E47"/>
    <w:rsid w:val="00B8306A"/>
    <w:rsid w:val="00B83A77"/>
    <w:rsid w:val="00B83CDB"/>
    <w:rsid w:val="00B841E9"/>
    <w:rsid w:val="00B84C23"/>
    <w:rsid w:val="00B84CD5"/>
    <w:rsid w:val="00B84E5A"/>
    <w:rsid w:val="00B85BBA"/>
    <w:rsid w:val="00B864DD"/>
    <w:rsid w:val="00B86F8F"/>
    <w:rsid w:val="00B87218"/>
    <w:rsid w:val="00B9079D"/>
    <w:rsid w:val="00B91213"/>
    <w:rsid w:val="00B91D1E"/>
    <w:rsid w:val="00B921FD"/>
    <w:rsid w:val="00B92400"/>
    <w:rsid w:val="00B924C3"/>
    <w:rsid w:val="00B924EC"/>
    <w:rsid w:val="00B92A9B"/>
    <w:rsid w:val="00B931ED"/>
    <w:rsid w:val="00B9327E"/>
    <w:rsid w:val="00B9358F"/>
    <w:rsid w:val="00B93AC5"/>
    <w:rsid w:val="00B94045"/>
    <w:rsid w:val="00B94239"/>
    <w:rsid w:val="00B94F9D"/>
    <w:rsid w:val="00B95266"/>
    <w:rsid w:val="00B95A5B"/>
    <w:rsid w:val="00B96667"/>
    <w:rsid w:val="00B96BB4"/>
    <w:rsid w:val="00B96BFE"/>
    <w:rsid w:val="00B96D23"/>
    <w:rsid w:val="00B9706D"/>
    <w:rsid w:val="00BA0460"/>
    <w:rsid w:val="00BA0485"/>
    <w:rsid w:val="00BA048A"/>
    <w:rsid w:val="00BA141A"/>
    <w:rsid w:val="00BA1BED"/>
    <w:rsid w:val="00BA26BE"/>
    <w:rsid w:val="00BA26ED"/>
    <w:rsid w:val="00BA2CBE"/>
    <w:rsid w:val="00BA2E38"/>
    <w:rsid w:val="00BA302E"/>
    <w:rsid w:val="00BA470B"/>
    <w:rsid w:val="00BA49C6"/>
    <w:rsid w:val="00BA4BC4"/>
    <w:rsid w:val="00BA5984"/>
    <w:rsid w:val="00BA73BB"/>
    <w:rsid w:val="00BB001D"/>
    <w:rsid w:val="00BB03D8"/>
    <w:rsid w:val="00BB1804"/>
    <w:rsid w:val="00BB1D21"/>
    <w:rsid w:val="00BB2D74"/>
    <w:rsid w:val="00BB2FB9"/>
    <w:rsid w:val="00BB3465"/>
    <w:rsid w:val="00BB34C2"/>
    <w:rsid w:val="00BB3DD0"/>
    <w:rsid w:val="00BB539A"/>
    <w:rsid w:val="00BB54FA"/>
    <w:rsid w:val="00BB5CBE"/>
    <w:rsid w:val="00BB5EB4"/>
    <w:rsid w:val="00BB617D"/>
    <w:rsid w:val="00BB69CA"/>
    <w:rsid w:val="00BB6A70"/>
    <w:rsid w:val="00BB6DCA"/>
    <w:rsid w:val="00BB7154"/>
    <w:rsid w:val="00BB7A7E"/>
    <w:rsid w:val="00BC01F1"/>
    <w:rsid w:val="00BC0916"/>
    <w:rsid w:val="00BC13DB"/>
    <w:rsid w:val="00BC1D69"/>
    <w:rsid w:val="00BC2185"/>
    <w:rsid w:val="00BC27F9"/>
    <w:rsid w:val="00BC296E"/>
    <w:rsid w:val="00BC2AE0"/>
    <w:rsid w:val="00BC2D6D"/>
    <w:rsid w:val="00BC3E09"/>
    <w:rsid w:val="00BC4946"/>
    <w:rsid w:val="00BC517A"/>
    <w:rsid w:val="00BC53AA"/>
    <w:rsid w:val="00BC695A"/>
    <w:rsid w:val="00BC6A6C"/>
    <w:rsid w:val="00BC6C76"/>
    <w:rsid w:val="00BC7330"/>
    <w:rsid w:val="00BC7B55"/>
    <w:rsid w:val="00BD00F0"/>
    <w:rsid w:val="00BD03F6"/>
    <w:rsid w:val="00BD0B7D"/>
    <w:rsid w:val="00BD0D37"/>
    <w:rsid w:val="00BD100E"/>
    <w:rsid w:val="00BD3818"/>
    <w:rsid w:val="00BD402C"/>
    <w:rsid w:val="00BD6156"/>
    <w:rsid w:val="00BD711E"/>
    <w:rsid w:val="00BD74B1"/>
    <w:rsid w:val="00BD758A"/>
    <w:rsid w:val="00BD7DE2"/>
    <w:rsid w:val="00BE0CD4"/>
    <w:rsid w:val="00BE12CF"/>
    <w:rsid w:val="00BE1372"/>
    <w:rsid w:val="00BE138A"/>
    <w:rsid w:val="00BE1FED"/>
    <w:rsid w:val="00BE24BC"/>
    <w:rsid w:val="00BE2740"/>
    <w:rsid w:val="00BE35AD"/>
    <w:rsid w:val="00BE3B5D"/>
    <w:rsid w:val="00BE421F"/>
    <w:rsid w:val="00BE4B78"/>
    <w:rsid w:val="00BE4DDE"/>
    <w:rsid w:val="00BE56AE"/>
    <w:rsid w:val="00BE6979"/>
    <w:rsid w:val="00BE71A4"/>
    <w:rsid w:val="00BE7459"/>
    <w:rsid w:val="00BE7CE3"/>
    <w:rsid w:val="00BF0068"/>
    <w:rsid w:val="00BF0566"/>
    <w:rsid w:val="00BF06F2"/>
    <w:rsid w:val="00BF089E"/>
    <w:rsid w:val="00BF0BFF"/>
    <w:rsid w:val="00BF16B7"/>
    <w:rsid w:val="00BF2A9D"/>
    <w:rsid w:val="00BF2E5D"/>
    <w:rsid w:val="00BF300A"/>
    <w:rsid w:val="00BF3191"/>
    <w:rsid w:val="00BF329C"/>
    <w:rsid w:val="00BF4086"/>
    <w:rsid w:val="00BF44E5"/>
    <w:rsid w:val="00BF453C"/>
    <w:rsid w:val="00BF4966"/>
    <w:rsid w:val="00BF4E35"/>
    <w:rsid w:val="00BF4F94"/>
    <w:rsid w:val="00BF5ECF"/>
    <w:rsid w:val="00BF7527"/>
    <w:rsid w:val="00C001B9"/>
    <w:rsid w:val="00C01D7F"/>
    <w:rsid w:val="00C024AA"/>
    <w:rsid w:val="00C02529"/>
    <w:rsid w:val="00C03087"/>
    <w:rsid w:val="00C03D51"/>
    <w:rsid w:val="00C058EE"/>
    <w:rsid w:val="00C06C98"/>
    <w:rsid w:val="00C0717A"/>
    <w:rsid w:val="00C07550"/>
    <w:rsid w:val="00C10DBA"/>
    <w:rsid w:val="00C112EB"/>
    <w:rsid w:val="00C11531"/>
    <w:rsid w:val="00C1283B"/>
    <w:rsid w:val="00C13078"/>
    <w:rsid w:val="00C136FC"/>
    <w:rsid w:val="00C1386D"/>
    <w:rsid w:val="00C14F3F"/>
    <w:rsid w:val="00C158C1"/>
    <w:rsid w:val="00C16C08"/>
    <w:rsid w:val="00C16E69"/>
    <w:rsid w:val="00C175C1"/>
    <w:rsid w:val="00C17CC8"/>
    <w:rsid w:val="00C20512"/>
    <w:rsid w:val="00C209D4"/>
    <w:rsid w:val="00C214E8"/>
    <w:rsid w:val="00C214F7"/>
    <w:rsid w:val="00C2163C"/>
    <w:rsid w:val="00C21B12"/>
    <w:rsid w:val="00C21C3F"/>
    <w:rsid w:val="00C2266A"/>
    <w:rsid w:val="00C23FFD"/>
    <w:rsid w:val="00C24C0E"/>
    <w:rsid w:val="00C24E5C"/>
    <w:rsid w:val="00C26305"/>
    <w:rsid w:val="00C26309"/>
    <w:rsid w:val="00C26852"/>
    <w:rsid w:val="00C26A1E"/>
    <w:rsid w:val="00C26BA9"/>
    <w:rsid w:val="00C27522"/>
    <w:rsid w:val="00C27666"/>
    <w:rsid w:val="00C27CDF"/>
    <w:rsid w:val="00C27D8A"/>
    <w:rsid w:val="00C308E1"/>
    <w:rsid w:val="00C31A30"/>
    <w:rsid w:val="00C344BF"/>
    <w:rsid w:val="00C3452A"/>
    <w:rsid w:val="00C34554"/>
    <w:rsid w:val="00C346D3"/>
    <w:rsid w:val="00C3497E"/>
    <w:rsid w:val="00C34A50"/>
    <w:rsid w:val="00C355D5"/>
    <w:rsid w:val="00C3588F"/>
    <w:rsid w:val="00C358DA"/>
    <w:rsid w:val="00C358EB"/>
    <w:rsid w:val="00C37FDF"/>
    <w:rsid w:val="00C41AB6"/>
    <w:rsid w:val="00C420EB"/>
    <w:rsid w:val="00C4253B"/>
    <w:rsid w:val="00C42FE6"/>
    <w:rsid w:val="00C4459E"/>
    <w:rsid w:val="00C44ADB"/>
    <w:rsid w:val="00C46618"/>
    <w:rsid w:val="00C472D0"/>
    <w:rsid w:val="00C47E61"/>
    <w:rsid w:val="00C50D2C"/>
    <w:rsid w:val="00C50D79"/>
    <w:rsid w:val="00C51354"/>
    <w:rsid w:val="00C51CE8"/>
    <w:rsid w:val="00C5224F"/>
    <w:rsid w:val="00C52864"/>
    <w:rsid w:val="00C531AE"/>
    <w:rsid w:val="00C53790"/>
    <w:rsid w:val="00C53E7E"/>
    <w:rsid w:val="00C53F71"/>
    <w:rsid w:val="00C544B1"/>
    <w:rsid w:val="00C54769"/>
    <w:rsid w:val="00C547BE"/>
    <w:rsid w:val="00C54D11"/>
    <w:rsid w:val="00C55611"/>
    <w:rsid w:val="00C55B48"/>
    <w:rsid w:val="00C566ED"/>
    <w:rsid w:val="00C56713"/>
    <w:rsid w:val="00C56C39"/>
    <w:rsid w:val="00C57271"/>
    <w:rsid w:val="00C578A5"/>
    <w:rsid w:val="00C57B50"/>
    <w:rsid w:val="00C60061"/>
    <w:rsid w:val="00C60D08"/>
    <w:rsid w:val="00C612DE"/>
    <w:rsid w:val="00C6146E"/>
    <w:rsid w:val="00C61546"/>
    <w:rsid w:val="00C61DBF"/>
    <w:rsid w:val="00C61EDA"/>
    <w:rsid w:val="00C626DA"/>
    <w:rsid w:val="00C63899"/>
    <w:rsid w:val="00C63AAF"/>
    <w:rsid w:val="00C64A32"/>
    <w:rsid w:val="00C64DAF"/>
    <w:rsid w:val="00C65794"/>
    <w:rsid w:val="00C65DD2"/>
    <w:rsid w:val="00C667EF"/>
    <w:rsid w:val="00C66CEE"/>
    <w:rsid w:val="00C66F08"/>
    <w:rsid w:val="00C67361"/>
    <w:rsid w:val="00C71670"/>
    <w:rsid w:val="00C71D94"/>
    <w:rsid w:val="00C72405"/>
    <w:rsid w:val="00C726CB"/>
    <w:rsid w:val="00C7352D"/>
    <w:rsid w:val="00C74319"/>
    <w:rsid w:val="00C744FB"/>
    <w:rsid w:val="00C74770"/>
    <w:rsid w:val="00C74BAE"/>
    <w:rsid w:val="00C7525B"/>
    <w:rsid w:val="00C75B91"/>
    <w:rsid w:val="00C75CE9"/>
    <w:rsid w:val="00C75D7A"/>
    <w:rsid w:val="00C76200"/>
    <w:rsid w:val="00C76212"/>
    <w:rsid w:val="00C76561"/>
    <w:rsid w:val="00C76850"/>
    <w:rsid w:val="00C76C34"/>
    <w:rsid w:val="00C776FB"/>
    <w:rsid w:val="00C77B40"/>
    <w:rsid w:val="00C77BE2"/>
    <w:rsid w:val="00C801B8"/>
    <w:rsid w:val="00C8051E"/>
    <w:rsid w:val="00C807DD"/>
    <w:rsid w:val="00C816C1"/>
    <w:rsid w:val="00C8174B"/>
    <w:rsid w:val="00C81F9D"/>
    <w:rsid w:val="00C83549"/>
    <w:rsid w:val="00C83739"/>
    <w:rsid w:val="00C83D22"/>
    <w:rsid w:val="00C847E1"/>
    <w:rsid w:val="00C8487E"/>
    <w:rsid w:val="00C84C2B"/>
    <w:rsid w:val="00C84C3B"/>
    <w:rsid w:val="00C86415"/>
    <w:rsid w:val="00C86CF1"/>
    <w:rsid w:val="00C86F52"/>
    <w:rsid w:val="00C86F5D"/>
    <w:rsid w:val="00C87AD9"/>
    <w:rsid w:val="00C90271"/>
    <w:rsid w:val="00C9066E"/>
    <w:rsid w:val="00C915BA"/>
    <w:rsid w:val="00C91A1E"/>
    <w:rsid w:val="00C9233A"/>
    <w:rsid w:val="00C928D4"/>
    <w:rsid w:val="00C928D6"/>
    <w:rsid w:val="00C93767"/>
    <w:rsid w:val="00C93775"/>
    <w:rsid w:val="00C937A1"/>
    <w:rsid w:val="00C93A54"/>
    <w:rsid w:val="00C93E34"/>
    <w:rsid w:val="00C948E0"/>
    <w:rsid w:val="00C94AE4"/>
    <w:rsid w:val="00C96758"/>
    <w:rsid w:val="00C96B49"/>
    <w:rsid w:val="00C97834"/>
    <w:rsid w:val="00C97AD7"/>
    <w:rsid w:val="00C97F2D"/>
    <w:rsid w:val="00CA0EAB"/>
    <w:rsid w:val="00CA1188"/>
    <w:rsid w:val="00CA15E0"/>
    <w:rsid w:val="00CA1F9D"/>
    <w:rsid w:val="00CA21D6"/>
    <w:rsid w:val="00CA2395"/>
    <w:rsid w:val="00CA244F"/>
    <w:rsid w:val="00CA2683"/>
    <w:rsid w:val="00CA2DA9"/>
    <w:rsid w:val="00CA39A7"/>
    <w:rsid w:val="00CA459D"/>
    <w:rsid w:val="00CA59A4"/>
    <w:rsid w:val="00CA75AD"/>
    <w:rsid w:val="00CB00B8"/>
    <w:rsid w:val="00CB0716"/>
    <w:rsid w:val="00CB0BE0"/>
    <w:rsid w:val="00CB1AA8"/>
    <w:rsid w:val="00CB1DA3"/>
    <w:rsid w:val="00CB1E9D"/>
    <w:rsid w:val="00CB226D"/>
    <w:rsid w:val="00CB26C4"/>
    <w:rsid w:val="00CB292B"/>
    <w:rsid w:val="00CB29C2"/>
    <w:rsid w:val="00CB3074"/>
    <w:rsid w:val="00CB3DB9"/>
    <w:rsid w:val="00CB3E7D"/>
    <w:rsid w:val="00CB5A85"/>
    <w:rsid w:val="00CB6C16"/>
    <w:rsid w:val="00CB6D43"/>
    <w:rsid w:val="00CB737C"/>
    <w:rsid w:val="00CB7534"/>
    <w:rsid w:val="00CB7EF3"/>
    <w:rsid w:val="00CC038C"/>
    <w:rsid w:val="00CC2770"/>
    <w:rsid w:val="00CC27F3"/>
    <w:rsid w:val="00CC285C"/>
    <w:rsid w:val="00CC2D98"/>
    <w:rsid w:val="00CC37A8"/>
    <w:rsid w:val="00CC3A5E"/>
    <w:rsid w:val="00CC4622"/>
    <w:rsid w:val="00CC4D67"/>
    <w:rsid w:val="00CC519D"/>
    <w:rsid w:val="00CC5F46"/>
    <w:rsid w:val="00CC689D"/>
    <w:rsid w:val="00CC6D01"/>
    <w:rsid w:val="00CC733B"/>
    <w:rsid w:val="00CC7993"/>
    <w:rsid w:val="00CD0074"/>
    <w:rsid w:val="00CD1A18"/>
    <w:rsid w:val="00CD1CC4"/>
    <w:rsid w:val="00CD1E21"/>
    <w:rsid w:val="00CD1E70"/>
    <w:rsid w:val="00CD3908"/>
    <w:rsid w:val="00CD3AE9"/>
    <w:rsid w:val="00CD4A6F"/>
    <w:rsid w:val="00CD5E42"/>
    <w:rsid w:val="00CD603A"/>
    <w:rsid w:val="00CD60C7"/>
    <w:rsid w:val="00CD627B"/>
    <w:rsid w:val="00CD6AF5"/>
    <w:rsid w:val="00CD702A"/>
    <w:rsid w:val="00CE008D"/>
    <w:rsid w:val="00CE0748"/>
    <w:rsid w:val="00CE09CC"/>
    <w:rsid w:val="00CE10F9"/>
    <w:rsid w:val="00CE145A"/>
    <w:rsid w:val="00CE2240"/>
    <w:rsid w:val="00CE2B3E"/>
    <w:rsid w:val="00CE30A8"/>
    <w:rsid w:val="00CE3A69"/>
    <w:rsid w:val="00CE465A"/>
    <w:rsid w:val="00CE56C1"/>
    <w:rsid w:val="00CE5D2F"/>
    <w:rsid w:val="00CE5E3F"/>
    <w:rsid w:val="00CE60FF"/>
    <w:rsid w:val="00CE61EF"/>
    <w:rsid w:val="00CE63BF"/>
    <w:rsid w:val="00CF113A"/>
    <w:rsid w:val="00CF11F2"/>
    <w:rsid w:val="00CF1502"/>
    <w:rsid w:val="00CF15ED"/>
    <w:rsid w:val="00CF2126"/>
    <w:rsid w:val="00CF2131"/>
    <w:rsid w:val="00CF27DE"/>
    <w:rsid w:val="00CF2AA0"/>
    <w:rsid w:val="00CF2F4B"/>
    <w:rsid w:val="00CF31EE"/>
    <w:rsid w:val="00CF364C"/>
    <w:rsid w:val="00CF4578"/>
    <w:rsid w:val="00CF4DB7"/>
    <w:rsid w:val="00CF582C"/>
    <w:rsid w:val="00CF5A84"/>
    <w:rsid w:val="00CF5BE1"/>
    <w:rsid w:val="00CF73F6"/>
    <w:rsid w:val="00CF7A04"/>
    <w:rsid w:val="00CF7ACB"/>
    <w:rsid w:val="00CF7B58"/>
    <w:rsid w:val="00D00F75"/>
    <w:rsid w:val="00D010B0"/>
    <w:rsid w:val="00D0123E"/>
    <w:rsid w:val="00D01F76"/>
    <w:rsid w:val="00D0204F"/>
    <w:rsid w:val="00D02735"/>
    <w:rsid w:val="00D0274A"/>
    <w:rsid w:val="00D02CC6"/>
    <w:rsid w:val="00D03903"/>
    <w:rsid w:val="00D03A69"/>
    <w:rsid w:val="00D03BF3"/>
    <w:rsid w:val="00D0403F"/>
    <w:rsid w:val="00D0413A"/>
    <w:rsid w:val="00D048DF"/>
    <w:rsid w:val="00D05287"/>
    <w:rsid w:val="00D05440"/>
    <w:rsid w:val="00D055A0"/>
    <w:rsid w:val="00D06A96"/>
    <w:rsid w:val="00D06E9F"/>
    <w:rsid w:val="00D07512"/>
    <w:rsid w:val="00D10609"/>
    <w:rsid w:val="00D106D0"/>
    <w:rsid w:val="00D11402"/>
    <w:rsid w:val="00D11D8D"/>
    <w:rsid w:val="00D1229F"/>
    <w:rsid w:val="00D127CF"/>
    <w:rsid w:val="00D140EA"/>
    <w:rsid w:val="00D145C4"/>
    <w:rsid w:val="00D14AE1"/>
    <w:rsid w:val="00D15081"/>
    <w:rsid w:val="00D1555B"/>
    <w:rsid w:val="00D1588E"/>
    <w:rsid w:val="00D16110"/>
    <w:rsid w:val="00D178F4"/>
    <w:rsid w:val="00D17F43"/>
    <w:rsid w:val="00D17F45"/>
    <w:rsid w:val="00D2018F"/>
    <w:rsid w:val="00D203F5"/>
    <w:rsid w:val="00D2057E"/>
    <w:rsid w:val="00D2059A"/>
    <w:rsid w:val="00D20848"/>
    <w:rsid w:val="00D20AF5"/>
    <w:rsid w:val="00D21B90"/>
    <w:rsid w:val="00D22917"/>
    <w:rsid w:val="00D23AA2"/>
    <w:rsid w:val="00D23F0F"/>
    <w:rsid w:val="00D243E8"/>
    <w:rsid w:val="00D24845"/>
    <w:rsid w:val="00D248ED"/>
    <w:rsid w:val="00D24BE2"/>
    <w:rsid w:val="00D24C90"/>
    <w:rsid w:val="00D24CB7"/>
    <w:rsid w:val="00D25273"/>
    <w:rsid w:val="00D26EF3"/>
    <w:rsid w:val="00D26FF0"/>
    <w:rsid w:val="00D31073"/>
    <w:rsid w:val="00D31C97"/>
    <w:rsid w:val="00D320A9"/>
    <w:rsid w:val="00D32338"/>
    <w:rsid w:val="00D335F4"/>
    <w:rsid w:val="00D33633"/>
    <w:rsid w:val="00D33B37"/>
    <w:rsid w:val="00D33EDF"/>
    <w:rsid w:val="00D34381"/>
    <w:rsid w:val="00D34B51"/>
    <w:rsid w:val="00D34F4A"/>
    <w:rsid w:val="00D350BA"/>
    <w:rsid w:val="00D354CE"/>
    <w:rsid w:val="00D36353"/>
    <w:rsid w:val="00D3724B"/>
    <w:rsid w:val="00D373C3"/>
    <w:rsid w:val="00D37716"/>
    <w:rsid w:val="00D37D40"/>
    <w:rsid w:val="00D37D4B"/>
    <w:rsid w:val="00D404BC"/>
    <w:rsid w:val="00D41BAF"/>
    <w:rsid w:val="00D41D6F"/>
    <w:rsid w:val="00D424E6"/>
    <w:rsid w:val="00D433B8"/>
    <w:rsid w:val="00D434DC"/>
    <w:rsid w:val="00D43509"/>
    <w:rsid w:val="00D43C0B"/>
    <w:rsid w:val="00D43FC5"/>
    <w:rsid w:val="00D44071"/>
    <w:rsid w:val="00D44142"/>
    <w:rsid w:val="00D4479B"/>
    <w:rsid w:val="00D44B0E"/>
    <w:rsid w:val="00D44D70"/>
    <w:rsid w:val="00D44F19"/>
    <w:rsid w:val="00D4577D"/>
    <w:rsid w:val="00D463A9"/>
    <w:rsid w:val="00D46417"/>
    <w:rsid w:val="00D46E95"/>
    <w:rsid w:val="00D50042"/>
    <w:rsid w:val="00D5011E"/>
    <w:rsid w:val="00D50181"/>
    <w:rsid w:val="00D5027B"/>
    <w:rsid w:val="00D509AB"/>
    <w:rsid w:val="00D50C06"/>
    <w:rsid w:val="00D5142A"/>
    <w:rsid w:val="00D5225E"/>
    <w:rsid w:val="00D52B68"/>
    <w:rsid w:val="00D52EAC"/>
    <w:rsid w:val="00D543CB"/>
    <w:rsid w:val="00D54530"/>
    <w:rsid w:val="00D547BD"/>
    <w:rsid w:val="00D55CE2"/>
    <w:rsid w:val="00D6075A"/>
    <w:rsid w:val="00D60FAC"/>
    <w:rsid w:val="00D6121F"/>
    <w:rsid w:val="00D614A2"/>
    <w:rsid w:val="00D61A05"/>
    <w:rsid w:val="00D627D1"/>
    <w:rsid w:val="00D62C7A"/>
    <w:rsid w:val="00D63FE6"/>
    <w:rsid w:val="00D642A7"/>
    <w:rsid w:val="00D649CD"/>
    <w:rsid w:val="00D64E1F"/>
    <w:rsid w:val="00D6534E"/>
    <w:rsid w:val="00D6657F"/>
    <w:rsid w:val="00D67FB6"/>
    <w:rsid w:val="00D70130"/>
    <w:rsid w:val="00D724FB"/>
    <w:rsid w:val="00D72575"/>
    <w:rsid w:val="00D73082"/>
    <w:rsid w:val="00D737D3"/>
    <w:rsid w:val="00D73B6B"/>
    <w:rsid w:val="00D73C5A"/>
    <w:rsid w:val="00D73F44"/>
    <w:rsid w:val="00D74108"/>
    <w:rsid w:val="00D741D3"/>
    <w:rsid w:val="00D747DC"/>
    <w:rsid w:val="00D75459"/>
    <w:rsid w:val="00D754AD"/>
    <w:rsid w:val="00D75A6E"/>
    <w:rsid w:val="00D75F7C"/>
    <w:rsid w:val="00D76977"/>
    <w:rsid w:val="00D76B11"/>
    <w:rsid w:val="00D76FEC"/>
    <w:rsid w:val="00D775BD"/>
    <w:rsid w:val="00D775DC"/>
    <w:rsid w:val="00D80444"/>
    <w:rsid w:val="00D82456"/>
    <w:rsid w:val="00D828CF"/>
    <w:rsid w:val="00D82EB6"/>
    <w:rsid w:val="00D832FD"/>
    <w:rsid w:val="00D84183"/>
    <w:rsid w:val="00D85090"/>
    <w:rsid w:val="00D85525"/>
    <w:rsid w:val="00D85B7B"/>
    <w:rsid w:val="00D85C6A"/>
    <w:rsid w:val="00D85CED"/>
    <w:rsid w:val="00D860CB"/>
    <w:rsid w:val="00D86844"/>
    <w:rsid w:val="00D86FEB"/>
    <w:rsid w:val="00D87CBE"/>
    <w:rsid w:val="00D87F64"/>
    <w:rsid w:val="00D903DF"/>
    <w:rsid w:val="00D90809"/>
    <w:rsid w:val="00D9101A"/>
    <w:rsid w:val="00D928F6"/>
    <w:rsid w:val="00D935D7"/>
    <w:rsid w:val="00D9447A"/>
    <w:rsid w:val="00D94BB2"/>
    <w:rsid w:val="00D94F4C"/>
    <w:rsid w:val="00D9632F"/>
    <w:rsid w:val="00D9674F"/>
    <w:rsid w:val="00D97041"/>
    <w:rsid w:val="00DA1082"/>
    <w:rsid w:val="00DA10CD"/>
    <w:rsid w:val="00DA1966"/>
    <w:rsid w:val="00DA1CBC"/>
    <w:rsid w:val="00DA2921"/>
    <w:rsid w:val="00DA29F9"/>
    <w:rsid w:val="00DA2C1F"/>
    <w:rsid w:val="00DA484B"/>
    <w:rsid w:val="00DA527F"/>
    <w:rsid w:val="00DA5554"/>
    <w:rsid w:val="00DA7D3A"/>
    <w:rsid w:val="00DA7E4C"/>
    <w:rsid w:val="00DB001C"/>
    <w:rsid w:val="00DB0B67"/>
    <w:rsid w:val="00DB170E"/>
    <w:rsid w:val="00DB204A"/>
    <w:rsid w:val="00DB2855"/>
    <w:rsid w:val="00DB323D"/>
    <w:rsid w:val="00DB3A05"/>
    <w:rsid w:val="00DB4A57"/>
    <w:rsid w:val="00DB6342"/>
    <w:rsid w:val="00DB6A43"/>
    <w:rsid w:val="00DB7077"/>
    <w:rsid w:val="00DB7A36"/>
    <w:rsid w:val="00DB7DE3"/>
    <w:rsid w:val="00DB7ECE"/>
    <w:rsid w:val="00DC0E30"/>
    <w:rsid w:val="00DC2435"/>
    <w:rsid w:val="00DC2846"/>
    <w:rsid w:val="00DC3AAB"/>
    <w:rsid w:val="00DC4EDC"/>
    <w:rsid w:val="00DC512C"/>
    <w:rsid w:val="00DC546E"/>
    <w:rsid w:val="00DC5A86"/>
    <w:rsid w:val="00DC71FA"/>
    <w:rsid w:val="00DC77A4"/>
    <w:rsid w:val="00DC7B0E"/>
    <w:rsid w:val="00DD030C"/>
    <w:rsid w:val="00DD0897"/>
    <w:rsid w:val="00DD10C8"/>
    <w:rsid w:val="00DD2117"/>
    <w:rsid w:val="00DD52AA"/>
    <w:rsid w:val="00DD5505"/>
    <w:rsid w:val="00DD71B5"/>
    <w:rsid w:val="00DD7AC6"/>
    <w:rsid w:val="00DD7DAA"/>
    <w:rsid w:val="00DD7DFA"/>
    <w:rsid w:val="00DE0271"/>
    <w:rsid w:val="00DE1588"/>
    <w:rsid w:val="00DE19EE"/>
    <w:rsid w:val="00DE1B6E"/>
    <w:rsid w:val="00DE2122"/>
    <w:rsid w:val="00DE2DAE"/>
    <w:rsid w:val="00DE4E24"/>
    <w:rsid w:val="00DE51B9"/>
    <w:rsid w:val="00DE5617"/>
    <w:rsid w:val="00DE5CA5"/>
    <w:rsid w:val="00DE5CDB"/>
    <w:rsid w:val="00DE615F"/>
    <w:rsid w:val="00DE6505"/>
    <w:rsid w:val="00DE6642"/>
    <w:rsid w:val="00DE67F0"/>
    <w:rsid w:val="00DE6A90"/>
    <w:rsid w:val="00DE7297"/>
    <w:rsid w:val="00DE7E1E"/>
    <w:rsid w:val="00DF0047"/>
    <w:rsid w:val="00DF2015"/>
    <w:rsid w:val="00DF23CD"/>
    <w:rsid w:val="00DF266D"/>
    <w:rsid w:val="00DF284A"/>
    <w:rsid w:val="00DF2999"/>
    <w:rsid w:val="00DF405F"/>
    <w:rsid w:val="00DF4165"/>
    <w:rsid w:val="00DF555B"/>
    <w:rsid w:val="00DF577E"/>
    <w:rsid w:val="00DF58AD"/>
    <w:rsid w:val="00DF6763"/>
    <w:rsid w:val="00DF677C"/>
    <w:rsid w:val="00DF6FF0"/>
    <w:rsid w:val="00DF7BD7"/>
    <w:rsid w:val="00E00C00"/>
    <w:rsid w:val="00E01133"/>
    <w:rsid w:val="00E02619"/>
    <w:rsid w:val="00E0297B"/>
    <w:rsid w:val="00E02FD7"/>
    <w:rsid w:val="00E03242"/>
    <w:rsid w:val="00E03970"/>
    <w:rsid w:val="00E03CF0"/>
    <w:rsid w:val="00E0469A"/>
    <w:rsid w:val="00E04AE3"/>
    <w:rsid w:val="00E04F76"/>
    <w:rsid w:val="00E067E7"/>
    <w:rsid w:val="00E07424"/>
    <w:rsid w:val="00E07E23"/>
    <w:rsid w:val="00E10703"/>
    <w:rsid w:val="00E10F58"/>
    <w:rsid w:val="00E111EF"/>
    <w:rsid w:val="00E119BB"/>
    <w:rsid w:val="00E12159"/>
    <w:rsid w:val="00E1281C"/>
    <w:rsid w:val="00E12CAD"/>
    <w:rsid w:val="00E12D0E"/>
    <w:rsid w:val="00E142A3"/>
    <w:rsid w:val="00E1450D"/>
    <w:rsid w:val="00E14617"/>
    <w:rsid w:val="00E1546C"/>
    <w:rsid w:val="00E1614D"/>
    <w:rsid w:val="00E16CF3"/>
    <w:rsid w:val="00E16FF4"/>
    <w:rsid w:val="00E21783"/>
    <w:rsid w:val="00E22B82"/>
    <w:rsid w:val="00E24939"/>
    <w:rsid w:val="00E24DF1"/>
    <w:rsid w:val="00E25CF0"/>
    <w:rsid w:val="00E27B28"/>
    <w:rsid w:val="00E30148"/>
    <w:rsid w:val="00E30CAF"/>
    <w:rsid w:val="00E30DEB"/>
    <w:rsid w:val="00E315D9"/>
    <w:rsid w:val="00E31FA6"/>
    <w:rsid w:val="00E32227"/>
    <w:rsid w:val="00E32263"/>
    <w:rsid w:val="00E32FF0"/>
    <w:rsid w:val="00E334E4"/>
    <w:rsid w:val="00E33606"/>
    <w:rsid w:val="00E33617"/>
    <w:rsid w:val="00E343CC"/>
    <w:rsid w:val="00E3489A"/>
    <w:rsid w:val="00E34B3A"/>
    <w:rsid w:val="00E358D1"/>
    <w:rsid w:val="00E36242"/>
    <w:rsid w:val="00E36A29"/>
    <w:rsid w:val="00E3712D"/>
    <w:rsid w:val="00E375B4"/>
    <w:rsid w:val="00E376B5"/>
    <w:rsid w:val="00E37947"/>
    <w:rsid w:val="00E37A76"/>
    <w:rsid w:val="00E37BEE"/>
    <w:rsid w:val="00E37FE3"/>
    <w:rsid w:val="00E401B2"/>
    <w:rsid w:val="00E40CF8"/>
    <w:rsid w:val="00E41828"/>
    <w:rsid w:val="00E424A7"/>
    <w:rsid w:val="00E42C3A"/>
    <w:rsid w:val="00E43882"/>
    <w:rsid w:val="00E4441D"/>
    <w:rsid w:val="00E44BF0"/>
    <w:rsid w:val="00E45AF4"/>
    <w:rsid w:val="00E4714C"/>
    <w:rsid w:val="00E474E1"/>
    <w:rsid w:val="00E47C0B"/>
    <w:rsid w:val="00E47C6B"/>
    <w:rsid w:val="00E51920"/>
    <w:rsid w:val="00E52152"/>
    <w:rsid w:val="00E53506"/>
    <w:rsid w:val="00E5401F"/>
    <w:rsid w:val="00E54C72"/>
    <w:rsid w:val="00E5554D"/>
    <w:rsid w:val="00E5566E"/>
    <w:rsid w:val="00E56018"/>
    <w:rsid w:val="00E56655"/>
    <w:rsid w:val="00E571C4"/>
    <w:rsid w:val="00E57342"/>
    <w:rsid w:val="00E574BB"/>
    <w:rsid w:val="00E578F7"/>
    <w:rsid w:val="00E57F80"/>
    <w:rsid w:val="00E605F1"/>
    <w:rsid w:val="00E6078E"/>
    <w:rsid w:val="00E61414"/>
    <w:rsid w:val="00E61D3B"/>
    <w:rsid w:val="00E620A1"/>
    <w:rsid w:val="00E62126"/>
    <w:rsid w:val="00E624A6"/>
    <w:rsid w:val="00E62AEE"/>
    <w:rsid w:val="00E62F07"/>
    <w:rsid w:val="00E63058"/>
    <w:rsid w:val="00E63984"/>
    <w:rsid w:val="00E639F8"/>
    <w:rsid w:val="00E642A7"/>
    <w:rsid w:val="00E64BA0"/>
    <w:rsid w:val="00E64F13"/>
    <w:rsid w:val="00E65B6C"/>
    <w:rsid w:val="00E66BB6"/>
    <w:rsid w:val="00E679A6"/>
    <w:rsid w:val="00E7051E"/>
    <w:rsid w:val="00E71187"/>
    <w:rsid w:val="00E71F36"/>
    <w:rsid w:val="00E7227E"/>
    <w:rsid w:val="00E726D6"/>
    <w:rsid w:val="00E72DE8"/>
    <w:rsid w:val="00E731BC"/>
    <w:rsid w:val="00E7399B"/>
    <w:rsid w:val="00E746AA"/>
    <w:rsid w:val="00E74853"/>
    <w:rsid w:val="00E74C43"/>
    <w:rsid w:val="00E752D2"/>
    <w:rsid w:val="00E7538B"/>
    <w:rsid w:val="00E753AB"/>
    <w:rsid w:val="00E75494"/>
    <w:rsid w:val="00E76106"/>
    <w:rsid w:val="00E761AC"/>
    <w:rsid w:val="00E767EA"/>
    <w:rsid w:val="00E76828"/>
    <w:rsid w:val="00E76DD4"/>
    <w:rsid w:val="00E803D7"/>
    <w:rsid w:val="00E80549"/>
    <w:rsid w:val="00E812BE"/>
    <w:rsid w:val="00E818BF"/>
    <w:rsid w:val="00E8287A"/>
    <w:rsid w:val="00E829A1"/>
    <w:rsid w:val="00E83A25"/>
    <w:rsid w:val="00E84299"/>
    <w:rsid w:val="00E8439E"/>
    <w:rsid w:val="00E844A9"/>
    <w:rsid w:val="00E84B20"/>
    <w:rsid w:val="00E84B47"/>
    <w:rsid w:val="00E851A8"/>
    <w:rsid w:val="00E85528"/>
    <w:rsid w:val="00E8557B"/>
    <w:rsid w:val="00E8563F"/>
    <w:rsid w:val="00E85B35"/>
    <w:rsid w:val="00E8637F"/>
    <w:rsid w:val="00E864F9"/>
    <w:rsid w:val="00E876AD"/>
    <w:rsid w:val="00E876D0"/>
    <w:rsid w:val="00E87857"/>
    <w:rsid w:val="00E8790C"/>
    <w:rsid w:val="00E87E35"/>
    <w:rsid w:val="00E90608"/>
    <w:rsid w:val="00E91941"/>
    <w:rsid w:val="00E91ADF"/>
    <w:rsid w:val="00E9204B"/>
    <w:rsid w:val="00E92935"/>
    <w:rsid w:val="00E929AD"/>
    <w:rsid w:val="00E92F37"/>
    <w:rsid w:val="00E94215"/>
    <w:rsid w:val="00E94CB8"/>
    <w:rsid w:val="00E95644"/>
    <w:rsid w:val="00E96104"/>
    <w:rsid w:val="00E97864"/>
    <w:rsid w:val="00E97C05"/>
    <w:rsid w:val="00E97D03"/>
    <w:rsid w:val="00EA0077"/>
    <w:rsid w:val="00EA0878"/>
    <w:rsid w:val="00EA0962"/>
    <w:rsid w:val="00EA0CC1"/>
    <w:rsid w:val="00EA0E00"/>
    <w:rsid w:val="00EA22D8"/>
    <w:rsid w:val="00EA2573"/>
    <w:rsid w:val="00EA30FA"/>
    <w:rsid w:val="00EA360E"/>
    <w:rsid w:val="00EA36FD"/>
    <w:rsid w:val="00EA40AD"/>
    <w:rsid w:val="00EA4165"/>
    <w:rsid w:val="00EA593E"/>
    <w:rsid w:val="00EA6A6D"/>
    <w:rsid w:val="00EA78DB"/>
    <w:rsid w:val="00EB0671"/>
    <w:rsid w:val="00EB0860"/>
    <w:rsid w:val="00EB2462"/>
    <w:rsid w:val="00EB27CA"/>
    <w:rsid w:val="00EB2AB8"/>
    <w:rsid w:val="00EB3973"/>
    <w:rsid w:val="00EB3CAC"/>
    <w:rsid w:val="00EB3E99"/>
    <w:rsid w:val="00EB3ED0"/>
    <w:rsid w:val="00EB5A90"/>
    <w:rsid w:val="00EB681E"/>
    <w:rsid w:val="00EB71FB"/>
    <w:rsid w:val="00EC07DC"/>
    <w:rsid w:val="00EC11C3"/>
    <w:rsid w:val="00EC1A30"/>
    <w:rsid w:val="00EC1C86"/>
    <w:rsid w:val="00EC2D1F"/>
    <w:rsid w:val="00EC2E7A"/>
    <w:rsid w:val="00EC2F31"/>
    <w:rsid w:val="00EC3734"/>
    <w:rsid w:val="00EC3E14"/>
    <w:rsid w:val="00EC4C4F"/>
    <w:rsid w:val="00EC6B65"/>
    <w:rsid w:val="00EC7B6E"/>
    <w:rsid w:val="00EC7D08"/>
    <w:rsid w:val="00EC7ED9"/>
    <w:rsid w:val="00ED0841"/>
    <w:rsid w:val="00ED18EF"/>
    <w:rsid w:val="00ED1AE0"/>
    <w:rsid w:val="00ED28B6"/>
    <w:rsid w:val="00ED29D2"/>
    <w:rsid w:val="00ED2A24"/>
    <w:rsid w:val="00ED49B4"/>
    <w:rsid w:val="00ED5094"/>
    <w:rsid w:val="00ED539E"/>
    <w:rsid w:val="00ED5827"/>
    <w:rsid w:val="00ED5FFD"/>
    <w:rsid w:val="00ED638D"/>
    <w:rsid w:val="00ED69B3"/>
    <w:rsid w:val="00ED6C3B"/>
    <w:rsid w:val="00ED6FBF"/>
    <w:rsid w:val="00ED74BD"/>
    <w:rsid w:val="00ED7C79"/>
    <w:rsid w:val="00EE0034"/>
    <w:rsid w:val="00EE1020"/>
    <w:rsid w:val="00EE2132"/>
    <w:rsid w:val="00EE31ED"/>
    <w:rsid w:val="00EE3659"/>
    <w:rsid w:val="00EE3EA5"/>
    <w:rsid w:val="00EE3F44"/>
    <w:rsid w:val="00EE3F82"/>
    <w:rsid w:val="00EE467C"/>
    <w:rsid w:val="00EE4A9D"/>
    <w:rsid w:val="00EE50A9"/>
    <w:rsid w:val="00EE5845"/>
    <w:rsid w:val="00EE667D"/>
    <w:rsid w:val="00EE6773"/>
    <w:rsid w:val="00EE6F79"/>
    <w:rsid w:val="00EE6FF8"/>
    <w:rsid w:val="00EE7776"/>
    <w:rsid w:val="00EE7D99"/>
    <w:rsid w:val="00EE7EEE"/>
    <w:rsid w:val="00EF01C6"/>
    <w:rsid w:val="00EF057E"/>
    <w:rsid w:val="00EF0CE0"/>
    <w:rsid w:val="00EF1526"/>
    <w:rsid w:val="00EF17C5"/>
    <w:rsid w:val="00EF1977"/>
    <w:rsid w:val="00EF27FC"/>
    <w:rsid w:val="00EF348E"/>
    <w:rsid w:val="00EF4A02"/>
    <w:rsid w:val="00EF507E"/>
    <w:rsid w:val="00EF5B4A"/>
    <w:rsid w:val="00EF6EF3"/>
    <w:rsid w:val="00EF7E80"/>
    <w:rsid w:val="00F006B9"/>
    <w:rsid w:val="00F01281"/>
    <w:rsid w:val="00F013A7"/>
    <w:rsid w:val="00F01640"/>
    <w:rsid w:val="00F01D0E"/>
    <w:rsid w:val="00F01E41"/>
    <w:rsid w:val="00F02A67"/>
    <w:rsid w:val="00F02D7A"/>
    <w:rsid w:val="00F03110"/>
    <w:rsid w:val="00F03241"/>
    <w:rsid w:val="00F03B3C"/>
    <w:rsid w:val="00F03FF3"/>
    <w:rsid w:val="00F042D0"/>
    <w:rsid w:val="00F0477D"/>
    <w:rsid w:val="00F05225"/>
    <w:rsid w:val="00F0555D"/>
    <w:rsid w:val="00F058F9"/>
    <w:rsid w:val="00F0675F"/>
    <w:rsid w:val="00F06C8D"/>
    <w:rsid w:val="00F07460"/>
    <w:rsid w:val="00F10493"/>
    <w:rsid w:val="00F105DC"/>
    <w:rsid w:val="00F10601"/>
    <w:rsid w:val="00F106DC"/>
    <w:rsid w:val="00F110BF"/>
    <w:rsid w:val="00F116DE"/>
    <w:rsid w:val="00F11D51"/>
    <w:rsid w:val="00F11F2D"/>
    <w:rsid w:val="00F120BD"/>
    <w:rsid w:val="00F126BD"/>
    <w:rsid w:val="00F12FBE"/>
    <w:rsid w:val="00F136B9"/>
    <w:rsid w:val="00F142C9"/>
    <w:rsid w:val="00F14E5C"/>
    <w:rsid w:val="00F15156"/>
    <w:rsid w:val="00F154E5"/>
    <w:rsid w:val="00F156F9"/>
    <w:rsid w:val="00F162E0"/>
    <w:rsid w:val="00F172FA"/>
    <w:rsid w:val="00F17C02"/>
    <w:rsid w:val="00F17E95"/>
    <w:rsid w:val="00F2010C"/>
    <w:rsid w:val="00F20AB3"/>
    <w:rsid w:val="00F21673"/>
    <w:rsid w:val="00F21ECE"/>
    <w:rsid w:val="00F21F34"/>
    <w:rsid w:val="00F220C5"/>
    <w:rsid w:val="00F22CD1"/>
    <w:rsid w:val="00F22FBD"/>
    <w:rsid w:val="00F22FDF"/>
    <w:rsid w:val="00F232C1"/>
    <w:rsid w:val="00F235A1"/>
    <w:rsid w:val="00F2424D"/>
    <w:rsid w:val="00F24D17"/>
    <w:rsid w:val="00F25447"/>
    <w:rsid w:val="00F257FF"/>
    <w:rsid w:val="00F25984"/>
    <w:rsid w:val="00F2692A"/>
    <w:rsid w:val="00F26DBB"/>
    <w:rsid w:val="00F26F07"/>
    <w:rsid w:val="00F27143"/>
    <w:rsid w:val="00F30684"/>
    <w:rsid w:val="00F314A8"/>
    <w:rsid w:val="00F320A1"/>
    <w:rsid w:val="00F33AD4"/>
    <w:rsid w:val="00F34432"/>
    <w:rsid w:val="00F35375"/>
    <w:rsid w:val="00F3596C"/>
    <w:rsid w:val="00F35DFF"/>
    <w:rsid w:val="00F3616B"/>
    <w:rsid w:val="00F374E5"/>
    <w:rsid w:val="00F3757F"/>
    <w:rsid w:val="00F37602"/>
    <w:rsid w:val="00F37A93"/>
    <w:rsid w:val="00F40515"/>
    <w:rsid w:val="00F4085F"/>
    <w:rsid w:val="00F40FAA"/>
    <w:rsid w:val="00F41D25"/>
    <w:rsid w:val="00F42965"/>
    <w:rsid w:val="00F4424A"/>
    <w:rsid w:val="00F442F4"/>
    <w:rsid w:val="00F4430A"/>
    <w:rsid w:val="00F44A0E"/>
    <w:rsid w:val="00F453A8"/>
    <w:rsid w:val="00F46580"/>
    <w:rsid w:val="00F46B28"/>
    <w:rsid w:val="00F47BF3"/>
    <w:rsid w:val="00F47D2C"/>
    <w:rsid w:val="00F505A2"/>
    <w:rsid w:val="00F50868"/>
    <w:rsid w:val="00F5087D"/>
    <w:rsid w:val="00F52DAA"/>
    <w:rsid w:val="00F531BF"/>
    <w:rsid w:val="00F5406B"/>
    <w:rsid w:val="00F54B0B"/>
    <w:rsid w:val="00F550A2"/>
    <w:rsid w:val="00F5596F"/>
    <w:rsid w:val="00F55BA2"/>
    <w:rsid w:val="00F55F77"/>
    <w:rsid w:val="00F56221"/>
    <w:rsid w:val="00F57011"/>
    <w:rsid w:val="00F57C0D"/>
    <w:rsid w:val="00F57F66"/>
    <w:rsid w:val="00F57F75"/>
    <w:rsid w:val="00F60EF6"/>
    <w:rsid w:val="00F61099"/>
    <w:rsid w:val="00F613BE"/>
    <w:rsid w:val="00F615DA"/>
    <w:rsid w:val="00F61A4F"/>
    <w:rsid w:val="00F61B44"/>
    <w:rsid w:val="00F625E6"/>
    <w:rsid w:val="00F62A94"/>
    <w:rsid w:val="00F62F22"/>
    <w:rsid w:val="00F632B4"/>
    <w:rsid w:val="00F63C6C"/>
    <w:rsid w:val="00F63E64"/>
    <w:rsid w:val="00F64608"/>
    <w:rsid w:val="00F64ED2"/>
    <w:rsid w:val="00F65C07"/>
    <w:rsid w:val="00F66EF9"/>
    <w:rsid w:val="00F671C1"/>
    <w:rsid w:val="00F6775F"/>
    <w:rsid w:val="00F67ED1"/>
    <w:rsid w:val="00F70AF0"/>
    <w:rsid w:val="00F70F3E"/>
    <w:rsid w:val="00F71145"/>
    <w:rsid w:val="00F714A9"/>
    <w:rsid w:val="00F71DA8"/>
    <w:rsid w:val="00F72BD7"/>
    <w:rsid w:val="00F74028"/>
    <w:rsid w:val="00F749A3"/>
    <w:rsid w:val="00F74E29"/>
    <w:rsid w:val="00F74FDA"/>
    <w:rsid w:val="00F75321"/>
    <w:rsid w:val="00F7575A"/>
    <w:rsid w:val="00F75DAB"/>
    <w:rsid w:val="00F77A73"/>
    <w:rsid w:val="00F77FEC"/>
    <w:rsid w:val="00F809B4"/>
    <w:rsid w:val="00F809CA"/>
    <w:rsid w:val="00F809F1"/>
    <w:rsid w:val="00F80DF9"/>
    <w:rsid w:val="00F81241"/>
    <w:rsid w:val="00F81747"/>
    <w:rsid w:val="00F81B7E"/>
    <w:rsid w:val="00F84557"/>
    <w:rsid w:val="00F84945"/>
    <w:rsid w:val="00F84C8E"/>
    <w:rsid w:val="00F84FA4"/>
    <w:rsid w:val="00F85E80"/>
    <w:rsid w:val="00F860AE"/>
    <w:rsid w:val="00F86CFB"/>
    <w:rsid w:val="00F86E9F"/>
    <w:rsid w:val="00F909FE"/>
    <w:rsid w:val="00F915BB"/>
    <w:rsid w:val="00F91B66"/>
    <w:rsid w:val="00F947AB"/>
    <w:rsid w:val="00F94D4B"/>
    <w:rsid w:val="00F94F14"/>
    <w:rsid w:val="00F9590D"/>
    <w:rsid w:val="00F96015"/>
    <w:rsid w:val="00F9646B"/>
    <w:rsid w:val="00F972A5"/>
    <w:rsid w:val="00FA068D"/>
    <w:rsid w:val="00FA14A2"/>
    <w:rsid w:val="00FA22D4"/>
    <w:rsid w:val="00FA2500"/>
    <w:rsid w:val="00FA2FD0"/>
    <w:rsid w:val="00FA455C"/>
    <w:rsid w:val="00FA46B5"/>
    <w:rsid w:val="00FA5185"/>
    <w:rsid w:val="00FA5BD5"/>
    <w:rsid w:val="00FA5F18"/>
    <w:rsid w:val="00FA6CBB"/>
    <w:rsid w:val="00FA6CD0"/>
    <w:rsid w:val="00FA6EBF"/>
    <w:rsid w:val="00FB065A"/>
    <w:rsid w:val="00FB0C7D"/>
    <w:rsid w:val="00FB0EEE"/>
    <w:rsid w:val="00FB25FF"/>
    <w:rsid w:val="00FB3301"/>
    <w:rsid w:val="00FB3B60"/>
    <w:rsid w:val="00FB3EC2"/>
    <w:rsid w:val="00FB470D"/>
    <w:rsid w:val="00FB4F36"/>
    <w:rsid w:val="00FB5968"/>
    <w:rsid w:val="00FB5AB8"/>
    <w:rsid w:val="00FB6155"/>
    <w:rsid w:val="00FB6643"/>
    <w:rsid w:val="00FB6C75"/>
    <w:rsid w:val="00FB7137"/>
    <w:rsid w:val="00FC0E1B"/>
    <w:rsid w:val="00FC0F96"/>
    <w:rsid w:val="00FC10E8"/>
    <w:rsid w:val="00FC120B"/>
    <w:rsid w:val="00FC2DC4"/>
    <w:rsid w:val="00FC31C2"/>
    <w:rsid w:val="00FC3B29"/>
    <w:rsid w:val="00FC4777"/>
    <w:rsid w:val="00FC47FC"/>
    <w:rsid w:val="00FC534B"/>
    <w:rsid w:val="00FC5AA1"/>
    <w:rsid w:val="00FC5C37"/>
    <w:rsid w:val="00FC5E29"/>
    <w:rsid w:val="00FC5E81"/>
    <w:rsid w:val="00FC63CC"/>
    <w:rsid w:val="00FC6573"/>
    <w:rsid w:val="00FC68F7"/>
    <w:rsid w:val="00FC756E"/>
    <w:rsid w:val="00FC7FEA"/>
    <w:rsid w:val="00FD013E"/>
    <w:rsid w:val="00FD034A"/>
    <w:rsid w:val="00FD0AD0"/>
    <w:rsid w:val="00FD0B7F"/>
    <w:rsid w:val="00FD0D2F"/>
    <w:rsid w:val="00FD12A8"/>
    <w:rsid w:val="00FD19FB"/>
    <w:rsid w:val="00FD233A"/>
    <w:rsid w:val="00FD2A14"/>
    <w:rsid w:val="00FD2D2F"/>
    <w:rsid w:val="00FD3195"/>
    <w:rsid w:val="00FD3E0D"/>
    <w:rsid w:val="00FD3F4D"/>
    <w:rsid w:val="00FD3F72"/>
    <w:rsid w:val="00FD42F6"/>
    <w:rsid w:val="00FD6917"/>
    <w:rsid w:val="00FD6D5B"/>
    <w:rsid w:val="00FD6D72"/>
    <w:rsid w:val="00FD720C"/>
    <w:rsid w:val="00FD7335"/>
    <w:rsid w:val="00FD73EF"/>
    <w:rsid w:val="00FD78EE"/>
    <w:rsid w:val="00FE1773"/>
    <w:rsid w:val="00FE19F0"/>
    <w:rsid w:val="00FE1C8A"/>
    <w:rsid w:val="00FE25CF"/>
    <w:rsid w:val="00FE3CF8"/>
    <w:rsid w:val="00FE444A"/>
    <w:rsid w:val="00FE47A3"/>
    <w:rsid w:val="00FE48BC"/>
    <w:rsid w:val="00FE4FB7"/>
    <w:rsid w:val="00FE5029"/>
    <w:rsid w:val="00FE5793"/>
    <w:rsid w:val="00FE5BDF"/>
    <w:rsid w:val="00FE5ED8"/>
    <w:rsid w:val="00FE646C"/>
    <w:rsid w:val="00FE760B"/>
    <w:rsid w:val="00FE7A8B"/>
    <w:rsid w:val="00FE7CBC"/>
    <w:rsid w:val="00FE7EA6"/>
    <w:rsid w:val="00FF0A19"/>
    <w:rsid w:val="00FF0D3A"/>
    <w:rsid w:val="00FF0F64"/>
    <w:rsid w:val="00FF1BB5"/>
    <w:rsid w:val="00FF2F85"/>
    <w:rsid w:val="00FF3195"/>
    <w:rsid w:val="00FF36EF"/>
    <w:rsid w:val="00FF37F7"/>
    <w:rsid w:val="00FF3DD1"/>
    <w:rsid w:val="00FF4DB5"/>
    <w:rsid w:val="00FF50DD"/>
    <w:rsid w:val="00FF5AEC"/>
    <w:rsid w:val="00FF731B"/>
    <w:rsid w:val="00FF77C3"/>
    <w:rsid w:val="00FF7C3B"/>
    <w:rsid w:val="00FF7C43"/>
    <w:rsid w:val="00FF7D5D"/>
    <w:rsid w:val="01A06E9D"/>
    <w:rsid w:val="01A20482"/>
    <w:rsid w:val="01A9502F"/>
    <w:rsid w:val="01D6494A"/>
    <w:rsid w:val="01F01E3C"/>
    <w:rsid w:val="02231391"/>
    <w:rsid w:val="02292277"/>
    <w:rsid w:val="023128A5"/>
    <w:rsid w:val="02474A49"/>
    <w:rsid w:val="026774FC"/>
    <w:rsid w:val="0270686F"/>
    <w:rsid w:val="02742095"/>
    <w:rsid w:val="028D51BD"/>
    <w:rsid w:val="02CB5098"/>
    <w:rsid w:val="02F516EA"/>
    <w:rsid w:val="032A2ABD"/>
    <w:rsid w:val="03661A20"/>
    <w:rsid w:val="038866DA"/>
    <w:rsid w:val="03A96C0F"/>
    <w:rsid w:val="03C76963"/>
    <w:rsid w:val="03EB50FA"/>
    <w:rsid w:val="03F82211"/>
    <w:rsid w:val="040D6933"/>
    <w:rsid w:val="049C150C"/>
    <w:rsid w:val="04B638C9"/>
    <w:rsid w:val="04C87066"/>
    <w:rsid w:val="04DB0285"/>
    <w:rsid w:val="04E81B1A"/>
    <w:rsid w:val="05031C1C"/>
    <w:rsid w:val="051F7A75"/>
    <w:rsid w:val="05292104"/>
    <w:rsid w:val="053E1658"/>
    <w:rsid w:val="05567876"/>
    <w:rsid w:val="05572491"/>
    <w:rsid w:val="055F39A2"/>
    <w:rsid w:val="05654685"/>
    <w:rsid w:val="056A6870"/>
    <w:rsid w:val="05793607"/>
    <w:rsid w:val="059F3847"/>
    <w:rsid w:val="05DB66F5"/>
    <w:rsid w:val="05F27A4D"/>
    <w:rsid w:val="060B63F9"/>
    <w:rsid w:val="063A1F8C"/>
    <w:rsid w:val="064053F4"/>
    <w:rsid w:val="06942E5A"/>
    <w:rsid w:val="0696086E"/>
    <w:rsid w:val="06BA7D75"/>
    <w:rsid w:val="06BF391E"/>
    <w:rsid w:val="072D1D54"/>
    <w:rsid w:val="072D3F52"/>
    <w:rsid w:val="0730075A"/>
    <w:rsid w:val="076808B4"/>
    <w:rsid w:val="07950B26"/>
    <w:rsid w:val="079528D4"/>
    <w:rsid w:val="07C06028"/>
    <w:rsid w:val="07F87185"/>
    <w:rsid w:val="07FBEB52"/>
    <w:rsid w:val="07FE6829"/>
    <w:rsid w:val="080D0C0C"/>
    <w:rsid w:val="081952B3"/>
    <w:rsid w:val="081A3F5B"/>
    <w:rsid w:val="085D5AE7"/>
    <w:rsid w:val="08631DD0"/>
    <w:rsid w:val="0886622F"/>
    <w:rsid w:val="08C0216A"/>
    <w:rsid w:val="08F017B6"/>
    <w:rsid w:val="090C06B5"/>
    <w:rsid w:val="093A1985"/>
    <w:rsid w:val="094D77D0"/>
    <w:rsid w:val="095B4567"/>
    <w:rsid w:val="09604272"/>
    <w:rsid w:val="097C031F"/>
    <w:rsid w:val="09F47D86"/>
    <w:rsid w:val="09F856EA"/>
    <w:rsid w:val="0A0F530F"/>
    <w:rsid w:val="0A6749FB"/>
    <w:rsid w:val="0A793240"/>
    <w:rsid w:val="0A7E33C5"/>
    <w:rsid w:val="0A91172F"/>
    <w:rsid w:val="0A9B0776"/>
    <w:rsid w:val="0AA03A6A"/>
    <w:rsid w:val="0AB1291A"/>
    <w:rsid w:val="0AB5284D"/>
    <w:rsid w:val="0AE07BE6"/>
    <w:rsid w:val="0AE82CE4"/>
    <w:rsid w:val="0B050935"/>
    <w:rsid w:val="0B0A43BB"/>
    <w:rsid w:val="0B0D3F2D"/>
    <w:rsid w:val="0B102933"/>
    <w:rsid w:val="0B226B74"/>
    <w:rsid w:val="0B282A04"/>
    <w:rsid w:val="0BA56877"/>
    <w:rsid w:val="0C0A28A6"/>
    <w:rsid w:val="0C100693"/>
    <w:rsid w:val="0C350165"/>
    <w:rsid w:val="0CB84E9E"/>
    <w:rsid w:val="0CBD4DA7"/>
    <w:rsid w:val="0CC47EE3"/>
    <w:rsid w:val="0CC87A86"/>
    <w:rsid w:val="0CEF5748"/>
    <w:rsid w:val="0CF12D1E"/>
    <w:rsid w:val="0D1C7510"/>
    <w:rsid w:val="0D6B2B13"/>
    <w:rsid w:val="0D7A146F"/>
    <w:rsid w:val="0D7A532C"/>
    <w:rsid w:val="0DF748F5"/>
    <w:rsid w:val="0E1053AA"/>
    <w:rsid w:val="0E405FEE"/>
    <w:rsid w:val="0E513AD0"/>
    <w:rsid w:val="0E9A7981"/>
    <w:rsid w:val="0E9C6708"/>
    <w:rsid w:val="0EAE1EA5"/>
    <w:rsid w:val="0EB714B0"/>
    <w:rsid w:val="0EBF2140"/>
    <w:rsid w:val="0EC8358F"/>
    <w:rsid w:val="0EE1022F"/>
    <w:rsid w:val="0EFE5203"/>
    <w:rsid w:val="0EFF7D5D"/>
    <w:rsid w:val="0F342502"/>
    <w:rsid w:val="0F3B750B"/>
    <w:rsid w:val="0F3C4F8C"/>
    <w:rsid w:val="0F5613B9"/>
    <w:rsid w:val="0F5B2655"/>
    <w:rsid w:val="0F6E31DD"/>
    <w:rsid w:val="0F730BD4"/>
    <w:rsid w:val="0F7C7847"/>
    <w:rsid w:val="0F902CCD"/>
    <w:rsid w:val="0FB04F4B"/>
    <w:rsid w:val="0FD079FE"/>
    <w:rsid w:val="0FD22F01"/>
    <w:rsid w:val="0FFB40C6"/>
    <w:rsid w:val="1031679E"/>
    <w:rsid w:val="10453240"/>
    <w:rsid w:val="106946FA"/>
    <w:rsid w:val="10790217"/>
    <w:rsid w:val="10AD6EE0"/>
    <w:rsid w:val="10C21B83"/>
    <w:rsid w:val="10C41590"/>
    <w:rsid w:val="10D754CE"/>
    <w:rsid w:val="10FC6D8B"/>
    <w:rsid w:val="11067A7B"/>
    <w:rsid w:val="110D03A2"/>
    <w:rsid w:val="111E393A"/>
    <w:rsid w:val="11286567"/>
    <w:rsid w:val="11302AA6"/>
    <w:rsid w:val="115455FC"/>
    <w:rsid w:val="11B90BA4"/>
    <w:rsid w:val="11BD76CA"/>
    <w:rsid w:val="12072BEA"/>
    <w:rsid w:val="12132537"/>
    <w:rsid w:val="121C75C3"/>
    <w:rsid w:val="123F24AA"/>
    <w:rsid w:val="12531C9B"/>
    <w:rsid w:val="12A7719E"/>
    <w:rsid w:val="12AE6E9D"/>
    <w:rsid w:val="12E2190B"/>
    <w:rsid w:val="12FA11B0"/>
    <w:rsid w:val="130C43B0"/>
    <w:rsid w:val="136E6F70"/>
    <w:rsid w:val="137974FF"/>
    <w:rsid w:val="13DB4C1C"/>
    <w:rsid w:val="13F549B3"/>
    <w:rsid w:val="14072999"/>
    <w:rsid w:val="14151024"/>
    <w:rsid w:val="1417554F"/>
    <w:rsid w:val="144C52D9"/>
    <w:rsid w:val="1468384A"/>
    <w:rsid w:val="14974454"/>
    <w:rsid w:val="14C8078D"/>
    <w:rsid w:val="14F2535D"/>
    <w:rsid w:val="14FB79FC"/>
    <w:rsid w:val="1510411E"/>
    <w:rsid w:val="15154D22"/>
    <w:rsid w:val="1534197E"/>
    <w:rsid w:val="154532F3"/>
    <w:rsid w:val="15525368"/>
    <w:rsid w:val="15695ACC"/>
    <w:rsid w:val="156A35F2"/>
    <w:rsid w:val="159266A5"/>
    <w:rsid w:val="159927CF"/>
    <w:rsid w:val="15A0620B"/>
    <w:rsid w:val="15C02C3D"/>
    <w:rsid w:val="15DC6CEA"/>
    <w:rsid w:val="15E93E01"/>
    <w:rsid w:val="15FF3D3A"/>
    <w:rsid w:val="163E130D"/>
    <w:rsid w:val="1642632E"/>
    <w:rsid w:val="16452E96"/>
    <w:rsid w:val="16542B17"/>
    <w:rsid w:val="165A3A18"/>
    <w:rsid w:val="165D4F05"/>
    <w:rsid w:val="16C80C45"/>
    <w:rsid w:val="16FD6AE2"/>
    <w:rsid w:val="174D3905"/>
    <w:rsid w:val="174F6F43"/>
    <w:rsid w:val="17575DF8"/>
    <w:rsid w:val="177911BD"/>
    <w:rsid w:val="178D0722"/>
    <w:rsid w:val="17A70B2D"/>
    <w:rsid w:val="17C85590"/>
    <w:rsid w:val="17F141D6"/>
    <w:rsid w:val="17F376D9"/>
    <w:rsid w:val="18194096"/>
    <w:rsid w:val="18294330"/>
    <w:rsid w:val="182A0E16"/>
    <w:rsid w:val="183B1275"/>
    <w:rsid w:val="18404F51"/>
    <w:rsid w:val="188905FD"/>
    <w:rsid w:val="18E21560"/>
    <w:rsid w:val="18F11B7B"/>
    <w:rsid w:val="19031A95"/>
    <w:rsid w:val="191C3471"/>
    <w:rsid w:val="1940517D"/>
    <w:rsid w:val="19526F10"/>
    <w:rsid w:val="197A625B"/>
    <w:rsid w:val="19915E81"/>
    <w:rsid w:val="19D43730"/>
    <w:rsid w:val="1A1914C8"/>
    <w:rsid w:val="1A2331F1"/>
    <w:rsid w:val="1A2E7004"/>
    <w:rsid w:val="1A337C08"/>
    <w:rsid w:val="1A524C3A"/>
    <w:rsid w:val="1A8C400A"/>
    <w:rsid w:val="1AA8344A"/>
    <w:rsid w:val="1ACC2385"/>
    <w:rsid w:val="1AE25D7E"/>
    <w:rsid w:val="1AE36298"/>
    <w:rsid w:val="1B4F70DB"/>
    <w:rsid w:val="1B6603B7"/>
    <w:rsid w:val="1B693508"/>
    <w:rsid w:val="1B9E3FF5"/>
    <w:rsid w:val="1B9E6579"/>
    <w:rsid w:val="1BB34C01"/>
    <w:rsid w:val="1BC06341"/>
    <w:rsid w:val="1BC53E8D"/>
    <w:rsid w:val="1BE069CA"/>
    <w:rsid w:val="1BE21ECD"/>
    <w:rsid w:val="1BE453D0"/>
    <w:rsid w:val="1BFE4A94"/>
    <w:rsid w:val="1C200EAE"/>
    <w:rsid w:val="1C3A255C"/>
    <w:rsid w:val="1C5E4627"/>
    <w:rsid w:val="1C7601C2"/>
    <w:rsid w:val="1C7A05BE"/>
    <w:rsid w:val="1C7B60E4"/>
    <w:rsid w:val="1C8A22A5"/>
    <w:rsid w:val="1C903EC5"/>
    <w:rsid w:val="1CA93E95"/>
    <w:rsid w:val="1CB347A4"/>
    <w:rsid w:val="1CD65B5D"/>
    <w:rsid w:val="1D715E5C"/>
    <w:rsid w:val="1D746DE1"/>
    <w:rsid w:val="1D877F9C"/>
    <w:rsid w:val="1DA55031"/>
    <w:rsid w:val="1DDA4E3A"/>
    <w:rsid w:val="1DE40399"/>
    <w:rsid w:val="1E1C7453"/>
    <w:rsid w:val="1E5866DD"/>
    <w:rsid w:val="1E636E30"/>
    <w:rsid w:val="1E670B89"/>
    <w:rsid w:val="1E6E167D"/>
    <w:rsid w:val="1E7159FF"/>
    <w:rsid w:val="1E7F54F0"/>
    <w:rsid w:val="1EA85B59"/>
    <w:rsid w:val="1ECE50AB"/>
    <w:rsid w:val="1F0F73FB"/>
    <w:rsid w:val="1F356A41"/>
    <w:rsid w:val="1F3879C6"/>
    <w:rsid w:val="1F4934E4"/>
    <w:rsid w:val="1F4B6242"/>
    <w:rsid w:val="1F4E2598"/>
    <w:rsid w:val="1F8E2953"/>
    <w:rsid w:val="1FAB4482"/>
    <w:rsid w:val="1FC475AA"/>
    <w:rsid w:val="1FF57F5C"/>
    <w:rsid w:val="1FFC753C"/>
    <w:rsid w:val="200308CB"/>
    <w:rsid w:val="2093697E"/>
    <w:rsid w:val="20CE32DF"/>
    <w:rsid w:val="20F52909"/>
    <w:rsid w:val="21194658"/>
    <w:rsid w:val="211E4363"/>
    <w:rsid w:val="21824F16"/>
    <w:rsid w:val="21993CAD"/>
    <w:rsid w:val="21C35049"/>
    <w:rsid w:val="21D73DBD"/>
    <w:rsid w:val="21DA5A2E"/>
    <w:rsid w:val="21E253A6"/>
    <w:rsid w:val="22054661"/>
    <w:rsid w:val="220953C2"/>
    <w:rsid w:val="221768AF"/>
    <w:rsid w:val="22177DFE"/>
    <w:rsid w:val="222F54A5"/>
    <w:rsid w:val="225C17EC"/>
    <w:rsid w:val="22AC2870"/>
    <w:rsid w:val="22BA5BB9"/>
    <w:rsid w:val="22DA593E"/>
    <w:rsid w:val="22DF6543"/>
    <w:rsid w:val="22E948D4"/>
    <w:rsid w:val="22F7746D"/>
    <w:rsid w:val="235F050E"/>
    <w:rsid w:val="239D33D6"/>
    <w:rsid w:val="23B6617D"/>
    <w:rsid w:val="23D70CD9"/>
    <w:rsid w:val="23E073EA"/>
    <w:rsid w:val="241F2752"/>
    <w:rsid w:val="24311EAA"/>
    <w:rsid w:val="24E20D41"/>
    <w:rsid w:val="24E44EF9"/>
    <w:rsid w:val="25331C52"/>
    <w:rsid w:val="2584633F"/>
    <w:rsid w:val="25AA1ED9"/>
    <w:rsid w:val="25BB2173"/>
    <w:rsid w:val="25DC0A27"/>
    <w:rsid w:val="26020369"/>
    <w:rsid w:val="262E24B2"/>
    <w:rsid w:val="264B1A62"/>
    <w:rsid w:val="26503279"/>
    <w:rsid w:val="26A22471"/>
    <w:rsid w:val="26D60AE7"/>
    <w:rsid w:val="26FB6383"/>
    <w:rsid w:val="27133AE9"/>
    <w:rsid w:val="271B246D"/>
    <w:rsid w:val="27431FFA"/>
    <w:rsid w:val="275A639C"/>
    <w:rsid w:val="27630BB4"/>
    <w:rsid w:val="27657FB0"/>
    <w:rsid w:val="276F6341"/>
    <w:rsid w:val="27AA2CA3"/>
    <w:rsid w:val="27BF3F2A"/>
    <w:rsid w:val="27DC5671"/>
    <w:rsid w:val="27DD2969"/>
    <w:rsid w:val="27E65B28"/>
    <w:rsid w:val="282C60AC"/>
    <w:rsid w:val="282E45BA"/>
    <w:rsid w:val="283A348C"/>
    <w:rsid w:val="284E0B51"/>
    <w:rsid w:val="286036CB"/>
    <w:rsid w:val="28E45EA3"/>
    <w:rsid w:val="28FD484F"/>
    <w:rsid w:val="29001F50"/>
    <w:rsid w:val="29387837"/>
    <w:rsid w:val="29470940"/>
    <w:rsid w:val="29AE5D4B"/>
    <w:rsid w:val="29B34EE7"/>
    <w:rsid w:val="29CD16A4"/>
    <w:rsid w:val="29F31C6B"/>
    <w:rsid w:val="2A2A3FAA"/>
    <w:rsid w:val="2A361FCD"/>
    <w:rsid w:val="2A903960"/>
    <w:rsid w:val="2A9D7E7B"/>
    <w:rsid w:val="2AB10EF8"/>
    <w:rsid w:val="2ABD0FAC"/>
    <w:rsid w:val="2AC8733D"/>
    <w:rsid w:val="2AD52E3B"/>
    <w:rsid w:val="2AFE060C"/>
    <w:rsid w:val="2B131861"/>
    <w:rsid w:val="2B505C73"/>
    <w:rsid w:val="2B5E0B35"/>
    <w:rsid w:val="2BCC3368"/>
    <w:rsid w:val="2BE0256A"/>
    <w:rsid w:val="2C13735F"/>
    <w:rsid w:val="2C1D4AC2"/>
    <w:rsid w:val="2C24507B"/>
    <w:rsid w:val="2C295C80"/>
    <w:rsid w:val="2C680FE8"/>
    <w:rsid w:val="2C9C5FBF"/>
    <w:rsid w:val="2CA23F32"/>
    <w:rsid w:val="2CF27CFD"/>
    <w:rsid w:val="2D0A7C3C"/>
    <w:rsid w:val="2D1C7470"/>
    <w:rsid w:val="2D48195B"/>
    <w:rsid w:val="2D9807AB"/>
    <w:rsid w:val="2DB15CAD"/>
    <w:rsid w:val="2DDB20D8"/>
    <w:rsid w:val="2E0E4B9C"/>
    <w:rsid w:val="2E235265"/>
    <w:rsid w:val="2E2E1209"/>
    <w:rsid w:val="2E433BD4"/>
    <w:rsid w:val="2E4B1DBB"/>
    <w:rsid w:val="2E6816D7"/>
    <w:rsid w:val="2E8203DE"/>
    <w:rsid w:val="2E9118F2"/>
    <w:rsid w:val="2EA0058E"/>
    <w:rsid w:val="2EA9088F"/>
    <w:rsid w:val="2ED973C6"/>
    <w:rsid w:val="2F376043"/>
    <w:rsid w:val="2F603644"/>
    <w:rsid w:val="2F64240A"/>
    <w:rsid w:val="2F713AA3"/>
    <w:rsid w:val="2F7E6CF2"/>
    <w:rsid w:val="2F874408"/>
    <w:rsid w:val="2FD82F0E"/>
    <w:rsid w:val="2FE603CD"/>
    <w:rsid w:val="30486A45"/>
    <w:rsid w:val="305F666A"/>
    <w:rsid w:val="30653DF6"/>
    <w:rsid w:val="306709E1"/>
    <w:rsid w:val="30684D7B"/>
    <w:rsid w:val="30715BF2"/>
    <w:rsid w:val="3085012C"/>
    <w:rsid w:val="308551C9"/>
    <w:rsid w:val="30872E52"/>
    <w:rsid w:val="309D614E"/>
    <w:rsid w:val="30A111C5"/>
    <w:rsid w:val="30BF5496"/>
    <w:rsid w:val="30C3638E"/>
    <w:rsid w:val="30D37E45"/>
    <w:rsid w:val="30DC54D6"/>
    <w:rsid w:val="30E61DC6"/>
    <w:rsid w:val="31594C51"/>
    <w:rsid w:val="319B3E73"/>
    <w:rsid w:val="319E1574"/>
    <w:rsid w:val="31D15247"/>
    <w:rsid w:val="31EF0CAF"/>
    <w:rsid w:val="31FF0314"/>
    <w:rsid w:val="32621458"/>
    <w:rsid w:val="32CD7A68"/>
    <w:rsid w:val="32D22AAA"/>
    <w:rsid w:val="32D6161D"/>
    <w:rsid w:val="32E31C0C"/>
    <w:rsid w:val="33350391"/>
    <w:rsid w:val="336C2A69"/>
    <w:rsid w:val="33A82776"/>
    <w:rsid w:val="33AF51D3"/>
    <w:rsid w:val="33D25C91"/>
    <w:rsid w:val="33F47F0F"/>
    <w:rsid w:val="33FF10DF"/>
    <w:rsid w:val="34052A0C"/>
    <w:rsid w:val="34265A9E"/>
    <w:rsid w:val="343402B4"/>
    <w:rsid w:val="345B0173"/>
    <w:rsid w:val="34AE4E51"/>
    <w:rsid w:val="34BB5A07"/>
    <w:rsid w:val="34C07865"/>
    <w:rsid w:val="34C2779C"/>
    <w:rsid w:val="34FA47FA"/>
    <w:rsid w:val="354B26A0"/>
    <w:rsid w:val="355E6A9D"/>
    <w:rsid w:val="356678F7"/>
    <w:rsid w:val="35740C40"/>
    <w:rsid w:val="359833FE"/>
    <w:rsid w:val="35AB0D9A"/>
    <w:rsid w:val="35B00AA5"/>
    <w:rsid w:val="35D905E4"/>
    <w:rsid w:val="35F40F8A"/>
    <w:rsid w:val="35FD5321"/>
    <w:rsid w:val="362A5E2D"/>
    <w:rsid w:val="362A70EA"/>
    <w:rsid w:val="36455341"/>
    <w:rsid w:val="36912311"/>
    <w:rsid w:val="36BB69D9"/>
    <w:rsid w:val="36D641C2"/>
    <w:rsid w:val="36F02860"/>
    <w:rsid w:val="370C1C5B"/>
    <w:rsid w:val="37272C99"/>
    <w:rsid w:val="373332CF"/>
    <w:rsid w:val="378B382E"/>
    <w:rsid w:val="379344BE"/>
    <w:rsid w:val="37BE1588"/>
    <w:rsid w:val="37BF696F"/>
    <w:rsid w:val="37E2423D"/>
    <w:rsid w:val="38086D9A"/>
    <w:rsid w:val="38236E1F"/>
    <w:rsid w:val="38762532"/>
    <w:rsid w:val="38BE4EA5"/>
    <w:rsid w:val="39266E53"/>
    <w:rsid w:val="395D6E46"/>
    <w:rsid w:val="398C67F7"/>
    <w:rsid w:val="39A43E9E"/>
    <w:rsid w:val="3A16675B"/>
    <w:rsid w:val="3A1741D7"/>
    <w:rsid w:val="3A561988"/>
    <w:rsid w:val="3A6E37BE"/>
    <w:rsid w:val="3A751F6D"/>
    <w:rsid w:val="3A76023F"/>
    <w:rsid w:val="3A9610E1"/>
    <w:rsid w:val="3A9C505E"/>
    <w:rsid w:val="3ABE7E6D"/>
    <w:rsid w:val="3ACE232F"/>
    <w:rsid w:val="3AE0388B"/>
    <w:rsid w:val="3AE422AB"/>
    <w:rsid w:val="3AF328C6"/>
    <w:rsid w:val="3B246918"/>
    <w:rsid w:val="3B457B92"/>
    <w:rsid w:val="3B553864"/>
    <w:rsid w:val="3B5D0C70"/>
    <w:rsid w:val="3BAE2FF9"/>
    <w:rsid w:val="3BC27434"/>
    <w:rsid w:val="3BC95DA1"/>
    <w:rsid w:val="3BCD02B3"/>
    <w:rsid w:val="3BF47763"/>
    <w:rsid w:val="3C8B3CCA"/>
    <w:rsid w:val="3C962290"/>
    <w:rsid w:val="3C9A0678"/>
    <w:rsid w:val="3CC06B56"/>
    <w:rsid w:val="3CE04016"/>
    <w:rsid w:val="3D071C0A"/>
    <w:rsid w:val="3D20080D"/>
    <w:rsid w:val="3D6435C4"/>
    <w:rsid w:val="3D695DB9"/>
    <w:rsid w:val="3D7E79F1"/>
    <w:rsid w:val="3DB6216A"/>
    <w:rsid w:val="3DB86D2C"/>
    <w:rsid w:val="3DCC6348"/>
    <w:rsid w:val="3DE970C2"/>
    <w:rsid w:val="3DF21F2E"/>
    <w:rsid w:val="3E05314D"/>
    <w:rsid w:val="3E0A75D5"/>
    <w:rsid w:val="3E692E72"/>
    <w:rsid w:val="3E825F9A"/>
    <w:rsid w:val="3E8C358E"/>
    <w:rsid w:val="3E900B33"/>
    <w:rsid w:val="3E9E7CE5"/>
    <w:rsid w:val="3EE95621"/>
    <w:rsid w:val="3F0264C5"/>
    <w:rsid w:val="3F201A8B"/>
    <w:rsid w:val="3F22093B"/>
    <w:rsid w:val="3F3570C3"/>
    <w:rsid w:val="3F843ABE"/>
    <w:rsid w:val="3F855B1B"/>
    <w:rsid w:val="3FC91B34"/>
    <w:rsid w:val="3FD768CC"/>
    <w:rsid w:val="3FEE7EAC"/>
    <w:rsid w:val="3FF12096"/>
    <w:rsid w:val="3FFEC819"/>
    <w:rsid w:val="401F30A7"/>
    <w:rsid w:val="409174B1"/>
    <w:rsid w:val="40B52255"/>
    <w:rsid w:val="40B76E3C"/>
    <w:rsid w:val="40C0464B"/>
    <w:rsid w:val="40C83C56"/>
    <w:rsid w:val="40DE261A"/>
    <w:rsid w:val="40E16D7E"/>
    <w:rsid w:val="41662610"/>
    <w:rsid w:val="41955C1C"/>
    <w:rsid w:val="41CE1832"/>
    <w:rsid w:val="41D04488"/>
    <w:rsid w:val="41D66AFC"/>
    <w:rsid w:val="41DE2D74"/>
    <w:rsid w:val="41DE4F4B"/>
    <w:rsid w:val="41F37EC0"/>
    <w:rsid w:val="41F45941"/>
    <w:rsid w:val="41F81C4B"/>
    <w:rsid w:val="42016373"/>
    <w:rsid w:val="42307D25"/>
    <w:rsid w:val="42764C16"/>
    <w:rsid w:val="42D53EF1"/>
    <w:rsid w:val="43372AD6"/>
    <w:rsid w:val="433A7031"/>
    <w:rsid w:val="433F1954"/>
    <w:rsid w:val="43966372"/>
    <w:rsid w:val="439730C4"/>
    <w:rsid w:val="43A16902"/>
    <w:rsid w:val="43BE55B3"/>
    <w:rsid w:val="43CC0E50"/>
    <w:rsid w:val="44025EDE"/>
    <w:rsid w:val="44364BF7"/>
    <w:rsid w:val="443F7636"/>
    <w:rsid w:val="443F7A85"/>
    <w:rsid w:val="44427364"/>
    <w:rsid w:val="449A1098"/>
    <w:rsid w:val="44CD05ED"/>
    <w:rsid w:val="450155C4"/>
    <w:rsid w:val="458845A4"/>
    <w:rsid w:val="45ED6492"/>
    <w:rsid w:val="46016D39"/>
    <w:rsid w:val="466A4950"/>
    <w:rsid w:val="46726720"/>
    <w:rsid w:val="468766C5"/>
    <w:rsid w:val="46AA20FD"/>
    <w:rsid w:val="46C95B1B"/>
    <w:rsid w:val="470703F1"/>
    <w:rsid w:val="474B29D4"/>
    <w:rsid w:val="479F1710"/>
    <w:rsid w:val="47F170D7"/>
    <w:rsid w:val="480261E6"/>
    <w:rsid w:val="481132D5"/>
    <w:rsid w:val="4812529F"/>
    <w:rsid w:val="482F1EF9"/>
    <w:rsid w:val="48600960"/>
    <w:rsid w:val="48842C88"/>
    <w:rsid w:val="48A759E8"/>
    <w:rsid w:val="48BC175E"/>
    <w:rsid w:val="48BF3D66"/>
    <w:rsid w:val="48C2276C"/>
    <w:rsid w:val="48D72771"/>
    <w:rsid w:val="48F22EA2"/>
    <w:rsid w:val="48F549A5"/>
    <w:rsid w:val="49080B7C"/>
    <w:rsid w:val="498B355B"/>
    <w:rsid w:val="49AC5F6D"/>
    <w:rsid w:val="49C60D15"/>
    <w:rsid w:val="49CA1965"/>
    <w:rsid w:val="49DC7913"/>
    <w:rsid w:val="49DE7D7D"/>
    <w:rsid w:val="4A3600D0"/>
    <w:rsid w:val="4A7E62C5"/>
    <w:rsid w:val="4A7F5F45"/>
    <w:rsid w:val="4A9713EE"/>
    <w:rsid w:val="4AB77724"/>
    <w:rsid w:val="4AEA6060"/>
    <w:rsid w:val="4AF30483"/>
    <w:rsid w:val="4AF64C8A"/>
    <w:rsid w:val="4AF65903"/>
    <w:rsid w:val="4AF95C0F"/>
    <w:rsid w:val="4AF965EC"/>
    <w:rsid w:val="4B383175"/>
    <w:rsid w:val="4B47151E"/>
    <w:rsid w:val="4B7E5480"/>
    <w:rsid w:val="4B924B09"/>
    <w:rsid w:val="4BBD11D0"/>
    <w:rsid w:val="4BF83930"/>
    <w:rsid w:val="4C31020A"/>
    <w:rsid w:val="4C3103EA"/>
    <w:rsid w:val="4C4A325A"/>
    <w:rsid w:val="4C5145E8"/>
    <w:rsid w:val="4C580383"/>
    <w:rsid w:val="4C96315A"/>
    <w:rsid w:val="4CB229E2"/>
    <w:rsid w:val="4D0C4375"/>
    <w:rsid w:val="4D7548C6"/>
    <w:rsid w:val="4DAC1F1A"/>
    <w:rsid w:val="4DF57B76"/>
    <w:rsid w:val="4DFACC62"/>
    <w:rsid w:val="4E2F2707"/>
    <w:rsid w:val="4E5D2B66"/>
    <w:rsid w:val="4E644315"/>
    <w:rsid w:val="4E921BF3"/>
    <w:rsid w:val="4EC72940"/>
    <w:rsid w:val="4ED43961"/>
    <w:rsid w:val="4ED66E64"/>
    <w:rsid w:val="4EE71234"/>
    <w:rsid w:val="4EEC23A6"/>
    <w:rsid w:val="4F267EE8"/>
    <w:rsid w:val="4F440434"/>
    <w:rsid w:val="4F6F7973"/>
    <w:rsid w:val="4F9739A9"/>
    <w:rsid w:val="4F9E0730"/>
    <w:rsid w:val="4FAF16B6"/>
    <w:rsid w:val="4FB50A50"/>
    <w:rsid w:val="4FBF245E"/>
    <w:rsid w:val="4FC926E8"/>
    <w:rsid w:val="4FCA510C"/>
    <w:rsid w:val="501C6CBB"/>
    <w:rsid w:val="50210776"/>
    <w:rsid w:val="503A452D"/>
    <w:rsid w:val="504C7CCA"/>
    <w:rsid w:val="50B66D0B"/>
    <w:rsid w:val="511F5AA4"/>
    <w:rsid w:val="51822890"/>
    <w:rsid w:val="519669E8"/>
    <w:rsid w:val="51E26E67"/>
    <w:rsid w:val="521F6F37"/>
    <w:rsid w:val="52264FD2"/>
    <w:rsid w:val="526238F8"/>
    <w:rsid w:val="527B5D61"/>
    <w:rsid w:val="527C7F5F"/>
    <w:rsid w:val="52A27877"/>
    <w:rsid w:val="52DD4E28"/>
    <w:rsid w:val="52EB5537"/>
    <w:rsid w:val="52F97788"/>
    <w:rsid w:val="530C50E2"/>
    <w:rsid w:val="53181F32"/>
    <w:rsid w:val="53A0483E"/>
    <w:rsid w:val="53BF72F1"/>
    <w:rsid w:val="53FB4F58"/>
    <w:rsid w:val="544A055A"/>
    <w:rsid w:val="5458228C"/>
    <w:rsid w:val="546F6672"/>
    <w:rsid w:val="548C0FC4"/>
    <w:rsid w:val="549A5D5B"/>
    <w:rsid w:val="54A808F4"/>
    <w:rsid w:val="54D20290"/>
    <w:rsid w:val="54E9135D"/>
    <w:rsid w:val="54FA15F8"/>
    <w:rsid w:val="550F5D1A"/>
    <w:rsid w:val="553426D6"/>
    <w:rsid w:val="55452810"/>
    <w:rsid w:val="55482AE8"/>
    <w:rsid w:val="554E6B03"/>
    <w:rsid w:val="55525286"/>
    <w:rsid w:val="55850729"/>
    <w:rsid w:val="55854A5F"/>
    <w:rsid w:val="559417F6"/>
    <w:rsid w:val="559B7373"/>
    <w:rsid w:val="55F93719"/>
    <w:rsid w:val="55FF3307"/>
    <w:rsid w:val="56085F32"/>
    <w:rsid w:val="56460D3D"/>
    <w:rsid w:val="564E44A8"/>
    <w:rsid w:val="56576C9F"/>
    <w:rsid w:val="56DE4C90"/>
    <w:rsid w:val="570B1AB1"/>
    <w:rsid w:val="570D7DF1"/>
    <w:rsid w:val="574E404B"/>
    <w:rsid w:val="576C0528"/>
    <w:rsid w:val="57D1482F"/>
    <w:rsid w:val="58982D68"/>
    <w:rsid w:val="58CF0CC3"/>
    <w:rsid w:val="58F20481"/>
    <w:rsid w:val="59161438"/>
    <w:rsid w:val="591B3341"/>
    <w:rsid w:val="592A4855"/>
    <w:rsid w:val="593D5A74"/>
    <w:rsid w:val="594015B1"/>
    <w:rsid w:val="59D84DDF"/>
    <w:rsid w:val="5A2921FA"/>
    <w:rsid w:val="5A627DD5"/>
    <w:rsid w:val="5A6A0A65"/>
    <w:rsid w:val="5A833B8D"/>
    <w:rsid w:val="5AC643F3"/>
    <w:rsid w:val="5AD85ED5"/>
    <w:rsid w:val="5AD97552"/>
    <w:rsid w:val="5AE85AFD"/>
    <w:rsid w:val="5AF32D0E"/>
    <w:rsid w:val="5AFC5403"/>
    <w:rsid w:val="5B4A41EB"/>
    <w:rsid w:val="5B615779"/>
    <w:rsid w:val="5B692B86"/>
    <w:rsid w:val="5B8D1AC1"/>
    <w:rsid w:val="5BB029AE"/>
    <w:rsid w:val="5BD76A3D"/>
    <w:rsid w:val="5BFBD9F5"/>
    <w:rsid w:val="5C163FA3"/>
    <w:rsid w:val="5C225659"/>
    <w:rsid w:val="5C3830CF"/>
    <w:rsid w:val="5C9815A6"/>
    <w:rsid w:val="5CE655BA"/>
    <w:rsid w:val="5CEE7AF4"/>
    <w:rsid w:val="5D21575A"/>
    <w:rsid w:val="5D2A4D65"/>
    <w:rsid w:val="5D441192"/>
    <w:rsid w:val="5D695B4F"/>
    <w:rsid w:val="5D704AEA"/>
    <w:rsid w:val="5D786169"/>
    <w:rsid w:val="5D7C33B3"/>
    <w:rsid w:val="5D886403"/>
    <w:rsid w:val="5DB06C95"/>
    <w:rsid w:val="5DD961EC"/>
    <w:rsid w:val="5DE352BC"/>
    <w:rsid w:val="5DE35818"/>
    <w:rsid w:val="5DF50FB6"/>
    <w:rsid w:val="5E14191A"/>
    <w:rsid w:val="5E196F30"/>
    <w:rsid w:val="5E2356B9"/>
    <w:rsid w:val="5E3648DA"/>
    <w:rsid w:val="5E604B5F"/>
    <w:rsid w:val="5E613B0E"/>
    <w:rsid w:val="5E8C49AC"/>
    <w:rsid w:val="5EA54320"/>
    <w:rsid w:val="5EB35D99"/>
    <w:rsid w:val="5EBD2EE1"/>
    <w:rsid w:val="5ECE1281"/>
    <w:rsid w:val="5F034A78"/>
    <w:rsid w:val="5F2F459B"/>
    <w:rsid w:val="5F68718D"/>
    <w:rsid w:val="5F6F5E1C"/>
    <w:rsid w:val="5F93775D"/>
    <w:rsid w:val="5F9D47EA"/>
    <w:rsid w:val="5F9ED202"/>
    <w:rsid w:val="5FB63195"/>
    <w:rsid w:val="5FB74F0E"/>
    <w:rsid w:val="5FB7BF20"/>
    <w:rsid w:val="5FC37099"/>
    <w:rsid w:val="5FDE8D1D"/>
    <w:rsid w:val="5FE252DE"/>
    <w:rsid w:val="5FE76345"/>
    <w:rsid w:val="5FE92E6B"/>
    <w:rsid w:val="6008100A"/>
    <w:rsid w:val="603D1A42"/>
    <w:rsid w:val="605B55DE"/>
    <w:rsid w:val="606A5821"/>
    <w:rsid w:val="608E53F7"/>
    <w:rsid w:val="60A66321"/>
    <w:rsid w:val="60A73DA2"/>
    <w:rsid w:val="60CC2CDD"/>
    <w:rsid w:val="60CF575F"/>
    <w:rsid w:val="60D01EDE"/>
    <w:rsid w:val="60D477EA"/>
    <w:rsid w:val="60DA41F1"/>
    <w:rsid w:val="60DB54F6"/>
    <w:rsid w:val="60ED7350"/>
    <w:rsid w:val="612754C0"/>
    <w:rsid w:val="612F7E5E"/>
    <w:rsid w:val="615870CE"/>
    <w:rsid w:val="61890B12"/>
    <w:rsid w:val="61A34F3F"/>
    <w:rsid w:val="61A77FF5"/>
    <w:rsid w:val="61C00B9C"/>
    <w:rsid w:val="62142C74"/>
    <w:rsid w:val="62310026"/>
    <w:rsid w:val="62487DE4"/>
    <w:rsid w:val="625473BB"/>
    <w:rsid w:val="629574EE"/>
    <w:rsid w:val="62A57FE5"/>
    <w:rsid w:val="62C27934"/>
    <w:rsid w:val="62F10D81"/>
    <w:rsid w:val="62F578A1"/>
    <w:rsid w:val="633769A9"/>
    <w:rsid w:val="63604E6B"/>
    <w:rsid w:val="63627211"/>
    <w:rsid w:val="637201D6"/>
    <w:rsid w:val="63860BC4"/>
    <w:rsid w:val="63A34684"/>
    <w:rsid w:val="63CA2346"/>
    <w:rsid w:val="63F26259"/>
    <w:rsid w:val="64060EA6"/>
    <w:rsid w:val="641536BE"/>
    <w:rsid w:val="643B19AE"/>
    <w:rsid w:val="643C6AED"/>
    <w:rsid w:val="64654FB0"/>
    <w:rsid w:val="646A4884"/>
    <w:rsid w:val="6478295C"/>
    <w:rsid w:val="6481496A"/>
    <w:rsid w:val="64873E27"/>
    <w:rsid w:val="64BB76D0"/>
    <w:rsid w:val="64BE25DF"/>
    <w:rsid w:val="64DB327A"/>
    <w:rsid w:val="64FA2A38"/>
    <w:rsid w:val="654672B3"/>
    <w:rsid w:val="657E0A92"/>
    <w:rsid w:val="65EA5BC3"/>
    <w:rsid w:val="660A60F8"/>
    <w:rsid w:val="66302AB4"/>
    <w:rsid w:val="66320795"/>
    <w:rsid w:val="66325FB7"/>
    <w:rsid w:val="664D7777"/>
    <w:rsid w:val="66AE597A"/>
    <w:rsid w:val="66B06886"/>
    <w:rsid w:val="66C023A3"/>
    <w:rsid w:val="66E32558"/>
    <w:rsid w:val="6701482F"/>
    <w:rsid w:val="670A6088"/>
    <w:rsid w:val="670E33AA"/>
    <w:rsid w:val="67380715"/>
    <w:rsid w:val="67786A75"/>
    <w:rsid w:val="6779459B"/>
    <w:rsid w:val="679A7B08"/>
    <w:rsid w:val="679D4253"/>
    <w:rsid w:val="679E650E"/>
    <w:rsid w:val="67A50097"/>
    <w:rsid w:val="67A55E99"/>
    <w:rsid w:val="67FA33A5"/>
    <w:rsid w:val="68095BBE"/>
    <w:rsid w:val="68332285"/>
    <w:rsid w:val="6845219F"/>
    <w:rsid w:val="684F2AAF"/>
    <w:rsid w:val="686D205F"/>
    <w:rsid w:val="686E4F90"/>
    <w:rsid w:val="687142E8"/>
    <w:rsid w:val="68785E71"/>
    <w:rsid w:val="6892481D"/>
    <w:rsid w:val="68D511B8"/>
    <w:rsid w:val="68FEF8CC"/>
    <w:rsid w:val="6949654A"/>
    <w:rsid w:val="694C01BA"/>
    <w:rsid w:val="69732C11"/>
    <w:rsid w:val="69A65822"/>
    <w:rsid w:val="69D4612E"/>
    <w:rsid w:val="69DA7573"/>
    <w:rsid w:val="69F67967"/>
    <w:rsid w:val="69F75A58"/>
    <w:rsid w:val="6A017EF7"/>
    <w:rsid w:val="6A0D3D09"/>
    <w:rsid w:val="6A177E9C"/>
    <w:rsid w:val="6A1C24EE"/>
    <w:rsid w:val="6A9C2DB6"/>
    <w:rsid w:val="6AD06BC8"/>
    <w:rsid w:val="6ADB7A47"/>
    <w:rsid w:val="6AEC1C54"/>
    <w:rsid w:val="6AEF4D6B"/>
    <w:rsid w:val="6AF07B7F"/>
    <w:rsid w:val="6AFE4916"/>
    <w:rsid w:val="6B2525D8"/>
    <w:rsid w:val="6B5B4CB0"/>
    <w:rsid w:val="6B623CC4"/>
    <w:rsid w:val="6BB91E22"/>
    <w:rsid w:val="6BC90CA9"/>
    <w:rsid w:val="6BD04C6F"/>
    <w:rsid w:val="6BD66460"/>
    <w:rsid w:val="6BED7C7B"/>
    <w:rsid w:val="6BF91BBE"/>
    <w:rsid w:val="6C046B2A"/>
    <w:rsid w:val="6C280F96"/>
    <w:rsid w:val="6C4B45B8"/>
    <w:rsid w:val="6CBD64D2"/>
    <w:rsid w:val="6CE59DF8"/>
    <w:rsid w:val="6D087F43"/>
    <w:rsid w:val="6D3E4E45"/>
    <w:rsid w:val="6D5D56FA"/>
    <w:rsid w:val="6D771B27"/>
    <w:rsid w:val="6D7D01AD"/>
    <w:rsid w:val="6D874340"/>
    <w:rsid w:val="6D8A2D46"/>
    <w:rsid w:val="6DA4006D"/>
    <w:rsid w:val="6DA852E7"/>
    <w:rsid w:val="6DE365A2"/>
    <w:rsid w:val="6DE37243"/>
    <w:rsid w:val="6DE46F5D"/>
    <w:rsid w:val="6DF8446C"/>
    <w:rsid w:val="6E03390A"/>
    <w:rsid w:val="6E433C2A"/>
    <w:rsid w:val="6E4730F9"/>
    <w:rsid w:val="6E5E65A2"/>
    <w:rsid w:val="6E7F06C0"/>
    <w:rsid w:val="6ED8429D"/>
    <w:rsid w:val="6EFE3D04"/>
    <w:rsid w:val="6F000329"/>
    <w:rsid w:val="6F2D20F2"/>
    <w:rsid w:val="6F2F0E79"/>
    <w:rsid w:val="6F321DFD"/>
    <w:rsid w:val="6F345300"/>
    <w:rsid w:val="6F3C270D"/>
    <w:rsid w:val="6F930B9D"/>
    <w:rsid w:val="6FBB0A5D"/>
    <w:rsid w:val="6FBE41DE"/>
    <w:rsid w:val="6FBF6986"/>
    <w:rsid w:val="6FCF744E"/>
    <w:rsid w:val="6FED5B27"/>
    <w:rsid w:val="6FF677BA"/>
    <w:rsid w:val="6FFF244B"/>
    <w:rsid w:val="70092D5A"/>
    <w:rsid w:val="70481AA7"/>
    <w:rsid w:val="70A00DEB"/>
    <w:rsid w:val="70A73F27"/>
    <w:rsid w:val="70A82C64"/>
    <w:rsid w:val="70A873E0"/>
    <w:rsid w:val="70AF25EE"/>
    <w:rsid w:val="70B85316"/>
    <w:rsid w:val="70F73101"/>
    <w:rsid w:val="712833A4"/>
    <w:rsid w:val="713003C1"/>
    <w:rsid w:val="714F0E73"/>
    <w:rsid w:val="717026AC"/>
    <w:rsid w:val="71777D9E"/>
    <w:rsid w:val="71787AB9"/>
    <w:rsid w:val="72294059"/>
    <w:rsid w:val="72702EB4"/>
    <w:rsid w:val="72806695"/>
    <w:rsid w:val="72C5775B"/>
    <w:rsid w:val="730E55D1"/>
    <w:rsid w:val="73114357"/>
    <w:rsid w:val="731D54DC"/>
    <w:rsid w:val="734168B5"/>
    <w:rsid w:val="735E6655"/>
    <w:rsid w:val="73C31078"/>
    <w:rsid w:val="73C95D04"/>
    <w:rsid w:val="743708F7"/>
    <w:rsid w:val="744359CE"/>
    <w:rsid w:val="74501460"/>
    <w:rsid w:val="74A80D6D"/>
    <w:rsid w:val="74BB4393"/>
    <w:rsid w:val="74C62370"/>
    <w:rsid w:val="74E8308A"/>
    <w:rsid w:val="74F344EC"/>
    <w:rsid w:val="75020FA8"/>
    <w:rsid w:val="75550D0E"/>
    <w:rsid w:val="75ED5E2A"/>
    <w:rsid w:val="75FD0222"/>
    <w:rsid w:val="76114485"/>
    <w:rsid w:val="764F64BE"/>
    <w:rsid w:val="767174B1"/>
    <w:rsid w:val="76923F99"/>
    <w:rsid w:val="76A80C1C"/>
    <w:rsid w:val="76B26A4C"/>
    <w:rsid w:val="76C021E7"/>
    <w:rsid w:val="76DD4B47"/>
    <w:rsid w:val="76E0714F"/>
    <w:rsid w:val="76FD7DC5"/>
    <w:rsid w:val="770E4D00"/>
    <w:rsid w:val="771976F5"/>
    <w:rsid w:val="77226D00"/>
    <w:rsid w:val="776E137D"/>
    <w:rsid w:val="77C90C27"/>
    <w:rsid w:val="77EAF1FA"/>
    <w:rsid w:val="77FA5285"/>
    <w:rsid w:val="783C764B"/>
    <w:rsid w:val="785052A2"/>
    <w:rsid w:val="78563879"/>
    <w:rsid w:val="78707CA6"/>
    <w:rsid w:val="78972AAA"/>
    <w:rsid w:val="78F1E44C"/>
    <w:rsid w:val="78F61EF0"/>
    <w:rsid w:val="79160434"/>
    <w:rsid w:val="79160E46"/>
    <w:rsid w:val="791F8BE0"/>
    <w:rsid w:val="79741AD3"/>
    <w:rsid w:val="798F6D20"/>
    <w:rsid w:val="7999518A"/>
    <w:rsid w:val="79BD7948"/>
    <w:rsid w:val="79D21E6C"/>
    <w:rsid w:val="79D45FBF"/>
    <w:rsid w:val="79D97847"/>
    <w:rsid w:val="7A1947DF"/>
    <w:rsid w:val="7A212F9C"/>
    <w:rsid w:val="7A5E74D2"/>
    <w:rsid w:val="7A7FC47B"/>
    <w:rsid w:val="7ABC03B8"/>
    <w:rsid w:val="7AC70CCD"/>
    <w:rsid w:val="7ACB4CB6"/>
    <w:rsid w:val="7AD37490"/>
    <w:rsid w:val="7B1B31B9"/>
    <w:rsid w:val="7B29241E"/>
    <w:rsid w:val="7B6B418C"/>
    <w:rsid w:val="7B953664"/>
    <w:rsid w:val="7BB72F86"/>
    <w:rsid w:val="7BF07693"/>
    <w:rsid w:val="7BF42D23"/>
    <w:rsid w:val="7C7DC329"/>
    <w:rsid w:val="7C8F51E8"/>
    <w:rsid w:val="7C9603F6"/>
    <w:rsid w:val="7CCB75CB"/>
    <w:rsid w:val="7CD16F56"/>
    <w:rsid w:val="7D4E4321"/>
    <w:rsid w:val="7D5D42EC"/>
    <w:rsid w:val="7D8E2B8C"/>
    <w:rsid w:val="7DCD6B2C"/>
    <w:rsid w:val="7DD7585B"/>
    <w:rsid w:val="7DDFF1C8"/>
    <w:rsid w:val="7DEA1C21"/>
    <w:rsid w:val="7DFF4736"/>
    <w:rsid w:val="7DFF66D5"/>
    <w:rsid w:val="7E423935"/>
    <w:rsid w:val="7E450072"/>
    <w:rsid w:val="7E525E1A"/>
    <w:rsid w:val="7E52614D"/>
    <w:rsid w:val="7E6104FB"/>
    <w:rsid w:val="7E6B3474"/>
    <w:rsid w:val="7E7618FB"/>
    <w:rsid w:val="7E8F01B1"/>
    <w:rsid w:val="7EA448D3"/>
    <w:rsid w:val="7EB470EC"/>
    <w:rsid w:val="7EDC282E"/>
    <w:rsid w:val="7F268AFA"/>
    <w:rsid w:val="7F4A4D43"/>
    <w:rsid w:val="7F7973D7"/>
    <w:rsid w:val="7F7E2C1D"/>
    <w:rsid w:val="7FB42194"/>
    <w:rsid w:val="7FB56661"/>
    <w:rsid w:val="7FCB7450"/>
    <w:rsid w:val="7FD873FD"/>
    <w:rsid w:val="7FDE1157"/>
    <w:rsid w:val="7FF954D7"/>
    <w:rsid w:val="7FFA6244"/>
    <w:rsid w:val="96CE585B"/>
    <w:rsid w:val="97758B1C"/>
    <w:rsid w:val="9DFF5DFA"/>
    <w:rsid w:val="9EFE9949"/>
    <w:rsid w:val="A7EE06BA"/>
    <w:rsid w:val="B5E9C309"/>
    <w:rsid w:val="B7BD1295"/>
    <w:rsid w:val="B7DDEA42"/>
    <w:rsid w:val="BB6C52A3"/>
    <w:rsid w:val="CBFF9DFD"/>
    <w:rsid w:val="D3FBA76F"/>
    <w:rsid w:val="D53FD1FA"/>
    <w:rsid w:val="DB0441BB"/>
    <w:rsid w:val="DD86596B"/>
    <w:rsid w:val="DFF72015"/>
    <w:rsid w:val="DFF9415F"/>
    <w:rsid w:val="E7FBEDA5"/>
    <w:rsid w:val="E9FF6438"/>
    <w:rsid w:val="EDE59CD9"/>
    <w:rsid w:val="EE6F0949"/>
    <w:rsid w:val="EFF3B631"/>
    <w:rsid w:val="F227CB25"/>
    <w:rsid w:val="F7BE44CC"/>
    <w:rsid w:val="F7BFC451"/>
    <w:rsid w:val="FAF69B22"/>
    <w:rsid w:val="FB661CD3"/>
    <w:rsid w:val="FBF6EA12"/>
    <w:rsid w:val="FBFF4100"/>
    <w:rsid w:val="FC3FC044"/>
    <w:rsid w:val="FD771F02"/>
    <w:rsid w:val="FDDD1792"/>
    <w:rsid w:val="FEFD6ADD"/>
    <w:rsid w:val="FEFFF116"/>
    <w:rsid w:val="FF8AB95B"/>
    <w:rsid w:val="FFBF0356"/>
    <w:rsid w:val="FFF5FF56"/>
    <w:rsid w:val="FFFB98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iPriority="99"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Calibri" w:hAnsi="Calibri" w:eastAsia="宋体" w:cs="Times New Roman"/>
      <w:sz w:val="21"/>
      <w:szCs w:val="22"/>
      <w:lang w:val="en-US" w:eastAsia="zh-CN" w:bidi="ar-SA"/>
    </w:rPr>
  </w:style>
  <w:style w:type="paragraph" w:styleId="2">
    <w:name w:val="heading 1"/>
    <w:basedOn w:val="1"/>
    <w:next w:val="1"/>
    <w:link w:val="70"/>
    <w:qFormat/>
    <w:uiPriority w:val="0"/>
    <w:pPr>
      <w:keepNext/>
      <w:keepLines/>
      <w:spacing w:before="340" w:after="330" w:line="578" w:lineRule="auto"/>
      <w:outlineLvl w:val="0"/>
    </w:pPr>
    <w:rPr>
      <w:b/>
      <w:bCs/>
      <w:sz w:val="44"/>
      <w:szCs w:val="44"/>
    </w:rPr>
  </w:style>
  <w:style w:type="paragraph" w:styleId="3">
    <w:name w:val="heading 2"/>
    <w:basedOn w:val="1"/>
    <w:next w:val="4"/>
    <w:link w:val="71"/>
    <w:semiHidden/>
    <w:unhideWhenUsed/>
    <w:qFormat/>
    <w:uiPriority w:val="0"/>
    <w:pPr>
      <w:keepNext/>
      <w:keepLines/>
      <w:spacing w:before="260" w:after="260" w:line="416" w:lineRule="auto"/>
      <w:jc w:val="center"/>
      <w:outlineLvl w:val="1"/>
    </w:pPr>
    <w:rPr>
      <w:rFonts w:ascii="Arial" w:hAnsi="Arial" w:eastAsia="幼圆" w:cs="Arial"/>
      <w:b/>
      <w:bCs/>
      <w:sz w:val="44"/>
      <w:szCs w:val="44"/>
    </w:rPr>
  </w:style>
  <w:style w:type="paragraph" w:styleId="5">
    <w:name w:val="heading 3"/>
    <w:basedOn w:val="1"/>
    <w:next w:val="4"/>
    <w:link w:val="72"/>
    <w:semiHidden/>
    <w:unhideWhenUsed/>
    <w:qFormat/>
    <w:uiPriority w:val="0"/>
    <w:pPr>
      <w:keepNext/>
      <w:keepLines/>
      <w:spacing w:before="260" w:after="260" w:line="416" w:lineRule="auto"/>
      <w:outlineLvl w:val="2"/>
    </w:pPr>
    <w:rPr>
      <w:b/>
      <w:bCs/>
      <w:sz w:val="32"/>
      <w:szCs w:val="32"/>
    </w:rPr>
  </w:style>
  <w:style w:type="paragraph" w:styleId="6">
    <w:name w:val="heading 4"/>
    <w:basedOn w:val="1"/>
    <w:next w:val="1"/>
    <w:link w:val="73"/>
    <w:semiHidden/>
    <w:unhideWhenUsed/>
    <w:qFormat/>
    <w:uiPriority w:val="0"/>
    <w:pPr>
      <w:keepNext/>
      <w:keepLines/>
      <w:spacing w:before="320" w:after="200"/>
      <w:outlineLvl w:val="3"/>
    </w:pPr>
    <w:rPr>
      <w:rFonts w:ascii="Arial" w:hAnsi="Arial" w:eastAsia="Arial" w:cs="Arial"/>
      <w:b/>
      <w:bCs/>
      <w:sz w:val="26"/>
      <w:szCs w:val="26"/>
    </w:rPr>
  </w:style>
  <w:style w:type="paragraph" w:styleId="7">
    <w:name w:val="heading 5"/>
    <w:basedOn w:val="1"/>
    <w:next w:val="1"/>
    <w:link w:val="74"/>
    <w:semiHidden/>
    <w:unhideWhenUsed/>
    <w:qFormat/>
    <w:uiPriority w:val="0"/>
    <w:pPr>
      <w:keepNext/>
      <w:keepLines/>
      <w:spacing w:before="320" w:after="200"/>
      <w:outlineLvl w:val="4"/>
    </w:pPr>
    <w:rPr>
      <w:rFonts w:ascii="Arial" w:hAnsi="Arial" w:eastAsia="Arial" w:cs="Arial"/>
      <w:b/>
      <w:bCs/>
      <w:sz w:val="24"/>
      <w:szCs w:val="24"/>
    </w:rPr>
  </w:style>
  <w:style w:type="paragraph" w:styleId="8">
    <w:name w:val="heading 6"/>
    <w:basedOn w:val="1"/>
    <w:next w:val="1"/>
    <w:link w:val="75"/>
    <w:semiHidden/>
    <w:unhideWhenUsed/>
    <w:qFormat/>
    <w:uiPriority w:val="0"/>
    <w:pPr>
      <w:keepNext/>
      <w:keepLines/>
      <w:spacing w:before="320" w:after="200"/>
      <w:outlineLvl w:val="5"/>
    </w:pPr>
    <w:rPr>
      <w:rFonts w:ascii="Arial" w:hAnsi="Arial" w:eastAsia="Arial" w:cs="Arial"/>
      <w:b/>
      <w:bCs/>
      <w:sz w:val="22"/>
    </w:rPr>
  </w:style>
  <w:style w:type="paragraph" w:styleId="9">
    <w:name w:val="heading 7"/>
    <w:basedOn w:val="1"/>
    <w:next w:val="1"/>
    <w:link w:val="76"/>
    <w:semiHidden/>
    <w:unhideWhenUsed/>
    <w:qFormat/>
    <w:uiPriority w:val="0"/>
    <w:pPr>
      <w:keepNext/>
      <w:keepLines/>
      <w:spacing w:before="320" w:after="200"/>
      <w:outlineLvl w:val="6"/>
    </w:pPr>
    <w:rPr>
      <w:rFonts w:ascii="Arial" w:hAnsi="Arial" w:eastAsia="Arial" w:cs="Arial"/>
      <w:b/>
      <w:bCs/>
      <w:i/>
      <w:iCs/>
      <w:sz w:val="22"/>
    </w:rPr>
  </w:style>
  <w:style w:type="paragraph" w:styleId="10">
    <w:name w:val="heading 8"/>
    <w:basedOn w:val="1"/>
    <w:next w:val="1"/>
    <w:link w:val="77"/>
    <w:semiHidden/>
    <w:unhideWhenUsed/>
    <w:qFormat/>
    <w:uiPriority w:val="0"/>
    <w:pPr>
      <w:keepNext/>
      <w:keepLines/>
      <w:spacing w:before="320" w:after="200"/>
      <w:outlineLvl w:val="7"/>
    </w:pPr>
    <w:rPr>
      <w:rFonts w:ascii="Arial" w:hAnsi="Arial" w:eastAsia="Arial" w:cs="Arial"/>
      <w:i/>
      <w:iCs/>
      <w:sz w:val="22"/>
    </w:rPr>
  </w:style>
  <w:style w:type="paragraph" w:styleId="11">
    <w:name w:val="heading 9"/>
    <w:basedOn w:val="1"/>
    <w:next w:val="1"/>
    <w:link w:val="78"/>
    <w:semiHidden/>
    <w:unhideWhenUsed/>
    <w:qFormat/>
    <w:uiPriority w:val="0"/>
    <w:pPr>
      <w:keepNext/>
      <w:keepLines/>
      <w:spacing w:before="320" w:after="200"/>
      <w:outlineLvl w:val="8"/>
    </w:pPr>
    <w:rPr>
      <w:rFonts w:ascii="Arial" w:hAnsi="Arial" w:eastAsia="Arial" w:cs="Arial"/>
      <w:i/>
      <w:iCs/>
      <w:szCs w:val="21"/>
    </w:rPr>
  </w:style>
  <w:style w:type="character" w:default="1" w:styleId="38">
    <w:name w:val="Default Paragraph Font"/>
    <w:semiHidden/>
    <w:qFormat/>
    <w:uiPriority w:val="0"/>
  </w:style>
  <w:style w:type="table" w:default="1" w:styleId="36">
    <w:name w:val="Normal Table"/>
    <w:semiHidden/>
    <w:qFormat/>
    <w:uiPriority w:val="0"/>
    <w:tblPr>
      <w:tblCellMar>
        <w:top w:w="0" w:type="dxa"/>
        <w:left w:w="108" w:type="dxa"/>
        <w:bottom w:w="0" w:type="dxa"/>
        <w:right w:w="108" w:type="dxa"/>
      </w:tblCellMar>
    </w:tblPr>
  </w:style>
  <w:style w:type="paragraph" w:customStyle="1" w:styleId="4">
    <w:name w:val="首行"/>
    <w:basedOn w:val="1"/>
    <w:qFormat/>
    <w:uiPriority w:val="0"/>
    <w:pPr>
      <w:spacing w:before="156" w:after="156"/>
    </w:pPr>
  </w:style>
  <w:style w:type="paragraph" w:styleId="12">
    <w:name w:val="toc 7"/>
    <w:basedOn w:val="1"/>
    <w:next w:val="1"/>
    <w:qFormat/>
    <w:uiPriority w:val="0"/>
    <w:pPr>
      <w:spacing w:after="57"/>
      <w:ind w:left="1701"/>
    </w:pPr>
  </w:style>
  <w:style w:type="paragraph" w:styleId="13">
    <w:name w:val="Normal Indent"/>
    <w:basedOn w:val="1"/>
    <w:unhideWhenUsed/>
    <w:qFormat/>
    <w:uiPriority w:val="99"/>
    <w:pPr>
      <w:ind w:firstLine="420"/>
    </w:pPr>
  </w:style>
  <w:style w:type="paragraph" w:styleId="14">
    <w:name w:val="caption"/>
    <w:basedOn w:val="1"/>
    <w:next w:val="1"/>
    <w:semiHidden/>
    <w:unhideWhenUsed/>
    <w:qFormat/>
    <w:uiPriority w:val="0"/>
    <w:pPr>
      <w:spacing w:line="276" w:lineRule="auto"/>
    </w:pPr>
    <w:rPr>
      <w:b/>
      <w:bCs/>
      <w:color w:val="5B9BD5" w:themeColor="accent1"/>
      <w:sz w:val="18"/>
      <w:szCs w:val="18"/>
      <w14:textFill>
        <w14:solidFill>
          <w14:schemeClr w14:val="accent1"/>
        </w14:solidFill>
      </w14:textFill>
    </w:rPr>
  </w:style>
  <w:style w:type="paragraph" w:styleId="15">
    <w:name w:val="annotation text"/>
    <w:basedOn w:val="1"/>
    <w:qFormat/>
    <w:uiPriority w:val="0"/>
    <w:pPr>
      <w:jc w:val="left"/>
    </w:pPr>
  </w:style>
  <w:style w:type="paragraph" w:styleId="16">
    <w:name w:val="Body Text"/>
    <w:basedOn w:val="1"/>
    <w:qFormat/>
    <w:uiPriority w:val="0"/>
    <w:rPr>
      <w:rFonts w:ascii="楷体_GB2312" w:hAnsi="Arial" w:eastAsia="楷体_GB2312"/>
      <w:sz w:val="28"/>
      <w:szCs w:val="28"/>
    </w:rPr>
  </w:style>
  <w:style w:type="paragraph" w:styleId="17">
    <w:name w:val="List Bullet 2"/>
    <w:basedOn w:val="1"/>
    <w:qFormat/>
    <w:uiPriority w:val="0"/>
    <w:pPr>
      <w:numPr>
        <w:ilvl w:val="0"/>
        <w:numId w:val="1"/>
      </w:numPr>
    </w:pPr>
  </w:style>
  <w:style w:type="paragraph" w:styleId="18">
    <w:name w:val="toc 5"/>
    <w:basedOn w:val="1"/>
    <w:next w:val="1"/>
    <w:qFormat/>
    <w:uiPriority w:val="0"/>
    <w:pPr>
      <w:spacing w:after="57"/>
      <w:ind w:left="1134"/>
    </w:pPr>
  </w:style>
  <w:style w:type="paragraph" w:styleId="19">
    <w:name w:val="toc 3"/>
    <w:basedOn w:val="1"/>
    <w:next w:val="1"/>
    <w:qFormat/>
    <w:uiPriority w:val="0"/>
    <w:pPr>
      <w:spacing w:after="57"/>
      <w:ind w:left="567"/>
    </w:pPr>
  </w:style>
  <w:style w:type="paragraph" w:styleId="20">
    <w:name w:val="Plain Text"/>
    <w:basedOn w:val="1"/>
    <w:qFormat/>
    <w:uiPriority w:val="0"/>
    <w:rPr>
      <w:rFonts w:ascii="宋体" w:hAnsi="Courier New"/>
      <w:sz w:val="20"/>
      <w:szCs w:val="21"/>
    </w:rPr>
  </w:style>
  <w:style w:type="paragraph" w:styleId="21">
    <w:name w:val="toc 8"/>
    <w:basedOn w:val="1"/>
    <w:next w:val="1"/>
    <w:qFormat/>
    <w:uiPriority w:val="0"/>
    <w:pPr>
      <w:spacing w:after="57"/>
      <w:ind w:left="1984"/>
    </w:pPr>
  </w:style>
  <w:style w:type="paragraph" w:styleId="22">
    <w:name w:val="endnote text"/>
    <w:basedOn w:val="1"/>
    <w:link w:val="216"/>
    <w:qFormat/>
    <w:uiPriority w:val="0"/>
    <w:rPr>
      <w:sz w:val="20"/>
    </w:rPr>
  </w:style>
  <w:style w:type="paragraph" w:styleId="23">
    <w:name w:val="Balloon Text"/>
    <w:basedOn w:val="1"/>
    <w:link w:val="226"/>
    <w:qFormat/>
    <w:uiPriority w:val="0"/>
    <w:rPr>
      <w:sz w:val="18"/>
      <w:szCs w:val="18"/>
    </w:rPr>
  </w:style>
  <w:style w:type="paragraph" w:styleId="24">
    <w:name w:val="footer"/>
    <w:basedOn w:val="1"/>
    <w:link w:val="89"/>
    <w:qFormat/>
    <w:uiPriority w:val="0"/>
    <w:pPr>
      <w:tabs>
        <w:tab w:val="center" w:pos="4153"/>
        <w:tab w:val="right" w:pos="8306"/>
      </w:tabs>
      <w:jc w:val="left"/>
    </w:pPr>
    <w:rPr>
      <w:sz w:val="18"/>
      <w:szCs w:val="18"/>
    </w:rPr>
  </w:style>
  <w:style w:type="paragraph" w:styleId="25">
    <w:name w:val="header"/>
    <w:basedOn w:val="1"/>
    <w:link w:val="87"/>
    <w:qFormat/>
    <w:uiPriority w:val="0"/>
    <w:pPr>
      <w:pBdr>
        <w:bottom w:val="single" w:color="auto" w:sz="6" w:space="1"/>
      </w:pBdr>
      <w:tabs>
        <w:tab w:val="center" w:pos="4153"/>
        <w:tab w:val="right" w:pos="8306"/>
      </w:tabs>
      <w:jc w:val="center"/>
    </w:pPr>
    <w:rPr>
      <w:sz w:val="18"/>
      <w:szCs w:val="18"/>
    </w:rPr>
  </w:style>
  <w:style w:type="paragraph" w:styleId="26">
    <w:name w:val="toc 1"/>
    <w:basedOn w:val="1"/>
    <w:next w:val="1"/>
    <w:qFormat/>
    <w:uiPriority w:val="0"/>
  </w:style>
  <w:style w:type="paragraph" w:styleId="27">
    <w:name w:val="toc 4"/>
    <w:basedOn w:val="1"/>
    <w:next w:val="1"/>
    <w:qFormat/>
    <w:uiPriority w:val="0"/>
    <w:pPr>
      <w:spacing w:after="57"/>
      <w:ind w:left="850"/>
    </w:pPr>
  </w:style>
  <w:style w:type="paragraph" w:styleId="28">
    <w:name w:val="Subtitle"/>
    <w:basedOn w:val="1"/>
    <w:next w:val="1"/>
    <w:link w:val="82"/>
    <w:qFormat/>
    <w:uiPriority w:val="0"/>
    <w:pPr>
      <w:spacing w:before="200" w:after="200"/>
    </w:pPr>
    <w:rPr>
      <w:sz w:val="24"/>
      <w:szCs w:val="24"/>
    </w:rPr>
  </w:style>
  <w:style w:type="paragraph" w:styleId="29">
    <w:name w:val="footnote text"/>
    <w:basedOn w:val="1"/>
    <w:link w:val="215"/>
    <w:qFormat/>
    <w:uiPriority w:val="0"/>
    <w:pPr>
      <w:spacing w:after="40"/>
    </w:pPr>
    <w:rPr>
      <w:sz w:val="18"/>
    </w:rPr>
  </w:style>
  <w:style w:type="paragraph" w:styleId="30">
    <w:name w:val="toc 6"/>
    <w:basedOn w:val="1"/>
    <w:next w:val="1"/>
    <w:qFormat/>
    <w:uiPriority w:val="0"/>
    <w:pPr>
      <w:spacing w:after="57"/>
      <w:ind w:left="1417"/>
    </w:pPr>
  </w:style>
  <w:style w:type="paragraph" w:styleId="31">
    <w:name w:val="table of figures"/>
    <w:basedOn w:val="1"/>
    <w:next w:val="1"/>
    <w:qFormat/>
    <w:uiPriority w:val="0"/>
  </w:style>
  <w:style w:type="paragraph" w:styleId="32">
    <w:name w:val="toc 2"/>
    <w:basedOn w:val="1"/>
    <w:next w:val="1"/>
    <w:qFormat/>
    <w:uiPriority w:val="0"/>
    <w:pPr>
      <w:spacing w:after="57"/>
      <w:ind w:left="283"/>
    </w:pPr>
  </w:style>
  <w:style w:type="paragraph" w:styleId="33">
    <w:name w:val="toc 9"/>
    <w:basedOn w:val="1"/>
    <w:next w:val="1"/>
    <w:qFormat/>
    <w:uiPriority w:val="0"/>
    <w:pPr>
      <w:spacing w:after="57"/>
      <w:ind w:left="2268"/>
    </w:pPr>
  </w:style>
  <w:style w:type="paragraph" w:styleId="34">
    <w:name w:val="Normal (Web)"/>
    <w:basedOn w:val="1"/>
    <w:qFormat/>
    <w:uiPriority w:val="0"/>
    <w:rPr>
      <w:rFonts w:ascii="Times New Roman" w:hAnsi="Times New Roman"/>
      <w:sz w:val="24"/>
    </w:rPr>
  </w:style>
  <w:style w:type="paragraph" w:styleId="35">
    <w:name w:val="Title"/>
    <w:basedOn w:val="1"/>
    <w:next w:val="1"/>
    <w:link w:val="81"/>
    <w:qFormat/>
    <w:uiPriority w:val="0"/>
    <w:pPr>
      <w:spacing w:before="300" w:after="200"/>
      <w:contextualSpacing/>
    </w:pPr>
    <w:rPr>
      <w:sz w:val="48"/>
      <w:szCs w:val="48"/>
    </w:rPr>
  </w:style>
  <w:style w:type="table" w:styleId="37">
    <w:name w:val="Table Grid"/>
    <w:basedOn w:val="3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9">
    <w:name w:val="Strong"/>
    <w:basedOn w:val="38"/>
    <w:qFormat/>
    <w:uiPriority w:val="0"/>
    <w:rPr>
      <w:b/>
      <w:bCs/>
    </w:rPr>
  </w:style>
  <w:style w:type="character" w:styleId="40">
    <w:name w:val="endnote reference"/>
    <w:basedOn w:val="38"/>
    <w:qFormat/>
    <w:uiPriority w:val="0"/>
    <w:rPr>
      <w:vertAlign w:val="superscript"/>
    </w:rPr>
  </w:style>
  <w:style w:type="character" w:styleId="41">
    <w:name w:val="page number"/>
    <w:qFormat/>
    <w:uiPriority w:val="0"/>
  </w:style>
  <w:style w:type="character" w:styleId="42">
    <w:name w:val="FollowedHyperlink"/>
    <w:basedOn w:val="38"/>
    <w:qFormat/>
    <w:uiPriority w:val="0"/>
    <w:rPr>
      <w:color w:val="333333"/>
      <w:u w:val="none"/>
    </w:rPr>
  </w:style>
  <w:style w:type="character" w:styleId="43">
    <w:name w:val="Emphasis"/>
    <w:basedOn w:val="38"/>
    <w:qFormat/>
    <w:uiPriority w:val="0"/>
    <w:rPr>
      <w:i/>
    </w:rPr>
  </w:style>
  <w:style w:type="character" w:styleId="44">
    <w:name w:val="Hyperlink"/>
    <w:basedOn w:val="38"/>
    <w:qFormat/>
    <w:uiPriority w:val="0"/>
    <w:rPr>
      <w:color w:val="0000FF"/>
      <w:u w:val="single"/>
    </w:rPr>
  </w:style>
  <w:style w:type="character" w:styleId="45">
    <w:name w:val="HTML Code"/>
    <w:basedOn w:val="38"/>
    <w:qFormat/>
    <w:uiPriority w:val="0"/>
    <w:rPr>
      <w:rFonts w:ascii="Consolas" w:hAnsi="Consolas" w:eastAsia="Consolas" w:cs="Consolas"/>
      <w:color w:val="E83E8C"/>
      <w:sz w:val="21"/>
      <w:szCs w:val="21"/>
    </w:rPr>
  </w:style>
  <w:style w:type="character" w:styleId="46">
    <w:name w:val="annotation reference"/>
    <w:basedOn w:val="38"/>
    <w:qFormat/>
    <w:uiPriority w:val="0"/>
    <w:rPr>
      <w:sz w:val="21"/>
      <w:szCs w:val="21"/>
    </w:rPr>
  </w:style>
  <w:style w:type="character" w:styleId="47">
    <w:name w:val="footnote reference"/>
    <w:basedOn w:val="38"/>
    <w:qFormat/>
    <w:uiPriority w:val="0"/>
    <w:rPr>
      <w:vertAlign w:val="superscript"/>
    </w:rPr>
  </w:style>
  <w:style w:type="character" w:styleId="48">
    <w:name w:val="HTML Keyboard"/>
    <w:basedOn w:val="38"/>
    <w:qFormat/>
    <w:uiPriority w:val="0"/>
    <w:rPr>
      <w:rFonts w:hint="default" w:ascii="Consolas" w:hAnsi="Consolas" w:eastAsia="Consolas" w:cs="Consolas"/>
      <w:color w:val="FFFFFF"/>
      <w:sz w:val="21"/>
      <w:szCs w:val="21"/>
      <w:shd w:val="clear" w:color="auto" w:fill="212529"/>
    </w:rPr>
  </w:style>
  <w:style w:type="character" w:styleId="49">
    <w:name w:val="HTML Sample"/>
    <w:basedOn w:val="38"/>
    <w:qFormat/>
    <w:uiPriority w:val="0"/>
    <w:rPr>
      <w:rFonts w:hint="default" w:ascii="Consolas" w:hAnsi="Consolas" w:eastAsia="Consolas" w:cs="Consolas"/>
      <w:sz w:val="21"/>
      <w:szCs w:val="21"/>
    </w:rPr>
  </w:style>
  <w:style w:type="paragraph" w:customStyle="1" w:styleId="50">
    <w:name w:val="正文（缩进）"/>
    <w:basedOn w:val="1"/>
    <w:qFormat/>
    <w:uiPriority w:val="0"/>
    <w:pPr>
      <w:spacing w:before="156" w:after="156"/>
      <w:ind w:firstLine="480"/>
    </w:pPr>
    <w:rPr>
      <w:rFonts w:cs="Times New Roman"/>
    </w:rPr>
  </w:style>
  <w:style w:type="character" w:customStyle="1" w:styleId="51">
    <w:name w:val="Heading 1 Char"/>
    <w:basedOn w:val="38"/>
    <w:qFormat/>
    <w:uiPriority w:val="9"/>
    <w:rPr>
      <w:rFonts w:ascii="Arial" w:hAnsi="Arial" w:eastAsia="Arial" w:cs="Arial"/>
      <w:sz w:val="40"/>
      <w:szCs w:val="40"/>
    </w:rPr>
  </w:style>
  <w:style w:type="character" w:customStyle="1" w:styleId="52">
    <w:name w:val="Heading 2 Char"/>
    <w:basedOn w:val="38"/>
    <w:qFormat/>
    <w:uiPriority w:val="9"/>
    <w:rPr>
      <w:rFonts w:ascii="Arial" w:hAnsi="Arial" w:eastAsia="Arial" w:cs="Arial"/>
      <w:sz w:val="34"/>
    </w:rPr>
  </w:style>
  <w:style w:type="character" w:customStyle="1" w:styleId="53">
    <w:name w:val="Heading 3 Char"/>
    <w:basedOn w:val="38"/>
    <w:qFormat/>
    <w:uiPriority w:val="9"/>
    <w:rPr>
      <w:rFonts w:ascii="Arial" w:hAnsi="Arial" w:eastAsia="Arial" w:cs="Arial"/>
      <w:sz w:val="30"/>
      <w:szCs w:val="30"/>
    </w:rPr>
  </w:style>
  <w:style w:type="character" w:customStyle="1" w:styleId="54">
    <w:name w:val="Heading 4 Char"/>
    <w:basedOn w:val="38"/>
    <w:qFormat/>
    <w:uiPriority w:val="9"/>
    <w:rPr>
      <w:rFonts w:ascii="Arial" w:hAnsi="Arial" w:eastAsia="Arial" w:cs="Arial"/>
      <w:b/>
      <w:bCs/>
      <w:sz w:val="26"/>
      <w:szCs w:val="26"/>
    </w:rPr>
  </w:style>
  <w:style w:type="character" w:customStyle="1" w:styleId="55">
    <w:name w:val="Heading 5 Char"/>
    <w:basedOn w:val="38"/>
    <w:qFormat/>
    <w:uiPriority w:val="9"/>
    <w:rPr>
      <w:rFonts w:ascii="Arial" w:hAnsi="Arial" w:eastAsia="Arial" w:cs="Arial"/>
      <w:b/>
      <w:bCs/>
      <w:sz w:val="24"/>
      <w:szCs w:val="24"/>
    </w:rPr>
  </w:style>
  <w:style w:type="character" w:customStyle="1" w:styleId="56">
    <w:name w:val="Heading 6 Char"/>
    <w:basedOn w:val="38"/>
    <w:qFormat/>
    <w:uiPriority w:val="9"/>
    <w:rPr>
      <w:rFonts w:ascii="Arial" w:hAnsi="Arial" w:eastAsia="Arial" w:cs="Arial"/>
      <w:b/>
      <w:bCs/>
      <w:sz w:val="22"/>
      <w:szCs w:val="22"/>
    </w:rPr>
  </w:style>
  <w:style w:type="character" w:customStyle="1" w:styleId="57">
    <w:name w:val="Heading 7 Char"/>
    <w:basedOn w:val="38"/>
    <w:qFormat/>
    <w:uiPriority w:val="9"/>
    <w:rPr>
      <w:rFonts w:ascii="Arial" w:hAnsi="Arial" w:eastAsia="Arial" w:cs="Arial"/>
      <w:b/>
      <w:bCs/>
      <w:i/>
      <w:iCs/>
      <w:sz w:val="22"/>
      <w:szCs w:val="22"/>
    </w:rPr>
  </w:style>
  <w:style w:type="character" w:customStyle="1" w:styleId="58">
    <w:name w:val="Heading 8 Char"/>
    <w:basedOn w:val="38"/>
    <w:qFormat/>
    <w:uiPriority w:val="9"/>
    <w:rPr>
      <w:rFonts w:ascii="Arial" w:hAnsi="Arial" w:eastAsia="Arial" w:cs="Arial"/>
      <w:i/>
      <w:iCs/>
      <w:sz w:val="22"/>
      <w:szCs w:val="22"/>
    </w:rPr>
  </w:style>
  <w:style w:type="character" w:customStyle="1" w:styleId="59">
    <w:name w:val="Heading 9 Char"/>
    <w:basedOn w:val="38"/>
    <w:qFormat/>
    <w:uiPriority w:val="9"/>
    <w:rPr>
      <w:rFonts w:ascii="Arial" w:hAnsi="Arial" w:eastAsia="Arial" w:cs="Arial"/>
      <w:i/>
      <w:iCs/>
      <w:sz w:val="21"/>
      <w:szCs w:val="21"/>
    </w:rPr>
  </w:style>
  <w:style w:type="character" w:customStyle="1" w:styleId="60">
    <w:name w:val="Title Char"/>
    <w:basedOn w:val="38"/>
    <w:qFormat/>
    <w:uiPriority w:val="10"/>
    <w:rPr>
      <w:sz w:val="48"/>
      <w:szCs w:val="48"/>
    </w:rPr>
  </w:style>
  <w:style w:type="character" w:customStyle="1" w:styleId="61">
    <w:name w:val="Subtitle Char"/>
    <w:basedOn w:val="38"/>
    <w:qFormat/>
    <w:uiPriority w:val="11"/>
    <w:rPr>
      <w:sz w:val="24"/>
      <w:szCs w:val="24"/>
    </w:rPr>
  </w:style>
  <w:style w:type="character" w:customStyle="1" w:styleId="62">
    <w:name w:val="Quote Char"/>
    <w:qFormat/>
    <w:uiPriority w:val="29"/>
    <w:rPr>
      <w:i/>
    </w:rPr>
  </w:style>
  <w:style w:type="character" w:customStyle="1" w:styleId="63">
    <w:name w:val="Intense Quote Char"/>
    <w:qFormat/>
    <w:uiPriority w:val="30"/>
    <w:rPr>
      <w:i/>
    </w:rPr>
  </w:style>
  <w:style w:type="character" w:customStyle="1" w:styleId="64">
    <w:name w:val="Header Char"/>
    <w:basedOn w:val="38"/>
    <w:qFormat/>
    <w:uiPriority w:val="99"/>
  </w:style>
  <w:style w:type="character" w:customStyle="1" w:styleId="65">
    <w:name w:val="Caption Char"/>
    <w:qFormat/>
    <w:uiPriority w:val="99"/>
  </w:style>
  <w:style w:type="character" w:customStyle="1" w:styleId="66">
    <w:name w:val="Footnote Text Char"/>
    <w:qFormat/>
    <w:uiPriority w:val="99"/>
    <w:rPr>
      <w:sz w:val="18"/>
    </w:rPr>
  </w:style>
  <w:style w:type="character" w:customStyle="1" w:styleId="67">
    <w:name w:val="Endnote Text Char"/>
    <w:qFormat/>
    <w:uiPriority w:val="99"/>
    <w:rPr>
      <w:sz w:val="20"/>
    </w:rPr>
  </w:style>
  <w:style w:type="paragraph" w:customStyle="1" w:styleId="68">
    <w:name w:val="正文首行缩进 21"/>
    <w:basedOn w:val="69"/>
    <w:next w:val="1"/>
    <w:unhideWhenUsed/>
    <w:qFormat/>
    <w:uiPriority w:val="99"/>
    <w:pPr>
      <w:widowControl/>
      <w:ind w:firstLine="420"/>
      <w:jc w:val="left"/>
    </w:pPr>
    <w:rPr>
      <w:rFonts w:ascii="宋体" w:hAnsi="Courier New" w:cs="宋体"/>
      <w:spacing w:val="-4"/>
      <w:szCs w:val="21"/>
    </w:rPr>
  </w:style>
  <w:style w:type="paragraph" w:customStyle="1" w:styleId="69">
    <w:name w:val="正文文本缩进1"/>
    <w:basedOn w:val="1"/>
    <w:unhideWhenUsed/>
    <w:qFormat/>
    <w:uiPriority w:val="99"/>
    <w:pPr>
      <w:spacing w:after="120"/>
      <w:ind w:left="420"/>
    </w:pPr>
  </w:style>
  <w:style w:type="character" w:customStyle="1" w:styleId="70">
    <w:name w:val="标题 1 Char"/>
    <w:basedOn w:val="38"/>
    <w:link w:val="2"/>
    <w:qFormat/>
    <w:uiPriority w:val="9"/>
    <w:rPr>
      <w:rFonts w:ascii="Arial" w:hAnsi="Arial" w:eastAsia="Arial" w:cs="Arial"/>
      <w:sz w:val="40"/>
      <w:szCs w:val="40"/>
    </w:rPr>
  </w:style>
  <w:style w:type="character" w:customStyle="1" w:styleId="71">
    <w:name w:val="标题 2 Char"/>
    <w:basedOn w:val="38"/>
    <w:link w:val="3"/>
    <w:qFormat/>
    <w:uiPriority w:val="9"/>
    <w:rPr>
      <w:rFonts w:ascii="Arial" w:hAnsi="Arial" w:eastAsia="Arial" w:cs="Arial"/>
      <w:sz w:val="34"/>
    </w:rPr>
  </w:style>
  <w:style w:type="character" w:customStyle="1" w:styleId="72">
    <w:name w:val="标题 3 Char"/>
    <w:basedOn w:val="38"/>
    <w:link w:val="5"/>
    <w:qFormat/>
    <w:uiPriority w:val="9"/>
    <w:rPr>
      <w:rFonts w:ascii="Arial" w:hAnsi="Arial" w:eastAsia="Arial" w:cs="Arial"/>
      <w:sz w:val="30"/>
      <w:szCs w:val="30"/>
    </w:rPr>
  </w:style>
  <w:style w:type="character" w:customStyle="1" w:styleId="73">
    <w:name w:val="标题 4 Char"/>
    <w:basedOn w:val="38"/>
    <w:link w:val="6"/>
    <w:qFormat/>
    <w:uiPriority w:val="9"/>
    <w:rPr>
      <w:rFonts w:ascii="Arial" w:hAnsi="Arial" w:eastAsia="Arial" w:cs="Arial"/>
      <w:b/>
      <w:bCs/>
      <w:sz w:val="26"/>
      <w:szCs w:val="26"/>
    </w:rPr>
  </w:style>
  <w:style w:type="character" w:customStyle="1" w:styleId="74">
    <w:name w:val="标题 5 Char"/>
    <w:basedOn w:val="38"/>
    <w:link w:val="7"/>
    <w:qFormat/>
    <w:uiPriority w:val="9"/>
    <w:rPr>
      <w:rFonts w:ascii="Arial" w:hAnsi="Arial" w:eastAsia="Arial" w:cs="Arial"/>
      <w:b/>
      <w:bCs/>
      <w:sz w:val="24"/>
      <w:szCs w:val="24"/>
    </w:rPr>
  </w:style>
  <w:style w:type="character" w:customStyle="1" w:styleId="75">
    <w:name w:val="标题 6 Char"/>
    <w:basedOn w:val="38"/>
    <w:link w:val="8"/>
    <w:qFormat/>
    <w:uiPriority w:val="9"/>
    <w:rPr>
      <w:rFonts w:ascii="Arial" w:hAnsi="Arial" w:eastAsia="Arial" w:cs="Arial"/>
      <w:b/>
      <w:bCs/>
      <w:sz w:val="22"/>
      <w:szCs w:val="22"/>
    </w:rPr>
  </w:style>
  <w:style w:type="character" w:customStyle="1" w:styleId="76">
    <w:name w:val="标题 7 Char"/>
    <w:basedOn w:val="38"/>
    <w:link w:val="9"/>
    <w:qFormat/>
    <w:uiPriority w:val="9"/>
    <w:rPr>
      <w:rFonts w:ascii="Arial" w:hAnsi="Arial" w:eastAsia="Arial" w:cs="Arial"/>
      <w:b/>
      <w:bCs/>
      <w:i/>
      <w:iCs/>
      <w:sz w:val="22"/>
      <w:szCs w:val="22"/>
    </w:rPr>
  </w:style>
  <w:style w:type="character" w:customStyle="1" w:styleId="77">
    <w:name w:val="标题 8 Char"/>
    <w:basedOn w:val="38"/>
    <w:link w:val="10"/>
    <w:qFormat/>
    <w:uiPriority w:val="9"/>
    <w:rPr>
      <w:rFonts w:ascii="Arial" w:hAnsi="Arial" w:eastAsia="Arial" w:cs="Arial"/>
      <w:i/>
      <w:iCs/>
      <w:sz w:val="22"/>
      <w:szCs w:val="22"/>
    </w:rPr>
  </w:style>
  <w:style w:type="character" w:customStyle="1" w:styleId="78">
    <w:name w:val="标题 9 Char"/>
    <w:basedOn w:val="38"/>
    <w:link w:val="11"/>
    <w:qFormat/>
    <w:uiPriority w:val="9"/>
    <w:rPr>
      <w:rFonts w:ascii="Arial" w:hAnsi="Arial" w:eastAsia="Arial" w:cs="Arial"/>
      <w:i/>
      <w:iCs/>
      <w:sz w:val="21"/>
      <w:szCs w:val="21"/>
    </w:rPr>
  </w:style>
  <w:style w:type="paragraph" w:styleId="79">
    <w:name w:val="List Paragraph"/>
    <w:basedOn w:val="1"/>
    <w:qFormat/>
    <w:uiPriority w:val="34"/>
    <w:pPr>
      <w:ind w:left="720"/>
      <w:contextualSpacing/>
    </w:pPr>
  </w:style>
  <w:style w:type="paragraph" w:styleId="80">
    <w:name w:val="No Spacing"/>
    <w:qFormat/>
    <w:uiPriority w:val="1"/>
    <w:rPr>
      <w:rFonts w:hint="default" w:ascii="Times New Roman" w:hAnsi="Times New Roman" w:eastAsia="宋体" w:cs="Times New Roman"/>
      <w:lang w:val="en-US" w:eastAsia="zh-CN" w:bidi="ar-SA"/>
    </w:rPr>
  </w:style>
  <w:style w:type="character" w:customStyle="1" w:styleId="81">
    <w:name w:val="标题 Char"/>
    <w:basedOn w:val="38"/>
    <w:link w:val="35"/>
    <w:qFormat/>
    <w:uiPriority w:val="10"/>
    <w:rPr>
      <w:sz w:val="48"/>
      <w:szCs w:val="48"/>
    </w:rPr>
  </w:style>
  <w:style w:type="character" w:customStyle="1" w:styleId="82">
    <w:name w:val="副标题 Char"/>
    <w:basedOn w:val="38"/>
    <w:link w:val="28"/>
    <w:qFormat/>
    <w:uiPriority w:val="11"/>
    <w:rPr>
      <w:sz w:val="24"/>
      <w:szCs w:val="24"/>
    </w:rPr>
  </w:style>
  <w:style w:type="paragraph" w:styleId="83">
    <w:name w:val="Quote"/>
    <w:basedOn w:val="1"/>
    <w:next w:val="1"/>
    <w:link w:val="84"/>
    <w:qFormat/>
    <w:uiPriority w:val="29"/>
    <w:pPr>
      <w:ind w:left="720" w:right="720"/>
    </w:pPr>
    <w:rPr>
      <w:i/>
    </w:rPr>
  </w:style>
  <w:style w:type="character" w:customStyle="1" w:styleId="84">
    <w:name w:val="引用 Char"/>
    <w:link w:val="83"/>
    <w:qFormat/>
    <w:uiPriority w:val="29"/>
    <w:rPr>
      <w:i/>
    </w:rPr>
  </w:style>
  <w:style w:type="paragraph" w:styleId="85">
    <w:name w:val="Intense Quote"/>
    <w:basedOn w:val="1"/>
    <w:next w:val="1"/>
    <w:link w:val="86"/>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86">
    <w:name w:val="明显引用 Char"/>
    <w:link w:val="85"/>
    <w:qFormat/>
    <w:uiPriority w:val="30"/>
    <w:rPr>
      <w:i/>
    </w:rPr>
  </w:style>
  <w:style w:type="character" w:customStyle="1" w:styleId="87">
    <w:name w:val="页眉 Char"/>
    <w:basedOn w:val="38"/>
    <w:link w:val="25"/>
    <w:qFormat/>
    <w:uiPriority w:val="99"/>
  </w:style>
  <w:style w:type="character" w:customStyle="1" w:styleId="88">
    <w:name w:val="Footer Char"/>
    <w:basedOn w:val="38"/>
    <w:qFormat/>
    <w:uiPriority w:val="99"/>
  </w:style>
  <w:style w:type="character" w:customStyle="1" w:styleId="89">
    <w:name w:val="页脚 Char"/>
    <w:link w:val="24"/>
    <w:qFormat/>
    <w:uiPriority w:val="99"/>
  </w:style>
  <w:style w:type="table" w:customStyle="1" w:styleId="90">
    <w:name w:val="Table Grid Light"/>
    <w:basedOn w:val="36"/>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91">
    <w:name w:val="Plain Table 1"/>
    <w:basedOn w:val="36"/>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92">
    <w:name w:val="Plain Table 2"/>
    <w:basedOn w:val="36"/>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93">
    <w:name w:val="Plain Table 3"/>
    <w:basedOn w:val="36"/>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94">
    <w:name w:val="Plain Table 4"/>
    <w:basedOn w:val="36"/>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95">
    <w:name w:val="Plain Table 5"/>
    <w:basedOn w:val="36"/>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96">
    <w:name w:val="Grid Table 1 Light"/>
    <w:basedOn w:val="36"/>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97">
    <w:name w:val="Grid Table 1 Light - Accent 1"/>
    <w:basedOn w:val="36"/>
    <w:qFormat/>
    <w:uiPriority w:val="99"/>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customStyle="1" w:styleId="98">
    <w:name w:val="Grid Table 1 Light - Accent 2"/>
    <w:basedOn w:val="36"/>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99">
    <w:name w:val="Grid Table 1 Light - Accent 3"/>
    <w:basedOn w:val="36"/>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100">
    <w:name w:val="Grid Table 1 Light - Accent 4"/>
    <w:basedOn w:val="36"/>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101">
    <w:name w:val="Grid Table 1 Light - Accent 5"/>
    <w:basedOn w:val="36"/>
    <w:qFormat/>
    <w:uiPriority w:val="99"/>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style>
  <w:style w:type="table" w:customStyle="1" w:styleId="102">
    <w:name w:val="Grid Table 1 Light - Accent 6"/>
    <w:basedOn w:val="36"/>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customStyle="1" w:styleId="103">
    <w:name w:val="Grid Table 2"/>
    <w:basedOn w:val="36"/>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04">
    <w:name w:val="Grid Table 2 - Accent 1"/>
    <w:basedOn w:val="36"/>
    <w:qFormat/>
    <w:uiPriority w:val="99"/>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1" w:themeTint="34" w:fill="DDEAF6" w:themeFill="accent1" w:themeFillTint="34"/>
      </w:tcPr>
    </w:tblStylePr>
    <w:tblStylePr w:type="band1Horz">
      <w:rPr>
        <w:rFonts w:ascii="Arial" w:hAnsi="Arial"/>
        <w:color w:val="404040"/>
        <w:sz w:val="22"/>
      </w:rPr>
      <w:tcPr>
        <w:shd w:val="clear" w:color="DDEAF6" w:themeColor="accent1" w:themeTint="34" w:fill="DDEAF6" w:themeFill="accent1" w:themeFillTint="34"/>
      </w:tcPr>
    </w:tblStylePr>
  </w:style>
  <w:style w:type="table" w:customStyle="1" w:styleId="105">
    <w:name w:val="Grid Table 2 - Accent 2"/>
    <w:basedOn w:val="36"/>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106">
    <w:name w:val="Grid Table 2 - Accent 3"/>
    <w:basedOn w:val="36"/>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107">
    <w:name w:val="Grid Table 2 - Accent 4"/>
    <w:basedOn w:val="36"/>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108">
    <w:name w:val="Grid Table 2 - Accent 5"/>
    <w:basedOn w:val="36"/>
    <w:qFormat/>
    <w:uiPriority w:val="99"/>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109">
    <w:name w:val="Grid Table 2 - Accent 6"/>
    <w:basedOn w:val="36"/>
    <w:qFormat/>
    <w:uiPriority w:val="99"/>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10">
    <w:name w:val="Grid Table 3"/>
    <w:basedOn w:val="36"/>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11">
    <w:name w:val="Grid Table 3 - Accent 1"/>
    <w:basedOn w:val="36"/>
    <w:qFormat/>
    <w:uiPriority w:val="99"/>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themeColor="accent1" w:themeTint="34" w:fill="DDEAF6" w:themeFill="accent1" w:themeFillTint="34"/>
      </w:tcPr>
    </w:tblStylePr>
    <w:tblStylePr w:type="band1Horz">
      <w:rPr>
        <w:rFonts w:ascii="Arial" w:hAnsi="Arial"/>
        <w:color w:val="404040"/>
        <w:sz w:val="22"/>
      </w:rPr>
      <w:tcPr>
        <w:shd w:val="clear" w:color="DDEAF6" w:themeColor="accent1" w:themeTint="34" w:fill="DDEAF6" w:themeFill="accent1" w:themeFillTint="34"/>
      </w:tcPr>
    </w:tblStylePr>
  </w:style>
  <w:style w:type="table" w:customStyle="1" w:styleId="112">
    <w:name w:val="Grid Table 3 - Accent 2"/>
    <w:basedOn w:val="36"/>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113">
    <w:name w:val="Grid Table 3 - Accent 3"/>
    <w:basedOn w:val="36"/>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114">
    <w:name w:val="Grid Table 3 - Accent 4"/>
    <w:basedOn w:val="36"/>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115">
    <w:name w:val="Grid Table 3 - Accent 5"/>
    <w:basedOn w:val="36"/>
    <w:qFormat/>
    <w:uiPriority w:val="99"/>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116">
    <w:name w:val="Grid Table 3 - Accent 6"/>
    <w:basedOn w:val="36"/>
    <w:qFormat/>
    <w:uiPriority w:val="99"/>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17">
    <w:name w:val="Grid Table 4"/>
    <w:basedOn w:val="36"/>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18">
    <w:name w:val="Grid Table 4 - Accent 1"/>
    <w:basedOn w:val="36"/>
    <w:qFormat/>
    <w:uiPriority w:val="59"/>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68A3D8" w:themeColor="accent1" w:themeTint="EA" w:fill="68A3D8" w:themeFill="accent1" w:themeFillTint="EA"/>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EEBF6" w:themeColor="accent1" w:themeTint="32" w:fill="DEEBF6" w:themeFill="accent1" w:themeFillTint="32"/>
      </w:tcPr>
    </w:tblStylePr>
    <w:tblStylePr w:type="band1Horz">
      <w:rPr>
        <w:rFonts w:ascii="Arial" w:hAnsi="Arial"/>
        <w:color w:val="404040"/>
        <w:sz w:val="22"/>
      </w:rPr>
      <w:tcPr>
        <w:shd w:val="clear" w:color="DEEBF6" w:themeColor="accent1" w:themeTint="32" w:fill="DEEBF6" w:themeFill="accent1" w:themeFillTint="32"/>
      </w:tcPr>
    </w:tblStylePr>
  </w:style>
  <w:style w:type="table" w:customStyle="1" w:styleId="119">
    <w:name w:val="Grid Table 4 - Accent 2"/>
    <w:basedOn w:val="36"/>
    <w:qFormat/>
    <w:uiPriority w:val="5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themeColor="accent2" w:themeTint="97" w:fill="F4B285" w:themeFill="accent2" w:themeFillTint="97"/>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120">
    <w:name w:val="Grid Table 4 - Accent 3"/>
    <w:basedOn w:val="36"/>
    <w:qFormat/>
    <w:uiPriority w:val="5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121">
    <w:name w:val="Grid Table 4 - Accent 4"/>
    <w:basedOn w:val="36"/>
    <w:qFormat/>
    <w:uiPriority w:val="5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themeColor="accent4" w:themeTint="9A" w:fill="FFD864" w:themeFill="accent4" w:themeFillTint="9A"/>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122">
    <w:name w:val="Grid Table 4 - Accent 5"/>
    <w:basedOn w:val="36"/>
    <w:qFormat/>
    <w:uiPriority w:val="59"/>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themeColor="accent5" w:fill="4472C4" w:themeFill="accent5"/>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123">
    <w:name w:val="Grid Table 4 - Accent 6"/>
    <w:basedOn w:val="36"/>
    <w:qFormat/>
    <w:uiPriority w:val="5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24">
    <w:name w:val="Grid Table 5 Dark"/>
    <w:basedOn w:val="3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25">
    <w:name w:val="Grid Table 5 Dark- Accent 1"/>
    <w:basedOn w:val="3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themeColor="accent1" w:fill="5B9BD5" w:themeFill="accent1"/>
      </w:tcPr>
    </w:tblStylePr>
    <w:tblStylePr w:type="lastRow">
      <w:rPr>
        <w:rFonts w:ascii="Arial" w:hAnsi="Arial"/>
        <w:b/>
        <w:color w:val="FFFFFF"/>
        <w:sz w:val="22"/>
      </w:rPr>
      <w:tcPr>
        <w:tcBorders>
          <w:top w:val="single" w:color="FFFFFF" w:themeColor="light1" w:sz="4" w:space="0"/>
        </w:tcBorders>
        <w:shd w:val="clear" w:color="5B9BD5" w:themeColor="accent1" w:fill="5B9BD5" w:themeFill="accent1"/>
      </w:tcPr>
    </w:tblStylePr>
    <w:tblStylePr w:type="firstCol">
      <w:rPr>
        <w:rFonts w:ascii="Arial" w:hAnsi="Arial"/>
        <w:b/>
        <w:color w:val="FFFFFF"/>
        <w:sz w:val="22"/>
      </w:rPr>
      <w:tcPr>
        <w:shd w:val="clear" w:color="5B9BD5" w:themeColor="accent1" w:fill="5B9BD5" w:themeFill="accent1"/>
      </w:tcPr>
    </w:tblStylePr>
    <w:tblStylePr w:type="lastCol">
      <w:rPr>
        <w:rFonts w:ascii="Arial" w:hAnsi="Arial"/>
        <w:b/>
        <w:color w:val="FFFFFF"/>
        <w:sz w:val="22"/>
      </w:rPr>
      <w:tcPr>
        <w:shd w:val="clear" w:color="5B9BD5" w:themeColor="accent1" w:fill="5B9BD5" w:themeFill="accent1"/>
      </w:tcPr>
    </w:tblStylePr>
    <w:tblStylePr w:type="band1Vert">
      <w:tcPr>
        <w:shd w:val="clear" w:color="B3D1EB" w:themeColor="accent1" w:themeTint="75" w:fill="B3D1EB" w:themeFill="accent1" w:themeFillTint="75"/>
      </w:tcPr>
    </w:tblStylePr>
    <w:tblStylePr w:type="band1Horz">
      <w:tcPr>
        <w:shd w:val="clear" w:color="B3D1EB" w:themeColor="accent1" w:themeTint="75" w:fill="B3D1EB" w:themeFill="accent1" w:themeFillTint="75"/>
      </w:tcPr>
    </w:tblStylePr>
  </w:style>
  <w:style w:type="table" w:customStyle="1" w:styleId="126">
    <w:name w:val="Grid Table 5 Dark - Accent 2"/>
    <w:basedOn w:val="3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tcBorders>
          <w:top w:val="single" w:color="FFFFFF" w:themeColor="light1" w:sz="4" w:space="0"/>
        </w:tcBorders>
        <w:shd w:val="clear" w:color="ED7D31" w:themeColor="accent2" w:fill="ED7D31" w:themeFill="accent2"/>
      </w:tcPr>
    </w:tblStylePr>
    <w:tblStylePr w:type="firstCol">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band1Vert">
      <w:tcPr>
        <w:shd w:val="clear" w:color="F6C3A0" w:themeColor="accent2" w:themeTint="75" w:fill="F6C3A0" w:themeFill="accent2" w:themeFillTint="75"/>
      </w:tcPr>
    </w:tblStylePr>
    <w:tblStylePr w:type="band1Horz">
      <w:tcPr>
        <w:shd w:val="clear" w:color="F6C3A0" w:themeColor="accent2" w:themeTint="75" w:fill="F6C3A0" w:themeFill="accent2" w:themeFillTint="75"/>
      </w:tcPr>
    </w:tblStylePr>
  </w:style>
  <w:style w:type="table" w:customStyle="1" w:styleId="127">
    <w:name w:val="Grid Table 5 Dark - Accent 3"/>
    <w:basedOn w:val="3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tcBorders>
          <w:top w:val="single" w:color="FFFFFF" w:themeColor="light1" w:sz="4" w:space="0"/>
        </w:tcBorders>
        <w:shd w:val="clear" w:color="A5A5A5" w:themeColor="accent3" w:fill="A5A5A5" w:themeFill="accent3"/>
      </w:tcPr>
    </w:tblStylePr>
    <w:tblStylePr w:type="firstCol">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band1Vert">
      <w:tcPr>
        <w:shd w:val="clear" w:color="D5D5D5" w:themeColor="accent3" w:themeTint="75" w:fill="D5D5D5" w:themeFill="accent3" w:themeFillTint="75"/>
      </w:tcPr>
    </w:tblStylePr>
    <w:tblStylePr w:type="band1Horz">
      <w:tcPr>
        <w:shd w:val="clear" w:color="D5D5D5" w:themeColor="accent3" w:themeTint="75" w:fill="D5D5D5" w:themeFill="accent3" w:themeFillTint="75"/>
      </w:tcPr>
    </w:tblStylePr>
  </w:style>
  <w:style w:type="table" w:customStyle="1" w:styleId="128">
    <w:name w:val="Grid Table 5 Dark- Accent 4"/>
    <w:basedOn w:val="3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tcBorders>
          <w:top w:val="single" w:color="FFFFFF" w:themeColor="light1" w:sz="4" w:space="0"/>
        </w:tcBorders>
        <w:shd w:val="clear" w:color="FFC000" w:themeColor="accent4" w:fill="FFC000" w:themeFill="accent4"/>
      </w:tcPr>
    </w:tblStylePr>
    <w:tblStylePr w:type="firstCol">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band1Vert">
      <w:tcPr>
        <w:shd w:val="clear" w:color="FEE289" w:themeColor="accent4" w:themeTint="75" w:fill="FEE289" w:themeFill="accent4" w:themeFillTint="75"/>
      </w:tcPr>
    </w:tblStylePr>
    <w:tblStylePr w:type="band1Horz">
      <w:tcPr>
        <w:shd w:val="clear" w:color="FEE289" w:themeColor="accent4" w:themeTint="75" w:fill="FEE289" w:themeFill="accent4" w:themeFillTint="75"/>
      </w:tcPr>
    </w:tblStylePr>
  </w:style>
  <w:style w:type="table" w:customStyle="1" w:styleId="129">
    <w:name w:val="Grid Table 5 Dark - Accent 5"/>
    <w:basedOn w:val="3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themeColor="accent5" w:fill="4472C4" w:themeFill="accent5"/>
      </w:tcPr>
    </w:tblStylePr>
    <w:tblStylePr w:type="lastRow">
      <w:rPr>
        <w:rFonts w:ascii="Arial" w:hAnsi="Arial"/>
        <w:b/>
        <w:color w:val="FFFFFF"/>
        <w:sz w:val="22"/>
      </w:rPr>
      <w:tcPr>
        <w:tcBorders>
          <w:top w:val="single" w:color="FFFFFF" w:themeColor="light1" w:sz="4" w:space="0"/>
        </w:tcBorders>
        <w:shd w:val="clear" w:color="4472C4" w:themeColor="accent5" w:fill="4472C4" w:themeFill="accent5"/>
      </w:tcPr>
    </w:tblStylePr>
    <w:tblStylePr w:type="firstCol">
      <w:rPr>
        <w:rFonts w:ascii="Arial" w:hAnsi="Arial"/>
        <w:b/>
        <w:color w:val="FFFFFF"/>
        <w:sz w:val="22"/>
      </w:rPr>
      <w:tcPr>
        <w:shd w:val="clear" w:color="4472C4" w:themeColor="accent5" w:fill="4472C4" w:themeFill="accent5"/>
      </w:tcPr>
    </w:tblStylePr>
    <w:tblStylePr w:type="lastCol">
      <w:rPr>
        <w:rFonts w:ascii="Arial" w:hAnsi="Arial"/>
        <w:b/>
        <w:color w:val="FFFFFF"/>
        <w:sz w:val="22"/>
      </w:rPr>
      <w:tcPr>
        <w:shd w:val="clear" w:color="4472C4" w:themeColor="accent5" w:fill="4472C4" w:themeFill="accent5"/>
      </w:tcPr>
    </w:tblStylePr>
    <w:tblStylePr w:type="band1Vert">
      <w:tcPr>
        <w:shd w:val="clear" w:color="A9BEE3" w:themeColor="accent5" w:themeTint="75" w:fill="A9BEE3" w:themeFill="accent5" w:themeFillTint="75"/>
      </w:tcPr>
    </w:tblStylePr>
    <w:tblStylePr w:type="band1Horz">
      <w:tcPr>
        <w:shd w:val="clear" w:color="A9BEE3" w:themeColor="accent5" w:themeTint="75" w:fill="A9BEE3" w:themeFill="accent5" w:themeFillTint="75"/>
      </w:tcPr>
    </w:tblStylePr>
  </w:style>
  <w:style w:type="table" w:customStyle="1" w:styleId="130">
    <w:name w:val="Grid Table 5 Dark - Accent 6"/>
    <w:basedOn w:val="3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tcBorders>
          <w:top w:val="single" w:color="FFFFFF" w:themeColor="light1" w:sz="4" w:space="0"/>
        </w:tcBorders>
        <w:shd w:val="clear" w:color="70AD47" w:themeColor="accent6" w:fill="70AD47" w:themeFill="accent6"/>
      </w:tcPr>
    </w:tblStylePr>
    <w:tblStylePr w:type="firstCol">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band1Vert">
      <w:tcPr>
        <w:shd w:val="clear" w:color="BCDBA8" w:themeColor="accent6" w:themeTint="75" w:fill="BCDBA8" w:themeFill="accent6" w:themeFillTint="75"/>
      </w:tcPr>
    </w:tblStylePr>
    <w:tblStylePr w:type="band1Horz">
      <w:tcPr>
        <w:shd w:val="clear" w:color="BCDBA8" w:themeColor="accent6" w:themeTint="75" w:fill="BCDBA8" w:themeFill="accent6" w:themeFillTint="75"/>
      </w:tcPr>
    </w:tblStylePr>
  </w:style>
  <w:style w:type="table" w:customStyle="1" w:styleId="131">
    <w:name w:val="Grid Table 6 Colorful"/>
    <w:basedOn w:val="36"/>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32">
    <w:name w:val="Grid Table 6 Colorful - Accent 1"/>
    <w:basedOn w:val="36"/>
    <w:qFormat/>
    <w:uiPriority w:val="99"/>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DDEAF6" w:themeColor="accent1" w:themeTint="34" w:fill="DDEAF6" w:themeFill="accent1" w:themeFillTint="34"/>
      </w:tcPr>
    </w:tblStyle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themeColor="accent1" w:themeTint="34" w:fill="DDEAF6" w:themeFill="accent1" w:themeFillTint="34"/>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style>
  <w:style w:type="table" w:customStyle="1" w:styleId="133">
    <w:name w:val="Grid Table 6 Colorful - Accent 2"/>
    <w:basedOn w:val="36"/>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34">
    <w:name w:val="Grid Table 6 Colorful - Accent 3"/>
    <w:basedOn w:val="36"/>
    <w:qFormat/>
    <w:uiPriority w:val="99"/>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ECECEC" w:themeColor="accent3" w:themeTint="34" w:fill="ECECEC" w:themeFill="accent3" w:themeFillTint="34"/>
      </w:tcPr>
    </w:tblStyle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themeColor="accent3" w:themeTint="34" w:fill="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style>
  <w:style w:type="table" w:customStyle="1" w:styleId="135">
    <w:name w:val="Grid Table 6 Colorful - Accent 4"/>
    <w:basedOn w:val="36"/>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36">
    <w:name w:val="Grid Table 6 Colorful - Accent 5"/>
    <w:basedOn w:val="36"/>
    <w:qFormat/>
    <w:uiPriority w:val="99"/>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D8E2F2" w:themeColor="accent5" w:themeTint="34" w:fill="D8E2F2" w:themeFill="accent5" w:themeFillTint="34"/>
      </w:tcPr>
    </w:tblStylePr>
    <w:tblStylePr w:type="band1Horz">
      <w:rPr>
        <w:rFonts w:ascii="Arial" w:hAnsi="Arial"/>
        <w:color w:val="254174" w:themeColor="accent5" w:themeShade="94"/>
        <w:sz w:val="22"/>
      </w:rPr>
      <w:tcPr>
        <w:shd w:val="clear" w:color="D8E2F2" w:themeColor="accent5" w:themeTint="34" w:fill="D8E2F2" w:themeFill="accent5" w:themeFillTint="34"/>
      </w:tcPr>
    </w:tblStylePr>
    <w:tblStylePr w:type="band2Horz">
      <w:rPr>
        <w:rFonts w:ascii="Arial" w:hAnsi="Arial"/>
        <w:color w:val="254174" w:themeColor="accent5" w:themeShade="94"/>
        <w:sz w:val="22"/>
      </w:rPr>
    </w:tblStylePr>
  </w:style>
  <w:style w:type="table" w:customStyle="1" w:styleId="137">
    <w:name w:val="Grid Table 6 Colorful - Accent 6"/>
    <w:basedOn w:val="36"/>
    <w:qFormat/>
    <w:uiPriority w:val="99"/>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E1EFD8" w:themeColor="accent6" w:themeTint="34" w:fill="E1EFD8" w:themeFill="accent6" w:themeFillTint="34"/>
      </w:tcPr>
    </w:tblStylePr>
    <w:tblStylePr w:type="band1Horz">
      <w:rPr>
        <w:rFonts w:ascii="Arial" w:hAnsi="Arial"/>
        <w:color w:val="254174" w:themeColor="accent5" w:themeShade="94"/>
        <w:sz w:val="22"/>
      </w:rPr>
      <w:tcPr>
        <w:shd w:val="clear" w:color="E1EFD8" w:themeColor="accent6" w:themeTint="34" w:fill="E1EFD8" w:themeFill="accent6" w:themeFillTint="34"/>
      </w:tcPr>
    </w:tblStylePr>
    <w:tblStylePr w:type="band2Horz">
      <w:rPr>
        <w:rFonts w:ascii="Arial" w:hAnsi="Arial"/>
        <w:color w:val="254174" w:themeColor="accent5" w:themeShade="94"/>
        <w:sz w:val="22"/>
      </w:rPr>
    </w:tblStylePr>
  </w:style>
  <w:style w:type="table" w:customStyle="1" w:styleId="138">
    <w:name w:val="Grid Table 7 Colorful"/>
    <w:basedOn w:val="36"/>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39">
    <w:name w:val="Grid Table 7 Colorful - Accent 1"/>
    <w:basedOn w:val="36"/>
    <w:qFormat/>
    <w:uiPriority w:val="99"/>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themeColor="light1" w:fill="FFFFFF" w:themeFill="light1"/>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DDEAF6" w:themeColor="accent1" w:themeTint="34" w:fill="DDEAF6" w:themeFill="accent1" w:themeFillTint="34"/>
      </w:tcPr>
    </w:tblStyle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themeColor="accent1" w:themeTint="34" w:fill="DDEAF6" w:themeFill="accent1" w:themeFillTint="34"/>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style>
  <w:style w:type="table" w:customStyle="1" w:styleId="140">
    <w:name w:val="Grid Table 7 Colorful - Accent 2"/>
    <w:basedOn w:val="36"/>
    <w:qFormat/>
    <w:uiPriority w:val="99"/>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41">
    <w:name w:val="Grid Table 7 Colorful - Accent 3"/>
    <w:basedOn w:val="36"/>
    <w:qFormat/>
    <w:uiPriority w:val="99"/>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themeColor="light1" w:fill="FFFFFF" w:themeFill="light1"/>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themeColor="accent3" w:themeTint="34" w:fill="ECECEC" w:themeFill="accent3" w:themeFillTint="34"/>
      </w:tcPr>
    </w:tblStyle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themeColor="accent3" w:themeTint="34" w:fill="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style>
  <w:style w:type="table" w:customStyle="1" w:styleId="142">
    <w:name w:val="Grid Table 7 Colorful - Accent 4"/>
    <w:basedOn w:val="36"/>
    <w:qFormat/>
    <w:uiPriority w:val="99"/>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43">
    <w:name w:val="Grid Table 7 Colorful - Accent 5"/>
    <w:basedOn w:val="36"/>
    <w:qFormat/>
    <w:uiPriority w:val="99"/>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themeColor="light1" w:fill="FFFFFF" w:themeFill="light1"/>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D8E2F2" w:themeColor="accent5" w:themeTint="34" w:fill="D8E2F2" w:themeFill="accent5" w:themeFillTint="34"/>
      </w:tcPr>
    </w:tblStylePr>
    <w:tblStylePr w:type="band1Horz">
      <w:rPr>
        <w:rFonts w:ascii="Arial" w:hAnsi="Arial"/>
        <w:color w:val="254174" w:themeColor="accent5" w:themeShade="94"/>
        <w:sz w:val="22"/>
      </w:rPr>
      <w:tcPr>
        <w:shd w:val="clear" w:color="D8E2F2" w:themeColor="accent5" w:themeTint="34" w:fill="D8E2F2" w:themeFill="accent5" w:themeFillTint="34"/>
      </w:tcPr>
    </w:tblStylePr>
    <w:tblStylePr w:type="band2Horz">
      <w:rPr>
        <w:rFonts w:ascii="Arial" w:hAnsi="Arial"/>
        <w:color w:val="254174" w:themeColor="accent5" w:themeShade="94"/>
        <w:sz w:val="22"/>
      </w:rPr>
    </w:tblStylePr>
  </w:style>
  <w:style w:type="table" w:customStyle="1" w:styleId="144">
    <w:name w:val="Grid Table 7 Colorful - Accent 6"/>
    <w:basedOn w:val="36"/>
    <w:qFormat/>
    <w:uiPriority w:val="99"/>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themeColor="light1" w:fill="FFFFFF" w:themeFill="light1"/>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themeColor="accent6" w:themeTint="34" w:fill="E1EFD8" w:themeFill="accent6" w:themeFillTint="34"/>
      </w:tcPr>
    </w:tblStylePr>
    <w:tblStylePr w:type="band1Horz">
      <w:rPr>
        <w:rFonts w:ascii="Arial" w:hAnsi="Arial"/>
        <w:color w:val="416429" w:themeColor="accent6" w:themeShade="94"/>
        <w:sz w:val="22"/>
      </w:rPr>
      <w:tcPr>
        <w:shd w:val="clear" w:color="E1EFD8" w:themeColor="accent6" w:themeTint="34" w:fill="E1EFD8" w:themeFill="accent6" w:themeFillTint="34"/>
      </w:tcPr>
    </w:tblStylePr>
    <w:tblStylePr w:type="band2Horz">
      <w:rPr>
        <w:rFonts w:ascii="Arial" w:hAnsi="Arial"/>
        <w:color w:val="416429" w:themeColor="accent6" w:themeShade="94"/>
        <w:sz w:val="22"/>
      </w:rPr>
    </w:tblStylePr>
  </w:style>
  <w:style w:type="table" w:customStyle="1" w:styleId="145">
    <w:name w:val="List Table 1 Light"/>
    <w:basedOn w:val="36"/>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46">
    <w:name w:val="List Table 1 Light - Accent 1"/>
    <w:basedOn w:val="36"/>
    <w:qFormat/>
    <w:uiPriority w:val="99"/>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themeColor="accent1" w:themeTint="40" w:fill="D5E5F4" w:themeFill="accent1" w:themeFillTint="40"/>
      </w:tcPr>
    </w:tblStylePr>
    <w:tblStylePr w:type="band1Horz">
      <w:tcPr>
        <w:shd w:val="clear" w:color="D5E5F4" w:themeColor="accent1" w:themeTint="40" w:fill="D5E5F4" w:themeFill="accent1" w:themeFillTint="40"/>
      </w:tcPr>
    </w:tblStylePr>
  </w:style>
  <w:style w:type="table" w:customStyle="1" w:styleId="147">
    <w:name w:val="List Table 1 Light - Accent 2"/>
    <w:basedOn w:val="36"/>
    <w:qFormat/>
    <w:uiPriority w:val="99"/>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themeColor="accent2" w:themeTint="40" w:fill="FADECB" w:themeFill="accent2" w:themeFillTint="40"/>
      </w:tcPr>
    </w:tblStylePr>
    <w:tblStylePr w:type="band1Horz">
      <w:tcPr>
        <w:shd w:val="clear" w:color="FADECB" w:themeColor="accent2" w:themeTint="40" w:fill="FADECB" w:themeFill="accent2" w:themeFillTint="40"/>
      </w:tcPr>
    </w:tblStylePr>
  </w:style>
  <w:style w:type="table" w:customStyle="1" w:styleId="148">
    <w:name w:val="List Table 1 Light - Accent 3"/>
    <w:basedOn w:val="36"/>
    <w:qFormat/>
    <w:uiPriority w:val="99"/>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themeColor="accent3" w:themeTint="40" w:fill="E8E8E8" w:themeFill="accent3" w:themeFillTint="40"/>
      </w:tcPr>
    </w:tblStylePr>
    <w:tblStylePr w:type="band1Horz">
      <w:tcPr>
        <w:shd w:val="clear" w:color="E8E8E8" w:themeColor="accent3" w:themeTint="40" w:fill="E8E8E8" w:themeFill="accent3" w:themeFillTint="40"/>
      </w:tcPr>
    </w:tblStylePr>
  </w:style>
  <w:style w:type="table" w:customStyle="1" w:styleId="149">
    <w:name w:val="List Table 1 Light - Accent 4"/>
    <w:basedOn w:val="36"/>
    <w:qFormat/>
    <w:uiPriority w:val="99"/>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themeColor="accent4" w:themeTint="40" w:fill="FFEFBE" w:themeFill="accent4" w:themeFillTint="40"/>
      </w:tcPr>
    </w:tblStylePr>
    <w:tblStylePr w:type="band1Horz">
      <w:tcPr>
        <w:shd w:val="clear" w:color="FFEFBE" w:themeColor="accent4" w:themeTint="40" w:fill="FFEFBE" w:themeFill="accent4" w:themeFillTint="40"/>
      </w:tcPr>
    </w:tblStylePr>
  </w:style>
  <w:style w:type="table" w:customStyle="1" w:styleId="150">
    <w:name w:val="List Table 1 Light - Accent 5"/>
    <w:basedOn w:val="36"/>
    <w:qFormat/>
    <w:uiPriority w:val="99"/>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themeColor="accent5" w:themeTint="40" w:fill="D0DBF0" w:themeFill="accent5" w:themeFillTint="40"/>
      </w:tcPr>
    </w:tblStylePr>
    <w:tblStylePr w:type="band1Horz">
      <w:tcPr>
        <w:shd w:val="clear" w:color="D0DBF0" w:themeColor="accent5" w:themeTint="40" w:fill="D0DBF0" w:themeFill="accent5" w:themeFillTint="40"/>
      </w:tcPr>
    </w:tblStylePr>
  </w:style>
  <w:style w:type="table" w:customStyle="1" w:styleId="151">
    <w:name w:val="List Table 1 Light - Accent 6"/>
    <w:basedOn w:val="36"/>
    <w:qFormat/>
    <w:uiPriority w:val="99"/>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themeColor="accent6" w:themeTint="40" w:fill="DAEBCF" w:themeFill="accent6" w:themeFillTint="40"/>
      </w:tcPr>
    </w:tblStylePr>
    <w:tblStylePr w:type="band1Horz">
      <w:tcPr>
        <w:shd w:val="clear" w:color="DAEBCF" w:themeColor="accent6" w:themeTint="40" w:fill="DAEBCF" w:themeFill="accent6" w:themeFillTint="40"/>
      </w:tcPr>
    </w:tblStylePr>
  </w:style>
  <w:style w:type="table" w:customStyle="1" w:styleId="152">
    <w:name w:val="List Table 2"/>
    <w:basedOn w:val="36"/>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53">
    <w:name w:val="List Table 2 - Accent 1"/>
    <w:basedOn w:val="36"/>
    <w:qFormat/>
    <w:uiPriority w:val="99"/>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themeColor="accent1" w:themeTint="40" w:fill="D5E5F4" w:themeFill="accent1" w:themeFillTint="40"/>
      </w:tcPr>
    </w:tblStylePr>
    <w:tblStylePr w:type="band1Horz">
      <w:rPr>
        <w:rFonts w:ascii="Arial" w:hAnsi="Arial"/>
        <w:color w:val="404040"/>
        <w:sz w:val="22"/>
      </w:rPr>
      <w:tcPr>
        <w:shd w:val="clear" w:color="D5E5F4" w:themeColor="accent1" w:themeTint="40" w:fill="D5E5F4" w:themeFill="accent1" w:themeFillTint="40"/>
      </w:tcPr>
    </w:tblStylePr>
  </w:style>
  <w:style w:type="table" w:customStyle="1" w:styleId="154">
    <w:name w:val="List Table 2 - Accent 2"/>
    <w:basedOn w:val="36"/>
    <w:qFormat/>
    <w:uiPriority w:val="99"/>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55">
    <w:name w:val="List Table 2 - Accent 3"/>
    <w:basedOn w:val="36"/>
    <w:qFormat/>
    <w:uiPriority w:val="99"/>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56">
    <w:name w:val="List Table 2 - Accent 4"/>
    <w:basedOn w:val="36"/>
    <w:qFormat/>
    <w:uiPriority w:val="99"/>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57">
    <w:name w:val="List Table 2 - Accent 5"/>
    <w:basedOn w:val="36"/>
    <w:qFormat/>
    <w:uiPriority w:val="99"/>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themeColor="accent5" w:themeTint="40" w:fill="D0DBF0" w:themeFill="accent5" w:themeFillTint="40"/>
      </w:tcPr>
    </w:tblStylePr>
    <w:tblStylePr w:type="band1Horz">
      <w:rPr>
        <w:rFonts w:ascii="Arial" w:hAnsi="Arial"/>
        <w:color w:val="404040"/>
        <w:sz w:val="22"/>
      </w:rPr>
      <w:tcPr>
        <w:shd w:val="clear" w:color="D0DBF0" w:themeColor="accent5" w:themeTint="40" w:fill="D0DBF0" w:themeFill="accent5" w:themeFillTint="40"/>
      </w:tcPr>
    </w:tblStylePr>
  </w:style>
  <w:style w:type="table" w:customStyle="1" w:styleId="158">
    <w:name w:val="List Table 2 - Accent 6"/>
    <w:basedOn w:val="36"/>
    <w:qFormat/>
    <w:uiPriority w:val="99"/>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59">
    <w:name w:val="List Table 3"/>
    <w:basedOn w:val="36"/>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60">
    <w:name w:val="List Table 3 - Accent 1"/>
    <w:basedOn w:val="36"/>
    <w:qFormat/>
    <w:uiPriority w:val="99"/>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1Horz">
      <w:rPr>
        <w:rFonts w:ascii="Arial" w:hAnsi="Arial"/>
        <w:color w:val="404040"/>
        <w:sz w:val="22"/>
      </w:rPr>
      <w:tcPr>
        <w:tcBorders>
          <w:top w:val="single" w:color="5B9BD5" w:themeColor="accent1" w:sz="4" w:space="0"/>
          <w:bottom w:val="single" w:color="5B9BD5" w:themeColor="accent1" w:sz="4" w:space="0"/>
        </w:tcBorders>
      </w:tcPr>
    </w:tblStylePr>
  </w:style>
  <w:style w:type="table" w:customStyle="1" w:styleId="161">
    <w:name w:val="List Table 3 - Accent 2"/>
    <w:basedOn w:val="36"/>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themeColor="accent2" w:themeTint="97" w:fill="F4B2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style>
  <w:style w:type="table" w:customStyle="1" w:styleId="162">
    <w:name w:val="List Table 3 - Accent 3"/>
    <w:basedOn w:val="36"/>
    <w:qFormat/>
    <w:uiPriority w:val="99"/>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customStyle="1" w:styleId="163">
    <w:name w:val="List Table 3 - Accent 4"/>
    <w:basedOn w:val="36"/>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themeColor="accent4" w:themeTint="9A" w:fill="FFD864"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style>
  <w:style w:type="table" w:customStyle="1" w:styleId="164">
    <w:name w:val="List Table 3 - Accent 5"/>
    <w:basedOn w:val="36"/>
    <w:qFormat/>
    <w:uiPriority w:val="99"/>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8EA9DB" w:themeColor="accent5" w:themeTint="9A" w:fill="8E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style>
  <w:style w:type="table" w:customStyle="1" w:styleId="165">
    <w:name w:val="List Table 3 - Accent 6"/>
    <w:basedOn w:val="36"/>
    <w:qFormat/>
    <w:uiPriority w:val="99"/>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customStyle="1" w:styleId="166">
    <w:name w:val="List Table 4"/>
    <w:basedOn w:val="36"/>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67">
    <w:name w:val="List Table 4 - Accent 1"/>
    <w:basedOn w:val="36"/>
    <w:qFormat/>
    <w:uiPriority w:val="99"/>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themeColor="accent1" w:themeTint="40" w:fill="D5E5F4" w:themeFill="accent1" w:themeFillTint="40"/>
      </w:tcPr>
    </w:tblStylePr>
    <w:tblStylePr w:type="band1Horz">
      <w:rPr>
        <w:rFonts w:ascii="Arial" w:hAnsi="Arial"/>
        <w:color w:val="404040"/>
        <w:sz w:val="22"/>
      </w:rPr>
      <w:tcPr>
        <w:shd w:val="clear" w:color="D5E5F4" w:themeColor="accent1" w:themeTint="40" w:fill="D5E5F4" w:themeFill="accent1" w:themeFillTint="40"/>
      </w:tcPr>
    </w:tblStylePr>
  </w:style>
  <w:style w:type="table" w:customStyle="1" w:styleId="168">
    <w:name w:val="List Table 4 - Accent 2"/>
    <w:basedOn w:val="36"/>
    <w:qFormat/>
    <w:uiPriority w:val="9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69">
    <w:name w:val="List Table 4 - Accent 3"/>
    <w:basedOn w:val="36"/>
    <w:qFormat/>
    <w:uiPriority w:val="9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70">
    <w:name w:val="List Table 4 - Accent 4"/>
    <w:basedOn w:val="36"/>
    <w:qFormat/>
    <w:uiPriority w:val="9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71">
    <w:name w:val="List Table 4 - Accent 5"/>
    <w:basedOn w:val="36"/>
    <w:qFormat/>
    <w:uiPriority w:val="99"/>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themeColor="accent5" w:themeTint="40" w:fill="D0DBF0" w:themeFill="accent5" w:themeFillTint="40"/>
      </w:tcPr>
    </w:tblStylePr>
    <w:tblStylePr w:type="band1Horz">
      <w:rPr>
        <w:rFonts w:ascii="Arial" w:hAnsi="Arial"/>
        <w:color w:val="404040"/>
        <w:sz w:val="22"/>
      </w:rPr>
      <w:tcPr>
        <w:shd w:val="clear" w:color="D0DBF0" w:themeColor="accent5" w:themeTint="40" w:fill="D0DBF0" w:themeFill="accent5" w:themeFillTint="40"/>
      </w:tcPr>
    </w:tblStylePr>
  </w:style>
  <w:style w:type="table" w:customStyle="1" w:styleId="172">
    <w:name w:val="List Table 4 - Accent 6"/>
    <w:basedOn w:val="36"/>
    <w:qFormat/>
    <w:uiPriority w:val="9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73">
    <w:name w:val="List Table 5 Dark"/>
    <w:basedOn w:val="36"/>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74">
    <w:name w:val="List Table 5 Dark - Accent 1"/>
    <w:basedOn w:val="36"/>
    <w:qFormat/>
    <w:uiPriority w:val="99"/>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5B9BD5" w:themeColor="accent1" w:fill="5B9BD5"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5B9BD5" w:themeColor="accent1" w:fill="5B9BD5"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5B9BD5" w:themeColor="accent1" w:fill="5B9BD5" w:themeFill="accent1"/>
      </w:tcPr>
    </w:tblStylePr>
    <w:tblStylePr w:type="band2Horz">
      <w:tcPr>
        <w:tcBorders>
          <w:top w:val="single" w:color="FFFFFF" w:themeColor="light1" w:sz="4" w:space="0"/>
          <w:bottom w:val="single" w:color="FFFFFF" w:themeColor="light1" w:sz="4" w:space="0"/>
        </w:tcBorders>
        <w:shd w:val="clear" w:color="5B9BD5" w:themeColor="accent1" w:fill="5B9BD5" w:themeFill="accent1"/>
      </w:tcPr>
    </w:tblStylePr>
  </w:style>
  <w:style w:type="table" w:customStyle="1" w:styleId="175">
    <w:name w:val="List Table 5 Dark - Accent 2"/>
    <w:basedOn w:val="36"/>
    <w:qFormat/>
    <w:uiPriority w:val="99"/>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themeColor="accent2" w:themeTint="97" w:fill="F4B28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themeColor="accent2" w:themeTint="97" w:fill="F4B28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tblStylePr w:type="band2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style>
  <w:style w:type="table" w:customStyle="1" w:styleId="176">
    <w:name w:val="List Table 5 Dark - Accent 3"/>
    <w:basedOn w:val="36"/>
    <w:qFormat/>
    <w:uiPriority w:val="99"/>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style>
  <w:style w:type="table" w:customStyle="1" w:styleId="177">
    <w:name w:val="List Table 5 Dark - Accent 4"/>
    <w:basedOn w:val="36"/>
    <w:qFormat/>
    <w:uiPriority w:val="99"/>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themeColor="accent4" w:themeTint="9A" w:fill="FFD864"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themeColor="accent4" w:themeTint="9A" w:fill="FFD864"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tblStylePr w:type="band2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style>
  <w:style w:type="table" w:customStyle="1" w:styleId="178">
    <w:name w:val="List Table 5 Dark - Accent 5"/>
    <w:basedOn w:val="36"/>
    <w:qFormat/>
    <w:uiPriority w:val="99"/>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8EA9DB" w:themeColor="accent5" w:themeTint="9A" w:fill="8EA9DB"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8EA9DB" w:themeColor="accent5" w:themeTint="9A" w:fill="8EA9DB"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8EA9DB" w:themeColor="accent5" w:themeTint="9A" w:fill="8EA9DB" w:themeFill="accent5" w:themeFillTint="9A"/>
      </w:tcPr>
    </w:tblStylePr>
    <w:tblStylePr w:type="band2Horz">
      <w:tcPr>
        <w:tcBorders>
          <w:top w:val="single" w:color="FFFFFF" w:themeColor="light1" w:sz="4" w:space="0"/>
          <w:bottom w:val="single" w:color="FFFFFF" w:themeColor="light1" w:sz="4" w:space="0"/>
        </w:tcBorders>
        <w:shd w:val="clear" w:color="8EA9DB" w:themeColor="accent5" w:themeTint="9A" w:fill="8EA9DB" w:themeFill="accent5" w:themeFillTint="9A"/>
      </w:tcPr>
    </w:tblStylePr>
  </w:style>
  <w:style w:type="table" w:customStyle="1" w:styleId="179">
    <w:name w:val="List Table 5 Dark - Accent 6"/>
    <w:basedOn w:val="36"/>
    <w:qFormat/>
    <w:uiPriority w:val="99"/>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style>
  <w:style w:type="table" w:customStyle="1" w:styleId="180">
    <w:name w:val="List Table 6 Colorful"/>
    <w:basedOn w:val="36"/>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81">
    <w:name w:val="List Table 6 Colorful - Accent 1"/>
    <w:basedOn w:val="36"/>
    <w:qFormat/>
    <w:uiPriority w:val="99"/>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D5E5F4" w:themeColor="accent1" w:themeTint="40" w:fill="D5E5F4" w:themeFill="accent1" w:themeFillTint="40"/>
      </w:tcPr>
    </w:tblStylePr>
    <w:tblStylePr w:type="band1Horz">
      <w:rPr>
        <w:rFonts w:ascii="Arial" w:hAnsi="Arial"/>
        <w:color w:val="245B8C" w:themeColor="accent1" w:themeShade="94"/>
        <w:sz w:val="22"/>
      </w:rPr>
      <w:tcPr>
        <w:shd w:val="clear" w:color="D5E5F4" w:themeColor="accent1" w:themeTint="40" w:fill="D5E5F4" w:themeFill="accent1" w:themeFillTint="40"/>
      </w:tcPr>
    </w:tblStylePr>
    <w:tblStylePr w:type="band2Horz">
      <w:rPr>
        <w:rFonts w:ascii="Arial" w:hAnsi="Arial"/>
        <w:color w:val="245B8C" w:themeColor="accent1" w:themeShade="94"/>
        <w:sz w:val="22"/>
      </w:rPr>
    </w:tblStylePr>
  </w:style>
  <w:style w:type="table" w:customStyle="1" w:styleId="182">
    <w:name w:val="List Table 6 Colorful - Accent 2"/>
    <w:basedOn w:val="36"/>
    <w:qFormat/>
    <w:uiPriority w:val="99"/>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83">
    <w:name w:val="List Table 6 Colorful - Accent 3"/>
    <w:basedOn w:val="36"/>
    <w:qFormat/>
    <w:uiPriority w:val="99"/>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84">
    <w:name w:val="List Table 6 Colorful - Accent 4"/>
    <w:basedOn w:val="36"/>
    <w:qFormat/>
    <w:uiPriority w:val="99"/>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85">
    <w:name w:val="List Table 6 Colorful - Accent 5"/>
    <w:basedOn w:val="36"/>
    <w:qFormat/>
    <w:uiPriority w:val="99"/>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D0DBF0" w:themeColor="accent5" w:themeTint="40" w:fill="D0DBF0" w:themeFill="accent5" w:themeFillTint="40"/>
      </w:tcPr>
    </w:tblStyle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themeColor="accent5" w:themeTint="40" w:fill="D0DBF0" w:themeFill="accent5" w:themeFillTint="4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style>
  <w:style w:type="table" w:customStyle="1" w:styleId="186">
    <w:name w:val="List Table 6 Colorful - Accent 6"/>
    <w:basedOn w:val="36"/>
    <w:qFormat/>
    <w:uiPriority w:val="99"/>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87">
    <w:name w:val="List Table 7 Colorful"/>
    <w:basedOn w:val="36"/>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88">
    <w:name w:val="List Table 7 Colorful - Accent 1"/>
    <w:basedOn w:val="36"/>
    <w:qFormat/>
    <w:uiPriority w:val="99"/>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themeColor="light1" w:fill="FFFFFF" w:themeFill="light1"/>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D5E5F4" w:themeColor="accent1" w:themeTint="40" w:fill="D5E5F4" w:themeFill="accent1" w:themeFillTint="40"/>
      </w:tcPr>
    </w:tblStylePr>
    <w:tblStylePr w:type="band1Horz">
      <w:rPr>
        <w:rFonts w:ascii="Arial" w:hAnsi="Arial"/>
        <w:color w:val="245B8C" w:themeColor="accent1" w:themeShade="94"/>
        <w:sz w:val="22"/>
      </w:rPr>
      <w:tcPr>
        <w:shd w:val="clear" w:color="D5E5F4" w:themeColor="accent1" w:themeTint="40" w:fill="D5E5F4" w:themeFill="accent1" w:themeFillTint="40"/>
      </w:tcPr>
    </w:tblStylePr>
    <w:tblStylePr w:type="band2Horz">
      <w:rPr>
        <w:rFonts w:ascii="Arial" w:hAnsi="Arial"/>
        <w:color w:val="245B8C" w:themeColor="accent1" w:themeShade="94"/>
        <w:sz w:val="22"/>
      </w:rPr>
    </w:tblStylePr>
  </w:style>
  <w:style w:type="table" w:customStyle="1" w:styleId="189">
    <w:name w:val="List Table 7 Colorful - Accent 2"/>
    <w:basedOn w:val="36"/>
    <w:qFormat/>
    <w:uiPriority w:val="99"/>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90">
    <w:name w:val="List Table 7 Colorful - Accent 3"/>
    <w:basedOn w:val="36"/>
    <w:qFormat/>
    <w:uiPriority w:val="99"/>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themeColor="light1" w:fill="FFFFFF" w:themeFill="light1"/>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91">
    <w:name w:val="List Table 7 Colorful - Accent 4"/>
    <w:basedOn w:val="36"/>
    <w:qFormat/>
    <w:uiPriority w:val="99"/>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92">
    <w:name w:val="List Table 7 Colorful - Accent 5"/>
    <w:basedOn w:val="36"/>
    <w:qFormat/>
    <w:uiPriority w:val="99"/>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themeColor="light1" w:fill="FFFFFF" w:themeFill="light1"/>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D0DBF0" w:themeColor="accent5" w:themeTint="40" w:fill="D0DBF0" w:themeFill="accent5" w:themeFillTint="40"/>
      </w:tcPr>
    </w:tblStyle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themeColor="accent5" w:themeTint="40" w:fill="D0DBF0" w:themeFill="accent5" w:themeFillTint="4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style>
  <w:style w:type="table" w:customStyle="1" w:styleId="193">
    <w:name w:val="List Table 7 Colorful - Accent 6"/>
    <w:basedOn w:val="36"/>
    <w:qFormat/>
    <w:uiPriority w:val="99"/>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themeColor="light1" w:fill="FFFFFF" w:themeFill="light1"/>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94">
    <w:name w:val="Lined - Accent"/>
    <w:basedOn w:val="36"/>
    <w:qFormat/>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95">
    <w:name w:val="Lined - Accent 1"/>
    <w:basedOn w:val="36"/>
    <w:qFormat/>
    <w:uiPriority w:val="99"/>
    <w:rPr>
      <w:color w:val="404040"/>
    </w:rPr>
    <w:tblStylePr w:type="firstRow">
      <w:rPr>
        <w:rFonts w:ascii="Arial" w:hAnsi="Arial"/>
        <w:color w:val="F2F2F2"/>
        <w:sz w:val="22"/>
      </w:rPr>
      <w:tcPr>
        <w:shd w:val="clear" w:color="68A3D8" w:themeColor="accent1" w:themeTint="EA" w:fill="68A3D8" w:themeFill="accent1" w:themeFillTint="EA"/>
      </w:tcPr>
    </w:tblStylePr>
    <w:tblStylePr w:type="lastRow">
      <w:rPr>
        <w:rFonts w:ascii="Arial" w:hAnsi="Arial"/>
        <w:color w:val="F2F2F2"/>
        <w:sz w:val="22"/>
      </w:rPr>
      <w:tcPr>
        <w:shd w:val="clear" w:color="68A3D8" w:themeColor="accent1" w:themeTint="EA" w:fill="68A3D8" w:themeFill="accent1" w:themeFillTint="EA"/>
      </w:tcPr>
    </w:tblStylePr>
    <w:tblStylePr w:type="firstCol">
      <w:rPr>
        <w:rFonts w:ascii="Arial" w:hAnsi="Arial"/>
        <w:color w:val="F2F2F2"/>
        <w:sz w:val="22"/>
      </w:rPr>
      <w:tcPr>
        <w:shd w:val="clear" w:color="68A3D8" w:themeColor="accent1" w:themeTint="EA" w:fill="68A3D8" w:themeFill="accent1" w:themeFillTint="EA"/>
      </w:tcPr>
    </w:tblStylePr>
    <w:tblStylePr w:type="lastCol">
      <w:rPr>
        <w:rFonts w:ascii="Arial" w:hAnsi="Arial"/>
        <w:color w:val="F2F2F2"/>
        <w:sz w:val="22"/>
      </w:rPr>
      <w:tcPr>
        <w:shd w:val="clear" w:color="68A3D8" w:themeColor="accent1" w:themeTint="EA" w:fill="68A3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style>
  <w:style w:type="table" w:customStyle="1" w:styleId="196">
    <w:name w:val="Lined - Accent 2"/>
    <w:basedOn w:val="36"/>
    <w:qFormat/>
    <w:uiPriority w:val="99"/>
    <w:rPr>
      <w:color w:val="404040"/>
    </w:r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97">
    <w:name w:val="Lined - Accent 3"/>
    <w:basedOn w:val="36"/>
    <w:qFormat/>
    <w:uiPriority w:val="99"/>
    <w:rPr>
      <w:color w:val="404040"/>
    </w:r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98">
    <w:name w:val="Lined - Accent 4"/>
    <w:basedOn w:val="36"/>
    <w:qFormat/>
    <w:uiPriority w:val="99"/>
    <w:rPr>
      <w:color w:val="404040"/>
    </w:r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99">
    <w:name w:val="Lined - Accent 5"/>
    <w:basedOn w:val="36"/>
    <w:qFormat/>
    <w:uiPriority w:val="99"/>
    <w:rPr>
      <w:color w:val="404040"/>
    </w:rPr>
    <w:tblStylePr w:type="firstRow">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tblStylePr w:type="firstCol">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8E2F2" w:themeColor="accent5" w:themeTint="34" w:fill="D8E2F2" w:themeFill="accent5" w:themeFillTint="34"/>
      </w:tcPr>
    </w:tblStylePr>
  </w:style>
  <w:style w:type="table" w:customStyle="1" w:styleId="200">
    <w:name w:val="Lined - Accent 6"/>
    <w:basedOn w:val="36"/>
    <w:qFormat/>
    <w:uiPriority w:val="99"/>
    <w:rPr>
      <w:color w:val="404040"/>
    </w:r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201">
    <w:name w:val="Bordered &amp; Lined - Accent"/>
    <w:basedOn w:val="36"/>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202">
    <w:name w:val="Bordered &amp; Lined - Accent 1"/>
    <w:basedOn w:val="36"/>
    <w:qFormat/>
    <w:uiPriority w:val="99"/>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68A3D8" w:themeColor="accent1" w:themeTint="EA" w:fill="68A3D8" w:themeFill="accent1" w:themeFillTint="EA"/>
      </w:tcPr>
    </w:tblStylePr>
    <w:tblStylePr w:type="lastRow">
      <w:rPr>
        <w:rFonts w:ascii="Arial" w:hAnsi="Arial"/>
        <w:color w:val="F2F2F2"/>
        <w:sz w:val="22"/>
      </w:rPr>
      <w:tcPr>
        <w:shd w:val="clear" w:color="68A3D8" w:themeColor="accent1" w:themeTint="EA" w:fill="68A3D8" w:themeFill="accent1" w:themeFillTint="EA"/>
      </w:tcPr>
    </w:tblStylePr>
    <w:tblStylePr w:type="firstCol">
      <w:rPr>
        <w:rFonts w:ascii="Arial" w:hAnsi="Arial"/>
        <w:color w:val="F2F2F2"/>
        <w:sz w:val="22"/>
      </w:rPr>
      <w:tcPr>
        <w:shd w:val="clear" w:color="68A3D8" w:themeColor="accent1" w:themeTint="EA" w:fill="68A3D8" w:themeFill="accent1" w:themeFillTint="EA"/>
      </w:tcPr>
    </w:tblStylePr>
    <w:tblStylePr w:type="lastCol">
      <w:rPr>
        <w:rFonts w:ascii="Arial" w:hAnsi="Arial"/>
        <w:color w:val="F2F2F2"/>
        <w:sz w:val="22"/>
      </w:rPr>
      <w:tcPr>
        <w:shd w:val="clear" w:color="68A3D8" w:themeColor="accent1" w:themeTint="EA" w:fill="68A3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style>
  <w:style w:type="table" w:customStyle="1" w:styleId="203">
    <w:name w:val="Bordered &amp; Lined - Accent 2"/>
    <w:basedOn w:val="36"/>
    <w:qFormat/>
    <w:uiPriority w:val="99"/>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204">
    <w:name w:val="Bordered &amp; Lined - Accent 3"/>
    <w:basedOn w:val="36"/>
    <w:qFormat/>
    <w:uiPriority w:val="99"/>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205">
    <w:name w:val="Bordered &amp; Lined - Accent 4"/>
    <w:basedOn w:val="36"/>
    <w:qFormat/>
    <w:uiPriority w:val="99"/>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206">
    <w:name w:val="Bordered &amp; Lined - Accent 5"/>
    <w:basedOn w:val="36"/>
    <w:qFormat/>
    <w:uiPriority w:val="99"/>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tblStylePr w:type="firstCol">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8E2F2" w:themeColor="accent5" w:themeTint="34" w:fill="D8E2F2" w:themeFill="accent5" w:themeFillTint="34"/>
      </w:tcPr>
    </w:tblStylePr>
  </w:style>
  <w:style w:type="table" w:customStyle="1" w:styleId="207">
    <w:name w:val="Bordered &amp; Lined - Accent 6"/>
    <w:basedOn w:val="36"/>
    <w:qFormat/>
    <w:uiPriority w:val="99"/>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208">
    <w:name w:val="Bordered"/>
    <w:basedOn w:val="36"/>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209">
    <w:name w:val="Bordered - Accent 1"/>
    <w:basedOn w:val="36"/>
    <w:qFormat/>
    <w:uiPriority w:val="99"/>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customStyle="1" w:styleId="210">
    <w:name w:val="Bordered - Accent 2"/>
    <w:basedOn w:val="36"/>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211">
    <w:name w:val="Bordered - Accent 3"/>
    <w:basedOn w:val="36"/>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212">
    <w:name w:val="Bordered - Accent 4"/>
    <w:basedOn w:val="36"/>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213">
    <w:name w:val="Bordered - Accent 5"/>
    <w:basedOn w:val="36"/>
    <w:qFormat/>
    <w:uiPriority w:val="99"/>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style>
  <w:style w:type="table" w:customStyle="1" w:styleId="214">
    <w:name w:val="Bordered - Accent 6"/>
    <w:basedOn w:val="36"/>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character" w:customStyle="1" w:styleId="215">
    <w:name w:val="脚注文本 Char"/>
    <w:link w:val="29"/>
    <w:qFormat/>
    <w:uiPriority w:val="99"/>
    <w:rPr>
      <w:sz w:val="18"/>
    </w:rPr>
  </w:style>
  <w:style w:type="character" w:customStyle="1" w:styleId="216">
    <w:name w:val="尾注文本 Char"/>
    <w:link w:val="22"/>
    <w:qFormat/>
    <w:uiPriority w:val="99"/>
    <w:rPr>
      <w:sz w:val="20"/>
    </w:rPr>
  </w:style>
  <w:style w:type="paragraph" w:customStyle="1" w:styleId="217">
    <w:name w:val="TOC Heading"/>
    <w:unhideWhenUsed/>
    <w:qFormat/>
    <w:uiPriority w:val="39"/>
    <w:rPr>
      <w:rFonts w:hint="default" w:ascii="Times New Roman" w:hAnsi="Times New Roman" w:eastAsia="宋体" w:cs="Times New Roman"/>
      <w:lang w:val="en-US" w:eastAsia="zh-CN" w:bidi="ar-SA"/>
    </w:rPr>
  </w:style>
  <w:style w:type="paragraph" w:customStyle="1" w:styleId="218">
    <w:name w:val="首行缩进"/>
    <w:basedOn w:val="1"/>
    <w:qFormat/>
    <w:uiPriority w:val="0"/>
    <w:pPr>
      <w:spacing w:line="360" w:lineRule="auto"/>
      <w:ind w:firstLine="420"/>
    </w:pPr>
  </w:style>
  <w:style w:type="paragraph" w:customStyle="1" w:styleId="219">
    <w:name w:val="正文1"/>
    <w:basedOn w:val="1"/>
    <w:next w:val="220"/>
    <w:qFormat/>
    <w:uiPriority w:val="0"/>
    <w:pPr>
      <w:spacing w:line="360" w:lineRule="atLeast"/>
      <w:jc w:val="left"/>
    </w:pPr>
    <w:rPr>
      <w:rFonts w:ascii="宋体" w:hAnsiTheme="minorHAnsi" w:eastAsiaTheme="minorEastAsia" w:cstheme="minorBidi"/>
      <w:sz w:val="24"/>
      <w:szCs w:val="20"/>
    </w:rPr>
  </w:style>
  <w:style w:type="paragraph" w:customStyle="1" w:styleId="220">
    <w:name w:val="正文文本1"/>
    <w:basedOn w:val="219"/>
    <w:next w:val="221"/>
    <w:qFormat/>
    <w:uiPriority w:val="0"/>
    <w:pPr>
      <w:spacing w:after="120"/>
    </w:pPr>
    <w:rPr>
      <w:lang w:eastAsia="en-US"/>
    </w:rPr>
  </w:style>
  <w:style w:type="paragraph" w:customStyle="1" w:styleId="221">
    <w:name w:val="一级条标题"/>
    <w:basedOn w:val="222"/>
    <w:next w:val="223"/>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222">
    <w:name w:val="章标题"/>
    <w:next w:val="1"/>
    <w:qFormat/>
    <w:uiPriority w:val="0"/>
    <w:pPr>
      <w:tabs>
        <w:tab w:val="left" w:pos="810"/>
        <w:tab w:val="left" w:pos="1265"/>
      </w:tabs>
      <w:spacing w:before="50" w:after="50"/>
      <w:ind w:left="810" w:hanging="810"/>
      <w:jc w:val="both"/>
      <w:outlineLvl w:val="1"/>
    </w:pPr>
    <w:rPr>
      <w:rFonts w:hint="default" w:ascii="黑体" w:hAnsi="Calibri" w:eastAsia="黑体" w:cs="Times New Roman"/>
      <w:sz w:val="21"/>
      <w:szCs w:val="22"/>
      <w:lang w:val="en-US" w:eastAsia="zh-CN" w:bidi="ar-SA"/>
    </w:rPr>
  </w:style>
  <w:style w:type="paragraph" w:customStyle="1" w:styleId="223">
    <w:name w:val="段"/>
    <w:basedOn w:val="219"/>
    <w:next w:val="1"/>
    <w:qFormat/>
    <w:uiPriority w:val="0"/>
    <w:pPr>
      <w:widowControl/>
      <w:ind w:firstLine="200"/>
    </w:pPr>
    <w:rPr>
      <w:sz w:val="20"/>
    </w:rPr>
  </w:style>
  <w:style w:type="paragraph" w:customStyle="1" w:styleId="224">
    <w:name w:val="普通正文"/>
    <w:basedOn w:val="1"/>
    <w:qFormat/>
    <w:uiPriority w:val="0"/>
    <w:pPr>
      <w:spacing w:before="120" w:after="120" w:line="360" w:lineRule="auto"/>
      <w:ind w:firstLine="480"/>
      <w:jc w:val="left"/>
    </w:pPr>
    <w:rPr>
      <w:rFonts w:ascii="Arial" w:hAnsi="Arial"/>
      <w:sz w:val="24"/>
      <w:szCs w:val="24"/>
    </w:rPr>
  </w:style>
  <w:style w:type="paragraph" w:customStyle="1" w:styleId="225">
    <w:name w:val="Char"/>
    <w:basedOn w:val="1"/>
    <w:qFormat/>
    <w:uiPriority w:val="0"/>
    <w:pPr>
      <w:tabs>
        <w:tab w:val="left" w:pos="360"/>
      </w:tabs>
      <w:ind w:firstLine="200"/>
    </w:pPr>
    <w:rPr>
      <w:rFonts w:ascii="Times New Roman" w:hAnsi="Times New Roman"/>
      <w:sz w:val="28"/>
      <w:szCs w:val="30"/>
    </w:rPr>
  </w:style>
  <w:style w:type="character" w:customStyle="1" w:styleId="226">
    <w:name w:val="批注框文本 Char"/>
    <w:basedOn w:val="38"/>
    <w:link w:val="23"/>
    <w:qFormat/>
    <w:uiPriority w:val="0"/>
    <w:rPr>
      <w:sz w:val="18"/>
      <w:szCs w:val="18"/>
    </w:rPr>
  </w:style>
  <w:style w:type="character" w:customStyle="1" w:styleId="227">
    <w:name w:val="font11"/>
    <w:basedOn w:val="38"/>
    <w:qFormat/>
    <w:uiPriority w:val="0"/>
    <w:rPr>
      <w:rFonts w:hint="eastAsia" w:ascii="宋体" w:hAnsi="宋体" w:eastAsia="宋体" w:cs="宋体"/>
      <w:color w:val="000000"/>
      <w:sz w:val="21"/>
      <w:szCs w:val="21"/>
    </w:rPr>
  </w:style>
  <w:style w:type="paragraph" w:customStyle="1" w:styleId="228">
    <w:name w:val="纯文本1"/>
    <w:basedOn w:val="1"/>
    <w:qFormat/>
    <w:uiPriority w:val="0"/>
    <w:rPr>
      <w:rFonts w:ascii="宋体" w:hAnsi="Courier New" w:cs="Courier New"/>
    </w:rPr>
  </w:style>
  <w:style w:type="character" w:customStyle="1" w:styleId="229">
    <w:name w:val="hover7"/>
    <w:basedOn w:val="38"/>
    <w:qFormat/>
    <w:uiPriority w:val="0"/>
    <w:rPr>
      <w:color w:val="427FDA"/>
    </w:rPr>
  </w:style>
  <w:style w:type="character" w:customStyle="1" w:styleId="230">
    <w:name w:val="hover8"/>
    <w:basedOn w:val="38"/>
    <w:qFormat/>
    <w:uiPriority w:val="0"/>
    <w:rPr>
      <w:color w:val="5FB878"/>
    </w:rPr>
  </w:style>
  <w:style w:type="character" w:customStyle="1" w:styleId="231">
    <w:name w:val="hover9"/>
    <w:basedOn w:val="38"/>
    <w:qFormat/>
    <w:uiPriority w:val="0"/>
    <w:rPr>
      <w:color w:val="5FB878"/>
    </w:rPr>
  </w:style>
  <w:style w:type="character" w:customStyle="1" w:styleId="232">
    <w:name w:val="hover10"/>
    <w:basedOn w:val="38"/>
    <w:qFormat/>
    <w:uiPriority w:val="0"/>
    <w:rPr>
      <w:color w:val="FFFFFF"/>
    </w:rPr>
  </w:style>
  <w:style w:type="character" w:customStyle="1" w:styleId="233">
    <w:name w:val="first-child"/>
    <w:basedOn w:val="38"/>
    <w:qFormat/>
    <w:uiPriority w:val="0"/>
  </w:style>
  <w:style w:type="character" w:customStyle="1" w:styleId="234">
    <w:name w:val="layui-this2"/>
    <w:basedOn w:val="38"/>
    <w:qFormat/>
    <w:uiPriority w:val="0"/>
    <w:rPr>
      <w:shd w:val="clear" w:color="auto" w:fill="FFFFFF"/>
    </w:rPr>
  </w:style>
  <w:style w:type="character" w:customStyle="1" w:styleId="235">
    <w:name w:val="layui-this"/>
    <w:basedOn w:val="38"/>
    <w:qFormat/>
    <w:uiPriority w:val="0"/>
    <w:rPr>
      <w:shd w:val="clear" w:color="auto" w:fill="FFFFFF"/>
    </w:rPr>
  </w:style>
  <w:style w:type="paragraph" w:customStyle="1" w:styleId="236">
    <w:name w:val="正文缩进1"/>
    <w:basedOn w:val="1"/>
    <w:qFormat/>
    <w:uiPriority w:val="99"/>
    <w:pPr>
      <w:ind w:firstLine="420"/>
    </w:pPr>
    <w:rPr>
      <w:rFonts w:cs="Calibri"/>
      <w:szCs w:val="21"/>
    </w:rPr>
  </w:style>
  <w:style w:type="paragraph" w:customStyle="1" w:styleId="237">
    <w:name w:val="正文_0"/>
    <w:qFormat/>
    <w:uiPriority w:val="0"/>
    <w:rPr>
      <w:rFonts w:hint="default" w:ascii="Times New Roman" w:hAnsi="Times New Roman" w:eastAsia="宋体" w:cs="Times New Roman"/>
      <w:lang w:val="en-US" w:eastAsia="zh-CN" w:bidi="ar-SA"/>
    </w:rPr>
  </w:style>
  <w:style w:type="paragraph" w:customStyle="1" w:styleId="238">
    <w:name w:val="正文_0_1"/>
    <w:qFormat/>
    <w:uiPriority w:val="99"/>
    <w:rPr>
      <w:rFonts w:hint="default" w:ascii="Times New Roman" w:hAnsi="Times New Roman" w:eastAsia="宋体" w:cs="Times New Roman"/>
    </w:rPr>
  </w:style>
  <w:style w:type="paragraph" w:customStyle="1" w:styleId="239">
    <w:name w:val="Table Text"/>
    <w:basedOn w:val="1"/>
    <w:semiHidden/>
    <w:qFormat/>
    <w:uiPriority w:val="0"/>
    <w:rPr>
      <w:rFonts w:ascii="宋体" w:hAnsi="宋体" w:eastAsia="宋体" w:cs="宋体"/>
      <w:sz w:val="20"/>
      <w:szCs w:val="20"/>
    </w:rPr>
  </w:style>
  <w:style w:type="table" w:customStyle="1" w:styleId="240">
    <w:name w:val="Table Normal"/>
    <w:semiHidden/>
    <w:unhideWhenUsed/>
    <w:qFormat/>
    <w:uiPriority w:val="0"/>
    <w:rPr>
      <w:rFonts w:ascii="Arial" w:hAnsi="Arial" w:cs="Arial"/>
      <w:color w:val="000000"/>
      <w:szCs w:val="21"/>
      <w:lang w:eastAsia="en-US"/>
    </w:rPr>
    <w:tblPr>
      <w:tblCellMar>
        <w:top w:w="0" w:type="dxa"/>
        <w:left w:w="0" w:type="dxa"/>
        <w:bottom w:w="0" w:type="dxa"/>
        <w:right w:w="0" w:type="dxa"/>
      </w:tblCellMar>
    </w:tblPr>
  </w:style>
  <w:style w:type="paragraph" w:customStyle="1" w:styleId="241">
    <w:name w:val="正文一级"/>
    <w:basedOn w:val="1"/>
    <w:qFormat/>
    <w:uiPriority w:val="99"/>
    <w:pPr>
      <w:widowControl/>
      <w:autoSpaceDE w:val="0"/>
      <w:autoSpaceDN w:val="0"/>
      <w:adjustRightInd w:val="0"/>
      <w:spacing w:beforeLines="50" w:after="120" w:line="360" w:lineRule="auto"/>
      <w:ind w:left="567" w:right="-11"/>
    </w:pPr>
    <w:rPr>
      <w:rFonts w:ascii="宋体" w:hAnsi="CG Times"/>
      <w:kern w:val="0"/>
      <w:sz w:val="24"/>
      <w:szCs w:val="20"/>
    </w:rPr>
  </w:style>
  <w:style w:type="paragraph" w:customStyle="1" w:styleId="242">
    <w:name w:val="彩色列表 - 强调文字颜色 111"/>
    <w:basedOn w:val="1"/>
    <w:qFormat/>
    <w:uiPriority w:val="99"/>
    <w:pPr>
      <w:ind w:firstLine="420" w:firstLineChars="200"/>
    </w:pPr>
  </w:style>
  <w:style w:type="paragraph" w:customStyle="1" w:styleId="243">
    <w:name w:val="彩色列表 - 强调文字颜色 11"/>
    <w:basedOn w:val="1"/>
    <w:qFormat/>
    <w:uiPriority w:val="0"/>
    <w:pPr>
      <w:ind w:firstLine="420" w:firstLineChars="200"/>
    </w:pPr>
  </w:style>
  <w:style w:type="paragraph" w:customStyle="1" w:styleId="244">
    <w:name w:val="pf0"/>
    <w:basedOn w:val="1"/>
    <w:qFormat/>
    <w:uiPriority w:val="0"/>
    <w:pPr>
      <w:widowControl/>
      <w:adjustRightInd/>
      <w:snapToGrid/>
      <w:spacing w:before="100" w:beforeLines="0" w:beforeAutospacing="1" w:after="100" w:afterLines="0" w:afterAutospacing="1" w:line="240" w:lineRule="auto"/>
      <w:ind w:firstLine="0" w:firstLineChars="0"/>
      <w:jc w:val="left"/>
    </w:pPr>
    <w:rPr>
      <w:rFonts w:ascii="宋体" w:hAnsi="宋体" w:eastAsia="宋体" w:cs="宋体"/>
      <w:kern w:val="0"/>
      <w:sz w:val="24"/>
      <w:szCs w:val="24"/>
    </w:rPr>
  </w:style>
  <w:style w:type="character" w:customStyle="1" w:styleId="245">
    <w:name w:val="font01"/>
    <w:basedOn w:val="38"/>
    <w:qFormat/>
    <w:uiPriority w:val="0"/>
    <w:rPr>
      <w:rFonts w:hint="eastAsia" w:ascii="宋体" w:hAnsi="宋体" w:eastAsia="宋体" w:cs="宋体"/>
      <w:color w:val="000000"/>
      <w:sz w:val="24"/>
      <w:szCs w:val="24"/>
      <w:u w:val="none"/>
    </w:rPr>
  </w:style>
  <w:style w:type="paragraph" w:customStyle="1" w:styleId="246">
    <w:name w:val="msolistparagraph"/>
    <w:basedOn w:val="1"/>
    <w:qFormat/>
    <w:uiPriority w:val="0"/>
    <w:pPr>
      <w:ind w:firstLine="420" w:firstLineChars="200"/>
    </w:pPr>
    <w:rPr>
      <w:rFonts w:hint="default" w:ascii="Calibri" w:hAnsi="Calibri" w:eastAsia="宋体" w:cs="Times New Roman"/>
      <w:kern w:val="2"/>
      <w:szCs w:val="22"/>
    </w:rPr>
  </w:style>
  <w:style w:type="character" w:customStyle="1" w:styleId="247">
    <w:name w:val="font61"/>
    <w:basedOn w:val="38"/>
    <w:qFormat/>
    <w:uiPriority w:val="0"/>
    <w:rPr>
      <w:rFonts w:hint="default" w:ascii="Times New Roman" w:hAnsi="Times New Roman" w:eastAsia="宋体" w:cs="Times New Roman"/>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0" Type="http://schemas.openxmlformats.org/officeDocument/2006/relationships/fontTable" Target="fontTable.xml"/><Relationship Id="rId4" Type="http://schemas.openxmlformats.org/officeDocument/2006/relationships/footer" Target="footer1.xml"/><Relationship Id="rId39" Type="http://schemas.openxmlformats.org/officeDocument/2006/relationships/customXml" Target="../customXml/item2.xml"/><Relationship Id="rId38" Type="http://schemas.openxmlformats.org/officeDocument/2006/relationships/numbering" Target="numbering.xml"/><Relationship Id="rId37" Type="http://schemas.openxmlformats.org/officeDocument/2006/relationships/customXml" Target="../customXml/item1.xml"/><Relationship Id="rId36" Type="http://schemas.openxmlformats.org/officeDocument/2006/relationships/image" Target="media/image2.png"/><Relationship Id="rId35" Type="http://schemas.openxmlformats.org/officeDocument/2006/relationships/image" Target="media/image1.png"/><Relationship Id="rId34" Type="http://schemas.openxmlformats.org/officeDocument/2006/relationships/oleObject" Target="embeddings/oleObject1.bin"/><Relationship Id="rId33" Type="http://schemas.openxmlformats.org/officeDocument/2006/relationships/theme" Target="theme/theme1.xml"/><Relationship Id="rId32" Type="http://schemas.openxmlformats.org/officeDocument/2006/relationships/footer" Target="footer20.xml"/><Relationship Id="rId31" Type="http://schemas.openxmlformats.org/officeDocument/2006/relationships/header" Target="header10.xml"/><Relationship Id="rId30" Type="http://schemas.openxmlformats.org/officeDocument/2006/relationships/footer" Target="footer19.xml"/><Relationship Id="rId3" Type="http://schemas.openxmlformats.org/officeDocument/2006/relationships/header" Target="header1.xml"/><Relationship Id="rId29" Type="http://schemas.openxmlformats.org/officeDocument/2006/relationships/header" Target="header9.xml"/><Relationship Id="rId28" Type="http://schemas.openxmlformats.org/officeDocument/2006/relationships/footer" Target="footer18.xml"/><Relationship Id="rId27" Type="http://schemas.openxmlformats.org/officeDocument/2006/relationships/footer" Target="footer17.xml"/><Relationship Id="rId26" Type="http://schemas.openxmlformats.org/officeDocument/2006/relationships/footer" Target="footer16.xml"/><Relationship Id="rId25" Type="http://schemas.openxmlformats.org/officeDocument/2006/relationships/footer" Target="footer15.xml"/><Relationship Id="rId24" Type="http://schemas.openxmlformats.org/officeDocument/2006/relationships/footer" Target="footer14.xml"/><Relationship Id="rId23" Type="http://schemas.openxmlformats.org/officeDocument/2006/relationships/header" Target="header8.xml"/><Relationship Id="rId22" Type="http://schemas.openxmlformats.org/officeDocument/2006/relationships/footer" Target="footer13.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黑体"/>
        <a:cs typeface="Arial"/>
      </a:majorFont>
      <a:minorFont>
        <a:latin typeface="Calibri"/>
        <a:ea typeface="宋体"/>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6ad21786-7777-4014-b4a6-9ee254c0e016</errorID>
      <errorWord>)</errorWord>
      <group>L1_Format</group>
      <groupName>格式问题</groupName>
      <ability>L2_HalfPunc</ability>
      <abilityName>全半角检查</abilityName>
      <candidateList>
        <item>）</item>
      </candidateList>
      <explain>文本全半角错误。</explain>
      <paraID>79D4B8C5</paraID>
      <start>87</start>
      <end>88</end>
      <status>unmodified</status>
      <modifiedWord/>
      <trackRevisions>false</trackRevisions>
    </reviewItem>
    <reviewItem>
      <errorID>42401b23-6ccd-44e6-8771-1d380d9f0add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27ED3FAA</paraID>
      <start>42</start>
      <end>45</end>
      <status>unmodified</status>
      <modifiedWord/>
      <trackRevisions>false</trackRevisions>
    </reviewItem>
    <reviewItem>
      <errorID>699bef10-9604-4869-90fa-80bd776ced2e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27ED3FAA</paraID>
      <start>52</start>
      <end>55</end>
      <status>unmodified</status>
      <modifiedWord/>
      <trackRevisions>false</trackRevisions>
    </reviewItem>
    <reviewItem>
      <errorID>366fcafe-5c1d-49f8-b251-d2b487093c4f</errorID>
      <errorWord>(</errorWord>
      <group>L1_Format</group>
      <groupName>格式问题</groupName>
      <ability>L2_HalfPunc</ability>
      <abilityName>全半角检查</abilityName>
      <candidateList>
        <item>（</item>
      </candidateList>
      <explain>文本全半角错误。</explain>
      <paraID>539B0E89</paraID>
      <start>15</start>
      <end>16</end>
      <status>unmodified</status>
      <modifiedWord/>
      <trackRevisions>false</trackRevisions>
    </reviewItem>
    <reviewItem>
      <errorID>e97efb43-b371-4630-b3b5-ab53b03a468e</errorID>
      <errorWord>)</errorWord>
      <group>L1_Format</group>
      <groupName>格式问题</groupName>
      <ability>L2_HalfPunc</ability>
      <abilityName>全半角检查</abilityName>
      <candidateList>
        <item>）</item>
      </candidateList>
      <explain>文本全半角错误。</explain>
      <paraID>539B0E89</paraID>
      <start>26</start>
      <end>27</end>
      <status>unmodified</status>
      <modifiedWord/>
      <trackRevisions>false</trackRevisions>
    </reviewItem>
    <reviewItem>
      <errorID>dcd5a372-b514-4da1-9ebf-d642f239d4b6</errorID>
      <errorWord>(</errorWord>
      <group>L1_Format</group>
      <groupName>格式问题</groupName>
      <ability>L2_HalfPunc</ability>
      <abilityName>全半角检查</abilityName>
      <candidateList>
        <item>（</item>
      </candidateList>
      <explain>文本全半角错误。</explain>
      <paraID>6D229299</paraID>
      <start>122</start>
      <end>123</end>
      <status>unmodified</status>
      <modifiedWord/>
      <trackRevisions>false</trackRevisions>
    </reviewItem>
    <reviewItem>
      <errorID>8cd4c94b-28d4-48dc-8ef5-dc48a7d103b2</errorID>
      <errorWord>)</errorWord>
      <group>L1_Format</group>
      <groupName>格式问题</groupName>
      <ability>L2_HalfPunc</ability>
      <abilityName>全半角检查</abilityName>
      <candidateList>
        <item>）</item>
      </candidateList>
      <explain>文本全半角错误。</explain>
      <paraID>6D229299</paraID>
      <start>132</start>
      <end>133</end>
      <status>unmodified</status>
      <modifiedWord/>
      <trackRevisions>false</trackRevisions>
    </reviewItem>
    <reviewItem>
      <errorID>21a2be01-f314-4d65-bb13-95ae9954b00e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4A211AF8</paraID>
      <start>12</start>
      <end>15</end>
      <status>unmodified</status>
      <modifiedWord/>
      <trackRevisions>false</trackRevisions>
    </reviewItem>
    <reviewItem>
      <errorID>c2d588a5-59e5-439a-951b-5cc2fb8d7d78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4A211AF8</paraID>
      <start>22</start>
      <end>25</end>
      <status>unmodified</status>
      <modifiedWord/>
      <trackRevisions>false</trackRevisions>
    </reviewItem>
    <reviewItem>
      <errorID>312efc21-b4d4-43c7-b9da-7c00e660b2fe</errorID>
      <errorWord>-</errorWord>
      <group>L1_Format</group>
      <groupName>格式问题</groupName>
      <ability>L2_HalfPunc</ability>
      <abilityName>全半角检查</abilityName>
      <candidateList>
        <item>－</item>
      </candidateList>
      <explain>文本全半角错误。</explain>
      <paraID>73FE3DFB</paraID>
      <start>40</start>
      <end>41</end>
      <status>unmodified</status>
      <modifiedWord/>
      <trackRevisions>false</trackRevisions>
    </reviewItem>
    <reviewItem>
      <errorID>627e3369-417e-4e6a-93bc-3c07900b2255</errorID>
      <errorWord>-</errorWord>
      <group>L1_Format</group>
      <groupName>格式问题</groupName>
      <ability>L2_HalfPunc</ability>
      <abilityName>全半角检查</abilityName>
      <candidateList>
        <item>－</item>
      </candidateList>
      <explain>文本全半角错误。</explain>
      <paraID>73FE3DFB</paraID>
      <start>41</start>
      <end>42</end>
      <status>unmodified</status>
      <modifiedWord/>
      <trackRevisions>false</trackRevisions>
    </reviewItem>
    <reviewItem>
      <errorID>217dc1b4-4d27-4a0e-995e-83ca844b3c12</errorID>
      <errorWord>-</errorWord>
      <group>L1_Format</group>
      <groupName>格式问题</groupName>
      <ability>L2_HalfPunc</ability>
      <abilityName>全半角检查</abilityName>
      <candidateList>
        <item>－</item>
      </candidateList>
      <explain>文本全半角错误。</explain>
      <paraID>73FE3DFB</paraID>
      <start>67</start>
      <end>68</end>
      <status>unmodified</status>
      <modifiedWord/>
      <trackRevisions>false</trackRevisions>
    </reviewItem>
    <reviewItem>
      <errorID>23d133b4-82d3-410f-bc34-cb586ea7039c</errorID>
      <errorWord>-</errorWord>
      <group>L1_Format</group>
      <groupName>格式问题</groupName>
      <ability>L2_HalfPunc</ability>
      <abilityName>全半角检查</abilityName>
      <candidateList>
        <item>－</item>
      </candidateList>
      <explain>文本全半角错误。</explain>
      <paraID>73FE3DFB</paraID>
      <start>68</start>
      <end>69</end>
      <status>unmodified</status>
      <modifiedWord/>
      <trackRevisions>false</trackRevisions>
    </reviewItem>
    <reviewItem>
      <errorID>54482a70-89cb-49fd-a3b7-4f624c1bb002</errorID>
      <errorWord>“.</errorWord>
      <group>L1_Punc</group>
      <groupName>标点问题</groupName>
      <ability>L2_Punc</ability>
      <abilityName>标点符号检查</abilityName>
      <candidateList>
        <item>“</item>
      </candidateList>
      <explain/>
      <paraID>73FE3DFB</paraID>
      <start>80</start>
      <end>82</end>
      <status>unmodified</status>
      <modifiedWord/>
      <trackRevisions>false</trackRevisions>
    </reviewItem>
    <reviewItem>
      <errorID>7f5156a4-1159-46db-a455-fef54d050178</errorID>
      <errorWord>“.</errorWord>
      <group>L1_Punc</group>
      <groupName>标点问题</groupName>
      <ability>L2_Punc</ability>
      <abilityName>标点符号检查</abilityName>
      <candidateList>
        <item>“</item>
      </candidateList>
      <explain/>
      <paraID>73FE3DFB</paraID>
      <start>95</start>
      <end>97</end>
      <status>unmodified</status>
      <modifiedWord/>
      <trackRevisions>false</trackRevisions>
    </reviewItem>
    <reviewItem>
      <errorID>f09236de-2de3-4e05-bc04-d70b5f65e711</errorID>
      <errorWord>-</errorWord>
      <group>L1_Format</group>
      <groupName>格式问题</groupName>
      <ability>L2_HalfPunc</ability>
      <abilityName>全半角检查</abilityName>
      <candidateList>
        <item>－</item>
      </candidateList>
      <explain>文本全半角错误。</explain>
      <paraID>73FE3DFB</paraID>
      <start>118</start>
      <end>119</end>
      <status>unmodified</status>
      <modifiedWord/>
      <trackRevisions>false</trackRevisions>
    </reviewItem>
    <reviewItem>
      <errorID>a97fb279-4a60-40ce-a07e-6975a6bbba8e</errorID>
      <errorWord>-</errorWord>
      <group>L1_Format</group>
      <groupName>格式问题</groupName>
      <ability>L2_HalfPunc</ability>
      <abilityName>全半角检查</abilityName>
      <candidateList>
        <item>－</item>
      </candidateList>
      <explain>文本全半角错误。</explain>
      <paraID>73FE3DFB</paraID>
      <start>119</start>
      <end>120</end>
      <status>unmodified</status>
      <modifiedWord/>
      <trackRevisions>false</trackRevisions>
    </reviewItem>
    <reviewItem>
      <errorID>c2d9b470-f06c-4746-aa76-71c0b41ceb35</errorID>
      <errorWord>-</errorWord>
      <group>L1_Format</group>
      <groupName>格式问题</groupName>
      <ability>L2_HalfPunc</ability>
      <abilityName>全半角检查</abilityName>
      <candidateList>
        <item>－</item>
      </candidateList>
      <explain>文本全半角错误。</explain>
      <paraID>73FE3DFB</paraID>
      <start>126</start>
      <end>127</end>
      <status>unmodified</status>
      <modifiedWord/>
      <trackRevisions>false</trackRevisions>
    </reviewItem>
    <reviewItem>
      <errorID>cfadd448-4272-4f9a-8ff5-3360ddbf7580</errorID>
      <errorWord>-</errorWord>
      <group>L1_Format</group>
      <groupName>格式问题</groupName>
      <ability>L2_HalfPunc</ability>
      <abilityName>全半角检查</abilityName>
      <candidateList>
        <item>－</item>
      </candidateList>
      <explain>文本全半角错误。</explain>
      <paraID>73FE3DFB</paraID>
      <start>127</start>
      <end>128</end>
      <status>unmodified</status>
      <modifiedWord/>
      <trackRevisions>false</trackRevisions>
    </reviewItem>
    <reviewItem>
      <errorID>dfc15ee6-361f-4cf5-8b3c-8878db386955</errorID>
      <errorWord>。</errorWord>
      <group>L1_Format</group>
      <groupName>格式问题</groupName>
      <ability>L2_HalfPunc</ability>
      <abilityName>全半角检查</abilityName>
      <candidateList>
        <item>.</item>
      </candidateList>
      <explain>文本全半角错误。</explain>
      <paraID> B9ED642</paraID>
      <start>83</start>
      <end>84</end>
      <status>unmodified</status>
      <modifiedWord/>
      <trackRevisions>false</trackRevisions>
    </reviewItem>
    <reviewItem>
      <errorID>3c7a0a76-5c31-4814-ab60-463e8a05e8d1</errorID>
      <errorWord>“.</errorWord>
      <group>L1_Punc</group>
      <groupName>标点问题</groupName>
      <ability>L2_Punc</ability>
      <abilityName>标点符号检查</abilityName>
      <candidateList>
        <item>“</item>
      </candidateList>
      <explain/>
      <paraID>5909C4FA</paraID>
      <start>12</start>
      <end>14</end>
      <status>unmodified</status>
      <modifiedWord/>
      <trackRevisions>false</trackRevisions>
    </reviewItem>
    <reviewItem>
      <errorID>21a10911-d5bf-491e-9a47-44511f89c3bd</errorID>
      <errorWord>-</errorWord>
      <group>L1_Format</group>
      <groupName>格式问题</groupName>
      <ability>L2_HalfPunc</ability>
      <abilityName>全半角检查</abilityName>
      <candidateList>
        <item>－</item>
      </candidateList>
      <explain>文本全半角错误。</explain>
      <paraID>5909C4FA</paraID>
      <start>49</start>
      <end>50</end>
      <status>unmodified</status>
      <modifiedWord/>
      <trackRevisions>false</trackRevisions>
    </reviewItem>
    <reviewItem>
      <errorID>942a7f78-34c7-4c55-b574-79120766ad81</errorID>
      <errorWord>-</errorWord>
      <group>L1_Format</group>
      <groupName>格式问题</groupName>
      <ability>L2_HalfPunc</ability>
      <abilityName>全半角检查</abilityName>
      <candidateList>
        <item>－</item>
      </candidateList>
      <explain>文本全半角错误。</explain>
      <paraID>5909C4FA</paraID>
      <start>50</start>
      <end>51</end>
      <status>unmodified</status>
      <modifiedWord/>
      <trackRevisions>false</trackRevisions>
    </reviewItem>
    <reviewItem>
      <errorID>8f01c823-f240-4543-aab5-ff86d659505e</errorID>
      <errorWord>-</errorWord>
      <group>L1_Format</group>
      <groupName>格式问题</groupName>
      <ability>L2_HalfPunc</ability>
      <abilityName>全半角检查</abilityName>
      <candidateList>
        <item>－</item>
      </candidateList>
      <explain>文本全半角错误。</explain>
      <paraID>5909C4FA</paraID>
      <start>56</start>
      <end>57</end>
      <status>unmodified</status>
      <modifiedWord/>
      <trackRevisions>false</trackRevisions>
    </reviewItem>
    <reviewItem>
      <errorID>92644bf9-5ff7-4b7d-8cb0-a74660730da6</errorID>
      <errorWord>-</errorWord>
      <group>L1_Format</group>
      <groupName>格式问题</groupName>
      <ability>L2_HalfPunc</ability>
      <abilityName>全半角检查</abilityName>
      <candidateList>
        <item>－</item>
      </candidateList>
      <explain>文本全半角错误。</explain>
      <paraID>5909C4FA</paraID>
      <start>57</start>
      <end>58</end>
      <status>unmodified</status>
      <modifiedWord/>
      <trackRevisions>false</trackRevisions>
    </reviewItem>
    <reviewItem>
      <errorID>5499ad08-1446-422c-96ab-b62abbcf78f5</errorID>
      <errorWord>《</errorWord>
      <group>L1_Punc</group>
      <groupName>标点问题</groupName>
      <ability>L2_Punc</ability>
      <abilityName>标点符号检查</abilityName>
      <candidateList/>
      <explain>同一形式括号套用。</explain>
      <paraID>70E97768</paraID>
      <start>36</start>
      <end>37</end>
      <status>unmodified</status>
      <modifiedWord/>
      <trackRevisions>false</trackRevisions>
    </reviewItem>
    <reviewItem>
      <errorID>6e7e2d33-2ee9-4989-b2d1-5015e7313ab8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70E97768</paraID>
      <start>53</start>
      <end>56</end>
      <status>unmodified</status>
      <modifiedWord/>
      <trackRevisions>false</trackRevisions>
    </reviewItem>
    <reviewItem>
      <errorID>1959175b-7177-4229-a101-47cb096a97d1</errorID>
      <errorWord>》</errorWord>
      <group>L1_Punc</group>
      <groupName>标点问题</groupName>
      <ability>L2_Punc</ability>
      <abilityName>标点符号检查</abilityName>
      <candidateList/>
      <explain>同一形式括号套用。</explain>
      <paraID>70E97768</paraID>
      <start>72</start>
      <end>73</end>
      <status>unmodified</status>
      <modifiedWord/>
      <trackRevisions>false</trackRevisions>
    </reviewItem>
    <reviewItem>
      <errorID>324d20f5-4041-4733-8cb0-229d6b693854</errorID>
      <errorWord>(</errorWord>
      <group>L1_Format</group>
      <groupName>格式问题</groupName>
      <ability>L2_HalfPunc</ability>
      <abilityName>全半角检查</abilityName>
      <candidateList>
        <item>（</item>
      </candidateList>
      <explain>文本全半角错误。</explain>
      <paraID>7FDC254A</paraID>
      <start>120</start>
      <end>121</end>
      <status>unmodified</status>
      <modifiedWord/>
      <trackRevisions>false</trackRevisions>
    </reviewItem>
    <reviewItem>
      <errorID>f1ff7ed0-83a0-4ac8-8c8d-09b66ca8e471</errorID>
      <errorWord>)</errorWord>
      <group>L1_Format</group>
      <groupName>格式问题</groupName>
      <ability>L2_HalfPunc</ability>
      <abilityName>全半角检查</abilityName>
      <candidateList>
        <item>）</item>
      </candidateList>
      <explain>文本全半角错误。</explain>
      <paraID>7FDC254A</paraID>
      <start>158</start>
      <end>159</end>
      <status>unmodified</status>
      <modifiedWord/>
      <trackRevisions>false</trackRevisions>
    </reviewItem>
    <reviewItem>
      <errorID>de95938d-7022-40d4-8dfc-890a76e7d1ee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15C6061</paraID>
      <start>35</start>
      <end>38</end>
      <status>unmodified</status>
      <modifiedWord/>
      <trackRevisions>false</trackRevisions>
    </reviewItem>
    <reviewItem>
      <errorID>75ab4ae4-2001-4d73-8cfc-ffa1a8910a01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15C6061</paraID>
      <start>45</start>
      <end>48</end>
      <status>unmodified</status>
      <modifiedWord/>
      <trackRevisions>false</trackRevisions>
    </reviewItem>
    <reviewItem>
      <errorID>8b39e0b5-2901-4c01-9950-ca790cf7e377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605DB46F</paraID>
      <start>0</start>
      <end>2</end>
      <status>unmodified</status>
      <modifiedWord/>
      <trackRevisions>false</trackRevisions>
    </reviewItem>
    <reviewItem>
      <errorID>083f7251-d7c6-4f65-bbef-7c6c567d669a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65C56ADD</paraID>
      <start>0</start>
      <end>2</end>
      <status>unmodified</status>
      <modifiedWord/>
      <trackRevisions>false</trackRevisions>
    </reviewItem>
    <reviewItem>
      <errorID>d56e1069-71fa-43d4-a798-cf0830d79728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6206AE70</paraID>
      <start>0</start>
      <end>2</end>
      <status>unmodified</status>
      <modifiedWord/>
      <trackRevisions>false</trackRevisions>
    </reviewItem>
    <reviewItem>
      <errorID>c865852f-c776-4ee8-9a31-185a0d7da932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1BA76996</paraID>
      <start>0</start>
      <end>2</end>
      <status>unmodified</status>
      <modifiedWord/>
      <trackRevisions>false</trackRevisions>
    </reviewItem>
    <reviewItem>
      <errorID>57f45594-204e-48b8-8ca1-89398b7db1a6</errorID>
      <errorWord>按照按</errorWord>
      <group>L1_Word</group>
      <groupName>字词问题</groupName>
      <ability>L2_Typo</ability>
      <abilityName>字词错误</abilityName>
      <candidateList>
        <item>按照</item>
      </candidateList>
      <explain>〈介〉根据；依照：～法规办理｜～预定的计划执行。</explain>
      <paraID>50D1363D</paraID>
      <start>34</start>
      <end>37</end>
      <status>unmodified</status>
      <modifiedWord/>
      <trackRevisions>false</trackRevisions>
    </reviewItem>
    <reviewItem>
      <errorID>46839b31-3fc3-4152-9e89-0b135f9e8759</errorID>
      <errorWord>[2024]20号</errorWord>
      <group>L1_Knowledge</group>
      <groupName>知识性问题</groupName>
      <ability>L2_Knowledge</ability>
      <abilityName>其他知识</abilityName>
      <candidateList>
        <item>〔2024〕20号</item>
      </candidateList>
      <explain>发文字号格式错误。</explain>
      <paraID>50D1363D</paraID>
      <start>41</start>
      <end>50</end>
      <status>modified</status>
      <modifiedWord>〔2024〕20号</modifiedWord>
      <trackRevisions>false</trackRevisions>
    </reviewItem>
    <reviewItem>
      <errorID>7efbb28e-7536-41c4-89bd-1b5dba188d31</errorID>
      <errorWord>[2020]</errorWord>
      <group>L1_Punc</group>
      <groupName>标点问题</groupName>
      <ability>L2_Punc</ability>
      <abilityName>标点符号检查</abilityName>
      <candidateList>
        <item>〔2020〕</item>
      </candidateList>
      <explain/>
      <paraID>510F360C</paraID>
      <start>12</start>
      <end>18</end>
      <status>modified</status>
      <modifiedWord>〔2020〕</modifiedWord>
      <trackRevisions>false</trackRevisions>
    </reviewItem>
    <reviewItem>
      <errorID>271ceb8f-453c-4f72-a8fc-628faf9a0ab4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448AB89E</paraID>
      <start>0</start>
      <end>2</end>
      <status>unmodified</status>
      <modifiedWord/>
      <trackRevisions>false</trackRevisions>
    </reviewItem>
    <reviewItem>
      <errorID>6378c164-2b27-45fa-97f2-4ee382f23986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DF34078</paraID>
      <start>0</start>
      <end>2</end>
      <status>unmodified</status>
      <modifiedWord/>
      <trackRevisions>false</trackRevisions>
    </reviewItem>
    <reviewItem>
      <errorID>01a1d5c0-b6a6-4423-bf5e-7ace182ed395</errorID>
      <errorWord>有</errorWord>
      <group>L1_Word</group>
      <groupName>字词问题</groupName>
      <ability>L2_Typo</ability>
      <abilityName>字词错误</abilityName>
      <candidateList>
        <item>由</item>
      </candidateList>
      <explain>❶缘由：因～｜事～｜理～。❷〈介〉由于▲：咎～自取｜～感冒引起了肺炎。❸经过：必～之路。❹〈介〉表示经由：～南门入场。❺〈动〉顺随；听从：事不～己｜～着性子。❻〈介〉归（某人去做）：准备工作～我负责｜队长～你担任。❼〈介〉表示凭借：～此可知｜人体是～各种细胞组成的。❽〈介〉表示起点：～表及里｜～北京出发。</explain>
      <paraID>2BBA8634</paraID>
      <start>8</start>
      <end>9</end>
      <status>unmodified</status>
      <modifiedWord/>
      <trackRevisions>false</trackRevisions>
    </reviewItem>
    <reviewItem>
      <errorID>4fdb73b3-a778-4622-a7bf-92ed63e85b00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2F63B4C3</paraID>
      <start>0</start>
      <end>2</end>
      <status>unmodified</status>
      <modifiedWord/>
      <trackRevisions>false</trackRevisions>
    </reviewItem>
    <reviewItem>
      <errorID>c9dd1f03-b87e-46cf-8f15-f70e3c50eb1a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555FD283</paraID>
      <start>0</start>
      <end>2</end>
      <status>unmodified</status>
      <modifiedWord/>
      <trackRevisions>false</trackRevisions>
    </reviewItem>
    <reviewItem>
      <errorID>362b5233-fb21-46e2-9003-3d632d562fd0</errorID>
      <errorWord>间</errorWord>
      <group>L1_Word</group>
      <groupName>字词问题</groupName>
      <ability>L2_Typo</ability>
      <abilityName>字词错误</abilityName>
      <candidateList>
        <item>间之</item>
      </candidateList>
      <explain/>
      <paraID>6ACBD3AB</paraID>
      <start>10</start>
      <end>11</end>
      <status>unmodified</status>
      <modifiedWord/>
      <trackRevisions>false</trackRevisions>
    </reviewItem>
    <reviewItem>
      <errorID>6213d7c2-207a-4e28-9f6d-737379dd37d4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562F7144</paraID>
      <start>21</start>
      <end>24</end>
      <status>unmodified</status>
      <modifiedWord/>
      <trackRevisions>false</trackRevisions>
    </reviewItem>
    <reviewItem>
      <errorID>d6bd7767-3f69-44fd-bc0f-d2dd5b9dac19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562F7144</paraID>
      <start>31</start>
      <end>34</end>
      <status>unmodified</status>
      <modifiedWord/>
      <trackRevisions>false</trackRevisions>
    </reviewItem>
    <reviewItem>
      <errorID>6246f14d-5dfd-478b-9e86-94b04c37ce99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6BDD0402</paraID>
      <start>0</start>
      <end>2</end>
      <status>unmodified</status>
      <modifiedWord/>
      <trackRevisions>false</trackRevisions>
    </reviewItem>
    <reviewItem>
      <errorID>d471f427-ad3c-4b09-9396-5e2327f437d2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625E2236</paraID>
      <start>0</start>
      <end>3</end>
      <status>unmodified</status>
      <modifiedWord/>
      <trackRevisions>false</trackRevisions>
    </reviewItem>
    <reviewItem>
      <errorID>93cbb88b-3f8b-477d-8377-6030452d017a</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68C63AE1</paraID>
      <start>0</start>
      <end>3</end>
      <status>unmodified</status>
      <modifiedWord/>
      <trackRevisions>false</trackRevisions>
    </reviewItem>
    <reviewItem>
      <errorID>dac85d5a-b23f-496b-8827-1b07391eda3e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179D2456</paraID>
      <start>0</start>
      <end>3</end>
      <status>unmodified</status>
      <modifiedWord/>
      <trackRevisions>false</trackRevisions>
    </reviewItem>
    <reviewItem>
      <errorID>c5028a23-9d80-4c4f-b7a0-e68f7e9d18eb</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5355EA35</paraID>
      <start>0</start>
      <end>3</end>
      <status>unmodified</status>
      <modifiedWord/>
      <trackRevisions>false</trackRevisions>
    </reviewItem>
    <reviewItem>
      <errorID>ac82f019-0ca1-4092-8342-49e1dab4014f</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675C77A5</paraID>
      <start>0</start>
      <end>3</end>
      <status>unmodified</status>
      <modifiedWord/>
      <trackRevisions>false</trackRevisions>
    </reviewItem>
    <reviewItem>
      <errorID>6d839dcf-8909-42dd-8dd7-f11f8c2273f0</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705B64DB</paraID>
      <start>0</start>
      <end>3</end>
      <status>unmodified</status>
      <modifiedWord/>
      <trackRevisions>false</trackRevisions>
    </reviewItem>
    <reviewItem>
      <errorID>e9cbd00a-dafa-4a91-966a-559f7dcc5d0f</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7F34DC92</paraID>
      <start>0</start>
      <end>3</end>
      <status>unmodified</status>
      <modifiedWord/>
      <trackRevisions>false</trackRevisions>
    </reviewItem>
    <reviewItem>
      <errorID>13e2f3ef-fbb7-4003-bb9a-09478179afa1</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4D41288D</paraID>
      <start>0</start>
      <end>3</end>
      <status>unmodified</status>
      <modifiedWord/>
      <trackRevisions>false</trackRevisions>
    </reviewItem>
    <reviewItem>
      <errorID>b54fc980-a34e-41fd-b162-95552053233e</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13169A13</paraID>
      <start>0</start>
      <end>3</end>
      <status>unmodified</status>
      <modifiedWord/>
      <trackRevisions>false</trackRevisions>
    </reviewItem>
    <reviewItem>
      <errorID>8dcb8c0a-2e4e-4643-b99b-38ebfb02fed4</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4669E290</paraID>
      <start>0</start>
      <end>3</end>
      <status>unmodified</status>
      <modifiedWord/>
      <trackRevisions>false</trackRevisions>
    </reviewItem>
    <reviewItem>
      <errorID>85928960-a473-42d3-8708-e00e2d98966b</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6A97C9CC</paraID>
      <start>0</start>
      <end>3</end>
      <status>unmodified</status>
      <modifiedWord/>
      <trackRevisions>false</trackRevisions>
    </reviewItem>
    <reviewItem>
      <errorID>d1366aee-80b4-4b57-b215-4f486d110ea1</errorID>
      <errorWord>间</errorWord>
      <group>L1_Word</group>
      <groupName>字词问题</groupName>
      <ability>L2_Typo</ability>
      <abilityName>字词错误</abilityName>
      <candidateList>
        <item>间之</item>
      </candidateList>
      <explain/>
      <paraID>7F0D667A</paraID>
      <start>10</start>
      <end>11</end>
      <status>unmodified</status>
      <modifiedWord/>
      <trackRevisions>false</trackRevisions>
    </reviewItem>
    <reviewItem>
      <errorID>5d3c3047-2e77-4cd4-bc6e-9ce2d2110bdb</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4EEB05AF</paraID>
      <start>0</start>
      <end>3</end>
      <status>unmodified</status>
      <modifiedWord/>
      <trackRevisions>false</trackRevisions>
    </reviewItem>
    <reviewItem>
      <errorID>4c72fe88-5d81-4388-9f08-e683d5f2694e</errorID>
      <errorWord>过程中涉及到</errorWord>
      <group>L1_Word</group>
      <groupName>字词问题</groupName>
      <ability>L2_Typo</ability>
      <abilityName>字词错误</abilityName>
      <candidateList>
        <item>过程中涉及</item>
      </candidateList>
      <explain/>
      <paraID>5458727F</paraID>
      <start>10</start>
      <end>16</end>
      <status>unmodified</status>
      <modifiedWord/>
      <trackRevisions>false</trackRevisions>
    </reviewItem>
    <reviewItem>
      <errorID>65f550cd-1628-4ab3-ba58-3541c9f9c1f0</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79F5C3B5</paraID>
      <start>0</start>
      <end>3</end>
      <status>unmodified</status>
      <modifiedWord/>
      <trackRevisions>false</trackRevisions>
    </reviewItem>
    <reviewItem>
      <errorID>35d40309-c2bd-4477-ab97-db01918b31d4</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6011FFC1</paraID>
      <start>0</start>
      <end>3</end>
      <status>unmodified</status>
      <modifiedWord/>
      <trackRevisions>false</trackRevisions>
    </reviewItem>
    <reviewItem>
      <errorID>59647738-a223-4d09-a740-3ca4782991af</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637C4A09</paraID>
      <start>0</start>
      <end>3</end>
      <status>unmodified</status>
      <modifiedWord/>
      <trackRevisions>false</trackRevisions>
    </reviewItem>
    <reviewItem>
      <errorID>50b969e0-a925-490c-a4fe-996d75270b07</errorID>
      <errorWord>有助于对</errorWord>
      <group>L1_Grammar</group>
      <groupName>语法问题</groupName>
      <ability>L2_Grammar</ability>
      <abilityName>语法错误</abilityName>
      <candidateList>
        <item>有助于</item>
      </candidateList>
      <explain/>
      <paraID> F9E2751</paraID>
      <start>10</start>
      <end>14</end>
      <status>unmodified</status>
      <modifiedWord/>
      <trackRevisions>false</trackRevisions>
    </reviewItem>
    <reviewItem>
      <errorID>17d1eaa1-8a6c-4614-a9e0-ca99fce45704</errorID>
      <errorWord>做出</errorWord>
      <group>L1_Word</group>
      <groupName>字词问题</groupName>
      <ability>L2_Typo</ability>
      <abilityName>字词错误</abilityName>
      <candidateList>
        <item>作出</item>
      </candidateList>
      <explain/>
      <paraID>51C94DFE</paraID>
      <start>51</start>
      <end>53</end>
      <status>modified</status>
      <modifiedWord>作出</modifiedWord>
      <trackRevisions>false</trackRevisions>
    </reviewItem>
    <reviewItem>
      <errorID>cb29c7eb-0819-4786-a048-5e7524b42115</errorID>
      <errorWord>做出</errorWord>
      <group>L1_Word</group>
      <groupName>字词问题</groupName>
      <ability>L2_Typo</ability>
      <abilityName>字词错误</abilityName>
      <candidateList>
        <item>作出</item>
      </candidateList>
      <explain/>
      <paraID>6EBEC73B</paraID>
      <start>27</start>
      <end>29</end>
      <status>modified</status>
      <modifiedWord>作出</modifiedWord>
      <trackRevisions>false</trackRevisions>
    </reviewItem>
    <reviewItem>
      <errorID>f6ffac25-240e-4036-9914-1d7a36f2b8d7</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4A83B1C8</paraID>
      <start>0</start>
      <end>3</end>
      <status>unmodified</status>
      <modifiedWord/>
      <trackRevisions>false</trackRevisions>
    </reviewItem>
    <reviewItem>
      <errorID>f421f8a1-994b-4d6e-bb0b-efd2ef2b524e</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710AC1E2</paraID>
      <start>57</start>
      <end>58</end>
      <status>unmodified</status>
      <modifiedWord/>
      <trackRevisions>false</trackRevisions>
    </reviewItem>
    <reviewItem>
      <errorID>c2b271b2-5d3c-4062-a1f2-c9f8f22f45b5</errorID>
      <errorWord>"</errorWord>
      <group>L1_Format</group>
      <groupName>格式问题</groupName>
      <ability>L2_HalfPunc</ability>
      <abilityName>全半角检查</abilityName>
      <candidateList>
        <item>”</item>
      </candidateList>
      <explain>文本全半角错误。</explain>
      <paraID>710AC1E2</paraID>
      <start>65</start>
      <end>66</end>
      <status>unmodified</status>
      <modifiedWord/>
      <trackRevisions>false</trackRevisions>
    </reviewItem>
    <reviewItem>
      <errorID>094a7be0-1242-4e20-9a6f-b7c6ece3c632</errorID>
      <errorWord>)</errorWord>
      <group>L1_Format</group>
      <groupName>格式问题</groupName>
      <ability>L2_HalfPunc</ability>
      <abilityName>全半角检查</abilityName>
      <candidateList>
        <item>）</item>
      </candidateList>
      <explain>文本全半角错误。</explain>
      <paraID>710AC1E2</paraID>
      <start>89</start>
      <end>90</end>
      <status>unmodified</status>
      <modifiedWord/>
      <trackRevisions>false</trackRevisions>
    </reviewItem>
    <reviewItem>
      <errorID>1db633f7-f80b-487a-9d89-2960c25ae431</errorID>
      <errorWord>,</errorWord>
      <group>L1_Format</group>
      <groupName>格式问题</groupName>
      <ability>L2_HalfPunc</ability>
      <abilityName>全半角检查</abilityName>
      <candidateList>
        <item>，</item>
      </candidateList>
      <explain>文本全半角错误。</explain>
      <paraID>4E56FEEF</paraID>
      <start>57</start>
      <end>58</end>
      <status>unmodified</status>
      <modifiedWord/>
      <trackRevisions>false</trackRevisions>
    </reviewItem>
    <reviewItem>
      <errorID>4b84a020-96eb-48fe-8755-ecda5ed8bfc8</errorID>
      <errorWord>不</errorWord>
      <group>L1_Word</group>
      <groupName>字词问题</groupName>
      <ability>L2_Typo</ability>
      <abilityName>字词错误</abilityName>
      <candidateList>
        <item>不符</item>
      </candidateList>
      <explain/>
      <paraID>41ECFBAA</paraID>
      <start>46</start>
      <end>47</end>
      <status>unmodified</status>
      <modifiedWord/>
      <trackRevisions>false</trackRevisions>
    </reviewItem>
    <reviewItem>
      <errorID>bbca85bd-3820-4b51-a975-3fe27b62ecd7</errorID>
      <errorWord>保持通讯畅通</errorWord>
      <group>L1_Word</group>
      <groupName>字词问题</groupName>
      <ability>L2_Typo</ability>
      <abilityName>字词错误</abilityName>
      <candidateList>
        <item>保持通信畅通</item>
      </candidateList>
      <explain/>
      <paraID>70D6FE3A</paraID>
      <start>18</start>
      <end>24</end>
      <status>unmodified</status>
      <modifiedWord/>
      <trackRevisions>false</trackRevisions>
    </reviewItem>
    <reviewItem>
      <errorID>64b8a9ff-4e5b-433c-894d-45c08a079201</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3BEFE394</paraID>
      <start>0</start>
      <end>3</end>
      <status>unmodified</status>
      <modifiedWord/>
      <trackRevisions>false</trackRevisions>
    </reviewItem>
    <reviewItem>
      <errorID>b3206eed-2b66-4bcb-84f8-2b9d8465bc08</errorID>
      <errorWord>(</errorWord>
      <group>L1_Format</group>
      <groupName>格式问题</groupName>
      <ability>L2_HalfPunc</ability>
      <abilityName>全半角检查</abilityName>
      <candidateList>
        <item>（</item>
      </candidateList>
      <explain>文本全半角错误。</explain>
      <paraID>74DAD8F5</paraID>
      <start>61</start>
      <end>62</end>
      <status>unmodified</status>
      <modifiedWord/>
      <trackRevisions>false</trackRevisions>
    </reviewItem>
    <reviewItem>
      <errorID>f742136c-c877-437a-83a5-843cabd77d01</errorID>
      <errorWord>)</errorWord>
      <group>L1_Format</group>
      <groupName>格式问题</groupName>
      <ability>L2_HalfPunc</ability>
      <abilityName>全半角检查</abilityName>
      <candidateList>
        <item>）</item>
      </candidateList>
      <explain>文本全半角错误。</explain>
      <paraID>74DAD8F5</paraID>
      <start>84</start>
      <end>85</end>
      <status>unmodified</status>
      <modifiedWord/>
      <trackRevisions>false</trackRevisions>
    </reviewItem>
    <reviewItem>
      <errorID>ae3e6dc4-0039-428f-aa16-029beee6c25f</errorID>
      <errorWord>&lt;</errorWord>
      <group>L1_Format</group>
      <groupName>格式问题</groupName>
      <ability>L2_HalfPunc</ability>
      <abilityName>全半角检查</abilityName>
      <candidateList>
        <item>〈</item>
      </candidateList>
      <explain>文本全半角错误。</explain>
      <paraID>73AEE001</paraID>
      <start>56</start>
      <end>57</end>
      <status>unmodified</status>
      <modifiedWord/>
      <trackRevisions>false</trackRevisions>
    </reviewItem>
    <reviewItem>
      <errorID>1ec00452-c4eb-4092-a482-23d14fd8117e</errorID>
      <errorWord>&lt;</errorWord>
      <group>L1_Format</group>
      <groupName>格式问题</groupName>
      <ability>L2_HalfPunc</ability>
      <abilityName>全半角检查</abilityName>
      <candidateList>
        <item>〈</item>
      </candidateList>
      <explain>文本全半角错误。</explain>
      <paraID>66CB1A87</paraID>
      <start>56</start>
      <end>57</end>
      <status>unmodified</status>
      <modifiedWord/>
      <trackRevisions>false</trackRevisions>
    </reviewItem>
    <reviewItem>
      <errorID>288a93b8-d5d5-448d-8dfb-37a1a3952f43</errorID>
      <errorWord>&lt;</errorWord>
      <group>L1_Format</group>
      <groupName>格式问题</groupName>
      <ability>L2_HalfPunc</ability>
      <abilityName>全半角检查</abilityName>
      <candidateList>
        <item>〈</item>
      </candidateList>
      <explain>文本全半角错误。</explain>
      <paraID>5FD596DA</paraID>
      <start>41</start>
      <end>42</end>
      <status>unmodified</status>
      <modifiedWord/>
      <trackRevisions>false</trackRevisions>
    </reviewItem>
    <reviewItem>
      <errorID>ea15d697-48ce-49a7-9188-16cb5be663c6</errorID>
      <errorWord>法律、法规</errorWord>
      <group>L1_Word</group>
      <groupName>字词问题</groupName>
      <ability>L2_Typo</ability>
      <abilityName>字词错误</abilityName>
      <candidateList>
        <item>法律法规</item>
      </candidateList>
      <explain/>
      <paraID>63D3FA08</paraID>
      <start>9</start>
      <end>14</end>
      <status>unmodified</status>
      <modifiedWord/>
      <trackRevisions>false</trackRevisions>
    </reviewItem>
    <reviewItem>
      <errorID>2178d921-c47b-4546-b45a-1c240c2c7ce6</errorID>
      <errorWord>属</errorWord>
      <group>L1_Word</group>
      <groupName>字词问题</groupName>
      <ability>L2_Typo</ability>
      <abilityName>字词错误</abilityName>
      <candidateList>
        <item>属于</item>
      </candidateList>
      <explain/>
      <paraID>63D3FA08</paraID>
      <start>23</start>
      <end>24</end>
      <status>unmodified</status>
      <modifiedWord/>
      <trackRevisions>false</trackRevisions>
    </reviewItem>
    <reviewItem>
      <errorID>f840ae59-4786-4f39-a642-a8e6617b56ff</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30B09B8B</paraID>
      <start>0</start>
      <end>3</end>
      <status>unmodified</status>
      <modifiedWord/>
      <trackRevisions>false</trackRevisions>
    </reviewItem>
    <reviewItem>
      <errorID>00c3f6bd-138a-49bb-8a77-c280d231da73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76634FB8</paraID>
      <start>19</start>
      <end>22</end>
      <status>unmodified</status>
      <modifiedWord/>
      <trackRevisions>false</trackRevisions>
    </reviewItem>
    <reviewItem>
      <errorID>7cc4233a-6072-4bd4-8b5e-549cafcae8cc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76634FB8</paraID>
      <start>29</start>
      <end>32</end>
      <status>unmodified</status>
      <modifiedWord/>
      <trackRevisions>false</trackRevisions>
    </reviewItem>
    <reviewItem>
      <errorID>8bed864d-105d-48b6-a8a6-7b57343fadd5</errorID>
      <errorWord>法律、法规</errorWord>
      <group>L1_Word</group>
      <groupName>字词问题</groupName>
      <ability>L2_Typo</ability>
      <abilityName>字词错误</abilityName>
      <candidateList>
        <item>法律法规</item>
      </candidateList>
      <explain/>
      <paraID>13F676BF</paraID>
      <start>9</start>
      <end>14</end>
      <status>unmodified</status>
      <modifiedWord/>
      <trackRevisions>false</trackRevisions>
    </reviewItem>
    <reviewItem>
      <errorID>f1fb67c3-daf0-4805-b77a-401cde248f9b</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3B6EC060</paraID>
      <start>0</start>
      <end>3</end>
      <status>unmodified</status>
      <modifiedWord/>
      <trackRevisions>false</trackRevisions>
    </reviewItem>
    <reviewItem>
      <errorID>7da4a763-ba6a-4733-a752-d8ed521243c7</errorID>
      <errorWord>《政府采购法》</errorWord>
      <group>L1_Word</group>
      <groupName>字词问题</groupName>
      <ability>L2_Typo</ability>
      <abilityName>字词错误</abilityName>
      <candidateList>
        <item>《中华人民共和国政府采购法》</item>
      </candidateList>
      <explain/>
      <paraID>511E74DB</paraID>
      <start>86</start>
      <end>93</end>
      <status>unmodified</status>
      <modifiedWord/>
      <trackRevisions>false</trackRevisions>
    </reviewItem>
    <reviewItem>
      <errorID>d82f1765-3a7b-481c-be24-92b9864d7cdd</errorID>
      <errorWord>提出质疑</errorWord>
      <group>L1_Grammar</group>
      <groupName>语法问题</groupName>
      <ability>L2_Grammar</ability>
      <abilityName>语法错误</abilityName>
      <candidateList>
        <item>质疑</item>
      </candidateList>
      <explain>〈动〉提出疑问：～问难。</explain>
      <paraID>299BA792</paraID>
      <start>139</start>
      <end>143</end>
      <status>unmodified</status>
      <modifiedWord/>
      <trackRevisions>false</trackRevisions>
    </reviewItem>
    <reviewItem>
      <errorID>764eae30-25a0-4c26-b0e6-0152c1dfe2ed</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2C9AE3A3</paraID>
      <start>0</start>
      <end>3</end>
      <status>unmodified</status>
      <modifiedWord/>
      <trackRevisions>false</trackRevisions>
    </reviewItem>
    <reviewItem>
      <errorID>2ffe163f-4d27-48de-a128-2834933d86b1</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220C10F3</paraID>
      <start>0</start>
      <end>3</end>
      <status>unmodified</status>
      <modifiedWord/>
      <trackRevisions>false</trackRevisions>
    </reviewItem>
    <reviewItem>
      <errorID>6a6e1782-5f63-4c28-983c-069e7c643f8a</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6966C452</paraID>
      <start>0</start>
      <end>3</end>
      <status>unmodified</status>
      <modifiedWord/>
      <trackRevisions>false</trackRevisions>
    </reviewItem>
    <reviewItem>
      <errorID>83ef4481-3e8c-4b2e-8d0f-e71c02f3e4ee</errorID>
      <errorWord>签定</errorWord>
      <group>L1_Word</group>
      <groupName>字词问题</groupName>
      <ability>L2_Typo</ability>
      <abilityName>字词错误</abilityName>
      <candidateList>
        <item>签订</item>
      </candidateList>
      <explain>存在发音相同字词的误用。</explain>
      <paraID> DFA0011</paraID>
      <start>6</start>
      <end>8</end>
      <status>modified</status>
      <modifiedWord>签订</modifiedWord>
      <trackRevisions>false</trackRevisions>
    </reviewItem>
    <reviewItem>
      <errorID>76612af7-dfde-4502-9a5d-e57ce3d2ed23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63BCA33</paraID>
      <start>15</start>
      <end>18</end>
      <status>unmodified</status>
      <modifiedWord/>
      <trackRevisions>false</trackRevisions>
    </reviewItem>
    <reviewItem>
      <errorID>d06ad4db-dff7-45e3-b0fe-79beefa34400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2F989516</paraID>
      <start>0</start>
      <end>2</end>
      <status>unmodified</status>
      <modifiedWord/>
      <trackRevisions>false</trackRevisions>
    </reviewItem>
    <reviewItem>
      <errorID>76c7d981-ec9c-4548-8c31-d51a2bc68257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1CE3F37C</paraID>
      <start>0</start>
      <end>2</end>
      <status>unmodified</status>
      <modifiedWord/>
      <trackRevisions>false</trackRevisions>
    </reviewItem>
    <reviewItem>
      <errorID>7fe1e9cf-7121-493a-a3ee-993bac10109f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721B3C12</paraID>
      <start>0</start>
      <end>2</end>
      <status>unmodified</status>
      <modifiedWord/>
      <trackRevisions>false</trackRevisions>
    </reviewItem>
    <reviewItem>
      <errorID>78d8ca09-9227-4ab2-bf9e-003e73d41b2c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5EF398CD</paraID>
      <start>0</start>
      <end>2</end>
      <status>unmodified</status>
      <modifiedWord/>
      <trackRevisions>false</trackRevisions>
    </reviewItem>
    <reviewItem>
      <errorID>33c6e5d8-7b54-4e84-8880-e435c65e69ed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52FB5B76</paraID>
      <start>0</start>
      <end>2</end>
      <status>unmodified</status>
      <modifiedWord/>
      <trackRevisions>false</trackRevisions>
    </reviewItem>
    <reviewItem>
      <errorID>ed895af2-5859-4dc4-8a52-24afa4147303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69A1227E</paraID>
      <start>0</start>
      <end>2</end>
      <status>unmodified</status>
      <modifiedWord/>
      <trackRevisions>false</trackRevisions>
    </reviewItem>
    <reviewItem>
      <errorID>71ab5604-2766-40fa-885f-e82585712943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B55FEE0</paraID>
      <start>0</start>
      <end>2</end>
      <status>unmodified</status>
      <modifiedWord/>
      <trackRevisions>false</trackRevisions>
    </reviewItem>
    <reviewItem>
      <errorID>b4e7229e-7181-4f01-bf2e-5bde2611a319</errorID>
      <errorWord>围</errorWord>
      <group>L1_Word</group>
      <groupName>字词问题</groupName>
      <ability>L2_Typo</ability>
      <abilityName>字词错误</abilityName>
      <candidateList>
        <item>围内</item>
      </candidateList>
      <explain/>
      <paraID>333FDC9C</paraID>
      <start>15</start>
      <end>16</end>
      <status>unmodified</status>
      <modifiedWord/>
      <trackRevisions>false</trackRevisions>
    </reviewItem>
    <reviewItem>
      <errorID>6c3a304b-ad7f-48d1-9695-d7329b6d2655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2BE8BC63</paraID>
      <start>0</start>
      <end>2</end>
      <status>unmodified</status>
      <modifiedWord/>
      <trackRevisions>false</trackRevisions>
    </reviewItem>
    <reviewItem>
      <errorID>c30f25b3-d5ce-41ed-b187-d78c1b737b0c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2F39BD8D</paraID>
      <start>0</start>
      <end>2</end>
      <status>unmodified</status>
      <modifiedWord/>
      <trackRevisions>false</trackRevisions>
    </reviewItem>
    <reviewItem>
      <errorID>239ac920-3f72-45dd-a466-82473755fe5a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183BC89D</paraID>
      <start>0</start>
      <end>3</end>
      <status>unmodified</status>
      <modifiedWord/>
      <trackRevisions>false</trackRevisions>
    </reviewItem>
    <reviewItem>
      <errorID>2a42975a-ca1f-492b-bc00-6758993e40d6</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5D839B47</paraID>
      <start>0</start>
      <end>3</end>
      <status>unmodified</status>
      <modifiedWord/>
      <trackRevisions>false</trackRevisions>
    </reviewItem>
    <reviewItem>
      <errorID>1940c22e-a325-4690-8a1a-d2ddd4c6bc3d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660CDFBD</paraID>
      <start>0</start>
      <end>3</end>
      <status>unmodified</status>
      <modifiedWord/>
      <trackRevisions>false</trackRevisions>
    </reviewItem>
    <reviewItem>
      <errorID>3ac7b484-6474-4be3-9861-28f08061c680</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2B219C65</paraID>
      <start>0</start>
      <end>3</end>
      <status>unmodified</status>
      <modifiedWord/>
      <trackRevisions>false</trackRevisions>
    </reviewItem>
    <reviewItem>
      <errorID>99d6688f-c606-4f52-b62f-65e9230c8b48</errorID>
      <errorWord>作好</errorWord>
      <group>L1_Word</group>
      <groupName>字词问题</groupName>
      <ability>L2_Typo</ability>
      <abilityName>字词错误</abilityName>
      <candidateList>
        <item>做好</item>
      </candidateList>
      <explain/>
      <paraID> A69B334</paraID>
      <start>13</start>
      <end>15</end>
      <status>modified</status>
      <modifiedWord>做好</modifiedWord>
      <trackRevisions>false</trackRevisions>
    </reviewItem>
    <reviewItem>
      <errorID>b05201b7-3ded-4b0a-8466-fbdb585e2a54</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6FAE8431</paraID>
      <start>0</start>
      <end>3</end>
      <status>unmodified</status>
      <modifiedWord/>
      <trackRevisions>false</trackRevisions>
    </reviewItem>
    <reviewItem>
      <errorID>6a6bb500-9a69-4372-a85c-223dfbc61452</errorID>
      <errorWord>用</errorWord>
      <group>L1_Word</group>
      <groupName>字词问题</groupName>
      <ability>L2_Typo</ability>
      <abilityName>字词错误</abilityName>
      <candidateList>
        <item>用由</item>
      </candidateList>
      <explain/>
      <paraID>26A38514</paraID>
      <start>112</start>
      <end>113</end>
      <status>unmodified</status>
      <modifiedWord/>
      <trackRevisions>false</trackRevisions>
    </reviewItem>
    <reviewItem>
      <errorID>e59d0ee9-7488-40dd-a657-58725b25f2dd</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1FE900A9</paraID>
      <start>0</start>
      <end>3</end>
      <status>unmodified</status>
      <modifiedWord/>
      <trackRevisions>false</trackRevisions>
    </reviewItem>
    <reviewItem>
      <errorID>6db897ac-c7d3-4484-9e7b-4ce2277b6c21</errorID>
      <errorWord>,</errorWord>
      <group>L1_Format</group>
      <groupName>格式问题</groupName>
      <ability>L2_HalfPunc</ability>
      <abilityName>全半角检查</abilityName>
      <candidateList>
        <item>，</item>
      </candidateList>
      <explain>文本全半角错误。</explain>
      <paraID>1543AFEE</paraID>
      <start>27</start>
      <end>28</end>
      <status>unmodified</status>
      <modifiedWord/>
      <trackRevisions>false</trackRevisions>
    </reviewItem>
    <reviewItem>
      <errorID>3a28a3c8-10a4-4ba5-9000-d19d33887dc2</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432E4F6E</paraID>
      <start>0</start>
      <end>3</end>
      <status>unmodified</status>
      <modifiedWord/>
      <trackRevisions>false</trackRevisions>
    </reviewItem>
    <reviewItem>
      <errorID>756894fe-7dbc-46f7-97d2-47602491444b</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7EF224E</paraID>
      <start>0</start>
      <end>3</end>
      <status>unmodified</status>
      <modifiedWord/>
      <trackRevisions>false</trackRevisions>
    </reviewItem>
    <reviewItem>
      <errorID>c863f6a4-5e0e-481c-a8df-bf6c665c7937</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15167606</paraID>
      <start>0</start>
      <end>3</end>
      <status>unmodified</status>
      <modifiedWord/>
      <trackRevisions>false</trackRevisions>
    </reviewItem>
    <reviewItem>
      <errorID>ad5fcea5-f80e-42da-9aee-7231fd23416b</errorID>
      <errorWord>其它</errorWord>
      <group>L1_Word</group>
      <groupName>字词问题</groupName>
      <ability>L2_Alias</ability>
      <abilityName>也作/曾用词</abilityName>
      <candidateList>
        <item>其他</item>
      </candidateList>
      <explain>词汇[其它]为不规范表述或旧称，其规范书面表述为[其他]。</explain>
      <paraID>15167606</paraID>
      <start>5</start>
      <end>7</end>
      <status>modified</status>
      <modifiedWord>其他</modifiedWord>
      <trackRevisions>false</trackRevisions>
    </reviewItem>
    <reviewItem>
      <errorID>cbcf4d30-6f45-4755-b6f4-f7dac2cf9a6b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4526E967</paraID>
      <start>0</start>
      <end>2</end>
      <status>unmodified</status>
      <modifiedWord/>
      <trackRevisions>false</trackRevisions>
    </reviewItem>
    <reviewItem>
      <errorID>4961792c-d9c6-4777-8cbd-3b3325de18d3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2E436B81</paraID>
      <start>0</start>
      <end>2</end>
      <status>unmodified</status>
      <modifiedWord/>
      <trackRevisions>false</trackRevisions>
    </reviewItem>
    <reviewItem>
      <errorID>ea8ea913-1531-4c4f-be98-3bb31c181bff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89C5DC</paraID>
      <start>0</start>
      <end>2</end>
      <status>unmodified</status>
      <modifiedWord/>
      <trackRevisions>false</trackRevisions>
    </reviewItem>
    <reviewItem>
      <errorID>7e6807fe-4629-45cd-8266-74074bfd3c3f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2BB1BFC5</paraID>
      <start>0</start>
      <end>2</end>
      <status>unmodified</status>
      <modifiedWord/>
      <trackRevisions>false</trackRevisions>
    </reviewItem>
    <reviewItem>
      <errorID>26fa282e-0cbe-4f85-a271-5f680a5fb3cf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19D15E99</paraID>
      <start>0</start>
      <end>2</end>
      <status>unmodified</status>
      <modifiedWord/>
      <trackRevisions>false</trackRevisions>
    </reviewItem>
    <reviewItem>
      <errorID>d113be2b-62b6-4a5e-815e-dba4a1f3479e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6573817B</paraID>
      <start>0</start>
      <end>2</end>
      <status>unmodified</status>
      <modifiedWord/>
      <trackRevisions>false</trackRevisions>
    </reviewItem>
    <reviewItem>
      <errorID>248d1a0d-74ad-415c-a85c-978fa3d3fd5b</errorID>
      <errorWord>安全的</errorWord>
      <group>L1_Word</group>
      <groupName>字词问题</groupName>
      <ability>L2_Typo</ability>
      <abilityName>字词错误</abilityName>
      <candidateList>
        <item>安全</item>
      </candidateList>
      <explain>〈形〉没有危险；不受威胁；不出事故：～操作｜～地带｜注意交通～。</explain>
      <paraID>6573817B</paraID>
      <start>26</start>
      <end>29</end>
      <status>unmodified</status>
      <modifiedWord/>
      <trackRevisions>false</trackRevisions>
    </reviewItem>
    <reviewItem>
      <errorID>0b65ef1d-30f6-4bef-a24f-04b63ea7713e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4EEDB5FA</paraID>
      <start>0</start>
      <end>2</end>
      <status>unmodified</status>
      <modifiedWord/>
      <trackRevisions>false</trackRevisions>
    </reviewItem>
    <reviewItem>
      <errorID>9eb0ed48-9c28-4798-a2ee-e3d64be36cba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297C63F</paraID>
      <start>0</start>
      <end>2</end>
      <status>unmodified</status>
      <modifiedWord/>
      <trackRevisions>false</trackRevisions>
    </reviewItem>
    <reviewItem>
      <errorID>bf939159-328b-4d25-881a-caf1fd7219c5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2B2C82E3</paraID>
      <start>0</start>
      <end>2</end>
      <status>unmodified</status>
      <modifiedWord/>
      <trackRevisions>false</trackRevisions>
    </reviewItem>
    <reviewItem>
      <errorID>059bc127-0dc8-4d67-a151-1cd57de04fc9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1AFD6430</paraID>
      <start>0</start>
      <end>2</end>
      <status>unmodified</status>
      <modifiedWord/>
      <trackRevisions>false</trackRevisions>
    </reviewItem>
    <reviewItem>
      <errorID>43173f8b-2487-41da-b0a0-7e7c5aec2797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6BF2D398</paraID>
      <start>0</start>
      <end>2</end>
      <status>unmodified</status>
      <modifiedWord/>
      <trackRevisions>false</trackRevisions>
    </reviewItem>
    <reviewItem>
      <errorID>51c61c03-26c1-492d-9812-f2422c9877d2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1A30C662</paraID>
      <start>0</start>
      <end>2</end>
      <status>unmodified</status>
      <modifiedWord/>
      <trackRevisions>false</trackRevisions>
    </reviewItem>
    <reviewItem>
      <errorID>e63b78da-449c-4cb9-bfcc-4af185a44155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1460D52C</paraID>
      <start>0</start>
      <end>2</end>
      <status>unmodified</status>
      <modifiedWord/>
      <trackRevisions>false</trackRevisions>
    </reviewItem>
    <reviewItem>
      <errorID>35500f5f-45bf-41f5-a357-3fc81c777683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6003BC0</paraID>
      <start>0</start>
      <end>3</end>
      <status>unmodified</status>
      <modifiedWord/>
      <trackRevisions>false</trackRevisions>
    </reviewItem>
    <reviewItem>
      <errorID>f511cb86-4ead-4fad-8b12-0185d273c9df</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5CC3484F</paraID>
      <start>0</start>
      <end>3</end>
      <status>unmodified</status>
      <modifiedWord/>
      <trackRevisions>false</trackRevisions>
    </reviewItem>
    <reviewItem>
      <errorID>6685473b-0e18-40f7-827f-a6530bb96db1</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23942F15</paraID>
      <start>0</start>
      <end>3</end>
      <status>unmodified</status>
      <modifiedWord/>
      <trackRevisions>false</trackRevisions>
    </reviewItem>
    <reviewItem>
      <errorID>d3c83602-741c-4ee1-aa72-af123e9c359b</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4A0C3E72</paraID>
      <start>0</start>
      <end>3</end>
      <status>unmodified</status>
      <modifiedWord/>
      <trackRevisions>false</trackRevisions>
    </reviewItem>
    <reviewItem>
      <errorID>a4e249d7-48c5-4242-ab9e-1340c2ff80ac</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1D311D5</paraID>
      <start>0</start>
      <end>3</end>
      <status>unmodified</status>
      <modifiedWord/>
      <trackRevisions>false</trackRevisions>
    </reviewItem>
    <reviewItem>
      <errorID>4a118d46-6036-4eec-b853-1020c2611dd6</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4F7533A7</paraID>
      <start>0</start>
      <end>3</end>
      <status>unmodified</status>
      <modifiedWord/>
      <trackRevisions>false</trackRevisions>
    </reviewItem>
    <reviewItem>
      <errorID>ef8a26cc-c544-4ada-8716-ebc732459ac9</errorID>
      <errorWord>建立健全的</errorWord>
      <group>L1_Word</group>
      <groupName>字词问题</groupName>
      <ability>L2_Typo</ability>
      <abilityName>字词错误</abilityName>
      <candidateList>
        <item>建立健全</item>
      </candidateList>
      <explain/>
      <paraID>4F7533A7</paraID>
      <start>21</start>
      <end>26</end>
      <status>unmodified</status>
      <modifiedWord/>
      <trackRevisions>false</trackRevisions>
    </reviewItem>
    <reviewItem>
      <errorID>da9ead4c-4fc5-403f-9a4b-dcda4cb08c6b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362427</paraID>
      <start>0</start>
      <end>2</end>
      <status>unmodified</status>
      <modifiedWord/>
      <trackRevisions>false</trackRevisions>
    </reviewItem>
    <reviewItem>
      <errorID>d14925f5-352b-47b8-a748-be42011ed368</errorID>
      <errorWord>》</errorWord>
      <group>L1_Word</group>
      <groupName>字词问题</groupName>
      <ability>L2_Typo</ability>
      <abilityName>字词错误</abilityName>
      <candidateList>
        <item>》等</item>
      </candidateList>
      <explain/>
      <paraID>  362427</paraID>
      <start>61</start>
      <end>62</end>
      <status>unmodified</status>
      <modifiedWord/>
      <trackRevisions>false</trackRevisions>
    </reviewItem>
    <reviewItem>
      <errorID>dd42e02d-1094-4602-83f1-1fb7919c4d43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47839D76</paraID>
      <start>0</start>
      <end>2</end>
      <status>unmodified</status>
      <modifiedWord/>
      <trackRevisions>false</trackRevisions>
    </reviewItem>
    <reviewItem>
      <errorID>f3f06a7c-1c2b-4091-9a44-33c5502ec280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7C5A5DEA</paraID>
      <start>0</start>
      <end>2</end>
      <status>unmodified</status>
      <modifiedWord/>
      <trackRevisions>false</trackRevisions>
    </reviewItem>
    <reviewItem>
      <errorID>4edc47f7-f9e8-4e5d-90c2-be2ea0ac915d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3EEB0370</paraID>
      <start>0</start>
      <end>2</end>
      <status>unmodified</status>
      <modifiedWord/>
      <trackRevisions>false</trackRevisions>
    </reviewItem>
    <reviewItem>
      <errorID>ca89a65b-9e1e-4b31-aa80-9e6bf3d593d9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634BC066</paraID>
      <start>0</start>
      <end>2</end>
      <status>unmodified</status>
      <modifiedWord/>
      <trackRevisions>false</trackRevisions>
    </reviewItem>
    <reviewItem>
      <errorID>047e8b63-c11e-4443-8496-561f7986c65b</errorID>
      <errorWord>(</errorWord>
      <group>L1_Format</group>
      <groupName>格式问题</groupName>
      <ability>L2_HalfPunc</ability>
      <abilityName>全半角检查</abilityName>
      <candidateList>
        <item>（</item>
      </candidateList>
      <explain>文本全半角错误。</explain>
      <paraID>34A1CD12</paraID>
      <start>118</start>
      <end>119</end>
      <status>unmodified</status>
      <modifiedWord/>
      <trackRevisions>false</trackRevisions>
    </reviewItem>
    <reviewItem>
      <errorID>063529bc-f4a5-4fd5-bc36-b25a12607092</errorID>
      <errorWord>)</errorWord>
      <group>L1_Format</group>
      <groupName>格式问题</groupName>
      <ability>L2_HalfPunc</ability>
      <abilityName>全半角检查</abilityName>
      <candidateList>
        <item>）</item>
      </candidateList>
      <explain>文本全半角错误。</explain>
      <paraID>34A1CD12</paraID>
      <start>156</start>
      <end>157</end>
      <status>unmodified</status>
      <modifiedWord/>
      <trackRevisions>false</trackRevisions>
    </reviewItem>
    <reviewItem>
      <errorID>922fdcaf-b9f7-45df-9599-8237dda12a04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19218FE5</paraID>
      <start>50</start>
      <end>53</end>
      <status>unmodified</status>
      <modifiedWord/>
      <trackRevisions>false</trackRevisions>
    </reviewItem>
    <reviewItem>
      <errorID>541b4e92-c9fd-48e9-96d7-7609e47d2d04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19218FE5</paraID>
      <start>73</start>
      <end>74</end>
      <status>unmodified</status>
      <modifiedWord/>
      <trackRevisions>false</trackRevisions>
    </reviewItem>
    <reviewItem>
      <errorID>56552628-25f7-4705-8fbc-8a2ebdc9396a</errorID>
      <errorWord>，</errorWord>
      <group>L1_Word</group>
      <groupName>字词问题</groupName>
      <ability>L2_Typo</ability>
      <abilityName>字词错误</abilityName>
      <candidateList>
        <item>，以</item>
      </candidateList>
      <explain/>
      <paraID> 54914E7</paraID>
      <start>78</start>
      <end>79</end>
      <status>unmodified</status>
      <modifiedWord/>
      <trackRevisions>false</trackRevisions>
    </reviewItem>
    <reviewItem>
      <errorID>9aeca552-71de-452f-ac33-ec3f6505b2c2</errorID>
      <errorWord>法律、法规</errorWord>
      <group>L1_Word</group>
      <groupName>字词问题</groupName>
      <ability>L2_Typo</ability>
      <abilityName>字词错误</abilityName>
      <candidateList>
        <item>法律法规</item>
      </candidateList>
      <explain/>
      <paraID>1B79FE44</paraID>
      <start>47</start>
      <end>52</end>
      <status>unmodified</status>
      <modifiedWord/>
      <trackRevisions>false</trackRevisions>
    </reviewItem>
    <reviewItem>
      <errorID>8c6fbd16-dfd7-4cc1-b65a-37d1b0d5c641</errorID>
      <errorWord>，</errorWord>
      <group>L1_Word</group>
      <groupName>字词问题</groupName>
      <ability>L2_Typo</ability>
      <abilityName>字词错误</abilityName>
      <candidateList>
        <item>，具</item>
      </candidateList>
      <explain/>
      <paraID>1B79FE44</paraID>
      <start>59</start>
      <end>60</end>
      <status>unmodified</status>
      <modifiedWord/>
      <trackRevisions>false</trackRevisions>
    </reviewItem>
    <reviewItem>
      <errorID>9c12dd2f-183e-45cb-9b56-1649eb256e04</errorID>
      <errorWord>属</errorWord>
      <group>L1_Word</group>
      <groupName>字词问题</groupName>
      <ability>L2_Typo</ability>
      <abilityName>字词错误</abilityName>
      <candidateList>
        <item>属于</item>
      </candidateList>
      <explain/>
      <paraID>468ACC3F</paraID>
      <start>37</start>
      <end>38</end>
      <status>unmodified</status>
      <modifiedWord/>
      <trackRevisions>false</trackRevisions>
    </reviewItem>
    <reviewItem>
      <errorID>d2ad6268-520e-4a84-bfc4-db8ad0f459a0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1B11B7FF</paraID>
      <start>0</start>
      <end>2</end>
      <status>unmodified</status>
      <modifiedWord/>
      <trackRevisions>false</trackRevisions>
    </reviewItem>
    <reviewItem>
      <errorID>e3da38a0-3273-419b-a486-6b1aa5ab20a2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6351B7DE</paraID>
      <start>0</start>
      <end>2</end>
      <status>unmodified</status>
      <modifiedWord/>
      <trackRevisions>false</trackRevisions>
    </reviewItem>
    <reviewItem>
      <errorID>a69dbc6f-258a-4b2f-85f7-4f498b631462</errorID>
      <errorWord>属</errorWord>
      <group>L1_Word</group>
      <groupName>字词问题</groupName>
      <ability>L2_Typo</ability>
      <abilityName>字词错误</abilityName>
      <candidateList>
        <item>属于</item>
      </candidateList>
      <explain/>
      <paraID>6351B7DE</paraID>
      <start>51</start>
      <end>52</end>
      <status>unmodified</status>
      <modifiedWord/>
      <trackRevisions>false</trackRevisions>
    </reviewItem>
    <reviewItem>
      <errorID>90dac128-1af3-40e4-8403-dd217006e813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73ED2AA0</paraID>
      <start>0</start>
      <end>2</end>
      <status>unmodified</status>
      <modifiedWord/>
      <trackRevisions>false</trackRevisions>
    </reviewItem>
    <reviewItem>
      <errorID>2d974dc5-1de8-45c4-a83e-32e20ee6ce9c</errorID>
      <errorWord>涉及到</errorWord>
      <group>L1_Grammar</group>
      <groupName>语法问题</groupName>
      <ability>L2_Grammar</ability>
      <abilityName>语法错误</abilityName>
      <candidateList>
        <item>涉及</item>
      </candidateList>
      <explain>〈动〉牵涉到；关联到：案子～好几个人｜这个问题～面很广。</explain>
      <paraID>73ED2AA0</paraID>
      <start>61</start>
      <end>64</end>
      <status>unmodified</status>
      <modifiedWord/>
      <trackRevisions>false</trackRevisions>
    </reviewItem>
    <reviewItem>
      <errorID>4616878d-59de-4917-9542-bd9700086e8f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6A8146A2</paraID>
      <start>0</start>
      <end>2</end>
      <status>unmodified</status>
      <modifiedWord/>
      <trackRevisions>false</trackRevisions>
    </reviewItem>
    <reviewItem>
      <errorID>eba45cd1-8305-492c-a17e-707fe9ff19ff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54EADB3C</paraID>
      <start>0</start>
      <end>2</end>
      <status>unmodified</status>
      <modifiedWord/>
      <trackRevisions>false</trackRevisions>
    </reviewItem>
    <reviewItem>
      <errorID>918680bc-10ff-4c00-872d-8a12de075e91</errorID>
      <errorWord>本</errorWord>
      <group>L1_Word</group>
      <groupName>字词问题</groupName>
      <ability>L2_Typo</ability>
      <abilityName>字词错误</abilityName>
      <candidateList>
        <item>本次</item>
      </candidateList>
      <explain/>
      <paraID>54EADB3C</paraID>
      <start>2</start>
      <end>3</end>
      <status>unmodified</status>
      <modifiedWord/>
      <trackRevisions>false</trackRevisions>
    </reviewItem>
    <reviewItem>
      <errorID>c47c6d66-2f07-4bb8-a89c-43009336ebc6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3A65C702</paraID>
      <start>0</start>
      <end>2</end>
      <status>unmodified</status>
      <modifiedWord/>
      <trackRevisions>false</trackRevisions>
    </reviewItem>
    <reviewItem>
      <errorID>d25eaf28-c8ff-490c-954b-eda9b6ec47d9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4C1432B8</paraID>
      <start>0</start>
      <end>2</end>
      <status>unmodified</status>
      <modifiedWord/>
      <trackRevisions>false</trackRevisions>
    </reviewItem>
    <reviewItem>
      <errorID>56f4c8f5-e601-41c6-8a54-8d374e8116ba</errorID>
      <errorWord>使用到</errorWord>
      <group>L1_Word</group>
      <groupName>字词问题</groupName>
      <ability>L2_Typo</ability>
      <abilityName>字词错误</abilityName>
      <candidateList>
        <item>使用</item>
      </candidateList>
      <explain>〈动〉使人员、器物、资金等为某种目的服务：～干部｜合理～资金。</explain>
      <paraID>4C1432B8</paraID>
      <start>49</start>
      <end>52</end>
      <status>unmodified</status>
      <modifiedWord/>
      <trackRevisions>false</trackRevisions>
    </reviewItem>
    <reviewItem>
      <errorID>b8c954db-ca6a-4cbe-b61f-30b42e6fb108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23A6EA24</paraID>
      <start>0</start>
      <end>2</end>
      <status>unmodified</status>
      <modifiedWord/>
      <trackRevisions>false</trackRevisions>
    </reviewItem>
    <reviewItem>
      <errorID>6024343c-1b5b-4c9f-b3cd-84c491046cd9</errorID>
      <errorWord>并且</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23A6EA24</paraID>
      <start>41</start>
      <end>43</end>
      <status>unmodified</status>
      <modifiedWord/>
      <trackRevisions>false</trackRevisions>
    </reviewItem>
    <reviewItem>
      <errorID>bbba645d-bcfe-4586-9de7-cf74a8c56c9d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574F0960</paraID>
      <start>0</start>
      <end>2</end>
      <status>unmodified</status>
      <modifiedWord/>
      <trackRevisions>false</trackRevisions>
    </reviewItem>
    <reviewItem>
      <errorID>bb3cc40c-c822-48d8-8f7e-fe1339eaa18f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23ABBED8</paraID>
      <start>0</start>
      <end>3</end>
      <status>unmodified</status>
      <modifiedWord/>
      <trackRevisions>false</trackRevisions>
    </reviewItem>
    <reviewItem>
      <errorID>86e0bbcb-3e65-45c5-90ad-92eee6555d60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A2E4101</paraID>
      <start>0</start>
      <end>2</end>
      <status>unmodified</status>
      <modifiedWord/>
      <trackRevisions>false</trackRevisions>
    </reviewItem>
    <reviewItem>
      <errorID>0fb93eb8-c349-4152-807b-feaffb3125d4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135DEE04</paraID>
      <start>0</start>
      <end>2</end>
      <status>unmodified</status>
      <modifiedWord/>
      <trackRevisions>false</trackRevisions>
    </reviewItem>
    <reviewItem>
      <errorID>dad9b007-1fc1-46e2-a817-afc52cffdff3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7B838627</paraID>
      <start>0</start>
      <end>2</end>
      <status>unmodified</status>
      <modifiedWord/>
      <trackRevisions>false</trackRevisions>
    </reviewItem>
    <reviewItem>
      <errorID>f90b2df2-cb7d-4631-a563-1bd9ed89d745</errorID>
      <errorWord>作好</errorWord>
      <group>L1_Word</group>
      <groupName>字词问题</groupName>
      <ability>L2_Typo</ability>
      <abilityName>字词错误</abilityName>
      <candidateList>
        <item>做好</item>
      </candidateList>
      <explain/>
      <paraID>7B838627</paraID>
      <start>11</start>
      <end>13</end>
      <status>modified</status>
      <modifiedWord>做好</modifiedWord>
      <trackRevisions>false</trackRevisions>
    </reviewItem>
    <reviewItem>
      <errorID>b5dc3ace-adef-4fe5-bdf9-01c21abc1a9d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449B024B</paraID>
      <start>0</start>
      <end>2</end>
      <status>unmodified</status>
      <modifiedWord/>
      <trackRevisions>false</trackRevisions>
    </reviewItem>
    <reviewItem>
      <errorID>72e17f0d-ae8d-4704-ad22-a702c08b7c36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1D9772A2</paraID>
      <start>0</start>
      <end>2</end>
      <status>unmodified</status>
      <modifiedWord/>
      <trackRevisions>false</trackRevisions>
    </reviewItem>
    <reviewItem>
      <errorID>05f19e87-4d22-46f2-a06d-c606f8f01bf3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6164092A</paraID>
      <start>0</start>
      <end>2</end>
      <status>unmodified</status>
      <modifiedWord/>
      <trackRevisions>false</trackRevisions>
    </reviewItem>
    <reviewItem>
      <errorID>25654b5e-0962-49b8-aaa0-47a8d8f8822c</errorID>
      <errorWord>,</errorWord>
      <group>L1_Format</group>
      <groupName>格式问题</groupName>
      <ability>L2_HalfPunc</ability>
      <abilityName>全半角检查</abilityName>
      <candidateList>
        <item>，</item>
      </candidateList>
      <explain>文本全半角错误。</explain>
      <paraID>15B54436</paraID>
      <start>39</start>
      <end>40</end>
      <status>unmodified</status>
      <modifiedWord/>
      <trackRevisions>false</trackRevisions>
    </reviewItem>
    <reviewItem>
      <errorID>4e917b48-022f-439f-bb8c-9ebb74154ac0</errorID>
      <errorWord>,</errorWord>
      <group>L1_Format</group>
      <groupName>格式问题</groupName>
      <ability>L2_HalfPunc</ability>
      <abilityName>全半角检查</abilityName>
      <candidateList>
        <item>，</item>
      </candidateList>
      <explain>文本全半角错误。</explain>
      <paraID>6811FEC3</paraID>
      <start>39</start>
      <end>40</end>
      <status>unmodified</status>
      <modifiedWord/>
      <trackRevisions>false</trackRevisions>
    </reviewItem>
    <reviewItem>
      <errorID>43ce0461-e65d-4357-b339-9afe542d589b</errorID>
      <errorWord>,</errorWord>
      <group>L1_Format</group>
      <groupName>格式问题</groupName>
      <ability>L2_HalfPunc</ability>
      <abilityName>全半角检查</abilityName>
      <candidateList>
        <item>，</item>
      </candidateList>
      <explain>文本全半角错误。</explain>
      <paraID> 335ADE0</paraID>
      <start>39</start>
      <end>40</end>
      <status>unmodified</status>
      <modifiedWord/>
      <trackRevisions>false</trackRevisions>
    </reviewItem>
    <reviewItem>
      <errorID>21e8e650-3a16-4869-9edd-ac69cd3a290e</errorID>
      <errorWord>株形</errorWord>
      <group>L1_Word</group>
      <groupName>字词问题</groupName>
      <ability>L2_Typo</ability>
      <abilityName>字词错误</abilityName>
      <candidateList>
        <item>株型</item>
      </candidateList>
      <explain/>
      <paraID>5C71384A</paraID>
      <start>136</start>
      <end>138</end>
      <status>modified</status>
      <modifiedWord>株型</modifiedWord>
      <trackRevisions>false</trackRevisions>
    </reviewItem>
    <reviewItem>
      <errorID>5a328105-6e62-475f-b1c4-d03b99ac7361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6B5BC09F</paraID>
      <start>0</start>
      <end>2</end>
      <status>unmodified</status>
      <modifiedWord/>
      <trackRevisions>false</trackRevisions>
    </reviewItem>
    <reviewItem>
      <errorID>91373aac-e565-489b-855e-8a2e81a5f782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291D6050</paraID>
      <start>0</start>
      <end>2</end>
      <status>unmodified</status>
      <modifiedWord/>
      <trackRevisions>false</trackRevisions>
    </reviewItem>
    <reviewItem>
      <errorID>3217edb6-9c63-44be-9a29-94496e4a0902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44A4FC4D</paraID>
      <start>0</start>
      <end>2</end>
      <status>unmodified</status>
      <modifiedWord/>
      <trackRevisions>false</trackRevisions>
    </reviewItem>
    <reviewItem>
      <errorID>d4f23b29-cc10-42ad-bfbd-3243539dab24</errorID>
      <errorWord>标示牌</errorWord>
      <group>L1_Word</group>
      <groupName>字词问题</groupName>
      <ability>L2_Typo</ability>
      <abilityName>字词错误</abilityName>
      <candidateList>
        <item>标识牌</item>
      </candidateList>
      <explain>存在发音相同字词的误用。</explain>
      <paraID>2278249A</paraID>
      <start>12</start>
      <end>15</end>
      <status>unmodified</status>
      <modifiedWord/>
      <trackRevisions>false</trackRevisions>
    </reviewItem>
    <reviewItem>
      <errorID>44930697-c9f1-4cdb-b687-b0543cd27d77</errorID>
      <errorWord>标示牌</errorWord>
      <group>L1_Word</group>
      <groupName>字词问题</groupName>
      <ability>L2_Typo</ability>
      <abilityName>字词错误</abilityName>
      <candidateList>
        <item>标识牌</item>
      </candidateList>
      <explain>存在发音相同字词的误用。</explain>
      <paraID>77C90D30</paraID>
      <start>12</start>
      <end>15</end>
      <status>unmodified</status>
      <modifiedWord/>
      <trackRevisions>false</trackRevisions>
    </reviewItem>
    <reviewItem>
      <errorID>1e039ac0-9a85-40b2-8556-d25d26139b15</errorID>
      <errorWord>标示牌</errorWord>
      <group>L1_Word</group>
      <groupName>字词问题</groupName>
      <ability>L2_Typo</ability>
      <abilityName>字词错误</abilityName>
      <candidateList>
        <item>标识牌</item>
      </candidateList>
      <explain>存在发音相同字词的误用。</explain>
      <paraID>4EB49FC9</paraID>
      <start>12</start>
      <end>15</end>
      <status>unmodified</status>
      <modifiedWord/>
      <trackRevisions>false</trackRevisions>
    </reviewItem>
    <reviewItem>
      <errorID>c7ade504-c34b-4d68-ae7f-b1def93380ac</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24445C3D</paraID>
      <start>0</start>
      <end>4</end>
      <status>unmodified</status>
      <modifiedWord/>
      <trackRevisions>false</trackRevisions>
    </reviewItem>
    <reviewItem>
      <errorID>6452c68a-aa8c-49d1-aa86-44e9a0eccecc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3739CD78</paraID>
      <start>0</start>
      <end>2</end>
      <status>unmodified</status>
      <modifiedWord/>
      <trackRevisions>false</trackRevisions>
    </reviewItem>
    <reviewItem>
      <errorID>196f06ee-d15f-45fd-97a6-d8cc6398086f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48565D00</paraID>
      <start>0</start>
      <end>2</end>
      <status>unmodified</status>
      <modifiedWord/>
      <trackRevisions>false</trackRevisions>
    </reviewItem>
    <reviewItem>
      <errorID>c6e18467-4f06-4b76-9f97-59b5fb3f56d4</errorID>
      <errorWord>定形</errorWord>
      <group>L1_Word</group>
      <groupName>字词问题</groupName>
      <ability>L2_Typo</ability>
      <abilityName>字词错误</abilityName>
      <candidateList>
        <item>定型</item>
      </candidateList>
      <explain>存在发音相同字词的误用。</explain>
      <paraID>48565D00</paraID>
      <start>15</start>
      <end>17</end>
      <status>modified</status>
      <modifiedWord>定型</modifiedWord>
      <trackRevisions>false</trackRevisions>
    </reviewItem>
    <reviewItem>
      <errorID>3a77438d-575f-4545-acaa-bc159d626d6c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7C778517</paraID>
      <start>0</start>
      <end>2</end>
      <status>unmodified</status>
      <modifiedWord/>
      <trackRevisions>false</trackRevisions>
    </reviewItem>
    <reviewItem>
      <errorID>d7d93da6-8e6a-4dff-83c4-6878c573e816</errorID>
      <errorWord>,</errorWord>
      <group>L1_Format</group>
      <groupName>格式问题</groupName>
      <ability>L2_HalfPunc</ability>
      <abilityName>全半角检查</abilityName>
      <candidateList>
        <item>，</item>
      </candidateList>
      <explain>文本全半角错误。</explain>
      <paraID>7C778517</paraID>
      <start>14</start>
      <end>15</end>
      <status>unmodified</status>
      <modifiedWord/>
      <trackRevisions>false</trackRevisions>
    </reviewItem>
    <reviewItem>
      <errorID>f221b293-6506-42a1-b204-316e17d6cd38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7376E1CB</paraID>
      <start>0</start>
      <end>2</end>
      <status>unmodified</status>
      <modifiedWord/>
      <trackRevisions>false</trackRevisions>
    </reviewItem>
    <reviewItem>
      <errorID>300e50aa-2a64-4270-ba81-0ea63884b6ec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59A00936</paraID>
      <start>0</start>
      <end>2</end>
      <status>unmodified</status>
      <modifiedWord/>
      <trackRevisions>false</trackRevisions>
    </reviewItem>
    <reviewItem>
      <errorID>a7cff003-9910-4b24-8ae4-90fac35533ee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7CBBD94E</paraID>
      <start>0</start>
      <end>2</end>
      <status>unmodified</status>
      <modifiedWord/>
      <trackRevisions>false</trackRevisions>
    </reviewItem>
    <reviewItem>
      <errorID>f127f529-29dc-4f4b-bbd1-b2afe98faae5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4CA9C840</paraID>
      <start>0</start>
      <end>2</end>
      <status>unmodified</status>
      <modifiedWord/>
      <trackRevisions>false</trackRevisions>
    </reviewItem>
    <reviewItem>
      <errorID>bfebf3a4-b0c4-4a44-9e25-b5e6750ab2b6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64E190A6</paraID>
      <start>0</start>
      <end>2</end>
      <status>unmodified</status>
      <modifiedWord/>
      <trackRevisions>false</trackRevisions>
    </reviewItem>
    <reviewItem>
      <errorID>7178c569-7ec8-4c8c-87c1-019938091fb0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33196A2B</paraID>
      <start>0</start>
      <end>2</end>
      <status>unmodified</status>
      <modifiedWord/>
      <trackRevisions>false</trackRevisions>
    </reviewItem>
    <reviewItem>
      <errorID>d9268bcf-6a27-4528-8daf-ebf6ba0fd604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679AAC9B</paraID>
      <start>0</start>
      <end>2</end>
      <status>unmodified</status>
      <modifiedWord/>
      <trackRevisions>false</trackRevisions>
    </reviewItem>
    <reviewItem>
      <errorID>860f39e9-e12f-4cbd-b1b5-50ad4743b264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25CF6F88</paraID>
      <start>0</start>
      <end>2</end>
      <status>unmodified</status>
      <modifiedWord/>
      <trackRevisions>false</trackRevisions>
    </reviewItem>
    <reviewItem>
      <errorID>6a161204-d81a-41d8-9e01-e6343d480191</errorID>
      <errorWord>防治</errorWord>
      <group>L1_Grammar</group>
      <groupName>语法问题</groupName>
      <ability>L2_Grammar</ability>
      <abilityName>语法错误</abilityName>
      <candidateList>
        <item>防止</item>
      </candidateList>
      <explain>“防治～发生”搭配不当，建议修改为“防止～发生”。</explain>
      <paraID>26CCCBDE</paraID>
      <start>5</start>
      <end>7</end>
      <status>unmodified</status>
      <modifiedWord/>
      <trackRevisions>false</trackRevisions>
    </reviewItem>
    <reviewItem>
      <errorID>7191673f-3d4f-42c7-9f89-635dd0d5975a</errorID>
      <errorWord>,</errorWord>
      <group>L1_Format</group>
      <groupName>格式问题</groupName>
      <ability>L2_HalfPunc</ability>
      <abilityName>全半角检查</abilityName>
      <candidateList>
        <item>，</item>
      </candidateList>
      <explain>文本全半角错误。</explain>
      <paraID>26CCCBDE</paraID>
      <start>16</start>
      <end>17</end>
      <status>unmodified</status>
      <modifiedWord/>
      <trackRevisions>false</trackRevisions>
    </reviewItem>
    <reviewItem>
      <errorID>af989ef2-78be-4580-bc0c-ee0c4b6bdd88</errorID>
      <errorWord>,</errorWord>
      <group>L1_Format</group>
      <groupName>格式问题</groupName>
      <ability>L2_HalfPunc</ability>
      <abilityName>全半角检查</abilityName>
      <candidateList>
        <item>，</item>
      </candidateList>
      <explain>文本全半角错误。</explain>
      <paraID>7B12B284</paraID>
      <start>35</start>
      <end>36</end>
      <status>unmodified</status>
      <modifiedWord/>
      <trackRevisions>false</trackRevisions>
    </reviewItem>
    <reviewItem>
      <errorID>e7d655a7-ac8b-4ce3-bd40-7ebadc7a843f</errorID>
      <errorWord>,</errorWord>
      <group>L1_Format</group>
      <groupName>格式问题</groupName>
      <ability>L2_HalfPunc</ability>
      <abilityName>全半角检查</abilityName>
      <candidateList>
        <item>，</item>
      </candidateList>
      <explain>文本全半角错误。</explain>
      <paraID>7B12B284</paraID>
      <start>51</start>
      <end>52</end>
      <status>unmodified</status>
      <modifiedWord/>
      <trackRevisions>false</trackRevisions>
    </reviewItem>
    <reviewItem>
      <errorID>6770d2f6-86c1-4885-b76f-d893855aa066</errorID>
      <errorWord>,</errorWord>
      <group>L1_Format</group>
      <groupName>格式问题</groupName>
      <ability>L2_HalfPunc</ability>
      <abilityName>全半角检查</abilityName>
      <candidateList>
        <item>，</item>
      </candidateList>
      <explain>文本全半角错误。</explain>
      <paraID>46F7975C</paraID>
      <start>9</start>
      <end>10</end>
      <status>unmodified</status>
      <modifiedWord/>
      <trackRevisions>false</trackRevisions>
    </reviewItem>
    <reviewItem>
      <errorID>7a1314f8-69d1-4197-bd36-43b0c23d8e40</errorID>
      <errorWord>,</errorWord>
      <group>L1_Format</group>
      <groupName>格式问题</groupName>
      <ability>L2_HalfPunc</ability>
      <abilityName>全半角检查</abilityName>
      <candidateList>
        <item>，</item>
      </candidateList>
      <explain>文本全半角错误。</explain>
      <paraID>46F7975C</paraID>
      <start>14</start>
      <end>15</end>
      <status>unmodified</status>
      <modifiedWord/>
      <trackRevisions>false</trackRevisions>
    </reviewItem>
    <reviewItem>
      <errorID>685b2155-4104-4ed6-b50c-3fa3c1a46a49</errorID>
      <errorWord>,</errorWord>
      <group>L1_Format</group>
      <groupName>格式问题</groupName>
      <ability>L2_HalfPunc</ability>
      <abilityName>全半角检查</abilityName>
      <candidateList>
        <item>，</item>
      </candidateList>
      <explain>文本全半角错误。</explain>
      <paraID>46F7975C</paraID>
      <start>19</start>
      <end>20</end>
      <status>unmodified</status>
      <modifiedWord/>
      <trackRevisions>false</trackRevisions>
    </reviewItem>
    <reviewItem>
      <errorID>41ae87ac-260d-4890-a06a-cf46a47a484e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F224DF3</paraID>
      <start>19</start>
      <end>20</end>
      <status>unmodified</status>
      <modifiedWord/>
      <trackRevisions>false</trackRevisions>
    </reviewItem>
    <reviewItem>
      <errorID>9255dec2-db9f-45a0-b660-b41cc283f1bb</errorID>
      <errorWord>,</errorWord>
      <group>L1_Format</group>
      <groupName>格式问题</groupName>
      <ability>L2_HalfPunc</ability>
      <abilityName>全半角检查</abilityName>
      <candidateList>
        <item>，</item>
      </candidateList>
      <explain>文本全半角错误。</explain>
      <paraID>2E45B797</paraID>
      <start>10</start>
      <end>11</end>
      <status>unmodified</status>
      <modifiedWord/>
      <trackRevisions>false</trackRevisions>
    </reviewItem>
    <reviewItem>
      <errorID>86dd0e54-fdb3-44d2-9ba0-adc73b1a2a3e</errorID>
      <errorWord>,</errorWord>
      <group>L1_Format</group>
      <groupName>格式问题</groupName>
      <ability>L2_HalfPunc</ability>
      <abilityName>全半角检查</abilityName>
      <candidateList>
        <item>，</item>
      </candidateList>
      <explain>文本全半角错误。</explain>
      <paraID>27B6ECBB</paraID>
      <start>7</start>
      <end>8</end>
      <status>unmodified</status>
      <modifiedWord/>
      <trackRevisions>false</trackRevisions>
    </reviewItem>
    <reviewItem>
      <errorID>b3e79ca1-b063-4650-a66f-2969a62cb502</errorID>
      <errorWord>,</errorWord>
      <group>L1_Format</group>
      <groupName>格式问题</groupName>
      <ability>L2_HalfPunc</ability>
      <abilityName>全半角检查</abilityName>
      <candidateList>
        <item>，</item>
      </candidateList>
      <explain>文本全半角错误。</explain>
      <paraID>67F40F4A</paraID>
      <start>9</start>
      <end>10</end>
      <status>unmodified</status>
      <modifiedWord/>
      <trackRevisions>false</trackRevisions>
    </reviewItem>
    <reviewItem>
      <errorID>de2e2b4f-a74b-4a34-993a-4be53a8e358c</errorID>
      <errorWord>,</errorWord>
      <group>L1_Format</group>
      <groupName>格式问题</groupName>
      <ability>L2_HalfPunc</ability>
      <abilityName>全半角检查</abilityName>
      <candidateList>
        <item>，</item>
      </candidateList>
      <explain>文本全半角错误。</explain>
      <paraID>67F40F4A</paraID>
      <start>15</start>
      <end>16</end>
      <status>unmodified</status>
      <modifiedWord/>
      <trackRevisions>false</trackRevisions>
    </reviewItem>
    <reviewItem>
      <errorID>d35e8ac2-cad9-4d44-bada-325b8424a318</errorID>
      <errorWord>粘</errorWord>
      <group>L1_Word</group>
      <groupName>字词问题</groupName>
      <ability>L2_Typo</ability>
      <abilityName>字词错误</abilityName>
      <candidateList>
        <item>黏</item>
      </candidateList>
      <explain>存在发音相同字词的误用。</explain>
      <paraID>72E5A1E1</paraID>
      <start>11</start>
      <end>12</end>
      <status>modified</status>
      <modifiedWord>黏</modifiedWord>
      <trackRevisions>false</trackRevisions>
    </reviewItem>
    <reviewItem>
      <errorID>ff300fb6-1653-440c-9444-433c4339ca1d</errorID>
      <errorWord>,</errorWord>
      <group>L1_Format</group>
      <groupName>格式问题</groupName>
      <ability>L2_HalfPunc</ability>
      <abilityName>全半角检查</abilityName>
      <candidateList>
        <item>，</item>
      </candidateList>
      <explain>文本全半角错误。</explain>
      <paraID>534D91BA</paraID>
      <start>14</start>
      <end>15</end>
      <status>unmodified</status>
      <modifiedWord/>
      <trackRevisions>false</trackRevisions>
    </reviewItem>
    <reviewItem>
      <errorID>c8f442ad-6867-434e-9048-2807efe87c14</errorID>
      <errorWord>,</errorWord>
      <group>L1_Format</group>
      <groupName>格式问题</groupName>
      <ability>L2_HalfPunc</ability>
      <abilityName>全半角检查</abilityName>
      <candidateList>
        <item>，</item>
      </candidateList>
      <explain>文本全半角错误。</explain>
      <paraID>534D91BA</paraID>
      <start>20</start>
      <end>21</end>
      <status>unmodified</status>
      <modifiedWord/>
      <trackRevisions>false</trackRevisions>
    </reviewItem>
    <reviewItem>
      <errorID>20c35aa6-a6cd-4bb7-80cc-e4e599def249</errorID>
      <errorWord>,</errorWord>
      <group>L1_Format</group>
      <groupName>格式问题</groupName>
      <ability>L2_HalfPunc</ability>
      <abilityName>全半角检查</abilityName>
      <candidateList>
        <item>，</item>
      </candidateList>
      <explain>文本全半角错误。</explain>
      <paraID>57E333D2</paraID>
      <start>9</start>
      <end>10</end>
      <status>unmodified</status>
      <modifiedWord/>
      <trackRevisions>false</trackRevisions>
    </reviewItem>
    <reviewItem>
      <errorID>e35da73a-7590-4789-98e3-12c9fb3d1986</errorID>
      <errorWord>,</errorWord>
      <group>L1_Format</group>
      <groupName>格式问题</groupName>
      <ability>L2_HalfPunc</ability>
      <abilityName>全半角检查</abilityName>
      <candidateList>
        <item>，</item>
      </candidateList>
      <explain>文本全半角错误。</explain>
      <paraID>57E333D2</paraID>
      <start>22</start>
      <end>23</end>
      <status>unmodified</status>
      <modifiedWord/>
      <trackRevisions>false</trackRevisions>
    </reviewItem>
    <reviewItem>
      <errorID>705ff6cd-bee3-493d-ae7a-9320e47b59a5</errorID>
      <errorWord>,</errorWord>
      <group>L1_Format</group>
      <groupName>格式问题</groupName>
      <ability>L2_HalfPunc</ability>
      <abilityName>全半角检查</abilityName>
      <candidateList>
        <item>，</item>
      </candidateList>
      <explain>文本全半角错误。</explain>
      <paraID>57E333D2</paraID>
      <start>28</start>
      <end>29</end>
      <status>unmodified</status>
      <modifiedWord/>
      <trackRevisions>false</trackRevisions>
    </reviewItem>
    <reviewItem>
      <errorID>3fba4113-c2b9-4380-9aae-34ced54ecc92</errorID>
      <errorWord>,</errorWord>
      <group>L1_Format</group>
      <groupName>格式问题</groupName>
      <ability>L2_HalfPunc</ability>
      <abilityName>全半角检查</abilityName>
      <candidateList>
        <item>，</item>
      </candidateList>
      <explain>文本全半角错误。</explain>
      <paraID>57E333D2</paraID>
      <start>46</start>
      <end>47</end>
      <status>unmodified</status>
      <modifiedWord/>
      <trackRevisions>false</trackRevisions>
    </reviewItem>
    <reviewItem>
      <errorID>7c0691c6-839e-4e09-8446-e1a5f14b63ac</errorID>
      <errorWord>(</errorWord>
      <group>L1_Format</group>
      <groupName>格式问题</groupName>
      <ability>L2_HalfPunc</ability>
      <abilityName>全半角检查</abilityName>
      <candidateList>
        <item>（</item>
      </candidateList>
      <explain>文本全半角错误。</explain>
      <paraID>1F5D3B1D</paraID>
      <start>10</start>
      <end>11</end>
      <status>unmodified</status>
      <modifiedWord/>
      <trackRevisions>false</trackRevisions>
    </reviewItem>
    <reviewItem>
      <errorID>a2dfc125-c1b6-456c-80cc-c74dfd8baa72</errorID>
      <errorWord>)</errorWord>
      <group>L1_Format</group>
      <groupName>格式问题</groupName>
      <ability>L2_HalfPunc</ability>
      <abilityName>全半角检查</abilityName>
      <candidateList>
        <item>）</item>
      </candidateList>
      <explain>文本全半角错误。</explain>
      <paraID>1F5D3B1D</paraID>
      <start>13</start>
      <end>14</end>
      <status>unmodified</status>
      <modifiedWord/>
      <trackRevisions>false</trackRevisions>
    </reviewItem>
    <reviewItem>
      <errorID>6bde152f-dd4d-4478-a31b-f5a4e141cdbc</errorID>
      <errorWord>,</errorWord>
      <group>L1_Format</group>
      <groupName>格式问题</groupName>
      <ability>L2_HalfPunc</ability>
      <abilityName>全半角检查</abilityName>
      <candidateList>
        <item>，</item>
      </candidateList>
      <explain>文本全半角错误。</explain>
      <paraID>2822A9D6</paraID>
      <start>40</start>
      <end>41</end>
      <status>unmodified</status>
      <modifiedWord/>
      <trackRevisions>false</trackRevisions>
    </reviewItem>
    <reviewItem>
      <errorID>ffda05f1-3274-470a-b396-2ea70dd8fb55</errorID>
      <errorWord>,</errorWord>
      <group>L1_Format</group>
      <groupName>格式问题</groupName>
      <ability>L2_HalfPunc</ability>
      <abilityName>全半角检查</abilityName>
      <candidateList>
        <item>，</item>
      </candidateList>
      <explain>文本全半角错误。</explain>
      <paraID>662C0697</paraID>
      <start>10</start>
      <end>11</end>
      <status>unmodified</status>
      <modifiedWord/>
      <trackRevisions>false</trackRevisions>
    </reviewItem>
    <reviewItem>
      <errorID>7e2db900-840c-4a6c-ace8-0b5eca6b81ec</errorID>
      <errorWord>(</errorWord>
      <group>L1_Format</group>
      <groupName>格式问题</groupName>
      <ability>L2_HalfPunc</ability>
      <abilityName>全半角检查</abilityName>
      <candidateList>
        <item>（</item>
      </candidateList>
      <explain>文本全半角错误。</explain>
      <paraID>662C0697</paraID>
      <start>22</start>
      <end>23</end>
      <status>unmodified</status>
      <modifiedWord/>
      <trackRevisions>false</trackRevisions>
    </reviewItem>
    <reviewItem>
      <errorID>0b8dc81e-5412-4766-8545-32d5507cac44</errorID>
      <errorWord>)</errorWord>
      <group>L1_Format</group>
      <groupName>格式问题</groupName>
      <ability>L2_HalfPunc</ability>
      <abilityName>全半角检查</abilityName>
      <candidateList>
        <item>）</item>
      </candidateList>
      <explain>文本全半角错误。</explain>
      <paraID>662C0697</paraID>
      <start>25</start>
      <end>26</end>
      <status>unmodified</status>
      <modifiedWord/>
      <trackRevisions>false</trackRevisions>
    </reviewItem>
    <reviewItem>
      <errorID>511acf71-228e-43d0-b843-9cb5cbd1f814</errorID>
      <errorWord>,</errorWord>
      <group>L1_Format</group>
      <groupName>格式问题</groupName>
      <ability>L2_HalfPunc</ability>
      <abilityName>全半角检查</abilityName>
      <candidateList>
        <item>，</item>
      </candidateList>
      <explain>文本全半角错误。</explain>
      <paraID>3A376A8F</paraID>
      <start>13</start>
      <end>14</end>
      <status>unmodified</status>
      <modifiedWord/>
      <trackRevisions>false</trackRevisions>
    </reviewItem>
    <reviewItem>
      <errorID>f3cfdd6d-0d20-4f2f-8391-06394a07ac68</errorID>
      <errorWord>,</errorWord>
      <group>L1_Format</group>
      <groupName>格式问题</groupName>
      <ability>L2_HalfPunc</ability>
      <abilityName>全半角检查</abilityName>
      <candidateList>
        <item>，</item>
      </candidateList>
      <explain>文本全半角错误。</explain>
      <paraID>3A376A8F</paraID>
      <start>25</start>
      <end>26</end>
      <status>unmodified</status>
      <modifiedWord/>
      <trackRevisions>false</trackRevisions>
    </reviewItem>
    <reviewItem>
      <errorID>9ac9dcc6-24fc-4a57-95da-ef184c8063ff</errorID>
      <errorWord>,</errorWord>
      <group>L1_Format</group>
      <groupName>格式问题</groupName>
      <ability>L2_HalfPunc</ability>
      <abilityName>全半角检查</abilityName>
      <candidateList>
        <item>，</item>
      </candidateList>
      <explain>文本全半角错误。</explain>
      <paraID> 69A1B63</paraID>
      <start>14</start>
      <end>15</end>
      <status>unmodified</status>
      <modifiedWord/>
      <trackRevisions>false</trackRevisions>
    </reviewItem>
    <reviewItem>
      <errorID>9c11f91b-d15f-4a8b-9335-0c0f0d003d0d</errorID>
      <errorWord>,</errorWord>
      <group>L1_Format</group>
      <groupName>格式问题</groupName>
      <ability>L2_HalfPunc</ability>
      <abilityName>全半角检查</abilityName>
      <candidateList>
        <item>，</item>
      </candidateList>
      <explain>文本全半角错误。</explain>
      <paraID>10E0AF60</paraID>
      <start>11</start>
      <end>12</end>
      <status>unmodified</status>
      <modifiedWord/>
      <trackRevisions>false</trackRevisions>
    </reviewItem>
    <reviewItem>
      <errorID>0a97cb3f-d673-4aad-b1f6-77c193c5d79f</errorID>
      <errorWord>,</errorWord>
      <group>L1_Format</group>
      <groupName>格式问题</groupName>
      <ability>L2_HalfPunc</ability>
      <abilityName>全半角检查</abilityName>
      <candidateList>
        <item>，</item>
      </candidateList>
      <explain>文本全半角错误。</explain>
      <paraID>10E0AF60</paraID>
      <start>16</start>
      <end>17</end>
      <status>unmodified</status>
      <modifiedWord/>
      <trackRevisions>false</trackRevisions>
    </reviewItem>
    <reviewItem>
      <errorID>25a9675e-f722-49e7-83e2-9eb621677bb2</errorID>
      <errorWord>,</errorWord>
      <group>L1_Format</group>
      <groupName>格式问题</groupName>
      <ability>L2_HalfPunc</ability>
      <abilityName>全半角检查</abilityName>
      <candidateList>
        <item>，</item>
      </candidateList>
      <explain>文本全半角错误。</explain>
      <paraID>4C89762D</paraID>
      <start>11</start>
      <end>12</end>
      <status>unmodified</status>
      <modifiedWord/>
      <trackRevisions>false</trackRevisions>
    </reviewItem>
    <reviewItem>
      <errorID>86fa6e20-2aa3-4c87-b633-b2f9b2fefdcf</errorID>
      <errorWord>,</errorWord>
      <group>L1_Format</group>
      <groupName>格式问题</groupName>
      <ability>L2_HalfPunc</ability>
      <abilityName>全半角检查</abilityName>
      <candidateList>
        <item>，</item>
      </candidateList>
      <explain>文本全半角错误。</explain>
      <paraID>5B74D852</paraID>
      <start>9</start>
      <end>10</end>
      <status>unmodified</status>
      <modifiedWord/>
      <trackRevisions>false</trackRevisions>
    </reviewItem>
    <reviewItem>
      <errorID>73eef8cc-e711-4da7-b501-dc949b133aa0</errorID>
      <errorWord>,</errorWord>
      <group>L1_Format</group>
      <groupName>格式问题</groupName>
      <ability>L2_HalfPunc</ability>
      <abilityName>全半角检查</abilityName>
      <candidateList>
        <item>，</item>
      </candidateList>
      <explain>文本全半角错误。</explain>
      <paraID>3703AEFB</paraID>
      <start>10</start>
      <end>11</end>
      <status>unmodified</status>
      <modifiedWord/>
      <trackRevisions>false</trackRevisions>
    </reviewItem>
    <reviewItem>
      <errorID>76300f5c-478c-41e5-a074-5a0a6eba90dd</errorID>
      <errorWord>,</errorWord>
      <group>L1_Format</group>
      <groupName>格式问题</groupName>
      <ability>L2_HalfPunc</ability>
      <abilityName>全半角检查</abilityName>
      <candidateList>
        <item>，</item>
      </candidateList>
      <explain>文本全半角错误。</explain>
      <paraID>57C11720</paraID>
      <start>13</start>
      <end>14</end>
      <status>unmodified</status>
      <modifiedWord/>
      <trackRevisions>false</trackRevisions>
    </reviewItem>
    <reviewItem>
      <errorID>d8211a59-1fcb-4801-83a0-7dca31a0ad66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3557E6B1</paraID>
      <start>0</start>
      <end>2</end>
      <status>unmodified</status>
      <modifiedWord/>
      <trackRevisions>false</trackRevisions>
    </reviewItem>
    <reviewItem>
      <errorID>f6f1551f-0905-4d06-84f9-289437e965a8</errorID>
      <errorWord>,</errorWord>
      <group>L1_Format</group>
      <groupName>格式问题</groupName>
      <ability>L2_HalfPunc</ability>
      <abilityName>全半角检查</abilityName>
      <candidateList>
        <item>，</item>
      </candidateList>
      <explain>文本全半角错误。</explain>
      <paraID>51B22FAD</paraID>
      <start>27</start>
      <end>28</end>
      <status>unmodified</status>
      <modifiedWord/>
      <trackRevisions>false</trackRevisions>
    </reviewItem>
    <reviewItem>
      <errorID>3ebee8ce-3197-4205-bdb0-4066a72c9e6e</errorID>
      <errorWord>,</errorWord>
      <group>L1_Format</group>
      <groupName>格式问题</groupName>
      <ability>L2_HalfPunc</ability>
      <abilityName>全半角检查</abilityName>
      <candidateList>
        <item>，</item>
      </candidateList>
      <explain>文本全半角错误。</explain>
      <paraID>2EF37904</paraID>
      <start>8</start>
      <end>9</end>
      <status>unmodified</status>
      <modifiedWord/>
      <trackRevisions>false</trackRevisions>
    </reviewItem>
    <reviewItem>
      <errorID>a3e8473c-23dd-4043-9a8d-cfe531a179f3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35B75D44</paraID>
      <start>0</start>
      <end>2</end>
      <status>unmodified</status>
      <modifiedWord/>
      <trackRevisions>false</trackRevisions>
    </reviewItem>
    <reviewItem>
      <errorID>a5e1c8e6-ac35-411c-96fb-4b996ca3374a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7BC49CE9</paraID>
      <start>0</start>
      <end>3</end>
      <status>unmodified</status>
      <modifiedWord/>
      <trackRevisions>false</trackRevisions>
    </reviewItem>
    <reviewItem>
      <errorID>456c73d5-6dcd-4689-88c9-00c83360dea8</errorID>
      <errorWord>(</errorWord>
      <group>L1_Format</group>
      <groupName>格式问题</groupName>
      <ability>L2_HalfPunc</ability>
      <abilityName>全半角检查</abilityName>
      <candidateList>
        <item>（</item>
      </candidateList>
      <explain>文本全半角错误。</explain>
      <paraID>7BC49CE9</paraID>
      <start>6</start>
      <end>7</end>
      <status>unmodified</status>
      <modifiedWord/>
      <trackRevisions>false</trackRevisions>
    </reviewItem>
    <reviewItem>
      <errorID>25d72156-5f4e-411b-ace3-d5eeb10b1ca0</errorID>
      <errorWord>),</errorWord>
      <group>L1_Format</group>
      <groupName>格式问题</groupName>
      <ability>L2_HalfPunc</ability>
      <abilityName>全半角检查</abilityName>
      <candidateList>
        <item>），</item>
      </candidateList>
      <explain>文本全半角错误。</explain>
      <paraID>7BC49CE9</paraID>
      <start>17</start>
      <end>19</end>
      <status>unmodified</status>
      <modifiedWord/>
      <trackRevisions>false</trackRevisions>
    </reviewItem>
    <reviewItem>
      <errorID>bb6c1bc0-a136-4068-80bd-ea120843b60a</errorID>
      <errorWord>,</errorWord>
      <group>L1_Format</group>
      <groupName>格式问题</groupName>
      <ability>L2_HalfPunc</ability>
      <abilityName>全半角检查</abilityName>
      <candidateList>
        <item>，</item>
      </candidateList>
      <explain>文本全半角错误。</explain>
      <paraID>7BC49CE9</paraID>
      <start>31</start>
      <end>32</end>
      <status>unmodified</status>
      <modifiedWord/>
      <trackRevisions>false</trackRevisions>
    </reviewItem>
    <reviewItem>
      <errorID>ffc0fee0-3e12-4f19-afbe-b8ecb6767412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4E1583D3</paraID>
      <start>0</start>
      <end>3</end>
      <status>unmodified</status>
      <modifiedWord/>
      <trackRevisions>false</trackRevisions>
    </reviewItem>
    <reviewItem>
      <errorID>82945c7b-713f-47b4-9adf-b9c35eaa8f0c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10D192E0</paraID>
      <start>0</start>
      <end>3</end>
      <status>unmodified</status>
      <modifiedWord/>
      <trackRevisions>false</trackRevisions>
    </reviewItem>
    <reviewItem>
      <errorID>acca97f1-5b04-47d3-a39a-eaf0af1ee836</errorID>
      <errorWord>,</errorWord>
      <group>L1_Format</group>
      <groupName>格式问题</groupName>
      <ability>L2_HalfPunc</ability>
      <abilityName>全半角检查</abilityName>
      <candidateList>
        <item>，</item>
      </candidateList>
      <explain>文本全半角错误。</explain>
      <paraID>10D192E0</paraID>
      <start>13</start>
      <end>14</end>
      <status>unmodified</status>
      <modifiedWord/>
      <trackRevisions>false</trackRevisions>
    </reviewItem>
    <reviewItem>
      <errorID>cfa8f990-ea65-465f-9bc7-2db950ae42eb</errorID>
      <errorWord>,</errorWord>
      <group>L1_Format</group>
      <groupName>格式问题</groupName>
      <ability>L2_HalfPunc</ability>
      <abilityName>全半角检查</abilityName>
      <candidateList>
        <item>，</item>
      </candidateList>
      <explain>文本全半角错误。</explain>
      <paraID>10D192E0</paraID>
      <start>26</start>
      <end>27</end>
      <status>unmodified</status>
      <modifiedWord/>
      <trackRevisions>false</trackRevisions>
    </reviewItem>
    <reviewItem>
      <errorID>2e0cde89-28f2-4759-a031-39f0081ae5fa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3077F0D7</paraID>
      <start>0</start>
      <end>3</end>
      <status>unmodified</status>
      <modifiedWord/>
      <trackRevisions>false</trackRevisions>
    </reviewItem>
    <reviewItem>
      <errorID>adef0a3f-8bb5-4e90-ae45-bc9ab2a2576d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495072B5</paraID>
      <start>0</start>
      <end>2</end>
      <status>unmodified</status>
      <modifiedWord/>
      <trackRevisions>false</trackRevisions>
    </reviewItem>
    <reviewItem>
      <errorID>4d29d52e-2a37-4910-a34d-795bd34373b3</errorID>
      <errorWord>,</errorWord>
      <group>L1_Format</group>
      <groupName>格式问题</groupName>
      <ability>L2_HalfPunc</ability>
      <abilityName>全半角检查</abilityName>
      <candidateList>
        <item>，</item>
      </candidateList>
      <explain>文本全半角错误。</explain>
      <paraID>71948821</paraID>
      <start>29</start>
      <end>30</end>
      <status>unmodified</status>
      <modifiedWord/>
      <trackRevisions>false</trackRevisions>
    </reviewItem>
    <reviewItem>
      <errorID>a07d2fdc-14b6-45a6-9a05-e4a78adcbd7f</errorID>
      <errorWord>,</errorWord>
      <group>L1_Format</group>
      <groupName>格式问题</groupName>
      <ability>L2_HalfPunc</ability>
      <abilityName>全半角检查</abilityName>
      <candidateList>
        <item>，</item>
      </candidateList>
      <explain>文本全半角错误。</explain>
      <paraID>4CD99016</paraID>
      <start>10</start>
      <end>11</end>
      <status>unmodified</status>
      <modifiedWord/>
      <trackRevisions>false</trackRevisions>
    </reviewItem>
    <reviewItem>
      <errorID>5b7a94cb-5fbf-4d81-aa4c-f0f41f9476ce</errorID>
      <errorWord>,</errorWord>
      <group>L1_Format</group>
      <groupName>格式问题</groupName>
      <ability>L2_HalfPunc</ability>
      <abilityName>全半角检查</abilityName>
      <candidateList>
        <item>，</item>
      </candidateList>
      <explain>文本全半角错误。</explain>
      <paraID>4CD99016</paraID>
      <start>20</start>
      <end>21</end>
      <status>unmodified</status>
      <modifiedWord/>
      <trackRevisions>false</trackRevisions>
    </reviewItem>
    <reviewItem>
      <errorID>fb68714f-d54a-4dc5-9bb2-65a2ae4c17e7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5E716DEA</paraID>
      <start>0</start>
      <end>2</end>
      <status>unmodified</status>
      <modifiedWord/>
      <trackRevisions>false</trackRevisions>
    </reviewItem>
    <reviewItem>
      <errorID>ca413546-0d1d-464d-80ab-439b40ce7c25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46573388</paraID>
      <start>0</start>
      <end>2</end>
      <status>unmodified</status>
      <modifiedWord/>
      <trackRevisions>false</trackRevisions>
    </reviewItem>
    <reviewItem>
      <errorID>dcadc074-c149-4904-9d4e-d27523b36241</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7DE7F6C6</paraID>
      <start>0</start>
      <end>4</end>
      <status>unmodified</status>
      <modifiedWord/>
      <trackRevisions>false</trackRevisions>
    </reviewItem>
    <reviewItem>
      <errorID>2b8cf5b4-0743-410c-b27d-0cbedb2a2a84</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A1C2634</paraID>
      <start>0</start>
      <end>4</end>
      <status>unmodified</status>
      <modifiedWord/>
      <trackRevisions>false</trackRevisions>
    </reviewItem>
    <reviewItem>
      <errorID>1d2cf388-1aa2-4d72-9b95-1ecf52936daa</errorID>
      <errorWord>原始台帐</errorWord>
      <group>L1_Word</group>
      <groupName>字词问题</groupName>
      <ability>L2_Alias</ability>
      <abilityName>也作/曾用词</abilityName>
      <candidateList>
        <item>原始台账</item>
      </candidateList>
      <explain>词汇[原始台帐]为不规范表述或旧称，其规范书面表述为[原始台账]。</explain>
      <paraID>2255DEF4</paraID>
      <start>2</start>
      <end>6</end>
      <status>modified</status>
      <modifiedWord>原始台账</modifiedWord>
      <trackRevisions>false</trackRevisions>
    </reviewItem>
    <reviewItem>
      <errorID>8cb320f3-6a03-4ed8-be37-73a3240996d3</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75320C61</paraID>
      <start>0</start>
      <end>4</end>
      <status>unmodified</status>
      <modifiedWord/>
      <trackRevisions>false</trackRevisions>
    </reviewItem>
    <reviewItem>
      <errorID>b4564e4d-d0ef-4cb2-8c05-4ceb1b9f65b2</errorID>
      <errorWord>公单</errorWord>
      <group>L1_Word</group>
      <groupName>字词问题</groupName>
      <ability>L2_Typo</ability>
      <abilityName>字词错误</abilityName>
      <candidateList>
        <item>公函</item>
      </candidateList>
      <explain>存在发音相近字词的误用。</explain>
      <paraID>3B2CCD0E</paraID>
      <start>17</start>
      <end>19</end>
      <status>unmodified</status>
      <modifiedWord/>
      <trackRevisions>false</trackRevisions>
    </reviewItem>
    <reviewItem>
      <errorID>e68ae798-2bf8-4646-ada5-1620f9ca7c05</errorID>
      <errorWord>妥当的</errorWord>
      <group>L1_Word</group>
      <groupName>字词问题</groupName>
      <ability>L2_Typo</ability>
      <abilityName>字词错误</abilityName>
      <candidateList>
        <item>妥当地</item>
      </candidateList>
      <explain/>
      <paraID>4197983E</paraID>
      <start>109</start>
      <end>112</end>
      <status>unmodified</status>
      <modifiedWord/>
      <trackRevisions>false</trackRevisions>
    </reviewItem>
    <reviewItem>
      <errorID>662d7b35-010b-4298-8556-60628bfe6494</errorID>
      <errorWord>时间</errorWord>
      <group>L1_Word</group>
      <groupName>字词问题</groupName>
      <ability>L2_Typo</ability>
      <abilityName>字词错误</abilityName>
      <candidateList>
        <item>事件</item>
      </candidateList>
      <explain>〈名〉历史上或社会上发生的不平常的大事情：政治～。</explain>
      <paraID>4197983E</paraID>
      <start>116</start>
      <end>118</end>
      <status>modified</status>
      <modifiedWord>事件</modifiedWord>
      <trackRevisions>false</trackRevisions>
    </reviewItem>
    <reviewItem>
      <errorID>f72efb1e-d832-4ea8-8509-57e9ac41fe1c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2D13005D</paraID>
      <start>2</start>
      <end>5</end>
      <status>unmodified</status>
      <modifiedWord/>
      <trackRevisions>false</trackRevisions>
    </reviewItem>
    <reviewItem>
      <errorID>7296c22b-5329-475f-93ae-6a734d1a6e29</errorID>
      <errorWord>，</errorWord>
      <group>L1_Word</group>
      <groupName>字词问题</groupName>
      <ability>L2_Typo</ability>
      <abilityName>字词错误</abilityName>
      <candidateList>
        <item>，在</item>
      </candidateList>
      <explain/>
      <paraID>2D13005D</paraID>
      <start>43</start>
      <end>44</end>
      <status>unmodified</status>
      <modifiedWord/>
      <trackRevisions>false</trackRevisions>
    </reviewItem>
    <reviewItem>
      <errorID>c0e69fc6-59b6-426d-ab41-2098704c6a71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977A6D0</paraID>
      <start>0</start>
      <end>2</end>
      <status>unmodified</status>
      <modifiedWord/>
      <trackRevisions>false</trackRevisions>
    </reviewItem>
    <reviewItem>
      <errorID>e0d3b827-ddb0-4d9c-b43e-2a9d2257bf9f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3578CDD</paraID>
      <start>0</start>
      <end>2</end>
      <status>unmodified</status>
      <modifiedWord/>
      <trackRevisions>false</trackRevisions>
    </reviewItem>
    <reviewItem>
      <errorID>b2ce8f04-20f6-4cec-8d95-5b0979a78d56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16D087C7</paraID>
      <start>0</start>
      <end>2</end>
      <status>unmodified</status>
      <modifiedWord/>
      <trackRevisions>false</trackRevisions>
    </reviewItem>
    <reviewItem>
      <errorID>90090f08-c108-4214-b998-d5ef3629311e</errorID>
      <errorWord>(</errorWord>
      <group>L1_Format</group>
      <groupName>格式问题</groupName>
      <ability>L2_HalfPunc</ability>
      <abilityName>全半角检查</abilityName>
      <candidateList>
        <item>（</item>
      </candidateList>
      <explain>文本全半角错误。</explain>
      <paraID>26A0B9AA</paraID>
      <start>36</start>
      <end>37</end>
      <status>unmodified</status>
      <modifiedWord/>
      <trackRevisions>false</trackRevisions>
    </reviewItem>
    <reviewItem>
      <errorID>c73c7dc7-fdd2-4c10-8f7c-57b2f026394a</errorID>
      <errorWord>)</errorWord>
      <group>L1_Format</group>
      <groupName>格式问题</groupName>
      <ability>L2_HalfPunc</ability>
      <abilityName>全半角检查</abilityName>
      <candidateList>
        <item>）</item>
      </candidateList>
      <explain>文本全半角错误。</explain>
      <paraID>79B778C4</paraID>
      <start>8</start>
      <end>9</end>
      <status>unmodified</status>
      <modifiedWord/>
      <trackRevisions>false</trackRevisions>
    </reviewItem>
    <reviewItem>
      <errorID>ad1eafab-0ffd-404a-b664-c24acebb9a44</errorID>
      <errorWord>[2014]68号</errorWord>
      <group>L1_Knowledge</group>
      <groupName>知识性问题</groupName>
      <ability>L2_Knowledge</ability>
      <abilityName>其他知识</abilityName>
      <candidateList>
        <item>〔2014〕68号</item>
      </candidateList>
      <explain>发文字号格式错误。</explain>
      <paraID>6EEB9318</paraID>
      <start>38</start>
      <end>47</end>
      <status>modified</status>
      <modifiedWord>〔2014〕68号</modifiedWord>
      <trackRevisions>false</trackRevisions>
    </reviewItem>
    <reviewItem>
      <errorID>79a5ac2f-1ffc-44b4-ba40-d0aede4c0401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2C2765A7</paraID>
      <start>0</start>
      <end>2</end>
      <status>unmodified</status>
      <modifiedWord/>
      <trackRevisions>false</trackRevisions>
    </reviewItem>
    <reviewItem>
      <errorID>1bfc32ab-d533-4f1f-9f67-232fda7a3819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1EB6F05E</paraID>
      <start>0</start>
      <end>2</end>
      <status>unmodified</status>
      <modifiedWord/>
      <trackRevisions>false</trackRevisions>
    </reviewItem>
    <reviewItem>
      <errorID>fbb6c4a8-a394-4976-99e4-1f3488ffd229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7B887D01</paraID>
      <start>0</start>
      <end>2</end>
      <status>unmodified</status>
      <modifiedWord/>
      <trackRevisions>false</trackRevisions>
    </reviewItem>
    <reviewItem>
      <errorID>918acb72-502a-4d52-aff8-28e1b7dcddda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570BA7DD</paraID>
      <start>0</start>
      <end>2</end>
      <status>unmodified</status>
      <modifiedWord/>
      <trackRevisions>false</trackRevisions>
    </reviewItem>
    <reviewItem>
      <errorID>1c321ba2-25cf-4c05-8b72-809c9658f03c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51B7DC61</paraID>
      <start>0</start>
      <end>2</end>
      <status>unmodified</status>
      <modifiedWord/>
      <trackRevisions>false</trackRevisions>
    </reviewItem>
    <reviewItem>
      <errorID>425abb34-8ea8-43eb-96c1-f4a0a5399268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618CC1D7</paraID>
      <start>0</start>
      <end>2</end>
      <status>unmodified</status>
      <modifiedWord/>
      <trackRevisions>false</trackRevisions>
    </reviewItem>
    <reviewItem>
      <errorID>4090d80b-c4e8-47a6-94b8-20a3015dda0d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6523B1AE</paraID>
      <start>0</start>
      <end>2</end>
      <status>unmodified</status>
      <modifiedWord/>
      <trackRevisions>false</trackRevisions>
    </reviewItem>
    <reviewItem>
      <errorID>34e47c94-3848-46ed-a9d0-56432daa26bf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B5F6DFB</paraID>
      <start>0</start>
      <end>2</end>
      <status>unmodified</status>
      <modifiedWord/>
      <trackRevisions>false</trackRevisions>
    </reviewItem>
    <reviewItem>
      <errorID>a9f5980d-e8ad-485f-9597-47f7abcb93a3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79942A76</paraID>
      <start>0</start>
      <end>2</end>
      <status>unmodified</status>
      <modifiedWord/>
      <trackRevisions>false</trackRevisions>
    </reviewItem>
    <reviewItem>
      <errorID>c6ad4cd3-415b-4ccc-9ae2-aacc40b61a90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2C4A1311</paraID>
      <start>0</start>
      <end>2</end>
      <status>unmodified</status>
      <modifiedWord/>
      <trackRevisions>false</trackRevisions>
    </reviewItem>
    <reviewItem>
      <errorID>9ad221f8-73a1-449a-b92b-d39624870382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760002BB</paraID>
      <start>0</start>
      <end>2</end>
      <status>unmodified</status>
      <modifiedWord/>
      <trackRevisions>false</trackRevisions>
    </reviewItem>
    <reviewItem>
      <errorID>5a41a6fc-934b-4e46-b41e-fe01b2ee7740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FE5FA61</paraID>
      <start>0</start>
      <end>2</end>
      <status>unmodified</status>
      <modifiedWord/>
      <trackRevisions>false</trackRevisions>
    </reviewItem>
    <reviewItem>
      <errorID>365c5822-0f80-4591-8b25-01bcb2a4adb3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349075F2</paraID>
      <start>0</start>
      <end>2</end>
      <status>unmodified</status>
      <modifiedWord/>
      <trackRevisions>false</trackRevisions>
    </reviewItem>
    <reviewItem>
      <errorID>06c94dcc-558c-43a7-9007-48f723329881</errorID>
      <errorWord>(</errorWord>
      <group>L1_Format</group>
      <groupName>格式问题</groupName>
      <ability>L2_HalfPunc</ability>
      <abilityName>全半角检查</abilityName>
      <candidateList>
        <item>（</item>
      </candidateList>
      <explain>文本全半角错误。</explain>
      <paraID>349075F2</paraID>
      <start>15</start>
      <end>16</end>
      <status>unmodified</status>
      <modifiedWord/>
      <trackRevisions>false</trackRevisions>
    </reviewItem>
    <reviewItem>
      <errorID>990bc2fd-6152-4c58-ac40-ed34a5b045ad</errorID>
      <errorWord>)</errorWord>
      <group>L1_Format</group>
      <groupName>格式问题</groupName>
      <ability>L2_HalfPunc</ability>
      <abilityName>全半角检查</abilityName>
      <candidateList>
        <item>）</item>
      </candidateList>
      <explain>文本全半角错误。</explain>
      <paraID>349075F2</paraID>
      <start>21</start>
      <end>22</end>
      <status>unmodified</status>
      <modifiedWord/>
      <trackRevisions>false</trackRevisions>
    </reviewItem>
    <reviewItem>
      <errorID>1fa9d43c-062d-4b03-9990-f2b3cf33d593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783C352C</paraID>
      <start>0</start>
      <end>2</end>
      <status>unmodified</status>
      <modifiedWord/>
      <trackRevisions>false</trackRevisions>
    </reviewItem>
    <reviewItem>
      <errorID>010d7874-7c70-4614-9388-5a7663d8316e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7B958C05</paraID>
      <start>0</start>
      <end>2</end>
      <status>unmodified</status>
      <modifiedWord/>
      <trackRevisions>false</trackRevisions>
    </reviewItem>
    <reviewItem>
      <errorID>72037267-c478-4efa-a37b-61575f130624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74EBC38</paraID>
      <start>0</start>
      <end>2</end>
      <status>unmodified</status>
      <modifiedWord/>
      <trackRevisions>false</trackRevisions>
    </reviewItem>
    <reviewItem>
      <errorID>b523c393-f325-469f-8263-e4d1432b2eca</errorID>
      <errorWord>（</errorWord>
      <group>L1_Punc</group>
      <groupName>标点问题</groupName>
      <ability>L2_Punc</ability>
      <abilityName>标点符号检查</abilityName>
      <candidateList/>
      <explain>同一形式括号套用。</explain>
      <paraID>39EDEDC4</paraID>
      <start>254</start>
      <end>255</end>
      <status>unmodified</status>
      <modifiedWord/>
      <trackRevisions>false</trackRevisions>
    </reviewItem>
    <reviewItem>
      <errorID>64050740-b886-44b9-a31e-14fad99d3085</errorID>
      <errorWord>）</errorWord>
      <group>L1_Punc</group>
      <groupName>标点问题</groupName>
      <ability>L2_Punc</ability>
      <abilityName>标点符号检查</abilityName>
      <candidateList/>
      <explain>同一形式括号套用。</explain>
      <paraID>39EDEDC4</paraID>
      <start>264</start>
      <end>265</end>
      <status>unmodified</status>
      <modifiedWord/>
      <trackRevisions>false</trackRevisions>
    </reviewItem>
    <reviewItem>
      <errorID>69ebd032-5cd2-4bdf-88a6-67525bbb6ad6</errorID>
      <errorWord>(</errorWord>
      <group>L1_Format</group>
      <groupName>格式问题</groupName>
      <ability>L2_HalfPunc</ability>
      <abilityName>全半角检查</abilityName>
      <candidateList>
        <item>（</item>
      </candidateList>
      <explain>文本全半角错误。</explain>
      <paraID>3D3B2295</paraID>
      <start>11</start>
      <end>12</end>
      <status>unmodified</status>
      <modifiedWord/>
      <trackRevisions>false</trackRevisions>
    </reviewItem>
    <reviewItem>
      <errorID>a241207d-f14f-44cc-bc89-3010eb2e0c03</errorID>
      <errorWord>)</errorWord>
      <group>L1_Format</group>
      <groupName>格式问题</groupName>
      <ability>L2_HalfPunc</ability>
      <abilityName>全半角检查</abilityName>
      <candidateList>
        <item>）</item>
      </candidateList>
      <explain>文本全半角错误。</explain>
      <paraID>3D3B2295</paraID>
      <start>22</start>
      <end>23</end>
      <status>unmodified</status>
      <modifiedWord/>
      <trackRevisions>false</trackRevisions>
    </reviewItem>
    <reviewItem>
      <errorID>e271e755-0cd2-40d2-8a76-c93a7844bff7</errorID>
      <errorWord>“</errorWord>
      <group>L1_Punc</group>
      <groupName>标点问题</groupName>
      <ability>L2_Punc</ability>
      <abilityName>标点符号检查</abilityName>
      <candidateList/>
      <explain>此处标点可能未正确匹配，请检查句子中是否存在标点冗余、缺失或使用错误的情况。</explain>
      <paraID>27FC6B19</paraID>
      <start>42</start>
      <end>43</end>
      <status>unmodified</status>
      <modifiedWord/>
      <trackRevisions>false</trackRevisions>
    </reviewItem>
    <reviewItem>
      <errorID>8b2d4885-a3f1-44c2-a6a2-b1b7c8ed40ff</errorID>
      <errorWord>"</errorWord>
      <group>L1_Format</group>
      <groupName>格式问题</groupName>
      <ability>L2_HalfPunc</ability>
      <abilityName>全半角检查</abilityName>
      <candidateList>
        <item>”</item>
      </candidateList>
      <explain>文本全半角错误。</explain>
      <paraID>27FC6B19</paraID>
      <start>50</start>
      <end>51</end>
      <status>unmodified</status>
      <modifiedWord/>
      <trackRevisions>false</trackRevisions>
    </reviewItem>
    <reviewItem>
      <errorID>79bb63ed-dc42-49c1-a2b4-d6d03b367865</errorID>
      <errorWord>)</errorWord>
      <group>L1_Format</group>
      <groupName>格式问题</groupName>
      <ability>L2_HalfPunc</ability>
      <abilityName>全半角检查</abilityName>
      <candidateList>
        <item>）</item>
      </candidateList>
      <explain>文本全半角错误。</explain>
      <paraID>27FC6B19</paraID>
      <start>74</start>
      <end>75</end>
      <status>unmodified</status>
      <modifiedWord/>
      <trackRevisions>false</trackRevisions>
    </reviewItem>
    <reviewItem>
      <errorID>4f7dd2ab-a124-4508-bed6-affa61121b9d</errorID>
      <errorWord>（</errorWord>
      <group>L1_Punc</group>
      <groupName>标点问题</groupName>
      <ability>L2_Punc</ability>
      <abilityName>标点符号检查</abilityName>
      <candidateList>
        <item/>
      </candidateList>
      <explain>同一形式括号套用。</explain>
      <paraID>364FD36D</paraID>
      <start>48</start>
      <end>49</end>
      <status>unmodified</status>
      <modifiedWord/>
      <trackRevisions>false</trackRevisions>
    </reviewItem>
    <reviewItem>
      <errorID>aa748905-5f1d-4d50-9cc2-78723b548ab0</errorID>
      <errorWord>(</errorWord>
      <group>L1_Punc</group>
      <groupName>标点问题</groupName>
      <ability>L2_Punc</ability>
      <abilityName>标点符号检查</abilityName>
      <candidateList/>
      <explain>同一形式括号套用。</explain>
      <paraID>364FD36D</paraID>
      <start>103</start>
      <end>104</end>
      <status>unmodified</status>
      <modifiedWord/>
      <trackRevisions>false</trackRevisions>
    </reviewItem>
    <reviewItem>
      <errorID>5b3c7ecc-ac25-441f-bc5d-11d8ae587a9b</errorID>
      <errorWord>)</errorWord>
      <group>L1_Punc</group>
      <groupName>标点问题</groupName>
      <ability>L2_Punc</ability>
      <abilityName>标点符号检查</abilityName>
      <candidateList/>
      <explain>同一形式括号套用。</explain>
      <paraID>364FD36D</paraID>
      <start>113</start>
      <end>114</end>
      <status>unmodified</status>
      <modifiedWord/>
      <trackRevisions>false</trackRevisions>
    </reviewItem>
    <reviewItem>
      <errorID>95fd443c-b4ef-48ba-80d5-17e62989b5a6</errorID>
      <errorWord>）</errorWord>
      <group>L1_Punc</group>
      <groupName>标点问题</groupName>
      <ability>L2_Punc</ability>
      <abilityName>标点符号检查</abilityName>
      <candidateList/>
      <explain>同一形式括号套用。</explain>
      <paraID>364FD36D</paraID>
      <start>129</start>
      <end>130</end>
      <status>unmodified</status>
      <modifiedWord/>
      <trackRevisions>false</trackRevisions>
    </reviewItem>
    <reviewItem>
      <errorID>c40d364f-c6f4-4b82-8eef-86b6f5b5d2e2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560C3BA5</paraID>
      <start>52</start>
      <end>55</end>
      <status>unmodified</status>
      <modifiedWord/>
      <trackRevisions>false</trackRevisions>
    </reviewItem>
    <reviewItem>
      <errorID>2ea347fa-4fee-47ec-9967-574cc2f272e0</errorID>
      <errorWord>:</errorWord>
      <group>L1_Format</group>
      <groupName>格式问题</groupName>
      <ability>L2_HalfPunc</ability>
      <abilityName>全半角检查</abilityName>
      <candidateList>
        <item>：</item>
      </candidateList>
      <explain>文本全半角错误。</explain>
      <paraID>21A6E822</paraID>
      <start>95</start>
      <end>96</end>
      <status>unmodified</status>
      <modifiedWord/>
      <trackRevisions>false</trackRevisions>
    </reviewItem>
    <reviewItem>
      <errorID>274a3440-f254-43c8-b61f-f340158ca691</errorID>
      <errorWord>法律、法规</errorWord>
      <group>L1_Word</group>
      <groupName>字词问题</groupName>
      <ability>L2_Typo</ability>
      <abilityName>字词错误</abilityName>
      <candidateList>
        <item>法律法规</item>
      </candidateList>
      <explain/>
      <paraID>3AF36487</paraID>
      <start>8</start>
      <end>13</end>
      <status>unmodified</status>
      <modifiedWord/>
      <trackRevisions>false</trackRevisions>
    </reviewItem>
    <reviewItem>
      <errorID>0a58d091-8814-486b-ae90-358a63347a42</errorID>
      <errorWord>;</errorWord>
      <group>L1_Format</group>
      <groupName>格式问题</groupName>
      <ability>L2_HalfPunc</ability>
      <abilityName>全半角检查</abilityName>
      <candidateList>
        <item>；</item>
      </candidateList>
      <explain>文本全半角错误。</explain>
      <paraID>3AF36487</paraID>
      <start>74</start>
      <end>75</end>
      <status>unmodified</status>
      <modifiedWord/>
      <trackRevisions>false</trackRevisions>
    </reviewItem>
    <reviewItem>
      <errorID>6bac320a-82fa-42b0-a5e3-9ab6e0f0ca1a</errorID>
      <errorWord>做出</errorWord>
      <group>L1_Word</group>
      <groupName>字词问题</groupName>
      <ability>L2_Typo</ability>
      <abilityName>字词错误</abilityName>
      <candidateList>
        <item>作出</item>
      </candidateList>
      <explain/>
      <paraID> D7762FF</paraID>
      <start>27</start>
      <end>29</end>
      <status>modified</status>
      <modifiedWord>作出</modifiedWord>
      <trackRevisions>false</trackRevisions>
    </reviewItem>
    <reviewItem>
      <errorID>9769500b-c588-4e5f-99fa-b9eaaa8d39dc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664B1A6E</paraID>
      <start>0</start>
      <end>2</end>
      <status>unmodified</status>
      <modifiedWord/>
      <trackRevisions>false</trackRevisions>
    </reviewItem>
    <reviewItem>
      <errorID>3344833d-c47a-4262-a65b-f2d87264c614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25AF07E1</paraID>
      <start>4</start>
      <end>6</end>
      <status>unmodified</status>
      <modifiedWord/>
      <trackRevisions>false</trackRevisions>
    </reviewItem>
    <reviewItem>
      <errorID>5c310c6a-5068-48b4-b7d8-249fd50335e5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3E423AB5</paraID>
      <start>0</start>
      <end>2</end>
      <status>unmodified</status>
      <modifiedWord/>
      <trackRevisions>false</trackRevisions>
    </reviewItem>
    <reviewItem>
      <errorID>44426113-bc38-4c07-9eb9-c74ef8ce7bd6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650B0C4C</paraID>
      <start>0</start>
      <end>2</end>
      <status>unmodified</status>
      <modifiedWord/>
      <trackRevisions>false</trackRevisions>
    </reviewItem>
    <reviewItem>
      <errorID>4f8b243d-de0f-4380-bb04-ef1110e603ce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3B6EB3D</paraID>
      <start>0</start>
      <end>2</end>
      <status>unmodified</status>
      <modifiedWord/>
      <trackRevisions>false</trackRevisions>
    </reviewItem>
    <reviewItem>
      <errorID>fed6d36a-b7c1-4ba7-83f0-d28c6cc2685f</errorID>
      <errorWord>《政府采购法》</errorWord>
      <group>L1_Word</group>
      <groupName>字词问题</groupName>
      <ability>L2_Typo</ability>
      <abilityName>字词错误</abilityName>
      <candidateList>
        <item>《中华人民共和国政府采购法》</item>
      </candidateList>
      <explain/>
      <paraID> 3B6EB3D</paraID>
      <start>2</start>
      <end>9</end>
      <status>unmodified</status>
      <modifiedWord/>
      <trackRevisions>false</trackRevisions>
    </reviewItem>
    <reviewItem>
      <errorID>c2e1536e-bd6b-4858-b249-33313a44ea26</errorID>
      <errorWord>[2011]300号</errorWord>
      <group>L1_Knowledge</group>
      <groupName>知识性问题</groupName>
      <ability>L2_Knowledge</ability>
      <abilityName>其他知识</abilityName>
      <candidateList>
        <item>〔2011〕300号</item>
      </candidateList>
      <explain>发文字号格式错误。</explain>
      <paraID>  66CDF1</paraID>
      <start>35</start>
      <end>45</end>
      <status>modified</status>
      <modifiedWord>〔2011〕300号</modifiedWord>
      <trackRevisions>false</trackRevisions>
    </reviewItem>
    <reviewItem>
      <errorID>7584b49a-e1b7-47d7-a8c5-d84ea5e40d66</errorID>
      <errorWord>须</errorWord>
      <group>L1_Word</group>
      <groupName>字词问题</groupName>
      <ability>L2_Typo</ability>
      <abilityName>字词错误</abilityName>
      <candidateList>
        <item>需</item>
      </candidateList>
      <explain>存在发音相同字词的误用。</explain>
      <paraID>  66CDF1</paraID>
      <start>82</start>
      <end>83</end>
      <status>unmodified</status>
      <modifiedWord/>
      <trackRevisions>false</trackRevisions>
    </reviewItem>
    <reviewItem>
      <errorID>78e3cc97-196a-4f1c-bb92-0cdb86c8ecd4</errorID>
      <errorWord>〔2017〕 141号</errorWord>
      <group>L1_Knowledge</group>
      <groupName>知识性问题</groupName>
      <ability>L2_Knowledge</ability>
      <abilityName>其他知识</abilityName>
      <candidateList>
        <item>〔2017〕141号</item>
      </candidateList>
      <explain>发文字号格式错误。</explain>
      <paraID>43CEDF48</paraID>
      <start>49</start>
      <end>60</end>
      <status>unmodified</status>
      <modifiedWord/>
      <trackRevisions>false</trackRevisions>
    </reviewItem>
    <reviewItem>
      <errorID>5edadb07-942b-419f-b310-f560a4d05bd7</errorID>
      <errorWord>(</errorWord>
      <group>L1_Format</group>
      <groupName>格式问题</groupName>
      <ability>L2_HalfPunc</ability>
      <abilityName>全半角检查</abilityName>
      <candidateList>
        <item>（</item>
      </candidateList>
      <explain>文本全半角错误。</explain>
      <paraID>10F33E16</paraID>
      <start>54</start>
      <end>55</end>
      <status>unmodified</status>
      <modifiedWord/>
      <trackRevisions>false</trackRevisions>
    </reviewItem>
    <reviewItem>
      <errorID>ec340da5-e9f0-4e08-bb9c-93dce9f54d3d</errorID>
      <errorWord>)</errorWord>
      <group>L1_Format</group>
      <groupName>格式问题</groupName>
      <ability>L2_HalfPunc</ability>
      <abilityName>全半角检查</abilityName>
      <candidateList>
        <item>）</item>
      </candidateList>
      <explain>文本全半角错误。</explain>
      <paraID>10F33E16</paraID>
      <start>57</start>
      <end>58</end>
      <status>unmodified</status>
      <modifiedWord/>
      <trackRevisions>false</trackRevisions>
    </reviewItem>
    <reviewItem>
      <errorID>e8bda23c-847e-4f45-994c-e51e279068cf</errorID>
      <errorWord>,</errorWord>
      <group>L1_Format</group>
      <groupName>格式问题</groupName>
      <ability>L2_HalfPunc</ability>
      <abilityName>全半角检查</abilityName>
      <candidateList>
        <item>，</item>
      </candidateList>
      <explain>文本全半角错误。</explain>
      <paraID>6D2C83B6</paraID>
      <start>8</start>
      <end>9</end>
      <status>unmodified</status>
      <modifiedWord/>
      <trackRevisions>false</trackRevisions>
    </reviewItem>
    <reviewItem>
      <errorID>cb76d1c5-4420-4521-be7d-cbdb3f178724</errorID>
      <errorWord>,</errorWord>
      <group>L1_Format</group>
      <groupName>格式问题</groupName>
      <ability>L2_HalfPunc</ability>
      <abilityName>全半角检查</abilityName>
      <candidateList>
        <item>，</item>
      </candidateList>
      <explain>文本全半角错误。</explain>
      <paraID>6D2C83B6</paraID>
      <start>34</start>
      <end>35</end>
      <status>unmodified</status>
      <modifiedWord/>
      <trackRevisions>false</trackRevisions>
    </reviewItem>
    <reviewItem>
      <errorID>0b421197-86b4-4f81-aa57-579cac232528</errorID>
      <errorWord>间</errorWord>
      <group>L1_Word</group>
      <groupName>字词问题</groupName>
      <ability>L2_Typo</ability>
      <abilityName>字词错误</abilityName>
      <candidateList>
        <item>间内</item>
      </candidateList>
      <explain/>
      <paraID>6D2C83B6</paraID>
      <start>47</start>
      <end>48</end>
      <status>unmodified</status>
      <modifiedWord/>
      <trackRevisions>false</trackRevisions>
    </reviewItem>
    <reviewItem>
      <errorID>3a1198aa-fcd6-41b3-9492-1df862e77842</errorID>
      <errorWord>(</errorWord>
      <group>L1_Format</group>
      <groupName>格式问题</groupName>
      <ability>L2_HalfPunc</ability>
      <abilityName>全半角检查</abilityName>
      <candidateList>
        <item>（</item>
      </candidateList>
      <explain>文本全半角错误。</explain>
      <paraID>1FD094C2</paraID>
      <start>3</start>
      <end>4</end>
      <status>unmodified</status>
      <modifiedWord/>
      <trackRevisions>false</trackRevisions>
    </reviewItem>
    <reviewItem>
      <errorID>b77cf585-fccc-42be-ba29-31415ee68601</errorID>
      <errorWord>)</errorWord>
      <group>L1_Format</group>
      <groupName>格式问题</groupName>
      <ability>L2_HalfPunc</ability>
      <abilityName>全半角检查</abilityName>
      <candidateList>
        <item>）</item>
      </candidateList>
      <explain>文本全半角错误。</explain>
      <paraID>1FD094C2</paraID>
      <start>6</start>
      <end>7</end>
      <status>unmodified</status>
      <modifiedWord/>
      <trackRevisions>false</trackRevisions>
    </reviewItem>
    <reviewItem>
      <errorID>60e1fb11-3c10-4a73-9d7d-ce68c4e5ac9c</errorID>
      <errorWord>其它机械</errorWord>
      <group>L1_Word</group>
      <groupName>字词问题</groupName>
      <ability>L2_Alias</ability>
      <abilityName>也作/曾用词</abilityName>
      <candidateList>
        <item>其他机械</item>
      </candidateList>
      <explain>词汇[其它机械]为不规范表述或旧称，其规范书面表述为[其他机械]。</explain>
      <paraID>39173244</paraID>
      <start>0</start>
      <end>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D6248D2-9FF8-455C-875A-FFC414246FA1}">
  <ds:schemaRefs/>
</ds:datastoreItem>
</file>

<file path=docProps/app.xml><?xml version="1.0" encoding="utf-8"?>
<Properties xmlns="http://schemas.openxmlformats.org/officeDocument/2006/extended-properties" xmlns:vt="http://schemas.openxmlformats.org/officeDocument/2006/docPropsVTypes">
  <Template>Normal.dotm</Template>
  <Company>HP</Company>
  <Pages>240</Pages>
  <Words>12508</Words>
  <Characters>13723</Characters>
  <TotalTime>32</TotalTime>
  <ScaleCrop>false</ScaleCrop>
  <LinksUpToDate>false</LinksUpToDate>
  <CharactersWithSpaces>13867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19905</dc:creator>
  <cp:lastModifiedBy>*</cp:lastModifiedBy>
  <dcterms:modified xsi:type="dcterms:W3CDTF">2026-09-30T02:58:03Z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699A380D37D24DA697CFBB33D45D8219_13</vt:lpwstr>
  </property>
  <property fmtid="{D5CDD505-2E9C-101B-9397-08002B2CF9AE}" pid="4" name="KSOTemplateDocerSaveRecord">
    <vt:lpwstr>eyJoZGlkIjoiYjA4NjQ3YzcwN2Q1M2FlZTg2MDg3ZGI5MGQ5ZmVkZDYiLCJ1c2VySWQiOiI3NTE2NjU3NDcifQ==</vt:lpwstr>
  </property>
</Properties>
</file>