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2A82CA">
      <w:pPr>
        <w:pStyle w:val="272"/>
        <w:ind w:firstLine="0"/>
        <w:rPr>
          <w:rFonts w:eastAsia="黑体"/>
          <w:b/>
          <w:bCs/>
          <w:sz w:val="84"/>
        </w:rPr>
      </w:pPr>
    </w:p>
    <w:p w14:paraId="6AE837E0">
      <w:pPr>
        <w:pStyle w:val="272"/>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招　标　文　件</w:t>
      </w:r>
    </w:p>
    <w:p w14:paraId="69B48AED">
      <w:pPr>
        <w:pStyle w:val="272"/>
        <w:spacing w:line="400" w:lineRule="exact"/>
        <w:ind w:firstLine="1968"/>
        <w:rPr>
          <w:b/>
          <w:bCs/>
          <w:sz w:val="28"/>
          <w:szCs w:val="28"/>
        </w:rPr>
      </w:pPr>
    </w:p>
    <w:p w14:paraId="4E429E5B">
      <w:pPr>
        <w:spacing w:before="120" w:after="120" w:line="400" w:lineRule="exact"/>
        <w:ind w:firstLine="560"/>
        <w:jc w:val="lef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项目名称：城镇排水行业第三方技术指导</w:t>
      </w:r>
    </w:p>
    <w:p w14:paraId="6CC1F75A">
      <w:pPr>
        <w:spacing w:before="120" w:after="120" w:line="400" w:lineRule="exact"/>
        <w:ind w:firstLine="560"/>
        <w:jc w:val="left"/>
        <w:rPr>
          <w:b/>
          <w:color w:val="FF0000"/>
          <w:sz w:val="28"/>
          <w:szCs w:val="28"/>
        </w:rPr>
      </w:pPr>
      <w:r>
        <w:rPr>
          <w:rFonts w:hint="eastAsia" w:ascii="方正黑体_GBK" w:hAnsi="方正黑体_GBK" w:eastAsia="方正黑体_GBK" w:cs="方正黑体_GBK"/>
          <w:color w:val="000000"/>
          <w:sz w:val="28"/>
          <w:szCs w:val="28"/>
        </w:rPr>
        <w:t>采购编号：</w:t>
      </w:r>
      <w:r>
        <w:rPr>
          <w:rFonts w:hint="eastAsia" w:eastAsia="方正仿宋_GBK"/>
          <w:color w:val="000000"/>
          <w:sz w:val="28"/>
          <w:szCs w:val="28"/>
        </w:rPr>
        <w:t>JSZC-320000-JSJX-G2026-0005</w:t>
      </w:r>
      <w:r>
        <w:rPr>
          <w:rFonts w:eastAsia="方正黑体_GBK"/>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p>
    <w:p w14:paraId="683B1FEB">
      <w:pPr>
        <w:spacing w:before="120" w:after="120" w:line="400" w:lineRule="exact"/>
        <w:ind w:firstLine="560"/>
        <w:jc w:val="left"/>
        <w:rPr>
          <w:rFonts w:hint="eastAsia" w:ascii="方正黑体_GBK" w:hAnsi="方正黑体_GBK" w:eastAsia="方正黑体_GBK" w:cs="方正黑体_GBK"/>
          <w:color w:val="000000"/>
          <w:sz w:val="28"/>
          <w:szCs w:val="28"/>
        </w:rPr>
      </w:pPr>
    </w:p>
    <w:p w14:paraId="3F446DB0">
      <w:pPr>
        <w:jc w:val="center"/>
        <w:rPr>
          <w:b/>
          <w:color w:val="FF0000"/>
          <w:sz w:val="28"/>
          <w:szCs w:val="28"/>
        </w:rPr>
      </w:pPr>
    </w:p>
    <w:p w14:paraId="3F30C152">
      <w:pPr>
        <w:pStyle w:val="272"/>
        <w:spacing w:before="0" w:after="0"/>
        <w:ind w:firstLine="0"/>
        <w:rPr>
          <w:rFonts w:hint="eastAsia" w:ascii="宋体" w:hAnsi="宋体"/>
          <w:sz w:val="28"/>
          <w:szCs w:val="28"/>
        </w:rPr>
      </w:pPr>
    </w:p>
    <w:p w14:paraId="4C752C19">
      <w:pPr>
        <w:pStyle w:val="272"/>
        <w:spacing w:before="0" w:after="0"/>
        <w:ind w:firstLine="0"/>
        <w:rPr>
          <w:rFonts w:hint="eastAsia" w:ascii="宋体" w:hAnsi="宋体"/>
          <w:sz w:val="28"/>
          <w:szCs w:val="28"/>
        </w:rPr>
      </w:pPr>
    </w:p>
    <w:p w14:paraId="46299598">
      <w:pPr>
        <w:pStyle w:val="272"/>
        <w:spacing w:before="0" w:after="0"/>
        <w:ind w:firstLine="0"/>
        <w:rPr>
          <w:rFonts w:hint="eastAsia" w:ascii="宋体" w:hAnsi="宋体"/>
          <w:sz w:val="28"/>
          <w:szCs w:val="28"/>
        </w:rPr>
      </w:pPr>
    </w:p>
    <w:p w14:paraId="445CD23E">
      <w:pPr>
        <w:pStyle w:val="272"/>
        <w:spacing w:before="0" w:after="0"/>
        <w:ind w:firstLine="0"/>
        <w:rPr>
          <w:rFonts w:hint="eastAsia" w:ascii="宋体" w:hAnsi="宋体"/>
          <w:sz w:val="28"/>
          <w:szCs w:val="28"/>
        </w:rPr>
      </w:pPr>
    </w:p>
    <w:p w14:paraId="37FA6F30">
      <w:pPr>
        <w:pStyle w:val="272"/>
        <w:spacing w:before="0" w:after="0"/>
        <w:ind w:firstLine="0"/>
        <w:rPr>
          <w:rFonts w:hint="eastAsia" w:ascii="宋体" w:hAnsi="宋体"/>
          <w:sz w:val="28"/>
          <w:szCs w:val="28"/>
        </w:rPr>
      </w:pPr>
    </w:p>
    <w:p w14:paraId="1D885609">
      <w:pPr>
        <w:pStyle w:val="272"/>
        <w:spacing w:before="0" w:after="0"/>
        <w:ind w:firstLine="0"/>
        <w:rPr>
          <w:rFonts w:hint="eastAsia" w:ascii="宋体" w:hAnsi="宋体"/>
          <w:sz w:val="28"/>
          <w:szCs w:val="28"/>
        </w:rPr>
      </w:pPr>
    </w:p>
    <w:p w14:paraId="125969B2">
      <w:pPr>
        <w:spacing w:before="120" w:after="120" w:line="400" w:lineRule="exact"/>
        <w:jc w:val="center"/>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采购人：江苏省住房和城乡建设厅</w:t>
      </w:r>
    </w:p>
    <w:p w14:paraId="0B387DA7">
      <w:pPr>
        <w:spacing w:before="120" w:after="120" w:line="400" w:lineRule="exact"/>
        <w:jc w:val="center"/>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采购代理：江苏省建信招投标有限公司</w:t>
      </w:r>
    </w:p>
    <w:p w14:paraId="113914B0">
      <w:pPr>
        <w:spacing w:before="120" w:after="120" w:line="400" w:lineRule="exact"/>
        <w:jc w:val="center"/>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2026年</w:t>
      </w:r>
      <w:r>
        <w:rPr>
          <w:rFonts w:hint="eastAsia" w:ascii="方正黑体_GBK" w:hAnsi="方正黑体_GBK" w:eastAsia="方正黑体_GBK" w:cs="方正黑体_GBK"/>
          <w:color w:val="000000"/>
          <w:sz w:val="28"/>
          <w:szCs w:val="28"/>
          <w:lang w:val="en-US" w:eastAsia="zh-CN"/>
        </w:rPr>
        <w:t>8</w:t>
      </w:r>
      <w:r>
        <w:rPr>
          <w:rFonts w:hint="eastAsia" w:ascii="方正黑体_GBK" w:hAnsi="方正黑体_GBK" w:eastAsia="方正黑体_GBK" w:cs="方正黑体_GBK"/>
          <w:color w:val="000000"/>
          <w:sz w:val="28"/>
          <w:szCs w:val="28"/>
        </w:rPr>
        <w:t>月</w:t>
      </w:r>
    </w:p>
    <w:p w14:paraId="55DB4D12">
      <w:pPr>
        <w:pStyle w:val="272"/>
        <w:ind w:firstLine="0"/>
        <w:rPr>
          <w:u w:val="single"/>
        </w:rPr>
      </w:pPr>
      <w:r>
        <w:rPr>
          <w:rFonts w:hint="eastAsia"/>
        </w:rPr>
        <w:t xml:space="preserve">                        </w:t>
      </w:r>
    </w:p>
    <w:p w14:paraId="5928A107">
      <w:pPr>
        <w:pStyle w:val="272"/>
        <w:ind w:firstLine="0"/>
        <w:jc w:val="center"/>
      </w:pPr>
    </w:p>
    <w:p w14:paraId="06B65C31">
      <w:pPr>
        <w:spacing w:line="400" w:lineRule="exact"/>
        <w:jc w:val="center"/>
        <w:outlineLvl w:val="0"/>
        <w:rPr>
          <w:rFonts w:ascii="黑体" w:hAnsi="Arial" w:eastAsia="黑体"/>
          <w:b/>
          <w:sz w:val="28"/>
          <w:szCs w:val="28"/>
        </w:rPr>
      </w:pPr>
      <w:r>
        <w:rPr/>
        <w:br w:type="page" w:clear="all"/>
      </w:r>
      <w:bookmarkStart w:id="0" w:name="_Toc120614210"/>
      <w:bookmarkStart w:id="1" w:name="_Toc20823272"/>
      <w:bookmarkStart w:id="2" w:name="_Toc16938516"/>
      <w:bookmarkStart w:id="3" w:name="_Toc523127445"/>
      <w:bookmarkStart w:id="4" w:name="_Toc513029200"/>
      <w:bookmarkStart w:id="5" w:name="_Toc479757206"/>
      <w:r>
        <w:rPr>
          <w:rFonts w:hint="eastAsia" w:ascii="方正黑体_GBK" w:hAnsi="方正黑体_GBK" w:eastAsia="方正黑体_GBK" w:cs="方正黑体_GBK"/>
          <w:b/>
          <w:color w:val="000000"/>
          <w:sz w:val="32"/>
          <w:szCs w:val="32"/>
        </w:rPr>
        <w:t xml:space="preserve"> </w:t>
      </w:r>
      <w:r>
        <w:rPr>
          <w:rFonts w:hint="eastAsia" w:ascii="方正黑体_GBK" w:hAnsi="方正黑体_GBK" w:eastAsia="方正黑体_GBK" w:cs="方正黑体_GBK"/>
          <w:bCs/>
          <w:color w:val="000000"/>
          <w:sz w:val="32"/>
          <w:szCs w:val="32"/>
        </w:rPr>
        <w:t>总  目  录</w:t>
      </w:r>
    </w:p>
    <w:p w14:paraId="1CFB84B1">
      <w:pPr>
        <w:spacing w:line="400" w:lineRule="exact"/>
        <w:outlineLvl w:val="0"/>
        <w:rPr>
          <w:rFonts w:hint="eastAsia" w:ascii="方正黑体_GBK" w:hAnsi="方正黑体_GBK" w:eastAsia="方正黑体_GBK" w:cs="方正黑体_GBK"/>
          <w:color w:val="000000"/>
          <w:sz w:val="28"/>
          <w:szCs w:val="28"/>
        </w:rPr>
      </w:pPr>
    </w:p>
    <w:p w14:paraId="781E3950">
      <w:pPr>
        <w:spacing w:line="480" w:lineRule="auto"/>
        <w:jc w:val="center"/>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第一章 投标邀请…………………………………… 3</w:t>
      </w:r>
    </w:p>
    <w:p w14:paraId="3A89A90D">
      <w:pPr>
        <w:spacing w:line="480" w:lineRule="auto"/>
        <w:jc w:val="center"/>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第二章 投标人须知………………………………… 6</w:t>
      </w:r>
    </w:p>
    <w:p w14:paraId="4E271C48">
      <w:pPr>
        <w:spacing w:line="480" w:lineRule="auto"/>
        <w:jc w:val="center"/>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第三章 合同文本……………………………………16</w:t>
      </w:r>
    </w:p>
    <w:p w14:paraId="4D74D7B6">
      <w:pPr>
        <w:spacing w:line="480" w:lineRule="auto"/>
        <w:jc w:val="center"/>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第四章 采购需求……………………………………42</w:t>
      </w:r>
    </w:p>
    <w:p w14:paraId="16844DFE">
      <w:pPr>
        <w:spacing w:line="480" w:lineRule="auto"/>
        <w:jc w:val="center"/>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第五章 评标方法与评标标准………………………51</w:t>
      </w:r>
    </w:p>
    <w:p w14:paraId="6CB0B9D3">
      <w:pPr>
        <w:spacing w:line="480" w:lineRule="auto"/>
        <w:jc w:val="center"/>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第六章 投标文件格式………………………………60</w:t>
      </w:r>
    </w:p>
    <w:p w14:paraId="52D5C877"/>
    <w:p w14:paraId="6E785DF6"/>
    <w:p w14:paraId="1AB99351"/>
    <w:p w14:paraId="5C554219"/>
    <w:p w14:paraId="4DD59159"/>
    <w:p w14:paraId="1535DC20"/>
    <w:p w14:paraId="4E4A7477"/>
    <w:p w14:paraId="1962E5F4"/>
    <w:p w14:paraId="021C8AA0"/>
    <w:p w14:paraId="1BFECC75"/>
    <w:p w14:paraId="18F65E0E"/>
    <w:p w14:paraId="3E82F662"/>
    <w:p w14:paraId="4132E964"/>
    <w:p w14:paraId="5930685C"/>
    <w:p w14:paraId="312072C1"/>
    <w:p w14:paraId="44DF2E14"/>
    <w:p w14:paraId="40F7988C"/>
    <w:p w14:paraId="75A4002F"/>
    <w:p w14:paraId="2FA7F64C"/>
    <w:p w14:paraId="59A098C0"/>
    <w:p w14:paraId="0110E11C"/>
    <w:p w14:paraId="7F989D19"/>
    <w:p w14:paraId="1CCFD58D"/>
    <w:p w14:paraId="6C403ED6"/>
    <w:p w14:paraId="77B795EB"/>
    <w:p w14:paraId="58FF5414"/>
    <w:p w14:paraId="564958E8"/>
    <w:p w14:paraId="56E4ADB9"/>
    <w:p w14:paraId="1DE96C33"/>
    <w:p w14:paraId="1EE899C6"/>
    <w:p w14:paraId="5C601213"/>
    <w:p w14:paraId="6CA2583D"/>
    <w:p w14:paraId="2B20073C"/>
    <w:p w14:paraId="06C25201"/>
    <w:p w14:paraId="67D0B598"/>
    <w:p w14:paraId="4CD38220">
      <w:pPr>
        <w:keepNext/>
        <w:spacing w:line="400" w:lineRule="exact"/>
        <w:jc w:val="center"/>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投标邀请</w:t>
      </w:r>
    </w:p>
    <w:p w14:paraId="6933F3C4">
      <w:pPr>
        <w:spacing w:line="400" w:lineRule="exact"/>
        <w:ind w:firstLine="560"/>
        <w:rPr>
          <w:rFonts w:hint="eastAsia" w:ascii="方正仿宋_GBK" w:hAnsi="方正仿宋_GBK" w:eastAsia="方正仿宋_GBK" w:cs="方正仿宋_GBK"/>
          <w:color w:val="000000"/>
          <w:sz w:val="28"/>
          <w:szCs w:val="28"/>
        </w:rPr>
      </w:pPr>
    </w:p>
    <w:p w14:paraId="091BA6DC">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受江苏省住房和城乡建设厅的委托，江苏省建信招投标有限公司就城镇排水行业第三方技术指导(采购编号</w:t>
      </w:r>
      <w:r>
        <w:rPr>
          <w:rFonts w:hint="eastAsia" w:eastAsia="方正仿宋_GBK"/>
          <w:color w:val="000000"/>
          <w:sz w:val="28"/>
          <w:szCs w:val="28"/>
        </w:rPr>
        <w:t>：JSZC-320000-JSJX-G2026-0005</w:t>
      </w:r>
      <w:r>
        <w:rPr>
          <w:rFonts w:hint="eastAsia" w:ascii="方正仿宋_GBK" w:hAnsi="方正仿宋_GBK" w:eastAsia="方正仿宋_GBK" w:cs="方正仿宋_GBK"/>
          <w:color w:val="000000"/>
          <w:sz w:val="28"/>
          <w:szCs w:val="28"/>
        </w:rPr>
        <w:t>)项目进行公开招标采购，欢迎符合条件的供应商投标。</w:t>
      </w:r>
    </w:p>
    <w:p w14:paraId="04DCF4AE">
      <w:pPr>
        <w:pBdr>
          <w:top w:val="single" w:color="000000" w:sz="4" w:space="1"/>
          <w:left w:val="single" w:color="000000" w:sz="4" w:space="4"/>
          <w:bottom w:val="single" w:color="000000" w:sz="4" w:space="1"/>
          <w:right w:val="single" w:color="000000" w:sz="4" w:space="4"/>
        </w:pBd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项目概况</w:t>
      </w:r>
    </w:p>
    <w:p w14:paraId="2BA377E0">
      <w:pPr>
        <w:pBdr>
          <w:top w:val="single" w:color="000000" w:sz="4" w:space="1"/>
          <w:left w:val="single" w:color="000000" w:sz="4" w:space="4"/>
          <w:bottom w:val="single" w:color="000000" w:sz="4" w:space="1"/>
          <w:right w:val="single" w:color="000000" w:sz="4" w:space="4"/>
        </w:pBdr>
        <w:spacing w:line="400" w:lineRule="exact"/>
        <w:ind w:firstLine="560"/>
        <w:rPr>
          <w:rFonts w:hint="eastAsia" w:ascii="宋体" w:hAnsi="宋体"/>
          <w:sz w:val="28"/>
          <w:szCs w:val="28"/>
        </w:rPr>
      </w:pPr>
      <w:r>
        <w:rPr>
          <w:rFonts w:hint="eastAsia" w:ascii="方正仿宋_GBK" w:hAnsi="方正仿宋_GBK" w:eastAsia="方正仿宋_GBK" w:cs="方正仿宋_GBK"/>
          <w:color w:val="000000"/>
          <w:sz w:val="28"/>
          <w:szCs w:val="28"/>
          <w:u w:val="single"/>
        </w:rPr>
        <w:t>城镇排水行业第三方技术指导</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“江苏政府采购网”自行免费下载</w:t>
      </w:r>
      <w:r>
        <w:rPr>
          <w:rFonts w:hint="eastAsia" w:ascii="方正仿宋_GBK" w:hAnsi="方正仿宋_GBK" w:eastAsia="方正仿宋_GBK" w:cs="方正仿宋_GBK"/>
          <w:sz w:val="28"/>
          <w:szCs w:val="28"/>
        </w:rPr>
        <w:t>招标文件，并于</w:t>
      </w:r>
      <w:r>
        <w:rPr>
          <w:rFonts w:hint="eastAsia" w:eastAsia="方正仿宋_GBK"/>
          <w:color w:val="000000"/>
          <w:sz w:val="28"/>
          <w:szCs w:val="28"/>
        </w:rPr>
        <w:t>2026年</w:t>
      </w:r>
      <w:r>
        <w:rPr>
          <w:rFonts w:hint="eastAsia" w:eastAsia="方正仿宋_GBK"/>
          <w:color w:val="000000"/>
          <w:sz w:val="28"/>
          <w:szCs w:val="28"/>
          <w:lang w:val="en-US" w:eastAsia="zh-CN"/>
        </w:rPr>
        <w:t>9</w:t>
      </w:r>
      <w:r>
        <w:rPr>
          <w:rFonts w:hint="eastAsia" w:ascii="方正仿宋_GBK" w:hAnsi="方正仿宋_GBK" w:eastAsia="方正仿宋_GBK" w:cs="方正仿宋_GBK"/>
          <w:bCs/>
          <w:color w:val="000000"/>
          <w:sz w:val="28"/>
          <w:szCs w:val="28"/>
        </w:rPr>
        <w:t>月</w:t>
      </w:r>
      <w:r>
        <w:rPr>
          <w:rFonts w:hint="eastAsia" w:eastAsia="方正仿宋_GBK"/>
          <w:color w:val="000000"/>
          <w:sz w:val="28"/>
          <w:szCs w:val="28"/>
          <w:lang w:val="en-US" w:eastAsia="zh-CN"/>
        </w:rPr>
        <w:t>9</w:t>
      </w:r>
      <w:r>
        <w:rPr>
          <w:rFonts w:hint="eastAsia" w:ascii="方正仿宋_GBK" w:hAnsi="方正仿宋_GBK" w:eastAsia="方正仿宋_GBK" w:cs="方正仿宋_GBK"/>
          <w:bCs/>
          <w:color w:val="000000"/>
          <w:sz w:val="28"/>
          <w:szCs w:val="28"/>
        </w:rPr>
        <w:t>日</w:t>
      </w:r>
      <w:r>
        <w:rPr>
          <w:rFonts w:hint="eastAsia" w:eastAsia="方正仿宋_GBK"/>
          <w:color w:val="000000"/>
          <w:sz w:val="28"/>
          <w:szCs w:val="28"/>
        </w:rPr>
        <w:t>9</w:t>
      </w:r>
      <w:r>
        <w:rPr>
          <w:rFonts w:hint="eastAsia" w:ascii="方正仿宋_GBK" w:hAnsi="方正仿宋_GBK" w:eastAsia="方正仿宋_GBK" w:cs="方正仿宋_GBK"/>
          <w:color w:val="000000"/>
          <w:sz w:val="28"/>
          <w:szCs w:val="28"/>
        </w:rPr>
        <w:t>时</w:t>
      </w:r>
      <w:r>
        <w:rPr>
          <w:rFonts w:hint="eastAsia" w:eastAsia="方正仿宋_GBK"/>
          <w:color w:val="000000"/>
          <w:sz w:val="28"/>
          <w:szCs w:val="28"/>
        </w:rPr>
        <w:t>30</w:t>
      </w:r>
      <w:r>
        <w:rPr>
          <w:rFonts w:hint="eastAsia" w:ascii="方正仿宋_GBK" w:hAnsi="方正仿宋_GBK" w:eastAsia="方正仿宋_GBK" w:cs="方正仿宋_GBK"/>
          <w:bCs/>
          <w:sz w:val="28"/>
          <w:szCs w:val="28"/>
        </w:rPr>
        <w:t>分（北京时间）前递交投标文件</w:t>
      </w:r>
      <w:r>
        <w:rPr>
          <w:rFonts w:hint="eastAsia" w:ascii="方正仿宋_GBK" w:hAnsi="方正仿宋_GBK" w:eastAsia="方正仿宋_GBK" w:cs="方正仿宋_GBK"/>
          <w:sz w:val="28"/>
          <w:szCs w:val="28"/>
        </w:rPr>
        <w:t>。</w:t>
      </w:r>
    </w:p>
    <w:p w14:paraId="393A9CD9">
      <w:pPr>
        <w:keepNext/>
        <w:spacing w:line="400" w:lineRule="exact"/>
        <w:ind w:firstLine="560"/>
        <w:jc w:val="left"/>
        <w:outlineLvl w:val="0"/>
        <w:rPr>
          <w:rFonts w:hint="eastAsia" w:ascii="方正黑体_GBK" w:hAnsi="方正黑体_GBK" w:eastAsia="方正黑体_GBK" w:cs="方正黑体_GBK"/>
          <w:color w:val="000000"/>
          <w:sz w:val="28"/>
          <w:szCs w:val="28"/>
        </w:rPr>
      </w:pPr>
      <w:bookmarkStart w:id="6" w:name="_Toc28359002"/>
      <w:bookmarkStart w:id="7" w:name="_Toc35393621"/>
      <w:bookmarkStart w:id="8" w:name="_Toc28359079"/>
      <w:bookmarkStart w:id="9" w:name="_Toc38985263"/>
      <w:bookmarkStart w:id="10" w:name="_Toc35393790"/>
      <w:bookmarkStart w:id="11" w:name="_Hlk24379207"/>
      <w:r>
        <w:rPr>
          <w:rFonts w:hint="eastAsia" w:ascii="方正黑体_GBK" w:hAnsi="方正黑体_GBK" w:eastAsia="方正黑体_GBK" w:cs="方正黑体_GBK"/>
          <w:color w:val="000000"/>
          <w:sz w:val="28"/>
          <w:szCs w:val="28"/>
        </w:rPr>
        <w:t>一、项目基本情况</w:t>
      </w:r>
      <w:bookmarkEnd w:id="6"/>
      <w:bookmarkEnd w:id="7"/>
      <w:bookmarkEnd w:id="8"/>
      <w:bookmarkEnd w:id="9"/>
      <w:bookmarkEnd w:id="10"/>
    </w:p>
    <w:p w14:paraId="18A00DD2">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采购编号</w:t>
      </w:r>
      <w:r>
        <w:rPr>
          <w:rFonts w:hint="eastAsia" w:eastAsia="方正仿宋_GBK"/>
          <w:color w:val="000000"/>
          <w:sz w:val="28"/>
          <w:szCs w:val="28"/>
        </w:rPr>
        <w:t xml:space="preserve">：JSZC-320000-JSJX-G2026-0005 </w:t>
      </w:r>
    </w:p>
    <w:p w14:paraId="4F3EF4B9">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项目名称：城镇排水行业第三方技术指导</w:t>
      </w:r>
    </w:p>
    <w:bookmarkEnd w:id="11"/>
    <w:p w14:paraId="3D3F4954">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预算金额：140万元【采购包1:50万元；采购包2:30万元；采购包3:30万元；采购包4:30万元】</w:t>
      </w:r>
    </w:p>
    <w:p w14:paraId="3FECF97A">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最高限价：140万元【采购包1:50万元；采购包2:30万元；采购包3:30万元；采购包4:30万元】</w:t>
      </w:r>
    </w:p>
    <w:p w14:paraId="012B8E9F">
      <w:pPr>
        <w:spacing w:line="400" w:lineRule="exact"/>
        <w:ind w:firstLine="560"/>
        <w:rPr>
          <w:rFonts w:hint="eastAsia" w:ascii="方正仿宋_GBK" w:hAnsi="方正仿宋_GBK" w:eastAsia="方正仿宋_GBK" w:cs="方正仿宋_GBK"/>
          <w:color w:val="000000"/>
          <w:sz w:val="28"/>
          <w:szCs w:val="28"/>
        </w:rPr>
      </w:pPr>
      <w:bookmarkStart w:id="12" w:name="_Toc35393791"/>
      <w:bookmarkStart w:id="13" w:name="_Toc28359003"/>
      <w:bookmarkStart w:id="14" w:name="_Toc28359080"/>
      <w:bookmarkStart w:id="15" w:name="_Toc35393622"/>
      <w:bookmarkStart w:id="16" w:name="_Toc38985264"/>
      <w:r>
        <w:rPr>
          <w:rFonts w:hint="eastAsia" w:ascii="方正仿宋_GBK" w:hAnsi="方正仿宋_GBK" w:eastAsia="方正仿宋_GBK" w:cs="方正仿宋_GBK"/>
          <w:color w:val="000000"/>
          <w:sz w:val="28"/>
          <w:szCs w:val="28"/>
        </w:rPr>
        <w:t>采购需求(简介)：以苏中苏北地区为重点，兼顾太湖流域上游地区，对37个县（市、区）开展城镇排水行业技术指导，形成工作报告、问题清单、经验做法等成果，帮助地方发现问题、解决问题、总结经验，推进污水收集处理效能和水环境质量有效提升。（详细内容见本招标文件第四章）</w:t>
      </w:r>
    </w:p>
    <w:p w14:paraId="33A5ACFA">
      <w:pPr>
        <w:spacing w:line="400" w:lineRule="exact"/>
        <w:ind w:firstLine="560" w:firstLineChars="20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合同履行期限：自合同签订之日起服务期1年，即2026年第三、四季度至2027年一、二季度。</w:t>
      </w:r>
    </w:p>
    <w:p w14:paraId="75E9C799">
      <w:pPr>
        <w:spacing w:line="400" w:lineRule="exact"/>
        <w:ind w:firstLine="560" w:firstLineChars="20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本项目(是/否)接受联合体投标:是（投标人提供联合体协议）</w:t>
      </w:r>
    </w:p>
    <w:p w14:paraId="1D2013BC">
      <w:pPr>
        <w:spacing w:line="400" w:lineRule="exact"/>
        <w:ind w:firstLine="560" w:firstLineChars="200"/>
        <w:rPr>
          <w:rFonts w:hint="eastAsia" w:ascii="方正仿宋_GBK" w:hAnsi="方正仿宋_GBK" w:eastAsia="方正仿宋_GBK" w:cs="方正仿宋_GBK"/>
          <w:color w:val="000000"/>
          <w:sz w:val="28"/>
          <w:szCs w:val="28"/>
        </w:rPr>
      </w:pPr>
    </w:p>
    <w:p w14:paraId="7205170E">
      <w:pPr>
        <w:keepNext/>
        <w:spacing w:line="400" w:lineRule="exact"/>
        <w:ind w:firstLine="560"/>
        <w:jc w:val="left"/>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二、申请人的资格要求</w:t>
      </w:r>
      <w:bookmarkEnd w:id="12"/>
      <w:bookmarkEnd w:id="13"/>
      <w:bookmarkEnd w:id="14"/>
      <w:bookmarkEnd w:id="15"/>
      <w:bookmarkEnd w:id="16"/>
    </w:p>
    <w:p w14:paraId="48526D05">
      <w:pPr>
        <w:spacing w:line="400" w:lineRule="exact"/>
        <w:ind w:firstLine="560"/>
        <w:rPr>
          <w:rFonts w:hint="eastAsia" w:ascii="方正楷体_GBK" w:hAnsi="方正楷体_GBK" w:eastAsia="方正楷体_GBK" w:cs="方正楷体_GBK"/>
          <w:color w:val="000000"/>
          <w:sz w:val="28"/>
          <w:szCs w:val="28"/>
        </w:rPr>
      </w:pPr>
      <w:bookmarkStart w:id="17" w:name="_Toc35393623"/>
      <w:bookmarkStart w:id="18" w:name="_Toc28359004"/>
      <w:bookmarkStart w:id="19" w:name="_Toc35393792"/>
      <w:bookmarkStart w:id="20" w:name="_Toc28359081"/>
      <w:bookmarkStart w:id="21" w:name="_Toc38985265"/>
      <w:r>
        <w:rPr>
          <w:rFonts w:hint="eastAsia" w:ascii="方正楷体_GBK" w:hAnsi="方正楷体_GBK" w:eastAsia="方正楷体_GBK" w:cs="方正楷体_GBK"/>
          <w:color w:val="000000"/>
          <w:sz w:val="28"/>
          <w:szCs w:val="28"/>
        </w:rPr>
        <w:t>（一）通用资格要求</w:t>
      </w:r>
    </w:p>
    <w:p w14:paraId="1D2D3940">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1.满足《中华人民共和国政府采购法》第二十二条规定，并提供下列材料：</w:t>
      </w:r>
    </w:p>
    <w:p w14:paraId="6AFA1D52">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1.1法人或者其他组织的营业执照等证明文件，自然人的身份证明；</w:t>
      </w:r>
    </w:p>
    <w:p w14:paraId="1843C129">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1.2上一年度的财务状况报告（成立不满一年无需提供）；</w:t>
      </w:r>
    </w:p>
    <w:p w14:paraId="7A560ACC">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51E92A32">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1.4具备履行合同所必需的设备和专业技术能力的书面声明；</w:t>
      </w:r>
    </w:p>
    <w:p w14:paraId="7904A431">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1.5参加政府采购活动前3年内在经营活动中没有重大违法记录的书面声明。</w:t>
      </w:r>
    </w:p>
    <w:p w14:paraId="421BD872">
      <w:pPr>
        <w:numPr>
          <w:ilvl w:val="0"/>
          <w:numId w:val="4"/>
        </w:num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落实政府采购政策需满足的资格要求：</w:t>
      </w:r>
    </w:p>
    <w:p w14:paraId="414B75F0">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采购包1:本项目不专门面向中小微型企业，如为中小微型企业、监狱企业、残疾人福利性单位，提供的产品为国家认定的节能产品和环保产品的须按要求提供相关材料。</w:t>
      </w:r>
    </w:p>
    <w:p w14:paraId="06F860F1">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采购包2:本项目不专门面向中小微型企业，如为中小微型企业、监狱企业、残疾人福利性单位，提供的产品为国家认定的节能产品和环保产品的须按要求提供相关材料。</w:t>
      </w:r>
    </w:p>
    <w:p w14:paraId="01ABAE7C">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采购包3:本项目不专门面向中小微型企业，如为中小微型企业、监狱企业、残疾人福利性单位，提供的产品为国家认定的节能产品和环保产品的须按要求提供相关材料。</w:t>
      </w:r>
    </w:p>
    <w:p w14:paraId="32516F9D">
      <w:pPr>
        <w:spacing w:line="400" w:lineRule="exact"/>
        <w:rPr>
          <w:rFonts w:hint="eastAsia" w:ascii="方正仿宋_GBK" w:hAnsi="方正仿宋_GBK" w:eastAsia="方正仿宋_GBK" w:cs="方正仿宋_GBK"/>
          <w:sz w:val="28"/>
          <w:szCs w:val="28"/>
        </w:rPr>
      </w:pPr>
    </w:p>
    <w:p w14:paraId="7933A616">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采购包4:本项目不专门面向中小微型企业，如为中小微型企业、监狱企业、残疾人福利性单位，提供的产品为国家认定的节能产品和环保产品的须按要求提供相关材料。</w:t>
      </w:r>
    </w:p>
    <w:p w14:paraId="4D7798D8">
      <w:pPr>
        <w:spacing w:line="400" w:lineRule="exact"/>
        <w:rPr>
          <w:rFonts w:hint="eastAsia" w:ascii="方正仿宋_GBK" w:hAnsi="方正仿宋_GBK" w:eastAsia="方正仿宋_GBK" w:cs="方正仿宋_GBK"/>
          <w:sz w:val="28"/>
          <w:szCs w:val="28"/>
        </w:rPr>
      </w:pPr>
    </w:p>
    <w:p w14:paraId="002F843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（三）本项目的特定资格要求：</w:t>
      </w:r>
    </w:p>
    <w:p w14:paraId="39F0F5F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1、参加政府采购活动前三年内，具有国家、省级城镇排水行业第三方技术指导工作经验（提供合同或相关证明材料。提供方式：</w:t>
      </w:r>
      <w:r>
        <w:rPr>
          <w:rFonts w:hint="eastAsia" w:ascii="方正仿宋_GBK" w:hAnsi="方正仿宋_GBK" w:eastAsia="方正仿宋_GBK" w:cs="方正仿宋_GBK"/>
          <w:sz w:val="28"/>
          <w:szCs w:val="28"/>
          <w:lang w:val="en-US" w:eastAsia="zh-CN"/>
        </w:rPr>
        <w:t>扫描件</w:t>
      </w:r>
      <w:r>
        <w:rPr>
          <w:rFonts w:hint="eastAsia" w:ascii="方正仿宋_GBK" w:hAnsi="方正仿宋_GBK" w:eastAsia="方正仿宋_GBK" w:cs="方正仿宋_GBK"/>
          <w:sz w:val="28"/>
          <w:szCs w:val="28"/>
        </w:rPr>
        <w:t>加盖供应商公章</w:t>
      </w:r>
      <w:r>
        <w:rPr>
          <w:rFonts w:hint="eastAsia" w:ascii="方正仿宋_GBK" w:hAnsi="方正仿宋_GBK" w:eastAsia="方正仿宋_GBK" w:cs="方正仿宋_GBK"/>
          <w:sz w:val="28"/>
          <w:szCs w:val="28"/>
          <w:lang w:val="en-US" w:eastAsia="zh-CN"/>
        </w:rPr>
        <w:t>上传至</w:t>
      </w:r>
      <w:r>
        <w:rPr>
          <w:rFonts w:hint="eastAsia" w:ascii="方正仿宋_GBK" w:hAnsi="方正仿宋_GBK" w:eastAsia="方正仿宋_GBK" w:cs="方正仿宋_GBK"/>
          <w:sz w:val="28"/>
          <w:szCs w:val="28"/>
        </w:rPr>
        <w:t>投标文件中）。</w:t>
      </w:r>
    </w:p>
    <w:p w14:paraId="6C1914D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2、拒绝下述供应商参加本次采购活动：</w:t>
      </w:r>
    </w:p>
    <w:p w14:paraId="1940897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1）供应商单位负责人为同一人或者存在直接控股、管理关系的不同供应商，不得参加同一合同项下的采购活动。</w:t>
      </w:r>
    </w:p>
    <w:p w14:paraId="5BE677AA">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2)凡为采购项目提供整体设计、规范编制或者项目管理、监理、检测等服务的供应商，不得再参加本项目的采购活动。</w:t>
      </w:r>
    </w:p>
    <w:p w14:paraId="3389A20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在采购公告发布之日前的信用记录并保存。</w:t>
      </w:r>
    </w:p>
    <w:p w14:paraId="4218D3C2">
      <w:pPr>
        <w:keepNext/>
        <w:spacing w:line="400" w:lineRule="exact"/>
        <w:ind w:firstLine="560"/>
        <w:jc w:val="left"/>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三、获取招标文件</w:t>
      </w:r>
    </w:p>
    <w:p w14:paraId="4D8099AF">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时间：自招标文件发布之日起5个工作日</w:t>
      </w:r>
    </w:p>
    <w:p w14:paraId="5994B11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地点：江苏政府采购网</w:t>
      </w:r>
    </w:p>
    <w:p w14:paraId="385B2D2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方式：网上下载</w:t>
      </w:r>
    </w:p>
    <w:p w14:paraId="1CE1056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售价：0.00元。</w:t>
      </w:r>
    </w:p>
    <w:bookmarkEnd w:id="17"/>
    <w:bookmarkEnd w:id="18"/>
    <w:bookmarkEnd w:id="19"/>
    <w:bookmarkEnd w:id="20"/>
    <w:bookmarkEnd w:id="21"/>
    <w:p w14:paraId="7F99AD30">
      <w:pPr>
        <w:keepNext/>
        <w:spacing w:line="400" w:lineRule="exact"/>
        <w:ind w:firstLine="560"/>
        <w:jc w:val="left"/>
        <w:outlineLvl w:val="0"/>
        <w:rPr>
          <w:rFonts w:hint="eastAsia" w:ascii="方正黑体_GBK" w:hAnsi="方正黑体_GBK" w:eastAsia="方正黑体_GBK" w:cs="方正黑体_GBK"/>
          <w:color w:val="000000"/>
          <w:sz w:val="28"/>
          <w:szCs w:val="28"/>
        </w:rPr>
      </w:pPr>
      <w:bookmarkStart w:id="22" w:name="_Toc28359005"/>
      <w:bookmarkStart w:id="23" w:name="_Toc28359082"/>
      <w:bookmarkStart w:id="24" w:name="_Toc38985266"/>
      <w:bookmarkStart w:id="25" w:name="_Toc35393793"/>
      <w:bookmarkStart w:id="26" w:name="_Toc35393624"/>
      <w:bookmarkStart w:id="27" w:name="_Toc35393794"/>
      <w:bookmarkStart w:id="28" w:name="_Toc28359007"/>
      <w:bookmarkStart w:id="29" w:name="_Toc35393625"/>
      <w:bookmarkStart w:id="30" w:name="_Toc28359084"/>
      <w:bookmarkStart w:id="31" w:name="_Toc38985267"/>
      <w:r>
        <w:rPr>
          <w:rFonts w:hint="eastAsia" w:ascii="方正黑体_GBK" w:hAnsi="方正黑体_GBK" w:eastAsia="方正黑体_GBK" w:cs="方正黑体_GBK"/>
          <w:color w:val="000000"/>
          <w:sz w:val="28"/>
          <w:szCs w:val="28"/>
        </w:rPr>
        <w:t>四、提交投标文件</w:t>
      </w:r>
      <w:bookmarkEnd w:id="22"/>
      <w:bookmarkEnd w:id="23"/>
      <w:r>
        <w:rPr>
          <w:rFonts w:hint="eastAsia" w:ascii="方正黑体_GBK" w:hAnsi="方正黑体_GBK" w:eastAsia="方正黑体_GBK" w:cs="方正黑体_GBK"/>
          <w:color w:val="000000"/>
          <w:sz w:val="28"/>
          <w:szCs w:val="28"/>
        </w:rPr>
        <w:t>截止时间、开标时间和地点</w:t>
      </w:r>
      <w:bookmarkEnd w:id="24"/>
      <w:bookmarkEnd w:id="25"/>
      <w:bookmarkEnd w:id="26"/>
    </w:p>
    <w:p w14:paraId="45960A0A">
      <w:pPr>
        <w:spacing w:line="400" w:lineRule="exact"/>
        <w:ind w:firstLine="560"/>
        <w:rPr>
          <w:rFonts w:hint="eastAsia" w:ascii="宋体" w:hAnsi="宋体"/>
          <w:bCs/>
          <w:color w:val="000000"/>
          <w:sz w:val="28"/>
          <w:szCs w:val="28"/>
          <w:u w:val="single"/>
        </w:rPr>
      </w:pPr>
      <w:r>
        <w:rPr>
          <w:rFonts w:hint="eastAsia" w:ascii="方正仿宋_GBK" w:hAnsi="方正仿宋_GBK" w:eastAsia="方正仿宋_GBK" w:cs="方正仿宋_GBK"/>
          <w:sz w:val="28"/>
          <w:szCs w:val="28"/>
        </w:rPr>
        <w:t>2026年</w:t>
      </w:r>
      <w:r>
        <w:rPr>
          <w:rFonts w:hint="eastAsia" w:ascii="方正仿宋_GBK" w:hAnsi="方正仿宋_GBK" w:eastAsia="方正仿宋_GBK" w:cs="方正仿宋_GBK"/>
          <w:sz w:val="28"/>
          <w:szCs w:val="28"/>
          <w:lang w:val="en-US" w:eastAsia="zh-CN"/>
        </w:rPr>
        <w:t>9</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lang w:val="en-US" w:eastAsia="zh-CN"/>
        </w:rPr>
        <w:t>9</w:t>
      </w:r>
      <w:r>
        <w:rPr>
          <w:rFonts w:hint="eastAsia" w:ascii="方正仿宋_GBK" w:hAnsi="方正仿宋_GBK" w:eastAsia="方正仿宋_GBK" w:cs="方正仿宋_GBK"/>
          <w:sz w:val="28"/>
          <w:szCs w:val="28"/>
        </w:rPr>
        <w:t>日9时30分（北京时间）。</w:t>
      </w:r>
    </w:p>
    <w:p w14:paraId="280C085C">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地点：“苏采云”政府采购交易系统。</w:t>
      </w:r>
    </w:p>
    <w:bookmarkEnd w:id="27"/>
    <w:bookmarkEnd w:id="28"/>
    <w:bookmarkEnd w:id="29"/>
    <w:bookmarkEnd w:id="30"/>
    <w:bookmarkEnd w:id="31"/>
    <w:p w14:paraId="70A98C62">
      <w:pPr>
        <w:keepNext/>
        <w:spacing w:line="400" w:lineRule="exact"/>
        <w:ind w:firstLine="560"/>
        <w:jc w:val="left"/>
        <w:outlineLvl w:val="0"/>
        <w:rPr>
          <w:rFonts w:hint="eastAsia" w:ascii="方正黑体_GBK" w:hAnsi="方正黑体_GBK" w:eastAsia="方正黑体_GBK" w:cs="方正黑体_GBK"/>
          <w:color w:val="000000"/>
          <w:sz w:val="28"/>
          <w:szCs w:val="28"/>
        </w:rPr>
      </w:pPr>
      <w:bookmarkStart w:id="32" w:name="_Toc35393795"/>
      <w:bookmarkStart w:id="33" w:name="_Toc38985268"/>
      <w:bookmarkStart w:id="34" w:name="_Toc35393626"/>
      <w:r>
        <w:rPr>
          <w:rFonts w:hint="eastAsia" w:ascii="方正黑体_GBK" w:hAnsi="方正黑体_GBK" w:eastAsia="方正黑体_GBK" w:cs="方正黑体_GBK"/>
          <w:color w:val="000000"/>
          <w:sz w:val="28"/>
          <w:szCs w:val="28"/>
        </w:rPr>
        <w:t>五、公告期限</w:t>
      </w:r>
    </w:p>
    <w:p w14:paraId="337B7913">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招标公告及招标文件公告期限为自本公告发布之日起5个工作日。</w:t>
      </w:r>
    </w:p>
    <w:bookmarkEnd w:id="32"/>
    <w:bookmarkEnd w:id="33"/>
    <w:bookmarkEnd w:id="34"/>
    <w:p w14:paraId="22E08FEB">
      <w:pPr>
        <w:keepNext/>
        <w:spacing w:line="400" w:lineRule="exact"/>
        <w:ind w:firstLine="560"/>
        <w:jc w:val="left"/>
        <w:outlineLvl w:val="0"/>
        <w:rPr>
          <w:rFonts w:hint="eastAsia" w:ascii="方正黑体_GBK" w:hAnsi="方正黑体_GBK" w:eastAsia="方正黑体_GBK" w:cs="方正黑体_GBK"/>
          <w:color w:val="000000"/>
          <w:sz w:val="28"/>
          <w:szCs w:val="28"/>
        </w:rPr>
      </w:pPr>
      <w:bookmarkStart w:id="35" w:name="_Toc38985269"/>
      <w:bookmarkStart w:id="36" w:name="_Toc28359008"/>
      <w:bookmarkStart w:id="37" w:name="_Toc28359085"/>
      <w:bookmarkStart w:id="38" w:name="_Toc35393796"/>
      <w:bookmarkStart w:id="39" w:name="_Toc35393627"/>
      <w:r>
        <w:rPr>
          <w:rFonts w:hint="eastAsia" w:ascii="方正黑体_GBK" w:hAnsi="方正黑体_GBK" w:eastAsia="方正黑体_GBK" w:cs="方正黑体_GBK"/>
          <w:color w:val="000000"/>
          <w:sz w:val="28"/>
          <w:szCs w:val="28"/>
        </w:rPr>
        <w:t>六、其他补充事宜</w:t>
      </w:r>
    </w:p>
    <w:bookmarkEnd w:id="35"/>
    <w:bookmarkEnd w:id="36"/>
    <w:bookmarkEnd w:id="37"/>
    <w:bookmarkEnd w:id="38"/>
    <w:bookmarkEnd w:id="39"/>
    <w:p w14:paraId="1BFDDED3">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1.本项目所属行业为：水利、环境和公共设施管理业</w:t>
      </w:r>
    </w:p>
    <w:p w14:paraId="7559FDD2">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2.集中考察或答疑：</w:t>
      </w:r>
    </w:p>
    <w:p w14:paraId="186B51D6">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采购人不组织，供应商可自行联系采购人。未踏勘现场或踏勘工作不详细的供应商中标后，不得以不完全了解现场情况为理由而向采购人提出任何索赔或其他要求，对此采购人不承担任何责任并将不作任何答复。</w:t>
      </w:r>
    </w:p>
    <w:p w14:paraId="682F2B9F">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3.公告媒体</w:t>
      </w:r>
    </w:p>
    <w:p w14:paraId="74A96B65">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（1）本公告在江苏政府采购网（http：//www.ccgp-jiangsu.gov.cn/）公示发布，敬请各投标人关注。</w:t>
      </w:r>
    </w:p>
    <w:p w14:paraId="2289EC77">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（2）若有关本次采购存在变动或修改，敬请各投标人及时关注江苏政府采购网（http：//www.ccgp-jiangsu.gov.cn/）发布的关于本项目的信息更正公告。</w:t>
      </w:r>
    </w:p>
    <w:p w14:paraId="204164ED">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07C9ADD2">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http://www.ccgp-jiangsu.gov.cn/jiangsu/zlxz/ee/ee3a4bc5a3454aa2b0d9312230633ce9.html</w:t>
      </w:r>
    </w:p>
    <w:p w14:paraId="5F1DFCF8">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1C7EB254">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5.潜在供应商访问电子招标响应交易平台的网络地址和方法：</w:t>
      </w:r>
    </w:p>
    <w:p w14:paraId="438BFA23">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6C07DE57">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（2）潜在供应商访问“苏采云”系统的网络地址和方法：“苏采云”系统的网址：http://jszfcg.jsczt.cn/。</w:t>
      </w:r>
    </w:p>
    <w:p w14:paraId="04E99058">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（3）“CA数字证书”的获取：</w:t>
      </w:r>
    </w:p>
    <w:p w14:paraId="0F532044">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03098F33">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（4）采购文件（后缀名为“.kedt”）、供应商操作手册及政府采购客户端工具可通过“苏采云”系统--已报名项目--报名详情页面内相应链接进行下载。</w:t>
      </w:r>
    </w:p>
    <w:p w14:paraId="20C73760">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（5）招标代理机构（采购代理机构）将数据电文形式的采购文件加载至“苏采云”系统，供潜在供应商下载或者查阅。</w:t>
      </w:r>
    </w:p>
    <w:p w14:paraId="15A418EC">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（6）请潜在投标单位提前安装相应的控件（详见《江苏省政府采购管理交易系统（苏采云）供应商操作手册》）并使用谷歌浏览器登录“苏采云”系统参与不见面开评标。</w:t>
      </w:r>
    </w:p>
    <w:p w14:paraId="535CE54F">
      <w:pPr>
        <w:keepNext/>
        <w:spacing w:line="400" w:lineRule="exact"/>
        <w:ind w:firstLine="560"/>
        <w:jc w:val="left"/>
        <w:outlineLvl w:val="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七、对本次招标提出询问，请按以下方式联系。</w:t>
      </w:r>
    </w:p>
    <w:p w14:paraId="2DD5DDCB">
      <w:pPr>
        <w:keepNext/>
        <w:spacing w:line="400" w:lineRule="exact"/>
        <w:ind w:firstLine="560"/>
        <w:jc w:val="left"/>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七、本次招标联系方式</w:t>
      </w:r>
    </w:p>
    <w:p w14:paraId="00AA8346">
      <w:pPr>
        <w:widowControl/>
        <w:spacing w:line="400" w:lineRule="exact"/>
        <w:jc w:val="left"/>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w:t>
      </w:r>
      <w:r>
        <w:rPr>
          <w:rFonts w:hint="eastAsia" w:ascii="方正仿宋_GBK" w:hAnsi="方正仿宋_GBK" w:eastAsia="方正仿宋_GBK" w:cs="方正仿宋_GBK"/>
          <w:color w:val="000000"/>
          <w:sz w:val="28"/>
          <w:szCs w:val="28"/>
        </w:rPr>
        <w:t>1.采购人信息</w:t>
      </w:r>
    </w:p>
    <w:p w14:paraId="287AD5B2">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名 称：</w:t>
      </w:r>
      <w:r>
        <w:rPr>
          <w:rFonts w:hint="eastAsia" w:ascii="方正仿宋_GBK" w:hAnsi="方正仿宋_GBK" w:eastAsia="方正仿宋_GBK" w:cs="方正仿宋_GBK"/>
          <w:color w:val="000000"/>
          <w:sz w:val="28"/>
          <w:szCs w:val="28"/>
          <w:u w:val="single"/>
        </w:rPr>
        <w:t>江苏省住房和城乡建设厅</w:t>
      </w:r>
    </w:p>
    <w:p w14:paraId="0B64C929">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 址：</w:t>
      </w:r>
      <w:r>
        <w:rPr>
          <w:rFonts w:hint="eastAsia" w:ascii="方正仿宋_GBK" w:hAnsi="方正仿宋_GBK" w:eastAsia="方正仿宋_GBK" w:cs="方正仿宋_GBK"/>
          <w:color w:val="000000"/>
          <w:sz w:val="28"/>
          <w:szCs w:val="28"/>
          <w:u w:val="single"/>
        </w:rPr>
        <w:t>南京市草场门大街88号</w:t>
      </w:r>
      <w:r>
        <w:rPr>
          <w:rFonts w:hint="eastAsia" w:ascii="方正仿宋_GBK" w:hAnsi="方正仿宋_GBK" w:eastAsia="方正仿宋_GBK" w:cs="方正仿宋_GBK"/>
          <w:color w:val="000000"/>
          <w:sz w:val="28"/>
          <w:szCs w:val="28"/>
        </w:rPr>
        <w:t>　</w:t>
      </w:r>
    </w:p>
    <w:p w14:paraId="3485F16A">
      <w:p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联系人：许</w:t>
      </w:r>
      <w:r>
        <w:rPr>
          <w:rFonts w:hint="eastAsia" w:ascii="方正仿宋_GBK" w:hAnsi="方正仿宋_GBK" w:eastAsia="方正仿宋_GBK" w:cs="方正仿宋_GBK"/>
          <w:color w:val="000000"/>
          <w:sz w:val="28"/>
          <w:szCs w:val="28"/>
          <w:u w:val="single"/>
        </w:rPr>
        <w:t>科长</w:t>
      </w:r>
      <w:r>
        <w:rPr>
          <w:rFonts w:hint="eastAsia" w:ascii="方正仿宋_GBK" w:hAnsi="方正仿宋_GBK" w:eastAsia="方正仿宋_GBK" w:cs="方正仿宋_GBK"/>
          <w:color w:val="000000"/>
          <w:sz w:val="28"/>
          <w:szCs w:val="28"/>
        </w:rPr>
        <w:t xml:space="preserve">                         </w:t>
      </w:r>
    </w:p>
    <w:p w14:paraId="118B4498">
      <w:pPr>
        <w:spacing w:line="400" w:lineRule="exact"/>
        <w:ind w:firstLine="560"/>
        <w:jc w:val="lef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联系方式：</w:t>
      </w:r>
      <w:bookmarkStart w:id="40" w:name="_Toc28359086"/>
      <w:bookmarkStart w:id="41" w:name="_Toc28359009"/>
      <w:r>
        <w:rPr>
          <w:rFonts w:hint="eastAsia" w:ascii="方正仿宋_GBK" w:hAnsi="方正仿宋_GBK" w:eastAsia="方正仿宋_GBK" w:cs="方正仿宋_GBK"/>
          <w:color w:val="000000"/>
          <w:sz w:val="28"/>
          <w:szCs w:val="28"/>
          <w:u w:val="single"/>
        </w:rPr>
        <w:t>025-51868536</w:t>
      </w:r>
    </w:p>
    <w:p w14:paraId="26D32538">
      <w:pPr>
        <w:numPr>
          <w:ilvl w:val="0"/>
          <w:numId w:val="5"/>
        </w:numPr>
        <w:spacing w:line="40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采购代理信息</w:t>
      </w:r>
      <w:bookmarkEnd w:id="40"/>
      <w:bookmarkEnd w:id="41"/>
    </w:p>
    <w:p w14:paraId="0D4794B3">
      <w:pPr>
        <w:spacing w:line="400" w:lineRule="exact"/>
        <w:ind w:firstLine="560" w:firstLineChars="20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名  称：</w:t>
      </w:r>
      <w:r>
        <w:rPr>
          <w:rFonts w:hint="eastAsia" w:ascii="方正仿宋_GBK" w:hAnsi="方正仿宋_GBK" w:eastAsia="方正仿宋_GBK" w:cs="方正仿宋_GBK"/>
          <w:color w:val="000000"/>
          <w:sz w:val="28"/>
          <w:szCs w:val="28"/>
          <w:u w:val="single"/>
        </w:rPr>
        <w:t>江苏省建信招投标有限公司</w:t>
      </w:r>
    </w:p>
    <w:p w14:paraId="0E204D77">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　址：</w:t>
      </w:r>
      <w:r>
        <w:rPr>
          <w:rFonts w:hint="eastAsia" w:ascii="方正仿宋_GBK" w:hAnsi="方正仿宋_GBK" w:eastAsia="方正仿宋_GBK" w:cs="方正仿宋_GBK"/>
          <w:color w:val="000000"/>
          <w:sz w:val="28"/>
          <w:szCs w:val="28"/>
          <w:u w:val="single"/>
        </w:rPr>
        <w:t>南京市鼓楼区西康路7号15楼</w:t>
      </w:r>
    </w:p>
    <w:p w14:paraId="0848936E">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w:t>
      </w:r>
      <w:r>
        <w:rPr>
          <w:rFonts w:hint="eastAsia" w:ascii="方正仿宋_GBK" w:hAnsi="方正仿宋_GBK" w:eastAsia="方正仿宋_GBK" w:cs="方正仿宋_GBK"/>
          <w:color w:val="000000"/>
          <w:sz w:val="28"/>
          <w:szCs w:val="28"/>
          <w:u w:val="single"/>
        </w:rPr>
        <w:t xml:space="preserve">叶小毛 </w:t>
      </w:r>
    </w:p>
    <w:p w14:paraId="634C9FD7">
      <w:pPr>
        <w:spacing w:line="400" w:lineRule="exact"/>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联系方式：</w:t>
      </w:r>
      <w:bookmarkStart w:id="42" w:name="_Toc28359087"/>
      <w:bookmarkStart w:id="43" w:name="_Toc28359010"/>
      <w:r>
        <w:rPr>
          <w:rFonts w:hint="eastAsia" w:ascii="方正仿宋_GBK" w:hAnsi="方正仿宋_GBK" w:eastAsia="方正仿宋_GBK" w:cs="方正仿宋_GBK"/>
          <w:color w:val="000000"/>
          <w:sz w:val="28"/>
          <w:szCs w:val="28"/>
          <w:u w:val="single"/>
        </w:rPr>
        <w:t>19951661991</w:t>
      </w:r>
    </w:p>
    <w:bookmarkEnd w:id="42"/>
    <w:bookmarkEnd w:id="43"/>
    <w:p w14:paraId="0D9CD822">
      <w:pPr>
        <w:keepNext/>
        <w:spacing w:line="400" w:lineRule="exact"/>
        <w:jc w:val="center"/>
        <w:outlineLvl w:val="0"/>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bookmarkEnd w:id="2"/>
      <w:bookmarkEnd w:id="3"/>
      <w:bookmarkEnd w:id="4"/>
      <w:bookmarkEnd w:id="5"/>
      <w:bookmarkEnd w:id="44"/>
      <w:bookmarkStart w:id="45" w:name="_Toc16938518"/>
      <w:bookmarkStart w:id="46" w:name="_Toc120614213"/>
      <w:bookmarkStart w:id="47" w:name="_Toc513029202"/>
      <w:bookmarkStart w:id="48" w:name="_Toc20823274"/>
      <w:r>
        <w:rPr>
          <w:rFonts w:hint="eastAsia" w:ascii="方正黑体_GBK" w:hAnsi="方正黑体_GBK" w:eastAsia="方正黑体_GBK" w:cs="方正黑体_GBK"/>
          <w:color w:val="000000"/>
          <w:sz w:val="28"/>
          <w:szCs w:val="28"/>
        </w:rPr>
        <w:t>投标人须知</w:t>
      </w:r>
      <w:bookmarkEnd w:id="45"/>
      <w:bookmarkEnd w:id="46"/>
      <w:bookmarkEnd w:id="47"/>
      <w:bookmarkEnd w:id="48"/>
    </w:p>
    <w:p w14:paraId="551C440D">
      <w:pPr>
        <w:keepNext/>
        <w:spacing w:line="400" w:lineRule="exact"/>
        <w:ind w:firstLine="560"/>
        <w:jc w:val="left"/>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一、总则</w:t>
      </w:r>
    </w:p>
    <w:p w14:paraId="386B8D4D">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1.招标方式</w:t>
      </w:r>
    </w:p>
    <w:p w14:paraId="11189001">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 本次招标采取公开招标方式，本招标文件仅适用于招标公告中所述项目。</w:t>
      </w:r>
    </w:p>
    <w:p w14:paraId="76591F59">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2.合格的投标人</w:t>
      </w:r>
    </w:p>
    <w:p w14:paraId="541480E2">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2.1满足招标公告中供应商的资格要求的规定。</w:t>
      </w:r>
    </w:p>
    <w:p w14:paraId="31A13924">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2.2 满足本文件实质性要求的规定。</w:t>
      </w:r>
    </w:p>
    <w:p w14:paraId="1119E828">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3.适用法律和标准</w:t>
      </w:r>
    </w:p>
    <w:p w14:paraId="29EC0459">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3.1 本次招标及由此产生的合同受中华人民共和国有关的法律法规制约和保护。</w:t>
      </w:r>
    </w:p>
    <w:p w14:paraId="5E6F9E8D">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3.2 在本项目政府采购活动过程中，如果所执行的标准有更新的，按照最新标准执行。</w:t>
      </w:r>
    </w:p>
    <w:p w14:paraId="7B22675A">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4.投标费用</w:t>
      </w:r>
    </w:p>
    <w:p w14:paraId="71E3E99E">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4.1 投标人应自行承担所有与参加投标有关的费用，无论投标过程中的做法和结果如何，江苏省建信招投标有限公司（以下简称采购代理）在任何情况下均无义务和责任承担这些费用。</w:t>
      </w:r>
    </w:p>
    <w:p w14:paraId="4F865167">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4.2本次招标采购代理和采购人不收取标书工本费</w:t>
      </w:r>
    </w:p>
    <w:p w14:paraId="6EEDB1C2">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4.3招标代理服务费：含评审费，本次招标，中标人参照国家计委《招标代理服务收费管理暂行办法》的通知〔计价格（2002）1980号〕的60%计算，暂定费用总计人民币12600元，暂定包一4500元，包二、包三和包四各2700元，最终按实际中标金额结算。本项费用需在投标报价表中单列，中标人在领取中标通知书前向采购代理机构支付招标代理服务费。</w:t>
      </w:r>
    </w:p>
    <w:p w14:paraId="2FC95B69">
      <w:pPr>
        <w:numPr>
          <w:ilvl w:val="0"/>
          <w:numId w:val="6"/>
        </w:numPr>
        <w:tabs>
          <w:tab w:val="left" w:pos="900"/>
          <w:tab w:val="clear" w:pos="312"/>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招标文件的约束力</w:t>
      </w:r>
    </w:p>
    <w:p w14:paraId="5AC48F67">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5.1 投标人一旦参加本项目采购活动，即被认为接受了本招标文件的规定和约束。</w:t>
      </w:r>
    </w:p>
    <w:p w14:paraId="41BE4E77">
      <w:pPr>
        <w:keepNext/>
        <w:spacing w:line="400" w:lineRule="exact"/>
        <w:ind w:firstLine="560"/>
        <w:jc w:val="left"/>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二、招标文件</w:t>
      </w:r>
    </w:p>
    <w:p w14:paraId="3CD50239">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6.招标文件构成</w:t>
      </w:r>
    </w:p>
    <w:p w14:paraId="52C31A20">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6.1 招标文件由以下部分组成：</w:t>
      </w:r>
    </w:p>
    <w:p w14:paraId="21CE1A2A">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（1）投标邀请</w:t>
      </w:r>
    </w:p>
    <w:p w14:paraId="7ACE7D3E">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（2）投标人须知</w:t>
      </w:r>
    </w:p>
    <w:p w14:paraId="5EA7B85F">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（3）合同文本</w:t>
      </w:r>
    </w:p>
    <w:p w14:paraId="6358F04C">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（4）采购需求</w:t>
      </w:r>
    </w:p>
    <w:p w14:paraId="66078101">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（5）评标方法与评标标准</w:t>
      </w:r>
    </w:p>
    <w:p w14:paraId="48ECE4B2">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（6）投标文件格式</w:t>
      </w:r>
    </w:p>
    <w:p w14:paraId="430E58A1">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请仔细检查招标文件是否齐全，如有缺漏请立即与采购代理联系解决。</w:t>
      </w:r>
    </w:p>
    <w:p w14:paraId="186AFBC5">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B4981E4">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7.招标文件的修改</w:t>
      </w:r>
    </w:p>
    <w:p w14:paraId="2E08F30D">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7.1 在投标截止时间前，采购代理可以对招标文件进行修改。</w:t>
      </w:r>
    </w:p>
    <w:p w14:paraId="286110CB">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7.2 采购代理有权按照法定的要求推迟投标截止日期和开标日期。</w:t>
      </w:r>
    </w:p>
    <w:p w14:paraId="2ECDF1C5">
      <w:pPr>
        <w:tabs>
          <w:tab w:val="left" w:pos="900"/>
        </w:tabs>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7.3 招标文件的修改将在江苏政府采购网公布，补充文件将作为招标文件的组成部分，并对投标人具有约束力。</w:t>
      </w:r>
    </w:p>
    <w:p w14:paraId="2DC0EAFC">
      <w:pPr>
        <w:keepNext/>
        <w:spacing w:line="400" w:lineRule="exact"/>
        <w:ind w:firstLine="560"/>
        <w:jc w:val="left"/>
        <w:outlineLvl w:val="0"/>
        <w:rPr>
          <w:rFonts w:hint="eastAsia" w:ascii="方正黑体_GBK" w:hAnsi="方正黑体_GBK" w:eastAsia="方正黑体_GBK" w:cs="方正黑体_GBK"/>
          <w:color w:val="000000"/>
          <w:sz w:val="28"/>
          <w:szCs w:val="28"/>
        </w:rPr>
      </w:pPr>
      <w:bookmarkStart w:id="49" w:name="_Toc462564072"/>
      <w:bookmarkStart w:id="50" w:name="_Toc20823285"/>
      <w:bookmarkStart w:id="51" w:name="_Toc16938529"/>
      <w:bookmarkStart w:id="52" w:name="_Toc513029213"/>
      <w:bookmarkStart w:id="53" w:name="_Toc120614216"/>
      <w:r>
        <w:rPr>
          <w:rFonts w:hint="eastAsia" w:ascii="方正黑体_GBK" w:hAnsi="方正黑体_GBK" w:eastAsia="方正黑体_GBK" w:cs="方正黑体_GBK"/>
          <w:color w:val="000000"/>
          <w:sz w:val="28"/>
          <w:szCs w:val="28"/>
        </w:rPr>
        <w:t>三、投标文件的编制</w:t>
      </w:r>
      <w:bookmarkEnd w:id="49"/>
      <w:bookmarkEnd w:id="50"/>
      <w:bookmarkEnd w:id="51"/>
      <w:bookmarkEnd w:id="52"/>
      <w:bookmarkEnd w:id="53"/>
    </w:p>
    <w:p w14:paraId="5D0385E9">
      <w:pPr>
        <w:pStyle w:val="190"/>
        <w:spacing w:before="0" w:after="0" w:line="400" w:lineRule="exact"/>
        <w:ind w:firstLine="560"/>
        <w:rPr>
          <w:rFonts w:hint="eastAsia" w:ascii="方正仿宋_GBK" w:hAnsi="方正仿宋_GBK" w:eastAsia="方正仿宋_GBK" w:cs="方正仿宋_GBK"/>
          <w:bCs w:val="0"/>
        </w:rPr>
      </w:pPr>
      <w:bookmarkStart w:id="54" w:name="_Toc462564073"/>
      <w:bookmarkStart w:id="55" w:name="_Toc513029214"/>
      <w:bookmarkStart w:id="56" w:name="_Toc16938530"/>
      <w:bookmarkStart w:id="57" w:name="_Toc20823286"/>
      <w:r>
        <w:rPr>
          <w:rFonts w:hint="eastAsia" w:ascii="方正仿宋_GBK" w:hAnsi="方正仿宋_GBK" w:eastAsia="方正仿宋_GBK" w:cs="方正仿宋_GBK"/>
          <w:b w:val="0"/>
          <w:bCs w:val="0"/>
        </w:rPr>
        <w:t>8.投标文件的语言及度量衡单位</w:t>
      </w:r>
      <w:bookmarkEnd w:id="54"/>
      <w:bookmarkEnd w:id="55"/>
      <w:bookmarkEnd w:id="56"/>
      <w:bookmarkEnd w:id="57"/>
    </w:p>
    <w:p w14:paraId="6B35169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8.1</w:t>
      </w:r>
      <w:r>
        <w:rPr>
          <w:rFonts w:hint="eastAsia" w:ascii="方正仿宋_GBK" w:hAnsi="方正仿宋_GBK" w:eastAsia="方正仿宋_GBK" w:cs="方正仿宋_GBK"/>
          <w:sz w:val="28"/>
          <w:szCs w:val="28"/>
        </w:rPr>
        <w:t xml:space="preserve"> 投标人提交的投标文件以及投标人与采购代理就有关投标的所有来往通知、函件和文件均应使用</w:t>
      </w:r>
      <w:r>
        <w:rPr>
          <w:rFonts w:hint="eastAsia" w:ascii="方正仿宋_GBK" w:hAnsi="方正仿宋_GBK" w:eastAsia="方正仿宋_GBK" w:cs="方正仿宋_GBK"/>
          <w:b/>
          <w:bCs/>
          <w:sz w:val="28"/>
          <w:szCs w:val="28"/>
        </w:rPr>
        <w:t>简体中文</w:t>
      </w:r>
      <w:r>
        <w:rPr>
          <w:rFonts w:hint="eastAsia" w:ascii="方正仿宋_GBK" w:hAnsi="方正仿宋_GBK" w:eastAsia="方正仿宋_GBK" w:cs="方正仿宋_GBK"/>
          <w:sz w:val="28"/>
          <w:szCs w:val="28"/>
        </w:rPr>
        <w:t>。</w:t>
      </w:r>
    </w:p>
    <w:p w14:paraId="6EB125C7">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p>
    <w:p w14:paraId="1D032BAC">
      <w:pPr>
        <w:pStyle w:val="190"/>
        <w:spacing w:before="0" w:after="0" w:line="400" w:lineRule="exact"/>
        <w:ind w:firstLine="560"/>
        <w:rPr>
          <w:rFonts w:hint="eastAsia" w:ascii="方正仿宋_GBK" w:hAnsi="方正仿宋_GBK" w:eastAsia="方正仿宋_GBK" w:cs="方正仿宋_GBK"/>
          <w:b w:val="0"/>
          <w:bCs w:val="0"/>
        </w:rPr>
      </w:pPr>
      <w:bookmarkStart w:id="58" w:name="_Toc513029215"/>
      <w:bookmarkStart w:id="59" w:name="_Toc20823287"/>
      <w:bookmarkStart w:id="60" w:name="_Toc462564074"/>
      <w:bookmarkStart w:id="61" w:name="_Toc16938531"/>
      <w:r>
        <w:rPr>
          <w:rFonts w:hint="eastAsia" w:ascii="方正仿宋_GBK" w:hAnsi="方正仿宋_GBK" w:eastAsia="方正仿宋_GBK" w:cs="方正仿宋_GBK"/>
          <w:b w:val="0"/>
          <w:bCs w:val="0"/>
        </w:rPr>
        <w:t>9.投标文件构成</w:t>
      </w:r>
      <w:bookmarkEnd w:id="58"/>
      <w:bookmarkEnd w:id="59"/>
      <w:bookmarkEnd w:id="60"/>
      <w:bookmarkEnd w:id="61"/>
    </w:p>
    <w:p w14:paraId="1DAF1A03">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9.1</w:t>
      </w:r>
      <w:r>
        <w:rPr>
          <w:rFonts w:hint="eastAsia" w:ascii="方正仿宋_GBK" w:hAnsi="方正仿宋_GBK" w:eastAsia="方正仿宋_GBK" w:cs="方正仿宋_GBK"/>
          <w:sz w:val="28"/>
          <w:szCs w:val="28"/>
        </w:rPr>
        <w:t xml:space="preserve"> 投标人编写的投标文件应包括资格证明文件、投标分项报价表、其他证明文件、投标函、开标一览表等部分。</w:t>
      </w:r>
    </w:p>
    <w:p w14:paraId="6185A53A">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9.2 如标书制作工具中格式和内容与“江苏政府采购网”发布的招标文件不一致，请以“江苏政府采购网”发布的招标文件为准。</w:t>
      </w:r>
    </w:p>
    <w:p w14:paraId="5F208E7D">
      <w:pPr>
        <w:pStyle w:val="190"/>
        <w:spacing w:before="0" w:after="0" w:line="400" w:lineRule="exact"/>
        <w:ind w:firstLine="560"/>
        <w:rPr>
          <w:rFonts w:hint="eastAsia" w:ascii="方正仿宋_GBK" w:hAnsi="方正仿宋_GBK" w:eastAsia="方正仿宋_GBK" w:cs="方正仿宋_GBK"/>
          <w:b w:val="0"/>
          <w:bCs w:val="0"/>
        </w:rPr>
      </w:pPr>
      <w:bookmarkStart w:id="62" w:name="_Hlt26670360"/>
      <w:bookmarkEnd w:id="62"/>
      <w:bookmarkStart w:id="63" w:name="_Hlt26954838"/>
      <w:bookmarkEnd w:id="63"/>
      <w:bookmarkStart w:id="64" w:name="_Hlt26668975"/>
      <w:bookmarkEnd w:id="64"/>
      <w:bookmarkStart w:id="65" w:name="_Toc513029219"/>
      <w:bookmarkStart w:id="66" w:name="_Toc14577357"/>
      <w:bookmarkStart w:id="67" w:name="_Toc49090509"/>
      <w:bookmarkStart w:id="68" w:name="_Toc14577354"/>
      <w:bookmarkStart w:id="69" w:name="_Toc513029216"/>
      <w:bookmarkStart w:id="70" w:name="_Toc49090507"/>
      <w:r>
        <w:rPr>
          <w:rFonts w:hint="eastAsia" w:ascii="方正仿宋_GBK" w:hAnsi="方正仿宋_GBK" w:eastAsia="方正仿宋_GBK" w:cs="方正仿宋_GBK"/>
          <w:b w:val="0"/>
          <w:bCs w:val="0"/>
        </w:rPr>
        <w:t>10.证明投标人及投标标的符合招标文件规定的文件</w:t>
      </w:r>
      <w:bookmarkEnd w:id="65"/>
      <w:bookmarkEnd w:id="66"/>
      <w:bookmarkEnd w:id="67"/>
    </w:p>
    <w:bookmarkEnd w:id="68"/>
    <w:bookmarkEnd w:id="69"/>
    <w:bookmarkEnd w:id="70"/>
    <w:p w14:paraId="7F074B3D">
      <w:pPr>
        <w:spacing w:line="400" w:lineRule="exact"/>
        <w:ind w:firstLine="560"/>
        <w:rPr>
          <w:rFonts w:hint="eastAsia" w:ascii="方正仿宋_GBK" w:hAnsi="方正仿宋_GBK" w:eastAsia="方正仿宋_GBK" w:cs="方正仿宋_GBK"/>
          <w:sz w:val="28"/>
          <w:szCs w:val="28"/>
        </w:rPr>
      </w:pPr>
      <w:bookmarkStart w:id="71" w:name="_Toc14577355"/>
      <w:bookmarkStart w:id="72" w:name="_Toc49090508"/>
      <w:r>
        <w:rPr>
          <w:rFonts w:hint="eastAsia" w:ascii="方正仿宋_GBK" w:hAnsi="方正仿宋_GBK" w:eastAsia="方正仿宋_GBK" w:cs="方正仿宋_GBK"/>
          <w:sz w:val="28"/>
          <w:szCs w:val="28"/>
        </w:rPr>
        <w:t>10.1 投标人应按照法律、法规、规章和规范性文件以及招标文件要求提交证明文件，证明其及投标标的符合招标文件规定。</w:t>
      </w:r>
    </w:p>
    <w:p w14:paraId="55DE70B3">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10.2招标文件对证明文件无明确形式要求的，证明文件可以以文字资料、图纸和数据等形式提交。</w:t>
      </w:r>
    </w:p>
    <w:p w14:paraId="51966183">
      <w:pPr>
        <w:pStyle w:val="190"/>
        <w:spacing w:before="0" w:after="0" w:line="400" w:lineRule="exact"/>
        <w:ind w:firstLine="560"/>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11.投标分项报价</w:t>
      </w:r>
      <w:bookmarkEnd w:id="71"/>
      <w:bookmarkStart w:id="73" w:name="_Hlt26670373"/>
      <w:bookmarkEnd w:id="73"/>
      <w:r>
        <w:rPr>
          <w:rFonts w:hint="eastAsia" w:ascii="方正仿宋_GBK" w:hAnsi="方正仿宋_GBK" w:eastAsia="方正仿宋_GBK" w:cs="方正仿宋_GBK"/>
          <w:b w:val="0"/>
          <w:bCs w:val="0"/>
        </w:rPr>
        <w:t>表</w:t>
      </w:r>
      <w:bookmarkEnd w:id="72"/>
    </w:p>
    <w:p w14:paraId="1127BA4E">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11.1</w:t>
      </w:r>
      <w:r>
        <w:rPr>
          <w:rFonts w:hint="eastAsia" w:ascii="方正仿宋_GBK" w:hAnsi="方正仿宋_GBK" w:eastAsia="方正仿宋_GBK" w:cs="方正仿宋_GBK"/>
          <w:sz w:val="28"/>
          <w:szCs w:val="28"/>
        </w:rPr>
        <w:t xml:space="preserve"> 投</w:t>
      </w:r>
      <w:bookmarkStart w:id="74" w:name="_Hlt26954840"/>
      <w:bookmarkEnd w:id="74"/>
      <w:r>
        <w:rPr>
          <w:rFonts w:hint="eastAsia" w:ascii="方正仿宋_GBK" w:hAnsi="方正仿宋_GBK" w:eastAsia="方正仿宋_GBK" w:cs="方正仿宋_GBK"/>
          <w:sz w:val="28"/>
          <w:szCs w:val="28"/>
        </w:rPr>
        <w:t>标人按照招标文件规定格式填报投标分项报价表</w:t>
      </w:r>
      <w:bookmarkStart w:id="75" w:name="_Hlt26670399"/>
      <w:bookmarkEnd w:id="75"/>
      <w:r>
        <w:rPr>
          <w:rFonts w:hint="eastAsia" w:ascii="方正仿宋_GBK" w:hAnsi="方正仿宋_GBK" w:eastAsia="方正仿宋_GBK" w:cs="方正仿宋_GBK"/>
          <w:sz w:val="28"/>
          <w:szCs w:val="28"/>
        </w:rPr>
        <w:t>。</w:t>
      </w:r>
    </w:p>
    <w:p w14:paraId="3C230266">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11.2</w:t>
      </w:r>
      <w:r>
        <w:rPr>
          <w:rFonts w:hint="eastAsia" w:ascii="方正仿宋_GBK" w:hAnsi="方正仿宋_GBK" w:eastAsia="方正仿宋_GBK" w:cs="方正仿宋_GBK"/>
          <w:bCs/>
          <w:sz w:val="28"/>
          <w:szCs w:val="28"/>
        </w:rPr>
        <w:t>投标货币。投标文件中的单价和总价无特殊规定的采用人民币报价，以元为单位标注。</w:t>
      </w:r>
      <w:r>
        <w:rPr>
          <w:rFonts w:hint="eastAsia" w:ascii="方正仿宋_GBK" w:hAnsi="方正仿宋_GBK" w:eastAsia="方正仿宋_GBK" w:cs="方正仿宋_GBK"/>
          <w:sz w:val="28"/>
          <w:szCs w:val="28"/>
        </w:rPr>
        <w:t>招标文件中另有规定的按规定执行。</w:t>
      </w:r>
    </w:p>
    <w:p w14:paraId="576B2ABA">
      <w:pPr>
        <w:spacing w:line="400" w:lineRule="exact"/>
        <w:ind w:firstLine="560"/>
        <w:rPr>
          <w:rFonts w:hint="eastAsia" w:ascii="方正仿宋_GBK" w:hAnsi="方正仿宋_GBK" w:eastAsia="方正仿宋_GBK" w:cs="方正仿宋_GBK"/>
          <w:sz w:val="28"/>
          <w:szCs w:val="28"/>
          <w:lang w:val="zh-CN"/>
        </w:rPr>
      </w:pPr>
      <w:bookmarkStart w:id="76" w:name="_Hlt26954844"/>
      <w:bookmarkEnd w:id="76"/>
      <w:bookmarkStart w:id="77" w:name="_Hlt26954848"/>
      <w:bookmarkEnd w:id="77"/>
      <w:bookmarkStart w:id="78" w:name="_Hlt26670486"/>
      <w:bookmarkEnd w:id="78"/>
      <w:bookmarkStart w:id="79" w:name="_Hlt26670482"/>
      <w:bookmarkEnd w:id="79"/>
      <w:bookmarkStart w:id="80" w:name="_Hlt26954842"/>
      <w:bookmarkEnd w:id="80"/>
      <w:bookmarkStart w:id="81" w:name="_Hlt26954731"/>
      <w:bookmarkEnd w:id="81"/>
      <w:bookmarkStart w:id="82" w:name="_Hlt26670425"/>
      <w:bookmarkEnd w:id="82"/>
      <w:bookmarkStart w:id="83" w:name="_Hlt26668983"/>
      <w:bookmarkEnd w:id="83"/>
      <w:bookmarkStart w:id="84" w:name="_Hlt26670403"/>
      <w:bookmarkEnd w:id="84"/>
      <w:bookmarkStart w:id="85" w:name="_Hlt26954846"/>
      <w:bookmarkEnd w:id="85"/>
      <w:bookmarkStart w:id="86" w:name="_Toc14577359"/>
      <w:bookmarkStart w:id="87" w:name="_Toc49090510"/>
      <w:r>
        <w:rPr>
          <w:rFonts w:hint="eastAsia" w:ascii="方正仿宋_GBK" w:hAnsi="方正仿宋_GBK" w:eastAsia="方正仿宋_GBK" w:cs="方正仿宋_GBK"/>
          <w:sz w:val="28"/>
          <w:szCs w:val="28"/>
          <w:lang w:val="zh-CN"/>
        </w:rPr>
        <w:t>12.投标人需按照招标文件要求，在投标文件中提供与</w:t>
      </w:r>
      <w:r>
        <w:rPr>
          <w:rFonts w:hint="eastAsia" w:ascii="方正仿宋_GBK" w:hAnsi="方正仿宋_GBK" w:eastAsia="方正仿宋_GBK" w:cs="方正仿宋_GBK"/>
          <w:sz w:val="28"/>
          <w:szCs w:val="28"/>
          <w:lang w:val="en-US" w:eastAsia="zh-CN"/>
        </w:rPr>
        <w:t>采购要求</w:t>
      </w:r>
      <w:r>
        <w:rPr>
          <w:rFonts w:hint="eastAsia" w:ascii="方正仿宋_GBK" w:hAnsi="方正仿宋_GBK" w:eastAsia="方正仿宋_GBK" w:cs="方正仿宋_GBK"/>
          <w:sz w:val="28"/>
          <w:szCs w:val="28"/>
          <w:lang w:val="zh-CN"/>
        </w:rPr>
        <w:t>相关的证明材料。</w:t>
      </w:r>
    </w:p>
    <w:p w14:paraId="45530380">
      <w:pPr>
        <w:pStyle w:val="190"/>
        <w:spacing w:before="0" w:after="0" w:line="400" w:lineRule="exact"/>
        <w:ind w:firstLine="560"/>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13.投标函和开标一览表</w:t>
      </w:r>
    </w:p>
    <w:p w14:paraId="1CBA2EDA">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13.1</w:t>
      </w:r>
      <w:r>
        <w:rPr>
          <w:rFonts w:hint="eastAsia" w:ascii="方正仿宋_GBK" w:hAnsi="方正仿宋_GBK" w:eastAsia="方正仿宋_GBK" w:cs="方正仿宋_GBK"/>
          <w:sz w:val="28"/>
          <w:szCs w:val="28"/>
        </w:rPr>
        <w:t>投标人应按照招标文件中提供的格式完整、正确填写投标函、开标一览表。</w:t>
      </w:r>
    </w:p>
    <w:p w14:paraId="2DA42382">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开标一览表中的投标总报价应与投标分项报价表中的投标总报价一致，如不一致，</w:t>
      </w:r>
      <w:r>
        <w:rPr>
          <w:rFonts w:hint="eastAsia" w:ascii="方正仿宋_GBK" w:hAnsi="方正仿宋_GBK" w:eastAsia="方正仿宋_GBK" w:cs="方正仿宋_GBK"/>
          <w:sz w:val="28"/>
          <w:szCs w:val="28"/>
        </w:rPr>
        <w:t>不作为无效投标处理</w:t>
      </w:r>
      <w:r>
        <w:rPr>
          <w:rFonts w:hint="eastAsia" w:ascii="方正仿宋_GBK" w:hAnsi="方正仿宋_GBK" w:eastAsia="方正仿宋_GBK" w:cs="方正仿宋_GBK"/>
          <w:bCs/>
          <w:sz w:val="28"/>
          <w:szCs w:val="28"/>
        </w:rPr>
        <w:t>，但评标时按开标一览表中价格为准</w:t>
      </w:r>
      <w:r>
        <w:rPr>
          <w:rFonts w:hint="eastAsia" w:ascii="方正仿宋_GBK" w:hAnsi="方正仿宋_GBK" w:eastAsia="方正仿宋_GBK" w:cs="方正仿宋_GBK"/>
          <w:b/>
          <w:bCs/>
          <w:sz w:val="28"/>
          <w:szCs w:val="28"/>
        </w:rPr>
        <w:t>。</w:t>
      </w:r>
    </w:p>
    <w:bookmarkEnd w:id="86"/>
    <w:bookmarkEnd w:id="87"/>
    <w:p w14:paraId="0CF3028E">
      <w:pPr>
        <w:pStyle w:val="190"/>
        <w:spacing w:before="0" w:after="0" w:line="400" w:lineRule="exact"/>
        <w:ind w:firstLine="560"/>
        <w:rPr>
          <w:rFonts w:hint="eastAsia" w:ascii="方正仿宋_GBK" w:hAnsi="方正仿宋_GBK" w:eastAsia="方正仿宋_GBK" w:cs="方正仿宋_GBK"/>
          <w:b w:val="0"/>
          <w:bCs w:val="0"/>
        </w:rPr>
      </w:pPr>
      <w:bookmarkStart w:id="88" w:name="_Hlt26670489"/>
      <w:bookmarkEnd w:id="88"/>
      <w:bookmarkStart w:id="89" w:name="_Hlt26954734"/>
      <w:bookmarkEnd w:id="89"/>
      <w:bookmarkStart w:id="90" w:name="_Hlt26954850"/>
      <w:bookmarkEnd w:id="90"/>
      <w:bookmarkStart w:id="91" w:name="_Toc49090511"/>
      <w:bookmarkStart w:id="92" w:name="_Toc14577360"/>
      <w:r>
        <w:rPr>
          <w:rFonts w:hint="eastAsia" w:ascii="方正仿宋_GBK" w:hAnsi="方正仿宋_GBK" w:eastAsia="方正仿宋_GBK" w:cs="方正仿宋_GBK"/>
          <w:b w:val="0"/>
          <w:bCs w:val="0"/>
        </w:rPr>
        <w:t>14.投标有效期</w:t>
      </w:r>
      <w:bookmarkEnd w:id="91"/>
      <w:bookmarkEnd w:id="92"/>
    </w:p>
    <w:p w14:paraId="61B5AA45">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14.1</w:t>
      </w:r>
      <w:r>
        <w:rPr>
          <w:rFonts w:hint="eastAsia" w:ascii="方正仿宋_GBK" w:hAnsi="方正仿宋_GBK" w:eastAsia="方正仿宋_GBK" w:cs="方正仿宋_GBK"/>
          <w:bCs/>
          <w:sz w:val="28"/>
          <w:szCs w:val="28"/>
        </w:rPr>
        <w:t xml:space="preserve"> 投标有效期为采购代理规定的开标之日后</w:t>
      </w:r>
      <w:r>
        <w:rPr>
          <w:rFonts w:hint="eastAsia" w:ascii="方正仿宋_GBK" w:hAnsi="方正仿宋_GBK" w:eastAsia="方正仿宋_GBK" w:cs="方正仿宋_GBK"/>
          <w:b/>
          <w:sz w:val="28"/>
          <w:szCs w:val="28"/>
          <w:u w:val="single"/>
        </w:rPr>
        <w:t>六十（60）天</w:t>
      </w:r>
      <w:r>
        <w:rPr>
          <w:rFonts w:hint="eastAsia" w:ascii="方正仿宋_GBK" w:hAnsi="方正仿宋_GBK" w:eastAsia="方正仿宋_GBK" w:cs="方正仿宋_GBK"/>
          <w:bCs/>
          <w:sz w:val="28"/>
          <w:szCs w:val="28"/>
        </w:rPr>
        <w:t>。投标有效期比规定短的将被视为未实质性响应招标文件而予以拒绝。</w:t>
      </w:r>
    </w:p>
    <w:p w14:paraId="11520B1C">
      <w:pPr>
        <w:pStyle w:val="190"/>
        <w:spacing w:before="0" w:after="0" w:line="400" w:lineRule="exact"/>
        <w:ind w:firstLine="560"/>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15.投标有效期的延长</w:t>
      </w:r>
    </w:p>
    <w:p w14:paraId="1380F62F">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15.1</w:t>
      </w:r>
      <w:r>
        <w:rPr>
          <w:rFonts w:hint="eastAsia" w:ascii="方正仿宋_GBK" w:hAnsi="方正仿宋_GBK" w:eastAsia="方正仿宋_GBK" w:cs="方正仿宋_GBK"/>
          <w:bCs/>
          <w:sz w:val="28"/>
          <w:szCs w:val="28"/>
        </w:rPr>
        <w:t xml:space="preserve"> 在特殊情况下，采购代理于原投标有效期满之前，可向投标人提出延长投标有效期的要求。这种要求与答复均应采用书面形式。投标人可以拒绝采购代理的这一要求而放弃投标</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bCs/>
          <w:sz w:val="28"/>
          <w:szCs w:val="28"/>
        </w:rPr>
        <w:t>同意延长投标有效期的投标人既不能要求也不允许修改其投标文件</w:t>
      </w:r>
      <w:r>
        <w:rPr>
          <w:rFonts w:hint="eastAsia" w:ascii="方正仿宋_GBK" w:hAnsi="方正仿宋_GBK" w:eastAsia="方正仿宋_GBK" w:cs="方正仿宋_GBK"/>
          <w:sz w:val="28"/>
          <w:szCs w:val="28"/>
        </w:rPr>
        <w:t>，同时受投标有效期约束的所有权利与义务均延长至新的有效期</w:t>
      </w:r>
      <w:r>
        <w:rPr>
          <w:rFonts w:hint="eastAsia" w:ascii="方正仿宋_GBK" w:hAnsi="方正仿宋_GBK" w:eastAsia="方正仿宋_GBK" w:cs="方正仿宋_GBK"/>
          <w:bCs/>
          <w:sz w:val="28"/>
          <w:szCs w:val="28"/>
        </w:rPr>
        <w:t>。</w:t>
      </w:r>
    </w:p>
    <w:p w14:paraId="557127B7">
      <w:pPr>
        <w:keepNext/>
        <w:spacing w:line="400" w:lineRule="exact"/>
        <w:ind w:firstLine="560"/>
        <w:jc w:val="left"/>
        <w:outlineLvl w:val="0"/>
        <w:rPr>
          <w:rFonts w:hint="eastAsia" w:ascii="方正黑体_GBK" w:hAnsi="方正黑体_GBK" w:eastAsia="方正黑体_GBK" w:cs="方正黑体_GBK"/>
          <w:color w:val="000000"/>
          <w:sz w:val="28"/>
          <w:szCs w:val="28"/>
        </w:rPr>
      </w:pPr>
      <w:bookmarkStart w:id="93" w:name="_Hlt26954739"/>
      <w:bookmarkEnd w:id="93"/>
      <w:bookmarkStart w:id="94" w:name="_Hlt26954852"/>
      <w:bookmarkEnd w:id="94"/>
      <w:bookmarkStart w:id="95" w:name="_Toc20823296"/>
      <w:bookmarkStart w:id="96" w:name="_Toc513029224"/>
      <w:bookmarkStart w:id="97" w:name="_Toc120614217"/>
      <w:bookmarkStart w:id="98" w:name="_Toc16938540"/>
      <w:r>
        <w:rPr>
          <w:rFonts w:hint="eastAsia" w:ascii="方正黑体_GBK" w:hAnsi="方正黑体_GBK" w:eastAsia="方正黑体_GBK" w:cs="方正黑体_GBK"/>
          <w:color w:val="000000"/>
          <w:sz w:val="28"/>
          <w:szCs w:val="28"/>
        </w:rPr>
        <w:t>四、投标文件的递交</w:t>
      </w:r>
      <w:bookmarkEnd w:id="95"/>
      <w:bookmarkEnd w:id="96"/>
      <w:bookmarkEnd w:id="97"/>
      <w:bookmarkEnd w:id="98"/>
    </w:p>
    <w:p w14:paraId="710D6B9F">
      <w:pPr>
        <w:pStyle w:val="190"/>
        <w:spacing w:before="0" w:after="0" w:line="400" w:lineRule="exact"/>
        <w:ind w:firstLine="560"/>
        <w:rPr>
          <w:rFonts w:hint="eastAsia" w:ascii="方正仿宋_GBK" w:hAnsi="方正仿宋_GBK" w:eastAsia="方正仿宋_GBK" w:cs="方正仿宋_GBK"/>
          <w:b w:val="0"/>
          <w:bCs w:val="0"/>
        </w:rPr>
      </w:pPr>
      <w:bookmarkStart w:id="99" w:name="_Toc16938541"/>
      <w:bookmarkStart w:id="100" w:name="_Toc462564084"/>
      <w:bookmarkStart w:id="101" w:name="_Toc20823297"/>
      <w:bookmarkStart w:id="102" w:name="_Toc513029225"/>
      <w:r>
        <w:rPr>
          <w:rFonts w:hint="eastAsia" w:ascii="方正仿宋_GBK" w:hAnsi="方正仿宋_GBK" w:eastAsia="方正仿宋_GBK" w:cs="方正仿宋_GBK"/>
          <w:b w:val="0"/>
          <w:bCs w:val="0"/>
        </w:rPr>
        <w:t>16.投标文件</w:t>
      </w:r>
      <w:bookmarkEnd w:id="99"/>
      <w:bookmarkEnd w:id="100"/>
      <w:bookmarkEnd w:id="101"/>
      <w:bookmarkEnd w:id="102"/>
      <w:r>
        <w:rPr>
          <w:rFonts w:hint="eastAsia" w:ascii="方正仿宋_GBK" w:hAnsi="方正仿宋_GBK" w:eastAsia="方正仿宋_GBK" w:cs="方正仿宋_GBK"/>
          <w:b w:val="0"/>
          <w:bCs w:val="0"/>
        </w:rPr>
        <w:t>的递交</w:t>
      </w:r>
    </w:p>
    <w:p w14:paraId="2AE6B24B">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16.1</w:t>
      </w:r>
      <w:r>
        <w:rPr>
          <w:rFonts w:hint="eastAsia" w:ascii="方正仿宋_GBK" w:hAnsi="方正仿宋_GBK" w:eastAsia="方正仿宋_GBK" w:cs="方正仿宋_GBK"/>
          <w:bCs/>
          <w:sz w:val="28"/>
          <w:szCs w:val="28"/>
        </w:rPr>
        <w:t xml:space="preserve"> 电子投标文件的递交</w:t>
      </w:r>
    </w:p>
    <w:p w14:paraId="6F52A0B7">
      <w:pPr>
        <w:pStyle w:val="297"/>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投标人应当按照《操作手册》规定，在投标截止时间前制作并上传电子投标文件。</w:t>
      </w:r>
      <w:bookmarkStart w:id="103" w:name="_Toc20823298"/>
      <w:bookmarkStart w:id="104" w:name="_Toc513029226"/>
      <w:bookmarkStart w:id="105" w:name="_Toc16938542"/>
    </w:p>
    <w:p w14:paraId="4FEC7288">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17.投标截止</w:t>
      </w:r>
      <w:bookmarkEnd w:id="103"/>
      <w:bookmarkEnd w:id="104"/>
      <w:bookmarkEnd w:id="105"/>
      <w:r>
        <w:rPr>
          <w:rFonts w:hint="eastAsia" w:ascii="方正仿宋_GBK" w:hAnsi="方正仿宋_GBK" w:eastAsia="方正仿宋_GBK" w:cs="方正仿宋_GBK"/>
          <w:bCs/>
          <w:sz w:val="28"/>
          <w:szCs w:val="28"/>
        </w:rPr>
        <w:t>时间</w:t>
      </w:r>
    </w:p>
    <w:p w14:paraId="3CF2B488">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p>
    <w:p w14:paraId="4604992D">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投标人应充分考虑到网络环境、网络带宽等风险因素，如因投标人自身原因造成的电子投标文件上传不成功的按照本招标文件第二章第25.1.2条规定做无效投标处理。</w:t>
      </w:r>
    </w:p>
    <w:p w14:paraId="39753009">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17.2</w:t>
      </w:r>
      <w:r>
        <w:rPr>
          <w:rFonts w:hint="eastAsia" w:ascii="方正仿宋_GBK" w:hAnsi="方正仿宋_GBK" w:eastAsia="方正仿宋_GBK" w:cs="方正仿宋_GBK"/>
          <w:bCs/>
          <w:sz w:val="28"/>
          <w:szCs w:val="28"/>
        </w:rPr>
        <w:t xml:space="preserve"> 采购代理可以按照规定，通过修改招标文件酌情延长投标截止时间，在此情况下，投标人的所有权利和义务以及投标人受制的截止时间均应以延长后新的截止时间为准。</w:t>
      </w:r>
    </w:p>
    <w:p w14:paraId="5FC09731">
      <w:pPr>
        <w:pStyle w:val="190"/>
        <w:spacing w:before="0" w:after="0" w:line="400" w:lineRule="exact"/>
        <w:ind w:firstLine="560"/>
        <w:rPr>
          <w:rFonts w:hint="eastAsia" w:ascii="方正仿宋_GBK" w:hAnsi="方正仿宋_GBK" w:eastAsia="方正仿宋_GBK" w:cs="方正仿宋_GBK"/>
          <w:b w:val="0"/>
          <w:bCs w:val="0"/>
        </w:rPr>
      </w:pPr>
      <w:bookmarkStart w:id="106" w:name="_Toc16938543"/>
      <w:bookmarkStart w:id="107" w:name="_Toc513029227"/>
      <w:bookmarkStart w:id="108" w:name="_Toc20823299"/>
      <w:r>
        <w:rPr>
          <w:rFonts w:hint="eastAsia" w:ascii="方正仿宋_GBK" w:hAnsi="方正仿宋_GBK" w:eastAsia="方正仿宋_GBK" w:cs="方正仿宋_GBK"/>
          <w:b w:val="0"/>
          <w:bCs w:val="0"/>
        </w:rPr>
        <w:t>18.投标文件</w:t>
      </w:r>
      <w:bookmarkEnd w:id="106"/>
      <w:bookmarkEnd w:id="107"/>
      <w:bookmarkEnd w:id="108"/>
      <w:r>
        <w:rPr>
          <w:rFonts w:hint="eastAsia" w:ascii="方正仿宋_GBK" w:hAnsi="方正仿宋_GBK" w:eastAsia="方正仿宋_GBK" w:cs="方正仿宋_GBK"/>
          <w:b w:val="0"/>
          <w:bCs w:val="0"/>
        </w:rPr>
        <w:t>的拒收</w:t>
      </w:r>
    </w:p>
    <w:p w14:paraId="7A752F67">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18.1</w:t>
      </w:r>
      <w:r>
        <w:rPr>
          <w:rFonts w:hint="eastAsia" w:ascii="方正仿宋_GBK" w:hAnsi="方正仿宋_GBK" w:eastAsia="方正仿宋_GBK" w:cs="方正仿宋_GBK"/>
          <w:bCs/>
          <w:sz w:val="28"/>
          <w:szCs w:val="28"/>
        </w:rPr>
        <w:t>采购代理拒绝接收在其规定的投标截止时间后上传的任何投标文件。</w:t>
      </w:r>
    </w:p>
    <w:p w14:paraId="7CA8853D">
      <w:pPr>
        <w:pStyle w:val="190"/>
        <w:spacing w:before="0" w:after="0" w:line="400" w:lineRule="exact"/>
        <w:ind w:firstLine="560"/>
        <w:rPr>
          <w:rFonts w:hint="eastAsia" w:ascii="方正仿宋_GBK" w:hAnsi="方正仿宋_GBK" w:eastAsia="方正仿宋_GBK" w:cs="方正仿宋_GBK"/>
          <w:b w:val="0"/>
          <w:bCs w:val="0"/>
        </w:rPr>
      </w:pPr>
      <w:bookmarkStart w:id="109" w:name="_Toc16938544"/>
      <w:bookmarkStart w:id="110" w:name="_Toc513029228"/>
      <w:bookmarkStart w:id="111" w:name="_Toc20823300"/>
      <w:r>
        <w:rPr>
          <w:rFonts w:hint="eastAsia" w:ascii="方正仿宋_GBK" w:hAnsi="方正仿宋_GBK" w:eastAsia="方正仿宋_GBK" w:cs="方正仿宋_GBK"/>
          <w:b w:val="0"/>
          <w:bCs w:val="0"/>
        </w:rPr>
        <w:t>19.投标文件的撤回和修改</w:t>
      </w:r>
      <w:bookmarkEnd w:id="109"/>
      <w:bookmarkEnd w:id="110"/>
      <w:bookmarkEnd w:id="111"/>
    </w:p>
    <w:p w14:paraId="680C7B0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19.1 投标文件的撤回</w:t>
      </w:r>
    </w:p>
    <w:p w14:paraId="41D9B8B4">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19.1.1 电子投标文件的撤回</w:t>
      </w:r>
    </w:p>
    <w:p w14:paraId="588FAB74">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投标人可在投标截止时间前，撤回其电子投标文件，具体操作方法见《操作手册》。</w:t>
      </w:r>
    </w:p>
    <w:p w14:paraId="1AB167B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19.1.2 投标人撤回电子投标文件，则认为其不再参与本项目投标活动。</w:t>
      </w:r>
    </w:p>
    <w:p w14:paraId="22E4CADF">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19.2 投标文件的修改</w:t>
      </w:r>
    </w:p>
    <w:p w14:paraId="3E479C5C">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19.2.1投标人可在投标截止时间前，对其电子投标文件进行修改，具体操作方法见《操作手册》。</w:t>
      </w:r>
    </w:p>
    <w:p w14:paraId="5C465CF9">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19.2.2</w:t>
      </w:r>
      <w:r>
        <w:rPr>
          <w:rFonts w:hint="eastAsia" w:ascii="方正仿宋_GBK" w:hAnsi="方正仿宋_GBK" w:eastAsia="方正仿宋_GBK" w:cs="方正仿宋_GBK"/>
          <w:bCs/>
          <w:sz w:val="28"/>
          <w:szCs w:val="28"/>
        </w:rPr>
        <w:t xml:space="preserve"> 在投标截止时间之后，投标人不得对其电子投标文件作任何修改。</w:t>
      </w:r>
    </w:p>
    <w:p w14:paraId="12699759">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p>
    <w:p w14:paraId="77DFF178">
      <w:pPr>
        <w:keepNext/>
        <w:spacing w:line="400" w:lineRule="exact"/>
        <w:ind w:firstLine="560"/>
        <w:jc w:val="left"/>
        <w:outlineLvl w:val="0"/>
        <w:rPr>
          <w:rFonts w:hint="eastAsia" w:ascii="方正黑体_GBK" w:hAnsi="方正黑体_GBK" w:eastAsia="方正黑体_GBK" w:cs="方正黑体_GBK"/>
          <w:color w:val="000000"/>
          <w:sz w:val="28"/>
          <w:szCs w:val="28"/>
        </w:rPr>
      </w:pPr>
      <w:bookmarkStart w:id="112" w:name="_Toc16938545"/>
      <w:bookmarkStart w:id="113" w:name="_Toc120614218"/>
      <w:bookmarkStart w:id="114" w:name="_Toc20823301"/>
      <w:bookmarkStart w:id="115" w:name="_Toc513029229"/>
      <w:r>
        <w:rPr>
          <w:rFonts w:hint="eastAsia" w:ascii="方正黑体_GBK" w:hAnsi="方正黑体_GBK" w:eastAsia="方正黑体_GBK" w:cs="方正黑体_GBK"/>
          <w:color w:val="000000"/>
          <w:sz w:val="28"/>
          <w:szCs w:val="28"/>
        </w:rPr>
        <w:t>五、开标与评标</w:t>
      </w:r>
      <w:bookmarkEnd w:id="112"/>
      <w:bookmarkEnd w:id="113"/>
      <w:bookmarkEnd w:id="114"/>
      <w:bookmarkEnd w:id="115"/>
    </w:p>
    <w:p w14:paraId="653F7503">
      <w:pPr>
        <w:spacing w:line="400" w:lineRule="exact"/>
        <w:ind w:firstLine="560"/>
        <w:rPr>
          <w:rFonts w:hint="eastAsia" w:ascii="方正仿宋_GBK" w:hAnsi="方正仿宋_GBK" w:eastAsia="方正仿宋_GBK" w:cs="方正仿宋_GBK"/>
          <w:sz w:val="28"/>
          <w:szCs w:val="28"/>
        </w:rPr>
      </w:pPr>
      <w:bookmarkStart w:id="116" w:name="_Toc20823302"/>
      <w:bookmarkStart w:id="117" w:name="_Toc513029230"/>
      <w:bookmarkStart w:id="118" w:name="_Toc16938546"/>
      <w:r>
        <w:rPr>
          <w:rFonts w:hint="eastAsia" w:ascii="方正仿宋_GBK" w:hAnsi="方正仿宋_GBK" w:eastAsia="方正仿宋_GBK" w:cs="方正仿宋_GBK"/>
          <w:sz w:val="28"/>
          <w:szCs w:val="28"/>
        </w:rPr>
        <w:t>20.开标</w:t>
      </w:r>
      <w:bookmarkEnd w:id="116"/>
      <w:bookmarkEnd w:id="117"/>
      <w:bookmarkEnd w:id="118"/>
    </w:p>
    <w:p w14:paraId="4E78EDFF">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20.1 采购代理将在招标公告中规定的时间和地点组织公开开标。投标人应当按照《操作手册》规定，参加开标活动和在苏采云系统规定的时间内对投标文件进行解密。</w:t>
      </w:r>
    </w:p>
    <w:p w14:paraId="104F3DC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20.2开标仪式由采购代理组织。苏采云系统将自动对项目进行开标，并宣布各投标人名称和投标价格。</w:t>
      </w:r>
    </w:p>
    <w:p w14:paraId="4B01FBF2">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20.3投标人在开标过程中涉及到的投标文件解密、开标结果确认等工作，应按照《操作手册》规定执行。</w:t>
      </w:r>
    </w:p>
    <w:p w14:paraId="262B480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20.4投标人如果对开标过程和开标记录有疑义，应当根据《操作手册》规定提出，如苏采云系统中《开标记录表》宣布后5分钟内未提出的，视同认可开标结果。</w:t>
      </w:r>
    </w:p>
    <w:p w14:paraId="657741EE">
      <w:pPr>
        <w:spacing w:line="400" w:lineRule="exact"/>
        <w:ind w:firstLine="560"/>
        <w:rPr>
          <w:rFonts w:hint="eastAsia" w:ascii="方正仿宋_GBK" w:hAnsi="方正仿宋_GBK" w:eastAsia="方正仿宋_GBK" w:cs="方正仿宋_GBK"/>
          <w:sz w:val="28"/>
          <w:szCs w:val="28"/>
        </w:rPr>
      </w:pPr>
      <w:bookmarkStart w:id="119" w:name="_Toc20823303"/>
      <w:bookmarkStart w:id="120" w:name="_Toc16938547"/>
      <w:bookmarkStart w:id="121" w:name="_Toc513029231"/>
      <w:r>
        <w:rPr>
          <w:rFonts w:hint="eastAsia" w:ascii="方正仿宋_GBK" w:hAnsi="方正仿宋_GBK" w:eastAsia="方正仿宋_GBK" w:cs="方正仿宋_GBK"/>
          <w:sz w:val="28"/>
          <w:szCs w:val="28"/>
        </w:rPr>
        <w:t>21.评标委员会</w:t>
      </w:r>
    </w:p>
    <w:p w14:paraId="2B293E4C">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21.1 开标后，采购代理将立即组织评标委员会进行评标。</w:t>
      </w:r>
    </w:p>
    <w:p w14:paraId="6847C69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21.2 评标委员会由采购人代表和有关技术、经济等方面的专家组成，且人员构成符合政府采购有关规定。</w:t>
      </w:r>
    </w:p>
    <w:p w14:paraId="249A9F0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21.3评标委员会独立工作，负责评审所有投标文件并确定中标侯选人。</w:t>
      </w:r>
    </w:p>
    <w:p w14:paraId="5AD34893">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22.评标过程的保密与公正</w:t>
      </w:r>
    </w:p>
    <w:bookmarkEnd w:id="119"/>
    <w:bookmarkEnd w:id="120"/>
    <w:bookmarkEnd w:id="121"/>
    <w:p w14:paraId="76940D5C">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22.1凡是与审查、澄清、评价和比较投标的有关资料以及授标建议等，采购人、评委、采购代理均不得向投标人或与评标无关的其他人员透露。</w:t>
      </w:r>
    </w:p>
    <w:p w14:paraId="28D17A16">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22.2在评标过程中，投标人不得以任何行为影响评标过程，否则其投标文件将被作为无效投标文件。</w:t>
      </w:r>
    </w:p>
    <w:p w14:paraId="0745549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22.3 采购代理和评标委员会不向未中标的投标人解释未中标原因，也不公布评标过程中的相关细节。</w:t>
      </w:r>
    </w:p>
    <w:p w14:paraId="09CBF4D6">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22.4 采用综合评分法的项目，未中标的投标人可于中标结果公告期限届满之日起通过苏采云系统查看自己的评审得分及排序情况。</w:t>
      </w:r>
    </w:p>
    <w:p w14:paraId="707C7B7F">
      <w:pPr>
        <w:spacing w:line="400" w:lineRule="exact"/>
        <w:ind w:firstLine="560"/>
        <w:rPr>
          <w:rFonts w:hint="eastAsia" w:ascii="方正仿宋_GBK" w:hAnsi="方正仿宋_GBK" w:eastAsia="方正仿宋_GBK" w:cs="方正仿宋_GBK"/>
          <w:sz w:val="28"/>
          <w:szCs w:val="28"/>
        </w:rPr>
      </w:pPr>
      <w:bookmarkStart w:id="122" w:name="_Toc20823304"/>
      <w:bookmarkStart w:id="123" w:name="_Toc513029232"/>
      <w:bookmarkStart w:id="124" w:name="_Toc16938548"/>
      <w:r>
        <w:rPr>
          <w:rFonts w:hint="eastAsia" w:ascii="方正仿宋_GBK" w:hAnsi="方正仿宋_GBK" w:eastAsia="方正仿宋_GBK" w:cs="方正仿宋_GBK"/>
          <w:sz w:val="28"/>
          <w:szCs w:val="28"/>
        </w:rPr>
        <w:t>23.投标文件的澄清</w:t>
      </w:r>
      <w:bookmarkEnd w:id="122"/>
      <w:bookmarkEnd w:id="123"/>
      <w:bookmarkEnd w:id="124"/>
    </w:p>
    <w:p w14:paraId="729ABB7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23.1评标期间，评标委员会对投标文件中含义不明确、同类问题表述不一致或者有明显文字和计算错误的内容 ，有权要求投标人作出必要的澄清、说明或者补正。</w:t>
      </w:r>
    </w:p>
    <w:p w14:paraId="35166F5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投标人的澄清、说明或者补正不得超出投标文件的范围或者改变投标文件的实质性内容。</w:t>
      </w:r>
    </w:p>
    <w:p w14:paraId="38B93AFC">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评标委员会并非对每个投标人都做澄清要求。</w:t>
      </w:r>
    </w:p>
    <w:p w14:paraId="3518B71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0354D52">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23.3 接到评标委员会澄清、说明和补正要求的投标人如未按规定做出澄清、说明和补正，其风险由投标人自行承担。</w:t>
      </w:r>
    </w:p>
    <w:p w14:paraId="67E3F357">
      <w:pPr>
        <w:spacing w:line="400" w:lineRule="exact"/>
        <w:ind w:firstLine="560"/>
        <w:rPr>
          <w:rFonts w:hint="eastAsia" w:ascii="方正仿宋_GBK" w:hAnsi="方正仿宋_GBK" w:eastAsia="方正仿宋_GBK" w:cs="方正仿宋_GBK"/>
          <w:sz w:val="28"/>
          <w:szCs w:val="28"/>
        </w:rPr>
      </w:pPr>
      <w:bookmarkStart w:id="125" w:name="_Toc16938549"/>
      <w:bookmarkStart w:id="126" w:name="_Toc20823305"/>
      <w:bookmarkStart w:id="127" w:name="_Toc513029233"/>
      <w:r>
        <w:rPr>
          <w:rFonts w:hint="eastAsia" w:ascii="方正仿宋_GBK" w:hAnsi="方正仿宋_GBK" w:eastAsia="方正仿宋_GBK" w:cs="方正仿宋_GBK"/>
          <w:sz w:val="28"/>
          <w:szCs w:val="28"/>
        </w:rPr>
        <w:t>24.对投标文件的初审</w:t>
      </w:r>
      <w:bookmarkEnd w:id="125"/>
      <w:bookmarkEnd w:id="126"/>
      <w:bookmarkEnd w:id="127"/>
    </w:p>
    <w:p w14:paraId="2EFB456C">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24.1投标文件初审分为资格审查和符合性审查。</w:t>
      </w:r>
    </w:p>
    <w:p w14:paraId="78A2FA87">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24.1.1 资格审查：依据法律法规和招标文件的规定，由采购人对投标文件中的资格证明文件进行审查。资格审查的结论，采购人以书面形式向评标委员会进行反馈。</w:t>
      </w:r>
    </w:p>
    <w:p w14:paraId="1F71F306">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采购人在进行资格性审查的同时，将在“信用中国”网站（</w:t>
      </w:r>
      <w:r>
        <w:rPr>
          <w:rFonts w:hint="eastAsia" w:eastAsia="方正仿宋_GBK"/>
          <w:color w:val="000000"/>
          <w:sz w:val="28"/>
          <w:szCs w:val="28"/>
        </w:rPr>
        <w:t>www.creditchina.gov.cn</w:t>
      </w:r>
      <w:r>
        <w:rPr>
          <w:rFonts w:hint="eastAsia" w:ascii="方正仿宋_GBK" w:hAnsi="方正仿宋_GBK" w:eastAsia="方正仿宋_GBK" w:cs="方正仿宋_GBK"/>
          <w:sz w:val="28"/>
          <w:szCs w:val="28"/>
        </w:rPr>
        <w:t>）查询投标人的信用记录，以确定投标人是否具备投标资格,查询结果留存并归档。</w:t>
      </w:r>
    </w:p>
    <w:p w14:paraId="7AC83EC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24.1.2 符合性审查：评标委员会对通过资格性检查的供应商的投标文件进行符合性审查，以确定其是否满足招标文件的实质性要求。投标文件有下列情况之一的，在符合性检查时按照无效投标处理：</w:t>
      </w:r>
    </w:p>
    <w:p w14:paraId="6D0D1F0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（1）未按照招标文件规定的要求签署、盖章的；</w:t>
      </w:r>
    </w:p>
    <w:p w14:paraId="720F789D">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（2）报价超过招标文件中规定的预算金额或者最高限价的；</w:t>
      </w:r>
    </w:p>
    <w:p w14:paraId="4ED9AB5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（3）投标文件含有采购人不能接受的附加条件的；</w:t>
      </w:r>
    </w:p>
    <w:p w14:paraId="5ECE101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（4）投标文件内容不全或不符合招标文件中规定的其它实质性要求的；</w:t>
      </w:r>
    </w:p>
    <w:p w14:paraId="71460CE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（5）现行法律、法规、规章和招标文件规定的其他无效情形。</w:t>
      </w:r>
    </w:p>
    <w:p w14:paraId="638A9648">
      <w:pPr>
        <w:spacing w:line="400" w:lineRule="exact"/>
        <w:ind w:firstLine="560"/>
        <w:rPr>
          <w:rFonts w:hint="eastAsia" w:ascii="方正仿宋_GBK" w:hAnsi="方正仿宋_GBK" w:eastAsia="方正仿宋_GBK" w:cs="方正仿宋_GBK"/>
          <w:sz w:val="28"/>
          <w:szCs w:val="28"/>
        </w:rPr>
      </w:pPr>
    </w:p>
    <w:p w14:paraId="12E7907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24.1.3 未通过资格审查或符合性审查的投标人，采购代理将在苏采云系统中告知未通过资格审查或符合性审查的原因，评标结束后，采购代理将不再告知未通过资格审查和符合性审查的原因。</w:t>
      </w:r>
    </w:p>
    <w:p w14:paraId="589E78C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24.2在详细评标之前，评标委员会将首先审查每份投标文件是否实质性响应了招标文件的要求。实质性响应的投标应该是与招标文件要求的全部条款、条件和规格相符，没有重大偏离或保留的投标。</w:t>
      </w:r>
    </w:p>
    <w:p w14:paraId="528B552F">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464FDA72">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24.3如果投标文件实质上没有响应招标文件的要求，评标委员会将予以拒绝，投标人不得通过修改或撤销不符合要求的偏离或保留而使其投标成为实质性响应的投标。</w:t>
      </w:r>
    </w:p>
    <w:p w14:paraId="007C104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24.4评标委员会将对确定为实质性响应的投标进行进一步审核，确定其是否有计算上或累加上的算术错误，修正错误的原则如下：</w:t>
      </w:r>
    </w:p>
    <w:p w14:paraId="328809A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（1）投标文件中开标一览表内容与投标文件中相应内容不一致的，以开标一览表为准。</w:t>
      </w:r>
    </w:p>
    <w:p w14:paraId="27E6C0B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（2）大写金额和小写金额不一致的，以大写金额为准。</w:t>
      </w:r>
    </w:p>
    <w:p w14:paraId="5A7C975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（3）单价金额小数点或者百分比有明显错位的，以开标一览表的总价为准，并修改单价。</w:t>
      </w:r>
    </w:p>
    <w:p w14:paraId="78C6DF26">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（4）总价金额与按单价汇总金额不一致的，以单价金额计算结果为准。</w:t>
      </w:r>
    </w:p>
    <w:p w14:paraId="006BA49A">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同时出现两种以上错误的，按照前款规定的顺序修正。</w:t>
      </w:r>
    </w:p>
    <w:p w14:paraId="3C965BB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24.5 评标委员会将按上述修正错误的方法调整投标文件中的投标报价，并通过苏采云系统告知投标人，调整后的价格应对投标人具有约束力。如果投标人不接受修正后的价格，则其投标将被拒绝。</w:t>
      </w:r>
    </w:p>
    <w:p w14:paraId="6F498F63">
      <w:pPr>
        <w:spacing w:line="400" w:lineRule="exact"/>
        <w:ind w:firstLine="560"/>
        <w:rPr>
          <w:rFonts w:hint="eastAsia" w:ascii="方正仿宋_GBK" w:hAnsi="方正仿宋_GBK" w:eastAsia="方正仿宋_GBK" w:cs="方正仿宋_GBK"/>
          <w:sz w:val="28"/>
          <w:szCs w:val="28"/>
        </w:rPr>
      </w:pPr>
      <w:bookmarkStart w:id="128" w:name="_Toc20823306"/>
      <w:bookmarkStart w:id="129" w:name="_Toc513029234"/>
      <w:bookmarkStart w:id="130" w:name="_Toc16938550"/>
      <w:r>
        <w:rPr>
          <w:rFonts w:hint="eastAsia" w:ascii="方正仿宋_GBK" w:hAnsi="方正仿宋_GBK" w:eastAsia="方正仿宋_GBK" w:cs="方正仿宋_GBK"/>
          <w:sz w:val="28"/>
          <w:szCs w:val="28"/>
        </w:rPr>
        <w:t>24.6投标人在开、评标全过程中应保持通讯畅通，及时登录苏采云系统查阅、答复相关信息，并安排专人与采购代理及评标委员会联系。</w:t>
      </w:r>
    </w:p>
    <w:p w14:paraId="740EC3B2">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24.7 异常低价投标审查</w:t>
      </w:r>
    </w:p>
    <w:p w14:paraId="757671E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24.7.1 评标过程中出现下列情形之一的，评标委员会应当启动异常低价投标审查程序：</w:t>
      </w:r>
    </w:p>
    <w:p w14:paraId="5BFBCC6F">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（1）投标报价低于全部通过符合性审查供应商投标报价平均值65%的，即投标报价&lt;全部通过符合性审查供应商投标报价平均值×65%；</w:t>
      </w:r>
    </w:p>
    <w:p w14:paraId="65DE965D">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（2）投标报价低于通过符合性审查的次低报价供应商投标报价65%的，即投标报价&lt;通过符合性审查的次低报价供应商投标报价×65%；</w:t>
      </w:r>
    </w:p>
    <w:p w14:paraId="273B580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（3）投标报价低于采购项目最高限价65%的，即投标报价&lt;采购项目最高限价×65%；</w:t>
      </w:r>
    </w:p>
    <w:p w14:paraId="2AAD1A7A">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（4）评标委员会基于专业判断，认为供应商报价过低，有可能影响产品质量或者不能诚信履约的其他情形。</w:t>
      </w:r>
    </w:p>
    <w:p w14:paraId="4DDD7F8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45733E22">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7123662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w:t>
      </w:r>
      <w:bookmarkEnd w:id="128"/>
      <w:bookmarkEnd w:id="129"/>
      <w:bookmarkEnd w:id="130"/>
      <w:r>
        <w:rPr>
          <w:rFonts w:hint="eastAsia" w:ascii="方正仿宋_GBK" w:hAnsi="方正仿宋_GBK" w:eastAsia="方正仿宋_GBK" w:cs="方正仿宋_GBK"/>
          <w:sz w:val="28"/>
          <w:szCs w:val="28"/>
        </w:rPr>
        <w:t>.无效投标条款和废标条款</w:t>
      </w:r>
    </w:p>
    <w:p w14:paraId="761200A3">
      <w:pPr>
        <w:spacing w:line="400" w:lineRule="exact"/>
        <w:ind w:firstLine="560"/>
        <w:rPr>
          <w:rFonts w:hint="eastAsia" w:ascii="方正仿宋_GBK" w:hAnsi="方正仿宋_GBK" w:eastAsia="方正仿宋_GBK" w:cs="方正仿宋_GBK"/>
          <w:sz w:val="28"/>
          <w:szCs w:val="28"/>
        </w:rPr>
      </w:pPr>
      <w:bookmarkStart w:id="131" w:name="_Toc16938551"/>
      <w:bookmarkStart w:id="132" w:name="_Toc513029235"/>
      <w:bookmarkStart w:id="133" w:name="_Toc20823307"/>
      <w:r>
        <w:rPr>
          <w:rFonts w:hint="eastAsia" w:ascii="方正仿宋_GBK" w:hAnsi="方正仿宋_GBK" w:eastAsia="方正仿宋_GBK" w:cs="方正仿宋_GBK"/>
          <w:sz w:val="28"/>
          <w:szCs w:val="28"/>
        </w:rPr>
        <w:t>25.1无效投标条款</w:t>
      </w:r>
    </w:p>
    <w:p w14:paraId="2BAF68C6">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25.1.1 投标人在苏采云系统规定的时间内未成功解密电子投标文件的。</w:t>
      </w:r>
    </w:p>
    <w:p w14:paraId="03533BA4">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25.1.2 投标人未按照招标文件要求上传电子投标文件的。</w:t>
      </w:r>
    </w:p>
    <w:p w14:paraId="2B23AF8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25.1.3 投标人同一采购包提交两个（含两个）以上不同的投标报价的。</w:t>
      </w:r>
    </w:p>
    <w:p w14:paraId="1311F404">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25.1.4投标人不具备招标文件中规定资格要求的。</w:t>
      </w:r>
    </w:p>
    <w:p w14:paraId="32CAEE62">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25.1.5投标人的报价超过了采购预算或最高限价的。</w:t>
      </w:r>
    </w:p>
    <w:p w14:paraId="2E27F08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25.1.6未通过符合性审查的。</w:t>
      </w:r>
    </w:p>
    <w:p w14:paraId="55993AF7">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25.1.7不符合招标文件中规定的实质性要求的</w:t>
      </w:r>
    </w:p>
    <w:p w14:paraId="2C65395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25.1.8 投标人被 “信用中国”网站（</w:t>
      </w:r>
      <w:r>
        <w:rPr>
          <w:rFonts w:hint="eastAsia" w:eastAsia="方正仿宋_GBK"/>
          <w:color w:val="000000"/>
          <w:sz w:val="28"/>
          <w:szCs w:val="28"/>
        </w:rPr>
        <w:t>www.creditchina.gov.cn</w:t>
      </w:r>
      <w:r>
        <w:rPr>
          <w:rFonts w:hint="eastAsia" w:ascii="方正仿宋_GBK" w:hAnsi="方正仿宋_GBK" w:eastAsia="方正仿宋_GBK" w:cs="方正仿宋_GBK"/>
          <w:sz w:val="28"/>
          <w:szCs w:val="28"/>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4256287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25.1.9 投标文件含有采购人不能接受的附加条件的。</w:t>
      </w:r>
    </w:p>
    <w:p w14:paraId="7E5AE68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25.1.10评标委员会按照本招标文件规定对投标人进行异常低价投标审查后，认为投标人不能证明其报价合理性的。</w:t>
      </w:r>
    </w:p>
    <w:p w14:paraId="004A6A3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25.1.11 投标文件未按照招标文件要求加盖CA电子公章的。</w:t>
      </w:r>
    </w:p>
    <w:p w14:paraId="41DA6B9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25.1.12 投标人所提供的服务不符合招标文件中所列国家强制性标准的。</w:t>
      </w:r>
    </w:p>
    <w:p w14:paraId="735F74D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25.1.13其他法律、法规及本招标文件规定的属无效投标的情形。</w:t>
      </w:r>
    </w:p>
    <w:p w14:paraId="3012990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25.2废标条款</w:t>
      </w:r>
    </w:p>
    <w:p w14:paraId="54846BB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25.2.1符合专业条件的供应商或者对招标文件作实质响应的供应商不足三家的。</w:t>
      </w:r>
    </w:p>
    <w:p w14:paraId="7724453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25.2.2出现影响采购公正的违法、违规行为的。</w:t>
      </w:r>
    </w:p>
    <w:p w14:paraId="457FEF46">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25.2.3因重大变故，采购任务取消的。</w:t>
      </w:r>
    </w:p>
    <w:p w14:paraId="580B355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25.2.4评标委员会认定招标文件存在歧义、重大缺陷导致评审工作无法进行。</w:t>
      </w:r>
    </w:p>
    <w:p w14:paraId="410AD79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25.2.5 因苏采云系统故障原因造成开标不成功的。</w:t>
      </w:r>
    </w:p>
    <w:p w14:paraId="57FDE5D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25.3 投标截止时间结束后参加投标的供应商不足三家的处理：</w:t>
      </w:r>
    </w:p>
    <w:p w14:paraId="426854F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25.3.1如出现投标截止时间结束后参加投标的供应商或者在评标期间对招标文件做出实质响应的供应商不足三家情况，按政府采购相关规定执行。</w:t>
      </w:r>
    </w:p>
    <w:p w14:paraId="379016A4">
      <w:pPr>
        <w:keepNext/>
        <w:spacing w:line="400" w:lineRule="exact"/>
        <w:ind w:firstLine="560"/>
        <w:jc w:val="left"/>
        <w:outlineLvl w:val="0"/>
        <w:rPr>
          <w:rFonts w:hint="eastAsia" w:ascii="方正黑体_GBK" w:hAnsi="方正黑体_GBK" w:eastAsia="方正黑体_GBK" w:cs="方正黑体_GBK"/>
          <w:color w:val="000000"/>
          <w:sz w:val="28"/>
          <w:szCs w:val="28"/>
        </w:rPr>
      </w:pPr>
      <w:bookmarkStart w:id="134" w:name="_Toc120614219"/>
      <w:r>
        <w:rPr>
          <w:rFonts w:hint="eastAsia" w:ascii="方正黑体_GBK" w:hAnsi="方正黑体_GBK" w:eastAsia="方正黑体_GBK" w:cs="方正黑体_GBK"/>
          <w:color w:val="000000"/>
          <w:sz w:val="28"/>
          <w:szCs w:val="28"/>
        </w:rPr>
        <w:t>六、</w:t>
      </w:r>
      <w:bookmarkEnd w:id="131"/>
      <w:bookmarkEnd w:id="132"/>
      <w:bookmarkEnd w:id="133"/>
      <w:r>
        <w:rPr>
          <w:rFonts w:hint="eastAsia" w:ascii="方正黑体_GBK" w:hAnsi="方正黑体_GBK" w:eastAsia="方正黑体_GBK" w:cs="方正黑体_GBK"/>
          <w:color w:val="000000"/>
          <w:sz w:val="28"/>
          <w:szCs w:val="28"/>
        </w:rPr>
        <w:t>定标</w:t>
      </w:r>
      <w:bookmarkEnd w:id="134"/>
    </w:p>
    <w:p w14:paraId="2DC1710A">
      <w:pPr>
        <w:spacing w:line="400" w:lineRule="exact"/>
        <w:ind w:firstLine="560"/>
        <w:rPr>
          <w:rFonts w:hint="eastAsia" w:ascii="方正仿宋_GBK" w:hAnsi="方正仿宋_GBK" w:eastAsia="方正仿宋_GBK" w:cs="方正仿宋_GBK"/>
          <w:sz w:val="28"/>
          <w:szCs w:val="28"/>
        </w:rPr>
      </w:pPr>
      <w:bookmarkStart w:id="135" w:name="_Toc513029238"/>
      <w:bookmarkStart w:id="136" w:name="_Toc16938554"/>
      <w:bookmarkStart w:id="137" w:name="_Toc20823310"/>
      <w:r>
        <w:rPr>
          <w:rFonts w:hint="eastAsia" w:ascii="方正仿宋_GBK" w:hAnsi="方正仿宋_GBK" w:eastAsia="方正仿宋_GBK" w:cs="方正仿宋_GBK"/>
          <w:sz w:val="28"/>
          <w:szCs w:val="28"/>
        </w:rPr>
        <w:t>26</w:t>
      </w:r>
      <w:bookmarkEnd w:id="135"/>
      <w:r>
        <w:rPr>
          <w:rFonts w:hint="eastAsia" w:ascii="方正仿宋_GBK" w:hAnsi="方正仿宋_GBK" w:eastAsia="方正仿宋_GBK" w:cs="方正仿宋_GBK"/>
          <w:sz w:val="28"/>
          <w:szCs w:val="28"/>
        </w:rPr>
        <w:t>.确定</w:t>
      </w:r>
      <w:bookmarkEnd w:id="136"/>
      <w:bookmarkEnd w:id="137"/>
      <w:r>
        <w:rPr>
          <w:rFonts w:hint="eastAsia" w:ascii="方正仿宋_GBK" w:hAnsi="方正仿宋_GBK" w:eastAsia="方正仿宋_GBK" w:cs="方正仿宋_GBK"/>
          <w:sz w:val="28"/>
          <w:szCs w:val="28"/>
        </w:rPr>
        <w:t>中标单位</w:t>
      </w:r>
    </w:p>
    <w:p w14:paraId="711A4FD7">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p>
    <w:p w14:paraId="1975E8B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26.2采购人应根据评标委员会推荐的中标候选人确定中标供应商。</w:t>
      </w:r>
    </w:p>
    <w:p w14:paraId="5B6C6BE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26.3 采购代理将在“江苏政府采购网”发布中标公告，公告期限为1个工作日。</w:t>
      </w:r>
    </w:p>
    <w:p w14:paraId="697426BA">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26.4 若有充分证据证明，中标供应商出现下列情况之一的，一经查实，将被取消中标资格：</w:t>
      </w:r>
    </w:p>
    <w:p w14:paraId="27FE950C">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26.4.1提供虚假材料谋取中标的。</w:t>
      </w:r>
    </w:p>
    <w:p w14:paraId="6CA8C147">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26.4.2向采购人、采购代理行贿或者提供其他不正当利益的。</w:t>
      </w:r>
    </w:p>
    <w:p w14:paraId="210BAB6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26.4.3属于本文件规定的无效条件，但在评标过程中又未被评标委员会发现的。</w:t>
      </w:r>
    </w:p>
    <w:p w14:paraId="57BBEDA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26.4.4与采购人或者其他供应商恶意串通的。</w:t>
      </w:r>
    </w:p>
    <w:p w14:paraId="5F981772">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26.4.5采取不正当手段诋毁、排挤其他供应商的。</w:t>
      </w:r>
    </w:p>
    <w:p w14:paraId="68C86813">
      <w:pPr>
        <w:spacing w:line="400" w:lineRule="exact"/>
        <w:ind w:firstLine="560"/>
        <w:rPr>
          <w:rFonts w:hint="eastAsia" w:ascii="方正仿宋_GBK" w:hAnsi="方正仿宋_GBK" w:eastAsia="方正仿宋_GBK" w:cs="方正仿宋_GBK"/>
          <w:sz w:val="28"/>
          <w:szCs w:val="28"/>
        </w:rPr>
      </w:pPr>
      <w:bookmarkStart w:id="138" w:name="_Toc200451960"/>
      <w:r>
        <w:rPr>
          <w:rFonts w:hint="eastAsia" w:ascii="方正仿宋_GBK" w:hAnsi="方正仿宋_GBK" w:eastAsia="方正仿宋_GBK" w:cs="方正仿宋_GBK"/>
          <w:sz w:val="28"/>
          <w:szCs w:val="28"/>
        </w:rPr>
        <w:t>26.5有下列情形之一的，视为投标人串通投标，投标无效：</w:t>
      </w:r>
    </w:p>
    <w:p w14:paraId="6B4D7DD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26.5.1不同投标人的投标文件由同一单位或者个人编制。</w:t>
      </w:r>
    </w:p>
    <w:p w14:paraId="16E0776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26.5.2不同投标人委托同一单位或者个人办理投标事宜。</w:t>
      </w:r>
    </w:p>
    <w:p w14:paraId="3C5127A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26.5.3 不同投标人的投标文件载明的项目管理成员或者联系人员为同一人。</w:t>
      </w:r>
    </w:p>
    <w:p w14:paraId="106AC98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26.5.4不同投标人的投标文件异常一致或者投标报价呈规律性差异。</w:t>
      </w:r>
    </w:p>
    <w:p w14:paraId="6BC0DDD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27.质疑处理</w:t>
      </w:r>
      <w:bookmarkEnd w:id="138"/>
    </w:p>
    <w:p w14:paraId="610B264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27.1提出质疑的供应商应当是参与所质疑项目采购活动的供应商。潜在供应商依法获取其可质疑的采购文件的，可以对采购文件提出质疑。</w:t>
      </w:r>
    </w:p>
    <w:p w14:paraId="03C80282">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27.2供应商认为采购文件、采购过程和采购结果使自己的权益受到损害的，可以在知道或应知其权益受到损害之日起七个工作日内，以书面形式根据下述27.4条款的规定向采购代理或采购人提出质疑。上述应知其权益受到损害之日，是指：</w:t>
      </w:r>
    </w:p>
    <w:p w14:paraId="2B14D5BF">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27.2.1对可以质疑的采购文件提出质疑的，为收到采购文件之日或者采购文件公告期限届满之日；</w:t>
      </w:r>
    </w:p>
    <w:p w14:paraId="5958D3C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27.2.2对采购过程提出质疑的，为各采购程序环节结束之日；</w:t>
      </w:r>
    </w:p>
    <w:p w14:paraId="3FC17FDD">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27.2.3对中标或者成交结果提出质疑的，为中标或者成交结果公告期限届满之日。</w:t>
      </w:r>
    </w:p>
    <w:p w14:paraId="7D5323D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供应商应当在法定质疑期内一次性提出针对同一采购程序环节的质疑。供应商如在法定期限内对同一采购程序环节提出多次质疑的，采购代理、采购人将只对供应商第一次质疑作出答复。</w:t>
      </w:r>
    </w:p>
    <w:p w14:paraId="7991DD4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27.3质疑函必须按照本招标文件中《质疑函范本》要求的格式和内容进行填写。供应商如组成联合体参加投标，则《质疑函范本》中要求签字、盖章、加盖公章之处，联合体各方均须按要求签字、盖章、加盖公章。</w:t>
      </w:r>
    </w:p>
    <w:p w14:paraId="6BE37477">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27.4供应商（含潜在供应商）对采购方式、招标文件中采购需求、供应商资格条件、评标方法与评标标准、合同文本及资格审查结果的询问、质疑请向采购人提出，由采购人负责答复。供应商对其他事项的询问、质疑请向采购代理提出，由采购代理负责答复。</w:t>
      </w:r>
    </w:p>
    <w:p w14:paraId="0FF7DA9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采购人及采购代理只接收以纸质原件形式送达的质疑。</w:t>
      </w:r>
    </w:p>
    <w:p w14:paraId="32889E5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采购人质疑接收人及联系方式见招标文件第一章。</w:t>
      </w:r>
    </w:p>
    <w:p w14:paraId="3E2FCCF2">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27.5 以下情形的质疑不予受理</w:t>
      </w:r>
    </w:p>
    <w:p w14:paraId="4AD6291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27.5.1 内容不符合《政府采购质疑和投诉办法》第十二条规定的质疑。</w:t>
      </w:r>
    </w:p>
    <w:p w14:paraId="14F44F8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27.5.2 超出政府采购法定期限的质疑。</w:t>
      </w:r>
    </w:p>
    <w:p w14:paraId="7B9A8EA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27.5.3 以传真、电子邮件等方式递交的非原件形式的质疑。</w:t>
      </w:r>
    </w:p>
    <w:p w14:paraId="7360975A">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27.5.4 未参加投标活动的供应商或在投标活动中自身权益未受到损害的供应商所提出的质疑。</w:t>
      </w:r>
    </w:p>
    <w:p w14:paraId="5B9B587F">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27.6  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p>
    <w:p w14:paraId="719EE344">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28.中标通知书</w:t>
      </w:r>
    </w:p>
    <w:p w14:paraId="77818D74">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28.l 中标结果确定后，采购代理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401C8EC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28.2中标通知书将是合同的一个组成部分。对采购人和中标供应商均具有法律效力。中标通知书发出后，采购人改变中标结果的，或者中标供应商放弃中标项目的，应当依法承担法律责任。</w:t>
      </w:r>
    </w:p>
    <w:p w14:paraId="229D6672">
      <w:pPr>
        <w:keepNext/>
        <w:spacing w:line="400" w:lineRule="exact"/>
        <w:ind w:firstLine="560"/>
        <w:jc w:val="left"/>
        <w:outlineLvl w:val="0"/>
        <w:rPr>
          <w:rFonts w:hint="eastAsia" w:ascii="方正黑体_GBK" w:hAnsi="方正黑体_GBK" w:eastAsia="方正黑体_GBK" w:cs="方正黑体_GBK"/>
          <w:color w:val="000000"/>
          <w:sz w:val="28"/>
          <w:szCs w:val="28"/>
        </w:rPr>
      </w:pPr>
      <w:bookmarkStart w:id="139" w:name="_Toc120614220"/>
      <w:bookmarkStart w:id="140" w:name="_Toc513029236"/>
      <w:bookmarkStart w:id="141" w:name="_Toc16938552"/>
      <w:bookmarkStart w:id="142" w:name="_Toc20823308"/>
      <w:r>
        <w:rPr>
          <w:rFonts w:hint="eastAsia" w:ascii="方正黑体_GBK" w:hAnsi="方正黑体_GBK" w:eastAsia="方正黑体_GBK" w:cs="方正黑体_GBK"/>
          <w:color w:val="000000"/>
          <w:sz w:val="28"/>
          <w:szCs w:val="28"/>
        </w:rPr>
        <w:t>七、授予合同</w:t>
      </w:r>
      <w:bookmarkEnd w:id="139"/>
    </w:p>
    <w:bookmarkEnd w:id="140"/>
    <w:bookmarkEnd w:id="141"/>
    <w:bookmarkEnd w:id="142"/>
    <w:p w14:paraId="0B6FDF36">
      <w:pPr>
        <w:spacing w:line="400" w:lineRule="exact"/>
        <w:ind w:firstLine="560"/>
        <w:rPr>
          <w:rFonts w:hint="eastAsia" w:ascii="方正仿宋_GBK" w:hAnsi="方正仿宋_GBK" w:eastAsia="方正仿宋_GBK" w:cs="方正仿宋_GBK"/>
          <w:sz w:val="28"/>
          <w:szCs w:val="28"/>
        </w:rPr>
      </w:pPr>
      <w:bookmarkStart w:id="143" w:name="_Toc20823309"/>
      <w:bookmarkStart w:id="144" w:name="_Toc513029237"/>
      <w:bookmarkStart w:id="145" w:name="_Toc16938553"/>
      <w:r>
        <w:rPr>
          <w:rFonts w:hint="eastAsia" w:ascii="方正仿宋_GBK" w:hAnsi="方正仿宋_GBK" w:eastAsia="方正仿宋_GBK" w:cs="方正仿宋_GBK"/>
          <w:sz w:val="28"/>
          <w:szCs w:val="28"/>
        </w:rPr>
        <w:t>29.签订合同</w:t>
      </w:r>
    </w:p>
    <w:p w14:paraId="5DD2CC2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29.l中标供应商应当在中标通知书发出之日起三十日内，按照招标文件确定的事项与采购人签订政府采购合同。</w:t>
      </w:r>
    </w:p>
    <w:p w14:paraId="7AEE83C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29.2 招标文件、中标供应商的投标文件及招标过程中有关澄清、承诺文件均应作为合同附件。</w:t>
      </w:r>
    </w:p>
    <w:p w14:paraId="2B41549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14:paraId="0455DCE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30.服务（包含与服务相关的货物）的追加</w:t>
      </w:r>
    </w:p>
    <w:p w14:paraId="6D07389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30.1政府采购合同履行中，采购人需追加与合同标的相同的服务（包含与服务相关的货物），在不改变合同其他条款的前提下，可以与中标供应商协商签订补充合同，但所有补充合同的采购金额不超过原合同金额10%。</w:t>
      </w:r>
    </w:p>
    <w:bookmarkEnd w:id="143"/>
    <w:bookmarkEnd w:id="144"/>
    <w:bookmarkEnd w:id="145"/>
    <w:p w14:paraId="4911FF8C">
      <w:pPr>
        <w:spacing w:line="400" w:lineRule="exact"/>
        <w:ind w:firstLine="560"/>
        <w:rPr>
          <w:rFonts w:hint="eastAsia" w:ascii="方正仿宋_GBK" w:hAnsi="方正仿宋_GBK" w:eastAsia="方正仿宋_GBK" w:cs="方正仿宋_GBK"/>
          <w:sz w:val="28"/>
          <w:szCs w:val="28"/>
        </w:rPr>
      </w:pPr>
      <w:bookmarkStart w:id="146" w:name="_Toc20823314"/>
      <w:bookmarkStart w:id="147" w:name="_Toc16938558"/>
      <w:bookmarkStart w:id="148" w:name="_Toc479757207"/>
      <w:bookmarkStart w:id="149" w:name="_Toc513029242"/>
      <w:bookmarkStart w:id="150" w:name="_Toc120614221"/>
      <w:r>
        <w:rPr>
          <w:rFonts w:hint="eastAsia" w:ascii="方正仿宋_GBK" w:hAnsi="方正仿宋_GBK" w:eastAsia="方正仿宋_GBK" w:cs="方正仿宋_GBK"/>
          <w:sz w:val="28"/>
          <w:szCs w:val="28"/>
        </w:rPr>
        <w:t>31.政府采购履约资金扶持政策</w:t>
      </w:r>
    </w:p>
    <w:p w14:paraId="528574DA">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中标供应商可凭政府采购合同办理融资贷款，详情请见江苏政府采购网“政采贷”专栏。</w:t>
      </w:r>
    </w:p>
    <w:p w14:paraId="64E0A49D">
      <w:pPr>
        <w:pStyle w:val="188"/>
        <w:spacing w:line="400" w:lineRule="exact"/>
        <w:ind w:firstLine="0"/>
        <w:rPr>
          <w:rFonts w:hint="eastAsia" w:ascii="宋体" w:hAnsi="宋体"/>
          <w:bCs/>
          <w:sz w:val="24"/>
        </w:rPr>
      </w:pPr>
    </w:p>
    <w:p w14:paraId="1917F793">
      <w:pPr>
        <w:pStyle w:val="188"/>
        <w:spacing w:line="400" w:lineRule="exact"/>
        <w:ind w:firstLine="0"/>
        <w:rPr>
          <w:rFonts w:hint="eastAsia" w:ascii="宋体" w:hAnsi="宋体"/>
          <w:bCs/>
          <w:sz w:val="24"/>
        </w:rPr>
      </w:pPr>
    </w:p>
    <w:p w14:paraId="47818264">
      <w:pPr>
        <w:spacing w:line="400" w:lineRule="exact"/>
        <w:ind w:right="839"/>
        <w:jc w:val="center"/>
        <w:rPr>
          <w:rFonts w:hint="eastAsia" w:ascii="方正黑体_GBK" w:hAnsi="方正黑体_GBK" w:eastAsia="方正黑体_GBK" w:cs="方正黑体_GBK"/>
          <w:color w:val="000000"/>
          <w:sz w:val="28"/>
          <w:szCs w:val="28"/>
        </w:rPr>
      </w:pPr>
    </w:p>
    <w:p w14:paraId="4E7414D0">
      <w:pPr>
        <w:spacing w:line="400" w:lineRule="exact"/>
        <w:ind w:right="839"/>
        <w:jc w:val="center"/>
        <w:rPr>
          <w:rFonts w:hint="eastAsia" w:ascii="方正黑体_GBK" w:hAnsi="方正黑体_GBK" w:eastAsia="方正黑体_GBK" w:cs="方正黑体_GBK"/>
          <w:color w:val="000000"/>
          <w:sz w:val="28"/>
          <w:szCs w:val="28"/>
        </w:rPr>
      </w:pPr>
    </w:p>
    <w:p w14:paraId="564F4B46">
      <w:pPr>
        <w:spacing w:line="400" w:lineRule="exact"/>
        <w:ind w:right="839"/>
        <w:jc w:val="center"/>
        <w:rPr>
          <w:rFonts w:hint="eastAsia" w:ascii="方正黑体_GBK" w:hAnsi="方正黑体_GBK" w:eastAsia="方正黑体_GBK" w:cs="方正黑体_GBK"/>
          <w:color w:val="000000"/>
          <w:sz w:val="28"/>
          <w:szCs w:val="28"/>
        </w:rPr>
      </w:pPr>
    </w:p>
    <w:p w14:paraId="3B07A2DB">
      <w:pPr>
        <w:spacing w:line="400" w:lineRule="exact"/>
        <w:ind w:right="839"/>
        <w:jc w:val="center"/>
        <w:rPr>
          <w:rFonts w:hint="eastAsia" w:ascii="方正黑体_GBK" w:hAnsi="方正黑体_GBK" w:eastAsia="方正黑体_GBK" w:cs="方正黑体_GBK"/>
          <w:color w:val="000000"/>
          <w:sz w:val="28"/>
          <w:szCs w:val="28"/>
        </w:rPr>
      </w:pPr>
    </w:p>
    <w:p w14:paraId="2EFF9103">
      <w:pPr>
        <w:spacing w:line="400" w:lineRule="exact"/>
        <w:ind w:right="839"/>
        <w:jc w:val="center"/>
        <w:rPr>
          <w:rFonts w:hint="eastAsia" w:ascii="方正黑体_GBK" w:hAnsi="方正黑体_GBK" w:eastAsia="方正黑体_GBK" w:cs="方正黑体_GBK"/>
          <w:color w:val="000000"/>
          <w:sz w:val="28"/>
          <w:szCs w:val="28"/>
        </w:rPr>
      </w:pPr>
    </w:p>
    <w:p w14:paraId="1D6AF7AF">
      <w:pPr>
        <w:spacing w:line="400" w:lineRule="exact"/>
        <w:ind w:right="839"/>
        <w:jc w:val="center"/>
        <w:rPr>
          <w:rFonts w:hint="eastAsia" w:ascii="方正黑体_GBK" w:hAnsi="方正黑体_GBK" w:eastAsia="方正黑体_GBK" w:cs="方正黑体_GBK"/>
          <w:color w:val="000000"/>
          <w:sz w:val="28"/>
          <w:szCs w:val="28"/>
        </w:rPr>
      </w:pPr>
    </w:p>
    <w:p w14:paraId="0EF49F00">
      <w:pPr>
        <w:keepNext/>
        <w:spacing w:line="400" w:lineRule="exact"/>
        <w:jc w:val="center"/>
        <w:outlineLvl w:val="0"/>
        <w:rPr>
          <w:rFonts w:hint="eastAsia" w:ascii="方正黑体_GBK" w:hAnsi="方正黑体_GBK" w:eastAsia="方正黑体_GBK" w:cs="方正黑体_GBK"/>
          <w:color w:val="000000"/>
          <w:sz w:val="28"/>
          <w:szCs w:val="28"/>
        </w:rPr>
        <w:sectPr>
          <w:footerReference r:id="rId3" w:type="default"/>
          <w:endnotePr>
            <w:numFmt w:val="decimal"/>
          </w:endnotePr>
          <w:pgSz w:w="11905" w:h="16838"/>
          <w:pgMar w:top="1440" w:right="1800" w:bottom="1440" w:left="1800" w:header="680" w:footer="850" w:gutter="0"/>
          <w:cols w:space="720" w:num="1"/>
          <w:docGrid w:linePitch="360" w:charSpace="0"/>
        </w:sectPr>
      </w:pPr>
    </w:p>
    <w:p w14:paraId="1BA91606">
      <w:pPr>
        <w:keepNext/>
        <w:spacing w:line="400" w:lineRule="exact"/>
        <w:jc w:val="center"/>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第三章  合同</w:t>
      </w:r>
      <w:bookmarkEnd w:id="146"/>
      <w:bookmarkEnd w:id="147"/>
      <w:bookmarkEnd w:id="148"/>
      <w:bookmarkEnd w:id="149"/>
      <w:bookmarkEnd w:id="150"/>
      <w:r>
        <w:rPr>
          <w:rFonts w:hint="eastAsia" w:ascii="方正黑体_GBK" w:hAnsi="方正黑体_GBK" w:eastAsia="方正黑体_GBK" w:cs="方正黑体_GBK"/>
          <w:color w:val="000000"/>
          <w:sz w:val="28"/>
          <w:szCs w:val="28"/>
        </w:rPr>
        <w:t>文本</w:t>
      </w:r>
      <w:bookmarkStart w:id="151" w:name="_Toc20823315"/>
      <w:bookmarkStart w:id="152" w:name="_Toc513029243"/>
      <w:bookmarkStart w:id="153" w:name="_Toc16938559"/>
    </w:p>
    <w:bookmarkEnd w:id="151"/>
    <w:bookmarkEnd w:id="152"/>
    <w:bookmarkEnd w:id="153"/>
    <w:p w14:paraId="40BEA72A">
      <w:pPr>
        <w:pStyle w:val="299"/>
        <w:ind w:left="1260" w:firstLine="48"/>
        <w:jc w:val="center"/>
        <w:rPr>
          <w:rFonts w:hint="eastAsia" w:hAnsi="仿宋" w:eastAsia="仿宋"/>
          <w:b/>
          <w:sz w:val="28"/>
          <w:szCs w:val="28"/>
        </w:rPr>
      </w:pPr>
      <w:bookmarkStart w:id="154" w:name="_Hlt16619350"/>
      <w:bookmarkStart w:id="155" w:name="_Toc120614244"/>
      <w:bookmarkStart w:id="156" w:name="_Toc20823346"/>
      <w:bookmarkStart w:id="157" w:name="_Toc16938590"/>
      <w:bookmarkStart w:id="158" w:name="_Toc462564139"/>
      <w:bookmarkStart w:id="159" w:name="_Toc479757211"/>
      <w:r>
        <w:rPr>
          <w:rFonts w:hint="eastAsia" w:hAnsi="仿宋" w:eastAsia="仿宋"/>
          <w:b/>
          <w:sz w:val="28"/>
          <w:szCs w:val="28"/>
        </w:rPr>
        <w:t>（此合同仅作范本，以最终签订的合同为准）</w:t>
      </w:r>
    </w:p>
    <w:p w14:paraId="6D1FDEEE">
      <w:pPr>
        <w:widowControl/>
        <w:jc w:val="center"/>
        <w:rPr>
          <w:rFonts w:hint="eastAsia" w:ascii="仿宋" w:hAnsi="仿宋" w:eastAsia="仿宋" w:cs="仿宋"/>
          <w:b/>
          <w:bCs/>
          <w:color w:val="000000" w:themeColor="text1"/>
          <w:sz w:val="72"/>
          <w:szCs w:val="44"/>
          <w14:textFill>
            <w14:solidFill>
              <w14:schemeClr w14:val="tx1"/>
            </w14:solidFill>
          </w14:textFill>
        </w:rPr>
      </w:pPr>
    </w:p>
    <w:p w14:paraId="7AB84725">
      <w:pPr>
        <w:adjustRightInd w:val="0"/>
        <w:snapToGrid w:val="0"/>
        <w:spacing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 xml:space="preserve">合同编号： </w:t>
      </w:r>
    </w:p>
    <w:p w14:paraId="0A8E4BDC">
      <w:pPr>
        <w:adjustRightInd w:val="0"/>
        <w:snapToGrid w:val="0"/>
        <w:spacing w:line="360" w:lineRule="auto"/>
        <w:rPr>
          <w:color w:val="000000" w:themeColor="text1"/>
          <w:sz w:val="24"/>
          <w14:textFill>
            <w14:solidFill>
              <w14:schemeClr w14:val="tx1"/>
            </w14:solidFill>
          </w14:textFill>
        </w:rPr>
      </w:pPr>
      <w:r>
        <w:rPr>
          <w:color w:val="000000" w:themeColor="text1"/>
          <w:sz w:val="24"/>
          <w:lang w:val="zh-CN"/>
          <w14:textFill>
            <w14:solidFill>
              <w14:schemeClr w14:val="tx1"/>
            </w14:solidFill>
          </w14:textFill>
        </w:rPr>
        <w:t>政府采购计划号：</w:t>
      </w:r>
      <w:r>
        <w:rPr>
          <w:color w:val="000000" w:themeColor="text1"/>
          <w:sz w:val="24"/>
          <w14:textFill>
            <w14:solidFill>
              <w14:schemeClr w14:val="tx1"/>
            </w14:solidFill>
          </w14:textFill>
        </w:rPr>
        <w:t xml:space="preserve"> </w:t>
      </w:r>
    </w:p>
    <w:tbl>
      <w:tblPr>
        <w:tblStyle w:val="31"/>
        <w:tblW w:w="0" w:type="auto"/>
        <w:tblInd w:w="-108" w:type="dxa"/>
        <w:tblLayout w:type="fixed"/>
        <w:tblCellMar>
          <w:top w:w="0" w:type="dxa"/>
          <w:left w:w="0" w:type="dxa"/>
          <w:bottom w:w="0" w:type="dxa"/>
          <w:right w:w="0" w:type="dxa"/>
        </w:tblCellMar>
      </w:tblPr>
      <w:tblGrid>
        <w:gridCol w:w="4643"/>
        <w:gridCol w:w="4643"/>
      </w:tblGrid>
      <w:tr w14:paraId="77FE2183">
        <w:tblPrEx>
          <w:tblCellMar>
            <w:top w:w="0" w:type="dxa"/>
            <w:left w:w="0" w:type="dxa"/>
            <w:bottom w:w="0" w:type="dxa"/>
            <w:right w:w="0" w:type="dxa"/>
          </w:tblCellMar>
        </w:tblPrEx>
        <w:tc>
          <w:tcPr>
            <w:tcW w:w="4643" w:type="dxa"/>
          </w:tcPr>
          <w:p w14:paraId="1000DC50">
            <w:pPr>
              <w:autoSpaceDE w:val="0"/>
              <w:autoSpaceDN w:val="0"/>
              <w:adjustRightInd w:val="0"/>
              <w:snapToGrid w:val="0"/>
              <w:spacing w:line="360" w:lineRule="auto"/>
              <w:ind w:left="2400" w:hanging="2400" w:hangingChars="100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采购人（以下称甲方）：</w:t>
            </w:r>
          </w:p>
        </w:tc>
        <w:tc>
          <w:tcPr>
            <w:tcW w:w="4643" w:type="dxa"/>
          </w:tcPr>
          <w:p w14:paraId="0C10B50B">
            <w:pPr>
              <w:autoSpaceDE w:val="0"/>
              <w:autoSpaceDN w:val="0"/>
              <w:adjustRightInd w:val="0"/>
              <w:snapToGrid w:val="0"/>
              <w:spacing w:line="360" w:lineRule="auto"/>
              <w:ind w:firstLine="720" w:firstLineChars="30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供应商：（以下称乙方）</w:t>
            </w:r>
          </w:p>
        </w:tc>
      </w:tr>
      <w:tr w14:paraId="6692BB19">
        <w:tblPrEx>
          <w:tblCellMar>
            <w:top w:w="0" w:type="dxa"/>
            <w:left w:w="0" w:type="dxa"/>
            <w:bottom w:w="0" w:type="dxa"/>
            <w:right w:w="0" w:type="dxa"/>
          </w:tblCellMar>
        </w:tblPrEx>
        <w:tc>
          <w:tcPr>
            <w:tcW w:w="4643" w:type="dxa"/>
          </w:tcPr>
          <w:p w14:paraId="6B589978">
            <w:pPr>
              <w:autoSpaceDE w:val="0"/>
              <w:autoSpaceDN w:val="0"/>
              <w:adjustRightInd w:val="0"/>
              <w:snapToGrid w:val="0"/>
              <w:spacing w:line="360" w:lineRule="auto"/>
              <w:rPr>
                <w:color w:val="000000" w:themeColor="text1"/>
                <w:sz w:val="24"/>
                <w14:textFill>
                  <w14:solidFill>
                    <w14:schemeClr w14:val="tx1"/>
                  </w14:solidFill>
                </w14:textFill>
              </w:rPr>
            </w:pPr>
            <w:r>
              <w:rPr>
                <w:color w:val="000000" w:themeColor="text1"/>
                <w:sz w:val="24"/>
                <w:lang w:val="zh-CN"/>
                <w14:textFill>
                  <w14:solidFill>
                    <w14:schemeClr w14:val="tx1"/>
                  </w14:solidFill>
                </w14:textFill>
              </w:rPr>
              <w:t>住所地：</w:t>
            </w:r>
            <w:r>
              <w:rPr>
                <w:color w:val="000000" w:themeColor="text1"/>
                <w:sz w:val="24"/>
                <w14:textFill>
                  <w14:solidFill>
                    <w14:schemeClr w14:val="tx1"/>
                  </w14:solidFill>
                </w14:textFill>
              </w:rPr>
              <w:t xml:space="preserve">   </w:t>
            </w:r>
          </w:p>
        </w:tc>
        <w:tc>
          <w:tcPr>
            <w:tcW w:w="4643" w:type="dxa"/>
          </w:tcPr>
          <w:p w14:paraId="41048C9A">
            <w:pPr>
              <w:autoSpaceDE w:val="0"/>
              <w:autoSpaceDN w:val="0"/>
              <w:adjustRightInd w:val="0"/>
              <w:snapToGrid w:val="0"/>
              <w:spacing w:line="360" w:lineRule="auto"/>
              <w:ind w:firstLine="720" w:firstLineChars="300"/>
              <w:rPr>
                <w:color w:val="000000" w:themeColor="text1"/>
                <w:sz w:val="24"/>
                <w14:textFill>
                  <w14:solidFill>
                    <w14:schemeClr w14:val="tx1"/>
                  </w14:solidFill>
                </w14:textFill>
              </w:rPr>
            </w:pPr>
            <w:r>
              <w:rPr>
                <w:color w:val="000000" w:themeColor="text1"/>
                <w:sz w:val="24"/>
                <w:lang w:val="zh-CN"/>
                <w14:textFill>
                  <w14:solidFill>
                    <w14:schemeClr w14:val="tx1"/>
                  </w14:solidFill>
                </w14:textFill>
              </w:rPr>
              <w:t>住所地：</w:t>
            </w:r>
          </w:p>
        </w:tc>
      </w:tr>
    </w:tbl>
    <w:p w14:paraId="26208F0B">
      <w:pPr>
        <w:autoSpaceDE w:val="0"/>
        <w:autoSpaceDN w:val="0"/>
        <w:adjustRightInd w:val="0"/>
        <w:snapToGrid w:val="0"/>
        <w:spacing w:line="360" w:lineRule="auto"/>
        <w:ind w:firstLine="480" w:firstLineChars="200"/>
        <w:rPr>
          <w:color w:val="000000" w:themeColor="text1"/>
          <w:sz w:val="24"/>
          <w14:textFill>
            <w14:solidFill>
              <w14:schemeClr w14:val="tx1"/>
            </w14:solidFill>
          </w14:textFill>
        </w:rPr>
      </w:pPr>
      <w:r>
        <w:rPr>
          <w:color w:val="000000" w:themeColor="text1"/>
          <w:sz w:val="24"/>
          <w:lang w:val="zh-CN"/>
          <w14:textFill>
            <w14:solidFill>
              <w14:schemeClr w14:val="tx1"/>
            </w14:solidFill>
          </w14:textFill>
        </w:rPr>
        <w:t>根据《中华人民共和国政府采购法》、《中华人民共和国</w:t>
      </w:r>
      <w:r>
        <w:rPr>
          <w:color w:val="000000" w:themeColor="text1"/>
          <w:sz w:val="24"/>
          <w14:textFill>
            <w14:solidFill>
              <w14:schemeClr w14:val="tx1"/>
            </w14:solidFill>
          </w14:textFill>
        </w:rPr>
        <w:t>民法典</w:t>
      </w:r>
      <w:r>
        <w:rPr>
          <w:color w:val="000000" w:themeColor="text1"/>
          <w:sz w:val="24"/>
          <w:lang w:val="zh-CN"/>
          <w14:textFill>
            <w14:solidFill>
              <w14:schemeClr w14:val="tx1"/>
            </w14:solidFill>
          </w14:textFill>
        </w:rPr>
        <w:t>》等法律法规的规定，甲乙双方按照本项目的招标结果签订本合同。</w:t>
      </w:r>
    </w:p>
    <w:p w14:paraId="4A1C4E1F">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第一条 合同标的</w:t>
      </w:r>
      <w:r>
        <w:rPr>
          <w:color w:val="000000" w:themeColor="text1"/>
          <w:sz w:val="24"/>
          <w:lang w:val="zh-CN"/>
          <w14:textFill>
            <w14:solidFill>
              <w14:schemeClr w14:val="tx1"/>
            </w14:solidFill>
          </w14:textFill>
        </w:rPr>
        <w:t xml:space="preserve">  乙方根据甲方需求提供下列服务：</w:t>
      </w:r>
      <w:r>
        <w:rPr>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，详见乙方投标文件。</w:t>
      </w:r>
    </w:p>
    <w:p w14:paraId="3AEDCCC9">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第二条 合同总价款</w:t>
      </w:r>
      <w:r>
        <w:rPr>
          <w:color w:val="000000" w:themeColor="text1"/>
          <w:sz w:val="24"/>
          <w:lang w:val="zh-CN"/>
          <w14:textFill>
            <w14:solidFill>
              <w14:schemeClr w14:val="tx1"/>
            </w14:solidFill>
          </w14:textFill>
        </w:rPr>
        <w:t xml:space="preserve">  本合同项下服务单价为___________（大写）人民币总价款为___________（大写）人民币，分项价款在“投标报价表”中有明确规定。</w:t>
      </w:r>
    </w:p>
    <w:p w14:paraId="4FD60679">
      <w:pPr>
        <w:adjustRightInd w:val="0"/>
        <w:snapToGrid w:val="0"/>
        <w:spacing w:line="360" w:lineRule="auto"/>
        <w:ind w:firstLine="480" w:firstLineChars="200"/>
        <w:rPr>
          <w:b/>
          <w:color w:val="000000" w:themeColor="text1"/>
          <w:sz w:val="24"/>
          <w14:textFill>
            <w14:solidFill>
              <w14:schemeClr w14:val="tx1"/>
            </w14:solidFill>
          </w14:textFill>
        </w:rPr>
      </w:pPr>
      <w:r>
        <w:rPr>
          <w:color w:val="000000" w:themeColor="text1"/>
          <w:sz w:val="24"/>
          <w:lang w:val="zh-CN"/>
          <w14:textFill>
            <w14:solidFill>
              <w14:schemeClr w14:val="tx1"/>
            </w14:solidFill>
          </w14:textFill>
        </w:rPr>
        <w:t>本合同总价款是完成本项目所发生的所有含税费用、支付给员工的工资和国家强制缴纳的各种社会保障资金</w:t>
      </w:r>
      <w:r>
        <w:rPr>
          <w:bCs/>
          <w:color w:val="000000" w:themeColor="text1"/>
          <w:sz w:val="24"/>
          <w14:textFill>
            <w14:solidFill>
              <w14:schemeClr w14:val="tx1"/>
            </w14:solidFill>
          </w14:textFill>
        </w:rPr>
        <w:t>，以</w:t>
      </w:r>
      <w:r>
        <w:rPr>
          <w:color w:val="000000" w:themeColor="text1"/>
          <w:sz w:val="24"/>
          <w14:textFill>
            <w14:solidFill>
              <w14:schemeClr w14:val="tx1"/>
            </w14:solidFill>
          </w14:textFill>
        </w:rPr>
        <w:t>及供应商认为需要的其他费用等</w:t>
      </w:r>
      <w:r>
        <w:rPr>
          <w:color w:val="000000" w:themeColor="text1"/>
          <w:sz w:val="24"/>
          <w:lang w:val="zh-CN"/>
          <w14:textFill>
            <w14:solidFill>
              <w14:schemeClr w14:val="tx1"/>
            </w14:solidFill>
          </w14:textFill>
        </w:rPr>
        <w:t>。</w:t>
      </w:r>
    </w:p>
    <w:p w14:paraId="60C3266C">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本合同执行期间合同总价款不变。</w:t>
      </w:r>
    </w:p>
    <w:p w14:paraId="39A5EE9A">
      <w:pPr>
        <w:autoSpaceDE w:val="0"/>
        <w:autoSpaceDN w:val="0"/>
        <w:adjustRightInd w:val="0"/>
        <w:snapToGrid w:val="0"/>
        <w:spacing w:line="360" w:lineRule="auto"/>
        <w:ind w:firstLine="472" w:firstLineChars="196"/>
        <w:rPr>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第三条 组成本合同的有关文件</w:t>
      </w:r>
      <w:r>
        <w:rPr>
          <w:color w:val="000000" w:themeColor="text1"/>
          <w:sz w:val="24"/>
          <w:lang w:val="zh-CN"/>
          <w14:textFill>
            <w14:solidFill>
              <w14:schemeClr w14:val="tx1"/>
            </w14:solidFill>
          </w14:textFill>
        </w:rPr>
        <w:t xml:space="preserve">  下列关于</w:t>
      </w:r>
      <w:r>
        <w:rPr>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号标的招投标文件或与本次采购活动方式相适应的文件及有关附件是本合同不可分割的组成部分，与本合同具有同等法律效力，这些文件包括但不限于：</w:t>
      </w:r>
    </w:p>
    <w:p w14:paraId="2DBF5CF8">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（1）乙方提供的投标文件和投标报价表；</w:t>
      </w:r>
    </w:p>
    <w:p w14:paraId="215E5376">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（2）技术规格响应表；</w:t>
      </w:r>
    </w:p>
    <w:p w14:paraId="3AB4A6A4">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（3）投标承诺/服务承诺；</w:t>
      </w:r>
    </w:p>
    <w:p w14:paraId="3F69B413">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（4）中标通知书；</w:t>
      </w:r>
    </w:p>
    <w:p w14:paraId="552E1637">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（5）甲乙双方商定的其他文件等。</w:t>
      </w:r>
    </w:p>
    <w:p w14:paraId="64172999">
      <w:pPr>
        <w:autoSpaceDE w:val="0"/>
        <w:autoSpaceDN w:val="0"/>
        <w:adjustRightInd w:val="0"/>
        <w:snapToGrid w:val="0"/>
        <w:spacing w:line="360" w:lineRule="auto"/>
        <w:ind w:firstLine="420"/>
        <w:rPr>
          <w:b/>
          <w:bCs/>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第四条 权利保证</w:t>
      </w:r>
    </w:p>
    <w:p w14:paraId="67A3C8D1">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乙方应保证甲方在使用该服务或其任何一部分时不受第三方提出侵犯其专利权、版权、商标权或其他权利的起诉。一旦出现侵权，乙方应承担全部责任。</w:t>
      </w:r>
    </w:p>
    <w:p w14:paraId="115BEBE5">
      <w:pPr>
        <w:autoSpaceDE w:val="0"/>
        <w:autoSpaceDN w:val="0"/>
        <w:adjustRightInd w:val="0"/>
        <w:snapToGrid w:val="0"/>
        <w:spacing w:line="360" w:lineRule="auto"/>
        <w:ind w:firstLine="420"/>
        <w:rPr>
          <w:b/>
          <w:bCs/>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第五条 质量保证</w:t>
      </w:r>
    </w:p>
    <w:p w14:paraId="0E756E3C">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乙方所提供的服务的技术规格应与招标文件规定的技术规格及所附的“技术条款偏离表”相一致；若技术性能无特殊说明，则按国家有关部门最新颁布的标准及规范为准。</w:t>
      </w:r>
    </w:p>
    <w:p w14:paraId="4A12B68F">
      <w:pPr>
        <w:autoSpaceDE w:val="0"/>
        <w:autoSpaceDN w:val="0"/>
        <w:adjustRightInd w:val="0"/>
        <w:snapToGrid w:val="0"/>
        <w:spacing w:line="360" w:lineRule="auto"/>
        <w:ind w:firstLine="420"/>
        <w:rPr>
          <w:b/>
          <w:bCs/>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第六条 交付和验收</w:t>
      </w:r>
    </w:p>
    <w:p w14:paraId="4AF25FB8">
      <w:pPr>
        <w:autoSpaceDE w:val="0"/>
        <w:autoSpaceDN w:val="0"/>
        <w:adjustRightInd w:val="0"/>
        <w:snapToGrid w:val="0"/>
        <w:spacing w:line="360" w:lineRule="auto"/>
        <w:ind w:firstLine="420"/>
        <w:rPr>
          <w:color w:val="000000" w:themeColor="text1"/>
          <w:sz w:val="24"/>
          <w:u w:val="single"/>
          <w:lang w:val="zh-CN"/>
          <w14:textFill>
            <w14:solidFill>
              <w14:schemeClr w14:val="tx1"/>
            </w14:solidFill>
          </w14:textFill>
        </w:rPr>
      </w:pPr>
      <w:r>
        <w:rPr>
          <w:color w:val="000000" w:themeColor="text1"/>
          <w:sz w:val="24"/>
          <w:lang w:val="zh-CN"/>
          <w14:textFill>
            <w14:solidFill>
              <w14:schemeClr w14:val="tx1"/>
            </w14:solidFill>
          </w14:textFill>
        </w:rPr>
        <w:t>1、乙方应当在</w:t>
      </w:r>
      <w:r>
        <w:rPr>
          <w:b/>
          <w:color w:val="000000" w:themeColor="text1"/>
          <w:sz w:val="24"/>
          <w:lang w:val="zh-CN"/>
          <w14:textFill>
            <w14:solidFill>
              <w14:schemeClr w14:val="tx1"/>
            </w14:solidFill>
          </w14:textFill>
        </w:rPr>
        <w:t>合同签订后</w:t>
      </w:r>
      <w:r>
        <w:rPr>
          <w:rFonts w:hint="eastAsia"/>
          <w:b/>
          <w:color w:val="000000" w:themeColor="text1"/>
          <w:sz w:val="24"/>
          <w14:textFill>
            <w14:solidFill>
              <w14:schemeClr w14:val="tx1"/>
            </w14:solidFill>
          </w14:textFill>
        </w:rPr>
        <w:t>365</w:t>
      </w:r>
      <w:r>
        <w:rPr>
          <w:b/>
          <w:color w:val="000000" w:themeColor="text1"/>
          <w:sz w:val="24"/>
          <w:lang w:val="zh-CN"/>
          <w14:textFill>
            <w14:solidFill>
              <w14:schemeClr w14:val="tx1"/>
            </w14:solidFill>
          </w14:textFill>
        </w:rPr>
        <w:t>天内</w:t>
      </w:r>
      <w:r>
        <w:rPr>
          <w:color w:val="000000" w:themeColor="text1"/>
          <w:sz w:val="24"/>
          <w:lang w:val="zh-CN"/>
          <w14:textFill>
            <w14:solidFill>
              <w14:schemeClr w14:val="tx1"/>
            </w14:solidFill>
          </w14:textFill>
        </w:rPr>
        <w:t>完成</w:t>
      </w:r>
      <w:r>
        <w:rPr>
          <w:rFonts w:hint="eastAsia"/>
          <w:color w:val="000000" w:themeColor="text1"/>
          <w:sz w:val="24"/>
          <w14:textFill>
            <w14:solidFill>
              <w14:schemeClr w14:val="tx1"/>
            </w14:solidFill>
          </w14:textFill>
        </w:rPr>
        <w:t>全部</w:t>
      </w:r>
      <w:r>
        <w:rPr>
          <w:color w:val="000000" w:themeColor="text1"/>
          <w:sz w:val="24"/>
          <w:lang w:val="zh-CN"/>
          <w14:textFill>
            <w14:solidFill>
              <w14:schemeClr w14:val="tx1"/>
            </w14:solidFill>
          </w14:textFill>
        </w:rPr>
        <w:t>服务事项</w:t>
      </w:r>
      <w:r>
        <w:rPr>
          <w:rFonts w:hint="eastAsia"/>
          <w:color w:val="000000" w:themeColor="text1"/>
          <w:sz w:val="24"/>
          <w:lang w:val="zh-CN"/>
          <w14:textFill>
            <w14:solidFill>
              <w14:schemeClr w14:val="tx1"/>
            </w14:solidFill>
          </w14:textFill>
        </w:rPr>
        <w:t>，</w:t>
      </w:r>
      <w:r>
        <w:rPr>
          <w:rFonts w:hint="eastAsia"/>
          <w:color w:val="000000" w:themeColor="text1"/>
          <w:sz w:val="24"/>
          <w14:textFill>
            <w14:solidFill>
              <w14:schemeClr w14:val="tx1"/>
            </w14:solidFill>
          </w14:textFill>
        </w:rPr>
        <w:t>每季度应提交一次阶段性工作成果</w:t>
      </w:r>
      <w:r>
        <w:rPr>
          <w:color w:val="000000" w:themeColor="text1"/>
          <w:sz w:val="24"/>
          <w:lang w:val="zh-CN"/>
          <w14:textFill>
            <w14:solidFill>
              <w14:schemeClr w14:val="tx1"/>
            </w14:solidFill>
          </w14:textFill>
        </w:rPr>
        <w:t>。</w:t>
      </w:r>
    </w:p>
    <w:p w14:paraId="4F4EF288">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2、验收标准：按行业通行标准和乙方投标文件的承诺（详见合同附件载明的标准，并不低于国家相关标准）。</w:t>
      </w:r>
    </w:p>
    <w:p w14:paraId="22BB1955">
      <w:pPr>
        <w:autoSpaceDE w:val="0"/>
        <w:autoSpaceDN w:val="0"/>
        <w:adjustRightInd w:val="0"/>
        <w:snapToGrid w:val="0"/>
        <w:spacing w:line="360" w:lineRule="auto"/>
        <w:ind w:firstLine="420"/>
        <w:rPr>
          <w:b/>
          <w:bCs/>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第七条 履约保证金</w:t>
      </w:r>
    </w:p>
    <w:p w14:paraId="7EC7A81E">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1、乙方在签订本合同时其投标保证金自动转为履约保证金（招标文件另有约定的从其约定）。</w:t>
      </w:r>
    </w:p>
    <w:p w14:paraId="4C8989B9">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2、履约保证金的有效期为该项目免费维护期满时止。</w:t>
      </w:r>
    </w:p>
    <w:p w14:paraId="53755DBD">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3、如乙方未能履行合同规定的义务，甲方有权从履约保证金中取得补偿。</w:t>
      </w:r>
    </w:p>
    <w:p w14:paraId="589A0C34">
      <w:pPr>
        <w:autoSpaceDE w:val="0"/>
        <w:autoSpaceDN w:val="0"/>
        <w:adjustRightInd w:val="0"/>
        <w:snapToGrid w:val="0"/>
        <w:spacing w:line="360" w:lineRule="auto"/>
        <w:ind w:firstLine="420"/>
        <w:rPr>
          <w:i/>
          <w:iCs/>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4、履约保证金扣除甲方应得的补偿后的余额在有效期满后七工作日内无息退还给乙方。</w:t>
      </w:r>
    </w:p>
    <w:p w14:paraId="28D2F9FD">
      <w:pPr>
        <w:autoSpaceDE w:val="0"/>
        <w:autoSpaceDN w:val="0"/>
        <w:adjustRightInd w:val="0"/>
        <w:snapToGrid w:val="0"/>
        <w:spacing w:line="360" w:lineRule="auto"/>
        <w:ind w:firstLine="420"/>
        <w:rPr>
          <w:b/>
          <w:bCs/>
          <w:i/>
          <w:iCs/>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第八条 合同款支付</w:t>
      </w:r>
    </w:p>
    <w:p w14:paraId="40CD233F">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1、本合同项下所有款项均以人民币支付。</w:t>
      </w:r>
    </w:p>
    <w:p w14:paraId="18CDF48B">
      <w:pPr>
        <w:autoSpaceDE w:val="0"/>
        <w:autoSpaceDN w:val="0"/>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2、本合同项下的采购资金由甲方自行支付，乙方向甲方开具发票。</w:t>
      </w:r>
    </w:p>
    <w:p w14:paraId="302B2501">
      <w:pPr>
        <w:autoSpaceDE w:val="0"/>
        <w:autoSpaceDN w:val="0"/>
        <w:adjustRightInd w:val="0"/>
        <w:snapToGrid w:val="0"/>
        <w:spacing w:line="360" w:lineRule="auto"/>
        <w:ind w:firstLine="420"/>
        <w:rPr>
          <w:b/>
          <w:color w:val="000000" w:themeColor="text1"/>
          <w:sz w:val="24"/>
          <w14:textFill>
            <w14:solidFill>
              <w14:schemeClr w14:val="tx1"/>
            </w14:solidFill>
          </w14:textFill>
        </w:rPr>
      </w:pPr>
      <w:r>
        <w:rPr>
          <w:b/>
          <w:color w:val="000000" w:themeColor="text1"/>
          <w:sz w:val="24"/>
          <w:lang w:val="zh-CN"/>
          <w14:textFill>
            <w14:solidFill>
              <w14:schemeClr w14:val="tx1"/>
            </w14:solidFill>
          </w14:textFill>
        </w:rPr>
        <w:t>3、付款条件：</w:t>
      </w:r>
      <w:r>
        <w:rPr>
          <w:b/>
          <w:color w:val="000000" w:themeColor="text1"/>
          <w:sz w:val="24"/>
          <w14:textFill>
            <w14:solidFill>
              <w14:schemeClr w14:val="tx1"/>
            </w14:solidFill>
          </w14:textFill>
        </w:rPr>
        <w:t>合同签订后，每季度待乙方完成合同约定的该季度工作报告后15个工作日内，甲方向乙方支付合同款的</w:t>
      </w:r>
      <w:r>
        <w:rPr>
          <w:rFonts w:hint="eastAsia"/>
          <w:b/>
          <w:color w:val="000000" w:themeColor="text1"/>
          <w:sz w:val="24"/>
          <w14:textFill>
            <w14:solidFill>
              <w14:schemeClr w14:val="tx1"/>
            </w14:solidFill>
          </w14:textFill>
        </w:rPr>
        <w:t>25</w:t>
      </w:r>
      <w:r>
        <w:rPr>
          <w:b/>
          <w:color w:val="000000" w:themeColor="text1"/>
          <w:sz w:val="24"/>
          <w14:textFill>
            <w14:solidFill>
              <w14:schemeClr w14:val="tx1"/>
            </w14:solidFill>
          </w14:textFill>
        </w:rPr>
        <w:t>%（¥</w:t>
      </w:r>
      <w:r>
        <w:rPr>
          <w:b/>
          <w:color w:val="000000" w:themeColor="text1"/>
          <w:sz w:val="24"/>
          <w:u w:val="single"/>
          <w14:textFill>
            <w14:solidFill>
              <w14:schemeClr w14:val="tx1"/>
            </w14:solidFill>
          </w14:textFill>
        </w:rPr>
        <w:t xml:space="preserve">      </w:t>
      </w:r>
      <w:r>
        <w:rPr>
          <w:b/>
          <w:color w:val="000000" w:themeColor="text1"/>
          <w:sz w:val="24"/>
          <w14:textFill>
            <w14:solidFill>
              <w14:schemeClr w14:val="tx1"/>
            </w14:solidFill>
          </w14:textFill>
        </w:rPr>
        <w:t>元，大写：</w:t>
      </w:r>
      <w:r>
        <w:rPr>
          <w:b/>
          <w:color w:val="000000" w:themeColor="text1"/>
          <w:sz w:val="24"/>
          <w:u w:val="single"/>
          <w14:textFill>
            <w14:solidFill>
              <w14:schemeClr w14:val="tx1"/>
            </w14:solidFill>
          </w14:textFill>
        </w:rPr>
        <w:t xml:space="preserve">     </w:t>
      </w:r>
      <w:r>
        <w:rPr>
          <w:rFonts w:hint="eastAsia"/>
          <w:b/>
          <w:color w:val="000000" w:themeColor="text1"/>
          <w:sz w:val="24"/>
          <w:u w:val="single"/>
          <w14:textFill>
            <w14:solidFill>
              <w14:schemeClr w14:val="tx1"/>
            </w14:solidFill>
          </w14:textFill>
        </w:rPr>
        <w:t xml:space="preserve">  </w:t>
      </w:r>
      <w:r>
        <w:rPr>
          <w:b/>
          <w:color w:val="000000" w:themeColor="text1"/>
          <w:sz w:val="24"/>
          <w:u w:val="single"/>
          <w14:textFill>
            <w14:solidFill>
              <w14:schemeClr w14:val="tx1"/>
            </w14:solidFill>
          </w14:textFill>
        </w:rPr>
        <w:t xml:space="preserve">  </w:t>
      </w:r>
      <w:r>
        <w:rPr>
          <w:b/>
          <w:color w:val="000000" w:themeColor="text1"/>
          <w:sz w:val="24"/>
          <w14:textFill>
            <w14:solidFill>
              <w14:schemeClr w14:val="tx1"/>
            </w14:solidFill>
          </w14:textFill>
        </w:rPr>
        <w:t>）；共4次付清。</w:t>
      </w:r>
    </w:p>
    <w:p w14:paraId="02376D29">
      <w:pPr>
        <w:autoSpaceDE w:val="0"/>
        <w:autoSpaceDN w:val="0"/>
        <w:adjustRightInd w:val="0"/>
        <w:snapToGrid w:val="0"/>
        <w:spacing w:line="360" w:lineRule="auto"/>
        <w:ind w:firstLine="420"/>
        <w:rPr>
          <w:b/>
          <w:bCs/>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第九条 违约责任</w:t>
      </w:r>
    </w:p>
    <w:p w14:paraId="2363708C">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１、甲方无正当理由拒收服务、拒付服务款的，由甲方向乙方偿付合同总价的5%违约金。</w:t>
      </w:r>
    </w:p>
    <w:p w14:paraId="38E17C9C">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２、甲方未按合同规定的期限向乙方支付货款的，每逾期1天甲方向乙方偿付欠款总额的5‰滞纳金，但累计滞纳金总额不超过欠款总额的5% 。</w:t>
      </w:r>
    </w:p>
    <w:p w14:paraId="3D763DAB">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３、如乙方不能交付服务的，甲方有权扣留全部履约保证金；同时乙方应向甲方支付合同总价5%的违约金。</w:t>
      </w:r>
    </w:p>
    <w:p w14:paraId="7C28B085">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４、乙方逾期交付的，每逾期1天，乙方向甲方偿付合同总额的5‰的滞纳金。如乙方逾期交付达10天，甲方有权解除合同，解除合同的通知自到达乙方时生效。</w:t>
      </w:r>
    </w:p>
    <w:p w14:paraId="4008D1A2">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５、乙方所交付的服务不符合合同规定的，甲方有权拒收。甲方拒收的，乙方应向甲方支付合同总款5%的违约金。甲方未拒收的，交易中心（或南京市政府采购社会代理机构）发现后将向有关部门反映，并责成乙方按照采购结果提供服务，同时视情给予不退还部分或全部履约保证金处理。</w:t>
      </w:r>
    </w:p>
    <w:p w14:paraId="2D5EFC4F">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６、在乙方承诺的或国家规定的质量保证期内（取两者中最长的期限），如经乙方两次整改仍不能达到合同约定的质量标准，乙方应退回全部合同价款，并按第3款处理，同时，乙方还须赔偿甲方因此遭受的损失。</w:t>
      </w:r>
    </w:p>
    <w:p w14:paraId="30022EFA">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7、乙方未按本合同的规定和“服务承诺”提供伴随服务/售后服务的，应按合同总价款的5 %向甲方承担违约责任。</w:t>
      </w:r>
    </w:p>
    <w:p w14:paraId="5ED10336">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8、乙方在承担上述4-7款一项或多项违约责任后，仍应继续履行合同规定的义务（甲方解除合同的除外）。甲方未能及时追究乙方的任何一项违约责任并不表明甲方放弃追究乙方该项或其他违约责任。</w:t>
      </w:r>
    </w:p>
    <w:p w14:paraId="13751905">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9、乙方投标属虚假承诺，或经权威部门检测提供的服务不能满足招标文件要求，或是由于乙方的过错造成合同无法继续履行的，乙方履约保证金不予退还外，还应向甲方支付不少于合同总价30%赔偿金。</w:t>
      </w:r>
    </w:p>
    <w:p w14:paraId="0E4D8599">
      <w:pPr>
        <w:adjustRightInd w:val="0"/>
        <w:snapToGrid w:val="0"/>
        <w:spacing w:line="360" w:lineRule="auto"/>
        <w:ind w:firstLine="420"/>
        <w:rPr>
          <w:b/>
          <w:bCs/>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第十条 合同的变更和终止</w:t>
      </w:r>
    </w:p>
    <w:p w14:paraId="4F0AFB93">
      <w:pPr>
        <w:adjustRightInd w:val="0"/>
        <w:snapToGrid w:val="0"/>
        <w:spacing w:line="360" w:lineRule="auto"/>
        <w:ind w:firstLine="480" w:firstLineChars="20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1、除《政府采购法》第50条第二款规定的情形外，本合同一经签订，甲乙双方不得擅自变更、中止或终止合同。</w:t>
      </w:r>
    </w:p>
    <w:p w14:paraId="73620AB2">
      <w:pPr>
        <w:adjustRightInd w:val="0"/>
        <w:snapToGrid w:val="0"/>
        <w:spacing w:line="360" w:lineRule="auto"/>
        <w:ind w:firstLine="480" w:firstLineChars="20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2、</w:t>
      </w:r>
      <w:r>
        <w:rPr>
          <w:color w:val="000000" w:themeColor="text1"/>
          <w:sz w:val="24"/>
          <w14:textFill>
            <w14:solidFill>
              <w14:schemeClr w14:val="tx1"/>
            </w14:solidFill>
          </w14:textFill>
        </w:rPr>
        <w:t>除发生法律规定的不能预见、不能避免并不能克服的客观情况外，甲乙双方不得放弃或拒绝履行合同。乙方放弃或拒绝履行合同，保证金不予退还。</w:t>
      </w:r>
    </w:p>
    <w:p w14:paraId="134135C5">
      <w:pPr>
        <w:adjustRightInd w:val="0"/>
        <w:snapToGrid w:val="0"/>
        <w:spacing w:line="360" w:lineRule="auto"/>
        <w:ind w:firstLine="420"/>
        <w:rPr>
          <w:b/>
          <w:bCs/>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第十一条 合同的转让</w:t>
      </w:r>
    </w:p>
    <w:p w14:paraId="47B877A5">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乙方不得擅自部分或全部转让其应履行的合同义务。</w:t>
      </w:r>
    </w:p>
    <w:p w14:paraId="0AD2CDCF">
      <w:pPr>
        <w:adjustRightInd w:val="0"/>
        <w:snapToGrid w:val="0"/>
        <w:spacing w:line="360" w:lineRule="auto"/>
        <w:ind w:firstLine="420"/>
        <w:rPr>
          <w:b/>
          <w:bCs/>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第十二条 争议的解决</w:t>
      </w:r>
    </w:p>
    <w:p w14:paraId="542E4202">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1、因服务的质量问题发生争议的，应当邀请国家认可的质量检测机构对服务质量进行鉴定。符合标准的，鉴定费由甲方承担；不符合质量标准的，鉴定费由乙方承担。</w:t>
      </w:r>
    </w:p>
    <w:p w14:paraId="0DA72F54">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2、因履行本合同引起的或与本合同有关的争议，甲、乙双方应首先通过友好协商解决，如果协商不能解决争议，则采取以下第（ ）种方式解决争议：</w:t>
      </w:r>
    </w:p>
    <w:p w14:paraId="61CF72DE">
      <w:pPr>
        <w:adjustRightInd w:val="0"/>
        <w:snapToGrid w:val="0"/>
        <w:spacing w:line="360" w:lineRule="auto"/>
        <w:ind w:firstLine="56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（1）向甲方所在地有管辖权的人民法院提起诉讼；</w:t>
      </w:r>
    </w:p>
    <w:p w14:paraId="6E76A82E">
      <w:pPr>
        <w:adjustRightInd w:val="0"/>
        <w:snapToGrid w:val="0"/>
        <w:spacing w:line="360" w:lineRule="auto"/>
        <w:ind w:firstLine="56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（2）向南京仲裁委员会按其仲裁规则申请仲裁。</w:t>
      </w:r>
    </w:p>
    <w:p w14:paraId="591EDE60">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如没有约定，默认采取第2种方式解决争议。</w:t>
      </w:r>
    </w:p>
    <w:p w14:paraId="1045F7D9">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3、在仲裁期间，本合同应继续履行。</w:t>
      </w:r>
    </w:p>
    <w:p w14:paraId="6741F3AE">
      <w:pPr>
        <w:adjustRightInd w:val="0"/>
        <w:snapToGrid w:val="0"/>
        <w:spacing w:line="360" w:lineRule="auto"/>
        <w:ind w:firstLine="420"/>
        <w:rPr>
          <w:b/>
          <w:bCs/>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 xml:space="preserve">第十三条 诚实信用 </w:t>
      </w:r>
    </w:p>
    <w:p w14:paraId="682E4EB9">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乙方应诚实信用，严格按照招标文件要求和投标承诺履行合同，不向甲方进行商业贿赂或者提供不正当利益。</w:t>
      </w:r>
    </w:p>
    <w:p w14:paraId="538EFA5B">
      <w:pPr>
        <w:adjustRightInd w:val="0"/>
        <w:snapToGrid w:val="0"/>
        <w:spacing w:line="360" w:lineRule="auto"/>
        <w:ind w:firstLine="420"/>
        <w:rPr>
          <w:b/>
          <w:bCs/>
          <w:color w:val="000000" w:themeColor="text1"/>
          <w:sz w:val="24"/>
          <w:lang w:val="zh-CN"/>
          <w14:textFill>
            <w14:solidFill>
              <w14:schemeClr w14:val="tx1"/>
            </w14:solidFill>
          </w14:textFill>
        </w:rPr>
      </w:pPr>
      <w:r>
        <w:rPr>
          <w:b/>
          <w:bCs/>
          <w:color w:val="000000" w:themeColor="text1"/>
          <w:sz w:val="24"/>
          <w:lang w:val="zh-CN"/>
          <w14:textFill>
            <w14:solidFill>
              <w14:schemeClr w14:val="tx1"/>
            </w14:solidFill>
          </w14:textFill>
        </w:rPr>
        <w:t>第十四条 合同生效及其他</w:t>
      </w:r>
    </w:p>
    <w:p w14:paraId="2F274529">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1、本合同自签订之日起生效。</w:t>
      </w:r>
    </w:p>
    <w:p w14:paraId="1094F00B">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2、本合同一式四份，甲乙双方各执一份，一份交公共资源交易中心（或南京市政府采购社会代理机构）存档，一份报送政府采购监督管理部门备案。</w:t>
      </w:r>
    </w:p>
    <w:p w14:paraId="3CC987AD">
      <w:pPr>
        <w:adjustRightInd w:val="0"/>
        <w:snapToGrid w:val="0"/>
        <w:spacing w:line="360" w:lineRule="auto"/>
        <w:ind w:firstLine="420"/>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3、本合同应按照中华人民共和国的现行法律进行解释。</w:t>
      </w:r>
    </w:p>
    <w:p w14:paraId="1A66BBBC">
      <w:pPr>
        <w:adjustRightInd w:val="0"/>
        <w:snapToGrid w:val="0"/>
        <w:spacing w:line="360" w:lineRule="auto"/>
        <w:rPr>
          <w:color w:val="000000" w:themeColor="text1"/>
          <w:sz w:val="24"/>
          <w:lang w:val="zh-CN"/>
          <w14:textFill>
            <w14:solidFill>
              <w14:schemeClr w14:val="tx1"/>
            </w14:solidFill>
          </w14:textFill>
        </w:rPr>
      </w:pPr>
    </w:p>
    <w:p w14:paraId="723CE480">
      <w:pPr>
        <w:pStyle w:val="305"/>
        <w:rPr>
          <w:rFonts w:ascii="Times New Roman" w:hAnsi="Times New Roman"/>
          <w:color w:val="000000" w:themeColor="text1"/>
          <w:sz w:val="24"/>
          <w:szCs w:val="24"/>
          <w:lang w:val="zh-CN"/>
          <w14:textFill>
            <w14:solidFill>
              <w14:schemeClr w14:val="tx1"/>
            </w14:solidFill>
          </w14:textFill>
        </w:rPr>
      </w:pPr>
    </w:p>
    <w:p w14:paraId="2516EE19">
      <w:pPr>
        <w:rPr>
          <w:color w:val="000000" w:themeColor="text1"/>
          <w:lang w:val="zh-CN"/>
          <w14:textFill>
            <w14:solidFill>
              <w14:schemeClr w14:val="tx1"/>
            </w14:solidFill>
          </w14:textFill>
        </w:rPr>
      </w:pPr>
    </w:p>
    <w:tbl>
      <w:tblPr>
        <w:tblStyle w:val="31"/>
        <w:tblW w:w="9286" w:type="dxa"/>
        <w:tblInd w:w="-108" w:type="dxa"/>
        <w:tblLayout w:type="fixed"/>
        <w:tblCellMar>
          <w:top w:w="0" w:type="dxa"/>
          <w:left w:w="0" w:type="dxa"/>
          <w:bottom w:w="0" w:type="dxa"/>
          <w:right w:w="0" w:type="dxa"/>
        </w:tblCellMar>
      </w:tblPr>
      <w:tblGrid>
        <w:gridCol w:w="4746"/>
        <w:gridCol w:w="4540"/>
      </w:tblGrid>
      <w:tr w14:paraId="291EC182">
        <w:tblPrEx>
          <w:tblCellMar>
            <w:top w:w="0" w:type="dxa"/>
            <w:left w:w="0" w:type="dxa"/>
            <w:bottom w:w="0" w:type="dxa"/>
            <w:right w:w="0" w:type="dxa"/>
          </w:tblCellMar>
        </w:tblPrEx>
        <w:trPr>
          <w:trHeight w:val="586" w:hRule="atLeast"/>
        </w:trPr>
        <w:tc>
          <w:tcPr>
            <w:tcW w:w="4746" w:type="dxa"/>
          </w:tcPr>
          <w:p w14:paraId="7BB908A0">
            <w:pPr>
              <w:adjustRightInd w:val="0"/>
              <w:snapToGrid w:val="0"/>
              <w:spacing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甲方：</w:t>
            </w:r>
            <w:r>
              <w:rPr>
                <w:rFonts w:hint="eastAsia"/>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（盖章）</w:t>
            </w:r>
          </w:p>
        </w:tc>
        <w:tc>
          <w:tcPr>
            <w:tcW w:w="4540" w:type="dxa"/>
          </w:tcPr>
          <w:p w14:paraId="048CD046">
            <w:pPr>
              <w:adjustRightInd w:val="0"/>
              <w:snapToGrid w:val="0"/>
              <w:spacing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乙方：</w:t>
            </w:r>
            <w:r>
              <w:rPr>
                <w:rFonts w:hint="eastAsia"/>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（盖章）</w:t>
            </w:r>
          </w:p>
        </w:tc>
      </w:tr>
      <w:tr w14:paraId="2416C1C1">
        <w:tblPrEx>
          <w:tblCellMar>
            <w:top w:w="0" w:type="dxa"/>
            <w:left w:w="0" w:type="dxa"/>
            <w:bottom w:w="0" w:type="dxa"/>
            <w:right w:w="0" w:type="dxa"/>
          </w:tblCellMar>
        </w:tblPrEx>
        <w:trPr>
          <w:trHeight w:val="566" w:hRule="atLeast"/>
        </w:trPr>
        <w:tc>
          <w:tcPr>
            <w:tcW w:w="4746" w:type="dxa"/>
          </w:tcPr>
          <w:p w14:paraId="1BF254EC">
            <w:pPr>
              <w:adjustRightInd w:val="0"/>
              <w:snapToGrid w:val="0"/>
              <w:spacing w:line="360" w:lineRule="auto"/>
              <w:rPr>
                <w:color w:val="000000" w:themeColor="text1"/>
                <w:sz w:val="24"/>
                <w14:textFill>
                  <w14:solidFill>
                    <w14:schemeClr w14:val="tx1"/>
                  </w14:solidFill>
                </w14:textFill>
              </w:rPr>
            </w:pPr>
            <w:r>
              <w:rPr>
                <w:rFonts w:hint="eastAsia"/>
                <w:color w:val="000000" w:themeColor="text1"/>
                <w:sz w:val="24"/>
                <w:lang w:val="zh-CN"/>
                <w14:textFill>
                  <w14:solidFill>
                    <w14:schemeClr w14:val="tx1"/>
                  </w14:solidFill>
                </w14:textFill>
              </w:rPr>
              <w:t>经办人</w:t>
            </w:r>
            <w:r>
              <w:rPr>
                <w:color w:val="000000" w:themeColor="text1"/>
                <w:sz w:val="24"/>
                <w:lang w:val="zh-CN"/>
                <w14:textFill>
                  <w14:solidFill>
                    <w14:schemeClr w14:val="tx1"/>
                  </w14:solidFill>
                </w14:textFill>
              </w:rPr>
              <w:t>：</w:t>
            </w:r>
            <w:r>
              <w:rPr>
                <w:rFonts w:hint="eastAsia"/>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w:t>
            </w:r>
            <w:r>
              <w:rPr>
                <w:rFonts w:hint="eastAsia"/>
                <w:color w:val="000000" w:themeColor="text1"/>
                <w:sz w:val="24"/>
                <w:lang w:val="zh-CN"/>
                <w14:textFill>
                  <w14:solidFill>
                    <w14:schemeClr w14:val="tx1"/>
                  </w14:solidFill>
                </w14:textFill>
              </w:rPr>
              <w:t>签名</w:t>
            </w:r>
            <w:r>
              <w:rPr>
                <w:color w:val="000000" w:themeColor="text1"/>
                <w:sz w:val="24"/>
                <w:lang w:val="zh-CN"/>
                <w14:textFill>
                  <w14:solidFill>
                    <w14:schemeClr w14:val="tx1"/>
                  </w14:solidFill>
                </w14:textFill>
              </w:rPr>
              <w:t>）</w:t>
            </w:r>
          </w:p>
        </w:tc>
        <w:tc>
          <w:tcPr>
            <w:tcW w:w="4540" w:type="dxa"/>
          </w:tcPr>
          <w:p w14:paraId="3AB09A28">
            <w:pPr>
              <w:adjustRightInd w:val="0"/>
              <w:snapToGrid w:val="0"/>
              <w:spacing w:line="360" w:lineRule="auto"/>
              <w:rPr>
                <w:color w:val="000000" w:themeColor="text1"/>
                <w:sz w:val="24"/>
                <w14:textFill>
                  <w14:solidFill>
                    <w14:schemeClr w14:val="tx1"/>
                  </w14:solidFill>
                </w14:textFill>
              </w:rPr>
            </w:pPr>
            <w:r>
              <w:rPr>
                <w:rFonts w:hint="eastAsia"/>
                <w:color w:val="000000" w:themeColor="text1"/>
                <w:sz w:val="24"/>
                <w:lang w:val="zh-CN"/>
                <w14:textFill>
                  <w14:solidFill>
                    <w14:schemeClr w14:val="tx1"/>
                  </w14:solidFill>
                </w14:textFill>
              </w:rPr>
              <w:t>项目负责人</w:t>
            </w:r>
            <w:r>
              <w:rPr>
                <w:color w:val="000000" w:themeColor="text1"/>
                <w:sz w:val="24"/>
                <w14:textFill>
                  <w14:solidFill>
                    <w14:schemeClr w14:val="tx1"/>
                  </w14:solidFill>
                </w14:textFill>
              </w:rPr>
              <w:t>：</w:t>
            </w:r>
            <w:r>
              <w:rPr>
                <w:rFonts w:hint="eastAsia"/>
                <w:color w:val="000000" w:themeColor="text1"/>
                <w:sz w:val="24"/>
                <w:u w:val="single"/>
                <w:lang w:val="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w:t>
            </w:r>
            <w:r>
              <w:rPr>
                <w:rFonts w:hint="eastAsia"/>
                <w:color w:val="000000" w:themeColor="text1"/>
                <w:sz w:val="24"/>
                <w:lang w:val="zh-CN"/>
                <w14:textFill>
                  <w14:solidFill>
                    <w14:schemeClr w14:val="tx1"/>
                  </w14:solidFill>
                </w14:textFill>
              </w:rPr>
              <w:t>签名</w:t>
            </w:r>
            <w:r>
              <w:rPr>
                <w:color w:val="000000" w:themeColor="text1"/>
                <w:sz w:val="24"/>
                <w:lang w:val="zh-CN"/>
                <w14:textFill>
                  <w14:solidFill>
                    <w14:schemeClr w14:val="tx1"/>
                  </w14:solidFill>
                </w14:textFill>
              </w:rPr>
              <w:t>）</w:t>
            </w:r>
          </w:p>
        </w:tc>
      </w:tr>
      <w:tr w14:paraId="1DBE6024">
        <w:tblPrEx>
          <w:tblCellMar>
            <w:top w:w="0" w:type="dxa"/>
            <w:left w:w="0" w:type="dxa"/>
            <w:bottom w:w="0" w:type="dxa"/>
            <w:right w:w="0" w:type="dxa"/>
          </w:tblCellMar>
        </w:tblPrEx>
        <w:trPr>
          <w:trHeight w:val="576" w:hRule="atLeast"/>
        </w:trPr>
        <w:tc>
          <w:tcPr>
            <w:tcW w:w="4746" w:type="dxa"/>
          </w:tcPr>
          <w:p w14:paraId="1813DF0F">
            <w:pPr>
              <w:adjustRightInd w:val="0"/>
              <w:snapToGrid w:val="0"/>
              <w:spacing w:line="360" w:lineRule="auto"/>
              <w:rPr>
                <w:color w:val="000000" w:themeColor="text1"/>
                <w:sz w:val="24"/>
                <w14:textFill>
                  <w14:solidFill>
                    <w14:schemeClr w14:val="tx1"/>
                  </w14:solidFill>
                </w14:textFill>
              </w:rPr>
            </w:pPr>
            <w:r>
              <w:rPr>
                <w:color w:val="000000" w:themeColor="text1"/>
                <w:sz w:val="24"/>
                <w:lang w:val="zh-CN"/>
                <w14:textFill>
                  <w14:solidFill>
                    <w14:schemeClr w14:val="tx1"/>
                  </w14:solidFill>
                </w14:textFill>
              </w:rPr>
              <w:t>电</w:t>
            </w:r>
            <w:r>
              <w:rPr>
                <w:color w:val="000000" w:themeColor="text1"/>
                <w:sz w:val="24"/>
                <w14:textFill>
                  <w14:solidFill>
                    <w14:schemeClr w14:val="tx1"/>
                  </w14:solidFill>
                </w14:textFill>
              </w:rPr>
              <w:t xml:space="preserve">  </w:t>
            </w:r>
            <w:r>
              <w:rPr>
                <w:color w:val="000000" w:themeColor="text1"/>
                <w:sz w:val="24"/>
                <w:lang w:val="zh-CN"/>
                <w14:textFill>
                  <w14:solidFill>
                    <w14:schemeClr w14:val="tx1"/>
                  </w14:solidFill>
                </w14:textFill>
              </w:rPr>
              <w:t>话：</w:t>
            </w:r>
            <w:r>
              <w:rPr>
                <w:rFonts w:hint="eastAsia"/>
                <w:color w:val="000000" w:themeColor="text1"/>
                <w:sz w:val="24"/>
                <w:u w:val="single"/>
                <w:lang w:val="zh-CN"/>
                <w14:textFill>
                  <w14:solidFill>
                    <w14:schemeClr w14:val="tx1"/>
                  </w14:solidFill>
                </w14:textFill>
              </w:rPr>
              <w:t xml:space="preserve">                     </w:t>
            </w:r>
          </w:p>
        </w:tc>
        <w:tc>
          <w:tcPr>
            <w:tcW w:w="4540" w:type="dxa"/>
          </w:tcPr>
          <w:p w14:paraId="4D610309">
            <w:pPr>
              <w:adjustRightInd w:val="0"/>
              <w:snapToGrid w:val="0"/>
              <w:spacing w:line="360" w:lineRule="auto"/>
              <w:rPr>
                <w:color w:val="000000" w:themeColor="text1"/>
                <w:sz w:val="24"/>
                <w14:textFill>
                  <w14:solidFill>
                    <w14:schemeClr w14:val="tx1"/>
                  </w14:solidFill>
                </w14:textFill>
              </w:rPr>
            </w:pPr>
            <w:r>
              <w:rPr>
                <w:color w:val="000000" w:themeColor="text1"/>
                <w:sz w:val="24"/>
                <w:lang w:val="zh-CN"/>
                <w14:textFill>
                  <w14:solidFill>
                    <w14:schemeClr w14:val="tx1"/>
                  </w14:solidFill>
                </w14:textFill>
              </w:rPr>
              <w:t>电</w:t>
            </w:r>
            <w:r>
              <w:rPr>
                <w:color w:val="000000" w:themeColor="text1"/>
                <w:sz w:val="24"/>
                <w14:textFill>
                  <w14:solidFill>
                    <w14:schemeClr w14:val="tx1"/>
                  </w14:solidFill>
                </w14:textFill>
              </w:rPr>
              <w:t xml:space="preserve">  </w:t>
            </w:r>
            <w:r>
              <w:rPr>
                <w:color w:val="000000" w:themeColor="text1"/>
                <w:sz w:val="24"/>
                <w:lang w:val="zh-CN"/>
                <w14:textFill>
                  <w14:solidFill>
                    <w14:schemeClr w14:val="tx1"/>
                  </w14:solidFill>
                </w14:textFill>
              </w:rPr>
              <w:t>话：</w:t>
            </w:r>
            <w:r>
              <w:rPr>
                <w:rFonts w:hint="eastAsia"/>
                <w:color w:val="000000" w:themeColor="text1"/>
                <w:sz w:val="24"/>
                <w:u w:val="single"/>
                <w:lang w:val="zh-CN"/>
                <w14:textFill>
                  <w14:solidFill>
                    <w14:schemeClr w14:val="tx1"/>
                  </w14:solidFill>
                </w14:textFill>
              </w:rPr>
              <w:t xml:space="preserve">                     </w:t>
            </w:r>
          </w:p>
        </w:tc>
      </w:tr>
      <w:tr w14:paraId="4382A9C3">
        <w:tblPrEx>
          <w:tblCellMar>
            <w:top w:w="0" w:type="dxa"/>
            <w:left w:w="0" w:type="dxa"/>
            <w:bottom w:w="0" w:type="dxa"/>
            <w:right w:w="0" w:type="dxa"/>
          </w:tblCellMar>
        </w:tblPrEx>
        <w:trPr>
          <w:trHeight w:val="586" w:hRule="atLeast"/>
        </w:trPr>
        <w:tc>
          <w:tcPr>
            <w:tcW w:w="4746" w:type="dxa"/>
          </w:tcPr>
          <w:p w14:paraId="2B7AFFD3">
            <w:pPr>
              <w:adjustRightInd w:val="0"/>
              <w:snapToGrid w:val="0"/>
              <w:spacing w:line="360" w:lineRule="auto"/>
              <w:rPr>
                <w:color w:val="000000" w:themeColor="text1"/>
                <w:sz w:val="24"/>
                <w14:textFill>
                  <w14:solidFill>
                    <w14:schemeClr w14:val="tx1"/>
                  </w14:solidFill>
                </w14:textFill>
              </w:rPr>
            </w:pPr>
            <w:r>
              <w:rPr>
                <w:color w:val="000000" w:themeColor="text1"/>
                <w:sz w:val="24"/>
                <w:lang w:val="zh-CN"/>
                <w14:textFill>
                  <w14:solidFill>
                    <w14:schemeClr w14:val="tx1"/>
                  </w14:solidFill>
                </w14:textFill>
              </w:rPr>
              <w:t>处室负责人：</w:t>
            </w:r>
            <w:r>
              <w:rPr>
                <w:rFonts w:hint="eastAsia"/>
                <w:color w:val="000000" w:themeColor="text1"/>
                <w:sz w:val="24"/>
                <w:u w:val="single"/>
                <w:lang w:val="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w:t>
            </w:r>
            <w:r>
              <w:rPr>
                <w:rFonts w:hint="eastAsia"/>
                <w:color w:val="000000" w:themeColor="text1"/>
                <w:sz w:val="24"/>
                <w:lang w:val="zh-CN"/>
                <w14:textFill>
                  <w14:solidFill>
                    <w14:schemeClr w14:val="tx1"/>
                  </w14:solidFill>
                </w14:textFill>
              </w:rPr>
              <w:t>签名</w:t>
            </w:r>
            <w:r>
              <w:rPr>
                <w:color w:val="000000" w:themeColor="text1"/>
                <w:sz w:val="24"/>
                <w:lang w:val="zh-CN"/>
                <w14:textFill>
                  <w14:solidFill>
                    <w14:schemeClr w14:val="tx1"/>
                  </w14:solidFill>
                </w14:textFill>
              </w:rPr>
              <w:t>）</w:t>
            </w:r>
          </w:p>
        </w:tc>
        <w:tc>
          <w:tcPr>
            <w:tcW w:w="4540" w:type="dxa"/>
          </w:tcPr>
          <w:p w14:paraId="28B504B7">
            <w:pPr>
              <w:adjustRightInd w:val="0"/>
              <w:snapToGrid w:val="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签订人：</w:t>
            </w:r>
            <w:r>
              <w:rPr>
                <w:rFonts w:hint="eastAsia"/>
                <w:color w:val="000000" w:themeColor="text1"/>
                <w:sz w:val="24"/>
                <w:u w:val="single"/>
                <w:lang w:val="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w:t>
            </w:r>
            <w:r>
              <w:rPr>
                <w:rFonts w:hint="eastAsia"/>
                <w:color w:val="000000" w:themeColor="text1"/>
                <w:sz w:val="24"/>
                <w:lang w:val="zh-CN"/>
                <w14:textFill>
                  <w14:solidFill>
                    <w14:schemeClr w14:val="tx1"/>
                  </w14:solidFill>
                </w14:textFill>
              </w:rPr>
              <w:t>签名</w:t>
            </w:r>
            <w:r>
              <w:rPr>
                <w:color w:val="000000" w:themeColor="text1"/>
                <w:sz w:val="24"/>
                <w:lang w:val="zh-CN"/>
                <w14:textFill>
                  <w14:solidFill>
                    <w14:schemeClr w14:val="tx1"/>
                  </w14:solidFill>
                </w14:textFill>
              </w:rPr>
              <w:t>）</w:t>
            </w:r>
          </w:p>
        </w:tc>
      </w:tr>
      <w:tr w14:paraId="53AAE898">
        <w:tblPrEx>
          <w:tblCellMar>
            <w:top w:w="0" w:type="dxa"/>
            <w:left w:w="0" w:type="dxa"/>
            <w:bottom w:w="0" w:type="dxa"/>
            <w:right w:w="0" w:type="dxa"/>
          </w:tblCellMar>
        </w:tblPrEx>
        <w:trPr>
          <w:trHeight w:val="1527" w:hRule="atLeast"/>
        </w:trPr>
        <w:tc>
          <w:tcPr>
            <w:tcW w:w="4746" w:type="dxa"/>
          </w:tcPr>
          <w:p w14:paraId="06B76A0C">
            <w:pPr>
              <w:adjustRightInd w:val="0"/>
              <w:snapToGrid w:val="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签订人：</w:t>
            </w:r>
            <w:r>
              <w:rPr>
                <w:rFonts w:hint="eastAsia"/>
                <w:color w:val="000000" w:themeColor="text1"/>
                <w:sz w:val="24"/>
                <w:u w:val="single"/>
                <w:lang w:val="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w:t>
            </w:r>
            <w:r>
              <w:rPr>
                <w:rFonts w:hint="eastAsia"/>
                <w:color w:val="000000" w:themeColor="text1"/>
                <w:sz w:val="24"/>
                <w:lang w:val="zh-CN"/>
                <w14:textFill>
                  <w14:solidFill>
                    <w14:schemeClr w14:val="tx1"/>
                  </w14:solidFill>
                </w14:textFill>
              </w:rPr>
              <w:t>签名</w:t>
            </w:r>
            <w:r>
              <w:rPr>
                <w:color w:val="000000" w:themeColor="text1"/>
                <w:sz w:val="24"/>
                <w:lang w:val="zh-CN"/>
                <w14:textFill>
                  <w14:solidFill>
                    <w14:schemeClr w14:val="tx1"/>
                  </w14:solidFill>
                </w14:textFill>
              </w:rPr>
              <w:t>）</w:t>
            </w:r>
          </w:p>
        </w:tc>
        <w:tc>
          <w:tcPr>
            <w:tcW w:w="4540" w:type="dxa"/>
          </w:tcPr>
          <w:p w14:paraId="456BF76C">
            <w:pPr>
              <w:adjustRightInd w:val="0"/>
              <w:snapToGrid w:val="0"/>
              <w:spacing w:line="360" w:lineRule="auto"/>
              <w:rPr>
                <w:color w:val="000000" w:themeColor="text1"/>
                <w:sz w:val="24"/>
                <w:u w:val="single"/>
                <w14:textFill>
                  <w14:solidFill>
                    <w14:schemeClr w14:val="tx1"/>
                  </w14:solidFill>
                </w14:textFill>
              </w:rPr>
            </w:pPr>
            <w:r>
              <w:rPr>
                <w:color w:val="000000" w:themeColor="text1"/>
                <w:sz w:val="24"/>
                <w:lang w:val="zh-CN"/>
                <w14:textFill>
                  <w14:solidFill>
                    <w14:schemeClr w14:val="tx1"/>
                  </w14:solidFill>
                </w14:textFill>
              </w:rPr>
              <w:t>开户银行</w:t>
            </w:r>
            <w:r>
              <w:rPr>
                <w:rFonts w:hint="eastAsia"/>
                <w:color w:val="000000" w:themeColor="text1"/>
                <w:sz w:val="24"/>
                <w:lang w:val="zh-CN"/>
                <w14:textFill>
                  <w14:solidFill>
                    <w14:schemeClr w14:val="tx1"/>
                  </w14:solidFill>
                </w14:textFill>
              </w:rPr>
              <w:t>及账号</w:t>
            </w:r>
            <w:r>
              <w:rPr>
                <w:color w:val="000000" w:themeColor="text1"/>
                <w:sz w:val="24"/>
                <w:lang w:val="zh-CN"/>
                <w14:textFill>
                  <w14:solidFill>
                    <w14:schemeClr w14:val="tx1"/>
                  </w14:solidFill>
                </w14:textFill>
              </w:rPr>
              <w:t>：</w:t>
            </w:r>
            <w:r>
              <w:rPr>
                <w:rFonts w:hint="eastAsia"/>
                <w:color w:val="000000" w:themeColor="text1"/>
                <w:sz w:val="24"/>
                <w:u w:val="single"/>
                <w14:textFill>
                  <w14:solidFill>
                    <w14:schemeClr w14:val="tx1"/>
                  </w14:solidFill>
                </w14:textFill>
              </w:rPr>
              <w:t xml:space="preserve">                    </w:t>
            </w:r>
          </w:p>
          <w:p w14:paraId="59FFB264">
            <w:pPr>
              <w:adjustRightInd w:val="0"/>
              <w:snapToGrid w:val="0"/>
              <w:spacing w:line="360" w:lineRule="auto"/>
              <w:rPr>
                <w:color w:val="000000" w:themeColor="text1"/>
                <w:sz w:val="24"/>
                <w:u w:val="single"/>
                <w14:textFill>
                  <w14:solidFill>
                    <w14:schemeClr w14:val="tx1"/>
                  </w14:solidFill>
                </w14:textFill>
              </w:rPr>
            </w:pPr>
            <w:r>
              <w:rPr>
                <w:rFonts w:hint="eastAsia"/>
                <w:color w:val="000000" w:themeColor="text1"/>
                <w:sz w:val="24"/>
                <w:u w:val="single"/>
                <w14:textFill>
                  <w14:solidFill>
                    <w14:schemeClr w14:val="tx1"/>
                  </w14:solidFill>
                </w14:textFill>
              </w:rPr>
              <w:t xml:space="preserve">                                    </w:t>
            </w:r>
          </w:p>
          <w:p w14:paraId="416B7D18">
            <w:pPr>
              <w:adjustRightInd w:val="0"/>
              <w:snapToGrid w:val="0"/>
              <w:spacing w:line="360" w:lineRule="auto"/>
              <w:rPr>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户名：</w:t>
            </w:r>
            <w:r>
              <w:rPr>
                <w:rFonts w:hint="eastAsia"/>
                <w:color w:val="000000" w:themeColor="text1"/>
                <w:sz w:val="24"/>
                <w:u w:val="single"/>
                <w:lang w:val="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zh-CN"/>
                <w14:textFill>
                  <w14:solidFill>
                    <w14:schemeClr w14:val="tx1"/>
                  </w14:solidFill>
                </w14:textFill>
              </w:rPr>
              <w:t xml:space="preserve"> </w:t>
            </w:r>
          </w:p>
        </w:tc>
      </w:tr>
      <w:tr w14:paraId="4FDA79A6">
        <w:tblPrEx>
          <w:tblCellMar>
            <w:top w:w="0" w:type="dxa"/>
            <w:left w:w="0" w:type="dxa"/>
            <w:bottom w:w="0" w:type="dxa"/>
            <w:right w:w="0" w:type="dxa"/>
          </w:tblCellMar>
        </w:tblPrEx>
        <w:trPr>
          <w:trHeight w:val="696" w:hRule="atLeast"/>
        </w:trPr>
        <w:tc>
          <w:tcPr>
            <w:tcW w:w="4746" w:type="dxa"/>
          </w:tcPr>
          <w:p w14:paraId="5EA9F81E">
            <w:pPr>
              <w:rPr>
                <w:color w:val="000000" w:themeColor="text1"/>
                <w14:textFill>
                  <w14:solidFill>
                    <w14:schemeClr w14:val="tx1"/>
                  </w14:solidFill>
                </w14:textFill>
              </w:rPr>
            </w:pPr>
            <w:r>
              <w:rPr>
                <w:color w:val="000000" w:themeColor="text1"/>
                <w:sz w:val="24"/>
                <w:lang w:val="zh-CN"/>
                <w14:textFill>
                  <w14:solidFill>
                    <w14:schemeClr w14:val="tx1"/>
                  </w14:solidFill>
                </w14:textFill>
              </w:rPr>
              <w:t xml:space="preserve"> </w:t>
            </w:r>
            <w:r>
              <w:rPr>
                <w:rFonts w:hint="eastAsia"/>
                <w:color w:val="000000" w:themeColor="text1"/>
                <w:sz w:val="24"/>
                <w:lang w:val="zh-CN"/>
                <w14:textFill>
                  <w14:solidFill>
                    <w14:schemeClr w14:val="tx1"/>
                  </w14:solidFill>
                </w14:textFill>
              </w:rPr>
              <w:t xml:space="preserve">    </w:t>
            </w:r>
            <w:r>
              <w:rPr>
                <w:rFonts w:hint="eastAsia"/>
                <w:color w:val="000000" w:themeColor="text1"/>
                <w:sz w:val="24"/>
                <w:u w:val="single"/>
                <w:lang w:val="zh-CN"/>
                <w14:textFill>
                  <w14:solidFill>
                    <w14:schemeClr w14:val="tx1"/>
                  </w14:solidFill>
                </w14:textFill>
              </w:rPr>
              <w:t xml:space="preserve">    </w:t>
            </w:r>
            <w:r>
              <w:rPr>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年</w:t>
            </w:r>
            <w:r>
              <w:rPr>
                <w:color w:val="000000" w:themeColor="text1"/>
                <w:sz w:val="24"/>
                <w:u w:val="single"/>
                <w:lang w:val="zh-CN"/>
                <w14:textFill>
                  <w14:solidFill>
                    <w14:schemeClr w14:val="tx1"/>
                  </w14:solidFill>
                </w14:textFill>
              </w:rPr>
              <w:t xml:space="preserve">  </w:t>
            </w:r>
            <w:r>
              <w:rPr>
                <w:rFonts w:hint="eastAsia"/>
                <w:color w:val="000000" w:themeColor="text1"/>
                <w:sz w:val="24"/>
                <w:u w:val="single"/>
                <w:lang w:val="zh-CN"/>
                <w14:textFill>
                  <w14:solidFill>
                    <w14:schemeClr w14:val="tx1"/>
                  </w14:solidFill>
                </w14:textFill>
              </w:rPr>
              <w:t xml:space="preserve">    </w:t>
            </w:r>
            <w:r>
              <w:rPr>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月</w:t>
            </w:r>
            <w:r>
              <w:rPr>
                <w:color w:val="000000" w:themeColor="text1"/>
                <w:sz w:val="24"/>
                <w:u w:val="single"/>
                <w:lang w:val="zh-CN"/>
                <w14:textFill>
                  <w14:solidFill>
                    <w14:schemeClr w14:val="tx1"/>
                  </w14:solidFill>
                </w14:textFill>
              </w:rPr>
              <w:t xml:space="preserve">   </w:t>
            </w:r>
            <w:r>
              <w:rPr>
                <w:rFonts w:hint="eastAsia"/>
                <w:color w:val="000000" w:themeColor="text1"/>
                <w:sz w:val="24"/>
                <w:u w:val="single"/>
                <w:lang w:val="zh-CN"/>
                <w14:textFill>
                  <w14:solidFill>
                    <w14:schemeClr w14:val="tx1"/>
                  </w14:solidFill>
                </w14:textFill>
              </w:rPr>
              <w:t xml:space="preserve">    </w:t>
            </w:r>
            <w:r>
              <w:rPr>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日</w:t>
            </w:r>
          </w:p>
          <w:p w14:paraId="39A07C21">
            <w:pPr>
              <w:adjustRightInd w:val="0"/>
              <w:snapToGrid w:val="0"/>
              <w:spacing w:line="360" w:lineRule="auto"/>
              <w:rPr>
                <w:color w:val="000000" w:themeColor="text1"/>
                <w:sz w:val="24"/>
                <w:lang w:val="zh-CN"/>
                <w14:textFill>
                  <w14:solidFill>
                    <w14:schemeClr w14:val="tx1"/>
                  </w14:solidFill>
                </w14:textFill>
              </w:rPr>
            </w:pPr>
          </w:p>
        </w:tc>
        <w:tc>
          <w:tcPr>
            <w:tcW w:w="4540" w:type="dxa"/>
          </w:tcPr>
          <w:p w14:paraId="5CC6C0AC">
            <w:pPr>
              <w:adjustRightInd w:val="0"/>
              <w:snapToGrid w:val="0"/>
              <w:spacing w:line="360" w:lineRule="auto"/>
              <w:rPr>
                <w:color w:val="000000" w:themeColor="text1"/>
                <w:sz w:val="24"/>
                <w:lang w:val="zh-CN"/>
                <w14:textFill>
                  <w14:solidFill>
                    <w14:schemeClr w14:val="tx1"/>
                  </w14:solidFill>
                </w14:textFill>
              </w:rPr>
            </w:pPr>
            <w:r>
              <w:rPr>
                <w:color w:val="000000" w:themeColor="text1"/>
                <w:sz w:val="24"/>
                <w:lang w:val="zh-CN"/>
                <w14:textFill>
                  <w14:solidFill>
                    <w14:schemeClr w14:val="tx1"/>
                  </w14:solidFill>
                </w14:textFill>
              </w:rPr>
              <w:t xml:space="preserve"> </w:t>
            </w:r>
            <w:r>
              <w:rPr>
                <w:rFonts w:hint="eastAsia"/>
                <w:color w:val="000000" w:themeColor="text1"/>
                <w:sz w:val="24"/>
                <w:lang w:val="zh-CN"/>
                <w14:textFill>
                  <w14:solidFill>
                    <w14:schemeClr w14:val="tx1"/>
                  </w14:solidFill>
                </w14:textFill>
              </w:rPr>
              <w:t xml:space="preserve">    </w:t>
            </w:r>
            <w:r>
              <w:rPr>
                <w:rFonts w:hint="eastAsia"/>
                <w:color w:val="000000" w:themeColor="text1"/>
                <w:sz w:val="24"/>
                <w:u w:val="single"/>
                <w:lang w:val="zh-CN"/>
                <w14:textFill>
                  <w14:solidFill>
                    <w14:schemeClr w14:val="tx1"/>
                  </w14:solidFill>
                </w14:textFill>
              </w:rPr>
              <w:t xml:space="preserve">    </w:t>
            </w:r>
            <w:r>
              <w:rPr>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年</w:t>
            </w:r>
            <w:r>
              <w:rPr>
                <w:color w:val="000000" w:themeColor="text1"/>
                <w:sz w:val="24"/>
                <w:u w:val="single"/>
                <w:lang w:val="zh-CN"/>
                <w14:textFill>
                  <w14:solidFill>
                    <w14:schemeClr w14:val="tx1"/>
                  </w14:solidFill>
                </w14:textFill>
              </w:rPr>
              <w:t xml:space="preserve">  </w:t>
            </w:r>
            <w:r>
              <w:rPr>
                <w:rFonts w:hint="eastAsia"/>
                <w:color w:val="000000" w:themeColor="text1"/>
                <w:sz w:val="24"/>
                <w:u w:val="single"/>
                <w:lang w:val="zh-CN"/>
                <w14:textFill>
                  <w14:solidFill>
                    <w14:schemeClr w14:val="tx1"/>
                  </w14:solidFill>
                </w14:textFill>
              </w:rPr>
              <w:t xml:space="preserve">    </w:t>
            </w:r>
            <w:r>
              <w:rPr>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月</w:t>
            </w:r>
            <w:r>
              <w:rPr>
                <w:color w:val="000000" w:themeColor="text1"/>
                <w:sz w:val="24"/>
                <w:u w:val="single"/>
                <w:lang w:val="zh-CN"/>
                <w14:textFill>
                  <w14:solidFill>
                    <w14:schemeClr w14:val="tx1"/>
                  </w14:solidFill>
                </w14:textFill>
              </w:rPr>
              <w:t xml:space="preserve">   </w:t>
            </w:r>
            <w:r>
              <w:rPr>
                <w:rFonts w:hint="eastAsia"/>
                <w:color w:val="000000" w:themeColor="text1"/>
                <w:sz w:val="24"/>
                <w:u w:val="single"/>
                <w:lang w:val="zh-CN"/>
                <w14:textFill>
                  <w14:solidFill>
                    <w14:schemeClr w14:val="tx1"/>
                  </w14:solidFill>
                </w14:textFill>
              </w:rPr>
              <w:t xml:space="preserve">    </w:t>
            </w:r>
            <w:r>
              <w:rPr>
                <w:color w:val="000000" w:themeColor="text1"/>
                <w:sz w:val="24"/>
                <w:u w:val="single"/>
                <w:lang w:val="zh-CN"/>
                <w14:textFill>
                  <w14:solidFill>
                    <w14:schemeClr w14:val="tx1"/>
                  </w14:solidFill>
                </w14:textFill>
              </w:rPr>
              <w:t xml:space="preserve"> </w:t>
            </w:r>
            <w:r>
              <w:rPr>
                <w:color w:val="000000" w:themeColor="text1"/>
                <w:sz w:val="24"/>
                <w:lang w:val="zh-CN"/>
                <w14:textFill>
                  <w14:solidFill>
                    <w14:schemeClr w14:val="tx1"/>
                  </w14:solidFill>
                </w14:textFill>
              </w:rPr>
              <w:t>日</w:t>
            </w:r>
          </w:p>
        </w:tc>
      </w:tr>
    </w:tbl>
    <w:p w14:paraId="0B79B61E">
      <w:pPr>
        <w:pStyle w:val="305"/>
        <w:rPr>
          <w:color w:val="000000" w:themeColor="text1"/>
          <w14:textFill>
            <w14:solidFill>
              <w14:schemeClr w14:val="tx1"/>
            </w14:solidFill>
          </w14:textFill>
        </w:rPr>
      </w:pPr>
    </w:p>
    <w:p w14:paraId="574C4416">
      <w:pPr>
        <w:keepNext/>
        <w:spacing w:line="400" w:lineRule="exact"/>
        <w:jc w:val="center"/>
        <w:outlineLvl w:val="0"/>
        <w:rPr>
          <w:rFonts w:hint="eastAsia" w:ascii="方正黑体_GBK" w:hAnsi="方正黑体_GBK" w:eastAsia="方正黑体_GBK" w:cs="方正黑体_GBK"/>
          <w:color w:val="000000"/>
          <w:sz w:val="28"/>
          <w:szCs w:val="28"/>
        </w:rPr>
      </w:pPr>
      <w:r>
        <w:rPr>
          <w:color w:val="000000" w:themeColor="text1"/>
          <w:lang w:val="zh-CN"/>
          <w14:textFill>
            <w14:solidFill>
              <w14:schemeClr w14:val="tx1"/>
            </w14:solidFill>
          </w14:textFill>
        </w:rPr>
        <w:br w:type="page"/>
      </w:r>
      <w:r>
        <w:rPr>
          <w:rFonts w:hint="eastAsia" w:ascii="方正黑体_GBK" w:hAnsi="方正黑体_GBK" w:eastAsia="方正黑体_GBK" w:cs="方正黑体_GBK"/>
          <w:color w:val="000000"/>
          <w:sz w:val="28"/>
          <w:szCs w:val="28"/>
        </w:rPr>
        <w:t>第</w:t>
      </w:r>
      <w:bookmarkEnd w:id="154"/>
      <w:r>
        <w:rPr>
          <w:rFonts w:hint="eastAsia" w:ascii="方正黑体_GBK" w:hAnsi="方正黑体_GBK" w:eastAsia="方正黑体_GBK" w:cs="方正黑体_GBK"/>
          <w:color w:val="000000"/>
          <w:sz w:val="28"/>
          <w:szCs w:val="28"/>
        </w:rPr>
        <w:t>四章 采购需求</w:t>
      </w:r>
      <w:bookmarkEnd w:id="155"/>
      <w:bookmarkEnd w:id="156"/>
      <w:bookmarkEnd w:id="157"/>
    </w:p>
    <w:p w14:paraId="23DCD9C2">
      <w:pPr>
        <w:rPr>
          <w:rFonts w:hint="eastAsia" w:asciiTheme="minorEastAsia" w:hAnsiTheme="minorEastAsia" w:eastAsiaTheme="minorEastAsia" w:cstheme="minorEastAsia"/>
          <w:color w:val="000000" w:themeColor="text1"/>
          <w14:textFill>
            <w14:solidFill>
              <w14:schemeClr w14:val="tx1"/>
            </w14:solidFill>
          </w14:textFill>
        </w:rPr>
      </w:pPr>
      <w:bookmarkStart w:id="160" w:name="_Toc49090575"/>
      <w:bookmarkStart w:id="161" w:name="_Toc26554093"/>
    </w:p>
    <w:p w14:paraId="6A9AB22E">
      <w:pPr>
        <w:spacing w:line="400" w:lineRule="exact"/>
        <w:ind w:firstLine="560"/>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一、服务内容：</w:t>
      </w:r>
    </w:p>
    <w:p w14:paraId="4BB26C39">
      <w:pPr>
        <w:spacing w:line="400" w:lineRule="exact"/>
        <w:ind w:firstLine="560"/>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以苏中苏北地区为重点，兼顾太湖流域上游地区，对37个县（市、区）开展城镇排水行业技术指导，形成工作报告、问题清单、经验做法等成果，帮助地方发现问题、解决问题、总结经验，推进污水收集处理效能和水环境质量有效提升。</w:t>
      </w:r>
    </w:p>
    <w:p w14:paraId="16EE948F">
      <w:pPr>
        <w:spacing w:line="400" w:lineRule="exact"/>
        <w:ind w:firstLine="560"/>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二、服务时间：</w:t>
      </w:r>
    </w:p>
    <w:p w14:paraId="59C60139">
      <w:pPr>
        <w:spacing w:line="400" w:lineRule="exact"/>
        <w:ind w:firstLine="560"/>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自合同签订之日起服务期1年，即2026年第三、四季度至2027年一、二季度。</w:t>
      </w:r>
    </w:p>
    <w:p w14:paraId="1C29C84B">
      <w:pPr>
        <w:spacing w:line="400" w:lineRule="exact"/>
        <w:ind w:firstLine="560"/>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三、工作要求：</w:t>
      </w:r>
    </w:p>
    <w:p w14:paraId="09F59DE5">
      <w:pPr>
        <w:spacing w:line="400" w:lineRule="exact"/>
        <w:ind w:firstLine="560"/>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技术指导原则上每季度至少开展1次，接到指导任务后在规定的时间内完成技术指导工作，现场指导采取明查和暗访相结合，加强日常有关信息资料收集与沟通交流，每季度工作完成后，按时提交相关工作成果。</w:t>
      </w:r>
    </w:p>
    <w:p w14:paraId="2EB719F5">
      <w:pPr>
        <w:pStyle w:val="223"/>
        <w:spacing w:before="120" w:after="120" w:line="400" w:lineRule="exact"/>
        <w:ind w:firstLine="560"/>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四、分包情况</w:t>
      </w:r>
    </w:p>
    <w:tbl>
      <w:tblPr>
        <w:tblStyle w:val="31"/>
        <w:tblW w:w="4757" w:type="pct"/>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28"/>
        <w:gridCol w:w="1645"/>
        <w:gridCol w:w="4453"/>
        <w:gridCol w:w="1597"/>
      </w:tblGrid>
      <w:tr w14:paraId="23AF5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029" w:type="dxa"/>
            <w:tcBorders>
              <w:top w:val="single" w:color="000000" w:sz="4" w:space="0"/>
              <w:left w:val="single" w:color="000000" w:sz="4" w:space="0"/>
              <w:bottom w:val="single" w:color="000000" w:sz="4" w:space="0"/>
              <w:right w:val="single" w:color="000000" w:sz="4" w:space="0"/>
            </w:tcBorders>
            <w:vAlign w:val="center"/>
          </w:tcPr>
          <w:p w14:paraId="7F0B204E">
            <w:pPr>
              <w:pStyle w:val="305"/>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分包号</w:t>
            </w:r>
          </w:p>
        </w:tc>
        <w:tc>
          <w:tcPr>
            <w:tcW w:w="1645" w:type="dxa"/>
            <w:tcBorders>
              <w:top w:val="single" w:color="000000" w:sz="4" w:space="0"/>
              <w:left w:val="single" w:color="000000" w:sz="4" w:space="0"/>
              <w:bottom w:val="single" w:color="000000" w:sz="4" w:space="0"/>
              <w:right w:val="single" w:color="000000" w:sz="4" w:space="0"/>
            </w:tcBorders>
            <w:vAlign w:val="center"/>
          </w:tcPr>
          <w:p w14:paraId="68E35987">
            <w:pPr>
              <w:pStyle w:val="305"/>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分包名称</w:t>
            </w:r>
          </w:p>
        </w:tc>
        <w:tc>
          <w:tcPr>
            <w:tcW w:w="4454" w:type="dxa"/>
            <w:tcBorders>
              <w:top w:val="single" w:color="000000" w:sz="4" w:space="0"/>
              <w:left w:val="single" w:color="000000" w:sz="4" w:space="0"/>
              <w:bottom w:val="single" w:color="000000" w:sz="4" w:space="0"/>
              <w:right w:val="single" w:color="000000" w:sz="4" w:space="0"/>
            </w:tcBorders>
            <w:vAlign w:val="center"/>
          </w:tcPr>
          <w:p w14:paraId="74EE8BE6">
            <w:pPr>
              <w:pStyle w:val="305"/>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内容</w:t>
            </w:r>
          </w:p>
        </w:tc>
        <w:tc>
          <w:tcPr>
            <w:tcW w:w="1597" w:type="dxa"/>
            <w:tcBorders>
              <w:top w:val="single" w:color="000000" w:sz="4" w:space="0"/>
              <w:left w:val="single" w:color="000000" w:sz="4" w:space="0"/>
              <w:bottom w:val="single" w:color="000000" w:sz="4" w:space="0"/>
              <w:right w:val="single" w:color="000000" w:sz="4" w:space="0"/>
            </w:tcBorders>
            <w:vAlign w:val="center"/>
          </w:tcPr>
          <w:p w14:paraId="7E79DA0E">
            <w:pPr>
              <w:pStyle w:val="305"/>
              <w:jc w:val="center"/>
              <w:rPr>
                <w:rFonts w:eastAsiaTheme="minorEastAsia"/>
                <w:color w:val="000000" w:themeColor="text1"/>
                <w:sz w:val="24"/>
                <w:szCs w:val="24"/>
                <w14:textFill>
                  <w14:solidFill>
                    <w14:schemeClr w14:val="tx1"/>
                  </w14:solidFill>
                </w14:textFill>
              </w:rPr>
            </w:pPr>
            <w:r>
              <w:rPr>
                <w:rFonts w:eastAsiaTheme="minorEastAsia"/>
                <w:color w:val="000000" w:themeColor="text1"/>
                <w:sz w:val="24"/>
                <w:szCs w:val="24"/>
                <w14:textFill>
                  <w14:solidFill>
                    <w14:schemeClr w14:val="tx1"/>
                  </w14:solidFill>
                </w14:textFill>
              </w:rPr>
              <w:t>预算金额（人民币：万元）</w:t>
            </w:r>
          </w:p>
        </w:tc>
      </w:tr>
      <w:tr w14:paraId="307D9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029" w:type="dxa"/>
            <w:tcBorders>
              <w:top w:val="single" w:color="000000" w:sz="4" w:space="0"/>
              <w:left w:val="single" w:color="000000" w:sz="4" w:space="0"/>
              <w:bottom w:val="single" w:color="000000" w:sz="4" w:space="0"/>
              <w:right w:val="single" w:color="000000" w:sz="4" w:space="0"/>
            </w:tcBorders>
            <w:vAlign w:val="center"/>
          </w:tcPr>
          <w:p w14:paraId="182A1926">
            <w:pPr>
              <w:pStyle w:val="305"/>
              <w:jc w:val="center"/>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1</w:t>
            </w:r>
          </w:p>
        </w:tc>
        <w:tc>
          <w:tcPr>
            <w:tcW w:w="1645" w:type="dxa"/>
            <w:tcBorders>
              <w:top w:val="single" w:color="000000" w:sz="4" w:space="0"/>
              <w:left w:val="single" w:color="000000" w:sz="4" w:space="0"/>
              <w:bottom w:val="single" w:color="000000" w:sz="4" w:space="0"/>
              <w:right w:val="single" w:color="000000" w:sz="4" w:space="0"/>
            </w:tcBorders>
            <w:vAlign w:val="center"/>
          </w:tcPr>
          <w:p w14:paraId="22137F9A">
            <w:pPr>
              <w:pStyle w:val="30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采购包1</w:t>
            </w:r>
          </w:p>
        </w:tc>
        <w:tc>
          <w:tcPr>
            <w:tcW w:w="4454" w:type="dxa"/>
            <w:tcBorders>
              <w:top w:val="single" w:color="000000" w:sz="4" w:space="0"/>
              <w:left w:val="single" w:color="000000" w:sz="4" w:space="0"/>
              <w:bottom w:val="single" w:color="000000" w:sz="4" w:space="0"/>
              <w:right w:val="single" w:color="000000" w:sz="4" w:space="0"/>
            </w:tcBorders>
            <w:vAlign w:val="center"/>
          </w:tcPr>
          <w:p w14:paraId="611304A5">
            <w:pPr>
              <w:pStyle w:val="305"/>
              <w:jc w:val="both"/>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1.负责汇总整理分析每次各县（市、区）技术指导报告。</w:t>
            </w:r>
          </w:p>
          <w:p w14:paraId="31A615A5">
            <w:pPr>
              <w:pStyle w:val="305"/>
              <w:jc w:val="both"/>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2.负责汇总整理各县（市、区）问题清单和先进经验做法。</w:t>
            </w:r>
          </w:p>
          <w:p w14:paraId="4B991D67">
            <w:pPr>
              <w:pStyle w:val="305"/>
              <w:jc w:val="both"/>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3.负责盐城亭湖区、阜宁县、射阳县、建湖县、响水县、滨海县、东台市、灌南县、海安市等</w:t>
            </w:r>
            <w:r>
              <w:rPr>
                <w:rFonts w:hint="eastAsia" w:ascii="Times New Roman" w:hAnsi="Times New Roman" w:eastAsiaTheme="minorEastAsia"/>
                <w:color w:val="000000" w:themeColor="text1"/>
                <w:sz w:val="24"/>
                <w:szCs w:val="24"/>
                <w14:textFill>
                  <w14:solidFill>
                    <w14:schemeClr w14:val="tx1"/>
                  </w14:solidFill>
                </w14:textFill>
              </w:rPr>
              <w:t>9</w:t>
            </w:r>
            <w:r>
              <w:rPr>
                <w:rFonts w:ascii="Times New Roman" w:hAnsi="Times New Roman" w:eastAsiaTheme="minorEastAsia"/>
                <w:color w:val="000000" w:themeColor="text1"/>
                <w:sz w:val="24"/>
                <w:szCs w:val="24"/>
                <w14:textFill>
                  <w14:solidFill>
                    <w14:schemeClr w14:val="tx1"/>
                  </w14:solidFill>
                </w14:textFill>
              </w:rPr>
              <w:t>个市（区）城镇排水行业相关工作技术指导。</w:t>
            </w:r>
          </w:p>
        </w:tc>
        <w:tc>
          <w:tcPr>
            <w:tcW w:w="1597" w:type="dxa"/>
            <w:tcBorders>
              <w:top w:val="single" w:color="000000" w:sz="4" w:space="0"/>
              <w:left w:val="single" w:color="000000" w:sz="4" w:space="0"/>
              <w:bottom w:val="single" w:color="000000" w:sz="4" w:space="0"/>
              <w:right w:val="single" w:color="000000" w:sz="4" w:space="0"/>
            </w:tcBorders>
            <w:vAlign w:val="center"/>
          </w:tcPr>
          <w:p w14:paraId="4C09D6AD">
            <w:pPr>
              <w:pStyle w:val="305"/>
              <w:jc w:val="center"/>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50</w:t>
            </w:r>
          </w:p>
        </w:tc>
      </w:tr>
      <w:tr w14:paraId="45B07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029" w:type="dxa"/>
            <w:tcBorders>
              <w:top w:val="single" w:color="000000" w:sz="4" w:space="0"/>
              <w:left w:val="single" w:color="000000" w:sz="4" w:space="0"/>
              <w:bottom w:val="single" w:color="000000" w:sz="4" w:space="0"/>
              <w:right w:val="single" w:color="000000" w:sz="4" w:space="0"/>
            </w:tcBorders>
            <w:vAlign w:val="center"/>
          </w:tcPr>
          <w:p w14:paraId="5D3DC43E">
            <w:pPr>
              <w:pStyle w:val="305"/>
              <w:jc w:val="center"/>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2</w:t>
            </w:r>
          </w:p>
        </w:tc>
        <w:tc>
          <w:tcPr>
            <w:tcW w:w="1645" w:type="dxa"/>
            <w:tcBorders>
              <w:top w:val="single" w:color="000000" w:sz="4" w:space="0"/>
              <w:left w:val="single" w:color="000000" w:sz="4" w:space="0"/>
              <w:bottom w:val="single" w:color="000000" w:sz="4" w:space="0"/>
              <w:right w:val="single" w:color="000000" w:sz="4" w:space="0"/>
            </w:tcBorders>
            <w:vAlign w:val="center"/>
          </w:tcPr>
          <w:p w14:paraId="259E62DB">
            <w:pPr>
              <w:pStyle w:val="30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采购包2</w:t>
            </w:r>
          </w:p>
        </w:tc>
        <w:tc>
          <w:tcPr>
            <w:tcW w:w="4454" w:type="dxa"/>
            <w:tcBorders>
              <w:top w:val="single" w:color="000000" w:sz="4" w:space="0"/>
              <w:left w:val="single" w:color="000000" w:sz="4" w:space="0"/>
              <w:bottom w:val="single" w:color="000000" w:sz="4" w:space="0"/>
              <w:right w:val="single" w:color="000000" w:sz="4" w:space="0"/>
            </w:tcBorders>
            <w:vAlign w:val="center"/>
          </w:tcPr>
          <w:p w14:paraId="4843275A">
            <w:pPr>
              <w:pStyle w:val="305"/>
              <w:jc w:val="both"/>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负责宜兴市、武进区、金坛区、扬中市、仪征市、靖江市、如皋市、泰州姜堰区、兴化市、泰兴市等</w:t>
            </w:r>
            <w:r>
              <w:rPr>
                <w:rFonts w:hint="eastAsia" w:ascii="Times New Roman" w:hAnsi="Times New Roman" w:eastAsiaTheme="minorEastAsia"/>
                <w:color w:val="000000" w:themeColor="text1"/>
                <w:sz w:val="24"/>
                <w:szCs w:val="24"/>
                <w14:textFill>
                  <w14:solidFill>
                    <w14:schemeClr w14:val="tx1"/>
                  </w14:solidFill>
                </w14:textFill>
              </w:rPr>
              <w:t>10</w:t>
            </w:r>
            <w:r>
              <w:rPr>
                <w:rFonts w:ascii="Times New Roman" w:hAnsi="Times New Roman" w:eastAsiaTheme="minorEastAsia"/>
                <w:color w:val="000000" w:themeColor="text1"/>
                <w:sz w:val="24"/>
                <w:szCs w:val="24"/>
                <w14:textFill>
                  <w14:solidFill>
                    <w14:schemeClr w14:val="tx1"/>
                  </w14:solidFill>
                </w14:textFill>
              </w:rPr>
              <w:t>个县（市、区）城镇排水行业相关工作技术指导。</w:t>
            </w:r>
          </w:p>
        </w:tc>
        <w:tc>
          <w:tcPr>
            <w:tcW w:w="1597" w:type="dxa"/>
            <w:tcBorders>
              <w:top w:val="single" w:color="000000" w:sz="4" w:space="0"/>
              <w:left w:val="single" w:color="000000" w:sz="4" w:space="0"/>
              <w:bottom w:val="single" w:color="000000" w:sz="4" w:space="0"/>
              <w:right w:val="single" w:color="000000" w:sz="4" w:space="0"/>
            </w:tcBorders>
            <w:vAlign w:val="center"/>
          </w:tcPr>
          <w:p w14:paraId="53497F96">
            <w:pPr>
              <w:pStyle w:val="305"/>
              <w:jc w:val="center"/>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30</w:t>
            </w:r>
          </w:p>
        </w:tc>
      </w:tr>
      <w:tr w14:paraId="7F517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029" w:type="dxa"/>
            <w:tcBorders>
              <w:top w:val="single" w:color="000000" w:sz="4" w:space="0"/>
              <w:left w:val="single" w:color="000000" w:sz="4" w:space="0"/>
              <w:bottom w:val="single" w:color="000000" w:sz="4" w:space="0"/>
              <w:right w:val="single" w:color="000000" w:sz="4" w:space="0"/>
            </w:tcBorders>
            <w:vAlign w:val="center"/>
          </w:tcPr>
          <w:p w14:paraId="1E3DA549">
            <w:pPr>
              <w:pStyle w:val="305"/>
              <w:jc w:val="center"/>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3</w:t>
            </w:r>
          </w:p>
        </w:tc>
        <w:tc>
          <w:tcPr>
            <w:tcW w:w="1645" w:type="dxa"/>
            <w:tcBorders>
              <w:top w:val="single" w:color="000000" w:sz="4" w:space="0"/>
              <w:left w:val="single" w:color="000000" w:sz="4" w:space="0"/>
              <w:bottom w:val="single" w:color="000000" w:sz="4" w:space="0"/>
              <w:right w:val="single" w:color="000000" w:sz="4" w:space="0"/>
            </w:tcBorders>
            <w:vAlign w:val="center"/>
          </w:tcPr>
          <w:p w14:paraId="3DFAA601">
            <w:pPr>
              <w:pStyle w:val="30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采购包3</w:t>
            </w:r>
          </w:p>
        </w:tc>
        <w:tc>
          <w:tcPr>
            <w:tcW w:w="4454" w:type="dxa"/>
            <w:tcBorders>
              <w:top w:val="single" w:color="000000" w:sz="4" w:space="0"/>
              <w:left w:val="single" w:color="000000" w:sz="4" w:space="0"/>
              <w:bottom w:val="single" w:color="000000" w:sz="4" w:space="0"/>
              <w:right w:val="single" w:color="000000" w:sz="4" w:space="0"/>
            </w:tcBorders>
            <w:vAlign w:val="center"/>
          </w:tcPr>
          <w:p w14:paraId="53BF4EF3">
            <w:pPr>
              <w:pStyle w:val="305"/>
              <w:jc w:val="both"/>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负责宝应县、高邮市</w:t>
            </w:r>
            <w:r>
              <w:rPr>
                <w:rFonts w:hint="eastAsia" w:ascii="Times New Roman" w:hAnsi="Times New Roman" w:eastAsiaTheme="minorEastAsia"/>
                <w:color w:val="000000" w:themeColor="text1"/>
                <w:sz w:val="24"/>
                <w:szCs w:val="24"/>
                <w14:textFill>
                  <w14:solidFill>
                    <w14:schemeClr w14:val="tx1"/>
                  </w14:solidFill>
                </w14:textFill>
              </w:rPr>
              <w:t>、</w:t>
            </w:r>
            <w:r>
              <w:rPr>
                <w:rFonts w:ascii="Times New Roman" w:hAnsi="Times New Roman" w:eastAsiaTheme="minorEastAsia"/>
                <w:color w:val="000000" w:themeColor="text1"/>
                <w:sz w:val="24"/>
                <w:szCs w:val="24"/>
                <w14:textFill>
                  <w14:solidFill>
                    <w14:schemeClr w14:val="tx1"/>
                  </w14:solidFill>
                </w14:textFill>
              </w:rPr>
              <w:t>丹阳市、连云港开发区、灌云县、东海县、宿迁湖滨新区、沭阳县、泗阳县等9个县（市、区）城镇排水行业相关工作技术指导。</w:t>
            </w:r>
          </w:p>
        </w:tc>
        <w:tc>
          <w:tcPr>
            <w:tcW w:w="1597" w:type="dxa"/>
            <w:tcBorders>
              <w:top w:val="single" w:color="000000" w:sz="4" w:space="0"/>
              <w:left w:val="single" w:color="000000" w:sz="4" w:space="0"/>
              <w:bottom w:val="single" w:color="000000" w:sz="4" w:space="0"/>
              <w:right w:val="single" w:color="000000" w:sz="4" w:space="0"/>
            </w:tcBorders>
            <w:vAlign w:val="center"/>
          </w:tcPr>
          <w:p w14:paraId="6D44B144">
            <w:pPr>
              <w:pStyle w:val="305"/>
              <w:jc w:val="center"/>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30</w:t>
            </w:r>
          </w:p>
        </w:tc>
      </w:tr>
      <w:tr w14:paraId="1696D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1029" w:type="dxa"/>
            <w:tcBorders>
              <w:top w:val="single" w:color="000000" w:sz="4" w:space="0"/>
              <w:left w:val="single" w:color="000000" w:sz="4" w:space="0"/>
              <w:bottom w:val="single" w:color="000000" w:sz="4" w:space="0"/>
              <w:right w:val="single" w:color="000000" w:sz="4" w:space="0"/>
            </w:tcBorders>
            <w:vAlign w:val="center"/>
          </w:tcPr>
          <w:p w14:paraId="73D984B7">
            <w:pPr>
              <w:pStyle w:val="305"/>
              <w:jc w:val="center"/>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4</w:t>
            </w:r>
          </w:p>
        </w:tc>
        <w:tc>
          <w:tcPr>
            <w:tcW w:w="1645" w:type="dxa"/>
            <w:tcBorders>
              <w:top w:val="single" w:color="000000" w:sz="4" w:space="0"/>
              <w:left w:val="single" w:color="000000" w:sz="4" w:space="0"/>
              <w:bottom w:val="single" w:color="000000" w:sz="4" w:space="0"/>
              <w:right w:val="single" w:color="000000" w:sz="4" w:space="0"/>
            </w:tcBorders>
            <w:vAlign w:val="center"/>
          </w:tcPr>
          <w:p w14:paraId="7AC55CC9">
            <w:pPr>
              <w:pStyle w:val="305"/>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采购包4</w:t>
            </w:r>
          </w:p>
        </w:tc>
        <w:tc>
          <w:tcPr>
            <w:tcW w:w="4454" w:type="dxa"/>
            <w:tcBorders>
              <w:top w:val="single" w:color="000000" w:sz="4" w:space="0"/>
              <w:left w:val="single" w:color="000000" w:sz="4" w:space="0"/>
              <w:bottom w:val="single" w:color="000000" w:sz="4" w:space="0"/>
              <w:right w:val="single" w:color="000000" w:sz="4" w:space="0"/>
            </w:tcBorders>
            <w:vAlign w:val="center"/>
          </w:tcPr>
          <w:p w14:paraId="0085720D">
            <w:pPr>
              <w:pStyle w:val="305"/>
              <w:jc w:val="both"/>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负责徐州泉山区、丰县、沛县、新沂市、邳州市、睢宁县、涟水县、盱眙县、金湖县等9个县（市、区）城镇排水行业相关工作技术指导。</w:t>
            </w:r>
          </w:p>
        </w:tc>
        <w:tc>
          <w:tcPr>
            <w:tcW w:w="1597" w:type="dxa"/>
            <w:tcBorders>
              <w:top w:val="single" w:color="000000" w:sz="4" w:space="0"/>
              <w:left w:val="single" w:color="000000" w:sz="4" w:space="0"/>
              <w:bottom w:val="single" w:color="000000" w:sz="4" w:space="0"/>
              <w:right w:val="single" w:color="000000" w:sz="4" w:space="0"/>
            </w:tcBorders>
            <w:vAlign w:val="center"/>
          </w:tcPr>
          <w:p w14:paraId="1A7506E9">
            <w:pPr>
              <w:pStyle w:val="305"/>
              <w:jc w:val="center"/>
              <w:rPr>
                <w:rFonts w:ascii="Times New Roman" w:hAnsi="Times New Roman" w:eastAsiaTheme="minorEastAsia"/>
                <w:color w:val="000000" w:themeColor="text1"/>
                <w:sz w:val="24"/>
                <w:szCs w:val="24"/>
                <w14:textFill>
                  <w14:solidFill>
                    <w14:schemeClr w14:val="tx1"/>
                  </w14:solidFill>
                </w14:textFill>
              </w:rPr>
            </w:pPr>
            <w:r>
              <w:rPr>
                <w:rFonts w:ascii="Times New Roman" w:hAnsi="Times New Roman" w:eastAsiaTheme="minorEastAsia"/>
                <w:color w:val="000000" w:themeColor="text1"/>
                <w:sz w:val="24"/>
                <w:szCs w:val="24"/>
                <w14:textFill>
                  <w14:solidFill>
                    <w14:schemeClr w14:val="tx1"/>
                  </w14:solidFill>
                </w14:textFill>
              </w:rPr>
              <w:t>30</w:t>
            </w:r>
          </w:p>
        </w:tc>
      </w:tr>
    </w:tbl>
    <w:p w14:paraId="4C4F73F1">
      <w:pPr>
        <w:pStyle w:val="223"/>
        <w:spacing w:before="120" w:after="120" w:line="400" w:lineRule="exact"/>
        <w:rPr>
          <w:rFonts w:hint="eastAsia" w:ascii="方正仿宋_GB2312" w:hAnsi="方正仿宋_GB2312" w:eastAsia="方正仿宋_GB2312" w:cs="方正仿宋_GB2312"/>
          <w:bCs/>
          <w:sz w:val="28"/>
          <w:szCs w:val="28"/>
        </w:rPr>
      </w:pPr>
    </w:p>
    <w:p w14:paraId="4E37F61D">
      <w:pPr>
        <w:pStyle w:val="223"/>
        <w:spacing w:before="120" w:after="120" w:line="400" w:lineRule="exact"/>
        <w:ind w:firstLine="560"/>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五、其他要求</w:t>
      </w:r>
    </w:p>
    <w:p w14:paraId="53E99924">
      <w:pPr>
        <w:spacing w:line="400" w:lineRule="exact"/>
        <w:ind w:firstLine="560"/>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1.本项目标的所属行业：水利、环境和公共设施管理业。</w:t>
      </w:r>
    </w:p>
    <w:p w14:paraId="43A4D56A">
      <w:pPr>
        <w:spacing w:line="400" w:lineRule="exact"/>
        <w:ind w:firstLine="560"/>
        <w:rPr>
          <w:rFonts w:hint="eastAsia" w:ascii="方正仿宋_GBK" w:hAnsi="方正仿宋_GBK" w:eastAsia="方正仿宋_GBK" w:cs="方正仿宋_GBK"/>
          <w:bCs/>
          <w:sz w:val="28"/>
          <w:szCs w:val="28"/>
        </w:rPr>
      </w:pPr>
    </w:p>
    <w:p w14:paraId="259C2D75">
      <w:pPr>
        <w:spacing w:line="400" w:lineRule="exact"/>
        <w:ind w:firstLine="560"/>
        <w:rPr>
          <w:rFonts w:hint="eastAsia" w:ascii="方正仿宋_GBK" w:hAnsi="方正仿宋_GBK" w:eastAsia="方正仿宋_GBK" w:cs="方正仿宋_GBK"/>
          <w:bCs/>
          <w:sz w:val="28"/>
          <w:szCs w:val="28"/>
        </w:rPr>
      </w:pPr>
    </w:p>
    <w:p w14:paraId="7388B532">
      <w:pPr>
        <w:spacing w:line="400" w:lineRule="exact"/>
        <w:ind w:firstLine="560"/>
        <w:rPr>
          <w:rFonts w:hint="eastAsia" w:ascii="方正仿宋_GBK" w:hAnsi="方正仿宋_GBK" w:eastAsia="方正仿宋_GBK" w:cs="方正仿宋_GBK"/>
          <w:bCs/>
          <w:sz w:val="28"/>
          <w:szCs w:val="28"/>
        </w:rPr>
      </w:pPr>
    </w:p>
    <w:p w14:paraId="5E9C3B3E">
      <w:pPr>
        <w:spacing w:line="400" w:lineRule="exact"/>
        <w:ind w:firstLine="560"/>
        <w:rPr>
          <w:rFonts w:hint="eastAsia" w:ascii="方正仿宋_GBK" w:hAnsi="方正仿宋_GBK" w:eastAsia="方正仿宋_GBK" w:cs="方正仿宋_GBK"/>
          <w:bCs/>
          <w:sz w:val="28"/>
          <w:szCs w:val="28"/>
        </w:rPr>
      </w:pPr>
    </w:p>
    <w:p w14:paraId="2A99B1EF">
      <w:pPr>
        <w:spacing w:line="400" w:lineRule="exact"/>
        <w:ind w:firstLine="560"/>
        <w:rPr>
          <w:rFonts w:hint="eastAsia" w:ascii="方正仿宋_GBK" w:hAnsi="方正仿宋_GBK" w:eastAsia="方正仿宋_GBK" w:cs="方正仿宋_GBK"/>
          <w:bCs/>
          <w:sz w:val="28"/>
          <w:szCs w:val="28"/>
        </w:rPr>
      </w:pPr>
    </w:p>
    <w:p w14:paraId="654BF3B1">
      <w:pPr>
        <w:spacing w:line="400" w:lineRule="exact"/>
        <w:ind w:firstLine="560"/>
        <w:rPr>
          <w:rFonts w:hint="eastAsia" w:ascii="方正仿宋_GBK" w:hAnsi="方正仿宋_GBK" w:eastAsia="方正仿宋_GBK" w:cs="方正仿宋_GBK"/>
          <w:bCs/>
          <w:sz w:val="28"/>
          <w:szCs w:val="28"/>
        </w:rPr>
      </w:pPr>
    </w:p>
    <w:p w14:paraId="2DD0AD49">
      <w:pPr>
        <w:spacing w:line="400" w:lineRule="exact"/>
        <w:ind w:firstLine="560"/>
        <w:rPr>
          <w:rFonts w:hint="eastAsia" w:ascii="方正仿宋_GBK" w:hAnsi="方正仿宋_GBK" w:eastAsia="方正仿宋_GBK" w:cs="方正仿宋_GBK"/>
          <w:bCs/>
          <w:sz w:val="28"/>
          <w:szCs w:val="28"/>
        </w:rPr>
      </w:pPr>
    </w:p>
    <w:p w14:paraId="39949725">
      <w:pPr>
        <w:spacing w:line="400" w:lineRule="exact"/>
        <w:ind w:firstLine="560"/>
        <w:rPr>
          <w:rFonts w:hint="eastAsia" w:ascii="方正仿宋_GBK" w:hAnsi="方正仿宋_GBK" w:cs="方正仿宋_GBK"/>
          <w:bCs/>
          <w:sz w:val="28"/>
          <w:szCs w:val="28"/>
        </w:rPr>
      </w:pPr>
    </w:p>
    <w:p w14:paraId="1477472D">
      <w:pPr>
        <w:spacing w:line="400" w:lineRule="exact"/>
        <w:ind w:firstLine="560"/>
        <w:rPr>
          <w:rFonts w:hint="eastAsia" w:ascii="方正仿宋_GBK" w:hAnsi="方正仿宋_GBK" w:cs="方正仿宋_GBK"/>
          <w:bCs/>
          <w:sz w:val="28"/>
          <w:szCs w:val="28"/>
        </w:rPr>
      </w:pPr>
    </w:p>
    <w:p w14:paraId="3EF24FEE">
      <w:pPr>
        <w:spacing w:line="400" w:lineRule="exact"/>
        <w:ind w:firstLine="560"/>
        <w:rPr>
          <w:rFonts w:hint="eastAsia" w:ascii="方正仿宋_GBK" w:hAnsi="方正仿宋_GBK" w:cs="方正仿宋_GBK"/>
          <w:bCs/>
          <w:sz w:val="28"/>
          <w:szCs w:val="28"/>
        </w:rPr>
      </w:pPr>
    </w:p>
    <w:p w14:paraId="70F13B58">
      <w:pPr>
        <w:spacing w:line="400" w:lineRule="exact"/>
        <w:ind w:firstLine="560"/>
        <w:rPr>
          <w:rFonts w:hint="eastAsia" w:ascii="方正仿宋_GBK" w:hAnsi="方正仿宋_GBK" w:cs="方正仿宋_GBK"/>
          <w:bCs/>
          <w:sz w:val="28"/>
          <w:szCs w:val="28"/>
        </w:rPr>
      </w:pPr>
    </w:p>
    <w:p w14:paraId="717E8FA9">
      <w:pPr>
        <w:spacing w:line="400" w:lineRule="exact"/>
        <w:ind w:firstLine="560"/>
        <w:rPr>
          <w:rFonts w:hint="eastAsia" w:ascii="方正仿宋_GBK" w:hAnsi="方正仿宋_GBK" w:cs="方正仿宋_GBK"/>
          <w:bCs/>
          <w:sz w:val="28"/>
          <w:szCs w:val="28"/>
        </w:rPr>
      </w:pPr>
    </w:p>
    <w:p w14:paraId="1F5A276E">
      <w:pPr>
        <w:spacing w:line="400" w:lineRule="exact"/>
        <w:ind w:firstLine="560"/>
        <w:rPr>
          <w:rFonts w:hint="eastAsia" w:ascii="方正仿宋_GBK" w:hAnsi="方正仿宋_GBK" w:cs="方正仿宋_GBK"/>
          <w:bCs/>
          <w:sz w:val="28"/>
          <w:szCs w:val="28"/>
        </w:rPr>
      </w:pPr>
    </w:p>
    <w:p w14:paraId="60A76320">
      <w:pPr>
        <w:spacing w:line="400" w:lineRule="exact"/>
        <w:ind w:firstLine="560"/>
        <w:rPr>
          <w:rFonts w:hint="eastAsia" w:ascii="方正仿宋_GBK" w:hAnsi="方正仿宋_GBK" w:cs="方正仿宋_GBK"/>
          <w:sz w:val="28"/>
          <w:szCs w:val="28"/>
        </w:rPr>
      </w:pPr>
    </w:p>
    <w:p w14:paraId="1092BD5C">
      <w:pPr>
        <w:spacing w:line="400" w:lineRule="exact"/>
        <w:ind w:firstLine="560"/>
        <w:rPr>
          <w:rFonts w:hint="eastAsia" w:ascii="方正仿宋_GBK" w:hAnsi="方正仿宋_GBK" w:cs="方正仿宋_GBK"/>
          <w:sz w:val="28"/>
          <w:szCs w:val="28"/>
        </w:rPr>
      </w:pPr>
    </w:p>
    <w:p w14:paraId="68773A20">
      <w:pPr>
        <w:spacing w:line="400" w:lineRule="exact"/>
        <w:ind w:firstLine="560"/>
        <w:rPr>
          <w:rFonts w:hint="eastAsia" w:ascii="方正仿宋_GBK" w:hAnsi="方正仿宋_GBK" w:cs="方正仿宋_GBK"/>
          <w:sz w:val="28"/>
          <w:szCs w:val="28"/>
        </w:rPr>
      </w:pPr>
    </w:p>
    <w:p w14:paraId="40FDD74F">
      <w:pPr>
        <w:spacing w:line="400" w:lineRule="exact"/>
        <w:ind w:firstLine="560"/>
        <w:rPr>
          <w:rFonts w:hint="eastAsia" w:ascii="方正仿宋_GBK" w:hAnsi="方正仿宋_GBK" w:cs="方正仿宋_GBK"/>
          <w:sz w:val="28"/>
          <w:szCs w:val="28"/>
        </w:rPr>
      </w:pPr>
    </w:p>
    <w:p w14:paraId="6539CAF0">
      <w:pPr>
        <w:spacing w:line="400" w:lineRule="exact"/>
        <w:ind w:firstLine="560"/>
        <w:rPr>
          <w:rFonts w:hint="eastAsia" w:ascii="方正仿宋_GBK" w:hAnsi="方正仿宋_GBK" w:cs="方正仿宋_GBK"/>
          <w:sz w:val="28"/>
          <w:szCs w:val="28"/>
        </w:rPr>
      </w:pPr>
    </w:p>
    <w:p w14:paraId="752B3FD6">
      <w:pPr>
        <w:spacing w:line="400" w:lineRule="exact"/>
        <w:ind w:firstLine="560"/>
        <w:rPr>
          <w:rFonts w:hint="eastAsia" w:ascii="方正仿宋_GBK" w:hAnsi="方正仿宋_GBK" w:cs="方正仿宋_GBK"/>
          <w:sz w:val="28"/>
          <w:szCs w:val="28"/>
        </w:rPr>
      </w:pPr>
    </w:p>
    <w:p w14:paraId="173CEF1A">
      <w:pPr>
        <w:spacing w:line="400" w:lineRule="exact"/>
        <w:ind w:firstLine="560"/>
        <w:rPr>
          <w:rFonts w:hint="eastAsia" w:ascii="方正仿宋_GBK" w:hAnsi="方正仿宋_GBK" w:cs="方正仿宋_GBK"/>
          <w:sz w:val="28"/>
          <w:szCs w:val="28"/>
        </w:rPr>
      </w:pPr>
    </w:p>
    <w:p w14:paraId="17AD83C0">
      <w:pPr>
        <w:spacing w:line="400" w:lineRule="exact"/>
        <w:ind w:firstLine="560"/>
        <w:rPr>
          <w:rFonts w:hint="eastAsia" w:ascii="方正仿宋_GBK" w:hAnsi="方正仿宋_GBK" w:cs="方正仿宋_GBK"/>
          <w:sz w:val="28"/>
          <w:szCs w:val="28"/>
        </w:rPr>
      </w:pPr>
    </w:p>
    <w:p w14:paraId="76A42547">
      <w:pPr>
        <w:spacing w:line="400" w:lineRule="exact"/>
        <w:ind w:firstLine="560"/>
        <w:rPr>
          <w:rFonts w:hint="eastAsia" w:ascii="方正仿宋_GBK" w:hAnsi="方正仿宋_GBK" w:cs="方正仿宋_GBK"/>
          <w:bCs/>
          <w:sz w:val="28"/>
          <w:szCs w:val="28"/>
        </w:rPr>
      </w:pPr>
    </w:p>
    <w:p w14:paraId="57A42C3E">
      <w:pPr>
        <w:keepNext/>
        <w:spacing w:line="400" w:lineRule="exact"/>
        <w:jc w:val="center"/>
        <w:outlineLvl w:val="0"/>
        <w:rPr>
          <w:rFonts w:hint="eastAsia" w:ascii="方正黑体_GBK" w:hAnsi="方正黑体_GBK" w:eastAsia="方正黑体_GBK" w:cs="方正黑体_GBK"/>
          <w:color w:val="000000"/>
          <w:sz w:val="28"/>
          <w:szCs w:val="28"/>
        </w:rPr>
        <w:sectPr>
          <w:footerReference r:id="rId6" w:type="first"/>
          <w:headerReference r:id="rId4" w:type="default"/>
          <w:footerReference r:id="rId5" w:type="even"/>
          <w:pgSz w:w="11906" w:h="16838"/>
          <w:pgMar w:top="1418" w:right="1588" w:bottom="1418" w:left="1365" w:header="851" w:footer="907" w:gutter="0"/>
          <w:cols w:space="720" w:num="1"/>
          <w:docGrid w:linePitch="360" w:charSpace="0"/>
        </w:sectPr>
      </w:pPr>
      <w:bookmarkStart w:id="162" w:name="_Toc120614281"/>
    </w:p>
    <w:p w14:paraId="653057C3">
      <w:pPr>
        <w:keepNext/>
        <w:spacing w:line="400" w:lineRule="exact"/>
        <w:jc w:val="center"/>
        <w:outlineLvl w:val="0"/>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第五章  评标方法与评标标准</w:t>
      </w:r>
    </w:p>
    <w:p w14:paraId="0AA3C596">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项目采用综合评分法，评标委员会根据本招标文件规定的评标办法与评标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p>
    <w:p w14:paraId="47DFB4A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100分。</w:t>
      </w:r>
    </w:p>
    <w:p w14:paraId="0E469EE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项目分为4个分包，即分包1、分包2、分包3、分包4。每个投标人在本次招标中最多可对4个分包投标，允许中1个分包。若投标人在前一分包为第一中标候选人，其它分包不再被推荐为第一、第二、第三中标候选人，由排名紧靠其后的投标人依次递补。开标顺序为分包1、分包2、分包3、分包4。</w:t>
      </w:r>
    </w:p>
    <w:tbl>
      <w:tblPr>
        <w:tblStyle w:val="31"/>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08"/>
        <w:gridCol w:w="2183"/>
        <w:gridCol w:w="5134"/>
      </w:tblGrid>
      <w:tr w14:paraId="5C23C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8" w:type="dxa"/>
          </w:tcPr>
          <w:p w14:paraId="6C21539C">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采购包号</w:t>
            </w:r>
          </w:p>
        </w:tc>
        <w:tc>
          <w:tcPr>
            <w:tcW w:w="2183" w:type="dxa"/>
          </w:tcPr>
          <w:p w14:paraId="559180AE">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选取中标候选人数量</w:t>
            </w:r>
          </w:p>
        </w:tc>
        <w:tc>
          <w:tcPr>
            <w:tcW w:w="5134" w:type="dxa"/>
          </w:tcPr>
          <w:p w14:paraId="4A027A89">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选取中标候选人的原则</w:t>
            </w:r>
          </w:p>
        </w:tc>
      </w:tr>
      <w:tr w14:paraId="7D6D8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8" w:type="dxa"/>
            <w:vAlign w:val="center"/>
          </w:tcPr>
          <w:p w14:paraId="63743966">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p>
        </w:tc>
        <w:tc>
          <w:tcPr>
            <w:tcW w:w="2183" w:type="dxa"/>
            <w:vAlign w:val="center"/>
          </w:tcPr>
          <w:p w14:paraId="7CCAE959">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p>
        </w:tc>
        <w:tc>
          <w:tcPr>
            <w:tcW w:w="5134" w:type="dxa"/>
          </w:tcPr>
          <w:p w14:paraId="0F66FFBC">
            <w:pPr>
              <w:spacing w:line="400" w:lineRule="exact"/>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满足招标文件全部实质性要求，且按照评审因素的量化指标评审得分最高的投标人为中标候选人。</w:t>
            </w:r>
          </w:p>
        </w:tc>
      </w:tr>
      <w:tr w14:paraId="3A189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8" w:type="dxa"/>
            <w:vAlign w:val="center"/>
          </w:tcPr>
          <w:p w14:paraId="6D053A30">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w:t>
            </w:r>
          </w:p>
        </w:tc>
        <w:tc>
          <w:tcPr>
            <w:tcW w:w="2183" w:type="dxa"/>
            <w:vAlign w:val="center"/>
          </w:tcPr>
          <w:p w14:paraId="7C9622AB">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p>
        </w:tc>
        <w:tc>
          <w:tcPr>
            <w:tcW w:w="5134" w:type="dxa"/>
          </w:tcPr>
          <w:p w14:paraId="26BCF53B">
            <w:pPr>
              <w:spacing w:line="400" w:lineRule="exact"/>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满足招标文件全部实质性要求，且按照评审因素的量化指标评审得分最高的投标人为中标候选人。</w:t>
            </w:r>
          </w:p>
        </w:tc>
      </w:tr>
      <w:tr w14:paraId="0505B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8" w:type="dxa"/>
            <w:vAlign w:val="center"/>
          </w:tcPr>
          <w:p w14:paraId="5D401E59">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w:t>
            </w:r>
          </w:p>
        </w:tc>
        <w:tc>
          <w:tcPr>
            <w:tcW w:w="2183" w:type="dxa"/>
            <w:vAlign w:val="center"/>
          </w:tcPr>
          <w:p w14:paraId="7FD91352">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p>
        </w:tc>
        <w:tc>
          <w:tcPr>
            <w:tcW w:w="5134" w:type="dxa"/>
          </w:tcPr>
          <w:p w14:paraId="45C72C92">
            <w:pPr>
              <w:spacing w:line="400" w:lineRule="exact"/>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满足招标文件全部实质性要求，且按照评审因素的量化指标评审得分最高的投标人为中标候选人。</w:t>
            </w:r>
          </w:p>
        </w:tc>
      </w:tr>
      <w:tr w14:paraId="59D16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8" w:type="dxa"/>
            <w:vAlign w:val="center"/>
          </w:tcPr>
          <w:p w14:paraId="47AD22C1">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w:t>
            </w:r>
          </w:p>
        </w:tc>
        <w:tc>
          <w:tcPr>
            <w:tcW w:w="2183" w:type="dxa"/>
            <w:vAlign w:val="center"/>
          </w:tcPr>
          <w:p w14:paraId="581B2499">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p>
        </w:tc>
        <w:tc>
          <w:tcPr>
            <w:tcW w:w="5134" w:type="dxa"/>
          </w:tcPr>
          <w:p w14:paraId="2457DD4C">
            <w:pPr>
              <w:spacing w:line="400" w:lineRule="exact"/>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满足招标文件全部实质性要求，且按照评审因素的量化指标评审得分最高的投标人为中标候选人。</w:t>
            </w:r>
          </w:p>
        </w:tc>
      </w:tr>
    </w:tbl>
    <w:p w14:paraId="5242E7F0">
      <w:pPr>
        <w:pStyle w:val="272"/>
        <w:spacing w:line="400" w:lineRule="exact"/>
        <w:ind w:firstLine="560"/>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政府采购政策功能落实</w:t>
      </w:r>
    </w:p>
    <w:p w14:paraId="6BC8B9C7">
      <w:pPr>
        <w:pStyle w:val="272"/>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1.小微型企业价格扣除</w:t>
      </w:r>
    </w:p>
    <w:p w14:paraId="0E8BEE19">
      <w:pPr>
        <w:pStyle w:val="272"/>
        <w:spacing w:line="400" w:lineRule="exact"/>
        <w:ind w:firstLine="560"/>
        <w:rPr>
          <w:rFonts w:hint="eastAsia" w:ascii="宋体" w:hAnsi="宋体"/>
          <w:sz w:val="28"/>
          <w:szCs w:val="28"/>
        </w:rPr>
      </w:pPr>
      <w:r>
        <w:rPr>
          <w:rFonts w:hint="eastAsia" w:ascii="方正仿宋_GBK" w:hAnsi="方正仿宋_GBK" w:eastAsia="方正仿宋_GBK" w:cs="方正仿宋_GBK"/>
          <w:color w:val="000000"/>
          <w:sz w:val="28"/>
          <w:szCs w:val="28"/>
        </w:rPr>
        <w:t>（1）本项目对小型和微型企业提供的服务给予10%的扣除价格，用扣除后的价格参与评审。</w:t>
      </w:r>
    </w:p>
    <w:p w14:paraId="2939F0A7">
      <w:pPr>
        <w:pStyle w:val="272"/>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（2）供应商需按照采购文件的要求提供相应的《中小微企业声明函》。</w:t>
      </w:r>
    </w:p>
    <w:p w14:paraId="2ED1F9A8">
      <w:pPr>
        <w:pStyle w:val="272"/>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2.残疾人福利单位价格扣除</w:t>
      </w:r>
    </w:p>
    <w:p w14:paraId="48636458">
      <w:pPr>
        <w:pStyle w:val="272"/>
        <w:spacing w:line="400" w:lineRule="exact"/>
        <w:ind w:left="120" w:firstLine="560"/>
        <w:rPr>
          <w:rFonts w:hint="eastAsia" w:ascii="宋体" w:hAnsi="宋体"/>
          <w:sz w:val="28"/>
          <w:szCs w:val="28"/>
        </w:rPr>
      </w:pPr>
      <w:r>
        <w:rPr>
          <w:rFonts w:hint="eastAsia" w:ascii="方正仿宋_GBK" w:hAnsi="方正仿宋_GBK" w:eastAsia="方正仿宋_GBK" w:cs="方正仿宋_GBK"/>
          <w:color w:val="000000"/>
          <w:sz w:val="28"/>
          <w:szCs w:val="28"/>
        </w:rPr>
        <w:t>（1）本项目对残疾人福利性单位视同小型、微型企业，给予10%的价格扣除，用扣除后的价格参与评审。</w:t>
      </w:r>
    </w:p>
    <w:p w14:paraId="280D544B">
      <w:pPr>
        <w:pStyle w:val="272"/>
        <w:spacing w:line="400" w:lineRule="exact"/>
        <w:ind w:left="120"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（2）残疾人福利单位需按照采购文件的要求提供《残疾人福利性单位声明函》。</w:t>
      </w:r>
    </w:p>
    <w:p w14:paraId="2267904C">
      <w:pPr>
        <w:pStyle w:val="272"/>
        <w:spacing w:line="400" w:lineRule="exact"/>
        <w:ind w:left="120"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（3）残疾人福利单位标准请参照《关于促进残疾人就业政府采购政策的通知》（财库〔2017〕141号）。</w:t>
      </w:r>
    </w:p>
    <w:p w14:paraId="7A177F49">
      <w:pPr>
        <w:pStyle w:val="272"/>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3.监狱和戒毒企业价格扣除</w:t>
      </w:r>
    </w:p>
    <w:p w14:paraId="727AFEE4">
      <w:pPr>
        <w:pStyle w:val="272"/>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（1）本项目对监狱和戒毒企业（简称监狱企业）视同小型、微型企业，给予10%的价格扣除，用扣除后的价格参与评审。</w:t>
      </w:r>
    </w:p>
    <w:p w14:paraId="739155E7">
      <w:pPr>
        <w:pStyle w:val="272"/>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29998078">
      <w:pPr>
        <w:pStyle w:val="272"/>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（3）监狱企业标准请参照《关于政府采购支持监狱企业发展有关问题的通知》（财库〔2014〕68号）。</w:t>
      </w:r>
    </w:p>
    <w:p w14:paraId="00E257AF">
      <w:pPr>
        <w:pStyle w:val="272"/>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4.残疾人福利单位、监狱企业属于小型、微型企业的，不重复享受政策。</w:t>
      </w:r>
    </w:p>
    <w:p w14:paraId="064A911F">
      <w:pPr>
        <w:pStyle w:val="272"/>
        <w:spacing w:line="400" w:lineRule="exact"/>
        <w:ind w:firstLine="560"/>
        <w:rPr>
          <w:rFonts w:hint="eastAsia" w:ascii="宋体" w:hAnsi="宋体"/>
          <w:sz w:val="28"/>
          <w:szCs w:val="28"/>
        </w:rPr>
      </w:pPr>
      <w:r>
        <w:rPr>
          <w:rFonts w:hint="eastAsia" w:ascii="方正仿宋_GBK" w:hAnsi="方正仿宋_GBK" w:eastAsia="方正仿宋_GBK" w:cs="方正仿宋_GBK"/>
          <w:color w:val="000000"/>
          <w:sz w:val="28"/>
          <w:szCs w:val="28"/>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75ADFCBF">
      <w:pPr>
        <w:pStyle w:val="272"/>
        <w:spacing w:line="400" w:lineRule="exact"/>
        <w:ind w:firstLine="560"/>
        <w:rPr>
          <w:rFonts w:hint="eastAsia" w:ascii="宋体" w:hAnsi="宋体"/>
          <w:sz w:val="28"/>
          <w:szCs w:val="28"/>
        </w:rPr>
      </w:pPr>
      <w:r>
        <w:rPr>
          <w:rFonts w:hint="eastAsia" w:ascii="方正仿宋_GBK" w:hAnsi="方正仿宋_GBK" w:eastAsia="方正仿宋_GBK" w:cs="方正仿宋_GBK"/>
          <w:color w:val="000000"/>
          <w:sz w:val="28"/>
          <w:szCs w:val="28"/>
        </w:rPr>
        <w:t>6.联合体各方均为小型、微型企业（残疾人福利单位、监狱企业）的，联合体享受10%价格扣除，用扣除后的价格参与评审。</w:t>
      </w:r>
    </w:p>
    <w:p w14:paraId="2EC61059">
      <w:pPr>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7.采购本国产品的支持政策</w:t>
      </w:r>
    </w:p>
    <w:p w14:paraId="7F6E0291">
      <w:pPr>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80%</w:t>
      </w:r>
      <w:r>
        <w:rPr>
          <w:rFonts w:hint="eastAsia" w:ascii="方正仿宋_GBK" w:hAnsi="方正仿宋_GBK" w:eastAsia="方正仿宋_GBK" w:cs="方正仿宋_GBK"/>
          <w:sz w:val="28"/>
          <w:szCs w:val="28"/>
        </w:rPr>
        <w:t>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20%</w:t>
      </w:r>
      <w:r>
        <w:rPr>
          <w:rFonts w:hint="eastAsia" w:ascii="方正仿宋_GBK" w:hAnsi="方正仿宋_GBK" w:eastAsia="方正仿宋_GBK" w:cs="方正仿宋_GBK"/>
          <w:sz w:val="28"/>
          <w:szCs w:val="28"/>
        </w:rPr>
        <w:t>的价格扣除，用扣除后的价格参与评审。供应商未填写比例数值，或比例数值不足</w:t>
      </w:r>
      <w:r>
        <w:rPr>
          <w:rFonts w:hint="eastAsia" w:ascii="方正仿宋_GBK" w:hAnsi="方正仿宋_GBK" w:eastAsia="方正仿宋_GBK" w:cs="方正仿宋_GBK"/>
          <w:sz w:val="28"/>
          <w:szCs w:val="28"/>
          <w:u w:val="single"/>
        </w:rPr>
        <w:t>80%</w:t>
      </w:r>
      <w:r>
        <w:rPr>
          <w:rFonts w:hint="eastAsia" w:ascii="方正仿宋_GBK" w:hAnsi="方正仿宋_GBK" w:eastAsia="方正仿宋_GBK" w:cs="方正仿宋_GBK"/>
          <w:sz w:val="28"/>
          <w:szCs w:val="28"/>
        </w:rPr>
        <w:t>的，将不享受本国产品价格评审优惠。</w:t>
      </w:r>
    </w:p>
    <w:p w14:paraId="3A656585">
      <w:pPr>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7.2 供应商需按照招标文件的要求提供《关于符合本国产品标准的声明函》（以下简称《声明函》），如不提供将不享受本国产品价格评审优惠。</w:t>
      </w:r>
    </w:p>
    <w:p w14:paraId="5EF46812">
      <w:pPr>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  ”</w:t>
      </w:r>
      <w:r>
        <w:rPr>
          <w:rFonts w:hint="eastAsia" w:ascii="方正仿宋_GBK" w:hAnsi="方正仿宋_GBK" w:eastAsia="方正仿宋_GBK" w:cs="方正仿宋_GBK"/>
          <w:sz w:val="28"/>
          <w:szCs w:val="28"/>
        </w:rPr>
        <w:t>的地方无需填写），三项信息中任意一项未填写的视为该项产品不符合本国产品标准，不享受本国产品价格评审优惠。</w:t>
      </w:r>
    </w:p>
    <w:p w14:paraId="614962B0">
      <w:pPr>
        <w:spacing w:line="400" w:lineRule="exact"/>
        <w:ind w:firstLine="560"/>
        <w:jc w:val="left"/>
        <w:rPr>
          <w:rFonts w:hint="eastAsia" w:ascii="宋体" w:hAnsi="宋体"/>
          <w:b/>
          <w:sz w:val="28"/>
          <w:szCs w:val="28"/>
        </w:rPr>
      </w:pPr>
      <w:r>
        <w:rPr>
          <w:rFonts w:hint="eastAsia" w:ascii="方正仿宋_GBK" w:hAnsi="方正仿宋_GBK" w:eastAsia="方正仿宋_GBK" w:cs="方正仿宋_GBK"/>
          <w:sz w:val="28"/>
          <w:szCs w:val="28"/>
        </w:rPr>
        <w:t>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75BE635">
      <w:pPr>
        <w:spacing w:before="120" w:after="120" w:line="400" w:lineRule="exact"/>
        <w:ind w:firstLine="560"/>
        <w:jc w:val="lef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评标方法与评标标准</w:t>
      </w:r>
    </w:p>
    <w:tbl>
      <w:tblPr>
        <w:tblStyle w:val="31"/>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215"/>
        <w:gridCol w:w="7194"/>
        <w:gridCol w:w="709"/>
      </w:tblGrid>
      <w:tr w14:paraId="25B1D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8" w:type="dxa"/>
            <w:tcBorders>
              <w:top w:val="single" w:color="auto" w:sz="4" w:space="0"/>
              <w:left w:val="single" w:color="auto" w:sz="4" w:space="0"/>
              <w:bottom w:val="single" w:color="auto" w:sz="4" w:space="0"/>
              <w:right w:val="single" w:color="auto" w:sz="4" w:space="0"/>
            </w:tcBorders>
            <w:vAlign w:val="bottom"/>
          </w:tcPr>
          <w:p w14:paraId="7B9B6B26">
            <w:pPr>
              <w:spacing w:line="276" w:lineRule="auto"/>
              <w:jc w:val="center"/>
              <w:rPr>
                <w:rFonts w:hint="eastAsia" w:ascii="方正仿宋_GB2312" w:hAnsi="方正仿宋_GB2312" w:eastAsia="方正仿宋_GB2312" w:cs="方正仿宋_GB2312"/>
                <w:b/>
                <w:color w:val="000000" w:themeColor="text1"/>
                <w14:textFill>
                  <w14:solidFill>
                    <w14:schemeClr w14:val="tx1"/>
                  </w14:solidFill>
                </w14:textFill>
              </w:rPr>
            </w:pPr>
            <w:r>
              <w:rPr>
                <w:rFonts w:hint="eastAsia" w:ascii="方正仿宋_GB2312" w:hAnsi="方正仿宋_GB2312" w:eastAsia="方正仿宋_GB2312" w:cs="方正仿宋_GB2312"/>
                <w:b/>
                <w:color w:val="000000" w:themeColor="text1"/>
                <w14:textFill>
                  <w14:solidFill>
                    <w14:schemeClr w14:val="tx1"/>
                  </w14:solidFill>
                </w14:textFill>
              </w:rPr>
              <w:t>序号</w:t>
            </w:r>
          </w:p>
        </w:tc>
        <w:tc>
          <w:tcPr>
            <w:tcW w:w="1215" w:type="dxa"/>
            <w:tcBorders>
              <w:top w:val="single" w:color="auto" w:sz="4" w:space="0"/>
              <w:left w:val="single" w:color="auto" w:sz="4" w:space="0"/>
              <w:bottom w:val="single" w:color="auto" w:sz="4" w:space="0"/>
              <w:right w:val="single" w:color="auto" w:sz="4" w:space="0"/>
            </w:tcBorders>
            <w:vAlign w:val="bottom"/>
          </w:tcPr>
          <w:p w14:paraId="146A803A">
            <w:pPr>
              <w:spacing w:line="276" w:lineRule="auto"/>
              <w:jc w:val="center"/>
              <w:rPr>
                <w:rFonts w:hint="eastAsia" w:ascii="方正仿宋_GB2312" w:hAnsi="方正仿宋_GB2312" w:eastAsia="方正仿宋_GB2312" w:cs="方正仿宋_GB2312"/>
                <w:b/>
                <w:color w:val="000000" w:themeColor="text1"/>
                <w14:textFill>
                  <w14:solidFill>
                    <w14:schemeClr w14:val="tx1"/>
                  </w14:solidFill>
                </w14:textFill>
              </w:rPr>
            </w:pPr>
            <w:r>
              <w:rPr>
                <w:rFonts w:hint="eastAsia" w:ascii="方正仿宋_GB2312" w:hAnsi="方正仿宋_GB2312" w:eastAsia="方正仿宋_GB2312" w:cs="方正仿宋_GB2312"/>
                <w:b/>
                <w:color w:val="000000" w:themeColor="text1"/>
                <w14:textFill>
                  <w14:solidFill>
                    <w14:schemeClr w14:val="tx1"/>
                  </w14:solidFill>
                </w14:textFill>
              </w:rPr>
              <w:t>评分因素</w:t>
            </w:r>
          </w:p>
        </w:tc>
        <w:tc>
          <w:tcPr>
            <w:tcW w:w="7194" w:type="dxa"/>
            <w:tcBorders>
              <w:top w:val="single" w:color="auto" w:sz="4" w:space="0"/>
              <w:left w:val="single" w:color="auto" w:sz="4" w:space="0"/>
              <w:bottom w:val="single" w:color="auto" w:sz="4" w:space="0"/>
              <w:right w:val="single" w:color="auto" w:sz="4" w:space="0"/>
            </w:tcBorders>
            <w:vAlign w:val="bottom"/>
          </w:tcPr>
          <w:p w14:paraId="54C5E871">
            <w:pPr>
              <w:spacing w:line="276" w:lineRule="auto"/>
              <w:jc w:val="center"/>
              <w:rPr>
                <w:rFonts w:hint="eastAsia" w:ascii="方正仿宋_GB2312" w:hAnsi="方正仿宋_GB2312" w:eastAsia="方正仿宋_GB2312" w:cs="方正仿宋_GB2312"/>
                <w:b/>
                <w:color w:val="000000" w:themeColor="text1"/>
                <w14:textFill>
                  <w14:solidFill>
                    <w14:schemeClr w14:val="tx1"/>
                  </w14:solidFill>
                </w14:textFill>
              </w:rPr>
            </w:pPr>
            <w:r>
              <w:rPr>
                <w:rFonts w:hint="eastAsia" w:ascii="方正仿宋_GB2312" w:hAnsi="方正仿宋_GB2312" w:eastAsia="方正仿宋_GB2312" w:cs="方正仿宋_GB2312"/>
                <w:b/>
                <w:color w:val="000000" w:themeColor="text1"/>
                <w14:textFill>
                  <w14:solidFill>
                    <w14:schemeClr w14:val="tx1"/>
                  </w14:solidFill>
                </w14:textFill>
              </w:rPr>
              <w:t>评审标准</w:t>
            </w:r>
          </w:p>
        </w:tc>
        <w:tc>
          <w:tcPr>
            <w:tcW w:w="709" w:type="dxa"/>
            <w:tcBorders>
              <w:top w:val="single" w:color="auto" w:sz="4" w:space="0"/>
              <w:left w:val="single" w:color="auto" w:sz="4" w:space="0"/>
              <w:bottom w:val="single" w:color="auto" w:sz="4" w:space="0"/>
              <w:right w:val="single" w:color="auto" w:sz="4" w:space="0"/>
            </w:tcBorders>
            <w:vAlign w:val="bottom"/>
          </w:tcPr>
          <w:p w14:paraId="477319CE">
            <w:pPr>
              <w:spacing w:line="276" w:lineRule="auto"/>
              <w:jc w:val="center"/>
              <w:rPr>
                <w:rFonts w:hint="eastAsia" w:ascii="方正仿宋_GB2312" w:hAnsi="方正仿宋_GB2312" w:eastAsia="方正仿宋_GB2312" w:cs="方正仿宋_GB2312"/>
                <w:b/>
                <w:color w:val="000000" w:themeColor="text1"/>
                <w14:textFill>
                  <w14:solidFill>
                    <w14:schemeClr w14:val="tx1"/>
                  </w14:solidFill>
                </w14:textFill>
              </w:rPr>
            </w:pPr>
            <w:r>
              <w:rPr>
                <w:rFonts w:hint="eastAsia" w:ascii="方正仿宋_GB2312" w:hAnsi="方正仿宋_GB2312" w:eastAsia="方正仿宋_GB2312" w:cs="方正仿宋_GB2312"/>
                <w:b/>
                <w:color w:val="000000" w:themeColor="text1"/>
                <w14:textFill>
                  <w14:solidFill>
                    <w14:schemeClr w14:val="tx1"/>
                  </w14:solidFill>
                </w14:textFill>
              </w:rPr>
              <w:t>分值</w:t>
            </w:r>
          </w:p>
        </w:tc>
      </w:tr>
      <w:tr w14:paraId="6DD5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8" w:type="dxa"/>
            <w:tcBorders>
              <w:top w:val="single" w:color="auto" w:sz="4" w:space="0"/>
              <w:left w:val="single" w:color="auto" w:sz="4" w:space="0"/>
              <w:bottom w:val="single" w:color="auto" w:sz="4" w:space="0"/>
              <w:right w:val="single" w:color="auto" w:sz="4" w:space="0"/>
            </w:tcBorders>
            <w:vAlign w:val="center"/>
          </w:tcPr>
          <w:p w14:paraId="337C5CE1">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1</w:t>
            </w:r>
          </w:p>
        </w:tc>
        <w:tc>
          <w:tcPr>
            <w:tcW w:w="1215" w:type="dxa"/>
            <w:tcBorders>
              <w:top w:val="single" w:color="auto" w:sz="4" w:space="0"/>
              <w:left w:val="single" w:color="auto" w:sz="4" w:space="0"/>
              <w:bottom w:val="single" w:color="auto" w:sz="4" w:space="0"/>
              <w:right w:val="single" w:color="auto" w:sz="4" w:space="0"/>
            </w:tcBorders>
            <w:vAlign w:val="center"/>
          </w:tcPr>
          <w:p w14:paraId="4503F82F">
            <w:pPr>
              <w:spacing w:line="276" w:lineRule="auto"/>
              <w:jc w:val="center"/>
              <w:rPr>
                <w:rFonts w:hint="eastAsia" w:ascii="方正仿宋_GB2312" w:hAnsi="方正仿宋_GB2312" w:eastAsia="方正仿宋_GB2312" w:cs="方正仿宋_GB2312"/>
                <w:b/>
                <w:color w:val="000000" w:themeColor="text1"/>
                <w14:textFill>
                  <w14:solidFill>
                    <w14:schemeClr w14:val="tx1"/>
                  </w14:solidFill>
                </w14:textFill>
              </w:rPr>
            </w:pPr>
            <w:r>
              <w:rPr>
                <w:rFonts w:hint="eastAsia" w:ascii="方正仿宋_GB2312" w:hAnsi="方正仿宋_GB2312" w:eastAsia="方正仿宋_GB2312" w:cs="方正仿宋_GB2312"/>
                <w:b/>
                <w:color w:val="000000" w:themeColor="text1"/>
                <w14:textFill>
                  <w14:solidFill>
                    <w14:schemeClr w14:val="tx1"/>
                  </w14:solidFill>
                </w14:textFill>
              </w:rPr>
              <w:t>价格</w:t>
            </w:r>
          </w:p>
          <w:p w14:paraId="4454F1C0">
            <w:pPr>
              <w:spacing w:line="276" w:lineRule="auto"/>
              <w:jc w:val="center"/>
              <w:rPr>
                <w:rFonts w:hint="eastAsia" w:ascii="方正仿宋_GB2312" w:hAnsi="方正仿宋_GB2312" w:eastAsia="方正仿宋_GB2312" w:cs="方正仿宋_GB2312"/>
                <w:b/>
                <w:color w:val="000000" w:themeColor="text1"/>
                <w14:textFill>
                  <w14:solidFill>
                    <w14:schemeClr w14:val="tx1"/>
                  </w14:solidFill>
                </w14:textFill>
              </w:rPr>
            </w:pPr>
            <w:r>
              <w:rPr>
                <w:rFonts w:hint="eastAsia" w:ascii="方正仿宋_GB2312" w:hAnsi="方正仿宋_GB2312" w:eastAsia="方正仿宋_GB2312" w:cs="方正仿宋_GB2312"/>
                <w:b/>
                <w:color w:val="000000" w:themeColor="text1"/>
                <w14:textFill>
                  <w14:solidFill>
                    <w14:schemeClr w14:val="tx1"/>
                  </w14:solidFill>
                </w14:textFill>
              </w:rPr>
              <w:t>10分</w:t>
            </w:r>
          </w:p>
        </w:tc>
        <w:tc>
          <w:tcPr>
            <w:tcW w:w="7194" w:type="dxa"/>
            <w:tcBorders>
              <w:top w:val="single" w:color="auto" w:sz="4" w:space="0"/>
              <w:left w:val="single" w:color="auto" w:sz="4" w:space="0"/>
              <w:bottom w:val="single" w:color="auto" w:sz="4" w:space="0"/>
              <w:right w:val="single" w:color="auto" w:sz="4" w:space="0"/>
            </w:tcBorders>
            <w:vAlign w:val="center"/>
          </w:tcPr>
          <w:p w14:paraId="09CB21F4">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1）评标价=投标人开标一览表中报价</w:t>
            </w:r>
          </w:p>
          <w:p w14:paraId="50E240E4">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（小微企业应扣除10%的价格参与评审）。</w:t>
            </w:r>
          </w:p>
          <w:p w14:paraId="12E04DF6">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2）评标基准价：所有通过资格性审查、符合性审查及异常低价投标审查（如有）的评标价的最低报价为评标基准价。</w:t>
            </w:r>
          </w:p>
          <w:p w14:paraId="421B95C2">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3）投标报价得分＝（评标基准价/评标价）×10。</w:t>
            </w:r>
          </w:p>
          <w:p w14:paraId="374D0094">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（注：保留小数点后两位，小数点后第三位“四舍五入”；对小型和微型企业产品的价格给予10%的扣除，用扣除后的价格参与评审。）</w:t>
            </w:r>
          </w:p>
        </w:tc>
        <w:tc>
          <w:tcPr>
            <w:tcW w:w="709" w:type="dxa"/>
            <w:tcBorders>
              <w:top w:val="single" w:color="auto" w:sz="4" w:space="0"/>
              <w:left w:val="single" w:color="auto" w:sz="4" w:space="0"/>
              <w:bottom w:val="single" w:color="auto" w:sz="4" w:space="0"/>
              <w:right w:val="single" w:color="auto" w:sz="4" w:space="0"/>
            </w:tcBorders>
            <w:vAlign w:val="center"/>
          </w:tcPr>
          <w:p w14:paraId="201C0416">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10</w:t>
            </w:r>
          </w:p>
        </w:tc>
      </w:tr>
      <w:tr w14:paraId="48CF9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8" w:type="dxa"/>
            <w:tcBorders>
              <w:top w:val="single" w:color="auto" w:sz="4" w:space="0"/>
              <w:left w:val="single" w:color="auto" w:sz="4" w:space="0"/>
              <w:right w:val="single" w:color="auto" w:sz="4" w:space="0"/>
            </w:tcBorders>
            <w:vAlign w:val="center"/>
          </w:tcPr>
          <w:p w14:paraId="322B83B7">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2</w:t>
            </w:r>
          </w:p>
          <w:p w14:paraId="4A68C03F">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p>
        </w:tc>
        <w:tc>
          <w:tcPr>
            <w:tcW w:w="1215" w:type="dxa"/>
            <w:tcBorders>
              <w:top w:val="single" w:color="auto" w:sz="4" w:space="0"/>
              <w:left w:val="single" w:color="auto" w:sz="4" w:space="0"/>
              <w:bottom w:val="single" w:color="auto" w:sz="4" w:space="0"/>
              <w:right w:val="single" w:color="auto" w:sz="4" w:space="0"/>
            </w:tcBorders>
            <w:vAlign w:val="center"/>
          </w:tcPr>
          <w:p w14:paraId="2FA416A4">
            <w:pPr>
              <w:spacing w:line="276" w:lineRule="auto"/>
              <w:jc w:val="center"/>
              <w:rPr>
                <w:rFonts w:hint="eastAsia" w:ascii="方正仿宋_GB2312" w:hAnsi="方正仿宋_GB2312" w:eastAsia="方正仿宋_GB2312" w:cs="方正仿宋_GB2312"/>
                <w:b/>
                <w:color w:val="000000" w:themeColor="text1"/>
                <w14:textFill>
                  <w14:solidFill>
                    <w14:schemeClr w14:val="tx1"/>
                  </w14:solidFill>
                </w14:textFill>
              </w:rPr>
            </w:pPr>
            <w:r>
              <w:rPr>
                <w:rFonts w:hint="eastAsia" w:ascii="方正仿宋_GB2312" w:hAnsi="方正仿宋_GB2312" w:eastAsia="方正仿宋_GB2312" w:cs="方正仿宋_GB2312"/>
                <w:b/>
                <w:color w:val="000000" w:themeColor="text1"/>
                <w14:textFill>
                  <w14:solidFill>
                    <w14:schemeClr w14:val="tx1"/>
                  </w14:solidFill>
                </w14:textFill>
              </w:rPr>
              <w:t>技术方案</w:t>
            </w:r>
          </w:p>
          <w:p w14:paraId="45055EAE">
            <w:pPr>
              <w:spacing w:line="276" w:lineRule="auto"/>
              <w:jc w:val="center"/>
              <w:rPr>
                <w:rFonts w:hint="eastAsia" w:ascii="方正仿宋_GB2312" w:hAnsi="方正仿宋_GB2312" w:eastAsia="方正仿宋_GB2312" w:cs="方正仿宋_GB2312"/>
                <w:b/>
                <w:color w:val="000000" w:themeColor="text1"/>
                <w14:textFill>
                  <w14:solidFill>
                    <w14:schemeClr w14:val="tx1"/>
                  </w14:solidFill>
                </w14:textFill>
              </w:rPr>
            </w:pPr>
            <w:r>
              <w:rPr>
                <w:rFonts w:hint="eastAsia" w:ascii="方正仿宋_GB2312" w:hAnsi="方正仿宋_GB2312" w:eastAsia="方正仿宋_GB2312" w:cs="方正仿宋_GB2312"/>
                <w:b/>
                <w:color w:val="000000" w:themeColor="text1"/>
                <w14:textFill>
                  <w14:solidFill>
                    <w14:schemeClr w14:val="tx1"/>
                  </w14:solidFill>
                </w14:textFill>
              </w:rPr>
              <w:t>30分</w:t>
            </w:r>
          </w:p>
        </w:tc>
        <w:tc>
          <w:tcPr>
            <w:tcW w:w="7194" w:type="dxa"/>
            <w:tcBorders>
              <w:top w:val="single" w:color="auto" w:sz="4" w:space="0"/>
              <w:left w:val="single" w:color="auto" w:sz="4" w:space="0"/>
              <w:bottom w:val="single" w:color="auto" w:sz="4" w:space="0"/>
              <w:right w:val="single" w:color="auto" w:sz="4" w:space="0"/>
            </w:tcBorders>
            <w:vAlign w:val="center"/>
          </w:tcPr>
          <w:p w14:paraId="7A0E0F86">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服务工作方案（包括：对城镇排水工作尤其是污水收集处理工作的认识；开展技术指导工作的整体设想和总体计划；技术指导工作重点、难点及措施；服务效果承诺等），满分为30分。</w:t>
            </w:r>
          </w:p>
          <w:p w14:paraId="0876917A">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整体认识准确，工作范围和频次符合要求，工作内容丰富全面，工作思路清晰，能准确把握工作重点、难点，分析透彻，工作组织和计划安排周全，得30分；</w:t>
            </w:r>
          </w:p>
          <w:p w14:paraId="47B7AA4B">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整体认识较准确，工作范围和频次符合要求，工作内容较全面，工作思路较清晰，能抓住工作重点、难点，分析达到一定深度的，得25分；</w:t>
            </w:r>
          </w:p>
          <w:p w14:paraId="6C0CE931">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整体认识基本准确，工作范围和频次符合要求，工作思路清晰，基本能抓住工作重点、难点，分析深度一般，得20分；</w:t>
            </w:r>
          </w:p>
          <w:p w14:paraId="465AF6DC">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整体认识较一般，思路一般的，得15分；</w:t>
            </w:r>
          </w:p>
          <w:p w14:paraId="2ABD2BB7">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整体认识较差的，得5分；</w:t>
            </w:r>
          </w:p>
          <w:p w14:paraId="3642E47F">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未提供的得0分。</w:t>
            </w:r>
          </w:p>
        </w:tc>
        <w:tc>
          <w:tcPr>
            <w:tcW w:w="709" w:type="dxa"/>
            <w:tcBorders>
              <w:top w:val="single" w:color="auto" w:sz="4" w:space="0"/>
              <w:left w:val="single" w:color="auto" w:sz="4" w:space="0"/>
              <w:bottom w:val="single" w:color="auto" w:sz="4" w:space="0"/>
              <w:right w:val="single" w:color="auto" w:sz="4" w:space="0"/>
            </w:tcBorders>
            <w:vAlign w:val="center"/>
          </w:tcPr>
          <w:p w14:paraId="3F44ADE2">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30</w:t>
            </w:r>
          </w:p>
        </w:tc>
      </w:tr>
      <w:tr w14:paraId="0384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8" w:type="dxa"/>
            <w:vMerge w:val="restart"/>
            <w:tcBorders>
              <w:left w:val="single" w:color="auto" w:sz="4" w:space="0"/>
              <w:right w:val="single" w:color="auto" w:sz="4" w:space="0"/>
            </w:tcBorders>
            <w:vAlign w:val="center"/>
          </w:tcPr>
          <w:p w14:paraId="5EF253F8">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3</w:t>
            </w:r>
          </w:p>
        </w:tc>
        <w:tc>
          <w:tcPr>
            <w:tcW w:w="1215" w:type="dxa"/>
            <w:vMerge w:val="restart"/>
            <w:tcBorders>
              <w:top w:val="single" w:color="auto" w:sz="4" w:space="0"/>
              <w:left w:val="single" w:color="auto" w:sz="4" w:space="0"/>
              <w:right w:val="single" w:color="auto" w:sz="4" w:space="0"/>
            </w:tcBorders>
            <w:vAlign w:val="center"/>
          </w:tcPr>
          <w:p w14:paraId="118C4396">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b/>
                <w:color w:val="000000" w:themeColor="text1"/>
                <w14:textFill>
                  <w14:solidFill>
                    <w14:schemeClr w14:val="tx1"/>
                  </w14:solidFill>
                </w14:textFill>
              </w:rPr>
              <w:t>供应商实力35分</w:t>
            </w:r>
          </w:p>
        </w:tc>
        <w:tc>
          <w:tcPr>
            <w:tcW w:w="7194" w:type="dxa"/>
            <w:tcBorders>
              <w:top w:val="single" w:color="auto" w:sz="4" w:space="0"/>
              <w:left w:val="single" w:color="auto" w:sz="4" w:space="0"/>
              <w:bottom w:val="single" w:color="auto" w:sz="4" w:space="0"/>
              <w:right w:val="single" w:color="auto" w:sz="4" w:space="0"/>
            </w:tcBorders>
            <w:vAlign w:val="center"/>
          </w:tcPr>
          <w:p w14:paraId="4D0999F3">
            <w:pPr>
              <w:pStyle w:val="305"/>
              <w:jc w:val="left"/>
              <w:rPr>
                <w:rFonts w:hint="eastAsia" w:ascii="方正仿宋_GB2312" w:hAnsi="方正仿宋_GB2312" w:eastAsia="方正仿宋_GB2312" w:cs="方正仿宋_GB2312"/>
                <w:color w:val="000000" w:themeColor="text1"/>
                <w:sz w:val="21"/>
                <w:szCs w:val="21"/>
                <w14:textFill>
                  <w14:solidFill>
                    <w14:schemeClr w14:val="tx1"/>
                  </w14:solidFill>
                </w14:textFill>
              </w:rPr>
            </w:pPr>
            <w:r>
              <w:rPr>
                <w:rFonts w:hint="eastAsia" w:ascii="方正仿宋_GB2312" w:hAnsi="方正仿宋_GB2312" w:eastAsia="方正仿宋_GB2312" w:cs="方正仿宋_GB2312"/>
                <w:color w:val="000000" w:themeColor="text1"/>
                <w:sz w:val="21"/>
                <w:szCs w:val="21"/>
                <w14:textFill>
                  <w14:solidFill>
                    <w14:schemeClr w14:val="tx1"/>
                  </w14:solidFill>
                </w14:textFill>
              </w:rPr>
              <w:t>2021年1月1日以来参与省级及以上排水、污水处理相关指南、导则、标准编制，有一个得5分，最高得10分。须提供相关证明材料复印件，加盖公章。</w:t>
            </w:r>
          </w:p>
        </w:tc>
        <w:tc>
          <w:tcPr>
            <w:tcW w:w="709" w:type="dxa"/>
            <w:tcBorders>
              <w:top w:val="single" w:color="auto" w:sz="4" w:space="0"/>
              <w:left w:val="single" w:color="auto" w:sz="4" w:space="0"/>
              <w:bottom w:val="single" w:color="auto" w:sz="4" w:space="0"/>
              <w:right w:val="single" w:color="auto" w:sz="4" w:space="0"/>
            </w:tcBorders>
            <w:vAlign w:val="center"/>
          </w:tcPr>
          <w:p w14:paraId="0463CB8F">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10</w:t>
            </w:r>
          </w:p>
        </w:tc>
      </w:tr>
      <w:tr w14:paraId="68EB7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8" w:type="dxa"/>
            <w:vMerge w:val="continue"/>
            <w:tcBorders>
              <w:left w:val="single" w:color="auto" w:sz="4" w:space="0"/>
              <w:right w:val="single" w:color="auto" w:sz="4" w:space="0"/>
            </w:tcBorders>
            <w:vAlign w:val="center"/>
          </w:tcPr>
          <w:p w14:paraId="1B1E4D39">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p>
        </w:tc>
        <w:tc>
          <w:tcPr>
            <w:tcW w:w="1215" w:type="dxa"/>
            <w:vMerge w:val="continue"/>
            <w:tcBorders>
              <w:top w:val="single" w:color="auto" w:sz="4" w:space="0"/>
              <w:left w:val="single" w:color="auto" w:sz="4" w:space="0"/>
              <w:right w:val="single" w:color="auto" w:sz="4" w:space="0"/>
            </w:tcBorders>
            <w:vAlign w:val="center"/>
          </w:tcPr>
          <w:p w14:paraId="7485347C">
            <w:pPr>
              <w:spacing w:line="276" w:lineRule="auto"/>
              <w:jc w:val="center"/>
              <w:rPr>
                <w:rFonts w:hint="eastAsia" w:ascii="方正仿宋_GB2312" w:hAnsi="方正仿宋_GB2312" w:eastAsia="方正仿宋_GB2312" w:cs="方正仿宋_GB2312"/>
                <w:b/>
                <w:color w:val="000000" w:themeColor="text1"/>
                <w14:textFill>
                  <w14:solidFill>
                    <w14:schemeClr w14:val="tx1"/>
                  </w14:solidFill>
                </w14:textFill>
              </w:rPr>
            </w:pPr>
          </w:p>
        </w:tc>
        <w:tc>
          <w:tcPr>
            <w:tcW w:w="7194" w:type="dxa"/>
            <w:tcBorders>
              <w:top w:val="single" w:color="auto" w:sz="4" w:space="0"/>
              <w:left w:val="single" w:color="auto" w:sz="4" w:space="0"/>
              <w:bottom w:val="single" w:color="auto" w:sz="4" w:space="0"/>
              <w:right w:val="single" w:color="auto" w:sz="4" w:space="0"/>
            </w:tcBorders>
            <w:vAlign w:val="center"/>
          </w:tcPr>
          <w:p w14:paraId="353B5C67">
            <w:pPr>
              <w:pStyle w:val="305"/>
              <w:jc w:val="left"/>
              <w:rPr>
                <w:rFonts w:hint="eastAsia" w:ascii="方正仿宋_GB2312" w:hAnsi="方正仿宋_GB2312" w:eastAsia="方正仿宋_GB2312" w:cs="方正仿宋_GB2312"/>
                <w:color w:val="000000" w:themeColor="text1"/>
                <w:sz w:val="21"/>
                <w:szCs w:val="21"/>
                <w14:textFill>
                  <w14:solidFill>
                    <w14:schemeClr w14:val="tx1"/>
                  </w14:solidFill>
                </w14:textFill>
              </w:rPr>
            </w:pPr>
            <w:r>
              <w:rPr>
                <w:rFonts w:hint="eastAsia" w:ascii="方正仿宋_GB2312" w:hAnsi="方正仿宋_GB2312" w:eastAsia="方正仿宋_GB2312" w:cs="方正仿宋_GB2312"/>
                <w:color w:val="000000" w:themeColor="text1"/>
                <w:sz w:val="21"/>
                <w:szCs w:val="21"/>
                <w14:textFill>
                  <w14:solidFill>
                    <w14:schemeClr w14:val="tx1"/>
                  </w14:solidFill>
                </w14:textFill>
              </w:rPr>
              <w:t>2021年1月1日以来参与省级及以上排水、污水处理相关研究课题，有一个得5分，最高得10分。须提供课题合同或任务书等证明材料复印件，加盖公章。</w:t>
            </w:r>
          </w:p>
        </w:tc>
        <w:tc>
          <w:tcPr>
            <w:tcW w:w="709" w:type="dxa"/>
            <w:tcBorders>
              <w:top w:val="single" w:color="auto" w:sz="4" w:space="0"/>
              <w:left w:val="single" w:color="auto" w:sz="4" w:space="0"/>
              <w:bottom w:val="single" w:color="auto" w:sz="4" w:space="0"/>
              <w:right w:val="single" w:color="auto" w:sz="4" w:space="0"/>
            </w:tcBorders>
            <w:vAlign w:val="center"/>
          </w:tcPr>
          <w:p w14:paraId="4154AFDD">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10</w:t>
            </w:r>
          </w:p>
        </w:tc>
      </w:tr>
      <w:tr w14:paraId="05D25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8" w:type="dxa"/>
            <w:vMerge w:val="continue"/>
            <w:tcBorders>
              <w:left w:val="single" w:color="auto" w:sz="4" w:space="0"/>
              <w:right w:val="single" w:color="auto" w:sz="4" w:space="0"/>
            </w:tcBorders>
            <w:vAlign w:val="center"/>
          </w:tcPr>
          <w:p w14:paraId="2D98CF91">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5A5FC74A">
            <w:pPr>
              <w:spacing w:line="276" w:lineRule="auto"/>
              <w:jc w:val="center"/>
              <w:rPr>
                <w:rFonts w:hint="eastAsia" w:ascii="方正仿宋_GB2312" w:hAnsi="方正仿宋_GB2312" w:eastAsia="方正仿宋_GB2312" w:cs="方正仿宋_GB2312"/>
                <w:b/>
                <w:color w:val="000000" w:themeColor="text1"/>
                <w14:textFill>
                  <w14:solidFill>
                    <w14:schemeClr w14:val="tx1"/>
                  </w14:solidFill>
                </w14:textFill>
              </w:rPr>
            </w:pPr>
          </w:p>
        </w:tc>
        <w:tc>
          <w:tcPr>
            <w:tcW w:w="7194" w:type="dxa"/>
            <w:tcBorders>
              <w:top w:val="single" w:color="auto" w:sz="4" w:space="0"/>
              <w:left w:val="single" w:color="auto" w:sz="4" w:space="0"/>
              <w:bottom w:val="single" w:color="auto" w:sz="4" w:space="0"/>
              <w:right w:val="single" w:color="auto" w:sz="4" w:space="0"/>
            </w:tcBorders>
            <w:vAlign w:val="center"/>
          </w:tcPr>
          <w:p w14:paraId="276D4504">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2021年1月1日以来排水行业技术咨询服务方面类似业绩，有一个得5分，最高得15分。须同时提供中标通知书及合同复印件，加盖公章。</w:t>
            </w:r>
          </w:p>
        </w:tc>
        <w:tc>
          <w:tcPr>
            <w:tcW w:w="709" w:type="dxa"/>
            <w:tcBorders>
              <w:top w:val="single" w:color="auto" w:sz="4" w:space="0"/>
              <w:left w:val="single" w:color="auto" w:sz="4" w:space="0"/>
              <w:bottom w:val="single" w:color="auto" w:sz="4" w:space="0"/>
              <w:right w:val="single" w:color="auto" w:sz="4" w:space="0"/>
            </w:tcBorders>
            <w:vAlign w:val="center"/>
          </w:tcPr>
          <w:p w14:paraId="25FD69D8">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15</w:t>
            </w:r>
          </w:p>
        </w:tc>
      </w:tr>
      <w:tr w14:paraId="5EBE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8" w:type="dxa"/>
            <w:vMerge w:val="restart"/>
            <w:tcBorders>
              <w:top w:val="single" w:color="auto" w:sz="4" w:space="0"/>
              <w:left w:val="single" w:color="auto" w:sz="4" w:space="0"/>
              <w:right w:val="single" w:color="auto" w:sz="4" w:space="0"/>
            </w:tcBorders>
            <w:vAlign w:val="center"/>
          </w:tcPr>
          <w:p w14:paraId="7069C75B">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4</w:t>
            </w:r>
          </w:p>
        </w:tc>
        <w:tc>
          <w:tcPr>
            <w:tcW w:w="1215" w:type="dxa"/>
            <w:vMerge w:val="restart"/>
            <w:tcBorders>
              <w:top w:val="single" w:color="auto" w:sz="4" w:space="0"/>
              <w:left w:val="single" w:color="auto" w:sz="4" w:space="0"/>
              <w:right w:val="single" w:color="auto" w:sz="4" w:space="0"/>
            </w:tcBorders>
            <w:vAlign w:val="center"/>
          </w:tcPr>
          <w:p w14:paraId="2511D17E">
            <w:pPr>
              <w:spacing w:line="276" w:lineRule="auto"/>
              <w:jc w:val="center"/>
              <w:rPr>
                <w:rFonts w:hint="eastAsia" w:ascii="方正仿宋_GB2312" w:hAnsi="方正仿宋_GB2312" w:eastAsia="方正仿宋_GB2312" w:cs="方正仿宋_GB2312"/>
                <w:b/>
                <w:color w:val="auto"/>
              </w:rPr>
            </w:pPr>
            <w:r>
              <w:rPr>
                <w:rFonts w:hint="eastAsia" w:ascii="方正仿宋_GB2312" w:hAnsi="方正仿宋_GB2312" w:eastAsia="方正仿宋_GB2312" w:cs="方正仿宋_GB2312"/>
                <w:b/>
                <w:color w:val="auto"/>
              </w:rPr>
              <w:t>供应商履约能力</w:t>
            </w:r>
          </w:p>
          <w:p w14:paraId="379E83C0">
            <w:pPr>
              <w:spacing w:line="276" w:lineRule="auto"/>
              <w:jc w:val="center"/>
              <w:rPr>
                <w:rFonts w:hint="eastAsia" w:ascii="方正仿宋_GB2312" w:hAnsi="方正仿宋_GB2312" w:eastAsia="方正仿宋_GB2312" w:cs="方正仿宋_GB2312"/>
                <w:b/>
                <w:color w:val="auto"/>
              </w:rPr>
            </w:pPr>
            <w:r>
              <w:rPr>
                <w:rFonts w:hint="eastAsia" w:ascii="方正仿宋_GB2312" w:hAnsi="方正仿宋_GB2312" w:eastAsia="方正仿宋_GB2312" w:cs="方正仿宋_GB2312"/>
                <w:b/>
                <w:color w:val="auto"/>
              </w:rPr>
              <w:t>20分</w:t>
            </w:r>
          </w:p>
        </w:tc>
        <w:tc>
          <w:tcPr>
            <w:tcW w:w="7194" w:type="dxa"/>
            <w:tcBorders>
              <w:top w:val="single" w:color="auto" w:sz="4" w:space="0"/>
              <w:left w:val="single" w:color="auto" w:sz="4" w:space="0"/>
              <w:bottom w:val="single" w:color="auto" w:sz="4" w:space="0"/>
              <w:right w:val="single" w:color="auto" w:sz="4" w:space="0"/>
            </w:tcBorders>
            <w:vAlign w:val="center"/>
          </w:tcPr>
          <w:p w14:paraId="57312056">
            <w:pPr>
              <w:spacing w:line="276" w:lineRule="auto"/>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t>拟派项目负责人有正高级工程师职称的得6分；有高级职称的得3分；有中级职称的得2分；未取得中级及以上职称的，不得分。最高得6</w:t>
            </w:r>
            <w:r>
              <w:rPr>
                <w:rFonts w:hint="eastAsia" w:ascii="仿宋" w:hAnsi="仿宋" w:eastAsia="仿宋" w:cs="宋体"/>
                <w:color w:val="auto"/>
              </w:rPr>
              <w:t>分</w:t>
            </w:r>
            <w:r>
              <w:rPr>
                <w:rFonts w:hint="eastAsia" w:ascii="宋体" w:hAnsi="宋体" w:cs="宋体"/>
                <w:color w:val="auto"/>
              </w:rPr>
              <w:t>。</w:t>
            </w:r>
          </w:p>
        </w:tc>
        <w:tc>
          <w:tcPr>
            <w:tcW w:w="709" w:type="dxa"/>
            <w:tcBorders>
              <w:top w:val="single" w:color="auto" w:sz="4" w:space="0"/>
              <w:left w:val="single" w:color="auto" w:sz="4" w:space="0"/>
              <w:bottom w:val="single" w:color="auto" w:sz="4" w:space="0"/>
              <w:right w:val="single" w:color="auto" w:sz="4" w:space="0"/>
            </w:tcBorders>
            <w:vAlign w:val="center"/>
          </w:tcPr>
          <w:p w14:paraId="12B256F1">
            <w:pPr>
              <w:spacing w:line="276" w:lineRule="auto"/>
              <w:jc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t>6</w:t>
            </w:r>
          </w:p>
        </w:tc>
      </w:tr>
      <w:tr w14:paraId="6537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8" w:type="dxa"/>
            <w:vMerge w:val="continue"/>
            <w:tcBorders>
              <w:top w:val="single" w:color="auto" w:sz="4" w:space="0"/>
              <w:left w:val="single" w:color="auto" w:sz="4" w:space="0"/>
              <w:right w:val="single" w:color="auto" w:sz="4" w:space="0"/>
            </w:tcBorders>
            <w:vAlign w:val="center"/>
          </w:tcPr>
          <w:p w14:paraId="07BEF296">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p>
        </w:tc>
        <w:tc>
          <w:tcPr>
            <w:tcW w:w="1215" w:type="dxa"/>
            <w:vMerge w:val="continue"/>
            <w:tcBorders>
              <w:top w:val="single" w:color="auto" w:sz="4" w:space="0"/>
              <w:left w:val="single" w:color="auto" w:sz="4" w:space="0"/>
              <w:right w:val="single" w:color="auto" w:sz="4" w:space="0"/>
            </w:tcBorders>
            <w:vAlign w:val="center"/>
          </w:tcPr>
          <w:p w14:paraId="436D0D1A">
            <w:pPr>
              <w:spacing w:line="276" w:lineRule="auto"/>
              <w:jc w:val="center"/>
              <w:rPr>
                <w:rFonts w:hint="eastAsia" w:ascii="方正仿宋_GB2312" w:hAnsi="方正仿宋_GB2312" w:eastAsia="方正仿宋_GB2312" w:cs="方正仿宋_GB2312"/>
                <w:b/>
                <w:color w:val="auto"/>
              </w:rPr>
            </w:pPr>
          </w:p>
        </w:tc>
        <w:tc>
          <w:tcPr>
            <w:tcW w:w="7194" w:type="dxa"/>
            <w:tcBorders>
              <w:top w:val="single" w:color="auto" w:sz="4" w:space="0"/>
              <w:left w:val="single" w:color="auto" w:sz="4" w:space="0"/>
              <w:bottom w:val="single" w:color="auto" w:sz="4" w:space="0"/>
              <w:right w:val="single" w:color="auto" w:sz="4" w:space="0"/>
            </w:tcBorders>
            <w:vAlign w:val="center"/>
          </w:tcPr>
          <w:p w14:paraId="499C8985">
            <w:pPr>
              <w:spacing w:line="276" w:lineRule="auto"/>
              <w:rPr>
                <w:rFonts w:hint="eastAsia" w:ascii="仿宋" w:hAnsi="仿宋" w:eastAsia="仿宋" w:cs="方正仿宋_GB2312"/>
                <w:color w:val="auto"/>
              </w:rPr>
            </w:pPr>
            <w:r>
              <w:rPr>
                <w:rFonts w:ascii="仿宋" w:hAnsi="仿宋" w:eastAsia="仿宋" w:cs="方正仿宋_GB2312"/>
                <w:color w:val="auto"/>
              </w:rPr>
              <w:t>拟派项目成员</w:t>
            </w:r>
            <w:r>
              <w:rPr>
                <w:rFonts w:hint="eastAsia" w:ascii="仿宋" w:hAnsi="仿宋" w:eastAsia="仿宋" w:cs="宋体"/>
                <w:color w:val="auto"/>
              </w:rPr>
              <w:t>具</w:t>
            </w:r>
            <w:r>
              <w:rPr>
                <w:rFonts w:hint="eastAsia" w:ascii="仿宋" w:hAnsi="仿宋" w:eastAsia="仿宋" w:cs="___WRD_EMBED_SUB_55"/>
                <w:color w:val="auto"/>
              </w:rPr>
              <w:t>有高级或以上职称，</w:t>
            </w:r>
            <w:r>
              <w:rPr>
                <w:rFonts w:ascii="仿宋" w:hAnsi="仿宋" w:eastAsia="仿宋" w:cs="方正仿宋_GB2312"/>
                <w:color w:val="auto"/>
              </w:rPr>
              <w:t>3人（</w:t>
            </w:r>
            <w:r>
              <w:rPr>
                <w:rFonts w:hint="eastAsia" w:ascii="仿宋" w:hAnsi="仿宋" w:eastAsia="仿宋" w:cs="宋体"/>
                <w:color w:val="auto"/>
              </w:rPr>
              <w:t>含</w:t>
            </w:r>
            <w:r>
              <w:rPr>
                <w:rFonts w:hint="eastAsia" w:ascii="仿宋" w:hAnsi="仿宋" w:eastAsia="仿宋" w:cs="___WRD_EMBED_SUB_55"/>
                <w:color w:val="auto"/>
              </w:rPr>
              <w:t>）以上，得</w:t>
            </w:r>
            <w:r>
              <w:rPr>
                <w:rFonts w:ascii="仿宋" w:hAnsi="仿宋" w:eastAsia="仿宋" w:cs="方正仿宋_GB2312"/>
                <w:color w:val="auto"/>
              </w:rPr>
              <w:t>6分；2人（</w:t>
            </w:r>
            <w:r>
              <w:rPr>
                <w:rFonts w:hint="eastAsia" w:ascii="仿宋" w:hAnsi="仿宋" w:eastAsia="仿宋" w:cs="宋体"/>
                <w:color w:val="auto"/>
              </w:rPr>
              <w:t>含</w:t>
            </w:r>
            <w:r>
              <w:rPr>
                <w:rFonts w:hint="eastAsia" w:ascii="仿宋" w:hAnsi="仿宋" w:eastAsia="仿宋" w:cs="___WRD_EMBED_SUB_55"/>
                <w:color w:val="auto"/>
              </w:rPr>
              <w:t>）以上，得</w:t>
            </w:r>
            <w:r>
              <w:rPr>
                <w:rFonts w:ascii="仿宋" w:hAnsi="仿宋" w:eastAsia="仿宋" w:cs="方正仿宋_GB2312"/>
                <w:color w:val="auto"/>
              </w:rPr>
              <w:t>3分；少</w:t>
            </w:r>
            <w:r>
              <w:rPr>
                <w:rFonts w:hint="eastAsia" w:ascii="仿宋" w:hAnsi="仿宋" w:eastAsia="仿宋" w:cs="宋体"/>
                <w:color w:val="auto"/>
              </w:rPr>
              <w:t>于</w:t>
            </w:r>
            <w:r>
              <w:rPr>
                <w:rFonts w:ascii="仿宋" w:hAnsi="仿宋" w:eastAsia="仿宋" w:cs="方正仿宋_GB2312"/>
                <w:color w:val="auto"/>
              </w:rPr>
              <w:t>2人，不得分。最高得6分。</w:t>
            </w:r>
          </w:p>
        </w:tc>
        <w:tc>
          <w:tcPr>
            <w:tcW w:w="709" w:type="dxa"/>
            <w:tcBorders>
              <w:top w:val="single" w:color="auto" w:sz="4" w:space="0"/>
              <w:left w:val="single" w:color="auto" w:sz="4" w:space="0"/>
              <w:bottom w:val="single" w:color="auto" w:sz="4" w:space="0"/>
              <w:right w:val="single" w:color="auto" w:sz="4" w:space="0"/>
            </w:tcBorders>
            <w:vAlign w:val="center"/>
          </w:tcPr>
          <w:p w14:paraId="15547C73">
            <w:pPr>
              <w:spacing w:line="276" w:lineRule="auto"/>
              <w:jc w:val="center"/>
              <w:rPr>
                <w:rFonts w:hint="eastAsia" w:ascii="方正仿宋_GB2312" w:hAnsi="方正仿宋_GB2312" w:eastAsia="方正仿宋_GB2312" w:cs="方正仿宋_GB2312"/>
                <w:color w:val="auto"/>
              </w:rPr>
            </w:pPr>
            <w:r>
              <w:rPr>
                <w:rFonts w:hint="eastAsia" w:ascii="方正仿宋_GB2312" w:hAnsi="方正仿宋_GB2312" w:eastAsia="方正仿宋_GB2312" w:cs="方正仿宋_GB2312"/>
                <w:color w:val="auto"/>
              </w:rPr>
              <w:t>6</w:t>
            </w:r>
          </w:p>
        </w:tc>
      </w:tr>
      <w:tr w14:paraId="1622A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8" w:type="dxa"/>
            <w:vMerge w:val="continue"/>
            <w:tcBorders>
              <w:left w:val="single" w:color="auto" w:sz="4" w:space="0"/>
              <w:right w:val="single" w:color="auto" w:sz="4" w:space="0"/>
            </w:tcBorders>
            <w:vAlign w:val="center"/>
          </w:tcPr>
          <w:p w14:paraId="3BB53854">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p>
        </w:tc>
        <w:tc>
          <w:tcPr>
            <w:tcW w:w="1215" w:type="dxa"/>
            <w:vMerge w:val="continue"/>
            <w:tcBorders>
              <w:left w:val="single" w:color="auto" w:sz="4" w:space="0"/>
              <w:right w:val="single" w:color="auto" w:sz="4" w:space="0"/>
            </w:tcBorders>
            <w:vAlign w:val="center"/>
          </w:tcPr>
          <w:p w14:paraId="323EC462">
            <w:pPr>
              <w:spacing w:line="276" w:lineRule="auto"/>
              <w:jc w:val="center"/>
              <w:rPr>
                <w:rFonts w:hint="eastAsia" w:ascii="方正仿宋_GB2312" w:hAnsi="方正仿宋_GB2312" w:eastAsia="方正仿宋_GB2312" w:cs="方正仿宋_GB2312"/>
                <w:b/>
                <w:color w:val="auto"/>
              </w:rPr>
            </w:pPr>
          </w:p>
        </w:tc>
        <w:tc>
          <w:tcPr>
            <w:tcW w:w="7194" w:type="dxa"/>
            <w:tcBorders>
              <w:top w:val="single" w:color="auto" w:sz="4" w:space="0"/>
              <w:left w:val="single" w:color="auto" w:sz="4" w:space="0"/>
              <w:bottom w:val="single" w:color="auto" w:sz="4" w:space="0"/>
              <w:right w:val="single" w:color="auto" w:sz="4" w:space="0"/>
            </w:tcBorders>
            <w:vAlign w:val="center"/>
          </w:tcPr>
          <w:p w14:paraId="2D00C396">
            <w:pPr>
              <w:spacing w:line="276" w:lineRule="auto"/>
              <w:rPr>
                <w:rFonts w:hint="eastAsia" w:ascii="方正仿宋_GB2312" w:hAnsi="方正仿宋_GB2312" w:eastAsia="方正仿宋_GB2312" w:cs="方正仿宋_GB2312"/>
                <w:color w:val="auto"/>
              </w:rPr>
            </w:pPr>
            <w:r>
              <w:rPr>
                <w:rFonts w:ascii="仿宋" w:hAnsi="仿宋" w:eastAsia="仿宋" w:cs="方正仿宋_GB2312"/>
                <w:color w:val="auto"/>
              </w:rPr>
              <w:t>拟派项目负责人和</w:t>
            </w:r>
            <w:r>
              <w:rPr>
                <w:rFonts w:hint="eastAsia" w:ascii="仿宋" w:hAnsi="仿宋" w:eastAsia="仿宋" w:cs="宋体"/>
                <w:color w:val="auto"/>
              </w:rPr>
              <w:t>团队</w:t>
            </w:r>
            <w:r>
              <w:rPr>
                <w:rFonts w:hint="eastAsia" w:ascii="仿宋" w:hAnsi="仿宋" w:eastAsia="仿宋" w:cs="___WRD_EMBED_SUB_55"/>
                <w:color w:val="auto"/>
              </w:rPr>
              <w:t>成员</w:t>
            </w:r>
            <w:r>
              <w:rPr>
                <w:rFonts w:hint="eastAsia" w:ascii="仿宋" w:hAnsi="仿宋" w:eastAsia="仿宋" w:cs="宋体"/>
                <w:color w:val="auto"/>
              </w:rPr>
              <w:t>具</w:t>
            </w:r>
            <w:r>
              <w:rPr>
                <w:rFonts w:hint="eastAsia" w:ascii="仿宋" w:hAnsi="仿宋" w:eastAsia="仿宋" w:cs="___WRD_EMBED_SUB_55"/>
                <w:color w:val="auto"/>
              </w:rPr>
              <w:t>有项目所</w:t>
            </w:r>
            <w:r>
              <w:rPr>
                <w:rFonts w:hint="eastAsia" w:ascii="仿宋" w:hAnsi="仿宋" w:eastAsia="仿宋" w:cs="宋体"/>
                <w:color w:val="auto"/>
              </w:rPr>
              <w:t>需</w:t>
            </w:r>
            <w:r>
              <w:rPr>
                <w:rFonts w:hint="eastAsia" w:ascii="仿宋" w:hAnsi="仿宋" w:eastAsia="仿宋" w:cs="___WRD_EMBED_SUB_55"/>
                <w:color w:val="auto"/>
              </w:rPr>
              <w:t>给水排水、环境工程、市政工程、</w:t>
            </w:r>
            <w:r>
              <w:rPr>
                <w:rFonts w:hint="eastAsia" w:ascii="仿宋" w:hAnsi="仿宋" w:eastAsia="仿宋" w:cs="宋体"/>
                <w:color w:val="auto"/>
              </w:rPr>
              <w:t>土木</w:t>
            </w:r>
            <w:r>
              <w:rPr>
                <w:rFonts w:hint="eastAsia" w:ascii="仿宋" w:hAnsi="仿宋" w:eastAsia="仿宋" w:cs="___WRD_EMBED_SUB_55"/>
                <w:color w:val="auto"/>
              </w:rPr>
              <w:t>工程相关专业全日制</w:t>
            </w:r>
            <w:bookmarkStart w:id="169" w:name="_GoBack"/>
            <w:bookmarkEnd w:id="169"/>
            <w:r>
              <w:rPr>
                <w:rFonts w:hint="eastAsia" w:ascii="仿宋" w:hAnsi="仿宋" w:eastAsia="仿宋" w:cs="___WRD_EMBED_SUB_55"/>
                <w:color w:val="auto"/>
              </w:rPr>
              <w:t>本</w:t>
            </w:r>
            <w:r>
              <w:rPr>
                <w:rFonts w:hint="eastAsia" w:ascii="仿宋" w:hAnsi="仿宋" w:eastAsia="仿宋" w:cs="宋体"/>
                <w:color w:val="auto"/>
              </w:rPr>
              <w:t>科</w:t>
            </w:r>
            <w:r>
              <w:rPr>
                <w:rFonts w:hint="eastAsia" w:ascii="仿宋" w:hAnsi="仿宋" w:eastAsia="仿宋" w:cs="___WRD_EMBED_SUB_55"/>
                <w:color w:val="auto"/>
              </w:rPr>
              <w:t>及以上</w:t>
            </w:r>
            <w:r>
              <w:rPr>
                <w:rFonts w:hint="eastAsia" w:ascii="仿宋" w:hAnsi="仿宋" w:eastAsia="仿宋" w:cs="宋体"/>
                <w:color w:val="auto"/>
              </w:rPr>
              <w:t>学历</w:t>
            </w:r>
            <w:r>
              <w:rPr>
                <w:rFonts w:hint="eastAsia" w:ascii="仿宋" w:hAnsi="仿宋" w:eastAsia="仿宋" w:cs="___WRD_EMBED_SUB_55"/>
                <w:color w:val="auto"/>
              </w:rPr>
              <w:t>，</w:t>
            </w:r>
            <w:r>
              <w:rPr>
                <w:rFonts w:ascii="仿宋" w:hAnsi="仿宋" w:eastAsia="仿宋" w:cs="方正仿宋_GB2312"/>
                <w:color w:val="auto"/>
              </w:rPr>
              <w:t>6人（</w:t>
            </w:r>
            <w:r>
              <w:rPr>
                <w:rFonts w:hint="eastAsia" w:ascii="仿宋" w:hAnsi="仿宋" w:eastAsia="仿宋" w:cs="宋体"/>
                <w:color w:val="auto"/>
              </w:rPr>
              <w:t>含</w:t>
            </w:r>
            <w:r>
              <w:rPr>
                <w:rFonts w:hint="eastAsia" w:ascii="仿宋" w:hAnsi="仿宋" w:eastAsia="仿宋" w:cs="___WRD_EMBED_SUB_55"/>
                <w:color w:val="auto"/>
              </w:rPr>
              <w:t>）以上，得</w:t>
            </w:r>
            <w:r>
              <w:rPr>
                <w:rFonts w:ascii="仿宋" w:hAnsi="仿宋" w:eastAsia="仿宋" w:cs="方正仿宋_GB2312"/>
                <w:color w:val="auto"/>
              </w:rPr>
              <w:t>8分；5人（</w:t>
            </w:r>
            <w:r>
              <w:rPr>
                <w:rFonts w:hint="eastAsia" w:ascii="仿宋" w:hAnsi="仿宋" w:eastAsia="仿宋" w:cs="宋体"/>
                <w:color w:val="auto"/>
              </w:rPr>
              <w:t>含</w:t>
            </w:r>
            <w:r>
              <w:rPr>
                <w:rFonts w:hint="eastAsia" w:ascii="仿宋" w:hAnsi="仿宋" w:eastAsia="仿宋" w:cs="___WRD_EMBED_SUB_55"/>
                <w:color w:val="auto"/>
              </w:rPr>
              <w:t>）以上，得</w:t>
            </w:r>
            <w:r>
              <w:rPr>
                <w:rFonts w:ascii="仿宋" w:hAnsi="仿宋" w:eastAsia="仿宋" w:cs="方正仿宋_GB2312"/>
                <w:color w:val="auto"/>
              </w:rPr>
              <w:t>6分；3人（</w:t>
            </w:r>
            <w:r>
              <w:rPr>
                <w:rFonts w:hint="eastAsia" w:ascii="仿宋" w:hAnsi="仿宋" w:eastAsia="仿宋" w:cs="宋体"/>
                <w:color w:val="auto"/>
              </w:rPr>
              <w:t>含</w:t>
            </w:r>
            <w:r>
              <w:rPr>
                <w:rFonts w:hint="eastAsia" w:ascii="仿宋" w:hAnsi="仿宋" w:eastAsia="仿宋" w:cs="___WRD_EMBED_SUB_55"/>
                <w:color w:val="auto"/>
              </w:rPr>
              <w:t>）以上，得</w:t>
            </w:r>
            <w:r>
              <w:rPr>
                <w:rFonts w:ascii="仿宋" w:hAnsi="仿宋" w:eastAsia="仿宋" w:cs="方正仿宋_GB2312"/>
                <w:color w:val="auto"/>
              </w:rPr>
              <w:t>3分；少</w:t>
            </w:r>
            <w:r>
              <w:rPr>
                <w:rFonts w:hint="eastAsia" w:ascii="仿宋" w:hAnsi="仿宋" w:eastAsia="仿宋" w:cs="宋体"/>
                <w:color w:val="auto"/>
              </w:rPr>
              <w:t>于</w:t>
            </w:r>
            <w:r>
              <w:rPr>
                <w:rFonts w:ascii="仿宋" w:hAnsi="仿宋" w:eastAsia="仿宋" w:cs="方正仿宋_GB2312"/>
                <w:color w:val="auto"/>
              </w:rPr>
              <w:t>3人不得分。最高得8分。</w:t>
            </w:r>
            <w:r>
              <w:rPr>
                <w:rFonts w:hint="eastAsia" w:ascii="方正仿宋_GB2312" w:hAnsi="方正仿宋_GB2312" w:eastAsia="方正仿宋_GB2312" w:cs="方正仿宋_GB2312"/>
                <w:color w:val="auto"/>
              </w:rPr>
              <w:t>（提供截止投标前连续三个月，供应商为上述人员缴纳社保的记录等证明文件）</w:t>
            </w:r>
          </w:p>
        </w:tc>
        <w:tc>
          <w:tcPr>
            <w:tcW w:w="709" w:type="dxa"/>
            <w:tcBorders>
              <w:top w:val="single" w:color="auto" w:sz="4" w:space="0"/>
              <w:left w:val="single" w:color="auto" w:sz="4" w:space="0"/>
              <w:bottom w:val="single" w:color="auto" w:sz="4" w:space="0"/>
              <w:right w:val="single" w:color="auto" w:sz="4" w:space="0"/>
            </w:tcBorders>
            <w:vAlign w:val="center"/>
          </w:tcPr>
          <w:p w14:paraId="115C1F1F">
            <w:pPr>
              <w:spacing w:line="276" w:lineRule="auto"/>
              <w:jc w:val="center"/>
              <w:rPr>
                <w:rFonts w:hint="eastAsia" w:ascii="仿宋" w:hAnsi="仿宋" w:eastAsia="仿宋" w:cs="方正仿宋_GB2312"/>
                <w:color w:val="auto"/>
              </w:rPr>
            </w:pPr>
            <w:r>
              <w:rPr>
                <w:rFonts w:hint="eastAsia" w:ascii="仿宋" w:hAnsi="仿宋" w:eastAsia="仿宋" w:cs="方正仿宋_GB2312"/>
                <w:color w:val="auto"/>
              </w:rPr>
              <w:t>8</w:t>
            </w:r>
          </w:p>
        </w:tc>
      </w:tr>
      <w:tr w14:paraId="21FAF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38" w:type="dxa"/>
            <w:tcBorders>
              <w:left w:val="single" w:color="auto" w:sz="4" w:space="0"/>
              <w:right w:val="single" w:color="auto" w:sz="4" w:space="0"/>
            </w:tcBorders>
            <w:vAlign w:val="center"/>
          </w:tcPr>
          <w:p w14:paraId="49C5E76F">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5</w:t>
            </w:r>
          </w:p>
        </w:tc>
        <w:tc>
          <w:tcPr>
            <w:tcW w:w="1215" w:type="dxa"/>
            <w:tcBorders>
              <w:left w:val="single" w:color="auto" w:sz="4" w:space="0"/>
              <w:right w:val="single" w:color="auto" w:sz="4" w:space="0"/>
            </w:tcBorders>
            <w:vAlign w:val="center"/>
          </w:tcPr>
          <w:p w14:paraId="484C6B36">
            <w:pPr>
              <w:spacing w:line="276" w:lineRule="auto"/>
              <w:jc w:val="center"/>
              <w:rPr>
                <w:rFonts w:hint="eastAsia" w:ascii="方正仿宋_GB2312" w:hAnsi="方正仿宋_GB2312" w:eastAsia="方正仿宋_GB2312" w:cs="方正仿宋_GB2312"/>
                <w:b/>
                <w:color w:val="000000" w:themeColor="text1"/>
                <w14:textFill>
                  <w14:solidFill>
                    <w14:schemeClr w14:val="tx1"/>
                  </w14:solidFill>
                </w14:textFill>
              </w:rPr>
            </w:pPr>
            <w:r>
              <w:rPr>
                <w:rFonts w:hint="eastAsia" w:ascii="方正仿宋_GB2312" w:hAnsi="方正仿宋_GB2312" w:eastAsia="方正仿宋_GB2312" w:cs="方正仿宋_GB2312"/>
                <w:b/>
                <w:color w:val="000000" w:themeColor="text1"/>
                <w14:textFill>
                  <w14:solidFill>
                    <w14:schemeClr w14:val="tx1"/>
                  </w14:solidFill>
                </w14:textFill>
              </w:rPr>
              <w:t>售后服务能力5分</w:t>
            </w:r>
          </w:p>
        </w:tc>
        <w:tc>
          <w:tcPr>
            <w:tcW w:w="7194" w:type="dxa"/>
            <w:tcBorders>
              <w:top w:val="single" w:color="auto" w:sz="4" w:space="0"/>
              <w:left w:val="single" w:color="auto" w:sz="4" w:space="0"/>
              <w:bottom w:val="single" w:color="auto" w:sz="4" w:space="0"/>
              <w:right w:val="single" w:color="auto" w:sz="4" w:space="0"/>
            </w:tcBorders>
            <w:vAlign w:val="center"/>
          </w:tcPr>
          <w:p w14:paraId="36B9C0F2">
            <w:pPr>
              <w:spacing w:line="276"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提供售后服务承诺；满足条件的得5分，否则不得分。</w:t>
            </w:r>
          </w:p>
        </w:tc>
        <w:tc>
          <w:tcPr>
            <w:tcW w:w="709" w:type="dxa"/>
            <w:tcBorders>
              <w:top w:val="single" w:color="auto" w:sz="4" w:space="0"/>
              <w:left w:val="single" w:color="auto" w:sz="4" w:space="0"/>
              <w:bottom w:val="single" w:color="auto" w:sz="4" w:space="0"/>
              <w:right w:val="single" w:color="auto" w:sz="4" w:space="0"/>
            </w:tcBorders>
            <w:vAlign w:val="center"/>
          </w:tcPr>
          <w:p w14:paraId="0F2BE4F3">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5</w:t>
            </w:r>
          </w:p>
        </w:tc>
      </w:tr>
      <w:tr w14:paraId="0059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38" w:type="dxa"/>
            <w:tcBorders>
              <w:left w:val="single" w:color="auto" w:sz="4" w:space="0"/>
              <w:right w:val="single" w:color="auto" w:sz="4" w:space="0"/>
            </w:tcBorders>
            <w:vAlign w:val="center"/>
          </w:tcPr>
          <w:p w14:paraId="3463DBEA">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6</w:t>
            </w:r>
          </w:p>
        </w:tc>
        <w:tc>
          <w:tcPr>
            <w:tcW w:w="8409" w:type="dxa"/>
            <w:gridSpan w:val="2"/>
            <w:tcBorders>
              <w:left w:val="single" w:color="auto" w:sz="4" w:space="0"/>
              <w:right w:val="single" w:color="auto" w:sz="4" w:space="0"/>
            </w:tcBorders>
            <w:vAlign w:val="center"/>
          </w:tcPr>
          <w:p w14:paraId="75F86BD5">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b/>
                <w:color w:val="000000" w:themeColor="text1"/>
                <w14:textFill>
                  <w14:solidFill>
                    <w14:schemeClr w14:val="tx1"/>
                  </w14:solidFill>
                </w14:textFill>
              </w:rPr>
              <w:t>合计</w:t>
            </w:r>
          </w:p>
        </w:tc>
        <w:tc>
          <w:tcPr>
            <w:tcW w:w="709" w:type="dxa"/>
            <w:tcBorders>
              <w:top w:val="single" w:color="auto" w:sz="4" w:space="0"/>
              <w:left w:val="single" w:color="auto" w:sz="4" w:space="0"/>
              <w:bottom w:val="single" w:color="auto" w:sz="4" w:space="0"/>
              <w:right w:val="single" w:color="auto" w:sz="4" w:space="0"/>
            </w:tcBorders>
            <w:vAlign w:val="center"/>
          </w:tcPr>
          <w:p w14:paraId="564DC3B0">
            <w:pPr>
              <w:spacing w:line="276" w:lineRule="auto"/>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100</w:t>
            </w:r>
          </w:p>
        </w:tc>
      </w:tr>
    </w:tbl>
    <w:p w14:paraId="6B43E597">
      <w:pPr>
        <w:spacing w:line="660" w:lineRule="exact"/>
        <w:ind w:right="839"/>
        <w:jc w:val="center"/>
        <w:rPr>
          <w:rFonts w:hint="eastAsia" w:ascii="方正黑体_GBK" w:hAnsi="方正黑体_GBK" w:eastAsia="方正黑体_GBK" w:cs="方正黑体_GBK"/>
          <w:color w:val="000000"/>
          <w:sz w:val="28"/>
          <w:szCs w:val="28"/>
        </w:rPr>
        <w:sectPr>
          <w:pgSz w:w="11906" w:h="16838"/>
          <w:pgMar w:top="1418" w:right="1588" w:bottom="1418" w:left="1365" w:header="851" w:footer="907" w:gutter="0"/>
          <w:cols w:space="720" w:num="1"/>
          <w:docGrid w:linePitch="360" w:charSpace="0"/>
        </w:sectPr>
      </w:pPr>
    </w:p>
    <w:p w14:paraId="7F9F2FBF">
      <w:pPr>
        <w:spacing w:line="660" w:lineRule="exact"/>
        <w:ind w:right="839"/>
        <w:jc w:val="center"/>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第六章  投标</w:t>
      </w:r>
      <w:bookmarkEnd w:id="160"/>
      <w:bookmarkEnd w:id="161"/>
      <w:bookmarkEnd w:id="162"/>
      <w:r>
        <w:rPr>
          <w:rFonts w:hint="eastAsia" w:ascii="方正黑体_GBK" w:hAnsi="方正黑体_GBK" w:eastAsia="方正黑体_GBK" w:cs="方正黑体_GBK"/>
          <w:color w:val="000000"/>
          <w:sz w:val="28"/>
          <w:szCs w:val="28"/>
        </w:rPr>
        <w:t xml:space="preserve">文件格式 </w:t>
      </w:r>
    </w:p>
    <w:p w14:paraId="18F79E10">
      <w:pPr>
        <w:jc w:val="center"/>
        <w:rPr>
          <w:rFonts w:hint="eastAsia" w:ascii="宋体" w:hAnsi="宋体"/>
          <w:b/>
          <w:sz w:val="28"/>
          <w:szCs w:val="28"/>
        </w:rPr>
      </w:pPr>
      <w:bookmarkStart w:id="163" w:name="_Hlt26671244"/>
      <w:bookmarkEnd w:id="163"/>
      <w:bookmarkStart w:id="164" w:name="_Hlt26955039"/>
      <w:bookmarkEnd w:id="164"/>
      <w:bookmarkStart w:id="165" w:name="_Toc120614282"/>
      <w:bookmarkStart w:id="166" w:name="_Toc26554094"/>
      <w:bookmarkStart w:id="167" w:name="_Toc49090576"/>
    </w:p>
    <w:p w14:paraId="6E778009">
      <w:pPr>
        <w:jc w:val="center"/>
        <w:rPr>
          <w:rFonts w:hint="eastAsia" w:ascii="方正小标宋_GBK" w:hAnsi="方正小标宋_GBK" w:eastAsia="方正小标宋_GBK" w:cs="方正小标宋_GBK"/>
          <w:bCs/>
          <w:sz w:val="44"/>
          <w:szCs w:val="44"/>
        </w:rPr>
      </w:pPr>
    </w:p>
    <w:p w14:paraId="7977CA42">
      <w:pPr>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投  标  文  件</w:t>
      </w:r>
    </w:p>
    <w:p w14:paraId="039742E3">
      <w:pPr>
        <w:jc w:val="center"/>
        <w:rPr>
          <w:rFonts w:hint="eastAsia" w:ascii="宋体" w:hAnsi="宋体"/>
          <w:b/>
          <w:sz w:val="28"/>
          <w:szCs w:val="28"/>
        </w:rPr>
      </w:pPr>
    </w:p>
    <w:p w14:paraId="5CEDAA26">
      <w:pPr>
        <w:jc w:val="center"/>
        <w:rPr>
          <w:rFonts w:hint="eastAsia" w:ascii="宋体" w:hAnsi="宋体"/>
          <w:b/>
          <w:sz w:val="28"/>
          <w:szCs w:val="28"/>
        </w:rPr>
      </w:pPr>
    </w:p>
    <w:p w14:paraId="24A549AD">
      <w:pPr>
        <w:jc w:val="center"/>
        <w:rPr>
          <w:rFonts w:hint="eastAsia" w:ascii="宋体" w:hAnsi="宋体"/>
          <w:b/>
          <w:sz w:val="28"/>
          <w:szCs w:val="28"/>
        </w:rPr>
      </w:pPr>
    </w:p>
    <w:p w14:paraId="74082B77">
      <w:pPr>
        <w:jc w:val="center"/>
        <w:rPr>
          <w:rFonts w:hint="eastAsia" w:ascii="宋体" w:hAnsi="宋体"/>
          <w:b/>
          <w:sz w:val="28"/>
          <w:szCs w:val="28"/>
        </w:rPr>
      </w:pPr>
    </w:p>
    <w:p w14:paraId="78786837">
      <w:pPr>
        <w:jc w:val="center"/>
        <w:rPr>
          <w:rFonts w:hint="eastAsia" w:ascii="宋体" w:hAnsi="宋体"/>
          <w:b/>
          <w:sz w:val="28"/>
          <w:szCs w:val="28"/>
        </w:rPr>
      </w:pPr>
    </w:p>
    <w:p w14:paraId="3E430D14">
      <w:pPr>
        <w:spacing w:line="600" w:lineRule="auto"/>
        <w:ind w:firstLine="840" w:firstLineChars="30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项 目 名 称：</w:t>
      </w:r>
      <w:r>
        <w:rPr>
          <w:rFonts w:hint="eastAsia" w:ascii="方正黑体_GBK" w:hAnsi="方正黑体_GBK" w:eastAsia="方正黑体_GBK" w:cs="方正黑体_GBK"/>
          <w:bCs/>
          <w:sz w:val="28"/>
          <w:szCs w:val="28"/>
          <w:u w:val="single"/>
        </w:rPr>
        <w:t xml:space="preserve">               </w:t>
      </w:r>
    </w:p>
    <w:p w14:paraId="2D597EED">
      <w:pPr>
        <w:spacing w:line="600" w:lineRule="auto"/>
        <w:ind w:firstLine="840"/>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采 购 编 号：</w:t>
      </w:r>
      <w:r>
        <w:rPr>
          <w:rFonts w:hint="eastAsia" w:ascii="方正黑体_GBK" w:hAnsi="方正黑体_GBK" w:eastAsia="方正黑体_GBK" w:cs="方正黑体_GBK"/>
          <w:bCs/>
          <w:sz w:val="28"/>
          <w:szCs w:val="28"/>
          <w:u w:val="single"/>
        </w:rPr>
        <w:t xml:space="preserve">               </w:t>
      </w:r>
    </w:p>
    <w:p w14:paraId="5D670896">
      <w:pPr>
        <w:spacing w:line="600" w:lineRule="auto"/>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（加盖CA电子公章）</w:t>
      </w:r>
    </w:p>
    <w:p w14:paraId="54C14F10">
      <w:pPr>
        <w:spacing w:line="600" w:lineRule="auto"/>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p>
    <w:p w14:paraId="1702FA39">
      <w:pPr>
        <w:spacing w:line="600" w:lineRule="auto"/>
        <w:jc w:val="center"/>
        <w:rPr>
          <w:rFonts w:hint="eastAsia" w:ascii="宋体" w:hAnsi="宋体"/>
          <w:b/>
          <w:bCs/>
          <w:sz w:val="32"/>
          <w:szCs w:val="32"/>
        </w:rPr>
      </w:pPr>
    </w:p>
    <w:p w14:paraId="68461547">
      <w:pPr>
        <w:spacing w:line="440" w:lineRule="exact"/>
        <w:rPr>
          <w:rFonts w:hint="eastAsia" w:ascii="宋体" w:hAnsi="宋体"/>
        </w:rPr>
      </w:pPr>
    </w:p>
    <w:p w14:paraId="63AB23F3">
      <w:pPr>
        <w:ind w:firstLine="1084"/>
        <w:rPr>
          <w:rFonts w:hint="eastAsia" w:ascii="宋体" w:hAnsi="宋体"/>
          <w:b/>
          <w:bCs/>
          <w:sz w:val="32"/>
          <w:szCs w:val="32"/>
        </w:rPr>
      </w:pPr>
      <w:r>
        <w:rPr>
          <w:rFonts w:ascii="宋体" w:hAnsi="宋体"/>
          <w:b/>
          <w:sz w:val="36"/>
          <w:u w:val="single"/>
        </w:rPr>
        <w:br w:type="page" w:clear="all"/>
      </w:r>
    </w:p>
    <w:p w14:paraId="378F1558">
      <w:pPr>
        <w:spacing w:line="400" w:lineRule="exact"/>
        <w:jc w:val="center"/>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投标文件的组成</w:t>
      </w:r>
    </w:p>
    <w:p w14:paraId="0732924F">
      <w:pPr>
        <w:spacing w:line="400" w:lineRule="exact"/>
        <w:jc w:val="center"/>
        <w:rPr>
          <w:rFonts w:hint="eastAsia" w:ascii="宋体" w:hAnsi="宋体"/>
          <w:b/>
          <w:bCs/>
          <w:sz w:val="28"/>
          <w:szCs w:val="28"/>
        </w:rPr>
      </w:pPr>
    </w:p>
    <w:p w14:paraId="3A23A329">
      <w:pPr>
        <w:spacing w:line="400" w:lineRule="exact"/>
        <w:ind w:firstLine="560"/>
        <w:jc w:val="lef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一、基本目录</w:t>
      </w:r>
    </w:p>
    <w:p w14:paraId="04373A29">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1.开标一览表（格式见附件1）</w:t>
      </w:r>
    </w:p>
    <w:p w14:paraId="55BED756">
      <w:pPr>
        <w:spacing w:line="400" w:lineRule="exact"/>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2.投标分项报价表（格式见附件2）</w:t>
      </w:r>
    </w:p>
    <w:p w14:paraId="69C6A43C">
      <w:pPr>
        <w:spacing w:line="400" w:lineRule="exact"/>
        <w:ind w:firstLine="560"/>
        <w:jc w:val="lef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二、资格审查内容</w:t>
      </w:r>
    </w:p>
    <w:p w14:paraId="41482F8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1.法人或者其他组织的营业执照等证明文件，自然人的身份证明</w:t>
      </w:r>
    </w:p>
    <w:p w14:paraId="095450B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2.上一年度的财务状况报告（投标人成立不满一年无需提供）</w:t>
      </w:r>
    </w:p>
    <w:p w14:paraId="02A9744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39DF25B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4.具备履行合同所必需的设备和专业技术能力的书面声明（格式见附件5）</w:t>
      </w:r>
    </w:p>
    <w:p w14:paraId="40B75186">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5.参加政府采购活动前 3 年内在经营活动中没有重大违法记录的书面声明（格式见附件6）</w:t>
      </w:r>
    </w:p>
    <w:p w14:paraId="53BF634F">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6.特定资格要求的证明文件（如果本项目对投标人做出特定资格要求的，必须提供）</w:t>
      </w:r>
    </w:p>
    <w:p w14:paraId="7051C18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7.在“信用中国”网站（</w:t>
      </w:r>
      <w:r>
        <w:rPr>
          <w:rFonts w:hint="eastAsia" w:eastAsia="方正仿宋_GBK"/>
          <w:color w:val="000000"/>
          <w:sz w:val="28"/>
          <w:szCs w:val="28"/>
        </w:rPr>
        <w:t>www.creditchina.gov.cn</w:t>
      </w:r>
      <w:r>
        <w:rPr>
          <w:rFonts w:hint="eastAsia" w:ascii="方正仿宋_GBK" w:hAnsi="方正仿宋_GBK" w:eastAsia="方正仿宋_GBK" w:cs="方正仿宋_GBK"/>
          <w:sz w:val="28"/>
          <w:szCs w:val="28"/>
        </w:rPr>
        <w:t>）查询，无被列入失信被执行人、重大税收违法案件当事人名单、政府采购严重失信行为记录名单及其他不符合《中华人民共和国政府采购法》第二十二条规定条件的信用记录（投标文件中无需提供证明材料）</w:t>
      </w:r>
    </w:p>
    <w:p w14:paraId="0B7A9DEF">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8.法人授权书（格式见附件7）</w:t>
      </w:r>
    </w:p>
    <w:p w14:paraId="7A09825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9.投标函（格式见附件8）</w:t>
      </w:r>
    </w:p>
    <w:p w14:paraId="59DAE786">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10.中小微企业声明函（如果本项目专门面向中小微型企业采购，则必须提供。格式见附件9）</w:t>
      </w:r>
    </w:p>
    <w:p w14:paraId="3DF0F34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11.残疾人福利性单位声明函（如果本项目专门面向中小微型企业采购，供应商为残疾人福利性单位并由本单位提供服务。格式见附件10）</w:t>
      </w:r>
    </w:p>
    <w:p w14:paraId="5FB2688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12.联合体协议（如果本项目接受联合体参加投标，投标人是联合体的，则必须提供。格式见附件11）</w:t>
      </w:r>
    </w:p>
    <w:p w14:paraId="5A5FD1B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总备注：上述“资格审查内容”中1-5条、8、9条投标人必须在投标文件中提供相关材料，否则作无效投标处理；6、10、11、12条如招标文件要求必须提供相关材料而未提供的，作无效投标处理。</w:t>
      </w:r>
    </w:p>
    <w:p w14:paraId="28FC28F4">
      <w:pPr>
        <w:spacing w:line="400" w:lineRule="exact"/>
        <w:ind w:firstLine="560"/>
        <w:jc w:val="lef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三、符合性审查内容</w:t>
      </w:r>
    </w:p>
    <w:p w14:paraId="4567830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评标委员会对通过资格性检查的供应商的投标文件进行符合性审查，以确定其是否满足招标文件的实质性要求。投标文件有下列情况之一的，在符合性检查时按照无效投标处理：</w:t>
      </w:r>
    </w:p>
    <w:p w14:paraId="03711C73">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（1）未按照招标文件规定的要求签署、盖章的；</w:t>
      </w:r>
    </w:p>
    <w:p w14:paraId="7FACE2F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（2）报价超过招标文件中规定的预算金额或者最高限价的；</w:t>
      </w:r>
    </w:p>
    <w:p w14:paraId="41C4D90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（3）投标文件含有采购人不能接受的附加条件的；</w:t>
      </w:r>
    </w:p>
    <w:p w14:paraId="7D46F5DD">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（4）投标文件内容不全或不符合招标文件中规定的其它实质性要求的；</w:t>
      </w:r>
    </w:p>
    <w:p w14:paraId="6CBBCE36">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（5）现行法律、法规、规章和招标文件规定的其他无效情形。</w:t>
      </w:r>
    </w:p>
    <w:p w14:paraId="7BE2E8F2">
      <w:pPr>
        <w:spacing w:line="400" w:lineRule="exact"/>
        <w:ind w:firstLine="560"/>
        <w:jc w:val="lef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四、价格扣除证明文件</w:t>
      </w:r>
    </w:p>
    <w:p w14:paraId="4B0F8B84">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1.中小微企业声明函（格式见附件9）</w:t>
      </w:r>
    </w:p>
    <w:p w14:paraId="2E682DA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2.残疾人福利性单位声明函（格式见附件10）</w:t>
      </w:r>
    </w:p>
    <w:p w14:paraId="6DAD472C">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3.关于符合本国产品标准的声明函（格式见附件12）</w:t>
      </w:r>
    </w:p>
    <w:p w14:paraId="2B905075">
      <w:pPr>
        <w:spacing w:line="400" w:lineRule="exact"/>
        <w:rPr>
          <w:rFonts w:hint="eastAsia" w:ascii="宋体" w:hAnsi="宋体"/>
          <w:sz w:val="28"/>
          <w:szCs w:val="28"/>
        </w:rPr>
      </w:pPr>
    </w:p>
    <w:p w14:paraId="5A6B5A84">
      <w:pPr>
        <w:spacing w:line="400" w:lineRule="exact"/>
        <w:rPr>
          <w:rFonts w:hint="eastAsia" w:ascii="宋体" w:hAnsi="宋体"/>
          <w:b/>
          <w:color w:val="FF0000"/>
          <w:sz w:val="28"/>
          <w:szCs w:val="28"/>
        </w:rPr>
      </w:pPr>
    </w:p>
    <w:p w14:paraId="637C54C4">
      <w:pPr>
        <w:spacing w:line="400" w:lineRule="exact"/>
        <w:rPr>
          <w:rFonts w:hint="eastAsia" w:ascii="宋体" w:hAnsi="宋体"/>
          <w:b/>
          <w:color w:val="FF0000"/>
          <w:sz w:val="28"/>
          <w:szCs w:val="28"/>
        </w:rPr>
      </w:pPr>
    </w:p>
    <w:p w14:paraId="33CCC2BD">
      <w:pPr>
        <w:spacing w:line="400" w:lineRule="exact"/>
        <w:rPr>
          <w:rFonts w:hint="eastAsia" w:ascii="宋体" w:hAnsi="宋体"/>
          <w:b/>
          <w:color w:val="FF0000"/>
          <w:sz w:val="28"/>
          <w:szCs w:val="28"/>
        </w:rPr>
      </w:pPr>
    </w:p>
    <w:p w14:paraId="515796D7">
      <w:pPr>
        <w:spacing w:line="400" w:lineRule="exact"/>
        <w:rPr>
          <w:rFonts w:hint="eastAsia" w:ascii="宋体" w:hAnsi="宋体"/>
          <w:b/>
          <w:color w:val="FF0000"/>
          <w:sz w:val="28"/>
          <w:szCs w:val="28"/>
        </w:rPr>
      </w:pPr>
    </w:p>
    <w:p w14:paraId="28428934">
      <w:pPr>
        <w:spacing w:line="400" w:lineRule="exact"/>
        <w:rPr>
          <w:rFonts w:hint="eastAsia" w:ascii="宋体" w:hAnsi="宋体"/>
          <w:b/>
          <w:color w:val="FF0000"/>
          <w:sz w:val="28"/>
          <w:szCs w:val="28"/>
        </w:rPr>
      </w:pPr>
    </w:p>
    <w:p w14:paraId="1B96543A">
      <w:pPr>
        <w:spacing w:line="400" w:lineRule="exact"/>
        <w:rPr>
          <w:rFonts w:hint="eastAsia" w:ascii="宋体" w:hAnsi="宋体"/>
          <w:b/>
          <w:color w:val="FF0000"/>
          <w:sz w:val="28"/>
          <w:szCs w:val="28"/>
        </w:rPr>
      </w:pPr>
    </w:p>
    <w:p w14:paraId="712A01B8">
      <w:pPr>
        <w:spacing w:line="400" w:lineRule="exact"/>
        <w:rPr>
          <w:rFonts w:hint="eastAsia" w:ascii="宋体" w:hAnsi="宋体"/>
          <w:b/>
          <w:color w:val="FF0000"/>
          <w:sz w:val="28"/>
          <w:szCs w:val="28"/>
        </w:rPr>
      </w:pPr>
    </w:p>
    <w:p w14:paraId="5A3B6776">
      <w:pPr>
        <w:spacing w:line="400" w:lineRule="exact"/>
        <w:rPr>
          <w:rFonts w:hint="eastAsia" w:ascii="方正黑体_GBK" w:hAnsi="方正黑体_GBK" w:eastAsia="方正黑体_GBK" w:cs="方正黑体_GBK"/>
          <w:bCs/>
          <w:sz w:val="28"/>
          <w:szCs w:val="28"/>
        </w:rPr>
        <w:sectPr>
          <w:pgSz w:w="11906" w:h="16838"/>
          <w:pgMar w:top="1418" w:right="1588" w:bottom="1418" w:left="1365" w:header="851" w:footer="907" w:gutter="0"/>
          <w:cols w:space="720" w:num="1"/>
          <w:docGrid w:linePitch="360" w:charSpace="0"/>
        </w:sectPr>
      </w:pPr>
    </w:p>
    <w:p w14:paraId="194A7A36">
      <w:pP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附件1 开标一览表</w:t>
      </w:r>
    </w:p>
    <w:p w14:paraId="593F2A47">
      <w:pPr>
        <w:spacing w:line="400" w:lineRule="exact"/>
        <w:ind w:firstLine="48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投标人全称（加盖CA电子签章）：</w:t>
      </w:r>
    </w:p>
    <w:p w14:paraId="6745DCA1">
      <w:pPr>
        <w:spacing w:line="400" w:lineRule="exact"/>
        <w:ind w:firstLine="48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项目名称：</w:t>
      </w:r>
    </w:p>
    <w:p w14:paraId="7E2DE979">
      <w:pPr>
        <w:spacing w:line="400" w:lineRule="exact"/>
        <w:ind w:firstLine="48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采购编号：</w:t>
      </w:r>
      <w:r>
        <w:rPr>
          <w:rFonts w:hint="eastAsia" w:eastAsia="方正仿宋_GBK"/>
          <w:color w:val="000000"/>
          <w:sz w:val="28"/>
          <w:szCs w:val="28"/>
        </w:rPr>
        <w:t xml:space="preserve">    </w:t>
      </w:r>
      <w:r>
        <w:rPr>
          <w:rFonts w:hint="eastAsia" w:ascii="方正仿宋_GBK" w:hAnsi="方正仿宋_GBK" w:eastAsia="方正仿宋_GBK" w:cs="方正仿宋_GBK"/>
          <w:sz w:val="28"/>
          <w:szCs w:val="28"/>
        </w:rPr>
        <w:t xml:space="preserve">                                  </w:t>
      </w:r>
    </w:p>
    <w:p w14:paraId="4262B0C2">
      <w:pPr>
        <w:spacing w:line="400" w:lineRule="exact"/>
        <w:ind w:firstLine="48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采购包号：</w:t>
      </w:r>
      <w:r>
        <w:rPr>
          <w:rFonts w:hint="eastAsia" w:eastAsia="方正仿宋_GBK"/>
          <w:color w:val="000000"/>
          <w:sz w:val="28"/>
          <w:szCs w:val="28"/>
        </w:rPr>
        <w:t xml:space="preserve">  </w:t>
      </w:r>
    </w:p>
    <w:tbl>
      <w:tblPr>
        <w:tblStyle w:val="31"/>
        <w:tblpPr w:leftFromText="180" w:rightFromText="180" w:vertAnchor="text" w:horzAnchor="page" w:tblpX="1598" w:tblpY="390"/>
        <w:tblOverlap w:val="never"/>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1376"/>
        <w:gridCol w:w="1476"/>
        <w:gridCol w:w="6187"/>
      </w:tblGrid>
      <w:tr w14:paraId="3AA0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1729" w:hRule="atLeast"/>
        </w:trPr>
        <w:tc>
          <w:tcPr>
            <w:tcW w:w="1376" w:type="dxa"/>
            <w:vAlign w:val="center"/>
          </w:tcPr>
          <w:p w14:paraId="5F23C83C">
            <w:pPr>
              <w:pStyle w:val="12"/>
              <w:snapToGrid w:val="0"/>
              <w:spacing w:line="36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投标总价</w:t>
            </w:r>
          </w:p>
        </w:tc>
        <w:tc>
          <w:tcPr>
            <w:tcW w:w="1476" w:type="dxa"/>
            <w:vAlign w:val="center"/>
          </w:tcPr>
          <w:p w14:paraId="7AC583C1">
            <w:pPr>
              <w:pStyle w:val="12"/>
              <w:snapToGrid w:val="0"/>
              <w:spacing w:line="36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w:t>
            </w:r>
          </w:p>
        </w:tc>
        <w:tc>
          <w:tcPr>
            <w:tcW w:w="6187" w:type="dxa"/>
            <w:vAlign w:val="center"/>
          </w:tcPr>
          <w:p w14:paraId="065C7AC7">
            <w:pPr>
              <w:pStyle w:val="12"/>
              <w:snapToGrid w:val="0"/>
              <w:spacing w:line="360" w:lineRule="auto"/>
              <w:ind w:firstLine="0"/>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 xml:space="preserve">小写：人民币            元    </w:t>
            </w:r>
          </w:p>
          <w:p w14:paraId="24DEDAEB">
            <w:pPr>
              <w:pStyle w:val="12"/>
              <w:snapToGrid w:val="0"/>
              <w:spacing w:line="360" w:lineRule="auto"/>
              <w:ind w:firstLine="474" w:firstLineChars="225"/>
              <w:rPr>
                <w:rFonts w:hint="eastAsia" w:asciiTheme="minorEastAsia" w:hAnsiTheme="minorEastAsia" w:eastAsiaTheme="minorEastAsia" w:cstheme="minorEastAsia"/>
                <w:sz w:val="21"/>
                <w:szCs w:val="21"/>
              </w:rPr>
            </w:pPr>
          </w:p>
          <w:p w14:paraId="14812CCF">
            <w:pPr>
              <w:pStyle w:val="12"/>
              <w:snapToGrid w:val="0"/>
              <w:spacing w:line="360" w:lineRule="auto"/>
              <w:ind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大写：人民币                     </w:t>
            </w:r>
          </w:p>
        </w:tc>
      </w:tr>
      <w:tr w14:paraId="33CB5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201" w:hRule="atLeast"/>
        </w:trPr>
        <w:tc>
          <w:tcPr>
            <w:tcW w:w="1376" w:type="dxa"/>
            <w:vAlign w:val="center"/>
          </w:tcPr>
          <w:p w14:paraId="44FD82F7">
            <w:pPr>
              <w:pStyle w:val="12"/>
              <w:snapToGrid w:val="0"/>
              <w:spacing w:line="36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服务时间/交付使用时间</w:t>
            </w:r>
          </w:p>
        </w:tc>
        <w:tc>
          <w:tcPr>
            <w:tcW w:w="7663" w:type="dxa"/>
            <w:gridSpan w:val="2"/>
            <w:vAlign w:val="center"/>
          </w:tcPr>
          <w:p w14:paraId="4C960F07">
            <w:pPr>
              <w:pStyle w:val="12"/>
              <w:tabs>
                <w:tab w:val="left" w:pos="3624"/>
              </w:tabs>
              <w:snapToGrid w:val="0"/>
              <w:spacing w:line="360" w:lineRule="auto"/>
              <w:ind w:firstLine="474" w:firstLineChars="225"/>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u w:val="single"/>
              </w:rPr>
              <w:t>满足招标文件要求。</w:t>
            </w:r>
          </w:p>
        </w:tc>
      </w:tr>
      <w:tr w14:paraId="01F96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53" w:hRule="atLeast"/>
        </w:trPr>
        <w:tc>
          <w:tcPr>
            <w:tcW w:w="1376" w:type="dxa"/>
            <w:vAlign w:val="center"/>
          </w:tcPr>
          <w:p w14:paraId="1BA6B0F9">
            <w:pPr>
              <w:pStyle w:val="12"/>
              <w:snapToGrid w:val="0"/>
              <w:spacing w:line="36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投标标的是否全部由小微企业（含视同小微企业）提供</w:t>
            </w:r>
          </w:p>
        </w:tc>
        <w:tc>
          <w:tcPr>
            <w:tcW w:w="7663" w:type="dxa"/>
            <w:gridSpan w:val="2"/>
            <w:vAlign w:val="center"/>
          </w:tcPr>
          <w:p w14:paraId="64E00A56">
            <w:pPr>
              <w:pStyle w:val="12"/>
              <w:snapToGrid w:val="0"/>
              <w:spacing w:line="360" w:lineRule="auto"/>
              <w:ind w:firstLine="474" w:firstLineChars="225"/>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zh-CN"/>
              </w:rPr>
              <w:t>填写“是”或“否</w:t>
            </w:r>
            <w:r>
              <w:rPr>
                <w:rFonts w:hint="eastAsia" w:asciiTheme="minorEastAsia" w:hAnsiTheme="minorEastAsia" w:eastAsiaTheme="minorEastAsia" w:cstheme="minorEastAsia"/>
                <w:sz w:val="21"/>
                <w:szCs w:val="21"/>
              </w:rPr>
              <w:t>）</w:t>
            </w:r>
          </w:p>
        </w:tc>
      </w:tr>
      <w:tr w14:paraId="318B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755" w:hRule="atLeast"/>
        </w:trPr>
        <w:tc>
          <w:tcPr>
            <w:tcW w:w="1376" w:type="dxa"/>
            <w:vAlign w:val="center"/>
          </w:tcPr>
          <w:p w14:paraId="575133D5">
            <w:pPr>
              <w:pStyle w:val="12"/>
              <w:snapToGrid w:val="0"/>
              <w:spacing w:line="360" w:lineRule="auto"/>
              <w:ind w:firstLine="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备注</w:t>
            </w:r>
          </w:p>
        </w:tc>
        <w:tc>
          <w:tcPr>
            <w:tcW w:w="7663" w:type="dxa"/>
            <w:gridSpan w:val="2"/>
            <w:vAlign w:val="center"/>
          </w:tcPr>
          <w:p w14:paraId="613E63E5">
            <w:pPr>
              <w:pStyle w:val="12"/>
              <w:snapToGrid w:val="0"/>
              <w:spacing w:line="360" w:lineRule="auto"/>
              <w:ind w:firstLine="474" w:firstLineChars="225"/>
              <w:rPr>
                <w:rFonts w:hint="eastAsia" w:asciiTheme="minorEastAsia" w:hAnsiTheme="minorEastAsia" w:eastAsiaTheme="minorEastAsia" w:cstheme="minorEastAsia"/>
                <w:sz w:val="21"/>
                <w:szCs w:val="21"/>
              </w:rPr>
            </w:pPr>
          </w:p>
        </w:tc>
      </w:tr>
    </w:tbl>
    <w:p w14:paraId="4628EA97">
      <w:pPr>
        <w:spacing w:line="400" w:lineRule="exact"/>
        <w:rPr>
          <w:rFonts w:hint="eastAsia" w:ascii="宋体" w:hAnsi="宋体"/>
          <w:sz w:val="28"/>
          <w:szCs w:val="28"/>
        </w:rPr>
      </w:pPr>
    </w:p>
    <w:p w14:paraId="2ABC7534">
      <w:pPr>
        <w:spacing w:line="400" w:lineRule="exact"/>
        <w:rPr>
          <w:rFonts w:hint="eastAsia" w:ascii="宋体" w:hAnsi="宋体"/>
          <w:sz w:val="28"/>
          <w:szCs w:val="28"/>
        </w:rPr>
      </w:pPr>
    </w:p>
    <w:p w14:paraId="1AE91745">
      <w:pPr>
        <w:widowControl/>
        <w:shd w:val="clear" w:color="auto" w:fill="FFFFFF"/>
        <w:snapToGrid w:val="0"/>
        <w:spacing w:line="360" w:lineRule="auto"/>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rPr>
        <w:t>说明：</w:t>
      </w:r>
    </w:p>
    <w:p w14:paraId="7B2E8190">
      <w:pPr>
        <w:widowControl/>
        <w:numPr>
          <w:ilvl w:val="0"/>
          <w:numId w:val="7"/>
        </w:numPr>
        <w:shd w:val="clear" w:color="auto" w:fill="FFFFFF"/>
        <w:snapToGrid w:val="0"/>
        <w:spacing w:line="360" w:lineRule="auto"/>
        <w:ind w:firstLine="422" w:firstLineChars="200"/>
        <w:jc w:val="lef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本项目仅接受一个价格，不得填报有选择性报价方案。如有优惠条款须注明，但不得影响报价，影响项目履约交付。</w:t>
      </w:r>
    </w:p>
    <w:p w14:paraId="422D66CD">
      <w:pPr>
        <w:widowControl/>
        <w:shd w:val="clear" w:color="auto" w:fill="FFFFFF"/>
        <w:snapToGrid w:val="0"/>
        <w:spacing w:line="360" w:lineRule="auto"/>
        <w:ind w:firstLine="420"/>
        <w:jc w:val="lef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2、“投标标的是否全部由小微企业提供</w:t>
      </w:r>
      <w:r>
        <w:rPr>
          <w:rFonts w:hint="eastAsia" w:asciiTheme="minorEastAsia" w:hAnsiTheme="minorEastAsia" w:eastAsiaTheme="minorEastAsia" w:cstheme="minorEastAsia"/>
          <w:b/>
          <w:bCs/>
          <w:lang w:val="zh-CN"/>
        </w:rPr>
        <w:t>”栏内填写“是”或“否”。如填写“是”，</w:t>
      </w:r>
      <w:r>
        <w:rPr>
          <w:rFonts w:hint="eastAsia" w:asciiTheme="minorEastAsia" w:hAnsiTheme="minorEastAsia" w:eastAsiaTheme="minorEastAsia" w:cstheme="minorEastAsia"/>
          <w:b/>
          <w:bCs/>
        </w:rPr>
        <w:t>供应商应按招标文件要求提供《中小企业声明函》、《残疾人福利性单位声明函》、《属于监狱企业的证明文件》。如未按要求提供、填写，不享受价格扣除。</w:t>
      </w:r>
    </w:p>
    <w:p w14:paraId="62CD991E">
      <w:pPr>
        <w:widowControl/>
        <w:shd w:val="clear" w:color="auto" w:fill="FFFFFF"/>
        <w:snapToGrid w:val="0"/>
        <w:spacing w:line="360" w:lineRule="auto"/>
        <w:ind w:firstLine="420"/>
        <w:jc w:val="left"/>
        <w:rPr>
          <w:rFonts w:hint="eastAsia" w:asciiTheme="minorEastAsia" w:hAnsiTheme="minorEastAsia" w:eastAsiaTheme="minorEastAsia" w:cstheme="minorEastAsia"/>
          <w:b/>
          <w:bCs/>
        </w:rPr>
      </w:pPr>
    </w:p>
    <w:p w14:paraId="0477FB27">
      <w:pPr>
        <w:spacing w:line="400" w:lineRule="exact"/>
        <w:rPr>
          <w:rFonts w:hint="eastAsia" w:ascii="宋体" w:hAnsi="宋体"/>
          <w:sz w:val="28"/>
          <w:szCs w:val="28"/>
        </w:rPr>
      </w:pPr>
    </w:p>
    <w:p w14:paraId="09EAC630">
      <w:pPr>
        <w:spacing w:line="400" w:lineRule="exact"/>
        <w:rPr>
          <w:rFonts w:hint="eastAsia" w:ascii="宋体" w:hAnsi="宋体"/>
          <w:sz w:val="28"/>
          <w:szCs w:val="28"/>
        </w:rPr>
      </w:pPr>
    </w:p>
    <w:p w14:paraId="3B662B6D">
      <w:pPr>
        <w:spacing w:line="400" w:lineRule="exact"/>
        <w:jc w:val="center"/>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附件2 投标分项报价表（采购包号：</w:t>
      </w:r>
      <w:r>
        <w:rPr>
          <w:rFonts w:hint="eastAsia" w:eastAsia="方正仿宋_GBK"/>
          <w:color w:val="000000"/>
          <w:sz w:val="28"/>
          <w:szCs w:val="28"/>
        </w:rPr>
        <w:t xml:space="preserve">   </w:t>
      </w:r>
      <w:r>
        <w:rPr>
          <w:rFonts w:hint="eastAsia" w:ascii="方正黑体_GBK" w:hAnsi="方正黑体_GBK" w:eastAsia="方正黑体_GBK" w:cs="方正黑体_GBK"/>
          <w:bCs/>
          <w:sz w:val="28"/>
          <w:szCs w:val="28"/>
        </w:rPr>
        <w:t>）</w:t>
      </w:r>
    </w:p>
    <w:tbl>
      <w:tblPr>
        <w:tblStyle w:val="31"/>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0"/>
        <w:gridCol w:w="2734"/>
        <w:gridCol w:w="1972"/>
        <w:gridCol w:w="1972"/>
        <w:gridCol w:w="1973"/>
      </w:tblGrid>
      <w:tr w14:paraId="7CDE8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1210" w:type="dxa"/>
            <w:vAlign w:val="center"/>
          </w:tcPr>
          <w:p w14:paraId="599CCA04">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序号</w:t>
            </w:r>
          </w:p>
        </w:tc>
        <w:tc>
          <w:tcPr>
            <w:tcW w:w="2734" w:type="dxa"/>
            <w:vAlign w:val="center"/>
          </w:tcPr>
          <w:p w14:paraId="6EFED7FD">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p>
          <w:p w14:paraId="41B0EB43">
            <w:pPr>
              <w:spacing w:line="400" w:lineRule="exact"/>
              <w:jc w:val="center"/>
              <w:rPr>
                <w:rFonts w:hint="eastAsia" w:ascii="方正仿宋_GBK" w:hAnsi="方正仿宋_GBK" w:eastAsia="方正仿宋_GBK" w:cs="方正仿宋_GBK"/>
                <w:sz w:val="28"/>
                <w:szCs w:val="28"/>
              </w:rPr>
            </w:pPr>
          </w:p>
        </w:tc>
        <w:tc>
          <w:tcPr>
            <w:tcW w:w="1972" w:type="dxa"/>
            <w:vAlign w:val="center"/>
          </w:tcPr>
          <w:p w14:paraId="3B3E47FA">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w:t>
            </w:r>
          </w:p>
        </w:tc>
        <w:tc>
          <w:tcPr>
            <w:tcW w:w="1972" w:type="dxa"/>
            <w:vAlign w:val="center"/>
          </w:tcPr>
          <w:p w14:paraId="5F5C051B">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w:t>
            </w:r>
          </w:p>
        </w:tc>
        <w:tc>
          <w:tcPr>
            <w:tcW w:w="1973" w:type="dxa"/>
            <w:vAlign w:val="center"/>
          </w:tcPr>
          <w:p w14:paraId="683CBAFE">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w:t>
            </w:r>
          </w:p>
        </w:tc>
      </w:tr>
      <w:tr w14:paraId="4945D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atLeast"/>
        </w:trPr>
        <w:tc>
          <w:tcPr>
            <w:tcW w:w="1210" w:type="dxa"/>
            <w:vAlign w:val="center"/>
          </w:tcPr>
          <w:p w14:paraId="002680DF">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w:t>
            </w:r>
          </w:p>
        </w:tc>
        <w:tc>
          <w:tcPr>
            <w:tcW w:w="2734" w:type="dxa"/>
            <w:vAlign w:val="center"/>
          </w:tcPr>
          <w:p w14:paraId="602AA8AD">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分项服务名称</w:t>
            </w:r>
          </w:p>
        </w:tc>
        <w:tc>
          <w:tcPr>
            <w:tcW w:w="1972" w:type="dxa"/>
            <w:vAlign w:val="center"/>
          </w:tcPr>
          <w:p w14:paraId="5F95E17E">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数量</w:t>
            </w:r>
          </w:p>
        </w:tc>
        <w:tc>
          <w:tcPr>
            <w:tcW w:w="1972" w:type="dxa"/>
            <w:vAlign w:val="center"/>
          </w:tcPr>
          <w:p w14:paraId="13F8958A">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分项单价</w:t>
            </w:r>
          </w:p>
        </w:tc>
        <w:tc>
          <w:tcPr>
            <w:tcW w:w="1973" w:type="dxa"/>
            <w:vAlign w:val="center"/>
          </w:tcPr>
          <w:p w14:paraId="428D7ECA">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分项总价</w:t>
            </w:r>
          </w:p>
        </w:tc>
      </w:tr>
      <w:tr w14:paraId="50BA9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1210" w:type="dxa"/>
            <w:vAlign w:val="center"/>
          </w:tcPr>
          <w:p w14:paraId="16BA2CF0">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w:t>
            </w:r>
          </w:p>
        </w:tc>
        <w:tc>
          <w:tcPr>
            <w:tcW w:w="2734" w:type="dxa"/>
            <w:vAlign w:val="center"/>
          </w:tcPr>
          <w:p w14:paraId="7F5AAE4D">
            <w:pPr>
              <w:spacing w:line="400" w:lineRule="exact"/>
              <w:jc w:val="center"/>
              <w:rPr>
                <w:rFonts w:hint="eastAsia" w:ascii="方正仿宋_GBK" w:hAnsi="方正仿宋_GBK" w:eastAsia="方正仿宋_GBK" w:cs="方正仿宋_GBK"/>
                <w:sz w:val="28"/>
                <w:szCs w:val="28"/>
                <w:u w:val="single"/>
              </w:rPr>
            </w:pPr>
          </w:p>
        </w:tc>
        <w:tc>
          <w:tcPr>
            <w:tcW w:w="1972" w:type="dxa"/>
            <w:vAlign w:val="center"/>
          </w:tcPr>
          <w:p w14:paraId="54DDCC3D">
            <w:pPr>
              <w:spacing w:line="400" w:lineRule="exact"/>
              <w:jc w:val="center"/>
              <w:rPr>
                <w:rFonts w:hint="eastAsia" w:ascii="方正仿宋_GBK" w:hAnsi="方正仿宋_GBK" w:eastAsia="方正仿宋_GBK" w:cs="方正仿宋_GBK"/>
                <w:sz w:val="28"/>
                <w:szCs w:val="28"/>
              </w:rPr>
            </w:pPr>
          </w:p>
        </w:tc>
        <w:tc>
          <w:tcPr>
            <w:tcW w:w="1972" w:type="dxa"/>
            <w:vAlign w:val="center"/>
          </w:tcPr>
          <w:p w14:paraId="5BF11B32">
            <w:pPr>
              <w:spacing w:line="400" w:lineRule="exact"/>
              <w:jc w:val="center"/>
              <w:rPr>
                <w:rFonts w:hint="eastAsia" w:ascii="方正仿宋_GBK" w:hAnsi="方正仿宋_GBK" w:eastAsia="方正仿宋_GBK" w:cs="方正仿宋_GBK"/>
                <w:sz w:val="28"/>
                <w:szCs w:val="28"/>
              </w:rPr>
            </w:pPr>
          </w:p>
        </w:tc>
        <w:tc>
          <w:tcPr>
            <w:tcW w:w="1973" w:type="dxa"/>
            <w:vAlign w:val="center"/>
          </w:tcPr>
          <w:p w14:paraId="4BAD419A">
            <w:pPr>
              <w:spacing w:line="400" w:lineRule="exact"/>
              <w:jc w:val="center"/>
              <w:rPr>
                <w:rFonts w:hint="eastAsia" w:ascii="方正仿宋_GBK" w:hAnsi="方正仿宋_GBK" w:eastAsia="方正仿宋_GBK" w:cs="方正仿宋_GBK"/>
                <w:sz w:val="28"/>
                <w:szCs w:val="28"/>
              </w:rPr>
            </w:pPr>
          </w:p>
        </w:tc>
      </w:tr>
      <w:tr w14:paraId="3E6A7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1210" w:type="dxa"/>
            <w:vAlign w:val="center"/>
          </w:tcPr>
          <w:p w14:paraId="20F7C0D9">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w:t>
            </w:r>
          </w:p>
        </w:tc>
        <w:tc>
          <w:tcPr>
            <w:tcW w:w="2734" w:type="dxa"/>
            <w:vAlign w:val="center"/>
          </w:tcPr>
          <w:p w14:paraId="5BADFE9A">
            <w:pPr>
              <w:spacing w:line="400" w:lineRule="exact"/>
              <w:jc w:val="center"/>
              <w:rPr>
                <w:rFonts w:hint="eastAsia" w:ascii="方正仿宋_GBK" w:hAnsi="方正仿宋_GBK" w:eastAsia="方正仿宋_GBK" w:cs="方正仿宋_GBK"/>
                <w:sz w:val="28"/>
                <w:szCs w:val="28"/>
              </w:rPr>
            </w:pPr>
          </w:p>
        </w:tc>
        <w:tc>
          <w:tcPr>
            <w:tcW w:w="1972" w:type="dxa"/>
            <w:vAlign w:val="center"/>
          </w:tcPr>
          <w:p w14:paraId="3D0D3582">
            <w:pPr>
              <w:spacing w:line="400" w:lineRule="exact"/>
              <w:jc w:val="center"/>
              <w:rPr>
                <w:rFonts w:hint="eastAsia" w:ascii="方正仿宋_GBK" w:hAnsi="方正仿宋_GBK" w:eastAsia="方正仿宋_GBK" w:cs="方正仿宋_GBK"/>
                <w:sz w:val="28"/>
                <w:szCs w:val="28"/>
              </w:rPr>
            </w:pPr>
          </w:p>
        </w:tc>
        <w:tc>
          <w:tcPr>
            <w:tcW w:w="1972" w:type="dxa"/>
            <w:vAlign w:val="center"/>
          </w:tcPr>
          <w:p w14:paraId="3ECA94B8">
            <w:pPr>
              <w:spacing w:line="400" w:lineRule="exact"/>
              <w:jc w:val="center"/>
              <w:rPr>
                <w:rFonts w:hint="eastAsia" w:ascii="方正仿宋_GBK" w:hAnsi="方正仿宋_GBK" w:eastAsia="方正仿宋_GBK" w:cs="方正仿宋_GBK"/>
                <w:sz w:val="28"/>
                <w:szCs w:val="28"/>
              </w:rPr>
            </w:pPr>
          </w:p>
        </w:tc>
        <w:tc>
          <w:tcPr>
            <w:tcW w:w="1973" w:type="dxa"/>
            <w:vAlign w:val="center"/>
          </w:tcPr>
          <w:p w14:paraId="7CB81E2C">
            <w:pPr>
              <w:spacing w:line="400" w:lineRule="exact"/>
              <w:jc w:val="center"/>
              <w:rPr>
                <w:rFonts w:hint="eastAsia" w:ascii="方正仿宋_GBK" w:hAnsi="方正仿宋_GBK" w:eastAsia="方正仿宋_GBK" w:cs="方正仿宋_GBK"/>
                <w:sz w:val="28"/>
                <w:szCs w:val="28"/>
              </w:rPr>
            </w:pPr>
          </w:p>
        </w:tc>
      </w:tr>
      <w:tr w14:paraId="26D89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10" w:type="dxa"/>
            <w:vAlign w:val="center"/>
          </w:tcPr>
          <w:p w14:paraId="1604CE5C">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w:t>
            </w:r>
          </w:p>
        </w:tc>
        <w:tc>
          <w:tcPr>
            <w:tcW w:w="2734" w:type="dxa"/>
            <w:vAlign w:val="center"/>
          </w:tcPr>
          <w:p w14:paraId="516D64CE">
            <w:pPr>
              <w:spacing w:line="400" w:lineRule="exact"/>
              <w:jc w:val="center"/>
              <w:rPr>
                <w:rFonts w:hint="eastAsia" w:ascii="方正仿宋_GBK" w:hAnsi="方正仿宋_GBK" w:eastAsia="方正仿宋_GBK" w:cs="方正仿宋_GBK"/>
                <w:sz w:val="28"/>
                <w:szCs w:val="28"/>
              </w:rPr>
            </w:pPr>
          </w:p>
        </w:tc>
        <w:tc>
          <w:tcPr>
            <w:tcW w:w="1972" w:type="dxa"/>
            <w:vAlign w:val="center"/>
          </w:tcPr>
          <w:p w14:paraId="6CC11451">
            <w:pPr>
              <w:spacing w:line="400" w:lineRule="exact"/>
              <w:jc w:val="center"/>
              <w:rPr>
                <w:rFonts w:hint="eastAsia" w:ascii="方正仿宋_GBK" w:hAnsi="方正仿宋_GBK" w:eastAsia="方正仿宋_GBK" w:cs="方正仿宋_GBK"/>
                <w:sz w:val="28"/>
                <w:szCs w:val="28"/>
              </w:rPr>
            </w:pPr>
          </w:p>
        </w:tc>
        <w:tc>
          <w:tcPr>
            <w:tcW w:w="1972" w:type="dxa"/>
            <w:vAlign w:val="center"/>
          </w:tcPr>
          <w:p w14:paraId="46354D54">
            <w:pPr>
              <w:spacing w:line="400" w:lineRule="exact"/>
              <w:jc w:val="center"/>
              <w:rPr>
                <w:rFonts w:hint="eastAsia" w:ascii="方正仿宋_GBK" w:hAnsi="方正仿宋_GBK" w:eastAsia="方正仿宋_GBK" w:cs="方正仿宋_GBK"/>
                <w:sz w:val="28"/>
                <w:szCs w:val="28"/>
              </w:rPr>
            </w:pPr>
          </w:p>
        </w:tc>
        <w:tc>
          <w:tcPr>
            <w:tcW w:w="1973" w:type="dxa"/>
            <w:vAlign w:val="center"/>
          </w:tcPr>
          <w:p w14:paraId="05E46A8F">
            <w:pPr>
              <w:spacing w:line="400" w:lineRule="exact"/>
              <w:jc w:val="center"/>
              <w:rPr>
                <w:rFonts w:hint="eastAsia" w:ascii="方正仿宋_GBK" w:hAnsi="方正仿宋_GBK" w:eastAsia="方正仿宋_GBK" w:cs="方正仿宋_GBK"/>
                <w:sz w:val="28"/>
                <w:szCs w:val="28"/>
              </w:rPr>
            </w:pPr>
          </w:p>
        </w:tc>
      </w:tr>
      <w:tr w14:paraId="43AAB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1210" w:type="dxa"/>
            <w:vAlign w:val="center"/>
          </w:tcPr>
          <w:p w14:paraId="5E3F1292">
            <w:pPr>
              <w:spacing w:line="400" w:lineRule="exact"/>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p>
        </w:tc>
        <w:tc>
          <w:tcPr>
            <w:tcW w:w="2734" w:type="dxa"/>
            <w:vAlign w:val="center"/>
          </w:tcPr>
          <w:p w14:paraId="34B8659F">
            <w:pPr>
              <w:spacing w:line="400" w:lineRule="exact"/>
              <w:jc w:val="center"/>
              <w:rPr>
                <w:rFonts w:hint="eastAsia" w:ascii="方正仿宋_GBK" w:hAnsi="方正仿宋_GBK" w:eastAsia="方正仿宋_GBK" w:cs="方正仿宋_GBK"/>
                <w:sz w:val="28"/>
                <w:szCs w:val="28"/>
              </w:rPr>
            </w:pPr>
          </w:p>
        </w:tc>
        <w:tc>
          <w:tcPr>
            <w:tcW w:w="1972" w:type="dxa"/>
            <w:vAlign w:val="center"/>
          </w:tcPr>
          <w:p w14:paraId="211F64E6">
            <w:pPr>
              <w:spacing w:line="400" w:lineRule="exact"/>
              <w:jc w:val="center"/>
              <w:rPr>
                <w:rFonts w:hint="eastAsia" w:ascii="方正仿宋_GBK" w:hAnsi="方正仿宋_GBK" w:eastAsia="方正仿宋_GBK" w:cs="方正仿宋_GBK"/>
                <w:sz w:val="28"/>
                <w:szCs w:val="28"/>
              </w:rPr>
            </w:pPr>
          </w:p>
        </w:tc>
        <w:tc>
          <w:tcPr>
            <w:tcW w:w="1972" w:type="dxa"/>
            <w:vAlign w:val="center"/>
          </w:tcPr>
          <w:p w14:paraId="4C6E80C1">
            <w:pPr>
              <w:spacing w:line="400" w:lineRule="exact"/>
              <w:jc w:val="center"/>
              <w:rPr>
                <w:rFonts w:hint="eastAsia" w:ascii="方正仿宋_GBK" w:hAnsi="方正仿宋_GBK" w:eastAsia="方正仿宋_GBK" w:cs="方正仿宋_GBK"/>
                <w:sz w:val="28"/>
                <w:szCs w:val="28"/>
              </w:rPr>
            </w:pPr>
          </w:p>
        </w:tc>
        <w:tc>
          <w:tcPr>
            <w:tcW w:w="1973" w:type="dxa"/>
            <w:vAlign w:val="center"/>
          </w:tcPr>
          <w:p w14:paraId="464E449B">
            <w:pPr>
              <w:spacing w:line="400" w:lineRule="exact"/>
              <w:jc w:val="center"/>
              <w:rPr>
                <w:rFonts w:hint="eastAsia" w:ascii="方正仿宋_GBK" w:hAnsi="方正仿宋_GBK" w:eastAsia="方正仿宋_GBK" w:cs="方正仿宋_GBK"/>
                <w:sz w:val="28"/>
                <w:szCs w:val="28"/>
              </w:rPr>
            </w:pPr>
          </w:p>
        </w:tc>
      </w:tr>
      <w:tr w14:paraId="39199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4" w:hRule="atLeast"/>
        </w:trPr>
        <w:tc>
          <w:tcPr>
            <w:tcW w:w="9861" w:type="dxa"/>
            <w:gridSpan w:val="5"/>
          </w:tcPr>
          <w:p w14:paraId="07072B6C">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投标总报价（人民币：元）</w:t>
            </w:r>
            <w:r>
              <w:rPr>
                <w:rFonts w:hint="eastAsia" w:ascii="方正仿宋_GBK" w:hAnsi="方正仿宋_GBK" w:eastAsia="方正仿宋_GBK" w:cs="方正仿宋_GBK"/>
                <w:sz w:val="28"/>
                <w:szCs w:val="28"/>
                <w:u w:val="single"/>
              </w:rPr>
              <w:t xml:space="preserve">                             </w:t>
            </w:r>
          </w:p>
        </w:tc>
      </w:tr>
      <w:tr w14:paraId="57D93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7" w:hRule="atLeast"/>
        </w:trPr>
        <w:tc>
          <w:tcPr>
            <w:tcW w:w="9861" w:type="dxa"/>
            <w:gridSpan w:val="5"/>
          </w:tcPr>
          <w:p w14:paraId="25917243">
            <w:pPr>
              <w:pStyle w:val="247"/>
              <w:spacing w:before="0" w:beforeAutospacing="0" w:after="0" w:afterAutospacing="0" w:line="400" w:lineRule="exact"/>
              <w:rPr>
                <w:rFonts w:hint="eastAsia" w:ascii="方正仿宋_GBK" w:hAnsi="方正仿宋_GBK" w:eastAsia="方正仿宋_GBK" w:cs="方正仿宋_GBK"/>
                <w:sz w:val="28"/>
                <w:szCs w:val="28"/>
              </w:rPr>
            </w:pPr>
          </w:p>
        </w:tc>
      </w:tr>
    </w:tbl>
    <w:p w14:paraId="429C9A4B">
      <w:pPr>
        <w:spacing w:line="400" w:lineRule="exact"/>
        <w:ind w:firstLine="48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w:t>
      </w:r>
    </w:p>
    <w:p w14:paraId="0CD80DCF">
      <w:pPr>
        <w:spacing w:line="400" w:lineRule="exact"/>
        <w:ind w:firstLine="48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p>
    <w:p w14:paraId="57967A84">
      <w:pPr>
        <w:spacing w:line="400" w:lineRule="exact"/>
        <w:ind w:firstLine="48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2.“投标分项报价表”中“投标总报价”数额应当与“开标一览表”中“投标总报价”数额一致。</w:t>
      </w:r>
    </w:p>
    <w:p w14:paraId="42E6FC42">
      <w:pPr>
        <w:spacing w:line="400" w:lineRule="exact"/>
        <w:ind w:firstLine="48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80%</w:t>
      </w:r>
      <w:r>
        <w:rPr>
          <w:rFonts w:hint="eastAsia" w:ascii="方正仿宋_GBK" w:hAnsi="方正仿宋_GBK" w:eastAsia="方正仿宋_GBK" w:cs="方正仿宋_GBK"/>
          <w:sz w:val="28"/>
          <w:szCs w:val="28"/>
        </w:rPr>
        <w:t>的，将不享受本国产品价格评审优惠。</w:t>
      </w:r>
    </w:p>
    <w:p w14:paraId="326855CE">
      <w:pPr>
        <w:spacing w:line="400" w:lineRule="exact"/>
        <w:ind w:firstLine="482"/>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4.项目经办人可以根据项目实际需要对表格结构进行调整。</w:t>
      </w:r>
    </w:p>
    <w:p w14:paraId="67B093E7">
      <w:pPr>
        <w:spacing w:line="400" w:lineRule="exact"/>
        <w:jc w:val="center"/>
        <w:rPr>
          <w:rFonts w:hint="eastAsia" w:ascii="方正仿宋_GBK" w:hAnsi="方正仿宋_GBK" w:eastAsia="方正仿宋_GBK" w:cs="方正仿宋_GBK"/>
          <w:sz w:val="28"/>
          <w:szCs w:val="28"/>
        </w:rPr>
      </w:pPr>
    </w:p>
    <w:p w14:paraId="7C26FD79">
      <w:pPr>
        <w:spacing w:line="400" w:lineRule="exact"/>
        <w:jc w:val="center"/>
        <w:rPr>
          <w:rFonts w:hint="eastAsia" w:ascii="方正仿宋_GBK" w:hAnsi="方正仿宋_GBK" w:eastAsia="方正仿宋_GBK" w:cs="方正仿宋_GBK"/>
          <w:sz w:val="28"/>
          <w:szCs w:val="28"/>
        </w:rPr>
      </w:pPr>
    </w:p>
    <w:p w14:paraId="7ED7151F">
      <w:pPr>
        <w:spacing w:line="400" w:lineRule="exact"/>
        <w:jc w:val="center"/>
        <w:rPr>
          <w:rFonts w:hint="eastAsia" w:ascii="方正仿宋_GBK" w:hAnsi="方正仿宋_GBK" w:eastAsia="方正仿宋_GBK" w:cs="方正仿宋_GBK"/>
          <w:sz w:val="28"/>
          <w:szCs w:val="28"/>
        </w:rPr>
      </w:pPr>
    </w:p>
    <w:p w14:paraId="1C52445E">
      <w:pPr>
        <w:spacing w:line="400" w:lineRule="exact"/>
        <w:jc w:val="center"/>
        <w:rPr>
          <w:rFonts w:hint="eastAsia" w:ascii="方正仿宋_GBK" w:hAnsi="方正仿宋_GBK" w:eastAsia="方正仿宋_GBK" w:cs="方正仿宋_GBK"/>
          <w:sz w:val="28"/>
          <w:szCs w:val="28"/>
        </w:rPr>
      </w:pPr>
    </w:p>
    <w:p w14:paraId="1B15989A">
      <w:pPr>
        <w:spacing w:line="400" w:lineRule="exact"/>
        <w:jc w:val="center"/>
        <w:rPr>
          <w:rFonts w:hint="eastAsia" w:ascii="方正仿宋_GBK" w:hAnsi="方正仿宋_GBK" w:eastAsia="方正仿宋_GBK" w:cs="方正仿宋_GBK"/>
          <w:sz w:val="28"/>
          <w:szCs w:val="28"/>
        </w:rPr>
      </w:pPr>
    </w:p>
    <w:p w14:paraId="268C063E">
      <w:pPr>
        <w:spacing w:line="400" w:lineRule="exact"/>
        <w:jc w:val="center"/>
        <w:rPr>
          <w:rFonts w:hint="eastAsia" w:ascii="方正仿宋_GBK" w:hAnsi="方正仿宋_GBK" w:eastAsia="方正仿宋_GBK" w:cs="方正仿宋_GBK"/>
          <w:sz w:val="28"/>
          <w:szCs w:val="28"/>
        </w:rPr>
      </w:pPr>
    </w:p>
    <w:p w14:paraId="64D83823">
      <w:pPr>
        <w:spacing w:line="400" w:lineRule="exact"/>
        <w:jc w:val="center"/>
        <w:rPr>
          <w:rFonts w:hint="eastAsia" w:ascii="方正仿宋_GBK" w:hAnsi="方正仿宋_GBK" w:eastAsia="方正仿宋_GBK" w:cs="方正仿宋_GBK"/>
          <w:sz w:val="28"/>
          <w:szCs w:val="28"/>
        </w:rPr>
      </w:pPr>
    </w:p>
    <w:p w14:paraId="55EE78B8">
      <w:pPr>
        <w:spacing w:line="400" w:lineRule="exact"/>
        <w:rPr>
          <w:rFonts w:hint="eastAsia" w:ascii="宋体" w:hAnsi="宋体"/>
          <w:sz w:val="28"/>
          <w:szCs w:val="28"/>
        </w:rPr>
      </w:pPr>
      <w:r>
        <w:rPr>
          <w:rFonts w:hint="eastAsia" w:ascii="宋体" w:hAnsi="宋体"/>
          <w:sz w:val="28"/>
          <w:szCs w:val="28"/>
        </w:rPr>
        <w:t xml:space="preserve">                         </w:t>
      </w:r>
    </w:p>
    <w:p w14:paraId="033DA579">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附件</w:t>
      </w:r>
      <w:r>
        <w:rPr>
          <w:rFonts w:hint="eastAsia" w:ascii="方正黑体_GBK" w:hAnsi="方正黑体_GBK" w:eastAsia="方正黑体_GBK" w:cs="方正黑体_GBK"/>
          <w:bCs/>
          <w:sz w:val="28"/>
          <w:szCs w:val="28"/>
          <w:lang w:val="en-US" w:eastAsia="zh-CN"/>
        </w:rPr>
        <w:t>3</w:t>
      </w:r>
      <w:r>
        <w:rPr>
          <w:rFonts w:hint="eastAsia" w:ascii="方正黑体_GBK" w:hAnsi="方正黑体_GBK" w:eastAsia="方正黑体_GBK" w:cs="方正黑体_GBK"/>
          <w:bCs/>
          <w:sz w:val="28"/>
          <w:szCs w:val="28"/>
        </w:rPr>
        <w:t xml:space="preserve"> 具备履行合同所必需的设备和专业技术能力的书面声明</w:t>
      </w:r>
    </w:p>
    <w:p w14:paraId="6F01CB3A">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我单位郑重声明：我单位具备履行本项采购合同所必需的设备和专业技术能力，为履行本项采购合同我公司具备如下主要设备和主要专业技术能力：</w:t>
      </w:r>
    </w:p>
    <w:p w14:paraId="32DE59B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w:t>
      </w:r>
    </w:p>
    <w:p w14:paraId="1724DD1C">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w:t>
      </w:r>
    </w:p>
    <w:p w14:paraId="7C4338E9">
      <w:pPr>
        <w:spacing w:line="400" w:lineRule="exact"/>
        <w:rPr>
          <w:rFonts w:hint="eastAsia" w:ascii="宋体" w:hAnsi="宋体"/>
          <w:b/>
          <w:color w:val="000000"/>
          <w:sz w:val="28"/>
          <w:szCs w:val="28"/>
        </w:rPr>
      </w:pPr>
      <w:r>
        <w:rPr>
          <w:rFonts w:hint="eastAsia" w:ascii="宋体" w:hAnsi="宋体"/>
          <w:bCs/>
          <w:color w:val="000000"/>
          <w:sz w:val="28"/>
          <w:szCs w:val="28"/>
        </w:rPr>
        <w:t xml:space="preserve">                                     </w:t>
      </w:r>
    </w:p>
    <w:p w14:paraId="39EB3642">
      <w:pPr>
        <w:spacing w:line="400" w:lineRule="exact"/>
        <w:jc w:val="center"/>
        <w:rPr>
          <w:rFonts w:hint="eastAsia" w:ascii="方正黑体_GBK" w:hAnsi="方正黑体_GBK" w:eastAsia="方正黑体_GBK" w:cs="方正黑体_GBK"/>
          <w:bCs/>
          <w:sz w:val="28"/>
          <w:szCs w:val="28"/>
        </w:rPr>
      </w:pPr>
    </w:p>
    <w:p w14:paraId="0F8D664F">
      <w:pPr>
        <w:spacing w:line="400" w:lineRule="exact"/>
        <w:jc w:val="center"/>
        <w:rPr>
          <w:rFonts w:hint="eastAsia" w:ascii="方正黑体_GBK" w:hAnsi="方正黑体_GBK" w:eastAsia="方正黑体_GBK" w:cs="方正黑体_GBK"/>
          <w:bCs/>
          <w:sz w:val="28"/>
          <w:szCs w:val="28"/>
        </w:rPr>
      </w:pPr>
    </w:p>
    <w:p w14:paraId="5A46E852">
      <w:pPr>
        <w:spacing w:line="400" w:lineRule="exact"/>
        <w:jc w:val="center"/>
        <w:rPr>
          <w:rFonts w:hint="eastAsia" w:ascii="方正黑体_GBK" w:hAnsi="方正黑体_GBK" w:eastAsia="方正黑体_GBK" w:cs="方正黑体_GBK"/>
          <w:bCs/>
          <w:sz w:val="28"/>
          <w:szCs w:val="28"/>
        </w:rPr>
        <w:sectPr>
          <w:pgSz w:w="11906" w:h="16838"/>
          <w:pgMar w:top="1418" w:right="1588" w:bottom="1418" w:left="1365" w:header="851" w:footer="907" w:gutter="0"/>
          <w:cols w:space="720" w:num="1"/>
          <w:docGrid w:linePitch="360" w:charSpace="0"/>
        </w:sectPr>
      </w:pPr>
    </w:p>
    <w:p w14:paraId="4D0BD9AA">
      <w:pPr>
        <w:spacing w:line="400" w:lineRule="exact"/>
        <w:jc w:val="center"/>
        <w:rPr>
          <w:rFonts w:hint="eastAsia" w:ascii="宋体" w:hAnsi="宋体"/>
          <w:bCs/>
          <w:color w:val="000000"/>
          <w:sz w:val="28"/>
          <w:szCs w:val="28"/>
        </w:rPr>
      </w:pPr>
      <w:r>
        <w:rPr>
          <w:rFonts w:hint="eastAsia" w:ascii="方正黑体_GBK" w:hAnsi="方正黑体_GBK" w:eastAsia="方正黑体_GBK" w:cs="方正黑体_GBK"/>
          <w:bCs/>
          <w:sz w:val="28"/>
          <w:szCs w:val="28"/>
        </w:rPr>
        <w:t>附件</w:t>
      </w:r>
      <w:r>
        <w:rPr>
          <w:rFonts w:hint="eastAsia" w:ascii="方正黑体_GBK" w:hAnsi="方正黑体_GBK" w:eastAsia="方正黑体_GBK" w:cs="方正黑体_GBK"/>
          <w:bCs/>
          <w:sz w:val="28"/>
          <w:szCs w:val="28"/>
          <w:lang w:val="en-US" w:eastAsia="zh-CN"/>
        </w:rPr>
        <w:t>4</w:t>
      </w:r>
      <w:r>
        <w:rPr>
          <w:rFonts w:hint="eastAsia" w:ascii="方正黑体_GBK" w:hAnsi="方正黑体_GBK" w:eastAsia="方正黑体_GBK" w:cs="方正黑体_GBK"/>
          <w:bCs/>
          <w:sz w:val="28"/>
          <w:szCs w:val="28"/>
        </w:rPr>
        <w:t xml:space="preserve"> 参加政府采购活动前 3 年内在经营活动中没有重大违法记录的书面声明</w:t>
      </w:r>
    </w:p>
    <w:p w14:paraId="5AAA2B1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我单位郑重声明：参加本次政府采购活动前 3 年内，我单位在经营活动中没有因违法经营受到刑事处罚或者责令停产停业、吊销许可证或者执照、较大数额罚款等行政处罚。</w:t>
      </w:r>
    </w:p>
    <w:p w14:paraId="4D4322FC">
      <w:pPr>
        <w:spacing w:line="400" w:lineRule="exact"/>
        <w:ind w:firstLine="560"/>
        <w:rPr>
          <w:rFonts w:hint="eastAsia" w:ascii="方正仿宋_GBK" w:hAnsi="方正仿宋_GBK" w:eastAsia="方正仿宋_GBK" w:cs="方正仿宋_GBK"/>
          <w:sz w:val="28"/>
          <w:szCs w:val="28"/>
        </w:rPr>
      </w:pPr>
    </w:p>
    <w:p w14:paraId="23A20866">
      <w:pPr>
        <w:spacing w:line="400" w:lineRule="exact"/>
        <w:ind w:firstLine="560"/>
        <w:rPr>
          <w:rFonts w:hint="eastAsia" w:ascii="方正仿宋_GBK" w:hAnsi="方正仿宋_GBK" w:eastAsia="方正仿宋_GBK" w:cs="方正仿宋_GBK"/>
          <w:sz w:val="28"/>
          <w:szCs w:val="28"/>
        </w:rPr>
      </w:pPr>
    </w:p>
    <w:p w14:paraId="1A28E548">
      <w:pPr>
        <w:spacing w:line="400" w:lineRule="exact"/>
        <w:ind w:firstLine="560"/>
        <w:rPr>
          <w:rFonts w:hint="eastAsia" w:ascii="方正仿宋_GBK" w:hAnsi="方正仿宋_GBK" w:eastAsia="方正仿宋_GBK" w:cs="方正仿宋_GBK"/>
          <w:sz w:val="28"/>
          <w:szCs w:val="28"/>
        </w:rPr>
      </w:pPr>
    </w:p>
    <w:p w14:paraId="2DF0C5C9">
      <w:pPr>
        <w:spacing w:line="400" w:lineRule="exact"/>
        <w:ind w:firstLine="560"/>
        <w:rPr>
          <w:rFonts w:hint="eastAsia" w:ascii="方正仿宋_GBK" w:hAnsi="方正仿宋_GBK" w:eastAsia="方正仿宋_GBK" w:cs="方正仿宋_GBK"/>
          <w:sz w:val="28"/>
          <w:szCs w:val="28"/>
        </w:rPr>
      </w:pPr>
    </w:p>
    <w:p w14:paraId="08E08691">
      <w:pPr>
        <w:spacing w:line="400" w:lineRule="exact"/>
        <w:ind w:firstLine="560"/>
        <w:rPr>
          <w:rFonts w:hint="eastAsia" w:ascii="方正仿宋_GBK" w:hAnsi="方正仿宋_GBK" w:eastAsia="方正仿宋_GBK" w:cs="方正仿宋_GBK"/>
          <w:sz w:val="28"/>
          <w:szCs w:val="28"/>
        </w:rPr>
      </w:pPr>
    </w:p>
    <w:p w14:paraId="28971449">
      <w:pPr>
        <w:spacing w:line="400" w:lineRule="exact"/>
        <w:jc w:val="center"/>
        <w:rPr>
          <w:rFonts w:hint="eastAsia" w:ascii="方正黑体_GBK" w:hAnsi="方正黑体_GBK" w:eastAsia="方正黑体_GBK" w:cs="方正黑体_GBK"/>
          <w:bCs/>
          <w:sz w:val="28"/>
          <w:szCs w:val="28"/>
        </w:rPr>
      </w:pPr>
    </w:p>
    <w:p w14:paraId="46F2036B">
      <w:pPr>
        <w:spacing w:line="400" w:lineRule="exact"/>
        <w:jc w:val="center"/>
        <w:rPr>
          <w:rFonts w:hint="eastAsia" w:ascii="方正黑体_GBK" w:hAnsi="方正黑体_GBK" w:eastAsia="方正黑体_GBK" w:cs="方正黑体_GBK"/>
          <w:bCs/>
          <w:sz w:val="28"/>
          <w:szCs w:val="28"/>
        </w:rPr>
      </w:pPr>
    </w:p>
    <w:p w14:paraId="71A8076B">
      <w:pPr>
        <w:spacing w:line="400" w:lineRule="exact"/>
        <w:jc w:val="center"/>
        <w:rPr>
          <w:rFonts w:hint="eastAsia" w:ascii="方正黑体_GBK" w:hAnsi="方正黑体_GBK" w:eastAsia="方正黑体_GBK" w:cs="方正黑体_GBK"/>
          <w:bCs/>
          <w:sz w:val="28"/>
          <w:szCs w:val="28"/>
        </w:rPr>
        <w:sectPr>
          <w:pgSz w:w="11906" w:h="16838"/>
          <w:pgMar w:top="1418" w:right="1588" w:bottom="1418" w:left="1365" w:header="851" w:footer="907" w:gutter="0"/>
          <w:cols w:space="720" w:num="1"/>
          <w:docGrid w:linePitch="360" w:charSpace="0"/>
        </w:sectPr>
      </w:pPr>
    </w:p>
    <w:p w14:paraId="5CF75B12">
      <w:pPr>
        <w:spacing w:line="400" w:lineRule="exact"/>
        <w:jc w:val="lef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附件</w:t>
      </w:r>
      <w:r>
        <w:rPr>
          <w:rFonts w:hint="eastAsia" w:ascii="方正黑体_GBK" w:hAnsi="方正黑体_GBK" w:eastAsia="方正黑体_GBK" w:cs="方正黑体_GBK"/>
          <w:bCs/>
          <w:sz w:val="28"/>
          <w:szCs w:val="28"/>
          <w:lang w:val="en-US" w:eastAsia="zh-CN"/>
        </w:rPr>
        <w:t>6</w:t>
      </w:r>
      <w:r>
        <w:rPr>
          <w:rFonts w:hint="eastAsia" w:ascii="方正黑体_GBK" w:hAnsi="方正黑体_GBK" w:eastAsia="方正黑体_GBK" w:cs="方正黑体_GBK"/>
          <w:bCs/>
          <w:sz w:val="28"/>
          <w:szCs w:val="28"/>
        </w:rPr>
        <w:t xml:space="preserve">                        法人授权书</w:t>
      </w:r>
    </w:p>
    <w:p w14:paraId="186DA5CC">
      <w:pPr>
        <w:tabs>
          <w:tab w:val="left" w:pos="360"/>
        </w:tabs>
        <w:spacing w:line="480" w:lineRule="auto"/>
        <w:ind w:firstLine="560"/>
        <w:rPr>
          <w:rFonts w:hint="eastAsia" w:ascii="方正仿宋_GBK" w:hAnsi="方正仿宋_GBK" w:eastAsia="方正仿宋_GBK" w:cs="方正仿宋_GBK"/>
          <w:color w:val="000000"/>
          <w:sz w:val="28"/>
          <w:szCs w:val="28"/>
        </w:rPr>
      </w:pPr>
    </w:p>
    <w:p w14:paraId="417E37EF">
      <w:pPr>
        <w:tabs>
          <w:tab w:val="left" w:pos="360"/>
        </w:tabs>
        <w:spacing w:line="480" w:lineRule="auto"/>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本授权书声明：</w:t>
      </w:r>
      <w:r>
        <w:rPr>
          <w:rFonts w:hint="eastAsia" w:eastAsia="方正仿宋_GBK"/>
          <w:color w:val="000000"/>
          <w:sz w:val="28"/>
          <w:szCs w:val="28"/>
          <w:u w:val="single"/>
        </w:rPr>
        <w:t xml:space="preserve">         </w:t>
      </w:r>
      <w:r>
        <w:rPr>
          <w:rFonts w:hint="eastAsia" w:ascii="方正仿宋_GBK" w:hAnsi="方正仿宋_GBK" w:eastAsia="方正仿宋_GBK" w:cs="方正仿宋_GBK"/>
          <w:color w:val="000000"/>
          <w:sz w:val="28"/>
          <w:szCs w:val="28"/>
        </w:rPr>
        <w:t>（投标人名称）授权</w:t>
      </w:r>
      <w:r>
        <w:rPr>
          <w:rFonts w:hint="eastAsia" w:eastAsia="方正仿宋_GBK"/>
          <w:color w:val="000000"/>
          <w:sz w:val="28"/>
          <w:szCs w:val="28"/>
          <w:u w:val="single"/>
        </w:rPr>
        <w:t xml:space="preserve">     </w:t>
      </w:r>
      <w:r>
        <w:rPr>
          <w:rFonts w:hint="eastAsia" w:ascii="方正仿宋_GBK" w:hAnsi="方正仿宋_GBK" w:eastAsia="方正仿宋_GBK" w:cs="方正仿宋_GBK"/>
          <w:color w:val="000000"/>
          <w:sz w:val="28"/>
          <w:szCs w:val="28"/>
        </w:rPr>
        <w:t>（被授权人的姓名）为我方就采购编号为</w:t>
      </w:r>
      <w:r>
        <w:rPr>
          <w:rFonts w:hint="eastAsia" w:eastAsia="方正仿宋_GBK"/>
          <w:color w:val="000000"/>
          <w:sz w:val="28"/>
          <w:szCs w:val="28"/>
          <w:u w:val="single"/>
        </w:rPr>
        <w:t xml:space="preserve">       </w:t>
      </w:r>
      <w:r>
        <w:rPr>
          <w:rFonts w:hint="eastAsia" w:ascii="方正仿宋_GBK" w:hAnsi="方正仿宋_GBK" w:eastAsia="方正仿宋_GBK" w:cs="方正仿宋_GBK"/>
          <w:color w:val="000000"/>
          <w:sz w:val="28"/>
          <w:szCs w:val="28"/>
        </w:rPr>
        <w:t>，</w:t>
      </w:r>
      <w:r>
        <w:rPr>
          <w:rFonts w:hint="eastAsia" w:eastAsia="方正仿宋_GBK"/>
          <w:color w:val="000000"/>
          <w:sz w:val="28"/>
          <w:szCs w:val="28"/>
          <w:u w:val="single"/>
        </w:rPr>
        <w:t xml:space="preserve">        </w:t>
      </w:r>
      <w:r>
        <w:rPr>
          <w:rFonts w:hint="eastAsia" w:ascii="方正仿宋_GBK" w:hAnsi="方正仿宋_GBK" w:eastAsia="方正仿宋_GBK" w:cs="方正仿宋_GBK"/>
          <w:color w:val="000000"/>
          <w:sz w:val="28"/>
          <w:szCs w:val="28"/>
        </w:rPr>
        <w:t>项目（项目名称）采购活动的合法代理人，以本单位名义全权处理一切与该项目采购有关的事务。</w:t>
      </w:r>
    </w:p>
    <w:p w14:paraId="2234A7D7">
      <w:pPr>
        <w:tabs>
          <w:tab w:val="left" w:pos="360"/>
        </w:tabs>
        <w:spacing w:line="480" w:lineRule="auto"/>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本授权书于</w:t>
      </w:r>
      <w:r>
        <w:rPr>
          <w:rFonts w:hint="eastAsia" w:eastAsia="方正仿宋_GBK"/>
          <w:color w:val="000000"/>
          <w:sz w:val="28"/>
          <w:szCs w:val="28"/>
          <w:u w:val="single"/>
        </w:rPr>
        <w:t xml:space="preserve">      </w:t>
      </w:r>
      <w:r>
        <w:rPr>
          <w:rFonts w:hint="eastAsia" w:ascii="方正仿宋_GBK" w:hAnsi="方正仿宋_GBK" w:eastAsia="方正仿宋_GBK" w:cs="方正仿宋_GBK"/>
          <w:color w:val="000000"/>
          <w:sz w:val="28"/>
          <w:szCs w:val="28"/>
        </w:rPr>
        <w:t>年</w:t>
      </w:r>
      <w:r>
        <w:rPr>
          <w:rFonts w:hint="eastAsia" w:eastAsia="方正仿宋_GBK"/>
          <w:color w:val="000000"/>
          <w:sz w:val="28"/>
          <w:szCs w:val="28"/>
          <w:u w:val="single"/>
        </w:rPr>
        <w:t xml:space="preserve">    </w:t>
      </w:r>
      <w:r>
        <w:rPr>
          <w:rFonts w:hint="eastAsia" w:ascii="方正仿宋_GBK" w:hAnsi="方正仿宋_GBK" w:eastAsia="方正仿宋_GBK" w:cs="方正仿宋_GBK"/>
          <w:color w:val="000000"/>
          <w:sz w:val="28"/>
          <w:szCs w:val="28"/>
        </w:rPr>
        <w:t>月</w:t>
      </w:r>
      <w:r>
        <w:rPr>
          <w:rFonts w:hint="eastAsia" w:eastAsia="方正仿宋_GBK"/>
          <w:color w:val="000000"/>
          <w:sz w:val="28"/>
          <w:szCs w:val="28"/>
          <w:u w:val="single"/>
        </w:rPr>
        <w:t xml:space="preserve">    </w:t>
      </w:r>
      <w:r>
        <w:rPr>
          <w:rFonts w:hint="eastAsia" w:ascii="方正仿宋_GBK" w:hAnsi="方正仿宋_GBK" w:eastAsia="方正仿宋_GBK" w:cs="方正仿宋_GBK"/>
          <w:color w:val="000000"/>
          <w:sz w:val="28"/>
          <w:szCs w:val="28"/>
        </w:rPr>
        <w:t>日起生效，特此声明。</w:t>
      </w:r>
    </w:p>
    <w:p w14:paraId="591798AE">
      <w:pPr>
        <w:tabs>
          <w:tab w:val="left" w:pos="360"/>
        </w:tabs>
        <w:spacing w:line="480" w:lineRule="auto"/>
        <w:ind w:firstLine="560"/>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被授权人身份证号码：</w:t>
      </w:r>
      <w:r>
        <w:rPr>
          <w:rFonts w:hint="eastAsia" w:ascii="方正仿宋_GBK" w:hAnsi="方正仿宋_GBK" w:eastAsia="方正仿宋_GBK" w:cs="方正仿宋_GBK"/>
          <w:color w:val="000000"/>
          <w:sz w:val="28"/>
          <w:szCs w:val="28"/>
          <w:u w:val="single"/>
        </w:rPr>
        <w:t xml:space="preserve">                              </w:t>
      </w:r>
    </w:p>
    <w:p w14:paraId="7949202D">
      <w:pPr>
        <w:tabs>
          <w:tab w:val="left" w:pos="360"/>
        </w:tabs>
        <w:spacing w:line="480" w:lineRule="auto"/>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被授权人联系电话：（手机）</w:t>
      </w:r>
      <w:r>
        <w:rPr>
          <w:rFonts w:hint="eastAsia" w:ascii="方正仿宋_GBK" w:hAnsi="方正仿宋_GBK" w:eastAsia="方正仿宋_GBK" w:cs="方正仿宋_GBK"/>
          <w:sz w:val="28"/>
          <w:szCs w:val="28"/>
          <w:u w:val="single"/>
        </w:rPr>
        <w:t xml:space="preserve">                          </w:t>
      </w:r>
    </w:p>
    <w:p w14:paraId="05645DCE">
      <w:pPr>
        <w:tabs>
          <w:tab w:val="left" w:pos="360"/>
        </w:tabs>
        <w:spacing w:line="480" w:lineRule="auto"/>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被授权人电子邮箱：</w:t>
      </w:r>
      <w:r>
        <w:rPr>
          <w:rFonts w:hint="eastAsia" w:ascii="方正仿宋_GBK" w:hAnsi="方正仿宋_GBK" w:eastAsia="方正仿宋_GBK" w:cs="方正仿宋_GBK"/>
          <w:sz w:val="28"/>
          <w:szCs w:val="28"/>
          <w:u w:val="single"/>
        </w:rPr>
        <w:t xml:space="preserve">            </w:t>
      </w:r>
    </w:p>
    <w:p w14:paraId="766F5A42">
      <w:pPr>
        <w:tabs>
          <w:tab w:val="left" w:pos="360"/>
        </w:tabs>
        <w:spacing w:line="480" w:lineRule="auto"/>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授权单位名称：</w:t>
      </w:r>
      <w:r>
        <w:rPr>
          <w:rFonts w:hint="eastAsia" w:ascii="方正仿宋_GBK" w:hAnsi="方正仿宋_GBK" w:eastAsia="方正仿宋_GBK" w:cs="方正仿宋_GBK"/>
          <w:sz w:val="28"/>
          <w:szCs w:val="28"/>
          <w:u w:val="single"/>
        </w:rPr>
        <w:t>（加盖CA电子公章）</w:t>
      </w:r>
    </w:p>
    <w:p w14:paraId="28E69F8C">
      <w:pPr>
        <w:tabs>
          <w:tab w:val="left" w:pos="360"/>
        </w:tabs>
        <w:spacing w:line="480" w:lineRule="auto"/>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单位地址：</w:t>
      </w:r>
      <w:r>
        <w:rPr>
          <w:rFonts w:hint="eastAsia" w:ascii="方正仿宋_GBK" w:hAnsi="方正仿宋_GBK" w:eastAsia="方正仿宋_GBK" w:cs="方正仿宋_GBK"/>
          <w:sz w:val="28"/>
          <w:szCs w:val="28"/>
          <w:u w:val="single"/>
        </w:rPr>
        <w:t xml:space="preserve">                                         </w:t>
      </w:r>
    </w:p>
    <w:p w14:paraId="32838438">
      <w:pPr>
        <w:tabs>
          <w:tab w:val="left" w:pos="360"/>
        </w:tabs>
        <w:spacing w:line="480" w:lineRule="auto"/>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日    期：</w:t>
      </w:r>
      <w:r>
        <w:rPr>
          <w:rFonts w:hint="eastAsia" w:ascii="方正仿宋_GBK" w:hAnsi="方正仿宋_GBK" w:eastAsia="方正仿宋_GBK" w:cs="方正仿宋_GBK"/>
          <w:sz w:val="28"/>
          <w:szCs w:val="28"/>
          <w:u w:val="single"/>
        </w:rPr>
        <w:t xml:space="preserve">                                         </w:t>
      </w:r>
    </w:p>
    <w:p w14:paraId="7A742152">
      <w:pPr>
        <w:spacing w:line="480" w:lineRule="auto"/>
        <w:ind w:firstLine="560"/>
        <w:rPr>
          <w:rFonts w:hint="eastAsia" w:ascii="方正仿宋_GBK" w:hAnsi="方正仿宋_GBK" w:eastAsia="方正仿宋_GBK" w:cs="方正仿宋_GBK"/>
          <w:color w:val="000000"/>
          <w:sz w:val="28"/>
          <w:szCs w:val="28"/>
        </w:rPr>
      </w:pPr>
    </w:p>
    <w:p w14:paraId="542F43D8">
      <w:pPr>
        <w:spacing w:line="400" w:lineRule="exact"/>
        <w:rPr>
          <w:rFonts w:hint="eastAsia"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附件</w:t>
      </w:r>
      <w:r>
        <w:rPr>
          <w:rFonts w:hint="eastAsia" w:ascii="方正黑体_GBK" w:hAnsi="方正黑体_GBK" w:eastAsia="方正黑体_GBK" w:cs="方正黑体_GBK"/>
          <w:bCs/>
          <w:sz w:val="28"/>
          <w:szCs w:val="28"/>
          <w:lang w:val="en-US" w:eastAsia="zh-CN"/>
        </w:rPr>
        <w:t>7</w:t>
      </w:r>
      <w:r>
        <w:rPr>
          <w:rFonts w:hint="eastAsia" w:ascii="方正黑体_GBK" w:hAnsi="方正黑体_GBK" w:eastAsia="方正黑体_GBK" w:cs="方正黑体_GBK"/>
          <w:bCs/>
          <w:sz w:val="28"/>
          <w:szCs w:val="28"/>
        </w:rPr>
        <w:t xml:space="preserve">                            投标函</w:t>
      </w:r>
    </w:p>
    <w:p w14:paraId="344A9574">
      <w:pPr>
        <w:spacing w:line="400" w:lineRule="exact"/>
        <w:ind w:firstLine="560"/>
        <w:jc w:val="left"/>
        <w:rPr>
          <w:rFonts w:hint="eastAsia" w:ascii="方正仿宋_GBK" w:hAnsi="方正仿宋_GBK" w:eastAsia="方正仿宋_GBK" w:cs="方正仿宋_GBK"/>
          <w:color w:val="000000"/>
          <w:sz w:val="28"/>
          <w:szCs w:val="28"/>
        </w:rPr>
      </w:pPr>
    </w:p>
    <w:p w14:paraId="2C5450C5">
      <w:pPr>
        <w:spacing w:line="460" w:lineRule="exact"/>
        <w:ind w:firstLine="56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致：江苏省建信招投标有限公司</w:t>
      </w:r>
    </w:p>
    <w:p w14:paraId="39AB4FF0">
      <w:pPr>
        <w:pStyle w:val="272"/>
        <w:spacing w:before="0" w:after="0"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根据贵方</w:t>
      </w:r>
      <w:r>
        <w:rPr>
          <w:rFonts w:hint="eastAsia" w:ascii="方正仿宋_GBK" w:hAnsi="方正仿宋_GBK" w:eastAsia="方正仿宋_GBK" w:cs="方正仿宋_GBK"/>
          <w:sz w:val="28"/>
          <w:szCs w:val="28"/>
        </w:rPr>
        <w:t>采购编号为</w:t>
      </w:r>
      <w:r>
        <w:rPr>
          <w:rFonts w:hint="eastAsia" w:eastAsia="方正仿宋_GBK"/>
          <w:color w:val="000000"/>
          <w:sz w:val="28"/>
          <w:szCs w:val="28"/>
          <w:u w:val="single"/>
        </w:rPr>
        <w:t xml:space="preserve">       </w:t>
      </w:r>
      <w:r>
        <w:rPr>
          <w:rFonts w:ascii="Times New Roman" w:hAnsi="Times New Roman" w:eastAsia="方正仿宋_GBK"/>
          <w:sz w:val="28"/>
          <w:szCs w:val="28"/>
        </w:rPr>
        <w:t>，</w:t>
      </w:r>
      <w:r>
        <w:rPr>
          <w:rFonts w:hint="eastAsia" w:ascii="Times New Roman" w:hAnsi="Times New Roman" w:eastAsia="方正仿宋_GBK"/>
          <w:color w:val="000000"/>
          <w:sz w:val="28"/>
          <w:szCs w:val="28"/>
          <w:u w:val="single"/>
        </w:rPr>
        <w:t xml:space="preserve">       </w:t>
      </w:r>
      <w:r>
        <w:rPr>
          <w:rFonts w:hint="eastAsia" w:ascii="方正仿宋_GBK" w:hAnsi="方正仿宋_GBK" w:eastAsia="方正仿宋_GBK" w:cs="方正仿宋_GBK"/>
          <w:sz w:val="28"/>
          <w:szCs w:val="28"/>
        </w:rPr>
        <w:t>项目（项目名称）的</w:t>
      </w:r>
      <w:r>
        <w:rPr>
          <w:rFonts w:hint="eastAsia" w:ascii="方正仿宋_GBK" w:hAnsi="方正仿宋_GBK" w:eastAsia="方正仿宋_GBK" w:cs="方正仿宋_GBK"/>
          <w:color w:val="000000"/>
          <w:sz w:val="28"/>
          <w:szCs w:val="28"/>
        </w:rPr>
        <w:t>招标文件</w:t>
      </w:r>
      <w:r>
        <w:rPr>
          <w:rFonts w:hint="eastAsia" w:ascii="方正仿宋_GBK" w:hAnsi="方正仿宋_GBK" w:eastAsia="方正仿宋_GBK" w:cs="方正仿宋_GBK"/>
          <w:sz w:val="28"/>
          <w:szCs w:val="28"/>
        </w:rPr>
        <w:t>，正式授权下述签字人</w:t>
      </w:r>
      <w:r>
        <w:rPr>
          <w:rFonts w:hint="eastAsia" w:ascii="Times New Roman" w:hAnsi="Times New Roman" w:eastAsia="方正仿宋_GBK"/>
          <w:color w:val="000000"/>
          <w:sz w:val="28"/>
          <w:szCs w:val="28"/>
          <w:u w:val="single"/>
        </w:rPr>
        <w:t xml:space="preserve">      </w:t>
      </w:r>
      <w:r>
        <w:rPr>
          <w:rFonts w:hint="eastAsia" w:ascii="方正仿宋_GBK" w:hAnsi="方正仿宋_GBK" w:eastAsia="方正仿宋_GBK" w:cs="方正仿宋_GBK"/>
          <w:sz w:val="28"/>
          <w:szCs w:val="28"/>
        </w:rPr>
        <w:t>(姓名)代表我方</w:t>
      </w:r>
      <w:r>
        <w:rPr>
          <w:rFonts w:hint="eastAsia" w:ascii="Times New Roman" w:hAnsi="Times New Roman" w:eastAsia="方正仿宋_GBK"/>
          <w:color w:val="000000"/>
          <w:sz w:val="28"/>
          <w:szCs w:val="28"/>
          <w:u w:val="single"/>
        </w:rPr>
        <w:t xml:space="preserve">       </w:t>
      </w:r>
      <w:r>
        <w:rPr>
          <w:rFonts w:hint="eastAsia" w:ascii="方正仿宋_GBK" w:hAnsi="方正仿宋_GBK" w:eastAsia="方正仿宋_GBK" w:cs="方正仿宋_GBK"/>
          <w:sz w:val="28"/>
          <w:szCs w:val="28"/>
        </w:rPr>
        <w:t>（投标人的名称），全权处理本次项目投标的有关事宜。</w:t>
      </w:r>
    </w:p>
    <w:p w14:paraId="7C2670C4">
      <w:pPr>
        <w:pStyle w:val="272"/>
        <w:spacing w:before="0" w:after="0"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据此函，</w:t>
      </w:r>
      <w:r>
        <w:rPr>
          <w:rFonts w:hint="eastAsia" w:ascii="Times New Roman" w:hAnsi="Times New Roman" w:eastAsia="方正仿宋_GBK"/>
          <w:color w:val="000000"/>
          <w:sz w:val="28"/>
          <w:szCs w:val="28"/>
          <w:u w:val="single"/>
        </w:rPr>
        <w:t xml:space="preserve">       </w:t>
      </w:r>
      <w:r>
        <w:rPr>
          <w:rFonts w:hint="eastAsia" w:ascii="方正仿宋_GBK" w:hAnsi="方正仿宋_GBK" w:eastAsia="方正仿宋_GBK" w:cs="方正仿宋_GBK"/>
          <w:sz w:val="28"/>
          <w:szCs w:val="28"/>
        </w:rPr>
        <w:t>签字人兹宣布同意如下：</w:t>
      </w:r>
    </w:p>
    <w:p w14:paraId="69C11373">
      <w:pPr>
        <w:pStyle w:val="272"/>
        <w:spacing w:before="0" w:after="0"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1.按招标文件规定的各项要求，向买方提供所需服务（包含与服务相关的货物）。</w:t>
      </w:r>
    </w:p>
    <w:p w14:paraId="2F14138C">
      <w:pPr>
        <w:pStyle w:val="272"/>
        <w:spacing w:before="0" w:after="0"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2.我们完全理解贵方不一定将合同授予最低报价的投标人。</w:t>
      </w:r>
    </w:p>
    <w:p w14:paraId="303EA37F">
      <w:pPr>
        <w:pStyle w:val="272"/>
        <w:spacing w:before="0" w:after="0"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3.我们已详细审核全部招标文件及其有效补充文件。</w:t>
      </w:r>
    </w:p>
    <w:p w14:paraId="6E131D78">
      <w:pPr>
        <w:pStyle w:val="272"/>
        <w:spacing w:before="0" w:after="0"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4.我们同意从规定的开标日期起遵循本投标文件，并在规定的投标有效期期满之前均具有约束力。</w:t>
      </w:r>
    </w:p>
    <w:p w14:paraId="6E5E78BB">
      <w:pPr>
        <w:pStyle w:val="272"/>
        <w:spacing w:before="0" w:after="0"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5.同意向贵方提供贵方可能另外要求的与投标有关的任何证据或资料，并保证我方已提供和将要提供的文件是真实的、准确的。</w:t>
      </w:r>
    </w:p>
    <w:p w14:paraId="394A8CC1">
      <w:pPr>
        <w:pStyle w:val="272"/>
        <w:spacing w:before="0" w:after="0"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6.一旦我方中标,我方将根据招标文件的规定，严格履行合同的责任和义务,并保证在招标文件规定的时间内完成项目，交付买方验收、使用。</w:t>
      </w:r>
    </w:p>
    <w:p w14:paraId="7C069476">
      <w:pPr>
        <w:pStyle w:val="272"/>
        <w:spacing w:before="0" w:after="0"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7.与本投标有关的正式通讯地址为：</w:t>
      </w:r>
    </w:p>
    <w:p w14:paraId="237A7698">
      <w:pPr>
        <w:pStyle w:val="272"/>
        <w:spacing w:before="0" w:after="0"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地          址：</w:t>
      </w:r>
    </w:p>
    <w:p w14:paraId="2C246549">
      <w:pPr>
        <w:pStyle w:val="272"/>
        <w:spacing w:before="0" w:after="0"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邮          编：</w:t>
      </w:r>
    </w:p>
    <w:p w14:paraId="0B4E609D">
      <w:pPr>
        <w:pStyle w:val="272"/>
        <w:spacing w:before="0" w:after="0"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电          话：</w:t>
      </w:r>
    </w:p>
    <w:p w14:paraId="58DD1843">
      <w:pPr>
        <w:pStyle w:val="272"/>
        <w:spacing w:before="0" w:after="0"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传          真：</w:t>
      </w:r>
    </w:p>
    <w:p w14:paraId="34F8A924">
      <w:pPr>
        <w:pStyle w:val="272"/>
        <w:spacing w:before="0" w:after="0"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投标人开户行：</w:t>
      </w:r>
    </w:p>
    <w:p w14:paraId="427DAC02">
      <w:pPr>
        <w:pStyle w:val="272"/>
        <w:spacing w:before="0" w:after="0" w:line="4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p>
    <w:p w14:paraId="6A3CB213">
      <w:pPr>
        <w:pStyle w:val="272"/>
        <w:spacing w:before="0" w:after="0" w:line="460" w:lineRule="exact"/>
        <w:ind w:left="420" w:firstLine="560"/>
        <w:rPr>
          <w:rFonts w:hint="eastAsia" w:ascii="宋体" w:hAnsi="宋体"/>
          <w:sz w:val="28"/>
          <w:szCs w:val="28"/>
        </w:rPr>
      </w:pPr>
    </w:p>
    <w:p w14:paraId="35886B94">
      <w:pPr>
        <w:pStyle w:val="272"/>
        <w:spacing w:before="0" w:after="0" w:line="460" w:lineRule="exact"/>
        <w:ind w:left="420" w:firstLine="560"/>
        <w:rPr>
          <w:rFonts w:hint="eastAsia" w:ascii="宋体" w:hAnsi="宋体"/>
          <w:sz w:val="28"/>
          <w:szCs w:val="28"/>
        </w:rPr>
      </w:pPr>
    </w:p>
    <w:p w14:paraId="4D93DD17">
      <w:pPr>
        <w:pStyle w:val="272"/>
        <w:spacing w:before="0" w:after="0" w:line="460" w:lineRule="exact"/>
        <w:ind w:left="420" w:firstLine="560"/>
        <w:rPr>
          <w:rFonts w:hint="eastAsia" w:ascii="宋体" w:hAnsi="宋体"/>
          <w:sz w:val="28"/>
          <w:szCs w:val="28"/>
        </w:rPr>
      </w:pPr>
    </w:p>
    <w:p w14:paraId="3C958A68">
      <w:pPr>
        <w:pStyle w:val="272"/>
        <w:spacing w:before="0" w:after="0" w:line="460" w:lineRule="exact"/>
        <w:ind w:left="420" w:firstLine="560"/>
        <w:rPr>
          <w:rFonts w:hint="eastAsia" w:ascii="宋体" w:hAnsi="宋体"/>
          <w:sz w:val="28"/>
          <w:szCs w:val="28"/>
        </w:rPr>
      </w:pPr>
    </w:p>
    <w:p w14:paraId="4FEB8375">
      <w:pPr>
        <w:spacing w:line="460" w:lineRule="exact"/>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供应商全称（加盖CA电子公章）：</w:t>
      </w:r>
    </w:p>
    <w:p w14:paraId="191F0AE1">
      <w:pPr>
        <w:pStyle w:val="272"/>
        <w:spacing w:before="0" w:after="0" w:line="460" w:lineRule="exact"/>
        <w:jc w:val="center"/>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p>
    <w:bookmarkEnd w:id="165"/>
    <w:bookmarkEnd w:id="166"/>
    <w:bookmarkEnd w:id="167"/>
    <w:p w14:paraId="56F11861">
      <w:pPr>
        <w:spacing w:line="400" w:lineRule="exact"/>
        <w:jc w:val="center"/>
        <w:rPr>
          <w:rFonts w:hint="eastAsia" w:ascii="方正黑体_GBK" w:hAnsi="方正黑体_GBK" w:eastAsia="方正黑体_GBK" w:cs="方正黑体_GBK"/>
          <w:bCs/>
          <w:sz w:val="28"/>
          <w:szCs w:val="28"/>
        </w:rPr>
      </w:pPr>
      <w:bookmarkStart w:id="168" w:name="_Toc120614284"/>
      <w:r>
        <w:rPr>
          <w:rFonts w:hint="eastAsia" w:ascii="方正黑体_GBK" w:hAnsi="方正黑体_GBK" w:eastAsia="方正黑体_GBK" w:cs="方正黑体_GBK"/>
          <w:bCs/>
          <w:sz w:val="28"/>
          <w:szCs w:val="28"/>
        </w:rPr>
        <w:t>附件</w:t>
      </w:r>
      <w:r>
        <w:rPr>
          <w:rFonts w:hint="eastAsia" w:ascii="方正黑体_GBK" w:hAnsi="方正黑体_GBK" w:eastAsia="方正黑体_GBK" w:cs="方正黑体_GBK"/>
          <w:bCs/>
          <w:sz w:val="28"/>
          <w:szCs w:val="28"/>
          <w:lang w:val="en-US" w:eastAsia="zh-CN"/>
        </w:rPr>
        <w:t>8</w:t>
      </w:r>
      <w:r>
        <w:rPr>
          <w:rFonts w:hint="eastAsia" w:ascii="方正黑体_GBK" w:hAnsi="方正黑体_GBK" w:eastAsia="方正黑体_GBK" w:cs="方正黑体_GBK"/>
          <w:bCs/>
          <w:sz w:val="28"/>
          <w:szCs w:val="28"/>
        </w:rPr>
        <w:t xml:space="preserve"> 中小微企业声明函（服务类项目）（采购包号：</w:t>
      </w:r>
      <w:r>
        <w:rPr>
          <w:rFonts w:hint="eastAsia" w:eastAsia="方正黑体_GBK"/>
          <w:bCs/>
          <w:sz w:val="28"/>
          <w:szCs w:val="28"/>
        </w:rPr>
        <w:t xml:space="preserve">    </w:t>
      </w:r>
      <w:r>
        <w:rPr>
          <w:rFonts w:hint="eastAsia" w:ascii="方正黑体_GBK" w:hAnsi="方正黑体_GBK" w:eastAsia="方正黑体_GBK" w:cs="方正黑体_GBK"/>
          <w:bCs/>
          <w:sz w:val="28"/>
          <w:szCs w:val="28"/>
        </w:rPr>
        <w:t>）</w:t>
      </w:r>
    </w:p>
    <w:p w14:paraId="7A411561">
      <w:pPr>
        <w:spacing w:line="400" w:lineRule="exact"/>
        <w:ind w:firstLine="560"/>
        <w:rPr>
          <w:rFonts w:hint="eastAsia" w:ascii="方正仿宋_GBK" w:hAnsi="方正仿宋_GBK" w:eastAsia="方正仿宋_GBK" w:cs="方正仿宋_GBK"/>
          <w:sz w:val="28"/>
          <w:szCs w:val="28"/>
        </w:rPr>
      </w:pPr>
    </w:p>
    <w:p w14:paraId="2DDE29C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本公司（联合体）郑重声明，根据《政府采购促进中小企业发展管理办法》(财库〔2020〕46号)的规定，本公司（联合体）参加江苏省建信招投标有限公司组织的</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（单位名称）采购编号为</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项目（项目名称）（采购包号：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）的采购活动，服务全部由符合政策的中小微企业承接。相关企业（含联合体中的中小微企业、签订采购包意向协议的中小微企业）的具体情况如下：</w:t>
      </w:r>
    </w:p>
    <w:p w14:paraId="3EF52409">
      <w:pPr>
        <w:numPr>
          <w:ilvl w:val="0"/>
          <w:numId w:val="8"/>
        </w:numPr>
        <w:spacing w:line="400" w:lineRule="exact"/>
        <w:ind w:firstLine="560"/>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（标的名称）</w:t>
      </w:r>
      <w:r>
        <w:rPr>
          <w:rFonts w:hint="eastAsia" w:ascii="方正仿宋_GBK" w:hAnsi="方正仿宋_GBK" w:eastAsia="方正仿宋_GBK" w:cs="方正仿宋_GBK"/>
          <w:i/>
          <w:sz w:val="28"/>
          <w:szCs w:val="28"/>
        </w:rPr>
        <w:t>，</w:t>
      </w:r>
      <w:r>
        <w:rPr>
          <w:rFonts w:hint="eastAsia" w:ascii="方正仿宋_GBK" w:hAnsi="方正仿宋_GBK" w:eastAsia="方正仿宋_GBK" w:cs="方正仿宋_GBK"/>
          <w:sz w:val="28"/>
          <w:szCs w:val="28"/>
        </w:rPr>
        <w:t>属于</w:t>
      </w:r>
      <w:r>
        <w:rPr>
          <w:rFonts w:hint="eastAsia" w:eastAsia="方正仿宋_GBK"/>
          <w:color w:val="000000"/>
          <w:sz w:val="28"/>
          <w:szCs w:val="28"/>
          <w:u w:val="single"/>
        </w:rPr>
        <w:t xml:space="preserve">    </w:t>
      </w:r>
      <w:r>
        <w:rPr>
          <w:rFonts w:hint="eastAsia" w:eastAsia="方正仿宋_GBK"/>
          <w:color w:val="000000"/>
          <w:sz w:val="28"/>
          <w:szCs w:val="28"/>
        </w:rPr>
        <w:t>（</w:t>
      </w:r>
      <w:r>
        <w:rPr>
          <w:rFonts w:hint="eastAsia" w:ascii="方正仿宋_GBK" w:hAnsi="方正仿宋_GBK" w:eastAsia="方正仿宋_GBK" w:cs="方正仿宋_GBK"/>
          <w:sz w:val="28"/>
          <w:szCs w:val="28"/>
        </w:rPr>
        <w:t>供应商填写招标文件中明确的所属行业）行业；承接企业为</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（企业名称），从业人员</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人，营业收入为</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万元，资产总额为</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万元</w:t>
      </w:r>
      <w:r>
        <w:rPr>
          <w:rFonts w:hint="eastAsia" w:ascii="方正仿宋_GBK" w:hAnsi="方正仿宋_GBK" w:eastAsia="方正仿宋_GBK" w:cs="方正仿宋_GBK"/>
          <w:sz w:val="28"/>
          <w:szCs w:val="28"/>
          <w:vertAlign w:val="superscript"/>
        </w:rPr>
        <w:t>1</w:t>
      </w:r>
      <w:r>
        <w:rPr>
          <w:rFonts w:hint="eastAsia" w:ascii="方正仿宋_GBK" w:hAnsi="方正仿宋_GBK" w:eastAsia="方正仿宋_GBK" w:cs="方正仿宋_GBK"/>
          <w:sz w:val="28"/>
          <w:szCs w:val="28"/>
        </w:rPr>
        <w:t>，属于</w:t>
      </w:r>
      <w:r>
        <w:rPr>
          <w:rFonts w:hint="eastAsia" w:ascii="方正仿宋_GBK" w:hAnsi="方正仿宋_GBK" w:eastAsia="方正仿宋_GBK" w:cs="方正仿宋_GBK"/>
          <w:sz w:val="28"/>
          <w:szCs w:val="28"/>
          <w:u w:val="single"/>
        </w:rPr>
        <w:t>（□中型企业 □小型企业 □微型企业）；</w:t>
      </w:r>
    </w:p>
    <w:p w14:paraId="5D745352">
      <w:pPr>
        <w:numPr>
          <w:ilvl w:val="0"/>
          <w:numId w:val="8"/>
        </w:numPr>
        <w:spacing w:line="400" w:lineRule="exact"/>
        <w:ind w:firstLine="560"/>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（标的名称）</w:t>
      </w:r>
      <w:r>
        <w:rPr>
          <w:rFonts w:hint="eastAsia" w:ascii="方正仿宋_GBK" w:hAnsi="方正仿宋_GBK" w:eastAsia="方正仿宋_GBK" w:cs="方正仿宋_GBK"/>
          <w:i/>
          <w:sz w:val="28"/>
          <w:szCs w:val="28"/>
        </w:rPr>
        <w:t>，</w:t>
      </w:r>
      <w:r>
        <w:rPr>
          <w:rFonts w:hint="eastAsia" w:ascii="方正仿宋_GBK" w:hAnsi="方正仿宋_GBK" w:eastAsia="方正仿宋_GBK" w:cs="方正仿宋_GBK"/>
          <w:sz w:val="28"/>
          <w:szCs w:val="28"/>
        </w:rPr>
        <w:t>属于</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（供应商填写招标文件中明确的所属行业）行业；承接企业为</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（企业名称），从业人员</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人，营业收入为</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万元，资产总额为</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万元</w:t>
      </w:r>
      <w:r>
        <w:rPr>
          <w:rFonts w:hint="eastAsia" w:ascii="方正仿宋_GBK" w:hAnsi="方正仿宋_GBK" w:eastAsia="方正仿宋_GBK" w:cs="方正仿宋_GBK"/>
          <w:sz w:val="28"/>
          <w:szCs w:val="28"/>
          <w:vertAlign w:val="superscript"/>
        </w:rPr>
        <w:t>1</w:t>
      </w:r>
      <w:r>
        <w:rPr>
          <w:rFonts w:hint="eastAsia" w:ascii="方正仿宋_GBK" w:hAnsi="方正仿宋_GBK" w:eastAsia="方正仿宋_GBK" w:cs="方正仿宋_GBK"/>
          <w:sz w:val="28"/>
          <w:szCs w:val="28"/>
        </w:rPr>
        <w:t>，属于</w:t>
      </w:r>
      <w:r>
        <w:rPr>
          <w:rFonts w:hint="eastAsia" w:ascii="方正仿宋_GBK" w:hAnsi="方正仿宋_GBK" w:eastAsia="方正仿宋_GBK" w:cs="方正仿宋_GBK"/>
          <w:sz w:val="28"/>
          <w:szCs w:val="28"/>
          <w:u w:val="single"/>
        </w:rPr>
        <w:t>（□中型企业 □小型企业 □微型企业）；</w:t>
      </w:r>
    </w:p>
    <w:p w14:paraId="52AD59C3">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p>
    <w:p w14:paraId="5F597A0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以上企业，不属于大企业的分支机构，不存在控股股东为大企业的情形，也不存在与大企业的负责人为同一人的情形。</w:t>
      </w:r>
    </w:p>
    <w:p w14:paraId="06AB9034">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本企业对上述声明内容的真实性负责。如有虚假，将依法承担相应责任</w:t>
      </w:r>
    </w:p>
    <w:p w14:paraId="7EC7C1B3">
      <w:pPr>
        <w:spacing w:line="400" w:lineRule="exact"/>
        <w:ind w:right="720" w:firstLine="560"/>
        <w:rPr>
          <w:rFonts w:hint="eastAsia" w:ascii="方正仿宋_GBK" w:hAnsi="方正仿宋_GBK" w:eastAsia="方正仿宋_GBK" w:cs="方正仿宋_GBK"/>
          <w:sz w:val="28"/>
          <w:szCs w:val="28"/>
        </w:rPr>
      </w:pPr>
    </w:p>
    <w:p w14:paraId="505EF3AD">
      <w:pPr>
        <w:spacing w:line="400" w:lineRule="exact"/>
        <w:ind w:right="180" w:firstLine="56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p>
    <w:p w14:paraId="65B7133B">
      <w:pPr>
        <w:spacing w:line="400" w:lineRule="exact"/>
        <w:ind w:right="180" w:firstLine="56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p>
    <w:p w14:paraId="3B69A10A">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w:t>
      </w:r>
    </w:p>
    <w:p w14:paraId="5E53D7F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1.从业人员、营业收入、资产总额填报上一年度数据，无上一年度数据的新成立企业可不填报。</w:t>
      </w:r>
    </w:p>
    <w:p w14:paraId="51912F0B">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2.专门面向中小微型企业采购的项目，供应商如不提供此声明函，则不能通过资格审查；非专门面向中小微型企业采购的项目，供应商如不提供此声明函，价格将不做相应扣除。</w:t>
      </w:r>
    </w:p>
    <w:p w14:paraId="49C68CB1">
      <w:pPr>
        <w:spacing w:line="400" w:lineRule="exact"/>
        <w:ind w:firstLine="560"/>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附件</w:t>
      </w:r>
      <w:r>
        <w:rPr>
          <w:rFonts w:hint="eastAsia" w:ascii="方正黑体_GBK" w:hAnsi="方正黑体_GBK" w:eastAsia="方正黑体_GBK" w:cs="方正黑体_GBK"/>
          <w:bCs/>
          <w:sz w:val="28"/>
          <w:szCs w:val="28"/>
          <w:lang w:val="en-US" w:eastAsia="zh-CN"/>
        </w:rPr>
        <w:t>9</w:t>
      </w:r>
      <w:r>
        <w:rPr>
          <w:rFonts w:hint="eastAsia" w:ascii="方正黑体_GBK" w:hAnsi="方正黑体_GBK" w:eastAsia="方正黑体_GBK" w:cs="方正黑体_GBK"/>
          <w:bCs/>
          <w:sz w:val="28"/>
          <w:szCs w:val="28"/>
        </w:rPr>
        <w:t xml:space="preserve"> 残疾人福利性单位声明函（服务类项目）（采购包号：</w:t>
      </w:r>
      <w:r>
        <w:rPr>
          <w:rFonts w:hint="eastAsia" w:eastAsia="方正黑体_GBK"/>
          <w:bCs/>
          <w:sz w:val="28"/>
          <w:szCs w:val="28"/>
        </w:rPr>
        <w:t xml:space="preserve">   </w:t>
      </w:r>
      <w:r>
        <w:rPr>
          <w:rFonts w:hint="eastAsia" w:ascii="方正黑体_GBK" w:hAnsi="方正黑体_GBK" w:eastAsia="方正黑体_GBK" w:cs="方正黑体_GBK"/>
          <w:bCs/>
          <w:sz w:val="28"/>
          <w:szCs w:val="28"/>
        </w:rPr>
        <w:t>）</w:t>
      </w:r>
    </w:p>
    <w:p w14:paraId="61103804">
      <w:pPr>
        <w:spacing w:line="400" w:lineRule="exact"/>
        <w:ind w:firstLine="560"/>
        <w:rPr>
          <w:rFonts w:hint="eastAsia" w:ascii="方正仿宋_GBK" w:hAnsi="方正仿宋_GBK" w:eastAsia="方正仿宋_GBK" w:cs="方正仿宋_GBK"/>
          <w:sz w:val="28"/>
          <w:szCs w:val="28"/>
        </w:rPr>
      </w:pPr>
    </w:p>
    <w:p w14:paraId="4641E9DD">
      <w:pPr>
        <w:spacing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本单位郑重声明，根据《财政部 民政部 中国残疾人联合会关于促进残疾人就业政府采购政策的通知》（财库〔2017〕141号）的规定，本单位为符合条件的残疾人福利性单位，且本单位参加</w:t>
      </w:r>
      <w:r>
        <w:rPr>
          <w:rFonts w:hint="eastAsia" w:eastAsia="方正仿宋_GBK"/>
          <w:sz w:val="28"/>
          <w:szCs w:val="28"/>
          <w:u w:val="single"/>
        </w:rPr>
        <w:t xml:space="preserve">     </w:t>
      </w:r>
      <w:r>
        <w:rPr>
          <w:rFonts w:hint="eastAsia" w:ascii="方正仿宋_GBK" w:hAnsi="方正仿宋_GBK" w:eastAsia="方正仿宋_GBK" w:cs="方正仿宋_GBK"/>
          <w:sz w:val="28"/>
          <w:szCs w:val="28"/>
        </w:rPr>
        <w:t>单位采购编号为</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 xml:space="preserve">， </w:t>
      </w:r>
      <w:r>
        <w:rPr>
          <w:rFonts w:hint="eastAsia" w:eastAsia="方正仿宋_GBK"/>
          <w:sz w:val="28"/>
          <w:szCs w:val="28"/>
          <w:u w:val="single"/>
        </w:rPr>
        <w:t xml:space="preserve">     </w:t>
      </w:r>
      <w:r>
        <w:rPr>
          <w:rFonts w:hint="eastAsia" w:ascii="方正仿宋_GBK" w:hAnsi="方正仿宋_GBK" w:eastAsia="方正仿宋_GBK" w:cs="方正仿宋_GBK"/>
          <w:sz w:val="28"/>
          <w:szCs w:val="28"/>
        </w:rPr>
        <w:t>项目（项目名称）（采购包号：</w:t>
      </w:r>
      <w:r>
        <w:rPr>
          <w:rFonts w:hint="eastAsia" w:eastAsia="方正黑体_GBK"/>
          <w:bCs/>
          <w:sz w:val="28"/>
          <w:szCs w:val="28"/>
        </w:rPr>
        <w:t xml:space="preserve">    </w:t>
      </w:r>
      <w:r>
        <w:rPr>
          <w:rFonts w:hint="eastAsia" w:ascii="方正仿宋_GBK" w:hAnsi="方正仿宋_GBK" w:eastAsia="方正仿宋_GBK" w:cs="方正仿宋_GBK"/>
          <w:sz w:val="28"/>
          <w:szCs w:val="28"/>
        </w:rPr>
        <w:t>）采购活动由本单位提供服务。</w:t>
      </w:r>
    </w:p>
    <w:p w14:paraId="69B59927">
      <w:pPr>
        <w:spacing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本单位对上述声明的真实性负责。如有虚假，将依法承担相应责任。</w:t>
      </w:r>
    </w:p>
    <w:p w14:paraId="76C14D26">
      <w:pPr>
        <w:spacing w:line="460" w:lineRule="exact"/>
        <w:ind w:firstLine="560"/>
        <w:rPr>
          <w:rFonts w:hint="eastAsia" w:ascii="方正仿宋_GBK" w:hAnsi="方正仿宋_GBK" w:eastAsia="方正仿宋_GBK" w:cs="方正仿宋_GBK"/>
          <w:sz w:val="28"/>
          <w:szCs w:val="28"/>
        </w:rPr>
      </w:pPr>
    </w:p>
    <w:p w14:paraId="70B99ECB">
      <w:pPr>
        <w:spacing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w:t>
      </w:r>
    </w:p>
    <w:p w14:paraId="1C0DB27B">
      <w:pPr>
        <w:spacing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1.专门面向中小微型企业采购的项目，供应商为残疾人福利性单位并提供服务的必须提供此声明函，否则将不能通过资格审查。</w:t>
      </w:r>
    </w:p>
    <w:p w14:paraId="5484DF57">
      <w:pPr>
        <w:spacing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2.非专门面向中小微型企业采购的项目，供应商如不提供此声明函，价格将不做相应扣除。</w:t>
      </w:r>
    </w:p>
    <w:p w14:paraId="0878F176">
      <w:pPr>
        <w:spacing w:line="46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3.中标/成交供应商为残疾人福利性单位的，此声明函将随中标/成交结果同时公告，接受社会监督</w:t>
      </w:r>
    </w:p>
    <w:p w14:paraId="22D40214">
      <w:pPr>
        <w:spacing w:line="460" w:lineRule="exact"/>
        <w:ind w:firstLine="584"/>
        <w:rPr>
          <w:rFonts w:hint="eastAsia" w:ascii="方正仿宋_GBK" w:hAnsi="方正仿宋_GBK" w:eastAsia="方正仿宋_GBK" w:cs="方正仿宋_GBK"/>
          <w:spacing w:val="6"/>
          <w:sz w:val="28"/>
          <w:szCs w:val="28"/>
        </w:rPr>
      </w:pPr>
    </w:p>
    <w:p w14:paraId="3A60744F">
      <w:pPr>
        <w:tabs>
          <w:tab w:val="left" w:pos="4860"/>
        </w:tabs>
        <w:spacing w:line="460" w:lineRule="exact"/>
        <w:ind w:right="1559" w:firstLine="58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供应商全称（加盖CA电子公章）：</w:t>
      </w:r>
    </w:p>
    <w:p w14:paraId="215AD9A3">
      <w:pPr>
        <w:tabs>
          <w:tab w:val="left" w:pos="4860"/>
        </w:tabs>
        <w:spacing w:line="460" w:lineRule="exact"/>
        <w:ind w:right="1559" w:firstLine="56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日     期：___年____月____日   </w:t>
      </w:r>
    </w:p>
    <w:p w14:paraId="355BFB03">
      <w:pPr>
        <w:spacing w:line="460" w:lineRule="exact"/>
        <w:jc w:val="center"/>
        <w:rPr>
          <w:rFonts w:hint="eastAsia" w:ascii="黑体" w:hAnsi="黑体" w:eastAsia="黑体"/>
          <w:b/>
          <w:sz w:val="28"/>
          <w:szCs w:val="28"/>
        </w:rPr>
      </w:pPr>
    </w:p>
    <w:p w14:paraId="24B96FCB">
      <w:pPr>
        <w:spacing w:line="460" w:lineRule="exact"/>
        <w:jc w:val="center"/>
        <w:rPr>
          <w:rFonts w:hint="eastAsia" w:ascii="黑体" w:hAnsi="黑体" w:eastAsia="黑体"/>
          <w:b/>
          <w:sz w:val="28"/>
          <w:szCs w:val="28"/>
        </w:rPr>
      </w:pPr>
    </w:p>
    <w:p w14:paraId="79028015">
      <w:pPr>
        <w:spacing w:line="400" w:lineRule="exact"/>
        <w:rPr>
          <w:rFonts w:hint="eastAsia" w:ascii="黑体" w:hAnsi="黑体" w:eastAsia="黑体"/>
          <w:b/>
          <w:bCs/>
          <w:sz w:val="28"/>
          <w:szCs w:val="28"/>
        </w:rPr>
      </w:pPr>
    </w:p>
    <w:p w14:paraId="6FF88E73">
      <w:pPr>
        <w:spacing w:line="400" w:lineRule="exact"/>
        <w:rPr>
          <w:rFonts w:hint="eastAsia" w:ascii="黑体" w:hAnsi="黑体" w:eastAsia="黑体"/>
          <w:b/>
          <w:bCs/>
          <w:sz w:val="28"/>
          <w:szCs w:val="28"/>
        </w:rPr>
      </w:pPr>
    </w:p>
    <w:p w14:paraId="2D7DD67A">
      <w:pPr>
        <w:spacing w:line="400" w:lineRule="exact"/>
        <w:rPr>
          <w:rFonts w:hint="eastAsia" w:ascii="黑体" w:hAnsi="黑体" w:eastAsia="黑体"/>
          <w:b/>
          <w:bCs/>
          <w:sz w:val="28"/>
          <w:szCs w:val="28"/>
        </w:rPr>
      </w:pPr>
    </w:p>
    <w:p w14:paraId="4F99D42C">
      <w:pPr>
        <w:spacing w:line="400" w:lineRule="exact"/>
        <w:rPr>
          <w:rFonts w:hint="eastAsia" w:ascii="黑体" w:hAnsi="黑体" w:eastAsia="黑体"/>
          <w:b/>
          <w:bCs/>
          <w:sz w:val="28"/>
          <w:szCs w:val="28"/>
        </w:rPr>
      </w:pPr>
    </w:p>
    <w:p w14:paraId="5B6D6B42">
      <w:pPr>
        <w:spacing w:line="400" w:lineRule="exact"/>
        <w:rPr>
          <w:rFonts w:hint="eastAsia" w:ascii="黑体" w:hAnsi="黑体" w:eastAsia="黑体"/>
          <w:b/>
          <w:bCs/>
          <w:sz w:val="28"/>
          <w:szCs w:val="28"/>
        </w:rPr>
      </w:pPr>
    </w:p>
    <w:p w14:paraId="0FB8A390">
      <w:pPr>
        <w:spacing w:line="400" w:lineRule="exact"/>
        <w:rPr>
          <w:rFonts w:hint="eastAsia" w:ascii="黑体" w:hAnsi="黑体" w:eastAsia="黑体"/>
          <w:b/>
          <w:bCs/>
          <w:sz w:val="28"/>
          <w:szCs w:val="28"/>
        </w:rPr>
      </w:pPr>
    </w:p>
    <w:p w14:paraId="396783F6">
      <w:pPr>
        <w:spacing w:line="400" w:lineRule="exact"/>
        <w:rPr>
          <w:rFonts w:hint="eastAsia" w:ascii="黑体" w:hAnsi="黑体" w:eastAsia="黑体"/>
          <w:b/>
          <w:bCs/>
          <w:sz w:val="28"/>
          <w:szCs w:val="28"/>
        </w:rPr>
      </w:pPr>
    </w:p>
    <w:p w14:paraId="533E3421">
      <w:pPr>
        <w:spacing w:line="400" w:lineRule="exact"/>
        <w:rPr>
          <w:rFonts w:hint="eastAsia" w:ascii="黑体" w:hAnsi="黑体" w:eastAsia="黑体"/>
          <w:b/>
          <w:bCs/>
          <w:sz w:val="28"/>
          <w:szCs w:val="28"/>
        </w:rPr>
      </w:pPr>
    </w:p>
    <w:p w14:paraId="1462C5EF">
      <w:pPr>
        <w:spacing w:line="400" w:lineRule="exact"/>
        <w:rPr>
          <w:rFonts w:hint="eastAsia" w:ascii="黑体" w:hAnsi="黑体" w:eastAsia="黑体"/>
          <w:b/>
          <w:bCs/>
          <w:sz w:val="28"/>
          <w:szCs w:val="28"/>
        </w:rPr>
      </w:pPr>
    </w:p>
    <w:p w14:paraId="2C50238A">
      <w:pPr>
        <w:spacing w:line="400" w:lineRule="exact"/>
        <w:rPr>
          <w:rFonts w:hint="eastAsia" w:ascii="黑体" w:hAnsi="黑体" w:eastAsia="黑体"/>
          <w:b/>
          <w:bCs/>
          <w:sz w:val="28"/>
          <w:szCs w:val="28"/>
        </w:rPr>
      </w:pPr>
    </w:p>
    <w:p w14:paraId="19702413">
      <w:pPr>
        <w:spacing w:line="400" w:lineRule="exact"/>
        <w:rPr>
          <w:rFonts w:hint="eastAsia" w:ascii="黑体" w:hAnsi="黑体" w:eastAsia="黑体"/>
          <w:b/>
          <w:bCs/>
          <w:sz w:val="28"/>
          <w:szCs w:val="28"/>
        </w:rPr>
      </w:pPr>
    </w:p>
    <w:p w14:paraId="7E24B68E">
      <w:pPr>
        <w:spacing w:line="400" w:lineRule="exact"/>
        <w:ind w:firstLine="56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附件1</w:t>
      </w:r>
      <w:r>
        <w:rPr>
          <w:rFonts w:hint="eastAsia" w:ascii="方正黑体_GBK" w:hAnsi="方正黑体_GBK" w:eastAsia="方正黑体_GBK" w:cs="方正黑体_GBK"/>
          <w:bCs/>
          <w:sz w:val="28"/>
          <w:szCs w:val="28"/>
          <w:lang w:val="en-US" w:eastAsia="zh-CN"/>
        </w:rPr>
        <w:t>0</w:t>
      </w:r>
      <w:r>
        <w:rPr>
          <w:rFonts w:hint="eastAsia" w:ascii="方正黑体_GBK" w:hAnsi="方正黑体_GBK" w:eastAsia="方正黑体_GBK" w:cs="方正黑体_GBK"/>
          <w:bCs/>
          <w:sz w:val="28"/>
          <w:szCs w:val="28"/>
        </w:rPr>
        <w:t xml:space="preserve"> 联合体协议（参考格式）（采购包号：     ）</w:t>
      </w:r>
    </w:p>
    <w:p w14:paraId="617C54A1">
      <w:pPr>
        <w:spacing w:line="400" w:lineRule="exact"/>
        <w:ind w:firstLine="560"/>
        <w:rPr>
          <w:rFonts w:hint="eastAsia" w:ascii="方正仿宋_GBK" w:hAnsi="方正仿宋_GBK" w:eastAsia="方正仿宋_GBK" w:cs="方正仿宋_GBK"/>
          <w:sz w:val="28"/>
          <w:szCs w:val="28"/>
        </w:rPr>
      </w:pPr>
    </w:p>
    <w:p w14:paraId="79C785D1">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（联合体中各供应商全称）在此达成以下协议：</w:t>
      </w:r>
    </w:p>
    <w:p w14:paraId="7665A14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自愿组成联合体，参加江苏省建信招投标有限公司组织的采购编号为</w:t>
      </w:r>
      <w:r>
        <w:rPr>
          <w:rFonts w:hint="eastAsia" w:eastAsia="方正仿宋_GBK"/>
          <w:color w:val="000000"/>
          <w:sz w:val="28"/>
          <w:szCs w:val="28"/>
          <w:u w:val="single"/>
        </w:rPr>
        <w:t xml:space="preserve">     </w:t>
      </w:r>
      <w:r>
        <w:rPr>
          <w:rFonts w:hint="eastAsia" w:ascii="方正仿宋_GBK" w:hAnsi="方正仿宋_GBK" w:eastAsia="方正仿宋_GBK" w:cs="方正仿宋_GBK"/>
          <w:sz w:val="28"/>
          <w:szCs w:val="28"/>
        </w:rPr>
        <w:t>，</w:t>
      </w:r>
      <w:r>
        <w:rPr>
          <w:rFonts w:hint="eastAsia" w:eastAsia="方正仿宋_GBK"/>
          <w:sz w:val="28"/>
          <w:szCs w:val="28"/>
          <w:u w:val="single"/>
        </w:rPr>
        <w:t xml:space="preserve">     </w:t>
      </w:r>
      <w:r>
        <w:rPr>
          <w:rFonts w:hint="eastAsia" w:ascii="方正仿宋_GBK" w:hAnsi="方正仿宋_GBK" w:eastAsia="方正仿宋_GBK" w:cs="方正仿宋_GBK"/>
          <w:sz w:val="28"/>
          <w:szCs w:val="28"/>
        </w:rPr>
        <w:t>项目（项目名称）（采购包号：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）的政府采购活动，我联合体指定</w:t>
      </w:r>
      <w:r>
        <w:rPr>
          <w:rFonts w:hint="eastAsia" w:eastAsia="方正仿宋_GBK"/>
          <w:sz w:val="28"/>
          <w:szCs w:val="28"/>
          <w:u w:val="single"/>
        </w:rPr>
        <w:t xml:space="preserve">      </w:t>
      </w:r>
      <w:r>
        <w:rPr>
          <w:rFonts w:hint="eastAsia" w:ascii="方正仿宋_GBK" w:hAnsi="方正仿宋_GBK" w:eastAsia="方正仿宋_GBK" w:cs="方正仿宋_GBK"/>
          <w:sz w:val="28"/>
          <w:szCs w:val="28"/>
        </w:rPr>
        <w:t>（供应商全称）为牵头单位（牵头单位必须为联合体成员）。</w:t>
      </w:r>
    </w:p>
    <w:p w14:paraId="33E81E0B">
      <w:pPr>
        <w:spacing w:line="400" w:lineRule="exact"/>
        <w:ind w:left="936" w:leftChars="399" w:hanging="98" w:hangingChars="35"/>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2.若我们联合中标、成交，</w:t>
      </w:r>
      <w:r>
        <w:rPr>
          <w:rFonts w:hint="eastAsia" w:eastAsia="方正仿宋_GBK"/>
          <w:sz w:val="28"/>
          <w:szCs w:val="28"/>
          <w:u w:val="single"/>
        </w:rPr>
        <w:t xml:space="preserve">     </w:t>
      </w:r>
      <w:r>
        <w:rPr>
          <w:rFonts w:hint="eastAsia" w:ascii="方正仿宋_GBK" w:hAnsi="方正仿宋_GBK" w:eastAsia="方正仿宋_GBK" w:cs="方正仿宋_GBK"/>
          <w:sz w:val="28"/>
          <w:szCs w:val="28"/>
        </w:rPr>
        <w:t>（供应商单位1全称）实施项目中</w:t>
      </w:r>
      <w:r>
        <w:rPr>
          <w:rFonts w:hint="eastAsia" w:eastAsia="方正仿宋_GBK"/>
          <w:sz w:val="28"/>
          <w:szCs w:val="28"/>
          <w:u w:val="single"/>
        </w:rPr>
        <w:t xml:space="preserve">  </w:t>
      </w:r>
      <w:r>
        <w:rPr>
          <w:rFonts w:hint="eastAsia" w:ascii="方正仿宋_GBK" w:hAnsi="方正仿宋_GBK" w:eastAsia="方正仿宋_GBK" w:cs="方正仿宋_GBK"/>
          <w:sz w:val="28"/>
          <w:szCs w:val="28"/>
        </w:rPr>
        <w:t>（工作内容）部分工作，并承担相应的责任。</w:t>
      </w:r>
      <w:r>
        <w:rPr>
          <w:rFonts w:hint="eastAsia" w:eastAsia="方正仿宋_GBK"/>
          <w:sz w:val="28"/>
          <w:szCs w:val="28"/>
          <w:u w:val="single"/>
        </w:rPr>
        <w:t xml:space="preserve">    </w:t>
      </w:r>
      <w:r>
        <w:rPr>
          <w:rFonts w:hint="eastAsia" w:ascii="方正仿宋_GBK" w:hAnsi="方正仿宋_GBK" w:eastAsia="方正仿宋_GBK" w:cs="方正仿宋_GBK"/>
          <w:sz w:val="28"/>
          <w:szCs w:val="28"/>
        </w:rPr>
        <w:t>（供应商单位2全称）实施项目中</w:t>
      </w:r>
      <w:r>
        <w:rPr>
          <w:rFonts w:hint="eastAsia" w:eastAsia="方正仿宋_GBK"/>
          <w:sz w:val="28"/>
          <w:szCs w:val="28"/>
          <w:u w:val="single"/>
        </w:rPr>
        <w:t xml:space="preserve">       </w:t>
      </w:r>
      <w:r>
        <w:rPr>
          <w:rFonts w:hint="eastAsia" w:ascii="方正仿宋_GBK" w:hAnsi="方正仿宋_GBK" w:eastAsia="方正仿宋_GBK" w:cs="方正仿宋_GBK"/>
          <w:sz w:val="28"/>
          <w:szCs w:val="28"/>
        </w:rPr>
        <w:t>（工作内容）部分工作，并承担相应的责任……。（注：联合体中各供应商都应明示所承担的工作和相应的责任）。</w:t>
      </w:r>
    </w:p>
    <w:p w14:paraId="6AD5675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3.其中</w:t>
      </w:r>
      <w:r>
        <w:rPr>
          <w:rFonts w:hint="eastAsia" w:eastAsia="方正仿宋_GBK"/>
          <w:sz w:val="28"/>
          <w:szCs w:val="28"/>
          <w:u w:val="single"/>
        </w:rPr>
        <w:t xml:space="preserve">     </w:t>
      </w:r>
      <w:r>
        <w:rPr>
          <w:rFonts w:hint="eastAsia" w:ascii="方正仿宋_GBK" w:hAnsi="方正仿宋_GBK" w:eastAsia="方正仿宋_GBK" w:cs="方正仿宋_GBK"/>
          <w:sz w:val="28"/>
          <w:szCs w:val="28"/>
        </w:rPr>
        <w:t>（小型、微型企业/残疾人福利性单位/监狱企业全称）为（</w:t>
      </w:r>
      <w:r>
        <w:rPr>
          <w:rFonts w:ascii="Wingdings 2" w:hAnsi="Wingdings 2" w:eastAsia="Wingdings 2" w:cs="Wingdings 2"/>
          <w:sz w:val="28"/>
          <w:szCs w:val="28"/>
        </w:rPr>
        <w:t>£</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w:t>
      </w:r>
      <w:r>
        <w:rPr>
          <w:rFonts w:hint="eastAsia" w:ascii="方正仿宋_GBK" w:hAnsi="方正仿宋_GBK" w:eastAsia="方正仿宋_GBK" w:cs="方正仿宋_GBK"/>
          <w:sz w:val="28"/>
          <w:szCs w:val="28"/>
        </w:rPr>
        <w:t>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w:t>
      </w:r>
    </w:p>
    <w:p w14:paraId="17EA11D5">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p>
    <w:p w14:paraId="09BAC5DD">
      <w:pPr>
        <w:spacing w:line="400" w:lineRule="exact"/>
        <w:ind w:firstLine="560"/>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p>
    <w:p w14:paraId="5D456C93">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日期：___年____月____日     </w:t>
      </w:r>
    </w:p>
    <w:p w14:paraId="4B633392">
      <w:pPr>
        <w:spacing w:line="400" w:lineRule="exact"/>
        <w:ind w:firstLine="560"/>
        <w:rPr>
          <w:rFonts w:hint="eastAsia" w:ascii="方正仿宋_GBK" w:hAnsi="方正仿宋_GBK" w:eastAsia="方正仿宋_GBK" w:cs="方正仿宋_GBK"/>
          <w:sz w:val="28"/>
          <w:szCs w:val="28"/>
        </w:rPr>
      </w:pPr>
    </w:p>
    <w:p w14:paraId="37BE3EA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备注：本招标文件中要求加盖CA电子签章的地方，仅需加盖牵头单位的CA电子签章。</w:t>
      </w:r>
    </w:p>
    <w:p w14:paraId="18768BF9">
      <w:pPr>
        <w:spacing w:line="400" w:lineRule="exact"/>
        <w:ind w:firstLine="645"/>
        <w:rPr>
          <w:rFonts w:hint="eastAsia" w:ascii="宋体" w:hAnsi="宋体"/>
          <w:sz w:val="28"/>
          <w:szCs w:val="28"/>
        </w:rPr>
      </w:pPr>
    </w:p>
    <w:p w14:paraId="16E49A3D">
      <w:pPr>
        <w:spacing w:line="400" w:lineRule="exact"/>
        <w:rPr>
          <w:rFonts w:hint="eastAsia" w:ascii="宋体" w:hAnsi="宋体"/>
          <w:sz w:val="28"/>
          <w:szCs w:val="28"/>
        </w:rPr>
      </w:pPr>
    </w:p>
    <w:p w14:paraId="5AFDD446">
      <w:pPr>
        <w:spacing w:line="400" w:lineRule="exact"/>
        <w:rPr>
          <w:rFonts w:hint="eastAsia" w:ascii="宋体" w:hAnsi="宋体"/>
          <w:sz w:val="28"/>
          <w:szCs w:val="28"/>
        </w:rPr>
      </w:pPr>
    </w:p>
    <w:p w14:paraId="56C57185">
      <w:pPr>
        <w:spacing w:line="400" w:lineRule="exact"/>
        <w:rPr>
          <w:rFonts w:hint="eastAsia" w:ascii="宋体" w:hAnsi="宋体"/>
          <w:sz w:val="28"/>
          <w:szCs w:val="28"/>
        </w:rPr>
      </w:pPr>
    </w:p>
    <w:p w14:paraId="6FA0F153">
      <w:pPr>
        <w:spacing w:line="400" w:lineRule="exact"/>
        <w:rPr>
          <w:rFonts w:hint="eastAsia" w:ascii="宋体" w:hAnsi="宋体"/>
          <w:sz w:val="28"/>
          <w:szCs w:val="28"/>
        </w:rPr>
      </w:pPr>
    </w:p>
    <w:p w14:paraId="0C570094">
      <w:pPr>
        <w:spacing w:line="400" w:lineRule="exact"/>
        <w:rPr>
          <w:rFonts w:hint="eastAsia" w:ascii="宋体" w:hAnsi="宋体"/>
          <w:sz w:val="28"/>
          <w:szCs w:val="28"/>
        </w:rPr>
      </w:pPr>
    </w:p>
    <w:p w14:paraId="00BDF853">
      <w:pPr>
        <w:spacing w:line="400" w:lineRule="exact"/>
        <w:rPr>
          <w:rFonts w:hint="eastAsia" w:ascii="宋体" w:hAnsi="宋体"/>
          <w:sz w:val="28"/>
          <w:szCs w:val="28"/>
        </w:rPr>
      </w:pPr>
    </w:p>
    <w:p w14:paraId="12EC315E">
      <w:pPr>
        <w:spacing w:line="400" w:lineRule="exact"/>
        <w:rPr>
          <w:rFonts w:hint="eastAsia" w:ascii="宋体" w:hAnsi="宋体"/>
          <w:sz w:val="28"/>
          <w:szCs w:val="28"/>
        </w:rPr>
      </w:pPr>
    </w:p>
    <w:p w14:paraId="0A2E92E2">
      <w:pPr>
        <w:spacing w:line="400" w:lineRule="exact"/>
        <w:rPr>
          <w:rFonts w:hint="eastAsia" w:ascii="宋体" w:hAnsi="宋体"/>
          <w:sz w:val="28"/>
          <w:szCs w:val="28"/>
        </w:rPr>
      </w:pPr>
    </w:p>
    <w:p w14:paraId="37C59BC4">
      <w:pPr>
        <w:spacing w:line="400" w:lineRule="exact"/>
        <w:rPr>
          <w:rFonts w:hint="eastAsia" w:ascii="宋体" w:hAnsi="宋体"/>
          <w:sz w:val="28"/>
          <w:szCs w:val="28"/>
        </w:rPr>
      </w:pPr>
    </w:p>
    <w:p w14:paraId="32F57E1E">
      <w:pPr>
        <w:spacing w:line="400" w:lineRule="exact"/>
        <w:rPr>
          <w:rFonts w:hint="eastAsia" w:ascii="宋体" w:hAnsi="宋体"/>
          <w:sz w:val="28"/>
          <w:szCs w:val="28"/>
        </w:rPr>
      </w:pPr>
    </w:p>
    <w:p w14:paraId="0EF400D8">
      <w:pPr>
        <w:spacing w:line="400" w:lineRule="exact"/>
        <w:rPr>
          <w:rFonts w:hint="eastAsia" w:ascii="宋体" w:hAnsi="宋体"/>
          <w:sz w:val="28"/>
          <w:szCs w:val="28"/>
        </w:rPr>
      </w:pPr>
    </w:p>
    <w:p w14:paraId="41D11DEF">
      <w:pPr>
        <w:spacing w:line="400" w:lineRule="exact"/>
        <w:rPr>
          <w:rFonts w:hint="eastAsia" w:ascii="宋体" w:hAnsi="宋体"/>
          <w:sz w:val="28"/>
          <w:szCs w:val="28"/>
        </w:rPr>
      </w:pPr>
    </w:p>
    <w:p w14:paraId="0E762DE6">
      <w:pPr>
        <w:spacing w:line="400" w:lineRule="exact"/>
        <w:rPr>
          <w:rFonts w:hint="eastAsia" w:ascii="宋体" w:hAnsi="宋体"/>
          <w:sz w:val="28"/>
          <w:szCs w:val="28"/>
        </w:rPr>
      </w:pPr>
    </w:p>
    <w:p w14:paraId="10859DF0">
      <w:pPr>
        <w:spacing w:line="400" w:lineRule="exact"/>
        <w:jc w:val="center"/>
        <w:rPr>
          <w:rFonts w:hint="eastAsia" w:ascii="宋体" w:hAnsi="宋体" w:cs="宋体"/>
          <w:b/>
          <w:sz w:val="28"/>
          <w:szCs w:val="28"/>
        </w:rPr>
      </w:pPr>
    </w:p>
    <w:p w14:paraId="7108BFF3">
      <w:pPr>
        <w:spacing w:line="400" w:lineRule="exact"/>
        <w:ind w:firstLine="56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附件1</w:t>
      </w:r>
      <w:r>
        <w:rPr>
          <w:rFonts w:hint="eastAsia" w:ascii="方正黑体_GBK" w:hAnsi="方正黑体_GBK" w:eastAsia="方正黑体_GBK" w:cs="方正黑体_GBK"/>
          <w:bCs/>
          <w:sz w:val="28"/>
          <w:szCs w:val="28"/>
          <w:lang w:val="en-US" w:eastAsia="zh-CN"/>
        </w:rPr>
        <w:t>1</w:t>
      </w:r>
      <w:r>
        <w:rPr>
          <w:rFonts w:hint="eastAsia" w:ascii="方正黑体_GBK" w:hAnsi="方正黑体_GBK" w:eastAsia="方正黑体_GBK" w:cs="方正黑体_GBK"/>
          <w:bCs/>
          <w:sz w:val="28"/>
          <w:szCs w:val="28"/>
        </w:rPr>
        <w:t xml:space="preserve">  关于符合本国产品标准的声明函（采购包号：    ）</w:t>
      </w:r>
    </w:p>
    <w:p w14:paraId="77B8BD38">
      <w:pPr>
        <w:pStyle w:val="247"/>
        <w:spacing w:before="0" w:beforeAutospacing="0" w:after="0" w:afterAutospacing="0" w:line="400" w:lineRule="exact"/>
        <w:ind w:firstLine="560"/>
        <w:rPr>
          <w:rFonts w:hint="eastAsia" w:ascii="方正仿宋_GBK" w:hAnsi="方正仿宋_GBK" w:eastAsia="方正仿宋_GBK" w:cs="方正仿宋_GBK"/>
          <w:sz w:val="28"/>
          <w:szCs w:val="28"/>
        </w:rPr>
      </w:pPr>
    </w:p>
    <w:p w14:paraId="053FF593">
      <w:pPr>
        <w:pStyle w:val="247"/>
        <w:spacing w:before="0" w:beforeAutospacing="0" w:after="0" w:afterAutospacing="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本公司（单位）郑重声明，根据《国务院办公厅关于在政府采购中实施本国产品标准及相关政策的通知》（国办发〔2025〕34号）的规定，本公司（单位）提供的以下产品属于本国产品。具体情况如下：</w:t>
      </w:r>
    </w:p>
    <w:p w14:paraId="01BCAEFF">
      <w:pPr>
        <w:pStyle w:val="247"/>
        <w:spacing w:before="30" w:beforeAutospacing="0" w:after="30" w:afterAutospacing="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1.</w:t>
      </w:r>
      <w:r>
        <w:rPr>
          <w:rStyle w:val="259"/>
          <w:rFonts w:hint="eastAsia" w:ascii="方正仿宋_GBK" w:hAnsi="方正仿宋_GBK" w:eastAsia="方正仿宋_GBK" w:cs="方正仿宋_GBK"/>
          <w:i w:val="0"/>
          <w:sz w:val="28"/>
          <w:szCs w:val="28"/>
          <w:u w:val="single"/>
          <w:shd w:val="clear" w:color="auto" w:fill="FFFFFF"/>
        </w:rPr>
        <w:t>（产品名称1）</w:t>
      </w:r>
      <w:r>
        <w:rPr>
          <w:rStyle w:val="259"/>
          <w:rFonts w:hint="eastAsia" w:ascii="方正仿宋_GBK" w:hAnsi="方正仿宋_GBK" w:eastAsia="方正仿宋_GBK" w:cs="方正仿宋_GBK"/>
          <w:i w:val="0"/>
          <w:sz w:val="28"/>
          <w:szCs w:val="28"/>
          <w:shd w:val="clear" w:color="auto" w:fill="FFFFFF"/>
          <w:vertAlign w:val="superscript"/>
        </w:rPr>
        <w:t>1</w:t>
      </w:r>
      <w:r>
        <w:rPr>
          <w:rFonts w:hint="eastAsia" w:ascii="方正仿宋_GBK" w:hAnsi="方正仿宋_GBK" w:eastAsia="方正仿宋_GBK" w:cs="方正仿宋_GBK"/>
          <w:sz w:val="28"/>
          <w:szCs w:val="28"/>
          <w:shd w:val="clear" w:color="auto" w:fill="FFFFFF"/>
        </w:rPr>
        <w:t>，生产厂为</w:t>
      </w:r>
      <w:r>
        <w:rPr>
          <w:rStyle w:val="259"/>
          <w:rFonts w:hint="eastAsia" w:ascii="方正仿宋_GBK" w:hAnsi="方正仿宋_GBK" w:eastAsia="方正仿宋_GBK" w:cs="方正仿宋_GBK"/>
          <w:i w:val="0"/>
          <w:sz w:val="28"/>
          <w:szCs w:val="28"/>
          <w:u w:val="single"/>
          <w:shd w:val="clear" w:color="auto" w:fill="FFFFFF"/>
        </w:rPr>
        <w:t>（厂名）</w:t>
      </w:r>
      <w:r>
        <w:rPr>
          <w:rStyle w:val="259"/>
          <w:rFonts w:hint="eastAsia" w:ascii="方正仿宋_GBK" w:hAnsi="方正仿宋_GBK" w:eastAsia="方正仿宋_GBK" w:cs="方正仿宋_GBK"/>
          <w:i w:val="0"/>
          <w:sz w:val="28"/>
          <w:szCs w:val="28"/>
          <w:shd w:val="clear" w:color="auto" w:fill="FFFFFF"/>
          <w:vertAlign w:val="superscript"/>
        </w:rPr>
        <w:t>2</w:t>
      </w:r>
      <w:r>
        <w:rPr>
          <w:rFonts w:hint="eastAsia" w:ascii="方正仿宋_GBK" w:hAnsi="方正仿宋_GBK" w:eastAsia="方正仿宋_GBK" w:cs="方正仿宋_GBK"/>
          <w:sz w:val="28"/>
          <w:szCs w:val="28"/>
          <w:shd w:val="clear" w:color="auto" w:fill="FFFFFF"/>
        </w:rPr>
        <w:t>，厂址为</w:t>
      </w:r>
      <w:r>
        <w:rPr>
          <w:rStyle w:val="259"/>
          <w:rFonts w:hint="eastAsia" w:ascii="方正仿宋_GBK" w:hAnsi="方正仿宋_GBK" w:eastAsia="方正仿宋_GBK" w:cs="方正仿宋_GBK"/>
          <w:i w:val="0"/>
          <w:sz w:val="28"/>
          <w:szCs w:val="28"/>
          <w:u w:val="single"/>
          <w:shd w:val="clear" w:color="auto" w:fill="FFFFFF"/>
        </w:rPr>
        <w:t>（生产厂址）</w:t>
      </w:r>
      <w:r>
        <w:rPr>
          <w:rFonts w:hint="eastAsia" w:ascii="方正仿宋_GBK" w:hAnsi="方正仿宋_GBK" w:eastAsia="方正仿宋_GBK" w:cs="方正仿宋_GBK"/>
          <w:sz w:val="28"/>
          <w:szCs w:val="28"/>
          <w:shd w:val="clear" w:color="auto" w:fill="FFFFFF"/>
        </w:rPr>
        <w:t>。</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shd w:val="clear" w:color="auto" w:fill="FFFFFF"/>
          <w:vertAlign w:val="superscript"/>
        </w:rPr>
        <w:t>3</w:t>
      </w:r>
      <w:r>
        <w:rPr>
          <w:rFonts w:hint="eastAsia" w:ascii="方正仿宋_GBK" w:hAnsi="方正仿宋_GBK" w:eastAsia="方正仿宋_GBK" w:cs="方正仿宋_GBK"/>
          <w:sz w:val="28"/>
          <w:szCs w:val="28"/>
          <w:shd w:val="clear" w:color="auto" w:fill="FFFFFF"/>
        </w:rPr>
        <w:t>。</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的</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shd w:val="clear" w:color="auto" w:fill="FFFFFF"/>
          <w:vertAlign w:val="superscript"/>
        </w:rPr>
        <w:t>4</w:t>
      </w:r>
      <w:r>
        <w:rPr>
          <w:rFonts w:hint="eastAsia" w:ascii="方正仿宋_GBK" w:hAnsi="方正仿宋_GBK" w:eastAsia="方正仿宋_GBK" w:cs="方正仿宋_GBK"/>
          <w:sz w:val="28"/>
          <w:szCs w:val="28"/>
          <w:shd w:val="clear" w:color="auto" w:fill="FFFFFF"/>
        </w:rPr>
        <w:t>在中国境内生产。</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的</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shd w:val="clear" w:color="auto" w:fill="FFFFFF"/>
          <w:vertAlign w:val="superscript"/>
        </w:rPr>
        <w:t>5</w:t>
      </w:r>
      <w:r>
        <w:rPr>
          <w:rFonts w:hint="eastAsia" w:ascii="方正仿宋_GBK" w:hAnsi="方正仿宋_GBK" w:eastAsia="方正仿宋_GBK" w:cs="方正仿宋_GBK"/>
          <w:sz w:val="28"/>
          <w:szCs w:val="28"/>
          <w:shd w:val="clear" w:color="auto" w:fill="FFFFFF"/>
        </w:rPr>
        <w:t>在中国境内完成。</w:t>
      </w:r>
    </w:p>
    <w:p w14:paraId="3E920EA8">
      <w:pPr>
        <w:pStyle w:val="247"/>
        <w:spacing w:before="30" w:beforeAutospacing="0" w:after="30" w:afterAutospacing="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2.</w:t>
      </w:r>
      <w:r>
        <w:rPr>
          <w:rStyle w:val="259"/>
          <w:rFonts w:hint="eastAsia" w:ascii="方正仿宋_GBK" w:hAnsi="方正仿宋_GBK" w:eastAsia="方正仿宋_GBK" w:cs="方正仿宋_GBK"/>
          <w:i w:val="0"/>
          <w:sz w:val="28"/>
          <w:szCs w:val="28"/>
          <w:u w:val="single"/>
          <w:shd w:val="clear" w:color="auto" w:fill="FFFFFF"/>
        </w:rPr>
        <w:t>（产品名称2）</w:t>
      </w:r>
      <w:r>
        <w:rPr>
          <w:rFonts w:hint="eastAsia" w:ascii="方正仿宋_GBK" w:hAnsi="方正仿宋_GBK" w:eastAsia="方正仿宋_GBK" w:cs="方正仿宋_GBK"/>
          <w:sz w:val="28"/>
          <w:szCs w:val="28"/>
          <w:shd w:val="clear" w:color="auto" w:fill="FFFFFF"/>
        </w:rPr>
        <w:t>，生产厂为</w:t>
      </w:r>
      <w:r>
        <w:rPr>
          <w:rStyle w:val="259"/>
          <w:rFonts w:hint="eastAsia" w:ascii="方正仿宋_GBK" w:hAnsi="方正仿宋_GBK" w:eastAsia="方正仿宋_GBK" w:cs="方正仿宋_GBK"/>
          <w:i w:val="0"/>
          <w:sz w:val="28"/>
          <w:szCs w:val="28"/>
          <w:u w:val="single"/>
          <w:shd w:val="clear" w:color="auto" w:fill="FFFFFF"/>
        </w:rPr>
        <w:t>（厂名）</w:t>
      </w:r>
      <w:r>
        <w:rPr>
          <w:rFonts w:hint="eastAsia" w:ascii="方正仿宋_GBK" w:hAnsi="方正仿宋_GBK" w:eastAsia="方正仿宋_GBK" w:cs="方正仿宋_GBK"/>
          <w:sz w:val="28"/>
          <w:szCs w:val="28"/>
          <w:shd w:val="clear" w:color="auto" w:fill="FFFFFF"/>
        </w:rPr>
        <w:t>，厂址为</w:t>
      </w:r>
      <w:r>
        <w:rPr>
          <w:rStyle w:val="259"/>
          <w:rFonts w:hint="eastAsia" w:ascii="方正仿宋_GBK" w:hAnsi="方正仿宋_GBK" w:eastAsia="方正仿宋_GBK" w:cs="方正仿宋_GBK"/>
          <w:i w:val="0"/>
          <w:sz w:val="28"/>
          <w:szCs w:val="28"/>
          <w:u w:val="single"/>
          <w:shd w:val="clear" w:color="auto" w:fill="FFFFFF"/>
        </w:rPr>
        <w:t>（生产厂址）</w:t>
      </w:r>
      <w:r>
        <w:rPr>
          <w:rFonts w:hint="eastAsia" w:ascii="方正仿宋_GBK" w:hAnsi="方正仿宋_GBK" w:eastAsia="方正仿宋_GBK" w:cs="方正仿宋_GBK"/>
          <w:sz w:val="28"/>
          <w:szCs w:val="28"/>
          <w:shd w:val="clear" w:color="auto" w:fill="FFFFFF"/>
        </w:rPr>
        <w:t>。</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的</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在中国境内生产。</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的</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在中国境内完成。</w:t>
      </w:r>
    </w:p>
    <w:p w14:paraId="04490859">
      <w:pPr>
        <w:pStyle w:val="247"/>
        <w:spacing w:before="30" w:beforeAutospacing="0" w:after="30" w:afterAutospacing="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w:t>
      </w:r>
    </w:p>
    <w:p w14:paraId="00D1E320">
      <w:pPr>
        <w:pStyle w:val="247"/>
        <w:spacing w:before="30" w:beforeAutospacing="0" w:after="30" w:afterAutospacing="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本公司（单位）对上述声明内容的真实性负责。如有虚假，愿承担相应法律责任。</w:t>
      </w:r>
    </w:p>
    <w:p w14:paraId="0F02FD39">
      <w:pPr>
        <w:pStyle w:val="247"/>
        <w:spacing w:before="30" w:beforeAutospacing="0" w:after="30" w:afterAutospacing="0" w:line="400" w:lineRule="exact"/>
        <w:ind w:firstLine="560"/>
        <w:rPr>
          <w:rFonts w:hint="eastAsia" w:ascii="方正仿宋_GBK" w:hAnsi="方正仿宋_GBK" w:eastAsia="方正仿宋_GBK" w:cs="方正仿宋_GBK"/>
          <w:sz w:val="28"/>
          <w:szCs w:val="28"/>
        </w:rPr>
      </w:pPr>
    </w:p>
    <w:p w14:paraId="00B928D6">
      <w:pPr>
        <w:pStyle w:val="247"/>
        <w:spacing w:before="30" w:beforeAutospacing="0" w:after="30" w:afterAutospacing="0" w:line="400" w:lineRule="exact"/>
        <w:ind w:firstLine="560"/>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p>
    <w:p w14:paraId="5A605067">
      <w:pPr>
        <w:pStyle w:val="247"/>
        <w:spacing w:before="30" w:beforeAutospacing="0" w:after="30" w:afterAutospacing="0" w:line="400" w:lineRule="exact"/>
        <w:ind w:firstLine="56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___年____月____日</w:t>
      </w:r>
      <w:r>
        <w:rPr>
          <w:rFonts w:hint="eastAsia" w:ascii="方正仿宋_GBK" w:hAnsi="方正仿宋_GBK" w:eastAsia="方正仿宋_GBK" w:cs="方正仿宋_GBK"/>
          <w:sz w:val="28"/>
          <w:szCs w:val="28"/>
          <w:shd w:val="clear" w:color="auto" w:fill="FFFFFF"/>
        </w:rPr>
        <w:t>        </w:t>
      </w:r>
    </w:p>
    <w:p w14:paraId="3BF95985">
      <w:pPr>
        <w:pStyle w:val="247"/>
        <w:spacing w:before="30" w:beforeAutospacing="0" w:after="30" w:afterAutospacing="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__________________</w:t>
      </w:r>
    </w:p>
    <w:p w14:paraId="67EC25B2">
      <w:pPr>
        <w:pStyle w:val="247"/>
        <w:spacing w:before="30" w:beforeAutospacing="0" w:after="30" w:afterAutospacing="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1.产品如有型号，请在“产品名称”栏一并填写。</w:t>
      </w:r>
    </w:p>
    <w:p w14:paraId="696F0A75">
      <w:pPr>
        <w:pStyle w:val="247"/>
        <w:spacing w:before="30" w:beforeAutospacing="0" w:after="30" w:afterAutospacing="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2.生产厂名与厂址应与生产厂营业执照载明的相关信息保持一致。</w:t>
      </w:r>
    </w:p>
    <w:p w14:paraId="63F120D0">
      <w:pPr>
        <w:pStyle w:val="247"/>
        <w:spacing w:before="30" w:beforeAutospacing="0" w:after="30" w:afterAutospacing="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3.该产品的中国境内生产的组件成本占比相关要求实施前，“规定比例”栏可不填，下同。</w:t>
      </w:r>
    </w:p>
    <w:p w14:paraId="3484C47F">
      <w:pPr>
        <w:pStyle w:val="247"/>
        <w:spacing w:before="30" w:beforeAutospacing="0" w:after="30" w:afterAutospacing="0"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4.该产品的关键组件要求实施前，“关键组件”栏可不填，下同。</w:t>
      </w:r>
    </w:p>
    <w:p w14:paraId="64731C6B">
      <w:pPr>
        <w:pStyle w:val="247"/>
        <w:spacing w:before="30" w:beforeAutospacing="0" w:after="30" w:afterAutospacing="0" w:line="400" w:lineRule="exact"/>
        <w:ind w:firstLine="560"/>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5.该产品的关键工序要求实施前，“关键工序”栏可不填，下同。</w:t>
      </w:r>
    </w:p>
    <w:p w14:paraId="7E97F2C2">
      <w:pPr>
        <w:pStyle w:val="247"/>
        <w:spacing w:before="30" w:beforeAutospacing="0" w:after="30" w:afterAutospacing="0" w:line="400" w:lineRule="exact"/>
        <w:ind w:firstLine="560"/>
        <w:rPr>
          <w:rFonts w:hint="eastAsia" w:ascii="方正魏碑_GBK" w:hAnsi="方正魏碑_GBK" w:eastAsia="方正魏碑_GBK" w:cs="方正魏碑_GBK"/>
          <w:bCs/>
          <w:color w:val="FF0000"/>
          <w:sz w:val="28"/>
          <w:szCs w:val="28"/>
        </w:rPr>
      </w:pPr>
      <w:r>
        <w:rPr>
          <w:rFonts w:hint="eastAsia" w:ascii="方正仿宋_GBK" w:hAnsi="方正仿宋_GBK" w:eastAsia="方正仿宋_GBK" w:cs="方正仿宋_GBK"/>
          <w:sz w:val="28"/>
          <w:szCs w:val="28"/>
          <w:shd w:val="clear" w:color="auto" w:fill="FFFFFF"/>
        </w:rPr>
        <w:t>6.《声明函》中标注“</w:t>
      </w:r>
      <w:r>
        <w:rPr>
          <w:rFonts w:hint="eastAsia" w:ascii="方正仿宋_GBK" w:hAnsi="方正仿宋_GBK" w:eastAsia="方正仿宋_GBK" w:cs="方正仿宋_GBK"/>
          <w:sz w:val="28"/>
          <w:szCs w:val="28"/>
          <w:u w:val="single"/>
          <w:shd w:val="clear" w:color="auto" w:fill="FFFFFF"/>
        </w:rPr>
        <w:t xml:space="preserve">  </w:t>
      </w:r>
      <w:r>
        <w:rPr>
          <w:rStyle w:val="25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”的地方无需填写。</w:t>
      </w:r>
    </w:p>
    <w:p w14:paraId="2648EAEC">
      <w:pPr>
        <w:spacing w:line="400" w:lineRule="exact"/>
        <w:rPr>
          <w:rFonts w:hint="eastAsia" w:ascii="宋体" w:hAnsi="宋体"/>
          <w:bCs/>
          <w:sz w:val="28"/>
          <w:szCs w:val="28"/>
        </w:rPr>
      </w:pPr>
    </w:p>
    <w:p w14:paraId="56692FAF">
      <w:pPr>
        <w:spacing w:line="400" w:lineRule="exact"/>
        <w:rPr>
          <w:rFonts w:hint="eastAsia" w:ascii="宋体" w:hAnsi="宋体"/>
          <w:bCs/>
          <w:sz w:val="28"/>
          <w:szCs w:val="28"/>
        </w:rPr>
      </w:pPr>
    </w:p>
    <w:p w14:paraId="1C571F26">
      <w:pPr>
        <w:spacing w:line="400" w:lineRule="exact"/>
        <w:rPr>
          <w:rFonts w:hint="eastAsia" w:ascii="宋体" w:hAnsi="宋体"/>
          <w:bCs/>
          <w:sz w:val="28"/>
          <w:szCs w:val="28"/>
        </w:rPr>
      </w:pPr>
    </w:p>
    <w:p w14:paraId="5552AEB9">
      <w:pPr>
        <w:spacing w:line="400" w:lineRule="exact"/>
        <w:rPr>
          <w:rFonts w:hint="eastAsia" w:ascii="宋体" w:hAnsi="宋体"/>
          <w:bCs/>
          <w:sz w:val="28"/>
          <w:szCs w:val="28"/>
        </w:rPr>
      </w:pPr>
    </w:p>
    <w:p w14:paraId="6005D8B4">
      <w:pPr>
        <w:spacing w:line="400" w:lineRule="exact"/>
        <w:rPr>
          <w:sz w:val="28"/>
          <w:szCs w:val="28"/>
        </w:rPr>
      </w:pPr>
    </w:p>
    <w:p w14:paraId="5B576800">
      <w:pPr>
        <w:spacing w:line="400" w:lineRule="exact"/>
        <w:jc w:val="center"/>
        <w:rPr>
          <w:rFonts w:hint="eastAsia" w:ascii="黑体" w:hAnsi="黑体" w:eastAsia="黑体"/>
          <w:b/>
          <w:sz w:val="28"/>
          <w:szCs w:val="28"/>
        </w:rPr>
      </w:pPr>
    </w:p>
    <w:p w14:paraId="433DB672">
      <w:pPr>
        <w:spacing w:line="400" w:lineRule="exact"/>
        <w:jc w:val="center"/>
        <w:rPr>
          <w:rFonts w:hint="eastAsia" w:ascii="黑体" w:hAnsi="黑体" w:eastAsia="黑体"/>
          <w:b/>
          <w:sz w:val="28"/>
          <w:szCs w:val="28"/>
        </w:rPr>
      </w:pPr>
    </w:p>
    <w:bookmarkEnd w:id="158"/>
    <w:bookmarkEnd w:id="159"/>
    <w:bookmarkEnd w:id="168"/>
    <w:p w14:paraId="69A7B07C">
      <w:pPr>
        <w:spacing w:line="400" w:lineRule="exact"/>
        <w:ind w:firstLine="560"/>
        <w:jc w:val="center"/>
        <w:rPr>
          <w:rFonts w:hint="eastAsia" w:ascii="方正黑体_GBK" w:hAnsi="方正黑体_GBK" w:eastAsia="方正黑体_GBK" w:cs="方正黑体_GBK"/>
          <w:bCs/>
          <w:sz w:val="28"/>
          <w:szCs w:val="28"/>
        </w:rPr>
        <w:sectPr>
          <w:pgSz w:w="11906" w:h="16838"/>
          <w:pgMar w:top="1418" w:right="1588" w:bottom="1418" w:left="1365" w:header="851" w:footer="907" w:gutter="0"/>
          <w:cols w:space="720" w:num="1"/>
          <w:docGrid w:linePitch="360" w:charSpace="0"/>
        </w:sectPr>
      </w:pPr>
    </w:p>
    <w:p w14:paraId="09C1199E">
      <w:pPr>
        <w:spacing w:line="400" w:lineRule="exact"/>
        <w:ind w:firstLine="560"/>
        <w:jc w:val="center"/>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质疑函范本</w:t>
      </w:r>
    </w:p>
    <w:p w14:paraId="5000848F">
      <w:pPr>
        <w:spacing w:before="290"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一、质疑供应商基本信息</w:t>
      </w:r>
    </w:p>
    <w:p w14:paraId="3EEA4AB3">
      <w:pPr>
        <w:spacing w:line="400" w:lineRule="exact"/>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质疑供应商：</w:t>
      </w:r>
      <w:r>
        <w:rPr>
          <w:rFonts w:hint="eastAsia" w:ascii="方正仿宋_GBK" w:hAnsi="方正仿宋_GBK" w:eastAsia="方正仿宋_GBK" w:cs="方正仿宋_GBK"/>
          <w:sz w:val="28"/>
          <w:szCs w:val="28"/>
          <w:u w:val="single"/>
        </w:rPr>
        <w:t xml:space="preserve">                                                              </w:t>
      </w:r>
    </w:p>
    <w:p w14:paraId="3D408C52">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邮编：</w:t>
      </w:r>
      <w:r>
        <w:rPr>
          <w:rFonts w:hint="eastAsia" w:ascii="方正仿宋_GBK" w:hAnsi="方正仿宋_GBK" w:eastAsia="方正仿宋_GBK" w:cs="方正仿宋_GBK"/>
          <w:sz w:val="28"/>
          <w:szCs w:val="28"/>
          <w:u w:val="single"/>
        </w:rPr>
        <w:t xml:space="preserve">                                    </w:t>
      </w:r>
    </w:p>
    <w:p w14:paraId="7053F0B7">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联系电话：</w:t>
      </w:r>
      <w:r>
        <w:rPr>
          <w:rFonts w:hint="eastAsia" w:ascii="方正仿宋_GBK" w:hAnsi="方正仿宋_GBK" w:eastAsia="方正仿宋_GBK" w:cs="方正仿宋_GBK"/>
          <w:sz w:val="28"/>
          <w:szCs w:val="28"/>
          <w:u w:val="single"/>
        </w:rPr>
        <w:t xml:space="preserve">                                       </w:t>
      </w:r>
    </w:p>
    <w:p w14:paraId="5F468EE5">
      <w:pPr>
        <w:spacing w:line="400" w:lineRule="exact"/>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授权代表：</w:t>
      </w:r>
      <w:r>
        <w:rPr>
          <w:rFonts w:hint="eastAsia" w:ascii="方正仿宋_GBK" w:hAnsi="方正仿宋_GBK" w:eastAsia="方正仿宋_GBK" w:cs="方正仿宋_GBK"/>
          <w:sz w:val="28"/>
          <w:szCs w:val="28"/>
          <w:u w:val="single"/>
        </w:rPr>
        <w:t xml:space="preserve">                                                                 </w:t>
      </w:r>
    </w:p>
    <w:p w14:paraId="30E4CF1E">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联系电话：</w:t>
      </w:r>
      <w:r>
        <w:rPr>
          <w:rFonts w:hint="eastAsia" w:ascii="方正仿宋_GBK" w:hAnsi="方正仿宋_GBK" w:eastAsia="方正仿宋_GBK" w:cs="方正仿宋_GBK"/>
          <w:sz w:val="28"/>
          <w:szCs w:val="28"/>
          <w:u w:val="single"/>
        </w:rPr>
        <w:t xml:space="preserve">                                                                </w:t>
      </w:r>
    </w:p>
    <w:p w14:paraId="54EA8944">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邮编：</w:t>
      </w:r>
      <w:r>
        <w:rPr>
          <w:rFonts w:hint="eastAsia" w:ascii="方正仿宋_GBK" w:hAnsi="方正仿宋_GBK" w:eastAsia="方正仿宋_GBK" w:cs="方正仿宋_GBK"/>
          <w:sz w:val="28"/>
          <w:szCs w:val="28"/>
          <w:u w:val="single"/>
        </w:rPr>
        <w:t xml:space="preserve">                                     </w:t>
      </w:r>
    </w:p>
    <w:p w14:paraId="44A0C79A">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二、质疑项目基本情况</w:t>
      </w:r>
    </w:p>
    <w:p w14:paraId="671626E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质疑项目的名称：</w:t>
      </w:r>
      <w:r>
        <w:rPr>
          <w:rFonts w:hint="eastAsia" w:ascii="方正仿宋_GBK" w:hAnsi="方正仿宋_GBK" w:eastAsia="方正仿宋_GBK" w:cs="方正仿宋_GBK"/>
          <w:sz w:val="28"/>
          <w:szCs w:val="28"/>
          <w:u w:val="single"/>
        </w:rPr>
        <w:t xml:space="preserve">                                                          </w:t>
      </w:r>
    </w:p>
    <w:p w14:paraId="57DE4799">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包号：</w:t>
      </w:r>
      <w:r>
        <w:rPr>
          <w:rFonts w:hint="eastAsia" w:ascii="方正仿宋_GBK" w:hAnsi="方正仿宋_GBK" w:eastAsia="方正仿宋_GBK" w:cs="方正仿宋_GBK"/>
          <w:sz w:val="28"/>
          <w:szCs w:val="28"/>
          <w:u w:val="single"/>
        </w:rPr>
        <w:t xml:space="preserve">                           </w:t>
      </w:r>
    </w:p>
    <w:p w14:paraId="056DABD3">
      <w:pPr>
        <w:spacing w:line="400" w:lineRule="exact"/>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采购人名称：</w:t>
      </w:r>
      <w:r>
        <w:rPr>
          <w:rFonts w:hint="eastAsia" w:ascii="方正仿宋_GBK" w:hAnsi="方正仿宋_GBK" w:eastAsia="方正仿宋_GBK" w:cs="方正仿宋_GBK"/>
          <w:sz w:val="28"/>
          <w:szCs w:val="28"/>
          <w:u w:val="single"/>
        </w:rPr>
        <w:t xml:space="preserve">                                                              </w:t>
      </w:r>
    </w:p>
    <w:p w14:paraId="5B657F10">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采购文件获取日期：</w:t>
      </w:r>
      <w:r>
        <w:rPr>
          <w:rFonts w:hint="eastAsia" w:ascii="方正仿宋_GBK" w:hAnsi="方正仿宋_GBK" w:eastAsia="方正仿宋_GBK" w:cs="方正仿宋_GBK"/>
          <w:sz w:val="28"/>
          <w:szCs w:val="28"/>
          <w:u w:val="single"/>
        </w:rPr>
        <w:t xml:space="preserve">                                                        </w:t>
      </w:r>
    </w:p>
    <w:p w14:paraId="5FC8789B">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三、质疑事项具体内容</w:t>
      </w:r>
    </w:p>
    <w:p w14:paraId="28C7AC73">
      <w:pPr>
        <w:spacing w:line="400" w:lineRule="exact"/>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质疑事项1：</w:t>
      </w:r>
      <w:r>
        <w:rPr>
          <w:rFonts w:hint="eastAsia" w:ascii="方正仿宋_GBK" w:hAnsi="方正仿宋_GBK" w:eastAsia="方正仿宋_GBK" w:cs="方正仿宋_GBK"/>
          <w:sz w:val="28"/>
          <w:szCs w:val="28"/>
          <w:u w:val="single"/>
        </w:rPr>
        <w:t xml:space="preserve">                                                              </w:t>
      </w:r>
    </w:p>
    <w:p w14:paraId="0F2F7EF6">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事实依据：</w:t>
      </w:r>
      <w:r>
        <w:rPr>
          <w:rFonts w:hint="eastAsia" w:ascii="方正仿宋_GBK" w:hAnsi="方正仿宋_GBK" w:eastAsia="方正仿宋_GBK" w:cs="方正仿宋_GBK"/>
          <w:sz w:val="28"/>
          <w:szCs w:val="28"/>
          <w:u w:val="single"/>
        </w:rPr>
        <w:t xml:space="preserve">                                                                </w:t>
      </w:r>
    </w:p>
    <w:p w14:paraId="2C266C46">
      <w:pPr>
        <w:spacing w:line="400" w:lineRule="exact"/>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法律依据：</w:t>
      </w:r>
      <w:r>
        <w:rPr>
          <w:rFonts w:hint="eastAsia" w:ascii="方正仿宋_GBK" w:hAnsi="方正仿宋_GBK" w:eastAsia="方正仿宋_GBK" w:cs="方正仿宋_GBK"/>
          <w:sz w:val="28"/>
          <w:szCs w:val="28"/>
          <w:u w:val="single"/>
        </w:rPr>
        <w:t xml:space="preserve">                                                                 </w:t>
      </w:r>
    </w:p>
    <w:p w14:paraId="59148927">
      <w:pPr>
        <w:spacing w:line="400" w:lineRule="exact"/>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质疑事项2</w:t>
      </w:r>
    </w:p>
    <w:p w14:paraId="03DE8134">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p>
    <w:p w14:paraId="0A0F47D0">
      <w:pPr>
        <w:spacing w:line="400" w:lineRule="exact"/>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四、与质疑事项相关的质疑请求</w:t>
      </w:r>
    </w:p>
    <w:p w14:paraId="0742B894">
      <w:pPr>
        <w:spacing w:line="400" w:lineRule="exact"/>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请求：</w:t>
      </w:r>
      <w:r>
        <w:rPr>
          <w:rFonts w:hint="eastAsia" w:ascii="方正仿宋_GBK" w:hAnsi="方正仿宋_GBK" w:eastAsia="方正仿宋_GBK" w:cs="方正仿宋_GBK"/>
          <w:sz w:val="28"/>
          <w:szCs w:val="28"/>
          <w:u w:val="single"/>
        </w:rPr>
        <w:t xml:space="preserve">                                                                     </w:t>
      </w:r>
    </w:p>
    <w:p w14:paraId="25AFBA38">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p>
    <w:p w14:paraId="6187AF83">
      <w:pPr>
        <w:spacing w:line="400" w:lineRule="exact"/>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p>
    <w:p w14:paraId="2D652522">
      <w:pPr>
        <w:spacing w:line="400" w:lineRule="exact"/>
        <w:ind w:firstLine="560"/>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质疑函制作说明：</w:t>
      </w:r>
    </w:p>
    <w:p w14:paraId="1C4E5C73">
      <w:pPr>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1.供应商提出质疑时，应提交质疑函和必要的证明材料。</w:t>
      </w:r>
    </w:p>
    <w:p w14:paraId="053D6C1E">
      <w:pPr>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0696130">
      <w:pPr>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3.质疑供应商若对项目的某一采购包进行质疑，质疑函中应列明具体采购包号。</w:t>
      </w:r>
    </w:p>
    <w:p w14:paraId="05C24150">
      <w:pPr>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4.质疑函的质疑事项应具体、明确，并有必要的事实依据和法律依据。</w:t>
      </w:r>
    </w:p>
    <w:p w14:paraId="0850497F">
      <w:pPr>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5.质疑函的质疑请求应与质疑事项相关。</w:t>
      </w:r>
    </w:p>
    <w:p w14:paraId="0B203FCB">
      <w:pPr>
        <w:widowControl/>
        <w:spacing w:line="400" w:lineRule="exact"/>
        <w:ind w:firstLine="560"/>
        <w:jc w:val="lef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6.质疑供应商为自然人的，质疑函应由本人签字；质疑供应商为法人或者其他组织的，质疑函应由法定代表人、主要负责人，或者其授权代表签字或者盖章，并加盖公章。</w:t>
      </w:r>
    </w:p>
    <w:p w14:paraId="6F3BFA21">
      <w:pPr>
        <w:pStyle w:val="188"/>
        <w:spacing w:line="400" w:lineRule="exact"/>
        <w:rPr>
          <w:sz w:val="28"/>
          <w:szCs w:val="28"/>
        </w:rPr>
      </w:pPr>
    </w:p>
    <w:p w14:paraId="6AF7A458">
      <w:pPr>
        <w:pStyle w:val="188"/>
        <w:rPr>
          <w:sz w:val="24"/>
          <w:szCs w:val="24"/>
        </w:rPr>
      </w:pPr>
    </w:p>
    <w:sectPr>
      <w:pgSz w:w="11906" w:h="16838"/>
      <w:pgMar w:top="1418" w:right="1588" w:bottom="1418" w:left="1365"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67D9644-DCF3-4FA7-A77A-208D41DE5BA9}"/>
  </w:font>
  <w:font w:name="Arial">
    <w:panose1 w:val="020B0604020202020204"/>
    <w:charset w:val="01"/>
    <w:family w:val="swiss"/>
    <w:pitch w:val="default"/>
    <w:sig w:usb0="E0002EFF" w:usb1="C000785B" w:usb2="00000009" w:usb3="00000000" w:csb0="400001FF" w:csb1="FFFF0000"/>
    <w:embedRegular r:id="rId2" w:fontKey="{D879E8BB-5E88-4570-B726-6C6670FC71B6}"/>
  </w:font>
  <w:font w:name="黑体">
    <w:panose1 w:val="02010609060101010101"/>
    <w:charset w:val="86"/>
    <w:family w:val="auto"/>
    <w:pitch w:val="default"/>
    <w:sig w:usb0="800002BF" w:usb1="38CF7CFA" w:usb2="00000016" w:usb3="00000000" w:csb0="00040001" w:csb1="00000000"/>
    <w:embedRegular r:id="rId3" w:fontKey="{ED563822-2F92-4F36-B46D-097C3E2AA4EB}"/>
  </w:font>
  <w:font w:name="Courier New">
    <w:panose1 w:val="02070309020205020404"/>
    <w:charset w:val="01"/>
    <w:family w:val="modern"/>
    <w:pitch w:val="default"/>
    <w:sig w:usb0="E0002EFF" w:usb1="C0007843" w:usb2="00000009" w:usb3="00000000" w:csb0="400001FF" w:csb1="FFFF0000"/>
    <w:embedRegular r:id="rId4" w:fontKey="{2B6110D2-C8A7-4009-8362-035B3865D502}"/>
  </w:font>
  <w:font w:name="Symbol">
    <w:panose1 w:val="05050102010706020507"/>
    <w:charset w:val="02"/>
    <w:family w:val="roman"/>
    <w:pitch w:val="default"/>
    <w:sig w:usb0="00000000" w:usb1="00000000" w:usb2="00000000" w:usb3="00000000" w:csb0="80000000" w:csb1="00000000"/>
    <w:embedRegular r:id="rId5" w:fontKey="{D0ABC3F8-38CE-4C84-A5B3-B97DCA477F4A}"/>
  </w:font>
  <w:font w:name="Calibri">
    <w:panose1 w:val="020F0502020204030204"/>
    <w:charset w:val="00"/>
    <w:family w:val="swiss"/>
    <w:pitch w:val="default"/>
    <w:sig w:usb0="E4002EFF" w:usb1="C200247B" w:usb2="00000009" w:usb3="00000000" w:csb0="200001FF" w:csb1="00000000"/>
    <w:embedRegular r:id="rId6" w:fontKey="{40FACDC1-546C-48AA-8B29-504CFDB7B2BC}"/>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embedRegular r:id="rId7" w:fontKey="{8D48CA18-76E6-4D59-BE0E-A2DCF1274ECE}"/>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embedRegular r:id="rId8" w:fontKey="{0FF416F6-C226-4D04-A99B-6D52BAE43023}"/>
  </w:font>
  <w:font w:name="Arial Unicode MS">
    <w:panose1 w:val="020B0604020202020204"/>
    <w:charset w:val="86"/>
    <w:family w:val="auto"/>
    <w:pitch w:val="default"/>
    <w:sig w:usb0="F7FFAEFF" w:usb1="F9DFFFFF" w:usb2="0000007F" w:usb3="00000000" w:csb0="203F01FF" w:csb1="DFFF0000"/>
  </w:font>
  <w:font w:name="方正黑体_GBK">
    <w:panose1 w:val="02010600010101010101"/>
    <w:charset w:val="86"/>
    <w:family w:val="script"/>
    <w:pitch w:val="default"/>
    <w:sig w:usb0="00000001" w:usb1="080E0000" w:usb2="00000000" w:usb3="00000000" w:csb0="00040000" w:csb1="00000000"/>
    <w:embedRegular r:id="rId9" w:fontKey="{DC87460C-47EE-4532-94D4-D08CB7863022}"/>
  </w:font>
  <w:font w:name="Verdana">
    <w:panose1 w:val="020B0604030504040204"/>
    <w:charset w:val="00"/>
    <w:family w:val="swiss"/>
    <w:pitch w:val="default"/>
    <w:sig w:usb0="A00006FF" w:usb1="4000205B" w:usb2="00000010" w:usb3="00000000" w:csb0="2000019F" w:csb1="00000000"/>
    <w:embedRegular r:id="rId10" w:fontKey="{CD9D7A2A-94F1-4758-8792-E89A8E6D91B5}"/>
  </w:font>
  <w:font w:name="方正小标宋_GBK">
    <w:panose1 w:val="02000000000000000000"/>
    <w:charset w:val="86"/>
    <w:family w:val="script"/>
    <w:pitch w:val="default"/>
    <w:sig w:usb0="A00002BF" w:usb1="38CF7CFA" w:usb2="00082016" w:usb3="00000000" w:csb0="00040001" w:csb1="00000000"/>
    <w:embedRegular r:id="rId11" w:fontKey="{05CBC481-4677-40B5-BB6C-C2589102DD93}"/>
  </w:font>
  <w:font w:name="方正仿宋_GBK">
    <w:panose1 w:val="02000000000000000000"/>
    <w:charset w:val="86"/>
    <w:family w:val="script"/>
    <w:pitch w:val="default"/>
    <w:sig w:usb0="A00002BF" w:usb1="38CF7CFA" w:usb2="00082016" w:usb3="00000000" w:csb0="00040001" w:csb1="00000000"/>
    <w:embedRegular r:id="rId12" w:fontKey="{FD5C51F7-DE89-4192-86F5-3F0E7BEBC4AC}"/>
  </w:font>
  <w:font w:name="方正楷体_GBK">
    <w:panose1 w:val="02000000000000000000"/>
    <w:charset w:val="86"/>
    <w:family w:val="script"/>
    <w:pitch w:val="default"/>
    <w:sig w:usb0="800002BF" w:usb1="38CF7CFA" w:usb2="00000016" w:usb3="00000000" w:csb0="00040000" w:csb1="00000000"/>
    <w:embedRegular r:id="rId13" w:fontKey="{D60E2E82-788C-465B-A461-B660CA8C0E3F}"/>
  </w:font>
  <w:font w:name="仿宋">
    <w:panose1 w:val="02010609060101010101"/>
    <w:charset w:val="86"/>
    <w:family w:val="modern"/>
    <w:pitch w:val="default"/>
    <w:sig w:usb0="800002BF" w:usb1="38CF7CFA" w:usb2="00000016" w:usb3="00000000" w:csb0="00040001" w:csb1="00000000"/>
    <w:embedRegular r:id="rId14" w:fontKey="{37215727-1AE0-4AB2-A874-E33267196F0E}"/>
  </w:font>
  <w:font w:name="方正仿宋_GB2312">
    <w:panose1 w:val="02000000000000000000"/>
    <w:charset w:val="86"/>
    <w:family w:val="auto"/>
    <w:pitch w:val="default"/>
    <w:sig w:usb0="A00002BF" w:usb1="184F6CFA" w:usb2="00000012" w:usb3="00000000" w:csb0="00040001" w:csb1="00000000"/>
    <w:embedRegular r:id="rId15" w:fontKey="{EBB974F1-EDD3-4D1D-A58A-3F2E4ED0859F}"/>
  </w:font>
  <w:font w:name="___WRD_EMBED_SUB_55">
    <w:panose1 w:val="02000000000000000000"/>
    <w:charset w:val="86"/>
    <w:family w:val="auto"/>
    <w:pitch w:val="default"/>
    <w:sig w:usb0="A00002BF" w:usb1="184F6CFA" w:usb2="00000012" w:usb3="00000000" w:csb0="00040001" w:csb1="00000000"/>
    <w:embedRegular r:id="rId16" w:fontKey="{38911BB1-20E0-45AA-8923-04D61F97EC10}"/>
  </w:font>
  <w:font w:name="Wingdings 2">
    <w:panose1 w:val="05020102010507070707"/>
    <w:charset w:val="02"/>
    <w:family w:val="roman"/>
    <w:pitch w:val="default"/>
    <w:sig w:usb0="00000000" w:usb1="00000000" w:usb2="00000000" w:usb3="00000000" w:csb0="80000000" w:csb1="00000000"/>
    <w:embedRegular r:id="rId17" w:fontKey="{883EC1CE-B7B3-4A6A-9384-79FD05DA9C93}"/>
  </w:font>
  <w:font w:name="方正魏碑_GBK">
    <w:panose1 w:val="02000000000000000000"/>
    <w:charset w:val="86"/>
    <w:family w:val="auto"/>
    <w:pitch w:val="default"/>
    <w:sig w:usb0="A00002BF" w:usb1="38CF7CFA" w:usb2="00000016" w:usb3="00000000" w:csb0="00040001" w:csb1="00000000"/>
    <w:embedRegular r:id="rId18" w:fontKey="{36CC6E91-AAC8-45C0-8CC1-3742867133D9}"/>
  </w:font>
  <w:font w:name="WPSEMBED1">
    <w:panose1 w:val="02010509060101010101"/>
    <w:charset w:val="86"/>
    <w:family w:val="auto"/>
    <w:pitch w:val="default"/>
    <w:sig w:usb0="00000001" w:usb1="080E0000" w:usb2="00000000" w:usb3="00000000" w:csb0="00040000" w:csb1="00000000"/>
  </w:font>
  <w:font w:name="WPSEMBED2">
    <w:panose1 w:val="02000000000000000000"/>
    <w:charset w:val="86"/>
    <w:family w:val="auto"/>
    <w:pitch w:val="default"/>
    <w:sig w:usb0="A00002BF" w:usb1="184F6CFA" w:usb2="00000012" w:usb3="00000000" w:csb0="00040001" w:csb1="00000000"/>
  </w:font>
  <w:font w:name="WPSEMBED3">
    <w:panose1 w:val="05020102010507070707"/>
    <w:charset w:val="00"/>
    <w:family w:val="auto"/>
    <w:pitch w:val="default"/>
    <w:sig w:usb0="00000000" w:usb1="00000000" w:usb2="00000000" w:usb3="00000000" w:csb0="80000000" w:csb1="00000000"/>
    <w:embedRegular r:id="rId19" w:fontKey="{B6C54672-863C-4847-AC9E-D8CC90417AA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9FA31">
    <w:pPr>
      <w:pStyle w:val="19"/>
      <w:tabs>
        <w:tab w:val="center" w:pos="4153"/>
        <w:tab w:val="right" w:pos="8306"/>
        <w:tab w:val="clear" w:pos="7143"/>
        <w:tab w:val="clear" w:pos="14287"/>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85BD38">
                          <w:pPr>
                            <w:pStyle w:val="19"/>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Na8P8XFAQAAkAMAAA4AAAAAAAAAAQAgAAAAHgEAAGRycy9lMm9Eb2MueG1s&#10;UEsFBgAAAAAGAAYAWQEAAFUFAAAAAA==&#10;">
              <v:fill on="f" focussize="0,0"/>
              <v:stroke on="f"/>
              <v:imagedata o:title=""/>
              <o:lock v:ext="edit" aspectratio="f"/>
              <v:textbox inset="0mm,0mm,0mm,0mm" style="mso-fit-shape-to-text:t;">
                <w:txbxContent>
                  <w:p w14:paraId="4E85BD38">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B745D">
    <w:pPr>
      <w:pStyle w:val="232"/>
      <w:framePr w:wrap="around" w:vAnchor="text" w:hAnchor="margin" w:xAlign="center" w:y="1"/>
      <w:rPr>
        <w:rStyle w:val="257"/>
      </w:rPr>
    </w:pPr>
    <w:r>
      <w:fldChar w:fldCharType="begin"/>
    </w:r>
    <w:r>
      <w:rPr>
        <w:rStyle w:val="257"/>
      </w:rPr>
      <w:instrText xml:space="preserve">PAGE  </w:instrText>
    </w:r>
    <w:r>
      <w:fldChar w:fldCharType="separate"/>
    </w:r>
    <w:r>
      <w:rPr>
        <w:rStyle w:val="257"/>
      </w:rPr>
      <w:t>1</w:t>
    </w:r>
    <w:r>
      <w:fldChar w:fldCharType="end"/>
    </w:r>
  </w:p>
  <w:p w14:paraId="636C0F44">
    <w:pPr>
      <w:pStyle w:val="2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0F868">
    <w:pPr>
      <w:pStyle w:val="232"/>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0198149">
                          <w:pPr>
                            <w:pStyle w:val="232"/>
                            <w:rPr>
                              <w:rFonts w:hint="eastAsia" w:ascii="宋体" w:hAnsi="宋体"/>
                              <w:sz w:val="28"/>
                            </w:rPr>
                          </w:pPr>
                          <w:r>
                            <w:rPr>
                              <w:rFonts w:ascii="宋体" w:hAnsi="宋体"/>
                              <w:sz w:val="28"/>
                            </w:rPr>
                            <w:t>—</w:t>
                          </w:r>
                          <w:r>
                            <w:rPr>
                              <w:rFonts w:ascii="宋体" w:hAnsi="宋体"/>
                              <w:sz w:val="24"/>
                            </w:rPr>
                            <w:t>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1</w:t>
                          </w:r>
                          <w:r>
                            <w:rPr>
                              <w:rFonts w:ascii="宋体" w:hAnsi="宋体"/>
                              <w:sz w:val="28"/>
                            </w:rPr>
                            <w:fldChar w:fldCharType="end"/>
                          </w:r>
                          <w:r>
                            <w:rPr>
                              <w:rFonts w:ascii="宋体" w:hAnsi="宋体"/>
                              <w:sz w:val="24"/>
                            </w:rPr>
                            <w:t>　</w:t>
                          </w:r>
                          <w:r>
                            <w:rPr>
                              <w:rFonts w:ascii="宋体" w:hAnsi="宋体"/>
                              <w:sz w:val="28"/>
                            </w:rPr>
                            <w:t>—</w:t>
                          </w:r>
                        </w:p>
                        <w:p w14:paraId="6D81724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0198149">
                    <w:pPr>
                      <w:pStyle w:val="232"/>
                      <w:rPr>
                        <w:rFonts w:hint="eastAsia" w:ascii="宋体" w:hAnsi="宋体"/>
                        <w:sz w:val="28"/>
                      </w:rPr>
                    </w:pPr>
                    <w:r>
                      <w:rPr>
                        <w:rFonts w:ascii="宋体" w:hAnsi="宋体"/>
                        <w:sz w:val="28"/>
                      </w:rPr>
                      <w:t>—</w:t>
                    </w:r>
                    <w:r>
                      <w:rPr>
                        <w:rFonts w:ascii="宋体" w:hAnsi="宋体"/>
                        <w:sz w:val="24"/>
                      </w:rPr>
                      <w:t>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1</w:t>
                    </w:r>
                    <w:r>
                      <w:rPr>
                        <w:rFonts w:ascii="宋体" w:hAnsi="宋体"/>
                        <w:sz w:val="28"/>
                      </w:rPr>
                      <w:fldChar w:fldCharType="end"/>
                    </w:r>
                    <w:r>
                      <w:rPr>
                        <w:rFonts w:ascii="宋体" w:hAnsi="宋体"/>
                        <w:sz w:val="24"/>
                      </w:rPr>
                      <w:t>　</w:t>
                    </w:r>
                    <w:r>
                      <w:rPr>
                        <w:rFonts w:ascii="宋体" w:hAnsi="宋体"/>
                        <w:sz w:val="28"/>
                      </w:rPr>
                      <w:t>—</w:t>
                    </w:r>
                  </w:p>
                  <w:p w14:paraId="6D81724F"/>
                </w:txbxContent>
              </v:textbox>
            </v:shape>
          </w:pict>
        </mc:Fallback>
      </mc:AlternateContent>
    </w:r>
  </w:p>
  <w:p w14:paraId="3CA68AC5">
    <w:pPr>
      <w:pStyle w:val="2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4781C">
    <w:pPr>
      <w:pStyle w:val="23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3EAA7"/>
    <w:multiLevelType w:val="singleLevel"/>
    <w:tmpl w:val="BF63EAA7"/>
    <w:lvl w:ilvl="0" w:tentative="0">
      <w:start w:val="2"/>
      <w:numFmt w:val="decimal"/>
      <w:lvlText w:val="%1."/>
      <w:lvlJc w:val="left"/>
      <w:pPr>
        <w:tabs>
          <w:tab w:val="left" w:pos="312"/>
        </w:tabs>
      </w:pPr>
    </w:lvl>
  </w:abstractNum>
  <w:abstractNum w:abstractNumId="1">
    <w:nsid w:val="CF092B84"/>
    <w:multiLevelType w:val="multilevel"/>
    <w:tmpl w:val="CF092B84"/>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082DFEE"/>
    <w:multiLevelType w:val="singleLevel"/>
    <w:tmpl w:val="D082DFEE"/>
    <w:lvl w:ilvl="0" w:tentative="0">
      <w:start w:val="5"/>
      <w:numFmt w:val="decimal"/>
      <w:lvlText w:val="%1."/>
      <w:lvlJc w:val="left"/>
      <w:pPr>
        <w:tabs>
          <w:tab w:val="left" w:pos="312"/>
        </w:tabs>
      </w:p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2"/>
      <w:suff w:val="nothing"/>
      <w:lvlText w:val=""/>
      <w:lvlJc w:val="left"/>
      <w:pPr>
        <w:ind w:left="0" w:firstLine="0"/>
      </w:pPr>
      <w:rPr>
        <w:rFonts w:hint="eastAsia"/>
      </w:rPr>
    </w:lvl>
    <w:lvl w:ilvl="6" w:tentative="0">
      <w:start w:val="1"/>
      <w:numFmt w:val="decimal"/>
      <w:pStyle w:val="193"/>
      <w:suff w:val="nothing"/>
      <w:lvlText w:val=""/>
      <w:lvlJc w:val="left"/>
      <w:pPr>
        <w:ind w:left="0" w:firstLine="0"/>
      </w:pPr>
      <w:rPr>
        <w:rFonts w:hint="eastAsia"/>
      </w:rPr>
    </w:lvl>
    <w:lvl w:ilvl="7" w:tentative="0">
      <w:start w:val="1"/>
      <w:numFmt w:val="decimal"/>
      <w:pStyle w:val="194"/>
      <w:suff w:val="nothing"/>
      <w:lvlText w:val=""/>
      <w:lvlJc w:val="left"/>
      <w:pPr>
        <w:ind w:left="0" w:firstLine="0"/>
      </w:pPr>
      <w:rPr>
        <w:rFonts w:hint="eastAsia"/>
      </w:rPr>
    </w:lvl>
    <w:lvl w:ilvl="8" w:tentative="0">
      <w:start w:val="1"/>
      <w:numFmt w:val="decimal"/>
      <w:pStyle w:val="195"/>
      <w:suff w:val="nothing"/>
      <w:lvlText w:val=""/>
      <w:lvlJc w:val="left"/>
      <w:pPr>
        <w:ind w:left="0" w:firstLine="0"/>
      </w:pPr>
      <w:rPr>
        <w:rFonts w:hint="eastAsia"/>
      </w:rPr>
    </w:lvl>
  </w:abstractNum>
  <w:abstractNum w:abstractNumId="4">
    <w:nsid w:val="29624F21"/>
    <w:multiLevelType w:val="singleLevel"/>
    <w:tmpl w:val="29624F21"/>
    <w:lvl w:ilvl="0" w:tentative="0">
      <w:start w:val="2"/>
      <w:numFmt w:val="chineseCounting"/>
      <w:suff w:val="nothing"/>
      <w:lvlText w:val="（%1）"/>
      <w:lvlJc w:val="left"/>
      <w:rPr>
        <w:rFonts w:hint="eastAsia"/>
      </w:rPr>
    </w:lvl>
  </w:abstractNum>
  <w:abstractNum w:abstractNumId="5">
    <w:nsid w:val="50AF8B21"/>
    <w:multiLevelType w:val="singleLevel"/>
    <w:tmpl w:val="50AF8B21"/>
    <w:lvl w:ilvl="0" w:tentative="0">
      <w:start w:val="1"/>
      <w:numFmt w:val="decimal"/>
      <w:suff w:val="space"/>
      <w:lvlText w:val="%1."/>
      <w:lvlJc w:val="left"/>
    </w:lvl>
  </w:abstractNum>
  <w:abstractNum w:abstractNumId="6">
    <w:nsid w:val="5915610C"/>
    <w:multiLevelType w:val="singleLevel"/>
    <w:tmpl w:val="5915610C"/>
    <w:lvl w:ilvl="0" w:tentative="0">
      <w:start w:val="1"/>
      <w:numFmt w:val="decimal"/>
      <w:suff w:val="nothing"/>
      <w:lvlText w:val="%1、"/>
      <w:lvlJc w:val="left"/>
    </w:lvl>
  </w:abstractNum>
  <w:abstractNum w:abstractNumId="7">
    <w:nsid w:val="59ADCABA"/>
    <w:multiLevelType w:val="multilevel"/>
    <w:tmpl w:val="59ADCABA"/>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1"/>
  </w:num>
  <w:num w:numId="3">
    <w:abstractNumId w:val="7"/>
  </w:num>
  <w:num w:numId="4">
    <w:abstractNumId w:val="4"/>
  </w:num>
  <w:num w:numId="5">
    <w:abstractNumId w:val="0"/>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bordersDoNotSurroundHeader w:val="1"/>
  <w:bordersDoNotSurroundFooter w:val="1"/>
  <w:documentProtection w:enforcement="0"/>
  <w:defaultTabStop w:val="420"/>
  <w:noPunctuationKerning w:val="1"/>
  <w:characterSpacingControl w:val="doNotCompress"/>
  <w:endnotePr>
    <w:numFmt w:val="decimal"/>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E9E"/>
    <w:rsid w:val="00143C14"/>
    <w:rsid w:val="002176B0"/>
    <w:rsid w:val="003D21D9"/>
    <w:rsid w:val="004351DB"/>
    <w:rsid w:val="00693BFF"/>
    <w:rsid w:val="006A16EA"/>
    <w:rsid w:val="00777E96"/>
    <w:rsid w:val="00865190"/>
    <w:rsid w:val="00A32E71"/>
    <w:rsid w:val="00A75079"/>
    <w:rsid w:val="00B52444"/>
    <w:rsid w:val="00CF0E9E"/>
    <w:rsid w:val="00DD3717"/>
    <w:rsid w:val="00E40834"/>
    <w:rsid w:val="01E938F2"/>
    <w:rsid w:val="105D4883"/>
    <w:rsid w:val="15771544"/>
    <w:rsid w:val="17AD4BA9"/>
    <w:rsid w:val="18FE29CF"/>
    <w:rsid w:val="19294E51"/>
    <w:rsid w:val="1C8521E7"/>
    <w:rsid w:val="28242B08"/>
    <w:rsid w:val="343F7FA7"/>
    <w:rsid w:val="36352560"/>
    <w:rsid w:val="37855A93"/>
    <w:rsid w:val="38364200"/>
    <w:rsid w:val="3DC9158D"/>
    <w:rsid w:val="461A18A4"/>
    <w:rsid w:val="4A8E7C8D"/>
    <w:rsid w:val="514E1B22"/>
    <w:rsid w:val="5B7B1BA7"/>
    <w:rsid w:val="6FDF2B29"/>
    <w:rsid w:val="707664F8"/>
    <w:rsid w:val="78CF24CB"/>
    <w:rsid w:val="79471A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b/>
      <w:sz w:val="24"/>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307"/>
    <w:unhideWhenUsed/>
    <w:qFormat/>
    <w:uiPriority w:val="99"/>
    <w:pPr>
      <w:jc w:val="left"/>
    </w:p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link w:val="184"/>
    <w:semiHidden/>
    <w:unhideWhenUsed/>
    <w:qFormat/>
    <w:uiPriority w:val="99"/>
    <w:rPr>
      <w:sz w:val="20"/>
    </w:rPr>
  </w:style>
  <w:style w:type="paragraph" w:styleId="19">
    <w:name w:val="footer"/>
    <w:basedOn w:val="1"/>
    <w:link w:val="57"/>
    <w:unhideWhenUsed/>
    <w:qFormat/>
    <w:uiPriority w:val="99"/>
    <w:pPr>
      <w:tabs>
        <w:tab w:val="center" w:pos="7143"/>
        <w:tab w:val="right" w:pos="14287"/>
      </w:tabs>
    </w:pPr>
  </w:style>
  <w:style w:type="paragraph" w:styleId="20">
    <w:name w:val="header"/>
    <w:basedOn w:val="1"/>
    <w:link w:val="55"/>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Title"/>
    <w:basedOn w:val="1"/>
    <w:next w:val="1"/>
    <w:link w:val="49"/>
    <w:qFormat/>
    <w:uiPriority w:val="10"/>
    <w:pPr>
      <w:spacing w:before="300" w:after="200"/>
      <w:contextualSpacing/>
    </w:pPr>
    <w:rPr>
      <w:sz w:val="48"/>
      <w:szCs w:val="48"/>
    </w:rPr>
  </w:style>
  <w:style w:type="paragraph" w:styleId="30">
    <w:name w:val="annotation subject"/>
    <w:basedOn w:val="14"/>
    <w:next w:val="14"/>
    <w:link w:val="308"/>
    <w:semiHidden/>
    <w:unhideWhenUsed/>
    <w:qFormat/>
    <w:uiPriority w:val="99"/>
    <w:rPr>
      <w:b/>
      <w:bCs/>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annotation reference"/>
    <w:basedOn w:val="33"/>
    <w:semiHidden/>
    <w:unhideWhenUsed/>
    <w:qFormat/>
    <w:uiPriority w:val="99"/>
    <w:rPr>
      <w:sz w:val="21"/>
      <w:szCs w:val="21"/>
    </w:rPr>
  </w:style>
  <w:style w:type="character" w:styleId="37">
    <w:name w:val="footnote reference"/>
    <w:unhideWhenUsed/>
    <w:qFormat/>
    <w:uiPriority w:val="99"/>
    <w:rPr>
      <w:vertAlign w:val="superscript"/>
    </w:rPr>
  </w:style>
  <w:style w:type="character" w:customStyle="1" w:styleId="38">
    <w:name w:val="标题 1 字符"/>
    <w:link w:val="2"/>
    <w:qFormat/>
    <w:uiPriority w:val="9"/>
    <w:rPr>
      <w:rFonts w:ascii="Arial" w:hAnsi="Arial" w:eastAsia="Arial" w:cs="Arial"/>
      <w:sz w:val="40"/>
      <w:szCs w:val="40"/>
    </w:rPr>
  </w:style>
  <w:style w:type="character" w:customStyle="1" w:styleId="39">
    <w:name w:val="标题 2 字符"/>
    <w:link w:val="3"/>
    <w:qFormat/>
    <w:uiPriority w:val="9"/>
    <w:rPr>
      <w:rFonts w:ascii="Arial" w:hAnsi="Arial" w:eastAsia="Arial" w:cs="Arial"/>
      <w:sz w:val="34"/>
    </w:rPr>
  </w:style>
  <w:style w:type="character" w:customStyle="1" w:styleId="40">
    <w:name w:val="标题 3 字符"/>
    <w:link w:val="4"/>
    <w:qFormat/>
    <w:uiPriority w:val="9"/>
    <w:rPr>
      <w:rFonts w:ascii="Arial" w:hAnsi="Arial" w:eastAsia="Arial" w:cs="Arial"/>
      <w:sz w:val="30"/>
      <w:szCs w:val="30"/>
    </w:rPr>
  </w:style>
  <w:style w:type="character" w:customStyle="1" w:styleId="41">
    <w:name w:val="标题 4 字符"/>
    <w:link w:val="5"/>
    <w:qFormat/>
    <w:uiPriority w:val="9"/>
    <w:rPr>
      <w:rFonts w:ascii="Arial" w:hAnsi="Arial" w:eastAsia="Arial" w:cs="Arial"/>
      <w:b/>
      <w:bCs/>
      <w:sz w:val="26"/>
      <w:szCs w:val="26"/>
    </w:rPr>
  </w:style>
  <w:style w:type="character" w:customStyle="1" w:styleId="42">
    <w:name w:val="标题 5 字符"/>
    <w:link w:val="6"/>
    <w:qFormat/>
    <w:uiPriority w:val="9"/>
    <w:rPr>
      <w:rFonts w:ascii="Arial" w:hAnsi="Arial" w:eastAsia="Arial" w:cs="Arial"/>
      <w:b/>
      <w:bCs/>
      <w:sz w:val="24"/>
      <w:szCs w:val="24"/>
    </w:rPr>
  </w:style>
  <w:style w:type="character" w:customStyle="1" w:styleId="43">
    <w:name w:val="标题 6 字符"/>
    <w:link w:val="7"/>
    <w:qFormat/>
    <w:uiPriority w:val="9"/>
    <w:rPr>
      <w:rFonts w:ascii="Arial" w:hAnsi="Arial" w:eastAsia="Arial" w:cs="Arial"/>
      <w:b/>
      <w:bCs/>
      <w:sz w:val="22"/>
      <w:szCs w:val="22"/>
    </w:rPr>
  </w:style>
  <w:style w:type="character" w:customStyle="1" w:styleId="44">
    <w:name w:val="标题 7 字符"/>
    <w:link w:val="8"/>
    <w:qFormat/>
    <w:uiPriority w:val="9"/>
    <w:rPr>
      <w:rFonts w:ascii="Arial" w:hAnsi="Arial" w:eastAsia="Arial" w:cs="Arial"/>
      <w:b/>
      <w:bCs/>
      <w:i/>
      <w:iCs/>
      <w:sz w:val="22"/>
      <w:szCs w:val="22"/>
    </w:rPr>
  </w:style>
  <w:style w:type="character" w:customStyle="1" w:styleId="45">
    <w:name w:val="标题 8 字符"/>
    <w:link w:val="9"/>
    <w:qFormat/>
    <w:uiPriority w:val="9"/>
    <w:rPr>
      <w:rFonts w:ascii="Arial" w:hAnsi="Arial" w:eastAsia="Arial" w:cs="Arial"/>
      <w:i/>
      <w:iCs/>
      <w:sz w:val="22"/>
      <w:szCs w:val="22"/>
    </w:rPr>
  </w:style>
  <w:style w:type="character" w:customStyle="1" w:styleId="46">
    <w:name w:val="标题 9 字符"/>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rPr>
      <w:rFonts w:ascii="Calibri" w:hAnsi="Calibri" w:eastAsia="宋体" w:cs="Times New Roman"/>
      <w:lang w:val="en-US" w:eastAsia="zh-CN" w:bidi="ar-SA"/>
    </w:rPr>
  </w:style>
  <w:style w:type="character" w:customStyle="1" w:styleId="49">
    <w:name w:val="标题 字符"/>
    <w:link w:val="29"/>
    <w:qFormat/>
    <w:uiPriority w:val="10"/>
    <w:rPr>
      <w:sz w:val="48"/>
      <w:szCs w:val="48"/>
    </w:rPr>
  </w:style>
  <w:style w:type="character" w:customStyle="1" w:styleId="50">
    <w:name w:val="副标题 字符"/>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引用 字符"/>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4">
    <w:name w:val="明显引用 字符"/>
    <w:link w:val="53"/>
    <w:qFormat/>
    <w:uiPriority w:val="30"/>
    <w:rPr>
      <w:i/>
    </w:rPr>
  </w:style>
  <w:style w:type="character" w:customStyle="1" w:styleId="55">
    <w:name w:val="页眉 字符"/>
    <w:link w:val="20"/>
    <w:qFormat/>
    <w:uiPriority w:val="99"/>
  </w:style>
  <w:style w:type="character" w:customStyle="1" w:styleId="56">
    <w:name w:val="Footer Char"/>
    <w:qFormat/>
    <w:uiPriority w:val="99"/>
  </w:style>
  <w:style w:type="character" w:customStyle="1" w:styleId="57">
    <w:name w:val="页脚 字符"/>
    <w:link w:val="19"/>
    <w:qFormat/>
    <w:uiPriority w:val="99"/>
  </w:style>
  <w:style w:type="table" w:customStyle="1" w:styleId="5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脚注文本 字符"/>
    <w:link w:val="24"/>
    <w:qFormat/>
    <w:uiPriority w:val="99"/>
    <w:rPr>
      <w:sz w:val="18"/>
    </w:rPr>
  </w:style>
  <w:style w:type="character" w:customStyle="1" w:styleId="184">
    <w:name w:val="尾注文本 字符"/>
    <w:link w:val="18"/>
    <w:qFormat/>
    <w:uiPriority w:val="99"/>
    <w:rPr>
      <w:sz w:val="20"/>
    </w:rPr>
  </w:style>
  <w:style w:type="paragraph" w:customStyle="1" w:styleId="185">
    <w:name w:val="TOC 标题1"/>
    <w:unhideWhenUsed/>
    <w:qFormat/>
    <w:uiPriority w:val="39"/>
    <w:rPr>
      <w:rFonts w:ascii="Calibri" w:hAnsi="Calibri" w:eastAsia="宋体" w:cs="Times New Roman"/>
      <w:lang w:val="en-US" w:eastAsia="zh-CN" w:bidi="ar-SA"/>
    </w:rPr>
  </w:style>
  <w:style w:type="paragraph" w:customStyle="1" w:styleId="186">
    <w:name w:val="标题 11"/>
    <w:basedOn w:val="1"/>
    <w:next w:val="1"/>
    <w:link w:val="198"/>
    <w:qFormat/>
    <w:uiPriority w:val="0"/>
    <w:pPr>
      <w:keepNext/>
      <w:jc w:val="center"/>
      <w:outlineLvl w:val="0"/>
    </w:pPr>
    <w:rPr>
      <w:rFonts w:ascii="楷体_GB2312" w:eastAsia="楷体_GB2312"/>
      <w:sz w:val="28"/>
      <w:szCs w:val="28"/>
    </w:rPr>
  </w:style>
  <w:style w:type="paragraph" w:customStyle="1" w:styleId="187">
    <w:name w:val="标题 21"/>
    <w:basedOn w:val="1"/>
    <w:next w:val="188"/>
    <w:link w:val="19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8">
    <w:name w:val="正文缩进1"/>
    <w:basedOn w:val="1"/>
    <w:link w:val="200"/>
    <w:qFormat/>
    <w:uiPriority w:val="0"/>
    <w:pPr>
      <w:ind w:firstLine="420"/>
    </w:pPr>
  </w:style>
  <w:style w:type="paragraph" w:customStyle="1" w:styleId="189">
    <w:name w:val="标题 31"/>
    <w:basedOn w:val="1"/>
    <w:next w:val="188"/>
    <w:link w:val="201"/>
    <w:qFormat/>
    <w:uiPriority w:val="0"/>
    <w:pPr>
      <w:keepNext/>
      <w:keepLines/>
      <w:spacing w:before="260" w:after="260" w:line="416" w:lineRule="auto"/>
      <w:outlineLvl w:val="2"/>
    </w:pPr>
    <w:rPr>
      <w:b/>
      <w:bCs/>
      <w:sz w:val="32"/>
      <w:szCs w:val="32"/>
    </w:rPr>
  </w:style>
  <w:style w:type="paragraph" w:customStyle="1" w:styleId="190">
    <w:name w:val="标题 41"/>
    <w:basedOn w:val="1"/>
    <w:next w:val="188"/>
    <w:link w:val="202"/>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1">
    <w:name w:val="标题 51"/>
    <w:basedOn w:val="1"/>
    <w:next w:val="188"/>
    <w:link w:val="203"/>
    <w:qFormat/>
    <w:uiPriority w:val="0"/>
    <w:pPr>
      <w:keepNext/>
      <w:outlineLvl w:val="4"/>
    </w:pPr>
    <w:rPr>
      <w:rFonts w:ascii="宋体"/>
      <w:color w:val="000000"/>
      <w:sz w:val="28"/>
      <w:szCs w:val="28"/>
    </w:rPr>
  </w:style>
  <w:style w:type="paragraph" w:customStyle="1" w:styleId="192">
    <w:name w:val="标题 61"/>
    <w:basedOn w:val="1"/>
    <w:next w:val="1"/>
    <w:link w:val="20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3">
    <w:name w:val="标题 71"/>
    <w:basedOn w:val="1"/>
    <w:next w:val="1"/>
    <w:link w:val="205"/>
    <w:qFormat/>
    <w:uiPriority w:val="0"/>
    <w:pPr>
      <w:keepNext/>
      <w:keepLines/>
      <w:numPr>
        <w:ilvl w:val="6"/>
        <w:numId w:val="1"/>
      </w:numPr>
      <w:spacing w:before="240" w:after="64" w:line="320" w:lineRule="auto"/>
      <w:outlineLvl w:val="6"/>
    </w:pPr>
    <w:rPr>
      <w:b/>
      <w:bCs/>
      <w:sz w:val="24"/>
      <w:szCs w:val="24"/>
    </w:rPr>
  </w:style>
  <w:style w:type="paragraph" w:customStyle="1" w:styleId="194">
    <w:name w:val="标题 81"/>
    <w:basedOn w:val="1"/>
    <w:next w:val="1"/>
    <w:link w:val="20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5">
    <w:name w:val="标题 91"/>
    <w:basedOn w:val="1"/>
    <w:next w:val="1"/>
    <w:link w:val="207"/>
    <w:qFormat/>
    <w:uiPriority w:val="0"/>
    <w:pPr>
      <w:keepNext/>
      <w:keepLines/>
      <w:numPr>
        <w:ilvl w:val="8"/>
        <w:numId w:val="1"/>
      </w:numPr>
      <w:spacing w:before="240" w:after="64" w:line="320" w:lineRule="auto"/>
      <w:outlineLvl w:val="8"/>
    </w:pPr>
    <w:rPr>
      <w:rFonts w:ascii="Arial" w:hAnsi="Arial" w:eastAsia="黑体"/>
    </w:rPr>
  </w:style>
  <w:style w:type="character" w:customStyle="1" w:styleId="196">
    <w:name w:val="默认段落字体1"/>
    <w:unhideWhenUsed/>
    <w:qFormat/>
    <w:uiPriority w:val="1"/>
  </w:style>
  <w:style w:type="table" w:customStyle="1" w:styleId="197">
    <w:name w:val="普通表格1"/>
    <w:unhideWhenUsed/>
    <w:qFormat/>
    <w:uiPriority w:val="99"/>
    <w:tblPr>
      <w:tblCellMar>
        <w:top w:w="0" w:type="dxa"/>
        <w:left w:w="0" w:type="dxa"/>
        <w:bottom w:w="0" w:type="dxa"/>
        <w:right w:w="0" w:type="dxa"/>
      </w:tblCellMar>
    </w:tblPr>
  </w:style>
  <w:style w:type="character" w:customStyle="1" w:styleId="198">
    <w:name w:val="标题 1 Char"/>
    <w:link w:val="186"/>
    <w:qFormat/>
    <w:uiPriority w:val="0"/>
    <w:rPr>
      <w:rFonts w:ascii="楷体_GB2312" w:hAnsi="Times New Roman" w:eastAsia="楷体_GB2312" w:cs="Times New Roman"/>
      <w:sz w:val="28"/>
      <w:szCs w:val="28"/>
    </w:rPr>
  </w:style>
  <w:style w:type="character" w:customStyle="1" w:styleId="199">
    <w:name w:val="标题 2 Char"/>
    <w:link w:val="187"/>
    <w:qFormat/>
    <w:uiPriority w:val="0"/>
    <w:rPr>
      <w:rFonts w:ascii="Arial" w:hAnsi="Arial" w:eastAsia="幼圆" w:cs="Arial"/>
      <w:b/>
      <w:bCs/>
      <w:sz w:val="44"/>
      <w:szCs w:val="44"/>
    </w:rPr>
  </w:style>
  <w:style w:type="character" w:customStyle="1" w:styleId="200">
    <w:name w:val="正文缩进 Char"/>
    <w:link w:val="188"/>
    <w:qFormat/>
    <w:uiPriority w:val="0"/>
    <w:rPr>
      <w:rFonts w:ascii="Times New Roman" w:hAnsi="Times New Roman" w:eastAsia="宋体" w:cs="Times New Roman"/>
      <w:szCs w:val="21"/>
    </w:rPr>
  </w:style>
  <w:style w:type="character" w:customStyle="1" w:styleId="201">
    <w:name w:val="标题 3 Char"/>
    <w:link w:val="189"/>
    <w:qFormat/>
    <w:uiPriority w:val="0"/>
    <w:rPr>
      <w:rFonts w:ascii="Times New Roman" w:hAnsi="Times New Roman" w:eastAsia="宋体" w:cs="Times New Roman"/>
      <w:b/>
      <w:bCs/>
      <w:sz w:val="32"/>
      <w:szCs w:val="32"/>
    </w:rPr>
  </w:style>
  <w:style w:type="character" w:customStyle="1" w:styleId="202">
    <w:name w:val="标题 4 Char"/>
    <w:link w:val="190"/>
    <w:qFormat/>
    <w:uiPriority w:val="0"/>
    <w:rPr>
      <w:rFonts w:ascii="Arial" w:hAnsi="Arial" w:eastAsia="黑体" w:cs="Arial"/>
      <w:b/>
      <w:bCs/>
      <w:sz w:val="28"/>
      <w:szCs w:val="28"/>
    </w:rPr>
  </w:style>
  <w:style w:type="character" w:customStyle="1" w:styleId="203">
    <w:name w:val="标题 5 Char"/>
    <w:link w:val="191"/>
    <w:qFormat/>
    <w:uiPriority w:val="0"/>
    <w:rPr>
      <w:rFonts w:ascii="宋体" w:hAnsi="Times New Roman" w:eastAsia="宋体" w:cs="Times New Roman"/>
      <w:color w:val="000000"/>
      <w:sz w:val="28"/>
      <w:szCs w:val="28"/>
    </w:rPr>
  </w:style>
  <w:style w:type="character" w:customStyle="1" w:styleId="204">
    <w:name w:val="标题 6 Char"/>
    <w:link w:val="192"/>
    <w:qFormat/>
    <w:uiPriority w:val="0"/>
    <w:rPr>
      <w:rFonts w:ascii="Arial" w:hAnsi="Arial" w:eastAsia="黑体" w:cs="Times New Roman"/>
      <w:b/>
      <w:bCs/>
      <w:sz w:val="24"/>
      <w:szCs w:val="24"/>
    </w:rPr>
  </w:style>
  <w:style w:type="character" w:customStyle="1" w:styleId="205">
    <w:name w:val="标题 7 Char"/>
    <w:link w:val="193"/>
    <w:qFormat/>
    <w:uiPriority w:val="0"/>
    <w:rPr>
      <w:rFonts w:ascii="Times New Roman" w:hAnsi="Times New Roman" w:eastAsia="宋体" w:cs="Times New Roman"/>
      <w:b/>
      <w:bCs/>
      <w:sz w:val="24"/>
      <w:szCs w:val="24"/>
    </w:rPr>
  </w:style>
  <w:style w:type="character" w:customStyle="1" w:styleId="206">
    <w:name w:val="标题 8 Char"/>
    <w:link w:val="194"/>
    <w:qFormat/>
    <w:uiPriority w:val="0"/>
    <w:rPr>
      <w:rFonts w:ascii="Arial" w:hAnsi="Arial" w:eastAsia="黑体" w:cs="Times New Roman"/>
      <w:sz w:val="24"/>
      <w:szCs w:val="24"/>
    </w:rPr>
  </w:style>
  <w:style w:type="character" w:customStyle="1" w:styleId="207">
    <w:name w:val="标题 9 Char"/>
    <w:link w:val="195"/>
    <w:qFormat/>
    <w:uiPriority w:val="0"/>
    <w:rPr>
      <w:rFonts w:ascii="Arial" w:hAnsi="Arial" w:eastAsia="黑体" w:cs="Times New Roman"/>
      <w:szCs w:val="21"/>
    </w:rPr>
  </w:style>
  <w:style w:type="paragraph" w:customStyle="1" w:styleId="208">
    <w:name w:val="列表 31"/>
    <w:basedOn w:val="1"/>
    <w:qFormat/>
    <w:uiPriority w:val="0"/>
    <w:pPr>
      <w:ind w:left="100" w:hanging="200"/>
    </w:pPr>
  </w:style>
  <w:style w:type="paragraph" w:customStyle="1" w:styleId="209">
    <w:name w:val="目录 71"/>
    <w:basedOn w:val="1"/>
    <w:next w:val="1"/>
    <w:semiHidden/>
    <w:qFormat/>
    <w:uiPriority w:val="0"/>
    <w:pPr>
      <w:ind w:left="1260"/>
      <w:jc w:val="left"/>
    </w:pPr>
  </w:style>
  <w:style w:type="paragraph" w:customStyle="1" w:styleId="210">
    <w:name w:val="文档结构图1"/>
    <w:basedOn w:val="1"/>
    <w:link w:val="211"/>
    <w:semiHidden/>
    <w:qFormat/>
    <w:uiPriority w:val="0"/>
    <w:pPr>
      <w:shd w:val="clear" w:color="auto" w:fill="000080"/>
    </w:pPr>
  </w:style>
  <w:style w:type="character" w:customStyle="1" w:styleId="211">
    <w:name w:val="文档结构图 Char"/>
    <w:link w:val="210"/>
    <w:semiHidden/>
    <w:qFormat/>
    <w:uiPriority w:val="0"/>
    <w:rPr>
      <w:rFonts w:ascii="Times New Roman" w:hAnsi="Times New Roman" w:eastAsia="宋体" w:cs="Times New Roman"/>
      <w:szCs w:val="21"/>
      <w:shd w:val="clear" w:color="auto" w:fill="000080"/>
    </w:rPr>
  </w:style>
  <w:style w:type="paragraph" w:customStyle="1" w:styleId="212">
    <w:name w:val="批注文字1"/>
    <w:basedOn w:val="1"/>
    <w:link w:val="213"/>
    <w:qFormat/>
    <w:uiPriority w:val="0"/>
    <w:pPr>
      <w:jc w:val="left"/>
    </w:pPr>
  </w:style>
  <w:style w:type="character" w:customStyle="1" w:styleId="213">
    <w:name w:val="批注文字 Char"/>
    <w:link w:val="212"/>
    <w:semiHidden/>
    <w:qFormat/>
    <w:uiPriority w:val="0"/>
    <w:rPr>
      <w:rFonts w:ascii="Times New Roman" w:hAnsi="Times New Roman" w:eastAsia="宋体" w:cs="Times New Roman"/>
      <w:szCs w:val="21"/>
    </w:rPr>
  </w:style>
  <w:style w:type="paragraph" w:customStyle="1" w:styleId="214">
    <w:name w:val="正文文本 31"/>
    <w:basedOn w:val="1"/>
    <w:link w:val="215"/>
    <w:qFormat/>
    <w:uiPriority w:val="0"/>
    <w:rPr>
      <w:rFonts w:ascii="仿宋_GB2312" w:hAnsi="Arial" w:eastAsia="仿宋_GB2312"/>
      <w:sz w:val="32"/>
      <w:szCs w:val="32"/>
    </w:rPr>
  </w:style>
  <w:style w:type="character" w:customStyle="1" w:styleId="215">
    <w:name w:val="正文文本 3 Char"/>
    <w:link w:val="214"/>
    <w:qFormat/>
    <w:uiPriority w:val="0"/>
    <w:rPr>
      <w:rFonts w:ascii="仿宋_GB2312" w:hAnsi="Arial" w:eastAsia="仿宋_GB2312" w:cs="Times New Roman"/>
      <w:sz w:val="32"/>
      <w:szCs w:val="32"/>
    </w:rPr>
  </w:style>
  <w:style w:type="paragraph" w:customStyle="1" w:styleId="216">
    <w:name w:val="正文文本1"/>
    <w:basedOn w:val="1"/>
    <w:link w:val="217"/>
    <w:qFormat/>
    <w:uiPriority w:val="0"/>
    <w:rPr>
      <w:rFonts w:ascii="楷体_GB2312" w:hAnsi="Arial" w:eastAsia="楷体_GB2312"/>
      <w:sz w:val="28"/>
      <w:szCs w:val="28"/>
    </w:rPr>
  </w:style>
  <w:style w:type="character" w:customStyle="1" w:styleId="217">
    <w:name w:val="正文文本 Char"/>
    <w:link w:val="216"/>
    <w:qFormat/>
    <w:uiPriority w:val="0"/>
    <w:rPr>
      <w:rFonts w:ascii="楷体_GB2312" w:hAnsi="Arial" w:eastAsia="楷体_GB2312" w:cs="Times New Roman"/>
      <w:sz w:val="28"/>
      <w:szCs w:val="28"/>
    </w:rPr>
  </w:style>
  <w:style w:type="paragraph" w:customStyle="1" w:styleId="218">
    <w:name w:val="正文文本缩进1"/>
    <w:basedOn w:val="1"/>
    <w:link w:val="219"/>
    <w:qFormat/>
    <w:uiPriority w:val="0"/>
    <w:pPr>
      <w:ind w:firstLine="645"/>
    </w:pPr>
    <w:rPr>
      <w:rFonts w:ascii="楷体_GB2312" w:eastAsia="楷体_GB2312"/>
      <w:sz w:val="32"/>
      <w:szCs w:val="32"/>
    </w:rPr>
  </w:style>
  <w:style w:type="character" w:customStyle="1" w:styleId="219">
    <w:name w:val="正文文本缩进 Char"/>
    <w:link w:val="218"/>
    <w:qFormat/>
    <w:uiPriority w:val="0"/>
    <w:rPr>
      <w:rFonts w:ascii="楷体_GB2312" w:hAnsi="Times New Roman" w:eastAsia="楷体_GB2312" w:cs="Times New Roman"/>
      <w:sz w:val="32"/>
      <w:szCs w:val="32"/>
    </w:rPr>
  </w:style>
  <w:style w:type="paragraph" w:customStyle="1" w:styleId="220">
    <w:name w:val="列表 21"/>
    <w:basedOn w:val="1"/>
    <w:qFormat/>
    <w:uiPriority w:val="0"/>
    <w:pPr>
      <w:ind w:left="100" w:hanging="200"/>
    </w:pPr>
  </w:style>
  <w:style w:type="paragraph" w:customStyle="1" w:styleId="221">
    <w:name w:val="目录 51"/>
    <w:basedOn w:val="1"/>
    <w:next w:val="1"/>
    <w:semiHidden/>
    <w:qFormat/>
    <w:uiPriority w:val="0"/>
    <w:pPr>
      <w:ind w:left="840"/>
      <w:jc w:val="left"/>
    </w:pPr>
  </w:style>
  <w:style w:type="paragraph" w:customStyle="1" w:styleId="222">
    <w:name w:val="目录 31"/>
    <w:basedOn w:val="1"/>
    <w:next w:val="1"/>
    <w:semiHidden/>
    <w:qFormat/>
    <w:uiPriority w:val="0"/>
    <w:pPr>
      <w:ind w:left="420"/>
      <w:jc w:val="left"/>
    </w:pPr>
    <w:rPr>
      <w:i/>
      <w:iCs/>
      <w:szCs w:val="24"/>
    </w:rPr>
  </w:style>
  <w:style w:type="paragraph" w:customStyle="1" w:styleId="223">
    <w:name w:val="纯文本1"/>
    <w:basedOn w:val="1"/>
    <w:link w:val="224"/>
    <w:qFormat/>
    <w:uiPriority w:val="0"/>
    <w:rPr>
      <w:rFonts w:ascii="宋体" w:hAnsi="Courier New" w:cs="Courier New"/>
    </w:rPr>
  </w:style>
  <w:style w:type="character" w:customStyle="1" w:styleId="224">
    <w:name w:val="纯文本 Char"/>
    <w:link w:val="223"/>
    <w:qFormat/>
    <w:uiPriority w:val="0"/>
    <w:rPr>
      <w:rFonts w:ascii="宋体" w:hAnsi="Courier New" w:eastAsia="宋体" w:cs="Courier New"/>
      <w:szCs w:val="21"/>
    </w:rPr>
  </w:style>
  <w:style w:type="paragraph" w:customStyle="1" w:styleId="225">
    <w:name w:val="目录 81"/>
    <w:basedOn w:val="1"/>
    <w:next w:val="1"/>
    <w:semiHidden/>
    <w:qFormat/>
    <w:uiPriority w:val="0"/>
    <w:pPr>
      <w:ind w:left="1470"/>
      <w:jc w:val="left"/>
    </w:pPr>
  </w:style>
  <w:style w:type="paragraph" w:customStyle="1" w:styleId="226">
    <w:name w:val="日期1"/>
    <w:basedOn w:val="1"/>
    <w:next w:val="1"/>
    <w:link w:val="227"/>
    <w:qFormat/>
    <w:uiPriority w:val="0"/>
    <w:rPr>
      <w:sz w:val="24"/>
      <w:szCs w:val="24"/>
    </w:rPr>
  </w:style>
  <w:style w:type="character" w:customStyle="1" w:styleId="227">
    <w:name w:val="日期 Char"/>
    <w:link w:val="226"/>
    <w:qFormat/>
    <w:uiPriority w:val="0"/>
    <w:rPr>
      <w:rFonts w:ascii="Times New Roman" w:hAnsi="Times New Roman" w:eastAsia="宋体" w:cs="Times New Roman"/>
      <w:sz w:val="24"/>
      <w:szCs w:val="24"/>
    </w:rPr>
  </w:style>
  <w:style w:type="paragraph" w:customStyle="1" w:styleId="228">
    <w:name w:val="正文文本缩进 21"/>
    <w:basedOn w:val="1"/>
    <w:link w:val="229"/>
    <w:qFormat/>
    <w:uiPriority w:val="0"/>
    <w:pPr>
      <w:ind w:left="630" w:firstLine="645"/>
    </w:pPr>
    <w:rPr>
      <w:rFonts w:ascii="Arial" w:hAnsi="Arial" w:eastAsia="仿宋_GB2312" w:cs="Arial"/>
      <w:sz w:val="32"/>
      <w:szCs w:val="32"/>
    </w:rPr>
  </w:style>
  <w:style w:type="character" w:customStyle="1" w:styleId="229">
    <w:name w:val="正文文本缩进 2 Char"/>
    <w:link w:val="228"/>
    <w:qFormat/>
    <w:uiPriority w:val="0"/>
    <w:rPr>
      <w:rFonts w:ascii="Arial" w:hAnsi="Arial" w:eastAsia="仿宋_GB2312" w:cs="Arial"/>
      <w:sz w:val="32"/>
      <w:szCs w:val="32"/>
    </w:rPr>
  </w:style>
  <w:style w:type="paragraph" w:customStyle="1" w:styleId="230">
    <w:name w:val="批注框文本1"/>
    <w:basedOn w:val="1"/>
    <w:link w:val="231"/>
    <w:semiHidden/>
    <w:qFormat/>
    <w:uiPriority w:val="0"/>
    <w:rPr>
      <w:sz w:val="18"/>
      <w:szCs w:val="18"/>
    </w:rPr>
  </w:style>
  <w:style w:type="character" w:customStyle="1" w:styleId="231">
    <w:name w:val="批注框文本 Char"/>
    <w:link w:val="230"/>
    <w:semiHidden/>
    <w:qFormat/>
    <w:uiPriority w:val="0"/>
    <w:rPr>
      <w:rFonts w:ascii="Times New Roman" w:hAnsi="Times New Roman" w:eastAsia="宋体" w:cs="Times New Roman"/>
      <w:sz w:val="18"/>
      <w:szCs w:val="18"/>
    </w:rPr>
  </w:style>
  <w:style w:type="paragraph" w:customStyle="1" w:styleId="232">
    <w:name w:val="页脚1"/>
    <w:basedOn w:val="1"/>
    <w:link w:val="233"/>
    <w:qFormat/>
    <w:uiPriority w:val="99"/>
    <w:pPr>
      <w:tabs>
        <w:tab w:val="center" w:pos="4153"/>
        <w:tab w:val="right" w:pos="8306"/>
      </w:tabs>
      <w:jc w:val="left"/>
    </w:pPr>
    <w:rPr>
      <w:sz w:val="18"/>
      <w:szCs w:val="18"/>
    </w:rPr>
  </w:style>
  <w:style w:type="character" w:customStyle="1" w:styleId="233">
    <w:name w:val="页脚 Char"/>
    <w:link w:val="232"/>
    <w:qFormat/>
    <w:uiPriority w:val="99"/>
    <w:rPr>
      <w:rFonts w:ascii="Times New Roman" w:hAnsi="Times New Roman" w:eastAsia="宋体" w:cs="Times New Roman"/>
      <w:sz w:val="18"/>
      <w:szCs w:val="18"/>
    </w:rPr>
  </w:style>
  <w:style w:type="paragraph" w:customStyle="1" w:styleId="234">
    <w:name w:val="页眉1"/>
    <w:basedOn w:val="1"/>
    <w:link w:val="235"/>
    <w:qFormat/>
    <w:uiPriority w:val="0"/>
    <w:pPr>
      <w:pBdr>
        <w:bottom w:val="single" w:color="000000" w:sz="6" w:space="1"/>
      </w:pBdr>
      <w:tabs>
        <w:tab w:val="center" w:pos="4153"/>
        <w:tab w:val="right" w:pos="8306"/>
      </w:tabs>
      <w:jc w:val="center"/>
    </w:pPr>
    <w:rPr>
      <w:sz w:val="18"/>
      <w:szCs w:val="18"/>
    </w:rPr>
  </w:style>
  <w:style w:type="character" w:customStyle="1" w:styleId="235">
    <w:name w:val="页眉 Char"/>
    <w:link w:val="234"/>
    <w:qFormat/>
    <w:uiPriority w:val="0"/>
    <w:rPr>
      <w:rFonts w:ascii="Times New Roman" w:hAnsi="Times New Roman" w:eastAsia="宋体" w:cs="Times New Roman"/>
      <w:sz w:val="18"/>
      <w:szCs w:val="18"/>
    </w:rPr>
  </w:style>
  <w:style w:type="paragraph" w:customStyle="1" w:styleId="23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7">
    <w:name w:val="目录 41"/>
    <w:basedOn w:val="1"/>
    <w:next w:val="1"/>
    <w:semiHidden/>
    <w:qFormat/>
    <w:uiPriority w:val="0"/>
    <w:pPr>
      <w:ind w:left="630"/>
      <w:jc w:val="left"/>
    </w:pPr>
  </w:style>
  <w:style w:type="paragraph" w:customStyle="1" w:styleId="238">
    <w:name w:val="列表1"/>
    <w:basedOn w:val="1"/>
    <w:qFormat/>
    <w:uiPriority w:val="0"/>
    <w:pPr>
      <w:ind w:left="200" w:hanging="200"/>
    </w:pPr>
  </w:style>
  <w:style w:type="paragraph" w:customStyle="1" w:styleId="239">
    <w:name w:val="目录 61"/>
    <w:basedOn w:val="1"/>
    <w:next w:val="1"/>
    <w:semiHidden/>
    <w:qFormat/>
    <w:uiPriority w:val="0"/>
    <w:pPr>
      <w:ind w:left="1050"/>
      <w:jc w:val="left"/>
    </w:pPr>
  </w:style>
  <w:style w:type="paragraph" w:customStyle="1" w:styleId="240">
    <w:name w:val="正文文本缩进 31"/>
    <w:basedOn w:val="1"/>
    <w:link w:val="241"/>
    <w:qFormat/>
    <w:uiPriority w:val="0"/>
    <w:pPr>
      <w:ind w:left="645" w:firstLine="645"/>
    </w:pPr>
    <w:rPr>
      <w:rFonts w:ascii="Arial" w:hAnsi="Arial" w:eastAsia="仿宋_GB2312" w:cs="Arial"/>
      <w:color w:val="FFFF00"/>
      <w:sz w:val="32"/>
      <w:szCs w:val="32"/>
    </w:rPr>
  </w:style>
  <w:style w:type="character" w:customStyle="1" w:styleId="241">
    <w:name w:val="正文文本缩进 3 Char"/>
    <w:link w:val="240"/>
    <w:qFormat/>
    <w:uiPriority w:val="0"/>
    <w:rPr>
      <w:rFonts w:ascii="Arial" w:hAnsi="Arial" w:eastAsia="仿宋_GB2312" w:cs="Arial"/>
      <w:color w:val="FFFF00"/>
      <w:sz w:val="32"/>
      <w:szCs w:val="32"/>
    </w:rPr>
  </w:style>
  <w:style w:type="paragraph" w:customStyle="1" w:styleId="242">
    <w:name w:val="图表目录1"/>
    <w:basedOn w:val="1"/>
    <w:next w:val="1"/>
    <w:semiHidden/>
    <w:qFormat/>
    <w:uiPriority w:val="0"/>
    <w:pPr>
      <w:ind w:left="840" w:hanging="420"/>
    </w:pPr>
  </w:style>
  <w:style w:type="paragraph" w:customStyle="1" w:styleId="243">
    <w:name w:val="目录 21"/>
    <w:basedOn w:val="1"/>
    <w:next w:val="1"/>
    <w:semiHidden/>
    <w:qFormat/>
    <w:uiPriority w:val="0"/>
    <w:pPr>
      <w:ind w:left="210"/>
      <w:jc w:val="left"/>
    </w:pPr>
    <w:rPr>
      <w:smallCaps/>
      <w:szCs w:val="24"/>
    </w:rPr>
  </w:style>
  <w:style w:type="paragraph" w:customStyle="1" w:styleId="244">
    <w:name w:val="目录 91"/>
    <w:basedOn w:val="1"/>
    <w:next w:val="1"/>
    <w:semiHidden/>
    <w:qFormat/>
    <w:uiPriority w:val="0"/>
    <w:pPr>
      <w:ind w:left="1680"/>
      <w:jc w:val="left"/>
    </w:pPr>
  </w:style>
  <w:style w:type="paragraph" w:customStyle="1" w:styleId="245">
    <w:name w:val="正文文本 21"/>
    <w:basedOn w:val="1"/>
    <w:link w:val="246"/>
    <w:qFormat/>
    <w:uiPriority w:val="0"/>
    <w:pPr>
      <w:widowControl/>
      <w:jc w:val="center"/>
    </w:pPr>
    <w:rPr>
      <w:rFonts w:ascii="楷体_GB2312" w:eastAsia="楷体_GB2312"/>
      <w:sz w:val="28"/>
      <w:szCs w:val="28"/>
    </w:rPr>
  </w:style>
  <w:style w:type="character" w:customStyle="1" w:styleId="246">
    <w:name w:val="正文文本 2 Char"/>
    <w:link w:val="245"/>
    <w:qFormat/>
    <w:uiPriority w:val="0"/>
    <w:rPr>
      <w:rFonts w:ascii="楷体_GB2312" w:hAnsi="Times New Roman" w:eastAsia="楷体_GB2312" w:cs="Times New Roman"/>
      <w:sz w:val="28"/>
      <w:szCs w:val="28"/>
    </w:rPr>
  </w:style>
  <w:style w:type="paragraph" w:customStyle="1" w:styleId="247">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48">
    <w:name w:val="索引 11"/>
    <w:basedOn w:val="1"/>
    <w:next w:val="1"/>
    <w:semiHidden/>
    <w:qFormat/>
    <w:uiPriority w:val="0"/>
    <w:pPr>
      <w:spacing w:line="240" w:lineRule="atLeast"/>
    </w:pPr>
    <w:rPr>
      <w:b/>
      <w:bCs/>
    </w:rPr>
  </w:style>
  <w:style w:type="paragraph" w:customStyle="1" w:styleId="249">
    <w:name w:val="批注主题1"/>
    <w:basedOn w:val="212"/>
    <w:next w:val="212"/>
    <w:link w:val="250"/>
    <w:semiHidden/>
    <w:qFormat/>
    <w:uiPriority w:val="0"/>
    <w:rPr>
      <w:b/>
      <w:bCs/>
    </w:rPr>
  </w:style>
  <w:style w:type="character" w:customStyle="1" w:styleId="250">
    <w:name w:val="批注主题 Char"/>
    <w:link w:val="249"/>
    <w:semiHidden/>
    <w:qFormat/>
    <w:uiPriority w:val="0"/>
    <w:rPr>
      <w:rFonts w:ascii="Times New Roman" w:hAnsi="Times New Roman" w:eastAsia="宋体" w:cs="Times New Roman"/>
      <w:b/>
      <w:bCs/>
      <w:szCs w:val="21"/>
    </w:rPr>
  </w:style>
  <w:style w:type="paragraph" w:customStyle="1" w:styleId="251">
    <w:name w:val="正文首行缩进1"/>
    <w:basedOn w:val="1"/>
    <w:link w:val="252"/>
    <w:qFormat/>
    <w:uiPriority w:val="0"/>
    <w:pPr>
      <w:spacing w:line="360" w:lineRule="auto"/>
      <w:ind w:firstLine="200"/>
    </w:pPr>
    <w:rPr>
      <w:rFonts w:ascii="仿宋_GB2312" w:eastAsia="仿宋_GB2312"/>
      <w:sz w:val="30"/>
      <w:szCs w:val="30"/>
    </w:rPr>
  </w:style>
  <w:style w:type="character" w:customStyle="1" w:styleId="252">
    <w:name w:val="正文首行缩进 Char"/>
    <w:link w:val="251"/>
    <w:qFormat/>
    <w:uiPriority w:val="0"/>
    <w:rPr>
      <w:rFonts w:ascii="仿宋_GB2312" w:hAnsi="Times New Roman" w:eastAsia="仿宋_GB2312" w:cs="Times New Roman"/>
      <w:sz w:val="30"/>
      <w:szCs w:val="30"/>
    </w:rPr>
  </w:style>
  <w:style w:type="paragraph" w:customStyle="1" w:styleId="253">
    <w:name w:val="正文首行缩进 21"/>
    <w:basedOn w:val="218"/>
    <w:link w:val="254"/>
    <w:qFormat/>
    <w:uiPriority w:val="0"/>
    <w:pPr>
      <w:spacing w:line="360" w:lineRule="auto"/>
      <w:ind w:firstLine="420"/>
    </w:pPr>
    <w:rPr>
      <w:rFonts w:ascii="宋体" w:hAnsi="宋体" w:eastAsia="宋体"/>
      <w:sz w:val="21"/>
      <w:szCs w:val="20"/>
    </w:rPr>
  </w:style>
  <w:style w:type="character" w:customStyle="1" w:styleId="254">
    <w:name w:val="正文首行缩进 2 Char"/>
    <w:link w:val="253"/>
    <w:qFormat/>
    <w:uiPriority w:val="0"/>
    <w:rPr>
      <w:rFonts w:ascii="宋体" w:hAnsi="宋体" w:eastAsia="宋体" w:cs="Times New Roman"/>
      <w:sz w:val="32"/>
      <w:szCs w:val="20"/>
    </w:rPr>
  </w:style>
  <w:style w:type="table" w:customStyle="1" w:styleId="255">
    <w:name w:val="网格型1"/>
    <w:basedOn w:val="197"/>
    <w:qFormat/>
    <w:uiPriority w:val="0"/>
    <w:pPr>
      <w:widowControl w:val="0"/>
      <w:jc w:val="both"/>
    </w:pPr>
  </w:style>
  <w:style w:type="character" w:customStyle="1" w:styleId="256">
    <w:name w:val="要点1"/>
    <w:qFormat/>
    <w:uiPriority w:val="0"/>
    <w:rPr>
      <w:b/>
      <w:bCs/>
    </w:rPr>
  </w:style>
  <w:style w:type="character" w:customStyle="1" w:styleId="257">
    <w:name w:val="页码1"/>
    <w:qFormat/>
    <w:uiPriority w:val="0"/>
  </w:style>
  <w:style w:type="character" w:customStyle="1" w:styleId="258">
    <w:name w:val="访问过的超链接1"/>
    <w:qFormat/>
    <w:uiPriority w:val="0"/>
    <w:rPr>
      <w:color w:val="800080"/>
      <w:u w:val="single"/>
    </w:rPr>
  </w:style>
  <w:style w:type="character" w:customStyle="1" w:styleId="259">
    <w:name w:val="强调1"/>
    <w:qFormat/>
    <w:uiPriority w:val="0"/>
    <w:rPr>
      <w:i/>
    </w:rPr>
  </w:style>
  <w:style w:type="character" w:customStyle="1" w:styleId="260">
    <w:name w:val="超链接1"/>
    <w:qFormat/>
    <w:uiPriority w:val="0"/>
    <w:rPr>
      <w:color w:val="0000FF"/>
      <w:u w:val="single"/>
    </w:rPr>
  </w:style>
  <w:style w:type="character" w:customStyle="1" w:styleId="261">
    <w:name w:val="批注引用1"/>
    <w:semiHidden/>
    <w:qFormat/>
    <w:uiPriority w:val="0"/>
    <w:rPr>
      <w:sz w:val="21"/>
      <w:szCs w:val="21"/>
    </w:rPr>
  </w:style>
  <w:style w:type="character" w:customStyle="1" w:styleId="262">
    <w:name w:val="font5 Char"/>
    <w:qFormat/>
    <w:uiPriority w:val="0"/>
    <w:rPr>
      <w:rFonts w:ascii="宋体" w:hAnsi="宋体" w:eastAsia="宋体"/>
      <w:sz w:val="28"/>
      <w:szCs w:val="28"/>
      <w:lang w:val="en-US" w:eastAsia="zh-CN" w:bidi="ar-SA"/>
    </w:rPr>
  </w:style>
  <w:style w:type="character" w:customStyle="1" w:styleId="263">
    <w:name w:val="二级目录 Char"/>
    <w:link w:val="264"/>
    <w:qFormat/>
    <w:uiPriority w:val="0"/>
    <w:rPr>
      <w:rFonts w:ascii="Calibri" w:hAnsi="Calibri"/>
      <w:b/>
      <w:sz w:val="30"/>
      <w:szCs w:val="28"/>
    </w:rPr>
  </w:style>
  <w:style w:type="paragraph" w:customStyle="1" w:styleId="264">
    <w:name w:val="二级目录"/>
    <w:next w:val="1"/>
    <w:link w:val="263"/>
    <w:qFormat/>
    <w:uiPriority w:val="0"/>
    <w:pPr>
      <w:tabs>
        <w:tab w:val="left" w:pos="907"/>
        <w:tab w:val="left" w:pos="1145"/>
      </w:tabs>
      <w:ind w:left="907" w:hanging="907"/>
      <w:outlineLvl w:val="1"/>
    </w:pPr>
    <w:rPr>
      <w:rFonts w:ascii="Calibri" w:hAnsi="Calibri" w:eastAsia="宋体" w:cs="Times New Roman"/>
      <w:b/>
      <w:sz w:val="30"/>
      <w:szCs w:val="28"/>
      <w:lang w:val="en-US" w:eastAsia="zh-CN" w:bidi="ar-SA"/>
    </w:rPr>
  </w:style>
  <w:style w:type="character" w:customStyle="1" w:styleId="265">
    <w:name w:val="列出段落 Char"/>
    <w:link w:val="266"/>
    <w:qFormat/>
    <w:uiPriority w:val="0"/>
    <w:rPr>
      <w:rFonts w:ascii="Calibri" w:hAnsi="Calibri"/>
      <w:sz w:val="24"/>
      <w:szCs w:val="24"/>
      <w:lang w:eastAsia="en-US" w:bidi="en-US"/>
    </w:rPr>
  </w:style>
  <w:style w:type="paragraph" w:customStyle="1" w:styleId="266">
    <w:name w:val="列出段落1"/>
    <w:basedOn w:val="1"/>
    <w:link w:val="265"/>
    <w:qFormat/>
    <w:uiPriority w:val="0"/>
    <w:pPr>
      <w:widowControl/>
      <w:ind w:left="720"/>
      <w:contextualSpacing/>
      <w:jc w:val="left"/>
    </w:pPr>
    <w:rPr>
      <w:rFonts w:ascii="Calibri" w:hAnsi="Calibri"/>
      <w:sz w:val="24"/>
      <w:szCs w:val="24"/>
      <w:lang w:eastAsia="en-US" w:bidi="en-US"/>
    </w:rPr>
  </w:style>
  <w:style w:type="paragraph" w:customStyle="1" w:styleId="267">
    <w:name w:val="Body Text(ch)"/>
    <w:basedOn w:val="1"/>
    <w:next w:val="216"/>
    <w:qFormat/>
    <w:uiPriority w:val="0"/>
    <w:pPr>
      <w:spacing w:after="120"/>
    </w:pPr>
    <w:rPr>
      <w:rFonts w:ascii="宋体" w:hAnsi="Arial"/>
      <w:bCs/>
      <w:iCs/>
      <w:szCs w:val="24"/>
    </w:rPr>
  </w:style>
  <w:style w:type="paragraph" w:customStyle="1" w:styleId="26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0">
    <w:name w:val="Char"/>
    <w:basedOn w:val="1"/>
    <w:qFormat/>
    <w:uiPriority w:val="0"/>
    <w:pPr>
      <w:tabs>
        <w:tab w:val="left" w:pos="360"/>
      </w:tabs>
      <w:ind w:firstLine="200"/>
    </w:pPr>
    <w:rPr>
      <w:sz w:val="28"/>
      <w:szCs w:val="30"/>
    </w:rPr>
  </w:style>
  <w:style w:type="paragraph" w:customStyle="1" w:styleId="271">
    <w:name w:val="Char1"/>
    <w:basedOn w:val="210"/>
    <w:qFormat/>
    <w:uiPriority w:val="0"/>
    <w:rPr>
      <w:rFonts w:ascii="Tahoma" w:hAnsi="Tahoma"/>
      <w:sz w:val="24"/>
      <w:szCs w:val="24"/>
    </w:rPr>
  </w:style>
  <w:style w:type="paragraph" w:customStyle="1" w:styleId="27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3">
    <w:name w:val="table_lines"/>
    <w:basedOn w:val="1"/>
    <w:qFormat/>
    <w:uiPriority w:val="0"/>
    <w:pPr>
      <w:widowControl/>
      <w:jc w:val="left"/>
    </w:pPr>
    <w:rPr>
      <w:sz w:val="20"/>
      <w:szCs w:val="20"/>
      <w:lang w:val="de-DE" w:eastAsia="de-DE"/>
    </w:rPr>
  </w:style>
  <w:style w:type="paragraph" w:customStyle="1" w:styleId="274">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6">
    <w:name w:val="Char Char Char Char"/>
    <w:basedOn w:val="210"/>
    <w:qFormat/>
    <w:uiPriority w:val="0"/>
    <w:pPr>
      <w:spacing w:line="360" w:lineRule="auto"/>
    </w:pPr>
    <w:rPr>
      <w:rFonts w:ascii="Tahoma" w:hAnsi="Tahoma"/>
      <w:sz w:val="24"/>
      <w:szCs w:val="24"/>
    </w:rPr>
  </w:style>
  <w:style w:type="paragraph" w:customStyle="1" w:styleId="277">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78">
    <w:name w:val="4"/>
    <w:basedOn w:val="1"/>
    <w:next w:val="240"/>
    <w:qFormat/>
    <w:uiPriority w:val="0"/>
    <w:pPr>
      <w:spacing w:line="360" w:lineRule="auto"/>
      <w:ind w:firstLine="420"/>
    </w:pPr>
    <w:rPr>
      <w:color w:val="FF0000"/>
      <w:sz w:val="24"/>
      <w:szCs w:val="24"/>
    </w:rPr>
  </w:style>
  <w:style w:type="paragraph" w:customStyle="1" w:styleId="27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0">
    <w:name w:val="Char Char Char Char Char Char Char Char Char Char"/>
    <w:basedOn w:val="1"/>
    <w:qFormat/>
    <w:uiPriority w:val="0"/>
    <w:pPr>
      <w:spacing w:line="360" w:lineRule="auto"/>
    </w:pPr>
    <w:rPr>
      <w:sz w:val="24"/>
      <w:szCs w:val="20"/>
    </w:rPr>
  </w:style>
  <w:style w:type="paragraph" w:customStyle="1" w:styleId="281">
    <w:name w:val="样式1"/>
    <w:basedOn w:val="1"/>
    <w:qFormat/>
    <w:uiPriority w:val="0"/>
    <w:pPr>
      <w:numPr>
        <w:ilvl w:val="0"/>
        <w:numId w:val="3"/>
      </w:numPr>
    </w:pPr>
    <w:rPr>
      <w:rFonts w:ascii="宋体" w:hAnsi="宋体"/>
    </w:rPr>
  </w:style>
  <w:style w:type="paragraph" w:customStyle="1" w:styleId="28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2">
    <w:name w:val="Char Char Char Char1"/>
    <w:basedOn w:val="210"/>
    <w:qFormat/>
    <w:uiPriority w:val="0"/>
    <w:pPr>
      <w:spacing w:line="360" w:lineRule="auto"/>
    </w:pPr>
    <w:rPr>
      <w:rFonts w:ascii="Tahoma" w:hAnsi="Tahoma"/>
      <w:sz w:val="24"/>
      <w:szCs w:val="24"/>
    </w:rPr>
  </w:style>
  <w:style w:type="paragraph" w:customStyle="1" w:styleId="293">
    <w:name w:val="table_1stline"/>
    <w:basedOn w:val="1"/>
    <w:qFormat/>
    <w:uiPriority w:val="0"/>
    <w:pPr>
      <w:widowControl/>
      <w:spacing w:before="120"/>
      <w:jc w:val="left"/>
    </w:pPr>
    <w:rPr>
      <w:bCs/>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6">
    <w:name w:val="修订1"/>
    <w:semiHidden/>
    <w:qFormat/>
    <w:uiPriority w:val="99"/>
    <w:rPr>
      <w:rFonts w:ascii="Times New Roman" w:hAnsi="Times New Roman" w:eastAsia="宋体" w:cs="Times New Roman"/>
      <w:sz w:val="21"/>
      <w:szCs w:val="21"/>
      <w:lang w:val="en-US" w:eastAsia="zh-CN" w:bidi="ar-SA"/>
    </w:rPr>
  </w:style>
  <w:style w:type="paragraph" w:customStyle="1" w:styleId="297">
    <w:name w:val="无间隔1"/>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298">
    <w:name w:val="纯文本 字符"/>
    <w:qFormat/>
    <w:uiPriority w:val="0"/>
    <w:rPr>
      <w:rFonts w:ascii="宋体" w:hAnsi="Courier New" w:eastAsia="宋体" w:cs="Courier New"/>
      <w:szCs w:val="21"/>
    </w:rPr>
  </w:style>
  <w:style w:type="paragraph" w:customStyle="1" w:styleId="299">
    <w:name w:val="索引 41"/>
    <w:basedOn w:val="1"/>
    <w:next w:val="1"/>
    <w:semiHidden/>
    <w:unhideWhenUsed/>
    <w:qFormat/>
    <w:uiPriority w:val="99"/>
    <w:pPr>
      <w:ind w:left="600"/>
    </w:pPr>
  </w:style>
  <w:style w:type="character" w:customStyle="1" w:styleId="300">
    <w:name w:val="批注文字 字符"/>
    <w:semiHidden/>
    <w:qFormat/>
    <w:uiPriority w:val="0"/>
    <w:rPr>
      <w:rFonts w:ascii="Times New Roman" w:hAnsi="Times New Roman" w:eastAsia="宋体" w:cs="Times New Roman"/>
      <w:szCs w:val="21"/>
    </w:rPr>
  </w:style>
  <w:style w:type="character" w:customStyle="1" w:styleId="301">
    <w:name w:val="纯文本 字符1"/>
    <w:qFormat/>
    <w:uiPriority w:val="0"/>
    <w:rPr>
      <w:rFonts w:ascii="宋体" w:hAnsi="Courier New" w:eastAsia="宋体" w:cs="Courier New"/>
      <w:szCs w:val="21"/>
    </w:rPr>
  </w:style>
  <w:style w:type="character" w:customStyle="1" w:styleId="302">
    <w:name w:val="批注文字 字符1"/>
    <w:qFormat/>
    <w:uiPriority w:val="0"/>
    <w:rPr>
      <w:rFonts w:ascii="Times New Roman" w:hAnsi="Times New Roman" w:eastAsia="宋体" w:cs="Times New Roman"/>
      <w:szCs w:val="21"/>
    </w:rPr>
  </w:style>
  <w:style w:type="paragraph" w:customStyle="1" w:styleId="303">
    <w:name w:val="招标"/>
    <w:basedOn w:val="1"/>
    <w:qFormat/>
    <w:uiPriority w:val="0"/>
    <w:pPr>
      <w:widowControl/>
      <w:spacing w:line="400" w:lineRule="exact"/>
      <w:ind w:firstLine="420"/>
      <w:jc w:val="left"/>
    </w:pPr>
    <w:rPr>
      <w:rFonts w:ascii="宋体" w:hAnsi="宋体" w:eastAsia="Arial"/>
      <w:color w:val="000000"/>
      <w:szCs w:val="24"/>
      <w:lang w:eastAsia="en-US"/>
    </w:rPr>
  </w:style>
  <w:style w:type="paragraph" w:customStyle="1" w:styleId="304">
    <w:name w:val="列表段落1"/>
    <w:basedOn w:val="1"/>
    <w:qFormat/>
    <w:uiPriority w:val="99"/>
    <w:pPr>
      <w:ind w:firstLine="420"/>
    </w:pPr>
    <w:rPr>
      <w:szCs w:val="20"/>
    </w:rPr>
  </w:style>
  <w:style w:type="paragraph" w:customStyle="1" w:styleId="305">
    <w:name w:val="正文1"/>
    <w:next w:val="1"/>
    <w:qFormat/>
    <w:uiPriority w:val="0"/>
    <w:pPr>
      <w:widowControl w:val="0"/>
      <w:jc w:val="both"/>
    </w:pPr>
    <w:rPr>
      <w:rFonts w:ascii="Calibri" w:hAnsi="Calibri" w:eastAsia="宋体" w:cs="Times New Roman"/>
      <w:lang w:val="en-US" w:eastAsia="zh-CN" w:bidi="ar-SA"/>
    </w:rPr>
  </w:style>
  <w:style w:type="paragraph" w:customStyle="1" w:styleId="306">
    <w:name w:val="修订2"/>
    <w:hidden/>
    <w:unhideWhenUsed/>
    <w:qFormat/>
    <w:uiPriority w:val="99"/>
    <w:rPr>
      <w:rFonts w:ascii="Times New Roman" w:hAnsi="Times New Roman" w:eastAsia="宋体" w:cs="Times New Roman"/>
      <w:sz w:val="21"/>
      <w:szCs w:val="21"/>
      <w:lang w:val="en-US" w:eastAsia="zh-CN" w:bidi="ar-SA"/>
    </w:rPr>
  </w:style>
  <w:style w:type="character" w:customStyle="1" w:styleId="307">
    <w:name w:val="批注文字 字符2"/>
    <w:basedOn w:val="33"/>
    <w:link w:val="14"/>
    <w:qFormat/>
    <w:uiPriority w:val="99"/>
    <w:rPr>
      <w:sz w:val="21"/>
      <w:szCs w:val="21"/>
    </w:rPr>
  </w:style>
  <w:style w:type="character" w:customStyle="1" w:styleId="308">
    <w:name w:val="批注主题 字符"/>
    <w:basedOn w:val="307"/>
    <w:link w:val="30"/>
    <w:semiHidden/>
    <w:qFormat/>
    <w:uiPriority w:val="99"/>
    <w:rPr>
      <w:b/>
      <w:bCs/>
      <w:sz w:val="21"/>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9" Type="http://schemas.openxmlformats.org/officeDocument/2006/relationships/font" Target="fonts/font19.odttf"/><Relationship Id="rId18" Type="http://schemas.openxmlformats.org/officeDocument/2006/relationships/font" Target="fonts/font18.odttf"/><Relationship Id="rId17" Type="http://schemas.openxmlformats.org/officeDocument/2006/relationships/font" Target="fonts/font17.odttf"/><Relationship Id="rId16" Type="http://schemas.openxmlformats.org/officeDocument/2006/relationships/font" Target="fonts/font16.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10063</Words>
  <Characters>11078</Characters>
  <Lines>183</Lines>
  <Paragraphs>51</Paragraphs>
  <TotalTime>70</TotalTime>
  <ScaleCrop>false</ScaleCrop>
  <LinksUpToDate>false</LinksUpToDate>
  <CharactersWithSpaces>11248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2026-06-12T07:37:00Z</dcterms:created>
  <dc:creator>赵国文</dc:creator>
  <cp:lastModifiedBy>Lོ</cp:lastModifiedBy>
  <cp:lastPrinted>2026-08-13T01:52:00Z</cp:lastPrinted>
  <dcterms:modified xsi:type="dcterms:W3CDTF">2026-08-19T01:01:29Z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eyJoZGlkIjoiNzQ3ODM0NDcwYWJjNDA1YzMyZTYxODc1ZGI1YTk1Y2MiLCJ1c2VySWQiOiI0NjA5NTU3MDAifQ==</vt:lpwstr>
  </property>
  <property fmtid="{D5CDD505-2E9C-101B-9397-08002B2CF9AE}" pid="3" name="KSOProductBuildVer">
    <vt:lpwstr>2052-12.1.0.28043</vt:lpwstr>
  </property>
  <property fmtid="{D5CDD505-2E9C-101B-9397-08002B2CF9AE}" pid="4" name="ICV">
    <vt:lpwstr>FE97625C804A421496860726CC0CDA72_13</vt:lpwstr>
  </property>
</Properties>
</file>